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A401F" w14:textId="77777777" w:rsidR="00AC02C2" w:rsidRDefault="00AC02C2">
      <w:pPr>
        <w:pStyle w:val="Title"/>
      </w:pPr>
      <w:bookmarkStart w:id="0" w:name="_GoBack"/>
      <w:bookmarkEnd w:id="0"/>
    </w:p>
    <w:p w14:paraId="14BA4020" w14:textId="77777777" w:rsidR="00AC02C2" w:rsidRDefault="00AC02C2">
      <w:pPr>
        <w:pStyle w:val="Title"/>
      </w:pPr>
    </w:p>
    <w:p w14:paraId="14BA4021" w14:textId="417C6AB0"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9B4C92" w:rsidRPr="008E199A">
        <w:rPr>
          <w:b/>
          <w:color w:val="000000"/>
          <w:spacing w:val="-1"/>
          <w:sz w:val="28"/>
        </w:rPr>
        <w:t>ASIC CORPORATIONS (</w:t>
      </w:r>
      <w:r w:rsidR="004B6C04">
        <w:rPr>
          <w:b/>
          <w:color w:val="000000"/>
          <w:spacing w:val="-1"/>
          <w:sz w:val="28"/>
        </w:rPr>
        <w:t>AMENDMENT</w:t>
      </w:r>
      <w:r w:rsidR="008E199A" w:rsidRPr="008E199A">
        <w:rPr>
          <w:b/>
          <w:color w:val="000000"/>
          <w:spacing w:val="-1"/>
          <w:sz w:val="28"/>
        </w:rPr>
        <w:t xml:space="preserve">) INSTRUMENT </w:t>
      </w:r>
      <w:r w:rsidR="008E199A" w:rsidRPr="005D1E5B">
        <w:rPr>
          <w:b/>
          <w:color w:val="000000"/>
          <w:spacing w:val="-1"/>
          <w:sz w:val="28"/>
        </w:rPr>
        <w:t>2016/</w:t>
      </w:r>
      <w:r w:rsidR="002C3B8C">
        <w:rPr>
          <w:b/>
          <w:color w:val="000000"/>
          <w:spacing w:val="-1"/>
          <w:sz w:val="28"/>
        </w:rPr>
        <w:t>1173</w:t>
      </w:r>
    </w:p>
    <w:p w14:paraId="14BA4022" w14:textId="77777777" w:rsidR="005B0E3A" w:rsidRDefault="005B0E3A" w:rsidP="005B0E3A">
      <w:pPr>
        <w:pStyle w:val="BodyText"/>
        <w:jc w:val="center"/>
      </w:pPr>
      <w:r>
        <w:t>Prepared by the Australian Securities and Investments Commission</w:t>
      </w:r>
    </w:p>
    <w:p w14:paraId="14BA4023" w14:textId="77777777" w:rsidR="005B0E3A" w:rsidRDefault="005B0E3A" w:rsidP="005B0E3A">
      <w:pPr>
        <w:spacing w:before="4" w:line="220" w:lineRule="exact"/>
        <w:jc w:val="center"/>
      </w:pPr>
    </w:p>
    <w:p w14:paraId="14BA4024" w14:textId="77777777" w:rsidR="005B0E3A" w:rsidRDefault="005B0E3A" w:rsidP="005B0E3A">
      <w:pPr>
        <w:jc w:val="center"/>
        <w:rPr>
          <w:sz w:val="24"/>
          <w:szCs w:val="24"/>
        </w:rPr>
      </w:pPr>
      <w:r>
        <w:rPr>
          <w:i/>
          <w:sz w:val="24"/>
        </w:rPr>
        <w:t>Corporations Act 2001</w:t>
      </w:r>
    </w:p>
    <w:p w14:paraId="14BA4025" w14:textId="77777777" w:rsidR="005B0E3A" w:rsidRDefault="005B0E3A" w:rsidP="005B0E3A">
      <w:pPr>
        <w:spacing w:before="3" w:line="220" w:lineRule="exact"/>
      </w:pPr>
    </w:p>
    <w:p w14:paraId="54ED7801" w14:textId="2794DEAA" w:rsidR="002C3B8C" w:rsidRDefault="005B0E3A" w:rsidP="005B0E3A">
      <w:pPr>
        <w:pStyle w:val="BodyText"/>
        <w:spacing w:line="261" w:lineRule="auto"/>
        <w:rPr>
          <w:spacing w:val="-1"/>
        </w:rPr>
      </w:pPr>
      <w:r w:rsidRPr="009B4C92">
        <w:t xml:space="preserve">The Australian Securities and </w:t>
      </w:r>
      <w:r w:rsidRPr="009B4C92">
        <w:rPr>
          <w:spacing w:val="-1"/>
        </w:rPr>
        <w:t>Investments</w:t>
      </w:r>
      <w:r w:rsidRPr="009B4C92">
        <w:t xml:space="preserve"> </w:t>
      </w:r>
      <w:r w:rsidRPr="009B4C92">
        <w:rPr>
          <w:spacing w:val="-1"/>
        </w:rPr>
        <w:t>Commission</w:t>
      </w:r>
      <w:r w:rsidRPr="009B4C92">
        <w:t xml:space="preserve"> (</w:t>
      </w:r>
      <w:r w:rsidRPr="009B4C92">
        <w:rPr>
          <w:b/>
        </w:rPr>
        <w:t>ASIC</w:t>
      </w:r>
      <w:r w:rsidRPr="009B4C92">
        <w:t xml:space="preserve">) </w:t>
      </w:r>
      <w:r w:rsidRPr="009B4C92">
        <w:rPr>
          <w:spacing w:val="-1"/>
        </w:rPr>
        <w:t>makes</w:t>
      </w:r>
      <w:r w:rsidRPr="009B4C92">
        <w:t xml:space="preserve"> </w:t>
      </w:r>
      <w:r w:rsidR="009B4C92" w:rsidRPr="003D0892">
        <w:rPr>
          <w:i/>
        </w:rPr>
        <w:t>ASIC Corporations (</w:t>
      </w:r>
      <w:r w:rsidR="00EC2C4B" w:rsidRPr="003D0892">
        <w:rPr>
          <w:i/>
        </w:rPr>
        <w:t>Amendment</w:t>
      </w:r>
      <w:r w:rsidR="008E199A" w:rsidRPr="003D0892">
        <w:rPr>
          <w:i/>
        </w:rPr>
        <w:t>) Instrument 2016/</w:t>
      </w:r>
      <w:r w:rsidR="002C3B8C" w:rsidRPr="003D0892">
        <w:rPr>
          <w:i/>
        </w:rPr>
        <w:t>1173</w:t>
      </w:r>
      <w:r w:rsidR="002C3B8C" w:rsidRPr="009B4C92">
        <w:rPr>
          <w:spacing w:val="-1"/>
        </w:rPr>
        <w:t xml:space="preserve"> </w:t>
      </w:r>
      <w:r w:rsidR="00496ED4">
        <w:rPr>
          <w:spacing w:val="-1"/>
        </w:rPr>
        <w:t xml:space="preserve">(the </w:t>
      </w:r>
      <w:r w:rsidR="00EC2C4B">
        <w:rPr>
          <w:b/>
          <w:spacing w:val="-1"/>
        </w:rPr>
        <w:t xml:space="preserve">Amending </w:t>
      </w:r>
      <w:r w:rsidR="00496ED4" w:rsidRPr="00496ED4">
        <w:rPr>
          <w:b/>
          <w:spacing w:val="-1"/>
        </w:rPr>
        <w:t>Instrument</w:t>
      </w:r>
      <w:r w:rsidR="00496ED4">
        <w:rPr>
          <w:spacing w:val="-1"/>
        </w:rPr>
        <w:t xml:space="preserve">) </w:t>
      </w:r>
      <w:r w:rsidRPr="00496ED4">
        <w:rPr>
          <w:spacing w:val="-1"/>
        </w:rPr>
        <w:t>under</w:t>
      </w:r>
      <w:r w:rsidRPr="009B4C92">
        <w:rPr>
          <w:spacing w:val="-1"/>
        </w:rPr>
        <w:t xml:space="preserve"> </w:t>
      </w:r>
      <w:r w:rsidR="009B4C92" w:rsidRPr="009B4C92">
        <w:t>subsection</w:t>
      </w:r>
      <w:r w:rsidR="00B13EA3">
        <w:t>s</w:t>
      </w:r>
      <w:r w:rsidR="009B4C92" w:rsidRPr="009B4C92">
        <w:t xml:space="preserve"> 601QA(1)</w:t>
      </w:r>
      <w:r w:rsidR="00A90C8E">
        <w:t>, 926A(1), 992B(1) and 1020F(1)</w:t>
      </w:r>
      <w:r w:rsidR="00A90C8E" w:rsidRPr="009B4C92">
        <w:t xml:space="preserve"> </w:t>
      </w:r>
      <w:r w:rsidR="009B4C92" w:rsidRPr="009B4C92">
        <w:t xml:space="preserve">of the </w:t>
      </w:r>
      <w:r w:rsidR="009B4C92" w:rsidRPr="009B4C92">
        <w:rPr>
          <w:i/>
        </w:rPr>
        <w:t>Corporations Act 2001</w:t>
      </w:r>
      <w:r w:rsidR="009B4C92" w:rsidRPr="009B4C92">
        <w:t xml:space="preserve"> (the </w:t>
      </w:r>
      <w:r w:rsidR="009B4C92" w:rsidRPr="009B4C92">
        <w:rPr>
          <w:b/>
          <w:i/>
        </w:rPr>
        <w:t>Act</w:t>
      </w:r>
      <w:r w:rsidR="009B4C92" w:rsidRPr="009B4C92">
        <w:t>)</w:t>
      </w:r>
      <w:r w:rsidRPr="009B4C92">
        <w:rPr>
          <w:spacing w:val="-1"/>
        </w:rPr>
        <w:t xml:space="preserve">. </w:t>
      </w:r>
    </w:p>
    <w:p w14:paraId="14BA4026" w14:textId="352196C8" w:rsidR="005B0E3A" w:rsidRDefault="005B0E3A" w:rsidP="005B0E3A">
      <w:pPr>
        <w:pStyle w:val="BodyText"/>
        <w:spacing w:line="261" w:lineRule="auto"/>
      </w:pPr>
      <w:r w:rsidRPr="009B4C92">
        <w:t>S</w:t>
      </w:r>
      <w:r w:rsidR="009B4C92">
        <w:t>ubs</w:t>
      </w:r>
      <w:r w:rsidRPr="009B4C92">
        <w:t xml:space="preserve">ection </w:t>
      </w:r>
      <w:r w:rsidR="009B4C92">
        <w:rPr>
          <w:spacing w:val="-1"/>
        </w:rPr>
        <w:t>601QA(1)</w:t>
      </w:r>
      <w:r w:rsidRPr="009B4C92">
        <w:rPr>
          <w:spacing w:val="-1"/>
        </w:rPr>
        <w:t xml:space="preserve"> </w:t>
      </w:r>
      <w:r w:rsidRPr="009B4C92">
        <w:t>provides that ASIC may</w:t>
      </w:r>
      <w:r w:rsidRPr="009B4C92">
        <w:rPr>
          <w:spacing w:val="-1"/>
        </w:rPr>
        <w:t xml:space="preserve"> </w:t>
      </w:r>
      <w:r w:rsidR="009B4C92">
        <w:t>exempt a person from a provision of Chapter 5C of the Act (s601QA(1)(a)) or declare that Chapter 5C of the Act applies to a person as if specified provisions were omitted, modified or varied as specified in the declaration</w:t>
      </w:r>
      <w:r w:rsidR="004D127F">
        <w:t xml:space="preserve"> (s601QA(1)(b))</w:t>
      </w:r>
      <w:r w:rsidRPr="009B4C92">
        <w:t>.</w:t>
      </w:r>
    </w:p>
    <w:p w14:paraId="083EE265" w14:textId="10D1E008" w:rsidR="002C3B8C" w:rsidRDefault="002C3B8C" w:rsidP="003D0892">
      <w:pPr>
        <w:pStyle w:val="BodyText"/>
        <w:spacing w:line="276" w:lineRule="auto"/>
      </w:pPr>
      <w:r>
        <w:rPr>
          <w:color w:val="000000"/>
        </w:rPr>
        <w:t>Subsection 741(1) of the Act provides that ASIC may exempt a person from a provision of Chapter 6D; or declare that Chapter 6D applies to a person as if specified provisions were omitted, modified or varied.</w:t>
      </w:r>
    </w:p>
    <w:p w14:paraId="1B451649" w14:textId="3D46E00C" w:rsidR="00A90C8E" w:rsidRDefault="00A90C8E" w:rsidP="00A90C8E">
      <w:pPr>
        <w:pStyle w:val="BodyText"/>
        <w:spacing w:line="261" w:lineRule="auto"/>
      </w:pPr>
      <w:r>
        <w:t>Subsection 926A(2) provides that ASIC may exempt a person from a provision of Part 7.6 (other than Divisions 4 and 8) of the Act (s</w:t>
      </w:r>
      <w:r w:rsidR="002C3B8C">
        <w:t xml:space="preserve"> </w:t>
      </w:r>
      <w:r>
        <w:t>926A(2)(a)) or declare that Part 7.6 (other than Divisions 4 and 8) applies to a person as if specified provisions were omitted, modified or varied as specified in the declaration (s</w:t>
      </w:r>
      <w:r w:rsidR="002C3B8C">
        <w:t xml:space="preserve"> </w:t>
      </w:r>
      <w:r>
        <w:t>926A(2)(c)).</w:t>
      </w:r>
    </w:p>
    <w:p w14:paraId="76C3AD98" w14:textId="5B3646B0" w:rsidR="002C3B8C" w:rsidRDefault="002C3B8C" w:rsidP="003D0892">
      <w:pPr>
        <w:pStyle w:val="BodyText"/>
        <w:spacing w:line="276" w:lineRule="auto"/>
      </w:pPr>
      <w:r>
        <w:rPr>
          <w:color w:val="000000"/>
        </w:rPr>
        <w:t>Subsection 951B(1) of the Act provides that ASIC may exempt a person or a financial product or class of persons or financial products from all or specified provisions of Part 7.7 of the Act</w:t>
      </w:r>
      <w:r>
        <w:t xml:space="preserve">; or </w:t>
      </w:r>
      <w:r>
        <w:rPr>
          <w:color w:val="000000"/>
        </w:rPr>
        <w:t>declare that Part 7.7 of the Act applies in relation to a person or a financial product or class of persons or financial products as if specified provisions were omitted, modified or varied.</w:t>
      </w:r>
    </w:p>
    <w:p w14:paraId="4474B57A" w14:textId="590678D8" w:rsidR="00A90C8E" w:rsidRDefault="00A90C8E" w:rsidP="00A90C8E">
      <w:pPr>
        <w:pStyle w:val="BodyText"/>
        <w:spacing w:line="261" w:lineRule="auto"/>
      </w:pPr>
      <w:r>
        <w:t>Subsection 992B(1) provides that ASIC may exempt a person from a provision of Part 7.8 of the Act (s</w:t>
      </w:r>
      <w:r w:rsidR="002C3B8C">
        <w:t xml:space="preserve"> </w:t>
      </w:r>
      <w:r>
        <w:t>992B(1)(a)) or declare that Part 7.8 of the Act applies to a person as if specified provisions were omitted, modified or varied as specified in the declaration (s</w:t>
      </w:r>
      <w:r w:rsidR="002C3B8C">
        <w:t xml:space="preserve"> </w:t>
      </w:r>
      <w:r>
        <w:t>992B(1)(c)).</w:t>
      </w:r>
    </w:p>
    <w:p w14:paraId="20EC173E" w14:textId="444E5C38" w:rsidR="002C3B8C" w:rsidRDefault="00A90C8E" w:rsidP="00A90C8E">
      <w:pPr>
        <w:pStyle w:val="BodyText"/>
        <w:spacing w:line="261" w:lineRule="auto"/>
      </w:pPr>
      <w:r>
        <w:lastRenderedPageBreak/>
        <w:t>Subsection 1020F(1) provides that ASIC may exempt a person from a provision of Part 7.9 of the Act (s</w:t>
      </w:r>
      <w:r w:rsidR="002C3B8C">
        <w:t xml:space="preserve"> </w:t>
      </w:r>
      <w:r>
        <w:t>1020F(1)(a)) or declare that Part 7.9 of the Act applies to a person as if specified provisions were omitted, modified or varied as specified in the declaration (s</w:t>
      </w:r>
      <w:r w:rsidR="002C3B8C">
        <w:t xml:space="preserve"> </w:t>
      </w:r>
      <w:r>
        <w:t>1020F(1)(c)).</w:t>
      </w:r>
    </w:p>
    <w:p w14:paraId="14BA4027" w14:textId="77777777" w:rsidR="00766211" w:rsidRDefault="00766211" w:rsidP="00766211">
      <w:pPr>
        <w:pStyle w:val="BodyText"/>
        <w:spacing w:before="0" w:line="240" w:lineRule="auto"/>
        <w:jc w:val="both"/>
      </w:pPr>
    </w:p>
    <w:p w14:paraId="63C0310F" w14:textId="2B68B4F0" w:rsidR="00710E2F" w:rsidRPr="00A534A3" w:rsidRDefault="00496ED4" w:rsidP="00A534A3">
      <w:pPr>
        <w:pStyle w:val="BodyText"/>
        <w:spacing w:before="0" w:line="240" w:lineRule="auto"/>
        <w:jc w:val="both"/>
        <w:rPr>
          <w:szCs w:val="24"/>
        </w:rPr>
      </w:pPr>
      <w:r>
        <w:rPr>
          <w:szCs w:val="24"/>
        </w:rPr>
        <w:t>The</w:t>
      </w:r>
      <w:r w:rsidR="00766211" w:rsidRPr="007A6884">
        <w:rPr>
          <w:szCs w:val="24"/>
        </w:rPr>
        <w:t xml:space="preserve"> </w:t>
      </w:r>
      <w:r w:rsidR="00A534A3">
        <w:rPr>
          <w:szCs w:val="24"/>
        </w:rPr>
        <w:t xml:space="preserve">Amending </w:t>
      </w:r>
      <w:r>
        <w:rPr>
          <w:szCs w:val="24"/>
        </w:rPr>
        <w:t>I</w:t>
      </w:r>
      <w:r w:rsidR="00766211" w:rsidRPr="007A6884">
        <w:rPr>
          <w:szCs w:val="24"/>
        </w:rPr>
        <w:t xml:space="preserve">nstrument </w:t>
      </w:r>
      <w:r w:rsidR="00A534A3">
        <w:rPr>
          <w:szCs w:val="24"/>
        </w:rPr>
        <w:t xml:space="preserve">makes minor changes to the </w:t>
      </w:r>
      <w:r w:rsidR="00A534A3" w:rsidRPr="003D0892">
        <w:rPr>
          <w:i/>
          <w:szCs w:val="24"/>
        </w:rPr>
        <w:t>ASIC Corporations (Horse Schemes) Instrument 2016/790</w:t>
      </w:r>
      <w:r w:rsidR="00A534A3">
        <w:rPr>
          <w:szCs w:val="24"/>
        </w:rPr>
        <w:t xml:space="preserve"> (the </w:t>
      </w:r>
      <w:r w:rsidR="00A534A3">
        <w:rPr>
          <w:b/>
          <w:szCs w:val="24"/>
        </w:rPr>
        <w:t>Principal Instrument</w:t>
      </w:r>
      <w:r w:rsidR="00A534A3">
        <w:rPr>
          <w:szCs w:val="24"/>
        </w:rPr>
        <w:t>).</w:t>
      </w:r>
      <w:r w:rsidR="002C3B8C">
        <w:rPr>
          <w:szCs w:val="24"/>
        </w:rPr>
        <w:t xml:space="preserve"> The Amending Instrument also recitifies a typographical error in </w:t>
      </w:r>
      <w:r w:rsidR="002C3B8C" w:rsidRPr="003D0892">
        <w:rPr>
          <w:i/>
          <w:szCs w:val="24"/>
        </w:rPr>
        <w:t>ASIC Corporations (Managed Discretionary Account Services) Instrument 2016/968</w:t>
      </w:r>
      <w:r w:rsidR="002C3B8C">
        <w:rPr>
          <w:szCs w:val="24"/>
        </w:rPr>
        <w:t xml:space="preserve"> (the </w:t>
      </w:r>
      <w:r w:rsidR="002C3B8C">
        <w:rPr>
          <w:b/>
          <w:szCs w:val="24"/>
        </w:rPr>
        <w:t>MDA Instrument</w:t>
      </w:r>
      <w:r w:rsidR="002C3B8C">
        <w:rPr>
          <w:szCs w:val="24"/>
        </w:rPr>
        <w:t>)</w:t>
      </w:r>
    </w:p>
    <w:p w14:paraId="14BA4029" w14:textId="77777777" w:rsidR="00766211" w:rsidRPr="002C3B8C" w:rsidRDefault="00766211" w:rsidP="00766211">
      <w:pPr>
        <w:pStyle w:val="BodyText"/>
        <w:spacing w:before="0" w:line="240" w:lineRule="auto"/>
        <w:jc w:val="both"/>
        <w:rPr>
          <w:szCs w:val="24"/>
        </w:rPr>
      </w:pPr>
    </w:p>
    <w:p w14:paraId="14BA402B" w14:textId="665D68EE" w:rsidR="005B0E3A" w:rsidRPr="003D0892" w:rsidRDefault="00766211" w:rsidP="0047403F">
      <w:pPr>
        <w:pStyle w:val="BodyText"/>
        <w:spacing w:before="0" w:line="240" w:lineRule="auto"/>
        <w:jc w:val="both"/>
        <w:rPr>
          <w:szCs w:val="24"/>
        </w:rPr>
      </w:pPr>
      <w:r w:rsidRPr="002C3B8C">
        <w:rPr>
          <w:szCs w:val="24"/>
        </w:rPr>
        <w:t xml:space="preserve">The </w:t>
      </w:r>
      <w:r w:rsidR="00EC2C4B" w:rsidRPr="002C3B8C">
        <w:rPr>
          <w:szCs w:val="24"/>
        </w:rPr>
        <w:t xml:space="preserve">Amending </w:t>
      </w:r>
      <w:r w:rsidR="004C5091" w:rsidRPr="002C3B8C">
        <w:rPr>
          <w:szCs w:val="24"/>
        </w:rPr>
        <w:t>I</w:t>
      </w:r>
      <w:r w:rsidR="004D127F" w:rsidRPr="002C3B8C">
        <w:rPr>
          <w:szCs w:val="24"/>
        </w:rPr>
        <w:t>nstrument</w:t>
      </w:r>
      <w:r w:rsidRPr="002C3B8C">
        <w:rPr>
          <w:szCs w:val="24"/>
        </w:rPr>
        <w:t xml:space="preserve"> </w:t>
      </w:r>
      <w:r w:rsidR="0002265C" w:rsidRPr="002C3B8C">
        <w:rPr>
          <w:szCs w:val="24"/>
        </w:rPr>
        <w:t>will take effect on</w:t>
      </w:r>
      <w:r w:rsidRPr="003D0892">
        <w:rPr>
          <w:szCs w:val="24"/>
        </w:rPr>
        <w:t xml:space="preserve"> the day after it was registered on the Federal Register of </w:t>
      </w:r>
      <w:r w:rsidR="007A6884" w:rsidRPr="003D0892">
        <w:rPr>
          <w:szCs w:val="24"/>
        </w:rPr>
        <w:t>Legislation</w:t>
      </w:r>
      <w:r w:rsidRPr="003D0892">
        <w:rPr>
          <w:szCs w:val="24"/>
        </w:rPr>
        <w:t>.</w:t>
      </w:r>
    </w:p>
    <w:p w14:paraId="3256FA78" w14:textId="77777777" w:rsidR="0047403F" w:rsidRPr="0047403F" w:rsidRDefault="0047403F" w:rsidP="0047403F">
      <w:pPr>
        <w:pStyle w:val="BodyText"/>
        <w:spacing w:before="0" w:line="240" w:lineRule="auto"/>
        <w:jc w:val="both"/>
        <w:rPr>
          <w:sz w:val="22"/>
        </w:rPr>
      </w:pPr>
    </w:p>
    <w:p w14:paraId="14BA402D" w14:textId="4FBCC8F7" w:rsidR="005B0E3A" w:rsidRDefault="005B0E3A" w:rsidP="007341BF">
      <w:pPr>
        <w:widowControl w:val="0"/>
        <w:numPr>
          <w:ilvl w:val="0"/>
          <w:numId w:val="7"/>
        </w:numPr>
        <w:tabs>
          <w:tab w:val="left" w:pos="1592"/>
        </w:tabs>
        <w:spacing w:before="145" w:after="0"/>
        <w:ind w:left="0" w:firstLine="0"/>
        <w:rPr>
          <w:rFonts w:eastAsia="Arial"/>
          <w:sz w:val="24"/>
          <w:szCs w:val="24"/>
        </w:rPr>
      </w:pPr>
      <w:bookmarkStart w:id="1" w:name="1._Background"/>
      <w:bookmarkEnd w:id="1"/>
      <w:r w:rsidRPr="003905A0">
        <w:rPr>
          <w:b/>
          <w:spacing w:val="-1"/>
          <w:sz w:val="24"/>
        </w:rPr>
        <w:t>Background</w:t>
      </w:r>
    </w:p>
    <w:p w14:paraId="03DE082B" w14:textId="77777777" w:rsidR="00A534A3" w:rsidRDefault="00A534A3" w:rsidP="00540C4A">
      <w:pPr>
        <w:spacing w:after="0"/>
        <w:rPr>
          <w:rFonts w:eastAsia="Arial"/>
          <w:sz w:val="24"/>
          <w:szCs w:val="24"/>
        </w:rPr>
      </w:pPr>
    </w:p>
    <w:p w14:paraId="28537ED1" w14:textId="640271AB" w:rsidR="00A534A3" w:rsidRDefault="00A534A3" w:rsidP="00540C4A">
      <w:pPr>
        <w:spacing w:after="0"/>
        <w:rPr>
          <w:sz w:val="24"/>
          <w:szCs w:val="24"/>
        </w:rPr>
      </w:pPr>
      <w:r>
        <w:rPr>
          <w:sz w:val="24"/>
          <w:szCs w:val="24"/>
        </w:rPr>
        <w:t>On 25 August 2016, ASIC made the Principal Instrument. The Principal Instrument was registered on the Federal Register of Legislation on 26 August</w:t>
      </w:r>
      <w:r w:rsidR="001C19AB">
        <w:rPr>
          <w:sz w:val="24"/>
          <w:szCs w:val="24"/>
        </w:rPr>
        <w:t xml:space="preserve"> 2016</w:t>
      </w:r>
      <w:r>
        <w:rPr>
          <w:sz w:val="24"/>
          <w:szCs w:val="24"/>
        </w:rPr>
        <w:t>.</w:t>
      </w:r>
    </w:p>
    <w:p w14:paraId="4CCF872F" w14:textId="77777777" w:rsidR="001C19AB" w:rsidRDefault="001C19AB" w:rsidP="00540C4A">
      <w:pPr>
        <w:spacing w:after="0"/>
        <w:rPr>
          <w:sz w:val="24"/>
          <w:szCs w:val="24"/>
        </w:rPr>
      </w:pPr>
    </w:p>
    <w:p w14:paraId="5DF14ED9" w14:textId="411F8E52" w:rsidR="007F712F" w:rsidRDefault="007F712F" w:rsidP="007F712F">
      <w:pPr>
        <w:pStyle w:val="Default"/>
        <w:rPr>
          <w:iCs/>
        </w:rPr>
      </w:pPr>
      <w:r>
        <w:t>The Princi</w:t>
      </w:r>
      <w:r w:rsidR="001C19AB" w:rsidRPr="007F712F">
        <w:t xml:space="preserve">pal Instrument </w:t>
      </w:r>
      <w:r w:rsidRPr="007F712F">
        <w:t xml:space="preserve">provides relief to some horse racing syndicates and horse breeding </w:t>
      </w:r>
      <w:r w:rsidR="002C3B8C">
        <w:t xml:space="preserve">managed investment </w:t>
      </w:r>
      <w:r w:rsidRPr="007F712F">
        <w:t xml:space="preserve">schemes from the requirement under section 601ED of the Act to register a managed investment scheme. The Principal Instrument continued the relief that was </w:t>
      </w:r>
      <w:r w:rsidR="002C3B8C">
        <w:t>previously provided</w:t>
      </w:r>
      <w:r w:rsidRPr="007F712F">
        <w:t xml:space="preserve"> under three ASIC Class Orders and made some non-fundamental changes to the terms of the relief. The three ASIC Class Orders were Class Order [CO 02/319]: </w:t>
      </w:r>
      <w:r w:rsidRPr="007F712F">
        <w:rPr>
          <w:i/>
          <w:iCs/>
        </w:rPr>
        <w:t>Horse racing syndicates</w:t>
      </w:r>
      <w:r w:rsidRPr="007F712F">
        <w:rPr>
          <w:iCs/>
        </w:rPr>
        <w:t xml:space="preserve">, </w:t>
      </w:r>
      <w:r w:rsidRPr="007F712F">
        <w:t xml:space="preserve">Class Order [CO 02/172] – </w:t>
      </w:r>
      <w:r w:rsidRPr="007F712F">
        <w:rPr>
          <w:i/>
          <w:iCs/>
        </w:rPr>
        <w:t xml:space="preserve">Horse breeding schemes: private broodmare syndication </w:t>
      </w:r>
      <w:r w:rsidRPr="007F712F">
        <w:rPr>
          <w:iCs/>
        </w:rPr>
        <w:t xml:space="preserve">and </w:t>
      </w:r>
      <w:r w:rsidRPr="007F712F">
        <w:t xml:space="preserve">Class Order [CO 02/178] – </w:t>
      </w:r>
      <w:r w:rsidRPr="007F712F">
        <w:rPr>
          <w:i/>
          <w:iCs/>
        </w:rPr>
        <w:t>Horse breeding schemes: private stallion syndication</w:t>
      </w:r>
      <w:r w:rsidRPr="007F712F">
        <w:rPr>
          <w:iCs/>
        </w:rPr>
        <w:t>.</w:t>
      </w:r>
    </w:p>
    <w:p w14:paraId="01C92223" w14:textId="77777777" w:rsidR="007F712F" w:rsidRDefault="007F712F" w:rsidP="007F712F">
      <w:pPr>
        <w:pStyle w:val="Default"/>
        <w:rPr>
          <w:iCs/>
        </w:rPr>
      </w:pPr>
    </w:p>
    <w:p w14:paraId="4E5D8D5C" w14:textId="50540191" w:rsidR="00747EE7" w:rsidRPr="00747EE7" w:rsidRDefault="007F712F" w:rsidP="00747EE7">
      <w:pPr>
        <w:pStyle w:val="Default"/>
        <w:rPr>
          <w:iCs/>
        </w:rPr>
      </w:pPr>
      <w:r w:rsidRPr="00747EE7">
        <w:rPr>
          <w:iCs/>
        </w:rPr>
        <w:t>After the Principal Instrument was made, ASIC received feedback that expressed concerns about a provision of the Instrument</w:t>
      </w:r>
      <w:r w:rsidR="00201AE2">
        <w:rPr>
          <w:iCs/>
        </w:rPr>
        <w:t>, which was not included in the previous Class Order that dealt with horse racing syndicates, [CO 02/319]</w:t>
      </w:r>
      <w:r w:rsidRPr="00747EE7">
        <w:rPr>
          <w:iCs/>
        </w:rPr>
        <w:t>. The concerns related to s</w:t>
      </w:r>
      <w:r w:rsidR="002C3B8C">
        <w:rPr>
          <w:iCs/>
        </w:rPr>
        <w:t xml:space="preserve"> </w:t>
      </w:r>
      <w:r w:rsidRPr="00747EE7">
        <w:rPr>
          <w:iCs/>
        </w:rPr>
        <w:t>5(3)(i) of the Principal Instrument, which provides that the Product Disclosure Statement (</w:t>
      </w:r>
      <w:r w:rsidRPr="00747EE7">
        <w:rPr>
          <w:b/>
          <w:iCs/>
        </w:rPr>
        <w:t>PDS</w:t>
      </w:r>
      <w:r w:rsidRPr="00747EE7">
        <w:rPr>
          <w:iCs/>
        </w:rPr>
        <w:t xml:space="preserve">) for a horse racing syndicate </w:t>
      </w:r>
      <w:r w:rsidR="00747EE7" w:rsidRPr="00747EE7">
        <w:rPr>
          <w:iCs/>
        </w:rPr>
        <w:t>must include:</w:t>
      </w:r>
    </w:p>
    <w:p w14:paraId="34EFD797" w14:textId="77777777" w:rsidR="00747EE7" w:rsidRPr="00747EE7" w:rsidRDefault="00747EE7" w:rsidP="00747EE7">
      <w:pPr>
        <w:pStyle w:val="Default"/>
        <w:rPr>
          <w:iCs/>
        </w:rPr>
      </w:pPr>
    </w:p>
    <w:p w14:paraId="71C220EF" w14:textId="702E7CAA" w:rsidR="007F712F" w:rsidRPr="00747EE7" w:rsidRDefault="00747EE7" w:rsidP="00747EE7">
      <w:pPr>
        <w:pStyle w:val="Default"/>
        <w:ind w:left="720" w:hanging="720"/>
        <w:rPr>
          <w:i/>
          <w:iCs/>
        </w:rPr>
      </w:pPr>
      <w:r w:rsidRPr="00747EE7">
        <w:rPr>
          <w:i/>
          <w:iCs/>
        </w:rPr>
        <w:t>(i)</w:t>
      </w:r>
      <w:r w:rsidRPr="00747EE7">
        <w:rPr>
          <w:i/>
          <w:iCs/>
        </w:rPr>
        <w:tab/>
      </w:r>
      <w:r w:rsidR="007F712F" w:rsidRPr="00747EE7">
        <w:rPr>
          <w:i/>
        </w:rPr>
        <w:t>for each horse to which the syndicate relates, the name and contact details of each owner of the horse’s sire and dam;</w:t>
      </w:r>
    </w:p>
    <w:p w14:paraId="0D02B877" w14:textId="77777777" w:rsidR="002552F5" w:rsidRDefault="006A1835" w:rsidP="002C15FC">
      <w:pPr>
        <w:autoSpaceDE w:val="0"/>
        <w:autoSpaceDN w:val="0"/>
        <w:adjustRightInd w:val="0"/>
        <w:spacing w:before="240" w:after="0"/>
        <w:rPr>
          <w:color w:val="000000"/>
          <w:sz w:val="24"/>
          <w:szCs w:val="24"/>
        </w:rPr>
      </w:pPr>
      <w:r>
        <w:rPr>
          <w:color w:val="000000"/>
          <w:sz w:val="24"/>
          <w:szCs w:val="24"/>
        </w:rPr>
        <w:t>The feedback was to the effect that requiring the name of the owners of a syndicate racehorse’s sire and dam, or the contact details of the owners, or both sets of information, would infringe the privacy of these owners. In addition, the names of the owners, their contact details, or both sets of information might be commercially sensitive. In practice, concerns about privacy, commercial sensitivity or both would tend to result in the information relating to the owners of the racehorse’s sire and dam to be withheld. In addition, regardless of concerns about privacy or commerci</w:t>
      </w:r>
      <w:r w:rsidR="00784AC8">
        <w:rPr>
          <w:color w:val="000000"/>
          <w:sz w:val="24"/>
          <w:szCs w:val="24"/>
        </w:rPr>
        <w:t>ally sensitive information, the information required by s</w:t>
      </w:r>
      <w:r w:rsidR="002C3B8C">
        <w:rPr>
          <w:color w:val="000000"/>
          <w:sz w:val="24"/>
          <w:szCs w:val="24"/>
        </w:rPr>
        <w:t xml:space="preserve"> </w:t>
      </w:r>
      <w:r w:rsidR="00784AC8">
        <w:rPr>
          <w:color w:val="000000"/>
          <w:sz w:val="24"/>
          <w:szCs w:val="24"/>
        </w:rPr>
        <w:t>5(3)(i) is sometimes unavailable to the promoter of a horse racing syndicate.</w:t>
      </w:r>
      <w:r w:rsidR="00E97805">
        <w:rPr>
          <w:color w:val="000000"/>
          <w:sz w:val="24"/>
          <w:szCs w:val="24"/>
        </w:rPr>
        <w:t xml:space="preserve"> </w:t>
      </w:r>
    </w:p>
    <w:p w14:paraId="156D2257" w14:textId="3C6B64AE" w:rsidR="007F712F" w:rsidRDefault="00E97805" w:rsidP="002C15FC">
      <w:pPr>
        <w:autoSpaceDE w:val="0"/>
        <w:autoSpaceDN w:val="0"/>
        <w:adjustRightInd w:val="0"/>
        <w:spacing w:before="240" w:after="0"/>
        <w:rPr>
          <w:color w:val="000000"/>
          <w:sz w:val="24"/>
          <w:szCs w:val="24"/>
        </w:rPr>
      </w:pPr>
      <w:r>
        <w:rPr>
          <w:color w:val="000000"/>
          <w:sz w:val="24"/>
          <w:szCs w:val="24"/>
        </w:rPr>
        <w:t xml:space="preserve">We are satisfied </w:t>
      </w:r>
      <w:r w:rsidR="00C005C0">
        <w:rPr>
          <w:color w:val="000000"/>
          <w:sz w:val="24"/>
          <w:szCs w:val="24"/>
        </w:rPr>
        <w:t>that these concerns are</w:t>
      </w:r>
      <w:r>
        <w:rPr>
          <w:color w:val="000000"/>
          <w:sz w:val="24"/>
          <w:szCs w:val="24"/>
        </w:rPr>
        <w:t xml:space="preserve"> well-founded and that the information value of the matters under s</w:t>
      </w:r>
      <w:r w:rsidR="002C3B8C">
        <w:rPr>
          <w:color w:val="000000"/>
          <w:sz w:val="24"/>
          <w:szCs w:val="24"/>
        </w:rPr>
        <w:t xml:space="preserve"> </w:t>
      </w:r>
      <w:r>
        <w:rPr>
          <w:color w:val="000000"/>
          <w:sz w:val="24"/>
          <w:szCs w:val="24"/>
        </w:rPr>
        <w:t xml:space="preserve">5(3)(i) is likely to be small. In relation to the breeding of a syndicate racehorse, the identity of the sire and dam of the racehorse tends to be </w:t>
      </w:r>
      <w:r>
        <w:rPr>
          <w:color w:val="000000"/>
          <w:sz w:val="24"/>
          <w:szCs w:val="24"/>
        </w:rPr>
        <w:lastRenderedPageBreak/>
        <w:t>informative, as distinct from the identity of the owners of the sire and dam and their contact details.</w:t>
      </w:r>
      <w:r w:rsidR="006A1835">
        <w:rPr>
          <w:color w:val="000000"/>
          <w:sz w:val="24"/>
          <w:szCs w:val="24"/>
        </w:rPr>
        <w:t xml:space="preserve"> </w:t>
      </w:r>
    </w:p>
    <w:p w14:paraId="7B616A81" w14:textId="6F25A635" w:rsidR="000B5AD3" w:rsidRPr="00C005C0" w:rsidRDefault="000B5AD3" w:rsidP="002C15FC">
      <w:pPr>
        <w:autoSpaceDE w:val="0"/>
        <w:autoSpaceDN w:val="0"/>
        <w:adjustRightInd w:val="0"/>
        <w:spacing w:before="240" w:after="0"/>
        <w:rPr>
          <w:color w:val="000000"/>
          <w:sz w:val="24"/>
          <w:szCs w:val="24"/>
        </w:rPr>
      </w:pPr>
      <w:r>
        <w:rPr>
          <w:color w:val="000000"/>
          <w:sz w:val="24"/>
          <w:szCs w:val="24"/>
        </w:rPr>
        <w:t>The MDA Instrument was made by ASIC on 29 September 2016 and registered on</w:t>
      </w:r>
      <w:r w:rsidRPr="000B5AD3">
        <w:rPr>
          <w:sz w:val="24"/>
          <w:szCs w:val="24"/>
        </w:rPr>
        <w:t xml:space="preserve"> </w:t>
      </w:r>
      <w:r>
        <w:rPr>
          <w:sz w:val="24"/>
          <w:szCs w:val="24"/>
        </w:rPr>
        <w:t>the Federal Register of Legislation on</w:t>
      </w:r>
      <w:r>
        <w:rPr>
          <w:color w:val="000000"/>
          <w:sz w:val="24"/>
          <w:szCs w:val="24"/>
        </w:rPr>
        <w:t xml:space="preserve"> 30 September 2016. After registration ASIC became aware of a minor typographical error in section 14 of the instrument. There was a reference to ‘section 14’ in subsection 14(1), which should have been a reference to ‘section 13’. This has been rectified by the Amending Instrument. </w:t>
      </w:r>
      <w:r w:rsidRPr="000B5AD3">
        <w:rPr>
          <w:color w:val="000000"/>
          <w:sz w:val="24"/>
          <w:szCs w:val="24"/>
        </w:rPr>
        <w:t>Our view is that the “slip rule” would appl</w:t>
      </w:r>
      <w:r w:rsidR="002552F5">
        <w:rPr>
          <w:color w:val="000000"/>
          <w:sz w:val="24"/>
          <w:szCs w:val="24"/>
        </w:rPr>
        <w:t>y</w:t>
      </w:r>
      <w:r w:rsidRPr="000B5AD3">
        <w:rPr>
          <w:color w:val="000000"/>
          <w:sz w:val="24"/>
          <w:szCs w:val="24"/>
        </w:rPr>
        <w:t xml:space="preserve"> to the original error and therefore the correction is merely correcting the text rather than the actual state of the law</w:t>
      </w:r>
      <w:r>
        <w:rPr>
          <w:color w:val="000000"/>
          <w:sz w:val="24"/>
          <w:szCs w:val="24"/>
        </w:rPr>
        <w:t>.</w:t>
      </w:r>
    </w:p>
    <w:p w14:paraId="2634E687" w14:textId="77777777" w:rsidR="00A534A3" w:rsidRPr="00A534A3" w:rsidRDefault="00A534A3" w:rsidP="002C15FC">
      <w:pPr>
        <w:spacing w:after="0"/>
        <w:rPr>
          <w:b/>
          <w:sz w:val="24"/>
          <w:szCs w:val="24"/>
        </w:rPr>
      </w:pPr>
    </w:p>
    <w:p w14:paraId="14BA4047" w14:textId="397103CB" w:rsidR="005B0E3A" w:rsidRPr="003905A0" w:rsidRDefault="005B0E3A" w:rsidP="002C15FC">
      <w:pPr>
        <w:pStyle w:val="Heading3"/>
        <w:keepNext w:val="0"/>
        <w:widowControl w:val="0"/>
        <w:numPr>
          <w:ilvl w:val="0"/>
          <w:numId w:val="7"/>
        </w:numPr>
        <w:tabs>
          <w:tab w:val="left" w:pos="1592"/>
        </w:tabs>
        <w:spacing w:after="0" w:line="240" w:lineRule="auto"/>
        <w:ind w:left="0" w:firstLine="0"/>
        <w:jc w:val="left"/>
        <w:rPr>
          <w:rFonts w:eastAsia="Arial"/>
          <w:b/>
          <w:bCs/>
          <w:sz w:val="24"/>
          <w:szCs w:val="24"/>
        </w:rPr>
      </w:pPr>
      <w:bookmarkStart w:id="2" w:name="2._Purpose_of_the_class_order_"/>
      <w:bookmarkEnd w:id="2"/>
      <w:r w:rsidRPr="003905A0">
        <w:rPr>
          <w:b/>
          <w:spacing w:val="-1"/>
          <w:sz w:val="24"/>
          <w:szCs w:val="24"/>
        </w:rPr>
        <w:t>Purpose</w:t>
      </w:r>
      <w:r w:rsidRPr="003905A0">
        <w:rPr>
          <w:b/>
          <w:sz w:val="24"/>
          <w:szCs w:val="24"/>
        </w:rPr>
        <w:t xml:space="preserve"> of </w:t>
      </w:r>
      <w:r w:rsidRPr="003905A0">
        <w:rPr>
          <w:b/>
          <w:spacing w:val="-1"/>
          <w:sz w:val="24"/>
          <w:szCs w:val="24"/>
        </w:rPr>
        <w:t>the</w:t>
      </w:r>
      <w:r w:rsidRPr="003905A0">
        <w:rPr>
          <w:b/>
          <w:sz w:val="24"/>
          <w:szCs w:val="24"/>
        </w:rPr>
        <w:t xml:space="preserve"> </w:t>
      </w:r>
      <w:r w:rsidR="004C5091">
        <w:rPr>
          <w:b/>
          <w:spacing w:val="-1"/>
          <w:sz w:val="24"/>
          <w:szCs w:val="24"/>
        </w:rPr>
        <w:t>I</w:t>
      </w:r>
      <w:r w:rsidR="004C5091" w:rsidRPr="003905A0">
        <w:rPr>
          <w:b/>
          <w:spacing w:val="-1"/>
          <w:sz w:val="24"/>
          <w:szCs w:val="24"/>
        </w:rPr>
        <w:t>nstrument</w:t>
      </w:r>
    </w:p>
    <w:p w14:paraId="14BA4048" w14:textId="77777777" w:rsidR="005B0E3A" w:rsidRDefault="005B0E3A" w:rsidP="002C15FC">
      <w:pPr>
        <w:spacing w:before="4"/>
      </w:pPr>
    </w:p>
    <w:p w14:paraId="0D3F712F" w14:textId="77777777" w:rsidR="00817FC4" w:rsidRDefault="00C005C0" w:rsidP="002C15FC">
      <w:pPr>
        <w:spacing w:before="4"/>
      </w:pPr>
      <w:r>
        <w:t>The purpose of the Amending Instrument is to</w:t>
      </w:r>
      <w:r w:rsidR="00817FC4">
        <w:t>:</w:t>
      </w:r>
      <w:r>
        <w:t xml:space="preserve"> </w:t>
      </w:r>
    </w:p>
    <w:p w14:paraId="1F08EF5D" w14:textId="77777777" w:rsidR="00817FC4" w:rsidRDefault="00C005C0" w:rsidP="003D0892">
      <w:pPr>
        <w:pStyle w:val="ListParagraph"/>
        <w:numPr>
          <w:ilvl w:val="0"/>
          <w:numId w:val="28"/>
        </w:numPr>
        <w:spacing w:before="4"/>
      </w:pPr>
      <w:r>
        <w:t>delete s5(3)(i) from the Principal Instrument</w:t>
      </w:r>
      <w:r w:rsidR="00817FC4">
        <w:t xml:space="preserve">; and </w:t>
      </w:r>
    </w:p>
    <w:p w14:paraId="530C4D6A" w14:textId="72A3C218" w:rsidR="00C005C0" w:rsidRDefault="00817FC4" w:rsidP="003D0892">
      <w:pPr>
        <w:pStyle w:val="ListParagraph"/>
        <w:numPr>
          <w:ilvl w:val="0"/>
          <w:numId w:val="28"/>
        </w:numPr>
        <w:spacing w:before="4"/>
      </w:pPr>
      <w:r>
        <w:t xml:space="preserve">correct the text in s 14(1) of the MDA Instrument. </w:t>
      </w:r>
    </w:p>
    <w:p w14:paraId="14BA4055" w14:textId="6338B126" w:rsidR="005B0E3A" w:rsidRPr="003905A0" w:rsidRDefault="005B0E3A" w:rsidP="002C15FC">
      <w:pPr>
        <w:pStyle w:val="Heading3"/>
        <w:keepNext w:val="0"/>
        <w:widowControl w:val="0"/>
        <w:numPr>
          <w:ilvl w:val="0"/>
          <w:numId w:val="7"/>
        </w:numPr>
        <w:tabs>
          <w:tab w:val="left" w:pos="1593"/>
        </w:tabs>
        <w:spacing w:after="0" w:line="240" w:lineRule="auto"/>
        <w:ind w:left="0" w:firstLine="0"/>
        <w:jc w:val="left"/>
        <w:rPr>
          <w:rFonts w:eastAsia="Arial"/>
          <w:b/>
          <w:bCs/>
          <w:sz w:val="24"/>
          <w:szCs w:val="24"/>
        </w:rPr>
      </w:pPr>
      <w:bookmarkStart w:id="3" w:name="3._Operation_of_the_class_order_"/>
      <w:bookmarkEnd w:id="3"/>
      <w:r w:rsidRPr="003905A0">
        <w:rPr>
          <w:b/>
          <w:spacing w:val="-1"/>
          <w:sz w:val="24"/>
          <w:szCs w:val="24"/>
        </w:rPr>
        <w:t>Operation</w:t>
      </w:r>
      <w:r w:rsidRPr="003905A0">
        <w:rPr>
          <w:b/>
          <w:sz w:val="24"/>
          <w:szCs w:val="24"/>
        </w:rPr>
        <w:t xml:space="preserve"> </w:t>
      </w:r>
      <w:r w:rsidRPr="003905A0">
        <w:rPr>
          <w:b/>
          <w:spacing w:val="-1"/>
          <w:sz w:val="24"/>
          <w:szCs w:val="24"/>
        </w:rPr>
        <w:t>of</w:t>
      </w:r>
      <w:r w:rsidRPr="003905A0">
        <w:rPr>
          <w:b/>
          <w:sz w:val="24"/>
          <w:szCs w:val="24"/>
        </w:rPr>
        <w:t xml:space="preserve"> </w:t>
      </w:r>
      <w:r w:rsidRPr="003905A0">
        <w:rPr>
          <w:b/>
          <w:spacing w:val="-1"/>
          <w:sz w:val="24"/>
          <w:szCs w:val="24"/>
        </w:rPr>
        <w:t>the</w:t>
      </w:r>
      <w:r w:rsidRPr="003905A0">
        <w:rPr>
          <w:b/>
          <w:sz w:val="24"/>
          <w:szCs w:val="24"/>
        </w:rPr>
        <w:t xml:space="preserve"> </w:t>
      </w:r>
      <w:r w:rsidR="00820903">
        <w:rPr>
          <w:b/>
          <w:sz w:val="24"/>
          <w:szCs w:val="24"/>
        </w:rPr>
        <w:t>I</w:t>
      </w:r>
      <w:r w:rsidRPr="003905A0">
        <w:rPr>
          <w:b/>
          <w:sz w:val="24"/>
          <w:szCs w:val="24"/>
        </w:rPr>
        <w:t>nstrument</w:t>
      </w:r>
    </w:p>
    <w:p w14:paraId="0576558B" w14:textId="77777777" w:rsidR="002C15FC" w:rsidRDefault="002C15FC" w:rsidP="002C15FC">
      <w:pPr>
        <w:pStyle w:val="BodyText"/>
        <w:spacing w:before="0" w:line="240" w:lineRule="auto"/>
      </w:pPr>
    </w:p>
    <w:p w14:paraId="1EEA4A7F" w14:textId="0F59F88D" w:rsidR="002C15FC" w:rsidRDefault="00C005C0" w:rsidP="002C15FC">
      <w:pPr>
        <w:pStyle w:val="BodyText"/>
        <w:spacing w:before="0" w:line="240" w:lineRule="auto"/>
      </w:pPr>
      <w:r>
        <w:t>The Amending Instrument</w:t>
      </w:r>
      <w:r w:rsidR="00817FC4">
        <w:t>, in Schedule 1 at Item 1,</w:t>
      </w:r>
      <w:r>
        <w:t xml:space="preserve"> </w:t>
      </w:r>
      <w:r w:rsidR="00817FC4">
        <w:t xml:space="preserve">repeals </w:t>
      </w:r>
      <w:r>
        <w:t>s5(3)(i) from the Principal Instrument. The sequencing of the remaining paragraphs of s5(3) of the Principal Instrument is unaffected.</w:t>
      </w:r>
    </w:p>
    <w:p w14:paraId="211A352A" w14:textId="77777777" w:rsidR="002C15FC" w:rsidRDefault="002C15FC" w:rsidP="002C15FC">
      <w:pPr>
        <w:pStyle w:val="BodyText"/>
        <w:spacing w:before="0" w:line="240" w:lineRule="auto"/>
      </w:pPr>
    </w:p>
    <w:p w14:paraId="5B63410F" w14:textId="1D38A4E2" w:rsidR="00DC48F2" w:rsidRDefault="00C005C0" w:rsidP="002C15FC">
      <w:pPr>
        <w:pStyle w:val="BodyText"/>
        <w:spacing w:before="0" w:line="240" w:lineRule="auto"/>
      </w:pPr>
      <w:r>
        <w:t>The Amending Instrument does not affect any other aspect of the Principal Instrument.</w:t>
      </w:r>
    </w:p>
    <w:p w14:paraId="65D5AB62" w14:textId="77777777" w:rsidR="002C15FC" w:rsidRDefault="002C15FC" w:rsidP="002C15FC">
      <w:pPr>
        <w:pStyle w:val="BodyText"/>
        <w:spacing w:before="0" w:line="240" w:lineRule="auto"/>
      </w:pPr>
    </w:p>
    <w:p w14:paraId="511CB601" w14:textId="09A0E702" w:rsidR="002C15FC" w:rsidRDefault="002C15FC" w:rsidP="002C15FC">
      <w:pPr>
        <w:pStyle w:val="BodyText"/>
        <w:spacing w:before="0" w:line="240" w:lineRule="auto"/>
      </w:pPr>
      <w:r>
        <w:t xml:space="preserve">The </w:t>
      </w:r>
      <w:r w:rsidR="00C347A6">
        <w:t xml:space="preserve">repeal </w:t>
      </w:r>
      <w:r>
        <w:t>of the information required by s5(3)(i) of the Principal Instrument is deregulatory in nature because it reduces the amount of information that must be included in a PDS for a horse racing syndicate that is covered by the relief under the Principal Instrument. The change made enhances privacy because the change protects the privacy of the owners of the sire and dam of a syndicate racehorse.</w:t>
      </w:r>
    </w:p>
    <w:p w14:paraId="79EFCBDE" w14:textId="77777777" w:rsidR="00817FC4" w:rsidRDefault="00817FC4" w:rsidP="002C15FC">
      <w:pPr>
        <w:pStyle w:val="BodyText"/>
        <w:spacing w:before="0" w:line="240" w:lineRule="auto"/>
      </w:pPr>
    </w:p>
    <w:p w14:paraId="55A16AE1" w14:textId="47FA5BC7" w:rsidR="00817FC4" w:rsidRDefault="00817FC4" w:rsidP="002C15FC">
      <w:pPr>
        <w:pStyle w:val="BodyText"/>
        <w:spacing w:before="0" w:line="240" w:lineRule="auto"/>
      </w:pPr>
      <w:r>
        <w:t>The Amending Instrument, in Schedule 1 at Item 2, modifies s 14(1) of the MDA Instrument to omit the reference to section 14 and replace it with a reference to section 13.</w:t>
      </w:r>
    </w:p>
    <w:p w14:paraId="2D81CBC8" w14:textId="77777777" w:rsidR="002C15FC" w:rsidRDefault="002C15FC" w:rsidP="002C15FC">
      <w:pPr>
        <w:pStyle w:val="BodyText"/>
        <w:spacing w:before="199" w:line="240" w:lineRule="auto"/>
      </w:pPr>
    </w:p>
    <w:p w14:paraId="14BA4079" w14:textId="71A794F7" w:rsidR="005B0E3A" w:rsidRDefault="005B0E3A" w:rsidP="002C15FC">
      <w:pPr>
        <w:pStyle w:val="Heading3"/>
        <w:keepNext w:val="0"/>
        <w:widowControl w:val="0"/>
        <w:numPr>
          <w:ilvl w:val="0"/>
          <w:numId w:val="7"/>
        </w:numPr>
        <w:tabs>
          <w:tab w:val="left" w:pos="1593"/>
        </w:tabs>
        <w:spacing w:after="0" w:line="240" w:lineRule="auto"/>
        <w:ind w:left="0" w:firstLine="0"/>
        <w:jc w:val="left"/>
        <w:rPr>
          <w:b/>
          <w:spacing w:val="-1"/>
          <w:sz w:val="24"/>
          <w:szCs w:val="24"/>
        </w:rPr>
      </w:pPr>
      <w:bookmarkStart w:id="4" w:name="4._Documents_incorporated_by_reference"/>
      <w:bookmarkEnd w:id="4"/>
      <w:r w:rsidRPr="003905A0">
        <w:rPr>
          <w:b/>
          <w:spacing w:val="-1"/>
          <w:sz w:val="24"/>
          <w:szCs w:val="24"/>
        </w:rPr>
        <w:t>Documents</w:t>
      </w:r>
      <w:r w:rsidRPr="003905A0">
        <w:rPr>
          <w:b/>
          <w:sz w:val="24"/>
          <w:szCs w:val="24"/>
        </w:rPr>
        <w:t xml:space="preserve"> </w:t>
      </w:r>
      <w:r w:rsidRPr="003905A0">
        <w:rPr>
          <w:b/>
          <w:spacing w:val="-1"/>
          <w:sz w:val="24"/>
          <w:szCs w:val="24"/>
        </w:rPr>
        <w:t>incorporated</w:t>
      </w:r>
      <w:r w:rsidRPr="003905A0">
        <w:rPr>
          <w:b/>
          <w:sz w:val="24"/>
          <w:szCs w:val="24"/>
        </w:rPr>
        <w:t xml:space="preserve"> by</w:t>
      </w:r>
      <w:r w:rsidRPr="003905A0">
        <w:rPr>
          <w:b/>
          <w:spacing w:val="-3"/>
          <w:sz w:val="24"/>
          <w:szCs w:val="24"/>
        </w:rPr>
        <w:t xml:space="preserve"> </w:t>
      </w:r>
      <w:r w:rsidRPr="003905A0">
        <w:rPr>
          <w:b/>
          <w:spacing w:val="-1"/>
          <w:sz w:val="24"/>
          <w:szCs w:val="24"/>
        </w:rPr>
        <w:t>reference</w:t>
      </w:r>
    </w:p>
    <w:p w14:paraId="450AC709" w14:textId="77777777" w:rsidR="002C15FC" w:rsidRPr="002C15FC" w:rsidRDefault="002C15FC" w:rsidP="002C15FC"/>
    <w:p w14:paraId="14BA407A" w14:textId="2387A233" w:rsidR="003905A0" w:rsidRDefault="003905A0" w:rsidP="002C15FC">
      <w:pPr>
        <w:pStyle w:val="BodyText"/>
        <w:spacing w:before="0" w:line="240" w:lineRule="auto"/>
        <w:jc w:val="both"/>
      </w:pPr>
      <w:r>
        <w:t xml:space="preserve">The </w:t>
      </w:r>
      <w:r w:rsidR="002C15FC">
        <w:t xml:space="preserve">Amending </w:t>
      </w:r>
      <w:r w:rsidR="00DC48F2">
        <w:t>Instrument</w:t>
      </w:r>
      <w:r>
        <w:t xml:space="preserve"> does not incorporate any documents by reference.</w:t>
      </w:r>
    </w:p>
    <w:p w14:paraId="150A0336" w14:textId="77777777" w:rsidR="005B0E3A" w:rsidRDefault="005B0E3A" w:rsidP="005B0E3A">
      <w:pPr>
        <w:spacing w:line="240" w:lineRule="exact"/>
        <w:rPr>
          <w:sz w:val="24"/>
          <w:szCs w:val="24"/>
        </w:rPr>
      </w:pPr>
    </w:p>
    <w:p w14:paraId="14BA407C" w14:textId="77777777" w:rsidR="005B0E3A" w:rsidRPr="003905A0" w:rsidRDefault="005B0E3A" w:rsidP="005B0E3A">
      <w:pPr>
        <w:pStyle w:val="Heading3"/>
        <w:keepNext w:val="0"/>
        <w:widowControl w:val="0"/>
        <w:numPr>
          <w:ilvl w:val="0"/>
          <w:numId w:val="7"/>
        </w:numPr>
        <w:tabs>
          <w:tab w:val="left" w:pos="1593"/>
        </w:tabs>
        <w:spacing w:after="0" w:line="240" w:lineRule="auto"/>
        <w:ind w:left="0" w:firstLine="0"/>
        <w:jc w:val="left"/>
        <w:rPr>
          <w:rFonts w:eastAsia="Arial"/>
          <w:b/>
          <w:bCs/>
          <w:sz w:val="24"/>
          <w:szCs w:val="24"/>
        </w:rPr>
      </w:pPr>
      <w:bookmarkStart w:id="5" w:name="5._Consultation"/>
      <w:bookmarkEnd w:id="5"/>
      <w:r w:rsidRPr="003905A0">
        <w:rPr>
          <w:b/>
          <w:sz w:val="24"/>
          <w:szCs w:val="24"/>
        </w:rPr>
        <w:t>Consultation</w:t>
      </w:r>
    </w:p>
    <w:p w14:paraId="14BA407D" w14:textId="0F941CBB" w:rsidR="003905A0" w:rsidRDefault="002C15FC" w:rsidP="005B0E3A">
      <w:pPr>
        <w:pStyle w:val="Bodytextplain"/>
        <w:ind w:left="0"/>
        <w:rPr>
          <w:sz w:val="24"/>
          <w:szCs w:val="24"/>
        </w:rPr>
      </w:pPr>
      <w:r w:rsidRPr="002C15FC">
        <w:rPr>
          <w:sz w:val="24"/>
          <w:szCs w:val="24"/>
        </w:rPr>
        <w:t xml:space="preserve">In light of the minor nature </w:t>
      </w:r>
      <w:r>
        <w:rPr>
          <w:sz w:val="24"/>
          <w:szCs w:val="24"/>
        </w:rPr>
        <w:t xml:space="preserve">of the change made by the Amending Instrument, we have not consulted publicly about the </w:t>
      </w:r>
      <w:r w:rsidR="002552F5">
        <w:rPr>
          <w:sz w:val="24"/>
          <w:szCs w:val="24"/>
        </w:rPr>
        <w:t xml:space="preserve">repeal </w:t>
      </w:r>
      <w:r>
        <w:rPr>
          <w:sz w:val="24"/>
          <w:szCs w:val="24"/>
        </w:rPr>
        <w:t>of s5(3)(i) from the Principal Instrument</w:t>
      </w:r>
      <w:r w:rsidR="002552F5">
        <w:rPr>
          <w:sz w:val="24"/>
          <w:szCs w:val="24"/>
        </w:rPr>
        <w:t xml:space="preserve"> or the modification to s 14(1) of the MDA Instrument. </w:t>
      </w:r>
    </w:p>
    <w:p w14:paraId="2BEDE3B6" w14:textId="77777777" w:rsidR="002C15FC" w:rsidRDefault="002C15FC">
      <w:pPr>
        <w:spacing w:after="0"/>
      </w:pPr>
      <w:r>
        <w:br w:type="page"/>
      </w:r>
    </w:p>
    <w:p w14:paraId="14BA4081" w14:textId="49826F1F" w:rsidR="000076D6" w:rsidRDefault="000076D6">
      <w:r w:rsidRPr="00EB70A0">
        <w:rPr>
          <w:noProof/>
        </w:rPr>
        <w:lastRenderedPageBreak/>
        <mc:AlternateContent>
          <mc:Choice Requires="wps">
            <w:drawing>
              <wp:anchor distT="0" distB="0" distL="114300" distR="114300" simplePos="0" relativeHeight="251659776" behindDoc="0" locked="0" layoutInCell="1" allowOverlap="1" wp14:anchorId="14BA4082" wp14:editId="2DA540B0">
                <wp:simplePos x="0" y="0"/>
                <wp:positionH relativeFrom="column">
                  <wp:posOffset>20782</wp:posOffset>
                </wp:positionH>
                <wp:positionV relativeFrom="paragraph">
                  <wp:posOffset>486888</wp:posOffset>
                </wp:positionV>
                <wp:extent cx="5311140" cy="7243948"/>
                <wp:effectExtent l="38100" t="38100" r="41910" b="336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7243948"/>
                        </a:xfrm>
                        <a:prstGeom prst="rect">
                          <a:avLst/>
                        </a:prstGeom>
                        <a:solidFill>
                          <a:srgbClr val="FFFFFF"/>
                        </a:solidFill>
                        <a:ln w="76200" cmpd="tri">
                          <a:solidFill>
                            <a:srgbClr val="000000"/>
                          </a:solidFill>
                          <a:miter lim="800000"/>
                          <a:headEnd/>
                          <a:tailEnd/>
                        </a:ln>
                      </wps:spPr>
                      <wps:txbx>
                        <w:txbxContent>
                          <w:p w14:paraId="14BA40AA" w14:textId="77777777" w:rsidR="0016739A" w:rsidRPr="00834797" w:rsidRDefault="0016739A" w:rsidP="000076D6">
                            <w:pPr>
                              <w:spacing w:before="360" w:after="120"/>
                              <w:jc w:val="center"/>
                              <w:rPr>
                                <w:b/>
                              </w:rPr>
                            </w:pPr>
                            <w:r w:rsidRPr="00834797">
                              <w:rPr>
                                <w:b/>
                              </w:rPr>
                              <w:t>Statement of Compatibility with Human Rights</w:t>
                            </w:r>
                          </w:p>
                          <w:p w14:paraId="14BA40AB" w14:textId="77777777" w:rsidR="0016739A" w:rsidRPr="00247F54" w:rsidRDefault="0016739A" w:rsidP="000076D6">
                            <w:pPr>
                              <w:spacing w:before="120" w:after="120"/>
                              <w:jc w:val="center"/>
                            </w:pPr>
                            <w:r w:rsidRPr="00247F54">
                              <w:rPr>
                                <w:i/>
                              </w:rPr>
                              <w:t>Prepared in accordance with Part 3 of the Human Rights (Parliamentary Scrutiny) Act 2011</w:t>
                            </w:r>
                          </w:p>
                          <w:p w14:paraId="14BA40AC" w14:textId="77777777" w:rsidR="0016739A" w:rsidRPr="00247F54" w:rsidRDefault="0016739A" w:rsidP="000076D6">
                            <w:pPr>
                              <w:spacing w:before="120" w:after="120"/>
                              <w:jc w:val="center"/>
                            </w:pPr>
                          </w:p>
                          <w:p w14:paraId="14BA40AD" w14:textId="401EE3C3" w:rsidR="0016739A" w:rsidRPr="002552F5" w:rsidRDefault="0016739A" w:rsidP="000076D6">
                            <w:pPr>
                              <w:spacing w:before="120" w:after="120"/>
                              <w:jc w:val="center"/>
                              <w:rPr>
                                <w:b/>
                              </w:rPr>
                            </w:pPr>
                            <w:r w:rsidRPr="002552F5">
                              <w:rPr>
                                <w:b/>
                              </w:rPr>
                              <w:t>ASIC Corporations (</w:t>
                            </w:r>
                            <w:r w:rsidR="002C15FC" w:rsidRPr="002552F5">
                              <w:rPr>
                                <w:b/>
                              </w:rPr>
                              <w:t>Amendment</w:t>
                            </w:r>
                            <w:r w:rsidRPr="002552F5">
                              <w:rPr>
                                <w:b/>
                              </w:rPr>
                              <w:t>) Instrument 2016/</w:t>
                            </w:r>
                            <w:r w:rsidR="002C3B8C" w:rsidRPr="002552F5">
                              <w:rPr>
                                <w:b/>
                              </w:rPr>
                              <w:t>1173</w:t>
                            </w:r>
                          </w:p>
                          <w:p w14:paraId="14BA40AE" w14:textId="77777777" w:rsidR="0016739A" w:rsidRPr="003D0892" w:rsidRDefault="0016739A" w:rsidP="000076D6">
                            <w:pPr>
                              <w:spacing w:before="120" w:after="120"/>
                              <w:jc w:val="center"/>
                              <w:rPr>
                                <w:i/>
                              </w:rPr>
                            </w:pPr>
                          </w:p>
                          <w:p w14:paraId="14BA40AF" w14:textId="39BF17B9" w:rsidR="0016739A" w:rsidRPr="00247F54" w:rsidRDefault="0016739A" w:rsidP="000076D6">
                            <w:pPr>
                              <w:spacing w:before="120" w:after="120"/>
                              <w:jc w:val="center"/>
                            </w:pPr>
                            <w:r w:rsidRPr="003D0892">
                              <w:rPr>
                                <w:i/>
                              </w:rPr>
                              <w:t>ASIC Corporations (</w:t>
                            </w:r>
                            <w:r w:rsidR="002C15FC" w:rsidRPr="003D0892">
                              <w:rPr>
                                <w:i/>
                              </w:rPr>
                              <w:t>Amendment</w:t>
                            </w:r>
                            <w:r w:rsidRPr="003D0892">
                              <w:rPr>
                                <w:i/>
                              </w:rPr>
                              <w:t>) Instrument 2016/</w:t>
                            </w:r>
                            <w:r w:rsidR="002C3B8C" w:rsidRPr="003D0892">
                              <w:rPr>
                                <w:i/>
                              </w:rPr>
                              <w:t xml:space="preserve">1173 </w:t>
                            </w:r>
                            <w:r w:rsidR="003639A6">
                              <w:t xml:space="preserve">(the </w:t>
                            </w:r>
                            <w:r w:rsidR="003639A6" w:rsidRPr="003639A6">
                              <w:rPr>
                                <w:b/>
                              </w:rPr>
                              <w:t>Instrument</w:t>
                            </w:r>
                            <w:r w:rsidR="003639A6">
                              <w:t xml:space="preserve">) </w:t>
                            </w:r>
                            <w:r w:rsidRPr="003639A6">
                              <w:t>is</w:t>
                            </w:r>
                            <w:r w:rsidRPr="00247F54">
                              <w:t xml:space="preserve"> compatible with the human rights and freedoms recognised or declared in the international instruments listed in section 3 of the </w:t>
                            </w:r>
                            <w:r w:rsidRPr="00247F54">
                              <w:rPr>
                                <w:i/>
                              </w:rPr>
                              <w:t>Human Rights (Parliamentary Scrutiny) Act 2011</w:t>
                            </w:r>
                            <w:r w:rsidRPr="00247F54">
                              <w:t>.</w:t>
                            </w:r>
                          </w:p>
                          <w:p w14:paraId="14BA40B1" w14:textId="77777777" w:rsidR="0016739A" w:rsidRPr="00247F54" w:rsidRDefault="0016739A" w:rsidP="000076D6">
                            <w:pPr>
                              <w:spacing w:before="120" w:after="120"/>
                              <w:jc w:val="center"/>
                            </w:pPr>
                          </w:p>
                          <w:p w14:paraId="14BA40B2" w14:textId="77777777" w:rsidR="0016739A" w:rsidRPr="00247F54" w:rsidRDefault="0016739A" w:rsidP="000076D6">
                            <w:pPr>
                              <w:spacing w:before="120" w:after="120"/>
                              <w:jc w:val="both"/>
                              <w:rPr>
                                <w:b/>
                              </w:rPr>
                            </w:pPr>
                            <w:r w:rsidRPr="00247F54">
                              <w:rPr>
                                <w:b/>
                              </w:rPr>
                              <w:t>Overview</w:t>
                            </w:r>
                          </w:p>
                          <w:p w14:paraId="14BA40B4" w14:textId="5F96E49A" w:rsidR="0016739A" w:rsidRDefault="003639A6" w:rsidP="000076D6">
                            <w:pPr>
                              <w:spacing w:before="120" w:after="120"/>
                            </w:pPr>
                            <w:r>
                              <w:t>The Instrument</w:t>
                            </w:r>
                            <w:r w:rsidR="002C15FC">
                              <w:t xml:space="preserve"> amends </w:t>
                            </w:r>
                            <w:r w:rsidR="002C15FC" w:rsidRPr="003D0892">
                              <w:rPr>
                                <w:i/>
                              </w:rPr>
                              <w:t>ASIC Corporations (Horse Schemes) Instrument 2016/790</w:t>
                            </w:r>
                            <w:r w:rsidR="002C15FC">
                              <w:t xml:space="preserve"> by deleting the requirement that the Product Disclosure Statement </w:t>
                            </w:r>
                            <w:r w:rsidR="00E913A7">
                              <w:t>(</w:t>
                            </w:r>
                            <w:r w:rsidR="00E913A7" w:rsidRPr="00E913A7">
                              <w:rPr>
                                <w:b/>
                              </w:rPr>
                              <w:t>PDS</w:t>
                            </w:r>
                            <w:r w:rsidR="00E913A7">
                              <w:t xml:space="preserve">) </w:t>
                            </w:r>
                            <w:r w:rsidR="002C15FC" w:rsidRPr="00E913A7">
                              <w:t>for</w:t>
                            </w:r>
                            <w:r w:rsidR="002C15FC">
                              <w:t xml:space="preserve"> a horse racing syndicate conta</w:t>
                            </w:r>
                            <w:r w:rsidR="008D74BE">
                              <w:t xml:space="preserve">in the name and contact details of the owners of the sire and dam </w:t>
                            </w:r>
                            <w:r>
                              <w:t>of a syndicate racehorse.</w:t>
                            </w:r>
                          </w:p>
                          <w:p w14:paraId="4715733C" w14:textId="4BB7AF9A" w:rsidR="002552F5" w:rsidRPr="002552F5" w:rsidRDefault="002552F5" w:rsidP="000076D6">
                            <w:pPr>
                              <w:spacing w:before="120" w:after="120"/>
                            </w:pPr>
                            <w:r>
                              <w:t xml:space="preserve">The Instrument also amends </w:t>
                            </w:r>
                            <w:r w:rsidRPr="00861E50">
                              <w:rPr>
                                <w:i/>
                              </w:rPr>
                              <w:t>ASIC Corporations (Managed Discretionary Account Services) Instrument 2016/968</w:t>
                            </w:r>
                            <w:r>
                              <w:rPr>
                                <w:i/>
                              </w:rPr>
                              <w:t xml:space="preserve"> </w:t>
                            </w:r>
                            <w:r>
                              <w:t>by correcting a typographical error.</w:t>
                            </w:r>
                          </w:p>
                          <w:p w14:paraId="3ACCD0B2" w14:textId="77777777" w:rsidR="0047403F" w:rsidRPr="00883DB6" w:rsidRDefault="0047403F" w:rsidP="000076D6">
                            <w:pPr>
                              <w:spacing w:before="120" w:after="120"/>
                            </w:pPr>
                          </w:p>
                          <w:p w14:paraId="14BA40B5" w14:textId="77777777" w:rsidR="0016739A" w:rsidRPr="00247F54" w:rsidRDefault="0016739A" w:rsidP="000076D6">
                            <w:pPr>
                              <w:spacing w:before="120" w:after="120"/>
                              <w:rPr>
                                <w:b/>
                              </w:rPr>
                            </w:pPr>
                            <w:r w:rsidRPr="00247F54">
                              <w:rPr>
                                <w:b/>
                              </w:rPr>
                              <w:t>Human rights implications</w:t>
                            </w:r>
                          </w:p>
                          <w:p w14:paraId="150EDAA8" w14:textId="77777777" w:rsidR="002552F5" w:rsidRDefault="00E913A7" w:rsidP="000076D6">
                            <w:pPr>
                              <w:spacing w:before="120" w:after="120"/>
                            </w:pPr>
                            <w:r>
                              <w:t>The I</w:t>
                            </w:r>
                            <w:r w:rsidR="0016739A" w:rsidRPr="00247F54">
                              <w:t xml:space="preserve">nstrument </w:t>
                            </w:r>
                            <w:r w:rsidR="003639A6">
                              <w:t xml:space="preserve">engages the human right to privacy under Article 17 of the International Covenant on Civil and Political Rights, which is recognised by section 3 of the </w:t>
                            </w:r>
                            <w:r w:rsidR="003639A6" w:rsidRPr="00247F54">
                              <w:rPr>
                                <w:i/>
                              </w:rPr>
                              <w:t>Human Rights (Parliamentary Scrutiny) Act 2011</w:t>
                            </w:r>
                            <w:r w:rsidR="003639A6">
                              <w:t>.</w:t>
                            </w:r>
                            <w:r>
                              <w:t xml:space="preserve"> </w:t>
                            </w:r>
                          </w:p>
                          <w:p w14:paraId="14BA40B7" w14:textId="75E71B1F" w:rsidR="0016739A" w:rsidRDefault="00E913A7" w:rsidP="000076D6">
                            <w:pPr>
                              <w:spacing w:before="120" w:after="120"/>
                              <w:rPr>
                                <w:rFonts w:ascii="Helv" w:hAnsi="Helv" w:cs="Helv"/>
                                <w:color w:val="000000"/>
                                <w:sz w:val="20"/>
                              </w:rPr>
                            </w:pPr>
                            <w:r>
                              <w:t>This is because the I</w:t>
                            </w:r>
                            <w:r w:rsidR="003639A6">
                              <w:t xml:space="preserve">nstrument relates to the requirement under </w:t>
                            </w:r>
                            <w:r w:rsidR="003639A6" w:rsidRPr="003D0892">
                              <w:rPr>
                                <w:i/>
                              </w:rPr>
                              <w:t xml:space="preserve">ASIC Corporations (Horse Schemes) Instrument 2016/790 </w:t>
                            </w:r>
                            <w:r w:rsidR="003639A6">
                              <w:t xml:space="preserve">that the </w:t>
                            </w:r>
                            <w:r>
                              <w:t>PDS</w:t>
                            </w:r>
                            <w:r w:rsidR="003639A6">
                              <w:t xml:space="preserve"> for a horse racing syndicate contain the name and contact details of the owners of the sire and dam of a syndicate racehorse. The </w:t>
                            </w:r>
                            <w:r>
                              <w:t>Instrument enhances the human right to privacy because dispensing with the relev</w:t>
                            </w:r>
                            <w:r w:rsidR="00B66758">
                              <w:t>ant disclosure requirement in</w:t>
                            </w:r>
                            <w:r>
                              <w:t xml:space="preserve"> a horse racing syndicate PDS </w:t>
                            </w:r>
                            <w:r w:rsidR="00B66758">
                              <w:t>means that information does not have to be made available about the owners of the sire and dam of a syndicate racehorse</w:t>
                            </w:r>
                            <w:r w:rsidR="003639A6">
                              <w:rPr>
                                <w:rFonts w:ascii="Helv" w:hAnsi="Helv" w:cs="Helv"/>
                                <w:color w:val="000000"/>
                                <w:sz w:val="20"/>
                              </w:rPr>
                              <w:t>.</w:t>
                            </w:r>
                          </w:p>
                          <w:p w14:paraId="5E6F13F4" w14:textId="77777777" w:rsidR="0047403F" w:rsidRPr="00247F54" w:rsidRDefault="0047403F" w:rsidP="000076D6">
                            <w:pPr>
                              <w:spacing w:before="120" w:after="120"/>
                            </w:pPr>
                          </w:p>
                          <w:p w14:paraId="14BA40B8" w14:textId="77777777" w:rsidR="0016739A" w:rsidRPr="00247F54" w:rsidRDefault="0016739A" w:rsidP="000076D6">
                            <w:pPr>
                              <w:spacing w:before="120" w:after="120"/>
                              <w:rPr>
                                <w:b/>
                              </w:rPr>
                            </w:pPr>
                            <w:r w:rsidRPr="00247F54">
                              <w:rPr>
                                <w:b/>
                              </w:rPr>
                              <w:t>Conclusion</w:t>
                            </w:r>
                          </w:p>
                          <w:p w14:paraId="14BA40B9" w14:textId="0593856B" w:rsidR="0016739A" w:rsidRPr="00247F54" w:rsidRDefault="0016739A" w:rsidP="000076D6">
                            <w:pPr>
                              <w:spacing w:before="120" w:after="120"/>
                            </w:pPr>
                            <w:r w:rsidRPr="00247F54">
                              <w:t xml:space="preserve">This </w:t>
                            </w:r>
                            <w:r>
                              <w:t>l</w:t>
                            </w:r>
                            <w:r w:rsidRPr="00247F54">
                              <w:t xml:space="preserve">egislative </w:t>
                            </w:r>
                            <w:r>
                              <w:t>i</w:t>
                            </w:r>
                            <w:r w:rsidRPr="00247F54">
                              <w:t xml:space="preserve">nstrument is compatible with human rights as it does not </w:t>
                            </w:r>
                            <w:r w:rsidR="003639A6">
                              <w:t>adversely affect</w:t>
                            </w:r>
                            <w:r w:rsidRPr="00247F54">
                              <w:t xml:space="preserve"> any human rights issues.</w:t>
                            </w:r>
                          </w:p>
                          <w:p w14:paraId="14BA40BA" w14:textId="77777777" w:rsidR="0016739A" w:rsidRPr="00E4135E" w:rsidRDefault="0016739A" w:rsidP="000076D6">
                            <w:pPr>
                              <w:spacing w:before="120" w:after="120"/>
                              <w:jc w:val="center"/>
                            </w:pPr>
                          </w:p>
                          <w:p w14:paraId="14BA40BB" w14:textId="77777777" w:rsidR="0016739A" w:rsidRPr="00E4135E" w:rsidRDefault="0016739A" w:rsidP="000076D6">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5pt;margin-top:38.35pt;width:418.2pt;height:57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viLAIAAFYEAAAOAAAAZHJzL2Uyb0RvYy54bWysVF1v0zAUfUfiP1h+p2m6bitR02nqKEIa&#10;MDH4AY7jJBb+4tptMn79rp2stMATIg+WP67PPfec66xvBq3IQYCX1pQ0n80pEYbbWpq2pN++7t6s&#10;KPGBmZopa0RJn4SnN5vXr9a9K8TCdlbVAgiCGF/0rqRdCK7IMs87oZmfWScMHjYWNAu4hDargfWI&#10;rlW2mM+vst5C7cBy4T3u3o2HdJPwm0bw8LlpvAhElRS5hTRCGqs4Zps1K1pgrpN8osH+gYVm0mDS&#10;I9QdC4zsQf4BpSUH620TZtzqzDaN5CLVgNXk89+qeeyYE6kWFMe7o0z+/8HyT4cHILJG7ygxTKNF&#10;X1A0ZlolyCLK0ztfYNSje4BYoHf3ln/3xNhth1HiFsD2nWA1kspjfHZ2IS48XiVV/9HWiM72wSal&#10;hgZ0BEQNyJAMeToaIoZAOG5eXuR5vkTfOJ5dL5YXb5erlIMVL9cd+PBeWE3ipKSA5BM8O9z7EOmw&#10;4iUk0bdK1jupVFpAW20VkAPD7tilb0L3p2HKkB7TX2G/IRPtUKwAMmU5i/OncPP0/Q1Oy4Atr6Qu&#10;6eoYxIqo4TtTp4YMTKpxjvSVmUSNOo5+hKEaJmsqWz+hvGDH1saniJPOwk9KemzrkvofewaCEvXB&#10;RItSSnwIabW8vF5gTXB2VJ0eMcMRDAumZJxuw/h69g5k22GuPAlh7C0a28gkeTR95DUxx+ZNTkwP&#10;Lb6O03WK+vU72DwDAAD//wMAUEsDBBQABgAIAAAAIQARtC8p3wAAAAkBAAAPAAAAZHJzL2Rvd25y&#10;ZXYueG1sTI/BSsNAEIbvgu+wjODNbtq1SY3ZFClKoeDBKnjdZMckmJ0N2W2Tvr3jSW8z/B//fFNs&#10;Z9eLM46h86RhuUhAINXedtRo+Hh/uduACNGQNb0n1HDBANvy+qowufUTveH5GBvBJRRyo6GNccil&#10;DHWLzoSFH5A4+/KjM5HXsZF2NBOXu16ukiSVznTEF1oz4K7F+vt4chqmg9pdPtXr/jlb31dDKveH&#10;eVRa397MT48gIs7xD4ZffVaHkp0qfyIbRK9BKQY1ZGkGguONeuChYm61zNYgy0L+/6D8AQAA//8D&#10;AFBLAQItABQABgAIAAAAIQC2gziS/gAAAOEBAAATAAAAAAAAAAAAAAAAAAAAAABbQ29udGVudF9U&#10;eXBlc10ueG1sUEsBAi0AFAAGAAgAAAAhADj9If/WAAAAlAEAAAsAAAAAAAAAAAAAAAAALwEAAF9y&#10;ZWxzLy5yZWxzUEsBAi0AFAAGAAgAAAAhAN8IC+IsAgAAVgQAAA4AAAAAAAAAAAAAAAAALgIAAGRy&#10;cy9lMm9Eb2MueG1sUEsBAi0AFAAGAAgAAAAhABG0LynfAAAACQEAAA8AAAAAAAAAAAAAAAAAhgQA&#10;AGRycy9kb3ducmV2LnhtbFBLBQYAAAAABAAEAPMAAACSBQAAAAA=&#10;" strokeweight="6pt">
                <v:stroke linestyle="thickBetweenThin"/>
                <v:textbox inset="5mm,,5mm">
                  <w:txbxContent>
                    <w:p w14:paraId="14BA40AA" w14:textId="77777777" w:rsidR="0016739A" w:rsidRPr="00834797" w:rsidRDefault="0016739A" w:rsidP="000076D6">
                      <w:pPr>
                        <w:spacing w:before="360" w:after="120"/>
                        <w:jc w:val="center"/>
                        <w:rPr>
                          <w:b/>
                        </w:rPr>
                      </w:pPr>
                      <w:r w:rsidRPr="00834797">
                        <w:rPr>
                          <w:b/>
                        </w:rPr>
                        <w:t>Statement of Compatibility with Human Rights</w:t>
                      </w:r>
                    </w:p>
                    <w:p w14:paraId="14BA40AB" w14:textId="77777777" w:rsidR="0016739A" w:rsidRPr="00247F54" w:rsidRDefault="0016739A" w:rsidP="000076D6">
                      <w:pPr>
                        <w:spacing w:before="120" w:after="120"/>
                        <w:jc w:val="center"/>
                      </w:pPr>
                      <w:r w:rsidRPr="00247F54">
                        <w:rPr>
                          <w:i/>
                        </w:rPr>
                        <w:t>Prepared in accordance with Part 3 of the Human Rights (Parliamentary Scrutiny) Act 2011</w:t>
                      </w:r>
                    </w:p>
                    <w:p w14:paraId="14BA40AC" w14:textId="77777777" w:rsidR="0016739A" w:rsidRPr="00247F54" w:rsidRDefault="0016739A" w:rsidP="000076D6">
                      <w:pPr>
                        <w:spacing w:before="120" w:after="120"/>
                        <w:jc w:val="center"/>
                      </w:pPr>
                    </w:p>
                    <w:p w14:paraId="14BA40AD" w14:textId="401EE3C3" w:rsidR="0016739A" w:rsidRPr="002552F5" w:rsidRDefault="0016739A" w:rsidP="000076D6">
                      <w:pPr>
                        <w:spacing w:before="120" w:after="120"/>
                        <w:jc w:val="center"/>
                        <w:rPr>
                          <w:b/>
                        </w:rPr>
                      </w:pPr>
                      <w:r w:rsidRPr="002552F5">
                        <w:rPr>
                          <w:b/>
                        </w:rPr>
                        <w:t>ASIC Corporations (</w:t>
                      </w:r>
                      <w:r w:rsidR="002C15FC" w:rsidRPr="002552F5">
                        <w:rPr>
                          <w:b/>
                        </w:rPr>
                        <w:t>Amendment</w:t>
                      </w:r>
                      <w:r w:rsidRPr="002552F5">
                        <w:rPr>
                          <w:b/>
                        </w:rPr>
                        <w:t>) Instrument 2016/</w:t>
                      </w:r>
                      <w:r w:rsidR="002C3B8C" w:rsidRPr="002552F5">
                        <w:rPr>
                          <w:b/>
                        </w:rPr>
                        <w:t>1173</w:t>
                      </w:r>
                    </w:p>
                    <w:p w14:paraId="14BA40AE" w14:textId="77777777" w:rsidR="0016739A" w:rsidRPr="003D0892" w:rsidRDefault="0016739A" w:rsidP="000076D6">
                      <w:pPr>
                        <w:spacing w:before="120" w:after="120"/>
                        <w:jc w:val="center"/>
                        <w:rPr>
                          <w:i/>
                        </w:rPr>
                      </w:pPr>
                    </w:p>
                    <w:p w14:paraId="14BA40AF" w14:textId="39BF17B9" w:rsidR="0016739A" w:rsidRPr="00247F54" w:rsidRDefault="0016739A" w:rsidP="000076D6">
                      <w:pPr>
                        <w:spacing w:before="120" w:after="120"/>
                        <w:jc w:val="center"/>
                      </w:pPr>
                      <w:r w:rsidRPr="003D0892">
                        <w:rPr>
                          <w:i/>
                        </w:rPr>
                        <w:t>ASIC Corporations (</w:t>
                      </w:r>
                      <w:r w:rsidR="002C15FC" w:rsidRPr="003D0892">
                        <w:rPr>
                          <w:i/>
                        </w:rPr>
                        <w:t>Amendment</w:t>
                      </w:r>
                      <w:r w:rsidRPr="003D0892">
                        <w:rPr>
                          <w:i/>
                        </w:rPr>
                        <w:t>) Instrument 2016/</w:t>
                      </w:r>
                      <w:r w:rsidR="002C3B8C" w:rsidRPr="003D0892">
                        <w:rPr>
                          <w:i/>
                        </w:rPr>
                        <w:t xml:space="preserve">1173 </w:t>
                      </w:r>
                      <w:r w:rsidR="003639A6">
                        <w:t xml:space="preserve">(the </w:t>
                      </w:r>
                      <w:r w:rsidR="003639A6" w:rsidRPr="003639A6">
                        <w:rPr>
                          <w:b/>
                        </w:rPr>
                        <w:t>Instrument</w:t>
                      </w:r>
                      <w:r w:rsidR="003639A6">
                        <w:t xml:space="preserve">) </w:t>
                      </w:r>
                      <w:r w:rsidRPr="003639A6">
                        <w:t>is</w:t>
                      </w:r>
                      <w:r w:rsidRPr="00247F54">
                        <w:t xml:space="preserve"> compatible with the human rights and freedoms recognised or declared in the international instruments listed in section 3 of the </w:t>
                      </w:r>
                      <w:r w:rsidRPr="00247F54">
                        <w:rPr>
                          <w:i/>
                        </w:rPr>
                        <w:t>Human Rights (Parliamentary Scrutiny) Act 2011</w:t>
                      </w:r>
                      <w:r w:rsidRPr="00247F54">
                        <w:t>.</w:t>
                      </w:r>
                    </w:p>
                    <w:p w14:paraId="14BA40B1" w14:textId="77777777" w:rsidR="0016739A" w:rsidRPr="00247F54" w:rsidRDefault="0016739A" w:rsidP="000076D6">
                      <w:pPr>
                        <w:spacing w:before="120" w:after="120"/>
                        <w:jc w:val="center"/>
                      </w:pPr>
                    </w:p>
                    <w:p w14:paraId="14BA40B2" w14:textId="77777777" w:rsidR="0016739A" w:rsidRPr="00247F54" w:rsidRDefault="0016739A" w:rsidP="000076D6">
                      <w:pPr>
                        <w:spacing w:before="120" w:after="120"/>
                        <w:jc w:val="both"/>
                        <w:rPr>
                          <w:b/>
                        </w:rPr>
                      </w:pPr>
                      <w:r w:rsidRPr="00247F54">
                        <w:rPr>
                          <w:b/>
                        </w:rPr>
                        <w:t>Overview</w:t>
                      </w:r>
                    </w:p>
                    <w:p w14:paraId="14BA40B4" w14:textId="5F96E49A" w:rsidR="0016739A" w:rsidRDefault="003639A6" w:rsidP="000076D6">
                      <w:pPr>
                        <w:spacing w:before="120" w:after="120"/>
                      </w:pPr>
                      <w:r>
                        <w:t>The Instrument</w:t>
                      </w:r>
                      <w:r w:rsidR="002C15FC">
                        <w:t xml:space="preserve"> amends </w:t>
                      </w:r>
                      <w:r w:rsidR="002C15FC" w:rsidRPr="003D0892">
                        <w:rPr>
                          <w:i/>
                        </w:rPr>
                        <w:t>ASIC Corporations (Horse Schemes) Instrument 2016/790</w:t>
                      </w:r>
                      <w:r w:rsidR="002C15FC">
                        <w:t xml:space="preserve"> by deleting the requirement that the Product Disclosure Statement </w:t>
                      </w:r>
                      <w:r w:rsidR="00E913A7">
                        <w:t>(</w:t>
                      </w:r>
                      <w:r w:rsidR="00E913A7" w:rsidRPr="00E913A7">
                        <w:rPr>
                          <w:b/>
                        </w:rPr>
                        <w:t>PDS</w:t>
                      </w:r>
                      <w:r w:rsidR="00E913A7">
                        <w:t xml:space="preserve">) </w:t>
                      </w:r>
                      <w:r w:rsidR="002C15FC" w:rsidRPr="00E913A7">
                        <w:t>for</w:t>
                      </w:r>
                      <w:r w:rsidR="002C15FC">
                        <w:t xml:space="preserve"> a horse racing syndicate conta</w:t>
                      </w:r>
                      <w:r w:rsidR="008D74BE">
                        <w:t xml:space="preserve">in the name and contact details of the owners of the sire and dam </w:t>
                      </w:r>
                      <w:r>
                        <w:t>of a syndicate racehorse.</w:t>
                      </w:r>
                    </w:p>
                    <w:p w14:paraId="4715733C" w14:textId="4BB7AF9A" w:rsidR="002552F5" w:rsidRPr="002552F5" w:rsidRDefault="002552F5" w:rsidP="000076D6">
                      <w:pPr>
                        <w:spacing w:before="120" w:after="120"/>
                      </w:pPr>
                      <w:r>
                        <w:t xml:space="preserve">The Instrument also amends </w:t>
                      </w:r>
                      <w:r w:rsidRPr="00861E50">
                        <w:rPr>
                          <w:i/>
                        </w:rPr>
                        <w:t>ASIC Corporations (Managed Discretionary Account Services) Instrument 2016/968</w:t>
                      </w:r>
                      <w:r>
                        <w:rPr>
                          <w:i/>
                        </w:rPr>
                        <w:t xml:space="preserve"> </w:t>
                      </w:r>
                      <w:r>
                        <w:t>by correcting a typographical error.</w:t>
                      </w:r>
                    </w:p>
                    <w:p w14:paraId="3ACCD0B2" w14:textId="77777777" w:rsidR="0047403F" w:rsidRPr="00883DB6" w:rsidRDefault="0047403F" w:rsidP="000076D6">
                      <w:pPr>
                        <w:spacing w:before="120" w:after="120"/>
                      </w:pPr>
                    </w:p>
                    <w:p w14:paraId="14BA40B5" w14:textId="77777777" w:rsidR="0016739A" w:rsidRPr="00247F54" w:rsidRDefault="0016739A" w:rsidP="000076D6">
                      <w:pPr>
                        <w:spacing w:before="120" w:after="120"/>
                        <w:rPr>
                          <w:b/>
                        </w:rPr>
                      </w:pPr>
                      <w:r w:rsidRPr="00247F54">
                        <w:rPr>
                          <w:b/>
                        </w:rPr>
                        <w:t>Human rights implications</w:t>
                      </w:r>
                    </w:p>
                    <w:p w14:paraId="150EDAA8" w14:textId="77777777" w:rsidR="002552F5" w:rsidRDefault="00E913A7" w:rsidP="000076D6">
                      <w:pPr>
                        <w:spacing w:before="120" w:after="120"/>
                      </w:pPr>
                      <w:r>
                        <w:t>The I</w:t>
                      </w:r>
                      <w:r w:rsidR="0016739A" w:rsidRPr="00247F54">
                        <w:t xml:space="preserve">nstrument </w:t>
                      </w:r>
                      <w:r w:rsidR="003639A6">
                        <w:t xml:space="preserve">engages the human right to privacy under Article 17 of the International Covenant on Civil and Political Rights, which is recognised by section 3 of the </w:t>
                      </w:r>
                      <w:r w:rsidR="003639A6" w:rsidRPr="00247F54">
                        <w:rPr>
                          <w:i/>
                        </w:rPr>
                        <w:t>Human Rights (Parliamentary Scrutiny) Act 2011</w:t>
                      </w:r>
                      <w:r w:rsidR="003639A6">
                        <w:t>.</w:t>
                      </w:r>
                      <w:r>
                        <w:t xml:space="preserve"> </w:t>
                      </w:r>
                    </w:p>
                    <w:p w14:paraId="14BA40B7" w14:textId="75E71B1F" w:rsidR="0016739A" w:rsidRDefault="00E913A7" w:rsidP="000076D6">
                      <w:pPr>
                        <w:spacing w:before="120" w:after="120"/>
                        <w:rPr>
                          <w:rFonts w:ascii="Helv" w:hAnsi="Helv" w:cs="Helv"/>
                          <w:color w:val="000000"/>
                          <w:sz w:val="20"/>
                        </w:rPr>
                      </w:pPr>
                      <w:r>
                        <w:t>This is because the I</w:t>
                      </w:r>
                      <w:r w:rsidR="003639A6">
                        <w:t xml:space="preserve">nstrument relates to the requirement under </w:t>
                      </w:r>
                      <w:r w:rsidR="003639A6" w:rsidRPr="003D0892">
                        <w:rPr>
                          <w:i/>
                        </w:rPr>
                        <w:t xml:space="preserve">ASIC Corporations (Horse Schemes) Instrument 2016/790 </w:t>
                      </w:r>
                      <w:r w:rsidR="003639A6">
                        <w:t xml:space="preserve">that the </w:t>
                      </w:r>
                      <w:r>
                        <w:t>PDS</w:t>
                      </w:r>
                      <w:r w:rsidR="003639A6">
                        <w:t xml:space="preserve"> for a horse racing syndicate contain the name and contact details of the owners of the sire and dam of a syndicate racehorse. The </w:t>
                      </w:r>
                      <w:r>
                        <w:t>Instrument enhances the human right to privacy because dispensing with the relev</w:t>
                      </w:r>
                      <w:r w:rsidR="00B66758">
                        <w:t>ant disclosure requirement in</w:t>
                      </w:r>
                      <w:r>
                        <w:t xml:space="preserve"> a horse racing syndicate PDS </w:t>
                      </w:r>
                      <w:r w:rsidR="00B66758">
                        <w:t>means that information does not have to be made available about the owners of the sire and dam of a syndicate racehorse</w:t>
                      </w:r>
                      <w:r w:rsidR="003639A6">
                        <w:rPr>
                          <w:rFonts w:ascii="Helv" w:hAnsi="Helv" w:cs="Helv"/>
                          <w:color w:val="000000"/>
                          <w:sz w:val="20"/>
                        </w:rPr>
                        <w:t>.</w:t>
                      </w:r>
                    </w:p>
                    <w:p w14:paraId="5E6F13F4" w14:textId="77777777" w:rsidR="0047403F" w:rsidRPr="00247F54" w:rsidRDefault="0047403F" w:rsidP="000076D6">
                      <w:pPr>
                        <w:spacing w:before="120" w:after="120"/>
                      </w:pPr>
                    </w:p>
                    <w:p w14:paraId="14BA40B8" w14:textId="77777777" w:rsidR="0016739A" w:rsidRPr="00247F54" w:rsidRDefault="0016739A" w:rsidP="000076D6">
                      <w:pPr>
                        <w:spacing w:before="120" w:after="120"/>
                        <w:rPr>
                          <w:b/>
                        </w:rPr>
                      </w:pPr>
                      <w:r w:rsidRPr="00247F54">
                        <w:rPr>
                          <w:b/>
                        </w:rPr>
                        <w:t>Conclusion</w:t>
                      </w:r>
                    </w:p>
                    <w:p w14:paraId="14BA40B9" w14:textId="0593856B" w:rsidR="0016739A" w:rsidRPr="00247F54" w:rsidRDefault="0016739A" w:rsidP="000076D6">
                      <w:pPr>
                        <w:spacing w:before="120" w:after="120"/>
                      </w:pPr>
                      <w:r w:rsidRPr="00247F54">
                        <w:t xml:space="preserve">This </w:t>
                      </w:r>
                      <w:r>
                        <w:t>l</w:t>
                      </w:r>
                      <w:r w:rsidRPr="00247F54">
                        <w:t xml:space="preserve">egislative </w:t>
                      </w:r>
                      <w:r>
                        <w:t>i</w:t>
                      </w:r>
                      <w:r w:rsidRPr="00247F54">
                        <w:t xml:space="preserve">nstrument is compatible with human rights as it does not </w:t>
                      </w:r>
                      <w:r w:rsidR="003639A6">
                        <w:t>adversely affect</w:t>
                      </w:r>
                      <w:r w:rsidRPr="00247F54">
                        <w:t xml:space="preserve"> any human rights issues.</w:t>
                      </w:r>
                    </w:p>
                    <w:p w14:paraId="14BA40BA" w14:textId="77777777" w:rsidR="0016739A" w:rsidRPr="00E4135E" w:rsidRDefault="0016739A" w:rsidP="000076D6">
                      <w:pPr>
                        <w:spacing w:before="120" w:after="120"/>
                        <w:jc w:val="center"/>
                      </w:pPr>
                    </w:p>
                    <w:p w14:paraId="14BA40BB" w14:textId="77777777" w:rsidR="0016739A" w:rsidRPr="00E4135E" w:rsidRDefault="0016739A" w:rsidP="000076D6">
                      <w:pPr>
                        <w:spacing w:before="120" w:after="120"/>
                        <w:jc w:val="center"/>
                      </w:pPr>
                    </w:p>
                  </w:txbxContent>
                </v:textbox>
              </v:rect>
            </w:pict>
          </mc:Fallback>
        </mc:AlternateContent>
      </w:r>
    </w:p>
    <w:sectPr w:rsidR="000076D6">
      <w:headerReference w:type="even" r:id="rId12"/>
      <w:headerReference w:type="default" r:id="rId13"/>
      <w:footerReference w:type="even"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A4086" w14:textId="77777777" w:rsidR="0016739A" w:rsidRDefault="0016739A">
      <w:pPr>
        <w:spacing w:after="0"/>
      </w:pPr>
      <w:r>
        <w:separator/>
      </w:r>
    </w:p>
  </w:endnote>
  <w:endnote w:type="continuationSeparator" w:id="0">
    <w:p w14:paraId="14BA4087" w14:textId="77777777" w:rsidR="0016739A" w:rsidRDefault="001673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409A" w14:textId="77777777" w:rsidR="0016739A" w:rsidRDefault="00167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326A">
      <w:rPr>
        <w:rStyle w:val="PageNumber"/>
        <w:noProof/>
      </w:rPr>
      <w:t>4</w:t>
    </w:r>
    <w:r>
      <w:rPr>
        <w:rStyle w:val="PageNumber"/>
      </w:rPr>
      <w:fldChar w:fldCharType="end"/>
    </w:r>
  </w:p>
  <w:p w14:paraId="14BA409B" w14:textId="77777777" w:rsidR="0016739A" w:rsidRDefault="0016739A">
    <w:pPr>
      <w:pStyle w:val="Footer"/>
      <w:ind w:right="360"/>
    </w:pPr>
  </w:p>
  <w:p w14:paraId="14BA409C" w14:textId="77777777" w:rsidR="0016739A" w:rsidRDefault="0016739A"/>
  <w:p w14:paraId="14BA409D" w14:textId="77777777" w:rsidR="0016739A" w:rsidRDefault="0016739A"/>
  <w:p w14:paraId="14BA409E" w14:textId="77777777" w:rsidR="0016739A" w:rsidRDefault="0016739A"/>
  <w:p w14:paraId="14BA409F" w14:textId="77777777" w:rsidR="0016739A" w:rsidRDefault="0016739A"/>
  <w:p w14:paraId="14BA40A0" w14:textId="77777777" w:rsidR="0016739A" w:rsidRDefault="001673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40A1" w14:textId="7654C132" w:rsidR="0016739A" w:rsidRDefault="0016739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14BA40A7" wp14:editId="14BA40A8">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A40BD" w14:textId="77777777" w:rsidR="0016739A" w:rsidRPr="008F541E" w:rsidRDefault="0016739A" w:rsidP="0016739A">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0624C1">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14BA40BD" w14:textId="77777777" w:rsidR="0016739A" w:rsidRPr="008F541E" w:rsidRDefault="0016739A" w:rsidP="0016739A">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0624C1">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A4084" w14:textId="77777777" w:rsidR="0016739A" w:rsidRDefault="0016739A">
      <w:pPr>
        <w:spacing w:after="0"/>
      </w:pPr>
      <w:r>
        <w:separator/>
      </w:r>
    </w:p>
  </w:footnote>
  <w:footnote w:type="continuationSeparator" w:id="0">
    <w:p w14:paraId="14BA4085" w14:textId="77777777" w:rsidR="0016739A" w:rsidRDefault="0016739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4096" w14:textId="77777777" w:rsidR="0016739A" w:rsidRDefault="0016739A"/>
  <w:p w14:paraId="14BA4097" w14:textId="77777777" w:rsidR="0016739A" w:rsidRDefault="001673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4098" w14:textId="1710DCEB" w:rsidR="0016739A" w:rsidRDefault="0016739A">
    <w:pPr>
      <w:pStyle w:val="Footer"/>
      <w:pBdr>
        <w:bottom w:val="single" w:sz="4" w:space="1" w:color="117DC7"/>
      </w:pBdr>
      <w:jc w:val="right"/>
      <w:rPr>
        <w:color w:val="117DC7"/>
      </w:rPr>
    </w:pPr>
    <w:r>
      <w:tab/>
    </w:r>
  </w:p>
  <w:p w14:paraId="14BA4099" w14:textId="77777777" w:rsidR="0016739A" w:rsidRDefault="001673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40A2" w14:textId="77777777" w:rsidR="0016739A" w:rsidRDefault="0016739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6A5F1A"/>
    <w:multiLevelType w:val="hybridMultilevel"/>
    <w:tmpl w:val="9618C3D6"/>
    <w:lvl w:ilvl="0" w:tplc="81063162">
      <w:start w:val="1"/>
      <w:numFmt w:val="lowerLetter"/>
      <w:lvlText w:val="(%1)"/>
      <w:lvlJc w:val="left"/>
      <w:pPr>
        <w:ind w:left="720" w:hanging="360"/>
      </w:pPr>
      <w:rPr>
        <w:rFonts w:ascii="Times New Roman" w:eastAsia="Times New Roman" w:hAnsi="Times New Roman" w:cs="Times New Roman"/>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2210A3"/>
    <w:multiLevelType w:val="hybridMultilevel"/>
    <w:tmpl w:val="52C831F2"/>
    <w:lvl w:ilvl="0" w:tplc="5860CD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2EC90ACF"/>
    <w:multiLevelType w:val="hybridMultilevel"/>
    <w:tmpl w:val="795E85A2"/>
    <w:lvl w:ilvl="0" w:tplc="3C46C234">
      <w:start w:val="1"/>
      <w:numFmt w:val="lowerRoman"/>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DE7FAA"/>
    <w:multiLevelType w:val="hybridMultilevel"/>
    <w:tmpl w:val="BC8CE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3">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9490850"/>
    <w:multiLevelType w:val="hybridMultilevel"/>
    <w:tmpl w:val="229877B6"/>
    <w:lvl w:ilvl="0" w:tplc="C8C603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A19275D"/>
    <w:multiLevelType w:val="hybridMultilevel"/>
    <w:tmpl w:val="9FD6849C"/>
    <w:lvl w:ilvl="0" w:tplc="7570DD54">
      <w:start w:val="1"/>
      <w:numFmt w:val="lowerLetter"/>
      <w:lvlText w:val="(%1)"/>
      <w:lvlJc w:val="left"/>
      <w:pPr>
        <w:ind w:left="720" w:hanging="360"/>
      </w:pPr>
      <w:rPr>
        <w:rFonts w:hint="default"/>
      </w:rPr>
    </w:lvl>
    <w:lvl w:ilvl="1" w:tplc="CD24616C">
      <w:start w:val="1"/>
      <w:numFmt w:val="lowerRoman"/>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822C7F"/>
    <w:multiLevelType w:val="hybridMultilevel"/>
    <w:tmpl w:val="A2E26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5791C84"/>
    <w:multiLevelType w:val="hybridMultilevel"/>
    <w:tmpl w:val="6540A568"/>
    <w:lvl w:ilvl="0" w:tplc="25A6A6E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5AB112F"/>
    <w:multiLevelType w:val="hybridMultilevel"/>
    <w:tmpl w:val="D4767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8556090"/>
    <w:multiLevelType w:val="hybridMultilevel"/>
    <w:tmpl w:val="6E343106"/>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96D4DFF"/>
    <w:multiLevelType w:val="hybridMultilevel"/>
    <w:tmpl w:val="806C4CAE"/>
    <w:lvl w:ilvl="0" w:tplc="1C0C79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4">
    <w:nsid w:val="72475C7B"/>
    <w:multiLevelType w:val="hybridMultilevel"/>
    <w:tmpl w:val="3854474C"/>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25">
    <w:nsid w:val="73A54EFD"/>
    <w:multiLevelType w:val="hybridMultilevel"/>
    <w:tmpl w:val="F2703F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74D27203"/>
    <w:multiLevelType w:val="hybridMultilevel"/>
    <w:tmpl w:val="80C0C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13"/>
  </w:num>
  <w:num w:numId="4">
    <w:abstractNumId w:val="23"/>
  </w:num>
  <w:num w:numId="5">
    <w:abstractNumId w:val="7"/>
  </w:num>
  <w:num w:numId="6">
    <w:abstractNumId w:val="6"/>
  </w:num>
  <w:num w:numId="7">
    <w:abstractNumId w:val="12"/>
  </w:num>
  <w:num w:numId="8">
    <w:abstractNumId w:val="3"/>
  </w:num>
  <w:num w:numId="9">
    <w:abstractNumId w:val="1"/>
  </w:num>
  <w:num w:numId="10">
    <w:abstractNumId w:val="0"/>
  </w:num>
  <w:num w:numId="11">
    <w:abstractNumId w:val="10"/>
  </w:num>
  <w:num w:numId="12">
    <w:abstractNumId w:val="22"/>
  </w:num>
  <w:num w:numId="13">
    <w:abstractNumId w:val="14"/>
  </w:num>
  <w:num w:numId="14">
    <w:abstractNumId w:val="8"/>
  </w:num>
  <w:num w:numId="15">
    <w:abstractNumId w:val="19"/>
  </w:num>
  <w:num w:numId="16">
    <w:abstractNumId w:val="11"/>
  </w:num>
  <w:num w:numId="17">
    <w:abstractNumId w:val="25"/>
  </w:num>
  <w:num w:numId="18">
    <w:abstractNumId w:val="17"/>
  </w:num>
  <w:num w:numId="19">
    <w:abstractNumId w:val="24"/>
  </w:num>
  <w:num w:numId="20">
    <w:abstractNumId w:val="26"/>
  </w:num>
  <w:num w:numId="21">
    <w:abstractNumId w:val="15"/>
  </w:num>
  <w:num w:numId="22">
    <w:abstractNumId w:val="2"/>
  </w:num>
  <w:num w:numId="23">
    <w:abstractNumId w:val="18"/>
  </w:num>
  <w:num w:numId="24">
    <w:abstractNumId w:val="9"/>
  </w:num>
  <w:num w:numId="25">
    <w:abstractNumId w:val="16"/>
  </w:num>
  <w:num w:numId="26">
    <w:abstractNumId w:val="21"/>
  </w:num>
  <w:num w:numId="27">
    <w:abstractNumId w:val="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trackRevisions/>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99A"/>
    <w:rsid w:val="00000BD6"/>
    <w:rsid w:val="00006D48"/>
    <w:rsid w:val="000076D6"/>
    <w:rsid w:val="00011401"/>
    <w:rsid w:val="00011F48"/>
    <w:rsid w:val="000216CA"/>
    <w:rsid w:val="0002265C"/>
    <w:rsid w:val="000367AC"/>
    <w:rsid w:val="00041984"/>
    <w:rsid w:val="00041C68"/>
    <w:rsid w:val="00046CC8"/>
    <w:rsid w:val="000624C1"/>
    <w:rsid w:val="00065899"/>
    <w:rsid w:val="000750E1"/>
    <w:rsid w:val="000800DA"/>
    <w:rsid w:val="00094CC2"/>
    <w:rsid w:val="000A30DE"/>
    <w:rsid w:val="000B34CC"/>
    <w:rsid w:val="000B3C31"/>
    <w:rsid w:val="000B5AD3"/>
    <w:rsid w:val="000B5C2D"/>
    <w:rsid w:val="000C1E69"/>
    <w:rsid w:val="000D1C40"/>
    <w:rsid w:val="001000EC"/>
    <w:rsid w:val="00120EA4"/>
    <w:rsid w:val="001277EE"/>
    <w:rsid w:val="001476AC"/>
    <w:rsid w:val="001635C0"/>
    <w:rsid w:val="0016739A"/>
    <w:rsid w:val="00172625"/>
    <w:rsid w:val="00191645"/>
    <w:rsid w:val="00197C74"/>
    <w:rsid w:val="001A58E1"/>
    <w:rsid w:val="001A5EEB"/>
    <w:rsid w:val="001B3658"/>
    <w:rsid w:val="001B4F12"/>
    <w:rsid w:val="001C04CD"/>
    <w:rsid w:val="001C19AB"/>
    <w:rsid w:val="001C2F0D"/>
    <w:rsid w:val="001D25C0"/>
    <w:rsid w:val="001D49AA"/>
    <w:rsid w:val="001D68FB"/>
    <w:rsid w:val="00201AE2"/>
    <w:rsid w:val="00215D77"/>
    <w:rsid w:val="00241161"/>
    <w:rsid w:val="00251428"/>
    <w:rsid w:val="002552F5"/>
    <w:rsid w:val="00255BB4"/>
    <w:rsid w:val="00281A86"/>
    <w:rsid w:val="002A3332"/>
    <w:rsid w:val="002A576C"/>
    <w:rsid w:val="002C15FC"/>
    <w:rsid w:val="002C3B8C"/>
    <w:rsid w:val="002C3D0B"/>
    <w:rsid w:val="002C7786"/>
    <w:rsid w:val="002D7D79"/>
    <w:rsid w:val="002F6A2A"/>
    <w:rsid w:val="0030477A"/>
    <w:rsid w:val="0030545D"/>
    <w:rsid w:val="003063A9"/>
    <w:rsid w:val="00311498"/>
    <w:rsid w:val="00330E25"/>
    <w:rsid w:val="00353B5E"/>
    <w:rsid w:val="0035778F"/>
    <w:rsid w:val="003639A6"/>
    <w:rsid w:val="00375B1F"/>
    <w:rsid w:val="003769C1"/>
    <w:rsid w:val="00377638"/>
    <w:rsid w:val="003874E2"/>
    <w:rsid w:val="003905A0"/>
    <w:rsid w:val="003926C8"/>
    <w:rsid w:val="00396976"/>
    <w:rsid w:val="003D0892"/>
    <w:rsid w:val="003F27A3"/>
    <w:rsid w:val="003F5063"/>
    <w:rsid w:val="004424EB"/>
    <w:rsid w:val="00445649"/>
    <w:rsid w:val="004609EC"/>
    <w:rsid w:val="0047403F"/>
    <w:rsid w:val="00493741"/>
    <w:rsid w:val="00494838"/>
    <w:rsid w:val="00496B62"/>
    <w:rsid w:val="00496ED4"/>
    <w:rsid w:val="004B4D9E"/>
    <w:rsid w:val="004B6C04"/>
    <w:rsid w:val="004C053F"/>
    <w:rsid w:val="004C3260"/>
    <w:rsid w:val="004C5091"/>
    <w:rsid w:val="004D127F"/>
    <w:rsid w:val="004D431D"/>
    <w:rsid w:val="004D61E0"/>
    <w:rsid w:val="004E1578"/>
    <w:rsid w:val="004E69C4"/>
    <w:rsid w:val="004F3501"/>
    <w:rsid w:val="00500869"/>
    <w:rsid w:val="005048BB"/>
    <w:rsid w:val="00505044"/>
    <w:rsid w:val="0052290C"/>
    <w:rsid w:val="00525AB2"/>
    <w:rsid w:val="0052785B"/>
    <w:rsid w:val="00534E7E"/>
    <w:rsid w:val="00540C4A"/>
    <w:rsid w:val="00546A41"/>
    <w:rsid w:val="0055539A"/>
    <w:rsid w:val="005557B0"/>
    <w:rsid w:val="005671DF"/>
    <w:rsid w:val="0057346F"/>
    <w:rsid w:val="00580EF2"/>
    <w:rsid w:val="00593FFD"/>
    <w:rsid w:val="005A1138"/>
    <w:rsid w:val="005B0E3A"/>
    <w:rsid w:val="005B7BF2"/>
    <w:rsid w:val="005C5EF7"/>
    <w:rsid w:val="005D1E5B"/>
    <w:rsid w:val="005E2CB8"/>
    <w:rsid w:val="00601AE9"/>
    <w:rsid w:val="0060224F"/>
    <w:rsid w:val="00605198"/>
    <w:rsid w:val="00610D59"/>
    <w:rsid w:val="00614D9C"/>
    <w:rsid w:val="00643149"/>
    <w:rsid w:val="006629C7"/>
    <w:rsid w:val="00666BF1"/>
    <w:rsid w:val="006717CE"/>
    <w:rsid w:val="00675E5C"/>
    <w:rsid w:val="00680BB2"/>
    <w:rsid w:val="00681BD6"/>
    <w:rsid w:val="006A04D7"/>
    <w:rsid w:val="006A1835"/>
    <w:rsid w:val="006B5E5A"/>
    <w:rsid w:val="006C068A"/>
    <w:rsid w:val="006C0720"/>
    <w:rsid w:val="006C4CE6"/>
    <w:rsid w:val="006D1754"/>
    <w:rsid w:val="006D4ED0"/>
    <w:rsid w:val="006D77D4"/>
    <w:rsid w:val="006E55A6"/>
    <w:rsid w:val="007010AF"/>
    <w:rsid w:val="00710E2F"/>
    <w:rsid w:val="007122CE"/>
    <w:rsid w:val="0072434F"/>
    <w:rsid w:val="00726E1D"/>
    <w:rsid w:val="0073326A"/>
    <w:rsid w:val="007341BF"/>
    <w:rsid w:val="00741276"/>
    <w:rsid w:val="00747EE7"/>
    <w:rsid w:val="00747F04"/>
    <w:rsid w:val="0075329F"/>
    <w:rsid w:val="00756FBC"/>
    <w:rsid w:val="00766211"/>
    <w:rsid w:val="007716F3"/>
    <w:rsid w:val="007756F2"/>
    <w:rsid w:val="00784AC8"/>
    <w:rsid w:val="007A6884"/>
    <w:rsid w:val="007A6D85"/>
    <w:rsid w:val="007B35E3"/>
    <w:rsid w:val="007B483B"/>
    <w:rsid w:val="007C039D"/>
    <w:rsid w:val="007E621C"/>
    <w:rsid w:val="007E7CA8"/>
    <w:rsid w:val="007F712F"/>
    <w:rsid w:val="0081311B"/>
    <w:rsid w:val="00817FC4"/>
    <w:rsid w:val="00820903"/>
    <w:rsid w:val="00826B40"/>
    <w:rsid w:val="0084145A"/>
    <w:rsid w:val="00852A39"/>
    <w:rsid w:val="00864529"/>
    <w:rsid w:val="008822E2"/>
    <w:rsid w:val="00893B2E"/>
    <w:rsid w:val="008A1AF3"/>
    <w:rsid w:val="008C288A"/>
    <w:rsid w:val="008C4557"/>
    <w:rsid w:val="008D74BE"/>
    <w:rsid w:val="008E199A"/>
    <w:rsid w:val="008F4D3B"/>
    <w:rsid w:val="00907806"/>
    <w:rsid w:val="00911137"/>
    <w:rsid w:val="00924BF1"/>
    <w:rsid w:val="009265A5"/>
    <w:rsid w:val="00933196"/>
    <w:rsid w:val="00943257"/>
    <w:rsid w:val="00945091"/>
    <w:rsid w:val="009461DC"/>
    <w:rsid w:val="00971039"/>
    <w:rsid w:val="009722FC"/>
    <w:rsid w:val="00975F3F"/>
    <w:rsid w:val="00987262"/>
    <w:rsid w:val="0099301D"/>
    <w:rsid w:val="009951A9"/>
    <w:rsid w:val="009B0575"/>
    <w:rsid w:val="009B0A86"/>
    <w:rsid w:val="009B4C92"/>
    <w:rsid w:val="009C5480"/>
    <w:rsid w:val="009C5F68"/>
    <w:rsid w:val="009D10A4"/>
    <w:rsid w:val="009E4CBA"/>
    <w:rsid w:val="00A20862"/>
    <w:rsid w:val="00A271EF"/>
    <w:rsid w:val="00A534A3"/>
    <w:rsid w:val="00A81D9C"/>
    <w:rsid w:val="00A84304"/>
    <w:rsid w:val="00A90C8E"/>
    <w:rsid w:val="00A95C15"/>
    <w:rsid w:val="00AB19E6"/>
    <w:rsid w:val="00AB4F07"/>
    <w:rsid w:val="00AC02C2"/>
    <w:rsid w:val="00AE50BA"/>
    <w:rsid w:val="00B063D9"/>
    <w:rsid w:val="00B13EA3"/>
    <w:rsid w:val="00B548B8"/>
    <w:rsid w:val="00B60212"/>
    <w:rsid w:val="00B61AE1"/>
    <w:rsid w:val="00B66758"/>
    <w:rsid w:val="00BA6379"/>
    <w:rsid w:val="00BB4EBE"/>
    <w:rsid w:val="00BB7CA1"/>
    <w:rsid w:val="00BC5E73"/>
    <w:rsid w:val="00BD00C5"/>
    <w:rsid w:val="00BD5959"/>
    <w:rsid w:val="00BF4385"/>
    <w:rsid w:val="00C005C0"/>
    <w:rsid w:val="00C023A6"/>
    <w:rsid w:val="00C12AA8"/>
    <w:rsid w:val="00C16ECF"/>
    <w:rsid w:val="00C223BD"/>
    <w:rsid w:val="00C26DA5"/>
    <w:rsid w:val="00C347A6"/>
    <w:rsid w:val="00C42577"/>
    <w:rsid w:val="00C60C83"/>
    <w:rsid w:val="00C65A5A"/>
    <w:rsid w:val="00C80229"/>
    <w:rsid w:val="00C804F2"/>
    <w:rsid w:val="00C8186B"/>
    <w:rsid w:val="00C83810"/>
    <w:rsid w:val="00CB00CA"/>
    <w:rsid w:val="00CB7041"/>
    <w:rsid w:val="00CC3816"/>
    <w:rsid w:val="00CD0714"/>
    <w:rsid w:val="00CD23BB"/>
    <w:rsid w:val="00CD29EE"/>
    <w:rsid w:val="00CE32BA"/>
    <w:rsid w:val="00CF11D2"/>
    <w:rsid w:val="00CF462E"/>
    <w:rsid w:val="00D10860"/>
    <w:rsid w:val="00D21F9F"/>
    <w:rsid w:val="00D25861"/>
    <w:rsid w:val="00D418D9"/>
    <w:rsid w:val="00D52720"/>
    <w:rsid w:val="00D54C0A"/>
    <w:rsid w:val="00D55EBC"/>
    <w:rsid w:val="00D57C2E"/>
    <w:rsid w:val="00D7562B"/>
    <w:rsid w:val="00D902BD"/>
    <w:rsid w:val="00D9074F"/>
    <w:rsid w:val="00DA725A"/>
    <w:rsid w:val="00DB27F9"/>
    <w:rsid w:val="00DB505A"/>
    <w:rsid w:val="00DC48F2"/>
    <w:rsid w:val="00DC4EF8"/>
    <w:rsid w:val="00DD43AC"/>
    <w:rsid w:val="00DE108B"/>
    <w:rsid w:val="00DF1F29"/>
    <w:rsid w:val="00DF7BE4"/>
    <w:rsid w:val="00E11E55"/>
    <w:rsid w:val="00E222CD"/>
    <w:rsid w:val="00E53371"/>
    <w:rsid w:val="00E65F7B"/>
    <w:rsid w:val="00E721A1"/>
    <w:rsid w:val="00E81E15"/>
    <w:rsid w:val="00E913A7"/>
    <w:rsid w:val="00E920C8"/>
    <w:rsid w:val="00E92CA4"/>
    <w:rsid w:val="00E97805"/>
    <w:rsid w:val="00EB1FCE"/>
    <w:rsid w:val="00EB70A0"/>
    <w:rsid w:val="00EC2C4B"/>
    <w:rsid w:val="00EC65C2"/>
    <w:rsid w:val="00EC6705"/>
    <w:rsid w:val="00EC7235"/>
    <w:rsid w:val="00ED1263"/>
    <w:rsid w:val="00F06586"/>
    <w:rsid w:val="00F31EB1"/>
    <w:rsid w:val="00F36B2E"/>
    <w:rsid w:val="00F50B77"/>
    <w:rsid w:val="00F52EE2"/>
    <w:rsid w:val="00F701EE"/>
    <w:rsid w:val="00F70FD9"/>
    <w:rsid w:val="00F73538"/>
    <w:rsid w:val="00F8127F"/>
    <w:rsid w:val="00F8668A"/>
    <w:rsid w:val="00F8685C"/>
    <w:rsid w:val="00FA3788"/>
    <w:rsid w:val="00FB12CF"/>
    <w:rsid w:val="00FB2EED"/>
    <w:rsid w:val="00FB33DA"/>
    <w:rsid w:val="00FB3FBA"/>
    <w:rsid w:val="00FC341D"/>
    <w:rsid w:val="00FD4312"/>
    <w:rsid w:val="00FF4800"/>
    <w:rsid w:val="00FF6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4BA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1A5EEB"/>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0226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65C"/>
    <w:rPr>
      <w:rFonts w:ascii="Tahoma" w:hAnsi="Tahoma" w:cs="Tahoma"/>
      <w:sz w:val="16"/>
      <w:szCs w:val="16"/>
    </w:rPr>
  </w:style>
  <w:style w:type="character" w:styleId="CommentReference">
    <w:name w:val="annotation reference"/>
    <w:basedOn w:val="DefaultParagraphFont"/>
    <w:uiPriority w:val="99"/>
    <w:semiHidden/>
    <w:unhideWhenUsed/>
    <w:rsid w:val="00610D59"/>
    <w:rPr>
      <w:sz w:val="16"/>
      <w:szCs w:val="16"/>
    </w:rPr>
  </w:style>
  <w:style w:type="paragraph" w:styleId="CommentSubject">
    <w:name w:val="annotation subject"/>
    <w:basedOn w:val="CommentText"/>
    <w:next w:val="CommentText"/>
    <w:link w:val="CommentSubjectChar"/>
    <w:uiPriority w:val="99"/>
    <w:semiHidden/>
    <w:unhideWhenUsed/>
    <w:rsid w:val="00610D59"/>
    <w:rPr>
      <w:b/>
      <w:bCs/>
    </w:rPr>
  </w:style>
  <w:style w:type="character" w:customStyle="1" w:styleId="CommentTextChar">
    <w:name w:val="Comment Text Char"/>
    <w:basedOn w:val="DefaultParagraphFont"/>
    <w:link w:val="CommentText"/>
    <w:semiHidden/>
    <w:rsid w:val="00610D59"/>
  </w:style>
  <w:style w:type="character" w:customStyle="1" w:styleId="CommentSubjectChar">
    <w:name w:val="Comment Subject Char"/>
    <w:basedOn w:val="CommentTextChar"/>
    <w:link w:val="CommentSubject"/>
    <w:uiPriority w:val="99"/>
    <w:semiHidden/>
    <w:rsid w:val="00610D59"/>
    <w:rPr>
      <w:b/>
      <w:bCs/>
    </w:rPr>
  </w:style>
  <w:style w:type="paragraph" w:customStyle="1" w:styleId="Responsetext">
    <w:name w:val="Response text"/>
    <w:basedOn w:val="Normal"/>
    <w:rsid w:val="007A6D85"/>
    <w:pPr>
      <w:pBdr>
        <w:left w:val="single" w:sz="6" w:space="2" w:color="117DC7"/>
      </w:pBdr>
      <w:tabs>
        <w:tab w:val="num" w:pos="3799"/>
      </w:tabs>
      <w:spacing w:before="100" w:after="0" w:line="260" w:lineRule="atLeast"/>
      <w:ind w:left="3232"/>
    </w:pPr>
    <w:rPr>
      <w:rFonts w:ascii="Arial" w:hAnsi="Arial" w:cs="Arial"/>
      <w:sz w:val="20"/>
    </w:rPr>
  </w:style>
  <w:style w:type="paragraph" w:styleId="Revision">
    <w:name w:val="Revision"/>
    <w:hidden/>
    <w:uiPriority w:val="99"/>
    <w:semiHidden/>
    <w:rsid w:val="002C3B8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1A5EEB"/>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0226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65C"/>
    <w:rPr>
      <w:rFonts w:ascii="Tahoma" w:hAnsi="Tahoma" w:cs="Tahoma"/>
      <w:sz w:val="16"/>
      <w:szCs w:val="16"/>
    </w:rPr>
  </w:style>
  <w:style w:type="character" w:styleId="CommentReference">
    <w:name w:val="annotation reference"/>
    <w:basedOn w:val="DefaultParagraphFont"/>
    <w:uiPriority w:val="99"/>
    <w:semiHidden/>
    <w:unhideWhenUsed/>
    <w:rsid w:val="00610D59"/>
    <w:rPr>
      <w:sz w:val="16"/>
      <w:szCs w:val="16"/>
    </w:rPr>
  </w:style>
  <w:style w:type="paragraph" w:styleId="CommentSubject">
    <w:name w:val="annotation subject"/>
    <w:basedOn w:val="CommentText"/>
    <w:next w:val="CommentText"/>
    <w:link w:val="CommentSubjectChar"/>
    <w:uiPriority w:val="99"/>
    <w:semiHidden/>
    <w:unhideWhenUsed/>
    <w:rsid w:val="00610D59"/>
    <w:rPr>
      <w:b/>
      <w:bCs/>
    </w:rPr>
  </w:style>
  <w:style w:type="character" w:customStyle="1" w:styleId="CommentTextChar">
    <w:name w:val="Comment Text Char"/>
    <w:basedOn w:val="DefaultParagraphFont"/>
    <w:link w:val="CommentText"/>
    <w:semiHidden/>
    <w:rsid w:val="00610D59"/>
  </w:style>
  <w:style w:type="character" w:customStyle="1" w:styleId="CommentSubjectChar">
    <w:name w:val="Comment Subject Char"/>
    <w:basedOn w:val="CommentTextChar"/>
    <w:link w:val="CommentSubject"/>
    <w:uiPriority w:val="99"/>
    <w:semiHidden/>
    <w:rsid w:val="00610D59"/>
    <w:rPr>
      <w:b/>
      <w:bCs/>
    </w:rPr>
  </w:style>
  <w:style w:type="paragraph" w:customStyle="1" w:styleId="Responsetext">
    <w:name w:val="Response text"/>
    <w:basedOn w:val="Normal"/>
    <w:rsid w:val="007A6D85"/>
    <w:pPr>
      <w:pBdr>
        <w:left w:val="single" w:sz="6" w:space="2" w:color="117DC7"/>
      </w:pBdr>
      <w:tabs>
        <w:tab w:val="num" w:pos="3799"/>
      </w:tabs>
      <w:spacing w:before="100" w:after="0" w:line="260" w:lineRule="atLeast"/>
      <w:ind w:left="3232"/>
    </w:pPr>
    <w:rPr>
      <w:rFonts w:ascii="Arial" w:hAnsi="Arial" w:cs="Arial"/>
      <w:sz w:val="20"/>
    </w:rPr>
  </w:style>
  <w:style w:type="paragraph" w:styleId="Revision">
    <w:name w:val="Revision"/>
    <w:hidden/>
    <w:uiPriority w:val="99"/>
    <w:semiHidden/>
    <w:rsid w:val="002C3B8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7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B96475DE23F29F44A6FD58A31C00EB7B" ma:contentTypeVersion="31" ma:contentTypeDescription="" ma:contentTypeScope="" ma:versionID="6cba0ed706dc6cf1ae3da10692dfebc7">
  <xsd:schema xmlns:xsd="http://www.w3.org/2001/XMLSchema" xmlns:xs="http://www.w3.org/2001/XMLSchema" xmlns:p="http://schemas.microsoft.com/office/2006/metadata/properties" xmlns:ns2="da7a9ac0-bc47-4684-84e6-3a8e9ac80c12" xmlns:ns3="e61c8409-2b3d-41a9-86ff-6de17ebba263" xmlns:ns4="17f478ab-373e-4295-9ff0-9b833ad01319" xmlns:ns5="0ac98799-20dc-43fa-a7f5-120fca1d2db7" xmlns:ns6="http://schemas.microsoft.com/sharepoint/v4" targetNamespace="http://schemas.microsoft.com/office/2006/metadata/properties" ma:root="true" ma:fieldsID="d3b005fcabee450f98f5084330f781ee" ns2:_="" ns3:_="" ns4:_="" ns5:_="" ns6:_="">
    <xsd:import namespace="da7a9ac0-bc47-4684-84e6-3a8e9ac80c12"/>
    <xsd:import namespace="e61c8409-2b3d-41a9-86ff-6de17ebba263"/>
    <xsd:import namespace="17f478ab-373e-4295-9ff0-9b833ad01319"/>
    <xsd:import namespace="0ac98799-20dc-43fa-a7f5-120fca1d2db7"/>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2:IMSFilesetOrganisationID" minOccurs="0"/>
                <xsd:element ref="ns2:IMSOrganisationID" minOccurs="0"/>
                <xsd:element ref="ns2:Tag" minOccurs="0"/>
                <xsd:element ref="ns2:NotesLinks" minOccurs="0"/>
                <xsd:element ref="ns4:Reviewers" minOccurs="0"/>
                <xsd:element ref="ns4:Approvers" minOccurs="0"/>
                <xsd:element ref="ns2:b909c30f6af94f8daa4f6bc346664858" minOccurs="0"/>
                <xsd:element ref="ns3:p0defd040bb9426381491b2c186908cb" minOccurs="0"/>
                <xsd:element ref="ns3:hb3476fe0c25428da9d0464ead195eef" minOccurs="0"/>
                <xsd:element ref="ns6:IconOverlay" minOccurs="0"/>
                <xsd:element ref="ns2:ded95d7ab059406991d558011d18c177" minOccurs="0"/>
                <xsd:element ref="ns3:f51ae816e01b4965a21cde6183109b29" minOccurs="0"/>
                <xsd:element ref="ns2:f998abd3fd1d41029811a1917032a7bb" minOccurs="0"/>
                <xsd:element ref="ns5:j9a53d7fe1554b91b170ef98e3957baf" minOccurs="0"/>
                <xsd:element ref="ns3:TaxCatchAll" minOccurs="0"/>
                <xsd:element ref="ns5:e3d6af94617946d9813caf87b95826d7" minOccurs="0"/>
                <xsd:element ref="ns3:k9c390b121b84919acb0b9151690da40" minOccurs="0"/>
                <xsd:element ref="ns3:n984d001a78f4b1f81661dbc6638eecd" minOccurs="0"/>
                <xsd:element ref="ns2:ga500041e31e499bae0a2e3b28b012fb" minOccurs="0"/>
                <xsd:element ref="ns3:f4c29409d90b4a578b768720fd07bb93" minOccurs="0"/>
                <xsd:element ref="ns2:n5630a39299d49819c7e0406fbc52e67" minOccurs="0"/>
                <xsd:element ref="ns3:o370174a30b54570b9bc2a9201a399da"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IMSFilesetOrganisationID" ma:index="9" nillable="true" ma:displayName="Fileset IMS Organisation ID" ma:internalName="IMSFilesetOrganisationID">
      <xsd:simpleType>
        <xsd:restriction base="dms:Text">
          <xsd:maxLength value="255"/>
        </xsd:restriction>
      </xsd:simpleType>
    </xsd:element>
    <xsd:element name="IMSOrganisationID" ma:index="10" nillable="true" ma:displayName="File IMS Organisation ID" ma:internalName="IMSOrganisationID">
      <xsd:simpleType>
        <xsd:restriction base="dms:Text">
          <xsd:maxLength value="255"/>
        </xsd:restriction>
      </xsd:simpleType>
    </xsd:element>
    <xsd:element name="Tag" ma:index="17" nillable="true" ma:displayName="Tag" ma:internalName="Tag">
      <xsd:simpleType>
        <xsd:restriction base="dms:Text">
          <xsd:maxLength value="255"/>
        </xsd:restriction>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element name="b909c30f6af94f8daa4f6bc346664858" ma:index="21" nillable="true" ma:displayName="Filesearchkeywords_0" ma:hidden="true" ma:internalName="b909c30f6af94f8daa4f6bc346664858" ma:readOnly="false">
      <xsd:simpleType>
        <xsd:restriction base="dms:Note"/>
      </xsd:simpleType>
    </xsd:element>
    <xsd:element name="ded95d7ab059406991d558011d18c177" ma:index="30" nillable="true" ma:displayName="SecurityClassification_0" ma:hidden="true" ma:internalName="ded95d7ab059406991d558011d18c177" ma:readOnly="false">
      <xsd:simpleType>
        <xsd:restriction base="dms:Note"/>
      </xsd:simpleType>
    </xsd:element>
    <xsd:element name="f998abd3fd1d41029811a1917032a7bb" ma:index="32" nillable="true" ma:displayName="IMSProductType_0" ma:hidden="true" ma:internalName="f998abd3fd1d41029811a1917032a7bb" ma:readOnly="false">
      <xsd:simpleType>
        <xsd:restriction base="dms:Note"/>
      </xsd:simpleType>
    </xsd:element>
    <xsd:element name="ga500041e31e499bae0a2e3b28b012fb" ma:index="40" nillable="true" ma:displayName="IMSEntity_0" ma:hidden="true" ma:internalName="ga500041e31e499bae0a2e3b28b012fb" ma:readOnly="false">
      <xsd:simpleType>
        <xsd:restriction base="dms:Note"/>
      </xsd:simpleType>
    </xsd:element>
    <xsd:element name="n5630a39299d49819c7e0406fbc52e67" ma:index="43" nillable="true" ma:displayName="IMSDocumentType_0" ma:hidden="true" ma:internalName="n5630a39299d49819c7e0406fbc52e6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p0defd040bb9426381491b2c186908cb" ma:index="23"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4" nillable="true" ma:taxonomy="true" ma:internalName="hb3476fe0c25428da9d0464ead195eef" ma:taxonomyFieldName="IMSDocumentType" ma:displayName="IMS Document Typ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31" nillable="true" ma:taxonomy="true" ma:internalName="f51ae816e01b4965a21cde6183109b29" ma:taxonomyFieldName="File_x0020_search_x0020_keywords" ma:displayName="File search keywords" ma:readOnly="false" ma:fieldId="{f51ae816-e01b-4965-a21c-de6183109b29}"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k9c390b121b84919acb0b9151690da40" ma:index="37" nillable="true" ma:taxonomy="true" ma:internalName="k9c390b121b84919acb0b9151690da40" ma:taxonomyFieldName="Fileset_x0020_search_x0020_keywords" ma:displayName="Fileset search keywords" ma:readOnly="false" ma:fieldId="{49c390b1-21b8-4919-acb0-b9151690da40}"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n984d001a78f4b1f81661dbc6638eecd" ma:index="39" nillable="true" ma:taxonomy="true" ma:internalName="n984d001a78f4b1f81661dbc6638eecd" ma:taxonomyFieldName="IMSEntity" ma:displayName="File IMS Entity" ma:default=""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element name="f4c29409d90b4a578b768720fd07bb93" ma:index="42" nillable="true" ma:taxonomy="true" ma:internalName="f4c29409d90b4a578b768720fd07bb93" ma:taxonomyFieldName="IMSProductType" ma:displayName="File IMS Product Type" ma:default=""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o370174a30b54570b9bc2a9201a399da" ma:index="44" nillable="true" ma:taxonomy="true" ma:internalName="o370174a30b54570b9bc2a9201a399da" ma:taxonomyFieldName="IMS_x0020_Precedent" ma:displayName="IMS Precedent" ma:readOnly="false" ma:fieldId="{8370174a-30b5-4570-b9bc-2a9201a399da}" ma:sspId="b38671ba-7d76-46f8-b8a5-5fc3a7d6229d" ma:termSetId="8c7e6307-f991-4b2f-967c-99c1c26b56b3"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c98799-20dc-43fa-a7f5-120fca1d2db7" elementFormDefault="qualified">
    <xsd:import namespace="http://schemas.microsoft.com/office/2006/documentManagement/types"/>
    <xsd:import namespace="http://schemas.microsoft.com/office/infopath/2007/PartnerControls"/>
    <xsd:element name="j9a53d7fe1554b91b170ef98e3957baf" ma:index="33" nillable="true" ma:taxonomy="true" ma:internalName="j9a53d7fe1554b91b170ef98e3957baf" ma:taxonomyFieldName="IMSFilesetEntity" ma:displayName="Fileset IMS Entity" ma:default="" ma:fieldId="{39a53d7f-e155-4b91-b170-ef98e3957baf}" ma:taxonomyMulti="true" ma:sspId="b38671ba-7d76-46f8-b8a5-5fc3a7d6229d" ma:termSetId="40156809-d0f5-45f9-b880-9371d52d720d" ma:anchorId="00000000-0000-0000-0000-000000000000" ma:open="false" ma:isKeyword="false">
      <xsd:complexType>
        <xsd:sequence>
          <xsd:element ref="pc:Terms" minOccurs="0" maxOccurs="1"/>
        </xsd:sequence>
      </xsd:complexType>
    </xsd:element>
    <xsd:element name="e3d6af94617946d9813caf87b95826d7" ma:index="35" nillable="true" ma:taxonomy="true" ma:internalName="e3d6af94617946d9813caf87b95826d7" ma:taxonomyFieldName="IMSFilesetProductType" ma:displayName="Fileset IMS Product Type" ma:default="" ma:fieldId="{e3d6af94-6179-46d9-813c-af87b95826d7}"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SFilesetOrganisationID xmlns="da7a9ac0-bc47-4684-84e6-3a8e9ac80c12" xsi:nil="true"/>
    <ga500041e31e499bae0a2e3b28b012fb xmlns="da7a9ac0-bc47-4684-84e6-3a8e9ac80c12" xsi:nil="true"/>
    <n984d001a78f4b1f81661dbc6638eecd xmlns="e61c8409-2b3d-41a9-86ff-6de17ebba263">
      <Terms xmlns="http://schemas.microsoft.com/office/infopath/2007/PartnerControls"/>
    </n984d001a78f4b1f81661dbc6638eecd>
    <RecordNumber xmlns="da7a9ac0-bc47-4684-84e6-3a8e9ac80c12">R20160000806516</RecordNumber>
    <hb3476fe0c25428da9d0464ead195eef xmlns="e61c8409-2b3d-41a9-86ff-6de17ebba263">
      <Terms xmlns="http://schemas.microsoft.com/office/infopath/2007/PartnerControls"/>
    </hb3476fe0c25428da9d0464ead195eef>
    <ObjectiveID xmlns="da7a9ac0-bc47-4684-84e6-3a8e9ac80c12" xsi:nil="true"/>
    <f998abd3fd1d41029811a1917032a7bb xmlns="da7a9ac0-bc47-4684-84e6-3a8e9ac80c12" xsi:nil="true"/>
    <n5630a39299d49819c7e0406fbc52e67 xmlns="da7a9ac0-bc47-4684-84e6-3a8e9ac80c12" xsi:nil="true"/>
    <IMSOrganisationID xmlns="da7a9ac0-bc47-4684-84e6-3a8e9ac80c12" xsi:nil="true"/>
    <b909c30f6af94f8daa4f6bc346664858 xmlns="da7a9ac0-bc47-4684-84e6-3a8e9ac80c12" xsi:nil="true"/>
    <IconOverlay xmlns="http://schemas.microsoft.com/sharepoint/v4" xsi:nil="true"/>
    <TaxCatchAll xmlns="e61c8409-2b3d-41a9-86ff-6de17ebba263">
      <Value>6</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f51ae816e01b4965a21cde6183109b29 xmlns="e61c8409-2b3d-41a9-86ff-6de17ebba263">
      <Terms xmlns="http://schemas.microsoft.com/office/infopath/2007/PartnerControls"/>
    </f51ae816e01b4965a21cde6183109b29>
    <SenateOrder12 xmlns="da7a9ac0-bc47-4684-84e6-3a8e9ac80c12">false</SenateOrder12>
    <j9a53d7fe1554b91b170ef98e3957baf xmlns="0ac98799-20dc-43fa-a7f5-120fca1d2db7">
      <Terms xmlns="http://schemas.microsoft.com/office/infopath/2007/PartnerControls"/>
    </j9a53d7fe1554b91b170ef98e3957baf>
    <k9c390b121b84919acb0b9151690da40 xmlns="e61c8409-2b3d-41a9-86ff-6de17ebba263">
      <Terms xmlns="http://schemas.microsoft.com/office/infopath/2007/PartnerControls"/>
    </k9c390b121b84919acb0b9151690da40>
    <Approvers xmlns="17f478ab-373e-4295-9ff0-9b833ad01319">
      <UserInfo>
        <DisplayName/>
        <AccountId xsi:nil="true"/>
        <AccountType/>
      </UserInfo>
    </Approvers>
    <ded95d7ab059406991d558011d18c177 xmlns="da7a9ac0-bc47-4684-84e6-3a8e9ac80c12" xsi:nil="true"/>
    <Reviewers xmlns="17f478ab-373e-4295-9ff0-9b833ad01319">
      <UserInfo>
        <DisplayName/>
        <AccountId xsi:nil="true"/>
        <AccountType/>
      </UserInfo>
    </Reviewers>
    <e3d6af94617946d9813caf87b95826d7 xmlns="0ac98799-20dc-43fa-a7f5-120fca1d2db7">
      <Terms xmlns="http://schemas.microsoft.com/office/infopath/2007/PartnerControls"/>
    </e3d6af94617946d9813caf87b95826d7>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o370174a30b54570b9bc2a9201a399da xmlns="e61c8409-2b3d-41a9-86ff-6de17ebba263">
      <Terms xmlns="http://schemas.microsoft.com/office/infopath/2007/PartnerControls"/>
    </o370174a30b54570b9bc2a9201a399d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15A75-3731-4DBA-88D7-462710776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17f478ab-373e-4295-9ff0-9b833ad01319"/>
    <ds:schemaRef ds:uri="0ac98799-20dc-43fa-a7f5-120fca1d2db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9DC8A-B8A3-4312-ADC0-8CE62E878DA4}">
  <ds:schemaRefs>
    <ds:schemaRef ds:uri="http://schemas.microsoft.com/sharepoint/v3/contenttype/forms"/>
  </ds:schemaRefs>
</ds:datastoreItem>
</file>

<file path=customXml/itemProps3.xml><?xml version="1.0" encoding="utf-8"?>
<ds:datastoreItem xmlns:ds="http://schemas.openxmlformats.org/officeDocument/2006/customXml" ds:itemID="{0601F455-392C-4C71-B00B-5F46C5E49F13}">
  <ds:schemaRefs>
    <ds:schemaRef ds:uri="http://schemas.microsoft.com/office/2006/metadata/properties"/>
    <ds:schemaRef ds:uri="http://purl.org/dc/elements/1.1/"/>
    <ds:schemaRef ds:uri="e61c8409-2b3d-41a9-86ff-6de17ebba263"/>
    <ds:schemaRef ds:uri="http://purl.org/dc/terms/"/>
    <ds:schemaRef ds:uri="da7a9ac0-bc47-4684-84e6-3a8e9ac80c12"/>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sharepoint/v4"/>
    <ds:schemaRef ds:uri="0ac98799-20dc-43fa-a7f5-120fca1d2db7"/>
    <ds:schemaRef ds:uri="17f478ab-373e-4295-9ff0-9b833ad01319"/>
    <ds:schemaRef ds:uri="http://www.w3.org/XML/1998/namespace"/>
  </ds:schemaRefs>
</ds:datastoreItem>
</file>

<file path=customXml/itemProps4.xml><?xml version="1.0" encoding="utf-8"?>
<ds:datastoreItem xmlns:ds="http://schemas.openxmlformats.org/officeDocument/2006/customXml" ds:itemID="{2111113F-0594-4129-9D68-8E2A72E7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james.grapsas</dc:creator>
  <cp:lastModifiedBy>lucy.chadszinow</cp:lastModifiedBy>
  <cp:revision>2</cp:revision>
  <cp:lastPrinted>2016-12-12T06:06:00Z</cp:lastPrinted>
  <dcterms:created xsi:type="dcterms:W3CDTF">2016-12-12T22:22:00Z</dcterms:created>
  <dcterms:modified xsi:type="dcterms:W3CDTF">2016-12-12T22:22:00Z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A4332383</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2014-11-20T23:09:27Z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2014-11-20T23:12:17Z</vt:filetime>
  </property>
  <property fmtid="{D5CDD505-2E9C-101B-9397-08002B2CF9AE}" pid="10" name="Objective-ModificationStamp">
    <vt:filetime>2014-11-21T03:12:38Z</vt:filetime>
  </property>
  <property fmtid="{D5CDD505-2E9C-101B-9397-08002B2CF9AE}" pid="11" name="Objective-Owner">
    <vt:lpwstr>Gillian Kreuiter</vt:lpwstr>
  </property>
  <property fmtid="{D5CDD505-2E9C-101B-9397-08002B2CF9AE}" pid="12" name="Objective-Path">
    <vt:lpwstr>BCS:ASIC:POLICY &amp; REGULATORY FRAMEWORK:Policy Development:Technical Updates &amp; Other:Sunsetting Class Orders Project:Sunsetting of legislative instruments:Project Management:Training materials:Explanatory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0x010100B5F685A1365F544391EF8C813B164F3AC100B96475DE23F29F44A6FD58A31C00EB7B</vt:lpwstr>
  </property>
  <property fmtid="{D5CDD505-2E9C-101B-9397-08002B2CF9AE}" pid="23" name="RecordPoint_WorkflowType">
    <vt:lpwstr>ActiveSubmitStub</vt:lpwstr>
  </property>
  <property fmtid="{D5CDD505-2E9C-101B-9397-08002B2CF9AE}" pid="24" name="File search keywords">
    <vt:lpwstr/>
  </property>
  <property fmtid="{D5CDD505-2E9C-101B-9397-08002B2CF9AE}" pid="25" name="IMSEntity">
    <vt:lpwstr/>
  </property>
  <property fmtid="{D5CDD505-2E9C-101B-9397-08002B2CF9AE}" pid="26" name="ga26016f869e4783a544bf28ac019362">
    <vt:lpwstr/>
  </property>
  <property fmtid="{D5CDD505-2E9C-101B-9397-08002B2CF9AE}" pid="27" name="SecondaryJurisdiction">
    <vt:lpwstr/>
  </property>
  <property fmtid="{D5CDD505-2E9C-101B-9397-08002B2CF9AE}" pid="28" name="SecurityClassification">
    <vt:lpwstr>6;#Sensitive|19fd2cb8-3e97-4464-ae71-8c2c2095d028</vt:lpwstr>
  </property>
  <property fmtid="{D5CDD505-2E9C-101B-9397-08002B2CF9AE}" pid="29" name="Fileset search keywords">
    <vt:lpwstr/>
  </property>
  <property fmtid="{D5CDD505-2E9C-101B-9397-08002B2CF9AE}" pid="30" name="IMSDocumentType">
    <vt:lpwstr/>
  </property>
  <property fmtid="{D5CDD505-2E9C-101B-9397-08002B2CF9AE}" pid="31" name="IMSFilesetEntity">
    <vt:lpwstr/>
  </property>
  <property fmtid="{D5CDD505-2E9C-101B-9397-08002B2CF9AE}" pid="32" name="IMSProductType">
    <vt:lpwstr/>
  </property>
  <property fmtid="{D5CDD505-2E9C-101B-9397-08002B2CF9AE}" pid="33" name="af3f57e54dba403ca4ebb14e4094a9d8">
    <vt:lpwstr/>
  </property>
  <property fmtid="{D5CDD505-2E9C-101B-9397-08002B2CF9AE}" pid="34" name="PrimaryJurisction">
    <vt:lpwstr/>
  </property>
  <property fmtid="{D5CDD505-2E9C-101B-9397-08002B2CF9AE}" pid="35" name="IMSFilesetProductType">
    <vt:lpwstr/>
  </property>
  <property fmtid="{D5CDD505-2E9C-101B-9397-08002B2CF9AE}" pid="36" name="RecordPoint_ActiveItemWebId">
    <vt:lpwstr>{e61c8409-2b3d-41a9-86ff-6de17ebba263}</vt:lpwstr>
  </property>
  <property fmtid="{D5CDD505-2E9C-101B-9397-08002B2CF9AE}" pid="37" name="RecordPoint_ActiveItemSiteId">
    <vt:lpwstr>{7c55c358-5415-4198-9ede-08a0775024ad}</vt:lpwstr>
  </property>
  <property fmtid="{D5CDD505-2E9C-101B-9397-08002B2CF9AE}" pid="38" name="RecordPoint_ActiveItemListId">
    <vt:lpwstr>{0ac98799-20dc-43fa-a7f5-120fca1d2db7}</vt:lpwstr>
  </property>
  <property fmtid="{D5CDD505-2E9C-101B-9397-08002B2CF9AE}" pid="39" name="RecordPoint_ActiveItemUniqueId">
    <vt:lpwstr>{5dfb1097-6c8f-40b6-a2d4-d6040505b286}</vt:lpwstr>
  </property>
  <property fmtid="{D5CDD505-2E9C-101B-9397-08002B2CF9AE}" pid="40" name="RecordPoint_RecordNumberSubmitted">
    <vt:lpwstr>R20160000806516</vt:lpwstr>
  </property>
  <property fmtid="{D5CDD505-2E9C-101B-9397-08002B2CF9AE}" pid="41" name="RecordPoint_SubmissionCompleted">
    <vt:lpwstr>2016-12-02T11:45:57.1268494+11:00</vt:lpwstr>
  </property>
  <property fmtid="{D5CDD505-2E9C-101B-9397-08002B2CF9AE}" pid="42" name="Precedent">
    <vt:bool>false</vt:bool>
  </property>
  <property fmtid="{D5CDD505-2E9C-101B-9397-08002B2CF9AE}" pid="43" name="IMS_x0020_Precedent">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IMS Precedent">
    <vt:lpwstr/>
  </property>
</Properties>
</file>