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2F73E9" w:rsidRDefault="00BD7B7A" w:rsidP="002F73E9">
      <w:pPr>
        <w:spacing w:before="0" w:after="160" w:line="259" w:lineRule="auto"/>
        <w:jc w:val="center"/>
        <w:rPr>
          <w:rFonts w:eastAsiaTheme="minorHAnsi"/>
          <w:b/>
          <w:sz w:val="28"/>
          <w:szCs w:val="28"/>
        </w:rPr>
      </w:pPr>
      <w:r w:rsidRPr="002F73E9">
        <w:rPr>
          <w:rFonts w:eastAsiaTheme="minorHAnsi"/>
          <w:b/>
          <w:sz w:val="28"/>
          <w:szCs w:val="28"/>
        </w:rPr>
        <w:t>EXPLANATORY STATEMENT</w:t>
      </w:r>
    </w:p>
    <w:p w14:paraId="570A7542" w14:textId="0486DEFF" w:rsidR="00BD7B7A" w:rsidRPr="002F73E9" w:rsidRDefault="002F73E9" w:rsidP="002F73E9">
      <w:pPr>
        <w:spacing w:before="0" w:after="160" w:line="259" w:lineRule="auto"/>
        <w:jc w:val="center"/>
        <w:rPr>
          <w:rFonts w:eastAsiaTheme="minorHAnsi"/>
          <w:sz w:val="22"/>
          <w:szCs w:val="22"/>
        </w:rPr>
      </w:pPr>
      <w:r w:rsidRPr="002F73E9">
        <w:rPr>
          <w:rFonts w:eastAsiaTheme="minorHAnsi"/>
          <w:sz w:val="22"/>
          <w:szCs w:val="22"/>
        </w:rPr>
        <w:t xml:space="preserve">Approved </w:t>
      </w:r>
      <w:r w:rsidR="00BD7B7A" w:rsidRPr="002F73E9">
        <w:rPr>
          <w:rFonts w:eastAsiaTheme="minorHAnsi"/>
          <w:sz w:val="22"/>
          <w:szCs w:val="22"/>
        </w:rPr>
        <w:t>by the Australian Communications and Media Authority</w:t>
      </w:r>
    </w:p>
    <w:p w14:paraId="79CC0485" w14:textId="3D78E244" w:rsidR="00C2739C" w:rsidRPr="00C2739C" w:rsidRDefault="002F73E9" w:rsidP="002F73E9">
      <w:pPr>
        <w:spacing w:before="0" w:after="160" w:line="259" w:lineRule="auto"/>
        <w:jc w:val="center"/>
      </w:pPr>
      <w:proofErr w:type="spellStart"/>
      <w:r w:rsidRPr="002F73E9">
        <w:rPr>
          <w:rFonts w:eastAsiaTheme="minorHAnsi"/>
          <w:i/>
          <w:sz w:val="22"/>
          <w:szCs w:val="22"/>
        </w:rPr>
        <w:t>Radiocommunications</w:t>
      </w:r>
      <w:proofErr w:type="spellEnd"/>
      <w:r w:rsidRPr="00C26A6B">
        <w:rPr>
          <w:rFonts w:cs="Arial"/>
          <w:i/>
          <w:sz w:val="20"/>
        </w:rPr>
        <w:t xml:space="preserve"> Act 1992</w:t>
      </w:r>
    </w:p>
    <w:p w14:paraId="2EDF94E8" w14:textId="2EA2C3C4" w:rsidR="00BD7B7A" w:rsidRPr="00C26A6B" w:rsidRDefault="00BD7B7A" w:rsidP="00051AF9">
      <w:pPr>
        <w:spacing w:before="0" w:after="160" w:line="259" w:lineRule="auto"/>
        <w:jc w:val="center"/>
        <w:rPr>
          <w:rFonts w:cs="Arial"/>
          <w:sz w:val="20"/>
        </w:rPr>
      </w:pPr>
      <w:proofErr w:type="spellStart"/>
      <w:r w:rsidRPr="002F73E9">
        <w:rPr>
          <w:rFonts w:eastAsiaTheme="minorHAnsi"/>
          <w:b/>
          <w:i/>
          <w:sz w:val="22"/>
          <w:szCs w:val="22"/>
        </w:rPr>
        <w:t>Radiocommunications</w:t>
      </w:r>
      <w:proofErr w:type="spellEnd"/>
      <w:r w:rsidRPr="002F73E9">
        <w:rPr>
          <w:rFonts w:eastAsiaTheme="minorHAnsi"/>
          <w:b/>
          <w:i/>
          <w:sz w:val="22"/>
          <w:szCs w:val="22"/>
        </w:rPr>
        <w:t xml:space="preserve"> Spectrum Marketing Plan (</w:t>
      </w:r>
      <w:r w:rsidR="0033228D" w:rsidRPr="002F73E9">
        <w:rPr>
          <w:rFonts w:eastAsiaTheme="minorHAnsi"/>
          <w:b/>
          <w:i/>
          <w:sz w:val="22"/>
          <w:szCs w:val="22"/>
        </w:rPr>
        <w:t>7</w:t>
      </w:r>
      <w:r w:rsidR="005C6DE2" w:rsidRPr="002F73E9">
        <w:rPr>
          <w:rFonts w:eastAsiaTheme="minorHAnsi"/>
          <w:b/>
          <w:i/>
          <w:sz w:val="22"/>
          <w:szCs w:val="22"/>
        </w:rPr>
        <w:t xml:space="preserve">00 MHz </w:t>
      </w:r>
      <w:r w:rsidR="00C2739C" w:rsidRPr="002F73E9">
        <w:rPr>
          <w:rFonts w:eastAsiaTheme="minorHAnsi"/>
          <w:b/>
          <w:i/>
          <w:sz w:val="22"/>
          <w:szCs w:val="22"/>
        </w:rPr>
        <w:t>Band) Variation 2016 (No. 1)</w:t>
      </w:r>
    </w:p>
    <w:p w14:paraId="52605A7A" w14:textId="6D14BB24" w:rsidR="00BD7B7A" w:rsidRPr="002F73E9" w:rsidRDefault="002F73E9" w:rsidP="002F73E9">
      <w:pPr>
        <w:spacing w:before="280" w:after="160" w:line="259" w:lineRule="auto"/>
        <w:rPr>
          <w:rFonts w:eastAsiaTheme="minorHAnsi"/>
          <w:b/>
          <w:sz w:val="22"/>
          <w:szCs w:val="22"/>
        </w:rPr>
      </w:pPr>
      <w:r w:rsidRPr="002F73E9">
        <w:rPr>
          <w:rFonts w:eastAsiaTheme="minorHAnsi"/>
          <w:b/>
          <w:sz w:val="22"/>
          <w:szCs w:val="22"/>
        </w:rPr>
        <w:t>Authority</w:t>
      </w:r>
    </w:p>
    <w:p w14:paraId="1D92E119" w14:textId="7DC9AAE4" w:rsidR="002F73E9" w:rsidRDefault="00BD7B7A" w:rsidP="002F73E9">
      <w:pPr>
        <w:spacing w:before="0" w:after="160" w:line="259" w:lineRule="auto"/>
        <w:rPr>
          <w:rFonts w:eastAsiaTheme="minorHAnsi"/>
          <w:sz w:val="22"/>
          <w:szCs w:val="22"/>
        </w:rPr>
      </w:pPr>
      <w:r w:rsidRPr="002F73E9">
        <w:rPr>
          <w:rFonts w:eastAsiaTheme="minorHAnsi"/>
          <w:sz w:val="22"/>
          <w:szCs w:val="22"/>
        </w:rPr>
        <w:t xml:space="preserve">The </w:t>
      </w:r>
      <w:r w:rsidR="002F73E9">
        <w:rPr>
          <w:rFonts w:eastAsiaTheme="minorHAnsi"/>
          <w:sz w:val="22"/>
          <w:szCs w:val="22"/>
        </w:rPr>
        <w:t>Australian Communications and Media Authority (</w:t>
      </w:r>
      <w:r w:rsidR="002F73E9" w:rsidRPr="002F73E9">
        <w:rPr>
          <w:rFonts w:eastAsiaTheme="minorHAnsi"/>
          <w:b/>
          <w:sz w:val="22"/>
          <w:szCs w:val="22"/>
        </w:rPr>
        <w:t>the ACMA</w:t>
      </w:r>
      <w:r w:rsidR="002F73E9">
        <w:rPr>
          <w:rFonts w:eastAsiaTheme="minorHAnsi"/>
          <w:sz w:val="22"/>
          <w:szCs w:val="22"/>
        </w:rPr>
        <w:t xml:space="preserve">) </w:t>
      </w:r>
      <w:r w:rsidR="007B37BC">
        <w:rPr>
          <w:rFonts w:eastAsiaTheme="minorHAnsi"/>
          <w:sz w:val="22"/>
          <w:szCs w:val="22"/>
        </w:rPr>
        <w:t xml:space="preserve">has made </w:t>
      </w:r>
      <w:r w:rsidR="002F73E9">
        <w:rPr>
          <w:rFonts w:eastAsiaTheme="minorHAnsi"/>
          <w:sz w:val="22"/>
          <w:szCs w:val="22"/>
        </w:rPr>
        <w:t xml:space="preserve">the </w:t>
      </w:r>
      <w:proofErr w:type="spellStart"/>
      <w:r w:rsidRPr="002F73E9">
        <w:rPr>
          <w:rFonts w:eastAsiaTheme="minorHAnsi"/>
          <w:i/>
          <w:sz w:val="22"/>
          <w:szCs w:val="22"/>
        </w:rPr>
        <w:t>Radiocommunications</w:t>
      </w:r>
      <w:proofErr w:type="spellEnd"/>
      <w:r w:rsidRPr="002F73E9">
        <w:rPr>
          <w:rFonts w:eastAsiaTheme="minorHAnsi"/>
          <w:i/>
          <w:sz w:val="22"/>
          <w:szCs w:val="22"/>
        </w:rPr>
        <w:t xml:space="preserve"> Spectrum Marketing Plan (</w:t>
      </w:r>
      <w:r w:rsidR="00F829F1" w:rsidRPr="002F73E9">
        <w:rPr>
          <w:rFonts w:eastAsiaTheme="minorHAnsi"/>
          <w:i/>
          <w:sz w:val="22"/>
          <w:szCs w:val="22"/>
        </w:rPr>
        <w:t>700</w:t>
      </w:r>
      <w:r w:rsidR="005C6DE2" w:rsidRPr="002F73E9">
        <w:rPr>
          <w:rFonts w:eastAsiaTheme="minorHAnsi"/>
          <w:i/>
          <w:sz w:val="22"/>
          <w:szCs w:val="22"/>
        </w:rPr>
        <w:t xml:space="preserve"> M</w:t>
      </w:r>
      <w:r w:rsidRPr="002F73E9">
        <w:rPr>
          <w:rFonts w:eastAsiaTheme="minorHAnsi"/>
          <w:i/>
          <w:sz w:val="22"/>
          <w:szCs w:val="22"/>
        </w:rPr>
        <w:t xml:space="preserve">Hz </w:t>
      </w:r>
      <w:r w:rsidR="005213DA" w:rsidRPr="002F73E9">
        <w:rPr>
          <w:rFonts w:eastAsiaTheme="minorHAnsi"/>
          <w:i/>
          <w:sz w:val="22"/>
          <w:szCs w:val="22"/>
        </w:rPr>
        <w:t>Band</w:t>
      </w:r>
      <w:r w:rsidRPr="002F73E9">
        <w:rPr>
          <w:rFonts w:eastAsiaTheme="minorHAnsi"/>
          <w:i/>
          <w:sz w:val="22"/>
          <w:szCs w:val="22"/>
        </w:rPr>
        <w:t xml:space="preserve">) </w:t>
      </w:r>
      <w:r w:rsidR="005213DA" w:rsidRPr="002F73E9">
        <w:rPr>
          <w:rFonts w:eastAsiaTheme="minorHAnsi"/>
          <w:i/>
          <w:sz w:val="22"/>
          <w:szCs w:val="22"/>
        </w:rPr>
        <w:t xml:space="preserve">Variation </w:t>
      </w:r>
      <w:r w:rsidRPr="002F73E9">
        <w:rPr>
          <w:rFonts w:eastAsiaTheme="minorHAnsi"/>
          <w:i/>
          <w:sz w:val="22"/>
          <w:szCs w:val="22"/>
        </w:rPr>
        <w:t>201</w:t>
      </w:r>
      <w:r w:rsidR="00F829F1" w:rsidRPr="002F73E9">
        <w:rPr>
          <w:rFonts w:eastAsiaTheme="minorHAnsi"/>
          <w:i/>
          <w:sz w:val="22"/>
          <w:szCs w:val="22"/>
        </w:rPr>
        <w:t xml:space="preserve">6 </w:t>
      </w:r>
      <w:r w:rsidR="005213DA" w:rsidRPr="002F73E9">
        <w:rPr>
          <w:rFonts w:eastAsiaTheme="minorHAnsi"/>
          <w:i/>
          <w:sz w:val="22"/>
          <w:szCs w:val="22"/>
        </w:rPr>
        <w:t>(No. 1)</w:t>
      </w:r>
      <w:r w:rsidR="005213DA" w:rsidRPr="002F73E9">
        <w:rPr>
          <w:rFonts w:eastAsiaTheme="minorHAnsi"/>
          <w:sz w:val="22"/>
          <w:szCs w:val="22"/>
        </w:rPr>
        <w:t xml:space="preserve"> </w:t>
      </w:r>
      <w:r w:rsidRPr="002F73E9">
        <w:rPr>
          <w:rFonts w:eastAsiaTheme="minorHAnsi"/>
          <w:sz w:val="22"/>
          <w:szCs w:val="22"/>
        </w:rPr>
        <w:t>(</w:t>
      </w:r>
      <w:r w:rsidR="002F73E9" w:rsidRPr="002F73E9">
        <w:rPr>
          <w:rFonts w:eastAsiaTheme="minorHAnsi"/>
          <w:b/>
          <w:sz w:val="22"/>
          <w:szCs w:val="22"/>
        </w:rPr>
        <w:t xml:space="preserve">the </w:t>
      </w:r>
      <w:r w:rsidRPr="002F73E9">
        <w:rPr>
          <w:rFonts w:eastAsiaTheme="minorHAnsi"/>
          <w:b/>
          <w:sz w:val="22"/>
          <w:szCs w:val="22"/>
        </w:rPr>
        <w:t>Marketing Plan</w:t>
      </w:r>
      <w:r w:rsidR="005213DA" w:rsidRPr="002F73E9">
        <w:rPr>
          <w:rFonts w:eastAsiaTheme="minorHAnsi"/>
          <w:b/>
          <w:sz w:val="22"/>
          <w:szCs w:val="22"/>
        </w:rPr>
        <w:t xml:space="preserve"> Variation</w:t>
      </w:r>
      <w:r w:rsidRPr="002F73E9">
        <w:rPr>
          <w:rFonts w:eastAsiaTheme="minorHAnsi"/>
          <w:sz w:val="22"/>
          <w:szCs w:val="22"/>
        </w:rPr>
        <w:t xml:space="preserve">) </w:t>
      </w:r>
      <w:r w:rsidR="002F73E9">
        <w:rPr>
          <w:rFonts w:eastAsiaTheme="minorHAnsi"/>
          <w:sz w:val="22"/>
          <w:szCs w:val="22"/>
        </w:rPr>
        <w:t xml:space="preserve">under subsection 42(1) of the </w:t>
      </w:r>
      <w:proofErr w:type="spellStart"/>
      <w:r w:rsidR="002F73E9">
        <w:rPr>
          <w:rFonts w:eastAsiaTheme="minorHAnsi"/>
          <w:i/>
          <w:sz w:val="22"/>
          <w:szCs w:val="22"/>
        </w:rPr>
        <w:t>Radiocommunications</w:t>
      </w:r>
      <w:proofErr w:type="spellEnd"/>
      <w:r w:rsidR="002F73E9">
        <w:rPr>
          <w:rFonts w:eastAsiaTheme="minorHAnsi"/>
          <w:i/>
          <w:sz w:val="22"/>
          <w:szCs w:val="22"/>
        </w:rPr>
        <w:t xml:space="preserve"> Act 1992 </w:t>
      </w:r>
      <w:r w:rsidR="002F73E9">
        <w:rPr>
          <w:rFonts w:eastAsiaTheme="minorHAnsi"/>
          <w:sz w:val="22"/>
          <w:szCs w:val="22"/>
        </w:rPr>
        <w:t>(</w:t>
      </w:r>
      <w:r w:rsidR="002F73E9">
        <w:rPr>
          <w:rFonts w:eastAsiaTheme="minorHAnsi"/>
          <w:b/>
          <w:sz w:val="22"/>
          <w:szCs w:val="22"/>
        </w:rPr>
        <w:t>the Act</w:t>
      </w:r>
      <w:r w:rsidR="002F73E9">
        <w:rPr>
          <w:rFonts w:eastAsiaTheme="minorHAnsi"/>
          <w:sz w:val="22"/>
          <w:szCs w:val="22"/>
        </w:rPr>
        <w:t>).</w:t>
      </w:r>
    </w:p>
    <w:p w14:paraId="6D511AC0" w14:textId="0F0A9B4B" w:rsidR="002F73E9" w:rsidRDefault="002F73E9" w:rsidP="002F73E9">
      <w:pPr>
        <w:spacing w:before="0" w:after="160" w:line="259" w:lineRule="auto"/>
        <w:rPr>
          <w:rFonts w:eastAsiaTheme="minorHAnsi"/>
          <w:sz w:val="22"/>
          <w:szCs w:val="22"/>
        </w:rPr>
      </w:pPr>
      <w:r>
        <w:rPr>
          <w:rFonts w:eastAsiaTheme="minorHAnsi"/>
          <w:sz w:val="22"/>
          <w:szCs w:val="22"/>
        </w:rPr>
        <w:t>Section 42 of the Act provides that the ACMA may, at any time, by legislative instrument, vary a marketing plan.  Part 2.2 of the Act applies in relation to a variation of a marketing plan in the same way that it applies in relation to the preparation of the marketing plan.</w:t>
      </w:r>
    </w:p>
    <w:p w14:paraId="3FC9135F" w14:textId="6B7EDCB8" w:rsidR="00BD7B7A" w:rsidRPr="002F73E9" w:rsidRDefault="002F73E9" w:rsidP="002F73E9">
      <w:pPr>
        <w:spacing w:before="280" w:after="160" w:line="259" w:lineRule="auto"/>
        <w:rPr>
          <w:rFonts w:eastAsiaTheme="minorHAnsi"/>
          <w:b/>
          <w:sz w:val="22"/>
          <w:szCs w:val="22"/>
        </w:rPr>
      </w:pPr>
      <w:r w:rsidRPr="002F73E9">
        <w:rPr>
          <w:rFonts w:eastAsiaTheme="minorHAnsi"/>
          <w:b/>
          <w:sz w:val="22"/>
          <w:szCs w:val="22"/>
        </w:rPr>
        <w:t>Purpose and operation of the Marketing Plan Variation</w:t>
      </w:r>
    </w:p>
    <w:p w14:paraId="07AA82DA" w14:textId="2C7C162A" w:rsidR="000E3892" w:rsidRDefault="000E3892" w:rsidP="002F73E9">
      <w:pPr>
        <w:spacing w:before="0" w:after="160" w:line="259" w:lineRule="auto"/>
        <w:rPr>
          <w:rFonts w:eastAsiaTheme="minorHAnsi"/>
          <w:sz w:val="22"/>
          <w:szCs w:val="22"/>
        </w:rPr>
      </w:pPr>
      <w:r>
        <w:rPr>
          <w:rFonts w:eastAsiaTheme="minorHAnsi"/>
          <w:sz w:val="22"/>
          <w:szCs w:val="22"/>
        </w:rPr>
        <w:t xml:space="preserve">The Marketing Plan Variation varies the </w:t>
      </w:r>
      <w:proofErr w:type="spellStart"/>
      <w:r>
        <w:rPr>
          <w:rFonts w:eastAsiaTheme="minorHAnsi"/>
          <w:i/>
          <w:sz w:val="22"/>
          <w:szCs w:val="22"/>
        </w:rPr>
        <w:t>Radiocommunications</w:t>
      </w:r>
      <w:proofErr w:type="spellEnd"/>
      <w:r>
        <w:rPr>
          <w:rFonts w:eastAsiaTheme="minorHAnsi"/>
          <w:i/>
          <w:sz w:val="22"/>
          <w:szCs w:val="22"/>
        </w:rPr>
        <w:t xml:space="preserve"> Spectrum Marketing Plan (700 MHz Band) 2012 </w:t>
      </w:r>
      <w:r>
        <w:rPr>
          <w:rFonts w:eastAsiaTheme="minorHAnsi"/>
          <w:sz w:val="22"/>
          <w:szCs w:val="22"/>
        </w:rPr>
        <w:t>(</w:t>
      </w:r>
      <w:r w:rsidRPr="000E3892">
        <w:rPr>
          <w:rFonts w:eastAsiaTheme="minorHAnsi"/>
          <w:b/>
          <w:sz w:val="22"/>
          <w:szCs w:val="22"/>
        </w:rPr>
        <w:t>the 2012 Plan</w:t>
      </w:r>
      <w:r>
        <w:rPr>
          <w:rFonts w:eastAsiaTheme="minorHAnsi"/>
          <w:sz w:val="22"/>
          <w:szCs w:val="22"/>
        </w:rPr>
        <w:t xml:space="preserve">).  The changes made by </w:t>
      </w:r>
      <w:r w:rsidR="003635D5">
        <w:rPr>
          <w:rFonts w:eastAsiaTheme="minorHAnsi"/>
          <w:sz w:val="22"/>
          <w:szCs w:val="22"/>
        </w:rPr>
        <w:t xml:space="preserve">the </w:t>
      </w:r>
      <w:r>
        <w:rPr>
          <w:rFonts w:eastAsiaTheme="minorHAnsi"/>
          <w:sz w:val="22"/>
          <w:szCs w:val="22"/>
        </w:rPr>
        <w:t xml:space="preserve">Marketing Plan Variation to the 2012 Plan are </w:t>
      </w:r>
      <w:r w:rsidR="003635D5">
        <w:rPr>
          <w:rFonts w:eastAsiaTheme="minorHAnsi"/>
          <w:sz w:val="22"/>
          <w:szCs w:val="22"/>
        </w:rPr>
        <w:t xml:space="preserve">primarily </w:t>
      </w:r>
      <w:r>
        <w:rPr>
          <w:rFonts w:eastAsiaTheme="minorHAnsi"/>
          <w:sz w:val="22"/>
          <w:szCs w:val="22"/>
        </w:rPr>
        <w:t xml:space="preserve">to remove the </w:t>
      </w:r>
      <w:r w:rsidRPr="00A313EF">
        <w:rPr>
          <w:rFonts w:eastAsiaTheme="minorHAnsi"/>
          <w:sz w:val="22"/>
          <w:szCs w:val="22"/>
        </w:rPr>
        <w:t>frequency ranges 733 MHz to 748 MHz and 788 MHz to 803 MHz (</w:t>
      </w:r>
      <w:r w:rsidRPr="00A313EF">
        <w:rPr>
          <w:rFonts w:eastAsiaTheme="minorHAnsi"/>
          <w:b/>
          <w:sz w:val="22"/>
          <w:szCs w:val="22"/>
        </w:rPr>
        <w:t xml:space="preserve">the </w:t>
      </w:r>
      <w:r w:rsidR="001848EB" w:rsidRPr="00A313EF">
        <w:rPr>
          <w:rFonts w:eastAsiaTheme="minorHAnsi"/>
          <w:b/>
          <w:sz w:val="22"/>
          <w:szCs w:val="22"/>
        </w:rPr>
        <w:t>700 MHz (unallocated lots) band</w:t>
      </w:r>
      <w:r w:rsidRPr="00A313EF">
        <w:rPr>
          <w:rFonts w:eastAsiaTheme="minorHAnsi"/>
          <w:sz w:val="22"/>
          <w:szCs w:val="22"/>
        </w:rPr>
        <w:t>) from the operation of the</w:t>
      </w:r>
      <w:r>
        <w:rPr>
          <w:rFonts w:eastAsiaTheme="minorHAnsi"/>
          <w:sz w:val="22"/>
          <w:szCs w:val="22"/>
        </w:rPr>
        <w:t xml:space="preserve"> 2012 Plan, from the date of commencement of the </w:t>
      </w:r>
      <w:r w:rsidR="00DE6323">
        <w:rPr>
          <w:rFonts w:eastAsiaTheme="minorHAnsi"/>
          <w:sz w:val="22"/>
          <w:szCs w:val="22"/>
        </w:rPr>
        <w:t>Marketing Plan Variation</w:t>
      </w:r>
      <w:r>
        <w:rPr>
          <w:rFonts w:eastAsiaTheme="minorHAnsi"/>
          <w:sz w:val="22"/>
          <w:szCs w:val="22"/>
        </w:rPr>
        <w:t xml:space="preserve">.  A new marketing plan, the </w:t>
      </w:r>
      <w:proofErr w:type="spellStart"/>
      <w:r>
        <w:rPr>
          <w:rFonts w:eastAsiaTheme="minorHAnsi"/>
          <w:i/>
          <w:sz w:val="22"/>
          <w:szCs w:val="22"/>
        </w:rPr>
        <w:t>Radiocommunications</w:t>
      </w:r>
      <w:proofErr w:type="spellEnd"/>
      <w:r>
        <w:rPr>
          <w:rFonts w:eastAsiaTheme="minorHAnsi"/>
          <w:i/>
          <w:sz w:val="22"/>
          <w:szCs w:val="22"/>
        </w:rPr>
        <w:t xml:space="preserve"> Spectrum Marketing Plan (700 MHz unallocated lots band) 2016</w:t>
      </w:r>
      <w:r>
        <w:rPr>
          <w:rFonts w:eastAsiaTheme="minorHAnsi"/>
          <w:sz w:val="22"/>
          <w:szCs w:val="22"/>
        </w:rPr>
        <w:t xml:space="preserve"> (</w:t>
      </w:r>
      <w:r w:rsidRPr="000E3892">
        <w:rPr>
          <w:rFonts w:eastAsiaTheme="minorHAnsi"/>
          <w:b/>
          <w:sz w:val="22"/>
          <w:szCs w:val="22"/>
        </w:rPr>
        <w:t>the 2016 Marketing Plan</w:t>
      </w:r>
      <w:r>
        <w:rPr>
          <w:rFonts w:eastAsiaTheme="minorHAnsi"/>
          <w:sz w:val="22"/>
          <w:szCs w:val="22"/>
        </w:rPr>
        <w:t xml:space="preserve">) will apply to the </w:t>
      </w:r>
      <w:r w:rsidR="001848EB">
        <w:rPr>
          <w:rFonts w:eastAsiaTheme="minorHAnsi"/>
          <w:sz w:val="22"/>
          <w:szCs w:val="22"/>
        </w:rPr>
        <w:t>700 MHz (unallocated lots) band</w:t>
      </w:r>
      <w:r w:rsidR="007B37BC">
        <w:rPr>
          <w:rFonts w:eastAsiaTheme="minorHAnsi"/>
          <w:sz w:val="22"/>
          <w:szCs w:val="22"/>
        </w:rPr>
        <w:t xml:space="preserve"> from that date</w:t>
      </w:r>
      <w:r>
        <w:rPr>
          <w:rFonts w:eastAsiaTheme="minorHAnsi"/>
          <w:sz w:val="22"/>
          <w:szCs w:val="22"/>
        </w:rPr>
        <w:t>.</w:t>
      </w:r>
    </w:p>
    <w:p w14:paraId="1983FB39" w14:textId="77777777" w:rsidR="000E3892" w:rsidRPr="00644348" w:rsidRDefault="000E3892" w:rsidP="000E3892">
      <w:pPr>
        <w:spacing w:after="160" w:line="259" w:lineRule="auto"/>
        <w:rPr>
          <w:rFonts w:eastAsiaTheme="minorHAnsi"/>
          <w:i/>
          <w:sz w:val="22"/>
          <w:szCs w:val="22"/>
        </w:rPr>
      </w:pPr>
      <w:r w:rsidRPr="00644348">
        <w:rPr>
          <w:rFonts w:eastAsiaTheme="minorHAnsi"/>
          <w:i/>
          <w:sz w:val="22"/>
          <w:szCs w:val="22"/>
        </w:rPr>
        <w:t>Background</w:t>
      </w:r>
    </w:p>
    <w:p w14:paraId="391BCF61" w14:textId="7D655F2C" w:rsidR="000E3892" w:rsidRPr="00525481" w:rsidRDefault="000E3892" w:rsidP="000E3892">
      <w:pPr>
        <w:spacing w:after="160" w:line="259" w:lineRule="auto"/>
        <w:rPr>
          <w:rFonts w:eastAsiaTheme="minorHAnsi"/>
          <w:sz w:val="22"/>
          <w:szCs w:val="22"/>
        </w:rPr>
      </w:pPr>
      <w:r>
        <w:rPr>
          <w:rFonts w:eastAsiaTheme="minorHAnsi"/>
          <w:sz w:val="22"/>
          <w:szCs w:val="22"/>
        </w:rPr>
        <w:t>On 1</w:t>
      </w:r>
      <w:r w:rsidRPr="00525481">
        <w:rPr>
          <w:rFonts w:eastAsiaTheme="minorHAnsi"/>
          <w:sz w:val="22"/>
          <w:szCs w:val="22"/>
        </w:rPr>
        <w:t xml:space="preserve"> November 2011, following recommendations from the ACMA, the Minister </w:t>
      </w:r>
      <w:r>
        <w:rPr>
          <w:rFonts w:eastAsiaTheme="minorHAnsi"/>
          <w:sz w:val="22"/>
          <w:szCs w:val="22"/>
        </w:rPr>
        <w:t>for</w:t>
      </w:r>
      <w:r w:rsidRPr="008E0B0C">
        <w:rPr>
          <w:rFonts w:eastAsiaTheme="minorHAnsi"/>
          <w:sz w:val="22"/>
          <w:szCs w:val="22"/>
        </w:rPr>
        <w:t xml:space="preserve"> Broadband, Communications and the Digital Economy</w:t>
      </w:r>
      <w:r>
        <w:rPr>
          <w:rFonts w:eastAsiaTheme="minorHAnsi"/>
          <w:sz w:val="22"/>
          <w:szCs w:val="22"/>
        </w:rPr>
        <w:t xml:space="preserve"> </w:t>
      </w:r>
      <w:r w:rsidRPr="00525481">
        <w:rPr>
          <w:rFonts w:eastAsiaTheme="minorHAnsi"/>
          <w:sz w:val="22"/>
          <w:szCs w:val="22"/>
        </w:rPr>
        <w:t xml:space="preserve">made declarations that specific parts of the spectrum in both the 700 MHz and 2.5 GHz bands would be subject to re-allocation by spectrum licensing under section 153B of the Act. </w:t>
      </w:r>
      <w:r>
        <w:rPr>
          <w:rFonts w:eastAsiaTheme="minorHAnsi"/>
          <w:sz w:val="22"/>
          <w:szCs w:val="22"/>
        </w:rPr>
        <w:t xml:space="preserve"> </w:t>
      </w:r>
      <w:r w:rsidRPr="00525481">
        <w:rPr>
          <w:rFonts w:eastAsiaTheme="minorHAnsi"/>
          <w:sz w:val="22"/>
          <w:szCs w:val="22"/>
        </w:rPr>
        <w:t xml:space="preserve">Two blocks of spectrum in each band </w:t>
      </w:r>
      <w:r>
        <w:rPr>
          <w:rFonts w:eastAsiaTheme="minorHAnsi"/>
          <w:sz w:val="22"/>
          <w:szCs w:val="22"/>
        </w:rPr>
        <w:t>we</w:t>
      </w:r>
      <w:r w:rsidRPr="00525481">
        <w:rPr>
          <w:rFonts w:eastAsiaTheme="minorHAnsi"/>
          <w:sz w:val="22"/>
          <w:szCs w:val="22"/>
        </w:rPr>
        <w:t>re to be re</w:t>
      </w:r>
      <w:r>
        <w:rPr>
          <w:rFonts w:eastAsiaTheme="minorHAnsi"/>
          <w:sz w:val="22"/>
          <w:szCs w:val="22"/>
        </w:rPr>
        <w:t>-</w:t>
      </w:r>
      <w:r w:rsidRPr="00525481">
        <w:rPr>
          <w:rFonts w:eastAsiaTheme="minorHAnsi"/>
          <w:sz w:val="22"/>
          <w:szCs w:val="22"/>
        </w:rPr>
        <w:t xml:space="preserve">allocated. </w:t>
      </w:r>
      <w:r>
        <w:rPr>
          <w:rFonts w:eastAsiaTheme="minorHAnsi"/>
          <w:sz w:val="22"/>
          <w:szCs w:val="22"/>
        </w:rPr>
        <w:t xml:space="preserve"> </w:t>
      </w:r>
      <w:r w:rsidRPr="00525481">
        <w:rPr>
          <w:rFonts w:eastAsiaTheme="minorHAnsi"/>
          <w:sz w:val="22"/>
          <w:szCs w:val="22"/>
        </w:rPr>
        <w:t xml:space="preserve">In the </w:t>
      </w:r>
      <w:r w:rsidRPr="0013743A">
        <w:rPr>
          <w:rFonts w:eastAsiaTheme="minorHAnsi"/>
          <w:b/>
          <w:sz w:val="22"/>
          <w:szCs w:val="22"/>
        </w:rPr>
        <w:t>700 MHz band</w:t>
      </w:r>
      <w:r>
        <w:rPr>
          <w:rFonts w:eastAsiaTheme="minorHAnsi"/>
          <w:sz w:val="22"/>
          <w:szCs w:val="22"/>
        </w:rPr>
        <w:t>,</w:t>
      </w:r>
      <w:r w:rsidRPr="00525481">
        <w:rPr>
          <w:rFonts w:eastAsiaTheme="minorHAnsi"/>
          <w:sz w:val="22"/>
          <w:szCs w:val="22"/>
        </w:rPr>
        <w:t xml:space="preserve"> this correspond</w:t>
      </w:r>
      <w:r>
        <w:rPr>
          <w:rFonts w:eastAsiaTheme="minorHAnsi"/>
          <w:sz w:val="22"/>
          <w:szCs w:val="22"/>
        </w:rPr>
        <w:t>ed</w:t>
      </w:r>
      <w:r w:rsidRPr="00525481">
        <w:rPr>
          <w:rFonts w:eastAsiaTheme="minorHAnsi"/>
          <w:sz w:val="22"/>
          <w:szCs w:val="22"/>
        </w:rPr>
        <w:t xml:space="preserve"> to the frequency ranges 703</w:t>
      </w:r>
      <w:r>
        <w:rPr>
          <w:rFonts w:eastAsiaTheme="minorHAnsi"/>
          <w:sz w:val="22"/>
          <w:szCs w:val="22"/>
        </w:rPr>
        <w:t xml:space="preserve"> </w:t>
      </w:r>
      <w:r w:rsidR="00051AF9">
        <w:rPr>
          <w:rFonts w:eastAsiaTheme="minorHAnsi"/>
          <w:sz w:val="22"/>
          <w:szCs w:val="22"/>
        </w:rPr>
        <w:t xml:space="preserve">MHz </w:t>
      </w:r>
      <w:r>
        <w:rPr>
          <w:rFonts w:eastAsiaTheme="minorHAnsi"/>
          <w:sz w:val="22"/>
          <w:szCs w:val="22"/>
        </w:rPr>
        <w:t xml:space="preserve">to </w:t>
      </w:r>
      <w:r w:rsidRPr="00525481">
        <w:rPr>
          <w:rFonts w:eastAsiaTheme="minorHAnsi"/>
          <w:sz w:val="22"/>
          <w:szCs w:val="22"/>
        </w:rPr>
        <w:t>748 MHz and 758</w:t>
      </w:r>
      <w:r w:rsidR="00051AF9">
        <w:rPr>
          <w:rFonts w:eastAsiaTheme="minorHAnsi"/>
          <w:sz w:val="22"/>
          <w:szCs w:val="22"/>
        </w:rPr>
        <w:t xml:space="preserve"> MHz</w:t>
      </w:r>
      <w:r>
        <w:rPr>
          <w:rFonts w:eastAsiaTheme="minorHAnsi"/>
          <w:sz w:val="22"/>
          <w:szCs w:val="22"/>
        </w:rPr>
        <w:t xml:space="preserve"> to </w:t>
      </w:r>
      <w:r w:rsidR="00051AF9" w:rsidRPr="00525481">
        <w:rPr>
          <w:rFonts w:eastAsiaTheme="minorHAnsi"/>
          <w:sz w:val="22"/>
          <w:szCs w:val="22"/>
        </w:rPr>
        <w:t>803</w:t>
      </w:r>
      <w:r w:rsidR="00051AF9">
        <w:rPr>
          <w:rFonts w:eastAsiaTheme="minorHAnsi"/>
          <w:sz w:val="22"/>
          <w:szCs w:val="22"/>
        </w:rPr>
        <w:t> </w:t>
      </w:r>
      <w:r w:rsidRPr="00525481">
        <w:rPr>
          <w:rFonts w:eastAsiaTheme="minorHAnsi"/>
          <w:sz w:val="22"/>
          <w:szCs w:val="22"/>
        </w:rPr>
        <w:t>MHz</w:t>
      </w:r>
      <w:r>
        <w:rPr>
          <w:rFonts w:eastAsiaTheme="minorHAnsi"/>
          <w:sz w:val="22"/>
          <w:szCs w:val="22"/>
        </w:rPr>
        <w:t xml:space="preserve"> (see the </w:t>
      </w:r>
      <w:proofErr w:type="spellStart"/>
      <w:r>
        <w:rPr>
          <w:rFonts w:eastAsiaTheme="minorHAnsi"/>
          <w:i/>
          <w:sz w:val="22"/>
          <w:szCs w:val="22"/>
        </w:rPr>
        <w:t>Radiocommunications</w:t>
      </w:r>
      <w:proofErr w:type="spellEnd"/>
      <w:r>
        <w:rPr>
          <w:rFonts w:eastAsiaTheme="minorHAnsi"/>
          <w:i/>
          <w:sz w:val="22"/>
          <w:szCs w:val="22"/>
        </w:rPr>
        <w:t xml:space="preserve"> (Spectrum Re-allocation) Declaration No. 1 of 2011 </w:t>
      </w:r>
      <w:r>
        <w:rPr>
          <w:rFonts w:eastAsiaTheme="minorHAnsi"/>
          <w:sz w:val="22"/>
          <w:szCs w:val="22"/>
        </w:rPr>
        <w:t>(</w:t>
      </w:r>
      <w:r w:rsidRPr="0092683E">
        <w:rPr>
          <w:rFonts w:eastAsiaTheme="minorHAnsi"/>
          <w:b/>
          <w:sz w:val="22"/>
          <w:szCs w:val="22"/>
        </w:rPr>
        <w:t>the Re-allocation Declaration</w:t>
      </w:r>
      <w:r>
        <w:rPr>
          <w:rFonts w:eastAsiaTheme="minorHAnsi"/>
          <w:sz w:val="22"/>
          <w:szCs w:val="22"/>
        </w:rPr>
        <w:t>))</w:t>
      </w:r>
      <w:r w:rsidRPr="00525481">
        <w:rPr>
          <w:rFonts w:eastAsiaTheme="minorHAnsi"/>
          <w:sz w:val="22"/>
          <w:szCs w:val="22"/>
        </w:rPr>
        <w:t xml:space="preserve">. </w:t>
      </w:r>
      <w:r w:rsidR="0013743A">
        <w:rPr>
          <w:rFonts w:eastAsiaTheme="minorHAnsi"/>
          <w:sz w:val="22"/>
          <w:szCs w:val="22"/>
        </w:rPr>
        <w:t xml:space="preserve"> The </w:t>
      </w:r>
      <w:r w:rsidR="001848EB">
        <w:rPr>
          <w:rFonts w:eastAsiaTheme="minorHAnsi"/>
          <w:sz w:val="22"/>
          <w:szCs w:val="22"/>
        </w:rPr>
        <w:t xml:space="preserve">700 MHz (unallocated lots) band </w:t>
      </w:r>
      <w:r w:rsidR="0013743A">
        <w:rPr>
          <w:rFonts w:eastAsiaTheme="minorHAnsi"/>
          <w:sz w:val="22"/>
          <w:szCs w:val="22"/>
        </w:rPr>
        <w:t>is a subset of the 700 MHz band.</w:t>
      </w:r>
    </w:p>
    <w:p w14:paraId="166120E1" w14:textId="77777777" w:rsidR="000E3892" w:rsidRPr="00644348" w:rsidRDefault="000E3892" w:rsidP="000E3892">
      <w:pPr>
        <w:keepNext/>
        <w:spacing w:after="160" w:line="259" w:lineRule="auto"/>
        <w:rPr>
          <w:rFonts w:eastAsiaTheme="minorHAnsi"/>
          <w:i/>
          <w:sz w:val="22"/>
          <w:szCs w:val="22"/>
        </w:rPr>
      </w:pPr>
      <w:r w:rsidRPr="00644348">
        <w:rPr>
          <w:rFonts w:eastAsiaTheme="minorHAnsi"/>
          <w:i/>
          <w:sz w:val="22"/>
          <w:szCs w:val="22"/>
        </w:rPr>
        <w:t>700 MHz band allocation in 2013</w:t>
      </w:r>
    </w:p>
    <w:p w14:paraId="273703DF" w14:textId="0FBB2842" w:rsidR="000E3892" w:rsidRPr="00525481" w:rsidRDefault="000E3892" w:rsidP="000E3892">
      <w:pPr>
        <w:spacing w:after="160" w:line="259" w:lineRule="auto"/>
        <w:rPr>
          <w:rFonts w:eastAsiaTheme="minorHAnsi"/>
          <w:sz w:val="22"/>
          <w:szCs w:val="22"/>
        </w:rPr>
      </w:pPr>
      <w:r w:rsidRPr="00525481">
        <w:rPr>
          <w:rFonts w:eastAsiaTheme="minorHAnsi"/>
          <w:sz w:val="22"/>
          <w:szCs w:val="22"/>
        </w:rPr>
        <w:t xml:space="preserve">The ACMA undertook a </w:t>
      </w:r>
      <w:r>
        <w:rPr>
          <w:rFonts w:eastAsiaTheme="minorHAnsi"/>
          <w:sz w:val="22"/>
          <w:szCs w:val="22"/>
        </w:rPr>
        <w:t>‘</w:t>
      </w:r>
      <w:r w:rsidRPr="00525481">
        <w:rPr>
          <w:rFonts w:eastAsiaTheme="minorHAnsi"/>
          <w:sz w:val="22"/>
          <w:szCs w:val="22"/>
        </w:rPr>
        <w:t>Combinatorial Clock Auction</w:t>
      </w:r>
      <w:r>
        <w:rPr>
          <w:rFonts w:eastAsiaTheme="minorHAnsi"/>
          <w:sz w:val="22"/>
          <w:szCs w:val="22"/>
        </w:rPr>
        <w:t>’</w:t>
      </w:r>
      <w:r w:rsidRPr="00525481">
        <w:rPr>
          <w:rFonts w:eastAsiaTheme="minorHAnsi"/>
          <w:sz w:val="22"/>
          <w:szCs w:val="22"/>
        </w:rPr>
        <w:t xml:space="preserve"> in 2013 for the 700 MHz </w:t>
      </w:r>
      <w:r>
        <w:rPr>
          <w:rFonts w:eastAsiaTheme="minorHAnsi"/>
          <w:sz w:val="22"/>
          <w:szCs w:val="22"/>
        </w:rPr>
        <w:t xml:space="preserve">band </w:t>
      </w:r>
      <w:r w:rsidRPr="00525481">
        <w:rPr>
          <w:rFonts w:eastAsiaTheme="minorHAnsi"/>
          <w:sz w:val="22"/>
          <w:szCs w:val="22"/>
        </w:rPr>
        <w:t>and</w:t>
      </w:r>
      <w:r>
        <w:rPr>
          <w:rFonts w:eastAsiaTheme="minorHAnsi"/>
          <w:sz w:val="22"/>
          <w:szCs w:val="22"/>
        </w:rPr>
        <w:t xml:space="preserve"> the </w:t>
      </w:r>
      <w:r w:rsidRPr="00525481">
        <w:rPr>
          <w:rFonts w:eastAsiaTheme="minorHAnsi"/>
          <w:sz w:val="22"/>
          <w:szCs w:val="22"/>
        </w:rPr>
        <w:t>2.</w:t>
      </w:r>
      <w:r w:rsidR="00051AF9" w:rsidRPr="00525481">
        <w:rPr>
          <w:rFonts w:eastAsiaTheme="minorHAnsi"/>
          <w:sz w:val="22"/>
          <w:szCs w:val="22"/>
        </w:rPr>
        <w:t>5</w:t>
      </w:r>
      <w:r w:rsidR="00051AF9">
        <w:rPr>
          <w:rFonts w:eastAsiaTheme="minorHAnsi"/>
          <w:sz w:val="22"/>
          <w:szCs w:val="22"/>
        </w:rPr>
        <w:t> </w:t>
      </w:r>
      <w:r w:rsidRPr="00525481">
        <w:rPr>
          <w:rFonts w:eastAsiaTheme="minorHAnsi"/>
          <w:sz w:val="22"/>
          <w:szCs w:val="22"/>
        </w:rPr>
        <w:t>G</w:t>
      </w:r>
      <w:r>
        <w:rPr>
          <w:rFonts w:eastAsiaTheme="minorHAnsi"/>
          <w:sz w:val="22"/>
          <w:szCs w:val="22"/>
        </w:rPr>
        <w:t>H</w:t>
      </w:r>
      <w:r w:rsidRPr="00525481">
        <w:rPr>
          <w:rFonts w:eastAsiaTheme="minorHAnsi"/>
          <w:sz w:val="22"/>
          <w:szCs w:val="22"/>
        </w:rPr>
        <w:t>z band</w:t>
      </w:r>
      <w:r>
        <w:rPr>
          <w:rFonts w:eastAsiaTheme="minorHAnsi"/>
          <w:sz w:val="22"/>
          <w:szCs w:val="22"/>
        </w:rPr>
        <w:t xml:space="preserve">, in accordance with the </w:t>
      </w:r>
      <w:proofErr w:type="spellStart"/>
      <w:r>
        <w:rPr>
          <w:rFonts w:eastAsiaTheme="minorHAnsi"/>
          <w:i/>
          <w:sz w:val="22"/>
          <w:szCs w:val="22"/>
        </w:rPr>
        <w:t>Radiocommunications</w:t>
      </w:r>
      <w:proofErr w:type="spellEnd"/>
      <w:r>
        <w:rPr>
          <w:rFonts w:eastAsiaTheme="minorHAnsi"/>
          <w:i/>
          <w:sz w:val="22"/>
          <w:szCs w:val="22"/>
        </w:rPr>
        <w:t xml:space="preserve"> (Spectrum Licence Allocation</w:t>
      </w:r>
      <w:r w:rsidRPr="00525481">
        <w:rPr>
          <w:rFonts w:eastAsiaTheme="minorHAnsi"/>
          <w:i/>
          <w:sz w:val="22"/>
          <w:szCs w:val="22"/>
        </w:rPr>
        <w:t>—Combinatorial Clock Auction) Determination 2012</w:t>
      </w:r>
      <w:r w:rsidRPr="00525481">
        <w:rPr>
          <w:rFonts w:eastAsiaTheme="minorHAnsi"/>
          <w:sz w:val="22"/>
          <w:szCs w:val="22"/>
        </w:rPr>
        <w:t xml:space="preserve">. </w:t>
      </w:r>
      <w:r>
        <w:rPr>
          <w:rFonts w:eastAsiaTheme="minorHAnsi"/>
          <w:sz w:val="22"/>
          <w:szCs w:val="22"/>
        </w:rPr>
        <w:t xml:space="preserve"> </w:t>
      </w:r>
      <w:r w:rsidRPr="00525481">
        <w:rPr>
          <w:rFonts w:eastAsiaTheme="minorHAnsi"/>
          <w:sz w:val="22"/>
          <w:szCs w:val="22"/>
        </w:rPr>
        <w:t>In the 700 MHz band, there were nine 2 x 5 MHz national lots on offer (</w:t>
      </w:r>
      <w:r>
        <w:rPr>
          <w:rFonts w:eastAsiaTheme="minorHAnsi"/>
          <w:sz w:val="22"/>
          <w:szCs w:val="22"/>
        </w:rPr>
        <w:t xml:space="preserve">totalling </w:t>
      </w:r>
      <w:r w:rsidRPr="00525481">
        <w:rPr>
          <w:rFonts w:eastAsiaTheme="minorHAnsi"/>
          <w:sz w:val="22"/>
          <w:szCs w:val="22"/>
        </w:rPr>
        <w:t>2 x 45 M</w:t>
      </w:r>
      <w:r>
        <w:rPr>
          <w:rFonts w:eastAsiaTheme="minorHAnsi"/>
          <w:sz w:val="22"/>
          <w:szCs w:val="22"/>
        </w:rPr>
        <w:t>H</w:t>
      </w:r>
      <w:r w:rsidRPr="00525481">
        <w:rPr>
          <w:rFonts w:eastAsiaTheme="minorHAnsi"/>
          <w:sz w:val="22"/>
          <w:szCs w:val="22"/>
        </w:rPr>
        <w:t xml:space="preserve">z).  Optus Mobile </w:t>
      </w:r>
      <w:r>
        <w:rPr>
          <w:rFonts w:eastAsiaTheme="minorHAnsi"/>
          <w:sz w:val="22"/>
          <w:szCs w:val="22"/>
        </w:rPr>
        <w:t>Pty Ltd won</w:t>
      </w:r>
      <w:r w:rsidRPr="00525481">
        <w:rPr>
          <w:rFonts w:eastAsiaTheme="minorHAnsi"/>
          <w:sz w:val="22"/>
          <w:szCs w:val="22"/>
        </w:rPr>
        <w:t xml:space="preserve"> </w:t>
      </w:r>
      <w:r>
        <w:rPr>
          <w:rFonts w:eastAsiaTheme="minorHAnsi"/>
          <w:sz w:val="22"/>
          <w:szCs w:val="22"/>
        </w:rPr>
        <w:t>two</w:t>
      </w:r>
      <w:r w:rsidRPr="00525481">
        <w:rPr>
          <w:rFonts w:eastAsiaTheme="minorHAnsi"/>
          <w:sz w:val="22"/>
          <w:szCs w:val="22"/>
        </w:rPr>
        <w:t xml:space="preserve"> lots (</w:t>
      </w:r>
      <w:r>
        <w:rPr>
          <w:rFonts w:eastAsiaTheme="minorHAnsi"/>
          <w:sz w:val="22"/>
          <w:szCs w:val="22"/>
        </w:rPr>
        <w:t xml:space="preserve">totalling </w:t>
      </w:r>
      <w:r w:rsidRPr="00525481">
        <w:rPr>
          <w:rFonts w:eastAsiaTheme="minorHAnsi"/>
          <w:sz w:val="22"/>
          <w:szCs w:val="22"/>
        </w:rPr>
        <w:t xml:space="preserve">2 x </w:t>
      </w:r>
      <w:r w:rsidR="00051AF9" w:rsidRPr="00525481">
        <w:rPr>
          <w:rFonts w:eastAsiaTheme="minorHAnsi"/>
          <w:sz w:val="22"/>
          <w:szCs w:val="22"/>
        </w:rPr>
        <w:t>10</w:t>
      </w:r>
      <w:r w:rsidR="00051AF9">
        <w:rPr>
          <w:rFonts w:eastAsiaTheme="minorHAnsi"/>
          <w:sz w:val="22"/>
          <w:szCs w:val="22"/>
        </w:rPr>
        <w:t> </w:t>
      </w:r>
      <w:r w:rsidRPr="00525481">
        <w:rPr>
          <w:rFonts w:eastAsiaTheme="minorHAnsi"/>
          <w:sz w:val="22"/>
          <w:szCs w:val="22"/>
        </w:rPr>
        <w:t>MHz</w:t>
      </w:r>
      <w:r>
        <w:rPr>
          <w:rFonts w:eastAsiaTheme="minorHAnsi"/>
          <w:sz w:val="22"/>
          <w:szCs w:val="22"/>
        </w:rPr>
        <w:t>, for the frequency ranges</w:t>
      </w:r>
      <w:r w:rsidRPr="00525481">
        <w:rPr>
          <w:rFonts w:eastAsiaTheme="minorHAnsi"/>
          <w:sz w:val="22"/>
          <w:szCs w:val="22"/>
        </w:rPr>
        <w:t xml:space="preserve"> 703</w:t>
      </w:r>
      <w:r>
        <w:rPr>
          <w:rFonts w:eastAsiaTheme="minorHAnsi"/>
          <w:sz w:val="22"/>
          <w:szCs w:val="22"/>
        </w:rPr>
        <w:t xml:space="preserve"> </w:t>
      </w:r>
      <w:r w:rsidR="00051AF9">
        <w:rPr>
          <w:rFonts w:eastAsiaTheme="minorHAnsi"/>
          <w:sz w:val="22"/>
          <w:szCs w:val="22"/>
        </w:rPr>
        <w:t xml:space="preserve">MHz </w:t>
      </w:r>
      <w:r>
        <w:rPr>
          <w:rFonts w:eastAsiaTheme="minorHAnsi"/>
          <w:sz w:val="22"/>
          <w:szCs w:val="22"/>
        </w:rPr>
        <w:t xml:space="preserve">to </w:t>
      </w:r>
      <w:r w:rsidRPr="00525481">
        <w:rPr>
          <w:rFonts w:eastAsiaTheme="minorHAnsi"/>
          <w:sz w:val="22"/>
          <w:szCs w:val="22"/>
        </w:rPr>
        <w:t>713 MHz</w:t>
      </w:r>
      <w:r>
        <w:rPr>
          <w:rFonts w:eastAsiaTheme="minorHAnsi"/>
          <w:sz w:val="22"/>
          <w:szCs w:val="22"/>
        </w:rPr>
        <w:t xml:space="preserve"> and </w:t>
      </w:r>
      <w:r w:rsidRPr="00525481">
        <w:rPr>
          <w:rFonts w:eastAsiaTheme="minorHAnsi"/>
          <w:sz w:val="22"/>
          <w:szCs w:val="22"/>
        </w:rPr>
        <w:t>758</w:t>
      </w:r>
      <w:r w:rsidR="00051AF9">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768 MHz) and Telstra</w:t>
      </w:r>
      <w:r>
        <w:rPr>
          <w:rFonts w:eastAsiaTheme="minorHAnsi"/>
          <w:sz w:val="22"/>
          <w:szCs w:val="22"/>
        </w:rPr>
        <w:t xml:space="preserve"> Corporation Ltd</w:t>
      </w:r>
      <w:r w:rsidRPr="00525481">
        <w:rPr>
          <w:rFonts w:eastAsiaTheme="minorHAnsi"/>
          <w:sz w:val="22"/>
          <w:szCs w:val="22"/>
        </w:rPr>
        <w:t xml:space="preserve"> </w:t>
      </w:r>
      <w:r>
        <w:rPr>
          <w:rFonts w:eastAsiaTheme="minorHAnsi"/>
          <w:sz w:val="22"/>
          <w:szCs w:val="22"/>
        </w:rPr>
        <w:t>won four</w:t>
      </w:r>
      <w:r w:rsidRPr="00525481">
        <w:rPr>
          <w:rFonts w:eastAsiaTheme="minorHAnsi"/>
          <w:sz w:val="22"/>
          <w:szCs w:val="22"/>
        </w:rPr>
        <w:t xml:space="preserve"> lots (</w:t>
      </w:r>
      <w:r>
        <w:rPr>
          <w:rFonts w:eastAsiaTheme="minorHAnsi"/>
          <w:sz w:val="22"/>
          <w:szCs w:val="22"/>
        </w:rPr>
        <w:t xml:space="preserve">totalling </w:t>
      </w:r>
      <w:r w:rsidRPr="00525481">
        <w:rPr>
          <w:rFonts w:eastAsiaTheme="minorHAnsi"/>
          <w:sz w:val="22"/>
          <w:szCs w:val="22"/>
        </w:rPr>
        <w:t>2 x 20 MHz</w:t>
      </w:r>
      <w:r>
        <w:rPr>
          <w:rFonts w:eastAsiaTheme="minorHAnsi"/>
          <w:sz w:val="22"/>
          <w:szCs w:val="22"/>
        </w:rPr>
        <w:t>, for the frequency ranges</w:t>
      </w:r>
      <w:r w:rsidRPr="00525481">
        <w:rPr>
          <w:rFonts w:eastAsiaTheme="minorHAnsi"/>
          <w:sz w:val="22"/>
          <w:szCs w:val="22"/>
        </w:rPr>
        <w:t xml:space="preserve"> 713</w:t>
      </w:r>
      <w:r w:rsidR="00051AF9">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733 MHz</w:t>
      </w:r>
      <w:r>
        <w:rPr>
          <w:rFonts w:eastAsiaTheme="minorHAnsi"/>
          <w:sz w:val="22"/>
          <w:szCs w:val="22"/>
        </w:rPr>
        <w:t xml:space="preserve"> and </w:t>
      </w:r>
      <w:r w:rsidRPr="00525481">
        <w:rPr>
          <w:rFonts w:eastAsiaTheme="minorHAnsi"/>
          <w:sz w:val="22"/>
          <w:szCs w:val="22"/>
        </w:rPr>
        <w:t>768</w:t>
      </w:r>
      <w:r w:rsidR="00051AF9">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788</w:t>
      </w:r>
      <w:r>
        <w:rPr>
          <w:rFonts w:eastAsiaTheme="minorHAnsi"/>
          <w:sz w:val="22"/>
          <w:szCs w:val="22"/>
        </w:rPr>
        <w:t> </w:t>
      </w:r>
      <w:r w:rsidRPr="00525481">
        <w:rPr>
          <w:rFonts w:eastAsiaTheme="minorHAnsi"/>
          <w:sz w:val="22"/>
          <w:szCs w:val="22"/>
        </w:rPr>
        <w:t xml:space="preserve">MHz). </w:t>
      </w:r>
      <w:r>
        <w:rPr>
          <w:rFonts w:eastAsiaTheme="minorHAnsi"/>
          <w:sz w:val="22"/>
          <w:szCs w:val="22"/>
        </w:rPr>
        <w:t xml:space="preserve"> </w:t>
      </w:r>
      <w:r w:rsidRPr="00525481">
        <w:rPr>
          <w:rFonts w:eastAsiaTheme="minorHAnsi"/>
          <w:sz w:val="22"/>
          <w:szCs w:val="22"/>
        </w:rPr>
        <w:t>This meant that there were three 2 x 5 MHz lots (</w:t>
      </w:r>
      <w:r>
        <w:rPr>
          <w:rFonts w:eastAsiaTheme="minorHAnsi"/>
          <w:sz w:val="22"/>
          <w:szCs w:val="22"/>
        </w:rPr>
        <w:t xml:space="preserve">totalling </w:t>
      </w:r>
      <w:r w:rsidRPr="00525481">
        <w:rPr>
          <w:rFonts w:eastAsiaTheme="minorHAnsi"/>
          <w:sz w:val="22"/>
          <w:szCs w:val="22"/>
        </w:rPr>
        <w:t>2 x 15 MHz</w:t>
      </w:r>
      <w:r>
        <w:rPr>
          <w:rFonts w:eastAsiaTheme="minorHAnsi"/>
          <w:sz w:val="22"/>
          <w:szCs w:val="22"/>
        </w:rPr>
        <w:t xml:space="preserve">, for the frequency ranges </w:t>
      </w:r>
      <w:r w:rsidRPr="00525481">
        <w:rPr>
          <w:rFonts w:eastAsiaTheme="minorHAnsi"/>
          <w:sz w:val="22"/>
          <w:szCs w:val="22"/>
        </w:rPr>
        <w:t>733</w:t>
      </w:r>
      <w:r w:rsidR="00051AF9">
        <w:rPr>
          <w:rFonts w:eastAsiaTheme="minorHAnsi"/>
          <w:sz w:val="22"/>
          <w:szCs w:val="22"/>
        </w:rPr>
        <w:t>MHz</w:t>
      </w:r>
      <w:r>
        <w:rPr>
          <w:rFonts w:eastAsiaTheme="minorHAnsi"/>
          <w:sz w:val="22"/>
          <w:szCs w:val="22"/>
        </w:rPr>
        <w:t xml:space="preserve"> to </w:t>
      </w:r>
      <w:r w:rsidRPr="00525481">
        <w:rPr>
          <w:rFonts w:eastAsiaTheme="minorHAnsi"/>
          <w:sz w:val="22"/>
          <w:szCs w:val="22"/>
        </w:rPr>
        <w:t>738</w:t>
      </w:r>
      <w:r>
        <w:rPr>
          <w:rFonts w:eastAsiaTheme="minorHAnsi"/>
          <w:sz w:val="22"/>
          <w:szCs w:val="22"/>
        </w:rPr>
        <w:t xml:space="preserve"> </w:t>
      </w:r>
      <w:r w:rsidR="00051AF9">
        <w:rPr>
          <w:rFonts w:eastAsiaTheme="minorHAnsi"/>
          <w:sz w:val="22"/>
          <w:szCs w:val="22"/>
        </w:rPr>
        <w:t xml:space="preserve">MHz </w:t>
      </w:r>
      <w:r>
        <w:rPr>
          <w:rFonts w:eastAsiaTheme="minorHAnsi"/>
          <w:sz w:val="22"/>
          <w:szCs w:val="22"/>
        </w:rPr>
        <w:t xml:space="preserve">and </w:t>
      </w:r>
      <w:r w:rsidRPr="00525481">
        <w:rPr>
          <w:rFonts w:eastAsiaTheme="minorHAnsi"/>
          <w:sz w:val="22"/>
          <w:szCs w:val="22"/>
        </w:rPr>
        <w:t>788</w:t>
      </w:r>
      <w:r w:rsidR="00051AF9">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 xml:space="preserve">793 MHz) which were left unsold. </w:t>
      </w:r>
    </w:p>
    <w:p w14:paraId="4F2EA617" w14:textId="1A041DA8" w:rsidR="000E3892" w:rsidRPr="00A313EF" w:rsidRDefault="000E3892" w:rsidP="00051AF9">
      <w:pPr>
        <w:keepNext/>
        <w:spacing w:after="160" w:line="259" w:lineRule="auto"/>
        <w:rPr>
          <w:rFonts w:eastAsiaTheme="minorHAnsi"/>
          <w:i/>
          <w:sz w:val="22"/>
          <w:szCs w:val="22"/>
        </w:rPr>
      </w:pPr>
      <w:r w:rsidRPr="00A313EF">
        <w:rPr>
          <w:rFonts w:eastAsiaTheme="minorHAnsi"/>
          <w:i/>
          <w:sz w:val="22"/>
          <w:szCs w:val="22"/>
        </w:rPr>
        <w:lastRenderedPageBreak/>
        <w:t>Residual 700 MHz band for allocation in 2017</w:t>
      </w:r>
    </w:p>
    <w:p w14:paraId="4A0CC23D" w14:textId="2F22DCBB" w:rsidR="000E3892" w:rsidRPr="00A313EF" w:rsidRDefault="000E3892" w:rsidP="00051AF9">
      <w:pPr>
        <w:spacing w:after="160" w:line="259" w:lineRule="auto"/>
        <w:rPr>
          <w:rFonts w:eastAsiaTheme="minorHAnsi"/>
        </w:rPr>
      </w:pPr>
      <w:r w:rsidRPr="00A313EF">
        <w:rPr>
          <w:rFonts w:eastAsiaTheme="minorHAnsi"/>
          <w:sz w:val="22"/>
          <w:szCs w:val="22"/>
        </w:rPr>
        <w:t>The Minister for Communications and the Arts, Senator Mitch Fifield, (</w:t>
      </w:r>
      <w:r w:rsidRPr="00A313EF">
        <w:rPr>
          <w:rFonts w:eastAsiaTheme="minorHAnsi"/>
          <w:b/>
          <w:sz w:val="22"/>
          <w:szCs w:val="22"/>
        </w:rPr>
        <w:t>the Minister</w:t>
      </w:r>
      <w:r w:rsidRPr="00A313EF">
        <w:rPr>
          <w:rFonts w:eastAsiaTheme="minorHAnsi"/>
          <w:sz w:val="22"/>
          <w:szCs w:val="22"/>
        </w:rPr>
        <w:t xml:space="preserve">) has directed the ACMA under section 14 of the </w:t>
      </w:r>
      <w:r w:rsidRPr="00A313EF">
        <w:rPr>
          <w:rFonts w:eastAsiaTheme="minorHAnsi"/>
          <w:i/>
          <w:sz w:val="22"/>
          <w:szCs w:val="22"/>
        </w:rPr>
        <w:t>Australian Communications and Media Authority Act 2005</w:t>
      </w:r>
      <w:r w:rsidRPr="00A313EF">
        <w:rPr>
          <w:rFonts w:eastAsiaTheme="minorHAnsi"/>
          <w:sz w:val="22"/>
          <w:szCs w:val="22"/>
        </w:rPr>
        <w:t xml:space="preserve"> to take such action as the ACMA considers necessary </w:t>
      </w:r>
      <w:r w:rsidR="00282291" w:rsidRPr="00A313EF">
        <w:rPr>
          <w:rFonts w:eastAsiaTheme="minorHAnsi"/>
          <w:sz w:val="22"/>
          <w:szCs w:val="22"/>
        </w:rPr>
        <w:t xml:space="preserve">or convenient </w:t>
      </w:r>
      <w:r w:rsidRPr="00A313EF">
        <w:rPr>
          <w:rFonts w:eastAsiaTheme="minorHAnsi"/>
          <w:sz w:val="22"/>
          <w:szCs w:val="22"/>
        </w:rPr>
        <w:t xml:space="preserve">to allocate and issue spectrum licences, authorising the operation of </w:t>
      </w:r>
      <w:proofErr w:type="spellStart"/>
      <w:r w:rsidRPr="00A313EF">
        <w:rPr>
          <w:rFonts w:eastAsiaTheme="minorHAnsi"/>
          <w:sz w:val="22"/>
          <w:szCs w:val="22"/>
        </w:rPr>
        <w:t>radiocommunications</w:t>
      </w:r>
      <w:proofErr w:type="spellEnd"/>
      <w:r w:rsidRPr="00A313EF">
        <w:rPr>
          <w:rFonts w:eastAsiaTheme="minorHAnsi"/>
          <w:sz w:val="22"/>
          <w:szCs w:val="22"/>
        </w:rPr>
        <w:t xml:space="preserve"> devices in the </w:t>
      </w:r>
      <w:r w:rsidR="0066573C" w:rsidRPr="00A313EF">
        <w:rPr>
          <w:rFonts w:eastAsiaTheme="minorHAnsi"/>
          <w:sz w:val="22"/>
          <w:szCs w:val="22"/>
        </w:rPr>
        <w:t xml:space="preserve">residual 700 MHz band in the designated area </w:t>
      </w:r>
      <w:r w:rsidRPr="00A313EF">
        <w:rPr>
          <w:rFonts w:eastAsiaTheme="minorHAnsi"/>
          <w:sz w:val="22"/>
          <w:szCs w:val="22"/>
        </w:rPr>
        <w:t xml:space="preserve">(see section 8 of the </w:t>
      </w:r>
      <w:proofErr w:type="spellStart"/>
      <w:r w:rsidRPr="00A313EF">
        <w:rPr>
          <w:rFonts w:eastAsiaTheme="minorHAnsi"/>
          <w:i/>
          <w:sz w:val="22"/>
          <w:szCs w:val="22"/>
        </w:rPr>
        <w:t>Radiocommunications</w:t>
      </w:r>
      <w:proofErr w:type="spellEnd"/>
      <w:r w:rsidRPr="00A313EF">
        <w:rPr>
          <w:rFonts w:eastAsiaTheme="minorHAnsi"/>
          <w:i/>
          <w:sz w:val="22"/>
          <w:szCs w:val="22"/>
        </w:rPr>
        <w:t xml:space="preserve"> (Spectrum Licence Allocation—Residual 700 MHz Spectrum) Direction 2016 </w:t>
      </w:r>
      <w:r w:rsidRPr="00A313EF">
        <w:rPr>
          <w:rFonts w:eastAsiaTheme="minorHAnsi"/>
          <w:sz w:val="22"/>
          <w:szCs w:val="22"/>
        </w:rPr>
        <w:t>(</w:t>
      </w:r>
      <w:r w:rsidRPr="00A313EF">
        <w:rPr>
          <w:rFonts w:eastAsiaTheme="minorHAnsi"/>
          <w:b/>
          <w:sz w:val="22"/>
          <w:szCs w:val="22"/>
        </w:rPr>
        <w:t>the Residual 700 MHz Spectrum Direction</w:t>
      </w:r>
      <w:r w:rsidRPr="00A313EF">
        <w:rPr>
          <w:rFonts w:eastAsiaTheme="minorHAnsi"/>
          <w:sz w:val="22"/>
          <w:szCs w:val="22"/>
        </w:rPr>
        <w:t>))</w:t>
      </w:r>
      <w:r w:rsidR="002C35EC">
        <w:rPr>
          <w:rFonts w:eastAsiaTheme="minorHAnsi"/>
          <w:sz w:val="22"/>
          <w:szCs w:val="22"/>
        </w:rPr>
        <w:t>.</w:t>
      </w:r>
      <w:r w:rsidR="001848EB" w:rsidRPr="00A313EF">
        <w:rPr>
          <w:rFonts w:eastAsiaTheme="minorHAnsi"/>
          <w:sz w:val="22"/>
          <w:szCs w:val="22"/>
        </w:rPr>
        <w:t xml:space="preserve">  In the Residual 700 MHz Spectrum Direction, the </w:t>
      </w:r>
      <w:r w:rsidR="0066573C" w:rsidRPr="00A313EF">
        <w:rPr>
          <w:rFonts w:eastAsiaTheme="minorHAnsi"/>
          <w:sz w:val="22"/>
          <w:szCs w:val="22"/>
        </w:rPr>
        <w:t xml:space="preserve">residual 700 MHz band corresponds to the </w:t>
      </w:r>
      <w:r w:rsidR="001848EB" w:rsidRPr="00A313EF">
        <w:rPr>
          <w:rFonts w:eastAsiaTheme="minorHAnsi"/>
          <w:sz w:val="22"/>
          <w:szCs w:val="22"/>
        </w:rPr>
        <w:t>700 MHz (unallocated lots) band</w:t>
      </w:r>
      <w:r w:rsidR="003635D5" w:rsidRPr="00A313EF">
        <w:rPr>
          <w:rFonts w:eastAsiaTheme="minorHAnsi"/>
          <w:sz w:val="22"/>
          <w:szCs w:val="22"/>
        </w:rPr>
        <w:t>.</w:t>
      </w:r>
    </w:p>
    <w:p w14:paraId="66846D6F" w14:textId="77777777" w:rsidR="000E3892" w:rsidRDefault="000E3892" w:rsidP="000E3892">
      <w:pPr>
        <w:spacing w:after="160" w:line="259" w:lineRule="auto"/>
        <w:rPr>
          <w:rFonts w:eastAsiaTheme="minorHAnsi"/>
          <w:sz w:val="22"/>
          <w:szCs w:val="22"/>
        </w:rPr>
      </w:pPr>
      <w:r w:rsidRPr="00A313EF">
        <w:rPr>
          <w:rFonts w:eastAsiaTheme="minorHAnsi"/>
          <w:sz w:val="22"/>
          <w:szCs w:val="22"/>
        </w:rPr>
        <w:t>The Minister has also directed the ACMA to allocate the spectrum licences by way of auction.</w:t>
      </w:r>
    </w:p>
    <w:p w14:paraId="19588780" w14:textId="09D792B2" w:rsidR="00070008" w:rsidRPr="002F73E9" w:rsidRDefault="00BD7B7A" w:rsidP="002F73E9">
      <w:pPr>
        <w:spacing w:before="0" w:after="160" w:line="259" w:lineRule="auto"/>
        <w:rPr>
          <w:rFonts w:eastAsiaTheme="minorHAnsi"/>
          <w:sz w:val="22"/>
          <w:szCs w:val="22"/>
        </w:rPr>
      </w:pPr>
      <w:r w:rsidRPr="002F73E9">
        <w:rPr>
          <w:rFonts w:eastAsiaTheme="minorHAnsi"/>
          <w:sz w:val="22"/>
          <w:szCs w:val="22"/>
        </w:rPr>
        <w:t>Under subsection 39A(2) of the Act, the ACMA must prepare a marketing plan for issuing spectrum licen</w:t>
      </w:r>
      <w:r w:rsidR="000E3892">
        <w:rPr>
          <w:rFonts w:eastAsiaTheme="minorHAnsi"/>
          <w:sz w:val="22"/>
          <w:szCs w:val="22"/>
        </w:rPr>
        <w:t>c</w:t>
      </w:r>
      <w:r w:rsidRPr="002F73E9">
        <w:rPr>
          <w:rFonts w:eastAsiaTheme="minorHAnsi"/>
          <w:sz w:val="22"/>
          <w:szCs w:val="22"/>
        </w:rPr>
        <w:t xml:space="preserve">es that authorise the use of </w:t>
      </w:r>
      <w:proofErr w:type="spellStart"/>
      <w:r w:rsidRPr="002F73E9">
        <w:rPr>
          <w:rFonts w:eastAsiaTheme="minorHAnsi"/>
          <w:sz w:val="22"/>
          <w:szCs w:val="22"/>
        </w:rPr>
        <w:t>radiocommunications</w:t>
      </w:r>
      <w:proofErr w:type="spellEnd"/>
      <w:r w:rsidRPr="002F73E9">
        <w:rPr>
          <w:rFonts w:eastAsiaTheme="minorHAnsi"/>
          <w:sz w:val="22"/>
          <w:szCs w:val="22"/>
        </w:rPr>
        <w:t xml:space="preserve"> devices </w:t>
      </w:r>
      <w:r w:rsidR="000E3892">
        <w:rPr>
          <w:rFonts w:eastAsiaTheme="minorHAnsi"/>
          <w:sz w:val="22"/>
          <w:szCs w:val="22"/>
        </w:rPr>
        <w:t>at frequencies with</w:t>
      </w:r>
      <w:r w:rsidRPr="002F73E9">
        <w:rPr>
          <w:rFonts w:eastAsiaTheme="minorHAnsi"/>
          <w:sz w:val="22"/>
          <w:szCs w:val="22"/>
        </w:rPr>
        <w:t xml:space="preserve">in </w:t>
      </w:r>
      <w:r w:rsidR="000E3892">
        <w:rPr>
          <w:rFonts w:eastAsiaTheme="minorHAnsi"/>
          <w:sz w:val="22"/>
          <w:szCs w:val="22"/>
        </w:rPr>
        <w:t xml:space="preserve">the </w:t>
      </w:r>
      <w:r w:rsidRPr="002F73E9">
        <w:rPr>
          <w:rFonts w:eastAsiaTheme="minorHAnsi"/>
          <w:sz w:val="22"/>
          <w:szCs w:val="22"/>
        </w:rPr>
        <w:t>parts of the spectrum</w:t>
      </w:r>
      <w:r w:rsidR="000E3892">
        <w:rPr>
          <w:rFonts w:eastAsiaTheme="minorHAnsi"/>
          <w:sz w:val="22"/>
          <w:szCs w:val="22"/>
        </w:rPr>
        <w:t>, and within the areas,</w:t>
      </w:r>
      <w:r w:rsidRPr="002F73E9">
        <w:rPr>
          <w:rFonts w:eastAsiaTheme="minorHAnsi"/>
          <w:sz w:val="22"/>
          <w:szCs w:val="22"/>
        </w:rPr>
        <w:t xml:space="preserve"> </w:t>
      </w:r>
      <w:r w:rsidR="0013743A">
        <w:rPr>
          <w:rFonts w:eastAsiaTheme="minorHAnsi"/>
          <w:sz w:val="22"/>
          <w:szCs w:val="22"/>
        </w:rPr>
        <w:t>specified in</w:t>
      </w:r>
      <w:r w:rsidRPr="002F73E9">
        <w:rPr>
          <w:rFonts w:eastAsiaTheme="minorHAnsi"/>
          <w:sz w:val="22"/>
          <w:szCs w:val="22"/>
        </w:rPr>
        <w:t xml:space="preserve"> the </w:t>
      </w:r>
      <w:r w:rsidR="0013743A">
        <w:rPr>
          <w:rFonts w:eastAsiaTheme="minorHAnsi"/>
          <w:sz w:val="22"/>
          <w:szCs w:val="22"/>
        </w:rPr>
        <w:t>R</w:t>
      </w:r>
      <w:r w:rsidR="00C26A6B" w:rsidRPr="002F73E9">
        <w:rPr>
          <w:rFonts w:eastAsiaTheme="minorHAnsi"/>
          <w:sz w:val="22"/>
          <w:szCs w:val="22"/>
        </w:rPr>
        <w:t xml:space="preserve">e-allocation </w:t>
      </w:r>
      <w:r w:rsidR="0013743A">
        <w:rPr>
          <w:rFonts w:eastAsiaTheme="minorHAnsi"/>
          <w:sz w:val="22"/>
          <w:szCs w:val="22"/>
        </w:rPr>
        <w:t>D</w:t>
      </w:r>
      <w:r w:rsidR="00C26A6B" w:rsidRPr="002F73E9">
        <w:rPr>
          <w:rFonts w:eastAsiaTheme="minorHAnsi"/>
          <w:sz w:val="22"/>
          <w:szCs w:val="22"/>
        </w:rPr>
        <w:t>eclaration</w:t>
      </w:r>
      <w:r w:rsidR="008350F0" w:rsidRPr="002F73E9">
        <w:rPr>
          <w:rFonts w:eastAsiaTheme="minorHAnsi"/>
          <w:sz w:val="22"/>
          <w:szCs w:val="22"/>
        </w:rPr>
        <w:t>.</w:t>
      </w:r>
      <w:r w:rsidR="004B1A4D" w:rsidRPr="002F73E9">
        <w:rPr>
          <w:rFonts w:eastAsiaTheme="minorHAnsi"/>
          <w:sz w:val="22"/>
          <w:szCs w:val="22"/>
        </w:rPr>
        <w:t xml:space="preserve"> </w:t>
      </w:r>
      <w:r w:rsidR="000E3892">
        <w:rPr>
          <w:rFonts w:eastAsiaTheme="minorHAnsi"/>
          <w:sz w:val="22"/>
          <w:szCs w:val="22"/>
        </w:rPr>
        <w:t xml:space="preserve"> </w:t>
      </w:r>
      <w:r w:rsidR="0013743A">
        <w:rPr>
          <w:rFonts w:eastAsiaTheme="minorHAnsi"/>
          <w:sz w:val="22"/>
          <w:szCs w:val="22"/>
        </w:rPr>
        <w:t>T</w:t>
      </w:r>
      <w:r w:rsidR="000E3892">
        <w:rPr>
          <w:rFonts w:eastAsiaTheme="minorHAnsi"/>
          <w:sz w:val="22"/>
          <w:szCs w:val="22"/>
        </w:rPr>
        <w:t xml:space="preserve">he </w:t>
      </w:r>
      <w:r w:rsidR="001848EB">
        <w:rPr>
          <w:rFonts w:eastAsiaTheme="minorHAnsi"/>
          <w:sz w:val="22"/>
          <w:szCs w:val="22"/>
        </w:rPr>
        <w:t>700 MHz (unallocated lots) band</w:t>
      </w:r>
      <w:r w:rsidR="0013743A">
        <w:rPr>
          <w:rFonts w:eastAsiaTheme="minorHAnsi"/>
          <w:sz w:val="22"/>
          <w:szCs w:val="22"/>
        </w:rPr>
        <w:t xml:space="preserve"> was covered by the 2012 Marketing Plan, as part of the allocation of the 700 MHz band that occurred in 2012.  However, in order to conduct a new allocation process for the </w:t>
      </w:r>
      <w:r w:rsidR="001848EB">
        <w:rPr>
          <w:rFonts w:eastAsiaTheme="minorHAnsi"/>
          <w:sz w:val="22"/>
          <w:szCs w:val="22"/>
        </w:rPr>
        <w:t>700 MHz (unallocated lots) band</w:t>
      </w:r>
      <w:r w:rsidR="0013743A">
        <w:rPr>
          <w:rFonts w:eastAsiaTheme="minorHAnsi"/>
          <w:sz w:val="22"/>
          <w:szCs w:val="22"/>
        </w:rPr>
        <w:t>, the ACMA has made the 2016 Marketing Plan</w:t>
      </w:r>
      <w:r w:rsidR="004B1A4D" w:rsidRPr="002F73E9">
        <w:rPr>
          <w:rFonts w:eastAsiaTheme="minorHAnsi"/>
          <w:sz w:val="22"/>
          <w:szCs w:val="22"/>
        </w:rPr>
        <w:t xml:space="preserve">. </w:t>
      </w:r>
      <w:r w:rsidR="0013743A">
        <w:rPr>
          <w:rFonts w:eastAsiaTheme="minorHAnsi"/>
          <w:sz w:val="22"/>
          <w:szCs w:val="22"/>
        </w:rPr>
        <w:t xml:space="preserve"> The ACMA has therefore made consequential amendments to the 2012 Marketing Plan, to remove the </w:t>
      </w:r>
      <w:r w:rsidR="001848EB">
        <w:rPr>
          <w:rFonts w:eastAsiaTheme="minorHAnsi"/>
          <w:sz w:val="22"/>
          <w:szCs w:val="22"/>
        </w:rPr>
        <w:t xml:space="preserve">700 MHz (unallocated lots) band </w:t>
      </w:r>
      <w:r w:rsidR="0013743A">
        <w:rPr>
          <w:rFonts w:eastAsiaTheme="minorHAnsi"/>
          <w:sz w:val="22"/>
          <w:szCs w:val="22"/>
        </w:rPr>
        <w:t>from the operation of the 2012 Marketing Plan</w:t>
      </w:r>
      <w:r w:rsidR="00821428">
        <w:rPr>
          <w:rFonts w:eastAsiaTheme="minorHAnsi"/>
          <w:sz w:val="22"/>
          <w:szCs w:val="22"/>
        </w:rPr>
        <w:t>.</w:t>
      </w:r>
    </w:p>
    <w:p w14:paraId="75E18652" w14:textId="2C7C5DCB" w:rsidR="00BD7B7A" w:rsidRPr="0013743A" w:rsidRDefault="00BD7B7A" w:rsidP="0013743A">
      <w:pPr>
        <w:spacing w:before="0" w:after="160" w:line="259" w:lineRule="auto"/>
        <w:rPr>
          <w:rFonts w:eastAsiaTheme="minorHAnsi"/>
          <w:i/>
          <w:sz w:val="22"/>
          <w:szCs w:val="22"/>
        </w:rPr>
      </w:pPr>
      <w:r w:rsidRPr="0013743A">
        <w:rPr>
          <w:rFonts w:eastAsiaTheme="minorHAnsi"/>
          <w:i/>
          <w:sz w:val="22"/>
          <w:szCs w:val="22"/>
        </w:rPr>
        <w:t xml:space="preserve">Marketing Plan </w:t>
      </w:r>
      <w:r w:rsidR="00A5180A" w:rsidRPr="0013743A">
        <w:rPr>
          <w:rFonts w:eastAsiaTheme="minorHAnsi"/>
          <w:i/>
          <w:sz w:val="22"/>
          <w:szCs w:val="22"/>
        </w:rPr>
        <w:t xml:space="preserve">Variation </w:t>
      </w:r>
      <w:r w:rsidR="003635D5">
        <w:rPr>
          <w:rFonts w:eastAsiaTheme="minorHAnsi"/>
          <w:i/>
          <w:sz w:val="22"/>
          <w:szCs w:val="22"/>
        </w:rPr>
        <w:t>o</w:t>
      </w:r>
      <w:r w:rsidRPr="0013743A">
        <w:rPr>
          <w:rFonts w:eastAsiaTheme="minorHAnsi"/>
          <w:i/>
          <w:sz w:val="22"/>
          <w:szCs w:val="22"/>
        </w:rPr>
        <w:t>peration</w:t>
      </w:r>
    </w:p>
    <w:p w14:paraId="699301AE" w14:textId="442C67E2" w:rsidR="00C67675" w:rsidRPr="002F73E9" w:rsidRDefault="00BD7B7A" w:rsidP="002F73E9">
      <w:pPr>
        <w:spacing w:before="0" w:after="160" w:line="259" w:lineRule="auto"/>
        <w:rPr>
          <w:rFonts w:eastAsiaTheme="minorHAnsi"/>
          <w:sz w:val="22"/>
          <w:szCs w:val="22"/>
        </w:rPr>
      </w:pPr>
      <w:r w:rsidRPr="002F73E9">
        <w:rPr>
          <w:rFonts w:eastAsiaTheme="minorHAnsi"/>
          <w:sz w:val="22"/>
          <w:szCs w:val="22"/>
        </w:rPr>
        <w:t>The Marketing Plan</w:t>
      </w:r>
      <w:r w:rsidR="00D26A1A" w:rsidRPr="002F73E9">
        <w:rPr>
          <w:rFonts w:eastAsiaTheme="minorHAnsi"/>
          <w:sz w:val="22"/>
          <w:szCs w:val="22"/>
        </w:rPr>
        <w:t xml:space="preserve"> Variation removes the </w:t>
      </w:r>
      <w:r w:rsidR="0013743A">
        <w:rPr>
          <w:rFonts w:eastAsiaTheme="minorHAnsi"/>
          <w:sz w:val="22"/>
          <w:szCs w:val="22"/>
        </w:rPr>
        <w:t>residual 700 MHz band</w:t>
      </w:r>
      <w:r w:rsidR="00D26A1A" w:rsidRPr="002F73E9">
        <w:rPr>
          <w:rFonts w:eastAsiaTheme="minorHAnsi"/>
          <w:sz w:val="22"/>
          <w:szCs w:val="22"/>
        </w:rPr>
        <w:t xml:space="preserve"> from the</w:t>
      </w:r>
      <w:r w:rsidR="0013743A">
        <w:rPr>
          <w:rFonts w:eastAsiaTheme="minorHAnsi"/>
          <w:sz w:val="22"/>
          <w:szCs w:val="22"/>
        </w:rPr>
        <w:t xml:space="preserve"> operation of the 2012 Marketing Plan</w:t>
      </w:r>
      <w:r w:rsidR="00D26A1A" w:rsidRPr="002F73E9">
        <w:rPr>
          <w:rFonts w:eastAsiaTheme="minorHAnsi"/>
          <w:sz w:val="22"/>
          <w:szCs w:val="22"/>
        </w:rPr>
        <w:t xml:space="preserve">. </w:t>
      </w:r>
      <w:r w:rsidR="003635D5">
        <w:rPr>
          <w:rFonts w:eastAsiaTheme="minorHAnsi"/>
          <w:sz w:val="22"/>
          <w:szCs w:val="22"/>
        </w:rPr>
        <w:t xml:space="preserve"> </w:t>
      </w:r>
      <w:r w:rsidR="00D26A1A" w:rsidRPr="002F73E9">
        <w:rPr>
          <w:rFonts w:eastAsiaTheme="minorHAnsi"/>
          <w:sz w:val="22"/>
          <w:szCs w:val="22"/>
        </w:rPr>
        <w:t xml:space="preserve">It </w:t>
      </w:r>
      <w:r w:rsidRPr="002F73E9">
        <w:rPr>
          <w:rFonts w:eastAsiaTheme="minorHAnsi"/>
          <w:sz w:val="22"/>
          <w:szCs w:val="22"/>
        </w:rPr>
        <w:t xml:space="preserve">is one of a set of legislative instruments that </w:t>
      </w:r>
      <w:r w:rsidR="00863E7D" w:rsidRPr="002F73E9">
        <w:rPr>
          <w:rFonts w:eastAsiaTheme="minorHAnsi"/>
          <w:sz w:val="22"/>
          <w:szCs w:val="22"/>
        </w:rPr>
        <w:t xml:space="preserve">enables the </w:t>
      </w:r>
      <w:r w:rsidRPr="002F73E9">
        <w:rPr>
          <w:rFonts w:eastAsiaTheme="minorHAnsi"/>
          <w:sz w:val="22"/>
          <w:szCs w:val="22"/>
        </w:rPr>
        <w:t>allocat</w:t>
      </w:r>
      <w:r w:rsidR="00D6612F" w:rsidRPr="002F73E9">
        <w:rPr>
          <w:rFonts w:eastAsiaTheme="minorHAnsi"/>
          <w:sz w:val="22"/>
          <w:szCs w:val="22"/>
        </w:rPr>
        <w:t xml:space="preserve">ion of the </w:t>
      </w:r>
      <w:r w:rsidR="001848EB">
        <w:rPr>
          <w:rFonts w:eastAsiaTheme="minorHAnsi"/>
          <w:sz w:val="22"/>
          <w:szCs w:val="22"/>
        </w:rPr>
        <w:t>700 MHz (unallocated lots) band</w:t>
      </w:r>
      <w:r w:rsidR="0013743A">
        <w:rPr>
          <w:rFonts w:eastAsiaTheme="minorHAnsi"/>
          <w:sz w:val="22"/>
          <w:szCs w:val="22"/>
        </w:rPr>
        <w:t>, including</w:t>
      </w:r>
      <w:r w:rsidR="00D6612F" w:rsidRPr="002F73E9">
        <w:rPr>
          <w:rFonts w:eastAsiaTheme="minorHAnsi"/>
          <w:sz w:val="22"/>
          <w:szCs w:val="22"/>
        </w:rPr>
        <w:t>:</w:t>
      </w:r>
    </w:p>
    <w:p w14:paraId="6B69B767" w14:textId="39D7DB7E" w:rsidR="0066573C" w:rsidRDefault="007B37BC" w:rsidP="00C67675">
      <w:pPr>
        <w:pStyle w:val="ACMABodyText"/>
        <w:numPr>
          <w:ilvl w:val="0"/>
          <w:numId w:val="16"/>
        </w:numPr>
        <w:rPr>
          <w:sz w:val="22"/>
          <w:szCs w:val="22"/>
        </w:rPr>
      </w:pPr>
      <w:r>
        <w:rPr>
          <w:sz w:val="22"/>
          <w:szCs w:val="22"/>
        </w:rPr>
        <w:t xml:space="preserve">the </w:t>
      </w:r>
      <w:r w:rsidR="0066573C">
        <w:rPr>
          <w:sz w:val="22"/>
          <w:szCs w:val="22"/>
        </w:rPr>
        <w:t>2016 Mark</w:t>
      </w:r>
      <w:r w:rsidR="0087348E">
        <w:rPr>
          <w:sz w:val="22"/>
          <w:szCs w:val="22"/>
        </w:rPr>
        <w:t>e</w:t>
      </w:r>
      <w:r w:rsidR="0066573C">
        <w:rPr>
          <w:sz w:val="22"/>
          <w:szCs w:val="22"/>
        </w:rPr>
        <w:t>ting Plan;</w:t>
      </w:r>
    </w:p>
    <w:p w14:paraId="160B635A" w14:textId="290C35A2" w:rsidR="00895E61" w:rsidRPr="00A313EF" w:rsidRDefault="007B37BC" w:rsidP="00282CDB">
      <w:pPr>
        <w:pStyle w:val="ACMABodyText"/>
        <w:numPr>
          <w:ilvl w:val="0"/>
          <w:numId w:val="16"/>
        </w:numPr>
        <w:rPr>
          <w:i/>
          <w:sz w:val="22"/>
          <w:szCs w:val="22"/>
        </w:rPr>
      </w:pPr>
      <w:r>
        <w:rPr>
          <w:sz w:val="22"/>
          <w:szCs w:val="22"/>
        </w:rPr>
        <w:t xml:space="preserve">the </w:t>
      </w:r>
      <w:r w:rsidR="00085151" w:rsidRPr="00A313EF">
        <w:rPr>
          <w:sz w:val="22"/>
          <w:szCs w:val="22"/>
        </w:rPr>
        <w:t>Re-allocation Declaration;</w:t>
      </w:r>
    </w:p>
    <w:p w14:paraId="5E94825C" w14:textId="54725EEB" w:rsidR="00C67675" w:rsidRPr="002F73E9" w:rsidRDefault="007B37BC" w:rsidP="00C67675">
      <w:pPr>
        <w:pStyle w:val="ACMABodyText"/>
        <w:numPr>
          <w:ilvl w:val="0"/>
          <w:numId w:val="16"/>
        </w:numPr>
        <w:rPr>
          <w:i/>
          <w:sz w:val="22"/>
          <w:szCs w:val="22"/>
        </w:rPr>
      </w:pPr>
      <w:r>
        <w:rPr>
          <w:sz w:val="22"/>
          <w:szCs w:val="22"/>
        </w:rPr>
        <w:t xml:space="preserve">the </w:t>
      </w:r>
      <w:proofErr w:type="spellStart"/>
      <w:r w:rsidR="002B2E7F" w:rsidRPr="002F73E9">
        <w:rPr>
          <w:i/>
          <w:sz w:val="22"/>
          <w:szCs w:val="22"/>
        </w:rPr>
        <w:t>Radiocommunications</w:t>
      </w:r>
      <w:proofErr w:type="spellEnd"/>
      <w:r w:rsidR="002B2E7F" w:rsidRPr="002F73E9">
        <w:rPr>
          <w:i/>
          <w:sz w:val="22"/>
          <w:szCs w:val="22"/>
        </w:rPr>
        <w:t xml:space="preserve"> (Spectrum Licence Allocation – 700 MHz Band) Determination 2016</w:t>
      </w:r>
      <w:r w:rsidR="004E441D" w:rsidRPr="002F73E9">
        <w:rPr>
          <w:sz w:val="22"/>
          <w:szCs w:val="22"/>
        </w:rPr>
        <w:t>;</w:t>
      </w:r>
    </w:p>
    <w:p w14:paraId="6ABADDAE" w14:textId="42B039C2" w:rsidR="002B2E7F" w:rsidRPr="002F73E9" w:rsidRDefault="007B37BC" w:rsidP="002B2E7F">
      <w:pPr>
        <w:pStyle w:val="ListBullet"/>
        <w:numPr>
          <w:ilvl w:val="0"/>
          <w:numId w:val="16"/>
        </w:numPr>
        <w:rPr>
          <w:rFonts w:ascii="Times New Roman" w:hAnsi="Times New Roman"/>
          <w:i/>
          <w:sz w:val="22"/>
          <w:szCs w:val="22"/>
        </w:rPr>
      </w:pPr>
      <w:r>
        <w:rPr>
          <w:rFonts w:ascii="Times New Roman" w:hAnsi="Times New Roman"/>
          <w:sz w:val="22"/>
          <w:szCs w:val="22"/>
        </w:rPr>
        <w:t xml:space="preserve">the </w:t>
      </w:r>
      <w:proofErr w:type="spellStart"/>
      <w:r w:rsidR="002B2E7F" w:rsidRPr="002F73E9">
        <w:rPr>
          <w:rFonts w:ascii="Times New Roman" w:hAnsi="Times New Roman"/>
          <w:i/>
          <w:sz w:val="22"/>
          <w:szCs w:val="22"/>
        </w:rPr>
        <w:t>Radiocommunications</w:t>
      </w:r>
      <w:proofErr w:type="spellEnd"/>
      <w:r w:rsidR="002B2E7F" w:rsidRPr="002F73E9">
        <w:rPr>
          <w:rFonts w:ascii="Times New Roman" w:hAnsi="Times New Roman"/>
          <w:i/>
          <w:sz w:val="22"/>
          <w:szCs w:val="22"/>
        </w:rPr>
        <w:t xml:space="preserve"> (Unacceptable Levels of Interference – 700 MHz Band) Determination 2012</w:t>
      </w:r>
      <w:r w:rsidR="0066573C" w:rsidRPr="00A313EF">
        <w:rPr>
          <w:rFonts w:ascii="Times New Roman" w:hAnsi="Times New Roman"/>
          <w:sz w:val="22"/>
          <w:szCs w:val="22"/>
        </w:rPr>
        <w:t>;</w:t>
      </w:r>
    </w:p>
    <w:p w14:paraId="1DD74F14" w14:textId="7DA49FE3" w:rsidR="002B2E7F" w:rsidRPr="00085151" w:rsidRDefault="007B37BC" w:rsidP="002B2E7F">
      <w:pPr>
        <w:pStyle w:val="ListBullet"/>
        <w:numPr>
          <w:ilvl w:val="0"/>
          <w:numId w:val="16"/>
        </w:numPr>
        <w:rPr>
          <w:rFonts w:ascii="Times New Roman" w:hAnsi="Times New Roman"/>
          <w:i/>
          <w:sz w:val="22"/>
          <w:szCs w:val="22"/>
        </w:rPr>
      </w:pPr>
      <w:r>
        <w:rPr>
          <w:rFonts w:ascii="Times New Roman" w:hAnsi="Times New Roman"/>
          <w:sz w:val="22"/>
          <w:szCs w:val="22"/>
        </w:rPr>
        <w:t xml:space="preserve">the </w:t>
      </w:r>
      <w:proofErr w:type="spellStart"/>
      <w:r w:rsidR="002B2E7F" w:rsidRPr="002F73E9">
        <w:rPr>
          <w:rFonts w:ascii="Times New Roman" w:hAnsi="Times New Roman"/>
          <w:i/>
          <w:sz w:val="22"/>
          <w:szCs w:val="22"/>
        </w:rPr>
        <w:t>Radiocommunications</w:t>
      </w:r>
      <w:proofErr w:type="spellEnd"/>
      <w:r w:rsidR="002B2E7F" w:rsidRPr="002F73E9">
        <w:rPr>
          <w:rFonts w:ascii="Times New Roman" w:hAnsi="Times New Roman"/>
          <w:i/>
          <w:sz w:val="22"/>
          <w:szCs w:val="22"/>
        </w:rPr>
        <w:t xml:space="preserve"> Advisory Guidelines (Managing Interference from Transmitters – </w:t>
      </w:r>
      <w:r w:rsidR="002B2E7F" w:rsidRPr="00085151">
        <w:rPr>
          <w:rFonts w:ascii="Times New Roman" w:hAnsi="Times New Roman"/>
          <w:i/>
          <w:sz w:val="22"/>
          <w:szCs w:val="22"/>
        </w:rPr>
        <w:t>700 MHz Band) 2012</w:t>
      </w:r>
      <w:r w:rsidR="00A313EF">
        <w:rPr>
          <w:rFonts w:ascii="Times New Roman" w:hAnsi="Times New Roman"/>
          <w:sz w:val="22"/>
          <w:szCs w:val="22"/>
        </w:rPr>
        <w:t>;</w:t>
      </w:r>
    </w:p>
    <w:p w14:paraId="181A8BD8" w14:textId="2F96D48E" w:rsidR="00A313EF" w:rsidRDefault="007B37BC" w:rsidP="00A7504D">
      <w:pPr>
        <w:pStyle w:val="ListBullet"/>
        <w:numPr>
          <w:ilvl w:val="0"/>
          <w:numId w:val="16"/>
        </w:numPr>
        <w:spacing w:after="240"/>
        <w:rPr>
          <w:rFonts w:ascii="Times New Roman" w:hAnsi="Times New Roman"/>
          <w:sz w:val="22"/>
          <w:szCs w:val="22"/>
        </w:rPr>
      </w:pPr>
      <w:r>
        <w:rPr>
          <w:rFonts w:ascii="Times New Roman" w:hAnsi="Times New Roman"/>
          <w:sz w:val="22"/>
          <w:szCs w:val="22"/>
        </w:rPr>
        <w:t xml:space="preserve">the </w:t>
      </w:r>
      <w:proofErr w:type="spellStart"/>
      <w:r w:rsidR="002B2E7F" w:rsidRPr="00A313EF">
        <w:rPr>
          <w:rFonts w:ascii="Times New Roman" w:hAnsi="Times New Roman"/>
          <w:i/>
          <w:sz w:val="22"/>
          <w:szCs w:val="22"/>
        </w:rPr>
        <w:t>Radiocommunications</w:t>
      </w:r>
      <w:proofErr w:type="spellEnd"/>
      <w:r w:rsidR="002B2E7F" w:rsidRPr="00A313EF">
        <w:rPr>
          <w:rFonts w:ascii="Times New Roman" w:hAnsi="Times New Roman"/>
          <w:i/>
          <w:sz w:val="22"/>
          <w:szCs w:val="22"/>
        </w:rPr>
        <w:t xml:space="preserve"> Advisory Guidelines (Managing Interference to Receivers – 700 MHz Band) 2012</w:t>
      </w:r>
      <w:r w:rsidR="0066573C" w:rsidRPr="00A313EF">
        <w:rPr>
          <w:rFonts w:ascii="Times New Roman" w:hAnsi="Times New Roman"/>
          <w:sz w:val="22"/>
          <w:szCs w:val="22"/>
        </w:rPr>
        <w:t>;</w:t>
      </w:r>
      <w:r w:rsidR="0066573C" w:rsidRPr="00A313EF">
        <w:rPr>
          <w:rFonts w:ascii="Times New Roman" w:hAnsi="Times New Roman"/>
          <w:i/>
          <w:sz w:val="22"/>
          <w:szCs w:val="22"/>
        </w:rPr>
        <w:t xml:space="preserve"> </w:t>
      </w:r>
      <w:r w:rsidR="0066573C" w:rsidRPr="00A313EF">
        <w:rPr>
          <w:rFonts w:ascii="Times New Roman" w:hAnsi="Times New Roman"/>
          <w:sz w:val="22"/>
          <w:szCs w:val="22"/>
        </w:rPr>
        <w:t>and</w:t>
      </w:r>
    </w:p>
    <w:p w14:paraId="09FE0668" w14:textId="486526A0" w:rsidR="0066573C" w:rsidRPr="00A313EF" w:rsidRDefault="007B37BC" w:rsidP="00A7504D">
      <w:pPr>
        <w:pStyle w:val="ListBullet"/>
        <w:numPr>
          <w:ilvl w:val="0"/>
          <w:numId w:val="16"/>
        </w:numPr>
        <w:spacing w:after="240"/>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w:t>
      </w:r>
      <w:r w:rsidR="0066573C" w:rsidRPr="00A313EF">
        <w:rPr>
          <w:rFonts w:ascii="Times New Roman" w:hAnsi="Times New Roman"/>
          <w:sz w:val="22"/>
          <w:szCs w:val="22"/>
        </w:rPr>
        <w:t>Residual 700 MHz Spectrum Direction.</w:t>
      </w:r>
    </w:p>
    <w:p w14:paraId="22F82F26" w14:textId="52D8EDA6" w:rsidR="0013743A" w:rsidRPr="00E02626" w:rsidRDefault="0013743A" w:rsidP="0013743A">
      <w:pPr>
        <w:spacing w:before="0" w:after="160" w:line="259" w:lineRule="auto"/>
        <w:rPr>
          <w:rFonts w:eastAsiaTheme="minorHAnsi"/>
          <w:sz w:val="22"/>
          <w:szCs w:val="22"/>
        </w:rPr>
      </w:pPr>
      <w:r w:rsidRPr="00E02626">
        <w:rPr>
          <w:rFonts w:eastAsiaTheme="minorHAnsi"/>
          <w:sz w:val="22"/>
          <w:szCs w:val="22"/>
        </w:rPr>
        <w:t xml:space="preserve">A provision-by-provision description of the </w:t>
      </w:r>
      <w:r>
        <w:rPr>
          <w:rFonts w:eastAsiaTheme="minorHAnsi"/>
          <w:sz w:val="22"/>
          <w:szCs w:val="22"/>
        </w:rPr>
        <w:t>Marketing Plan Variation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21DFE208" w14:textId="6EB31593" w:rsidR="00051AF9" w:rsidRDefault="0013743A" w:rsidP="00051AF9">
      <w:pPr>
        <w:spacing w:before="0" w:after="160" w:line="259" w:lineRule="auto"/>
        <w:rPr>
          <w:rFonts w:eastAsiaTheme="minorHAnsi"/>
          <w:sz w:val="22"/>
          <w:szCs w:val="22"/>
        </w:rPr>
      </w:pPr>
      <w:r w:rsidRPr="00E02626">
        <w:rPr>
          <w:rFonts w:eastAsiaTheme="minorHAnsi"/>
          <w:sz w:val="22"/>
          <w:szCs w:val="22"/>
        </w:rPr>
        <w:t xml:space="preserve">The </w:t>
      </w:r>
      <w:r>
        <w:rPr>
          <w:rFonts w:eastAsiaTheme="minorHAnsi"/>
          <w:sz w:val="22"/>
          <w:szCs w:val="22"/>
        </w:rPr>
        <w:t>Marketing Plan Variation</w:t>
      </w:r>
      <w:r w:rsidRPr="00E02626">
        <w:rPr>
          <w:rFonts w:eastAsiaTheme="minorHAnsi"/>
          <w:sz w:val="22"/>
          <w:szCs w:val="22"/>
        </w:rPr>
        <w:t xml:space="preserve"> is a legislative instrument for the purposes of the </w:t>
      </w:r>
      <w:r w:rsidRPr="00051AF9">
        <w:rPr>
          <w:rFonts w:eastAsiaTheme="minorHAnsi"/>
          <w:i/>
          <w:sz w:val="22"/>
          <w:szCs w:val="22"/>
        </w:rPr>
        <w:t>Legislation Act 2003</w:t>
      </w:r>
      <w:r w:rsidRPr="00E02626">
        <w:rPr>
          <w:rFonts w:eastAsiaTheme="minorHAnsi"/>
          <w:sz w:val="22"/>
          <w:szCs w:val="22"/>
        </w:rPr>
        <w:t xml:space="preserve"> (</w:t>
      </w:r>
      <w:r w:rsidRPr="00051AF9">
        <w:rPr>
          <w:rFonts w:eastAsiaTheme="minorHAnsi"/>
          <w:sz w:val="22"/>
          <w:szCs w:val="22"/>
        </w:rPr>
        <w:t>the</w:t>
      </w:r>
      <w:r w:rsidRPr="00E02626">
        <w:rPr>
          <w:rFonts w:eastAsiaTheme="minorHAnsi"/>
          <w:sz w:val="22"/>
          <w:szCs w:val="22"/>
        </w:rPr>
        <w:t xml:space="preserve"> </w:t>
      </w:r>
      <w:r w:rsidRPr="00051AF9">
        <w:rPr>
          <w:rFonts w:eastAsiaTheme="minorHAnsi"/>
          <w:b/>
          <w:sz w:val="22"/>
          <w:szCs w:val="22"/>
        </w:rPr>
        <w:t>LA</w:t>
      </w:r>
      <w:r w:rsidRPr="00E02626">
        <w:rPr>
          <w:rFonts w:eastAsiaTheme="minorHAnsi"/>
          <w:sz w:val="22"/>
          <w:szCs w:val="22"/>
        </w:rPr>
        <w:t>).</w:t>
      </w:r>
      <w:r w:rsidR="00051AF9" w:rsidRPr="00051AF9">
        <w:rPr>
          <w:rFonts w:eastAsiaTheme="minorHAnsi"/>
          <w:sz w:val="22"/>
          <w:szCs w:val="22"/>
        </w:rPr>
        <w:t xml:space="preserve"> </w:t>
      </w:r>
    </w:p>
    <w:p w14:paraId="7EFC2A05" w14:textId="24EEFFB6" w:rsidR="00051AF9" w:rsidRDefault="00051AF9" w:rsidP="00051AF9">
      <w:pPr>
        <w:pStyle w:val="ACMAHeading3"/>
        <w:rPr>
          <w:rFonts w:ascii="Times New Roman" w:eastAsiaTheme="minorHAnsi" w:hAnsi="Times New Roman"/>
          <w:sz w:val="22"/>
          <w:szCs w:val="22"/>
          <w:lang w:val="en-AU"/>
        </w:rPr>
      </w:pPr>
      <w:r w:rsidRPr="003635D5">
        <w:rPr>
          <w:rFonts w:ascii="Times New Roman" w:eastAsiaTheme="minorHAnsi" w:hAnsi="Times New Roman"/>
          <w:sz w:val="22"/>
          <w:szCs w:val="22"/>
          <w:lang w:val="en-AU"/>
        </w:rPr>
        <w:lastRenderedPageBreak/>
        <w:t>Documents incorporated by reference</w:t>
      </w:r>
    </w:p>
    <w:p w14:paraId="50E9E05B" w14:textId="1A0AB437" w:rsidR="00993CF7" w:rsidRPr="00051AF9" w:rsidRDefault="00993CF7" w:rsidP="00051AF9">
      <w:pPr>
        <w:pStyle w:val="ACMABodyText"/>
        <w:rPr>
          <w:sz w:val="22"/>
          <w:szCs w:val="22"/>
        </w:rPr>
      </w:pPr>
      <w:r w:rsidRPr="00051AF9">
        <w:rPr>
          <w:sz w:val="22"/>
          <w:szCs w:val="22"/>
        </w:rPr>
        <w:t xml:space="preserve">The Marketing Plan Variation inserts </w:t>
      </w:r>
      <w:r w:rsidR="00FD5FB7">
        <w:rPr>
          <w:sz w:val="22"/>
          <w:szCs w:val="22"/>
        </w:rPr>
        <w:t xml:space="preserve">a provision </w:t>
      </w:r>
      <w:r w:rsidRPr="00051AF9">
        <w:rPr>
          <w:sz w:val="22"/>
          <w:szCs w:val="22"/>
        </w:rPr>
        <w:t xml:space="preserve">into the 2012 Marketing Plan that incorporates </w:t>
      </w:r>
      <w:r w:rsidR="00080833" w:rsidRPr="00051AF9">
        <w:rPr>
          <w:sz w:val="22"/>
          <w:szCs w:val="22"/>
        </w:rPr>
        <w:t>a reference to the Marketing Plan Variation, and inserts notes that incorporate reference</w:t>
      </w:r>
      <w:r w:rsidR="003635D5" w:rsidRPr="00051AF9">
        <w:rPr>
          <w:sz w:val="22"/>
          <w:szCs w:val="22"/>
        </w:rPr>
        <w:t>s</w:t>
      </w:r>
      <w:r w:rsidR="00080833" w:rsidRPr="00051AF9">
        <w:rPr>
          <w:sz w:val="22"/>
          <w:szCs w:val="22"/>
        </w:rPr>
        <w:t xml:space="preserve"> to the Marketing Plan Variation and the 2016 Marketing Plan.</w:t>
      </w:r>
    </w:p>
    <w:p w14:paraId="3E21E16E" w14:textId="27B0680A" w:rsidR="00080833" w:rsidRPr="00080833" w:rsidRDefault="00080833" w:rsidP="00080833">
      <w:pPr>
        <w:spacing w:after="160" w:line="259" w:lineRule="auto"/>
      </w:pPr>
      <w:r>
        <w:rPr>
          <w:rFonts w:eastAsiaTheme="minorHAnsi"/>
          <w:sz w:val="22"/>
          <w:szCs w:val="22"/>
        </w:rPr>
        <w:t>These legislative instruments may be obtained from the Federal Register of Legislation (</w:t>
      </w:r>
      <w:hyperlink r:id="rId12" w:history="1">
        <w:r w:rsidRPr="0062644A">
          <w:rPr>
            <w:rStyle w:val="Hyperlink"/>
            <w:rFonts w:eastAsiaTheme="minorHAnsi"/>
            <w:sz w:val="22"/>
            <w:szCs w:val="22"/>
          </w:rPr>
          <w:t>http://www.legislation.gov.au</w:t>
        </w:r>
      </w:hyperlink>
      <w:r>
        <w:rPr>
          <w:rFonts w:eastAsiaTheme="minorHAnsi"/>
          <w:sz w:val="22"/>
          <w:szCs w:val="22"/>
        </w:rPr>
        <w:t>).  These legislative instruments are incorporated as in force, from time to time, in accordance with subsection 14(</w:t>
      </w:r>
      <w:r w:rsidR="00FD5FB7">
        <w:rPr>
          <w:rFonts w:eastAsiaTheme="minorHAnsi"/>
          <w:sz w:val="22"/>
          <w:szCs w:val="22"/>
        </w:rPr>
        <w:t>1</w:t>
      </w:r>
      <w:r>
        <w:rPr>
          <w:rFonts w:eastAsiaTheme="minorHAnsi"/>
          <w:sz w:val="22"/>
          <w:szCs w:val="22"/>
        </w:rPr>
        <w:t>) of the LA.</w:t>
      </w:r>
    </w:p>
    <w:p w14:paraId="613BFCBB" w14:textId="77777777" w:rsidR="002F73E9" w:rsidRPr="003635D5" w:rsidRDefault="002F73E9" w:rsidP="00AF37C6">
      <w:pPr>
        <w:pStyle w:val="ACMAHeading3"/>
        <w:rPr>
          <w:rFonts w:eastAsiaTheme="minorHAnsi"/>
          <w:sz w:val="22"/>
          <w:szCs w:val="22"/>
        </w:rPr>
      </w:pPr>
      <w:r w:rsidRPr="003635D5">
        <w:rPr>
          <w:rFonts w:ascii="Times New Roman" w:eastAsiaTheme="minorHAnsi" w:hAnsi="Times New Roman"/>
          <w:sz w:val="22"/>
          <w:szCs w:val="22"/>
          <w:lang w:val="en-AU"/>
        </w:rPr>
        <w:t>Consultation</w:t>
      </w:r>
    </w:p>
    <w:p w14:paraId="194ABCB6" w14:textId="46EB92EF" w:rsidR="00080833" w:rsidRDefault="00080833" w:rsidP="00080833">
      <w:pPr>
        <w:spacing w:after="160" w:line="259" w:lineRule="auto"/>
        <w:rPr>
          <w:rFonts w:eastAsiaTheme="minorHAnsi"/>
          <w:sz w:val="22"/>
          <w:szCs w:val="22"/>
        </w:rPr>
      </w:pPr>
      <w:r>
        <w:rPr>
          <w:rFonts w:eastAsiaTheme="minorHAnsi"/>
          <w:sz w:val="22"/>
          <w:szCs w:val="22"/>
        </w:rPr>
        <w:t>Before the Marketing Plan Variation was made, the ACMA was satisfied that consultation was undertaken to the extent appropriate and reasonably practicable, in accordance with section 17 of the LA.</w:t>
      </w:r>
    </w:p>
    <w:p w14:paraId="1C5533A7" w14:textId="6B879633" w:rsidR="00080833" w:rsidRPr="002613CB" w:rsidRDefault="00080833" w:rsidP="00080833">
      <w:pPr>
        <w:spacing w:after="160" w:line="259" w:lineRule="auto"/>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Variation </w:t>
      </w:r>
      <w:r w:rsidRPr="002613CB">
        <w:rPr>
          <w:rFonts w:eastAsiaTheme="minorHAnsi"/>
          <w:sz w:val="22"/>
          <w:szCs w:val="22"/>
        </w:rPr>
        <w:t xml:space="preserve">was released for public consultation </w:t>
      </w:r>
      <w:r>
        <w:rPr>
          <w:rFonts w:eastAsiaTheme="minorHAnsi"/>
          <w:sz w:val="22"/>
          <w:szCs w:val="22"/>
        </w:rPr>
        <w:t>on 21</w:t>
      </w:r>
      <w:r w:rsidRPr="002613CB">
        <w:rPr>
          <w:rFonts w:eastAsiaTheme="minorHAnsi"/>
          <w:sz w:val="22"/>
          <w:szCs w:val="22"/>
        </w:rPr>
        <w:t xml:space="preserve"> October 2016</w:t>
      </w:r>
      <w:r>
        <w:rPr>
          <w:rFonts w:eastAsiaTheme="minorHAnsi"/>
          <w:sz w:val="22"/>
          <w:szCs w:val="22"/>
        </w:rPr>
        <w:t xml:space="preserve">, </w:t>
      </w:r>
      <w:r w:rsidRPr="002613CB">
        <w:rPr>
          <w:rFonts w:eastAsiaTheme="minorHAnsi"/>
          <w:sz w:val="22"/>
          <w:szCs w:val="22"/>
        </w:rPr>
        <w:t xml:space="preserve">together with the explanatory information paper </w:t>
      </w:r>
      <w:hyperlink r:id="rId13" w:history="1">
        <w:r w:rsidRPr="00A33B00">
          <w:rPr>
            <w:rStyle w:val="Hyperlink"/>
            <w:rFonts w:eastAsiaTheme="minorHAnsi"/>
            <w:i/>
            <w:sz w:val="22"/>
            <w:szCs w:val="22"/>
          </w:rPr>
          <w:t>Draft allocation instruments for 700 MHz spectrum -</w:t>
        </w:r>
        <w:r w:rsidR="007B37BC">
          <w:rPr>
            <w:rStyle w:val="Hyperlink"/>
            <w:rFonts w:eastAsiaTheme="minorHAnsi"/>
            <w:i/>
            <w:sz w:val="22"/>
            <w:szCs w:val="22"/>
          </w:rPr>
          <w:t xml:space="preserve"> </w:t>
        </w:r>
        <w:r w:rsidRPr="00A33B00">
          <w:rPr>
            <w:rStyle w:val="Hyperlink"/>
            <w:rFonts w:eastAsiaTheme="minorHAnsi"/>
            <w:i/>
            <w:sz w:val="22"/>
            <w:szCs w:val="22"/>
          </w:rPr>
          <w:t>unsold lots auction</w:t>
        </w:r>
      </w:hyperlink>
      <w:r w:rsidRPr="002613CB">
        <w:rPr>
          <w:rFonts w:eastAsiaTheme="minorHAnsi"/>
          <w:sz w:val="22"/>
          <w:szCs w:val="22"/>
        </w:rPr>
        <w:t xml:space="preserve">. </w:t>
      </w:r>
      <w:r>
        <w:rPr>
          <w:rFonts w:eastAsiaTheme="minorHAnsi"/>
          <w:sz w:val="22"/>
          <w:szCs w:val="22"/>
        </w:rPr>
        <w:t xml:space="preserve"> Consultation closed on 17 November 2016.</w:t>
      </w:r>
    </w:p>
    <w:p w14:paraId="0BAB4066" w14:textId="400AF327" w:rsidR="00080833" w:rsidRDefault="00080833" w:rsidP="00080833">
      <w:pPr>
        <w:spacing w:after="160" w:line="259" w:lineRule="auto"/>
        <w:rPr>
          <w:rFonts w:eastAsiaTheme="minorHAnsi"/>
          <w:sz w:val="22"/>
          <w:szCs w:val="22"/>
        </w:rPr>
      </w:pPr>
      <w:r w:rsidRPr="002613CB">
        <w:rPr>
          <w:rFonts w:eastAsiaTheme="minorHAnsi"/>
          <w:sz w:val="22"/>
          <w:szCs w:val="22"/>
        </w:rPr>
        <w:t>The ACMA received a total of 9 written submissions to this information paper.</w:t>
      </w:r>
      <w:r>
        <w:rPr>
          <w:rFonts w:eastAsiaTheme="minorHAnsi"/>
          <w:sz w:val="22"/>
          <w:szCs w:val="22"/>
        </w:rPr>
        <w:t xml:space="preserve">  </w:t>
      </w:r>
      <w:r w:rsidRPr="002613CB">
        <w:rPr>
          <w:rFonts w:eastAsiaTheme="minorHAnsi"/>
          <w:sz w:val="22"/>
          <w:szCs w:val="22"/>
        </w:rPr>
        <w:t xml:space="preserve">The ACMA took the views of stakeholders into consideration during the revision of </w:t>
      </w:r>
      <w:r>
        <w:rPr>
          <w:rFonts w:eastAsiaTheme="minorHAnsi"/>
          <w:sz w:val="22"/>
          <w:szCs w:val="22"/>
        </w:rPr>
        <w:t>the Marketing Plan Variation</w:t>
      </w:r>
      <w:r w:rsidRPr="002613CB">
        <w:rPr>
          <w:rFonts w:eastAsiaTheme="minorHAnsi"/>
          <w:sz w:val="22"/>
          <w:szCs w:val="22"/>
        </w:rPr>
        <w:t xml:space="preserve">. </w:t>
      </w:r>
    </w:p>
    <w:p w14:paraId="45CC8C84" w14:textId="1D5078AA" w:rsidR="00BD7B7A" w:rsidRPr="002F73E9" w:rsidRDefault="002F73E9" w:rsidP="009C21A7">
      <w:pPr>
        <w:pStyle w:val="ACMAHeading3"/>
        <w:rPr>
          <w:rFonts w:ascii="Times New Roman" w:eastAsiaTheme="minorHAnsi" w:hAnsi="Times New Roman"/>
          <w:sz w:val="22"/>
          <w:szCs w:val="22"/>
          <w:lang w:val="en-AU"/>
        </w:rPr>
      </w:pPr>
      <w:r w:rsidRPr="002F73E9">
        <w:rPr>
          <w:rFonts w:ascii="Times New Roman" w:eastAsiaTheme="minorHAnsi" w:hAnsi="Times New Roman"/>
          <w:sz w:val="22"/>
          <w:szCs w:val="22"/>
          <w:lang w:val="en-AU"/>
        </w:rPr>
        <w:t>Regulatory impact assessment</w:t>
      </w:r>
    </w:p>
    <w:p w14:paraId="45FA91C1" w14:textId="4B9A06B5" w:rsidR="00080833" w:rsidRPr="00106EA7" w:rsidRDefault="00080833" w:rsidP="00080833">
      <w:pPr>
        <w:spacing w:after="160" w:line="259" w:lineRule="auto"/>
        <w:rPr>
          <w:rFonts w:eastAsiaTheme="minorHAnsi"/>
          <w:sz w:val="22"/>
          <w:szCs w:val="22"/>
        </w:rPr>
      </w:pPr>
      <w:r w:rsidRPr="00106EA7">
        <w:rPr>
          <w:rFonts w:eastAsiaTheme="minorHAnsi"/>
          <w:sz w:val="22"/>
          <w:szCs w:val="22"/>
        </w:rPr>
        <w:t xml:space="preserve">Prior to making the </w:t>
      </w:r>
      <w:r>
        <w:rPr>
          <w:rFonts w:eastAsiaTheme="minorHAnsi"/>
          <w:sz w:val="22"/>
          <w:szCs w:val="22"/>
        </w:rPr>
        <w:t>Marketing Plan Variation</w:t>
      </w:r>
      <w:r w:rsidRPr="00106EA7">
        <w:rPr>
          <w:rFonts w:eastAsiaTheme="minorHAnsi"/>
          <w:sz w:val="22"/>
          <w:szCs w:val="22"/>
        </w:rPr>
        <w:t xml:space="preserve">, the ACMA </w:t>
      </w:r>
      <w:r w:rsidR="00051AF9">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sidR="00051AF9">
        <w:rPr>
          <w:rFonts w:eastAsiaTheme="minorHAnsi"/>
          <w:sz w:val="22"/>
          <w:szCs w:val="22"/>
        </w:rPr>
        <w:t xml:space="preserve">considered that the proposal to allocate licences for the </w:t>
      </w:r>
      <w:r w:rsidR="001848EB">
        <w:rPr>
          <w:rFonts w:eastAsiaTheme="minorHAnsi"/>
          <w:sz w:val="22"/>
          <w:szCs w:val="22"/>
        </w:rPr>
        <w:t>700 MHz (unallocated lots) band</w:t>
      </w:r>
      <w:r w:rsidR="00051AF9">
        <w:rPr>
          <w:rFonts w:eastAsiaTheme="minorHAnsi"/>
          <w:sz w:val="22"/>
          <w:szCs w:val="22"/>
        </w:rPr>
        <w:t xml:space="preserve"> was sufficiently related to previous processes considered by the OBPR, including the allocation that occurred in 2013, </w:t>
      </w:r>
      <w:r w:rsidR="007B37BC">
        <w:rPr>
          <w:rFonts w:eastAsiaTheme="minorHAnsi"/>
          <w:sz w:val="22"/>
          <w:szCs w:val="22"/>
        </w:rPr>
        <w:t xml:space="preserve">such </w:t>
      </w:r>
      <w:r w:rsidR="00051AF9">
        <w:rPr>
          <w:rFonts w:eastAsiaTheme="minorHAnsi"/>
          <w:sz w:val="22"/>
          <w:szCs w:val="22"/>
        </w:rPr>
        <w:t xml:space="preserve">that </w:t>
      </w:r>
      <w:r w:rsidR="002300A1">
        <w:rPr>
          <w:rFonts w:eastAsiaTheme="minorHAnsi"/>
          <w:sz w:val="22"/>
          <w:szCs w:val="22"/>
        </w:rPr>
        <w:t xml:space="preserve">it </w:t>
      </w:r>
      <w:r w:rsidR="00051AF9" w:rsidRPr="00A313EF">
        <w:rPr>
          <w:rFonts w:eastAsiaTheme="minorHAnsi"/>
          <w:sz w:val="22"/>
          <w:szCs w:val="22"/>
        </w:rPr>
        <w:t xml:space="preserve">was exempt from </w:t>
      </w:r>
      <w:r w:rsidRPr="00A313EF">
        <w:rPr>
          <w:rFonts w:eastAsiaTheme="minorHAnsi"/>
          <w:sz w:val="22"/>
          <w:szCs w:val="22"/>
        </w:rPr>
        <w:t>the requirement for a Regulation Impact Statement for this legislative instrument (OBPR reference 20916).</w:t>
      </w:r>
      <w:r w:rsidRPr="00106EA7">
        <w:rPr>
          <w:rFonts w:eastAsiaTheme="minorHAnsi"/>
          <w:sz w:val="22"/>
          <w:szCs w:val="22"/>
        </w:rPr>
        <w:t xml:space="preserve"> </w:t>
      </w:r>
    </w:p>
    <w:p w14:paraId="134EE182" w14:textId="692DB0E0" w:rsidR="00BD7B7A" w:rsidRPr="002F73E9" w:rsidRDefault="00BD7B7A" w:rsidP="009C21A7">
      <w:pPr>
        <w:pStyle w:val="ACMAHeading3"/>
        <w:rPr>
          <w:rFonts w:ascii="Times New Roman" w:eastAsiaTheme="minorHAnsi" w:hAnsi="Times New Roman"/>
          <w:sz w:val="22"/>
          <w:szCs w:val="22"/>
          <w:lang w:val="en-AU"/>
        </w:rPr>
      </w:pPr>
      <w:r w:rsidRPr="002F73E9">
        <w:rPr>
          <w:rFonts w:ascii="Times New Roman" w:eastAsiaTheme="minorHAnsi" w:hAnsi="Times New Roman"/>
          <w:sz w:val="22"/>
          <w:szCs w:val="22"/>
          <w:lang w:val="en-AU"/>
        </w:rPr>
        <w:t xml:space="preserve">Statement of </w:t>
      </w:r>
      <w:r w:rsidR="002F73E9" w:rsidRPr="002F73E9">
        <w:rPr>
          <w:rFonts w:ascii="Times New Roman" w:eastAsiaTheme="minorHAnsi" w:hAnsi="Times New Roman"/>
          <w:sz w:val="22"/>
          <w:szCs w:val="22"/>
          <w:lang w:val="en-AU"/>
        </w:rPr>
        <w:t>c</w:t>
      </w:r>
      <w:r w:rsidRPr="002F73E9">
        <w:rPr>
          <w:rFonts w:ascii="Times New Roman" w:eastAsiaTheme="minorHAnsi" w:hAnsi="Times New Roman"/>
          <w:sz w:val="22"/>
          <w:szCs w:val="22"/>
          <w:lang w:val="en-AU"/>
        </w:rPr>
        <w:t xml:space="preserve">ompatibility with </w:t>
      </w:r>
      <w:r w:rsidR="002F73E9" w:rsidRPr="002F73E9">
        <w:rPr>
          <w:rFonts w:ascii="Times New Roman" w:eastAsiaTheme="minorHAnsi" w:hAnsi="Times New Roman"/>
          <w:sz w:val="22"/>
          <w:szCs w:val="22"/>
          <w:lang w:val="en-AU"/>
        </w:rPr>
        <w:t>h</w:t>
      </w:r>
      <w:r w:rsidRPr="002F73E9">
        <w:rPr>
          <w:rFonts w:ascii="Times New Roman" w:eastAsiaTheme="minorHAnsi" w:hAnsi="Times New Roman"/>
          <w:sz w:val="22"/>
          <w:szCs w:val="22"/>
          <w:lang w:val="en-AU"/>
        </w:rPr>
        <w:t xml:space="preserve">uman </w:t>
      </w:r>
      <w:r w:rsidR="002F73E9" w:rsidRPr="002F73E9">
        <w:rPr>
          <w:rFonts w:ascii="Times New Roman" w:eastAsiaTheme="minorHAnsi" w:hAnsi="Times New Roman"/>
          <w:sz w:val="22"/>
          <w:szCs w:val="22"/>
          <w:lang w:val="en-AU"/>
        </w:rPr>
        <w:t>r</w:t>
      </w:r>
      <w:r w:rsidRPr="002F73E9">
        <w:rPr>
          <w:rFonts w:ascii="Times New Roman" w:eastAsiaTheme="minorHAnsi" w:hAnsi="Times New Roman"/>
          <w:sz w:val="22"/>
          <w:szCs w:val="22"/>
          <w:lang w:val="en-AU"/>
        </w:rPr>
        <w:t>ights</w:t>
      </w:r>
    </w:p>
    <w:p w14:paraId="0CFB3832" w14:textId="77777777" w:rsidR="00A632A3" w:rsidRDefault="00A632A3" w:rsidP="00A632A3">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1CA7958E" w14:textId="642135AF" w:rsidR="00A632A3" w:rsidRDefault="00A632A3" w:rsidP="00A632A3">
      <w:pPr>
        <w:spacing w:after="160" w:line="259" w:lineRule="auto"/>
        <w:rPr>
          <w:rFonts w:eastAsiaTheme="minorHAnsi"/>
          <w:sz w:val="22"/>
          <w:szCs w:val="22"/>
        </w:rPr>
      </w:pPr>
      <w:r w:rsidRPr="00106EA7">
        <w:rPr>
          <w:rFonts w:eastAsiaTheme="minorHAnsi"/>
          <w:sz w:val="22"/>
          <w:szCs w:val="22"/>
        </w:rPr>
        <w:t>The statement of compatibility set out below has been prepared to meet that requirement.</w:t>
      </w:r>
    </w:p>
    <w:p w14:paraId="7C49710D" w14:textId="77777777" w:rsidR="00A632A3" w:rsidRPr="00106EA7" w:rsidRDefault="00A632A3" w:rsidP="00A632A3">
      <w:pPr>
        <w:keepNext/>
        <w:spacing w:after="160" w:line="259" w:lineRule="auto"/>
        <w:rPr>
          <w:rFonts w:eastAsiaTheme="minorHAnsi"/>
          <w:b/>
          <w:i/>
          <w:sz w:val="22"/>
          <w:szCs w:val="22"/>
        </w:rPr>
      </w:pPr>
      <w:r w:rsidRPr="00106EA7">
        <w:rPr>
          <w:rFonts w:eastAsiaTheme="minorHAnsi"/>
          <w:b/>
          <w:i/>
          <w:sz w:val="22"/>
          <w:szCs w:val="22"/>
        </w:rPr>
        <w:t>Overview of the instrument</w:t>
      </w:r>
    </w:p>
    <w:p w14:paraId="46D62B4A" w14:textId="64256EF1" w:rsidR="00A632A3" w:rsidRPr="00A313EF" w:rsidRDefault="00A632A3" w:rsidP="00A632A3">
      <w:pPr>
        <w:spacing w:after="160" w:line="259" w:lineRule="auto"/>
        <w:rPr>
          <w:rFonts w:eastAsiaTheme="minorHAnsi"/>
          <w:sz w:val="22"/>
          <w:szCs w:val="22"/>
        </w:rPr>
      </w:pPr>
      <w:r w:rsidRPr="008E0B0C">
        <w:rPr>
          <w:rFonts w:eastAsiaTheme="minorHAnsi"/>
          <w:sz w:val="22"/>
          <w:szCs w:val="22"/>
        </w:rPr>
        <w:t xml:space="preserve">On </w:t>
      </w:r>
      <w:r w:rsidR="00B406C8">
        <w:rPr>
          <w:rFonts w:eastAsiaTheme="minorHAnsi"/>
          <w:sz w:val="22"/>
          <w:szCs w:val="22"/>
        </w:rPr>
        <w:t>1</w:t>
      </w:r>
      <w:r w:rsidRPr="008E0B0C">
        <w:rPr>
          <w:rFonts w:eastAsiaTheme="minorHAnsi"/>
          <w:sz w:val="22"/>
          <w:szCs w:val="22"/>
        </w:rPr>
        <w:t xml:space="preserve"> November 2011, following recommendations from the ACMA, the Minister for </w:t>
      </w:r>
      <w:r>
        <w:rPr>
          <w:rFonts w:eastAsiaTheme="minorHAnsi"/>
          <w:sz w:val="22"/>
          <w:szCs w:val="22"/>
        </w:rPr>
        <w:t xml:space="preserve">Broadband, </w:t>
      </w:r>
      <w:r w:rsidRPr="008E0B0C">
        <w:rPr>
          <w:rFonts w:eastAsiaTheme="minorHAnsi"/>
          <w:sz w:val="22"/>
          <w:szCs w:val="22"/>
        </w:rPr>
        <w:t xml:space="preserve">Communications </w:t>
      </w:r>
      <w:r>
        <w:rPr>
          <w:rFonts w:eastAsiaTheme="minorHAnsi"/>
          <w:sz w:val="22"/>
          <w:szCs w:val="22"/>
        </w:rPr>
        <w:t xml:space="preserve">and the Digital Economy </w:t>
      </w:r>
      <w:r w:rsidRPr="008E0B0C">
        <w:rPr>
          <w:rFonts w:eastAsiaTheme="minorHAnsi"/>
          <w:sz w:val="22"/>
          <w:szCs w:val="22"/>
        </w:rPr>
        <w:t>made a declaration that specific parts of the spectrum in the 700 MHz band would be subject to re-allocation by spectrum licensing under section 153B of the Act.</w:t>
      </w:r>
      <w:r w:rsidR="003635D5">
        <w:rPr>
          <w:rFonts w:eastAsiaTheme="minorHAnsi"/>
          <w:sz w:val="22"/>
          <w:szCs w:val="22"/>
        </w:rPr>
        <w:t xml:space="preserve"> </w:t>
      </w:r>
      <w:r w:rsidRPr="008E0B0C">
        <w:rPr>
          <w:rFonts w:eastAsiaTheme="minorHAnsi"/>
          <w:sz w:val="22"/>
          <w:szCs w:val="22"/>
        </w:rPr>
        <w:t xml:space="preserve"> The specific parts of the spectrum declared for re-allocation </w:t>
      </w:r>
      <w:r w:rsidRPr="002C7E36">
        <w:rPr>
          <w:rFonts w:eastAsiaTheme="minorHAnsi"/>
          <w:sz w:val="22"/>
          <w:szCs w:val="22"/>
        </w:rPr>
        <w:t>are</w:t>
      </w:r>
      <w:r w:rsidRPr="008E0B0C">
        <w:rPr>
          <w:rFonts w:eastAsiaTheme="minorHAnsi"/>
          <w:sz w:val="22"/>
          <w:szCs w:val="22"/>
        </w:rPr>
        <w:t xml:space="preserve"> set out in </w:t>
      </w:r>
      <w:r>
        <w:rPr>
          <w:rFonts w:eastAsiaTheme="minorHAnsi"/>
          <w:sz w:val="22"/>
          <w:szCs w:val="22"/>
        </w:rPr>
        <w:t xml:space="preserve">the </w:t>
      </w:r>
      <w:r w:rsidRPr="008E0B0C">
        <w:rPr>
          <w:rFonts w:eastAsiaTheme="minorHAnsi"/>
          <w:sz w:val="22"/>
          <w:szCs w:val="22"/>
        </w:rPr>
        <w:t>Re-allocation Declaration</w:t>
      </w:r>
      <w:r w:rsidRPr="002C7E36">
        <w:rPr>
          <w:rFonts w:eastAsiaTheme="minorHAnsi"/>
          <w:sz w:val="22"/>
          <w:szCs w:val="22"/>
        </w:rPr>
        <w:t>, and consist of</w:t>
      </w:r>
      <w:r w:rsidRPr="008E0B0C">
        <w:rPr>
          <w:rFonts w:eastAsiaTheme="minorHAnsi"/>
          <w:sz w:val="22"/>
          <w:szCs w:val="22"/>
        </w:rPr>
        <w:t xml:space="preserve"> the frequency ranges 703</w:t>
      </w:r>
      <w:r>
        <w:rPr>
          <w:rFonts w:eastAsiaTheme="minorHAnsi"/>
          <w:sz w:val="22"/>
          <w:szCs w:val="22"/>
        </w:rPr>
        <w:t xml:space="preserve"> </w:t>
      </w:r>
      <w:r w:rsidR="008B444C">
        <w:rPr>
          <w:rFonts w:eastAsiaTheme="minorHAnsi"/>
          <w:sz w:val="22"/>
          <w:szCs w:val="22"/>
        </w:rPr>
        <w:t xml:space="preserve">MHz </w:t>
      </w:r>
      <w:r>
        <w:rPr>
          <w:rFonts w:eastAsiaTheme="minorHAnsi"/>
          <w:sz w:val="22"/>
          <w:szCs w:val="22"/>
        </w:rPr>
        <w:t xml:space="preserve">to </w:t>
      </w:r>
      <w:r w:rsidRPr="008E0B0C">
        <w:rPr>
          <w:rFonts w:eastAsiaTheme="minorHAnsi"/>
          <w:sz w:val="22"/>
          <w:szCs w:val="22"/>
        </w:rPr>
        <w:t>748 MHz and 758</w:t>
      </w:r>
      <w:r>
        <w:rPr>
          <w:rFonts w:eastAsiaTheme="minorHAnsi"/>
          <w:sz w:val="22"/>
          <w:szCs w:val="22"/>
        </w:rPr>
        <w:t xml:space="preserve"> </w:t>
      </w:r>
      <w:r w:rsidR="008B444C">
        <w:rPr>
          <w:rFonts w:eastAsiaTheme="minorHAnsi"/>
          <w:sz w:val="22"/>
          <w:szCs w:val="22"/>
        </w:rPr>
        <w:t xml:space="preserve">MHz </w:t>
      </w:r>
      <w:r>
        <w:rPr>
          <w:rFonts w:eastAsiaTheme="minorHAnsi"/>
          <w:sz w:val="22"/>
          <w:szCs w:val="22"/>
        </w:rPr>
        <w:t xml:space="preserve">to </w:t>
      </w:r>
      <w:r w:rsidRPr="008E0B0C">
        <w:rPr>
          <w:rFonts w:eastAsiaTheme="minorHAnsi"/>
          <w:sz w:val="22"/>
          <w:szCs w:val="22"/>
        </w:rPr>
        <w:t>803 MHz</w:t>
      </w:r>
      <w:r w:rsidR="003635D5">
        <w:rPr>
          <w:rFonts w:eastAsiaTheme="minorHAnsi"/>
          <w:sz w:val="22"/>
          <w:szCs w:val="22"/>
        </w:rPr>
        <w:t xml:space="preserve"> (namely, the 700 MHz band)</w:t>
      </w:r>
      <w:r w:rsidRPr="008E0B0C">
        <w:rPr>
          <w:rFonts w:eastAsiaTheme="minorHAnsi"/>
          <w:sz w:val="22"/>
          <w:szCs w:val="22"/>
        </w:rPr>
        <w:t>.</w:t>
      </w:r>
      <w:r w:rsidR="003635D5">
        <w:rPr>
          <w:rFonts w:eastAsiaTheme="minorHAnsi"/>
          <w:sz w:val="22"/>
          <w:szCs w:val="22"/>
        </w:rPr>
        <w:t xml:space="preserve"> </w:t>
      </w:r>
      <w:r w:rsidRPr="008E0B0C">
        <w:rPr>
          <w:rFonts w:eastAsiaTheme="minorHAnsi"/>
          <w:sz w:val="22"/>
          <w:szCs w:val="22"/>
        </w:rPr>
        <w:t xml:space="preserve"> This </w:t>
      </w:r>
      <w:r>
        <w:rPr>
          <w:rFonts w:eastAsiaTheme="minorHAnsi"/>
          <w:sz w:val="22"/>
          <w:szCs w:val="22"/>
        </w:rPr>
        <w:t xml:space="preserve">spectrum was offered as </w:t>
      </w:r>
      <w:r w:rsidRPr="008E0B0C">
        <w:rPr>
          <w:rFonts w:eastAsiaTheme="minorHAnsi"/>
          <w:sz w:val="22"/>
          <w:szCs w:val="22"/>
        </w:rPr>
        <w:t xml:space="preserve">part of the </w:t>
      </w:r>
      <w:r>
        <w:rPr>
          <w:rFonts w:eastAsiaTheme="minorHAnsi"/>
          <w:sz w:val="22"/>
          <w:szCs w:val="22"/>
        </w:rPr>
        <w:t>d</w:t>
      </w:r>
      <w:r w:rsidRPr="008E0B0C">
        <w:rPr>
          <w:rFonts w:eastAsiaTheme="minorHAnsi"/>
          <w:sz w:val="22"/>
          <w:szCs w:val="22"/>
        </w:rPr>
        <w:t xml:space="preserve">igital </w:t>
      </w:r>
      <w:r>
        <w:rPr>
          <w:rFonts w:eastAsiaTheme="minorHAnsi"/>
          <w:sz w:val="22"/>
          <w:szCs w:val="22"/>
        </w:rPr>
        <w:t>d</w:t>
      </w:r>
      <w:r w:rsidRPr="008E0B0C">
        <w:rPr>
          <w:rFonts w:eastAsiaTheme="minorHAnsi"/>
          <w:sz w:val="22"/>
          <w:szCs w:val="22"/>
        </w:rPr>
        <w:t xml:space="preserve">ividend auction for </w:t>
      </w:r>
      <w:r w:rsidRPr="00A313EF">
        <w:rPr>
          <w:rFonts w:eastAsiaTheme="minorHAnsi"/>
          <w:sz w:val="22"/>
          <w:szCs w:val="22"/>
        </w:rPr>
        <w:t xml:space="preserve">the 700 MHz and 2.5 GHz bands that was held in 2013.  At that auction, 2 x 15 MHz of the 700 MHz band was not allocated (namely, the </w:t>
      </w:r>
      <w:r w:rsidR="001848EB" w:rsidRPr="00A313EF">
        <w:rPr>
          <w:rFonts w:eastAsiaTheme="minorHAnsi"/>
          <w:sz w:val="22"/>
          <w:szCs w:val="22"/>
        </w:rPr>
        <w:t>700 MHz (unallocated lots) band</w:t>
      </w:r>
      <w:r w:rsidRPr="00A313EF">
        <w:rPr>
          <w:rFonts w:eastAsiaTheme="minorHAnsi"/>
          <w:sz w:val="22"/>
          <w:szCs w:val="22"/>
        </w:rPr>
        <w:t>).</w:t>
      </w:r>
    </w:p>
    <w:p w14:paraId="21478C94" w14:textId="1A9853EB" w:rsidR="00A632A3" w:rsidRDefault="00A632A3" w:rsidP="00A632A3">
      <w:pPr>
        <w:spacing w:after="160" w:line="259" w:lineRule="auto"/>
        <w:rPr>
          <w:rFonts w:eastAsiaTheme="minorHAnsi"/>
          <w:sz w:val="22"/>
          <w:szCs w:val="22"/>
        </w:rPr>
      </w:pPr>
      <w:r w:rsidRPr="00A313EF">
        <w:rPr>
          <w:rFonts w:eastAsiaTheme="minorHAnsi"/>
          <w:sz w:val="22"/>
          <w:szCs w:val="22"/>
        </w:rPr>
        <w:t xml:space="preserve">The Minister has given the ACMA the Residual 700 MHz Spectrum Direction.  In complying with that direction, the ACMA has made the 2016 Marketing Plan, and has made the Marketing Plan Variation in order to make consequential changes to the 2012 Marketing Plan.  Broadly speaking, the </w:t>
      </w:r>
      <w:r w:rsidRPr="00A313EF">
        <w:rPr>
          <w:rFonts w:eastAsiaTheme="minorHAnsi"/>
          <w:sz w:val="22"/>
          <w:szCs w:val="22"/>
        </w:rPr>
        <w:lastRenderedPageBreak/>
        <w:t xml:space="preserve">Residual 700 MHz Spectrum Direction requires the ACMA to allocate spectrum licences for the </w:t>
      </w:r>
      <w:r w:rsidR="001848EB" w:rsidRPr="00A313EF">
        <w:rPr>
          <w:rFonts w:eastAsiaTheme="minorHAnsi"/>
          <w:sz w:val="22"/>
          <w:szCs w:val="22"/>
        </w:rPr>
        <w:t xml:space="preserve">700 MHz (unallocated lots) band </w:t>
      </w:r>
      <w:r w:rsidRPr="00A313EF">
        <w:rPr>
          <w:rFonts w:eastAsiaTheme="minorHAnsi"/>
          <w:sz w:val="22"/>
          <w:szCs w:val="22"/>
        </w:rPr>
        <w:t>by auction.</w:t>
      </w:r>
    </w:p>
    <w:p w14:paraId="73F68774" w14:textId="36F2A818" w:rsidR="00A632A3" w:rsidRDefault="00A632A3" w:rsidP="00A632A3">
      <w:pPr>
        <w:pStyle w:val="ACMABodyText"/>
        <w:rPr>
          <w:rFonts w:eastAsiaTheme="minorHAnsi"/>
          <w:sz w:val="22"/>
          <w:szCs w:val="22"/>
        </w:rPr>
      </w:pPr>
      <w:r w:rsidRPr="002F73E9">
        <w:rPr>
          <w:rFonts w:eastAsiaTheme="minorHAnsi"/>
          <w:sz w:val="22"/>
          <w:szCs w:val="22"/>
        </w:rPr>
        <w:t>Under subsection 39A(2) of the Act, the ACMA must prepare a marketing plan for issuing spectrum licen</w:t>
      </w:r>
      <w:r>
        <w:rPr>
          <w:rFonts w:eastAsiaTheme="minorHAnsi"/>
          <w:sz w:val="22"/>
          <w:szCs w:val="22"/>
        </w:rPr>
        <w:t>c</w:t>
      </w:r>
      <w:r w:rsidRPr="002F73E9">
        <w:rPr>
          <w:rFonts w:eastAsiaTheme="minorHAnsi"/>
          <w:sz w:val="22"/>
          <w:szCs w:val="22"/>
        </w:rPr>
        <w:t xml:space="preserve">es that authorise the use of </w:t>
      </w:r>
      <w:proofErr w:type="spellStart"/>
      <w:r w:rsidRPr="002F73E9">
        <w:rPr>
          <w:rFonts w:eastAsiaTheme="minorHAnsi"/>
          <w:sz w:val="22"/>
          <w:szCs w:val="22"/>
        </w:rPr>
        <w:t>radiocommunications</w:t>
      </w:r>
      <w:proofErr w:type="spellEnd"/>
      <w:r w:rsidRPr="002F73E9">
        <w:rPr>
          <w:rFonts w:eastAsiaTheme="minorHAnsi"/>
          <w:sz w:val="22"/>
          <w:szCs w:val="22"/>
        </w:rPr>
        <w:t xml:space="preserve"> devices </w:t>
      </w:r>
      <w:r>
        <w:rPr>
          <w:rFonts w:eastAsiaTheme="minorHAnsi"/>
          <w:sz w:val="22"/>
          <w:szCs w:val="22"/>
        </w:rPr>
        <w:t>at frequencies with</w:t>
      </w:r>
      <w:r w:rsidRPr="002F73E9">
        <w:rPr>
          <w:rFonts w:eastAsiaTheme="minorHAnsi"/>
          <w:sz w:val="22"/>
          <w:szCs w:val="22"/>
        </w:rPr>
        <w:t xml:space="preserve">in </w:t>
      </w:r>
      <w:r>
        <w:rPr>
          <w:rFonts w:eastAsiaTheme="minorHAnsi"/>
          <w:sz w:val="22"/>
          <w:szCs w:val="22"/>
        </w:rPr>
        <w:t xml:space="preserve">the </w:t>
      </w:r>
      <w:r w:rsidRPr="002F73E9">
        <w:rPr>
          <w:rFonts w:eastAsiaTheme="minorHAnsi"/>
          <w:sz w:val="22"/>
          <w:szCs w:val="22"/>
        </w:rPr>
        <w:t>parts of the spectrum</w:t>
      </w:r>
      <w:r>
        <w:rPr>
          <w:rFonts w:eastAsiaTheme="minorHAnsi"/>
          <w:sz w:val="22"/>
          <w:szCs w:val="22"/>
        </w:rPr>
        <w:t>, and within the areas,</w:t>
      </w:r>
      <w:r w:rsidRPr="002F73E9">
        <w:rPr>
          <w:rFonts w:eastAsiaTheme="minorHAnsi"/>
          <w:sz w:val="22"/>
          <w:szCs w:val="22"/>
        </w:rPr>
        <w:t xml:space="preserve"> </w:t>
      </w:r>
      <w:r>
        <w:rPr>
          <w:rFonts w:eastAsiaTheme="minorHAnsi"/>
          <w:sz w:val="22"/>
          <w:szCs w:val="22"/>
        </w:rPr>
        <w:t>specified in</w:t>
      </w:r>
      <w:r w:rsidRPr="002F73E9">
        <w:rPr>
          <w:rFonts w:eastAsiaTheme="minorHAnsi"/>
          <w:sz w:val="22"/>
          <w:szCs w:val="22"/>
        </w:rPr>
        <w:t xml:space="preserve"> the </w:t>
      </w:r>
      <w:r>
        <w:rPr>
          <w:rFonts w:eastAsiaTheme="minorHAnsi"/>
          <w:sz w:val="22"/>
          <w:szCs w:val="22"/>
        </w:rPr>
        <w:t>R</w:t>
      </w:r>
      <w:r w:rsidRPr="002F73E9">
        <w:rPr>
          <w:rFonts w:eastAsiaTheme="minorHAnsi"/>
          <w:sz w:val="22"/>
          <w:szCs w:val="22"/>
        </w:rPr>
        <w:t xml:space="preserve">e-allocation </w:t>
      </w:r>
      <w:r>
        <w:rPr>
          <w:rFonts w:eastAsiaTheme="minorHAnsi"/>
          <w:sz w:val="22"/>
          <w:szCs w:val="22"/>
        </w:rPr>
        <w:t>D</w:t>
      </w:r>
      <w:r w:rsidRPr="002F73E9">
        <w:rPr>
          <w:rFonts w:eastAsiaTheme="minorHAnsi"/>
          <w:sz w:val="22"/>
          <w:szCs w:val="22"/>
        </w:rPr>
        <w:t xml:space="preserve">eclaration. </w:t>
      </w:r>
      <w:r>
        <w:rPr>
          <w:rFonts w:eastAsiaTheme="minorHAnsi"/>
          <w:sz w:val="22"/>
          <w:szCs w:val="22"/>
        </w:rPr>
        <w:t xml:space="preserve"> </w:t>
      </w:r>
      <w:r w:rsidRPr="002F73E9">
        <w:rPr>
          <w:rFonts w:eastAsiaTheme="minorHAnsi"/>
          <w:sz w:val="22"/>
          <w:szCs w:val="22"/>
        </w:rPr>
        <w:t xml:space="preserve">The Marketing Plan Variation removes the </w:t>
      </w:r>
      <w:r w:rsidR="001848EB">
        <w:rPr>
          <w:rFonts w:eastAsiaTheme="minorHAnsi"/>
          <w:sz w:val="22"/>
          <w:szCs w:val="22"/>
        </w:rPr>
        <w:t xml:space="preserve">700 MHz (unallocated lots) band </w:t>
      </w:r>
      <w:r w:rsidRPr="002F73E9">
        <w:rPr>
          <w:rFonts w:eastAsiaTheme="minorHAnsi"/>
          <w:sz w:val="22"/>
          <w:szCs w:val="22"/>
        </w:rPr>
        <w:t>from the</w:t>
      </w:r>
      <w:r>
        <w:rPr>
          <w:rFonts w:eastAsiaTheme="minorHAnsi"/>
          <w:sz w:val="22"/>
          <w:szCs w:val="22"/>
        </w:rPr>
        <w:t xml:space="preserve"> operation of the 2012 Marketing Plan</w:t>
      </w:r>
      <w:r w:rsidR="003635D5">
        <w:rPr>
          <w:rFonts w:eastAsiaTheme="minorHAnsi"/>
          <w:sz w:val="22"/>
          <w:szCs w:val="22"/>
        </w:rPr>
        <w:t xml:space="preserve">, to </w:t>
      </w:r>
      <w:r w:rsidR="00DE6323">
        <w:rPr>
          <w:rFonts w:eastAsiaTheme="minorHAnsi"/>
          <w:sz w:val="22"/>
          <w:szCs w:val="22"/>
        </w:rPr>
        <w:t xml:space="preserve">ensure that the </w:t>
      </w:r>
      <w:r w:rsidR="003635D5">
        <w:rPr>
          <w:rFonts w:eastAsiaTheme="minorHAnsi"/>
          <w:sz w:val="22"/>
          <w:szCs w:val="22"/>
        </w:rPr>
        <w:t xml:space="preserve">2016 Marketing Plan </w:t>
      </w:r>
      <w:r w:rsidR="00DE6323">
        <w:rPr>
          <w:rFonts w:eastAsiaTheme="minorHAnsi"/>
          <w:sz w:val="22"/>
          <w:szCs w:val="22"/>
        </w:rPr>
        <w:t xml:space="preserve">is the </w:t>
      </w:r>
      <w:r w:rsidR="003635D5">
        <w:rPr>
          <w:rFonts w:eastAsiaTheme="minorHAnsi"/>
          <w:sz w:val="22"/>
          <w:szCs w:val="22"/>
        </w:rPr>
        <w:t xml:space="preserve">marketing plan that applies to the issue of spectrum licences in the </w:t>
      </w:r>
      <w:r w:rsidR="001848EB">
        <w:rPr>
          <w:rFonts w:eastAsiaTheme="minorHAnsi"/>
          <w:sz w:val="22"/>
          <w:szCs w:val="22"/>
        </w:rPr>
        <w:t>700 MHz (unallocated lots) band</w:t>
      </w:r>
      <w:r w:rsidRPr="002F73E9">
        <w:rPr>
          <w:rFonts w:eastAsiaTheme="minorHAnsi"/>
          <w:sz w:val="22"/>
          <w:szCs w:val="22"/>
        </w:rPr>
        <w:t>.</w:t>
      </w:r>
    </w:p>
    <w:p w14:paraId="49F920F6" w14:textId="77777777" w:rsidR="00A632A3" w:rsidRPr="00106EA7" w:rsidRDefault="00A632A3" w:rsidP="00A632A3">
      <w:pPr>
        <w:keepNext/>
        <w:spacing w:after="160" w:line="259" w:lineRule="auto"/>
        <w:rPr>
          <w:rFonts w:eastAsiaTheme="minorHAnsi"/>
          <w:b/>
          <w:i/>
          <w:sz w:val="22"/>
          <w:szCs w:val="22"/>
        </w:rPr>
      </w:pPr>
      <w:r w:rsidRPr="00106EA7">
        <w:rPr>
          <w:rFonts w:eastAsiaTheme="minorHAnsi"/>
          <w:b/>
          <w:i/>
          <w:sz w:val="22"/>
          <w:szCs w:val="22"/>
        </w:rPr>
        <w:t>Human rights implications</w:t>
      </w:r>
    </w:p>
    <w:p w14:paraId="75725541" w14:textId="1548F847" w:rsidR="00A632A3" w:rsidRPr="00106EA7" w:rsidRDefault="00A632A3" w:rsidP="00A632A3">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Marketing Plan Variation</w:t>
      </w:r>
      <w:r w:rsidRPr="00106EA7">
        <w:rPr>
          <w:rFonts w:eastAsiaTheme="minorHAnsi"/>
          <w:sz w:val="22"/>
          <w:szCs w:val="22"/>
        </w:rPr>
        <w:t xml:space="preserve"> 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3E3DA14A" w14:textId="410F7490" w:rsidR="00A632A3" w:rsidRPr="00106EA7" w:rsidRDefault="00A632A3" w:rsidP="00A632A3">
      <w:pPr>
        <w:spacing w:after="160" w:line="259" w:lineRule="auto"/>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 Variation</w:t>
      </w:r>
      <w:r w:rsidRPr="00106EA7">
        <w:rPr>
          <w:rFonts w:eastAsiaTheme="minorHAnsi"/>
          <w:sz w:val="22"/>
          <w:szCs w:val="22"/>
        </w:rPr>
        <w:t xml:space="preserve"> does not engage an</w:t>
      </w:r>
      <w:r>
        <w:rPr>
          <w:rFonts w:eastAsiaTheme="minorHAnsi"/>
          <w:sz w:val="22"/>
          <w:szCs w:val="22"/>
        </w:rPr>
        <w:t>y of those rights or freedoms.</w:t>
      </w:r>
    </w:p>
    <w:p w14:paraId="5D616554" w14:textId="77777777" w:rsidR="00A632A3" w:rsidRPr="00106EA7" w:rsidRDefault="00A632A3" w:rsidP="00A632A3">
      <w:pPr>
        <w:keepNext/>
        <w:spacing w:after="160" w:line="259" w:lineRule="auto"/>
        <w:rPr>
          <w:rFonts w:eastAsiaTheme="minorHAnsi"/>
          <w:b/>
          <w:i/>
          <w:sz w:val="22"/>
          <w:szCs w:val="22"/>
        </w:rPr>
      </w:pPr>
      <w:r w:rsidRPr="00106EA7">
        <w:rPr>
          <w:rFonts w:eastAsiaTheme="minorHAnsi"/>
          <w:b/>
          <w:i/>
          <w:sz w:val="22"/>
          <w:szCs w:val="22"/>
        </w:rPr>
        <w:t>Conclusion</w:t>
      </w:r>
    </w:p>
    <w:p w14:paraId="7C79325C" w14:textId="57FA5DFF" w:rsidR="00A632A3" w:rsidRPr="00106EA7" w:rsidRDefault="00A632A3" w:rsidP="00A632A3">
      <w:pPr>
        <w:spacing w:after="160" w:line="259" w:lineRule="auto"/>
        <w:rPr>
          <w:rFonts w:eastAsiaTheme="minorHAnsi"/>
          <w:sz w:val="22"/>
          <w:szCs w:val="22"/>
        </w:rPr>
      </w:pPr>
      <w:r>
        <w:rPr>
          <w:rFonts w:eastAsiaTheme="minorHAnsi"/>
          <w:sz w:val="22"/>
          <w:szCs w:val="22"/>
        </w:rPr>
        <w:t>The Marketing Plan Variation</w:t>
      </w:r>
      <w:r w:rsidRPr="00106EA7">
        <w:rPr>
          <w:rFonts w:eastAsiaTheme="minorHAnsi"/>
          <w:sz w:val="22"/>
          <w:szCs w:val="22"/>
        </w:rPr>
        <w:t xml:space="preserve"> is compatible with human rights as it does not raise any human rights issues.</w:t>
      </w:r>
    </w:p>
    <w:p w14:paraId="542DE81B" w14:textId="162766A1" w:rsidR="00BD7B7A" w:rsidRPr="002F73E9" w:rsidRDefault="00BD7B7A" w:rsidP="002F73E9">
      <w:pPr>
        <w:spacing w:before="0" w:after="160" w:line="259" w:lineRule="auto"/>
        <w:rPr>
          <w:rFonts w:eastAsiaTheme="minorHAnsi"/>
          <w:sz w:val="22"/>
          <w:szCs w:val="22"/>
        </w:rPr>
        <w:sectPr w:rsidR="00BD7B7A" w:rsidRPr="002F73E9" w:rsidSect="00685C94">
          <w:footerReference w:type="default" r:id="rId14"/>
          <w:pgSz w:w="11906" w:h="16838"/>
          <w:pgMar w:top="1440" w:right="1440" w:bottom="1440" w:left="1440" w:header="708" w:footer="708" w:gutter="0"/>
          <w:cols w:space="708"/>
          <w:docGrid w:linePitch="360"/>
        </w:sectPr>
      </w:pPr>
    </w:p>
    <w:p w14:paraId="002E3046" w14:textId="77777777" w:rsidR="00BD7B7A" w:rsidRPr="00A632A3" w:rsidRDefault="00BD7B7A" w:rsidP="00A632A3">
      <w:pPr>
        <w:spacing w:before="0" w:after="160" w:line="259" w:lineRule="auto"/>
        <w:jc w:val="right"/>
        <w:rPr>
          <w:rFonts w:eastAsiaTheme="minorHAnsi"/>
          <w:b/>
          <w:sz w:val="28"/>
          <w:szCs w:val="28"/>
        </w:rPr>
      </w:pPr>
      <w:r w:rsidRPr="00A632A3">
        <w:rPr>
          <w:rFonts w:eastAsiaTheme="minorHAnsi"/>
          <w:b/>
          <w:sz w:val="28"/>
          <w:szCs w:val="28"/>
        </w:rPr>
        <w:lastRenderedPageBreak/>
        <w:t>ATTACHMENT A</w:t>
      </w:r>
    </w:p>
    <w:p w14:paraId="4316A00B" w14:textId="2F7AD1CB" w:rsidR="000C0804" w:rsidRPr="00641906" w:rsidRDefault="000C0804" w:rsidP="000C0804">
      <w:pPr>
        <w:jc w:val="center"/>
        <w:rPr>
          <w:b/>
          <w:sz w:val="28"/>
          <w:szCs w:val="28"/>
        </w:rPr>
      </w:pPr>
      <w:r w:rsidRPr="00641906">
        <w:rPr>
          <w:b/>
          <w:sz w:val="28"/>
          <w:szCs w:val="28"/>
        </w:rPr>
        <w:t xml:space="preserve">Notes to the </w:t>
      </w:r>
      <w:proofErr w:type="spellStart"/>
      <w:r>
        <w:rPr>
          <w:b/>
          <w:i/>
          <w:sz w:val="28"/>
          <w:szCs w:val="28"/>
        </w:rPr>
        <w:t>Radiocommunications</w:t>
      </w:r>
      <w:proofErr w:type="spellEnd"/>
      <w:r>
        <w:rPr>
          <w:b/>
          <w:i/>
          <w:sz w:val="28"/>
          <w:szCs w:val="28"/>
        </w:rPr>
        <w:t xml:space="preserve"> Spectrum Marketing Plan (700 MHz Band) Variation 2016 (No. 1)</w:t>
      </w:r>
    </w:p>
    <w:p w14:paraId="302B4E99" w14:textId="77777777" w:rsidR="00F04EAB" w:rsidRDefault="00F04EAB" w:rsidP="001334CF">
      <w:pPr>
        <w:pStyle w:val="ACMAHeading4"/>
        <w:rPr>
          <w:rFonts w:cs="Arial"/>
          <w:bCs/>
          <w:i w:val="0"/>
          <w:iCs/>
        </w:rPr>
      </w:pPr>
    </w:p>
    <w:p w14:paraId="45FED551" w14:textId="5DAF0E68" w:rsidR="00BD7B7A" w:rsidRPr="000C0804" w:rsidRDefault="00B110DF" w:rsidP="000C0804">
      <w:pPr>
        <w:spacing w:before="0" w:after="160" w:line="259" w:lineRule="auto"/>
        <w:rPr>
          <w:rFonts w:eastAsiaTheme="minorHAnsi"/>
          <w:b/>
          <w:sz w:val="22"/>
          <w:szCs w:val="22"/>
        </w:rPr>
      </w:pPr>
      <w:r w:rsidRPr="000C0804">
        <w:rPr>
          <w:rFonts w:eastAsiaTheme="minorHAnsi"/>
          <w:b/>
          <w:sz w:val="22"/>
          <w:szCs w:val="22"/>
        </w:rPr>
        <w:t>Section 1</w:t>
      </w:r>
      <w:r w:rsidR="000C0804">
        <w:rPr>
          <w:rFonts w:eastAsiaTheme="minorHAnsi"/>
          <w:b/>
          <w:sz w:val="22"/>
          <w:szCs w:val="22"/>
        </w:rPr>
        <w:tab/>
      </w:r>
      <w:r w:rsidR="00BD7B7A" w:rsidRPr="000C0804">
        <w:rPr>
          <w:rFonts w:eastAsiaTheme="minorHAnsi"/>
          <w:b/>
          <w:sz w:val="22"/>
          <w:szCs w:val="22"/>
        </w:rPr>
        <w:t xml:space="preserve">Name </w:t>
      </w:r>
    </w:p>
    <w:p w14:paraId="5C4A5A5E" w14:textId="6DA654CE" w:rsidR="00BD7B7A" w:rsidRPr="000C0804" w:rsidRDefault="00BD7B7A"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0C0804">
        <w:rPr>
          <w:rFonts w:eastAsiaTheme="minorHAnsi"/>
          <w:sz w:val="22"/>
          <w:szCs w:val="22"/>
        </w:rPr>
        <w:t xml:space="preserve">provides for the Marketing Plan Variation to be cited </w:t>
      </w:r>
      <w:r w:rsidR="00F04EAB" w:rsidRPr="000C0804">
        <w:rPr>
          <w:rFonts w:eastAsiaTheme="minorHAnsi"/>
          <w:sz w:val="22"/>
          <w:szCs w:val="22"/>
        </w:rPr>
        <w:t xml:space="preserve">as </w:t>
      </w:r>
      <w:r w:rsidRPr="000C0804">
        <w:rPr>
          <w:rFonts w:eastAsiaTheme="minorHAnsi"/>
          <w:sz w:val="22"/>
          <w:szCs w:val="22"/>
        </w:rPr>
        <w:t>the</w:t>
      </w:r>
      <w:r w:rsidR="00F04EAB" w:rsidRPr="000C0804">
        <w:rPr>
          <w:rFonts w:eastAsiaTheme="minorHAnsi"/>
          <w:sz w:val="22"/>
          <w:szCs w:val="22"/>
        </w:rPr>
        <w:t xml:space="preserve"> </w:t>
      </w:r>
      <w:proofErr w:type="spellStart"/>
      <w:r w:rsidR="00F04EAB" w:rsidRPr="000C0804">
        <w:rPr>
          <w:rFonts w:eastAsiaTheme="minorHAnsi"/>
          <w:i/>
          <w:sz w:val="22"/>
          <w:szCs w:val="22"/>
        </w:rPr>
        <w:t>Radiocommunications</w:t>
      </w:r>
      <w:proofErr w:type="spellEnd"/>
      <w:r w:rsidR="00F04EAB" w:rsidRPr="000C0804">
        <w:rPr>
          <w:rFonts w:eastAsiaTheme="minorHAnsi"/>
          <w:i/>
          <w:sz w:val="22"/>
          <w:szCs w:val="22"/>
        </w:rPr>
        <w:t xml:space="preserve"> Spectrum Marketing Plan (700 MHz Band) Variation 2016 (No. 1)</w:t>
      </w:r>
      <w:r w:rsidRPr="000C0804">
        <w:rPr>
          <w:rFonts w:eastAsiaTheme="minorHAnsi"/>
          <w:sz w:val="22"/>
          <w:szCs w:val="22"/>
        </w:rPr>
        <w:t>.</w:t>
      </w:r>
    </w:p>
    <w:p w14:paraId="2B79AF1A" w14:textId="2110654A" w:rsidR="00BD7B7A" w:rsidRPr="000C0804" w:rsidRDefault="00B110DF" w:rsidP="000C0804">
      <w:pPr>
        <w:spacing w:before="0" w:after="160" w:line="259" w:lineRule="auto"/>
        <w:rPr>
          <w:rFonts w:eastAsiaTheme="minorHAnsi"/>
          <w:b/>
          <w:sz w:val="22"/>
          <w:szCs w:val="22"/>
        </w:rPr>
      </w:pPr>
      <w:r w:rsidRPr="000C0804">
        <w:rPr>
          <w:rFonts w:eastAsiaTheme="minorHAnsi"/>
          <w:b/>
          <w:sz w:val="22"/>
          <w:szCs w:val="22"/>
        </w:rPr>
        <w:t xml:space="preserve">Section </w:t>
      </w:r>
      <w:r w:rsidR="00BD7B7A" w:rsidRPr="000C0804">
        <w:rPr>
          <w:rFonts w:eastAsiaTheme="minorHAnsi"/>
          <w:b/>
          <w:sz w:val="22"/>
          <w:szCs w:val="22"/>
        </w:rPr>
        <w:t>2</w:t>
      </w:r>
      <w:r w:rsidR="000C0804">
        <w:rPr>
          <w:rFonts w:eastAsiaTheme="minorHAnsi"/>
          <w:b/>
          <w:sz w:val="22"/>
          <w:szCs w:val="22"/>
        </w:rPr>
        <w:tab/>
      </w:r>
      <w:r w:rsidR="00BD7B7A" w:rsidRPr="000C0804">
        <w:rPr>
          <w:rFonts w:eastAsiaTheme="minorHAnsi"/>
          <w:b/>
          <w:sz w:val="22"/>
          <w:szCs w:val="22"/>
        </w:rPr>
        <w:t>Commencement</w:t>
      </w:r>
    </w:p>
    <w:p w14:paraId="763F41F2" w14:textId="56F3BD22" w:rsidR="00BD7B7A" w:rsidRPr="00C02401" w:rsidRDefault="00BD7B7A"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0C0804">
        <w:rPr>
          <w:rFonts w:eastAsiaTheme="minorHAnsi"/>
          <w:sz w:val="22"/>
          <w:szCs w:val="22"/>
        </w:rPr>
        <w:t>provides for</w:t>
      </w:r>
      <w:r w:rsidR="0051434B" w:rsidRPr="000C0804">
        <w:rPr>
          <w:rFonts w:eastAsiaTheme="minorHAnsi"/>
          <w:sz w:val="22"/>
          <w:szCs w:val="22"/>
        </w:rPr>
        <w:t xml:space="preserve"> t</w:t>
      </w:r>
      <w:r w:rsidRPr="000C0804">
        <w:rPr>
          <w:rFonts w:eastAsiaTheme="minorHAnsi"/>
          <w:sz w:val="22"/>
          <w:szCs w:val="22"/>
        </w:rPr>
        <w:t>he Marketing Plan</w:t>
      </w:r>
      <w:r w:rsidR="00F04EAB" w:rsidRPr="000C0804">
        <w:rPr>
          <w:rFonts w:eastAsiaTheme="minorHAnsi"/>
          <w:sz w:val="22"/>
          <w:szCs w:val="22"/>
        </w:rPr>
        <w:t xml:space="preserve"> Variation</w:t>
      </w:r>
      <w:r w:rsidRPr="000C0804">
        <w:rPr>
          <w:rFonts w:eastAsiaTheme="minorHAnsi"/>
          <w:sz w:val="22"/>
          <w:szCs w:val="22"/>
        </w:rPr>
        <w:t xml:space="preserve"> </w:t>
      </w:r>
      <w:r w:rsidR="000C0804">
        <w:rPr>
          <w:rFonts w:eastAsiaTheme="minorHAnsi"/>
          <w:sz w:val="22"/>
          <w:szCs w:val="22"/>
        </w:rPr>
        <w:t xml:space="preserve">to </w:t>
      </w:r>
      <w:r w:rsidR="00120313" w:rsidRPr="000C0804">
        <w:rPr>
          <w:rFonts w:eastAsiaTheme="minorHAnsi"/>
          <w:sz w:val="22"/>
          <w:szCs w:val="22"/>
        </w:rPr>
        <w:t>commence</w:t>
      </w:r>
      <w:r w:rsidR="000C0804">
        <w:rPr>
          <w:rFonts w:eastAsiaTheme="minorHAnsi"/>
          <w:sz w:val="22"/>
          <w:szCs w:val="22"/>
        </w:rPr>
        <w:t xml:space="preserve"> at the start of</w:t>
      </w:r>
      <w:r w:rsidR="00F04EAB" w:rsidRPr="000C0804">
        <w:rPr>
          <w:rFonts w:eastAsiaTheme="minorHAnsi"/>
          <w:sz w:val="22"/>
          <w:szCs w:val="22"/>
        </w:rPr>
        <w:t xml:space="preserve"> the day after it is </w:t>
      </w:r>
      <w:r w:rsidR="00F04EAB" w:rsidRPr="00CC1C10">
        <w:rPr>
          <w:rFonts w:eastAsiaTheme="minorHAnsi"/>
          <w:sz w:val="22"/>
          <w:szCs w:val="22"/>
        </w:rPr>
        <w:t>registered</w:t>
      </w:r>
      <w:r w:rsidR="00B110DF" w:rsidRPr="00CC1C10">
        <w:rPr>
          <w:rFonts w:eastAsiaTheme="minorHAnsi"/>
          <w:sz w:val="22"/>
          <w:szCs w:val="22"/>
        </w:rPr>
        <w:t xml:space="preserve"> </w:t>
      </w:r>
      <w:r w:rsidR="00F04EAB" w:rsidRPr="00C02401">
        <w:rPr>
          <w:rFonts w:eastAsiaTheme="minorHAnsi"/>
          <w:sz w:val="22"/>
          <w:szCs w:val="22"/>
        </w:rPr>
        <w:t>on the Federal Register of Legislation</w:t>
      </w:r>
      <w:r w:rsidR="00BA3B22" w:rsidRPr="00C02401">
        <w:rPr>
          <w:rFonts w:eastAsiaTheme="minorHAnsi"/>
          <w:sz w:val="22"/>
          <w:szCs w:val="22"/>
        </w:rPr>
        <w:t>.</w:t>
      </w:r>
    </w:p>
    <w:p w14:paraId="66E3F788" w14:textId="0C2F66E9" w:rsidR="000C0804" w:rsidRPr="00051AF9" w:rsidRDefault="000C0804" w:rsidP="000C0804">
      <w:pPr>
        <w:pStyle w:val="ACMABodyText"/>
        <w:rPr>
          <w:rFonts w:eastAsiaTheme="minorHAnsi"/>
          <w:sz w:val="22"/>
          <w:szCs w:val="22"/>
        </w:rPr>
      </w:pPr>
      <w:r w:rsidRPr="00051AF9">
        <w:rPr>
          <w:rFonts w:eastAsiaTheme="minorHAnsi"/>
          <w:sz w:val="22"/>
          <w:szCs w:val="22"/>
        </w:rPr>
        <w:t xml:space="preserve">The Federal Register of Legislation may be accessed at </w:t>
      </w:r>
      <w:hyperlink r:id="rId15" w:history="1">
        <w:r w:rsidRPr="00051AF9">
          <w:rPr>
            <w:rStyle w:val="Hyperlink"/>
            <w:rFonts w:eastAsiaTheme="minorHAnsi"/>
            <w:sz w:val="22"/>
            <w:szCs w:val="22"/>
          </w:rPr>
          <w:t>www.legislation.gov.au</w:t>
        </w:r>
      </w:hyperlink>
      <w:r w:rsidRPr="00051AF9">
        <w:rPr>
          <w:rFonts w:eastAsiaTheme="minorHAnsi"/>
          <w:sz w:val="22"/>
          <w:szCs w:val="22"/>
        </w:rPr>
        <w:t>.</w:t>
      </w:r>
    </w:p>
    <w:p w14:paraId="50B2C8F2" w14:textId="5FABABD3" w:rsidR="00BA3B22" w:rsidRPr="000C0804" w:rsidRDefault="00BA3B22" w:rsidP="000C0804">
      <w:pPr>
        <w:spacing w:before="0" w:after="160" w:line="259" w:lineRule="auto"/>
        <w:rPr>
          <w:rFonts w:eastAsiaTheme="minorHAnsi"/>
          <w:b/>
          <w:sz w:val="22"/>
          <w:szCs w:val="22"/>
        </w:rPr>
      </w:pPr>
      <w:r w:rsidRPr="000C0804">
        <w:rPr>
          <w:rFonts w:eastAsiaTheme="minorHAnsi"/>
          <w:b/>
          <w:sz w:val="22"/>
          <w:szCs w:val="22"/>
        </w:rPr>
        <w:t>Section 3</w:t>
      </w:r>
      <w:r w:rsidR="000C0804">
        <w:rPr>
          <w:rFonts w:eastAsiaTheme="minorHAnsi"/>
          <w:b/>
          <w:sz w:val="22"/>
          <w:szCs w:val="22"/>
        </w:rPr>
        <w:tab/>
      </w:r>
      <w:r w:rsidRPr="000C0804">
        <w:rPr>
          <w:rFonts w:eastAsiaTheme="minorHAnsi"/>
          <w:b/>
          <w:sz w:val="22"/>
          <w:szCs w:val="22"/>
        </w:rPr>
        <w:t>Authority</w:t>
      </w:r>
    </w:p>
    <w:p w14:paraId="39FA4195" w14:textId="3CADDAF9" w:rsidR="00BA3B22" w:rsidRPr="000C0804" w:rsidRDefault="00BA3B22"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0C0804">
        <w:rPr>
          <w:rFonts w:eastAsiaTheme="minorHAnsi"/>
          <w:sz w:val="22"/>
          <w:szCs w:val="22"/>
        </w:rPr>
        <w:t xml:space="preserve">identifies the </w:t>
      </w:r>
      <w:r w:rsidR="007B37BC">
        <w:rPr>
          <w:rFonts w:eastAsiaTheme="minorHAnsi"/>
          <w:sz w:val="22"/>
          <w:szCs w:val="22"/>
        </w:rPr>
        <w:t>provision</w:t>
      </w:r>
      <w:r w:rsidR="000C0804">
        <w:rPr>
          <w:rFonts w:eastAsiaTheme="minorHAnsi"/>
          <w:sz w:val="22"/>
          <w:szCs w:val="22"/>
        </w:rPr>
        <w:t xml:space="preserve"> that authorises the making of</w:t>
      </w:r>
      <w:r w:rsidRPr="000C0804">
        <w:rPr>
          <w:rFonts w:eastAsiaTheme="minorHAnsi"/>
          <w:sz w:val="22"/>
          <w:szCs w:val="22"/>
        </w:rPr>
        <w:t xml:space="preserve"> the Marketing Plan </w:t>
      </w:r>
      <w:r w:rsidR="00AF5F46" w:rsidRPr="000C0804">
        <w:rPr>
          <w:rFonts w:eastAsiaTheme="minorHAnsi"/>
          <w:sz w:val="22"/>
          <w:szCs w:val="22"/>
        </w:rPr>
        <w:t>Variation</w:t>
      </w:r>
      <w:r w:rsidR="000C0804">
        <w:rPr>
          <w:rFonts w:eastAsiaTheme="minorHAnsi"/>
          <w:sz w:val="22"/>
          <w:szCs w:val="22"/>
        </w:rPr>
        <w:t>, namely</w:t>
      </w:r>
      <w:r w:rsidR="007B37BC">
        <w:rPr>
          <w:rFonts w:eastAsiaTheme="minorHAnsi"/>
          <w:sz w:val="22"/>
          <w:szCs w:val="22"/>
        </w:rPr>
        <w:t xml:space="preserve"> </w:t>
      </w:r>
      <w:proofErr w:type="spellStart"/>
      <w:r w:rsidR="007B37BC">
        <w:rPr>
          <w:rFonts w:eastAsiaTheme="minorHAnsi"/>
          <w:sz w:val="22"/>
          <w:szCs w:val="22"/>
        </w:rPr>
        <w:t>subsecton</w:t>
      </w:r>
      <w:proofErr w:type="spellEnd"/>
      <w:r w:rsidR="007B37BC">
        <w:rPr>
          <w:rFonts w:eastAsiaTheme="minorHAnsi"/>
          <w:sz w:val="22"/>
          <w:szCs w:val="22"/>
        </w:rPr>
        <w:t xml:space="preserve"> 42(1) of</w:t>
      </w:r>
      <w:r w:rsidR="000C0804">
        <w:rPr>
          <w:rFonts w:eastAsiaTheme="minorHAnsi"/>
          <w:sz w:val="22"/>
          <w:szCs w:val="22"/>
        </w:rPr>
        <w:t xml:space="preserve"> the </w:t>
      </w:r>
      <w:proofErr w:type="spellStart"/>
      <w:r w:rsidR="000C0804" w:rsidRPr="00FA3C80">
        <w:rPr>
          <w:rFonts w:eastAsiaTheme="minorHAnsi"/>
          <w:i/>
          <w:sz w:val="22"/>
          <w:szCs w:val="22"/>
        </w:rPr>
        <w:t>Radiocommunications</w:t>
      </w:r>
      <w:proofErr w:type="spellEnd"/>
      <w:r w:rsidR="000C0804" w:rsidRPr="00FA3C80">
        <w:rPr>
          <w:rFonts w:eastAsiaTheme="minorHAnsi"/>
          <w:i/>
          <w:sz w:val="22"/>
          <w:szCs w:val="22"/>
        </w:rPr>
        <w:t xml:space="preserve"> Act 1992</w:t>
      </w:r>
      <w:r w:rsidRPr="000C0804">
        <w:rPr>
          <w:rFonts w:eastAsiaTheme="minorHAnsi"/>
          <w:sz w:val="22"/>
          <w:szCs w:val="22"/>
        </w:rPr>
        <w:t>.</w:t>
      </w:r>
    </w:p>
    <w:p w14:paraId="73D1E862" w14:textId="5A848524" w:rsidR="00BD7B7A" w:rsidRPr="000C0804" w:rsidRDefault="00BA3B22" w:rsidP="000C0804">
      <w:pPr>
        <w:spacing w:before="0" w:after="160" w:line="259" w:lineRule="auto"/>
        <w:rPr>
          <w:rFonts w:eastAsiaTheme="minorHAnsi"/>
          <w:b/>
          <w:sz w:val="22"/>
          <w:szCs w:val="22"/>
        </w:rPr>
      </w:pPr>
      <w:r w:rsidRPr="000C0804">
        <w:rPr>
          <w:rFonts w:eastAsiaTheme="minorHAnsi"/>
          <w:b/>
          <w:sz w:val="22"/>
          <w:szCs w:val="22"/>
        </w:rPr>
        <w:t>Section 4</w:t>
      </w:r>
      <w:r w:rsidR="000C0804">
        <w:rPr>
          <w:rFonts w:eastAsiaTheme="minorHAnsi"/>
          <w:b/>
          <w:sz w:val="22"/>
          <w:szCs w:val="22"/>
        </w:rPr>
        <w:tab/>
      </w:r>
      <w:r w:rsidR="00AF5F46" w:rsidRPr="000C0804">
        <w:rPr>
          <w:rFonts w:eastAsiaTheme="minorHAnsi"/>
          <w:b/>
          <w:sz w:val="22"/>
          <w:szCs w:val="22"/>
        </w:rPr>
        <w:t>Amendments</w:t>
      </w:r>
    </w:p>
    <w:p w14:paraId="56CCE106" w14:textId="7BAA2EEB" w:rsidR="00BD7B7A" w:rsidRPr="000C0804" w:rsidRDefault="00BD7B7A" w:rsidP="000C0804">
      <w:pPr>
        <w:spacing w:before="0" w:after="160" w:line="259" w:lineRule="auto"/>
        <w:rPr>
          <w:rFonts w:eastAsiaTheme="minorHAnsi"/>
          <w:sz w:val="22"/>
          <w:szCs w:val="22"/>
        </w:rPr>
      </w:pPr>
      <w:r w:rsidRPr="000C0804">
        <w:rPr>
          <w:rFonts w:eastAsiaTheme="minorHAnsi"/>
          <w:sz w:val="22"/>
          <w:szCs w:val="22"/>
        </w:rPr>
        <w:t xml:space="preserve">This section </w:t>
      </w:r>
      <w:r w:rsidR="00FA3C80">
        <w:rPr>
          <w:rFonts w:eastAsiaTheme="minorHAnsi"/>
          <w:sz w:val="22"/>
          <w:szCs w:val="22"/>
        </w:rPr>
        <w:t>provides</w:t>
      </w:r>
      <w:r w:rsidR="00FA3C80" w:rsidRPr="000C0804">
        <w:rPr>
          <w:rFonts w:eastAsiaTheme="minorHAnsi"/>
          <w:sz w:val="22"/>
          <w:szCs w:val="22"/>
        </w:rPr>
        <w:t xml:space="preserve"> </w:t>
      </w:r>
      <w:r w:rsidR="00AF5F46" w:rsidRPr="000C0804">
        <w:rPr>
          <w:rFonts w:eastAsiaTheme="minorHAnsi"/>
          <w:sz w:val="22"/>
          <w:szCs w:val="22"/>
        </w:rPr>
        <w:t xml:space="preserve">that </w:t>
      </w:r>
      <w:r w:rsidRPr="000C0804">
        <w:rPr>
          <w:rFonts w:eastAsiaTheme="minorHAnsi"/>
          <w:sz w:val="22"/>
          <w:szCs w:val="22"/>
        </w:rPr>
        <w:t xml:space="preserve">the </w:t>
      </w:r>
      <w:proofErr w:type="spellStart"/>
      <w:r w:rsidR="00AF5F46" w:rsidRPr="00FA3C80">
        <w:rPr>
          <w:rFonts w:eastAsiaTheme="minorHAnsi"/>
          <w:i/>
          <w:sz w:val="22"/>
          <w:szCs w:val="22"/>
        </w:rPr>
        <w:t>Radiocommunications</w:t>
      </w:r>
      <w:proofErr w:type="spellEnd"/>
      <w:r w:rsidR="00AF5F46" w:rsidRPr="00FA3C80">
        <w:rPr>
          <w:rFonts w:eastAsiaTheme="minorHAnsi"/>
          <w:i/>
          <w:sz w:val="22"/>
          <w:szCs w:val="22"/>
        </w:rPr>
        <w:t xml:space="preserve"> Spectrum Marketing Plan (700 MHz Band) 2012</w:t>
      </w:r>
      <w:r w:rsidR="00AF5F46" w:rsidRPr="000C0804">
        <w:rPr>
          <w:rFonts w:eastAsiaTheme="minorHAnsi"/>
          <w:sz w:val="22"/>
          <w:szCs w:val="22"/>
        </w:rPr>
        <w:t xml:space="preserve"> is amended as set out in Schedule</w:t>
      </w:r>
      <w:r w:rsidR="00FA3C80">
        <w:rPr>
          <w:rFonts w:eastAsiaTheme="minorHAnsi"/>
          <w:sz w:val="22"/>
          <w:szCs w:val="22"/>
        </w:rPr>
        <w:t xml:space="preserve"> 1</w:t>
      </w:r>
      <w:r w:rsidRPr="000C0804">
        <w:rPr>
          <w:rFonts w:eastAsiaTheme="minorHAnsi"/>
          <w:sz w:val="22"/>
          <w:szCs w:val="22"/>
        </w:rPr>
        <w:t>.</w:t>
      </w:r>
    </w:p>
    <w:p w14:paraId="502C0CC8" w14:textId="460ECC86" w:rsidR="00BD7B7A" w:rsidRPr="000C0804" w:rsidRDefault="005E1C54" w:rsidP="000C0804">
      <w:pPr>
        <w:spacing w:before="280" w:after="160" w:line="259" w:lineRule="auto"/>
        <w:rPr>
          <w:rFonts w:eastAsiaTheme="minorHAnsi"/>
          <w:b/>
          <w:sz w:val="22"/>
          <w:szCs w:val="22"/>
        </w:rPr>
      </w:pPr>
      <w:r w:rsidRPr="000C0804">
        <w:rPr>
          <w:rFonts w:eastAsiaTheme="minorHAnsi"/>
          <w:b/>
          <w:sz w:val="22"/>
          <w:szCs w:val="22"/>
        </w:rPr>
        <w:t>S</w:t>
      </w:r>
      <w:r w:rsidR="000C0804">
        <w:rPr>
          <w:rFonts w:eastAsiaTheme="minorHAnsi"/>
          <w:b/>
          <w:sz w:val="22"/>
          <w:szCs w:val="22"/>
        </w:rPr>
        <w:t xml:space="preserve">CHEDULE </w:t>
      </w:r>
      <w:r w:rsidRPr="000C0804">
        <w:rPr>
          <w:rFonts w:eastAsiaTheme="minorHAnsi"/>
          <w:b/>
          <w:sz w:val="22"/>
          <w:szCs w:val="22"/>
        </w:rPr>
        <w:t>1</w:t>
      </w:r>
      <w:r w:rsidR="00BD7B7A" w:rsidRPr="000C0804">
        <w:rPr>
          <w:rFonts w:eastAsiaTheme="minorHAnsi"/>
          <w:b/>
          <w:sz w:val="22"/>
          <w:szCs w:val="22"/>
        </w:rPr>
        <w:tab/>
      </w:r>
      <w:r w:rsidR="000C0804">
        <w:rPr>
          <w:rFonts w:eastAsiaTheme="minorHAnsi"/>
          <w:b/>
          <w:sz w:val="22"/>
          <w:szCs w:val="22"/>
        </w:rPr>
        <w:tab/>
        <w:t>AMENDMENTS</w:t>
      </w:r>
    </w:p>
    <w:p w14:paraId="753E6A3F" w14:textId="463B8C02" w:rsidR="00BD7B7A" w:rsidRPr="000C0804" w:rsidRDefault="00FA3C80" w:rsidP="000C0804">
      <w:pPr>
        <w:spacing w:before="0" w:after="160" w:line="259" w:lineRule="auto"/>
        <w:rPr>
          <w:rFonts w:eastAsiaTheme="minorHAnsi"/>
          <w:b/>
          <w:sz w:val="22"/>
          <w:szCs w:val="22"/>
        </w:rPr>
      </w:pPr>
      <w:r>
        <w:rPr>
          <w:rFonts w:eastAsiaTheme="minorHAnsi"/>
          <w:b/>
          <w:sz w:val="22"/>
          <w:szCs w:val="22"/>
        </w:rPr>
        <w:t>Items</w:t>
      </w:r>
      <w:r w:rsidRPr="000C0804">
        <w:rPr>
          <w:rFonts w:eastAsiaTheme="minorHAnsi"/>
          <w:b/>
          <w:sz w:val="22"/>
          <w:szCs w:val="22"/>
        </w:rPr>
        <w:t xml:space="preserve"> </w:t>
      </w:r>
      <w:r w:rsidR="00396F3C" w:rsidRPr="000C0804">
        <w:rPr>
          <w:rFonts w:eastAsiaTheme="minorHAnsi"/>
          <w:b/>
          <w:sz w:val="22"/>
          <w:szCs w:val="22"/>
        </w:rPr>
        <w:t>1</w:t>
      </w:r>
      <w:r w:rsidR="00CB15C6" w:rsidRPr="000C0804">
        <w:rPr>
          <w:rFonts w:eastAsiaTheme="minorHAnsi"/>
          <w:b/>
          <w:sz w:val="22"/>
          <w:szCs w:val="22"/>
        </w:rPr>
        <w:t>, 2 and 3</w:t>
      </w:r>
    </w:p>
    <w:p w14:paraId="704CE71A" w14:textId="67440275" w:rsidR="00CB15C6" w:rsidRDefault="00CB15C6" w:rsidP="000C0804">
      <w:pPr>
        <w:spacing w:before="0" w:after="160" w:line="259" w:lineRule="auto"/>
        <w:rPr>
          <w:rFonts w:eastAsiaTheme="minorHAnsi"/>
          <w:sz w:val="22"/>
          <w:szCs w:val="22"/>
        </w:rPr>
      </w:pPr>
      <w:r w:rsidRPr="000C0804">
        <w:rPr>
          <w:rFonts w:eastAsiaTheme="minorHAnsi"/>
          <w:sz w:val="22"/>
          <w:szCs w:val="22"/>
        </w:rPr>
        <w:t>These</w:t>
      </w:r>
      <w:r w:rsidR="00BD7B7A" w:rsidRPr="000C0804">
        <w:rPr>
          <w:rFonts w:eastAsiaTheme="minorHAnsi"/>
          <w:sz w:val="22"/>
          <w:szCs w:val="22"/>
        </w:rPr>
        <w:t xml:space="preserve"> </w:t>
      </w:r>
      <w:r w:rsidRPr="000C0804">
        <w:rPr>
          <w:rFonts w:eastAsiaTheme="minorHAnsi"/>
          <w:sz w:val="22"/>
          <w:szCs w:val="22"/>
        </w:rPr>
        <w:t xml:space="preserve">three </w:t>
      </w:r>
      <w:r w:rsidR="00FA3C80">
        <w:rPr>
          <w:rFonts w:eastAsiaTheme="minorHAnsi"/>
          <w:sz w:val="22"/>
          <w:szCs w:val="22"/>
        </w:rPr>
        <w:t>items</w:t>
      </w:r>
      <w:r w:rsidR="00FA3C80" w:rsidRPr="000C0804">
        <w:rPr>
          <w:rFonts w:eastAsiaTheme="minorHAnsi"/>
          <w:sz w:val="22"/>
          <w:szCs w:val="22"/>
        </w:rPr>
        <w:t xml:space="preserve"> </w:t>
      </w:r>
      <w:r w:rsidRPr="000C0804">
        <w:rPr>
          <w:rFonts w:eastAsiaTheme="minorHAnsi"/>
          <w:sz w:val="22"/>
          <w:szCs w:val="22"/>
        </w:rPr>
        <w:t xml:space="preserve">collectively repeal the definition of the </w:t>
      </w:r>
      <w:r w:rsidRPr="00051AF9">
        <w:rPr>
          <w:rFonts w:eastAsiaTheme="minorHAnsi"/>
          <w:b/>
          <w:i/>
          <w:sz w:val="22"/>
          <w:szCs w:val="22"/>
        </w:rPr>
        <w:t>700 MHz band</w:t>
      </w:r>
      <w:r w:rsidRPr="000C0804">
        <w:rPr>
          <w:rFonts w:eastAsiaTheme="minorHAnsi"/>
          <w:sz w:val="22"/>
          <w:szCs w:val="22"/>
        </w:rPr>
        <w:t xml:space="preserve"> </w:t>
      </w:r>
      <w:r w:rsidR="00FA3C80">
        <w:rPr>
          <w:rFonts w:eastAsiaTheme="minorHAnsi"/>
          <w:sz w:val="22"/>
          <w:szCs w:val="22"/>
        </w:rPr>
        <w:t xml:space="preserve">from the 2012 Marketing Plan </w:t>
      </w:r>
      <w:r w:rsidRPr="000C0804">
        <w:rPr>
          <w:rFonts w:eastAsiaTheme="minorHAnsi"/>
          <w:sz w:val="22"/>
          <w:szCs w:val="22"/>
        </w:rPr>
        <w:t>and substitute new definition</w:t>
      </w:r>
      <w:r w:rsidR="00FA3C80">
        <w:rPr>
          <w:rFonts w:eastAsiaTheme="minorHAnsi"/>
          <w:sz w:val="22"/>
          <w:szCs w:val="22"/>
        </w:rPr>
        <w:t>s</w:t>
      </w:r>
      <w:r w:rsidRPr="000C0804">
        <w:rPr>
          <w:rFonts w:eastAsiaTheme="minorHAnsi"/>
          <w:sz w:val="22"/>
          <w:szCs w:val="22"/>
        </w:rPr>
        <w:t xml:space="preserve"> </w:t>
      </w:r>
      <w:r w:rsidR="00FA3C80">
        <w:rPr>
          <w:rFonts w:eastAsiaTheme="minorHAnsi"/>
          <w:sz w:val="22"/>
          <w:szCs w:val="22"/>
        </w:rPr>
        <w:t xml:space="preserve">for </w:t>
      </w:r>
      <w:r w:rsidRPr="000C0804">
        <w:rPr>
          <w:rFonts w:eastAsiaTheme="minorHAnsi"/>
          <w:sz w:val="22"/>
          <w:szCs w:val="22"/>
        </w:rPr>
        <w:t xml:space="preserve">the </w:t>
      </w:r>
      <w:r w:rsidRPr="00051AF9">
        <w:rPr>
          <w:rFonts w:eastAsiaTheme="minorHAnsi"/>
          <w:b/>
          <w:i/>
          <w:sz w:val="22"/>
          <w:szCs w:val="22"/>
        </w:rPr>
        <w:t>700 MHz band</w:t>
      </w:r>
      <w:r w:rsidR="00FA3C80">
        <w:rPr>
          <w:rFonts w:eastAsiaTheme="minorHAnsi"/>
          <w:sz w:val="22"/>
          <w:szCs w:val="22"/>
        </w:rPr>
        <w:t xml:space="preserve">, the </w:t>
      </w:r>
      <w:r w:rsidR="00FA3C80" w:rsidRPr="00051AF9">
        <w:rPr>
          <w:rFonts w:eastAsiaTheme="minorHAnsi"/>
          <w:b/>
          <w:i/>
          <w:sz w:val="22"/>
          <w:szCs w:val="22"/>
        </w:rPr>
        <w:t>700 MHz lower band</w:t>
      </w:r>
      <w:r w:rsidR="00FA3C80">
        <w:rPr>
          <w:rFonts w:eastAsiaTheme="minorHAnsi"/>
          <w:sz w:val="22"/>
          <w:szCs w:val="22"/>
        </w:rPr>
        <w:t xml:space="preserve">, and the </w:t>
      </w:r>
      <w:r w:rsidR="00FA3C80" w:rsidRPr="00051AF9">
        <w:rPr>
          <w:rFonts w:eastAsiaTheme="minorHAnsi"/>
          <w:b/>
          <w:i/>
          <w:sz w:val="22"/>
          <w:szCs w:val="22"/>
        </w:rPr>
        <w:t>700 MHz upper band</w:t>
      </w:r>
      <w:r w:rsidR="00A56F24" w:rsidRPr="000C0804">
        <w:rPr>
          <w:rFonts w:eastAsiaTheme="minorHAnsi"/>
          <w:sz w:val="22"/>
          <w:szCs w:val="22"/>
        </w:rPr>
        <w:t xml:space="preserve">. </w:t>
      </w:r>
      <w:r w:rsidR="00FA3C80">
        <w:rPr>
          <w:rFonts w:eastAsiaTheme="minorHAnsi"/>
          <w:sz w:val="22"/>
          <w:szCs w:val="22"/>
        </w:rPr>
        <w:t xml:space="preserve"> The effect of these</w:t>
      </w:r>
      <w:r w:rsidR="00A56F24" w:rsidRPr="000C0804">
        <w:rPr>
          <w:rFonts w:eastAsiaTheme="minorHAnsi"/>
          <w:sz w:val="22"/>
          <w:szCs w:val="22"/>
        </w:rPr>
        <w:t xml:space="preserve"> new definition</w:t>
      </w:r>
      <w:r w:rsidR="00FA3C80">
        <w:rPr>
          <w:rFonts w:eastAsiaTheme="minorHAnsi"/>
          <w:sz w:val="22"/>
          <w:szCs w:val="22"/>
        </w:rPr>
        <w:t>s</w:t>
      </w:r>
      <w:r w:rsidRPr="000C0804">
        <w:rPr>
          <w:rFonts w:eastAsiaTheme="minorHAnsi"/>
          <w:sz w:val="22"/>
          <w:szCs w:val="22"/>
        </w:rPr>
        <w:t xml:space="preserve"> </w:t>
      </w:r>
      <w:r w:rsidR="00FA3C80">
        <w:rPr>
          <w:rFonts w:eastAsiaTheme="minorHAnsi"/>
          <w:sz w:val="22"/>
          <w:szCs w:val="22"/>
        </w:rPr>
        <w:t>is</w:t>
      </w:r>
      <w:r w:rsidR="00FA3C80" w:rsidRPr="000C0804">
        <w:rPr>
          <w:rFonts w:eastAsiaTheme="minorHAnsi"/>
          <w:sz w:val="22"/>
          <w:szCs w:val="22"/>
        </w:rPr>
        <w:t xml:space="preserve"> </w:t>
      </w:r>
      <w:r w:rsidRPr="000C0804">
        <w:rPr>
          <w:rFonts w:eastAsiaTheme="minorHAnsi"/>
          <w:sz w:val="22"/>
          <w:szCs w:val="22"/>
        </w:rPr>
        <w:t>that</w:t>
      </w:r>
      <w:r w:rsidR="00FA3C80">
        <w:rPr>
          <w:rFonts w:eastAsiaTheme="minorHAnsi"/>
          <w:sz w:val="22"/>
          <w:szCs w:val="22"/>
        </w:rPr>
        <w:t>,</w:t>
      </w:r>
      <w:r w:rsidRPr="000C0804">
        <w:rPr>
          <w:rFonts w:eastAsiaTheme="minorHAnsi"/>
          <w:sz w:val="22"/>
          <w:szCs w:val="22"/>
        </w:rPr>
        <w:t xml:space="preserve"> </w:t>
      </w:r>
      <w:r w:rsidR="00FA3C80">
        <w:rPr>
          <w:rFonts w:eastAsiaTheme="minorHAnsi"/>
          <w:sz w:val="22"/>
          <w:szCs w:val="22"/>
        </w:rPr>
        <w:t>after</w:t>
      </w:r>
      <w:r w:rsidR="00FA3C80" w:rsidRPr="000C0804">
        <w:rPr>
          <w:rFonts w:eastAsiaTheme="minorHAnsi"/>
          <w:sz w:val="22"/>
          <w:szCs w:val="22"/>
        </w:rPr>
        <w:t xml:space="preserve"> </w:t>
      </w:r>
      <w:r w:rsidRPr="000C0804">
        <w:rPr>
          <w:rFonts w:eastAsiaTheme="minorHAnsi"/>
          <w:sz w:val="22"/>
          <w:szCs w:val="22"/>
        </w:rPr>
        <w:t xml:space="preserve">the commencement of the Marketing Plan Variation, </w:t>
      </w:r>
      <w:r w:rsidR="00FA3C80">
        <w:rPr>
          <w:rFonts w:eastAsiaTheme="minorHAnsi"/>
          <w:sz w:val="22"/>
          <w:szCs w:val="22"/>
        </w:rPr>
        <w:t xml:space="preserve">the </w:t>
      </w:r>
      <w:r w:rsidRPr="000C0804">
        <w:rPr>
          <w:rFonts w:eastAsiaTheme="minorHAnsi"/>
          <w:sz w:val="22"/>
          <w:szCs w:val="22"/>
        </w:rPr>
        <w:t xml:space="preserve">700 MHz band </w:t>
      </w:r>
      <w:r w:rsidR="00FA3C80">
        <w:rPr>
          <w:rFonts w:eastAsiaTheme="minorHAnsi"/>
          <w:sz w:val="22"/>
          <w:szCs w:val="22"/>
        </w:rPr>
        <w:t xml:space="preserve">for the purpose of the 2012 Marketing Plan no longer includes the </w:t>
      </w:r>
      <w:r w:rsidR="001848EB">
        <w:rPr>
          <w:rFonts w:eastAsiaTheme="minorHAnsi"/>
          <w:sz w:val="22"/>
          <w:szCs w:val="22"/>
        </w:rPr>
        <w:t xml:space="preserve">700 MHz (unallocated lots) band </w:t>
      </w:r>
      <w:r w:rsidR="00A56F24" w:rsidRPr="000C0804">
        <w:rPr>
          <w:rFonts w:eastAsiaTheme="minorHAnsi"/>
          <w:sz w:val="22"/>
          <w:szCs w:val="22"/>
        </w:rPr>
        <w:t>(</w:t>
      </w:r>
      <w:r w:rsidR="00FA3C80">
        <w:rPr>
          <w:rFonts w:eastAsiaTheme="minorHAnsi"/>
          <w:sz w:val="22"/>
          <w:szCs w:val="22"/>
        </w:rPr>
        <w:t xml:space="preserve">the </w:t>
      </w:r>
      <w:r w:rsidR="00A56F24" w:rsidRPr="000C0804">
        <w:rPr>
          <w:rFonts w:eastAsiaTheme="minorHAnsi"/>
          <w:sz w:val="22"/>
          <w:szCs w:val="22"/>
        </w:rPr>
        <w:t>frequency ranges 733 MHz to 748 MHz and 788 MHz to 803 MHz).</w:t>
      </w:r>
      <w:r w:rsidR="00FA3C80">
        <w:rPr>
          <w:rFonts w:eastAsiaTheme="minorHAnsi"/>
          <w:sz w:val="22"/>
          <w:szCs w:val="22"/>
        </w:rPr>
        <w:t xml:space="preserve">  Instead, the </w:t>
      </w:r>
      <w:r w:rsidR="001848EB">
        <w:rPr>
          <w:rFonts w:eastAsiaTheme="minorHAnsi"/>
          <w:sz w:val="22"/>
          <w:szCs w:val="22"/>
        </w:rPr>
        <w:t xml:space="preserve">700 MHz (unallocated lots) band </w:t>
      </w:r>
      <w:r w:rsidR="00FA3C80">
        <w:rPr>
          <w:rFonts w:eastAsiaTheme="minorHAnsi"/>
          <w:sz w:val="22"/>
          <w:szCs w:val="22"/>
        </w:rPr>
        <w:t>will be dealt with by the 2016 Marketing Plan.</w:t>
      </w:r>
    </w:p>
    <w:p w14:paraId="636FFAAF" w14:textId="371F29CB" w:rsidR="00FA3C80" w:rsidRPr="00051AF9" w:rsidRDefault="00FA3C80" w:rsidP="00FA3C80">
      <w:pPr>
        <w:pStyle w:val="ACMABodyText"/>
        <w:rPr>
          <w:rFonts w:eastAsiaTheme="minorHAnsi"/>
          <w:sz w:val="22"/>
          <w:szCs w:val="22"/>
        </w:rPr>
      </w:pPr>
      <w:r w:rsidRPr="00051AF9">
        <w:rPr>
          <w:rFonts w:eastAsiaTheme="minorHAnsi"/>
          <w:sz w:val="22"/>
          <w:szCs w:val="22"/>
        </w:rPr>
        <w:t xml:space="preserve">These items do not affect anything done in relation to the </w:t>
      </w:r>
      <w:r w:rsidR="001848EB">
        <w:rPr>
          <w:rFonts w:eastAsiaTheme="minorHAnsi"/>
          <w:sz w:val="22"/>
          <w:szCs w:val="22"/>
        </w:rPr>
        <w:t xml:space="preserve">700 MHz (unallocated lots) band </w:t>
      </w:r>
      <w:r w:rsidRPr="00051AF9">
        <w:rPr>
          <w:rFonts w:eastAsiaTheme="minorHAnsi"/>
          <w:sz w:val="22"/>
          <w:szCs w:val="22"/>
        </w:rPr>
        <w:t>in accordance with the 2012 Marketing Plan before the commencement of the Marketing Plan Variation.</w:t>
      </w:r>
    </w:p>
    <w:p w14:paraId="58B8FC4B" w14:textId="063E2E41" w:rsidR="00CB15C6" w:rsidRPr="000C0804" w:rsidRDefault="00FA3C80" w:rsidP="000C0804">
      <w:pPr>
        <w:spacing w:before="0" w:after="160" w:line="259" w:lineRule="auto"/>
        <w:rPr>
          <w:rFonts w:eastAsiaTheme="minorHAnsi"/>
          <w:b/>
          <w:sz w:val="22"/>
          <w:szCs w:val="22"/>
        </w:rPr>
      </w:pPr>
      <w:r>
        <w:rPr>
          <w:rFonts w:eastAsiaTheme="minorHAnsi"/>
          <w:b/>
          <w:sz w:val="22"/>
          <w:szCs w:val="22"/>
        </w:rPr>
        <w:t>Item</w:t>
      </w:r>
      <w:r w:rsidRPr="000C0804">
        <w:rPr>
          <w:rFonts w:eastAsiaTheme="minorHAnsi"/>
          <w:b/>
          <w:sz w:val="22"/>
          <w:szCs w:val="22"/>
        </w:rPr>
        <w:t xml:space="preserve"> </w:t>
      </w:r>
      <w:r w:rsidR="00A56F24" w:rsidRPr="000C0804">
        <w:rPr>
          <w:rFonts w:eastAsiaTheme="minorHAnsi"/>
          <w:b/>
          <w:sz w:val="22"/>
          <w:szCs w:val="22"/>
        </w:rPr>
        <w:t>4</w:t>
      </w:r>
    </w:p>
    <w:p w14:paraId="7981B0D2" w14:textId="29CFAF98" w:rsidR="00CB15C6" w:rsidRPr="000C0804" w:rsidRDefault="00CB15C6" w:rsidP="000C0804">
      <w:pPr>
        <w:spacing w:before="0" w:after="160" w:line="259" w:lineRule="auto"/>
        <w:rPr>
          <w:rFonts w:eastAsiaTheme="minorHAnsi"/>
          <w:sz w:val="22"/>
          <w:szCs w:val="22"/>
        </w:rPr>
      </w:pPr>
      <w:r w:rsidRPr="000C0804">
        <w:rPr>
          <w:rFonts w:eastAsiaTheme="minorHAnsi"/>
          <w:sz w:val="22"/>
          <w:szCs w:val="22"/>
        </w:rPr>
        <w:t xml:space="preserve">This </w:t>
      </w:r>
      <w:r w:rsidR="00FA3C80">
        <w:rPr>
          <w:rFonts w:eastAsiaTheme="minorHAnsi"/>
          <w:sz w:val="22"/>
          <w:szCs w:val="22"/>
        </w:rPr>
        <w:t>item inserts a section in the 2012 Marketing Plan that provides that, in that Plan</w:t>
      </w:r>
      <w:r w:rsidR="00A56F24" w:rsidRPr="000C0804">
        <w:rPr>
          <w:rFonts w:eastAsiaTheme="minorHAnsi"/>
          <w:sz w:val="22"/>
          <w:szCs w:val="22"/>
        </w:rPr>
        <w:t>, unless the contrary intention appears, a reference to another legislative instrument is a reference to that other legislative instrument as in force from time to time</w:t>
      </w:r>
      <w:r w:rsidR="00FA3C80">
        <w:rPr>
          <w:rFonts w:eastAsiaTheme="minorHAnsi"/>
          <w:sz w:val="22"/>
          <w:szCs w:val="22"/>
        </w:rPr>
        <w:t>, and a reference to another instrument or writing is a reference to that instrument or writing as existing from time to time</w:t>
      </w:r>
      <w:r w:rsidR="00A56F24" w:rsidRPr="000C0804">
        <w:rPr>
          <w:rFonts w:eastAsiaTheme="minorHAnsi"/>
          <w:sz w:val="22"/>
          <w:szCs w:val="22"/>
        </w:rPr>
        <w:t>.</w:t>
      </w:r>
    </w:p>
    <w:p w14:paraId="79E4CDF9" w14:textId="57570908" w:rsidR="00A56F24" w:rsidRPr="000C0804" w:rsidRDefault="00FA3C80" w:rsidP="000C0804">
      <w:pPr>
        <w:spacing w:before="0" w:after="160" w:line="259" w:lineRule="auto"/>
        <w:rPr>
          <w:rFonts w:eastAsiaTheme="minorHAnsi"/>
          <w:b/>
          <w:sz w:val="22"/>
          <w:szCs w:val="22"/>
        </w:rPr>
      </w:pPr>
      <w:r>
        <w:rPr>
          <w:rFonts w:eastAsiaTheme="minorHAnsi"/>
          <w:b/>
          <w:sz w:val="22"/>
          <w:szCs w:val="22"/>
        </w:rPr>
        <w:t>Item</w:t>
      </w:r>
      <w:r w:rsidRPr="000C0804">
        <w:rPr>
          <w:rFonts w:eastAsiaTheme="minorHAnsi"/>
          <w:b/>
          <w:sz w:val="22"/>
          <w:szCs w:val="22"/>
        </w:rPr>
        <w:t xml:space="preserve"> </w:t>
      </w:r>
      <w:r w:rsidR="00A56F24" w:rsidRPr="000C0804">
        <w:rPr>
          <w:rFonts w:eastAsiaTheme="minorHAnsi"/>
          <w:b/>
          <w:sz w:val="22"/>
          <w:szCs w:val="22"/>
        </w:rPr>
        <w:t>5</w:t>
      </w:r>
      <w:r w:rsidR="008B444C">
        <w:rPr>
          <w:rFonts w:eastAsiaTheme="minorHAnsi"/>
          <w:b/>
          <w:sz w:val="22"/>
          <w:szCs w:val="22"/>
        </w:rPr>
        <w:t>, 6 and 7</w:t>
      </w:r>
    </w:p>
    <w:p w14:paraId="59BEB0EF" w14:textId="21DF1F67" w:rsidR="00A56F24" w:rsidRPr="000C0804" w:rsidRDefault="00A56F24" w:rsidP="000C0804">
      <w:pPr>
        <w:spacing w:before="0" w:after="160" w:line="259" w:lineRule="auto"/>
        <w:rPr>
          <w:rFonts w:eastAsiaTheme="minorHAnsi"/>
          <w:sz w:val="22"/>
          <w:szCs w:val="22"/>
        </w:rPr>
      </w:pPr>
      <w:r w:rsidRPr="000C0804">
        <w:rPr>
          <w:rFonts w:eastAsiaTheme="minorHAnsi"/>
          <w:sz w:val="22"/>
          <w:szCs w:val="22"/>
        </w:rPr>
        <w:t>Th</w:t>
      </w:r>
      <w:r w:rsidR="008B444C">
        <w:rPr>
          <w:rFonts w:eastAsiaTheme="minorHAnsi"/>
          <w:sz w:val="22"/>
          <w:szCs w:val="22"/>
        </w:rPr>
        <w:t>e</w:t>
      </w:r>
      <w:r w:rsidRPr="000C0804">
        <w:rPr>
          <w:rFonts w:eastAsiaTheme="minorHAnsi"/>
          <w:sz w:val="22"/>
          <w:szCs w:val="22"/>
        </w:rPr>
        <w:t>s</w:t>
      </w:r>
      <w:r w:rsidR="008B444C">
        <w:rPr>
          <w:rFonts w:eastAsiaTheme="minorHAnsi"/>
          <w:sz w:val="22"/>
          <w:szCs w:val="22"/>
        </w:rPr>
        <w:t>e</w:t>
      </w:r>
      <w:r w:rsidRPr="000C0804">
        <w:rPr>
          <w:rFonts w:eastAsiaTheme="minorHAnsi"/>
          <w:sz w:val="22"/>
          <w:szCs w:val="22"/>
        </w:rPr>
        <w:t xml:space="preserve"> </w:t>
      </w:r>
      <w:r w:rsidR="00FA3C80">
        <w:rPr>
          <w:rFonts w:eastAsiaTheme="minorHAnsi"/>
          <w:sz w:val="22"/>
          <w:szCs w:val="22"/>
        </w:rPr>
        <w:t>item</w:t>
      </w:r>
      <w:r w:rsidR="00C24CD8">
        <w:rPr>
          <w:rFonts w:eastAsiaTheme="minorHAnsi"/>
          <w:sz w:val="22"/>
          <w:szCs w:val="22"/>
        </w:rPr>
        <w:t>s</w:t>
      </w:r>
      <w:r w:rsidR="00FA3C80" w:rsidRPr="000C0804">
        <w:rPr>
          <w:rFonts w:eastAsiaTheme="minorHAnsi"/>
          <w:sz w:val="22"/>
          <w:szCs w:val="22"/>
        </w:rPr>
        <w:t xml:space="preserve"> </w:t>
      </w:r>
      <w:r w:rsidRPr="000C0804">
        <w:rPr>
          <w:rFonts w:eastAsiaTheme="minorHAnsi"/>
          <w:sz w:val="22"/>
          <w:szCs w:val="22"/>
        </w:rPr>
        <w:t>repeal</w:t>
      </w:r>
      <w:r w:rsidR="008B444C">
        <w:rPr>
          <w:rFonts w:eastAsiaTheme="minorHAnsi"/>
          <w:sz w:val="22"/>
          <w:szCs w:val="22"/>
        </w:rPr>
        <w:t>, res</w:t>
      </w:r>
      <w:r w:rsidR="00C24CD8">
        <w:rPr>
          <w:rFonts w:eastAsiaTheme="minorHAnsi"/>
          <w:sz w:val="22"/>
          <w:szCs w:val="22"/>
        </w:rPr>
        <w:t>p</w:t>
      </w:r>
      <w:r w:rsidR="008B444C">
        <w:rPr>
          <w:rFonts w:eastAsiaTheme="minorHAnsi"/>
          <w:sz w:val="22"/>
          <w:szCs w:val="22"/>
        </w:rPr>
        <w:t>ectively,</w:t>
      </w:r>
      <w:r w:rsidRPr="000C0804">
        <w:rPr>
          <w:rFonts w:eastAsiaTheme="minorHAnsi"/>
          <w:sz w:val="22"/>
          <w:szCs w:val="22"/>
        </w:rPr>
        <w:t xml:space="preserve"> </w:t>
      </w:r>
      <w:r w:rsidR="00741516" w:rsidRPr="000C0804">
        <w:rPr>
          <w:rFonts w:eastAsiaTheme="minorHAnsi"/>
          <w:sz w:val="22"/>
          <w:szCs w:val="22"/>
        </w:rPr>
        <w:t>sub</w:t>
      </w:r>
      <w:r w:rsidRPr="000C0804">
        <w:rPr>
          <w:rFonts w:eastAsiaTheme="minorHAnsi"/>
          <w:sz w:val="22"/>
          <w:szCs w:val="22"/>
        </w:rPr>
        <w:t>section</w:t>
      </w:r>
      <w:r w:rsidR="008B444C">
        <w:rPr>
          <w:rFonts w:eastAsiaTheme="minorHAnsi"/>
          <w:sz w:val="22"/>
          <w:szCs w:val="22"/>
        </w:rPr>
        <w:t>s</w:t>
      </w:r>
      <w:r w:rsidR="009441DF">
        <w:rPr>
          <w:rFonts w:eastAsiaTheme="minorHAnsi"/>
          <w:sz w:val="22"/>
          <w:szCs w:val="22"/>
        </w:rPr>
        <w:t xml:space="preserve"> 2.3(2)</w:t>
      </w:r>
      <w:r w:rsidR="008B444C">
        <w:rPr>
          <w:rFonts w:eastAsiaTheme="minorHAnsi"/>
          <w:sz w:val="22"/>
          <w:szCs w:val="22"/>
        </w:rPr>
        <w:t>, 3.3(2) and 3.6(2)</w:t>
      </w:r>
      <w:r w:rsidRPr="000C0804">
        <w:rPr>
          <w:rFonts w:eastAsiaTheme="minorHAnsi"/>
          <w:sz w:val="22"/>
          <w:szCs w:val="22"/>
        </w:rPr>
        <w:t xml:space="preserve"> </w:t>
      </w:r>
      <w:r w:rsidR="009441DF">
        <w:rPr>
          <w:rFonts w:eastAsiaTheme="minorHAnsi"/>
          <w:sz w:val="22"/>
          <w:szCs w:val="22"/>
        </w:rPr>
        <w:t>of</w:t>
      </w:r>
      <w:r w:rsidRPr="000C0804">
        <w:rPr>
          <w:rFonts w:eastAsiaTheme="minorHAnsi"/>
          <w:sz w:val="22"/>
          <w:szCs w:val="22"/>
        </w:rPr>
        <w:t xml:space="preserve"> the </w:t>
      </w:r>
      <w:r w:rsidR="00FA3C80">
        <w:rPr>
          <w:rFonts w:eastAsiaTheme="minorHAnsi"/>
          <w:sz w:val="22"/>
          <w:szCs w:val="22"/>
        </w:rPr>
        <w:t>2012 M</w:t>
      </w:r>
      <w:r w:rsidRPr="000C0804">
        <w:rPr>
          <w:rFonts w:eastAsiaTheme="minorHAnsi"/>
          <w:sz w:val="22"/>
          <w:szCs w:val="22"/>
        </w:rPr>
        <w:t xml:space="preserve">arketing </w:t>
      </w:r>
      <w:r w:rsidR="00FA3C80">
        <w:rPr>
          <w:rFonts w:eastAsiaTheme="minorHAnsi"/>
          <w:sz w:val="22"/>
          <w:szCs w:val="22"/>
        </w:rPr>
        <w:t>P</w:t>
      </w:r>
      <w:r w:rsidRPr="000C0804">
        <w:rPr>
          <w:rFonts w:eastAsiaTheme="minorHAnsi"/>
          <w:sz w:val="22"/>
          <w:szCs w:val="22"/>
        </w:rPr>
        <w:t>lan</w:t>
      </w:r>
      <w:r w:rsidR="00FA3C80">
        <w:rPr>
          <w:rFonts w:eastAsiaTheme="minorHAnsi"/>
          <w:sz w:val="22"/>
          <w:szCs w:val="22"/>
        </w:rPr>
        <w:t>,</w:t>
      </w:r>
      <w:r w:rsidRPr="000C0804">
        <w:rPr>
          <w:rFonts w:eastAsiaTheme="minorHAnsi"/>
          <w:sz w:val="22"/>
          <w:szCs w:val="22"/>
        </w:rPr>
        <w:t xml:space="preserve"> </w:t>
      </w:r>
      <w:r w:rsidR="008B444C">
        <w:rPr>
          <w:rFonts w:eastAsiaTheme="minorHAnsi"/>
          <w:sz w:val="22"/>
          <w:szCs w:val="22"/>
        </w:rPr>
        <w:t xml:space="preserve">each of which related to spectrum that was unallocated after the allocation process in 2013, or the </w:t>
      </w:r>
      <w:r w:rsidR="008B444C">
        <w:rPr>
          <w:rFonts w:eastAsiaTheme="minorHAnsi"/>
          <w:sz w:val="22"/>
          <w:szCs w:val="22"/>
        </w:rPr>
        <w:lastRenderedPageBreak/>
        <w:t>licences to be issued in that spectrum.</w:t>
      </w:r>
      <w:r w:rsidR="009441DF">
        <w:rPr>
          <w:rFonts w:eastAsiaTheme="minorHAnsi"/>
          <w:sz w:val="22"/>
          <w:szCs w:val="22"/>
        </w:rPr>
        <w:t xml:space="preserve">  The ACMA intends to make such further allocation of the </w:t>
      </w:r>
      <w:r w:rsidR="001848EB">
        <w:rPr>
          <w:rFonts w:eastAsiaTheme="minorHAnsi"/>
          <w:sz w:val="22"/>
          <w:szCs w:val="22"/>
        </w:rPr>
        <w:t>700</w:t>
      </w:r>
      <w:r w:rsidR="00821428">
        <w:rPr>
          <w:rFonts w:eastAsiaTheme="minorHAnsi"/>
          <w:sz w:val="22"/>
          <w:szCs w:val="22"/>
        </w:rPr>
        <w:t> </w:t>
      </w:r>
      <w:r w:rsidR="001848EB">
        <w:rPr>
          <w:rFonts w:eastAsiaTheme="minorHAnsi"/>
          <w:sz w:val="22"/>
          <w:szCs w:val="22"/>
        </w:rPr>
        <w:t>MHz (unallocated lots) band</w:t>
      </w:r>
      <w:r w:rsidR="009441DF">
        <w:rPr>
          <w:rFonts w:eastAsiaTheme="minorHAnsi"/>
          <w:sz w:val="22"/>
          <w:szCs w:val="22"/>
        </w:rPr>
        <w:t>, in accordance with the 2016 Marketing Plan</w:t>
      </w:r>
      <w:r w:rsidR="00DE6323">
        <w:rPr>
          <w:rFonts w:eastAsiaTheme="minorHAnsi"/>
          <w:sz w:val="22"/>
          <w:szCs w:val="22"/>
        </w:rPr>
        <w:t>, therefore it is no longer necessary for the 2012 Marking Plan to include details about such further allocations</w:t>
      </w:r>
      <w:r w:rsidR="008B444C">
        <w:rPr>
          <w:rFonts w:eastAsiaTheme="minorHAnsi"/>
          <w:sz w:val="22"/>
          <w:szCs w:val="22"/>
        </w:rPr>
        <w:t xml:space="preserve"> or licences</w:t>
      </w:r>
      <w:r w:rsidR="009441DF">
        <w:rPr>
          <w:rFonts w:eastAsiaTheme="minorHAnsi"/>
          <w:sz w:val="22"/>
          <w:szCs w:val="22"/>
        </w:rPr>
        <w:t>.</w:t>
      </w:r>
    </w:p>
    <w:p w14:paraId="2EF0C689" w14:textId="3AE75FD9" w:rsidR="00A341D7" w:rsidRPr="000C0804" w:rsidRDefault="009441DF" w:rsidP="000C0804">
      <w:pPr>
        <w:spacing w:before="0" w:after="160" w:line="259" w:lineRule="auto"/>
        <w:rPr>
          <w:rFonts w:eastAsiaTheme="minorHAnsi"/>
          <w:b/>
          <w:sz w:val="22"/>
          <w:szCs w:val="22"/>
        </w:rPr>
      </w:pPr>
      <w:r>
        <w:rPr>
          <w:rFonts w:eastAsiaTheme="minorHAnsi"/>
          <w:b/>
          <w:sz w:val="22"/>
          <w:szCs w:val="22"/>
        </w:rPr>
        <w:t>Item</w:t>
      </w:r>
      <w:r w:rsidRPr="000C0804">
        <w:rPr>
          <w:rFonts w:eastAsiaTheme="minorHAnsi"/>
          <w:b/>
          <w:sz w:val="22"/>
          <w:szCs w:val="22"/>
        </w:rPr>
        <w:t xml:space="preserve"> </w:t>
      </w:r>
      <w:r w:rsidR="00D6308C" w:rsidRPr="000C0804">
        <w:rPr>
          <w:rFonts w:eastAsiaTheme="minorHAnsi"/>
          <w:b/>
          <w:sz w:val="22"/>
          <w:szCs w:val="22"/>
        </w:rPr>
        <w:t>8</w:t>
      </w:r>
    </w:p>
    <w:p w14:paraId="65FD450B" w14:textId="6BC7AF39" w:rsidR="00A341D7" w:rsidRPr="000C0804" w:rsidRDefault="00A341D7" w:rsidP="000C0804">
      <w:pPr>
        <w:spacing w:before="0" w:after="160" w:line="259" w:lineRule="auto"/>
        <w:rPr>
          <w:rFonts w:eastAsiaTheme="minorHAnsi"/>
          <w:sz w:val="22"/>
          <w:szCs w:val="22"/>
        </w:rPr>
      </w:pPr>
      <w:r w:rsidRPr="000C0804">
        <w:rPr>
          <w:rFonts w:eastAsiaTheme="minorHAnsi"/>
          <w:sz w:val="22"/>
          <w:szCs w:val="22"/>
        </w:rPr>
        <w:t xml:space="preserve">This </w:t>
      </w:r>
      <w:r w:rsidR="009441DF">
        <w:rPr>
          <w:rFonts w:eastAsiaTheme="minorHAnsi"/>
          <w:sz w:val="22"/>
          <w:szCs w:val="22"/>
        </w:rPr>
        <w:t>item</w:t>
      </w:r>
      <w:r w:rsidRPr="000C0804">
        <w:rPr>
          <w:rFonts w:eastAsiaTheme="minorHAnsi"/>
          <w:sz w:val="22"/>
          <w:szCs w:val="22"/>
        </w:rPr>
        <w:t xml:space="preserve"> adds a note to the table at Schedule 1</w:t>
      </w:r>
      <w:r w:rsidR="009441DF">
        <w:rPr>
          <w:rFonts w:eastAsiaTheme="minorHAnsi"/>
          <w:sz w:val="22"/>
          <w:szCs w:val="22"/>
        </w:rPr>
        <w:t xml:space="preserve"> to the 2012 Marketing Plan.  The note</w:t>
      </w:r>
      <w:r w:rsidRPr="000C0804">
        <w:rPr>
          <w:rFonts w:eastAsiaTheme="minorHAnsi"/>
          <w:sz w:val="22"/>
          <w:szCs w:val="22"/>
        </w:rPr>
        <w:t xml:space="preserve"> </w:t>
      </w:r>
      <w:r w:rsidR="009441DF">
        <w:rPr>
          <w:rFonts w:eastAsiaTheme="minorHAnsi"/>
          <w:sz w:val="22"/>
          <w:szCs w:val="22"/>
        </w:rPr>
        <w:t xml:space="preserve">explains </w:t>
      </w:r>
      <w:r w:rsidRPr="000C0804">
        <w:rPr>
          <w:rFonts w:eastAsiaTheme="minorHAnsi"/>
          <w:sz w:val="22"/>
          <w:szCs w:val="22"/>
        </w:rPr>
        <w:t>that after the commencement of the Marketing Plan Variation</w:t>
      </w:r>
      <w:r w:rsidR="009441DF">
        <w:rPr>
          <w:rFonts w:eastAsiaTheme="minorHAnsi"/>
          <w:sz w:val="22"/>
          <w:szCs w:val="22"/>
        </w:rPr>
        <w:t>, the 2012 Marketing Plan</w:t>
      </w:r>
      <w:r w:rsidR="00C02401">
        <w:rPr>
          <w:rFonts w:eastAsiaTheme="minorHAnsi"/>
          <w:sz w:val="22"/>
          <w:szCs w:val="22"/>
        </w:rPr>
        <w:t xml:space="preserve"> </w:t>
      </w:r>
      <w:r w:rsidR="009441DF">
        <w:rPr>
          <w:rFonts w:eastAsiaTheme="minorHAnsi"/>
          <w:sz w:val="22"/>
          <w:szCs w:val="22"/>
        </w:rPr>
        <w:t>ceases to</w:t>
      </w:r>
      <w:r w:rsidRPr="000C0804">
        <w:rPr>
          <w:rFonts w:eastAsiaTheme="minorHAnsi"/>
          <w:sz w:val="22"/>
          <w:szCs w:val="22"/>
        </w:rPr>
        <w:t xml:space="preserve"> deal with the </w:t>
      </w:r>
      <w:r w:rsidR="001848EB">
        <w:rPr>
          <w:rFonts w:eastAsiaTheme="minorHAnsi"/>
          <w:sz w:val="22"/>
          <w:szCs w:val="22"/>
        </w:rPr>
        <w:t>700 MHz (unallocated lots) band</w:t>
      </w:r>
      <w:r w:rsidR="00D6308C" w:rsidRPr="000C0804">
        <w:rPr>
          <w:rFonts w:eastAsiaTheme="minorHAnsi"/>
          <w:sz w:val="22"/>
          <w:szCs w:val="22"/>
        </w:rPr>
        <w:t xml:space="preserve">; </w:t>
      </w:r>
      <w:r w:rsidRPr="000C0804">
        <w:rPr>
          <w:rFonts w:eastAsiaTheme="minorHAnsi"/>
          <w:sz w:val="22"/>
          <w:szCs w:val="22"/>
        </w:rPr>
        <w:t xml:space="preserve">the </w:t>
      </w:r>
      <w:r w:rsidR="009441DF">
        <w:rPr>
          <w:rFonts w:eastAsiaTheme="minorHAnsi"/>
          <w:sz w:val="22"/>
          <w:szCs w:val="22"/>
        </w:rPr>
        <w:t>2016 M</w:t>
      </w:r>
      <w:r w:rsidR="00D6308C" w:rsidRPr="000C0804">
        <w:rPr>
          <w:rFonts w:eastAsiaTheme="minorHAnsi"/>
          <w:sz w:val="22"/>
          <w:szCs w:val="22"/>
        </w:rPr>
        <w:t xml:space="preserve">arketing </w:t>
      </w:r>
      <w:r w:rsidR="009441DF">
        <w:rPr>
          <w:rFonts w:eastAsiaTheme="minorHAnsi"/>
          <w:sz w:val="22"/>
          <w:szCs w:val="22"/>
        </w:rPr>
        <w:t>P</w:t>
      </w:r>
      <w:r w:rsidR="00D6308C" w:rsidRPr="000C0804">
        <w:rPr>
          <w:rFonts w:eastAsiaTheme="minorHAnsi"/>
          <w:sz w:val="22"/>
          <w:szCs w:val="22"/>
        </w:rPr>
        <w:t>lan deals</w:t>
      </w:r>
      <w:r w:rsidRPr="000C0804">
        <w:rPr>
          <w:rFonts w:eastAsiaTheme="minorHAnsi"/>
          <w:sz w:val="22"/>
          <w:szCs w:val="22"/>
        </w:rPr>
        <w:t xml:space="preserve"> with the </w:t>
      </w:r>
      <w:r w:rsidR="001848EB">
        <w:rPr>
          <w:rFonts w:eastAsiaTheme="minorHAnsi"/>
          <w:sz w:val="22"/>
          <w:szCs w:val="22"/>
        </w:rPr>
        <w:t xml:space="preserve">700 MHz (unallocated lots) band </w:t>
      </w:r>
      <w:r w:rsidR="009441DF">
        <w:rPr>
          <w:rFonts w:eastAsiaTheme="minorHAnsi"/>
          <w:sz w:val="22"/>
          <w:szCs w:val="22"/>
        </w:rPr>
        <w:t>from that time</w:t>
      </w:r>
      <w:r w:rsidR="00D6308C" w:rsidRPr="000C0804">
        <w:rPr>
          <w:rFonts w:eastAsiaTheme="minorHAnsi"/>
          <w:sz w:val="22"/>
          <w:szCs w:val="22"/>
        </w:rPr>
        <w:t>.</w:t>
      </w:r>
    </w:p>
    <w:p w14:paraId="1C3FB375" w14:textId="02CCF71B" w:rsidR="00D6308C" w:rsidRPr="000C0804" w:rsidRDefault="009441DF" w:rsidP="000C0804">
      <w:pPr>
        <w:spacing w:before="0" w:after="160" w:line="259" w:lineRule="auto"/>
        <w:rPr>
          <w:rFonts w:eastAsiaTheme="minorHAnsi"/>
          <w:b/>
          <w:sz w:val="22"/>
          <w:szCs w:val="22"/>
        </w:rPr>
      </w:pPr>
      <w:r>
        <w:rPr>
          <w:rFonts w:eastAsiaTheme="minorHAnsi"/>
          <w:b/>
          <w:sz w:val="22"/>
          <w:szCs w:val="22"/>
        </w:rPr>
        <w:t>Item</w:t>
      </w:r>
      <w:r w:rsidRPr="000C0804">
        <w:rPr>
          <w:rFonts w:eastAsiaTheme="minorHAnsi"/>
          <w:b/>
          <w:sz w:val="22"/>
          <w:szCs w:val="22"/>
        </w:rPr>
        <w:t xml:space="preserve"> </w:t>
      </w:r>
      <w:r w:rsidR="00D6308C" w:rsidRPr="000C0804">
        <w:rPr>
          <w:rFonts w:eastAsiaTheme="minorHAnsi"/>
          <w:b/>
          <w:sz w:val="22"/>
          <w:szCs w:val="22"/>
        </w:rPr>
        <w:t>9</w:t>
      </w:r>
    </w:p>
    <w:p w14:paraId="52D45377" w14:textId="4830F8FA" w:rsidR="00D6308C" w:rsidRPr="000C0804" w:rsidRDefault="00D6308C" w:rsidP="000C0804">
      <w:pPr>
        <w:spacing w:before="0" w:after="160" w:line="259" w:lineRule="auto"/>
        <w:rPr>
          <w:rFonts w:eastAsiaTheme="minorHAnsi"/>
          <w:sz w:val="22"/>
          <w:szCs w:val="22"/>
        </w:rPr>
      </w:pPr>
      <w:r w:rsidRPr="000C0804">
        <w:rPr>
          <w:rFonts w:eastAsiaTheme="minorHAnsi"/>
          <w:sz w:val="22"/>
          <w:szCs w:val="22"/>
        </w:rPr>
        <w:t xml:space="preserve">This </w:t>
      </w:r>
      <w:r w:rsidR="009441DF">
        <w:rPr>
          <w:rFonts w:eastAsiaTheme="minorHAnsi"/>
          <w:sz w:val="22"/>
          <w:szCs w:val="22"/>
        </w:rPr>
        <w:t>item</w:t>
      </w:r>
      <w:r w:rsidRPr="000C0804">
        <w:rPr>
          <w:rFonts w:eastAsiaTheme="minorHAnsi"/>
          <w:sz w:val="22"/>
          <w:szCs w:val="22"/>
        </w:rPr>
        <w:t xml:space="preserve"> adds a note to the table at Schedule </w:t>
      </w:r>
      <w:r w:rsidR="009441DF">
        <w:rPr>
          <w:rFonts w:eastAsiaTheme="minorHAnsi"/>
          <w:sz w:val="22"/>
          <w:szCs w:val="22"/>
        </w:rPr>
        <w:t>2.  The note explains</w:t>
      </w:r>
      <w:r w:rsidRPr="000C0804">
        <w:rPr>
          <w:rFonts w:eastAsiaTheme="minorHAnsi"/>
          <w:sz w:val="22"/>
          <w:szCs w:val="22"/>
        </w:rPr>
        <w:t xml:space="preserve"> that after the commencement of the Marketing Plan Variation</w:t>
      </w:r>
      <w:r w:rsidR="009441DF">
        <w:rPr>
          <w:rFonts w:eastAsiaTheme="minorHAnsi"/>
          <w:sz w:val="22"/>
          <w:szCs w:val="22"/>
        </w:rPr>
        <w:t>, the 2012 Marketing Plan ceases to</w:t>
      </w:r>
      <w:r w:rsidRPr="000C0804">
        <w:rPr>
          <w:rFonts w:eastAsiaTheme="minorHAnsi"/>
          <w:sz w:val="22"/>
          <w:szCs w:val="22"/>
        </w:rPr>
        <w:t xml:space="preserve"> deal with the </w:t>
      </w:r>
      <w:r w:rsidR="001848EB">
        <w:rPr>
          <w:rFonts w:eastAsiaTheme="minorHAnsi"/>
          <w:sz w:val="22"/>
          <w:szCs w:val="22"/>
        </w:rPr>
        <w:t>700 MHz (unallocated lots) band</w:t>
      </w:r>
      <w:r w:rsidRPr="000C0804">
        <w:rPr>
          <w:rFonts w:eastAsiaTheme="minorHAnsi"/>
          <w:sz w:val="22"/>
          <w:szCs w:val="22"/>
        </w:rPr>
        <w:t xml:space="preserve">; the </w:t>
      </w:r>
      <w:r w:rsidR="009441DF">
        <w:rPr>
          <w:rFonts w:eastAsiaTheme="minorHAnsi"/>
          <w:sz w:val="22"/>
          <w:szCs w:val="22"/>
        </w:rPr>
        <w:t>2016 M</w:t>
      </w:r>
      <w:r w:rsidRPr="000C0804">
        <w:rPr>
          <w:rFonts w:eastAsiaTheme="minorHAnsi"/>
          <w:sz w:val="22"/>
          <w:szCs w:val="22"/>
        </w:rPr>
        <w:t xml:space="preserve">arketing </w:t>
      </w:r>
      <w:r w:rsidR="009441DF">
        <w:rPr>
          <w:rFonts w:eastAsiaTheme="minorHAnsi"/>
          <w:sz w:val="22"/>
          <w:szCs w:val="22"/>
        </w:rPr>
        <w:t>P</w:t>
      </w:r>
      <w:r w:rsidRPr="000C0804">
        <w:rPr>
          <w:rFonts w:eastAsiaTheme="minorHAnsi"/>
          <w:sz w:val="22"/>
          <w:szCs w:val="22"/>
        </w:rPr>
        <w:t xml:space="preserve">lan deals with the </w:t>
      </w:r>
      <w:r w:rsidR="001848EB">
        <w:rPr>
          <w:rFonts w:eastAsiaTheme="minorHAnsi"/>
          <w:sz w:val="22"/>
          <w:szCs w:val="22"/>
        </w:rPr>
        <w:t xml:space="preserve">700 MHz (unallocated lots) band </w:t>
      </w:r>
      <w:r w:rsidR="009441DF">
        <w:rPr>
          <w:rFonts w:eastAsiaTheme="minorHAnsi"/>
          <w:sz w:val="22"/>
          <w:szCs w:val="22"/>
        </w:rPr>
        <w:t>from that time</w:t>
      </w:r>
      <w:r w:rsidRPr="000C0804">
        <w:rPr>
          <w:rFonts w:eastAsiaTheme="minorHAnsi"/>
          <w:sz w:val="22"/>
          <w:szCs w:val="22"/>
        </w:rPr>
        <w:t>.</w:t>
      </w:r>
    </w:p>
    <w:p w14:paraId="2ABA2693" w14:textId="77777777" w:rsidR="00BD7B7A" w:rsidRPr="00C26A6B" w:rsidRDefault="00BD7B7A" w:rsidP="001334CF">
      <w:pPr>
        <w:pStyle w:val="ACMABodyText"/>
        <w:ind w:left="426"/>
      </w:pPr>
      <w:bookmarkStart w:id="0" w:name="_GoBack"/>
      <w:bookmarkEnd w:id="0"/>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F6A7" w14:textId="77777777" w:rsidR="0020542E" w:rsidRDefault="0020542E" w:rsidP="00B732C2">
      <w:pPr>
        <w:spacing w:before="0" w:after="0" w:line="240" w:lineRule="auto"/>
      </w:pPr>
      <w:r>
        <w:separator/>
      </w:r>
    </w:p>
  </w:endnote>
  <w:endnote w:type="continuationSeparator" w:id="0">
    <w:p w14:paraId="1202BAFE" w14:textId="77777777" w:rsidR="0020542E" w:rsidRDefault="0020542E"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4E35DD70" w14:textId="77777777" w:rsidR="00A632A3" w:rsidRDefault="00A632A3" w:rsidP="00A632A3">
        <w:pPr>
          <w:pStyle w:val="Footer"/>
          <w:pBdr>
            <w:top w:val="single" w:sz="4" w:space="1" w:color="auto"/>
          </w:pBdr>
          <w:jc w:val="center"/>
        </w:pPr>
      </w:p>
      <w:p w14:paraId="037CF32C" w14:textId="7B6A4D21" w:rsidR="00A632A3" w:rsidRPr="00AD3414" w:rsidRDefault="00A632A3" w:rsidP="00A632A3">
        <w:pPr>
          <w:pStyle w:val="Footer"/>
          <w:jc w:val="center"/>
        </w:pPr>
        <w:r w:rsidRPr="00AD3414">
          <w:rPr>
            <w:i/>
          </w:rPr>
          <w:t>Explanatory Statement to the</w:t>
        </w:r>
        <w:r>
          <w:rPr>
            <w:i/>
          </w:rPr>
          <w:t xml:space="preserve"> </w:t>
        </w:r>
        <w:proofErr w:type="spellStart"/>
        <w:r>
          <w:rPr>
            <w:i/>
          </w:rPr>
          <w:t>Radiocommunications</w:t>
        </w:r>
        <w:proofErr w:type="spellEnd"/>
        <w:r>
          <w:rPr>
            <w:i/>
          </w:rPr>
          <w:t xml:space="preserve"> Spectrum Marketing Plan (700 MHz Band) Variation 2016 (No. 1)</w:t>
        </w:r>
      </w:p>
      <w:p w14:paraId="6B899E85" w14:textId="77777777" w:rsidR="00A632A3" w:rsidRDefault="00A632A3" w:rsidP="00A632A3">
        <w:pPr>
          <w:pStyle w:val="Footer"/>
          <w:jc w:val="right"/>
        </w:pPr>
      </w:p>
      <w:p w14:paraId="199355B8" w14:textId="77777777" w:rsidR="00A632A3" w:rsidRPr="00AD3414" w:rsidRDefault="00A632A3" w:rsidP="00A632A3">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9824DA">
          <w:rPr>
            <w:i/>
            <w:noProof/>
          </w:rPr>
          <w:t>6</w:t>
        </w:r>
        <w:r w:rsidRPr="00A07A2F">
          <w:rPr>
            <w:i/>
            <w:noProof/>
          </w:rPr>
          <w:fldChar w:fldCharType="end"/>
        </w:r>
      </w:p>
    </w:sdtContent>
  </w:sdt>
  <w:p w14:paraId="10193F4F" w14:textId="77777777" w:rsidR="00A632A3" w:rsidRDefault="00A6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888B9" w14:textId="77777777" w:rsidR="0020542E" w:rsidRDefault="0020542E" w:rsidP="00B732C2">
      <w:pPr>
        <w:spacing w:before="0" w:after="0" w:line="240" w:lineRule="auto"/>
      </w:pPr>
      <w:r>
        <w:separator/>
      </w:r>
    </w:p>
  </w:footnote>
  <w:footnote w:type="continuationSeparator" w:id="0">
    <w:p w14:paraId="0C493F03" w14:textId="77777777" w:rsidR="0020542E" w:rsidRDefault="0020542E"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0"/>
  </w:num>
  <w:num w:numId="2">
    <w:abstractNumId w:val="2"/>
  </w:num>
  <w:num w:numId="3">
    <w:abstractNumId w:val="13"/>
  </w:num>
  <w:num w:numId="4">
    <w:abstractNumId w:val="11"/>
  </w:num>
  <w:num w:numId="5">
    <w:abstractNumId w:val="14"/>
  </w:num>
  <w:num w:numId="6">
    <w:abstractNumId w:val="8"/>
  </w:num>
  <w:num w:numId="7">
    <w:abstractNumId w:val="12"/>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7"/>
  </w:num>
  <w:num w:numId="16">
    <w:abstractNumId w:val="9"/>
  </w:num>
  <w:num w:numId="17">
    <w:abstractNumId w:val="3"/>
  </w:num>
  <w:num w:numId="18">
    <w:abstractNumId w:val="5"/>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6E9"/>
    <w:rsid w:val="000057D6"/>
    <w:rsid w:val="000146B9"/>
    <w:rsid w:val="00016DC8"/>
    <w:rsid w:val="0002429A"/>
    <w:rsid w:val="00032503"/>
    <w:rsid w:val="000329E8"/>
    <w:rsid w:val="00034650"/>
    <w:rsid w:val="00036834"/>
    <w:rsid w:val="0004150D"/>
    <w:rsid w:val="00041B06"/>
    <w:rsid w:val="00042633"/>
    <w:rsid w:val="00043337"/>
    <w:rsid w:val="0004723C"/>
    <w:rsid w:val="00051AF9"/>
    <w:rsid w:val="00051FFE"/>
    <w:rsid w:val="000522F2"/>
    <w:rsid w:val="000570AB"/>
    <w:rsid w:val="00057757"/>
    <w:rsid w:val="00064F73"/>
    <w:rsid w:val="000654BD"/>
    <w:rsid w:val="000659FE"/>
    <w:rsid w:val="00065BEE"/>
    <w:rsid w:val="00067305"/>
    <w:rsid w:val="00067DDC"/>
    <w:rsid w:val="00070008"/>
    <w:rsid w:val="00070138"/>
    <w:rsid w:val="00072470"/>
    <w:rsid w:val="00072917"/>
    <w:rsid w:val="0007374F"/>
    <w:rsid w:val="00077A36"/>
    <w:rsid w:val="00080833"/>
    <w:rsid w:val="00080CD3"/>
    <w:rsid w:val="00081110"/>
    <w:rsid w:val="00082A2F"/>
    <w:rsid w:val="00085151"/>
    <w:rsid w:val="00085B03"/>
    <w:rsid w:val="000870F7"/>
    <w:rsid w:val="00097327"/>
    <w:rsid w:val="000A3473"/>
    <w:rsid w:val="000A3C98"/>
    <w:rsid w:val="000A461A"/>
    <w:rsid w:val="000A71CC"/>
    <w:rsid w:val="000A7430"/>
    <w:rsid w:val="000B0B58"/>
    <w:rsid w:val="000C0804"/>
    <w:rsid w:val="000C1473"/>
    <w:rsid w:val="000C192C"/>
    <w:rsid w:val="000C366C"/>
    <w:rsid w:val="000C53BD"/>
    <w:rsid w:val="000D2B3D"/>
    <w:rsid w:val="000D3BE0"/>
    <w:rsid w:val="000D63FD"/>
    <w:rsid w:val="000E2290"/>
    <w:rsid w:val="000E2711"/>
    <w:rsid w:val="000E3892"/>
    <w:rsid w:val="000E4033"/>
    <w:rsid w:val="000E428D"/>
    <w:rsid w:val="000E6EE5"/>
    <w:rsid w:val="000F2034"/>
    <w:rsid w:val="000F3B40"/>
    <w:rsid w:val="000F4532"/>
    <w:rsid w:val="00102488"/>
    <w:rsid w:val="00102A20"/>
    <w:rsid w:val="00102C87"/>
    <w:rsid w:val="001040A5"/>
    <w:rsid w:val="00110B98"/>
    <w:rsid w:val="00112DDD"/>
    <w:rsid w:val="0011448B"/>
    <w:rsid w:val="00116233"/>
    <w:rsid w:val="00120313"/>
    <w:rsid w:val="00125D70"/>
    <w:rsid w:val="00127697"/>
    <w:rsid w:val="00127BF1"/>
    <w:rsid w:val="00131B6B"/>
    <w:rsid w:val="00131C97"/>
    <w:rsid w:val="00132DFE"/>
    <w:rsid w:val="001334CF"/>
    <w:rsid w:val="001368AF"/>
    <w:rsid w:val="00136BE8"/>
    <w:rsid w:val="0013743A"/>
    <w:rsid w:val="001445DE"/>
    <w:rsid w:val="0015118C"/>
    <w:rsid w:val="001545F8"/>
    <w:rsid w:val="00160160"/>
    <w:rsid w:val="00160ECA"/>
    <w:rsid w:val="00162594"/>
    <w:rsid w:val="00167353"/>
    <w:rsid w:val="00170717"/>
    <w:rsid w:val="00174112"/>
    <w:rsid w:val="00174F14"/>
    <w:rsid w:val="0017538F"/>
    <w:rsid w:val="00175E85"/>
    <w:rsid w:val="00180BF1"/>
    <w:rsid w:val="00181F0F"/>
    <w:rsid w:val="00183330"/>
    <w:rsid w:val="001848EB"/>
    <w:rsid w:val="00184DF5"/>
    <w:rsid w:val="001873E0"/>
    <w:rsid w:val="0019166D"/>
    <w:rsid w:val="00192A02"/>
    <w:rsid w:val="001A72B9"/>
    <w:rsid w:val="001A74F0"/>
    <w:rsid w:val="001B10DB"/>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E59"/>
    <w:rsid w:val="0020246B"/>
    <w:rsid w:val="002028E0"/>
    <w:rsid w:val="00203E00"/>
    <w:rsid w:val="00203E75"/>
    <w:rsid w:val="0020542E"/>
    <w:rsid w:val="002066FA"/>
    <w:rsid w:val="0021277D"/>
    <w:rsid w:val="002265BF"/>
    <w:rsid w:val="00227C54"/>
    <w:rsid w:val="002300A1"/>
    <w:rsid w:val="002314A4"/>
    <w:rsid w:val="0023281A"/>
    <w:rsid w:val="002357A7"/>
    <w:rsid w:val="00236353"/>
    <w:rsid w:val="00237589"/>
    <w:rsid w:val="002401CF"/>
    <w:rsid w:val="0024250A"/>
    <w:rsid w:val="00244BF7"/>
    <w:rsid w:val="00253622"/>
    <w:rsid w:val="00254775"/>
    <w:rsid w:val="00254A28"/>
    <w:rsid w:val="00261603"/>
    <w:rsid w:val="00262E05"/>
    <w:rsid w:val="00265CA5"/>
    <w:rsid w:val="00267B3D"/>
    <w:rsid w:val="00271E54"/>
    <w:rsid w:val="00277479"/>
    <w:rsid w:val="002805C0"/>
    <w:rsid w:val="00280BD3"/>
    <w:rsid w:val="00282291"/>
    <w:rsid w:val="00284F88"/>
    <w:rsid w:val="00285BCC"/>
    <w:rsid w:val="0029072F"/>
    <w:rsid w:val="00293080"/>
    <w:rsid w:val="00294AA8"/>
    <w:rsid w:val="002974FE"/>
    <w:rsid w:val="002A0232"/>
    <w:rsid w:val="002A4ECE"/>
    <w:rsid w:val="002B0FF2"/>
    <w:rsid w:val="002B2E7F"/>
    <w:rsid w:val="002B4DA0"/>
    <w:rsid w:val="002B696E"/>
    <w:rsid w:val="002B7517"/>
    <w:rsid w:val="002C0285"/>
    <w:rsid w:val="002C149F"/>
    <w:rsid w:val="002C35EC"/>
    <w:rsid w:val="002D012B"/>
    <w:rsid w:val="002D478A"/>
    <w:rsid w:val="002D71C2"/>
    <w:rsid w:val="002E0CE7"/>
    <w:rsid w:val="002E2311"/>
    <w:rsid w:val="002E4F28"/>
    <w:rsid w:val="002E77BF"/>
    <w:rsid w:val="002E7973"/>
    <w:rsid w:val="002E7E7E"/>
    <w:rsid w:val="002F271F"/>
    <w:rsid w:val="002F2B4E"/>
    <w:rsid w:val="002F4B20"/>
    <w:rsid w:val="002F5B81"/>
    <w:rsid w:val="002F6472"/>
    <w:rsid w:val="002F73E9"/>
    <w:rsid w:val="003009BD"/>
    <w:rsid w:val="00304AD1"/>
    <w:rsid w:val="0030527F"/>
    <w:rsid w:val="00306EC2"/>
    <w:rsid w:val="00311AAE"/>
    <w:rsid w:val="003136AA"/>
    <w:rsid w:val="00313E59"/>
    <w:rsid w:val="00315319"/>
    <w:rsid w:val="00315B30"/>
    <w:rsid w:val="00316DD5"/>
    <w:rsid w:val="003216DB"/>
    <w:rsid w:val="00322B6F"/>
    <w:rsid w:val="0032348A"/>
    <w:rsid w:val="00327C46"/>
    <w:rsid w:val="00331F6D"/>
    <w:rsid w:val="0033228D"/>
    <w:rsid w:val="003333FF"/>
    <w:rsid w:val="00333C8E"/>
    <w:rsid w:val="00334EFE"/>
    <w:rsid w:val="00337979"/>
    <w:rsid w:val="00337AC4"/>
    <w:rsid w:val="00341F29"/>
    <w:rsid w:val="003424EA"/>
    <w:rsid w:val="00343B02"/>
    <w:rsid w:val="00343BF4"/>
    <w:rsid w:val="00345C2A"/>
    <w:rsid w:val="00350637"/>
    <w:rsid w:val="003634C2"/>
    <w:rsid w:val="003635D5"/>
    <w:rsid w:val="00364AC5"/>
    <w:rsid w:val="003727B1"/>
    <w:rsid w:val="00376D18"/>
    <w:rsid w:val="00380B04"/>
    <w:rsid w:val="003823FF"/>
    <w:rsid w:val="00384523"/>
    <w:rsid w:val="00385595"/>
    <w:rsid w:val="003864C3"/>
    <w:rsid w:val="00396063"/>
    <w:rsid w:val="00396F3C"/>
    <w:rsid w:val="0039720F"/>
    <w:rsid w:val="0039743D"/>
    <w:rsid w:val="003A7D90"/>
    <w:rsid w:val="003B3241"/>
    <w:rsid w:val="003B350E"/>
    <w:rsid w:val="003B67D3"/>
    <w:rsid w:val="003B78B3"/>
    <w:rsid w:val="003C0F14"/>
    <w:rsid w:val="003C1A29"/>
    <w:rsid w:val="003C2668"/>
    <w:rsid w:val="003C4297"/>
    <w:rsid w:val="003C6F32"/>
    <w:rsid w:val="003D4F32"/>
    <w:rsid w:val="003D7C63"/>
    <w:rsid w:val="003E0761"/>
    <w:rsid w:val="003E243D"/>
    <w:rsid w:val="003E56F2"/>
    <w:rsid w:val="003E694F"/>
    <w:rsid w:val="003E6B5D"/>
    <w:rsid w:val="003F70D3"/>
    <w:rsid w:val="00404191"/>
    <w:rsid w:val="00410DAC"/>
    <w:rsid w:val="004141C5"/>
    <w:rsid w:val="00414BEE"/>
    <w:rsid w:val="00417D15"/>
    <w:rsid w:val="00421918"/>
    <w:rsid w:val="00421E12"/>
    <w:rsid w:val="00427D5D"/>
    <w:rsid w:val="00427D75"/>
    <w:rsid w:val="00431A56"/>
    <w:rsid w:val="004324D6"/>
    <w:rsid w:val="0043705C"/>
    <w:rsid w:val="00437186"/>
    <w:rsid w:val="00437D76"/>
    <w:rsid w:val="004412EA"/>
    <w:rsid w:val="004427A1"/>
    <w:rsid w:val="0044299A"/>
    <w:rsid w:val="00444172"/>
    <w:rsid w:val="00447443"/>
    <w:rsid w:val="004608B9"/>
    <w:rsid w:val="00462A25"/>
    <w:rsid w:val="00467C6F"/>
    <w:rsid w:val="004705E1"/>
    <w:rsid w:val="00470BF5"/>
    <w:rsid w:val="00476B14"/>
    <w:rsid w:val="0047743D"/>
    <w:rsid w:val="0048284D"/>
    <w:rsid w:val="00484765"/>
    <w:rsid w:val="0048701B"/>
    <w:rsid w:val="0049756D"/>
    <w:rsid w:val="004A0FF6"/>
    <w:rsid w:val="004A276C"/>
    <w:rsid w:val="004A28B5"/>
    <w:rsid w:val="004A401D"/>
    <w:rsid w:val="004B1A4D"/>
    <w:rsid w:val="004B2CED"/>
    <w:rsid w:val="004B3D43"/>
    <w:rsid w:val="004B5F25"/>
    <w:rsid w:val="004C1375"/>
    <w:rsid w:val="004C1D60"/>
    <w:rsid w:val="004C3510"/>
    <w:rsid w:val="004C3E24"/>
    <w:rsid w:val="004C4C3B"/>
    <w:rsid w:val="004D6DCF"/>
    <w:rsid w:val="004E1FE9"/>
    <w:rsid w:val="004E299F"/>
    <w:rsid w:val="004E3A67"/>
    <w:rsid w:val="004E439C"/>
    <w:rsid w:val="004E441D"/>
    <w:rsid w:val="004E46C1"/>
    <w:rsid w:val="004E51B2"/>
    <w:rsid w:val="004F5F3B"/>
    <w:rsid w:val="004F73E3"/>
    <w:rsid w:val="004F7F26"/>
    <w:rsid w:val="005005D3"/>
    <w:rsid w:val="00500753"/>
    <w:rsid w:val="00503484"/>
    <w:rsid w:val="00503945"/>
    <w:rsid w:val="00506FAD"/>
    <w:rsid w:val="00510AD2"/>
    <w:rsid w:val="0051434B"/>
    <w:rsid w:val="0051658C"/>
    <w:rsid w:val="005213DA"/>
    <w:rsid w:val="00523DA2"/>
    <w:rsid w:val="00524597"/>
    <w:rsid w:val="00525C1C"/>
    <w:rsid w:val="00530BA5"/>
    <w:rsid w:val="0053711C"/>
    <w:rsid w:val="005419D2"/>
    <w:rsid w:val="00544FD4"/>
    <w:rsid w:val="005457F7"/>
    <w:rsid w:val="00550C98"/>
    <w:rsid w:val="0055362E"/>
    <w:rsid w:val="00555CBF"/>
    <w:rsid w:val="00557C8F"/>
    <w:rsid w:val="005617DA"/>
    <w:rsid w:val="00564602"/>
    <w:rsid w:val="00570C0B"/>
    <w:rsid w:val="00570E89"/>
    <w:rsid w:val="005740C7"/>
    <w:rsid w:val="0057503C"/>
    <w:rsid w:val="00575C98"/>
    <w:rsid w:val="005764D3"/>
    <w:rsid w:val="00577037"/>
    <w:rsid w:val="005775D0"/>
    <w:rsid w:val="0057785A"/>
    <w:rsid w:val="00586EF5"/>
    <w:rsid w:val="00587A63"/>
    <w:rsid w:val="005903C0"/>
    <w:rsid w:val="00590596"/>
    <w:rsid w:val="00591095"/>
    <w:rsid w:val="005914B5"/>
    <w:rsid w:val="00591A2E"/>
    <w:rsid w:val="00592BB5"/>
    <w:rsid w:val="0059573B"/>
    <w:rsid w:val="00597689"/>
    <w:rsid w:val="005A01C6"/>
    <w:rsid w:val="005A1280"/>
    <w:rsid w:val="005A3559"/>
    <w:rsid w:val="005A4662"/>
    <w:rsid w:val="005A4B8A"/>
    <w:rsid w:val="005B02C5"/>
    <w:rsid w:val="005B195F"/>
    <w:rsid w:val="005B28B3"/>
    <w:rsid w:val="005C0510"/>
    <w:rsid w:val="005C153F"/>
    <w:rsid w:val="005C1A55"/>
    <w:rsid w:val="005C3468"/>
    <w:rsid w:val="005C3745"/>
    <w:rsid w:val="005C6DE2"/>
    <w:rsid w:val="005D00C1"/>
    <w:rsid w:val="005D0102"/>
    <w:rsid w:val="005D1ADA"/>
    <w:rsid w:val="005D3833"/>
    <w:rsid w:val="005D59E9"/>
    <w:rsid w:val="005D5D2F"/>
    <w:rsid w:val="005D78DE"/>
    <w:rsid w:val="005E0AFF"/>
    <w:rsid w:val="005E0F61"/>
    <w:rsid w:val="005E12A9"/>
    <w:rsid w:val="005E1C19"/>
    <w:rsid w:val="005E1C54"/>
    <w:rsid w:val="005E1FA6"/>
    <w:rsid w:val="005E4F14"/>
    <w:rsid w:val="005E73AE"/>
    <w:rsid w:val="005F7E37"/>
    <w:rsid w:val="0060196C"/>
    <w:rsid w:val="006028F0"/>
    <w:rsid w:val="00604C6D"/>
    <w:rsid w:val="006059C1"/>
    <w:rsid w:val="00616760"/>
    <w:rsid w:val="006174C7"/>
    <w:rsid w:val="0062049B"/>
    <w:rsid w:val="00621194"/>
    <w:rsid w:val="00621725"/>
    <w:rsid w:val="00623D1C"/>
    <w:rsid w:val="00631804"/>
    <w:rsid w:val="00632125"/>
    <w:rsid w:val="00632758"/>
    <w:rsid w:val="00632C6F"/>
    <w:rsid w:val="00632D09"/>
    <w:rsid w:val="00642A49"/>
    <w:rsid w:val="00647522"/>
    <w:rsid w:val="00647F43"/>
    <w:rsid w:val="0065057E"/>
    <w:rsid w:val="0065255C"/>
    <w:rsid w:val="006537F5"/>
    <w:rsid w:val="00656B12"/>
    <w:rsid w:val="00657C04"/>
    <w:rsid w:val="00661D19"/>
    <w:rsid w:val="00661D91"/>
    <w:rsid w:val="00661DC0"/>
    <w:rsid w:val="0066573C"/>
    <w:rsid w:val="006664B9"/>
    <w:rsid w:val="00675196"/>
    <w:rsid w:val="00682097"/>
    <w:rsid w:val="00683D93"/>
    <w:rsid w:val="00684468"/>
    <w:rsid w:val="00685C94"/>
    <w:rsid w:val="0069089B"/>
    <w:rsid w:val="00691099"/>
    <w:rsid w:val="00696683"/>
    <w:rsid w:val="006A099A"/>
    <w:rsid w:val="006A2079"/>
    <w:rsid w:val="006A5A9E"/>
    <w:rsid w:val="006B1373"/>
    <w:rsid w:val="006B3618"/>
    <w:rsid w:val="006B3A29"/>
    <w:rsid w:val="006B3A5B"/>
    <w:rsid w:val="006B60DE"/>
    <w:rsid w:val="006B6334"/>
    <w:rsid w:val="006B6CFB"/>
    <w:rsid w:val="006C3D10"/>
    <w:rsid w:val="006D08DC"/>
    <w:rsid w:val="006D0C3E"/>
    <w:rsid w:val="006D3612"/>
    <w:rsid w:val="006D4322"/>
    <w:rsid w:val="006D5406"/>
    <w:rsid w:val="006D5D76"/>
    <w:rsid w:val="006D62A4"/>
    <w:rsid w:val="006F1D82"/>
    <w:rsid w:val="006F2939"/>
    <w:rsid w:val="006F7AAA"/>
    <w:rsid w:val="00701496"/>
    <w:rsid w:val="00704A44"/>
    <w:rsid w:val="00707F64"/>
    <w:rsid w:val="00715014"/>
    <w:rsid w:val="00716EB7"/>
    <w:rsid w:val="0072330C"/>
    <w:rsid w:val="00725461"/>
    <w:rsid w:val="00733691"/>
    <w:rsid w:val="00733919"/>
    <w:rsid w:val="00733B0B"/>
    <w:rsid w:val="00735842"/>
    <w:rsid w:val="00741516"/>
    <w:rsid w:val="00744F1F"/>
    <w:rsid w:val="0074587E"/>
    <w:rsid w:val="0074628C"/>
    <w:rsid w:val="00747786"/>
    <w:rsid w:val="00747F12"/>
    <w:rsid w:val="00750626"/>
    <w:rsid w:val="0075241B"/>
    <w:rsid w:val="007576F9"/>
    <w:rsid w:val="00761595"/>
    <w:rsid w:val="00764B06"/>
    <w:rsid w:val="00771D5E"/>
    <w:rsid w:val="00775C21"/>
    <w:rsid w:val="00775D9F"/>
    <w:rsid w:val="007770EB"/>
    <w:rsid w:val="00780DCE"/>
    <w:rsid w:val="00782346"/>
    <w:rsid w:val="00782E30"/>
    <w:rsid w:val="0078570B"/>
    <w:rsid w:val="00787BDB"/>
    <w:rsid w:val="00787E17"/>
    <w:rsid w:val="00790E10"/>
    <w:rsid w:val="007A2CDE"/>
    <w:rsid w:val="007A3E45"/>
    <w:rsid w:val="007A73A3"/>
    <w:rsid w:val="007A7EDE"/>
    <w:rsid w:val="007B1338"/>
    <w:rsid w:val="007B37BC"/>
    <w:rsid w:val="007C3BEA"/>
    <w:rsid w:val="007C6036"/>
    <w:rsid w:val="007C7773"/>
    <w:rsid w:val="007D0BC5"/>
    <w:rsid w:val="007D1C9E"/>
    <w:rsid w:val="007D3060"/>
    <w:rsid w:val="007D315B"/>
    <w:rsid w:val="007D6136"/>
    <w:rsid w:val="007E303B"/>
    <w:rsid w:val="007E5326"/>
    <w:rsid w:val="007E598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1428"/>
    <w:rsid w:val="0082224E"/>
    <w:rsid w:val="00827C6B"/>
    <w:rsid w:val="00830720"/>
    <w:rsid w:val="008321E9"/>
    <w:rsid w:val="008350F0"/>
    <w:rsid w:val="008353EA"/>
    <w:rsid w:val="0083710C"/>
    <w:rsid w:val="00837D8B"/>
    <w:rsid w:val="00840245"/>
    <w:rsid w:val="00844699"/>
    <w:rsid w:val="00845661"/>
    <w:rsid w:val="00845BDE"/>
    <w:rsid w:val="00846B8A"/>
    <w:rsid w:val="00850725"/>
    <w:rsid w:val="00854ACA"/>
    <w:rsid w:val="00854D72"/>
    <w:rsid w:val="00855464"/>
    <w:rsid w:val="00863AFA"/>
    <w:rsid w:val="00863E7D"/>
    <w:rsid w:val="0086442E"/>
    <w:rsid w:val="00871401"/>
    <w:rsid w:val="00872925"/>
    <w:rsid w:val="0087348E"/>
    <w:rsid w:val="00874468"/>
    <w:rsid w:val="00875C51"/>
    <w:rsid w:val="008764F4"/>
    <w:rsid w:val="00887D83"/>
    <w:rsid w:val="00895E61"/>
    <w:rsid w:val="0089707D"/>
    <w:rsid w:val="008A3065"/>
    <w:rsid w:val="008A4A41"/>
    <w:rsid w:val="008B444C"/>
    <w:rsid w:val="008B7DEE"/>
    <w:rsid w:val="008C2BE6"/>
    <w:rsid w:val="008C39C3"/>
    <w:rsid w:val="008D07C7"/>
    <w:rsid w:val="008D2DE1"/>
    <w:rsid w:val="008E0158"/>
    <w:rsid w:val="008E502A"/>
    <w:rsid w:val="008E52E9"/>
    <w:rsid w:val="008E605C"/>
    <w:rsid w:val="008E698C"/>
    <w:rsid w:val="008E6E61"/>
    <w:rsid w:val="008F60AA"/>
    <w:rsid w:val="008F61DA"/>
    <w:rsid w:val="008F6C0D"/>
    <w:rsid w:val="00901485"/>
    <w:rsid w:val="00902F9E"/>
    <w:rsid w:val="00907C2C"/>
    <w:rsid w:val="00907EAC"/>
    <w:rsid w:val="0091006E"/>
    <w:rsid w:val="009109E1"/>
    <w:rsid w:val="009112B7"/>
    <w:rsid w:val="009120F8"/>
    <w:rsid w:val="00916CC5"/>
    <w:rsid w:val="0091770D"/>
    <w:rsid w:val="009179EF"/>
    <w:rsid w:val="00922E6E"/>
    <w:rsid w:val="009269A6"/>
    <w:rsid w:val="00927C1D"/>
    <w:rsid w:val="00930F5D"/>
    <w:rsid w:val="009334A2"/>
    <w:rsid w:val="00935C23"/>
    <w:rsid w:val="00936359"/>
    <w:rsid w:val="009370AF"/>
    <w:rsid w:val="009371D3"/>
    <w:rsid w:val="009435F7"/>
    <w:rsid w:val="009441DF"/>
    <w:rsid w:val="00950EF0"/>
    <w:rsid w:val="009540E0"/>
    <w:rsid w:val="009542B0"/>
    <w:rsid w:val="00954399"/>
    <w:rsid w:val="009571D3"/>
    <w:rsid w:val="00957AC4"/>
    <w:rsid w:val="009611D5"/>
    <w:rsid w:val="00971C2A"/>
    <w:rsid w:val="009742BD"/>
    <w:rsid w:val="009747E1"/>
    <w:rsid w:val="009767B6"/>
    <w:rsid w:val="00977EB3"/>
    <w:rsid w:val="00981037"/>
    <w:rsid w:val="009815A0"/>
    <w:rsid w:val="009824DA"/>
    <w:rsid w:val="0098607D"/>
    <w:rsid w:val="00993CF7"/>
    <w:rsid w:val="00994504"/>
    <w:rsid w:val="009A196E"/>
    <w:rsid w:val="009A34FC"/>
    <w:rsid w:val="009A3D4F"/>
    <w:rsid w:val="009A45F6"/>
    <w:rsid w:val="009A695A"/>
    <w:rsid w:val="009B4275"/>
    <w:rsid w:val="009B6671"/>
    <w:rsid w:val="009B677E"/>
    <w:rsid w:val="009B6A72"/>
    <w:rsid w:val="009C06AE"/>
    <w:rsid w:val="009C21A7"/>
    <w:rsid w:val="009C2A0C"/>
    <w:rsid w:val="009C39F8"/>
    <w:rsid w:val="009C7A70"/>
    <w:rsid w:val="009D0B1C"/>
    <w:rsid w:val="009D3FBE"/>
    <w:rsid w:val="009D587A"/>
    <w:rsid w:val="009E3140"/>
    <w:rsid w:val="009E4D10"/>
    <w:rsid w:val="009F02A9"/>
    <w:rsid w:val="009F2A5F"/>
    <w:rsid w:val="009F3F61"/>
    <w:rsid w:val="009F5D33"/>
    <w:rsid w:val="009F735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13EF"/>
    <w:rsid w:val="00A3224C"/>
    <w:rsid w:val="00A32D3A"/>
    <w:rsid w:val="00A3311B"/>
    <w:rsid w:val="00A34165"/>
    <w:rsid w:val="00A341D7"/>
    <w:rsid w:val="00A35D3A"/>
    <w:rsid w:val="00A438E1"/>
    <w:rsid w:val="00A474F6"/>
    <w:rsid w:val="00A5180A"/>
    <w:rsid w:val="00A51A74"/>
    <w:rsid w:val="00A53F6A"/>
    <w:rsid w:val="00A554EA"/>
    <w:rsid w:val="00A56F24"/>
    <w:rsid w:val="00A57359"/>
    <w:rsid w:val="00A632A3"/>
    <w:rsid w:val="00A73261"/>
    <w:rsid w:val="00A81350"/>
    <w:rsid w:val="00A868F7"/>
    <w:rsid w:val="00A87A2E"/>
    <w:rsid w:val="00A87AEA"/>
    <w:rsid w:val="00A909AC"/>
    <w:rsid w:val="00A92CDC"/>
    <w:rsid w:val="00A93E37"/>
    <w:rsid w:val="00A9697F"/>
    <w:rsid w:val="00A97F27"/>
    <w:rsid w:val="00AA4055"/>
    <w:rsid w:val="00AB29F7"/>
    <w:rsid w:val="00AB2D09"/>
    <w:rsid w:val="00AB7180"/>
    <w:rsid w:val="00AB76F3"/>
    <w:rsid w:val="00AB7EF2"/>
    <w:rsid w:val="00AC4003"/>
    <w:rsid w:val="00AD0674"/>
    <w:rsid w:val="00AD092B"/>
    <w:rsid w:val="00AD2D48"/>
    <w:rsid w:val="00AD6924"/>
    <w:rsid w:val="00AE08E8"/>
    <w:rsid w:val="00AE4CE8"/>
    <w:rsid w:val="00AF1C88"/>
    <w:rsid w:val="00AF37C6"/>
    <w:rsid w:val="00AF5879"/>
    <w:rsid w:val="00AF5F46"/>
    <w:rsid w:val="00B04686"/>
    <w:rsid w:val="00B04F2A"/>
    <w:rsid w:val="00B110DF"/>
    <w:rsid w:val="00B11CCA"/>
    <w:rsid w:val="00B14DBD"/>
    <w:rsid w:val="00B14FA1"/>
    <w:rsid w:val="00B154C2"/>
    <w:rsid w:val="00B16A9D"/>
    <w:rsid w:val="00B1786E"/>
    <w:rsid w:val="00B1794F"/>
    <w:rsid w:val="00B2422E"/>
    <w:rsid w:val="00B27B31"/>
    <w:rsid w:val="00B27D29"/>
    <w:rsid w:val="00B32B3D"/>
    <w:rsid w:val="00B350E4"/>
    <w:rsid w:val="00B406C8"/>
    <w:rsid w:val="00B40BCD"/>
    <w:rsid w:val="00B451C3"/>
    <w:rsid w:val="00B4553F"/>
    <w:rsid w:val="00B479B5"/>
    <w:rsid w:val="00B47E8C"/>
    <w:rsid w:val="00B50608"/>
    <w:rsid w:val="00B50B86"/>
    <w:rsid w:val="00B56A5B"/>
    <w:rsid w:val="00B61891"/>
    <w:rsid w:val="00B659B9"/>
    <w:rsid w:val="00B7078A"/>
    <w:rsid w:val="00B70C48"/>
    <w:rsid w:val="00B732C2"/>
    <w:rsid w:val="00B73D26"/>
    <w:rsid w:val="00B744EA"/>
    <w:rsid w:val="00B770BF"/>
    <w:rsid w:val="00B77843"/>
    <w:rsid w:val="00B8136E"/>
    <w:rsid w:val="00B82047"/>
    <w:rsid w:val="00B842B6"/>
    <w:rsid w:val="00B84EE3"/>
    <w:rsid w:val="00B85A51"/>
    <w:rsid w:val="00B85DBD"/>
    <w:rsid w:val="00B87759"/>
    <w:rsid w:val="00B87A09"/>
    <w:rsid w:val="00B92BA1"/>
    <w:rsid w:val="00B967C1"/>
    <w:rsid w:val="00B97070"/>
    <w:rsid w:val="00B971A3"/>
    <w:rsid w:val="00BA14B7"/>
    <w:rsid w:val="00BA21C7"/>
    <w:rsid w:val="00BA2AEF"/>
    <w:rsid w:val="00BA3B22"/>
    <w:rsid w:val="00BA3F5E"/>
    <w:rsid w:val="00BA6959"/>
    <w:rsid w:val="00BA7478"/>
    <w:rsid w:val="00BC350D"/>
    <w:rsid w:val="00BC6213"/>
    <w:rsid w:val="00BD04FB"/>
    <w:rsid w:val="00BD2971"/>
    <w:rsid w:val="00BD63D1"/>
    <w:rsid w:val="00BD7A9E"/>
    <w:rsid w:val="00BD7B7A"/>
    <w:rsid w:val="00BE1045"/>
    <w:rsid w:val="00BE2CF9"/>
    <w:rsid w:val="00BE3CCF"/>
    <w:rsid w:val="00BE4F26"/>
    <w:rsid w:val="00BF2433"/>
    <w:rsid w:val="00BF452C"/>
    <w:rsid w:val="00BF7E59"/>
    <w:rsid w:val="00C005AF"/>
    <w:rsid w:val="00C02401"/>
    <w:rsid w:val="00C02484"/>
    <w:rsid w:val="00C03B43"/>
    <w:rsid w:val="00C05869"/>
    <w:rsid w:val="00C10991"/>
    <w:rsid w:val="00C177AD"/>
    <w:rsid w:val="00C205FA"/>
    <w:rsid w:val="00C21603"/>
    <w:rsid w:val="00C24CD8"/>
    <w:rsid w:val="00C26A6B"/>
    <w:rsid w:val="00C2739C"/>
    <w:rsid w:val="00C278C3"/>
    <w:rsid w:val="00C300E0"/>
    <w:rsid w:val="00C31264"/>
    <w:rsid w:val="00C31CEA"/>
    <w:rsid w:val="00C320C4"/>
    <w:rsid w:val="00C34830"/>
    <w:rsid w:val="00C36A12"/>
    <w:rsid w:val="00C36E9B"/>
    <w:rsid w:val="00C37FFA"/>
    <w:rsid w:val="00C41CE8"/>
    <w:rsid w:val="00C46AEA"/>
    <w:rsid w:val="00C470F5"/>
    <w:rsid w:val="00C47B74"/>
    <w:rsid w:val="00C5088D"/>
    <w:rsid w:val="00C51510"/>
    <w:rsid w:val="00C52FAC"/>
    <w:rsid w:val="00C545AA"/>
    <w:rsid w:val="00C566F4"/>
    <w:rsid w:val="00C60AEC"/>
    <w:rsid w:val="00C611F6"/>
    <w:rsid w:val="00C65775"/>
    <w:rsid w:val="00C67138"/>
    <w:rsid w:val="00C67675"/>
    <w:rsid w:val="00C67A03"/>
    <w:rsid w:val="00C73565"/>
    <w:rsid w:val="00C81315"/>
    <w:rsid w:val="00C823D9"/>
    <w:rsid w:val="00C85179"/>
    <w:rsid w:val="00CA1904"/>
    <w:rsid w:val="00CA2498"/>
    <w:rsid w:val="00CA326C"/>
    <w:rsid w:val="00CA45E4"/>
    <w:rsid w:val="00CA48CF"/>
    <w:rsid w:val="00CA6F2B"/>
    <w:rsid w:val="00CA76BC"/>
    <w:rsid w:val="00CB0E28"/>
    <w:rsid w:val="00CB15C6"/>
    <w:rsid w:val="00CC1C10"/>
    <w:rsid w:val="00CC561B"/>
    <w:rsid w:val="00CD42A3"/>
    <w:rsid w:val="00CD6CB9"/>
    <w:rsid w:val="00CE52BC"/>
    <w:rsid w:val="00CE6811"/>
    <w:rsid w:val="00CF4FB7"/>
    <w:rsid w:val="00CF5312"/>
    <w:rsid w:val="00CF5A6B"/>
    <w:rsid w:val="00CF7B73"/>
    <w:rsid w:val="00D00924"/>
    <w:rsid w:val="00D01429"/>
    <w:rsid w:val="00D113BB"/>
    <w:rsid w:val="00D119F9"/>
    <w:rsid w:val="00D17CA4"/>
    <w:rsid w:val="00D211A2"/>
    <w:rsid w:val="00D24E8A"/>
    <w:rsid w:val="00D26A1A"/>
    <w:rsid w:val="00D328F5"/>
    <w:rsid w:val="00D329AC"/>
    <w:rsid w:val="00D34609"/>
    <w:rsid w:val="00D34D95"/>
    <w:rsid w:val="00D40FDE"/>
    <w:rsid w:val="00D411D8"/>
    <w:rsid w:val="00D42852"/>
    <w:rsid w:val="00D443FC"/>
    <w:rsid w:val="00D44DD9"/>
    <w:rsid w:val="00D4509F"/>
    <w:rsid w:val="00D50145"/>
    <w:rsid w:val="00D50CDB"/>
    <w:rsid w:val="00D52AB5"/>
    <w:rsid w:val="00D54256"/>
    <w:rsid w:val="00D54598"/>
    <w:rsid w:val="00D57B40"/>
    <w:rsid w:val="00D6115D"/>
    <w:rsid w:val="00D6308C"/>
    <w:rsid w:val="00D63814"/>
    <w:rsid w:val="00D64C1A"/>
    <w:rsid w:val="00D6525C"/>
    <w:rsid w:val="00D65687"/>
    <w:rsid w:val="00D6612F"/>
    <w:rsid w:val="00D662C8"/>
    <w:rsid w:val="00D70087"/>
    <w:rsid w:val="00D701E9"/>
    <w:rsid w:val="00D717B4"/>
    <w:rsid w:val="00D74045"/>
    <w:rsid w:val="00D80C17"/>
    <w:rsid w:val="00D8664D"/>
    <w:rsid w:val="00D87992"/>
    <w:rsid w:val="00D91594"/>
    <w:rsid w:val="00D94094"/>
    <w:rsid w:val="00D95D97"/>
    <w:rsid w:val="00D95F63"/>
    <w:rsid w:val="00DA095B"/>
    <w:rsid w:val="00DA0D0A"/>
    <w:rsid w:val="00DA2BCE"/>
    <w:rsid w:val="00DA50B4"/>
    <w:rsid w:val="00DA52F2"/>
    <w:rsid w:val="00DA67EE"/>
    <w:rsid w:val="00DA6AE4"/>
    <w:rsid w:val="00DA75A0"/>
    <w:rsid w:val="00DB15A9"/>
    <w:rsid w:val="00DB21FD"/>
    <w:rsid w:val="00DB3ECA"/>
    <w:rsid w:val="00DB4F1C"/>
    <w:rsid w:val="00DB7111"/>
    <w:rsid w:val="00DC063F"/>
    <w:rsid w:val="00DC08B6"/>
    <w:rsid w:val="00DC1671"/>
    <w:rsid w:val="00DC282D"/>
    <w:rsid w:val="00DC56A2"/>
    <w:rsid w:val="00DC69A7"/>
    <w:rsid w:val="00DC6EE8"/>
    <w:rsid w:val="00DC7B65"/>
    <w:rsid w:val="00DD05B3"/>
    <w:rsid w:val="00DD0ACB"/>
    <w:rsid w:val="00DD19E2"/>
    <w:rsid w:val="00DD214A"/>
    <w:rsid w:val="00DD4A80"/>
    <w:rsid w:val="00DD7674"/>
    <w:rsid w:val="00DE13C1"/>
    <w:rsid w:val="00DE6323"/>
    <w:rsid w:val="00DE64F5"/>
    <w:rsid w:val="00DF113C"/>
    <w:rsid w:val="00DF2B82"/>
    <w:rsid w:val="00DF6314"/>
    <w:rsid w:val="00DF639A"/>
    <w:rsid w:val="00E04B42"/>
    <w:rsid w:val="00E068DA"/>
    <w:rsid w:val="00E06C9E"/>
    <w:rsid w:val="00E074B3"/>
    <w:rsid w:val="00E13E7C"/>
    <w:rsid w:val="00E210EB"/>
    <w:rsid w:val="00E230F2"/>
    <w:rsid w:val="00E30CAF"/>
    <w:rsid w:val="00E31100"/>
    <w:rsid w:val="00E33279"/>
    <w:rsid w:val="00E356C9"/>
    <w:rsid w:val="00E410C6"/>
    <w:rsid w:val="00E41672"/>
    <w:rsid w:val="00E41715"/>
    <w:rsid w:val="00E42900"/>
    <w:rsid w:val="00E44AAE"/>
    <w:rsid w:val="00E4587B"/>
    <w:rsid w:val="00E46E78"/>
    <w:rsid w:val="00E52F3D"/>
    <w:rsid w:val="00E5314F"/>
    <w:rsid w:val="00E56D82"/>
    <w:rsid w:val="00E603AA"/>
    <w:rsid w:val="00E617B3"/>
    <w:rsid w:val="00E65F91"/>
    <w:rsid w:val="00E6702E"/>
    <w:rsid w:val="00E70E01"/>
    <w:rsid w:val="00E729DE"/>
    <w:rsid w:val="00E7572A"/>
    <w:rsid w:val="00E77301"/>
    <w:rsid w:val="00E7731F"/>
    <w:rsid w:val="00E86778"/>
    <w:rsid w:val="00E8775D"/>
    <w:rsid w:val="00E90775"/>
    <w:rsid w:val="00E90E5A"/>
    <w:rsid w:val="00E93F88"/>
    <w:rsid w:val="00E964C4"/>
    <w:rsid w:val="00EA31D8"/>
    <w:rsid w:val="00EA5050"/>
    <w:rsid w:val="00EA7F6D"/>
    <w:rsid w:val="00EB0E7F"/>
    <w:rsid w:val="00EB181B"/>
    <w:rsid w:val="00EC052A"/>
    <w:rsid w:val="00EC2BAB"/>
    <w:rsid w:val="00EC6071"/>
    <w:rsid w:val="00ED2009"/>
    <w:rsid w:val="00EE638D"/>
    <w:rsid w:val="00EE6F02"/>
    <w:rsid w:val="00EF029D"/>
    <w:rsid w:val="00EF146A"/>
    <w:rsid w:val="00EF4231"/>
    <w:rsid w:val="00EF4BA1"/>
    <w:rsid w:val="00F00111"/>
    <w:rsid w:val="00F002E4"/>
    <w:rsid w:val="00F01359"/>
    <w:rsid w:val="00F016BE"/>
    <w:rsid w:val="00F02172"/>
    <w:rsid w:val="00F04EAB"/>
    <w:rsid w:val="00F06ABE"/>
    <w:rsid w:val="00F11DDC"/>
    <w:rsid w:val="00F13BF3"/>
    <w:rsid w:val="00F141E9"/>
    <w:rsid w:val="00F14807"/>
    <w:rsid w:val="00F22B0C"/>
    <w:rsid w:val="00F2467D"/>
    <w:rsid w:val="00F266B2"/>
    <w:rsid w:val="00F27310"/>
    <w:rsid w:val="00F30C5C"/>
    <w:rsid w:val="00F33797"/>
    <w:rsid w:val="00F43625"/>
    <w:rsid w:val="00F45833"/>
    <w:rsid w:val="00F46214"/>
    <w:rsid w:val="00F4688C"/>
    <w:rsid w:val="00F46F0E"/>
    <w:rsid w:val="00F47217"/>
    <w:rsid w:val="00F47EB9"/>
    <w:rsid w:val="00F541E1"/>
    <w:rsid w:val="00F578F4"/>
    <w:rsid w:val="00F62DF7"/>
    <w:rsid w:val="00F65608"/>
    <w:rsid w:val="00F67D34"/>
    <w:rsid w:val="00F71EFD"/>
    <w:rsid w:val="00F74184"/>
    <w:rsid w:val="00F75390"/>
    <w:rsid w:val="00F7597E"/>
    <w:rsid w:val="00F76DB7"/>
    <w:rsid w:val="00F77389"/>
    <w:rsid w:val="00F77BAD"/>
    <w:rsid w:val="00F829F1"/>
    <w:rsid w:val="00F91226"/>
    <w:rsid w:val="00F956B0"/>
    <w:rsid w:val="00F96033"/>
    <w:rsid w:val="00FA0A2B"/>
    <w:rsid w:val="00FA1A3A"/>
    <w:rsid w:val="00FA2D28"/>
    <w:rsid w:val="00FA3C80"/>
    <w:rsid w:val="00FA5BF1"/>
    <w:rsid w:val="00FB1E73"/>
    <w:rsid w:val="00FB2639"/>
    <w:rsid w:val="00FB28A4"/>
    <w:rsid w:val="00FB43ED"/>
    <w:rsid w:val="00FB6570"/>
    <w:rsid w:val="00FB72EF"/>
    <w:rsid w:val="00FC017F"/>
    <w:rsid w:val="00FC1D46"/>
    <w:rsid w:val="00FC58C4"/>
    <w:rsid w:val="00FC5E5A"/>
    <w:rsid w:val="00FD01A1"/>
    <w:rsid w:val="00FD09BA"/>
    <w:rsid w:val="00FD1191"/>
    <w:rsid w:val="00FD2DF6"/>
    <w:rsid w:val="00FD3C24"/>
    <w:rsid w:val="00FD4093"/>
    <w:rsid w:val="00FD5FB7"/>
    <w:rsid w:val="00FD76BB"/>
    <w:rsid w:val="00FE18D4"/>
    <w:rsid w:val="00FE3CE1"/>
    <w:rsid w:val="00FE4709"/>
    <w:rsid w:val="00FE6C04"/>
    <w:rsid w:val="00FF2620"/>
    <w:rsid w:val="00FF307A"/>
    <w:rsid w:val="00FF45B1"/>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rsid w:val="001334CF"/>
    <w:rPr>
      <w:rFonts w:cs="Times New Roman"/>
      <w:sz w:val="16"/>
      <w:szCs w:val="16"/>
    </w:rPr>
  </w:style>
  <w:style w:type="paragraph" w:styleId="CommentText">
    <w:name w:val="annotation text"/>
    <w:basedOn w:val="Normal"/>
    <w:link w:val="CommentTextChar"/>
    <w:rsid w:val="001334CF"/>
    <w:rPr>
      <w:sz w:val="20"/>
      <w:szCs w:val="20"/>
    </w:rPr>
  </w:style>
  <w:style w:type="character" w:customStyle="1" w:styleId="CommentTextChar">
    <w:name w:val="Comment Text Char"/>
    <w:link w:val="CommentText"/>
    <w:uiPriority w:val="99"/>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uiPriority w:val="99"/>
    <w:qFormat/>
    <w:rsid w:val="00B732C2"/>
    <w:pPr>
      <w:tabs>
        <w:tab w:val="center" w:pos="4513"/>
        <w:tab w:val="right" w:pos="9026"/>
      </w:tabs>
      <w:spacing w:before="0" w:after="0" w:line="240" w:lineRule="auto"/>
    </w:pPr>
  </w:style>
  <w:style w:type="character" w:customStyle="1" w:styleId="FooterChar">
    <w:name w:val="Footer Char"/>
    <w:link w:val="Footer"/>
    <w:uiPriority w:val="99"/>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styleId="ListParagraph">
    <w:name w:val="List Paragraph"/>
    <w:basedOn w:val="Normal"/>
    <w:uiPriority w:val="34"/>
    <w:qFormat/>
    <w:rsid w:val="000E3892"/>
    <w:pPr>
      <w:spacing w:before="0"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theACMA/700-mhz-spectrum-unsold-lots-au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F827D7E3FCE41A8A047EFE3BE9BE2" ma:contentTypeVersion="2" ma:contentTypeDescription="Create a new document." ma:contentTypeScope="" ma:versionID="318888ecdf246bb382cc656b2d94b5d2">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3NE2HDV7HD6D-2059804639-78</_dlc_DocId>
    <_dlc_DocIdUrl xmlns="1d983eb4-33f7-44b0-aea1-cbdcf0c55136">
      <Url>http://collaboration/organisation/cid/RPB/RLPS/lib/_layouts/15/DocIdRedir.aspx?ID=3NE2HDV7HD6D-2059804639-78</Url>
      <Description>3NE2HDV7HD6D-2059804639-78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0602-5D80-47A4-A0B8-B5342A89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D6C12-A410-4E53-907E-FBA24741AB2C}">
  <ds:schemaRefs>
    <ds:schemaRef ds:uri="http://schemas.microsoft.com/sharepoint/events"/>
  </ds:schemaRefs>
</ds:datastoreItem>
</file>

<file path=customXml/itemProps3.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4.xml><?xml version="1.0" encoding="utf-8"?>
<ds:datastoreItem xmlns:ds="http://schemas.openxmlformats.org/officeDocument/2006/customXml" ds:itemID="{D60EFBA2-15B1-4455-BA6B-047D87DF5D9C}">
  <ds:schemaRefs>
    <ds:schemaRef ds:uri="1d983eb4-33f7-44b0-aea1-cbdcf0c55136"/>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CF20A51F-7535-44C1-8E90-14F70410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Patrick Belton</cp:lastModifiedBy>
  <cp:revision>3</cp:revision>
  <cp:lastPrinted>2015-08-19T23:57:00Z</cp:lastPrinted>
  <dcterms:created xsi:type="dcterms:W3CDTF">2016-12-14T21:53:00Z</dcterms:created>
  <dcterms:modified xsi:type="dcterms:W3CDTF">2016-12-14T21:53:00Z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0x010100652F827D7E3FCE41A8A047EFE3BE9BE2</vt:lpwstr>
  </property>
  <property fmtid="{D5CDD505-2E9C-101B-9397-08002B2CF9AE}" pid="7" name="_dlc_DocIdItemGuid">
    <vt:lpwstr>ac2eb3fe-32dc-4e5e-9f47-7c893ad9366b</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