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56D60" w14:textId="45687B4A" w:rsidR="00716F1F" w:rsidRPr="00EB3587" w:rsidRDefault="00716F1F" w:rsidP="00EB3587">
      <w:pPr>
        <w:spacing w:after="160" w:line="259" w:lineRule="auto"/>
        <w:jc w:val="center"/>
        <w:rPr>
          <w:rFonts w:eastAsiaTheme="minorHAnsi"/>
          <w:b/>
          <w:sz w:val="28"/>
          <w:szCs w:val="28"/>
          <w:lang w:eastAsia="en-US"/>
        </w:rPr>
      </w:pPr>
      <w:r w:rsidRPr="00EB3587">
        <w:rPr>
          <w:rFonts w:eastAsiaTheme="minorHAnsi"/>
          <w:b/>
          <w:sz w:val="28"/>
          <w:szCs w:val="28"/>
          <w:lang w:eastAsia="en-US"/>
        </w:rPr>
        <w:t>EXPLANATORY STATEMENT</w:t>
      </w:r>
    </w:p>
    <w:p w14:paraId="43C1C36E" w14:textId="20E1B0AF" w:rsidR="00716F1F" w:rsidRPr="00EB3587" w:rsidRDefault="00EB3587" w:rsidP="00EB3587">
      <w:pPr>
        <w:spacing w:after="160" w:line="259" w:lineRule="auto"/>
        <w:jc w:val="center"/>
        <w:rPr>
          <w:rFonts w:eastAsiaTheme="minorHAnsi"/>
          <w:sz w:val="22"/>
          <w:szCs w:val="22"/>
          <w:lang w:eastAsia="en-US"/>
        </w:rPr>
      </w:pPr>
      <w:r w:rsidRPr="00EB3587">
        <w:rPr>
          <w:rFonts w:eastAsiaTheme="minorHAnsi"/>
          <w:sz w:val="22"/>
          <w:szCs w:val="22"/>
          <w:lang w:eastAsia="en-US"/>
        </w:rPr>
        <w:t xml:space="preserve">Approved </w:t>
      </w:r>
      <w:r w:rsidR="00716F1F" w:rsidRPr="00EB3587">
        <w:rPr>
          <w:rFonts w:eastAsiaTheme="minorHAnsi"/>
          <w:sz w:val="22"/>
          <w:szCs w:val="22"/>
          <w:lang w:eastAsia="en-US"/>
        </w:rPr>
        <w:t>by the Australian Communications and Media Authority</w:t>
      </w:r>
    </w:p>
    <w:p w14:paraId="491C8051" w14:textId="77777777" w:rsidR="00EB3587" w:rsidRPr="0041452A" w:rsidRDefault="00EB3587" w:rsidP="00EB3587">
      <w:pPr>
        <w:spacing w:after="160" w:line="259" w:lineRule="auto"/>
        <w:jc w:val="center"/>
        <w:rPr>
          <w:rFonts w:eastAsiaTheme="minorHAnsi"/>
          <w:i/>
          <w:sz w:val="22"/>
          <w:szCs w:val="22"/>
          <w:lang w:eastAsia="en-US"/>
        </w:rPr>
      </w:pPr>
      <w:proofErr w:type="spellStart"/>
      <w:r w:rsidRPr="0041452A">
        <w:rPr>
          <w:rFonts w:eastAsiaTheme="minorHAnsi"/>
          <w:i/>
          <w:sz w:val="22"/>
          <w:szCs w:val="22"/>
          <w:lang w:eastAsia="en-US"/>
        </w:rPr>
        <w:t>Radiocommunications</w:t>
      </w:r>
      <w:proofErr w:type="spellEnd"/>
      <w:r w:rsidRPr="0041452A">
        <w:rPr>
          <w:rFonts w:eastAsiaTheme="minorHAnsi"/>
          <w:i/>
          <w:sz w:val="22"/>
          <w:szCs w:val="22"/>
          <w:lang w:eastAsia="en-US"/>
        </w:rPr>
        <w:t xml:space="preserve"> Act 1992</w:t>
      </w:r>
    </w:p>
    <w:p w14:paraId="0F39873D" w14:textId="02BD0848" w:rsidR="00716F1F" w:rsidRPr="00EB3587" w:rsidRDefault="00716F1F" w:rsidP="00EB3587">
      <w:pPr>
        <w:spacing w:after="160" w:line="259" w:lineRule="auto"/>
        <w:jc w:val="center"/>
        <w:rPr>
          <w:rFonts w:eastAsiaTheme="minorHAnsi"/>
          <w:b/>
          <w:i/>
          <w:sz w:val="22"/>
          <w:szCs w:val="22"/>
          <w:lang w:eastAsia="en-US"/>
        </w:rPr>
      </w:pPr>
      <w:proofErr w:type="spellStart"/>
      <w:r w:rsidRPr="00EB3587">
        <w:rPr>
          <w:rFonts w:eastAsiaTheme="minorHAnsi"/>
          <w:b/>
          <w:i/>
          <w:sz w:val="22"/>
          <w:szCs w:val="22"/>
          <w:lang w:eastAsia="en-US"/>
        </w:rPr>
        <w:t>Radiocommunications</w:t>
      </w:r>
      <w:proofErr w:type="spellEnd"/>
      <w:r w:rsidRPr="00EB3587">
        <w:rPr>
          <w:rFonts w:eastAsiaTheme="minorHAnsi"/>
          <w:b/>
          <w:i/>
          <w:sz w:val="22"/>
          <w:szCs w:val="22"/>
          <w:lang w:eastAsia="en-US"/>
        </w:rPr>
        <w:t xml:space="preserve"> (</w:t>
      </w:r>
      <w:r w:rsidR="001E501B" w:rsidRPr="00EB3587">
        <w:rPr>
          <w:rFonts w:eastAsiaTheme="minorHAnsi"/>
          <w:b/>
          <w:i/>
          <w:sz w:val="22"/>
          <w:szCs w:val="22"/>
          <w:lang w:eastAsia="en-US"/>
        </w:rPr>
        <w:t xml:space="preserve">Spectrum Licence Allocation </w:t>
      </w:r>
      <w:r w:rsidR="00EE5D91" w:rsidRPr="00EB3587">
        <w:rPr>
          <w:rFonts w:eastAsiaTheme="minorHAnsi"/>
          <w:b/>
          <w:i/>
          <w:sz w:val="22"/>
          <w:szCs w:val="22"/>
          <w:lang w:eastAsia="en-US"/>
        </w:rPr>
        <w:t xml:space="preserve">– 700 MHz </w:t>
      </w:r>
      <w:r w:rsidR="00EB3587">
        <w:rPr>
          <w:rFonts w:eastAsiaTheme="minorHAnsi"/>
          <w:b/>
          <w:i/>
          <w:sz w:val="22"/>
          <w:szCs w:val="22"/>
          <w:lang w:eastAsia="en-US"/>
        </w:rPr>
        <w:t>B</w:t>
      </w:r>
      <w:r w:rsidR="00EE5D91" w:rsidRPr="00EB3587">
        <w:rPr>
          <w:rFonts w:eastAsiaTheme="minorHAnsi"/>
          <w:b/>
          <w:i/>
          <w:sz w:val="22"/>
          <w:szCs w:val="22"/>
          <w:lang w:eastAsia="en-US"/>
        </w:rPr>
        <w:t>and</w:t>
      </w:r>
      <w:r w:rsidRPr="00EB3587">
        <w:rPr>
          <w:rFonts w:eastAsiaTheme="minorHAnsi"/>
          <w:b/>
          <w:i/>
          <w:sz w:val="22"/>
          <w:szCs w:val="22"/>
          <w:lang w:eastAsia="en-US"/>
        </w:rPr>
        <w:t>) Determination 201</w:t>
      </w:r>
      <w:r w:rsidR="00633C97" w:rsidRPr="00EB3587">
        <w:rPr>
          <w:rFonts w:eastAsiaTheme="minorHAnsi"/>
          <w:b/>
          <w:i/>
          <w:sz w:val="22"/>
          <w:szCs w:val="22"/>
          <w:lang w:eastAsia="en-US"/>
        </w:rPr>
        <w:t>6</w:t>
      </w:r>
    </w:p>
    <w:p w14:paraId="2F815DB2" w14:textId="77777777" w:rsidR="00EB3587" w:rsidRPr="00EB3587" w:rsidRDefault="00EB3587" w:rsidP="00F00F0F">
      <w:pPr>
        <w:shd w:val="clear" w:color="auto" w:fill="FFFFFF"/>
        <w:spacing w:before="100" w:beforeAutospacing="1" w:after="100" w:afterAutospacing="1"/>
        <w:rPr>
          <w:rFonts w:eastAsiaTheme="minorHAnsi"/>
          <w:b/>
          <w:sz w:val="22"/>
          <w:szCs w:val="22"/>
          <w:lang w:eastAsia="en-US"/>
        </w:rPr>
      </w:pPr>
      <w:r>
        <w:rPr>
          <w:rFonts w:eastAsiaTheme="minorHAnsi"/>
          <w:b/>
          <w:sz w:val="22"/>
          <w:szCs w:val="22"/>
          <w:lang w:eastAsia="en-US"/>
        </w:rPr>
        <w:t>Authority</w:t>
      </w:r>
    </w:p>
    <w:p w14:paraId="77251D04" w14:textId="2A67C7BB" w:rsidR="00EB3587" w:rsidRDefault="00EB3587" w:rsidP="00EB3587">
      <w:pPr>
        <w:spacing w:after="160" w:line="259" w:lineRule="auto"/>
        <w:rPr>
          <w:rFonts w:eastAsiaTheme="minorHAnsi"/>
          <w:sz w:val="22"/>
          <w:szCs w:val="22"/>
          <w:lang w:eastAsia="en-US"/>
        </w:rPr>
      </w:pPr>
      <w:r w:rsidRPr="00EB3587">
        <w:rPr>
          <w:rFonts w:eastAsiaTheme="minorHAnsi"/>
          <w:sz w:val="22"/>
          <w:szCs w:val="22"/>
          <w:lang w:eastAsia="en-US"/>
        </w:rPr>
        <w:t>The Australian Communications and Media Authority (</w:t>
      </w:r>
      <w:r w:rsidRPr="00EB3587">
        <w:rPr>
          <w:rFonts w:eastAsiaTheme="minorHAnsi"/>
          <w:b/>
          <w:sz w:val="22"/>
          <w:szCs w:val="22"/>
          <w:lang w:eastAsia="en-US"/>
        </w:rPr>
        <w:t>the ACMA</w:t>
      </w:r>
      <w:r>
        <w:rPr>
          <w:rFonts w:eastAsiaTheme="minorHAnsi"/>
          <w:sz w:val="22"/>
          <w:szCs w:val="22"/>
          <w:lang w:eastAsia="en-US"/>
        </w:rPr>
        <w:t xml:space="preserve">) </w:t>
      </w:r>
      <w:r w:rsidR="00503C8D">
        <w:rPr>
          <w:rFonts w:eastAsiaTheme="minorHAnsi"/>
          <w:sz w:val="22"/>
          <w:szCs w:val="22"/>
          <w:lang w:eastAsia="en-US"/>
        </w:rPr>
        <w:t>has made</w:t>
      </w:r>
      <w:r>
        <w:rPr>
          <w:rFonts w:eastAsiaTheme="minorHAnsi"/>
          <w:sz w:val="22"/>
          <w:szCs w:val="22"/>
          <w:lang w:eastAsia="en-US"/>
        </w:rPr>
        <w:t xml:space="preserve"> the </w:t>
      </w:r>
      <w:proofErr w:type="spellStart"/>
      <w:r>
        <w:rPr>
          <w:rFonts w:eastAsiaTheme="minorHAnsi"/>
          <w:i/>
          <w:sz w:val="22"/>
          <w:szCs w:val="22"/>
          <w:lang w:eastAsia="en-US"/>
        </w:rPr>
        <w:t>Radiocommunications</w:t>
      </w:r>
      <w:proofErr w:type="spellEnd"/>
      <w:r>
        <w:rPr>
          <w:rFonts w:eastAsiaTheme="minorHAnsi"/>
          <w:i/>
          <w:sz w:val="22"/>
          <w:szCs w:val="22"/>
          <w:lang w:eastAsia="en-US"/>
        </w:rPr>
        <w:t xml:space="preserve"> (Spectrum Licence Allocation – 700 MHz Band) Determination 2016 </w:t>
      </w:r>
      <w:r>
        <w:rPr>
          <w:rFonts w:eastAsiaTheme="minorHAnsi"/>
          <w:sz w:val="22"/>
          <w:szCs w:val="22"/>
          <w:lang w:eastAsia="en-US"/>
        </w:rPr>
        <w:t>(</w:t>
      </w:r>
      <w:r w:rsidRPr="00EB3587">
        <w:rPr>
          <w:rFonts w:eastAsiaTheme="minorHAnsi"/>
          <w:b/>
          <w:sz w:val="22"/>
          <w:szCs w:val="22"/>
          <w:lang w:eastAsia="en-US"/>
        </w:rPr>
        <w:t>the Determination</w:t>
      </w:r>
      <w:r>
        <w:rPr>
          <w:rFonts w:eastAsiaTheme="minorHAnsi"/>
          <w:sz w:val="22"/>
          <w:szCs w:val="22"/>
          <w:lang w:eastAsia="en-US"/>
        </w:rPr>
        <w:t>)</w:t>
      </w:r>
      <w:r w:rsidRPr="00EB3587">
        <w:rPr>
          <w:rFonts w:eastAsiaTheme="minorHAnsi"/>
          <w:sz w:val="22"/>
          <w:szCs w:val="22"/>
          <w:lang w:eastAsia="en-US"/>
        </w:rPr>
        <w:t xml:space="preserve"> under sections 60 and 294 of the </w:t>
      </w:r>
      <w:proofErr w:type="spellStart"/>
      <w:r w:rsidRPr="00EB3587">
        <w:rPr>
          <w:rFonts w:eastAsiaTheme="minorHAnsi"/>
          <w:i/>
          <w:sz w:val="22"/>
          <w:szCs w:val="22"/>
          <w:lang w:eastAsia="en-US"/>
        </w:rPr>
        <w:t>Radiocommunications</w:t>
      </w:r>
      <w:proofErr w:type="spellEnd"/>
      <w:r w:rsidRPr="00EB3587">
        <w:rPr>
          <w:rFonts w:eastAsiaTheme="minorHAnsi"/>
          <w:i/>
          <w:sz w:val="22"/>
          <w:szCs w:val="22"/>
          <w:lang w:eastAsia="en-US"/>
        </w:rPr>
        <w:t xml:space="preserve"> Act 1992</w:t>
      </w:r>
      <w:r w:rsidRPr="00EB3587">
        <w:rPr>
          <w:rFonts w:eastAsiaTheme="minorHAnsi"/>
          <w:sz w:val="22"/>
          <w:szCs w:val="22"/>
          <w:lang w:eastAsia="en-US"/>
        </w:rPr>
        <w:t xml:space="preserve"> (</w:t>
      </w:r>
      <w:r w:rsidRPr="009443E4">
        <w:rPr>
          <w:rFonts w:eastAsiaTheme="minorHAnsi"/>
          <w:b/>
          <w:sz w:val="22"/>
          <w:szCs w:val="22"/>
          <w:lang w:eastAsia="en-US"/>
        </w:rPr>
        <w:t>the Act</w:t>
      </w:r>
      <w:r w:rsidRPr="00EB3587">
        <w:rPr>
          <w:rFonts w:eastAsiaTheme="minorHAnsi"/>
          <w:sz w:val="22"/>
          <w:szCs w:val="22"/>
          <w:lang w:eastAsia="en-US"/>
        </w:rPr>
        <w:t>).</w:t>
      </w:r>
    </w:p>
    <w:p w14:paraId="10F4549A" w14:textId="73276578" w:rsidR="00EB3587" w:rsidRPr="00EB3587" w:rsidRDefault="00EB3587" w:rsidP="00EB3587">
      <w:pPr>
        <w:spacing w:after="160" w:line="259" w:lineRule="auto"/>
        <w:rPr>
          <w:rFonts w:eastAsiaTheme="minorHAnsi"/>
          <w:sz w:val="22"/>
          <w:szCs w:val="22"/>
          <w:lang w:eastAsia="en-US"/>
        </w:rPr>
      </w:pPr>
      <w:r w:rsidRPr="00EB3587">
        <w:rPr>
          <w:rFonts w:eastAsiaTheme="minorHAnsi"/>
          <w:sz w:val="22"/>
          <w:szCs w:val="22"/>
          <w:lang w:eastAsia="en-US"/>
        </w:rPr>
        <w:t>Under section 60, the ACMA must determine, in writing, the procedures to be applied in allocating spectrum licences</w:t>
      </w:r>
      <w:r w:rsidR="009443E4">
        <w:rPr>
          <w:rFonts w:eastAsiaTheme="minorHAnsi"/>
          <w:sz w:val="22"/>
          <w:szCs w:val="22"/>
          <w:lang w:eastAsia="en-US"/>
        </w:rPr>
        <w:t xml:space="preserve"> under Subdivision B of Division 1 of Part 3.2 of the Act</w:t>
      </w:r>
      <w:r w:rsidRPr="00EB3587">
        <w:rPr>
          <w:rFonts w:eastAsiaTheme="minorHAnsi"/>
          <w:sz w:val="22"/>
          <w:szCs w:val="22"/>
          <w:lang w:eastAsia="en-US"/>
        </w:rPr>
        <w:t>, and under section 294</w:t>
      </w:r>
      <w:r w:rsidR="00AC7315">
        <w:rPr>
          <w:rFonts w:eastAsiaTheme="minorHAnsi"/>
          <w:sz w:val="22"/>
          <w:szCs w:val="22"/>
          <w:lang w:eastAsia="en-US"/>
        </w:rPr>
        <w:t>,</w:t>
      </w:r>
      <w:r w:rsidRPr="00EB3587">
        <w:rPr>
          <w:rFonts w:eastAsiaTheme="minorHAnsi"/>
          <w:sz w:val="22"/>
          <w:szCs w:val="22"/>
          <w:lang w:eastAsia="en-US"/>
        </w:rPr>
        <w:t xml:space="preserve"> the ACMA may make determinations fixing spectrum access charges payable by licensees for issuing spectrum licences, and specifying the times when th</w:t>
      </w:r>
      <w:r w:rsidR="009443E4">
        <w:rPr>
          <w:rFonts w:eastAsiaTheme="minorHAnsi"/>
          <w:sz w:val="22"/>
          <w:szCs w:val="22"/>
          <w:lang w:eastAsia="en-US"/>
        </w:rPr>
        <w:t>os</w:t>
      </w:r>
      <w:r w:rsidRPr="00EB3587">
        <w:rPr>
          <w:rFonts w:eastAsiaTheme="minorHAnsi"/>
          <w:sz w:val="22"/>
          <w:szCs w:val="22"/>
          <w:lang w:eastAsia="en-US"/>
        </w:rPr>
        <w:t>e charges are payable.</w:t>
      </w:r>
    </w:p>
    <w:p w14:paraId="16F1D825" w14:textId="48FDF577" w:rsidR="00716F1F" w:rsidRPr="007207A7" w:rsidRDefault="00716F1F" w:rsidP="009443E4">
      <w:pPr>
        <w:spacing w:after="160" w:line="259" w:lineRule="auto"/>
        <w:rPr>
          <w:rFonts w:ascii="Arial" w:hAnsi="Arial" w:cs="Arial"/>
          <w:b/>
          <w:sz w:val="20"/>
          <w:szCs w:val="20"/>
        </w:rPr>
      </w:pPr>
      <w:r w:rsidRPr="009443E4">
        <w:rPr>
          <w:rFonts w:eastAsiaTheme="minorHAnsi"/>
          <w:b/>
          <w:sz w:val="22"/>
          <w:szCs w:val="22"/>
          <w:lang w:eastAsia="en-US"/>
        </w:rPr>
        <w:t>Purpose</w:t>
      </w:r>
      <w:r w:rsidR="009443E4">
        <w:rPr>
          <w:rFonts w:eastAsiaTheme="minorHAnsi"/>
          <w:b/>
          <w:sz w:val="22"/>
          <w:szCs w:val="22"/>
          <w:lang w:eastAsia="en-US"/>
        </w:rPr>
        <w:t xml:space="preserve"> and operation of the Determination</w:t>
      </w:r>
    </w:p>
    <w:p w14:paraId="56FDC1A1" w14:textId="27DC74BF" w:rsidR="00716F1F" w:rsidRDefault="00716F1F" w:rsidP="009443E4">
      <w:pPr>
        <w:spacing w:after="160" w:line="259" w:lineRule="auto"/>
        <w:rPr>
          <w:rFonts w:eastAsiaTheme="minorHAnsi"/>
          <w:sz w:val="22"/>
          <w:szCs w:val="22"/>
          <w:lang w:eastAsia="en-US"/>
        </w:rPr>
      </w:pPr>
      <w:r w:rsidRPr="009443E4">
        <w:rPr>
          <w:rFonts w:eastAsiaTheme="minorHAnsi"/>
          <w:sz w:val="22"/>
          <w:szCs w:val="22"/>
          <w:lang w:eastAsia="en-US"/>
        </w:rPr>
        <w:t xml:space="preserve">The Determination sets out the procedures to be applied in allocating spectrum licences in the </w:t>
      </w:r>
      <w:r w:rsidR="004B55F3">
        <w:rPr>
          <w:rFonts w:eastAsiaTheme="minorHAnsi"/>
          <w:sz w:val="22"/>
          <w:szCs w:val="22"/>
          <w:lang w:eastAsia="en-US"/>
        </w:rPr>
        <w:t>frequency ranges of 733 MHz to 748 MHz and 788 MHz to 803 MHz (</w:t>
      </w:r>
      <w:r w:rsidR="004B55F3" w:rsidRPr="004B55F3">
        <w:rPr>
          <w:rFonts w:eastAsiaTheme="minorHAnsi"/>
          <w:b/>
          <w:sz w:val="22"/>
          <w:szCs w:val="22"/>
          <w:lang w:eastAsia="en-US"/>
        </w:rPr>
        <w:t xml:space="preserve">the residual </w:t>
      </w:r>
      <w:r w:rsidRPr="004B55F3">
        <w:rPr>
          <w:rFonts w:eastAsiaTheme="minorHAnsi"/>
          <w:b/>
          <w:sz w:val="22"/>
          <w:szCs w:val="22"/>
          <w:lang w:eastAsia="en-US"/>
        </w:rPr>
        <w:t>700 MHz band</w:t>
      </w:r>
      <w:r w:rsidR="004B55F3">
        <w:rPr>
          <w:rFonts w:eastAsiaTheme="minorHAnsi"/>
          <w:sz w:val="22"/>
          <w:szCs w:val="22"/>
          <w:lang w:eastAsia="en-US"/>
        </w:rPr>
        <w:t>)</w:t>
      </w:r>
      <w:r w:rsidRPr="009443E4">
        <w:rPr>
          <w:rFonts w:eastAsiaTheme="minorHAnsi"/>
          <w:sz w:val="22"/>
          <w:szCs w:val="22"/>
          <w:lang w:eastAsia="en-US"/>
        </w:rPr>
        <w:t xml:space="preserve">. </w:t>
      </w:r>
      <w:r w:rsidR="004D354C">
        <w:rPr>
          <w:rFonts w:eastAsiaTheme="minorHAnsi"/>
          <w:sz w:val="22"/>
          <w:szCs w:val="22"/>
          <w:lang w:eastAsia="en-US"/>
        </w:rPr>
        <w:t xml:space="preserve"> </w:t>
      </w:r>
      <w:r w:rsidRPr="009443E4">
        <w:rPr>
          <w:rFonts w:eastAsiaTheme="minorHAnsi"/>
          <w:sz w:val="22"/>
          <w:szCs w:val="22"/>
          <w:lang w:eastAsia="en-US"/>
        </w:rPr>
        <w:t xml:space="preserve">These licences will be allocated in a single auction using the </w:t>
      </w:r>
      <w:r w:rsidR="00EE5D91" w:rsidRPr="009443E4">
        <w:rPr>
          <w:rFonts w:eastAsiaTheme="minorHAnsi"/>
          <w:sz w:val="22"/>
          <w:szCs w:val="22"/>
          <w:lang w:eastAsia="en-US"/>
        </w:rPr>
        <w:t xml:space="preserve">Simple </w:t>
      </w:r>
      <w:r w:rsidRPr="009443E4">
        <w:rPr>
          <w:rFonts w:eastAsiaTheme="minorHAnsi"/>
          <w:sz w:val="22"/>
          <w:szCs w:val="22"/>
          <w:lang w:eastAsia="en-US"/>
        </w:rPr>
        <w:t>Clock Auction (</w:t>
      </w:r>
      <w:r w:rsidRPr="00F00F0F">
        <w:rPr>
          <w:rFonts w:eastAsiaTheme="minorHAnsi"/>
          <w:b/>
          <w:sz w:val="22"/>
          <w:szCs w:val="22"/>
          <w:lang w:eastAsia="en-US"/>
        </w:rPr>
        <w:t xml:space="preserve">the </w:t>
      </w:r>
      <w:r w:rsidR="00131457" w:rsidRPr="00F00F0F">
        <w:rPr>
          <w:rFonts w:eastAsiaTheme="minorHAnsi"/>
          <w:b/>
          <w:sz w:val="22"/>
          <w:szCs w:val="22"/>
          <w:lang w:eastAsia="en-US"/>
        </w:rPr>
        <w:t>S</w:t>
      </w:r>
      <w:r w:rsidRPr="00F00F0F">
        <w:rPr>
          <w:rFonts w:eastAsiaTheme="minorHAnsi"/>
          <w:b/>
          <w:sz w:val="22"/>
          <w:szCs w:val="22"/>
          <w:lang w:eastAsia="en-US"/>
        </w:rPr>
        <w:t>CA</w:t>
      </w:r>
      <w:r w:rsidRPr="009443E4">
        <w:rPr>
          <w:rFonts w:eastAsiaTheme="minorHAnsi"/>
          <w:sz w:val="22"/>
          <w:szCs w:val="22"/>
          <w:lang w:eastAsia="en-US"/>
        </w:rPr>
        <w:t>) methodology.</w:t>
      </w:r>
      <w:r w:rsidR="004B55F3">
        <w:rPr>
          <w:rFonts w:eastAsiaTheme="minorHAnsi"/>
          <w:sz w:val="22"/>
          <w:szCs w:val="22"/>
          <w:lang w:eastAsia="en-US"/>
        </w:rPr>
        <w:t xml:space="preserve">  If, in particular circumstances, the ACMA considers there is no need for an auction, the Determination allows the ACMA to allocate a licence </w:t>
      </w:r>
      <w:r w:rsidR="00E6754F">
        <w:rPr>
          <w:rFonts w:eastAsiaTheme="minorHAnsi"/>
          <w:sz w:val="22"/>
          <w:szCs w:val="22"/>
          <w:lang w:eastAsia="en-US"/>
        </w:rPr>
        <w:t xml:space="preserve">or licences </w:t>
      </w:r>
      <w:r w:rsidR="004B55F3">
        <w:rPr>
          <w:rFonts w:eastAsiaTheme="minorHAnsi"/>
          <w:sz w:val="22"/>
          <w:szCs w:val="22"/>
          <w:lang w:eastAsia="en-US"/>
        </w:rPr>
        <w:t>to an applicant</w:t>
      </w:r>
      <w:r w:rsidR="00AC7315">
        <w:rPr>
          <w:rFonts w:eastAsiaTheme="minorHAnsi"/>
          <w:sz w:val="22"/>
          <w:szCs w:val="22"/>
          <w:lang w:eastAsia="en-US"/>
        </w:rPr>
        <w:t xml:space="preserve"> </w:t>
      </w:r>
      <w:r w:rsidR="00E6754F">
        <w:rPr>
          <w:rFonts w:eastAsiaTheme="minorHAnsi"/>
          <w:sz w:val="22"/>
          <w:szCs w:val="22"/>
          <w:lang w:eastAsia="en-US"/>
        </w:rPr>
        <w:t xml:space="preserve">or applicants </w:t>
      </w:r>
      <w:r w:rsidR="00AC7315">
        <w:rPr>
          <w:rFonts w:eastAsiaTheme="minorHAnsi"/>
          <w:sz w:val="22"/>
          <w:szCs w:val="22"/>
          <w:lang w:eastAsia="en-US"/>
        </w:rPr>
        <w:t>without conducting an auction</w:t>
      </w:r>
      <w:r w:rsidR="004B55F3">
        <w:rPr>
          <w:rFonts w:eastAsiaTheme="minorHAnsi"/>
          <w:sz w:val="22"/>
          <w:szCs w:val="22"/>
          <w:lang w:eastAsia="en-US"/>
        </w:rPr>
        <w:t>.</w:t>
      </w:r>
    </w:p>
    <w:p w14:paraId="224B7129" w14:textId="0B0899F7" w:rsidR="004B55F3" w:rsidRPr="009443E4" w:rsidRDefault="004B55F3" w:rsidP="009443E4">
      <w:pPr>
        <w:spacing w:after="160" w:line="259" w:lineRule="auto"/>
        <w:rPr>
          <w:rFonts w:eastAsiaTheme="minorHAnsi"/>
          <w:sz w:val="22"/>
          <w:szCs w:val="22"/>
          <w:lang w:eastAsia="en-US"/>
        </w:rPr>
      </w:pPr>
      <w:r>
        <w:rPr>
          <w:rFonts w:eastAsiaTheme="minorHAnsi"/>
          <w:sz w:val="22"/>
          <w:szCs w:val="22"/>
          <w:lang w:eastAsia="en-US"/>
        </w:rPr>
        <w:t>The Determination also fixes the spectrum access charges payable by the persons to whom such licences are allocated, by reference to the winning bids at the auction (or, if there is no auction, by reference to starting prices set by the ACMA).</w:t>
      </w:r>
    </w:p>
    <w:p w14:paraId="5F5B332F" w14:textId="053493C0" w:rsidR="00716F1F" w:rsidRPr="00644348" w:rsidRDefault="00716F1F" w:rsidP="00644348">
      <w:pPr>
        <w:spacing w:after="160" w:line="259" w:lineRule="auto"/>
        <w:rPr>
          <w:rFonts w:eastAsiaTheme="minorHAnsi"/>
          <w:i/>
          <w:sz w:val="22"/>
          <w:szCs w:val="22"/>
          <w:lang w:eastAsia="en-US"/>
        </w:rPr>
      </w:pPr>
      <w:r w:rsidRPr="00644348">
        <w:rPr>
          <w:rFonts w:eastAsiaTheme="minorHAnsi"/>
          <w:i/>
          <w:sz w:val="22"/>
          <w:szCs w:val="22"/>
          <w:lang w:eastAsia="en-US"/>
        </w:rPr>
        <w:t>Background</w:t>
      </w:r>
    </w:p>
    <w:p w14:paraId="286C4030" w14:textId="36E685B8" w:rsidR="00716F1F" w:rsidRPr="004B55F3" w:rsidRDefault="00716F1F" w:rsidP="004B55F3">
      <w:pPr>
        <w:spacing w:after="160" w:line="259" w:lineRule="auto"/>
        <w:rPr>
          <w:rFonts w:eastAsiaTheme="minorHAnsi"/>
          <w:sz w:val="22"/>
          <w:szCs w:val="22"/>
          <w:lang w:eastAsia="en-US"/>
        </w:rPr>
      </w:pPr>
      <w:r w:rsidRPr="004B55F3">
        <w:rPr>
          <w:rFonts w:eastAsiaTheme="minorHAnsi"/>
          <w:sz w:val="22"/>
          <w:szCs w:val="22"/>
          <w:lang w:eastAsia="en-US"/>
        </w:rPr>
        <w:t xml:space="preserve">Spectrum in the </w:t>
      </w:r>
      <w:r w:rsidR="004B55F3" w:rsidRPr="00F53355">
        <w:rPr>
          <w:rFonts w:eastAsiaTheme="minorHAnsi"/>
          <w:sz w:val="22"/>
          <w:szCs w:val="22"/>
          <w:lang w:eastAsia="en-US"/>
        </w:rPr>
        <w:t>frequenc</w:t>
      </w:r>
      <w:r w:rsidR="004B55F3">
        <w:rPr>
          <w:rFonts w:eastAsiaTheme="minorHAnsi"/>
          <w:sz w:val="22"/>
          <w:szCs w:val="22"/>
          <w:lang w:eastAsia="en-US"/>
        </w:rPr>
        <w:t>y range from 694 MHz to 820 MHz (</w:t>
      </w:r>
      <w:r w:rsidR="004B55F3" w:rsidRPr="004B55F3">
        <w:rPr>
          <w:rFonts w:eastAsiaTheme="minorHAnsi"/>
          <w:b/>
          <w:sz w:val="22"/>
          <w:szCs w:val="22"/>
          <w:lang w:eastAsia="en-US"/>
        </w:rPr>
        <w:t xml:space="preserve">the </w:t>
      </w:r>
      <w:r w:rsidRPr="004B55F3">
        <w:rPr>
          <w:rFonts w:eastAsiaTheme="minorHAnsi"/>
          <w:b/>
          <w:sz w:val="22"/>
          <w:szCs w:val="22"/>
          <w:lang w:eastAsia="en-US"/>
        </w:rPr>
        <w:t>700 MHz band</w:t>
      </w:r>
      <w:r w:rsidR="004B55F3">
        <w:rPr>
          <w:rFonts w:eastAsiaTheme="minorHAnsi"/>
          <w:sz w:val="22"/>
          <w:szCs w:val="22"/>
          <w:lang w:eastAsia="en-US"/>
        </w:rPr>
        <w:t>)</w:t>
      </w:r>
      <w:r w:rsidRPr="004B55F3">
        <w:rPr>
          <w:rFonts w:eastAsiaTheme="minorHAnsi"/>
          <w:sz w:val="22"/>
          <w:szCs w:val="22"/>
          <w:lang w:eastAsia="en-US"/>
        </w:rPr>
        <w:t xml:space="preserve"> </w:t>
      </w:r>
      <w:r w:rsidR="004B55F3">
        <w:rPr>
          <w:rFonts w:eastAsiaTheme="minorHAnsi"/>
          <w:sz w:val="22"/>
          <w:szCs w:val="22"/>
          <w:lang w:eastAsia="en-US"/>
        </w:rPr>
        <w:t>was</w:t>
      </w:r>
      <w:r w:rsidR="00442750" w:rsidRPr="004B55F3">
        <w:rPr>
          <w:rFonts w:eastAsiaTheme="minorHAnsi"/>
          <w:sz w:val="22"/>
          <w:szCs w:val="22"/>
          <w:lang w:eastAsia="en-US"/>
        </w:rPr>
        <w:t xml:space="preserve"> </w:t>
      </w:r>
      <w:r w:rsidRPr="004B55F3">
        <w:rPr>
          <w:rFonts w:eastAsiaTheme="minorHAnsi"/>
          <w:sz w:val="22"/>
          <w:szCs w:val="22"/>
          <w:lang w:eastAsia="en-US"/>
        </w:rPr>
        <w:t>freed up as television services in Australia move</w:t>
      </w:r>
      <w:r w:rsidR="004B55F3">
        <w:rPr>
          <w:rFonts w:eastAsiaTheme="minorHAnsi"/>
          <w:sz w:val="22"/>
          <w:szCs w:val="22"/>
          <w:lang w:eastAsia="en-US"/>
        </w:rPr>
        <w:t>d</w:t>
      </w:r>
      <w:r w:rsidRPr="004B55F3">
        <w:rPr>
          <w:rFonts w:eastAsiaTheme="minorHAnsi"/>
          <w:sz w:val="22"/>
          <w:szCs w:val="22"/>
          <w:lang w:eastAsia="en-US"/>
        </w:rPr>
        <w:t xml:space="preserve"> from </w:t>
      </w:r>
      <w:proofErr w:type="spellStart"/>
      <w:r w:rsidRPr="004B55F3">
        <w:rPr>
          <w:rFonts w:eastAsiaTheme="minorHAnsi"/>
          <w:sz w:val="22"/>
          <w:szCs w:val="22"/>
          <w:lang w:eastAsia="en-US"/>
        </w:rPr>
        <w:t>analog</w:t>
      </w:r>
      <w:proofErr w:type="spellEnd"/>
      <w:r w:rsidRPr="004B55F3">
        <w:rPr>
          <w:rFonts w:eastAsiaTheme="minorHAnsi"/>
          <w:sz w:val="22"/>
          <w:szCs w:val="22"/>
          <w:lang w:eastAsia="en-US"/>
        </w:rPr>
        <w:t xml:space="preserve"> to digital-only broadcasts. </w:t>
      </w:r>
      <w:r w:rsidR="00AC7315">
        <w:rPr>
          <w:rFonts w:eastAsiaTheme="minorHAnsi"/>
          <w:sz w:val="22"/>
          <w:szCs w:val="22"/>
          <w:lang w:eastAsia="en-US"/>
        </w:rPr>
        <w:t xml:space="preserve"> </w:t>
      </w:r>
      <w:r w:rsidRPr="004B55F3">
        <w:rPr>
          <w:rFonts w:eastAsiaTheme="minorHAnsi"/>
          <w:sz w:val="22"/>
          <w:szCs w:val="22"/>
          <w:lang w:eastAsia="en-US"/>
        </w:rPr>
        <w:t xml:space="preserve">Digital broadcasting technology uses bandwidth far more efficiently than equivalent </w:t>
      </w:r>
      <w:proofErr w:type="spellStart"/>
      <w:r w:rsidRPr="004B55F3">
        <w:rPr>
          <w:rFonts w:eastAsiaTheme="minorHAnsi"/>
          <w:sz w:val="22"/>
          <w:szCs w:val="22"/>
          <w:lang w:eastAsia="en-US"/>
        </w:rPr>
        <w:t>analog</w:t>
      </w:r>
      <w:proofErr w:type="spellEnd"/>
      <w:r w:rsidRPr="004B55F3">
        <w:rPr>
          <w:rFonts w:eastAsiaTheme="minorHAnsi"/>
          <w:sz w:val="22"/>
          <w:szCs w:val="22"/>
          <w:lang w:eastAsia="en-US"/>
        </w:rPr>
        <w:t xml:space="preserve"> services, and </w:t>
      </w:r>
      <w:r w:rsidR="004B55F3">
        <w:rPr>
          <w:rFonts w:eastAsiaTheme="minorHAnsi"/>
          <w:sz w:val="22"/>
          <w:szCs w:val="22"/>
          <w:lang w:eastAsia="en-US"/>
        </w:rPr>
        <w:t xml:space="preserve">television broadcasting services </w:t>
      </w:r>
      <w:r w:rsidRPr="004B55F3">
        <w:rPr>
          <w:rFonts w:eastAsiaTheme="minorHAnsi"/>
          <w:sz w:val="22"/>
          <w:szCs w:val="22"/>
          <w:lang w:eastAsia="en-US"/>
        </w:rPr>
        <w:t>require</w:t>
      </w:r>
      <w:r w:rsidR="004B55F3">
        <w:rPr>
          <w:rFonts w:eastAsiaTheme="minorHAnsi"/>
          <w:sz w:val="22"/>
          <w:szCs w:val="22"/>
          <w:lang w:eastAsia="en-US"/>
        </w:rPr>
        <w:t>d</w:t>
      </w:r>
      <w:r w:rsidRPr="004B55F3">
        <w:rPr>
          <w:rFonts w:eastAsiaTheme="minorHAnsi"/>
          <w:sz w:val="22"/>
          <w:szCs w:val="22"/>
          <w:lang w:eastAsia="en-US"/>
        </w:rPr>
        <w:t xml:space="preserve"> much less spectrum </w:t>
      </w:r>
      <w:r w:rsidR="004B55F3">
        <w:rPr>
          <w:rFonts w:eastAsiaTheme="minorHAnsi"/>
          <w:sz w:val="22"/>
          <w:szCs w:val="22"/>
          <w:lang w:eastAsia="en-US"/>
        </w:rPr>
        <w:t>after</w:t>
      </w:r>
      <w:r w:rsidR="004B55F3" w:rsidRPr="004B55F3">
        <w:rPr>
          <w:rFonts w:eastAsiaTheme="minorHAnsi"/>
          <w:sz w:val="22"/>
          <w:szCs w:val="22"/>
          <w:lang w:eastAsia="en-US"/>
        </w:rPr>
        <w:t xml:space="preserve"> </w:t>
      </w:r>
      <w:r w:rsidRPr="004B55F3">
        <w:rPr>
          <w:rFonts w:eastAsiaTheme="minorHAnsi"/>
          <w:sz w:val="22"/>
          <w:szCs w:val="22"/>
          <w:lang w:eastAsia="en-US"/>
        </w:rPr>
        <w:t xml:space="preserve">the period of </w:t>
      </w:r>
      <w:proofErr w:type="spellStart"/>
      <w:r w:rsidRPr="004B55F3">
        <w:rPr>
          <w:rFonts w:eastAsiaTheme="minorHAnsi"/>
          <w:sz w:val="22"/>
          <w:szCs w:val="22"/>
          <w:lang w:eastAsia="en-US"/>
        </w:rPr>
        <w:t>analog</w:t>
      </w:r>
      <w:proofErr w:type="spellEnd"/>
      <w:r w:rsidRPr="004B55F3">
        <w:rPr>
          <w:rFonts w:eastAsiaTheme="minorHAnsi"/>
          <w:sz w:val="22"/>
          <w:szCs w:val="22"/>
          <w:lang w:eastAsia="en-US"/>
        </w:rPr>
        <w:t xml:space="preserve"> and digital television simulcasting end</w:t>
      </w:r>
      <w:r w:rsidR="004B55F3">
        <w:rPr>
          <w:rFonts w:eastAsiaTheme="minorHAnsi"/>
          <w:sz w:val="22"/>
          <w:szCs w:val="22"/>
          <w:lang w:eastAsia="en-US"/>
        </w:rPr>
        <w:t>ed</w:t>
      </w:r>
      <w:r w:rsidRPr="004B55F3">
        <w:rPr>
          <w:rFonts w:eastAsiaTheme="minorHAnsi"/>
          <w:sz w:val="22"/>
          <w:szCs w:val="22"/>
          <w:lang w:eastAsia="en-US"/>
        </w:rPr>
        <w:t xml:space="preserve"> </w:t>
      </w:r>
      <w:r w:rsidR="00AC7315">
        <w:rPr>
          <w:rFonts w:eastAsiaTheme="minorHAnsi"/>
          <w:sz w:val="22"/>
          <w:szCs w:val="22"/>
          <w:lang w:eastAsia="en-US"/>
        </w:rPr>
        <w:t>in 2013</w:t>
      </w:r>
      <w:r w:rsidRPr="004B55F3">
        <w:rPr>
          <w:rFonts w:eastAsiaTheme="minorHAnsi"/>
          <w:sz w:val="22"/>
          <w:szCs w:val="22"/>
          <w:lang w:eastAsia="en-US"/>
        </w:rPr>
        <w:t>.</w:t>
      </w:r>
      <w:r w:rsidR="00AC7315">
        <w:rPr>
          <w:rFonts w:eastAsiaTheme="minorHAnsi"/>
          <w:sz w:val="22"/>
          <w:szCs w:val="22"/>
          <w:lang w:eastAsia="en-US"/>
        </w:rPr>
        <w:t xml:space="preserve"> </w:t>
      </w:r>
      <w:r w:rsidRPr="004B55F3">
        <w:rPr>
          <w:rFonts w:eastAsiaTheme="minorHAnsi"/>
          <w:sz w:val="22"/>
          <w:szCs w:val="22"/>
          <w:lang w:eastAsia="en-US"/>
        </w:rPr>
        <w:t xml:space="preserve"> The remaining digital broadcasting channels </w:t>
      </w:r>
      <w:r w:rsidR="004B55F3">
        <w:rPr>
          <w:rFonts w:eastAsiaTheme="minorHAnsi"/>
          <w:sz w:val="22"/>
          <w:szCs w:val="22"/>
          <w:lang w:eastAsia="en-US"/>
        </w:rPr>
        <w:t>were</w:t>
      </w:r>
      <w:r w:rsidR="004B55F3" w:rsidRPr="004B55F3">
        <w:rPr>
          <w:rFonts w:eastAsiaTheme="minorHAnsi"/>
          <w:sz w:val="22"/>
          <w:szCs w:val="22"/>
          <w:lang w:eastAsia="en-US"/>
        </w:rPr>
        <w:t xml:space="preserve"> </w:t>
      </w:r>
      <w:r w:rsidRPr="004B55F3">
        <w:rPr>
          <w:rFonts w:eastAsiaTheme="minorHAnsi"/>
          <w:sz w:val="22"/>
          <w:szCs w:val="22"/>
          <w:lang w:eastAsia="en-US"/>
        </w:rPr>
        <w:t>‘restacked’, or re-tuned, to frequencies below channel 52 in the UHF band, leaving a single contiguous block of spectrum (</w:t>
      </w:r>
      <w:r w:rsidRPr="00F00F0F">
        <w:rPr>
          <w:rFonts w:eastAsiaTheme="minorHAnsi"/>
          <w:b/>
          <w:sz w:val="22"/>
          <w:szCs w:val="22"/>
          <w:lang w:eastAsia="en-US"/>
        </w:rPr>
        <w:t>the digital dividend</w:t>
      </w:r>
      <w:r w:rsidRPr="004B55F3">
        <w:rPr>
          <w:rFonts w:eastAsiaTheme="minorHAnsi"/>
          <w:sz w:val="22"/>
          <w:szCs w:val="22"/>
          <w:lang w:eastAsia="en-US"/>
        </w:rPr>
        <w:t xml:space="preserve">) in the 700 MHz </w:t>
      </w:r>
      <w:r w:rsidR="00AC7315">
        <w:rPr>
          <w:rFonts w:eastAsiaTheme="minorHAnsi"/>
          <w:sz w:val="22"/>
          <w:szCs w:val="22"/>
          <w:lang w:eastAsia="en-US"/>
        </w:rPr>
        <w:t>band</w:t>
      </w:r>
      <w:r w:rsidR="00AC7315" w:rsidRPr="004B55F3">
        <w:rPr>
          <w:rFonts w:eastAsiaTheme="minorHAnsi"/>
          <w:sz w:val="22"/>
          <w:szCs w:val="22"/>
          <w:lang w:eastAsia="en-US"/>
        </w:rPr>
        <w:t xml:space="preserve"> </w:t>
      </w:r>
      <w:r w:rsidRPr="004B55F3">
        <w:rPr>
          <w:rFonts w:eastAsiaTheme="minorHAnsi"/>
          <w:sz w:val="22"/>
          <w:szCs w:val="22"/>
          <w:lang w:eastAsia="en-US"/>
        </w:rPr>
        <w:t>clear for re-allocation.</w:t>
      </w:r>
    </w:p>
    <w:p w14:paraId="5BE72B48" w14:textId="449E9D64" w:rsidR="00716F1F" w:rsidRPr="00525481" w:rsidRDefault="00716F1F" w:rsidP="00525481">
      <w:pPr>
        <w:spacing w:after="160" w:line="259" w:lineRule="auto"/>
        <w:rPr>
          <w:rFonts w:eastAsiaTheme="minorHAnsi"/>
          <w:sz w:val="22"/>
          <w:szCs w:val="22"/>
          <w:lang w:eastAsia="en-US"/>
        </w:rPr>
      </w:pPr>
      <w:r w:rsidRPr="00525481">
        <w:rPr>
          <w:rFonts w:eastAsiaTheme="minorHAnsi"/>
          <w:sz w:val="22"/>
          <w:szCs w:val="22"/>
          <w:lang w:eastAsia="en-US"/>
        </w:rPr>
        <w:t xml:space="preserve">In June 2010, the </w:t>
      </w:r>
      <w:r w:rsidR="004D354C">
        <w:rPr>
          <w:rFonts w:eastAsiaTheme="minorHAnsi"/>
          <w:sz w:val="22"/>
          <w:szCs w:val="22"/>
          <w:lang w:eastAsia="en-US"/>
        </w:rPr>
        <w:t xml:space="preserve">then </w:t>
      </w:r>
      <w:r w:rsidRPr="00525481">
        <w:rPr>
          <w:rFonts w:eastAsiaTheme="minorHAnsi"/>
          <w:sz w:val="22"/>
          <w:szCs w:val="22"/>
          <w:lang w:eastAsia="en-US"/>
        </w:rPr>
        <w:t xml:space="preserve">Minister </w:t>
      </w:r>
      <w:r w:rsidR="00525481">
        <w:rPr>
          <w:rFonts w:eastAsiaTheme="minorHAnsi"/>
          <w:sz w:val="22"/>
          <w:szCs w:val="22"/>
          <w:lang w:eastAsia="en-US"/>
        </w:rPr>
        <w:t>for</w:t>
      </w:r>
      <w:r w:rsidRPr="00525481">
        <w:rPr>
          <w:rFonts w:eastAsiaTheme="minorHAnsi"/>
          <w:sz w:val="22"/>
          <w:szCs w:val="22"/>
          <w:lang w:eastAsia="en-US"/>
        </w:rPr>
        <w:t xml:space="preserve"> Broadband, Communications and the Digital Economy, Senator Stephen Conroy, publicly announced that the size of the digital dividend would be 126</w:t>
      </w:r>
      <w:r w:rsidR="004D354C">
        <w:rPr>
          <w:rFonts w:eastAsiaTheme="minorHAnsi"/>
          <w:sz w:val="22"/>
          <w:szCs w:val="22"/>
          <w:lang w:eastAsia="en-US"/>
        </w:rPr>
        <w:t> </w:t>
      </w:r>
      <w:r w:rsidRPr="00525481">
        <w:rPr>
          <w:rFonts w:eastAsiaTheme="minorHAnsi"/>
          <w:sz w:val="22"/>
          <w:szCs w:val="22"/>
          <w:lang w:eastAsia="en-US"/>
        </w:rPr>
        <w:t xml:space="preserve">MHz, </w:t>
      </w:r>
      <w:r w:rsidR="004B55F3">
        <w:rPr>
          <w:rFonts w:eastAsiaTheme="minorHAnsi"/>
          <w:sz w:val="22"/>
          <w:szCs w:val="22"/>
          <w:lang w:eastAsia="en-US"/>
        </w:rPr>
        <w:t>comprising</w:t>
      </w:r>
      <w:r w:rsidRPr="00525481">
        <w:rPr>
          <w:rFonts w:eastAsiaTheme="minorHAnsi"/>
          <w:sz w:val="22"/>
          <w:szCs w:val="22"/>
          <w:lang w:eastAsia="en-US"/>
        </w:rPr>
        <w:t xml:space="preserve"> the 700 MHz band. </w:t>
      </w:r>
      <w:r w:rsidR="00AC7315">
        <w:rPr>
          <w:rFonts w:eastAsiaTheme="minorHAnsi"/>
          <w:sz w:val="22"/>
          <w:szCs w:val="22"/>
          <w:lang w:eastAsia="en-US"/>
        </w:rPr>
        <w:t xml:space="preserve"> </w:t>
      </w:r>
      <w:r w:rsidRPr="00525481">
        <w:rPr>
          <w:rFonts w:eastAsiaTheme="minorHAnsi"/>
          <w:sz w:val="22"/>
          <w:szCs w:val="22"/>
          <w:lang w:eastAsia="en-US"/>
        </w:rPr>
        <w:t>On 9 July 2010, the Minister</w:t>
      </w:r>
      <w:r w:rsidR="00525481">
        <w:rPr>
          <w:rFonts w:eastAsiaTheme="minorHAnsi"/>
          <w:sz w:val="22"/>
          <w:szCs w:val="22"/>
          <w:lang w:eastAsia="en-US"/>
        </w:rPr>
        <w:t xml:space="preserve"> for</w:t>
      </w:r>
      <w:r w:rsidR="00525481" w:rsidRPr="008E0B0C">
        <w:rPr>
          <w:rFonts w:eastAsiaTheme="minorHAnsi"/>
          <w:sz w:val="22"/>
          <w:szCs w:val="22"/>
          <w:lang w:eastAsia="en-US"/>
        </w:rPr>
        <w:t xml:space="preserve"> Broadband, Communications and the Digital Economy</w:t>
      </w:r>
      <w:r w:rsidRPr="00525481">
        <w:rPr>
          <w:rFonts w:eastAsiaTheme="minorHAnsi"/>
          <w:sz w:val="22"/>
          <w:szCs w:val="22"/>
          <w:lang w:eastAsia="en-US"/>
        </w:rPr>
        <w:t xml:space="preserve"> directed the ACMA to </w:t>
      </w:r>
      <w:r w:rsidR="004B55F3">
        <w:rPr>
          <w:rFonts w:eastAsiaTheme="minorHAnsi"/>
          <w:sz w:val="22"/>
          <w:szCs w:val="22"/>
          <w:lang w:eastAsia="en-US"/>
        </w:rPr>
        <w:t xml:space="preserve">act in accordance with the Commonwealth’s communications policy objective that the 700 MHz band be cleared, over time, </w:t>
      </w:r>
      <w:r w:rsidR="00525481">
        <w:rPr>
          <w:rFonts w:eastAsiaTheme="minorHAnsi"/>
          <w:sz w:val="22"/>
          <w:szCs w:val="22"/>
          <w:lang w:eastAsia="en-US"/>
        </w:rPr>
        <w:t xml:space="preserve">of broadcasting services (see the </w:t>
      </w:r>
      <w:r w:rsidR="00525481">
        <w:rPr>
          <w:rFonts w:eastAsiaTheme="minorHAnsi"/>
          <w:i/>
          <w:sz w:val="22"/>
          <w:szCs w:val="22"/>
          <w:lang w:eastAsia="en-US"/>
        </w:rPr>
        <w:t>Australian Communications and Media Authority (Realising the Digital Dividend) Direction 2010</w:t>
      </w:r>
      <w:r w:rsidR="00525481">
        <w:rPr>
          <w:rFonts w:eastAsiaTheme="minorHAnsi"/>
          <w:sz w:val="22"/>
          <w:szCs w:val="22"/>
          <w:lang w:eastAsia="en-US"/>
        </w:rPr>
        <w:t>).</w:t>
      </w:r>
      <w:r w:rsidR="00EE5D91" w:rsidRPr="00525481">
        <w:rPr>
          <w:rFonts w:eastAsiaTheme="minorHAnsi"/>
          <w:sz w:val="22"/>
          <w:szCs w:val="22"/>
          <w:lang w:eastAsia="en-US"/>
        </w:rPr>
        <w:t xml:space="preserve"> </w:t>
      </w:r>
    </w:p>
    <w:p w14:paraId="33BC6568" w14:textId="179B46F5" w:rsidR="00716F1F" w:rsidRPr="00525481" w:rsidRDefault="00716F1F" w:rsidP="00525481">
      <w:pPr>
        <w:spacing w:after="160" w:line="259" w:lineRule="auto"/>
        <w:rPr>
          <w:rFonts w:eastAsiaTheme="minorHAnsi"/>
          <w:sz w:val="22"/>
          <w:szCs w:val="22"/>
          <w:lang w:eastAsia="en-US"/>
        </w:rPr>
      </w:pPr>
      <w:r w:rsidRPr="00525481">
        <w:rPr>
          <w:rFonts w:eastAsiaTheme="minorHAnsi"/>
          <w:sz w:val="22"/>
          <w:szCs w:val="22"/>
          <w:lang w:eastAsia="en-US"/>
        </w:rPr>
        <w:t xml:space="preserve">Although the ACMA </w:t>
      </w:r>
      <w:r w:rsidR="00AC7315">
        <w:rPr>
          <w:rFonts w:eastAsiaTheme="minorHAnsi"/>
          <w:sz w:val="22"/>
          <w:szCs w:val="22"/>
          <w:lang w:eastAsia="en-US"/>
        </w:rPr>
        <w:t>has</w:t>
      </w:r>
      <w:r w:rsidRPr="00525481">
        <w:rPr>
          <w:rFonts w:eastAsiaTheme="minorHAnsi"/>
          <w:sz w:val="22"/>
          <w:szCs w:val="22"/>
          <w:lang w:eastAsia="en-US"/>
        </w:rPr>
        <w:t xml:space="preserve"> not </w:t>
      </w:r>
      <w:r w:rsidR="004B55F3">
        <w:rPr>
          <w:rFonts w:eastAsiaTheme="minorHAnsi"/>
          <w:sz w:val="22"/>
          <w:szCs w:val="22"/>
          <w:lang w:eastAsia="en-US"/>
        </w:rPr>
        <w:t>restrict</w:t>
      </w:r>
      <w:r w:rsidR="00AC7315">
        <w:rPr>
          <w:rFonts w:eastAsiaTheme="minorHAnsi"/>
          <w:sz w:val="22"/>
          <w:szCs w:val="22"/>
          <w:lang w:eastAsia="en-US"/>
        </w:rPr>
        <w:t>ed</w:t>
      </w:r>
      <w:r w:rsidRPr="00525481">
        <w:rPr>
          <w:rFonts w:eastAsiaTheme="minorHAnsi"/>
          <w:sz w:val="22"/>
          <w:szCs w:val="22"/>
          <w:lang w:eastAsia="en-US"/>
        </w:rPr>
        <w:t xml:space="preserve"> the 700 MHz band </w:t>
      </w:r>
      <w:r w:rsidR="004B55F3">
        <w:rPr>
          <w:rFonts w:eastAsiaTheme="minorHAnsi"/>
          <w:sz w:val="22"/>
          <w:szCs w:val="22"/>
          <w:lang w:eastAsia="en-US"/>
        </w:rPr>
        <w:t>to</w:t>
      </w:r>
      <w:r w:rsidRPr="00525481">
        <w:rPr>
          <w:rFonts w:eastAsiaTheme="minorHAnsi"/>
          <w:sz w:val="22"/>
          <w:szCs w:val="22"/>
          <w:lang w:eastAsia="en-US"/>
        </w:rPr>
        <w:t xml:space="preserve"> specific categories of use, spectrum in both </w:t>
      </w:r>
      <w:r w:rsidR="004B55F3">
        <w:rPr>
          <w:rFonts w:eastAsiaTheme="minorHAnsi"/>
          <w:sz w:val="22"/>
          <w:szCs w:val="22"/>
          <w:lang w:eastAsia="en-US"/>
        </w:rPr>
        <w:t xml:space="preserve">it and </w:t>
      </w:r>
      <w:r w:rsidR="00525481">
        <w:rPr>
          <w:rFonts w:eastAsiaTheme="minorHAnsi"/>
          <w:sz w:val="22"/>
          <w:szCs w:val="22"/>
          <w:lang w:eastAsia="en-US"/>
        </w:rPr>
        <w:t>in the frequency range 2.5 GHz to 2.69 GHz (</w:t>
      </w:r>
      <w:r w:rsidR="004B55F3" w:rsidRPr="00525481">
        <w:rPr>
          <w:rFonts w:eastAsiaTheme="minorHAnsi"/>
          <w:b/>
          <w:sz w:val="22"/>
          <w:szCs w:val="22"/>
          <w:lang w:eastAsia="en-US"/>
        </w:rPr>
        <w:t xml:space="preserve">the 2.5 GHz </w:t>
      </w:r>
      <w:r w:rsidRPr="00525481">
        <w:rPr>
          <w:rFonts w:eastAsiaTheme="minorHAnsi"/>
          <w:b/>
          <w:sz w:val="22"/>
          <w:szCs w:val="22"/>
          <w:lang w:eastAsia="en-US"/>
        </w:rPr>
        <w:t>band</w:t>
      </w:r>
      <w:r w:rsidR="00525481">
        <w:rPr>
          <w:rFonts w:eastAsiaTheme="minorHAnsi"/>
          <w:sz w:val="22"/>
          <w:szCs w:val="22"/>
          <w:lang w:eastAsia="en-US"/>
        </w:rPr>
        <w:t>)</w:t>
      </w:r>
      <w:r w:rsidRPr="00525481">
        <w:rPr>
          <w:rFonts w:eastAsiaTheme="minorHAnsi"/>
          <w:sz w:val="22"/>
          <w:szCs w:val="22"/>
          <w:lang w:eastAsia="en-US"/>
        </w:rPr>
        <w:t xml:space="preserve"> </w:t>
      </w:r>
      <w:r w:rsidR="004B55F3">
        <w:rPr>
          <w:rFonts w:eastAsiaTheme="minorHAnsi"/>
          <w:sz w:val="22"/>
          <w:szCs w:val="22"/>
          <w:lang w:eastAsia="en-US"/>
        </w:rPr>
        <w:t xml:space="preserve">was, and </w:t>
      </w:r>
      <w:r w:rsidRPr="00525481">
        <w:rPr>
          <w:rFonts w:eastAsiaTheme="minorHAnsi"/>
          <w:sz w:val="22"/>
          <w:szCs w:val="22"/>
          <w:lang w:eastAsia="en-US"/>
        </w:rPr>
        <w:t>is</w:t>
      </w:r>
      <w:r w:rsidR="004B55F3">
        <w:rPr>
          <w:rFonts w:eastAsiaTheme="minorHAnsi"/>
          <w:sz w:val="22"/>
          <w:szCs w:val="22"/>
          <w:lang w:eastAsia="en-US"/>
        </w:rPr>
        <w:t>,</w:t>
      </w:r>
      <w:r w:rsidRPr="00525481">
        <w:rPr>
          <w:rFonts w:eastAsiaTheme="minorHAnsi"/>
          <w:sz w:val="22"/>
          <w:szCs w:val="22"/>
          <w:lang w:eastAsia="en-US"/>
        </w:rPr>
        <w:t xml:space="preserve"> most likely to be used to deploy or extend mobile telecommunications and broadband using advanced wireless services such as 4G LTE (Long Term Evolution technology). </w:t>
      </w:r>
      <w:r w:rsidR="00AC7315">
        <w:rPr>
          <w:rFonts w:eastAsiaTheme="minorHAnsi"/>
          <w:sz w:val="22"/>
          <w:szCs w:val="22"/>
          <w:lang w:eastAsia="en-US"/>
        </w:rPr>
        <w:t xml:space="preserve"> </w:t>
      </w:r>
      <w:r w:rsidRPr="00525481">
        <w:rPr>
          <w:rFonts w:eastAsiaTheme="minorHAnsi"/>
          <w:sz w:val="22"/>
          <w:szCs w:val="22"/>
          <w:lang w:eastAsia="en-US"/>
        </w:rPr>
        <w:t xml:space="preserve">The recent rapid take-up of mobile devices, especially smart phones and tablet computers, has led to an exponential growth in wireless data traffic. </w:t>
      </w:r>
      <w:r w:rsidR="00AC7315">
        <w:rPr>
          <w:rFonts w:eastAsiaTheme="minorHAnsi"/>
          <w:sz w:val="22"/>
          <w:szCs w:val="22"/>
          <w:lang w:eastAsia="en-US"/>
        </w:rPr>
        <w:t xml:space="preserve"> </w:t>
      </w:r>
      <w:r w:rsidRPr="00525481">
        <w:rPr>
          <w:rFonts w:eastAsiaTheme="minorHAnsi"/>
          <w:sz w:val="22"/>
          <w:szCs w:val="22"/>
          <w:lang w:eastAsia="en-US"/>
        </w:rPr>
        <w:t>This in turn has substantially increased demand for suitable spectrum to support and improve the quality of mobile services.</w:t>
      </w:r>
    </w:p>
    <w:p w14:paraId="5D8B1A1A" w14:textId="44C9A504" w:rsidR="00716F1F" w:rsidRPr="00525481" w:rsidRDefault="00716F1F" w:rsidP="00525481">
      <w:pPr>
        <w:spacing w:after="160" w:line="259" w:lineRule="auto"/>
        <w:rPr>
          <w:rFonts w:eastAsiaTheme="minorHAnsi"/>
          <w:sz w:val="22"/>
          <w:szCs w:val="22"/>
          <w:lang w:eastAsia="en-US"/>
        </w:rPr>
      </w:pPr>
      <w:r w:rsidRPr="00525481">
        <w:rPr>
          <w:rFonts w:eastAsiaTheme="minorHAnsi"/>
          <w:sz w:val="22"/>
          <w:szCs w:val="22"/>
          <w:lang w:eastAsia="en-US"/>
        </w:rPr>
        <w:lastRenderedPageBreak/>
        <w:t xml:space="preserve">On </w:t>
      </w:r>
      <w:r w:rsidR="007D5E64">
        <w:rPr>
          <w:rFonts w:eastAsiaTheme="minorHAnsi"/>
          <w:sz w:val="22"/>
          <w:szCs w:val="22"/>
          <w:lang w:eastAsia="en-US"/>
        </w:rPr>
        <w:t>1</w:t>
      </w:r>
      <w:r w:rsidRPr="00525481">
        <w:rPr>
          <w:rFonts w:eastAsiaTheme="minorHAnsi"/>
          <w:sz w:val="22"/>
          <w:szCs w:val="22"/>
          <w:lang w:eastAsia="en-US"/>
        </w:rPr>
        <w:t xml:space="preserve"> November 2011, following recommendations from the ACMA, the Minister </w:t>
      </w:r>
      <w:r w:rsidR="00525481">
        <w:rPr>
          <w:rFonts w:eastAsiaTheme="minorHAnsi"/>
          <w:sz w:val="22"/>
          <w:szCs w:val="22"/>
          <w:lang w:eastAsia="en-US"/>
        </w:rPr>
        <w:t>for</w:t>
      </w:r>
      <w:r w:rsidR="00525481" w:rsidRPr="008E0B0C">
        <w:rPr>
          <w:rFonts w:eastAsiaTheme="minorHAnsi"/>
          <w:sz w:val="22"/>
          <w:szCs w:val="22"/>
          <w:lang w:eastAsia="en-US"/>
        </w:rPr>
        <w:t xml:space="preserve"> Broadband, Communications and the Digital Economy</w:t>
      </w:r>
      <w:r w:rsidR="00525481">
        <w:rPr>
          <w:rFonts w:eastAsiaTheme="minorHAnsi"/>
          <w:sz w:val="22"/>
          <w:szCs w:val="22"/>
          <w:lang w:eastAsia="en-US"/>
        </w:rPr>
        <w:t xml:space="preserve"> </w:t>
      </w:r>
      <w:r w:rsidRPr="00525481">
        <w:rPr>
          <w:rFonts w:eastAsiaTheme="minorHAnsi"/>
          <w:sz w:val="22"/>
          <w:szCs w:val="22"/>
          <w:lang w:eastAsia="en-US"/>
        </w:rPr>
        <w:t xml:space="preserve">made declarations that specific parts of the spectrum in both the 700 MHz and 2.5 GHz bands would be subject to re-allocation by spectrum licensing under section 153B of the Act. </w:t>
      </w:r>
      <w:r w:rsidR="00AC7315">
        <w:rPr>
          <w:rFonts w:eastAsiaTheme="minorHAnsi"/>
          <w:sz w:val="22"/>
          <w:szCs w:val="22"/>
          <w:lang w:eastAsia="en-US"/>
        </w:rPr>
        <w:t xml:space="preserve"> </w:t>
      </w:r>
      <w:r w:rsidRPr="00525481">
        <w:rPr>
          <w:rFonts w:eastAsiaTheme="minorHAnsi"/>
          <w:sz w:val="22"/>
          <w:szCs w:val="22"/>
          <w:lang w:eastAsia="en-US"/>
        </w:rPr>
        <w:t xml:space="preserve">Two blocks of spectrum in each band </w:t>
      </w:r>
      <w:r w:rsidR="00525481">
        <w:rPr>
          <w:rFonts w:eastAsiaTheme="minorHAnsi"/>
          <w:sz w:val="22"/>
          <w:szCs w:val="22"/>
          <w:lang w:eastAsia="en-US"/>
        </w:rPr>
        <w:t>we</w:t>
      </w:r>
      <w:r w:rsidRPr="00525481">
        <w:rPr>
          <w:rFonts w:eastAsiaTheme="minorHAnsi"/>
          <w:sz w:val="22"/>
          <w:szCs w:val="22"/>
          <w:lang w:eastAsia="en-US"/>
        </w:rPr>
        <w:t>re to be re</w:t>
      </w:r>
      <w:r w:rsidR="00AC7315">
        <w:rPr>
          <w:rFonts w:eastAsiaTheme="minorHAnsi"/>
          <w:sz w:val="22"/>
          <w:szCs w:val="22"/>
          <w:lang w:eastAsia="en-US"/>
        </w:rPr>
        <w:t>-</w:t>
      </w:r>
      <w:r w:rsidRPr="00525481">
        <w:rPr>
          <w:rFonts w:eastAsiaTheme="minorHAnsi"/>
          <w:sz w:val="22"/>
          <w:szCs w:val="22"/>
          <w:lang w:eastAsia="en-US"/>
        </w:rPr>
        <w:t xml:space="preserve">allocated. </w:t>
      </w:r>
      <w:r w:rsidR="00AC7315">
        <w:rPr>
          <w:rFonts w:eastAsiaTheme="minorHAnsi"/>
          <w:sz w:val="22"/>
          <w:szCs w:val="22"/>
          <w:lang w:eastAsia="en-US"/>
        </w:rPr>
        <w:t xml:space="preserve"> </w:t>
      </w:r>
      <w:r w:rsidRPr="00525481">
        <w:rPr>
          <w:rFonts w:eastAsiaTheme="minorHAnsi"/>
          <w:sz w:val="22"/>
          <w:szCs w:val="22"/>
          <w:lang w:eastAsia="en-US"/>
        </w:rPr>
        <w:t>In the 700 MHz</w:t>
      </w:r>
      <w:r w:rsidR="00AC7315">
        <w:rPr>
          <w:rFonts w:eastAsiaTheme="minorHAnsi"/>
          <w:sz w:val="22"/>
          <w:szCs w:val="22"/>
          <w:lang w:eastAsia="en-US"/>
        </w:rPr>
        <w:t xml:space="preserve"> band,</w:t>
      </w:r>
      <w:r w:rsidRPr="00525481">
        <w:rPr>
          <w:rFonts w:eastAsiaTheme="minorHAnsi"/>
          <w:sz w:val="22"/>
          <w:szCs w:val="22"/>
          <w:lang w:eastAsia="en-US"/>
        </w:rPr>
        <w:t xml:space="preserve"> this correspond</w:t>
      </w:r>
      <w:r w:rsidR="00AC7315">
        <w:rPr>
          <w:rFonts w:eastAsiaTheme="minorHAnsi"/>
          <w:sz w:val="22"/>
          <w:szCs w:val="22"/>
          <w:lang w:eastAsia="en-US"/>
        </w:rPr>
        <w:t>ed</w:t>
      </w:r>
      <w:r w:rsidRPr="00525481">
        <w:rPr>
          <w:rFonts w:eastAsiaTheme="minorHAnsi"/>
          <w:sz w:val="22"/>
          <w:szCs w:val="22"/>
          <w:lang w:eastAsia="en-US"/>
        </w:rPr>
        <w:t xml:space="preserve"> to the frequency ranges 703</w:t>
      </w:r>
      <w:r w:rsidR="000846F4">
        <w:rPr>
          <w:rFonts w:eastAsiaTheme="minorHAnsi"/>
          <w:sz w:val="22"/>
          <w:szCs w:val="22"/>
          <w:lang w:eastAsia="en-US"/>
        </w:rPr>
        <w:t xml:space="preserve"> MHz</w:t>
      </w:r>
      <w:r w:rsidR="00525481">
        <w:rPr>
          <w:rFonts w:eastAsiaTheme="minorHAnsi"/>
          <w:sz w:val="22"/>
          <w:szCs w:val="22"/>
          <w:lang w:eastAsia="en-US"/>
        </w:rPr>
        <w:t xml:space="preserve"> to </w:t>
      </w:r>
      <w:r w:rsidRPr="00525481">
        <w:rPr>
          <w:rFonts w:eastAsiaTheme="minorHAnsi"/>
          <w:sz w:val="22"/>
          <w:szCs w:val="22"/>
          <w:lang w:eastAsia="en-US"/>
        </w:rPr>
        <w:t>748 MHz and 758</w:t>
      </w:r>
      <w:r w:rsidR="00525481">
        <w:rPr>
          <w:rFonts w:eastAsiaTheme="minorHAnsi"/>
          <w:sz w:val="22"/>
          <w:szCs w:val="22"/>
          <w:lang w:eastAsia="en-US"/>
        </w:rPr>
        <w:t xml:space="preserve"> </w:t>
      </w:r>
      <w:r w:rsidR="000846F4">
        <w:rPr>
          <w:rFonts w:eastAsiaTheme="minorHAnsi"/>
          <w:sz w:val="22"/>
          <w:szCs w:val="22"/>
          <w:lang w:eastAsia="en-US"/>
        </w:rPr>
        <w:t xml:space="preserve">MHz </w:t>
      </w:r>
      <w:r w:rsidR="00525481">
        <w:rPr>
          <w:rFonts w:eastAsiaTheme="minorHAnsi"/>
          <w:sz w:val="22"/>
          <w:szCs w:val="22"/>
          <w:lang w:eastAsia="en-US"/>
        </w:rPr>
        <w:t xml:space="preserve">to </w:t>
      </w:r>
      <w:r w:rsidRPr="00525481">
        <w:rPr>
          <w:rFonts w:eastAsiaTheme="minorHAnsi"/>
          <w:sz w:val="22"/>
          <w:szCs w:val="22"/>
          <w:lang w:eastAsia="en-US"/>
        </w:rPr>
        <w:t>803 MHz</w:t>
      </w:r>
      <w:r w:rsidR="00525481">
        <w:rPr>
          <w:rFonts w:eastAsiaTheme="minorHAnsi"/>
          <w:sz w:val="22"/>
          <w:szCs w:val="22"/>
          <w:lang w:eastAsia="en-US"/>
        </w:rPr>
        <w:t xml:space="preserve"> (see the </w:t>
      </w:r>
      <w:proofErr w:type="spellStart"/>
      <w:r w:rsidR="00525481">
        <w:rPr>
          <w:rFonts w:eastAsiaTheme="minorHAnsi"/>
          <w:i/>
          <w:sz w:val="22"/>
          <w:szCs w:val="22"/>
          <w:lang w:eastAsia="en-US"/>
        </w:rPr>
        <w:t>Radiocommunications</w:t>
      </w:r>
      <w:proofErr w:type="spellEnd"/>
      <w:r w:rsidR="00525481">
        <w:rPr>
          <w:rFonts w:eastAsiaTheme="minorHAnsi"/>
          <w:i/>
          <w:sz w:val="22"/>
          <w:szCs w:val="22"/>
          <w:lang w:eastAsia="en-US"/>
        </w:rPr>
        <w:t xml:space="preserve"> (Spectrum Re-allocation) Declaration No. 1 of 2011</w:t>
      </w:r>
      <w:r w:rsidR="0092683E">
        <w:rPr>
          <w:rFonts w:eastAsiaTheme="minorHAnsi"/>
          <w:i/>
          <w:sz w:val="22"/>
          <w:szCs w:val="22"/>
          <w:lang w:eastAsia="en-US"/>
        </w:rPr>
        <w:t xml:space="preserve"> </w:t>
      </w:r>
      <w:r w:rsidR="0092683E">
        <w:rPr>
          <w:rFonts w:eastAsiaTheme="minorHAnsi"/>
          <w:sz w:val="22"/>
          <w:szCs w:val="22"/>
          <w:lang w:eastAsia="en-US"/>
        </w:rPr>
        <w:t>(</w:t>
      </w:r>
      <w:r w:rsidR="0092683E" w:rsidRPr="0092683E">
        <w:rPr>
          <w:rFonts w:eastAsiaTheme="minorHAnsi"/>
          <w:b/>
          <w:sz w:val="22"/>
          <w:szCs w:val="22"/>
          <w:lang w:eastAsia="en-US"/>
        </w:rPr>
        <w:t>the Re-allocation Declaration</w:t>
      </w:r>
      <w:r w:rsidR="00525481">
        <w:rPr>
          <w:rFonts w:eastAsiaTheme="minorHAnsi"/>
          <w:sz w:val="22"/>
          <w:szCs w:val="22"/>
          <w:lang w:eastAsia="en-US"/>
        </w:rPr>
        <w:t>)</w:t>
      </w:r>
      <w:r w:rsidR="00AC7315">
        <w:rPr>
          <w:rFonts w:eastAsiaTheme="minorHAnsi"/>
          <w:sz w:val="22"/>
          <w:szCs w:val="22"/>
          <w:lang w:eastAsia="en-US"/>
        </w:rPr>
        <w:t>)</w:t>
      </w:r>
      <w:r w:rsidRPr="00525481">
        <w:rPr>
          <w:rFonts w:eastAsiaTheme="minorHAnsi"/>
          <w:sz w:val="22"/>
          <w:szCs w:val="22"/>
          <w:lang w:eastAsia="en-US"/>
        </w:rPr>
        <w:t xml:space="preserve">. </w:t>
      </w:r>
    </w:p>
    <w:p w14:paraId="54F7E6E6" w14:textId="4055172B" w:rsidR="00B83BE2" w:rsidRPr="00644348" w:rsidRDefault="00B83BE2" w:rsidP="00644348">
      <w:pPr>
        <w:spacing w:after="160" w:line="259" w:lineRule="auto"/>
        <w:rPr>
          <w:rFonts w:eastAsiaTheme="minorHAnsi"/>
          <w:i/>
          <w:sz w:val="22"/>
          <w:szCs w:val="22"/>
          <w:lang w:eastAsia="en-US"/>
        </w:rPr>
      </w:pPr>
      <w:r w:rsidRPr="00644348">
        <w:rPr>
          <w:rFonts w:eastAsiaTheme="minorHAnsi"/>
          <w:i/>
          <w:sz w:val="22"/>
          <w:szCs w:val="22"/>
          <w:lang w:eastAsia="en-US"/>
        </w:rPr>
        <w:t xml:space="preserve">700 MHz </w:t>
      </w:r>
      <w:r w:rsidR="00E271E0" w:rsidRPr="00644348">
        <w:rPr>
          <w:rFonts w:eastAsiaTheme="minorHAnsi"/>
          <w:i/>
          <w:sz w:val="22"/>
          <w:szCs w:val="22"/>
          <w:lang w:eastAsia="en-US"/>
        </w:rPr>
        <w:t xml:space="preserve">band </w:t>
      </w:r>
      <w:r w:rsidRPr="00644348">
        <w:rPr>
          <w:rFonts w:eastAsiaTheme="minorHAnsi"/>
          <w:i/>
          <w:sz w:val="22"/>
          <w:szCs w:val="22"/>
          <w:lang w:eastAsia="en-US"/>
        </w:rPr>
        <w:t>allocation in 2013</w:t>
      </w:r>
    </w:p>
    <w:p w14:paraId="0DBEDB90" w14:textId="0F4D3052" w:rsidR="00E271E0" w:rsidRPr="00525481" w:rsidRDefault="00D87129" w:rsidP="00525481">
      <w:pPr>
        <w:spacing w:after="160" w:line="259" w:lineRule="auto"/>
        <w:rPr>
          <w:rFonts w:eastAsiaTheme="minorHAnsi"/>
          <w:sz w:val="22"/>
          <w:szCs w:val="22"/>
          <w:lang w:eastAsia="en-US"/>
        </w:rPr>
      </w:pPr>
      <w:r w:rsidRPr="00525481">
        <w:rPr>
          <w:rFonts w:eastAsiaTheme="minorHAnsi"/>
          <w:sz w:val="22"/>
          <w:szCs w:val="22"/>
          <w:lang w:eastAsia="en-US"/>
        </w:rPr>
        <w:t xml:space="preserve">The ACMA undertook a </w:t>
      </w:r>
      <w:r w:rsidR="00AC7315">
        <w:rPr>
          <w:rFonts w:eastAsiaTheme="minorHAnsi"/>
          <w:sz w:val="22"/>
          <w:szCs w:val="22"/>
          <w:lang w:eastAsia="en-US"/>
        </w:rPr>
        <w:t>‘</w:t>
      </w:r>
      <w:r w:rsidRPr="00525481">
        <w:rPr>
          <w:rFonts w:eastAsiaTheme="minorHAnsi"/>
          <w:sz w:val="22"/>
          <w:szCs w:val="22"/>
          <w:lang w:eastAsia="en-US"/>
        </w:rPr>
        <w:t>Combinatorial Clock Auction</w:t>
      </w:r>
      <w:r w:rsidR="00AC7315">
        <w:rPr>
          <w:rFonts w:eastAsiaTheme="minorHAnsi"/>
          <w:sz w:val="22"/>
          <w:szCs w:val="22"/>
          <w:lang w:eastAsia="en-US"/>
        </w:rPr>
        <w:t>’</w:t>
      </w:r>
      <w:r w:rsidRPr="00525481">
        <w:rPr>
          <w:rFonts w:eastAsiaTheme="minorHAnsi"/>
          <w:sz w:val="22"/>
          <w:szCs w:val="22"/>
          <w:lang w:eastAsia="en-US"/>
        </w:rPr>
        <w:t xml:space="preserve"> in 2013 for the 700 MHz and 2.5 G</w:t>
      </w:r>
      <w:r w:rsidR="00AC7315">
        <w:rPr>
          <w:rFonts w:eastAsiaTheme="minorHAnsi"/>
          <w:sz w:val="22"/>
          <w:szCs w:val="22"/>
          <w:lang w:eastAsia="en-US"/>
        </w:rPr>
        <w:t>H</w:t>
      </w:r>
      <w:r w:rsidRPr="00525481">
        <w:rPr>
          <w:rFonts w:eastAsiaTheme="minorHAnsi"/>
          <w:sz w:val="22"/>
          <w:szCs w:val="22"/>
          <w:lang w:eastAsia="en-US"/>
        </w:rPr>
        <w:t>z bands</w:t>
      </w:r>
      <w:r w:rsidR="00525481">
        <w:rPr>
          <w:rFonts w:eastAsiaTheme="minorHAnsi"/>
          <w:sz w:val="22"/>
          <w:szCs w:val="22"/>
          <w:lang w:eastAsia="en-US"/>
        </w:rPr>
        <w:t xml:space="preserve">, in accordance with the </w:t>
      </w:r>
      <w:proofErr w:type="spellStart"/>
      <w:r w:rsidR="00525481">
        <w:rPr>
          <w:rFonts w:eastAsiaTheme="minorHAnsi"/>
          <w:i/>
          <w:sz w:val="22"/>
          <w:szCs w:val="22"/>
          <w:lang w:eastAsia="en-US"/>
        </w:rPr>
        <w:t>Radiocommunications</w:t>
      </w:r>
      <w:proofErr w:type="spellEnd"/>
      <w:r w:rsidR="00525481">
        <w:rPr>
          <w:rFonts w:eastAsiaTheme="minorHAnsi"/>
          <w:i/>
          <w:sz w:val="22"/>
          <w:szCs w:val="22"/>
          <w:lang w:eastAsia="en-US"/>
        </w:rPr>
        <w:t xml:space="preserve"> (Spectrum Licence Allocation</w:t>
      </w:r>
      <w:r w:rsidR="00525481" w:rsidRPr="00525481">
        <w:rPr>
          <w:rFonts w:eastAsiaTheme="minorHAnsi"/>
          <w:i/>
          <w:sz w:val="22"/>
          <w:szCs w:val="22"/>
          <w:lang w:eastAsia="en-US"/>
        </w:rPr>
        <w:t>—Combinatorial Clock Auction) Determination 2012</w:t>
      </w:r>
      <w:r w:rsidRPr="00525481">
        <w:rPr>
          <w:rFonts w:eastAsiaTheme="minorHAnsi"/>
          <w:sz w:val="22"/>
          <w:szCs w:val="22"/>
          <w:lang w:eastAsia="en-US"/>
        </w:rPr>
        <w:t xml:space="preserve">. </w:t>
      </w:r>
      <w:r w:rsidR="00AC7315">
        <w:rPr>
          <w:rFonts w:eastAsiaTheme="minorHAnsi"/>
          <w:sz w:val="22"/>
          <w:szCs w:val="22"/>
          <w:lang w:eastAsia="en-US"/>
        </w:rPr>
        <w:t xml:space="preserve"> </w:t>
      </w:r>
      <w:r w:rsidRPr="00525481">
        <w:rPr>
          <w:rFonts w:eastAsiaTheme="minorHAnsi"/>
          <w:sz w:val="22"/>
          <w:szCs w:val="22"/>
          <w:lang w:eastAsia="en-US"/>
        </w:rPr>
        <w:t>In the 700 MHz band</w:t>
      </w:r>
      <w:r w:rsidR="00B83BE2" w:rsidRPr="00525481">
        <w:rPr>
          <w:rFonts w:eastAsiaTheme="minorHAnsi"/>
          <w:sz w:val="22"/>
          <w:szCs w:val="22"/>
          <w:lang w:eastAsia="en-US"/>
        </w:rPr>
        <w:t xml:space="preserve">, </w:t>
      </w:r>
      <w:r w:rsidRPr="00525481">
        <w:rPr>
          <w:rFonts w:eastAsiaTheme="minorHAnsi"/>
          <w:sz w:val="22"/>
          <w:szCs w:val="22"/>
          <w:lang w:eastAsia="en-US"/>
        </w:rPr>
        <w:t>there were nine 2 x 5 MHz national lots on offer (</w:t>
      </w:r>
      <w:r w:rsidR="00525481">
        <w:rPr>
          <w:rFonts w:eastAsiaTheme="minorHAnsi"/>
          <w:sz w:val="22"/>
          <w:szCs w:val="22"/>
          <w:lang w:eastAsia="en-US"/>
        </w:rPr>
        <w:t xml:space="preserve">totalling </w:t>
      </w:r>
      <w:r w:rsidRPr="00525481">
        <w:rPr>
          <w:rFonts w:eastAsiaTheme="minorHAnsi"/>
          <w:sz w:val="22"/>
          <w:szCs w:val="22"/>
          <w:lang w:eastAsia="en-US"/>
        </w:rPr>
        <w:t>2 x 45 M</w:t>
      </w:r>
      <w:r w:rsidR="00525481">
        <w:rPr>
          <w:rFonts w:eastAsiaTheme="minorHAnsi"/>
          <w:sz w:val="22"/>
          <w:szCs w:val="22"/>
          <w:lang w:eastAsia="en-US"/>
        </w:rPr>
        <w:t>H</w:t>
      </w:r>
      <w:r w:rsidRPr="00525481">
        <w:rPr>
          <w:rFonts w:eastAsiaTheme="minorHAnsi"/>
          <w:sz w:val="22"/>
          <w:szCs w:val="22"/>
          <w:lang w:eastAsia="en-US"/>
        </w:rPr>
        <w:t xml:space="preserve">z).  Optus Mobile </w:t>
      </w:r>
      <w:r w:rsidR="00525481">
        <w:rPr>
          <w:rFonts w:eastAsiaTheme="minorHAnsi"/>
          <w:sz w:val="22"/>
          <w:szCs w:val="22"/>
          <w:lang w:eastAsia="en-US"/>
        </w:rPr>
        <w:t>Pty Ltd</w:t>
      </w:r>
      <w:r w:rsidR="00AC7315">
        <w:rPr>
          <w:rFonts w:eastAsiaTheme="minorHAnsi"/>
          <w:sz w:val="22"/>
          <w:szCs w:val="22"/>
          <w:lang w:eastAsia="en-US"/>
        </w:rPr>
        <w:t xml:space="preserve"> </w:t>
      </w:r>
      <w:r w:rsidR="00F6496C">
        <w:rPr>
          <w:rFonts w:eastAsiaTheme="minorHAnsi"/>
          <w:sz w:val="22"/>
          <w:szCs w:val="22"/>
          <w:lang w:eastAsia="en-US"/>
        </w:rPr>
        <w:t>(</w:t>
      </w:r>
      <w:r w:rsidR="00F6496C" w:rsidRPr="00FB2697">
        <w:rPr>
          <w:rFonts w:eastAsiaTheme="minorHAnsi"/>
          <w:b/>
          <w:sz w:val="22"/>
          <w:szCs w:val="22"/>
          <w:lang w:eastAsia="en-US"/>
        </w:rPr>
        <w:t>Optus Mobile</w:t>
      </w:r>
      <w:r w:rsidR="00F6496C">
        <w:rPr>
          <w:rFonts w:eastAsiaTheme="minorHAnsi"/>
          <w:sz w:val="22"/>
          <w:szCs w:val="22"/>
          <w:lang w:eastAsia="en-US"/>
        </w:rPr>
        <w:t xml:space="preserve">) </w:t>
      </w:r>
      <w:r w:rsidR="00525481">
        <w:rPr>
          <w:rFonts w:eastAsiaTheme="minorHAnsi"/>
          <w:sz w:val="22"/>
          <w:szCs w:val="22"/>
          <w:lang w:eastAsia="en-US"/>
        </w:rPr>
        <w:t>won</w:t>
      </w:r>
      <w:r w:rsidR="00525481" w:rsidRPr="00525481">
        <w:rPr>
          <w:rFonts w:eastAsiaTheme="minorHAnsi"/>
          <w:sz w:val="22"/>
          <w:szCs w:val="22"/>
          <w:lang w:eastAsia="en-US"/>
        </w:rPr>
        <w:t xml:space="preserve"> </w:t>
      </w:r>
      <w:r w:rsidR="00525481">
        <w:rPr>
          <w:rFonts w:eastAsiaTheme="minorHAnsi"/>
          <w:sz w:val="22"/>
          <w:szCs w:val="22"/>
          <w:lang w:eastAsia="en-US"/>
        </w:rPr>
        <w:t>two</w:t>
      </w:r>
      <w:r w:rsidRPr="00525481">
        <w:rPr>
          <w:rFonts w:eastAsiaTheme="minorHAnsi"/>
          <w:sz w:val="22"/>
          <w:szCs w:val="22"/>
          <w:lang w:eastAsia="en-US"/>
        </w:rPr>
        <w:t xml:space="preserve"> lots (</w:t>
      </w:r>
      <w:r w:rsidR="00525481">
        <w:rPr>
          <w:rFonts w:eastAsiaTheme="minorHAnsi"/>
          <w:sz w:val="22"/>
          <w:szCs w:val="22"/>
          <w:lang w:eastAsia="en-US"/>
        </w:rPr>
        <w:t xml:space="preserve">totalling </w:t>
      </w:r>
      <w:r w:rsidRPr="00525481">
        <w:rPr>
          <w:rFonts w:eastAsiaTheme="minorHAnsi"/>
          <w:sz w:val="22"/>
          <w:szCs w:val="22"/>
          <w:lang w:eastAsia="en-US"/>
        </w:rPr>
        <w:t>2 x 10 MHz</w:t>
      </w:r>
      <w:r w:rsidR="00525481">
        <w:rPr>
          <w:rFonts w:eastAsiaTheme="minorHAnsi"/>
          <w:sz w:val="22"/>
          <w:szCs w:val="22"/>
          <w:lang w:eastAsia="en-US"/>
        </w:rPr>
        <w:t>, for the frequency ranges</w:t>
      </w:r>
      <w:r w:rsidRPr="00525481">
        <w:rPr>
          <w:rFonts w:eastAsiaTheme="minorHAnsi"/>
          <w:sz w:val="22"/>
          <w:szCs w:val="22"/>
          <w:lang w:eastAsia="en-US"/>
        </w:rPr>
        <w:t xml:space="preserve"> 703</w:t>
      </w:r>
      <w:r w:rsidR="00525481">
        <w:rPr>
          <w:rFonts w:eastAsiaTheme="minorHAnsi"/>
          <w:sz w:val="22"/>
          <w:szCs w:val="22"/>
          <w:lang w:eastAsia="en-US"/>
        </w:rPr>
        <w:t xml:space="preserve"> </w:t>
      </w:r>
      <w:r w:rsidR="000846F4">
        <w:rPr>
          <w:rFonts w:eastAsiaTheme="minorHAnsi"/>
          <w:sz w:val="22"/>
          <w:szCs w:val="22"/>
          <w:lang w:eastAsia="en-US"/>
        </w:rPr>
        <w:t xml:space="preserve">MHz </w:t>
      </w:r>
      <w:r w:rsidR="00525481">
        <w:rPr>
          <w:rFonts w:eastAsiaTheme="minorHAnsi"/>
          <w:sz w:val="22"/>
          <w:szCs w:val="22"/>
          <w:lang w:eastAsia="en-US"/>
        </w:rPr>
        <w:t xml:space="preserve">to </w:t>
      </w:r>
      <w:r w:rsidRPr="00525481">
        <w:rPr>
          <w:rFonts w:eastAsiaTheme="minorHAnsi"/>
          <w:sz w:val="22"/>
          <w:szCs w:val="22"/>
          <w:lang w:eastAsia="en-US"/>
        </w:rPr>
        <w:t>713 MHz</w:t>
      </w:r>
      <w:r w:rsidR="00525481">
        <w:rPr>
          <w:rFonts w:eastAsiaTheme="minorHAnsi"/>
          <w:sz w:val="22"/>
          <w:szCs w:val="22"/>
          <w:lang w:eastAsia="en-US"/>
        </w:rPr>
        <w:t xml:space="preserve"> and </w:t>
      </w:r>
      <w:r w:rsidRPr="00525481">
        <w:rPr>
          <w:rFonts w:eastAsiaTheme="minorHAnsi"/>
          <w:sz w:val="22"/>
          <w:szCs w:val="22"/>
          <w:lang w:eastAsia="en-US"/>
        </w:rPr>
        <w:t>758</w:t>
      </w:r>
      <w:r w:rsidR="00525481">
        <w:rPr>
          <w:rFonts w:eastAsiaTheme="minorHAnsi"/>
          <w:sz w:val="22"/>
          <w:szCs w:val="22"/>
          <w:lang w:eastAsia="en-US"/>
        </w:rPr>
        <w:t xml:space="preserve"> to </w:t>
      </w:r>
      <w:r w:rsidRPr="00525481">
        <w:rPr>
          <w:rFonts w:eastAsiaTheme="minorHAnsi"/>
          <w:sz w:val="22"/>
          <w:szCs w:val="22"/>
          <w:lang w:eastAsia="en-US"/>
        </w:rPr>
        <w:t>768 MHz) and Telstra</w:t>
      </w:r>
      <w:r w:rsidR="00525481">
        <w:rPr>
          <w:rFonts w:eastAsiaTheme="minorHAnsi"/>
          <w:sz w:val="22"/>
          <w:szCs w:val="22"/>
          <w:lang w:eastAsia="en-US"/>
        </w:rPr>
        <w:t xml:space="preserve"> Corporation Ltd</w:t>
      </w:r>
      <w:r w:rsidRPr="00525481">
        <w:rPr>
          <w:rFonts w:eastAsiaTheme="minorHAnsi"/>
          <w:sz w:val="22"/>
          <w:szCs w:val="22"/>
          <w:lang w:eastAsia="en-US"/>
        </w:rPr>
        <w:t xml:space="preserve"> </w:t>
      </w:r>
      <w:r w:rsidR="00F6496C">
        <w:rPr>
          <w:rFonts w:eastAsiaTheme="minorHAnsi"/>
          <w:sz w:val="22"/>
          <w:szCs w:val="22"/>
          <w:lang w:eastAsia="en-US"/>
        </w:rPr>
        <w:t>(</w:t>
      </w:r>
      <w:r w:rsidR="00F6496C" w:rsidRPr="00FB2697">
        <w:rPr>
          <w:rFonts w:eastAsiaTheme="minorHAnsi"/>
          <w:b/>
          <w:sz w:val="22"/>
          <w:szCs w:val="22"/>
          <w:lang w:eastAsia="en-US"/>
        </w:rPr>
        <w:t>Telstra</w:t>
      </w:r>
      <w:r w:rsidR="00F6496C">
        <w:rPr>
          <w:rFonts w:eastAsiaTheme="minorHAnsi"/>
          <w:sz w:val="22"/>
          <w:szCs w:val="22"/>
          <w:lang w:eastAsia="en-US"/>
        </w:rPr>
        <w:t>)</w:t>
      </w:r>
      <w:r w:rsidR="00F00F0F">
        <w:rPr>
          <w:rFonts w:eastAsiaTheme="minorHAnsi"/>
          <w:sz w:val="22"/>
          <w:szCs w:val="22"/>
          <w:lang w:eastAsia="en-US"/>
        </w:rPr>
        <w:t xml:space="preserve"> </w:t>
      </w:r>
      <w:r w:rsidR="00525481">
        <w:rPr>
          <w:rFonts w:eastAsiaTheme="minorHAnsi"/>
          <w:sz w:val="22"/>
          <w:szCs w:val="22"/>
          <w:lang w:eastAsia="en-US"/>
        </w:rPr>
        <w:t>won four</w:t>
      </w:r>
      <w:r w:rsidRPr="00525481">
        <w:rPr>
          <w:rFonts w:eastAsiaTheme="minorHAnsi"/>
          <w:sz w:val="22"/>
          <w:szCs w:val="22"/>
          <w:lang w:eastAsia="en-US"/>
        </w:rPr>
        <w:t xml:space="preserve"> lots (</w:t>
      </w:r>
      <w:r w:rsidR="00525481">
        <w:rPr>
          <w:rFonts w:eastAsiaTheme="minorHAnsi"/>
          <w:sz w:val="22"/>
          <w:szCs w:val="22"/>
          <w:lang w:eastAsia="en-US"/>
        </w:rPr>
        <w:t xml:space="preserve">totalling </w:t>
      </w:r>
      <w:r w:rsidRPr="00525481">
        <w:rPr>
          <w:rFonts w:eastAsiaTheme="minorHAnsi"/>
          <w:sz w:val="22"/>
          <w:szCs w:val="22"/>
          <w:lang w:eastAsia="en-US"/>
        </w:rPr>
        <w:t>2 x 20 MHz</w:t>
      </w:r>
      <w:r w:rsidR="00525481">
        <w:rPr>
          <w:rFonts w:eastAsiaTheme="minorHAnsi"/>
          <w:sz w:val="22"/>
          <w:szCs w:val="22"/>
          <w:lang w:eastAsia="en-US"/>
        </w:rPr>
        <w:t>, for the frequency ranges</w:t>
      </w:r>
      <w:r w:rsidR="00B83BE2" w:rsidRPr="00525481">
        <w:rPr>
          <w:rFonts w:eastAsiaTheme="minorHAnsi"/>
          <w:sz w:val="22"/>
          <w:szCs w:val="22"/>
          <w:lang w:eastAsia="en-US"/>
        </w:rPr>
        <w:t xml:space="preserve"> 713</w:t>
      </w:r>
      <w:r w:rsidR="00525481">
        <w:rPr>
          <w:rFonts w:eastAsiaTheme="minorHAnsi"/>
          <w:sz w:val="22"/>
          <w:szCs w:val="22"/>
          <w:lang w:eastAsia="en-US"/>
        </w:rPr>
        <w:t xml:space="preserve"> </w:t>
      </w:r>
      <w:r w:rsidR="000846F4">
        <w:rPr>
          <w:rFonts w:eastAsiaTheme="minorHAnsi"/>
          <w:sz w:val="22"/>
          <w:szCs w:val="22"/>
          <w:lang w:eastAsia="en-US"/>
        </w:rPr>
        <w:t xml:space="preserve">MHz </w:t>
      </w:r>
      <w:r w:rsidR="00525481">
        <w:rPr>
          <w:rFonts w:eastAsiaTheme="minorHAnsi"/>
          <w:sz w:val="22"/>
          <w:szCs w:val="22"/>
          <w:lang w:eastAsia="en-US"/>
        </w:rPr>
        <w:t xml:space="preserve">to </w:t>
      </w:r>
      <w:r w:rsidR="00B83BE2" w:rsidRPr="00525481">
        <w:rPr>
          <w:rFonts w:eastAsiaTheme="minorHAnsi"/>
          <w:sz w:val="22"/>
          <w:szCs w:val="22"/>
          <w:lang w:eastAsia="en-US"/>
        </w:rPr>
        <w:t>733 MHz</w:t>
      </w:r>
      <w:r w:rsidR="00525481">
        <w:rPr>
          <w:rFonts w:eastAsiaTheme="minorHAnsi"/>
          <w:sz w:val="22"/>
          <w:szCs w:val="22"/>
          <w:lang w:eastAsia="en-US"/>
        </w:rPr>
        <w:t xml:space="preserve"> and </w:t>
      </w:r>
      <w:r w:rsidR="000846F4" w:rsidRPr="00525481">
        <w:rPr>
          <w:rFonts w:eastAsiaTheme="minorHAnsi"/>
          <w:sz w:val="22"/>
          <w:szCs w:val="22"/>
          <w:lang w:eastAsia="en-US"/>
        </w:rPr>
        <w:t>768</w:t>
      </w:r>
      <w:r w:rsidR="000846F4">
        <w:rPr>
          <w:rFonts w:eastAsiaTheme="minorHAnsi"/>
          <w:sz w:val="22"/>
          <w:szCs w:val="22"/>
          <w:lang w:eastAsia="en-US"/>
        </w:rPr>
        <w:t xml:space="preserve"> MHz </w:t>
      </w:r>
      <w:r w:rsidR="00525481">
        <w:rPr>
          <w:rFonts w:eastAsiaTheme="minorHAnsi"/>
          <w:sz w:val="22"/>
          <w:szCs w:val="22"/>
          <w:lang w:eastAsia="en-US"/>
        </w:rPr>
        <w:t xml:space="preserve">to </w:t>
      </w:r>
      <w:r w:rsidR="00525481" w:rsidRPr="00525481">
        <w:rPr>
          <w:rFonts w:eastAsiaTheme="minorHAnsi"/>
          <w:sz w:val="22"/>
          <w:szCs w:val="22"/>
          <w:lang w:eastAsia="en-US"/>
        </w:rPr>
        <w:t>788</w:t>
      </w:r>
      <w:r w:rsidR="00525481">
        <w:rPr>
          <w:rFonts w:eastAsiaTheme="minorHAnsi"/>
          <w:sz w:val="22"/>
          <w:szCs w:val="22"/>
          <w:lang w:eastAsia="en-US"/>
        </w:rPr>
        <w:t> </w:t>
      </w:r>
      <w:r w:rsidR="00B83BE2" w:rsidRPr="00525481">
        <w:rPr>
          <w:rFonts w:eastAsiaTheme="minorHAnsi"/>
          <w:sz w:val="22"/>
          <w:szCs w:val="22"/>
          <w:lang w:eastAsia="en-US"/>
        </w:rPr>
        <w:t>MHz)</w:t>
      </w:r>
      <w:r w:rsidRPr="00525481">
        <w:rPr>
          <w:rFonts w:eastAsiaTheme="minorHAnsi"/>
          <w:sz w:val="22"/>
          <w:szCs w:val="22"/>
          <w:lang w:eastAsia="en-US"/>
        </w:rPr>
        <w:t xml:space="preserve">. </w:t>
      </w:r>
      <w:r w:rsidR="00AC7315">
        <w:rPr>
          <w:rFonts w:eastAsiaTheme="minorHAnsi"/>
          <w:sz w:val="22"/>
          <w:szCs w:val="22"/>
          <w:lang w:eastAsia="en-US"/>
        </w:rPr>
        <w:t xml:space="preserve"> </w:t>
      </w:r>
      <w:r w:rsidR="00B83BE2" w:rsidRPr="00525481">
        <w:rPr>
          <w:rFonts w:eastAsiaTheme="minorHAnsi"/>
          <w:sz w:val="22"/>
          <w:szCs w:val="22"/>
          <w:lang w:eastAsia="en-US"/>
        </w:rPr>
        <w:t xml:space="preserve">This meant that there were </w:t>
      </w:r>
      <w:r w:rsidR="00633C97" w:rsidRPr="00525481">
        <w:rPr>
          <w:rFonts w:eastAsiaTheme="minorHAnsi"/>
          <w:sz w:val="22"/>
          <w:szCs w:val="22"/>
          <w:lang w:eastAsia="en-US"/>
        </w:rPr>
        <w:t xml:space="preserve">three 2 x 5 MHz </w:t>
      </w:r>
      <w:r w:rsidR="00B83BE2" w:rsidRPr="00525481">
        <w:rPr>
          <w:rFonts w:eastAsiaTheme="minorHAnsi"/>
          <w:sz w:val="22"/>
          <w:szCs w:val="22"/>
          <w:lang w:eastAsia="en-US"/>
        </w:rPr>
        <w:t>lots (</w:t>
      </w:r>
      <w:r w:rsidR="00E02626">
        <w:rPr>
          <w:rFonts w:eastAsiaTheme="minorHAnsi"/>
          <w:sz w:val="22"/>
          <w:szCs w:val="22"/>
          <w:lang w:eastAsia="en-US"/>
        </w:rPr>
        <w:t xml:space="preserve">totalling </w:t>
      </w:r>
      <w:r w:rsidR="00B83BE2" w:rsidRPr="00525481">
        <w:rPr>
          <w:rFonts w:eastAsiaTheme="minorHAnsi"/>
          <w:sz w:val="22"/>
          <w:szCs w:val="22"/>
          <w:lang w:eastAsia="en-US"/>
        </w:rPr>
        <w:t>2 x 15 MHz</w:t>
      </w:r>
      <w:r w:rsidR="00E02626">
        <w:rPr>
          <w:rFonts w:eastAsiaTheme="minorHAnsi"/>
          <w:sz w:val="22"/>
          <w:szCs w:val="22"/>
          <w:lang w:eastAsia="en-US"/>
        </w:rPr>
        <w:t xml:space="preserve">, for the frequency ranges </w:t>
      </w:r>
      <w:r w:rsidR="00B83BE2" w:rsidRPr="00525481">
        <w:rPr>
          <w:rFonts w:eastAsiaTheme="minorHAnsi"/>
          <w:sz w:val="22"/>
          <w:szCs w:val="22"/>
          <w:lang w:eastAsia="en-US"/>
        </w:rPr>
        <w:t>733</w:t>
      </w:r>
      <w:r w:rsidR="000846F4">
        <w:rPr>
          <w:rFonts w:eastAsiaTheme="minorHAnsi"/>
          <w:sz w:val="22"/>
          <w:szCs w:val="22"/>
          <w:lang w:eastAsia="en-US"/>
        </w:rPr>
        <w:t xml:space="preserve"> MHz</w:t>
      </w:r>
      <w:r w:rsidR="00E02626">
        <w:rPr>
          <w:rFonts w:eastAsiaTheme="minorHAnsi"/>
          <w:sz w:val="22"/>
          <w:szCs w:val="22"/>
          <w:lang w:eastAsia="en-US"/>
        </w:rPr>
        <w:t xml:space="preserve"> to </w:t>
      </w:r>
      <w:r w:rsidR="00B83BE2" w:rsidRPr="00525481">
        <w:rPr>
          <w:rFonts w:eastAsiaTheme="minorHAnsi"/>
          <w:sz w:val="22"/>
          <w:szCs w:val="22"/>
          <w:lang w:eastAsia="en-US"/>
        </w:rPr>
        <w:t>738</w:t>
      </w:r>
      <w:r w:rsidR="000846F4">
        <w:rPr>
          <w:rFonts w:eastAsiaTheme="minorHAnsi"/>
          <w:sz w:val="22"/>
          <w:szCs w:val="22"/>
          <w:lang w:eastAsia="en-US"/>
        </w:rPr>
        <w:t xml:space="preserve"> MHz</w:t>
      </w:r>
      <w:r w:rsidR="00E02626">
        <w:rPr>
          <w:rFonts w:eastAsiaTheme="minorHAnsi"/>
          <w:sz w:val="22"/>
          <w:szCs w:val="22"/>
          <w:lang w:eastAsia="en-US"/>
        </w:rPr>
        <w:t xml:space="preserve"> and </w:t>
      </w:r>
      <w:r w:rsidR="00B83BE2" w:rsidRPr="00525481">
        <w:rPr>
          <w:rFonts w:eastAsiaTheme="minorHAnsi"/>
          <w:sz w:val="22"/>
          <w:szCs w:val="22"/>
          <w:lang w:eastAsia="en-US"/>
        </w:rPr>
        <w:t>788</w:t>
      </w:r>
      <w:r w:rsidR="000846F4">
        <w:rPr>
          <w:rFonts w:eastAsiaTheme="minorHAnsi"/>
          <w:sz w:val="22"/>
          <w:szCs w:val="22"/>
          <w:lang w:eastAsia="en-US"/>
        </w:rPr>
        <w:t xml:space="preserve"> MHz</w:t>
      </w:r>
      <w:r w:rsidR="00E02626">
        <w:rPr>
          <w:rFonts w:eastAsiaTheme="minorHAnsi"/>
          <w:sz w:val="22"/>
          <w:szCs w:val="22"/>
          <w:lang w:eastAsia="en-US"/>
        </w:rPr>
        <w:t xml:space="preserve"> to </w:t>
      </w:r>
      <w:r w:rsidR="00B83BE2" w:rsidRPr="00525481">
        <w:rPr>
          <w:rFonts w:eastAsiaTheme="minorHAnsi"/>
          <w:sz w:val="22"/>
          <w:szCs w:val="22"/>
          <w:lang w:eastAsia="en-US"/>
        </w:rPr>
        <w:t xml:space="preserve">793 MHz) which were left unsold. </w:t>
      </w:r>
    </w:p>
    <w:p w14:paraId="22956D5F" w14:textId="609348B6" w:rsidR="00E271E0" w:rsidRPr="00644348" w:rsidRDefault="00E02626" w:rsidP="00644348">
      <w:pPr>
        <w:spacing w:after="160" w:line="259" w:lineRule="auto"/>
        <w:rPr>
          <w:rFonts w:eastAsiaTheme="minorHAnsi"/>
          <w:i/>
          <w:sz w:val="22"/>
          <w:szCs w:val="22"/>
          <w:lang w:eastAsia="en-US"/>
        </w:rPr>
      </w:pPr>
      <w:r w:rsidRPr="00644348">
        <w:rPr>
          <w:rFonts w:eastAsiaTheme="minorHAnsi"/>
          <w:i/>
          <w:sz w:val="22"/>
          <w:szCs w:val="22"/>
          <w:lang w:eastAsia="en-US"/>
        </w:rPr>
        <w:t xml:space="preserve">Residual </w:t>
      </w:r>
      <w:r w:rsidR="00E271E0" w:rsidRPr="00644348">
        <w:rPr>
          <w:rFonts w:eastAsiaTheme="minorHAnsi"/>
          <w:i/>
          <w:sz w:val="22"/>
          <w:szCs w:val="22"/>
          <w:lang w:eastAsia="en-US"/>
        </w:rPr>
        <w:t>700 MHz band</w:t>
      </w:r>
      <w:r w:rsidR="007207A7" w:rsidRPr="00644348">
        <w:rPr>
          <w:rFonts w:eastAsiaTheme="minorHAnsi"/>
          <w:i/>
          <w:sz w:val="22"/>
          <w:szCs w:val="22"/>
          <w:lang w:eastAsia="en-US"/>
        </w:rPr>
        <w:t xml:space="preserve"> scheduled for </w:t>
      </w:r>
      <w:r w:rsidR="00E271E0" w:rsidRPr="00644348">
        <w:rPr>
          <w:rFonts w:eastAsiaTheme="minorHAnsi"/>
          <w:i/>
          <w:sz w:val="22"/>
          <w:szCs w:val="22"/>
          <w:lang w:eastAsia="en-US"/>
        </w:rPr>
        <w:t>allocation in 2017</w:t>
      </w:r>
    </w:p>
    <w:p w14:paraId="034BB8D0" w14:textId="52E3A469" w:rsidR="00131457" w:rsidRPr="000846F4" w:rsidRDefault="00E02626" w:rsidP="00E02626">
      <w:pPr>
        <w:spacing w:after="160" w:line="259" w:lineRule="auto"/>
        <w:rPr>
          <w:rFonts w:eastAsiaTheme="minorHAnsi"/>
          <w:sz w:val="22"/>
          <w:szCs w:val="22"/>
          <w:lang w:eastAsia="en-US"/>
        </w:rPr>
      </w:pPr>
      <w:r w:rsidRPr="000846F4">
        <w:rPr>
          <w:rFonts w:eastAsiaTheme="minorHAnsi"/>
          <w:sz w:val="22"/>
          <w:szCs w:val="22"/>
          <w:lang w:eastAsia="en-US"/>
        </w:rPr>
        <w:t>The Minister for Communications and the Arts, Senator Mitch Fifield, (</w:t>
      </w:r>
      <w:r w:rsidRPr="000846F4">
        <w:rPr>
          <w:rFonts w:eastAsiaTheme="minorHAnsi"/>
          <w:b/>
          <w:sz w:val="22"/>
          <w:szCs w:val="22"/>
          <w:lang w:eastAsia="en-US"/>
        </w:rPr>
        <w:t>the Minister</w:t>
      </w:r>
      <w:r w:rsidRPr="000846F4">
        <w:rPr>
          <w:rFonts w:eastAsiaTheme="minorHAnsi"/>
          <w:sz w:val="22"/>
          <w:szCs w:val="22"/>
          <w:lang w:eastAsia="en-US"/>
        </w:rPr>
        <w:t xml:space="preserve">) </w:t>
      </w:r>
      <w:r w:rsidR="00AC7315" w:rsidRPr="000846F4">
        <w:rPr>
          <w:rFonts w:eastAsiaTheme="minorHAnsi"/>
          <w:sz w:val="22"/>
          <w:szCs w:val="22"/>
          <w:lang w:eastAsia="en-US"/>
        </w:rPr>
        <w:t xml:space="preserve">has </w:t>
      </w:r>
      <w:r w:rsidRPr="000846F4">
        <w:rPr>
          <w:rFonts w:eastAsiaTheme="minorHAnsi"/>
          <w:sz w:val="22"/>
          <w:szCs w:val="22"/>
          <w:lang w:eastAsia="en-US"/>
        </w:rPr>
        <w:t xml:space="preserve">directed the ACMA under section 14 of the </w:t>
      </w:r>
      <w:r w:rsidRPr="000846F4">
        <w:rPr>
          <w:rFonts w:eastAsiaTheme="minorHAnsi"/>
          <w:i/>
          <w:sz w:val="22"/>
          <w:szCs w:val="22"/>
          <w:lang w:eastAsia="en-US"/>
        </w:rPr>
        <w:t xml:space="preserve">Australian Communications and Media Authority Act 2005 </w:t>
      </w:r>
      <w:r w:rsidRPr="000846F4">
        <w:rPr>
          <w:rFonts w:eastAsiaTheme="minorHAnsi"/>
          <w:sz w:val="22"/>
          <w:szCs w:val="22"/>
          <w:lang w:eastAsia="en-US"/>
        </w:rPr>
        <w:t>(</w:t>
      </w:r>
      <w:r w:rsidRPr="000846F4">
        <w:rPr>
          <w:rFonts w:eastAsiaTheme="minorHAnsi"/>
          <w:b/>
          <w:sz w:val="22"/>
          <w:szCs w:val="22"/>
          <w:lang w:eastAsia="en-US"/>
        </w:rPr>
        <w:t>ACMA Act</w:t>
      </w:r>
      <w:r w:rsidRPr="000846F4">
        <w:rPr>
          <w:rFonts w:eastAsiaTheme="minorHAnsi"/>
          <w:sz w:val="22"/>
          <w:szCs w:val="22"/>
          <w:lang w:eastAsia="en-US"/>
        </w:rPr>
        <w:t xml:space="preserve">) to take such action as the ACMA considers necessary </w:t>
      </w:r>
      <w:r w:rsidR="000846F4">
        <w:rPr>
          <w:rFonts w:eastAsiaTheme="minorHAnsi"/>
          <w:sz w:val="22"/>
          <w:szCs w:val="22"/>
          <w:lang w:eastAsia="en-US"/>
        </w:rPr>
        <w:t xml:space="preserve">or convenient </w:t>
      </w:r>
      <w:r w:rsidRPr="000846F4">
        <w:rPr>
          <w:rFonts w:eastAsiaTheme="minorHAnsi"/>
          <w:sz w:val="22"/>
          <w:szCs w:val="22"/>
          <w:lang w:eastAsia="en-US"/>
        </w:rPr>
        <w:t xml:space="preserve">to allocate and issue spectrum licences, authorising the operation of </w:t>
      </w:r>
      <w:proofErr w:type="spellStart"/>
      <w:r w:rsidRPr="000846F4">
        <w:rPr>
          <w:rFonts w:eastAsiaTheme="minorHAnsi"/>
          <w:sz w:val="22"/>
          <w:szCs w:val="22"/>
          <w:lang w:eastAsia="en-US"/>
        </w:rPr>
        <w:t>radiocommunications</w:t>
      </w:r>
      <w:proofErr w:type="spellEnd"/>
      <w:r w:rsidRPr="000846F4">
        <w:rPr>
          <w:rFonts w:eastAsiaTheme="minorHAnsi"/>
          <w:sz w:val="22"/>
          <w:szCs w:val="22"/>
          <w:lang w:eastAsia="en-US"/>
        </w:rPr>
        <w:t xml:space="preserve"> devices in the residual 700 MHz band (see </w:t>
      </w:r>
      <w:r w:rsidR="000846F4">
        <w:rPr>
          <w:rFonts w:eastAsiaTheme="minorHAnsi"/>
          <w:sz w:val="22"/>
          <w:szCs w:val="22"/>
          <w:lang w:eastAsia="en-US"/>
        </w:rPr>
        <w:t>sub</w:t>
      </w:r>
      <w:r w:rsidRPr="000846F4">
        <w:rPr>
          <w:rFonts w:eastAsiaTheme="minorHAnsi"/>
          <w:sz w:val="22"/>
          <w:szCs w:val="22"/>
          <w:lang w:eastAsia="en-US"/>
        </w:rPr>
        <w:t>section 8</w:t>
      </w:r>
      <w:r w:rsidR="000846F4">
        <w:rPr>
          <w:rFonts w:eastAsiaTheme="minorHAnsi"/>
          <w:sz w:val="22"/>
          <w:szCs w:val="22"/>
          <w:lang w:eastAsia="en-US"/>
        </w:rPr>
        <w:t>(2)</w:t>
      </w:r>
      <w:r w:rsidRPr="000846F4">
        <w:rPr>
          <w:rFonts w:eastAsiaTheme="minorHAnsi"/>
          <w:sz w:val="22"/>
          <w:szCs w:val="22"/>
          <w:lang w:eastAsia="en-US"/>
        </w:rPr>
        <w:t xml:space="preserve"> of the </w:t>
      </w:r>
      <w:proofErr w:type="spellStart"/>
      <w:r w:rsidRPr="000846F4">
        <w:rPr>
          <w:rFonts w:eastAsiaTheme="minorHAnsi"/>
          <w:i/>
          <w:sz w:val="22"/>
          <w:szCs w:val="22"/>
          <w:lang w:eastAsia="en-US"/>
        </w:rPr>
        <w:t>Radiocommunications</w:t>
      </w:r>
      <w:proofErr w:type="spellEnd"/>
      <w:r w:rsidRPr="000846F4">
        <w:rPr>
          <w:rFonts w:eastAsiaTheme="minorHAnsi"/>
          <w:i/>
          <w:sz w:val="22"/>
          <w:szCs w:val="22"/>
          <w:lang w:eastAsia="en-US"/>
        </w:rPr>
        <w:t xml:space="preserve"> (Spectrum Licence Allocation—Residual 700 MHz Spectrum) Direction 2016</w:t>
      </w:r>
      <w:r w:rsidR="0092683E" w:rsidRPr="000846F4">
        <w:rPr>
          <w:rFonts w:eastAsiaTheme="minorHAnsi"/>
          <w:i/>
          <w:sz w:val="22"/>
          <w:szCs w:val="22"/>
          <w:lang w:eastAsia="en-US"/>
        </w:rPr>
        <w:t xml:space="preserve"> </w:t>
      </w:r>
      <w:r w:rsidR="0092683E" w:rsidRPr="000846F4">
        <w:rPr>
          <w:rFonts w:eastAsiaTheme="minorHAnsi"/>
          <w:sz w:val="22"/>
          <w:szCs w:val="22"/>
          <w:lang w:eastAsia="en-US"/>
        </w:rPr>
        <w:t>(</w:t>
      </w:r>
      <w:r w:rsidR="0092683E" w:rsidRPr="000846F4">
        <w:rPr>
          <w:rFonts w:eastAsiaTheme="minorHAnsi"/>
          <w:b/>
          <w:sz w:val="22"/>
          <w:szCs w:val="22"/>
          <w:lang w:eastAsia="en-US"/>
        </w:rPr>
        <w:t>the Residual 700 MHz Spectrum Direction</w:t>
      </w:r>
      <w:r w:rsidR="0092683E" w:rsidRPr="000846F4">
        <w:rPr>
          <w:rFonts w:eastAsiaTheme="minorHAnsi"/>
          <w:sz w:val="22"/>
          <w:szCs w:val="22"/>
          <w:lang w:eastAsia="en-US"/>
        </w:rPr>
        <w:t>)</w:t>
      </w:r>
      <w:r w:rsidR="00AC7315" w:rsidRPr="000846F4">
        <w:rPr>
          <w:rFonts w:eastAsiaTheme="minorHAnsi"/>
          <w:sz w:val="22"/>
          <w:szCs w:val="22"/>
          <w:lang w:eastAsia="en-US"/>
        </w:rPr>
        <w:t>)</w:t>
      </w:r>
      <w:r w:rsidRPr="000846F4">
        <w:rPr>
          <w:rFonts w:eastAsiaTheme="minorHAnsi"/>
          <w:sz w:val="22"/>
          <w:szCs w:val="22"/>
          <w:lang w:eastAsia="en-US"/>
        </w:rPr>
        <w:t xml:space="preserve">. </w:t>
      </w:r>
      <w:r w:rsidR="000846F4">
        <w:rPr>
          <w:rFonts w:eastAsiaTheme="minorHAnsi"/>
          <w:sz w:val="22"/>
          <w:szCs w:val="22"/>
          <w:lang w:eastAsia="en-US"/>
        </w:rPr>
        <w:t xml:space="preserve"> </w:t>
      </w:r>
      <w:r w:rsidR="00E271E0" w:rsidRPr="000846F4">
        <w:rPr>
          <w:rFonts w:eastAsiaTheme="minorHAnsi"/>
          <w:sz w:val="22"/>
          <w:szCs w:val="22"/>
          <w:lang w:eastAsia="en-US"/>
        </w:rPr>
        <w:t>The</w:t>
      </w:r>
      <w:r w:rsidRPr="000846F4">
        <w:rPr>
          <w:rFonts w:eastAsiaTheme="minorHAnsi"/>
          <w:sz w:val="22"/>
          <w:szCs w:val="22"/>
          <w:lang w:eastAsia="en-US"/>
        </w:rPr>
        <w:t xml:space="preserve"> Minister has directed the ACMA, in allocating these spectrum licences, to offer the following two products</w:t>
      </w:r>
      <w:r w:rsidR="00716F1F" w:rsidRPr="000846F4">
        <w:rPr>
          <w:rFonts w:eastAsiaTheme="minorHAnsi"/>
          <w:sz w:val="22"/>
          <w:szCs w:val="22"/>
          <w:lang w:eastAsia="en-US"/>
        </w:rPr>
        <w:t xml:space="preserve"> </w:t>
      </w:r>
      <w:r w:rsidR="00486739" w:rsidRPr="000846F4">
        <w:rPr>
          <w:rFonts w:eastAsiaTheme="minorHAnsi"/>
          <w:sz w:val="22"/>
          <w:szCs w:val="22"/>
          <w:lang w:eastAsia="en-US"/>
        </w:rPr>
        <w:t>sequentially</w:t>
      </w:r>
      <w:r w:rsidR="00131457" w:rsidRPr="000846F4">
        <w:rPr>
          <w:rFonts w:eastAsiaTheme="minorHAnsi"/>
          <w:sz w:val="22"/>
          <w:szCs w:val="22"/>
          <w:lang w:eastAsia="en-US"/>
        </w:rPr>
        <w:t>:</w:t>
      </w:r>
    </w:p>
    <w:p w14:paraId="20529E09" w14:textId="328E2536" w:rsidR="00131457" w:rsidRPr="000846F4" w:rsidRDefault="00E02626" w:rsidP="00F00F0F">
      <w:pPr>
        <w:pStyle w:val="ListParagraph"/>
        <w:numPr>
          <w:ilvl w:val="0"/>
          <w:numId w:val="22"/>
        </w:numPr>
        <w:spacing w:after="160" w:line="259" w:lineRule="auto"/>
        <w:rPr>
          <w:rFonts w:ascii="Times New Roman" w:eastAsiaTheme="minorHAnsi" w:hAnsi="Times New Roman"/>
        </w:rPr>
      </w:pPr>
      <w:r w:rsidRPr="000846F4">
        <w:rPr>
          <w:rFonts w:ascii="Times New Roman" w:eastAsiaTheme="minorHAnsi" w:hAnsi="Times New Roman"/>
        </w:rPr>
        <w:t xml:space="preserve">a </w:t>
      </w:r>
      <w:r w:rsidR="00131457" w:rsidRPr="000846F4">
        <w:rPr>
          <w:rFonts w:ascii="Times New Roman" w:eastAsiaTheme="minorHAnsi" w:hAnsi="Times New Roman"/>
        </w:rPr>
        <w:t xml:space="preserve">2 x10 MHz </w:t>
      </w:r>
      <w:r w:rsidRPr="000846F4">
        <w:rPr>
          <w:rFonts w:ascii="Times New Roman" w:eastAsiaTheme="minorHAnsi" w:hAnsi="Times New Roman"/>
        </w:rPr>
        <w:t xml:space="preserve">lot, representing the frequency ranges </w:t>
      </w:r>
      <w:r w:rsidR="00486739" w:rsidRPr="000846F4">
        <w:rPr>
          <w:rFonts w:ascii="Times New Roman" w:eastAsiaTheme="minorHAnsi" w:hAnsi="Times New Roman"/>
        </w:rPr>
        <w:t>738</w:t>
      </w:r>
      <w:r w:rsidR="000846F4">
        <w:rPr>
          <w:rFonts w:ascii="Times New Roman" w:eastAsiaTheme="minorHAnsi" w:hAnsi="Times New Roman"/>
        </w:rPr>
        <w:t> MHz</w:t>
      </w:r>
      <w:r w:rsidRPr="000846F4">
        <w:rPr>
          <w:rFonts w:ascii="Times New Roman" w:eastAsiaTheme="minorHAnsi" w:hAnsi="Times New Roman"/>
        </w:rPr>
        <w:t xml:space="preserve"> to </w:t>
      </w:r>
      <w:r w:rsidR="00486739" w:rsidRPr="000846F4">
        <w:rPr>
          <w:rFonts w:ascii="Times New Roman" w:eastAsiaTheme="minorHAnsi" w:hAnsi="Times New Roman"/>
        </w:rPr>
        <w:t>748 MHz</w:t>
      </w:r>
      <w:r w:rsidRPr="000846F4">
        <w:rPr>
          <w:rFonts w:ascii="Times New Roman" w:eastAsiaTheme="minorHAnsi" w:hAnsi="Times New Roman"/>
        </w:rPr>
        <w:t xml:space="preserve"> and </w:t>
      </w:r>
      <w:r w:rsidR="00486739" w:rsidRPr="000846F4">
        <w:rPr>
          <w:rFonts w:ascii="Times New Roman" w:eastAsiaTheme="minorHAnsi" w:hAnsi="Times New Roman"/>
        </w:rPr>
        <w:t>793</w:t>
      </w:r>
      <w:r w:rsidR="000846F4">
        <w:rPr>
          <w:rFonts w:ascii="Times New Roman" w:eastAsiaTheme="minorHAnsi" w:hAnsi="Times New Roman"/>
        </w:rPr>
        <w:t> MHz</w:t>
      </w:r>
      <w:r w:rsidRPr="000846F4">
        <w:rPr>
          <w:rFonts w:ascii="Times New Roman" w:eastAsiaTheme="minorHAnsi" w:hAnsi="Times New Roman"/>
        </w:rPr>
        <w:t xml:space="preserve"> to 803 </w:t>
      </w:r>
      <w:r w:rsidR="00486739" w:rsidRPr="000846F4">
        <w:rPr>
          <w:rFonts w:ascii="Times New Roman" w:eastAsiaTheme="minorHAnsi" w:hAnsi="Times New Roman"/>
        </w:rPr>
        <w:t>MHz</w:t>
      </w:r>
      <w:r w:rsidRPr="000846F4">
        <w:rPr>
          <w:rFonts w:ascii="Times New Roman" w:eastAsiaTheme="minorHAnsi" w:hAnsi="Times New Roman"/>
        </w:rPr>
        <w:t>;</w:t>
      </w:r>
      <w:r w:rsidR="00486739" w:rsidRPr="000846F4">
        <w:rPr>
          <w:rFonts w:ascii="Times New Roman" w:eastAsiaTheme="minorHAnsi" w:hAnsi="Times New Roman"/>
        </w:rPr>
        <w:t xml:space="preserve"> </w:t>
      </w:r>
      <w:r w:rsidR="00131457" w:rsidRPr="000846F4">
        <w:rPr>
          <w:rFonts w:ascii="Times New Roman" w:eastAsiaTheme="minorHAnsi" w:hAnsi="Times New Roman"/>
        </w:rPr>
        <w:t xml:space="preserve">and </w:t>
      </w:r>
    </w:p>
    <w:p w14:paraId="461CE03B" w14:textId="4C1B634A" w:rsidR="00131457" w:rsidRPr="000846F4" w:rsidRDefault="00E02626" w:rsidP="00F00F0F">
      <w:pPr>
        <w:pStyle w:val="ListParagraph"/>
        <w:numPr>
          <w:ilvl w:val="0"/>
          <w:numId w:val="22"/>
        </w:numPr>
        <w:spacing w:after="160" w:line="259" w:lineRule="auto"/>
        <w:rPr>
          <w:rFonts w:ascii="Times New Roman" w:eastAsiaTheme="minorHAnsi" w:hAnsi="Times New Roman"/>
        </w:rPr>
      </w:pPr>
      <w:proofErr w:type="gramStart"/>
      <w:r w:rsidRPr="000846F4">
        <w:rPr>
          <w:rFonts w:ascii="Times New Roman" w:eastAsiaTheme="minorHAnsi" w:hAnsi="Times New Roman"/>
        </w:rPr>
        <w:t>a</w:t>
      </w:r>
      <w:proofErr w:type="gramEnd"/>
      <w:r w:rsidRPr="000846F4">
        <w:rPr>
          <w:rFonts w:ascii="Times New Roman" w:eastAsiaTheme="minorHAnsi" w:hAnsi="Times New Roman"/>
        </w:rPr>
        <w:t xml:space="preserve"> </w:t>
      </w:r>
      <w:r w:rsidR="00131457" w:rsidRPr="000846F4">
        <w:rPr>
          <w:rFonts w:ascii="Times New Roman" w:eastAsiaTheme="minorHAnsi" w:hAnsi="Times New Roman"/>
        </w:rPr>
        <w:t>2 x 5 MHz</w:t>
      </w:r>
      <w:r w:rsidRPr="000846F4">
        <w:rPr>
          <w:rFonts w:ascii="Times New Roman" w:eastAsiaTheme="minorHAnsi" w:hAnsi="Times New Roman"/>
        </w:rPr>
        <w:t xml:space="preserve"> lot, representing the frequency ranges </w:t>
      </w:r>
      <w:r w:rsidR="00486739" w:rsidRPr="000846F4">
        <w:rPr>
          <w:rFonts w:ascii="Times New Roman" w:eastAsiaTheme="minorHAnsi" w:hAnsi="Times New Roman"/>
        </w:rPr>
        <w:t>733</w:t>
      </w:r>
      <w:r w:rsidR="000846F4">
        <w:rPr>
          <w:rFonts w:ascii="Times New Roman" w:eastAsiaTheme="minorHAnsi" w:hAnsi="Times New Roman"/>
        </w:rPr>
        <w:t> MHz</w:t>
      </w:r>
      <w:r w:rsidRPr="000846F4">
        <w:rPr>
          <w:rFonts w:ascii="Times New Roman" w:eastAsiaTheme="minorHAnsi" w:hAnsi="Times New Roman"/>
        </w:rPr>
        <w:t xml:space="preserve"> to </w:t>
      </w:r>
      <w:r w:rsidR="00486739" w:rsidRPr="000846F4">
        <w:rPr>
          <w:rFonts w:ascii="Times New Roman" w:eastAsiaTheme="minorHAnsi" w:hAnsi="Times New Roman"/>
        </w:rPr>
        <w:t>738 MHz</w:t>
      </w:r>
      <w:r w:rsidRPr="000846F4">
        <w:rPr>
          <w:rFonts w:ascii="Times New Roman" w:eastAsiaTheme="minorHAnsi" w:hAnsi="Times New Roman"/>
        </w:rPr>
        <w:t xml:space="preserve"> and </w:t>
      </w:r>
      <w:r w:rsidR="00486739" w:rsidRPr="000846F4">
        <w:rPr>
          <w:rFonts w:ascii="Times New Roman" w:eastAsiaTheme="minorHAnsi" w:hAnsi="Times New Roman"/>
        </w:rPr>
        <w:t>788</w:t>
      </w:r>
      <w:r w:rsidR="000846F4">
        <w:rPr>
          <w:rFonts w:ascii="Times New Roman" w:eastAsiaTheme="minorHAnsi" w:hAnsi="Times New Roman"/>
        </w:rPr>
        <w:t> MHz</w:t>
      </w:r>
      <w:r w:rsidRPr="000846F4">
        <w:rPr>
          <w:rFonts w:ascii="Times New Roman" w:eastAsiaTheme="minorHAnsi" w:hAnsi="Times New Roman"/>
        </w:rPr>
        <w:t xml:space="preserve"> to 793 </w:t>
      </w:r>
      <w:proofErr w:type="spellStart"/>
      <w:r w:rsidR="00486739" w:rsidRPr="000846F4">
        <w:rPr>
          <w:rFonts w:ascii="Times New Roman" w:eastAsiaTheme="minorHAnsi" w:hAnsi="Times New Roman"/>
        </w:rPr>
        <w:t>MHz</w:t>
      </w:r>
      <w:r w:rsidRPr="000846F4">
        <w:rPr>
          <w:rFonts w:ascii="Times New Roman" w:eastAsiaTheme="minorHAnsi" w:hAnsi="Times New Roman"/>
        </w:rPr>
        <w:t>.</w:t>
      </w:r>
      <w:proofErr w:type="spellEnd"/>
    </w:p>
    <w:p w14:paraId="75FFDB21" w14:textId="010E286F" w:rsidR="00E02626" w:rsidRDefault="00E02626" w:rsidP="00E02626">
      <w:pPr>
        <w:spacing w:after="160" w:line="259" w:lineRule="auto"/>
        <w:rPr>
          <w:rFonts w:eastAsiaTheme="minorHAnsi"/>
          <w:sz w:val="22"/>
          <w:szCs w:val="22"/>
          <w:lang w:eastAsia="en-US"/>
        </w:rPr>
      </w:pPr>
      <w:r w:rsidRPr="000846F4">
        <w:rPr>
          <w:rFonts w:eastAsiaTheme="minorHAnsi"/>
          <w:sz w:val="22"/>
          <w:szCs w:val="22"/>
          <w:lang w:eastAsia="en-US"/>
        </w:rPr>
        <w:t>The Minister has also directed the ACMA to allocate the spectrum licences by way of auction</w:t>
      </w:r>
      <w:r w:rsidR="00716F1F" w:rsidRPr="000846F4">
        <w:rPr>
          <w:rFonts w:eastAsiaTheme="minorHAnsi"/>
          <w:sz w:val="22"/>
          <w:szCs w:val="22"/>
          <w:lang w:eastAsia="en-US"/>
        </w:rPr>
        <w:t>.</w:t>
      </w:r>
    </w:p>
    <w:p w14:paraId="137ED511" w14:textId="2651EE4F" w:rsidR="00716F1F" w:rsidRPr="00644348" w:rsidRDefault="00176E7C" w:rsidP="00644348">
      <w:pPr>
        <w:spacing w:after="160" w:line="259" w:lineRule="auto"/>
        <w:rPr>
          <w:rFonts w:eastAsiaTheme="minorHAnsi"/>
          <w:i/>
          <w:sz w:val="22"/>
          <w:szCs w:val="22"/>
          <w:lang w:eastAsia="en-US"/>
        </w:rPr>
      </w:pPr>
      <w:r w:rsidRPr="00644348">
        <w:rPr>
          <w:rFonts w:eastAsiaTheme="minorHAnsi"/>
          <w:i/>
          <w:sz w:val="22"/>
          <w:szCs w:val="22"/>
          <w:lang w:eastAsia="en-US"/>
        </w:rPr>
        <w:t xml:space="preserve">Operation of the </w:t>
      </w:r>
      <w:r w:rsidR="00716F1F" w:rsidRPr="00644348">
        <w:rPr>
          <w:rFonts w:eastAsiaTheme="minorHAnsi"/>
          <w:i/>
          <w:sz w:val="22"/>
          <w:szCs w:val="22"/>
          <w:lang w:eastAsia="en-US"/>
        </w:rPr>
        <w:t>Determination</w:t>
      </w:r>
    </w:p>
    <w:p w14:paraId="03C0B87C" w14:textId="19878779" w:rsidR="00716F1F" w:rsidRPr="0092683E" w:rsidRDefault="00716F1F" w:rsidP="0092683E">
      <w:pPr>
        <w:spacing w:after="160" w:line="259" w:lineRule="auto"/>
        <w:rPr>
          <w:rFonts w:eastAsiaTheme="minorHAnsi"/>
          <w:sz w:val="22"/>
          <w:szCs w:val="22"/>
          <w:lang w:eastAsia="en-US"/>
        </w:rPr>
      </w:pPr>
      <w:r w:rsidRPr="0092683E">
        <w:rPr>
          <w:rFonts w:eastAsiaTheme="minorHAnsi"/>
          <w:sz w:val="22"/>
          <w:szCs w:val="22"/>
          <w:lang w:eastAsia="en-US"/>
        </w:rPr>
        <w:t xml:space="preserve">The Determination is one of a set of legislative instruments that gives effect to the </w:t>
      </w:r>
      <w:r w:rsidR="0092683E">
        <w:rPr>
          <w:rFonts w:eastAsiaTheme="minorHAnsi"/>
          <w:sz w:val="22"/>
          <w:szCs w:val="22"/>
          <w:lang w:eastAsia="en-US"/>
        </w:rPr>
        <w:t>R</w:t>
      </w:r>
      <w:r w:rsidRPr="0092683E">
        <w:rPr>
          <w:rFonts w:eastAsiaTheme="minorHAnsi"/>
          <w:sz w:val="22"/>
          <w:szCs w:val="22"/>
          <w:lang w:eastAsia="en-US"/>
        </w:rPr>
        <w:t xml:space="preserve">e-allocation </w:t>
      </w:r>
      <w:r w:rsidR="0092683E">
        <w:rPr>
          <w:rFonts w:eastAsiaTheme="minorHAnsi"/>
          <w:sz w:val="22"/>
          <w:szCs w:val="22"/>
          <w:lang w:eastAsia="en-US"/>
        </w:rPr>
        <w:t>D</w:t>
      </w:r>
      <w:r w:rsidRPr="0092683E">
        <w:rPr>
          <w:rFonts w:eastAsiaTheme="minorHAnsi"/>
          <w:sz w:val="22"/>
          <w:szCs w:val="22"/>
          <w:lang w:eastAsia="en-US"/>
        </w:rPr>
        <w:t>eclaration</w:t>
      </w:r>
      <w:r w:rsidR="0092683E">
        <w:rPr>
          <w:rFonts w:eastAsiaTheme="minorHAnsi"/>
          <w:sz w:val="22"/>
          <w:szCs w:val="22"/>
          <w:lang w:eastAsia="en-US"/>
        </w:rPr>
        <w:t xml:space="preserve"> and the Resi</w:t>
      </w:r>
      <w:r w:rsidR="00AC7315">
        <w:rPr>
          <w:rFonts w:eastAsiaTheme="minorHAnsi"/>
          <w:sz w:val="22"/>
          <w:szCs w:val="22"/>
          <w:lang w:eastAsia="en-US"/>
        </w:rPr>
        <w:t>dual 700 MHz Spectrum Direction.</w:t>
      </w:r>
    </w:p>
    <w:p w14:paraId="13720F38" w14:textId="69AF6030" w:rsidR="00716F1F" w:rsidRPr="0092683E" w:rsidRDefault="0092683E" w:rsidP="0092683E">
      <w:pPr>
        <w:spacing w:after="160" w:line="259" w:lineRule="auto"/>
        <w:rPr>
          <w:rFonts w:eastAsiaTheme="minorHAnsi"/>
          <w:sz w:val="22"/>
          <w:szCs w:val="22"/>
          <w:lang w:eastAsia="en-US"/>
        </w:rPr>
      </w:pPr>
      <w:r>
        <w:rPr>
          <w:rFonts w:eastAsiaTheme="minorHAnsi"/>
          <w:sz w:val="22"/>
          <w:szCs w:val="22"/>
          <w:lang w:eastAsia="en-US"/>
        </w:rPr>
        <w:t>The Determination</w:t>
      </w:r>
      <w:r w:rsidR="00716F1F" w:rsidRPr="0092683E">
        <w:rPr>
          <w:rFonts w:eastAsiaTheme="minorHAnsi"/>
          <w:sz w:val="22"/>
          <w:szCs w:val="22"/>
          <w:lang w:eastAsia="en-US"/>
        </w:rPr>
        <w:t xml:space="preserve"> sets out in detail the procedures that will be used to conduct the auction. </w:t>
      </w:r>
      <w:r w:rsidR="00AC7315">
        <w:rPr>
          <w:rFonts w:eastAsiaTheme="minorHAnsi"/>
          <w:sz w:val="22"/>
          <w:szCs w:val="22"/>
          <w:lang w:eastAsia="en-US"/>
        </w:rPr>
        <w:t xml:space="preserve"> </w:t>
      </w:r>
      <w:r w:rsidR="00716F1F" w:rsidRPr="0092683E">
        <w:rPr>
          <w:rFonts w:eastAsiaTheme="minorHAnsi"/>
          <w:sz w:val="22"/>
          <w:szCs w:val="22"/>
          <w:lang w:eastAsia="en-US"/>
        </w:rPr>
        <w:t xml:space="preserve">These </w:t>
      </w:r>
      <w:r w:rsidR="00AC7315">
        <w:rPr>
          <w:rFonts w:eastAsiaTheme="minorHAnsi"/>
          <w:sz w:val="22"/>
          <w:szCs w:val="22"/>
          <w:lang w:eastAsia="en-US"/>
        </w:rPr>
        <w:t xml:space="preserve">procedures </w:t>
      </w:r>
      <w:r w:rsidR="00716F1F" w:rsidRPr="0092683E">
        <w:rPr>
          <w:rFonts w:eastAsiaTheme="minorHAnsi"/>
          <w:sz w:val="22"/>
          <w:szCs w:val="22"/>
          <w:lang w:eastAsia="en-US"/>
        </w:rPr>
        <w:t>include the requirements and responsibilities of applicants</w:t>
      </w:r>
      <w:r w:rsidR="00503C8D">
        <w:rPr>
          <w:rFonts w:eastAsiaTheme="minorHAnsi"/>
          <w:sz w:val="22"/>
          <w:szCs w:val="22"/>
          <w:lang w:eastAsia="en-US"/>
        </w:rPr>
        <w:t>, bidders</w:t>
      </w:r>
      <w:r w:rsidR="00716F1F" w:rsidRPr="0092683E">
        <w:rPr>
          <w:rFonts w:eastAsiaTheme="minorHAnsi"/>
          <w:sz w:val="22"/>
          <w:szCs w:val="22"/>
          <w:lang w:eastAsia="en-US"/>
        </w:rPr>
        <w:t xml:space="preserve"> and the ACMA throughout all stages of the allocation process. </w:t>
      </w:r>
      <w:r w:rsidR="00AC7315">
        <w:rPr>
          <w:rFonts w:eastAsiaTheme="minorHAnsi"/>
          <w:sz w:val="22"/>
          <w:szCs w:val="22"/>
          <w:lang w:eastAsia="en-US"/>
        </w:rPr>
        <w:t xml:space="preserve"> </w:t>
      </w:r>
      <w:r w:rsidR="00716F1F" w:rsidRPr="0092683E">
        <w:rPr>
          <w:rFonts w:eastAsiaTheme="minorHAnsi"/>
          <w:sz w:val="22"/>
          <w:szCs w:val="22"/>
          <w:lang w:eastAsia="en-US"/>
        </w:rPr>
        <w:t>It also sets out rules to deter collusive behaviour</w:t>
      </w:r>
      <w:r>
        <w:rPr>
          <w:rFonts w:eastAsiaTheme="minorHAnsi"/>
          <w:sz w:val="22"/>
          <w:szCs w:val="22"/>
          <w:lang w:eastAsia="en-US"/>
        </w:rPr>
        <w:t>,</w:t>
      </w:r>
      <w:r w:rsidR="00716F1F" w:rsidRPr="0092683E">
        <w:rPr>
          <w:rFonts w:eastAsiaTheme="minorHAnsi"/>
          <w:sz w:val="22"/>
          <w:szCs w:val="22"/>
          <w:lang w:eastAsia="en-US"/>
        </w:rPr>
        <w:t xml:space="preserve"> and sets the potential consequences for breaching these or other parts of the Determination.</w:t>
      </w:r>
    </w:p>
    <w:p w14:paraId="19BE843A" w14:textId="21A9C73B" w:rsidR="00716F1F" w:rsidRPr="0092683E" w:rsidRDefault="00716F1F" w:rsidP="0092683E">
      <w:pPr>
        <w:spacing w:after="160" w:line="259" w:lineRule="auto"/>
        <w:rPr>
          <w:rFonts w:eastAsiaTheme="minorHAnsi"/>
          <w:sz w:val="22"/>
          <w:szCs w:val="22"/>
          <w:lang w:eastAsia="en-US"/>
        </w:rPr>
      </w:pPr>
      <w:r w:rsidRPr="0092683E">
        <w:rPr>
          <w:rFonts w:eastAsiaTheme="minorHAnsi"/>
          <w:sz w:val="22"/>
          <w:szCs w:val="22"/>
          <w:lang w:eastAsia="en-US"/>
        </w:rPr>
        <w:t xml:space="preserve">The allocation procedures describe the necessary application and registration process for parties to become eligible to participate and bid for </w:t>
      </w:r>
      <w:r w:rsidR="0092683E">
        <w:rPr>
          <w:rFonts w:eastAsiaTheme="minorHAnsi"/>
          <w:sz w:val="22"/>
          <w:szCs w:val="22"/>
          <w:lang w:eastAsia="en-US"/>
        </w:rPr>
        <w:t>lots</w:t>
      </w:r>
      <w:r w:rsidRPr="0092683E">
        <w:rPr>
          <w:rFonts w:eastAsiaTheme="minorHAnsi"/>
          <w:sz w:val="22"/>
          <w:szCs w:val="22"/>
          <w:lang w:eastAsia="en-US"/>
        </w:rPr>
        <w:t xml:space="preserve"> at auction</w:t>
      </w:r>
      <w:r w:rsidR="00C956C7">
        <w:rPr>
          <w:rFonts w:eastAsiaTheme="minorHAnsi"/>
          <w:sz w:val="22"/>
          <w:szCs w:val="22"/>
          <w:lang w:eastAsia="en-US"/>
        </w:rPr>
        <w:t>, or to obtain lots at a pre-determined price</w:t>
      </w:r>
      <w:r w:rsidRPr="0092683E">
        <w:rPr>
          <w:rFonts w:eastAsiaTheme="minorHAnsi"/>
          <w:sz w:val="22"/>
          <w:szCs w:val="22"/>
          <w:lang w:eastAsia="en-US"/>
        </w:rPr>
        <w:t xml:space="preserve">. </w:t>
      </w:r>
      <w:r w:rsidR="00AC7315">
        <w:rPr>
          <w:rFonts w:eastAsiaTheme="minorHAnsi"/>
          <w:sz w:val="22"/>
          <w:szCs w:val="22"/>
          <w:lang w:eastAsia="en-US"/>
        </w:rPr>
        <w:t xml:space="preserve"> </w:t>
      </w:r>
      <w:r w:rsidRPr="0092683E">
        <w:rPr>
          <w:rFonts w:eastAsiaTheme="minorHAnsi"/>
          <w:sz w:val="22"/>
          <w:szCs w:val="22"/>
          <w:lang w:eastAsia="en-US"/>
        </w:rPr>
        <w:t>Th</w:t>
      </w:r>
      <w:r w:rsidR="0092683E">
        <w:rPr>
          <w:rFonts w:eastAsiaTheme="minorHAnsi"/>
          <w:sz w:val="22"/>
          <w:szCs w:val="22"/>
          <w:lang w:eastAsia="en-US"/>
        </w:rPr>
        <w:t>is</w:t>
      </w:r>
      <w:r w:rsidRPr="0092683E">
        <w:rPr>
          <w:rFonts w:eastAsiaTheme="minorHAnsi"/>
          <w:sz w:val="22"/>
          <w:szCs w:val="22"/>
          <w:lang w:eastAsia="en-US"/>
        </w:rPr>
        <w:t xml:space="preserve"> </w:t>
      </w:r>
      <w:r w:rsidR="0092683E">
        <w:rPr>
          <w:rFonts w:eastAsiaTheme="minorHAnsi"/>
          <w:sz w:val="22"/>
          <w:szCs w:val="22"/>
          <w:lang w:eastAsia="en-US"/>
        </w:rPr>
        <w:t>process</w:t>
      </w:r>
      <w:r w:rsidRPr="0092683E">
        <w:rPr>
          <w:rFonts w:eastAsiaTheme="minorHAnsi"/>
          <w:sz w:val="22"/>
          <w:szCs w:val="22"/>
          <w:lang w:eastAsia="en-US"/>
        </w:rPr>
        <w:t xml:space="preserve"> include</w:t>
      </w:r>
      <w:r w:rsidR="0092683E">
        <w:rPr>
          <w:rFonts w:eastAsiaTheme="minorHAnsi"/>
          <w:sz w:val="22"/>
          <w:szCs w:val="22"/>
          <w:lang w:eastAsia="en-US"/>
        </w:rPr>
        <w:t>s</w:t>
      </w:r>
      <w:r w:rsidRPr="0092683E">
        <w:rPr>
          <w:rFonts w:eastAsiaTheme="minorHAnsi"/>
          <w:sz w:val="22"/>
          <w:szCs w:val="22"/>
          <w:lang w:eastAsia="en-US"/>
        </w:rPr>
        <w:t xml:space="preserve"> </w:t>
      </w:r>
      <w:r w:rsidR="0092683E">
        <w:rPr>
          <w:rFonts w:eastAsiaTheme="minorHAnsi"/>
          <w:sz w:val="22"/>
          <w:szCs w:val="22"/>
          <w:lang w:eastAsia="en-US"/>
        </w:rPr>
        <w:t>the submission of</w:t>
      </w:r>
      <w:r w:rsidRPr="0092683E">
        <w:rPr>
          <w:rFonts w:eastAsiaTheme="minorHAnsi"/>
          <w:sz w:val="22"/>
          <w:szCs w:val="22"/>
          <w:lang w:eastAsia="en-US"/>
        </w:rPr>
        <w:t xml:space="preserve"> required documentation </w:t>
      </w:r>
      <w:r w:rsidR="0092683E">
        <w:rPr>
          <w:rFonts w:eastAsiaTheme="minorHAnsi"/>
          <w:sz w:val="22"/>
          <w:szCs w:val="22"/>
          <w:lang w:eastAsia="en-US"/>
        </w:rPr>
        <w:t xml:space="preserve">and the payment of application </w:t>
      </w:r>
      <w:r w:rsidRPr="0092683E">
        <w:rPr>
          <w:rFonts w:eastAsiaTheme="minorHAnsi"/>
          <w:sz w:val="22"/>
          <w:szCs w:val="22"/>
          <w:lang w:eastAsia="en-US"/>
        </w:rPr>
        <w:t>fees</w:t>
      </w:r>
      <w:r w:rsidR="0092683E">
        <w:rPr>
          <w:rFonts w:eastAsiaTheme="minorHAnsi"/>
          <w:sz w:val="22"/>
          <w:szCs w:val="22"/>
          <w:lang w:eastAsia="en-US"/>
        </w:rPr>
        <w:t>, as well as the payment of a deposit or the provision of a deed of financial security</w:t>
      </w:r>
      <w:r w:rsidRPr="0092683E">
        <w:rPr>
          <w:rFonts w:eastAsiaTheme="minorHAnsi"/>
          <w:sz w:val="22"/>
          <w:szCs w:val="22"/>
          <w:lang w:eastAsia="en-US"/>
        </w:rPr>
        <w:t>.</w:t>
      </w:r>
    </w:p>
    <w:p w14:paraId="7BE40F2E" w14:textId="4DE410CD" w:rsidR="0092683E" w:rsidRDefault="00716F1F" w:rsidP="0092683E">
      <w:pPr>
        <w:spacing w:after="160" w:line="259" w:lineRule="auto"/>
        <w:rPr>
          <w:rFonts w:eastAsiaTheme="minorHAnsi"/>
          <w:sz w:val="22"/>
          <w:szCs w:val="22"/>
          <w:lang w:eastAsia="en-US"/>
        </w:rPr>
      </w:pPr>
      <w:r w:rsidRPr="0092683E">
        <w:rPr>
          <w:rFonts w:eastAsiaTheme="minorHAnsi"/>
          <w:sz w:val="22"/>
          <w:szCs w:val="22"/>
          <w:lang w:eastAsia="en-US"/>
        </w:rPr>
        <w:lastRenderedPageBreak/>
        <w:t xml:space="preserve">Rules governing how applicants can bid on spectrum in the auction are also </w:t>
      </w:r>
      <w:r w:rsidR="0092683E">
        <w:rPr>
          <w:rFonts w:eastAsiaTheme="minorHAnsi"/>
          <w:sz w:val="22"/>
          <w:szCs w:val="22"/>
          <w:lang w:eastAsia="en-US"/>
        </w:rPr>
        <w:t>included in the Determination</w:t>
      </w:r>
      <w:r w:rsidRPr="0092683E">
        <w:rPr>
          <w:rFonts w:eastAsiaTheme="minorHAnsi"/>
          <w:sz w:val="22"/>
          <w:szCs w:val="22"/>
          <w:lang w:eastAsia="en-US"/>
        </w:rPr>
        <w:t xml:space="preserve">. </w:t>
      </w:r>
      <w:r w:rsidR="00AC7315">
        <w:rPr>
          <w:rFonts w:eastAsiaTheme="minorHAnsi"/>
          <w:sz w:val="22"/>
          <w:szCs w:val="22"/>
          <w:lang w:eastAsia="en-US"/>
        </w:rPr>
        <w:t xml:space="preserve"> </w:t>
      </w:r>
      <w:r w:rsidRPr="0092683E">
        <w:rPr>
          <w:rFonts w:eastAsiaTheme="minorHAnsi"/>
          <w:sz w:val="22"/>
          <w:szCs w:val="22"/>
          <w:lang w:eastAsia="en-US"/>
        </w:rPr>
        <w:t>The ACMA will auction spectrum</w:t>
      </w:r>
      <w:r w:rsidR="00AC7315">
        <w:rPr>
          <w:rFonts w:eastAsiaTheme="minorHAnsi"/>
          <w:sz w:val="22"/>
          <w:szCs w:val="22"/>
          <w:lang w:eastAsia="en-US"/>
        </w:rPr>
        <w:t xml:space="preserve"> in the residual 700 MHz band</w:t>
      </w:r>
      <w:r w:rsidRPr="0092683E">
        <w:rPr>
          <w:rFonts w:eastAsiaTheme="minorHAnsi"/>
          <w:sz w:val="22"/>
          <w:szCs w:val="22"/>
          <w:lang w:eastAsia="en-US"/>
        </w:rPr>
        <w:t xml:space="preserve"> divided into </w:t>
      </w:r>
      <w:r w:rsidR="0092683E">
        <w:rPr>
          <w:rFonts w:eastAsiaTheme="minorHAnsi"/>
          <w:sz w:val="22"/>
          <w:szCs w:val="22"/>
          <w:lang w:eastAsia="en-US"/>
        </w:rPr>
        <w:t xml:space="preserve">the </w:t>
      </w:r>
      <w:r w:rsidRPr="0092683E">
        <w:rPr>
          <w:rFonts w:eastAsiaTheme="minorHAnsi"/>
          <w:sz w:val="22"/>
          <w:szCs w:val="22"/>
          <w:lang w:eastAsia="en-US"/>
        </w:rPr>
        <w:t>lots described</w:t>
      </w:r>
      <w:r w:rsidR="0092683E">
        <w:rPr>
          <w:rFonts w:eastAsiaTheme="minorHAnsi"/>
          <w:sz w:val="22"/>
          <w:szCs w:val="22"/>
          <w:lang w:eastAsia="en-US"/>
        </w:rPr>
        <w:t xml:space="preserve"> above</w:t>
      </w:r>
      <w:r w:rsidRPr="0092683E">
        <w:rPr>
          <w:rFonts w:eastAsiaTheme="minorHAnsi"/>
          <w:sz w:val="22"/>
          <w:szCs w:val="22"/>
          <w:lang w:eastAsia="en-US"/>
        </w:rPr>
        <w:t xml:space="preserve">. </w:t>
      </w:r>
      <w:r w:rsidR="00AC7315">
        <w:rPr>
          <w:rFonts w:eastAsiaTheme="minorHAnsi"/>
          <w:sz w:val="22"/>
          <w:szCs w:val="22"/>
          <w:lang w:eastAsia="en-US"/>
        </w:rPr>
        <w:t xml:space="preserve"> </w:t>
      </w:r>
      <w:r w:rsidRPr="0092683E">
        <w:rPr>
          <w:rFonts w:eastAsiaTheme="minorHAnsi"/>
          <w:sz w:val="22"/>
          <w:szCs w:val="22"/>
          <w:lang w:eastAsia="en-US"/>
        </w:rPr>
        <w:t xml:space="preserve">Each lot is defined by a geographic boundary and frequency bandwidth. </w:t>
      </w:r>
    </w:p>
    <w:p w14:paraId="47398759" w14:textId="00245D74" w:rsidR="00176E7C" w:rsidRDefault="00716F1F" w:rsidP="0092683E">
      <w:pPr>
        <w:spacing w:after="160" w:line="259" w:lineRule="auto"/>
        <w:rPr>
          <w:rFonts w:eastAsiaTheme="minorHAnsi"/>
          <w:sz w:val="22"/>
          <w:szCs w:val="22"/>
          <w:lang w:eastAsia="en-US"/>
        </w:rPr>
      </w:pPr>
      <w:r w:rsidRPr="0092683E">
        <w:rPr>
          <w:rFonts w:eastAsiaTheme="minorHAnsi"/>
          <w:sz w:val="22"/>
          <w:szCs w:val="22"/>
          <w:lang w:eastAsia="en-US"/>
        </w:rPr>
        <w:t xml:space="preserve">The auction will be held via a secure online program using the </w:t>
      </w:r>
      <w:r w:rsidR="009E439E" w:rsidRPr="0092683E">
        <w:rPr>
          <w:rFonts w:eastAsiaTheme="minorHAnsi"/>
          <w:sz w:val="22"/>
          <w:szCs w:val="22"/>
          <w:lang w:eastAsia="en-US"/>
        </w:rPr>
        <w:t>S</w:t>
      </w:r>
      <w:r w:rsidRPr="0092683E">
        <w:rPr>
          <w:rFonts w:eastAsiaTheme="minorHAnsi"/>
          <w:sz w:val="22"/>
          <w:szCs w:val="22"/>
          <w:lang w:eastAsia="en-US"/>
        </w:rPr>
        <w:t xml:space="preserve">CA methodology. </w:t>
      </w:r>
      <w:r w:rsidR="009E439E" w:rsidRPr="0092683E">
        <w:rPr>
          <w:rFonts w:eastAsiaTheme="minorHAnsi"/>
          <w:sz w:val="22"/>
          <w:szCs w:val="22"/>
          <w:lang w:eastAsia="en-US"/>
        </w:rPr>
        <w:t xml:space="preserve">In this </w:t>
      </w:r>
      <w:r w:rsidRPr="0092683E">
        <w:rPr>
          <w:rFonts w:eastAsiaTheme="minorHAnsi"/>
          <w:sz w:val="22"/>
          <w:szCs w:val="22"/>
          <w:lang w:eastAsia="en-US"/>
        </w:rPr>
        <w:t>style of auction</w:t>
      </w:r>
      <w:r w:rsidR="009E439E" w:rsidRPr="0092683E">
        <w:rPr>
          <w:rFonts w:eastAsiaTheme="minorHAnsi"/>
          <w:sz w:val="22"/>
          <w:szCs w:val="22"/>
          <w:lang w:eastAsia="en-US"/>
        </w:rPr>
        <w:t xml:space="preserve">, before each round, the auction manager </w:t>
      </w:r>
      <w:r w:rsidR="0092683E">
        <w:rPr>
          <w:rFonts w:eastAsiaTheme="minorHAnsi"/>
          <w:sz w:val="22"/>
          <w:szCs w:val="22"/>
          <w:lang w:eastAsia="en-US"/>
        </w:rPr>
        <w:t>publishes</w:t>
      </w:r>
      <w:r w:rsidR="0092683E" w:rsidRPr="0092683E">
        <w:rPr>
          <w:rFonts w:eastAsiaTheme="minorHAnsi"/>
          <w:sz w:val="22"/>
          <w:szCs w:val="22"/>
          <w:lang w:eastAsia="en-US"/>
        </w:rPr>
        <w:t xml:space="preserve"> </w:t>
      </w:r>
      <w:r w:rsidR="009E439E" w:rsidRPr="0092683E">
        <w:rPr>
          <w:rFonts w:eastAsiaTheme="minorHAnsi"/>
          <w:sz w:val="22"/>
          <w:szCs w:val="22"/>
          <w:lang w:eastAsia="en-US"/>
        </w:rPr>
        <w:t>a price (</w:t>
      </w:r>
      <w:r w:rsidR="009E439E" w:rsidRPr="0092683E">
        <w:rPr>
          <w:rFonts w:eastAsiaTheme="minorHAnsi"/>
          <w:b/>
          <w:sz w:val="22"/>
          <w:szCs w:val="22"/>
          <w:lang w:eastAsia="en-US"/>
        </w:rPr>
        <w:t>the specified price</w:t>
      </w:r>
      <w:r w:rsidR="009E439E" w:rsidRPr="0092683E">
        <w:rPr>
          <w:rFonts w:eastAsiaTheme="minorHAnsi"/>
          <w:sz w:val="22"/>
          <w:szCs w:val="22"/>
          <w:lang w:eastAsia="en-US"/>
        </w:rPr>
        <w:t xml:space="preserve">) for a lot that the bidder must meet to be eligible to place a bid in subsequent rounds. </w:t>
      </w:r>
      <w:r w:rsidR="00AC7315">
        <w:rPr>
          <w:rFonts w:eastAsiaTheme="minorHAnsi"/>
          <w:sz w:val="22"/>
          <w:szCs w:val="22"/>
          <w:lang w:eastAsia="en-US"/>
        </w:rPr>
        <w:t xml:space="preserve"> </w:t>
      </w:r>
      <w:r w:rsidR="0092683E">
        <w:rPr>
          <w:rFonts w:eastAsiaTheme="minorHAnsi"/>
          <w:sz w:val="22"/>
          <w:szCs w:val="22"/>
          <w:lang w:eastAsia="en-US"/>
        </w:rPr>
        <w:t xml:space="preserve">The specified price for each round is calculated in accordance with the Determination.  In a round, </w:t>
      </w:r>
      <w:r w:rsidR="00176E7C">
        <w:rPr>
          <w:rFonts w:eastAsiaTheme="minorHAnsi"/>
          <w:sz w:val="22"/>
          <w:szCs w:val="22"/>
          <w:lang w:eastAsia="en-US"/>
        </w:rPr>
        <w:t>a</w:t>
      </w:r>
      <w:r w:rsidR="00176E7C" w:rsidRPr="0092683E">
        <w:rPr>
          <w:rFonts w:eastAsiaTheme="minorHAnsi"/>
          <w:sz w:val="22"/>
          <w:szCs w:val="22"/>
          <w:lang w:eastAsia="en-US"/>
        </w:rPr>
        <w:t xml:space="preserve"> </w:t>
      </w:r>
      <w:r w:rsidR="009E439E" w:rsidRPr="0092683E">
        <w:rPr>
          <w:rFonts w:eastAsiaTheme="minorHAnsi"/>
          <w:sz w:val="22"/>
          <w:szCs w:val="22"/>
          <w:lang w:eastAsia="en-US"/>
        </w:rPr>
        <w:t xml:space="preserve">bidder can </w:t>
      </w:r>
      <w:r w:rsidR="0092683E">
        <w:rPr>
          <w:rFonts w:eastAsiaTheme="minorHAnsi"/>
          <w:sz w:val="22"/>
          <w:szCs w:val="22"/>
          <w:lang w:eastAsia="en-US"/>
        </w:rPr>
        <w:t>make a bid</w:t>
      </w:r>
      <w:r w:rsidR="00176E7C">
        <w:rPr>
          <w:rFonts w:eastAsiaTheme="minorHAnsi"/>
          <w:sz w:val="22"/>
          <w:szCs w:val="22"/>
          <w:lang w:eastAsia="en-US"/>
        </w:rPr>
        <w:t>:</w:t>
      </w:r>
    </w:p>
    <w:p w14:paraId="4CC6D25F" w14:textId="432CD32B" w:rsidR="00176E7C" w:rsidRDefault="0092683E" w:rsidP="00AE066E">
      <w:pPr>
        <w:pStyle w:val="ListParagraph"/>
        <w:numPr>
          <w:ilvl w:val="0"/>
          <w:numId w:val="21"/>
        </w:numPr>
        <w:spacing w:after="160" w:line="259" w:lineRule="auto"/>
        <w:rPr>
          <w:rFonts w:ascii="Times New Roman" w:eastAsiaTheme="minorHAnsi" w:hAnsi="Times New Roman"/>
        </w:rPr>
      </w:pPr>
      <w:proofErr w:type="gramStart"/>
      <w:r w:rsidRPr="00176E7C">
        <w:rPr>
          <w:rFonts w:ascii="Times New Roman" w:eastAsiaTheme="minorHAnsi" w:hAnsi="Times New Roman"/>
        </w:rPr>
        <w:t>at</w:t>
      </w:r>
      <w:proofErr w:type="gramEnd"/>
      <w:r w:rsidRPr="00176E7C">
        <w:rPr>
          <w:rFonts w:ascii="Times New Roman" w:eastAsiaTheme="minorHAnsi" w:hAnsi="Times New Roman"/>
        </w:rPr>
        <w:t xml:space="preserve"> the specified</w:t>
      </w:r>
      <w:r w:rsidR="009E439E" w:rsidRPr="00176E7C">
        <w:rPr>
          <w:rFonts w:ascii="Times New Roman" w:eastAsiaTheme="minorHAnsi" w:hAnsi="Times New Roman"/>
        </w:rPr>
        <w:t xml:space="preserve"> price</w:t>
      </w:r>
      <w:r w:rsidRPr="00176E7C">
        <w:rPr>
          <w:rFonts w:ascii="Times New Roman" w:eastAsiaTheme="minorHAnsi" w:hAnsi="Times New Roman"/>
        </w:rPr>
        <w:t xml:space="preserve"> for the round</w:t>
      </w:r>
      <w:r w:rsidR="009E439E" w:rsidRPr="00176E7C">
        <w:rPr>
          <w:rFonts w:ascii="Times New Roman" w:eastAsiaTheme="minorHAnsi" w:hAnsi="Times New Roman"/>
        </w:rPr>
        <w:t xml:space="preserve"> (</w:t>
      </w:r>
      <w:r w:rsidRPr="00176E7C">
        <w:rPr>
          <w:rFonts w:ascii="Times New Roman" w:eastAsiaTheme="minorHAnsi" w:hAnsi="Times New Roman"/>
          <w:b/>
        </w:rPr>
        <w:t xml:space="preserve">a </w:t>
      </w:r>
      <w:r w:rsidR="009E439E" w:rsidRPr="00176E7C">
        <w:rPr>
          <w:rFonts w:ascii="Times New Roman" w:eastAsiaTheme="minorHAnsi" w:hAnsi="Times New Roman"/>
          <w:b/>
        </w:rPr>
        <w:t>continue bid</w:t>
      </w:r>
      <w:r w:rsidR="009E439E" w:rsidRPr="00176E7C">
        <w:rPr>
          <w:rFonts w:ascii="Times New Roman" w:eastAsiaTheme="minorHAnsi" w:hAnsi="Times New Roman"/>
        </w:rPr>
        <w:t>)</w:t>
      </w:r>
      <w:r w:rsidR="00176E7C">
        <w:rPr>
          <w:rFonts w:ascii="Times New Roman" w:eastAsiaTheme="minorHAnsi" w:hAnsi="Times New Roman"/>
        </w:rPr>
        <w:t>.  This entitles the bidder to make a bid in the following round;</w:t>
      </w:r>
    </w:p>
    <w:p w14:paraId="396C4FC8" w14:textId="14E6FFCF" w:rsidR="00176E7C" w:rsidRDefault="009E439E" w:rsidP="00AE066E">
      <w:pPr>
        <w:pStyle w:val="ListParagraph"/>
        <w:numPr>
          <w:ilvl w:val="0"/>
          <w:numId w:val="21"/>
        </w:numPr>
        <w:spacing w:after="160" w:line="259" w:lineRule="auto"/>
        <w:rPr>
          <w:rFonts w:ascii="Times New Roman" w:eastAsiaTheme="minorHAnsi" w:hAnsi="Times New Roman"/>
        </w:rPr>
      </w:pPr>
      <w:proofErr w:type="gramStart"/>
      <w:r w:rsidRPr="00176E7C">
        <w:rPr>
          <w:rFonts w:ascii="Times New Roman" w:eastAsiaTheme="minorHAnsi" w:hAnsi="Times New Roman"/>
        </w:rPr>
        <w:t>higher</w:t>
      </w:r>
      <w:proofErr w:type="gramEnd"/>
      <w:r w:rsidRPr="00176E7C">
        <w:rPr>
          <w:rFonts w:ascii="Times New Roman" w:eastAsiaTheme="minorHAnsi" w:hAnsi="Times New Roman"/>
        </w:rPr>
        <w:t xml:space="preserve"> than the </w:t>
      </w:r>
      <w:r w:rsidR="0092683E" w:rsidRPr="00176E7C">
        <w:rPr>
          <w:rFonts w:ascii="Times New Roman" w:eastAsiaTheme="minorHAnsi" w:hAnsi="Times New Roman"/>
        </w:rPr>
        <w:t xml:space="preserve">specified </w:t>
      </w:r>
      <w:r w:rsidRPr="00176E7C">
        <w:rPr>
          <w:rFonts w:ascii="Times New Roman" w:eastAsiaTheme="minorHAnsi" w:hAnsi="Times New Roman"/>
        </w:rPr>
        <w:t xml:space="preserve">price </w:t>
      </w:r>
      <w:r w:rsidR="0092683E" w:rsidRPr="00176E7C">
        <w:rPr>
          <w:rFonts w:ascii="Times New Roman" w:eastAsiaTheme="minorHAnsi" w:hAnsi="Times New Roman"/>
        </w:rPr>
        <w:t xml:space="preserve">for the round </w:t>
      </w:r>
      <w:r w:rsidRPr="00176E7C">
        <w:rPr>
          <w:rFonts w:ascii="Times New Roman" w:eastAsiaTheme="minorHAnsi" w:hAnsi="Times New Roman"/>
        </w:rPr>
        <w:t>(</w:t>
      </w:r>
      <w:r w:rsidR="0092683E" w:rsidRPr="00176E7C">
        <w:rPr>
          <w:rFonts w:ascii="Times New Roman" w:eastAsiaTheme="minorHAnsi" w:hAnsi="Times New Roman"/>
          <w:b/>
        </w:rPr>
        <w:t xml:space="preserve">an </w:t>
      </w:r>
      <w:r w:rsidRPr="00176E7C">
        <w:rPr>
          <w:rFonts w:ascii="Times New Roman" w:eastAsiaTheme="minorHAnsi" w:hAnsi="Times New Roman"/>
          <w:b/>
        </w:rPr>
        <w:t xml:space="preserve">advance </w:t>
      </w:r>
      <w:r w:rsidR="00DE54A2">
        <w:rPr>
          <w:rFonts w:ascii="Times New Roman" w:eastAsiaTheme="minorHAnsi" w:hAnsi="Times New Roman"/>
          <w:b/>
        </w:rPr>
        <w:t>price</w:t>
      </w:r>
      <w:r w:rsidRPr="00176E7C">
        <w:rPr>
          <w:rFonts w:ascii="Times New Roman" w:eastAsiaTheme="minorHAnsi" w:hAnsi="Times New Roman"/>
        </w:rPr>
        <w:t>)</w:t>
      </w:r>
      <w:r w:rsidR="00176E7C">
        <w:rPr>
          <w:rFonts w:ascii="Times New Roman" w:eastAsiaTheme="minorHAnsi" w:hAnsi="Times New Roman"/>
        </w:rPr>
        <w:t>.  This is treated as a continue bid in the round</w:t>
      </w:r>
      <w:r w:rsidR="000846F4">
        <w:rPr>
          <w:rFonts w:ascii="Times New Roman" w:eastAsiaTheme="minorHAnsi" w:hAnsi="Times New Roman"/>
        </w:rPr>
        <w:t xml:space="preserve"> it is made</w:t>
      </w:r>
      <w:r w:rsidR="00176E7C">
        <w:rPr>
          <w:rFonts w:ascii="Times New Roman" w:eastAsiaTheme="minorHAnsi" w:hAnsi="Times New Roman"/>
        </w:rPr>
        <w:t>, and as a continue bid in any subsequent round where the value of the bid is higher than or equal to the specified price for that round</w:t>
      </w:r>
      <w:r w:rsidR="00AC7315">
        <w:rPr>
          <w:rFonts w:ascii="Times New Roman" w:eastAsiaTheme="minorHAnsi" w:hAnsi="Times New Roman"/>
        </w:rPr>
        <w:t>, and as an exit bid in any subsequent round where the value of the bid is less than the specified price for that round</w:t>
      </w:r>
      <w:r w:rsidR="00176E7C">
        <w:rPr>
          <w:rFonts w:ascii="Times New Roman" w:eastAsiaTheme="minorHAnsi" w:hAnsi="Times New Roman"/>
        </w:rPr>
        <w:t>;</w:t>
      </w:r>
      <w:r w:rsidRPr="00176E7C">
        <w:rPr>
          <w:rFonts w:ascii="Times New Roman" w:eastAsiaTheme="minorHAnsi" w:hAnsi="Times New Roman"/>
        </w:rPr>
        <w:t xml:space="preserve"> or</w:t>
      </w:r>
    </w:p>
    <w:p w14:paraId="6BED113E" w14:textId="080A13E4" w:rsidR="00176E7C" w:rsidRPr="00176E7C" w:rsidRDefault="0092683E" w:rsidP="00AE066E">
      <w:pPr>
        <w:pStyle w:val="ListParagraph"/>
        <w:numPr>
          <w:ilvl w:val="0"/>
          <w:numId w:val="21"/>
        </w:numPr>
        <w:spacing w:after="160" w:line="259" w:lineRule="auto"/>
        <w:rPr>
          <w:rFonts w:ascii="Times New Roman" w:eastAsiaTheme="minorHAnsi" w:hAnsi="Times New Roman"/>
        </w:rPr>
      </w:pPr>
      <w:r w:rsidRPr="00176E7C">
        <w:rPr>
          <w:rFonts w:ascii="Times New Roman" w:eastAsiaTheme="minorHAnsi" w:hAnsi="Times New Roman"/>
        </w:rPr>
        <w:t xml:space="preserve">make </w:t>
      </w:r>
      <w:r w:rsidR="009E439E" w:rsidRPr="00176E7C">
        <w:rPr>
          <w:rFonts w:ascii="Times New Roman" w:eastAsiaTheme="minorHAnsi" w:hAnsi="Times New Roman"/>
        </w:rPr>
        <w:t xml:space="preserve">a bid </w:t>
      </w:r>
      <w:r w:rsidRPr="00176E7C">
        <w:rPr>
          <w:rFonts w:ascii="Times New Roman" w:eastAsiaTheme="minorHAnsi" w:hAnsi="Times New Roman"/>
        </w:rPr>
        <w:t xml:space="preserve">lower than the specified price for the round but </w:t>
      </w:r>
      <w:r w:rsidR="00BA65BA">
        <w:rPr>
          <w:rFonts w:ascii="Times New Roman" w:eastAsiaTheme="minorHAnsi" w:hAnsi="Times New Roman"/>
        </w:rPr>
        <w:t xml:space="preserve">equal to or </w:t>
      </w:r>
      <w:r w:rsidRPr="00176E7C">
        <w:rPr>
          <w:rFonts w:ascii="Times New Roman" w:eastAsiaTheme="minorHAnsi" w:hAnsi="Times New Roman"/>
        </w:rPr>
        <w:t xml:space="preserve">higher than the specified </w:t>
      </w:r>
      <w:r w:rsidR="00176E7C" w:rsidRPr="00176E7C">
        <w:rPr>
          <w:rFonts w:ascii="Times New Roman" w:eastAsiaTheme="minorHAnsi" w:hAnsi="Times New Roman"/>
        </w:rPr>
        <w:t>price</w:t>
      </w:r>
      <w:r w:rsidRPr="00176E7C">
        <w:rPr>
          <w:rFonts w:ascii="Times New Roman" w:eastAsiaTheme="minorHAnsi" w:hAnsi="Times New Roman"/>
        </w:rPr>
        <w:t xml:space="preserve"> for the previous round (or, in the first round, </w:t>
      </w:r>
      <w:r w:rsidR="00BA65BA">
        <w:rPr>
          <w:rFonts w:ascii="Times New Roman" w:eastAsiaTheme="minorHAnsi" w:hAnsi="Times New Roman"/>
        </w:rPr>
        <w:t xml:space="preserve">equal to or </w:t>
      </w:r>
      <w:r w:rsidRPr="00176E7C">
        <w:rPr>
          <w:rFonts w:ascii="Times New Roman" w:eastAsiaTheme="minorHAnsi" w:hAnsi="Times New Roman"/>
        </w:rPr>
        <w:t xml:space="preserve">higher than the starting price for the lot) </w:t>
      </w:r>
      <w:r w:rsidR="009E439E" w:rsidRPr="00176E7C">
        <w:rPr>
          <w:rFonts w:ascii="Times New Roman" w:eastAsiaTheme="minorHAnsi" w:hAnsi="Times New Roman"/>
        </w:rPr>
        <w:t>(</w:t>
      </w:r>
      <w:r w:rsidR="00176E7C" w:rsidRPr="00176E7C">
        <w:rPr>
          <w:rFonts w:ascii="Times New Roman" w:eastAsiaTheme="minorHAnsi" w:hAnsi="Times New Roman"/>
          <w:b/>
        </w:rPr>
        <w:t xml:space="preserve">an </w:t>
      </w:r>
      <w:r w:rsidR="009E439E" w:rsidRPr="00176E7C">
        <w:rPr>
          <w:rFonts w:ascii="Times New Roman" w:eastAsiaTheme="minorHAnsi" w:hAnsi="Times New Roman"/>
          <w:b/>
        </w:rPr>
        <w:t>exit bid</w:t>
      </w:r>
      <w:r w:rsidR="009E439E" w:rsidRPr="00176E7C">
        <w:rPr>
          <w:rFonts w:ascii="Times New Roman" w:eastAsiaTheme="minorHAnsi" w:hAnsi="Times New Roman"/>
        </w:rPr>
        <w:t>)</w:t>
      </w:r>
      <w:r w:rsidR="00176E7C" w:rsidRPr="00176E7C">
        <w:rPr>
          <w:rFonts w:ascii="Times New Roman" w:eastAsiaTheme="minorHAnsi" w:hAnsi="Times New Roman"/>
        </w:rPr>
        <w:t>.  If a bidder makes an exit bid</w:t>
      </w:r>
      <w:r w:rsidR="000846F4">
        <w:rPr>
          <w:rFonts w:ascii="Times New Roman" w:eastAsiaTheme="minorHAnsi" w:hAnsi="Times New Roman"/>
        </w:rPr>
        <w:t xml:space="preserve"> on a </w:t>
      </w:r>
      <w:proofErr w:type="gramStart"/>
      <w:r w:rsidR="000846F4">
        <w:rPr>
          <w:rFonts w:ascii="Times New Roman" w:eastAsiaTheme="minorHAnsi" w:hAnsi="Times New Roman"/>
        </w:rPr>
        <w:t>lot</w:t>
      </w:r>
      <w:r w:rsidR="009E439E" w:rsidRPr="00176E7C">
        <w:rPr>
          <w:rFonts w:ascii="Times New Roman" w:eastAsiaTheme="minorHAnsi" w:hAnsi="Times New Roman"/>
        </w:rPr>
        <w:t xml:space="preserve">, </w:t>
      </w:r>
      <w:r w:rsidR="00176E7C" w:rsidRPr="00176E7C">
        <w:rPr>
          <w:rFonts w:ascii="Times New Roman" w:eastAsiaTheme="minorHAnsi" w:hAnsi="Times New Roman"/>
        </w:rPr>
        <w:t>that</w:t>
      </w:r>
      <w:proofErr w:type="gramEnd"/>
      <w:r w:rsidR="009E439E" w:rsidRPr="00176E7C">
        <w:rPr>
          <w:rFonts w:ascii="Times New Roman" w:eastAsiaTheme="minorHAnsi" w:hAnsi="Times New Roman"/>
        </w:rPr>
        <w:t xml:space="preserve"> is the bidder’s last </w:t>
      </w:r>
      <w:r w:rsidR="00633C97" w:rsidRPr="00176E7C">
        <w:rPr>
          <w:rFonts w:ascii="Times New Roman" w:eastAsiaTheme="minorHAnsi" w:hAnsi="Times New Roman"/>
        </w:rPr>
        <w:t xml:space="preserve">bid for </w:t>
      </w:r>
      <w:r w:rsidR="00503C8D">
        <w:rPr>
          <w:rFonts w:ascii="Times New Roman" w:eastAsiaTheme="minorHAnsi" w:hAnsi="Times New Roman"/>
        </w:rPr>
        <w:t>that</w:t>
      </w:r>
      <w:r w:rsidR="00503C8D" w:rsidRPr="00176E7C">
        <w:rPr>
          <w:rFonts w:ascii="Times New Roman" w:eastAsiaTheme="minorHAnsi" w:hAnsi="Times New Roman"/>
        </w:rPr>
        <w:t xml:space="preserve"> </w:t>
      </w:r>
      <w:r w:rsidR="00633C97" w:rsidRPr="00176E7C">
        <w:rPr>
          <w:rFonts w:ascii="Times New Roman" w:eastAsiaTheme="minorHAnsi" w:hAnsi="Times New Roman"/>
        </w:rPr>
        <w:t>lot</w:t>
      </w:r>
      <w:r w:rsidR="009E439E" w:rsidRPr="00176E7C">
        <w:rPr>
          <w:rFonts w:ascii="Times New Roman" w:eastAsiaTheme="minorHAnsi" w:hAnsi="Times New Roman"/>
        </w:rPr>
        <w:t xml:space="preserve">. </w:t>
      </w:r>
      <w:r w:rsidR="00176E7C" w:rsidRPr="00176E7C">
        <w:rPr>
          <w:rFonts w:ascii="Times New Roman" w:eastAsiaTheme="minorHAnsi" w:hAnsi="Times New Roman"/>
        </w:rPr>
        <w:t xml:space="preserve"> </w:t>
      </w:r>
    </w:p>
    <w:p w14:paraId="085E2C99" w14:textId="18C957E2" w:rsidR="00B108C3" w:rsidRDefault="00176E7C" w:rsidP="0092683E">
      <w:pPr>
        <w:spacing w:after="160" w:line="259" w:lineRule="auto"/>
        <w:rPr>
          <w:rFonts w:eastAsiaTheme="minorHAnsi"/>
          <w:sz w:val="22"/>
          <w:szCs w:val="22"/>
          <w:lang w:eastAsia="en-US"/>
        </w:rPr>
      </w:pPr>
      <w:r>
        <w:rPr>
          <w:rFonts w:eastAsiaTheme="minorHAnsi"/>
          <w:sz w:val="22"/>
          <w:szCs w:val="22"/>
          <w:lang w:eastAsia="en-US"/>
        </w:rPr>
        <w:t xml:space="preserve">The auction of a lot ends </w:t>
      </w:r>
      <w:r w:rsidR="00AC7315">
        <w:rPr>
          <w:rFonts w:eastAsiaTheme="minorHAnsi"/>
          <w:sz w:val="22"/>
          <w:szCs w:val="22"/>
          <w:lang w:eastAsia="en-US"/>
        </w:rPr>
        <w:t>on</w:t>
      </w:r>
      <w:r>
        <w:rPr>
          <w:rFonts w:eastAsiaTheme="minorHAnsi"/>
          <w:sz w:val="22"/>
          <w:szCs w:val="22"/>
          <w:lang w:eastAsia="en-US"/>
        </w:rPr>
        <w:t xml:space="preserve"> the first </w:t>
      </w:r>
      <w:r w:rsidR="00AC7315">
        <w:rPr>
          <w:rFonts w:eastAsiaTheme="minorHAnsi"/>
          <w:sz w:val="22"/>
          <w:szCs w:val="22"/>
          <w:lang w:eastAsia="en-US"/>
        </w:rPr>
        <w:t xml:space="preserve">occurrence of a </w:t>
      </w:r>
      <w:r>
        <w:rPr>
          <w:rFonts w:eastAsiaTheme="minorHAnsi"/>
          <w:sz w:val="22"/>
          <w:szCs w:val="22"/>
          <w:lang w:eastAsia="en-US"/>
        </w:rPr>
        <w:t>round where there is no more than one bidder who has made a continue bid</w:t>
      </w:r>
      <w:r w:rsidR="00FB2697">
        <w:rPr>
          <w:rFonts w:eastAsiaTheme="minorHAnsi"/>
          <w:sz w:val="22"/>
          <w:szCs w:val="22"/>
          <w:lang w:eastAsia="en-US"/>
        </w:rPr>
        <w:t xml:space="preserve"> (including a continue bid at an</w:t>
      </w:r>
      <w:r>
        <w:rPr>
          <w:rFonts w:eastAsiaTheme="minorHAnsi"/>
          <w:sz w:val="22"/>
          <w:szCs w:val="22"/>
          <w:lang w:eastAsia="en-US"/>
        </w:rPr>
        <w:t xml:space="preserve"> advance</w:t>
      </w:r>
      <w:r w:rsidR="00CF4464">
        <w:rPr>
          <w:rFonts w:eastAsiaTheme="minorHAnsi"/>
          <w:sz w:val="22"/>
          <w:szCs w:val="22"/>
          <w:lang w:eastAsia="en-US"/>
        </w:rPr>
        <w:t xml:space="preserve"> price</w:t>
      </w:r>
      <w:r>
        <w:rPr>
          <w:rFonts w:eastAsiaTheme="minorHAnsi"/>
          <w:sz w:val="22"/>
          <w:szCs w:val="22"/>
          <w:lang w:eastAsia="en-US"/>
        </w:rPr>
        <w:t>) on the lot, regardless of how many exit bids are made on the lot.  The bidder who has made the highest bid (w</w:t>
      </w:r>
      <w:r w:rsidR="00AC7315">
        <w:rPr>
          <w:rFonts w:eastAsiaTheme="minorHAnsi"/>
          <w:sz w:val="22"/>
          <w:szCs w:val="22"/>
          <w:lang w:eastAsia="en-US"/>
        </w:rPr>
        <w:t xml:space="preserve">hether it is a continue bid, </w:t>
      </w:r>
      <w:r w:rsidR="00FB2697">
        <w:rPr>
          <w:rFonts w:eastAsiaTheme="minorHAnsi"/>
          <w:sz w:val="22"/>
          <w:szCs w:val="22"/>
          <w:lang w:eastAsia="en-US"/>
        </w:rPr>
        <w:t xml:space="preserve">including a continue bid at </w:t>
      </w:r>
      <w:r w:rsidR="00AC7315">
        <w:rPr>
          <w:rFonts w:eastAsiaTheme="minorHAnsi"/>
          <w:sz w:val="22"/>
          <w:szCs w:val="22"/>
          <w:lang w:eastAsia="en-US"/>
        </w:rPr>
        <w:t>an</w:t>
      </w:r>
      <w:r>
        <w:rPr>
          <w:rFonts w:eastAsiaTheme="minorHAnsi"/>
          <w:sz w:val="22"/>
          <w:szCs w:val="22"/>
          <w:lang w:eastAsia="en-US"/>
        </w:rPr>
        <w:t xml:space="preserve"> advance </w:t>
      </w:r>
      <w:r w:rsidR="00FB2697">
        <w:rPr>
          <w:rFonts w:eastAsiaTheme="minorHAnsi"/>
          <w:sz w:val="22"/>
          <w:szCs w:val="22"/>
          <w:lang w:eastAsia="en-US"/>
        </w:rPr>
        <w:t xml:space="preserve">price, </w:t>
      </w:r>
      <w:r>
        <w:rPr>
          <w:rFonts w:eastAsiaTheme="minorHAnsi"/>
          <w:sz w:val="22"/>
          <w:szCs w:val="22"/>
          <w:lang w:eastAsia="en-US"/>
        </w:rPr>
        <w:t>or an exit bid) is the winner of the lot</w:t>
      </w:r>
      <w:r w:rsidR="00DE54A2">
        <w:rPr>
          <w:rFonts w:eastAsiaTheme="minorHAnsi"/>
          <w:sz w:val="22"/>
          <w:szCs w:val="22"/>
          <w:lang w:eastAsia="en-US"/>
        </w:rPr>
        <w:t>.</w:t>
      </w:r>
      <w:r>
        <w:rPr>
          <w:rFonts w:eastAsiaTheme="minorHAnsi"/>
          <w:sz w:val="22"/>
          <w:szCs w:val="22"/>
          <w:lang w:eastAsia="en-US"/>
        </w:rPr>
        <w:t xml:space="preserve"> </w:t>
      </w:r>
      <w:r w:rsidR="00DE54A2">
        <w:rPr>
          <w:rFonts w:eastAsiaTheme="minorHAnsi"/>
          <w:sz w:val="22"/>
          <w:szCs w:val="22"/>
          <w:lang w:eastAsia="en-US"/>
        </w:rPr>
        <w:t>W</w:t>
      </w:r>
      <w:r w:rsidR="00B108C3">
        <w:rPr>
          <w:rFonts w:eastAsiaTheme="minorHAnsi"/>
          <w:sz w:val="22"/>
          <w:szCs w:val="22"/>
          <w:lang w:eastAsia="en-US"/>
        </w:rPr>
        <w:t>here the highest bid is an exit bid, and two bidders have both made th</w:t>
      </w:r>
      <w:r w:rsidR="00DE54A2">
        <w:rPr>
          <w:rFonts w:eastAsiaTheme="minorHAnsi"/>
          <w:sz w:val="22"/>
          <w:szCs w:val="22"/>
          <w:lang w:eastAsia="en-US"/>
        </w:rPr>
        <w:t>e same</w:t>
      </w:r>
      <w:r w:rsidR="00B108C3">
        <w:rPr>
          <w:rFonts w:eastAsiaTheme="minorHAnsi"/>
          <w:sz w:val="22"/>
          <w:szCs w:val="22"/>
          <w:lang w:eastAsia="en-US"/>
        </w:rPr>
        <w:t xml:space="preserve"> exit bid, a </w:t>
      </w:r>
      <w:r w:rsidR="00DE54A2">
        <w:rPr>
          <w:rFonts w:eastAsiaTheme="minorHAnsi"/>
          <w:sz w:val="22"/>
          <w:szCs w:val="22"/>
          <w:lang w:eastAsia="en-US"/>
        </w:rPr>
        <w:t xml:space="preserve">pseudorandom </w:t>
      </w:r>
      <w:r w:rsidR="00B108C3">
        <w:rPr>
          <w:rFonts w:eastAsiaTheme="minorHAnsi"/>
          <w:sz w:val="22"/>
          <w:szCs w:val="22"/>
          <w:lang w:eastAsia="en-US"/>
        </w:rPr>
        <w:t>tiebreaker process will be used.</w:t>
      </w:r>
    </w:p>
    <w:p w14:paraId="57E0B035" w14:textId="6E54C950" w:rsidR="009E439E" w:rsidRPr="0092683E" w:rsidRDefault="00B108C3" w:rsidP="0092683E">
      <w:pPr>
        <w:spacing w:after="160" w:line="259" w:lineRule="auto"/>
        <w:rPr>
          <w:rFonts w:eastAsiaTheme="minorHAnsi"/>
          <w:sz w:val="22"/>
          <w:szCs w:val="22"/>
          <w:lang w:eastAsia="en-US"/>
        </w:rPr>
      </w:pPr>
      <w:r>
        <w:rPr>
          <w:rFonts w:eastAsiaTheme="minorHAnsi"/>
          <w:sz w:val="22"/>
          <w:szCs w:val="22"/>
          <w:lang w:eastAsia="en-US"/>
        </w:rPr>
        <w:t>T</w:t>
      </w:r>
      <w:r w:rsidR="00176E7C">
        <w:rPr>
          <w:rFonts w:eastAsiaTheme="minorHAnsi"/>
          <w:sz w:val="22"/>
          <w:szCs w:val="22"/>
          <w:lang w:eastAsia="en-US"/>
        </w:rPr>
        <w:t xml:space="preserve">he </w:t>
      </w:r>
      <w:r w:rsidR="00176E7C" w:rsidRPr="00176E7C">
        <w:rPr>
          <w:rFonts w:eastAsiaTheme="minorHAnsi"/>
          <w:b/>
          <w:sz w:val="22"/>
          <w:szCs w:val="22"/>
          <w:lang w:eastAsia="en-US"/>
        </w:rPr>
        <w:t>winning price</w:t>
      </w:r>
      <w:r w:rsidR="00176E7C">
        <w:rPr>
          <w:rFonts w:eastAsiaTheme="minorHAnsi"/>
          <w:sz w:val="22"/>
          <w:szCs w:val="22"/>
          <w:lang w:eastAsia="en-US"/>
        </w:rPr>
        <w:t xml:space="preserve"> for that lot is the second highest bid made in the auction.</w:t>
      </w:r>
      <w:r w:rsidR="00AC7315">
        <w:rPr>
          <w:rFonts w:eastAsiaTheme="minorHAnsi"/>
          <w:sz w:val="22"/>
          <w:szCs w:val="22"/>
          <w:lang w:eastAsia="en-US"/>
        </w:rPr>
        <w:t xml:space="preserve">  </w:t>
      </w:r>
      <w:r w:rsidR="009E439E" w:rsidRPr="0092683E">
        <w:rPr>
          <w:rFonts w:eastAsiaTheme="minorHAnsi"/>
          <w:sz w:val="22"/>
          <w:szCs w:val="22"/>
          <w:lang w:eastAsia="en-US"/>
        </w:rPr>
        <w:t>This ensures that the winn</w:t>
      </w:r>
      <w:r w:rsidR="00DE54A2">
        <w:rPr>
          <w:rFonts w:eastAsiaTheme="minorHAnsi"/>
          <w:sz w:val="22"/>
          <w:szCs w:val="22"/>
          <w:lang w:eastAsia="en-US"/>
        </w:rPr>
        <w:t>ing bidder</w:t>
      </w:r>
      <w:r w:rsidR="009E439E" w:rsidRPr="0092683E">
        <w:rPr>
          <w:rFonts w:eastAsiaTheme="minorHAnsi"/>
          <w:sz w:val="22"/>
          <w:szCs w:val="22"/>
          <w:lang w:eastAsia="en-US"/>
        </w:rPr>
        <w:t xml:space="preserve"> never pays more than necessary to win.</w:t>
      </w:r>
    </w:p>
    <w:p w14:paraId="7D662F60" w14:textId="67FD776D" w:rsidR="00716F1F" w:rsidRPr="0092683E" w:rsidRDefault="00C12F8A" w:rsidP="0092683E">
      <w:pPr>
        <w:spacing w:after="160" w:line="259" w:lineRule="auto"/>
        <w:rPr>
          <w:rFonts w:eastAsiaTheme="minorHAnsi"/>
          <w:sz w:val="22"/>
          <w:szCs w:val="22"/>
          <w:lang w:eastAsia="en-US"/>
        </w:rPr>
      </w:pPr>
      <w:r w:rsidRPr="004278E7">
        <w:rPr>
          <w:rFonts w:eastAsiaTheme="minorHAnsi"/>
          <w:sz w:val="22"/>
          <w:szCs w:val="22"/>
          <w:lang w:eastAsia="en-US"/>
        </w:rPr>
        <w:t>By section 6 of the Residual 700 MHz Spectrum Direction, the Minister has directed the ACMA to determine allocation procedures that impose limits on the aggregate of the parts of the spectrum that may be used as a result of the allocation of spectrum licences under Subdivision B of Division 1 of Part 3.2 of the Act (</w:t>
      </w:r>
      <w:r w:rsidRPr="004278E7">
        <w:rPr>
          <w:rFonts w:eastAsiaTheme="minorHAnsi"/>
          <w:b/>
          <w:sz w:val="22"/>
          <w:szCs w:val="22"/>
          <w:lang w:eastAsia="en-US"/>
        </w:rPr>
        <w:t>allocation limits</w:t>
      </w:r>
      <w:r w:rsidRPr="004278E7">
        <w:rPr>
          <w:rFonts w:eastAsiaTheme="minorHAnsi"/>
          <w:sz w:val="22"/>
          <w:szCs w:val="22"/>
          <w:lang w:eastAsia="en-US"/>
        </w:rPr>
        <w:t>).  These allocation</w:t>
      </w:r>
      <w:r w:rsidR="00716F1F" w:rsidRPr="004278E7">
        <w:rPr>
          <w:rFonts w:eastAsiaTheme="minorHAnsi"/>
          <w:sz w:val="22"/>
          <w:szCs w:val="22"/>
          <w:lang w:eastAsia="en-US"/>
        </w:rPr>
        <w:t xml:space="preserve"> limits will apply in the course of this allocation process. </w:t>
      </w:r>
      <w:r w:rsidR="000846F4">
        <w:rPr>
          <w:rFonts w:eastAsiaTheme="minorHAnsi"/>
          <w:sz w:val="22"/>
          <w:szCs w:val="22"/>
          <w:lang w:eastAsia="en-US"/>
        </w:rPr>
        <w:t xml:space="preserve"> </w:t>
      </w:r>
      <w:r w:rsidR="00716F1F" w:rsidRPr="004278E7">
        <w:rPr>
          <w:rFonts w:eastAsiaTheme="minorHAnsi"/>
          <w:sz w:val="22"/>
          <w:szCs w:val="22"/>
          <w:lang w:eastAsia="en-US"/>
        </w:rPr>
        <w:t>The</w:t>
      </w:r>
      <w:r w:rsidRPr="004278E7">
        <w:rPr>
          <w:rFonts w:eastAsiaTheme="minorHAnsi"/>
          <w:sz w:val="22"/>
          <w:szCs w:val="22"/>
          <w:lang w:eastAsia="en-US"/>
        </w:rPr>
        <w:t xml:space="preserve"> allocation limits</w:t>
      </w:r>
      <w:r w:rsidR="00716F1F" w:rsidRPr="004278E7">
        <w:rPr>
          <w:rFonts w:eastAsiaTheme="minorHAnsi"/>
          <w:sz w:val="22"/>
          <w:szCs w:val="22"/>
          <w:lang w:eastAsia="en-US"/>
        </w:rPr>
        <w:t xml:space="preserve"> have the effect of capping the total amount of spectrum in </w:t>
      </w:r>
      <w:r w:rsidRPr="004278E7">
        <w:rPr>
          <w:rFonts w:eastAsiaTheme="minorHAnsi"/>
          <w:sz w:val="22"/>
          <w:szCs w:val="22"/>
          <w:lang w:eastAsia="en-US"/>
        </w:rPr>
        <w:t>the 700 MHz band</w:t>
      </w:r>
      <w:r w:rsidR="00716F1F" w:rsidRPr="004278E7">
        <w:rPr>
          <w:rFonts w:eastAsiaTheme="minorHAnsi"/>
          <w:sz w:val="22"/>
          <w:szCs w:val="22"/>
          <w:lang w:eastAsia="en-US"/>
        </w:rPr>
        <w:t xml:space="preserve"> that a single bidder can </w:t>
      </w:r>
      <w:r w:rsidRPr="004278E7">
        <w:rPr>
          <w:rFonts w:eastAsiaTheme="minorHAnsi"/>
          <w:sz w:val="22"/>
          <w:szCs w:val="22"/>
          <w:lang w:eastAsia="en-US"/>
        </w:rPr>
        <w:t>be allocated</w:t>
      </w:r>
      <w:r w:rsidR="00716F1F" w:rsidRPr="004278E7">
        <w:rPr>
          <w:rFonts w:eastAsiaTheme="minorHAnsi"/>
          <w:sz w:val="22"/>
          <w:szCs w:val="22"/>
          <w:lang w:eastAsia="en-US"/>
        </w:rPr>
        <w:t xml:space="preserve">. </w:t>
      </w:r>
      <w:r w:rsidR="00B108C3" w:rsidRPr="004278E7">
        <w:rPr>
          <w:rFonts w:eastAsiaTheme="minorHAnsi"/>
          <w:sz w:val="22"/>
          <w:szCs w:val="22"/>
          <w:lang w:eastAsia="en-US"/>
        </w:rPr>
        <w:t xml:space="preserve"> </w:t>
      </w:r>
      <w:r w:rsidR="00716F1F" w:rsidRPr="004278E7">
        <w:rPr>
          <w:rFonts w:eastAsiaTheme="minorHAnsi"/>
          <w:sz w:val="22"/>
          <w:szCs w:val="22"/>
          <w:lang w:eastAsia="en-US"/>
        </w:rPr>
        <w:t>In the 700 MHz band, a bidder will be limited to a maximum of 2 x 2</w:t>
      </w:r>
      <w:r w:rsidRPr="004278E7">
        <w:rPr>
          <w:rFonts w:eastAsiaTheme="minorHAnsi"/>
          <w:sz w:val="22"/>
          <w:szCs w:val="22"/>
          <w:lang w:eastAsia="en-US"/>
        </w:rPr>
        <w:t>0</w:t>
      </w:r>
      <w:r w:rsidR="00716F1F" w:rsidRPr="004278E7">
        <w:rPr>
          <w:rFonts w:eastAsiaTheme="minorHAnsi"/>
          <w:sz w:val="22"/>
          <w:szCs w:val="22"/>
          <w:lang w:eastAsia="en-US"/>
        </w:rPr>
        <w:t xml:space="preserve"> MHz nationally</w:t>
      </w:r>
      <w:r w:rsidRPr="004278E7">
        <w:rPr>
          <w:rFonts w:eastAsiaTheme="minorHAnsi"/>
          <w:sz w:val="22"/>
          <w:szCs w:val="22"/>
          <w:lang w:eastAsia="en-US"/>
        </w:rPr>
        <w:t>,</w:t>
      </w:r>
      <w:r w:rsidR="009E439E" w:rsidRPr="004278E7">
        <w:rPr>
          <w:rFonts w:eastAsiaTheme="minorHAnsi"/>
          <w:sz w:val="22"/>
          <w:szCs w:val="22"/>
          <w:lang w:eastAsia="en-US"/>
        </w:rPr>
        <w:t xml:space="preserve"> including any spectrum won at the original </w:t>
      </w:r>
      <w:r w:rsidR="00B108C3" w:rsidRPr="004278E7">
        <w:rPr>
          <w:rFonts w:eastAsiaTheme="minorHAnsi"/>
          <w:sz w:val="22"/>
          <w:szCs w:val="22"/>
          <w:lang w:eastAsia="en-US"/>
        </w:rPr>
        <w:t>digital dividend</w:t>
      </w:r>
      <w:r w:rsidR="009E439E" w:rsidRPr="004278E7">
        <w:rPr>
          <w:rFonts w:eastAsiaTheme="minorHAnsi"/>
          <w:sz w:val="22"/>
          <w:szCs w:val="22"/>
          <w:lang w:eastAsia="en-US"/>
        </w:rPr>
        <w:t xml:space="preserve"> auction in 2013.</w:t>
      </w:r>
      <w:r w:rsidR="00633C97" w:rsidRPr="004278E7">
        <w:rPr>
          <w:rFonts w:eastAsiaTheme="minorHAnsi"/>
          <w:sz w:val="22"/>
          <w:szCs w:val="22"/>
          <w:lang w:eastAsia="en-US"/>
        </w:rPr>
        <w:t xml:space="preserve">  </w:t>
      </w:r>
      <w:r w:rsidRPr="004278E7">
        <w:rPr>
          <w:rFonts w:eastAsiaTheme="minorHAnsi"/>
          <w:sz w:val="22"/>
          <w:szCs w:val="22"/>
          <w:lang w:eastAsia="en-US"/>
        </w:rPr>
        <w:t xml:space="preserve">The Determination includes provisions designed to comply with section 6 of the Residual 700 MHz Spectrum Direction.  These provisions include a requirement on each applicant and successful bidder to identify any associations with another applicant or successful bidder, and to identify any associations with either of the successful bidders at the original </w:t>
      </w:r>
      <w:r w:rsidR="00B108C3" w:rsidRPr="004278E7">
        <w:rPr>
          <w:rFonts w:eastAsiaTheme="minorHAnsi"/>
          <w:sz w:val="22"/>
          <w:szCs w:val="22"/>
          <w:lang w:eastAsia="en-US"/>
        </w:rPr>
        <w:t>digital dividend</w:t>
      </w:r>
      <w:r w:rsidRPr="004278E7">
        <w:rPr>
          <w:rFonts w:eastAsiaTheme="minorHAnsi"/>
          <w:sz w:val="22"/>
          <w:szCs w:val="22"/>
          <w:lang w:eastAsia="en-US"/>
        </w:rPr>
        <w:t xml:space="preserve"> auction </w:t>
      </w:r>
      <w:r w:rsidR="004278E7" w:rsidRPr="004278E7">
        <w:rPr>
          <w:rFonts w:eastAsiaTheme="minorHAnsi"/>
          <w:sz w:val="22"/>
          <w:szCs w:val="22"/>
          <w:lang w:eastAsia="en-US"/>
        </w:rPr>
        <w:t xml:space="preserve">in the 700 MHz band </w:t>
      </w:r>
      <w:r w:rsidRPr="004278E7">
        <w:rPr>
          <w:rFonts w:eastAsiaTheme="minorHAnsi"/>
          <w:sz w:val="22"/>
          <w:szCs w:val="22"/>
          <w:lang w:eastAsia="en-US"/>
        </w:rPr>
        <w:t>in 2013 (Optus Mobile and Telstra).</w:t>
      </w:r>
    </w:p>
    <w:p w14:paraId="54346FDB" w14:textId="3BF3D8BD" w:rsidR="00716F1F" w:rsidRPr="0092683E" w:rsidRDefault="00716F1F" w:rsidP="0092683E">
      <w:pPr>
        <w:spacing w:after="160" w:line="259" w:lineRule="auto"/>
        <w:rPr>
          <w:rFonts w:eastAsiaTheme="minorHAnsi"/>
          <w:sz w:val="22"/>
          <w:szCs w:val="22"/>
          <w:lang w:eastAsia="en-US"/>
        </w:rPr>
      </w:pPr>
      <w:r w:rsidRPr="005C338A">
        <w:rPr>
          <w:rFonts w:eastAsiaTheme="minorHAnsi"/>
          <w:sz w:val="22"/>
          <w:szCs w:val="22"/>
          <w:lang w:eastAsia="en-US"/>
        </w:rPr>
        <w:t xml:space="preserve">The Determination will also </w:t>
      </w:r>
      <w:r w:rsidR="00C12F8A" w:rsidRPr="005C338A">
        <w:rPr>
          <w:rFonts w:eastAsiaTheme="minorHAnsi"/>
          <w:sz w:val="22"/>
          <w:szCs w:val="22"/>
          <w:lang w:eastAsia="en-US"/>
        </w:rPr>
        <w:t>impose</w:t>
      </w:r>
      <w:r w:rsidRPr="005C338A">
        <w:rPr>
          <w:rFonts w:eastAsiaTheme="minorHAnsi"/>
          <w:sz w:val="22"/>
          <w:szCs w:val="22"/>
          <w:lang w:eastAsia="en-US"/>
        </w:rPr>
        <w:t xml:space="preserve"> obligations to be met by successful bidders</w:t>
      </w:r>
      <w:r w:rsidR="005542D4" w:rsidRPr="005C338A">
        <w:rPr>
          <w:rFonts w:eastAsiaTheme="minorHAnsi"/>
          <w:sz w:val="22"/>
          <w:szCs w:val="22"/>
          <w:lang w:eastAsia="en-US"/>
        </w:rPr>
        <w:t>,</w:t>
      </w:r>
      <w:r w:rsidRPr="005C338A">
        <w:rPr>
          <w:rFonts w:eastAsiaTheme="minorHAnsi"/>
          <w:sz w:val="22"/>
          <w:szCs w:val="22"/>
          <w:lang w:eastAsia="en-US"/>
        </w:rPr>
        <w:t xml:space="preserve"> </w:t>
      </w:r>
      <w:r w:rsidR="005542D4" w:rsidRPr="005C338A">
        <w:rPr>
          <w:rFonts w:eastAsiaTheme="minorHAnsi"/>
          <w:sz w:val="22"/>
          <w:szCs w:val="22"/>
          <w:lang w:eastAsia="en-US"/>
        </w:rPr>
        <w:t xml:space="preserve">or </w:t>
      </w:r>
      <w:r w:rsidR="00503C8D">
        <w:rPr>
          <w:rFonts w:eastAsiaTheme="minorHAnsi"/>
          <w:sz w:val="22"/>
          <w:szCs w:val="22"/>
          <w:lang w:eastAsia="en-US"/>
        </w:rPr>
        <w:t xml:space="preserve">a </w:t>
      </w:r>
      <w:r w:rsidR="005542D4" w:rsidRPr="005C338A">
        <w:rPr>
          <w:rFonts w:eastAsiaTheme="minorHAnsi"/>
          <w:sz w:val="22"/>
          <w:szCs w:val="22"/>
          <w:lang w:eastAsia="en-US"/>
        </w:rPr>
        <w:t xml:space="preserve">successful applicant for a pre-determined price, </w:t>
      </w:r>
      <w:r w:rsidR="00C12F8A" w:rsidRPr="005C338A">
        <w:rPr>
          <w:rFonts w:eastAsiaTheme="minorHAnsi"/>
          <w:sz w:val="22"/>
          <w:szCs w:val="22"/>
          <w:lang w:eastAsia="en-US"/>
        </w:rPr>
        <w:t>in relation to the payment of the spectrum access charge</w:t>
      </w:r>
      <w:r w:rsidR="005542D4" w:rsidRPr="005C338A">
        <w:rPr>
          <w:rFonts w:eastAsiaTheme="minorHAnsi"/>
          <w:sz w:val="22"/>
          <w:szCs w:val="22"/>
          <w:lang w:eastAsia="en-US"/>
        </w:rPr>
        <w:t>.</w:t>
      </w:r>
      <w:r w:rsidR="00633C97" w:rsidRPr="005C338A">
        <w:rPr>
          <w:rFonts w:eastAsiaTheme="minorHAnsi"/>
          <w:sz w:val="22"/>
          <w:szCs w:val="22"/>
          <w:lang w:eastAsia="en-US"/>
        </w:rPr>
        <w:t xml:space="preserve">  </w:t>
      </w:r>
      <w:r w:rsidR="00C12F8A" w:rsidRPr="005C338A">
        <w:rPr>
          <w:rFonts w:eastAsiaTheme="minorHAnsi"/>
          <w:sz w:val="22"/>
          <w:szCs w:val="22"/>
          <w:lang w:eastAsia="en-US"/>
        </w:rPr>
        <w:t>By section 7 of the Residual 700 MHz Spectrum Direction, the Minister has directed the ACMA to allow successful bidders</w:t>
      </w:r>
      <w:r w:rsidR="005542D4" w:rsidRPr="005C338A">
        <w:rPr>
          <w:rFonts w:eastAsiaTheme="minorHAnsi"/>
          <w:sz w:val="22"/>
          <w:szCs w:val="22"/>
          <w:lang w:eastAsia="en-US"/>
        </w:rPr>
        <w:t xml:space="preserve"> and successful applicants </w:t>
      </w:r>
      <w:r w:rsidR="00C12F8A" w:rsidRPr="005C338A">
        <w:rPr>
          <w:rFonts w:eastAsiaTheme="minorHAnsi"/>
          <w:sz w:val="22"/>
          <w:szCs w:val="22"/>
          <w:lang w:eastAsia="en-US"/>
        </w:rPr>
        <w:t>to pay the spectrum access charges fixed under the Determination in instalme</w:t>
      </w:r>
      <w:r w:rsidR="00B108C3" w:rsidRPr="005C338A">
        <w:rPr>
          <w:rFonts w:eastAsiaTheme="minorHAnsi"/>
          <w:sz w:val="22"/>
          <w:szCs w:val="22"/>
          <w:lang w:eastAsia="en-US"/>
        </w:rPr>
        <w:t>n</w:t>
      </w:r>
      <w:r w:rsidR="00C12F8A" w:rsidRPr="005C338A">
        <w:rPr>
          <w:rFonts w:eastAsiaTheme="minorHAnsi"/>
          <w:sz w:val="22"/>
          <w:szCs w:val="22"/>
          <w:lang w:eastAsia="en-US"/>
        </w:rPr>
        <w:t xml:space="preserve">ts, subject to those instalments meeting certain conditions.  </w:t>
      </w:r>
      <w:r w:rsidR="00633C97" w:rsidRPr="004278E7">
        <w:rPr>
          <w:rFonts w:eastAsiaTheme="minorHAnsi"/>
          <w:sz w:val="22"/>
          <w:szCs w:val="22"/>
          <w:lang w:eastAsia="en-US"/>
        </w:rPr>
        <w:t xml:space="preserve">The </w:t>
      </w:r>
      <w:r w:rsidR="00C12F8A" w:rsidRPr="004278E7">
        <w:rPr>
          <w:rFonts w:eastAsiaTheme="minorHAnsi"/>
          <w:sz w:val="22"/>
          <w:szCs w:val="22"/>
          <w:lang w:eastAsia="en-US"/>
        </w:rPr>
        <w:t xml:space="preserve">Determination includes provisions designed to comply with this direction.  These provisions include a regime that allows a successful </w:t>
      </w:r>
      <w:r w:rsidR="00633C97" w:rsidRPr="004278E7">
        <w:rPr>
          <w:rFonts w:eastAsiaTheme="minorHAnsi"/>
          <w:sz w:val="22"/>
          <w:szCs w:val="22"/>
          <w:lang w:eastAsia="en-US"/>
        </w:rPr>
        <w:t>bidder</w:t>
      </w:r>
      <w:r w:rsidR="005542D4" w:rsidRPr="004278E7">
        <w:rPr>
          <w:rFonts w:eastAsiaTheme="minorHAnsi"/>
          <w:sz w:val="22"/>
          <w:szCs w:val="22"/>
          <w:lang w:eastAsia="en-US"/>
        </w:rPr>
        <w:t xml:space="preserve"> or successful applicant</w:t>
      </w:r>
      <w:r w:rsidR="00633C97" w:rsidRPr="004278E7">
        <w:rPr>
          <w:rFonts w:eastAsiaTheme="minorHAnsi"/>
          <w:sz w:val="22"/>
          <w:szCs w:val="22"/>
          <w:lang w:eastAsia="en-US"/>
        </w:rPr>
        <w:t xml:space="preserve"> </w:t>
      </w:r>
      <w:r w:rsidR="00C12F8A" w:rsidRPr="004278E7">
        <w:rPr>
          <w:rFonts w:eastAsiaTheme="minorHAnsi"/>
          <w:sz w:val="22"/>
          <w:szCs w:val="22"/>
          <w:lang w:eastAsia="en-US"/>
        </w:rPr>
        <w:t>to</w:t>
      </w:r>
      <w:r w:rsidR="00633C97" w:rsidRPr="004278E7">
        <w:rPr>
          <w:rFonts w:eastAsiaTheme="minorHAnsi"/>
          <w:sz w:val="22"/>
          <w:szCs w:val="22"/>
          <w:lang w:eastAsia="en-US"/>
        </w:rPr>
        <w:t xml:space="preserve"> pay the </w:t>
      </w:r>
      <w:r w:rsidR="00644348" w:rsidRPr="004278E7">
        <w:rPr>
          <w:rFonts w:eastAsiaTheme="minorHAnsi"/>
          <w:sz w:val="22"/>
          <w:szCs w:val="22"/>
          <w:lang w:eastAsia="en-US"/>
        </w:rPr>
        <w:t>spectrum access charge</w:t>
      </w:r>
      <w:r w:rsidR="00633C97" w:rsidRPr="004278E7">
        <w:rPr>
          <w:rFonts w:eastAsiaTheme="minorHAnsi"/>
          <w:sz w:val="22"/>
          <w:szCs w:val="22"/>
          <w:lang w:eastAsia="en-US"/>
        </w:rPr>
        <w:t xml:space="preserve"> either upfront or by </w:t>
      </w:r>
      <w:r w:rsidR="00644348" w:rsidRPr="004278E7">
        <w:rPr>
          <w:rFonts w:eastAsiaTheme="minorHAnsi"/>
          <w:sz w:val="22"/>
          <w:szCs w:val="22"/>
          <w:lang w:eastAsia="en-US"/>
        </w:rPr>
        <w:t xml:space="preserve">three annual </w:t>
      </w:r>
      <w:r w:rsidR="00633C97" w:rsidRPr="004278E7">
        <w:rPr>
          <w:rFonts w:eastAsiaTheme="minorHAnsi"/>
          <w:sz w:val="22"/>
          <w:szCs w:val="22"/>
          <w:lang w:eastAsia="en-US"/>
        </w:rPr>
        <w:t xml:space="preserve">instalments. </w:t>
      </w:r>
      <w:r w:rsidR="00644348" w:rsidRPr="004278E7">
        <w:rPr>
          <w:rFonts w:eastAsiaTheme="minorHAnsi"/>
          <w:sz w:val="22"/>
          <w:szCs w:val="22"/>
          <w:lang w:eastAsia="en-US"/>
        </w:rPr>
        <w:t xml:space="preserve"> If the successful bidder </w:t>
      </w:r>
      <w:r w:rsidR="00956F57" w:rsidRPr="004278E7">
        <w:rPr>
          <w:rFonts w:eastAsiaTheme="minorHAnsi"/>
          <w:sz w:val="22"/>
          <w:szCs w:val="22"/>
          <w:lang w:eastAsia="en-US"/>
        </w:rPr>
        <w:t xml:space="preserve">or successful applicant </w:t>
      </w:r>
      <w:r w:rsidR="00644348" w:rsidRPr="004278E7">
        <w:rPr>
          <w:rFonts w:eastAsiaTheme="minorHAnsi"/>
          <w:sz w:val="22"/>
          <w:szCs w:val="22"/>
          <w:lang w:eastAsia="en-US"/>
        </w:rPr>
        <w:t xml:space="preserve">elects to pay </w:t>
      </w:r>
      <w:r w:rsidR="00644348" w:rsidRPr="004278E7">
        <w:rPr>
          <w:rFonts w:eastAsiaTheme="minorHAnsi"/>
          <w:sz w:val="22"/>
          <w:szCs w:val="22"/>
          <w:lang w:eastAsia="en-US"/>
        </w:rPr>
        <w:lastRenderedPageBreak/>
        <w:t>the spectrum access charge by three annual instalments, the spectrum access charge will be higher than it would have been had the bidder elected to pay it upfront, and the bidder will have to provide a bank guarantee securing</w:t>
      </w:r>
      <w:r w:rsidR="000846F4">
        <w:rPr>
          <w:rFonts w:eastAsiaTheme="minorHAnsi"/>
          <w:sz w:val="22"/>
          <w:szCs w:val="22"/>
          <w:lang w:eastAsia="en-US"/>
        </w:rPr>
        <w:t xml:space="preserve"> part of</w:t>
      </w:r>
      <w:r w:rsidR="00644348" w:rsidRPr="004278E7">
        <w:rPr>
          <w:rFonts w:eastAsiaTheme="minorHAnsi"/>
          <w:sz w:val="22"/>
          <w:szCs w:val="22"/>
          <w:lang w:eastAsia="en-US"/>
        </w:rPr>
        <w:t xml:space="preserve"> the second and third instalments.</w:t>
      </w:r>
    </w:p>
    <w:p w14:paraId="7AB419AB" w14:textId="03216032" w:rsidR="00716F1F" w:rsidRPr="0092683E" w:rsidRDefault="00716F1F" w:rsidP="0092683E">
      <w:pPr>
        <w:spacing w:after="160" w:line="259" w:lineRule="auto"/>
        <w:rPr>
          <w:rFonts w:eastAsiaTheme="minorHAnsi"/>
          <w:sz w:val="22"/>
          <w:szCs w:val="22"/>
          <w:lang w:eastAsia="en-US"/>
        </w:rPr>
      </w:pPr>
      <w:r w:rsidRPr="0092683E">
        <w:rPr>
          <w:rFonts w:eastAsiaTheme="minorHAnsi"/>
          <w:sz w:val="22"/>
          <w:szCs w:val="22"/>
          <w:lang w:eastAsia="en-US"/>
        </w:rPr>
        <w:t xml:space="preserve">Other legislative instruments </w:t>
      </w:r>
      <w:r w:rsidR="00644348">
        <w:rPr>
          <w:rFonts w:eastAsiaTheme="minorHAnsi"/>
          <w:sz w:val="22"/>
          <w:szCs w:val="22"/>
          <w:lang w:eastAsia="en-US"/>
        </w:rPr>
        <w:t>affect the</w:t>
      </w:r>
      <w:r w:rsidRPr="0092683E">
        <w:rPr>
          <w:rFonts w:eastAsiaTheme="minorHAnsi"/>
          <w:sz w:val="22"/>
          <w:szCs w:val="22"/>
          <w:lang w:eastAsia="en-US"/>
        </w:rPr>
        <w:t xml:space="preserve"> re</w:t>
      </w:r>
      <w:r w:rsidR="00644348">
        <w:rPr>
          <w:rFonts w:eastAsiaTheme="minorHAnsi"/>
          <w:sz w:val="22"/>
          <w:szCs w:val="22"/>
          <w:lang w:eastAsia="en-US"/>
        </w:rPr>
        <w:t>-</w:t>
      </w:r>
      <w:r w:rsidRPr="0092683E">
        <w:rPr>
          <w:rFonts w:eastAsiaTheme="minorHAnsi"/>
          <w:sz w:val="22"/>
          <w:szCs w:val="22"/>
          <w:lang w:eastAsia="en-US"/>
        </w:rPr>
        <w:t>allocat</w:t>
      </w:r>
      <w:r w:rsidR="00644348">
        <w:rPr>
          <w:rFonts w:eastAsiaTheme="minorHAnsi"/>
          <w:sz w:val="22"/>
          <w:szCs w:val="22"/>
          <w:lang w:eastAsia="en-US"/>
        </w:rPr>
        <w:t xml:space="preserve">ion of </w:t>
      </w:r>
      <w:r w:rsidRPr="0092683E">
        <w:rPr>
          <w:rFonts w:eastAsiaTheme="minorHAnsi"/>
          <w:sz w:val="22"/>
          <w:szCs w:val="22"/>
          <w:lang w:eastAsia="en-US"/>
        </w:rPr>
        <w:t xml:space="preserve">spectrum in the </w:t>
      </w:r>
      <w:r w:rsidR="00644348">
        <w:rPr>
          <w:rFonts w:eastAsiaTheme="minorHAnsi"/>
          <w:sz w:val="22"/>
          <w:szCs w:val="22"/>
          <w:lang w:eastAsia="en-US"/>
        </w:rPr>
        <w:t xml:space="preserve">residual </w:t>
      </w:r>
      <w:r w:rsidRPr="0092683E">
        <w:rPr>
          <w:rFonts w:eastAsiaTheme="minorHAnsi"/>
          <w:sz w:val="22"/>
          <w:szCs w:val="22"/>
          <w:lang w:eastAsia="en-US"/>
        </w:rPr>
        <w:t xml:space="preserve">700 MHz band. </w:t>
      </w:r>
      <w:r w:rsidR="000846F4">
        <w:rPr>
          <w:rFonts w:eastAsiaTheme="minorHAnsi"/>
          <w:sz w:val="22"/>
          <w:szCs w:val="22"/>
          <w:lang w:eastAsia="en-US"/>
        </w:rPr>
        <w:t xml:space="preserve"> </w:t>
      </w:r>
      <w:r w:rsidRPr="0092683E">
        <w:rPr>
          <w:rFonts w:eastAsiaTheme="minorHAnsi"/>
          <w:sz w:val="22"/>
          <w:szCs w:val="22"/>
          <w:lang w:eastAsia="en-US"/>
        </w:rPr>
        <w:t>Th</w:t>
      </w:r>
      <w:r w:rsidR="00644348">
        <w:rPr>
          <w:rFonts w:eastAsiaTheme="minorHAnsi"/>
          <w:sz w:val="22"/>
          <w:szCs w:val="22"/>
          <w:lang w:eastAsia="en-US"/>
        </w:rPr>
        <w:t>e</w:t>
      </w:r>
      <w:r w:rsidR="009E439E" w:rsidRPr="0092683E">
        <w:rPr>
          <w:rFonts w:eastAsiaTheme="minorHAnsi"/>
          <w:sz w:val="22"/>
          <w:szCs w:val="22"/>
          <w:lang w:eastAsia="en-US"/>
        </w:rPr>
        <w:t>s</w:t>
      </w:r>
      <w:r w:rsidR="00644348">
        <w:rPr>
          <w:rFonts w:eastAsiaTheme="minorHAnsi"/>
          <w:sz w:val="22"/>
          <w:szCs w:val="22"/>
          <w:lang w:eastAsia="en-US"/>
        </w:rPr>
        <w:t>e instruments</w:t>
      </w:r>
      <w:r w:rsidRPr="0092683E">
        <w:rPr>
          <w:rFonts w:eastAsiaTheme="minorHAnsi"/>
          <w:sz w:val="22"/>
          <w:szCs w:val="22"/>
          <w:lang w:eastAsia="en-US"/>
        </w:rPr>
        <w:t xml:space="preserve"> provide additional information about the auction and the spectrum licences that will be available for allocation. </w:t>
      </w:r>
    </w:p>
    <w:p w14:paraId="6A49B1A6" w14:textId="01B5E8F8" w:rsidR="00716F1F" w:rsidRPr="0092683E" w:rsidRDefault="00716F1F" w:rsidP="0092683E">
      <w:pPr>
        <w:spacing w:after="160" w:line="259" w:lineRule="auto"/>
        <w:rPr>
          <w:rFonts w:eastAsiaTheme="minorHAnsi"/>
          <w:sz w:val="22"/>
          <w:szCs w:val="22"/>
          <w:lang w:eastAsia="en-US"/>
        </w:rPr>
      </w:pPr>
      <w:r w:rsidRPr="0092683E">
        <w:rPr>
          <w:rFonts w:eastAsiaTheme="minorHAnsi"/>
          <w:sz w:val="22"/>
          <w:szCs w:val="22"/>
          <w:lang w:eastAsia="en-US"/>
        </w:rPr>
        <w:t xml:space="preserve">Under section 39A of the Act, a marketing plan for </w:t>
      </w:r>
      <w:r w:rsidR="009E439E" w:rsidRPr="0092683E">
        <w:rPr>
          <w:rFonts w:eastAsiaTheme="minorHAnsi"/>
          <w:sz w:val="22"/>
          <w:szCs w:val="22"/>
          <w:lang w:eastAsia="en-US"/>
        </w:rPr>
        <w:t xml:space="preserve">the </w:t>
      </w:r>
      <w:r w:rsidR="00644348">
        <w:rPr>
          <w:rFonts w:eastAsiaTheme="minorHAnsi"/>
          <w:sz w:val="22"/>
          <w:szCs w:val="22"/>
          <w:lang w:eastAsia="en-US"/>
        </w:rPr>
        <w:t xml:space="preserve">residual </w:t>
      </w:r>
      <w:r w:rsidR="009E439E" w:rsidRPr="0092683E">
        <w:rPr>
          <w:rFonts w:eastAsiaTheme="minorHAnsi"/>
          <w:sz w:val="22"/>
          <w:szCs w:val="22"/>
          <w:lang w:eastAsia="en-US"/>
        </w:rPr>
        <w:t xml:space="preserve">700 MHz </w:t>
      </w:r>
      <w:r w:rsidRPr="0092683E">
        <w:rPr>
          <w:rFonts w:eastAsiaTheme="minorHAnsi"/>
          <w:sz w:val="22"/>
          <w:szCs w:val="22"/>
          <w:lang w:eastAsia="en-US"/>
        </w:rPr>
        <w:t xml:space="preserve">band has been prepared. </w:t>
      </w:r>
      <w:r w:rsidR="000846F4">
        <w:rPr>
          <w:rFonts w:eastAsiaTheme="minorHAnsi"/>
          <w:sz w:val="22"/>
          <w:szCs w:val="22"/>
          <w:lang w:eastAsia="en-US"/>
        </w:rPr>
        <w:t xml:space="preserve"> </w:t>
      </w:r>
      <w:r w:rsidRPr="0092683E">
        <w:rPr>
          <w:rFonts w:eastAsiaTheme="minorHAnsi"/>
          <w:sz w:val="22"/>
          <w:szCs w:val="22"/>
          <w:lang w:eastAsia="en-US"/>
        </w:rPr>
        <w:t>Th</w:t>
      </w:r>
      <w:r w:rsidR="009E439E" w:rsidRPr="0092683E">
        <w:rPr>
          <w:rFonts w:eastAsiaTheme="minorHAnsi"/>
          <w:sz w:val="22"/>
          <w:szCs w:val="22"/>
          <w:lang w:eastAsia="en-US"/>
        </w:rPr>
        <w:t>is</w:t>
      </w:r>
      <w:r w:rsidRPr="0092683E">
        <w:rPr>
          <w:rFonts w:eastAsiaTheme="minorHAnsi"/>
          <w:sz w:val="22"/>
          <w:szCs w:val="22"/>
          <w:lang w:eastAsia="en-US"/>
        </w:rPr>
        <w:t xml:space="preserve"> marketing plan specif</w:t>
      </w:r>
      <w:r w:rsidR="00B108C3">
        <w:rPr>
          <w:rFonts w:eastAsiaTheme="minorHAnsi"/>
          <w:sz w:val="22"/>
          <w:szCs w:val="22"/>
          <w:lang w:eastAsia="en-US"/>
        </w:rPr>
        <w:t>ies</w:t>
      </w:r>
      <w:r w:rsidRPr="0092683E">
        <w:rPr>
          <w:rFonts w:eastAsiaTheme="minorHAnsi"/>
          <w:sz w:val="22"/>
          <w:szCs w:val="22"/>
          <w:lang w:eastAsia="en-US"/>
        </w:rPr>
        <w:t xml:space="preserve"> the spectrum available and the conditions that will apply to its use under spectrum licences. </w:t>
      </w:r>
      <w:r w:rsidR="00B108C3">
        <w:rPr>
          <w:rFonts w:eastAsiaTheme="minorHAnsi"/>
          <w:sz w:val="22"/>
          <w:szCs w:val="22"/>
          <w:lang w:eastAsia="en-US"/>
        </w:rPr>
        <w:t xml:space="preserve"> </w:t>
      </w:r>
      <w:r w:rsidRPr="0092683E">
        <w:rPr>
          <w:rFonts w:eastAsiaTheme="minorHAnsi"/>
          <w:sz w:val="22"/>
          <w:szCs w:val="22"/>
          <w:lang w:eastAsia="en-US"/>
        </w:rPr>
        <w:t xml:space="preserve">The ACMA has also made a determination and advisory guidelines, under sections 145 and 262 of the Act, respectively. </w:t>
      </w:r>
      <w:r w:rsidR="000846F4">
        <w:rPr>
          <w:rFonts w:eastAsiaTheme="minorHAnsi"/>
          <w:sz w:val="22"/>
          <w:szCs w:val="22"/>
          <w:lang w:eastAsia="en-US"/>
        </w:rPr>
        <w:t xml:space="preserve"> </w:t>
      </w:r>
      <w:r w:rsidR="00E151A4" w:rsidRPr="0092683E">
        <w:rPr>
          <w:rFonts w:eastAsiaTheme="minorHAnsi"/>
          <w:sz w:val="22"/>
          <w:szCs w:val="22"/>
          <w:lang w:eastAsia="en-US"/>
        </w:rPr>
        <w:t>Th</w:t>
      </w:r>
      <w:r w:rsidR="00644348">
        <w:rPr>
          <w:rFonts w:eastAsiaTheme="minorHAnsi"/>
          <w:sz w:val="22"/>
          <w:szCs w:val="22"/>
          <w:lang w:eastAsia="en-US"/>
        </w:rPr>
        <w:t>e</w:t>
      </w:r>
      <w:r w:rsidR="00E151A4" w:rsidRPr="0092683E">
        <w:rPr>
          <w:rFonts w:eastAsiaTheme="minorHAnsi"/>
          <w:sz w:val="22"/>
          <w:szCs w:val="22"/>
          <w:lang w:eastAsia="en-US"/>
        </w:rPr>
        <w:t xml:space="preserve"> </w:t>
      </w:r>
      <w:r w:rsidR="00644348">
        <w:rPr>
          <w:rFonts w:eastAsiaTheme="minorHAnsi"/>
          <w:sz w:val="22"/>
          <w:szCs w:val="22"/>
          <w:lang w:eastAsia="en-US"/>
        </w:rPr>
        <w:t>determination</w:t>
      </w:r>
      <w:r w:rsidRPr="0092683E">
        <w:rPr>
          <w:rFonts w:eastAsiaTheme="minorHAnsi"/>
          <w:sz w:val="22"/>
          <w:szCs w:val="22"/>
          <w:lang w:eastAsia="en-US"/>
        </w:rPr>
        <w:t xml:space="preserve"> made under section 145 defines unacceptable interference levels that devices used under spectrum licences </w:t>
      </w:r>
      <w:r w:rsidR="000846F4">
        <w:rPr>
          <w:rFonts w:eastAsiaTheme="minorHAnsi"/>
          <w:sz w:val="22"/>
          <w:szCs w:val="22"/>
          <w:lang w:eastAsia="en-US"/>
        </w:rPr>
        <w:t xml:space="preserve">to be </w:t>
      </w:r>
      <w:r w:rsidRPr="0092683E">
        <w:rPr>
          <w:rFonts w:eastAsiaTheme="minorHAnsi"/>
          <w:sz w:val="22"/>
          <w:szCs w:val="22"/>
          <w:lang w:eastAsia="en-US"/>
        </w:rPr>
        <w:t xml:space="preserve">issued </w:t>
      </w:r>
      <w:r w:rsidR="004E475F" w:rsidRPr="0092683E">
        <w:rPr>
          <w:rFonts w:eastAsiaTheme="minorHAnsi"/>
          <w:sz w:val="22"/>
          <w:szCs w:val="22"/>
          <w:lang w:eastAsia="en-US"/>
        </w:rPr>
        <w:t xml:space="preserve">under </w:t>
      </w:r>
      <w:r w:rsidR="00FB2697">
        <w:rPr>
          <w:rFonts w:eastAsiaTheme="minorHAnsi"/>
          <w:sz w:val="22"/>
          <w:szCs w:val="22"/>
          <w:lang w:eastAsia="en-US"/>
        </w:rPr>
        <w:t xml:space="preserve">the Determination </w:t>
      </w:r>
      <w:r w:rsidRPr="0092683E">
        <w:rPr>
          <w:rFonts w:eastAsiaTheme="minorHAnsi"/>
          <w:sz w:val="22"/>
          <w:szCs w:val="22"/>
          <w:lang w:eastAsia="en-US"/>
        </w:rPr>
        <w:t>must comply with</w:t>
      </w:r>
      <w:r w:rsidR="00644348">
        <w:rPr>
          <w:rFonts w:eastAsiaTheme="minorHAnsi"/>
          <w:sz w:val="22"/>
          <w:szCs w:val="22"/>
          <w:lang w:eastAsia="en-US"/>
        </w:rPr>
        <w:t xml:space="preserve">, in order to be registered on the Register of </w:t>
      </w:r>
      <w:proofErr w:type="spellStart"/>
      <w:r w:rsidR="00644348">
        <w:rPr>
          <w:rFonts w:eastAsiaTheme="minorHAnsi"/>
          <w:sz w:val="22"/>
          <w:szCs w:val="22"/>
          <w:lang w:eastAsia="en-US"/>
        </w:rPr>
        <w:t>Radiocommunications</w:t>
      </w:r>
      <w:proofErr w:type="spellEnd"/>
      <w:r w:rsidR="00644348">
        <w:rPr>
          <w:rFonts w:eastAsiaTheme="minorHAnsi"/>
          <w:sz w:val="22"/>
          <w:szCs w:val="22"/>
          <w:lang w:eastAsia="en-US"/>
        </w:rPr>
        <w:t xml:space="preserve"> Licences</w:t>
      </w:r>
      <w:r w:rsidRPr="0092683E">
        <w:rPr>
          <w:rFonts w:eastAsiaTheme="minorHAnsi"/>
          <w:sz w:val="22"/>
          <w:szCs w:val="22"/>
          <w:lang w:eastAsia="en-US"/>
        </w:rPr>
        <w:t xml:space="preserve">. </w:t>
      </w:r>
      <w:r w:rsidR="00B108C3">
        <w:rPr>
          <w:rFonts w:eastAsiaTheme="minorHAnsi"/>
          <w:sz w:val="22"/>
          <w:szCs w:val="22"/>
          <w:lang w:eastAsia="en-US"/>
        </w:rPr>
        <w:t xml:space="preserve"> </w:t>
      </w:r>
      <w:r w:rsidRPr="0092683E">
        <w:rPr>
          <w:rFonts w:eastAsiaTheme="minorHAnsi"/>
          <w:sz w:val="22"/>
          <w:szCs w:val="22"/>
          <w:lang w:eastAsia="en-US"/>
        </w:rPr>
        <w:t>The advisory guidelines provide additional interference management measures and set out requirements for registering devices with the ACMA that will operate under spectrum licences in the 700 MHz band.</w:t>
      </w:r>
    </w:p>
    <w:p w14:paraId="51C9850B" w14:textId="74924EC8" w:rsidR="00E02626" w:rsidRPr="00E02626" w:rsidRDefault="00E02626" w:rsidP="00E02626">
      <w:pPr>
        <w:spacing w:after="160" w:line="259" w:lineRule="auto"/>
        <w:rPr>
          <w:rFonts w:eastAsiaTheme="minorHAnsi"/>
          <w:sz w:val="22"/>
          <w:szCs w:val="22"/>
          <w:lang w:eastAsia="en-US"/>
        </w:rPr>
      </w:pPr>
      <w:r w:rsidRPr="00E02626">
        <w:rPr>
          <w:rFonts w:eastAsiaTheme="minorHAnsi"/>
          <w:sz w:val="22"/>
          <w:szCs w:val="22"/>
          <w:lang w:eastAsia="en-US"/>
        </w:rPr>
        <w:t xml:space="preserve">A provision-by-provision description of the </w:t>
      </w:r>
      <w:r>
        <w:rPr>
          <w:rFonts w:eastAsiaTheme="minorHAnsi"/>
          <w:sz w:val="22"/>
          <w:szCs w:val="22"/>
          <w:lang w:eastAsia="en-US"/>
        </w:rPr>
        <w:t>Determination</w:t>
      </w:r>
      <w:r w:rsidRPr="00E02626">
        <w:rPr>
          <w:rFonts w:eastAsiaTheme="minorHAnsi"/>
          <w:sz w:val="22"/>
          <w:szCs w:val="22"/>
          <w:lang w:eastAsia="en-US"/>
        </w:rPr>
        <w:t xml:space="preserve"> is set out in the notes at </w:t>
      </w:r>
      <w:r w:rsidRPr="00E02626">
        <w:rPr>
          <w:rFonts w:eastAsiaTheme="minorHAnsi"/>
          <w:b/>
          <w:sz w:val="22"/>
          <w:szCs w:val="22"/>
          <w:lang w:eastAsia="en-US"/>
        </w:rPr>
        <w:t>Attachment A</w:t>
      </w:r>
      <w:r w:rsidRPr="00E02626">
        <w:rPr>
          <w:rFonts w:eastAsiaTheme="minorHAnsi"/>
          <w:sz w:val="22"/>
          <w:szCs w:val="22"/>
          <w:lang w:eastAsia="en-US"/>
        </w:rPr>
        <w:t>.</w:t>
      </w:r>
    </w:p>
    <w:p w14:paraId="76846FFF" w14:textId="1E7DA48A" w:rsidR="00E02626" w:rsidRDefault="00E02626" w:rsidP="0092683E">
      <w:pPr>
        <w:spacing w:after="160" w:line="259" w:lineRule="auto"/>
        <w:rPr>
          <w:rFonts w:eastAsiaTheme="minorHAnsi"/>
          <w:sz w:val="22"/>
          <w:szCs w:val="22"/>
          <w:lang w:eastAsia="en-US"/>
        </w:rPr>
      </w:pPr>
      <w:r w:rsidRPr="00E02626">
        <w:rPr>
          <w:rFonts w:eastAsiaTheme="minorHAnsi"/>
          <w:sz w:val="22"/>
          <w:szCs w:val="22"/>
          <w:lang w:eastAsia="en-US"/>
        </w:rPr>
        <w:t xml:space="preserve">The </w:t>
      </w:r>
      <w:r>
        <w:rPr>
          <w:rFonts w:eastAsiaTheme="minorHAnsi"/>
          <w:sz w:val="22"/>
          <w:szCs w:val="22"/>
          <w:lang w:eastAsia="en-US"/>
        </w:rPr>
        <w:t>Determination</w:t>
      </w:r>
      <w:r w:rsidRPr="00E02626">
        <w:rPr>
          <w:rFonts w:eastAsiaTheme="minorHAnsi"/>
          <w:sz w:val="22"/>
          <w:szCs w:val="22"/>
          <w:lang w:eastAsia="en-US"/>
        </w:rPr>
        <w:t xml:space="preserve"> is a legislative instrument for the purposes of the </w:t>
      </w:r>
      <w:r w:rsidRPr="00E02626">
        <w:rPr>
          <w:rFonts w:eastAsiaTheme="minorHAnsi"/>
          <w:i/>
          <w:sz w:val="22"/>
          <w:szCs w:val="22"/>
          <w:lang w:eastAsia="en-US"/>
        </w:rPr>
        <w:t>Legislation Act 2003</w:t>
      </w:r>
      <w:r w:rsidRPr="00E02626">
        <w:rPr>
          <w:rFonts w:eastAsiaTheme="minorHAnsi"/>
          <w:sz w:val="22"/>
          <w:szCs w:val="22"/>
          <w:lang w:eastAsia="en-US"/>
        </w:rPr>
        <w:t xml:space="preserve"> (</w:t>
      </w:r>
      <w:r w:rsidRPr="00E02626">
        <w:rPr>
          <w:rFonts w:eastAsiaTheme="minorHAnsi"/>
          <w:b/>
          <w:sz w:val="22"/>
          <w:szCs w:val="22"/>
          <w:lang w:eastAsia="en-US"/>
        </w:rPr>
        <w:t>the</w:t>
      </w:r>
      <w:r w:rsidRPr="00E02626">
        <w:rPr>
          <w:rFonts w:eastAsiaTheme="minorHAnsi"/>
          <w:sz w:val="22"/>
          <w:szCs w:val="22"/>
          <w:lang w:eastAsia="en-US"/>
        </w:rPr>
        <w:t xml:space="preserve"> </w:t>
      </w:r>
      <w:r w:rsidRPr="00E02626">
        <w:rPr>
          <w:rFonts w:eastAsiaTheme="minorHAnsi"/>
          <w:b/>
          <w:sz w:val="22"/>
          <w:szCs w:val="22"/>
          <w:lang w:eastAsia="en-US"/>
        </w:rPr>
        <w:t>LA</w:t>
      </w:r>
      <w:r w:rsidRPr="00E02626">
        <w:rPr>
          <w:rFonts w:eastAsiaTheme="minorHAnsi"/>
          <w:sz w:val="22"/>
          <w:szCs w:val="22"/>
          <w:lang w:eastAsia="en-US"/>
        </w:rPr>
        <w:t xml:space="preserve">). </w:t>
      </w:r>
    </w:p>
    <w:p w14:paraId="7EC4891D" w14:textId="77777777" w:rsidR="0092683E" w:rsidRPr="0092683E" w:rsidRDefault="0092683E" w:rsidP="00644348">
      <w:pPr>
        <w:keepNext/>
        <w:spacing w:after="160" w:line="259" w:lineRule="auto"/>
        <w:rPr>
          <w:rFonts w:eastAsiaTheme="minorHAnsi"/>
          <w:b/>
          <w:sz w:val="22"/>
          <w:szCs w:val="22"/>
          <w:lang w:eastAsia="en-US"/>
        </w:rPr>
      </w:pPr>
      <w:r w:rsidRPr="0092683E">
        <w:rPr>
          <w:rFonts w:eastAsiaTheme="minorHAnsi"/>
          <w:b/>
          <w:sz w:val="22"/>
          <w:szCs w:val="22"/>
          <w:lang w:eastAsia="en-US"/>
        </w:rPr>
        <w:t>Documents incorporated by reference</w:t>
      </w:r>
    </w:p>
    <w:p w14:paraId="54CD2947" w14:textId="3980F67D" w:rsidR="0092683E" w:rsidRPr="00644348" w:rsidRDefault="00644348" w:rsidP="00644348">
      <w:pPr>
        <w:keepNext/>
        <w:rPr>
          <w:sz w:val="22"/>
          <w:szCs w:val="22"/>
        </w:rPr>
      </w:pPr>
      <w:r w:rsidRPr="00644348">
        <w:rPr>
          <w:sz w:val="22"/>
          <w:szCs w:val="22"/>
        </w:rPr>
        <w:t xml:space="preserve">The Determination incorporates </w:t>
      </w:r>
      <w:r w:rsidR="00283520">
        <w:rPr>
          <w:sz w:val="22"/>
          <w:szCs w:val="22"/>
        </w:rPr>
        <w:t xml:space="preserve">the </w:t>
      </w:r>
      <w:r w:rsidRPr="00644348">
        <w:rPr>
          <w:sz w:val="22"/>
          <w:szCs w:val="22"/>
        </w:rPr>
        <w:t xml:space="preserve">following </w:t>
      </w:r>
      <w:r w:rsidR="009906E2">
        <w:rPr>
          <w:sz w:val="22"/>
          <w:szCs w:val="22"/>
        </w:rPr>
        <w:t>Acts and legislative instruments</w:t>
      </w:r>
      <w:r w:rsidRPr="00644348">
        <w:rPr>
          <w:sz w:val="22"/>
          <w:szCs w:val="22"/>
        </w:rPr>
        <w:t xml:space="preserve"> by reference</w:t>
      </w:r>
      <w:r>
        <w:rPr>
          <w:sz w:val="22"/>
          <w:szCs w:val="22"/>
        </w:rPr>
        <w:t xml:space="preserve"> (including by the adoption of definitions)</w:t>
      </w:r>
      <w:r w:rsidR="00B108C3">
        <w:rPr>
          <w:sz w:val="22"/>
          <w:szCs w:val="22"/>
        </w:rPr>
        <w:t>, or otherwise refers to them</w:t>
      </w:r>
      <w:r>
        <w:rPr>
          <w:sz w:val="22"/>
          <w:szCs w:val="22"/>
        </w:rPr>
        <w:t>:</w:t>
      </w:r>
    </w:p>
    <w:p w14:paraId="5D2CED47" w14:textId="77777777" w:rsidR="00503C8D" w:rsidRDefault="00283520" w:rsidP="00503C8D">
      <w:pPr>
        <w:pStyle w:val="ListParagraph"/>
        <w:numPr>
          <w:ilvl w:val="0"/>
          <w:numId w:val="18"/>
        </w:numPr>
        <w:spacing w:before="120" w:after="160" w:line="259" w:lineRule="auto"/>
        <w:ind w:left="714" w:hanging="357"/>
        <w:rPr>
          <w:rFonts w:ascii="Times New Roman" w:hAnsi="Times New Roman"/>
        </w:rPr>
      </w:pPr>
      <w:r w:rsidRPr="005C338A">
        <w:rPr>
          <w:rFonts w:ascii="Times New Roman" w:hAnsi="Times New Roman"/>
        </w:rPr>
        <w:t>the</w:t>
      </w:r>
      <w:r w:rsidRPr="001A4EC7">
        <w:rPr>
          <w:rFonts w:ascii="Times New Roman" w:hAnsi="Times New Roman"/>
          <w:i/>
        </w:rPr>
        <w:t xml:space="preserve"> Acts Interpretation Act 1901</w:t>
      </w:r>
      <w:r w:rsidRPr="005C338A">
        <w:rPr>
          <w:rFonts w:ascii="Times New Roman" w:hAnsi="Times New Roman"/>
        </w:rPr>
        <w:t>;</w:t>
      </w:r>
      <w:r w:rsidR="00503C8D" w:rsidRPr="00503C8D">
        <w:rPr>
          <w:rFonts w:ascii="Times New Roman" w:hAnsi="Times New Roman"/>
        </w:rPr>
        <w:t xml:space="preserve"> </w:t>
      </w:r>
    </w:p>
    <w:p w14:paraId="32D1D602" w14:textId="1F97B2A8" w:rsidR="00503C8D" w:rsidRDefault="00503C8D" w:rsidP="00503C8D">
      <w:pPr>
        <w:pStyle w:val="ListParagraph"/>
        <w:numPr>
          <w:ilvl w:val="0"/>
          <w:numId w:val="18"/>
        </w:numPr>
        <w:spacing w:before="120" w:after="160" w:line="259" w:lineRule="auto"/>
        <w:ind w:left="714" w:hanging="357"/>
        <w:rPr>
          <w:rFonts w:ascii="Times New Roman" w:hAnsi="Times New Roman"/>
        </w:rPr>
      </w:pPr>
      <w:r>
        <w:rPr>
          <w:rFonts w:ascii="Times New Roman" w:hAnsi="Times New Roman"/>
        </w:rPr>
        <w:t xml:space="preserve">the </w:t>
      </w:r>
      <w:r>
        <w:rPr>
          <w:rFonts w:ascii="Times New Roman" w:hAnsi="Times New Roman"/>
          <w:i/>
        </w:rPr>
        <w:t>A New Tax System (Australian Business Number) Act 1999</w:t>
      </w:r>
      <w:r>
        <w:rPr>
          <w:rFonts w:ascii="Times New Roman" w:hAnsi="Times New Roman"/>
        </w:rPr>
        <w:t>;</w:t>
      </w:r>
    </w:p>
    <w:p w14:paraId="237CE876" w14:textId="27AA39DF" w:rsidR="00283520" w:rsidRPr="001A4EC7" w:rsidRDefault="00283520" w:rsidP="00AE066E">
      <w:pPr>
        <w:pStyle w:val="ListParagraph"/>
        <w:numPr>
          <w:ilvl w:val="0"/>
          <w:numId w:val="18"/>
        </w:numPr>
        <w:spacing w:before="120" w:after="160" w:line="259" w:lineRule="auto"/>
        <w:ind w:left="714" w:hanging="357"/>
        <w:rPr>
          <w:rFonts w:ascii="Times New Roman" w:hAnsi="Times New Roman"/>
          <w:i/>
        </w:rPr>
      </w:pPr>
    </w:p>
    <w:p w14:paraId="187A15F3" w14:textId="2FDE4E44" w:rsidR="009906E2" w:rsidRDefault="009906E2" w:rsidP="00AE066E">
      <w:pPr>
        <w:pStyle w:val="ListParagraph"/>
        <w:numPr>
          <w:ilvl w:val="0"/>
          <w:numId w:val="18"/>
        </w:numPr>
        <w:spacing w:before="120" w:after="160" w:line="259" w:lineRule="auto"/>
        <w:rPr>
          <w:rFonts w:ascii="Times New Roman" w:hAnsi="Times New Roman"/>
        </w:rPr>
      </w:pPr>
      <w:r>
        <w:rPr>
          <w:rFonts w:ascii="Times New Roman" w:hAnsi="Times New Roman"/>
        </w:rPr>
        <w:t xml:space="preserve">the </w:t>
      </w:r>
      <w:r>
        <w:rPr>
          <w:rFonts w:ascii="Times New Roman" w:hAnsi="Times New Roman"/>
          <w:i/>
        </w:rPr>
        <w:t>Australian Communications and Media Authority Act 2005</w:t>
      </w:r>
      <w:r>
        <w:rPr>
          <w:rFonts w:ascii="Times New Roman" w:hAnsi="Times New Roman"/>
        </w:rPr>
        <w:t>;</w:t>
      </w:r>
    </w:p>
    <w:p w14:paraId="113545B0" w14:textId="43BF2EFA" w:rsidR="009906E2" w:rsidRDefault="009906E2" w:rsidP="00AE066E">
      <w:pPr>
        <w:pStyle w:val="ListParagraph"/>
        <w:numPr>
          <w:ilvl w:val="0"/>
          <w:numId w:val="18"/>
        </w:numPr>
        <w:spacing w:before="120" w:after="160" w:line="259" w:lineRule="auto"/>
        <w:rPr>
          <w:rFonts w:ascii="Times New Roman" w:hAnsi="Times New Roman"/>
        </w:rPr>
      </w:pPr>
      <w:r>
        <w:rPr>
          <w:rFonts w:ascii="Times New Roman" w:hAnsi="Times New Roman"/>
        </w:rPr>
        <w:t xml:space="preserve">the </w:t>
      </w:r>
      <w:r w:rsidRPr="009906E2">
        <w:rPr>
          <w:rFonts w:ascii="Times New Roman" w:hAnsi="Times New Roman"/>
          <w:i/>
        </w:rPr>
        <w:t>Banking Act 1959</w:t>
      </w:r>
      <w:r>
        <w:rPr>
          <w:rFonts w:ascii="Times New Roman" w:hAnsi="Times New Roman"/>
        </w:rPr>
        <w:t>;</w:t>
      </w:r>
    </w:p>
    <w:p w14:paraId="57DFFE0B" w14:textId="2195F719" w:rsidR="009906E2" w:rsidRDefault="009906E2" w:rsidP="00AE066E">
      <w:pPr>
        <w:pStyle w:val="ListParagraph"/>
        <w:numPr>
          <w:ilvl w:val="0"/>
          <w:numId w:val="18"/>
        </w:numPr>
        <w:spacing w:before="120" w:after="160" w:line="259" w:lineRule="auto"/>
        <w:rPr>
          <w:rFonts w:ascii="Times New Roman" w:hAnsi="Times New Roman"/>
        </w:rPr>
      </w:pPr>
      <w:r>
        <w:rPr>
          <w:rFonts w:ascii="Times New Roman" w:hAnsi="Times New Roman"/>
        </w:rPr>
        <w:t xml:space="preserve">the </w:t>
      </w:r>
      <w:r>
        <w:rPr>
          <w:rFonts w:ascii="Times New Roman" w:hAnsi="Times New Roman"/>
          <w:i/>
        </w:rPr>
        <w:t>Competition and Consumer Act 2010</w:t>
      </w:r>
      <w:r>
        <w:rPr>
          <w:rFonts w:ascii="Times New Roman" w:hAnsi="Times New Roman"/>
        </w:rPr>
        <w:t>;</w:t>
      </w:r>
    </w:p>
    <w:p w14:paraId="2A2E53F6" w14:textId="2BB2474C" w:rsidR="00644348" w:rsidRDefault="00644348" w:rsidP="00AE066E">
      <w:pPr>
        <w:pStyle w:val="ListParagraph"/>
        <w:numPr>
          <w:ilvl w:val="0"/>
          <w:numId w:val="18"/>
        </w:numPr>
        <w:spacing w:before="120" w:after="160" w:line="259" w:lineRule="auto"/>
        <w:rPr>
          <w:rFonts w:ascii="Times New Roman" w:hAnsi="Times New Roman"/>
        </w:rPr>
      </w:pPr>
      <w:r>
        <w:rPr>
          <w:rFonts w:ascii="Times New Roman" w:hAnsi="Times New Roman"/>
        </w:rPr>
        <w:t xml:space="preserve">the </w:t>
      </w:r>
      <w:r>
        <w:rPr>
          <w:rFonts w:ascii="Times New Roman" w:hAnsi="Times New Roman"/>
          <w:i/>
        </w:rPr>
        <w:t>Corporations Act 2001</w:t>
      </w:r>
      <w:r>
        <w:rPr>
          <w:rFonts w:ascii="Times New Roman" w:hAnsi="Times New Roman"/>
        </w:rPr>
        <w:t>;</w:t>
      </w:r>
    </w:p>
    <w:p w14:paraId="5566E383" w14:textId="64FF3CA3" w:rsidR="009906E2" w:rsidRDefault="009906E2" w:rsidP="00AE066E">
      <w:pPr>
        <w:pStyle w:val="ListParagraph"/>
        <w:numPr>
          <w:ilvl w:val="0"/>
          <w:numId w:val="18"/>
        </w:numPr>
        <w:spacing w:before="120" w:after="160" w:line="259" w:lineRule="auto"/>
        <w:rPr>
          <w:rFonts w:ascii="Times New Roman" w:hAnsi="Times New Roman"/>
        </w:rPr>
      </w:pPr>
      <w:r>
        <w:rPr>
          <w:rFonts w:ascii="Times New Roman" w:hAnsi="Times New Roman"/>
        </w:rPr>
        <w:t xml:space="preserve">the </w:t>
      </w:r>
      <w:proofErr w:type="spellStart"/>
      <w:r>
        <w:rPr>
          <w:rFonts w:ascii="Times New Roman" w:hAnsi="Times New Roman"/>
          <w:i/>
        </w:rPr>
        <w:t>Radiocommunications</w:t>
      </w:r>
      <w:proofErr w:type="spellEnd"/>
      <w:r>
        <w:rPr>
          <w:rFonts w:ascii="Times New Roman" w:hAnsi="Times New Roman"/>
          <w:i/>
        </w:rPr>
        <w:t xml:space="preserve"> (Spectrum Licence Allocation – </w:t>
      </w:r>
      <w:r w:rsidR="00503C8D">
        <w:rPr>
          <w:rFonts w:ascii="Times New Roman" w:hAnsi="Times New Roman"/>
          <w:i/>
        </w:rPr>
        <w:t>Combinat</w:t>
      </w:r>
      <w:r w:rsidR="005D0E59">
        <w:rPr>
          <w:rFonts w:ascii="Times New Roman" w:hAnsi="Times New Roman"/>
          <w:i/>
        </w:rPr>
        <w:t>o</w:t>
      </w:r>
      <w:r w:rsidR="00503C8D">
        <w:rPr>
          <w:rFonts w:ascii="Times New Roman" w:hAnsi="Times New Roman"/>
          <w:i/>
        </w:rPr>
        <w:t>r</w:t>
      </w:r>
      <w:r w:rsidR="005D0E59">
        <w:rPr>
          <w:rFonts w:ascii="Times New Roman" w:hAnsi="Times New Roman"/>
          <w:i/>
        </w:rPr>
        <w:t>i</w:t>
      </w:r>
      <w:r w:rsidR="00503C8D">
        <w:rPr>
          <w:rFonts w:ascii="Times New Roman" w:hAnsi="Times New Roman"/>
          <w:i/>
        </w:rPr>
        <w:t>al Clock Auction</w:t>
      </w:r>
      <w:r>
        <w:rPr>
          <w:rFonts w:ascii="Times New Roman" w:hAnsi="Times New Roman"/>
          <w:i/>
        </w:rPr>
        <w:t>) Determination 201</w:t>
      </w:r>
      <w:r w:rsidR="00503C8D">
        <w:rPr>
          <w:rFonts w:ascii="Times New Roman" w:hAnsi="Times New Roman"/>
          <w:i/>
        </w:rPr>
        <w:t>2</w:t>
      </w:r>
      <w:r>
        <w:rPr>
          <w:rFonts w:ascii="Times New Roman" w:hAnsi="Times New Roman"/>
        </w:rPr>
        <w:t>;</w:t>
      </w:r>
    </w:p>
    <w:p w14:paraId="7E73E331" w14:textId="79D83EDB" w:rsidR="009906E2" w:rsidRDefault="009906E2" w:rsidP="00AE066E">
      <w:pPr>
        <w:pStyle w:val="ListParagraph"/>
        <w:numPr>
          <w:ilvl w:val="0"/>
          <w:numId w:val="18"/>
        </w:numPr>
        <w:spacing w:before="120" w:after="160" w:line="259" w:lineRule="auto"/>
        <w:rPr>
          <w:rFonts w:ascii="Times New Roman" w:hAnsi="Times New Roman"/>
        </w:rPr>
      </w:pPr>
      <w:r>
        <w:rPr>
          <w:rFonts w:ascii="Times New Roman" w:hAnsi="Times New Roman"/>
        </w:rPr>
        <w:t xml:space="preserve">the </w:t>
      </w:r>
      <w:proofErr w:type="spellStart"/>
      <w:r>
        <w:rPr>
          <w:rFonts w:ascii="Times New Roman" w:hAnsi="Times New Roman"/>
          <w:i/>
        </w:rPr>
        <w:t>Radiocommunications</w:t>
      </w:r>
      <w:proofErr w:type="spellEnd"/>
      <w:r>
        <w:rPr>
          <w:rFonts w:ascii="Times New Roman" w:hAnsi="Times New Roman"/>
          <w:i/>
        </w:rPr>
        <w:t xml:space="preserve"> Spectrum Marketing Plan (700 MHz unallocated lots band) 2016</w:t>
      </w:r>
      <w:r w:rsidR="006E128A">
        <w:rPr>
          <w:rFonts w:ascii="Times New Roman" w:hAnsi="Times New Roman"/>
          <w:i/>
        </w:rPr>
        <w:t xml:space="preserve"> </w:t>
      </w:r>
      <w:r w:rsidR="006E128A">
        <w:rPr>
          <w:rFonts w:ascii="Times New Roman" w:hAnsi="Times New Roman"/>
        </w:rPr>
        <w:t>(</w:t>
      </w:r>
      <w:r w:rsidR="006E128A" w:rsidRPr="006E128A">
        <w:rPr>
          <w:rFonts w:ascii="Times New Roman" w:hAnsi="Times New Roman"/>
          <w:b/>
        </w:rPr>
        <w:t>the marketing plan</w:t>
      </w:r>
      <w:r w:rsidR="006E128A">
        <w:rPr>
          <w:rFonts w:ascii="Times New Roman" w:hAnsi="Times New Roman"/>
        </w:rPr>
        <w:t>)</w:t>
      </w:r>
      <w:r>
        <w:rPr>
          <w:rFonts w:ascii="Times New Roman" w:hAnsi="Times New Roman"/>
        </w:rPr>
        <w:t>;</w:t>
      </w:r>
    </w:p>
    <w:p w14:paraId="71010F6D" w14:textId="58087792" w:rsidR="009906E2" w:rsidRDefault="009906E2" w:rsidP="00AE066E">
      <w:pPr>
        <w:pStyle w:val="ListParagraph"/>
        <w:numPr>
          <w:ilvl w:val="0"/>
          <w:numId w:val="18"/>
        </w:numPr>
        <w:spacing w:before="120" w:after="160" w:line="259" w:lineRule="auto"/>
        <w:rPr>
          <w:rFonts w:ascii="Times New Roman" w:hAnsi="Times New Roman"/>
        </w:rPr>
      </w:pPr>
      <w:r>
        <w:rPr>
          <w:rFonts w:ascii="Times New Roman" w:hAnsi="Times New Roman"/>
        </w:rPr>
        <w:t>the Re-allocation Declaration;</w:t>
      </w:r>
    </w:p>
    <w:p w14:paraId="18C72A66" w14:textId="5D7B5C21" w:rsidR="00644348" w:rsidRDefault="00644348" w:rsidP="00AE066E">
      <w:pPr>
        <w:pStyle w:val="ListParagraph"/>
        <w:numPr>
          <w:ilvl w:val="0"/>
          <w:numId w:val="18"/>
        </w:numPr>
        <w:spacing w:before="120" w:after="160" w:line="259" w:lineRule="auto"/>
        <w:rPr>
          <w:rFonts w:ascii="Times New Roman" w:hAnsi="Times New Roman"/>
        </w:rPr>
      </w:pPr>
      <w:r>
        <w:rPr>
          <w:rFonts w:ascii="Times New Roman" w:hAnsi="Times New Roman"/>
        </w:rPr>
        <w:t>the Residual 700 MHz Spectrum Direction;</w:t>
      </w:r>
    </w:p>
    <w:p w14:paraId="06791DDC" w14:textId="119A38D1" w:rsidR="00644348" w:rsidRPr="009906E2" w:rsidRDefault="00644348" w:rsidP="00AE066E">
      <w:pPr>
        <w:pStyle w:val="ListParagraph"/>
        <w:numPr>
          <w:ilvl w:val="0"/>
          <w:numId w:val="18"/>
        </w:numPr>
        <w:spacing w:before="120" w:after="160" w:line="259" w:lineRule="auto"/>
        <w:rPr>
          <w:rFonts w:ascii="Times New Roman" w:hAnsi="Times New Roman"/>
        </w:rPr>
      </w:pPr>
      <w:proofErr w:type="gramStart"/>
      <w:r>
        <w:rPr>
          <w:rFonts w:ascii="Times New Roman" w:hAnsi="Times New Roman"/>
        </w:rPr>
        <w:t>the</w:t>
      </w:r>
      <w:proofErr w:type="gramEnd"/>
      <w:r>
        <w:rPr>
          <w:rFonts w:ascii="Times New Roman" w:hAnsi="Times New Roman"/>
        </w:rPr>
        <w:t xml:space="preserve"> </w:t>
      </w:r>
      <w:r>
        <w:rPr>
          <w:rFonts w:ascii="Times New Roman" w:hAnsi="Times New Roman"/>
          <w:i/>
        </w:rPr>
        <w:t>Telecommunications Act 1997</w:t>
      </w:r>
      <w:r w:rsidR="009906E2">
        <w:rPr>
          <w:rFonts w:ascii="Times New Roman" w:hAnsi="Times New Roman"/>
        </w:rPr>
        <w:t>.</w:t>
      </w:r>
    </w:p>
    <w:p w14:paraId="033D727A" w14:textId="3617E50E" w:rsidR="0092683E" w:rsidRPr="007207A7" w:rsidRDefault="009906E2" w:rsidP="0092683E">
      <w:pPr>
        <w:spacing w:after="160" w:line="259" w:lineRule="auto"/>
        <w:rPr>
          <w:rFonts w:ascii="Arial" w:hAnsi="Arial" w:cs="Arial"/>
          <w:sz w:val="20"/>
          <w:szCs w:val="20"/>
        </w:rPr>
      </w:pPr>
      <w:r>
        <w:rPr>
          <w:rFonts w:eastAsiaTheme="minorHAnsi"/>
          <w:sz w:val="22"/>
          <w:szCs w:val="22"/>
          <w:lang w:eastAsia="en-US"/>
        </w:rPr>
        <w:t>The Acts</w:t>
      </w:r>
      <w:r w:rsidR="00644348">
        <w:rPr>
          <w:rFonts w:eastAsiaTheme="minorHAnsi"/>
          <w:sz w:val="22"/>
          <w:szCs w:val="22"/>
          <w:lang w:eastAsia="en-US"/>
        </w:rPr>
        <w:t xml:space="preserve"> and legislative instruments listed above may be obtained from the Federal Register of Legislation (</w:t>
      </w:r>
      <w:hyperlink r:id="rId12" w:history="1">
        <w:r w:rsidR="00644348" w:rsidRPr="0062644A">
          <w:rPr>
            <w:rStyle w:val="Hyperlink"/>
            <w:rFonts w:eastAsiaTheme="minorHAnsi"/>
            <w:sz w:val="22"/>
            <w:szCs w:val="22"/>
            <w:lang w:eastAsia="en-US"/>
          </w:rPr>
          <w:t>http://www.legislation.gov.au</w:t>
        </w:r>
      </w:hyperlink>
      <w:r w:rsidR="00644348">
        <w:rPr>
          <w:rFonts w:eastAsiaTheme="minorHAnsi"/>
          <w:sz w:val="22"/>
          <w:szCs w:val="22"/>
          <w:lang w:eastAsia="en-US"/>
        </w:rPr>
        <w:t xml:space="preserve">).  </w:t>
      </w:r>
      <w:r>
        <w:rPr>
          <w:rFonts w:eastAsiaTheme="minorHAnsi"/>
          <w:sz w:val="22"/>
          <w:szCs w:val="22"/>
          <w:lang w:eastAsia="en-US"/>
        </w:rPr>
        <w:t xml:space="preserve">The Acts </w:t>
      </w:r>
      <w:r w:rsidR="00644348">
        <w:rPr>
          <w:rFonts w:eastAsiaTheme="minorHAnsi"/>
          <w:sz w:val="22"/>
          <w:szCs w:val="22"/>
          <w:lang w:eastAsia="en-US"/>
        </w:rPr>
        <w:t xml:space="preserve">are incorporated as in force, from time to time, in accordance with </w:t>
      </w:r>
      <w:r w:rsidR="00051600">
        <w:rPr>
          <w:rFonts w:eastAsiaTheme="minorHAnsi"/>
          <w:sz w:val="22"/>
          <w:szCs w:val="22"/>
          <w:lang w:eastAsia="en-US"/>
        </w:rPr>
        <w:t xml:space="preserve">section 10 with the </w:t>
      </w:r>
      <w:r w:rsidR="00051600">
        <w:rPr>
          <w:rFonts w:eastAsiaTheme="minorHAnsi"/>
          <w:i/>
          <w:sz w:val="22"/>
          <w:szCs w:val="22"/>
          <w:lang w:eastAsia="en-US"/>
        </w:rPr>
        <w:t xml:space="preserve">Acts Interpretation Act 1901 </w:t>
      </w:r>
      <w:r w:rsidR="00051600">
        <w:rPr>
          <w:rFonts w:eastAsiaTheme="minorHAnsi"/>
          <w:sz w:val="22"/>
          <w:szCs w:val="22"/>
          <w:lang w:eastAsia="en-US"/>
        </w:rPr>
        <w:t xml:space="preserve">and </w:t>
      </w:r>
      <w:r w:rsidR="00F54C8F">
        <w:rPr>
          <w:rFonts w:eastAsiaTheme="minorHAnsi"/>
          <w:sz w:val="22"/>
          <w:szCs w:val="22"/>
          <w:lang w:eastAsia="en-US"/>
        </w:rPr>
        <w:t xml:space="preserve">subsection 13(1) of the LA. </w:t>
      </w:r>
      <w:r w:rsidR="00FB2697">
        <w:rPr>
          <w:rFonts w:eastAsiaTheme="minorHAnsi"/>
          <w:sz w:val="22"/>
          <w:szCs w:val="22"/>
          <w:lang w:eastAsia="en-US"/>
        </w:rPr>
        <w:t xml:space="preserve"> </w:t>
      </w:r>
      <w:r w:rsidR="00F54C8F">
        <w:rPr>
          <w:rFonts w:eastAsiaTheme="minorHAnsi"/>
          <w:sz w:val="22"/>
          <w:szCs w:val="22"/>
          <w:lang w:eastAsia="en-US"/>
        </w:rPr>
        <w:t xml:space="preserve">The legislative instruments listed above are incorporated as in force, from time to time, in accordance with section 5 of this Determination and </w:t>
      </w:r>
      <w:r w:rsidR="00644348">
        <w:rPr>
          <w:rFonts w:eastAsiaTheme="minorHAnsi"/>
          <w:sz w:val="22"/>
          <w:szCs w:val="22"/>
          <w:lang w:eastAsia="en-US"/>
        </w:rPr>
        <w:t>subsection 14(</w:t>
      </w:r>
      <w:r w:rsidR="00051600">
        <w:rPr>
          <w:rFonts w:eastAsiaTheme="minorHAnsi"/>
          <w:sz w:val="22"/>
          <w:szCs w:val="22"/>
          <w:lang w:eastAsia="en-US"/>
        </w:rPr>
        <w:t>1</w:t>
      </w:r>
      <w:r w:rsidR="00644348">
        <w:rPr>
          <w:rFonts w:eastAsiaTheme="minorHAnsi"/>
          <w:sz w:val="22"/>
          <w:szCs w:val="22"/>
          <w:lang w:eastAsia="en-US"/>
        </w:rPr>
        <w:t>) of the LA.</w:t>
      </w:r>
    </w:p>
    <w:p w14:paraId="28312950" w14:textId="77777777" w:rsidR="00716F1F" w:rsidRPr="009906E2" w:rsidRDefault="00716F1F" w:rsidP="009906E2">
      <w:pPr>
        <w:keepNext/>
        <w:spacing w:after="160" w:line="259" w:lineRule="auto"/>
        <w:rPr>
          <w:rFonts w:eastAsiaTheme="minorHAnsi"/>
          <w:b/>
          <w:sz w:val="22"/>
          <w:szCs w:val="22"/>
          <w:lang w:eastAsia="en-US"/>
        </w:rPr>
      </w:pPr>
      <w:r w:rsidRPr="009906E2">
        <w:rPr>
          <w:rFonts w:eastAsiaTheme="minorHAnsi"/>
          <w:b/>
          <w:sz w:val="22"/>
          <w:szCs w:val="22"/>
          <w:lang w:eastAsia="en-US"/>
        </w:rPr>
        <w:t>Consultation</w:t>
      </w:r>
    </w:p>
    <w:p w14:paraId="51CC1808" w14:textId="7650547B" w:rsidR="00106EA7" w:rsidRPr="00106EA7" w:rsidRDefault="00106EA7" w:rsidP="00A33B00">
      <w:pPr>
        <w:spacing w:after="160" w:line="259" w:lineRule="auto"/>
        <w:rPr>
          <w:rFonts w:eastAsiaTheme="minorHAnsi"/>
          <w:sz w:val="22"/>
          <w:szCs w:val="22"/>
          <w:lang w:eastAsia="en-US"/>
        </w:rPr>
      </w:pPr>
      <w:r>
        <w:rPr>
          <w:rFonts w:eastAsiaTheme="minorHAnsi"/>
          <w:sz w:val="22"/>
          <w:szCs w:val="22"/>
          <w:lang w:eastAsia="en-US"/>
        </w:rPr>
        <w:t>Before the Determination was made, the ACMA was satisfied that consultation was undertaken to the extent appropriate and reasonably practicabl</w:t>
      </w:r>
      <w:r w:rsidR="007D5E64">
        <w:rPr>
          <w:rFonts w:eastAsiaTheme="minorHAnsi"/>
          <w:sz w:val="22"/>
          <w:szCs w:val="22"/>
          <w:lang w:eastAsia="en-US"/>
        </w:rPr>
        <w:t>e, in accordance with section 17</w:t>
      </w:r>
      <w:r>
        <w:rPr>
          <w:rFonts w:eastAsiaTheme="minorHAnsi"/>
          <w:sz w:val="22"/>
          <w:szCs w:val="22"/>
          <w:lang w:eastAsia="en-US"/>
        </w:rPr>
        <w:t xml:space="preserve"> of the LA.</w:t>
      </w:r>
    </w:p>
    <w:p w14:paraId="2A5F13FE" w14:textId="39293ED6" w:rsidR="00A33B00" w:rsidRPr="00644348" w:rsidRDefault="00A33B00" w:rsidP="00214FEF">
      <w:pPr>
        <w:keepNext/>
        <w:spacing w:after="160" w:line="259" w:lineRule="auto"/>
        <w:rPr>
          <w:rFonts w:eastAsiaTheme="minorHAnsi"/>
          <w:i/>
          <w:sz w:val="22"/>
          <w:szCs w:val="22"/>
          <w:lang w:eastAsia="en-US"/>
        </w:rPr>
      </w:pPr>
      <w:r>
        <w:rPr>
          <w:rFonts w:eastAsiaTheme="minorHAnsi"/>
          <w:i/>
          <w:sz w:val="22"/>
          <w:szCs w:val="22"/>
          <w:lang w:eastAsia="en-US"/>
        </w:rPr>
        <w:lastRenderedPageBreak/>
        <w:t>Consultation in relation to the 2013 auction</w:t>
      </w:r>
    </w:p>
    <w:p w14:paraId="010AAD25" w14:textId="680CA36B" w:rsidR="00716F1F" w:rsidRPr="00A21F1D" w:rsidRDefault="00716F1F" w:rsidP="009906E2">
      <w:pPr>
        <w:spacing w:after="160" w:line="259" w:lineRule="auto"/>
        <w:rPr>
          <w:rFonts w:eastAsiaTheme="minorHAnsi"/>
          <w:sz w:val="22"/>
          <w:szCs w:val="22"/>
          <w:lang w:eastAsia="en-US"/>
        </w:rPr>
      </w:pPr>
      <w:r w:rsidRPr="009906E2">
        <w:rPr>
          <w:rFonts w:eastAsiaTheme="minorHAnsi"/>
          <w:sz w:val="22"/>
          <w:szCs w:val="22"/>
          <w:lang w:eastAsia="en-US"/>
        </w:rPr>
        <w:t xml:space="preserve">The </w:t>
      </w:r>
      <w:r w:rsidRPr="000007FB">
        <w:rPr>
          <w:rFonts w:eastAsiaTheme="minorHAnsi"/>
          <w:sz w:val="22"/>
          <w:szCs w:val="22"/>
          <w:lang w:eastAsia="en-US"/>
        </w:rPr>
        <w:t xml:space="preserve">ACMA consulted extensively with stakeholders about its plans for the re-allocation of the </w:t>
      </w:r>
      <w:r w:rsidR="009906E2" w:rsidRPr="000A3599">
        <w:rPr>
          <w:rFonts w:eastAsiaTheme="minorHAnsi"/>
          <w:sz w:val="22"/>
          <w:szCs w:val="22"/>
          <w:lang w:eastAsia="en-US"/>
        </w:rPr>
        <w:t>700 </w:t>
      </w:r>
      <w:r w:rsidRPr="000A3599">
        <w:rPr>
          <w:rFonts w:eastAsiaTheme="minorHAnsi"/>
          <w:sz w:val="22"/>
          <w:szCs w:val="22"/>
          <w:lang w:eastAsia="en-US"/>
        </w:rPr>
        <w:t>MHz and 2.5 GHz bands generally</w:t>
      </w:r>
      <w:r w:rsidR="009E439E" w:rsidRPr="00BE7184">
        <w:rPr>
          <w:rFonts w:eastAsiaTheme="minorHAnsi"/>
          <w:sz w:val="22"/>
          <w:szCs w:val="22"/>
          <w:lang w:eastAsia="en-US"/>
        </w:rPr>
        <w:t xml:space="preserve"> in the </w:t>
      </w:r>
      <w:r w:rsidR="00025BFE" w:rsidRPr="00BE7184">
        <w:rPr>
          <w:rFonts w:eastAsiaTheme="minorHAnsi"/>
          <w:sz w:val="22"/>
          <w:szCs w:val="22"/>
          <w:lang w:eastAsia="en-US"/>
        </w:rPr>
        <w:t>lead up</w:t>
      </w:r>
      <w:r w:rsidR="009E439E" w:rsidRPr="00A21F1D">
        <w:rPr>
          <w:rFonts w:eastAsiaTheme="minorHAnsi"/>
          <w:sz w:val="22"/>
          <w:szCs w:val="22"/>
          <w:lang w:eastAsia="en-US"/>
        </w:rPr>
        <w:t xml:space="preserve"> to the 2013 allocation</w:t>
      </w:r>
      <w:r w:rsidR="009906E2" w:rsidRPr="00A21F1D">
        <w:rPr>
          <w:rFonts w:eastAsiaTheme="minorHAnsi"/>
          <w:sz w:val="22"/>
          <w:szCs w:val="22"/>
          <w:lang w:eastAsia="en-US"/>
        </w:rPr>
        <w:t xml:space="preserve"> of spectrum licences</w:t>
      </w:r>
      <w:r w:rsidRPr="00A21F1D">
        <w:rPr>
          <w:rFonts w:eastAsiaTheme="minorHAnsi"/>
          <w:sz w:val="22"/>
          <w:szCs w:val="22"/>
          <w:lang w:eastAsia="en-US"/>
        </w:rPr>
        <w:t>.</w:t>
      </w:r>
    </w:p>
    <w:p w14:paraId="33FC0D1C" w14:textId="2A4B70EC" w:rsidR="00BF38FA" w:rsidRPr="005C338A" w:rsidRDefault="00BF38FA" w:rsidP="009906E2">
      <w:pPr>
        <w:spacing w:after="160" w:line="259" w:lineRule="auto"/>
        <w:rPr>
          <w:rFonts w:eastAsiaTheme="minorHAnsi"/>
          <w:sz w:val="22"/>
          <w:szCs w:val="22"/>
          <w:lang w:eastAsia="en-US"/>
        </w:rPr>
      </w:pPr>
      <w:r w:rsidRPr="005C338A">
        <w:rPr>
          <w:rFonts w:eastAsiaTheme="minorHAnsi"/>
          <w:sz w:val="22"/>
          <w:szCs w:val="22"/>
          <w:lang w:eastAsia="en-US"/>
        </w:rPr>
        <w:t xml:space="preserve">For detail of the consultation processes undertaken in the 2013 process see the </w:t>
      </w:r>
      <w:r w:rsidR="000846F4" w:rsidRPr="005C338A">
        <w:rPr>
          <w:rFonts w:eastAsiaTheme="minorHAnsi"/>
          <w:sz w:val="22"/>
          <w:szCs w:val="22"/>
          <w:lang w:eastAsia="en-US"/>
        </w:rPr>
        <w:t xml:space="preserve">Explanatory Statement for the </w:t>
      </w:r>
      <w:proofErr w:type="spellStart"/>
      <w:r w:rsidR="000846F4" w:rsidRPr="005C338A">
        <w:rPr>
          <w:rFonts w:eastAsiaTheme="minorHAnsi"/>
          <w:i/>
          <w:sz w:val="22"/>
          <w:szCs w:val="22"/>
          <w:lang w:eastAsia="en-US"/>
        </w:rPr>
        <w:t>Radiocommunications</w:t>
      </w:r>
      <w:proofErr w:type="spellEnd"/>
      <w:r w:rsidR="000846F4" w:rsidRPr="005C338A">
        <w:rPr>
          <w:rFonts w:eastAsiaTheme="minorHAnsi"/>
          <w:i/>
          <w:sz w:val="22"/>
          <w:szCs w:val="22"/>
          <w:lang w:eastAsia="en-US"/>
        </w:rPr>
        <w:t xml:space="preserve"> (Spectrum Licence Allocation – Combinatorial Clock Auction) Determination 2012</w:t>
      </w:r>
      <w:r w:rsidR="000846F4" w:rsidRPr="005C338A">
        <w:rPr>
          <w:rFonts w:eastAsiaTheme="minorHAnsi"/>
          <w:sz w:val="22"/>
          <w:szCs w:val="22"/>
          <w:lang w:eastAsia="en-US"/>
        </w:rPr>
        <w:t>), available from the Federal Register of Legislation (</w:t>
      </w:r>
      <w:hyperlink r:id="rId13" w:history="1">
        <w:r w:rsidR="000846F4" w:rsidRPr="005C338A">
          <w:rPr>
            <w:rStyle w:val="Hyperlink"/>
            <w:rFonts w:eastAsiaTheme="minorHAnsi"/>
            <w:sz w:val="22"/>
            <w:szCs w:val="22"/>
            <w:lang w:eastAsia="en-US"/>
          </w:rPr>
          <w:t>www.legislation.gov.au</w:t>
        </w:r>
      </w:hyperlink>
      <w:r w:rsidR="000846F4" w:rsidRPr="005C338A">
        <w:rPr>
          <w:rFonts w:eastAsiaTheme="minorHAnsi"/>
          <w:sz w:val="22"/>
          <w:szCs w:val="22"/>
          <w:lang w:eastAsia="en-US"/>
        </w:rPr>
        <w:t>).</w:t>
      </w:r>
    </w:p>
    <w:p w14:paraId="3CDA0327" w14:textId="6E8770DA" w:rsidR="00A33B00" w:rsidRPr="000A3599" w:rsidRDefault="00A33B00" w:rsidP="00A33B00">
      <w:pPr>
        <w:spacing w:after="160" w:line="259" w:lineRule="auto"/>
        <w:rPr>
          <w:rFonts w:eastAsiaTheme="minorHAnsi"/>
          <w:i/>
          <w:sz w:val="22"/>
          <w:szCs w:val="22"/>
          <w:lang w:eastAsia="en-US"/>
        </w:rPr>
      </w:pPr>
      <w:r w:rsidRPr="000A3599">
        <w:rPr>
          <w:rFonts w:eastAsiaTheme="minorHAnsi"/>
          <w:i/>
          <w:sz w:val="22"/>
          <w:szCs w:val="22"/>
          <w:lang w:eastAsia="en-US"/>
        </w:rPr>
        <w:t>Recent consultation</w:t>
      </w:r>
    </w:p>
    <w:p w14:paraId="2DA16A06" w14:textId="2420EE1C" w:rsidR="00716F1F" w:rsidRPr="000007FB" w:rsidRDefault="00A33B00" w:rsidP="009906E2">
      <w:pPr>
        <w:spacing w:after="160" w:line="259" w:lineRule="auto"/>
        <w:rPr>
          <w:rFonts w:eastAsiaTheme="minorHAnsi"/>
          <w:sz w:val="22"/>
          <w:szCs w:val="22"/>
          <w:lang w:eastAsia="en-US"/>
        </w:rPr>
      </w:pPr>
      <w:r w:rsidRPr="00BE7184">
        <w:rPr>
          <w:rFonts w:eastAsiaTheme="minorHAnsi"/>
          <w:sz w:val="22"/>
          <w:szCs w:val="22"/>
          <w:lang w:eastAsia="en-US"/>
        </w:rPr>
        <w:t>A</w:t>
      </w:r>
      <w:r w:rsidR="00302698" w:rsidRPr="00BE7184">
        <w:rPr>
          <w:rFonts w:eastAsiaTheme="minorHAnsi"/>
          <w:sz w:val="22"/>
          <w:szCs w:val="22"/>
          <w:lang w:eastAsia="en-US"/>
        </w:rPr>
        <w:t xml:space="preserve"> d</w:t>
      </w:r>
      <w:r w:rsidR="00716F1F" w:rsidRPr="00A21F1D">
        <w:rPr>
          <w:rFonts w:eastAsiaTheme="minorHAnsi"/>
          <w:sz w:val="22"/>
          <w:szCs w:val="22"/>
          <w:lang w:eastAsia="en-US"/>
        </w:rPr>
        <w:t>raft version of th</w:t>
      </w:r>
      <w:r w:rsidRPr="00A21F1D">
        <w:rPr>
          <w:rFonts w:eastAsiaTheme="minorHAnsi"/>
          <w:sz w:val="22"/>
          <w:szCs w:val="22"/>
          <w:lang w:eastAsia="en-US"/>
        </w:rPr>
        <w:t>e</w:t>
      </w:r>
      <w:r w:rsidR="003D1B6D" w:rsidRPr="00A21F1D">
        <w:rPr>
          <w:rFonts w:eastAsiaTheme="minorHAnsi"/>
          <w:sz w:val="22"/>
          <w:szCs w:val="22"/>
          <w:lang w:eastAsia="en-US"/>
        </w:rPr>
        <w:t xml:space="preserve"> </w:t>
      </w:r>
      <w:r w:rsidRPr="009311BF">
        <w:rPr>
          <w:rFonts w:eastAsiaTheme="minorHAnsi"/>
          <w:sz w:val="22"/>
          <w:szCs w:val="22"/>
          <w:lang w:eastAsia="en-US"/>
        </w:rPr>
        <w:t xml:space="preserve">Determination </w:t>
      </w:r>
      <w:r w:rsidR="003D1B6D" w:rsidRPr="009311BF">
        <w:rPr>
          <w:rFonts w:eastAsiaTheme="minorHAnsi"/>
          <w:sz w:val="22"/>
          <w:szCs w:val="22"/>
          <w:lang w:eastAsia="en-US"/>
        </w:rPr>
        <w:t>w</w:t>
      </w:r>
      <w:r w:rsidR="00302698" w:rsidRPr="009311BF">
        <w:rPr>
          <w:rFonts w:eastAsiaTheme="minorHAnsi"/>
          <w:sz w:val="22"/>
          <w:szCs w:val="22"/>
          <w:lang w:eastAsia="en-US"/>
        </w:rPr>
        <w:t>as</w:t>
      </w:r>
      <w:r w:rsidR="00633C97" w:rsidRPr="00CC30BD">
        <w:rPr>
          <w:rFonts w:eastAsiaTheme="minorHAnsi"/>
          <w:sz w:val="22"/>
          <w:szCs w:val="22"/>
          <w:lang w:eastAsia="en-US"/>
        </w:rPr>
        <w:t xml:space="preserve"> </w:t>
      </w:r>
      <w:r w:rsidR="003D1B6D" w:rsidRPr="00D208A5">
        <w:rPr>
          <w:rFonts w:eastAsiaTheme="minorHAnsi"/>
          <w:sz w:val="22"/>
          <w:szCs w:val="22"/>
          <w:lang w:eastAsia="en-US"/>
        </w:rPr>
        <w:t>rel</w:t>
      </w:r>
      <w:r w:rsidR="003D1B6D" w:rsidRPr="00D019B0">
        <w:rPr>
          <w:rFonts w:eastAsiaTheme="minorHAnsi"/>
          <w:sz w:val="22"/>
          <w:szCs w:val="22"/>
          <w:lang w:eastAsia="en-US"/>
        </w:rPr>
        <w:t xml:space="preserve">eased </w:t>
      </w:r>
      <w:r w:rsidR="00716F1F" w:rsidRPr="00D019B0">
        <w:rPr>
          <w:rFonts w:eastAsiaTheme="minorHAnsi"/>
          <w:sz w:val="22"/>
          <w:szCs w:val="22"/>
          <w:lang w:eastAsia="en-US"/>
        </w:rPr>
        <w:t xml:space="preserve">for public consultation </w:t>
      </w:r>
      <w:r w:rsidR="00106EA7" w:rsidRPr="00D019B0">
        <w:rPr>
          <w:rFonts w:eastAsiaTheme="minorHAnsi"/>
          <w:sz w:val="22"/>
          <w:szCs w:val="22"/>
          <w:lang w:eastAsia="en-US"/>
        </w:rPr>
        <w:t>on 21</w:t>
      </w:r>
      <w:r w:rsidR="00633C97" w:rsidRPr="00D019B0">
        <w:rPr>
          <w:rFonts w:eastAsiaTheme="minorHAnsi"/>
          <w:sz w:val="22"/>
          <w:szCs w:val="22"/>
          <w:lang w:eastAsia="en-US"/>
        </w:rPr>
        <w:t xml:space="preserve"> October</w:t>
      </w:r>
      <w:r w:rsidR="00302698" w:rsidRPr="000007FB">
        <w:rPr>
          <w:rFonts w:eastAsiaTheme="minorHAnsi"/>
          <w:sz w:val="22"/>
          <w:szCs w:val="22"/>
          <w:lang w:eastAsia="en-US"/>
        </w:rPr>
        <w:t xml:space="preserve"> </w:t>
      </w:r>
      <w:r w:rsidR="001068E4" w:rsidRPr="000007FB">
        <w:rPr>
          <w:rFonts w:eastAsiaTheme="minorHAnsi"/>
          <w:sz w:val="22"/>
          <w:szCs w:val="22"/>
          <w:lang w:eastAsia="en-US"/>
        </w:rPr>
        <w:t>2016</w:t>
      </w:r>
      <w:r w:rsidRPr="000007FB">
        <w:rPr>
          <w:rFonts w:eastAsiaTheme="minorHAnsi"/>
          <w:sz w:val="22"/>
          <w:szCs w:val="22"/>
          <w:lang w:eastAsia="en-US"/>
        </w:rPr>
        <w:t>,</w:t>
      </w:r>
      <w:r w:rsidR="00B108C3" w:rsidRPr="000007FB">
        <w:rPr>
          <w:rFonts w:eastAsiaTheme="minorHAnsi"/>
          <w:sz w:val="22"/>
          <w:szCs w:val="22"/>
          <w:lang w:eastAsia="en-US"/>
        </w:rPr>
        <w:t xml:space="preserve"> </w:t>
      </w:r>
      <w:r w:rsidR="00716F1F" w:rsidRPr="000007FB">
        <w:rPr>
          <w:rFonts w:eastAsiaTheme="minorHAnsi"/>
          <w:sz w:val="22"/>
          <w:szCs w:val="22"/>
          <w:lang w:eastAsia="en-US"/>
        </w:rPr>
        <w:t xml:space="preserve">together with the explanatory information paper </w:t>
      </w:r>
      <w:hyperlink r:id="rId14" w:history="1">
        <w:r w:rsidR="00716F1F" w:rsidRPr="000007FB">
          <w:rPr>
            <w:rStyle w:val="Hyperlink"/>
            <w:rFonts w:eastAsiaTheme="minorHAnsi"/>
            <w:i/>
            <w:sz w:val="22"/>
            <w:szCs w:val="22"/>
            <w:lang w:eastAsia="en-US"/>
          </w:rPr>
          <w:t xml:space="preserve">Draft allocation instruments for </w:t>
        </w:r>
        <w:r w:rsidR="001068E4" w:rsidRPr="000007FB">
          <w:rPr>
            <w:rStyle w:val="Hyperlink"/>
            <w:rFonts w:eastAsiaTheme="minorHAnsi"/>
            <w:i/>
            <w:sz w:val="22"/>
            <w:szCs w:val="22"/>
            <w:lang w:eastAsia="en-US"/>
          </w:rPr>
          <w:t xml:space="preserve">700 MHz </w:t>
        </w:r>
        <w:r w:rsidR="00716F1F" w:rsidRPr="000007FB">
          <w:rPr>
            <w:rStyle w:val="Hyperlink"/>
            <w:rFonts w:eastAsiaTheme="minorHAnsi"/>
            <w:i/>
            <w:sz w:val="22"/>
            <w:szCs w:val="22"/>
            <w:lang w:eastAsia="en-US"/>
          </w:rPr>
          <w:t xml:space="preserve">spectrum </w:t>
        </w:r>
        <w:r w:rsidR="001068E4" w:rsidRPr="000007FB">
          <w:rPr>
            <w:rStyle w:val="Hyperlink"/>
            <w:rFonts w:eastAsiaTheme="minorHAnsi"/>
            <w:i/>
            <w:sz w:val="22"/>
            <w:szCs w:val="22"/>
            <w:lang w:eastAsia="en-US"/>
          </w:rPr>
          <w:t>-unsold lots</w:t>
        </w:r>
        <w:r w:rsidR="00716F1F" w:rsidRPr="000007FB">
          <w:rPr>
            <w:rStyle w:val="Hyperlink"/>
            <w:rFonts w:eastAsiaTheme="minorHAnsi"/>
            <w:i/>
            <w:sz w:val="22"/>
            <w:szCs w:val="22"/>
            <w:lang w:eastAsia="en-US"/>
          </w:rPr>
          <w:t xml:space="preserve"> auction</w:t>
        </w:r>
      </w:hyperlink>
      <w:r w:rsidR="00716F1F" w:rsidRPr="000007FB">
        <w:rPr>
          <w:rFonts w:eastAsiaTheme="minorHAnsi"/>
          <w:sz w:val="22"/>
          <w:szCs w:val="22"/>
          <w:lang w:eastAsia="en-US"/>
        </w:rPr>
        <w:t xml:space="preserve">. </w:t>
      </w:r>
      <w:r w:rsidR="00106EA7" w:rsidRPr="000007FB">
        <w:rPr>
          <w:rFonts w:eastAsiaTheme="minorHAnsi"/>
          <w:sz w:val="22"/>
          <w:szCs w:val="22"/>
          <w:lang w:eastAsia="en-US"/>
        </w:rPr>
        <w:t xml:space="preserve"> Consultation closed on 17 November 2016.</w:t>
      </w:r>
    </w:p>
    <w:p w14:paraId="246D4398" w14:textId="699AD660" w:rsidR="00716F1F" w:rsidRPr="000007FB" w:rsidRDefault="00302698" w:rsidP="009906E2">
      <w:pPr>
        <w:spacing w:after="160" w:line="259" w:lineRule="auto"/>
        <w:rPr>
          <w:rFonts w:eastAsiaTheme="minorHAnsi"/>
          <w:sz w:val="22"/>
          <w:szCs w:val="22"/>
          <w:lang w:eastAsia="en-US"/>
        </w:rPr>
      </w:pPr>
      <w:r w:rsidRPr="000007FB">
        <w:rPr>
          <w:rFonts w:eastAsiaTheme="minorHAnsi"/>
          <w:sz w:val="22"/>
          <w:szCs w:val="22"/>
          <w:lang w:eastAsia="en-US"/>
        </w:rPr>
        <w:t xml:space="preserve">The ACMA received a total of </w:t>
      </w:r>
      <w:r w:rsidR="00596879" w:rsidRPr="000007FB">
        <w:rPr>
          <w:rFonts w:eastAsiaTheme="minorHAnsi"/>
          <w:sz w:val="22"/>
          <w:szCs w:val="22"/>
          <w:lang w:eastAsia="en-US"/>
        </w:rPr>
        <w:t>9</w:t>
      </w:r>
      <w:r w:rsidRPr="000007FB">
        <w:rPr>
          <w:rFonts w:eastAsiaTheme="minorHAnsi"/>
          <w:sz w:val="22"/>
          <w:szCs w:val="22"/>
          <w:lang w:eastAsia="en-US"/>
        </w:rPr>
        <w:t xml:space="preserve"> written submissions to this information</w:t>
      </w:r>
      <w:r w:rsidR="00596879" w:rsidRPr="000007FB">
        <w:rPr>
          <w:rFonts w:eastAsiaTheme="minorHAnsi"/>
          <w:sz w:val="22"/>
          <w:szCs w:val="22"/>
          <w:lang w:eastAsia="en-US"/>
        </w:rPr>
        <w:t xml:space="preserve"> paper</w:t>
      </w:r>
      <w:r w:rsidRPr="000007FB">
        <w:rPr>
          <w:rFonts w:eastAsiaTheme="minorHAnsi"/>
          <w:sz w:val="22"/>
          <w:szCs w:val="22"/>
          <w:lang w:eastAsia="en-US"/>
        </w:rPr>
        <w:t>.</w:t>
      </w:r>
      <w:r w:rsidR="00B108C3" w:rsidRPr="000007FB">
        <w:rPr>
          <w:rFonts w:eastAsiaTheme="minorHAnsi"/>
          <w:sz w:val="22"/>
          <w:szCs w:val="22"/>
          <w:lang w:eastAsia="en-US"/>
        </w:rPr>
        <w:t xml:space="preserve">  </w:t>
      </w:r>
      <w:r w:rsidR="00716F1F" w:rsidRPr="000007FB">
        <w:rPr>
          <w:rFonts w:eastAsiaTheme="minorHAnsi"/>
          <w:sz w:val="22"/>
          <w:szCs w:val="22"/>
          <w:lang w:eastAsia="en-US"/>
        </w:rPr>
        <w:t xml:space="preserve">The ACMA took the views of stakeholders into consideration during the revision of </w:t>
      </w:r>
      <w:r w:rsidR="00A33B00" w:rsidRPr="000007FB">
        <w:rPr>
          <w:rFonts w:eastAsiaTheme="minorHAnsi"/>
          <w:sz w:val="22"/>
          <w:szCs w:val="22"/>
          <w:lang w:eastAsia="en-US"/>
        </w:rPr>
        <w:t>the Determination</w:t>
      </w:r>
      <w:r w:rsidR="00716F1F" w:rsidRPr="000007FB">
        <w:rPr>
          <w:rFonts w:eastAsiaTheme="minorHAnsi"/>
          <w:sz w:val="22"/>
          <w:szCs w:val="22"/>
          <w:lang w:eastAsia="en-US"/>
        </w:rPr>
        <w:t xml:space="preserve">. </w:t>
      </w:r>
      <w:r w:rsidR="00BF38FA" w:rsidRPr="000007FB">
        <w:rPr>
          <w:rFonts w:eastAsiaTheme="minorHAnsi"/>
          <w:sz w:val="22"/>
          <w:szCs w:val="22"/>
          <w:lang w:eastAsia="en-US"/>
        </w:rPr>
        <w:t xml:space="preserve"> </w:t>
      </w:r>
      <w:r w:rsidR="00BF38FA" w:rsidRPr="005C338A">
        <w:rPr>
          <w:rFonts w:eastAsiaTheme="minorHAnsi"/>
          <w:sz w:val="22"/>
          <w:szCs w:val="22"/>
          <w:lang w:eastAsia="en-US"/>
        </w:rPr>
        <w:t xml:space="preserve">Two </w:t>
      </w:r>
      <w:r w:rsidR="000007FB" w:rsidRPr="005C338A">
        <w:rPr>
          <w:rFonts w:eastAsiaTheme="minorHAnsi"/>
          <w:sz w:val="22"/>
          <w:szCs w:val="22"/>
          <w:lang w:eastAsia="en-US"/>
        </w:rPr>
        <w:t>submissions dealt with the matters of</w:t>
      </w:r>
      <w:r w:rsidR="00BF38FA" w:rsidRPr="005C338A">
        <w:rPr>
          <w:rFonts w:eastAsiaTheme="minorHAnsi"/>
          <w:sz w:val="22"/>
          <w:szCs w:val="22"/>
          <w:lang w:eastAsia="en-US"/>
        </w:rPr>
        <w:t xml:space="preserve"> lot configuration and </w:t>
      </w:r>
      <w:r w:rsidR="000007FB" w:rsidRPr="005C338A">
        <w:rPr>
          <w:rFonts w:eastAsiaTheme="minorHAnsi"/>
          <w:sz w:val="22"/>
          <w:szCs w:val="22"/>
          <w:lang w:eastAsia="en-US"/>
        </w:rPr>
        <w:t xml:space="preserve">whether to </w:t>
      </w:r>
      <w:r w:rsidR="00BF38FA" w:rsidRPr="005C338A">
        <w:rPr>
          <w:rFonts w:eastAsiaTheme="minorHAnsi"/>
          <w:sz w:val="22"/>
          <w:szCs w:val="22"/>
          <w:lang w:eastAsia="en-US"/>
        </w:rPr>
        <w:t>allocat</w:t>
      </w:r>
      <w:r w:rsidR="000007FB" w:rsidRPr="005C338A">
        <w:rPr>
          <w:rFonts w:eastAsiaTheme="minorHAnsi"/>
          <w:sz w:val="22"/>
          <w:szCs w:val="22"/>
          <w:lang w:eastAsia="en-US"/>
        </w:rPr>
        <w:t>e</w:t>
      </w:r>
      <w:r w:rsidR="00BF38FA" w:rsidRPr="005C338A">
        <w:rPr>
          <w:rFonts w:eastAsiaTheme="minorHAnsi"/>
          <w:sz w:val="22"/>
          <w:szCs w:val="22"/>
          <w:lang w:eastAsia="en-US"/>
        </w:rPr>
        <w:t xml:space="preserve"> the two lots concurrently rather than sequentially.  However</w:t>
      </w:r>
      <w:r w:rsidR="000007FB" w:rsidRPr="005C338A">
        <w:rPr>
          <w:rFonts w:eastAsiaTheme="minorHAnsi"/>
          <w:sz w:val="22"/>
          <w:szCs w:val="22"/>
          <w:lang w:eastAsia="en-US"/>
        </w:rPr>
        <w:t>,</w:t>
      </w:r>
      <w:r w:rsidR="00BF38FA" w:rsidRPr="005C338A">
        <w:rPr>
          <w:rFonts w:eastAsiaTheme="minorHAnsi"/>
          <w:sz w:val="22"/>
          <w:szCs w:val="22"/>
          <w:lang w:eastAsia="en-US"/>
        </w:rPr>
        <w:t xml:space="preserve"> the Minister has directed </w:t>
      </w:r>
      <w:r w:rsidR="000007FB" w:rsidRPr="005C338A">
        <w:rPr>
          <w:rFonts w:eastAsiaTheme="minorHAnsi"/>
          <w:sz w:val="22"/>
          <w:szCs w:val="22"/>
          <w:lang w:eastAsia="en-US"/>
        </w:rPr>
        <w:t>the ACMA</w:t>
      </w:r>
      <w:r w:rsidR="00BF38FA" w:rsidRPr="005C338A">
        <w:rPr>
          <w:rFonts w:eastAsiaTheme="minorHAnsi"/>
          <w:sz w:val="22"/>
          <w:szCs w:val="22"/>
          <w:lang w:eastAsia="en-US"/>
        </w:rPr>
        <w:t xml:space="preserve"> on both </w:t>
      </w:r>
      <w:r w:rsidR="000007FB" w:rsidRPr="005C338A">
        <w:rPr>
          <w:rFonts w:eastAsiaTheme="minorHAnsi"/>
          <w:sz w:val="22"/>
          <w:szCs w:val="22"/>
          <w:lang w:eastAsia="en-US"/>
        </w:rPr>
        <w:t>these matters</w:t>
      </w:r>
      <w:r w:rsidR="00BF38FA" w:rsidRPr="005C338A">
        <w:rPr>
          <w:rFonts w:eastAsiaTheme="minorHAnsi"/>
          <w:sz w:val="22"/>
          <w:szCs w:val="22"/>
          <w:lang w:eastAsia="en-US"/>
        </w:rPr>
        <w:t>.</w:t>
      </w:r>
    </w:p>
    <w:p w14:paraId="356293D0" w14:textId="42E20945" w:rsidR="00147E35" w:rsidRPr="000007FB" w:rsidRDefault="00147E35" w:rsidP="009906E2">
      <w:pPr>
        <w:spacing w:after="160" w:line="259" w:lineRule="auto"/>
        <w:rPr>
          <w:rFonts w:eastAsiaTheme="minorHAnsi"/>
          <w:sz w:val="22"/>
          <w:szCs w:val="22"/>
          <w:lang w:eastAsia="en-US"/>
        </w:rPr>
      </w:pPr>
      <w:r w:rsidRPr="005C338A">
        <w:rPr>
          <w:rFonts w:eastAsiaTheme="minorHAnsi"/>
          <w:sz w:val="22"/>
          <w:szCs w:val="22"/>
          <w:lang w:eastAsia="en-US"/>
        </w:rPr>
        <w:t>In accordance with subsection 60(14) of the Act, the ACMA consulted with the Australian Competition and Consumer Commission (</w:t>
      </w:r>
      <w:r w:rsidRPr="005C338A">
        <w:rPr>
          <w:rFonts w:eastAsiaTheme="minorHAnsi"/>
          <w:b/>
          <w:sz w:val="22"/>
          <w:szCs w:val="22"/>
          <w:lang w:eastAsia="en-US"/>
        </w:rPr>
        <w:t>ACCC</w:t>
      </w:r>
      <w:r w:rsidRPr="005C338A">
        <w:rPr>
          <w:rFonts w:eastAsiaTheme="minorHAnsi"/>
          <w:sz w:val="22"/>
          <w:szCs w:val="22"/>
          <w:lang w:eastAsia="en-US"/>
        </w:rPr>
        <w:t xml:space="preserve">) about whether the procedures in this Determination should include a requirement that the ACMA give specified information to the ACCC and, if so, the nature of that requirement.  The ACMA </w:t>
      </w:r>
      <w:r w:rsidR="00055A2E" w:rsidRPr="005C338A">
        <w:rPr>
          <w:rFonts w:eastAsiaTheme="minorHAnsi"/>
          <w:sz w:val="22"/>
          <w:szCs w:val="22"/>
          <w:lang w:eastAsia="en-US"/>
        </w:rPr>
        <w:t>consulted with staff of the ACCC by email in September 2016</w:t>
      </w:r>
      <w:r w:rsidRPr="005C338A">
        <w:rPr>
          <w:rFonts w:eastAsiaTheme="minorHAnsi"/>
          <w:sz w:val="22"/>
          <w:szCs w:val="22"/>
          <w:lang w:eastAsia="en-US"/>
        </w:rPr>
        <w:t>.</w:t>
      </w:r>
      <w:r w:rsidR="00055A2E" w:rsidRPr="005C338A">
        <w:rPr>
          <w:rFonts w:eastAsiaTheme="minorHAnsi"/>
          <w:sz w:val="22"/>
          <w:szCs w:val="22"/>
          <w:lang w:eastAsia="en-US"/>
        </w:rPr>
        <w:t xml:space="preserve">  Section 84 has been included in the Determination as a result of that consultation.</w:t>
      </w:r>
    </w:p>
    <w:p w14:paraId="0EC6E8C7" w14:textId="1195EFD8" w:rsidR="00716F1F" w:rsidRPr="000007FB" w:rsidRDefault="00B108C3" w:rsidP="00106EA7">
      <w:pPr>
        <w:keepNext/>
        <w:spacing w:after="160" w:line="259" w:lineRule="auto"/>
        <w:rPr>
          <w:rFonts w:eastAsiaTheme="minorHAnsi"/>
          <w:b/>
          <w:sz w:val="22"/>
          <w:szCs w:val="22"/>
          <w:lang w:eastAsia="en-US"/>
        </w:rPr>
      </w:pPr>
      <w:r w:rsidRPr="000007FB">
        <w:rPr>
          <w:rFonts w:eastAsiaTheme="minorHAnsi"/>
          <w:b/>
          <w:sz w:val="22"/>
          <w:szCs w:val="22"/>
          <w:lang w:eastAsia="en-US"/>
        </w:rPr>
        <w:t>Regulatory impact assessment</w:t>
      </w:r>
    </w:p>
    <w:p w14:paraId="7FDCC380" w14:textId="04AF8692" w:rsidR="00716F1F" w:rsidRPr="00106EA7" w:rsidRDefault="000007FB" w:rsidP="00106EA7">
      <w:pPr>
        <w:spacing w:after="160" w:line="259" w:lineRule="auto"/>
        <w:rPr>
          <w:rFonts w:eastAsiaTheme="minorHAnsi"/>
          <w:sz w:val="22"/>
          <w:szCs w:val="22"/>
          <w:lang w:eastAsia="en-US"/>
        </w:rPr>
      </w:pPr>
      <w:r w:rsidRPr="00106EA7">
        <w:rPr>
          <w:rFonts w:eastAsiaTheme="minorHAnsi"/>
          <w:sz w:val="22"/>
          <w:szCs w:val="22"/>
        </w:rPr>
        <w:t xml:space="preserve">Prior to making the </w:t>
      </w:r>
      <w:r>
        <w:rPr>
          <w:rFonts w:eastAsiaTheme="minorHAnsi"/>
          <w:sz w:val="22"/>
          <w:szCs w:val="22"/>
        </w:rPr>
        <w:t>Determination</w:t>
      </w:r>
      <w:r w:rsidRPr="00106EA7">
        <w:rPr>
          <w:rFonts w:eastAsiaTheme="minorHAnsi"/>
          <w:sz w:val="22"/>
          <w:szCs w:val="22"/>
        </w:rPr>
        <w:t xml:space="preserve">, the ACMA </w:t>
      </w:r>
      <w:r>
        <w:rPr>
          <w:rFonts w:eastAsiaTheme="minorHAnsi"/>
          <w:sz w:val="22"/>
          <w:szCs w:val="22"/>
        </w:rPr>
        <w:t xml:space="preserve">was informed that </w:t>
      </w:r>
      <w:r w:rsidRPr="00106EA7">
        <w:rPr>
          <w:rFonts w:eastAsiaTheme="minorHAnsi"/>
          <w:sz w:val="22"/>
          <w:szCs w:val="22"/>
        </w:rPr>
        <w:t>the Office of Best Practice Regulation (</w:t>
      </w:r>
      <w:r w:rsidRPr="00106EA7">
        <w:rPr>
          <w:rFonts w:eastAsiaTheme="minorHAnsi"/>
          <w:b/>
          <w:sz w:val="22"/>
          <w:szCs w:val="22"/>
        </w:rPr>
        <w:t>the OBPR</w:t>
      </w:r>
      <w:r w:rsidRPr="00106EA7">
        <w:rPr>
          <w:rFonts w:eastAsiaTheme="minorHAnsi"/>
          <w:sz w:val="22"/>
          <w:szCs w:val="22"/>
        </w:rPr>
        <w:t xml:space="preserve">) </w:t>
      </w:r>
      <w:r>
        <w:rPr>
          <w:rFonts w:eastAsiaTheme="minorHAnsi"/>
          <w:sz w:val="22"/>
          <w:szCs w:val="22"/>
        </w:rPr>
        <w:t xml:space="preserve">considered that the proposal to allocate licences for the residual 700 MHz band was sufficiently related to previous processes considered by the OBPR, including the allocation that occurred in 2013, that it was exempt from </w:t>
      </w:r>
      <w:r w:rsidRPr="00106EA7">
        <w:rPr>
          <w:rFonts w:eastAsiaTheme="minorHAnsi"/>
          <w:sz w:val="22"/>
          <w:szCs w:val="22"/>
        </w:rPr>
        <w:t xml:space="preserve">the requirement for a Regulation Impact Statement for this legislative </w:t>
      </w:r>
      <w:r w:rsidRPr="00F96462">
        <w:rPr>
          <w:rFonts w:eastAsiaTheme="minorHAnsi"/>
          <w:sz w:val="22"/>
          <w:szCs w:val="22"/>
        </w:rPr>
        <w:t>instrument (OBPR reference 20916).</w:t>
      </w:r>
      <w:r w:rsidRPr="00106EA7">
        <w:rPr>
          <w:rFonts w:eastAsiaTheme="minorHAnsi"/>
          <w:sz w:val="22"/>
          <w:szCs w:val="22"/>
        </w:rPr>
        <w:t xml:space="preserve"> </w:t>
      </w:r>
    </w:p>
    <w:p w14:paraId="5BF50067" w14:textId="77777777" w:rsidR="00106EA7" w:rsidRPr="00106EA7" w:rsidRDefault="00106EA7" w:rsidP="00106EA7">
      <w:pPr>
        <w:keepNext/>
        <w:spacing w:after="160" w:line="259" w:lineRule="auto"/>
        <w:rPr>
          <w:rFonts w:eastAsiaTheme="minorHAnsi"/>
          <w:b/>
          <w:sz w:val="22"/>
          <w:szCs w:val="22"/>
          <w:lang w:eastAsia="en-US"/>
        </w:rPr>
      </w:pPr>
      <w:r w:rsidRPr="00106EA7">
        <w:rPr>
          <w:rFonts w:eastAsiaTheme="minorHAnsi"/>
          <w:b/>
          <w:sz w:val="22"/>
          <w:szCs w:val="22"/>
          <w:lang w:eastAsia="en-US"/>
        </w:rPr>
        <w:t>Statement of compatibility with human rights</w:t>
      </w:r>
    </w:p>
    <w:p w14:paraId="611D5FBC" w14:textId="22452D54" w:rsidR="00106EA7" w:rsidRDefault="00106EA7" w:rsidP="00106EA7">
      <w:pPr>
        <w:spacing w:after="160" w:line="259" w:lineRule="auto"/>
        <w:rPr>
          <w:rFonts w:eastAsiaTheme="minorHAnsi"/>
          <w:sz w:val="22"/>
          <w:szCs w:val="22"/>
          <w:lang w:eastAsia="en-US"/>
        </w:rPr>
      </w:pPr>
      <w:r w:rsidRPr="00106EA7">
        <w:rPr>
          <w:rFonts w:eastAsiaTheme="minorHAnsi"/>
          <w:sz w:val="22"/>
          <w:szCs w:val="22"/>
          <w:lang w:eastAsia="en-US"/>
        </w:rPr>
        <w:t xml:space="preserve">Subsection 9(1) of the </w:t>
      </w:r>
      <w:r w:rsidRPr="00106EA7">
        <w:rPr>
          <w:rFonts w:eastAsiaTheme="minorHAnsi"/>
          <w:i/>
          <w:sz w:val="22"/>
          <w:szCs w:val="22"/>
          <w:lang w:eastAsia="en-US"/>
        </w:rPr>
        <w:t>Human Rights (Parliamentary Scrutiny) Act 2011</w:t>
      </w:r>
      <w:r w:rsidRPr="00106EA7">
        <w:rPr>
          <w:rFonts w:eastAsiaTheme="minorHAnsi"/>
          <w:sz w:val="22"/>
          <w:szCs w:val="22"/>
          <w:lang w:eastAsia="en-US"/>
        </w:rPr>
        <w:t xml:space="preserve"> requires the rule-maker in relation to a legislative instrument to which section 42 (disallowance) </w:t>
      </w:r>
      <w:r w:rsidRPr="000007FB">
        <w:rPr>
          <w:rFonts w:eastAsiaTheme="minorHAnsi"/>
          <w:sz w:val="22"/>
          <w:szCs w:val="22"/>
          <w:lang w:eastAsia="en-US"/>
        </w:rPr>
        <w:t xml:space="preserve">of </w:t>
      </w:r>
      <w:r w:rsidRPr="005C338A">
        <w:rPr>
          <w:rFonts w:eastAsiaTheme="minorHAnsi"/>
          <w:sz w:val="22"/>
          <w:szCs w:val="22"/>
          <w:lang w:eastAsia="en-US"/>
        </w:rPr>
        <w:t>the LA</w:t>
      </w:r>
      <w:r w:rsidRPr="000007FB">
        <w:rPr>
          <w:rFonts w:eastAsiaTheme="minorHAnsi"/>
          <w:sz w:val="22"/>
          <w:szCs w:val="22"/>
          <w:lang w:eastAsia="en-US"/>
        </w:rPr>
        <w:t xml:space="preserve"> applies</w:t>
      </w:r>
      <w:r w:rsidRPr="00106EA7">
        <w:rPr>
          <w:rFonts w:eastAsiaTheme="minorHAnsi"/>
          <w:sz w:val="22"/>
          <w:szCs w:val="22"/>
          <w:lang w:eastAsia="en-US"/>
        </w:rPr>
        <w:t xml:space="preserve"> to cause a statement of compatibility to be prepared in respect of</w:t>
      </w:r>
      <w:r w:rsidR="00B108C3">
        <w:rPr>
          <w:rFonts w:eastAsiaTheme="minorHAnsi"/>
          <w:sz w:val="22"/>
          <w:szCs w:val="22"/>
          <w:lang w:eastAsia="en-US"/>
        </w:rPr>
        <w:t xml:space="preserve"> that legislative instrument.</w:t>
      </w:r>
    </w:p>
    <w:p w14:paraId="67B5E670" w14:textId="2F3C635A" w:rsidR="002C7E36" w:rsidRPr="00106EA7" w:rsidRDefault="002C7E36" w:rsidP="002C7E36">
      <w:pPr>
        <w:spacing w:after="160" w:line="259" w:lineRule="auto"/>
        <w:rPr>
          <w:rFonts w:eastAsiaTheme="minorHAnsi"/>
          <w:sz w:val="22"/>
          <w:szCs w:val="22"/>
          <w:lang w:eastAsia="en-US"/>
        </w:rPr>
      </w:pPr>
      <w:r w:rsidRPr="00106EA7">
        <w:rPr>
          <w:rFonts w:eastAsiaTheme="minorHAnsi"/>
          <w:sz w:val="22"/>
          <w:szCs w:val="22"/>
          <w:lang w:eastAsia="en-US"/>
        </w:rPr>
        <w:t>The statement of compatibility set out below has been prepared to meet that requirement</w:t>
      </w:r>
      <w:r w:rsidR="006961A1">
        <w:rPr>
          <w:rFonts w:eastAsiaTheme="minorHAnsi"/>
          <w:sz w:val="22"/>
          <w:szCs w:val="22"/>
          <w:lang w:eastAsia="en-US"/>
        </w:rPr>
        <w:t>, to the extent it applies to this Determination</w:t>
      </w:r>
      <w:r w:rsidRPr="00106EA7">
        <w:rPr>
          <w:rFonts w:eastAsiaTheme="minorHAnsi"/>
          <w:sz w:val="22"/>
          <w:szCs w:val="22"/>
          <w:lang w:eastAsia="en-US"/>
        </w:rPr>
        <w:t>.</w:t>
      </w:r>
    </w:p>
    <w:p w14:paraId="61AAE2E4" w14:textId="77777777" w:rsidR="00106EA7" w:rsidRPr="00106EA7" w:rsidRDefault="00106EA7" w:rsidP="00106EA7">
      <w:pPr>
        <w:keepNext/>
        <w:spacing w:after="160" w:line="259" w:lineRule="auto"/>
        <w:rPr>
          <w:rFonts w:eastAsiaTheme="minorHAnsi"/>
          <w:b/>
          <w:i/>
          <w:sz w:val="22"/>
          <w:szCs w:val="22"/>
          <w:lang w:eastAsia="en-US"/>
        </w:rPr>
      </w:pPr>
      <w:r w:rsidRPr="00106EA7">
        <w:rPr>
          <w:rFonts w:eastAsiaTheme="minorHAnsi"/>
          <w:b/>
          <w:i/>
          <w:sz w:val="22"/>
          <w:szCs w:val="22"/>
          <w:lang w:eastAsia="en-US"/>
        </w:rPr>
        <w:t>Overview of the instrument</w:t>
      </w:r>
    </w:p>
    <w:p w14:paraId="1C06D838" w14:textId="04CF3878" w:rsidR="006961A1" w:rsidRDefault="006961A1" w:rsidP="000007FB">
      <w:pPr>
        <w:spacing w:after="160" w:line="259" w:lineRule="auto"/>
        <w:rPr>
          <w:rFonts w:eastAsiaTheme="minorHAnsi"/>
          <w:sz w:val="22"/>
          <w:szCs w:val="22"/>
          <w:lang w:eastAsia="en-US"/>
        </w:rPr>
      </w:pPr>
      <w:r w:rsidRPr="008E0B0C">
        <w:rPr>
          <w:rFonts w:eastAsiaTheme="minorHAnsi"/>
          <w:sz w:val="22"/>
          <w:szCs w:val="22"/>
          <w:lang w:eastAsia="en-US"/>
        </w:rPr>
        <w:t xml:space="preserve">On </w:t>
      </w:r>
      <w:r w:rsidR="000007FB">
        <w:rPr>
          <w:rFonts w:eastAsiaTheme="minorHAnsi"/>
          <w:sz w:val="22"/>
          <w:szCs w:val="22"/>
          <w:lang w:eastAsia="en-US"/>
        </w:rPr>
        <w:t>1</w:t>
      </w:r>
      <w:r w:rsidRPr="008E0B0C">
        <w:rPr>
          <w:rFonts w:eastAsiaTheme="minorHAnsi"/>
          <w:sz w:val="22"/>
          <w:szCs w:val="22"/>
          <w:lang w:eastAsia="en-US"/>
        </w:rPr>
        <w:t xml:space="preserve"> November 2011, following recommendations from the ACMA, the Minister for </w:t>
      </w:r>
      <w:r>
        <w:rPr>
          <w:rFonts w:eastAsiaTheme="minorHAnsi"/>
          <w:sz w:val="22"/>
          <w:szCs w:val="22"/>
          <w:lang w:eastAsia="en-US"/>
        </w:rPr>
        <w:t xml:space="preserve">Broadband, </w:t>
      </w:r>
      <w:r w:rsidRPr="008E0B0C">
        <w:rPr>
          <w:rFonts w:eastAsiaTheme="minorHAnsi"/>
          <w:sz w:val="22"/>
          <w:szCs w:val="22"/>
          <w:lang w:eastAsia="en-US"/>
        </w:rPr>
        <w:t xml:space="preserve">Communications </w:t>
      </w:r>
      <w:r>
        <w:rPr>
          <w:rFonts w:eastAsiaTheme="minorHAnsi"/>
          <w:sz w:val="22"/>
          <w:szCs w:val="22"/>
          <w:lang w:eastAsia="en-US"/>
        </w:rPr>
        <w:t xml:space="preserve">and the Digital Economy </w:t>
      </w:r>
      <w:r w:rsidRPr="008E0B0C">
        <w:rPr>
          <w:rFonts w:eastAsiaTheme="minorHAnsi"/>
          <w:sz w:val="22"/>
          <w:szCs w:val="22"/>
          <w:lang w:eastAsia="en-US"/>
        </w:rPr>
        <w:t xml:space="preserve">made a declaration that specific parts of the spectrum in the 700 MHz band would be subject to re-allocation by spectrum licensing under section 153B of the Act. The specific parts of the spectrum declared for re-allocation </w:t>
      </w:r>
      <w:r w:rsidRPr="002C7E36">
        <w:rPr>
          <w:rFonts w:eastAsiaTheme="minorHAnsi"/>
          <w:sz w:val="22"/>
          <w:szCs w:val="22"/>
          <w:lang w:eastAsia="en-US"/>
        </w:rPr>
        <w:t>are</w:t>
      </w:r>
      <w:r w:rsidRPr="008E0B0C">
        <w:rPr>
          <w:rFonts w:eastAsiaTheme="minorHAnsi"/>
          <w:sz w:val="22"/>
          <w:szCs w:val="22"/>
          <w:lang w:eastAsia="en-US"/>
        </w:rPr>
        <w:t xml:space="preserve"> set out in </w:t>
      </w:r>
      <w:r>
        <w:rPr>
          <w:rFonts w:eastAsiaTheme="minorHAnsi"/>
          <w:sz w:val="22"/>
          <w:szCs w:val="22"/>
          <w:lang w:eastAsia="en-US"/>
        </w:rPr>
        <w:t xml:space="preserve">the </w:t>
      </w:r>
      <w:r w:rsidRPr="008E0B0C">
        <w:rPr>
          <w:rFonts w:eastAsiaTheme="minorHAnsi"/>
          <w:sz w:val="22"/>
          <w:szCs w:val="22"/>
          <w:lang w:eastAsia="en-US"/>
        </w:rPr>
        <w:t>Re-allocation Declaration</w:t>
      </w:r>
      <w:r w:rsidRPr="002C7E36">
        <w:rPr>
          <w:rFonts w:eastAsiaTheme="minorHAnsi"/>
          <w:sz w:val="22"/>
          <w:szCs w:val="22"/>
          <w:lang w:eastAsia="en-US"/>
        </w:rPr>
        <w:t>, and consist of</w:t>
      </w:r>
      <w:r w:rsidRPr="008E0B0C">
        <w:rPr>
          <w:rFonts w:eastAsiaTheme="minorHAnsi"/>
          <w:sz w:val="22"/>
          <w:szCs w:val="22"/>
          <w:lang w:eastAsia="en-US"/>
        </w:rPr>
        <w:t xml:space="preserve"> the frequency ranges 703</w:t>
      </w:r>
      <w:r w:rsidR="000007FB">
        <w:rPr>
          <w:rFonts w:eastAsiaTheme="minorHAnsi"/>
          <w:sz w:val="22"/>
          <w:szCs w:val="22"/>
          <w:lang w:eastAsia="en-US"/>
        </w:rPr>
        <w:t xml:space="preserve"> MHz</w:t>
      </w:r>
      <w:r>
        <w:rPr>
          <w:rFonts w:eastAsiaTheme="minorHAnsi"/>
          <w:sz w:val="22"/>
          <w:szCs w:val="22"/>
          <w:lang w:eastAsia="en-US"/>
        </w:rPr>
        <w:t xml:space="preserve"> to </w:t>
      </w:r>
      <w:r w:rsidRPr="008E0B0C">
        <w:rPr>
          <w:rFonts w:eastAsiaTheme="minorHAnsi"/>
          <w:sz w:val="22"/>
          <w:szCs w:val="22"/>
          <w:lang w:eastAsia="en-US"/>
        </w:rPr>
        <w:t>748 MHz and 758</w:t>
      </w:r>
      <w:r w:rsidR="00C2284A">
        <w:rPr>
          <w:rFonts w:eastAsiaTheme="minorHAnsi"/>
          <w:sz w:val="22"/>
          <w:szCs w:val="22"/>
          <w:lang w:eastAsia="en-US"/>
        </w:rPr>
        <w:t xml:space="preserve"> MHz</w:t>
      </w:r>
      <w:r>
        <w:rPr>
          <w:rFonts w:eastAsiaTheme="minorHAnsi"/>
          <w:sz w:val="22"/>
          <w:szCs w:val="22"/>
          <w:lang w:eastAsia="en-US"/>
        </w:rPr>
        <w:t xml:space="preserve"> to </w:t>
      </w:r>
      <w:r w:rsidRPr="008E0B0C">
        <w:rPr>
          <w:rFonts w:eastAsiaTheme="minorHAnsi"/>
          <w:sz w:val="22"/>
          <w:szCs w:val="22"/>
          <w:lang w:eastAsia="en-US"/>
        </w:rPr>
        <w:t xml:space="preserve">803 </w:t>
      </w:r>
      <w:proofErr w:type="spellStart"/>
      <w:r w:rsidRPr="008E0B0C">
        <w:rPr>
          <w:rFonts w:eastAsiaTheme="minorHAnsi"/>
          <w:sz w:val="22"/>
          <w:szCs w:val="22"/>
          <w:lang w:eastAsia="en-US"/>
        </w:rPr>
        <w:t>MHz.</w:t>
      </w:r>
      <w:proofErr w:type="spellEnd"/>
      <w:r w:rsidRPr="008E0B0C">
        <w:rPr>
          <w:rFonts w:eastAsiaTheme="minorHAnsi"/>
          <w:sz w:val="22"/>
          <w:szCs w:val="22"/>
          <w:lang w:eastAsia="en-US"/>
        </w:rPr>
        <w:t xml:space="preserve"> This </w:t>
      </w:r>
      <w:r>
        <w:rPr>
          <w:rFonts w:eastAsiaTheme="minorHAnsi"/>
          <w:sz w:val="22"/>
          <w:szCs w:val="22"/>
          <w:lang w:eastAsia="en-US"/>
        </w:rPr>
        <w:t xml:space="preserve">spectrum was offered as </w:t>
      </w:r>
      <w:r w:rsidRPr="008E0B0C">
        <w:rPr>
          <w:rFonts w:eastAsiaTheme="minorHAnsi"/>
          <w:sz w:val="22"/>
          <w:szCs w:val="22"/>
          <w:lang w:eastAsia="en-US"/>
        </w:rPr>
        <w:t xml:space="preserve">part of the </w:t>
      </w:r>
      <w:r w:rsidR="00B108C3">
        <w:rPr>
          <w:rFonts w:eastAsiaTheme="minorHAnsi"/>
          <w:sz w:val="22"/>
          <w:szCs w:val="22"/>
          <w:lang w:eastAsia="en-US"/>
        </w:rPr>
        <w:t>d</w:t>
      </w:r>
      <w:r w:rsidRPr="008E0B0C">
        <w:rPr>
          <w:rFonts w:eastAsiaTheme="minorHAnsi"/>
          <w:sz w:val="22"/>
          <w:szCs w:val="22"/>
          <w:lang w:eastAsia="en-US"/>
        </w:rPr>
        <w:t xml:space="preserve">igital </w:t>
      </w:r>
      <w:r w:rsidR="00B108C3">
        <w:rPr>
          <w:rFonts w:eastAsiaTheme="minorHAnsi"/>
          <w:sz w:val="22"/>
          <w:szCs w:val="22"/>
          <w:lang w:eastAsia="en-US"/>
        </w:rPr>
        <w:t>d</w:t>
      </w:r>
      <w:r w:rsidRPr="008E0B0C">
        <w:rPr>
          <w:rFonts w:eastAsiaTheme="minorHAnsi"/>
          <w:sz w:val="22"/>
          <w:szCs w:val="22"/>
          <w:lang w:eastAsia="en-US"/>
        </w:rPr>
        <w:t>ividend auction for the 700 MHz and 2.5 GHz bands that was held in 2013.  A</w:t>
      </w:r>
      <w:r w:rsidR="00971BF8">
        <w:rPr>
          <w:rFonts w:eastAsiaTheme="minorHAnsi"/>
          <w:sz w:val="22"/>
          <w:szCs w:val="22"/>
          <w:lang w:eastAsia="en-US"/>
        </w:rPr>
        <w:t>fter</w:t>
      </w:r>
      <w:r w:rsidRPr="008E0B0C">
        <w:rPr>
          <w:rFonts w:eastAsiaTheme="minorHAnsi"/>
          <w:sz w:val="22"/>
          <w:szCs w:val="22"/>
          <w:lang w:eastAsia="en-US"/>
        </w:rPr>
        <w:t xml:space="preserve"> that auction</w:t>
      </w:r>
      <w:r>
        <w:rPr>
          <w:rFonts w:eastAsiaTheme="minorHAnsi"/>
          <w:sz w:val="22"/>
          <w:szCs w:val="22"/>
          <w:lang w:eastAsia="en-US"/>
        </w:rPr>
        <w:t>,</w:t>
      </w:r>
      <w:r w:rsidRPr="008E0B0C">
        <w:rPr>
          <w:rFonts w:eastAsiaTheme="minorHAnsi"/>
          <w:sz w:val="22"/>
          <w:szCs w:val="22"/>
          <w:lang w:eastAsia="en-US"/>
        </w:rPr>
        <w:t xml:space="preserve"> 2 x 15 MHz of the 700 MHz band </w:t>
      </w:r>
      <w:r w:rsidR="00971BF8">
        <w:rPr>
          <w:rFonts w:eastAsiaTheme="minorHAnsi"/>
          <w:sz w:val="22"/>
          <w:szCs w:val="22"/>
          <w:lang w:eastAsia="en-US"/>
        </w:rPr>
        <w:t>remained un</w:t>
      </w:r>
      <w:r w:rsidRPr="008E0B0C">
        <w:rPr>
          <w:rFonts w:eastAsiaTheme="minorHAnsi"/>
          <w:sz w:val="22"/>
          <w:szCs w:val="22"/>
          <w:lang w:eastAsia="en-US"/>
        </w:rPr>
        <w:t>allocated (</w:t>
      </w:r>
      <w:r>
        <w:rPr>
          <w:rFonts w:eastAsiaTheme="minorHAnsi"/>
          <w:sz w:val="22"/>
          <w:szCs w:val="22"/>
          <w:lang w:eastAsia="en-US"/>
        </w:rPr>
        <w:t>namely, the residual 700 MHz band)</w:t>
      </w:r>
      <w:r w:rsidRPr="008E0B0C">
        <w:rPr>
          <w:rFonts w:eastAsiaTheme="minorHAnsi"/>
          <w:sz w:val="22"/>
          <w:szCs w:val="22"/>
          <w:lang w:eastAsia="en-US"/>
        </w:rPr>
        <w:t>.</w:t>
      </w:r>
    </w:p>
    <w:p w14:paraId="4DA1AAFB" w14:textId="4D95FC0C" w:rsidR="006961A1" w:rsidRDefault="006961A1" w:rsidP="006961A1">
      <w:pPr>
        <w:spacing w:after="160" w:line="259" w:lineRule="auto"/>
        <w:rPr>
          <w:rFonts w:eastAsiaTheme="minorHAnsi"/>
          <w:sz w:val="22"/>
          <w:szCs w:val="22"/>
          <w:lang w:eastAsia="en-US"/>
        </w:rPr>
      </w:pPr>
      <w:r>
        <w:rPr>
          <w:rFonts w:eastAsiaTheme="minorHAnsi"/>
          <w:sz w:val="22"/>
          <w:szCs w:val="22"/>
          <w:lang w:eastAsia="en-US"/>
        </w:rPr>
        <w:lastRenderedPageBreak/>
        <w:t>The Minister has given the ACMA the Residual 700 MHz Spectrum Direction.  In complying with that direction, the ACMA has made this Determination.  Broadly speaking, the Residual 700 MHz Spectrum Direction requires the ACMA to allocate spectrum licences for the residual 700 MHz band by auction.</w:t>
      </w:r>
    </w:p>
    <w:p w14:paraId="4E293E14" w14:textId="1143AB30" w:rsidR="006961A1" w:rsidRPr="00A50B8E" w:rsidRDefault="006961A1" w:rsidP="006961A1">
      <w:pPr>
        <w:spacing w:after="160" w:line="259" w:lineRule="auto"/>
        <w:rPr>
          <w:rFonts w:eastAsiaTheme="minorHAnsi"/>
          <w:sz w:val="22"/>
          <w:szCs w:val="22"/>
          <w:lang w:eastAsia="en-US"/>
        </w:rPr>
      </w:pPr>
      <w:r w:rsidRPr="00995BBC">
        <w:rPr>
          <w:rFonts w:eastAsiaTheme="minorHAnsi"/>
          <w:sz w:val="22"/>
          <w:szCs w:val="22"/>
          <w:lang w:eastAsia="en-US"/>
        </w:rPr>
        <w:t xml:space="preserve">Under subsection 60(1) of the Act, </w:t>
      </w:r>
      <w:r>
        <w:rPr>
          <w:rFonts w:eastAsiaTheme="minorHAnsi"/>
          <w:sz w:val="22"/>
          <w:szCs w:val="22"/>
          <w:lang w:eastAsia="en-US"/>
        </w:rPr>
        <w:t>t</w:t>
      </w:r>
      <w:r w:rsidRPr="00995BBC">
        <w:rPr>
          <w:rFonts w:eastAsiaTheme="minorHAnsi"/>
          <w:sz w:val="22"/>
          <w:szCs w:val="22"/>
          <w:lang w:eastAsia="en-US"/>
        </w:rPr>
        <w:t xml:space="preserve">he ACMA must determine the procedures for allocating spectrum licences by auction, tender or for a pre-determined or negotiated price. </w:t>
      </w:r>
      <w:r w:rsidR="000007FB">
        <w:rPr>
          <w:rFonts w:eastAsiaTheme="minorHAnsi"/>
          <w:sz w:val="22"/>
          <w:szCs w:val="22"/>
          <w:lang w:eastAsia="en-US"/>
        </w:rPr>
        <w:t xml:space="preserve"> </w:t>
      </w:r>
      <w:r>
        <w:rPr>
          <w:rFonts w:eastAsiaTheme="minorHAnsi"/>
          <w:sz w:val="22"/>
          <w:szCs w:val="22"/>
          <w:lang w:eastAsia="en-US"/>
        </w:rPr>
        <w:t xml:space="preserve">The Determination is made, in substantial part, under that section.  </w:t>
      </w:r>
      <w:r w:rsidRPr="009443E4">
        <w:rPr>
          <w:rFonts w:eastAsiaTheme="minorHAnsi"/>
          <w:sz w:val="22"/>
          <w:szCs w:val="22"/>
          <w:lang w:eastAsia="en-US"/>
        </w:rPr>
        <w:t xml:space="preserve">The Determination sets out the procedures to be applied in allocating spectrum licences in the </w:t>
      </w:r>
      <w:r>
        <w:rPr>
          <w:rFonts w:eastAsiaTheme="minorHAnsi"/>
          <w:sz w:val="22"/>
          <w:szCs w:val="22"/>
          <w:lang w:eastAsia="en-US"/>
        </w:rPr>
        <w:t>residual 700 MHz band</w:t>
      </w:r>
      <w:r w:rsidR="00B108C3">
        <w:rPr>
          <w:rFonts w:eastAsiaTheme="minorHAnsi"/>
          <w:sz w:val="22"/>
          <w:szCs w:val="22"/>
          <w:lang w:eastAsia="en-US"/>
        </w:rPr>
        <w:t xml:space="preserve">. </w:t>
      </w:r>
      <w:r w:rsidRPr="009443E4">
        <w:rPr>
          <w:rFonts w:eastAsiaTheme="minorHAnsi"/>
          <w:sz w:val="22"/>
          <w:szCs w:val="22"/>
          <w:lang w:eastAsia="en-US"/>
        </w:rPr>
        <w:t xml:space="preserve"> These licences will be allocated in a single auction using the </w:t>
      </w:r>
      <w:r w:rsidR="00B108C3">
        <w:rPr>
          <w:rFonts w:eastAsiaTheme="minorHAnsi"/>
          <w:sz w:val="22"/>
          <w:szCs w:val="22"/>
          <w:lang w:eastAsia="en-US"/>
        </w:rPr>
        <w:t xml:space="preserve">SCA </w:t>
      </w:r>
      <w:r w:rsidRPr="009443E4">
        <w:rPr>
          <w:rFonts w:eastAsiaTheme="minorHAnsi"/>
          <w:sz w:val="22"/>
          <w:szCs w:val="22"/>
          <w:lang w:eastAsia="en-US"/>
        </w:rPr>
        <w:t>methodology.</w:t>
      </w:r>
      <w:r>
        <w:rPr>
          <w:rFonts w:eastAsiaTheme="minorHAnsi"/>
          <w:sz w:val="22"/>
          <w:szCs w:val="22"/>
          <w:lang w:eastAsia="en-US"/>
        </w:rPr>
        <w:t xml:space="preserve">  If, in particular circumstances, the ACMA considers there is no need for an auction, the Determination allows the ACMA to allocate a licence to an applicant</w:t>
      </w:r>
      <w:r w:rsidR="00B108C3">
        <w:rPr>
          <w:rFonts w:eastAsiaTheme="minorHAnsi"/>
          <w:sz w:val="22"/>
          <w:szCs w:val="22"/>
          <w:lang w:eastAsia="en-US"/>
        </w:rPr>
        <w:t xml:space="preserve"> without conducting an auction</w:t>
      </w:r>
      <w:r>
        <w:rPr>
          <w:rFonts w:eastAsiaTheme="minorHAnsi"/>
          <w:sz w:val="22"/>
          <w:szCs w:val="22"/>
          <w:lang w:eastAsia="en-US"/>
        </w:rPr>
        <w:t xml:space="preserve">.  To the extent that this Determination is made under subsection 60(1) of the Act, it is not a disallowable instrument (see item 29 in the table at regulation 10 of the </w:t>
      </w:r>
      <w:r>
        <w:rPr>
          <w:rFonts w:eastAsiaTheme="minorHAnsi"/>
          <w:i/>
          <w:sz w:val="22"/>
          <w:szCs w:val="22"/>
          <w:lang w:eastAsia="en-US"/>
        </w:rPr>
        <w:t>Legislation (Exemptions and Other Matters) Regulation 2015</w:t>
      </w:r>
      <w:r w:rsidR="00B108C3">
        <w:rPr>
          <w:rFonts w:eastAsiaTheme="minorHAnsi"/>
          <w:sz w:val="22"/>
          <w:szCs w:val="22"/>
          <w:lang w:eastAsia="en-US"/>
        </w:rPr>
        <w:t>).</w:t>
      </w:r>
    </w:p>
    <w:p w14:paraId="1F3F7429" w14:textId="208388CB" w:rsidR="006961A1" w:rsidRDefault="006961A1" w:rsidP="006961A1">
      <w:pPr>
        <w:spacing w:after="160" w:line="259" w:lineRule="auto"/>
        <w:rPr>
          <w:rFonts w:eastAsiaTheme="minorHAnsi"/>
          <w:sz w:val="22"/>
          <w:szCs w:val="22"/>
          <w:lang w:eastAsia="en-US"/>
        </w:rPr>
      </w:pPr>
      <w:r w:rsidRPr="0004521C">
        <w:rPr>
          <w:rFonts w:eastAsiaTheme="minorHAnsi"/>
          <w:sz w:val="22"/>
          <w:szCs w:val="22"/>
          <w:lang w:eastAsia="en-US"/>
        </w:rPr>
        <w:t xml:space="preserve">Under subsection 294(1) of the Act, the ACMA may also make determinations fixing spectrum access charges payable by licensees for issuing spectrum licences and specifying the time when spectrum access charges are </w:t>
      </w:r>
      <w:r w:rsidRPr="002C7E36">
        <w:rPr>
          <w:rFonts w:eastAsiaTheme="minorHAnsi"/>
          <w:sz w:val="22"/>
          <w:szCs w:val="22"/>
          <w:lang w:eastAsia="en-US"/>
        </w:rPr>
        <w:t xml:space="preserve">payable. </w:t>
      </w:r>
      <w:r w:rsidR="00B108C3">
        <w:rPr>
          <w:rFonts w:eastAsiaTheme="minorHAnsi"/>
          <w:sz w:val="22"/>
          <w:szCs w:val="22"/>
          <w:lang w:eastAsia="en-US"/>
        </w:rPr>
        <w:t xml:space="preserve"> The Determination fixes the spectrum access charges payable by the persons to whom spectrum licences in the residual 700 MHz band are allocated, by reference to the winning bids at the auction (or, if there is no auction, by reference to starting prices set by the ACMA).  </w:t>
      </w:r>
      <w:r w:rsidRPr="002C7E36">
        <w:rPr>
          <w:rFonts w:eastAsiaTheme="minorHAnsi"/>
          <w:sz w:val="22"/>
          <w:szCs w:val="22"/>
          <w:lang w:eastAsia="en-US"/>
        </w:rPr>
        <w:t>To the extent that the Determination</w:t>
      </w:r>
      <w:r w:rsidR="00B108C3">
        <w:rPr>
          <w:rFonts w:eastAsiaTheme="minorHAnsi"/>
          <w:sz w:val="22"/>
          <w:szCs w:val="22"/>
          <w:lang w:eastAsia="en-US"/>
        </w:rPr>
        <w:t xml:space="preserve"> f</w:t>
      </w:r>
      <w:r w:rsidRPr="0004521C">
        <w:rPr>
          <w:rFonts w:eastAsiaTheme="minorHAnsi"/>
          <w:sz w:val="22"/>
          <w:szCs w:val="22"/>
          <w:lang w:eastAsia="en-US"/>
        </w:rPr>
        <w:t>ixes the spectrum access charges payable by licensees for issuing spectrum licences as a result of the auction</w:t>
      </w:r>
      <w:r>
        <w:rPr>
          <w:rFonts w:eastAsiaTheme="minorHAnsi"/>
          <w:sz w:val="22"/>
          <w:szCs w:val="22"/>
          <w:lang w:eastAsia="en-US"/>
        </w:rPr>
        <w:t>,</w:t>
      </w:r>
      <w:r w:rsidRPr="0004521C">
        <w:rPr>
          <w:rFonts w:eastAsiaTheme="minorHAnsi"/>
          <w:sz w:val="22"/>
          <w:szCs w:val="22"/>
          <w:lang w:eastAsia="en-US"/>
        </w:rPr>
        <w:t xml:space="preserve"> or allocation for a pre-determined price</w:t>
      </w:r>
      <w:r>
        <w:rPr>
          <w:rFonts w:eastAsiaTheme="minorHAnsi"/>
          <w:sz w:val="22"/>
          <w:szCs w:val="22"/>
          <w:lang w:eastAsia="en-US"/>
        </w:rPr>
        <w:t>,</w:t>
      </w:r>
      <w:r w:rsidRPr="0004521C">
        <w:rPr>
          <w:rFonts w:eastAsiaTheme="minorHAnsi"/>
          <w:sz w:val="22"/>
          <w:szCs w:val="22"/>
          <w:lang w:eastAsia="en-US"/>
        </w:rPr>
        <w:t xml:space="preserve"> and the timing of such payments, this </w:t>
      </w:r>
      <w:r>
        <w:rPr>
          <w:rFonts w:eastAsiaTheme="minorHAnsi"/>
          <w:sz w:val="22"/>
          <w:szCs w:val="22"/>
          <w:lang w:eastAsia="en-US"/>
        </w:rPr>
        <w:t>Determination is</w:t>
      </w:r>
      <w:r w:rsidRPr="0004521C">
        <w:rPr>
          <w:rFonts w:eastAsiaTheme="minorHAnsi"/>
          <w:sz w:val="22"/>
          <w:szCs w:val="22"/>
          <w:lang w:eastAsia="en-US"/>
        </w:rPr>
        <w:t xml:space="preserve"> made under subsection</w:t>
      </w:r>
      <w:r w:rsidR="00B108C3">
        <w:rPr>
          <w:rFonts w:eastAsiaTheme="minorHAnsi"/>
          <w:sz w:val="22"/>
          <w:szCs w:val="22"/>
          <w:lang w:eastAsia="en-US"/>
        </w:rPr>
        <w:t> </w:t>
      </w:r>
      <w:r w:rsidRPr="0004521C">
        <w:rPr>
          <w:rFonts w:eastAsiaTheme="minorHAnsi"/>
          <w:sz w:val="22"/>
          <w:szCs w:val="22"/>
          <w:lang w:eastAsia="en-US"/>
        </w:rPr>
        <w:t>294(1) of the Act.</w:t>
      </w:r>
      <w:r>
        <w:rPr>
          <w:rFonts w:eastAsiaTheme="minorHAnsi"/>
          <w:sz w:val="22"/>
          <w:szCs w:val="22"/>
          <w:lang w:eastAsia="en-US"/>
        </w:rPr>
        <w:t xml:space="preserve">  To the extent that this Determination is made under subsection 294(1) of the Act, it is a disallowable instrument.</w:t>
      </w:r>
    </w:p>
    <w:p w14:paraId="7B5BD515" w14:textId="61E5E03D" w:rsidR="006961A1" w:rsidRPr="009443E4" w:rsidRDefault="006961A1" w:rsidP="006961A1">
      <w:pPr>
        <w:spacing w:after="160" w:line="259" w:lineRule="auto"/>
        <w:rPr>
          <w:rFonts w:eastAsiaTheme="minorHAnsi"/>
          <w:sz w:val="22"/>
          <w:szCs w:val="22"/>
          <w:lang w:eastAsia="en-US"/>
        </w:rPr>
      </w:pPr>
      <w:r>
        <w:rPr>
          <w:rFonts w:eastAsiaTheme="minorHAnsi"/>
          <w:sz w:val="22"/>
          <w:szCs w:val="22"/>
          <w:lang w:eastAsia="en-US"/>
        </w:rPr>
        <w:t>Subject to compliance with the allocation limits required to be included in the Determination by the Residual 700 MHz Spectrum Direction, any person may apply to participate in the auction to be held in accordance with the Determination.</w:t>
      </w:r>
    </w:p>
    <w:p w14:paraId="729A7C82" w14:textId="77777777" w:rsidR="00106EA7" w:rsidRPr="00106EA7" w:rsidRDefault="00106EA7" w:rsidP="00106EA7">
      <w:pPr>
        <w:keepNext/>
        <w:spacing w:after="160" w:line="259" w:lineRule="auto"/>
        <w:rPr>
          <w:rFonts w:eastAsiaTheme="minorHAnsi"/>
          <w:b/>
          <w:i/>
          <w:sz w:val="22"/>
          <w:szCs w:val="22"/>
          <w:lang w:eastAsia="en-US"/>
        </w:rPr>
      </w:pPr>
      <w:r w:rsidRPr="00106EA7">
        <w:rPr>
          <w:rFonts w:eastAsiaTheme="minorHAnsi"/>
          <w:b/>
          <w:i/>
          <w:sz w:val="22"/>
          <w:szCs w:val="22"/>
          <w:lang w:eastAsia="en-US"/>
        </w:rPr>
        <w:t>Human rights implications</w:t>
      </w:r>
    </w:p>
    <w:p w14:paraId="2BA78C60" w14:textId="77777777" w:rsidR="00106EA7" w:rsidRPr="00106EA7" w:rsidRDefault="00106EA7" w:rsidP="00106EA7">
      <w:pPr>
        <w:spacing w:after="160" w:line="259" w:lineRule="auto"/>
        <w:rPr>
          <w:rFonts w:eastAsiaTheme="minorHAnsi"/>
          <w:sz w:val="22"/>
          <w:szCs w:val="22"/>
          <w:lang w:eastAsia="en-US"/>
        </w:rPr>
      </w:pPr>
      <w:r w:rsidRPr="00106EA7">
        <w:rPr>
          <w:rFonts w:eastAsiaTheme="minorHAnsi"/>
          <w:sz w:val="22"/>
          <w:szCs w:val="22"/>
          <w:lang w:eastAsia="en-US"/>
        </w:rPr>
        <w:t xml:space="preserve">The ACMA has assessed whether the instrument is compatible with human rights, being the rights and freedoms recognised or declared by the international instruments listed in subsection 3(1) of the </w:t>
      </w:r>
      <w:r w:rsidRPr="006961A1">
        <w:rPr>
          <w:rFonts w:eastAsiaTheme="minorHAnsi"/>
          <w:i/>
          <w:sz w:val="22"/>
          <w:szCs w:val="22"/>
          <w:lang w:eastAsia="en-US"/>
        </w:rPr>
        <w:t>Human Rights (Parliamentary Scrutiny) Act 2011</w:t>
      </w:r>
      <w:r w:rsidRPr="00106EA7">
        <w:rPr>
          <w:rFonts w:eastAsiaTheme="minorHAnsi"/>
          <w:sz w:val="22"/>
          <w:szCs w:val="22"/>
          <w:lang w:eastAsia="en-US"/>
        </w:rPr>
        <w:t xml:space="preserve"> as they apply to Australia. </w:t>
      </w:r>
    </w:p>
    <w:p w14:paraId="55C1102C" w14:textId="73667EC0" w:rsidR="00106EA7" w:rsidRPr="00106EA7" w:rsidRDefault="00106EA7" w:rsidP="00106EA7">
      <w:pPr>
        <w:spacing w:after="160" w:line="259" w:lineRule="auto"/>
        <w:rPr>
          <w:rFonts w:eastAsiaTheme="minorHAnsi"/>
          <w:sz w:val="22"/>
          <w:szCs w:val="22"/>
          <w:lang w:eastAsia="en-US"/>
        </w:rPr>
      </w:pPr>
      <w:r w:rsidRPr="00106EA7">
        <w:rPr>
          <w:rFonts w:eastAsiaTheme="minorHAnsi"/>
          <w:sz w:val="22"/>
          <w:szCs w:val="22"/>
          <w:lang w:eastAsia="en-US"/>
        </w:rPr>
        <w:t>Having considered the likely impact of the instrument and the nature of the applicable rights and freedoms, the ACMA has formed the view that the instrument does not engage an</w:t>
      </w:r>
      <w:r w:rsidR="007B2928">
        <w:rPr>
          <w:rFonts w:eastAsiaTheme="minorHAnsi"/>
          <w:sz w:val="22"/>
          <w:szCs w:val="22"/>
          <w:lang w:eastAsia="en-US"/>
        </w:rPr>
        <w:t>y of those rights or freedoms.</w:t>
      </w:r>
    </w:p>
    <w:p w14:paraId="6A9644E5" w14:textId="77777777" w:rsidR="00106EA7" w:rsidRPr="00106EA7" w:rsidRDefault="00106EA7" w:rsidP="00106EA7">
      <w:pPr>
        <w:keepNext/>
        <w:spacing w:after="160" w:line="259" w:lineRule="auto"/>
        <w:rPr>
          <w:rFonts w:eastAsiaTheme="minorHAnsi"/>
          <w:b/>
          <w:i/>
          <w:sz w:val="22"/>
          <w:szCs w:val="22"/>
          <w:lang w:eastAsia="en-US"/>
        </w:rPr>
      </w:pPr>
      <w:r w:rsidRPr="00106EA7">
        <w:rPr>
          <w:rFonts w:eastAsiaTheme="minorHAnsi"/>
          <w:b/>
          <w:i/>
          <w:sz w:val="22"/>
          <w:szCs w:val="22"/>
          <w:lang w:eastAsia="en-US"/>
        </w:rPr>
        <w:t>Conclusion</w:t>
      </w:r>
    </w:p>
    <w:p w14:paraId="21DDE806" w14:textId="77777777" w:rsidR="00106EA7" w:rsidRPr="00106EA7" w:rsidRDefault="00106EA7" w:rsidP="00106EA7">
      <w:pPr>
        <w:spacing w:after="160" w:line="259" w:lineRule="auto"/>
        <w:rPr>
          <w:rFonts w:eastAsiaTheme="minorHAnsi"/>
          <w:sz w:val="22"/>
          <w:szCs w:val="22"/>
          <w:lang w:eastAsia="en-US"/>
        </w:rPr>
      </w:pPr>
      <w:r w:rsidRPr="00106EA7">
        <w:rPr>
          <w:rFonts w:eastAsiaTheme="minorHAnsi"/>
          <w:sz w:val="22"/>
          <w:szCs w:val="22"/>
          <w:lang w:eastAsia="en-US"/>
        </w:rPr>
        <w:t>The instrument is compatible with human rights as it does not raise any human rights issues.</w:t>
      </w:r>
    </w:p>
    <w:p w14:paraId="04FE3676" w14:textId="77777777" w:rsidR="002C7E36" w:rsidRPr="007207A7" w:rsidRDefault="002C7E36" w:rsidP="00C94FB5">
      <w:pPr>
        <w:pStyle w:val="acmabodytext0"/>
        <w:shd w:val="clear" w:color="auto" w:fill="FFFFFF"/>
        <w:rPr>
          <w:rFonts w:ascii="Arial" w:hAnsi="Arial" w:cs="Arial"/>
          <w:sz w:val="20"/>
          <w:szCs w:val="20"/>
        </w:rPr>
      </w:pPr>
    </w:p>
    <w:p w14:paraId="69476C46" w14:textId="1FA21A47" w:rsidR="00106EA7" w:rsidRDefault="00106EA7">
      <w:pPr>
        <w:rPr>
          <w:rFonts w:ascii="Helvetica Neue" w:hAnsi="Helvetica Neue"/>
          <w:sz w:val="19"/>
          <w:szCs w:val="19"/>
        </w:rPr>
      </w:pPr>
      <w:r>
        <w:rPr>
          <w:rFonts w:ascii="Helvetica Neue" w:hAnsi="Helvetica Neue"/>
          <w:sz w:val="19"/>
          <w:szCs w:val="19"/>
        </w:rPr>
        <w:br w:type="page"/>
      </w:r>
    </w:p>
    <w:p w14:paraId="320BA859" w14:textId="5383D4DC" w:rsidR="00603AB1" w:rsidRPr="00181920" w:rsidRDefault="00603AB1" w:rsidP="006252BE">
      <w:pPr>
        <w:spacing w:after="160" w:line="259" w:lineRule="auto"/>
        <w:jc w:val="right"/>
        <w:rPr>
          <w:rFonts w:cs="Arial"/>
          <w:sz w:val="22"/>
          <w:szCs w:val="22"/>
        </w:rPr>
      </w:pPr>
      <w:r w:rsidRPr="006252BE">
        <w:rPr>
          <w:rFonts w:eastAsiaTheme="minorHAnsi"/>
          <w:b/>
          <w:sz w:val="28"/>
          <w:szCs w:val="28"/>
          <w:lang w:eastAsia="en-US"/>
        </w:rPr>
        <w:lastRenderedPageBreak/>
        <w:t>ATTACHMENT</w:t>
      </w:r>
      <w:r w:rsidR="009E43B6">
        <w:rPr>
          <w:rFonts w:eastAsiaTheme="minorHAnsi"/>
          <w:b/>
          <w:sz w:val="28"/>
          <w:szCs w:val="28"/>
          <w:lang w:eastAsia="en-US"/>
        </w:rPr>
        <w:t xml:space="preserve"> </w:t>
      </w:r>
      <w:r w:rsidRPr="006252BE">
        <w:rPr>
          <w:rFonts w:eastAsiaTheme="minorHAnsi"/>
          <w:b/>
          <w:sz w:val="28"/>
          <w:szCs w:val="28"/>
          <w:lang w:eastAsia="en-US"/>
        </w:rPr>
        <w:t>A</w:t>
      </w:r>
    </w:p>
    <w:p w14:paraId="713D7A8F" w14:textId="0650FC17" w:rsidR="009E43B6" w:rsidRPr="00641906" w:rsidRDefault="009E43B6" w:rsidP="009E43B6">
      <w:pPr>
        <w:jc w:val="center"/>
        <w:rPr>
          <w:b/>
          <w:sz w:val="28"/>
          <w:szCs w:val="28"/>
        </w:rPr>
      </w:pPr>
      <w:r w:rsidRPr="00641906">
        <w:rPr>
          <w:b/>
          <w:sz w:val="28"/>
          <w:szCs w:val="28"/>
        </w:rPr>
        <w:t xml:space="preserve">Notes to the </w:t>
      </w:r>
      <w:proofErr w:type="spellStart"/>
      <w:r>
        <w:rPr>
          <w:b/>
          <w:i/>
          <w:sz w:val="28"/>
          <w:szCs w:val="28"/>
        </w:rPr>
        <w:t>Radiocommunications</w:t>
      </w:r>
      <w:proofErr w:type="spellEnd"/>
      <w:r>
        <w:rPr>
          <w:b/>
          <w:i/>
          <w:sz w:val="28"/>
          <w:szCs w:val="28"/>
        </w:rPr>
        <w:t xml:space="preserve"> (Spectrum Licence Allocation – 700 MHz Band) Determination 2016</w:t>
      </w:r>
    </w:p>
    <w:p w14:paraId="1441E908" w14:textId="2E934EF2" w:rsidR="00603AB1" w:rsidRPr="006252BE" w:rsidRDefault="00603AB1" w:rsidP="006252BE">
      <w:pPr>
        <w:spacing w:before="280" w:after="160" w:line="259" w:lineRule="auto"/>
        <w:rPr>
          <w:rFonts w:eastAsiaTheme="minorHAnsi"/>
          <w:b/>
          <w:sz w:val="22"/>
          <w:szCs w:val="22"/>
          <w:lang w:eastAsia="en-US"/>
        </w:rPr>
      </w:pPr>
      <w:r w:rsidRPr="006252BE">
        <w:rPr>
          <w:rFonts w:eastAsiaTheme="minorHAnsi"/>
          <w:b/>
          <w:sz w:val="22"/>
          <w:szCs w:val="22"/>
          <w:lang w:eastAsia="en-US"/>
        </w:rPr>
        <w:t>PART 1</w:t>
      </w:r>
      <w:r w:rsidR="006C352A">
        <w:rPr>
          <w:rFonts w:eastAsiaTheme="minorHAnsi"/>
          <w:b/>
          <w:sz w:val="22"/>
          <w:szCs w:val="22"/>
          <w:lang w:eastAsia="en-US"/>
        </w:rPr>
        <w:t xml:space="preserve"> </w:t>
      </w:r>
      <w:r w:rsidR="009E43B6">
        <w:rPr>
          <w:rFonts w:eastAsiaTheme="minorHAnsi"/>
          <w:b/>
          <w:sz w:val="22"/>
          <w:szCs w:val="22"/>
          <w:lang w:eastAsia="en-US"/>
        </w:rPr>
        <w:t>–</w:t>
      </w:r>
      <w:r w:rsidR="006C352A">
        <w:rPr>
          <w:rFonts w:eastAsiaTheme="minorHAnsi"/>
          <w:b/>
          <w:sz w:val="22"/>
          <w:szCs w:val="22"/>
          <w:lang w:eastAsia="en-US"/>
        </w:rPr>
        <w:t xml:space="preserve"> </w:t>
      </w:r>
      <w:r w:rsidRPr="006252BE">
        <w:rPr>
          <w:rFonts w:eastAsiaTheme="minorHAnsi"/>
          <w:b/>
          <w:sz w:val="22"/>
          <w:szCs w:val="22"/>
          <w:lang w:eastAsia="en-US"/>
        </w:rPr>
        <w:t>PRELIMINARY</w:t>
      </w:r>
    </w:p>
    <w:p w14:paraId="67B4D8E6" w14:textId="32C92F98" w:rsidR="00603AB1" w:rsidRPr="006252BE" w:rsidRDefault="00603AB1" w:rsidP="006252BE">
      <w:pPr>
        <w:spacing w:after="160" w:line="259" w:lineRule="auto"/>
        <w:rPr>
          <w:rFonts w:eastAsiaTheme="minorHAnsi"/>
          <w:b/>
          <w:sz w:val="22"/>
          <w:szCs w:val="22"/>
          <w:lang w:eastAsia="en-US"/>
        </w:rPr>
      </w:pPr>
      <w:r w:rsidRPr="006252BE">
        <w:rPr>
          <w:rFonts w:eastAsiaTheme="minorHAnsi"/>
          <w:b/>
          <w:sz w:val="22"/>
          <w:szCs w:val="22"/>
          <w:lang w:eastAsia="en-US"/>
        </w:rPr>
        <w:t>Section 1</w:t>
      </w:r>
      <w:r w:rsidRPr="006252BE">
        <w:rPr>
          <w:rFonts w:eastAsiaTheme="minorHAnsi"/>
          <w:b/>
          <w:sz w:val="22"/>
          <w:szCs w:val="22"/>
          <w:lang w:eastAsia="en-US"/>
        </w:rPr>
        <w:tab/>
        <w:t>Name</w:t>
      </w:r>
    </w:p>
    <w:p w14:paraId="1FF1EA97" w14:textId="171C7E5E" w:rsidR="00603AB1" w:rsidRPr="006252BE" w:rsidRDefault="00603AB1" w:rsidP="006252BE">
      <w:pPr>
        <w:spacing w:after="160" w:line="259" w:lineRule="auto"/>
        <w:rPr>
          <w:rFonts w:eastAsiaTheme="minorHAnsi"/>
          <w:sz w:val="22"/>
          <w:szCs w:val="22"/>
          <w:lang w:eastAsia="en-US"/>
        </w:rPr>
      </w:pPr>
      <w:r w:rsidRPr="006252BE">
        <w:rPr>
          <w:rFonts w:eastAsiaTheme="minorHAnsi"/>
          <w:sz w:val="22"/>
          <w:szCs w:val="22"/>
          <w:lang w:eastAsia="en-US"/>
        </w:rPr>
        <w:t xml:space="preserve">This section </w:t>
      </w:r>
      <w:r w:rsidR="006252BE">
        <w:rPr>
          <w:rFonts w:eastAsiaTheme="minorHAnsi"/>
          <w:sz w:val="22"/>
          <w:szCs w:val="22"/>
          <w:lang w:eastAsia="en-US"/>
        </w:rPr>
        <w:t>provides for</w:t>
      </w:r>
      <w:r w:rsidRPr="006252BE">
        <w:rPr>
          <w:rFonts w:eastAsiaTheme="minorHAnsi"/>
          <w:sz w:val="22"/>
          <w:szCs w:val="22"/>
          <w:lang w:eastAsia="en-US"/>
        </w:rPr>
        <w:t xml:space="preserve"> the Determination </w:t>
      </w:r>
      <w:r w:rsidR="006252BE">
        <w:rPr>
          <w:rFonts w:eastAsiaTheme="minorHAnsi"/>
          <w:sz w:val="22"/>
          <w:szCs w:val="22"/>
          <w:lang w:eastAsia="en-US"/>
        </w:rPr>
        <w:t xml:space="preserve">to be cited </w:t>
      </w:r>
      <w:r w:rsidRPr="006252BE">
        <w:rPr>
          <w:rFonts w:eastAsiaTheme="minorHAnsi"/>
          <w:sz w:val="22"/>
          <w:szCs w:val="22"/>
          <w:lang w:eastAsia="en-US"/>
        </w:rPr>
        <w:t xml:space="preserve">as the </w:t>
      </w:r>
      <w:proofErr w:type="spellStart"/>
      <w:r w:rsidR="008A293C" w:rsidRPr="006252BE">
        <w:rPr>
          <w:rFonts w:eastAsiaTheme="minorHAnsi"/>
          <w:i/>
          <w:sz w:val="22"/>
          <w:szCs w:val="22"/>
          <w:lang w:eastAsia="en-US"/>
        </w:rPr>
        <w:t>Radiocommunications</w:t>
      </w:r>
      <w:proofErr w:type="spellEnd"/>
      <w:r w:rsidR="008A293C" w:rsidRPr="006252BE">
        <w:rPr>
          <w:rFonts w:eastAsiaTheme="minorHAnsi"/>
          <w:i/>
          <w:sz w:val="22"/>
          <w:szCs w:val="22"/>
          <w:lang w:eastAsia="en-US"/>
        </w:rPr>
        <w:t xml:space="preserve"> (</w:t>
      </w:r>
      <w:r w:rsidR="001E501B" w:rsidRPr="006252BE">
        <w:rPr>
          <w:rFonts w:eastAsiaTheme="minorHAnsi"/>
          <w:i/>
          <w:sz w:val="22"/>
          <w:szCs w:val="22"/>
          <w:lang w:eastAsia="en-US"/>
        </w:rPr>
        <w:t>Spectrum Licence Allocation</w:t>
      </w:r>
      <w:r w:rsidR="008A293C" w:rsidRPr="006252BE">
        <w:rPr>
          <w:rFonts w:eastAsiaTheme="minorHAnsi"/>
          <w:i/>
          <w:sz w:val="22"/>
          <w:szCs w:val="22"/>
          <w:lang w:eastAsia="en-US"/>
        </w:rPr>
        <w:t xml:space="preserve"> — </w:t>
      </w:r>
      <w:r w:rsidR="003D1B6D" w:rsidRPr="006252BE">
        <w:rPr>
          <w:rFonts w:eastAsiaTheme="minorHAnsi"/>
          <w:i/>
          <w:sz w:val="22"/>
          <w:szCs w:val="22"/>
          <w:lang w:eastAsia="en-US"/>
        </w:rPr>
        <w:t>700 MHz</w:t>
      </w:r>
      <w:r w:rsidR="001068E4" w:rsidRPr="006252BE">
        <w:rPr>
          <w:rFonts w:eastAsiaTheme="minorHAnsi"/>
          <w:i/>
          <w:sz w:val="22"/>
          <w:szCs w:val="22"/>
          <w:lang w:eastAsia="en-US"/>
        </w:rPr>
        <w:t xml:space="preserve"> </w:t>
      </w:r>
      <w:r w:rsidR="006252BE">
        <w:rPr>
          <w:rFonts w:eastAsiaTheme="minorHAnsi"/>
          <w:i/>
          <w:sz w:val="22"/>
          <w:szCs w:val="22"/>
          <w:lang w:eastAsia="en-US"/>
        </w:rPr>
        <w:t>B</w:t>
      </w:r>
      <w:r w:rsidR="001068E4" w:rsidRPr="006252BE">
        <w:rPr>
          <w:rFonts w:eastAsiaTheme="minorHAnsi"/>
          <w:i/>
          <w:sz w:val="22"/>
          <w:szCs w:val="22"/>
          <w:lang w:eastAsia="en-US"/>
        </w:rPr>
        <w:t>and</w:t>
      </w:r>
      <w:r w:rsidR="008A293C" w:rsidRPr="006252BE">
        <w:rPr>
          <w:rFonts w:eastAsiaTheme="minorHAnsi"/>
          <w:i/>
          <w:sz w:val="22"/>
          <w:szCs w:val="22"/>
          <w:lang w:eastAsia="en-US"/>
        </w:rPr>
        <w:t>) Determination 2016</w:t>
      </w:r>
      <w:r w:rsidR="008A293C" w:rsidRPr="006252BE">
        <w:rPr>
          <w:rFonts w:eastAsiaTheme="minorHAnsi"/>
          <w:sz w:val="22"/>
          <w:szCs w:val="22"/>
          <w:lang w:eastAsia="en-US"/>
        </w:rPr>
        <w:t>.</w:t>
      </w:r>
    </w:p>
    <w:p w14:paraId="1EC16013" w14:textId="3155616C" w:rsidR="00603AB1" w:rsidRPr="006252BE" w:rsidRDefault="00603AB1" w:rsidP="006252BE">
      <w:pPr>
        <w:spacing w:after="160" w:line="259" w:lineRule="auto"/>
        <w:rPr>
          <w:rFonts w:eastAsiaTheme="minorHAnsi"/>
          <w:b/>
          <w:sz w:val="22"/>
          <w:szCs w:val="22"/>
          <w:lang w:eastAsia="en-US"/>
        </w:rPr>
      </w:pPr>
      <w:r w:rsidRPr="006252BE">
        <w:rPr>
          <w:rFonts w:eastAsiaTheme="minorHAnsi"/>
          <w:b/>
          <w:sz w:val="22"/>
          <w:szCs w:val="22"/>
          <w:lang w:eastAsia="en-US"/>
        </w:rPr>
        <w:t>Section 2</w:t>
      </w:r>
      <w:r w:rsidRPr="006252BE">
        <w:rPr>
          <w:rFonts w:eastAsiaTheme="minorHAnsi"/>
          <w:b/>
          <w:sz w:val="22"/>
          <w:szCs w:val="22"/>
          <w:lang w:eastAsia="en-US"/>
        </w:rPr>
        <w:tab/>
        <w:t>Commencement</w:t>
      </w:r>
    </w:p>
    <w:p w14:paraId="7B8F7BBC" w14:textId="07D4316A" w:rsidR="00603AB1" w:rsidRDefault="00603AB1" w:rsidP="006252BE">
      <w:pPr>
        <w:spacing w:after="160" w:line="259" w:lineRule="auto"/>
        <w:rPr>
          <w:rFonts w:eastAsiaTheme="minorHAnsi"/>
          <w:sz w:val="22"/>
          <w:szCs w:val="22"/>
          <w:lang w:eastAsia="en-US"/>
        </w:rPr>
      </w:pPr>
      <w:r w:rsidRPr="006252BE">
        <w:rPr>
          <w:rFonts w:eastAsiaTheme="minorHAnsi"/>
          <w:sz w:val="22"/>
          <w:szCs w:val="22"/>
          <w:lang w:eastAsia="en-US"/>
        </w:rPr>
        <w:t xml:space="preserve">The section provides </w:t>
      </w:r>
      <w:r w:rsidR="006252BE">
        <w:rPr>
          <w:rFonts w:eastAsiaTheme="minorHAnsi"/>
          <w:sz w:val="22"/>
          <w:szCs w:val="22"/>
          <w:lang w:eastAsia="en-US"/>
        </w:rPr>
        <w:t>for</w:t>
      </w:r>
      <w:r w:rsidRPr="006252BE">
        <w:rPr>
          <w:rFonts w:eastAsiaTheme="minorHAnsi"/>
          <w:sz w:val="22"/>
          <w:szCs w:val="22"/>
          <w:lang w:eastAsia="en-US"/>
        </w:rPr>
        <w:t xml:space="preserve"> the Determination </w:t>
      </w:r>
      <w:r w:rsidR="006252BE">
        <w:rPr>
          <w:rFonts w:eastAsiaTheme="minorHAnsi"/>
          <w:sz w:val="22"/>
          <w:szCs w:val="22"/>
          <w:lang w:eastAsia="en-US"/>
        </w:rPr>
        <w:t xml:space="preserve">to </w:t>
      </w:r>
      <w:r w:rsidRPr="006252BE">
        <w:rPr>
          <w:rFonts w:eastAsiaTheme="minorHAnsi"/>
          <w:sz w:val="22"/>
          <w:szCs w:val="22"/>
          <w:lang w:eastAsia="en-US"/>
        </w:rPr>
        <w:t>commence</w:t>
      </w:r>
      <w:r w:rsidR="006252BE">
        <w:rPr>
          <w:rFonts w:eastAsiaTheme="minorHAnsi"/>
          <w:sz w:val="22"/>
          <w:szCs w:val="22"/>
          <w:lang w:eastAsia="en-US"/>
        </w:rPr>
        <w:t xml:space="preserve"> at the start of</w:t>
      </w:r>
      <w:r w:rsidRPr="006252BE">
        <w:rPr>
          <w:rFonts w:eastAsiaTheme="minorHAnsi"/>
          <w:sz w:val="22"/>
          <w:szCs w:val="22"/>
          <w:lang w:eastAsia="en-US"/>
        </w:rPr>
        <w:t xml:space="preserve"> the day after it is registered on the Federal Register of </w:t>
      </w:r>
      <w:r w:rsidR="006252BE">
        <w:rPr>
          <w:rFonts w:eastAsiaTheme="minorHAnsi"/>
          <w:sz w:val="22"/>
          <w:szCs w:val="22"/>
          <w:lang w:eastAsia="en-US"/>
        </w:rPr>
        <w:t>Legislation</w:t>
      </w:r>
      <w:r w:rsidRPr="006252BE">
        <w:rPr>
          <w:rFonts w:eastAsiaTheme="minorHAnsi"/>
          <w:sz w:val="22"/>
          <w:szCs w:val="22"/>
          <w:lang w:eastAsia="en-US"/>
        </w:rPr>
        <w:t>.</w:t>
      </w:r>
    </w:p>
    <w:p w14:paraId="4A8ADC66" w14:textId="619C7930" w:rsidR="00603AB1" w:rsidRPr="006252BE" w:rsidRDefault="00603AB1" w:rsidP="006252BE">
      <w:pPr>
        <w:spacing w:after="160" w:line="259" w:lineRule="auto"/>
        <w:rPr>
          <w:rFonts w:eastAsiaTheme="minorHAnsi"/>
          <w:b/>
          <w:sz w:val="22"/>
          <w:szCs w:val="22"/>
          <w:lang w:eastAsia="en-US"/>
        </w:rPr>
      </w:pPr>
      <w:r w:rsidRPr="006252BE">
        <w:rPr>
          <w:rFonts w:eastAsiaTheme="minorHAnsi"/>
          <w:b/>
          <w:sz w:val="22"/>
          <w:szCs w:val="22"/>
          <w:lang w:eastAsia="en-US"/>
        </w:rPr>
        <w:t>Section 3</w:t>
      </w:r>
      <w:r w:rsidRPr="006252BE">
        <w:rPr>
          <w:rFonts w:eastAsiaTheme="minorHAnsi"/>
          <w:b/>
          <w:sz w:val="22"/>
          <w:szCs w:val="22"/>
          <w:lang w:eastAsia="en-US"/>
        </w:rPr>
        <w:tab/>
      </w:r>
      <w:r w:rsidR="008312B9" w:rsidRPr="006252BE">
        <w:rPr>
          <w:rFonts w:eastAsiaTheme="minorHAnsi"/>
          <w:b/>
          <w:sz w:val="22"/>
          <w:szCs w:val="22"/>
          <w:lang w:eastAsia="en-US"/>
        </w:rPr>
        <w:t>Authority</w:t>
      </w:r>
    </w:p>
    <w:p w14:paraId="4C360DB2" w14:textId="4F48489D" w:rsidR="00603AB1" w:rsidRPr="006252BE" w:rsidRDefault="00603AB1" w:rsidP="006252BE">
      <w:pPr>
        <w:spacing w:after="160" w:line="259" w:lineRule="auto"/>
        <w:rPr>
          <w:rFonts w:eastAsiaTheme="minorHAnsi"/>
          <w:sz w:val="22"/>
          <w:szCs w:val="22"/>
          <w:lang w:eastAsia="en-US"/>
        </w:rPr>
      </w:pPr>
      <w:r w:rsidRPr="006252BE">
        <w:rPr>
          <w:rFonts w:eastAsiaTheme="minorHAnsi"/>
          <w:sz w:val="22"/>
          <w:szCs w:val="22"/>
          <w:lang w:eastAsia="en-US"/>
        </w:rPr>
        <w:t xml:space="preserve">This section </w:t>
      </w:r>
      <w:r w:rsidR="006252BE">
        <w:rPr>
          <w:rFonts w:eastAsiaTheme="minorHAnsi"/>
          <w:sz w:val="22"/>
          <w:szCs w:val="22"/>
          <w:lang w:eastAsia="en-US"/>
        </w:rPr>
        <w:t xml:space="preserve">identifies the Act that authorises the making of the Determination, namely the </w:t>
      </w:r>
      <w:proofErr w:type="spellStart"/>
      <w:r w:rsidR="006252BE">
        <w:rPr>
          <w:rFonts w:eastAsiaTheme="minorHAnsi"/>
          <w:i/>
          <w:sz w:val="22"/>
          <w:szCs w:val="22"/>
          <w:lang w:eastAsia="en-US"/>
        </w:rPr>
        <w:t>Radiocommunications</w:t>
      </w:r>
      <w:proofErr w:type="spellEnd"/>
      <w:r w:rsidR="006252BE">
        <w:rPr>
          <w:rFonts w:eastAsiaTheme="minorHAnsi"/>
          <w:i/>
          <w:sz w:val="22"/>
          <w:szCs w:val="22"/>
          <w:lang w:eastAsia="en-US"/>
        </w:rPr>
        <w:t xml:space="preserve"> Act 1992</w:t>
      </w:r>
      <w:r w:rsidR="001068E4" w:rsidRPr="006252BE">
        <w:rPr>
          <w:rFonts w:eastAsiaTheme="minorHAnsi"/>
          <w:sz w:val="22"/>
          <w:szCs w:val="22"/>
          <w:lang w:eastAsia="en-US"/>
        </w:rPr>
        <w:t>.</w:t>
      </w:r>
    </w:p>
    <w:p w14:paraId="50B83AEF" w14:textId="2316838E" w:rsidR="00603AB1" w:rsidRPr="006252BE" w:rsidRDefault="00603AB1" w:rsidP="006252BE">
      <w:pPr>
        <w:spacing w:after="160" w:line="259" w:lineRule="auto"/>
        <w:rPr>
          <w:rFonts w:eastAsiaTheme="minorHAnsi"/>
          <w:b/>
          <w:sz w:val="22"/>
          <w:szCs w:val="22"/>
          <w:lang w:eastAsia="en-US"/>
        </w:rPr>
      </w:pPr>
      <w:r w:rsidRPr="006252BE">
        <w:rPr>
          <w:rFonts w:eastAsiaTheme="minorHAnsi"/>
          <w:b/>
          <w:sz w:val="22"/>
          <w:szCs w:val="22"/>
          <w:lang w:eastAsia="en-US"/>
        </w:rPr>
        <w:t>Section 4</w:t>
      </w:r>
      <w:r w:rsidRPr="006252BE">
        <w:rPr>
          <w:rFonts w:eastAsiaTheme="minorHAnsi"/>
          <w:b/>
          <w:sz w:val="22"/>
          <w:szCs w:val="22"/>
          <w:lang w:eastAsia="en-US"/>
        </w:rPr>
        <w:tab/>
      </w:r>
      <w:r w:rsidR="006252BE">
        <w:rPr>
          <w:rFonts w:eastAsiaTheme="minorHAnsi"/>
          <w:b/>
          <w:sz w:val="22"/>
          <w:szCs w:val="22"/>
          <w:lang w:eastAsia="en-US"/>
        </w:rPr>
        <w:t>Interpretation</w:t>
      </w:r>
    </w:p>
    <w:p w14:paraId="46B9B16D" w14:textId="58D5FE77" w:rsidR="00603AB1" w:rsidRDefault="00603AB1" w:rsidP="003765CC">
      <w:pPr>
        <w:pStyle w:val="ACMABodyText"/>
      </w:pPr>
      <w:r w:rsidRPr="006252BE">
        <w:rPr>
          <w:rFonts w:ascii="Times New Roman" w:eastAsiaTheme="minorHAnsi" w:hAnsi="Times New Roman" w:cs="Times New Roman"/>
          <w:sz w:val="22"/>
          <w:szCs w:val="22"/>
        </w:rPr>
        <w:t xml:space="preserve">This section defines </w:t>
      </w:r>
      <w:r w:rsidR="00EC6CCC">
        <w:rPr>
          <w:rFonts w:ascii="Times New Roman" w:eastAsiaTheme="minorHAnsi" w:hAnsi="Times New Roman" w:cs="Times New Roman"/>
          <w:sz w:val="22"/>
          <w:szCs w:val="22"/>
        </w:rPr>
        <w:t xml:space="preserve">a number of key </w:t>
      </w:r>
      <w:r w:rsidRPr="006252BE">
        <w:rPr>
          <w:rFonts w:ascii="Times New Roman" w:eastAsiaTheme="minorHAnsi" w:hAnsi="Times New Roman" w:cs="Times New Roman"/>
          <w:sz w:val="22"/>
          <w:szCs w:val="22"/>
        </w:rPr>
        <w:t>terms used throughout th</w:t>
      </w:r>
      <w:r w:rsidR="00B95061" w:rsidRPr="006252BE">
        <w:rPr>
          <w:rFonts w:ascii="Times New Roman" w:eastAsiaTheme="minorHAnsi" w:hAnsi="Times New Roman" w:cs="Times New Roman"/>
          <w:sz w:val="22"/>
          <w:szCs w:val="22"/>
        </w:rPr>
        <w:t>e</w:t>
      </w:r>
      <w:r w:rsidRPr="006252BE">
        <w:rPr>
          <w:rFonts w:ascii="Times New Roman" w:eastAsiaTheme="minorHAnsi" w:hAnsi="Times New Roman" w:cs="Times New Roman"/>
          <w:sz w:val="22"/>
          <w:szCs w:val="22"/>
        </w:rPr>
        <w:t xml:space="preserve"> Determination</w:t>
      </w:r>
      <w:r w:rsidR="00EC6CCC">
        <w:rPr>
          <w:rFonts w:ascii="Times New Roman" w:eastAsiaTheme="minorHAnsi" w:hAnsi="Times New Roman" w:cs="Times New Roman"/>
          <w:sz w:val="22"/>
          <w:szCs w:val="22"/>
        </w:rPr>
        <w:t>, and signposts where other key terms are defined in the Determination.  A number of other expressions used in the Determination are defined in the Act</w:t>
      </w:r>
      <w:r w:rsidR="00515149" w:rsidRPr="006252BE">
        <w:rPr>
          <w:rFonts w:ascii="Times New Roman" w:eastAsiaTheme="minorHAnsi" w:hAnsi="Times New Roman" w:cs="Times New Roman"/>
          <w:sz w:val="22"/>
          <w:szCs w:val="22"/>
        </w:rPr>
        <w:t>.</w:t>
      </w:r>
    </w:p>
    <w:p w14:paraId="5CD86AD4" w14:textId="248FEF01" w:rsidR="00603AB1" w:rsidRPr="006252BE" w:rsidRDefault="00603AB1" w:rsidP="003765CC">
      <w:pPr>
        <w:pStyle w:val="ACMABodyText"/>
        <w:rPr>
          <w:rFonts w:ascii="Times New Roman" w:eastAsiaTheme="minorHAnsi" w:hAnsi="Times New Roman" w:cs="Times New Roman"/>
          <w:sz w:val="22"/>
          <w:szCs w:val="22"/>
        </w:rPr>
      </w:pPr>
      <w:r w:rsidRPr="006252BE">
        <w:rPr>
          <w:rFonts w:ascii="Times New Roman" w:eastAsiaTheme="minorHAnsi" w:hAnsi="Times New Roman" w:cs="Times New Roman"/>
          <w:sz w:val="22"/>
          <w:szCs w:val="22"/>
        </w:rPr>
        <w:t xml:space="preserve">This section also provides that </w:t>
      </w:r>
      <w:r w:rsidR="00D1431E" w:rsidRPr="006252BE">
        <w:rPr>
          <w:rFonts w:ascii="Times New Roman" w:eastAsiaTheme="minorHAnsi" w:hAnsi="Times New Roman" w:cs="Times New Roman"/>
          <w:sz w:val="22"/>
          <w:szCs w:val="22"/>
        </w:rPr>
        <w:t>the range of numbers that identifies a frequency range includes the higher, but not the lower</w:t>
      </w:r>
      <w:r w:rsidR="000A193B">
        <w:rPr>
          <w:rFonts w:ascii="Times New Roman" w:eastAsiaTheme="minorHAnsi" w:hAnsi="Times New Roman" w:cs="Times New Roman"/>
          <w:sz w:val="22"/>
          <w:szCs w:val="22"/>
        </w:rPr>
        <w:t>,</w:t>
      </w:r>
      <w:r w:rsidR="00D1431E" w:rsidRPr="006252BE">
        <w:rPr>
          <w:rFonts w:ascii="Times New Roman" w:eastAsiaTheme="minorHAnsi" w:hAnsi="Times New Roman" w:cs="Times New Roman"/>
          <w:sz w:val="22"/>
          <w:szCs w:val="22"/>
        </w:rPr>
        <w:t xml:space="preserve"> number, and that </w:t>
      </w:r>
      <w:r w:rsidRPr="006252BE">
        <w:rPr>
          <w:rFonts w:ascii="Times New Roman" w:eastAsiaTheme="minorHAnsi" w:hAnsi="Times New Roman" w:cs="Times New Roman"/>
          <w:sz w:val="22"/>
          <w:szCs w:val="22"/>
        </w:rPr>
        <w:t xml:space="preserve">a reference to time in the Determination is a reference to the legal time in </w:t>
      </w:r>
      <w:r w:rsidR="00940479" w:rsidRPr="006252BE">
        <w:rPr>
          <w:rFonts w:ascii="Times New Roman" w:eastAsiaTheme="minorHAnsi" w:hAnsi="Times New Roman" w:cs="Times New Roman"/>
          <w:sz w:val="22"/>
          <w:szCs w:val="22"/>
        </w:rPr>
        <w:t>the Australian Capital Territory</w:t>
      </w:r>
      <w:r w:rsidRPr="006252BE">
        <w:rPr>
          <w:rFonts w:ascii="Times New Roman" w:eastAsiaTheme="minorHAnsi" w:hAnsi="Times New Roman" w:cs="Times New Roman"/>
          <w:sz w:val="22"/>
          <w:szCs w:val="22"/>
        </w:rPr>
        <w:t>.</w:t>
      </w:r>
    </w:p>
    <w:p w14:paraId="5C99BC81" w14:textId="7B35E72D" w:rsidR="00603AB1" w:rsidRPr="006252BE" w:rsidRDefault="00603AB1" w:rsidP="006252BE">
      <w:pPr>
        <w:spacing w:after="160" w:line="259" w:lineRule="auto"/>
        <w:rPr>
          <w:rFonts w:eastAsiaTheme="minorHAnsi"/>
          <w:b/>
          <w:sz w:val="22"/>
          <w:szCs w:val="22"/>
          <w:lang w:eastAsia="en-US"/>
        </w:rPr>
      </w:pPr>
      <w:r w:rsidRPr="006252BE">
        <w:rPr>
          <w:rFonts w:eastAsiaTheme="minorHAnsi"/>
          <w:b/>
          <w:sz w:val="22"/>
          <w:szCs w:val="22"/>
          <w:lang w:eastAsia="en-US"/>
        </w:rPr>
        <w:t>Section 5</w:t>
      </w:r>
      <w:r w:rsidRPr="006252BE">
        <w:rPr>
          <w:rFonts w:eastAsiaTheme="minorHAnsi"/>
          <w:b/>
          <w:sz w:val="22"/>
          <w:szCs w:val="22"/>
          <w:lang w:eastAsia="en-US"/>
        </w:rPr>
        <w:tab/>
      </w:r>
      <w:r w:rsidR="004F7203" w:rsidRPr="006252BE">
        <w:rPr>
          <w:rFonts w:eastAsiaTheme="minorHAnsi"/>
          <w:b/>
          <w:sz w:val="22"/>
          <w:szCs w:val="22"/>
          <w:lang w:eastAsia="en-US"/>
        </w:rPr>
        <w:t>References to other legislative instruments</w:t>
      </w:r>
      <w:r w:rsidR="00874AAE">
        <w:rPr>
          <w:rFonts w:eastAsiaTheme="minorHAnsi"/>
          <w:b/>
          <w:sz w:val="22"/>
          <w:szCs w:val="22"/>
          <w:lang w:eastAsia="en-US"/>
        </w:rPr>
        <w:t>, other instruments or writing</w:t>
      </w:r>
    </w:p>
    <w:p w14:paraId="685B1102" w14:textId="20F0C0DD" w:rsidR="004F7203" w:rsidRPr="006252BE" w:rsidRDefault="00EC6CCC" w:rsidP="006252BE">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This section provides that i</w:t>
      </w:r>
      <w:r w:rsidR="004F7203" w:rsidRPr="006252BE">
        <w:rPr>
          <w:rFonts w:ascii="Times New Roman" w:eastAsiaTheme="minorHAnsi" w:hAnsi="Times New Roman" w:cs="Times New Roman"/>
          <w:sz w:val="22"/>
          <w:szCs w:val="22"/>
        </w:rPr>
        <w:t>n th</w:t>
      </w:r>
      <w:r>
        <w:rPr>
          <w:rFonts w:ascii="Times New Roman" w:eastAsiaTheme="minorHAnsi" w:hAnsi="Times New Roman" w:cs="Times New Roman"/>
          <w:sz w:val="22"/>
          <w:szCs w:val="22"/>
        </w:rPr>
        <w:t>e Determination</w:t>
      </w:r>
      <w:r w:rsidR="004F7203" w:rsidRPr="006252BE">
        <w:rPr>
          <w:rFonts w:ascii="Times New Roman" w:eastAsiaTheme="minorHAnsi" w:hAnsi="Times New Roman" w:cs="Times New Roman"/>
          <w:sz w:val="22"/>
          <w:szCs w:val="22"/>
        </w:rPr>
        <w:t>, unless the contrary intention appears, a reference to another legislative instrument is a reference to that other legislative instrument as in force from time to time</w:t>
      </w:r>
      <w:r>
        <w:rPr>
          <w:rFonts w:ascii="Times New Roman" w:eastAsiaTheme="minorHAnsi" w:hAnsi="Times New Roman" w:cs="Times New Roman"/>
          <w:sz w:val="22"/>
          <w:szCs w:val="22"/>
        </w:rPr>
        <w:t>, and a reference to another instrument or writing is a reference to that instrument or writing as existing from time to time</w:t>
      </w:r>
      <w:r w:rsidR="004F7203" w:rsidRPr="006252BE">
        <w:rPr>
          <w:rFonts w:ascii="Times New Roman" w:eastAsiaTheme="minorHAnsi" w:hAnsi="Times New Roman" w:cs="Times New Roman"/>
          <w:sz w:val="22"/>
          <w:szCs w:val="22"/>
        </w:rPr>
        <w:t>.</w:t>
      </w:r>
    </w:p>
    <w:p w14:paraId="4FC109E8" w14:textId="4168723F" w:rsidR="00603AB1" w:rsidRPr="006252BE" w:rsidRDefault="00603AB1" w:rsidP="00EC6CCC">
      <w:pPr>
        <w:keepNext/>
        <w:spacing w:after="160" w:line="259" w:lineRule="auto"/>
        <w:rPr>
          <w:rFonts w:eastAsiaTheme="minorHAnsi"/>
          <w:b/>
          <w:sz w:val="22"/>
          <w:szCs w:val="22"/>
          <w:lang w:eastAsia="en-US"/>
        </w:rPr>
      </w:pPr>
      <w:r w:rsidRPr="006252BE">
        <w:rPr>
          <w:rFonts w:eastAsiaTheme="minorHAnsi"/>
          <w:b/>
          <w:sz w:val="22"/>
          <w:szCs w:val="22"/>
          <w:lang w:eastAsia="en-US"/>
        </w:rPr>
        <w:t>Section 6</w:t>
      </w:r>
      <w:r w:rsidRPr="006252BE">
        <w:rPr>
          <w:rFonts w:eastAsiaTheme="minorHAnsi"/>
          <w:b/>
          <w:sz w:val="22"/>
          <w:szCs w:val="22"/>
          <w:lang w:eastAsia="en-US"/>
        </w:rPr>
        <w:tab/>
      </w:r>
      <w:r w:rsidR="004F7203" w:rsidRPr="006252BE">
        <w:rPr>
          <w:rFonts w:eastAsiaTheme="minorHAnsi"/>
          <w:b/>
          <w:sz w:val="22"/>
          <w:szCs w:val="22"/>
          <w:lang w:eastAsia="en-US"/>
        </w:rPr>
        <w:t xml:space="preserve">Giving </w:t>
      </w:r>
      <w:r w:rsidRPr="006252BE">
        <w:rPr>
          <w:rFonts w:eastAsiaTheme="minorHAnsi"/>
          <w:b/>
          <w:sz w:val="22"/>
          <w:szCs w:val="22"/>
          <w:lang w:eastAsia="en-US"/>
        </w:rPr>
        <w:t>documents</w:t>
      </w:r>
      <w:r w:rsidR="004F7203" w:rsidRPr="006252BE">
        <w:rPr>
          <w:rFonts w:eastAsiaTheme="minorHAnsi"/>
          <w:b/>
          <w:sz w:val="22"/>
          <w:szCs w:val="22"/>
          <w:lang w:eastAsia="en-US"/>
        </w:rPr>
        <w:t xml:space="preserve"> to ACMA</w:t>
      </w:r>
    </w:p>
    <w:p w14:paraId="3BA5E60B" w14:textId="679AC944" w:rsidR="00603AB1" w:rsidRPr="006252BE" w:rsidRDefault="00603AB1" w:rsidP="000E49A6">
      <w:pPr>
        <w:pStyle w:val="ACMABodyText"/>
        <w:rPr>
          <w:rFonts w:ascii="Times New Roman" w:eastAsiaTheme="minorHAnsi" w:hAnsi="Times New Roman" w:cs="Times New Roman"/>
          <w:sz w:val="22"/>
          <w:szCs w:val="22"/>
        </w:rPr>
      </w:pPr>
      <w:r w:rsidRPr="006252BE">
        <w:rPr>
          <w:rFonts w:ascii="Times New Roman" w:eastAsiaTheme="minorHAnsi" w:hAnsi="Times New Roman" w:cs="Times New Roman"/>
          <w:sz w:val="22"/>
          <w:szCs w:val="22"/>
        </w:rPr>
        <w:t xml:space="preserve">This section sets out </w:t>
      </w:r>
      <w:r w:rsidR="00EC6CCC">
        <w:rPr>
          <w:rFonts w:ascii="Times New Roman" w:eastAsiaTheme="minorHAnsi" w:hAnsi="Times New Roman" w:cs="Times New Roman"/>
          <w:sz w:val="22"/>
          <w:szCs w:val="22"/>
        </w:rPr>
        <w:t>requirements</w:t>
      </w:r>
      <w:r w:rsidRPr="006252BE">
        <w:rPr>
          <w:rFonts w:ascii="Times New Roman" w:eastAsiaTheme="minorHAnsi" w:hAnsi="Times New Roman" w:cs="Times New Roman"/>
          <w:sz w:val="22"/>
          <w:szCs w:val="22"/>
        </w:rPr>
        <w:t xml:space="preserve"> for lodging documents with the ACMA, including the alternative</w:t>
      </w:r>
      <w:r>
        <w:t xml:space="preserve"> </w:t>
      </w:r>
      <w:r w:rsidRPr="006252BE">
        <w:rPr>
          <w:rFonts w:ascii="Times New Roman" w:eastAsiaTheme="minorHAnsi" w:hAnsi="Times New Roman" w:cs="Times New Roman"/>
          <w:sz w:val="22"/>
          <w:szCs w:val="22"/>
        </w:rPr>
        <w:t xml:space="preserve">means by which documents can be lodged. </w:t>
      </w:r>
      <w:r w:rsidR="000A193B">
        <w:rPr>
          <w:rFonts w:ascii="Times New Roman" w:eastAsiaTheme="minorHAnsi" w:hAnsi="Times New Roman" w:cs="Times New Roman"/>
          <w:sz w:val="22"/>
          <w:szCs w:val="22"/>
        </w:rPr>
        <w:t xml:space="preserve"> </w:t>
      </w:r>
      <w:r w:rsidRPr="006252BE">
        <w:rPr>
          <w:rFonts w:ascii="Times New Roman" w:eastAsiaTheme="minorHAnsi" w:hAnsi="Times New Roman" w:cs="Times New Roman"/>
          <w:sz w:val="22"/>
          <w:szCs w:val="22"/>
        </w:rPr>
        <w:t xml:space="preserve">These </w:t>
      </w:r>
      <w:r w:rsidR="00EC6CCC">
        <w:rPr>
          <w:rFonts w:ascii="Times New Roman" w:eastAsiaTheme="minorHAnsi" w:hAnsi="Times New Roman" w:cs="Times New Roman"/>
          <w:sz w:val="22"/>
          <w:szCs w:val="22"/>
        </w:rPr>
        <w:t>requirements</w:t>
      </w:r>
      <w:r w:rsidRPr="006252BE">
        <w:rPr>
          <w:rFonts w:ascii="Times New Roman" w:eastAsiaTheme="minorHAnsi" w:hAnsi="Times New Roman" w:cs="Times New Roman"/>
          <w:sz w:val="22"/>
          <w:szCs w:val="22"/>
        </w:rPr>
        <w:t xml:space="preserve"> apply to any documents being lodged with the ACMA for the purpose of the allocation process </w:t>
      </w:r>
      <w:r w:rsidR="004E475F" w:rsidRPr="006252BE">
        <w:rPr>
          <w:rFonts w:ascii="Times New Roman" w:eastAsiaTheme="minorHAnsi" w:hAnsi="Times New Roman" w:cs="Times New Roman"/>
          <w:sz w:val="22"/>
          <w:szCs w:val="22"/>
        </w:rPr>
        <w:t>under th</w:t>
      </w:r>
      <w:r w:rsidR="006C352A">
        <w:rPr>
          <w:rFonts w:ascii="Times New Roman" w:eastAsiaTheme="minorHAnsi" w:hAnsi="Times New Roman" w:cs="Times New Roman"/>
          <w:sz w:val="22"/>
          <w:szCs w:val="22"/>
        </w:rPr>
        <w:t>e</w:t>
      </w:r>
      <w:r w:rsidR="004E475F" w:rsidRPr="006252BE">
        <w:rPr>
          <w:rFonts w:ascii="Times New Roman" w:eastAsiaTheme="minorHAnsi" w:hAnsi="Times New Roman" w:cs="Times New Roman"/>
          <w:sz w:val="22"/>
          <w:szCs w:val="22"/>
        </w:rPr>
        <w:t xml:space="preserve"> </w:t>
      </w:r>
      <w:r w:rsidR="00EC6CCC">
        <w:rPr>
          <w:rFonts w:ascii="Times New Roman" w:eastAsiaTheme="minorHAnsi" w:hAnsi="Times New Roman" w:cs="Times New Roman"/>
          <w:sz w:val="22"/>
          <w:szCs w:val="22"/>
        </w:rPr>
        <w:t>Determination</w:t>
      </w:r>
      <w:r w:rsidRPr="006252BE">
        <w:rPr>
          <w:rFonts w:ascii="Times New Roman" w:eastAsiaTheme="minorHAnsi" w:hAnsi="Times New Roman" w:cs="Times New Roman"/>
          <w:sz w:val="22"/>
          <w:szCs w:val="22"/>
        </w:rPr>
        <w:t xml:space="preserve">. </w:t>
      </w:r>
      <w:r w:rsidR="000A193B">
        <w:rPr>
          <w:rFonts w:ascii="Times New Roman" w:eastAsiaTheme="minorHAnsi" w:hAnsi="Times New Roman" w:cs="Times New Roman"/>
          <w:sz w:val="22"/>
          <w:szCs w:val="22"/>
        </w:rPr>
        <w:t xml:space="preserve"> </w:t>
      </w:r>
      <w:r w:rsidRPr="006252BE">
        <w:rPr>
          <w:rFonts w:ascii="Times New Roman" w:eastAsiaTheme="minorHAnsi" w:hAnsi="Times New Roman" w:cs="Times New Roman"/>
          <w:sz w:val="22"/>
          <w:szCs w:val="22"/>
        </w:rPr>
        <w:t xml:space="preserve">They are intended to </w:t>
      </w:r>
      <w:r w:rsidR="00A07B6C">
        <w:rPr>
          <w:rFonts w:ascii="Times New Roman" w:eastAsiaTheme="minorHAnsi" w:hAnsi="Times New Roman" w:cs="Times New Roman"/>
          <w:sz w:val="22"/>
          <w:szCs w:val="22"/>
        </w:rPr>
        <w:t xml:space="preserve">work with </w:t>
      </w:r>
      <w:r w:rsidRPr="006252BE">
        <w:rPr>
          <w:rFonts w:ascii="Times New Roman" w:eastAsiaTheme="minorHAnsi" w:hAnsi="Times New Roman" w:cs="Times New Roman"/>
          <w:sz w:val="22"/>
          <w:szCs w:val="22"/>
        </w:rPr>
        <w:t xml:space="preserve">section </w:t>
      </w:r>
      <w:r w:rsidR="00151C0B" w:rsidRPr="006252BE">
        <w:rPr>
          <w:rFonts w:ascii="Times New Roman" w:eastAsiaTheme="minorHAnsi" w:hAnsi="Times New Roman" w:cs="Times New Roman"/>
          <w:sz w:val="22"/>
          <w:szCs w:val="22"/>
        </w:rPr>
        <w:t>2</w:t>
      </w:r>
      <w:r w:rsidR="00311917" w:rsidRPr="006252BE">
        <w:rPr>
          <w:rFonts w:ascii="Times New Roman" w:eastAsiaTheme="minorHAnsi" w:hAnsi="Times New Roman" w:cs="Times New Roman"/>
          <w:sz w:val="22"/>
          <w:szCs w:val="22"/>
        </w:rPr>
        <w:t>9</w:t>
      </w:r>
      <w:r w:rsidRPr="006252BE">
        <w:rPr>
          <w:rFonts w:ascii="Times New Roman" w:eastAsiaTheme="minorHAnsi" w:hAnsi="Times New Roman" w:cs="Times New Roman"/>
          <w:sz w:val="22"/>
          <w:szCs w:val="22"/>
        </w:rPr>
        <w:t xml:space="preserve"> (</w:t>
      </w:r>
      <w:r w:rsidR="00151C0B" w:rsidRPr="006252BE">
        <w:rPr>
          <w:rFonts w:ascii="Times New Roman" w:eastAsiaTheme="minorHAnsi" w:hAnsi="Times New Roman" w:cs="Times New Roman"/>
          <w:sz w:val="22"/>
          <w:szCs w:val="22"/>
        </w:rPr>
        <w:t>Making</w:t>
      </w:r>
      <w:r w:rsidR="00EC6CCC">
        <w:rPr>
          <w:rFonts w:ascii="Times New Roman" w:eastAsiaTheme="minorHAnsi" w:hAnsi="Times New Roman" w:cs="Times New Roman"/>
          <w:sz w:val="22"/>
          <w:szCs w:val="22"/>
        </w:rPr>
        <w:t xml:space="preserve"> an</w:t>
      </w:r>
      <w:r w:rsidR="00151C0B" w:rsidRPr="006252BE">
        <w:rPr>
          <w:rFonts w:ascii="Times New Roman" w:eastAsiaTheme="minorHAnsi" w:hAnsi="Times New Roman" w:cs="Times New Roman"/>
          <w:sz w:val="22"/>
          <w:szCs w:val="22"/>
        </w:rPr>
        <w:t xml:space="preserve"> application</w:t>
      </w:r>
      <w:r w:rsidRPr="006252BE">
        <w:rPr>
          <w:rFonts w:ascii="Times New Roman" w:eastAsiaTheme="minorHAnsi" w:hAnsi="Times New Roman" w:cs="Times New Roman"/>
          <w:sz w:val="22"/>
          <w:szCs w:val="22"/>
        </w:rPr>
        <w:t xml:space="preserve">), section </w:t>
      </w:r>
      <w:r w:rsidR="00151C0B" w:rsidRPr="006252BE">
        <w:rPr>
          <w:rFonts w:ascii="Times New Roman" w:eastAsiaTheme="minorHAnsi" w:hAnsi="Times New Roman" w:cs="Times New Roman"/>
          <w:sz w:val="22"/>
          <w:szCs w:val="22"/>
        </w:rPr>
        <w:t>3</w:t>
      </w:r>
      <w:r w:rsidR="00311917" w:rsidRPr="006252BE">
        <w:rPr>
          <w:rFonts w:ascii="Times New Roman" w:eastAsiaTheme="minorHAnsi" w:hAnsi="Times New Roman" w:cs="Times New Roman"/>
          <w:sz w:val="22"/>
          <w:szCs w:val="22"/>
        </w:rPr>
        <w:t>4</w:t>
      </w:r>
      <w:r w:rsidRPr="006252BE">
        <w:rPr>
          <w:rFonts w:ascii="Times New Roman" w:eastAsiaTheme="minorHAnsi" w:hAnsi="Times New Roman" w:cs="Times New Roman"/>
          <w:sz w:val="22"/>
          <w:szCs w:val="22"/>
        </w:rPr>
        <w:t xml:space="preserve"> (Requirement for new application), section </w:t>
      </w:r>
      <w:r w:rsidR="00FD7F7B" w:rsidRPr="006252BE">
        <w:rPr>
          <w:rFonts w:ascii="Times New Roman" w:eastAsiaTheme="minorHAnsi" w:hAnsi="Times New Roman" w:cs="Times New Roman"/>
          <w:sz w:val="22"/>
          <w:szCs w:val="22"/>
        </w:rPr>
        <w:t>3</w:t>
      </w:r>
      <w:r w:rsidR="00311917" w:rsidRPr="006252BE">
        <w:rPr>
          <w:rFonts w:ascii="Times New Roman" w:eastAsiaTheme="minorHAnsi" w:hAnsi="Times New Roman" w:cs="Times New Roman"/>
          <w:sz w:val="22"/>
          <w:szCs w:val="22"/>
        </w:rPr>
        <w:t>7</w:t>
      </w:r>
      <w:r w:rsidRPr="006252BE">
        <w:rPr>
          <w:rFonts w:ascii="Times New Roman" w:eastAsiaTheme="minorHAnsi" w:hAnsi="Times New Roman" w:cs="Times New Roman"/>
          <w:sz w:val="22"/>
          <w:szCs w:val="22"/>
        </w:rPr>
        <w:t xml:space="preserve"> (</w:t>
      </w:r>
      <w:r w:rsidR="00205CD6" w:rsidRPr="006252BE">
        <w:rPr>
          <w:rFonts w:ascii="Times New Roman" w:eastAsiaTheme="minorHAnsi" w:hAnsi="Times New Roman" w:cs="Times New Roman"/>
          <w:sz w:val="22"/>
          <w:szCs w:val="22"/>
        </w:rPr>
        <w:t xml:space="preserve">Giving preference </w:t>
      </w:r>
      <w:r w:rsidRPr="006252BE">
        <w:rPr>
          <w:rFonts w:ascii="Times New Roman" w:eastAsiaTheme="minorHAnsi" w:hAnsi="Times New Roman" w:cs="Times New Roman"/>
          <w:sz w:val="22"/>
          <w:szCs w:val="22"/>
        </w:rPr>
        <w:t xml:space="preserve">nomination form) and </w:t>
      </w:r>
      <w:r w:rsidR="00BB331A" w:rsidRPr="006252BE">
        <w:rPr>
          <w:rFonts w:ascii="Times New Roman" w:eastAsiaTheme="minorHAnsi" w:hAnsi="Times New Roman" w:cs="Times New Roman"/>
          <w:sz w:val="22"/>
          <w:szCs w:val="22"/>
        </w:rPr>
        <w:t xml:space="preserve">section </w:t>
      </w:r>
      <w:r w:rsidR="00FD7F7B" w:rsidRPr="006252BE">
        <w:rPr>
          <w:rFonts w:ascii="Times New Roman" w:eastAsiaTheme="minorHAnsi" w:hAnsi="Times New Roman" w:cs="Times New Roman"/>
          <w:sz w:val="22"/>
          <w:szCs w:val="22"/>
        </w:rPr>
        <w:t>3</w:t>
      </w:r>
      <w:r w:rsidR="00311917" w:rsidRPr="006252BE">
        <w:rPr>
          <w:rFonts w:ascii="Times New Roman" w:eastAsiaTheme="minorHAnsi" w:hAnsi="Times New Roman" w:cs="Times New Roman"/>
          <w:sz w:val="22"/>
          <w:szCs w:val="22"/>
        </w:rPr>
        <w:t>8</w:t>
      </w:r>
      <w:r w:rsidRPr="006252BE">
        <w:rPr>
          <w:rFonts w:ascii="Times New Roman" w:eastAsiaTheme="minorHAnsi" w:hAnsi="Times New Roman" w:cs="Times New Roman"/>
          <w:sz w:val="22"/>
          <w:szCs w:val="22"/>
        </w:rPr>
        <w:t xml:space="preserve"> (</w:t>
      </w:r>
      <w:r w:rsidR="00A75624" w:rsidRPr="006252BE">
        <w:rPr>
          <w:rFonts w:ascii="Times New Roman" w:eastAsiaTheme="minorHAnsi" w:hAnsi="Times New Roman" w:cs="Times New Roman"/>
          <w:sz w:val="22"/>
          <w:szCs w:val="22"/>
        </w:rPr>
        <w:t xml:space="preserve">Deposit or </w:t>
      </w:r>
      <w:r w:rsidRPr="006252BE">
        <w:rPr>
          <w:rFonts w:ascii="Times New Roman" w:eastAsiaTheme="minorHAnsi" w:hAnsi="Times New Roman" w:cs="Times New Roman"/>
          <w:sz w:val="22"/>
          <w:szCs w:val="22"/>
        </w:rPr>
        <w:t>deed of financial security required)</w:t>
      </w:r>
      <w:r w:rsidR="00EC6CCC">
        <w:rPr>
          <w:rFonts w:ascii="Times New Roman" w:eastAsiaTheme="minorHAnsi" w:hAnsi="Times New Roman" w:cs="Times New Roman"/>
          <w:sz w:val="22"/>
          <w:szCs w:val="22"/>
        </w:rPr>
        <w:t>, among other</w:t>
      </w:r>
      <w:r w:rsidR="000A193B">
        <w:rPr>
          <w:rFonts w:ascii="Times New Roman" w:eastAsiaTheme="minorHAnsi" w:hAnsi="Times New Roman" w:cs="Times New Roman"/>
          <w:sz w:val="22"/>
          <w:szCs w:val="22"/>
        </w:rPr>
        <w:t xml:space="preserve"> section</w:t>
      </w:r>
      <w:r w:rsidR="00EC6CCC">
        <w:rPr>
          <w:rFonts w:ascii="Times New Roman" w:eastAsiaTheme="minorHAnsi" w:hAnsi="Times New Roman" w:cs="Times New Roman"/>
          <w:sz w:val="22"/>
          <w:szCs w:val="22"/>
        </w:rPr>
        <w:t>s</w:t>
      </w:r>
      <w:r w:rsidRPr="006252BE">
        <w:rPr>
          <w:rFonts w:ascii="Times New Roman" w:eastAsiaTheme="minorHAnsi" w:hAnsi="Times New Roman" w:cs="Times New Roman"/>
          <w:sz w:val="22"/>
          <w:szCs w:val="22"/>
        </w:rPr>
        <w:t>.</w:t>
      </w:r>
    </w:p>
    <w:p w14:paraId="667708E3" w14:textId="2B23057B" w:rsidR="00603AB1" w:rsidRPr="006252BE" w:rsidRDefault="00EC6CCC" w:rsidP="00F42DCF">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A person</w:t>
      </w:r>
      <w:r w:rsidRPr="006252BE">
        <w:rPr>
          <w:rFonts w:ascii="Times New Roman" w:eastAsiaTheme="minorHAnsi" w:hAnsi="Times New Roman" w:cs="Times New Roman"/>
          <w:sz w:val="22"/>
          <w:szCs w:val="22"/>
        </w:rPr>
        <w:t xml:space="preserve"> </w:t>
      </w:r>
      <w:r w:rsidR="00603AB1" w:rsidRPr="006252BE">
        <w:rPr>
          <w:rFonts w:ascii="Times New Roman" w:eastAsiaTheme="minorHAnsi" w:hAnsi="Times New Roman" w:cs="Times New Roman"/>
          <w:sz w:val="22"/>
          <w:szCs w:val="22"/>
        </w:rPr>
        <w:t xml:space="preserve">may </w:t>
      </w:r>
      <w:r>
        <w:rPr>
          <w:rFonts w:ascii="Times New Roman" w:eastAsiaTheme="minorHAnsi" w:hAnsi="Times New Roman" w:cs="Times New Roman"/>
          <w:sz w:val="22"/>
          <w:szCs w:val="22"/>
        </w:rPr>
        <w:t>give a</w:t>
      </w:r>
      <w:r w:rsidRPr="006252BE">
        <w:rPr>
          <w:rFonts w:ascii="Times New Roman" w:eastAsiaTheme="minorHAnsi" w:hAnsi="Times New Roman" w:cs="Times New Roman"/>
          <w:sz w:val="22"/>
          <w:szCs w:val="22"/>
        </w:rPr>
        <w:t xml:space="preserve"> </w:t>
      </w:r>
      <w:r w:rsidR="00603AB1" w:rsidRPr="006252BE">
        <w:rPr>
          <w:rFonts w:ascii="Times New Roman" w:eastAsiaTheme="minorHAnsi" w:hAnsi="Times New Roman" w:cs="Times New Roman"/>
          <w:sz w:val="22"/>
          <w:szCs w:val="22"/>
        </w:rPr>
        <w:t xml:space="preserve">document to the ACMA by email, fax or delivery to a physical address (including delivery by registered mail). </w:t>
      </w:r>
      <w:r w:rsidR="000A193B">
        <w:rPr>
          <w:rFonts w:ascii="Times New Roman" w:eastAsiaTheme="minorHAnsi" w:hAnsi="Times New Roman" w:cs="Times New Roman"/>
          <w:sz w:val="22"/>
          <w:szCs w:val="22"/>
        </w:rPr>
        <w:t xml:space="preserve"> </w:t>
      </w:r>
      <w:r w:rsidR="00603AB1" w:rsidRPr="006252BE">
        <w:rPr>
          <w:rFonts w:ascii="Times New Roman" w:eastAsiaTheme="minorHAnsi" w:hAnsi="Times New Roman" w:cs="Times New Roman"/>
          <w:sz w:val="22"/>
          <w:szCs w:val="22"/>
        </w:rPr>
        <w:t xml:space="preserve">Where documents are submitted by email, this section also </w:t>
      </w:r>
      <w:r>
        <w:rPr>
          <w:rFonts w:ascii="Times New Roman" w:eastAsiaTheme="minorHAnsi" w:hAnsi="Times New Roman" w:cs="Times New Roman"/>
          <w:sz w:val="22"/>
          <w:szCs w:val="22"/>
        </w:rPr>
        <w:t>pr</w:t>
      </w:r>
      <w:r w:rsidRPr="006252BE">
        <w:rPr>
          <w:rFonts w:ascii="Times New Roman" w:eastAsiaTheme="minorHAnsi" w:hAnsi="Times New Roman" w:cs="Times New Roman"/>
          <w:sz w:val="22"/>
          <w:szCs w:val="22"/>
        </w:rPr>
        <w:t xml:space="preserve">escribes </w:t>
      </w:r>
      <w:r w:rsidR="00603AB1" w:rsidRPr="006252BE">
        <w:rPr>
          <w:rFonts w:ascii="Times New Roman" w:eastAsiaTheme="minorHAnsi" w:hAnsi="Times New Roman" w:cs="Times New Roman"/>
          <w:sz w:val="22"/>
          <w:szCs w:val="22"/>
        </w:rPr>
        <w:t>the electronic file format that particular documents being lodged must be in</w:t>
      </w:r>
      <w:r w:rsidR="00DB47BD" w:rsidRPr="006252BE">
        <w:rPr>
          <w:rFonts w:ascii="Times New Roman" w:eastAsiaTheme="minorHAnsi" w:hAnsi="Times New Roman" w:cs="Times New Roman"/>
          <w:sz w:val="22"/>
          <w:szCs w:val="22"/>
        </w:rPr>
        <w:t>,</w:t>
      </w:r>
      <w:r w:rsidR="00603AB1" w:rsidRPr="006252BE">
        <w:rPr>
          <w:rFonts w:ascii="Times New Roman" w:eastAsiaTheme="minorHAnsi" w:hAnsi="Times New Roman" w:cs="Times New Roman"/>
          <w:sz w:val="22"/>
          <w:szCs w:val="22"/>
        </w:rPr>
        <w:t xml:space="preserve"> namely, Portable Document Format (PDF) for any document, Rich Text Format (RTF) for any document that </w:t>
      </w:r>
      <w:r w:rsidR="00603AB1" w:rsidRPr="006252BE">
        <w:rPr>
          <w:rFonts w:ascii="Times New Roman" w:eastAsiaTheme="minorHAnsi" w:hAnsi="Times New Roman" w:cs="Times New Roman"/>
          <w:sz w:val="22"/>
          <w:szCs w:val="22"/>
        </w:rPr>
        <w:lastRenderedPageBreak/>
        <w:t>is not a statutory declaration or a deed, or any other electronic format approved by the auction manager.</w:t>
      </w:r>
    </w:p>
    <w:p w14:paraId="7F9CE4F2" w14:textId="79961AF1" w:rsidR="00603AB1" w:rsidRPr="006252BE" w:rsidRDefault="00603AB1" w:rsidP="00F42DCF">
      <w:pPr>
        <w:pStyle w:val="ACMABodyText"/>
        <w:rPr>
          <w:rFonts w:ascii="Times New Roman" w:eastAsiaTheme="minorHAnsi" w:hAnsi="Times New Roman" w:cs="Times New Roman"/>
          <w:sz w:val="22"/>
          <w:szCs w:val="22"/>
        </w:rPr>
      </w:pPr>
      <w:r w:rsidRPr="006252BE">
        <w:rPr>
          <w:rFonts w:ascii="Times New Roman" w:eastAsiaTheme="minorHAnsi" w:hAnsi="Times New Roman" w:cs="Times New Roman"/>
          <w:sz w:val="22"/>
          <w:szCs w:val="22"/>
        </w:rPr>
        <w:t xml:space="preserve">Where documents are lodged by fax, this section also </w:t>
      </w:r>
      <w:r w:rsidR="00EC6CCC">
        <w:rPr>
          <w:rFonts w:ascii="Times New Roman" w:eastAsiaTheme="minorHAnsi" w:hAnsi="Times New Roman" w:cs="Times New Roman"/>
          <w:sz w:val="22"/>
          <w:szCs w:val="22"/>
        </w:rPr>
        <w:t>pr</w:t>
      </w:r>
      <w:r w:rsidRPr="006252BE">
        <w:rPr>
          <w:rFonts w:ascii="Times New Roman" w:eastAsiaTheme="minorHAnsi" w:hAnsi="Times New Roman" w:cs="Times New Roman"/>
          <w:sz w:val="22"/>
          <w:szCs w:val="22"/>
        </w:rPr>
        <w:t>escribes the information that must be provided on a cover sheet to accompany the documents being lodged.</w:t>
      </w:r>
    </w:p>
    <w:p w14:paraId="41081B1D" w14:textId="1A7A0EE4" w:rsidR="00603AB1" w:rsidRPr="00EC6CCC" w:rsidRDefault="00603AB1" w:rsidP="00EC6CCC">
      <w:pPr>
        <w:keepNext/>
        <w:spacing w:after="160" w:line="259" w:lineRule="auto"/>
        <w:rPr>
          <w:rFonts w:eastAsiaTheme="minorHAnsi"/>
          <w:b/>
          <w:sz w:val="22"/>
          <w:szCs w:val="22"/>
          <w:lang w:eastAsia="en-US"/>
        </w:rPr>
      </w:pPr>
      <w:r w:rsidRPr="00EC6CCC">
        <w:rPr>
          <w:rFonts w:eastAsiaTheme="minorHAnsi"/>
          <w:b/>
          <w:sz w:val="22"/>
          <w:szCs w:val="22"/>
          <w:lang w:eastAsia="en-US"/>
        </w:rPr>
        <w:t>Section 7</w:t>
      </w:r>
      <w:r w:rsidRPr="00EC6CCC">
        <w:rPr>
          <w:rFonts w:eastAsiaTheme="minorHAnsi"/>
          <w:b/>
          <w:sz w:val="22"/>
          <w:szCs w:val="22"/>
          <w:lang w:eastAsia="en-US"/>
        </w:rPr>
        <w:tab/>
        <w:t>Payment of amounts</w:t>
      </w:r>
    </w:p>
    <w:p w14:paraId="6F050378" w14:textId="38282B1E" w:rsidR="00512C23" w:rsidRPr="00EC6CCC" w:rsidRDefault="00603AB1" w:rsidP="00181920">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w:t>
      </w:r>
      <w:r w:rsidR="00EC6CCC">
        <w:rPr>
          <w:rFonts w:ascii="Times New Roman" w:eastAsiaTheme="minorHAnsi" w:hAnsi="Times New Roman" w:cs="Times New Roman"/>
          <w:sz w:val="22"/>
          <w:szCs w:val="22"/>
        </w:rPr>
        <w:t>prescribes</w:t>
      </w:r>
      <w:r w:rsidRPr="00EC6CCC">
        <w:rPr>
          <w:rFonts w:ascii="Times New Roman" w:eastAsiaTheme="minorHAnsi" w:hAnsi="Times New Roman" w:cs="Times New Roman"/>
          <w:sz w:val="22"/>
          <w:szCs w:val="22"/>
        </w:rPr>
        <w:t xml:space="preserve"> the manner in which payments </w:t>
      </w:r>
      <w:r w:rsidR="004E475F" w:rsidRPr="00EC6CCC">
        <w:rPr>
          <w:rFonts w:ascii="Times New Roman" w:eastAsiaTheme="minorHAnsi" w:hAnsi="Times New Roman" w:cs="Times New Roman"/>
          <w:sz w:val="22"/>
          <w:szCs w:val="22"/>
        </w:rPr>
        <w:t>under th</w:t>
      </w:r>
      <w:r w:rsidR="006C352A">
        <w:rPr>
          <w:rFonts w:ascii="Times New Roman" w:eastAsiaTheme="minorHAnsi" w:hAnsi="Times New Roman" w:cs="Times New Roman"/>
          <w:sz w:val="22"/>
          <w:szCs w:val="22"/>
        </w:rPr>
        <w:t>e</w:t>
      </w:r>
      <w:r w:rsidR="004E475F" w:rsidRPr="00EC6CCC">
        <w:rPr>
          <w:rFonts w:ascii="Times New Roman" w:eastAsiaTheme="minorHAnsi" w:hAnsi="Times New Roman" w:cs="Times New Roman"/>
          <w:sz w:val="22"/>
          <w:szCs w:val="22"/>
        </w:rPr>
        <w:t xml:space="preserve"> </w:t>
      </w:r>
      <w:r w:rsidR="00EC6CCC">
        <w:rPr>
          <w:rFonts w:ascii="Times New Roman" w:eastAsiaTheme="minorHAnsi" w:hAnsi="Times New Roman" w:cs="Times New Roman"/>
          <w:sz w:val="22"/>
          <w:szCs w:val="22"/>
        </w:rPr>
        <w:t>Determination</w:t>
      </w:r>
      <w:r w:rsidR="00EC6CCC" w:rsidRPr="00EC6CCC">
        <w:rPr>
          <w:rFonts w:ascii="Times New Roman" w:eastAsiaTheme="minorHAnsi" w:hAnsi="Times New Roman" w:cs="Times New Roman"/>
          <w:sz w:val="22"/>
          <w:szCs w:val="22"/>
        </w:rPr>
        <w:t xml:space="preserve"> </w:t>
      </w:r>
      <w:r w:rsidR="00EC6CCC">
        <w:rPr>
          <w:rFonts w:ascii="Times New Roman" w:eastAsiaTheme="minorHAnsi" w:hAnsi="Times New Roman" w:cs="Times New Roman"/>
          <w:sz w:val="22"/>
          <w:szCs w:val="22"/>
        </w:rPr>
        <w:t>must</w:t>
      </w:r>
      <w:r w:rsidRPr="00EC6CCC">
        <w:rPr>
          <w:rFonts w:ascii="Times New Roman" w:eastAsiaTheme="minorHAnsi" w:hAnsi="Times New Roman" w:cs="Times New Roman"/>
          <w:sz w:val="22"/>
          <w:szCs w:val="22"/>
        </w:rPr>
        <w:t xml:space="preserve"> be made to the ACMA. </w:t>
      </w:r>
    </w:p>
    <w:p w14:paraId="2E630DED" w14:textId="77777777" w:rsidR="00603AB1" w:rsidRPr="00EC6CCC" w:rsidRDefault="00603AB1" w:rsidP="00181920">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Amounts can be paid to the ACMA by bank cheque or by electronic transfer and must be made in Australian currency. </w:t>
      </w:r>
    </w:p>
    <w:p w14:paraId="291A1657" w14:textId="6A07457B" w:rsidR="00603AB1" w:rsidRPr="00EC6CCC" w:rsidRDefault="00603AB1" w:rsidP="00181920">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Where </w:t>
      </w:r>
      <w:r w:rsidR="000A193B">
        <w:rPr>
          <w:rFonts w:ascii="Times New Roman" w:eastAsiaTheme="minorHAnsi" w:hAnsi="Times New Roman" w:cs="Times New Roman"/>
          <w:sz w:val="22"/>
          <w:szCs w:val="22"/>
        </w:rPr>
        <w:t>a person</w:t>
      </w:r>
      <w:r w:rsidRPr="00EC6CCC">
        <w:rPr>
          <w:rFonts w:ascii="Times New Roman" w:eastAsiaTheme="minorHAnsi" w:hAnsi="Times New Roman" w:cs="Times New Roman"/>
          <w:sz w:val="22"/>
          <w:szCs w:val="22"/>
        </w:rPr>
        <w:t xml:space="preserve"> pays an amount by bank cheque, the payment </w:t>
      </w:r>
      <w:r w:rsidR="00515149" w:rsidRPr="00EC6CCC">
        <w:rPr>
          <w:rFonts w:ascii="Times New Roman" w:eastAsiaTheme="minorHAnsi" w:hAnsi="Times New Roman" w:cs="Times New Roman"/>
          <w:sz w:val="22"/>
          <w:szCs w:val="22"/>
        </w:rPr>
        <w:t>must be m</w:t>
      </w:r>
      <w:r w:rsidRPr="00EC6CCC">
        <w:rPr>
          <w:rFonts w:ascii="Times New Roman" w:eastAsiaTheme="minorHAnsi" w:hAnsi="Times New Roman" w:cs="Times New Roman"/>
          <w:sz w:val="22"/>
          <w:szCs w:val="22"/>
        </w:rPr>
        <w:t>ade by the deadline specified in</w:t>
      </w:r>
      <w:r w:rsidR="00EC6CCC">
        <w:rPr>
          <w:rFonts w:ascii="Times New Roman" w:eastAsiaTheme="minorHAnsi" w:hAnsi="Times New Roman" w:cs="Times New Roman"/>
          <w:sz w:val="22"/>
          <w:szCs w:val="22"/>
        </w:rPr>
        <w:t>, or set in accordance with,</w:t>
      </w:r>
      <w:r w:rsidRPr="00EC6CCC">
        <w:rPr>
          <w:rFonts w:ascii="Times New Roman" w:eastAsiaTheme="minorHAnsi" w:hAnsi="Times New Roman" w:cs="Times New Roman"/>
          <w:sz w:val="22"/>
          <w:szCs w:val="22"/>
        </w:rPr>
        <w:t xml:space="preserve"> the Determination. </w:t>
      </w:r>
    </w:p>
    <w:p w14:paraId="68D7C7E4" w14:textId="282A75DD" w:rsidR="00603AB1" w:rsidRPr="00EC6CCC" w:rsidRDefault="00603AB1" w:rsidP="00181920">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Where electronic transfer is used</w:t>
      </w:r>
      <w:r w:rsidR="00EC6CCC">
        <w:rPr>
          <w:rFonts w:ascii="Times New Roman" w:eastAsiaTheme="minorHAnsi" w:hAnsi="Times New Roman" w:cs="Times New Roman"/>
          <w:sz w:val="22"/>
          <w:szCs w:val="22"/>
        </w:rPr>
        <w:t xml:space="preserve"> to make a payment</w:t>
      </w:r>
      <w:r w:rsidRPr="00EC6CCC">
        <w:rPr>
          <w:rFonts w:ascii="Times New Roman" w:eastAsiaTheme="minorHAnsi" w:hAnsi="Times New Roman" w:cs="Times New Roman"/>
          <w:sz w:val="22"/>
          <w:szCs w:val="22"/>
        </w:rPr>
        <w:t xml:space="preserve">, the ACMA must receive from the </w:t>
      </w:r>
      <w:r w:rsidR="000A193B">
        <w:rPr>
          <w:rFonts w:ascii="Times New Roman" w:eastAsiaTheme="minorHAnsi" w:hAnsi="Times New Roman" w:cs="Times New Roman"/>
          <w:sz w:val="22"/>
          <w:szCs w:val="22"/>
        </w:rPr>
        <w:t>person making the payment</w:t>
      </w:r>
      <w:r w:rsidR="000A193B" w:rsidRPr="00EC6CCC">
        <w:rPr>
          <w:rFonts w:ascii="Times New Roman" w:eastAsiaTheme="minorHAnsi" w:hAnsi="Times New Roman" w:cs="Times New Roman"/>
          <w:sz w:val="22"/>
          <w:szCs w:val="22"/>
        </w:rPr>
        <w:t xml:space="preserve"> </w:t>
      </w:r>
      <w:r w:rsidRPr="00EC6CCC">
        <w:rPr>
          <w:rFonts w:ascii="Times New Roman" w:eastAsiaTheme="minorHAnsi" w:hAnsi="Times New Roman" w:cs="Times New Roman"/>
          <w:sz w:val="22"/>
          <w:szCs w:val="22"/>
        </w:rPr>
        <w:t>evidence (such as a transfer receipt) that an electronic transfer has been made for the full amount.  A</w:t>
      </w:r>
      <w:r w:rsidR="000A193B">
        <w:rPr>
          <w:rFonts w:ascii="Times New Roman" w:eastAsiaTheme="minorHAnsi" w:hAnsi="Times New Roman" w:cs="Times New Roman"/>
          <w:sz w:val="22"/>
          <w:szCs w:val="22"/>
        </w:rPr>
        <w:t xml:space="preserve"> person</w:t>
      </w:r>
      <w:r w:rsidRPr="00EC6CCC">
        <w:rPr>
          <w:rFonts w:ascii="Times New Roman" w:eastAsiaTheme="minorHAnsi" w:hAnsi="Times New Roman" w:cs="Times New Roman"/>
          <w:sz w:val="22"/>
          <w:szCs w:val="22"/>
        </w:rPr>
        <w:t xml:space="preserve"> will be taken to have made a payment by the specified </w:t>
      </w:r>
      <w:r w:rsidR="00EC6CCC">
        <w:rPr>
          <w:rFonts w:ascii="Times New Roman" w:eastAsiaTheme="minorHAnsi" w:hAnsi="Times New Roman" w:cs="Times New Roman"/>
          <w:sz w:val="22"/>
          <w:szCs w:val="22"/>
        </w:rPr>
        <w:t xml:space="preserve">or set </w:t>
      </w:r>
      <w:r w:rsidRPr="00EC6CCC">
        <w:rPr>
          <w:rFonts w:ascii="Times New Roman" w:eastAsiaTheme="minorHAnsi" w:hAnsi="Times New Roman" w:cs="Times New Roman"/>
          <w:sz w:val="22"/>
          <w:szCs w:val="22"/>
        </w:rPr>
        <w:t xml:space="preserve">deadline, provided the ACMA receives the full amount in the ACMA’s nominated bank account within </w:t>
      </w:r>
      <w:r w:rsidR="00BC2012" w:rsidRPr="00EC6CCC">
        <w:rPr>
          <w:rFonts w:ascii="Times New Roman" w:eastAsiaTheme="minorHAnsi" w:hAnsi="Times New Roman" w:cs="Times New Roman"/>
          <w:sz w:val="22"/>
          <w:szCs w:val="22"/>
        </w:rPr>
        <w:t>3</w:t>
      </w:r>
      <w:r w:rsidRPr="00EC6CCC">
        <w:rPr>
          <w:rFonts w:ascii="Times New Roman" w:eastAsiaTheme="minorHAnsi" w:hAnsi="Times New Roman" w:cs="Times New Roman"/>
          <w:sz w:val="22"/>
          <w:szCs w:val="22"/>
        </w:rPr>
        <w:t xml:space="preserve"> </w:t>
      </w:r>
      <w:r w:rsidR="00515149" w:rsidRPr="00EC6CCC">
        <w:rPr>
          <w:rFonts w:ascii="Times New Roman" w:eastAsiaTheme="minorHAnsi" w:hAnsi="Times New Roman" w:cs="Times New Roman"/>
          <w:sz w:val="22"/>
          <w:szCs w:val="22"/>
        </w:rPr>
        <w:t xml:space="preserve">working </w:t>
      </w:r>
      <w:r w:rsidRPr="00EC6CCC">
        <w:rPr>
          <w:rFonts w:ascii="Times New Roman" w:eastAsiaTheme="minorHAnsi" w:hAnsi="Times New Roman" w:cs="Times New Roman"/>
          <w:sz w:val="22"/>
          <w:szCs w:val="22"/>
        </w:rPr>
        <w:t xml:space="preserve">days of the deadline and the </w:t>
      </w:r>
      <w:r w:rsidR="000A193B">
        <w:rPr>
          <w:rFonts w:ascii="Times New Roman" w:eastAsiaTheme="minorHAnsi" w:hAnsi="Times New Roman" w:cs="Times New Roman"/>
          <w:sz w:val="22"/>
          <w:szCs w:val="22"/>
        </w:rPr>
        <w:t>person</w:t>
      </w:r>
      <w:r w:rsidRPr="00EC6CCC">
        <w:rPr>
          <w:rFonts w:ascii="Times New Roman" w:eastAsiaTheme="minorHAnsi" w:hAnsi="Times New Roman" w:cs="Times New Roman"/>
          <w:sz w:val="22"/>
          <w:szCs w:val="22"/>
        </w:rPr>
        <w:t xml:space="preserve"> gives the ACMA evidence that the transfer was made </w:t>
      </w:r>
      <w:r w:rsidR="00702296">
        <w:rPr>
          <w:rFonts w:ascii="Times New Roman" w:eastAsiaTheme="minorHAnsi" w:hAnsi="Times New Roman" w:cs="Times New Roman"/>
          <w:sz w:val="22"/>
          <w:szCs w:val="22"/>
        </w:rPr>
        <w:t xml:space="preserve">on or </w:t>
      </w:r>
      <w:r w:rsidRPr="00EC6CCC">
        <w:rPr>
          <w:rFonts w:ascii="Times New Roman" w:eastAsiaTheme="minorHAnsi" w:hAnsi="Times New Roman" w:cs="Times New Roman"/>
          <w:sz w:val="22"/>
          <w:szCs w:val="22"/>
        </w:rPr>
        <w:t xml:space="preserve">before the deadline. Where full payment is not received within </w:t>
      </w:r>
      <w:r w:rsidR="00BC2012" w:rsidRPr="00EC6CCC">
        <w:rPr>
          <w:rFonts w:ascii="Times New Roman" w:eastAsiaTheme="minorHAnsi" w:hAnsi="Times New Roman" w:cs="Times New Roman"/>
          <w:sz w:val="22"/>
          <w:szCs w:val="22"/>
        </w:rPr>
        <w:t xml:space="preserve">3 </w:t>
      </w:r>
      <w:r w:rsidR="00515149" w:rsidRPr="00EC6CCC">
        <w:rPr>
          <w:rFonts w:ascii="Times New Roman" w:eastAsiaTheme="minorHAnsi" w:hAnsi="Times New Roman" w:cs="Times New Roman"/>
          <w:sz w:val="22"/>
          <w:szCs w:val="22"/>
        </w:rPr>
        <w:t xml:space="preserve">working </w:t>
      </w:r>
      <w:r w:rsidRPr="00EC6CCC">
        <w:rPr>
          <w:rFonts w:ascii="Times New Roman" w:eastAsiaTheme="minorHAnsi" w:hAnsi="Times New Roman" w:cs="Times New Roman"/>
          <w:sz w:val="22"/>
          <w:szCs w:val="22"/>
        </w:rPr>
        <w:t xml:space="preserve">days, the payment will </w:t>
      </w:r>
      <w:r w:rsidR="00EC6CCC">
        <w:rPr>
          <w:rFonts w:ascii="Times New Roman" w:eastAsiaTheme="minorHAnsi" w:hAnsi="Times New Roman" w:cs="Times New Roman"/>
          <w:sz w:val="22"/>
          <w:szCs w:val="22"/>
        </w:rPr>
        <w:t xml:space="preserve">only </w:t>
      </w:r>
      <w:r w:rsidRPr="00EC6CCC">
        <w:rPr>
          <w:rFonts w:ascii="Times New Roman" w:eastAsiaTheme="minorHAnsi" w:hAnsi="Times New Roman" w:cs="Times New Roman"/>
          <w:sz w:val="22"/>
          <w:szCs w:val="22"/>
        </w:rPr>
        <w:t xml:space="preserve">be taken to have been made if the </w:t>
      </w:r>
      <w:r w:rsidR="000A193B">
        <w:rPr>
          <w:rFonts w:ascii="Times New Roman" w:eastAsiaTheme="minorHAnsi" w:hAnsi="Times New Roman" w:cs="Times New Roman"/>
          <w:sz w:val="22"/>
          <w:szCs w:val="22"/>
        </w:rPr>
        <w:t>person making the payment</w:t>
      </w:r>
      <w:r w:rsidR="000A193B" w:rsidRPr="00EC6CCC">
        <w:rPr>
          <w:rFonts w:ascii="Times New Roman" w:eastAsiaTheme="minorHAnsi" w:hAnsi="Times New Roman" w:cs="Times New Roman"/>
          <w:sz w:val="22"/>
          <w:szCs w:val="22"/>
        </w:rPr>
        <w:t xml:space="preserve"> </w:t>
      </w:r>
      <w:r w:rsidRPr="00EC6CCC">
        <w:rPr>
          <w:rFonts w:ascii="Times New Roman" w:eastAsiaTheme="minorHAnsi" w:hAnsi="Times New Roman" w:cs="Times New Roman"/>
          <w:sz w:val="22"/>
          <w:szCs w:val="22"/>
        </w:rPr>
        <w:t xml:space="preserve">can show that it has taken all reasonable steps to ensure that the amount was </w:t>
      </w:r>
      <w:r w:rsidR="00515149" w:rsidRPr="00EC6CCC">
        <w:rPr>
          <w:rFonts w:ascii="Times New Roman" w:eastAsiaTheme="minorHAnsi" w:hAnsi="Times New Roman" w:cs="Times New Roman"/>
          <w:sz w:val="22"/>
          <w:szCs w:val="22"/>
        </w:rPr>
        <w:t>paid</w:t>
      </w:r>
      <w:r w:rsidRPr="00EC6CCC">
        <w:rPr>
          <w:rFonts w:ascii="Times New Roman" w:eastAsiaTheme="minorHAnsi" w:hAnsi="Times New Roman" w:cs="Times New Roman"/>
          <w:sz w:val="22"/>
          <w:szCs w:val="22"/>
        </w:rPr>
        <w:t xml:space="preserve"> by the due date. </w:t>
      </w:r>
    </w:p>
    <w:p w14:paraId="391C7030" w14:textId="55AF97C6" w:rsidR="00603AB1" w:rsidRDefault="00603AB1" w:rsidP="00181920">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also </w:t>
      </w:r>
      <w:r w:rsidR="00EC6CCC">
        <w:rPr>
          <w:rFonts w:ascii="Times New Roman" w:eastAsiaTheme="minorHAnsi" w:hAnsi="Times New Roman" w:cs="Times New Roman"/>
          <w:sz w:val="22"/>
          <w:szCs w:val="22"/>
        </w:rPr>
        <w:t>provides</w:t>
      </w:r>
      <w:r w:rsidR="00EC6CCC" w:rsidRPr="00EC6CCC">
        <w:rPr>
          <w:rFonts w:ascii="Times New Roman" w:eastAsiaTheme="minorHAnsi" w:hAnsi="Times New Roman" w:cs="Times New Roman"/>
          <w:sz w:val="22"/>
          <w:szCs w:val="22"/>
        </w:rPr>
        <w:t xml:space="preserve"> </w:t>
      </w:r>
      <w:r w:rsidR="006B003B" w:rsidRPr="00EC6CCC">
        <w:rPr>
          <w:rFonts w:ascii="Times New Roman" w:eastAsiaTheme="minorHAnsi" w:hAnsi="Times New Roman" w:cs="Times New Roman"/>
          <w:sz w:val="22"/>
          <w:szCs w:val="22"/>
        </w:rPr>
        <w:t>that</w:t>
      </w:r>
      <w:r w:rsidRPr="00EC6CCC">
        <w:rPr>
          <w:rFonts w:ascii="Times New Roman" w:eastAsiaTheme="minorHAnsi" w:hAnsi="Times New Roman" w:cs="Times New Roman"/>
          <w:sz w:val="22"/>
          <w:szCs w:val="22"/>
        </w:rPr>
        <w:t xml:space="preserve"> a payment will not be considered to have been paid in full where bank charges or government duties imposed on the payment reduce the amount to less than the amount due. </w:t>
      </w:r>
      <w:r w:rsidR="00EC6CCC">
        <w:rPr>
          <w:rFonts w:ascii="Times New Roman" w:eastAsiaTheme="minorHAnsi" w:hAnsi="Times New Roman" w:cs="Times New Roman"/>
          <w:sz w:val="22"/>
          <w:szCs w:val="22"/>
        </w:rPr>
        <w:t xml:space="preserve">It is in </w:t>
      </w:r>
      <w:r w:rsidR="006C352A">
        <w:rPr>
          <w:rFonts w:ascii="Times New Roman" w:eastAsiaTheme="minorHAnsi" w:hAnsi="Times New Roman" w:cs="Times New Roman"/>
          <w:sz w:val="22"/>
          <w:szCs w:val="22"/>
        </w:rPr>
        <w:t xml:space="preserve">the interests of </w:t>
      </w:r>
      <w:r w:rsidR="00C2284A">
        <w:rPr>
          <w:rFonts w:ascii="Times New Roman" w:eastAsiaTheme="minorHAnsi" w:hAnsi="Times New Roman" w:cs="Times New Roman"/>
          <w:sz w:val="22"/>
          <w:szCs w:val="22"/>
        </w:rPr>
        <w:t>the</w:t>
      </w:r>
      <w:r w:rsidRPr="00EC6CCC">
        <w:rPr>
          <w:rFonts w:ascii="Times New Roman" w:eastAsiaTheme="minorHAnsi" w:hAnsi="Times New Roman" w:cs="Times New Roman"/>
          <w:sz w:val="22"/>
          <w:szCs w:val="22"/>
        </w:rPr>
        <w:t xml:space="preserve"> </w:t>
      </w:r>
      <w:r w:rsidR="000A193B">
        <w:rPr>
          <w:rFonts w:ascii="Times New Roman" w:eastAsiaTheme="minorHAnsi" w:hAnsi="Times New Roman" w:cs="Times New Roman"/>
          <w:sz w:val="22"/>
          <w:szCs w:val="22"/>
        </w:rPr>
        <w:t>person</w:t>
      </w:r>
      <w:r w:rsidR="00C2284A">
        <w:rPr>
          <w:rFonts w:ascii="Times New Roman" w:eastAsiaTheme="minorHAnsi" w:hAnsi="Times New Roman" w:cs="Times New Roman"/>
          <w:sz w:val="22"/>
          <w:szCs w:val="22"/>
        </w:rPr>
        <w:t xml:space="preserve"> making the payment</w:t>
      </w:r>
      <w:r w:rsidR="00EC6CCC">
        <w:rPr>
          <w:rFonts w:ascii="Times New Roman" w:eastAsiaTheme="minorHAnsi" w:hAnsi="Times New Roman" w:cs="Times New Roman"/>
          <w:sz w:val="22"/>
          <w:szCs w:val="22"/>
        </w:rPr>
        <w:t xml:space="preserve"> to</w:t>
      </w:r>
      <w:r w:rsidRPr="00EC6CCC">
        <w:rPr>
          <w:rFonts w:ascii="Times New Roman" w:eastAsiaTheme="minorHAnsi" w:hAnsi="Times New Roman" w:cs="Times New Roman"/>
          <w:sz w:val="22"/>
          <w:szCs w:val="22"/>
        </w:rPr>
        <w:t xml:space="preserve"> ensur</w:t>
      </w:r>
      <w:r w:rsidR="00EC6CCC">
        <w:rPr>
          <w:rFonts w:ascii="Times New Roman" w:eastAsiaTheme="minorHAnsi" w:hAnsi="Times New Roman" w:cs="Times New Roman"/>
          <w:sz w:val="22"/>
          <w:szCs w:val="22"/>
        </w:rPr>
        <w:t>e</w:t>
      </w:r>
      <w:r w:rsidRPr="00EC6CCC">
        <w:rPr>
          <w:rFonts w:ascii="Times New Roman" w:eastAsiaTheme="minorHAnsi" w:hAnsi="Times New Roman" w:cs="Times New Roman"/>
          <w:sz w:val="22"/>
          <w:szCs w:val="22"/>
        </w:rPr>
        <w:t xml:space="preserve"> that any bank charges or government duties imposed on a payment do not reduce the payment received by the ACMA to less than the full amount due.</w:t>
      </w:r>
    </w:p>
    <w:p w14:paraId="4F877B54" w14:textId="7848DF28" w:rsidR="006C352A" w:rsidRPr="00EC6CCC" w:rsidRDefault="006C352A" w:rsidP="00181920">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Any amount to be paid under the Determination that is not an amount in whole dollars is to be rounded up to the next dollar.</w:t>
      </w:r>
    </w:p>
    <w:p w14:paraId="1308ACAB" w14:textId="5799F8E0" w:rsidR="00603AB1" w:rsidRPr="00EC6CCC" w:rsidRDefault="00603AB1" w:rsidP="00EC6CCC">
      <w:pPr>
        <w:keepNext/>
        <w:spacing w:after="160" w:line="259" w:lineRule="auto"/>
        <w:rPr>
          <w:rFonts w:eastAsiaTheme="minorHAnsi"/>
          <w:b/>
          <w:sz w:val="22"/>
          <w:szCs w:val="22"/>
          <w:lang w:eastAsia="en-US"/>
        </w:rPr>
      </w:pPr>
      <w:r w:rsidRPr="00EC6CCC">
        <w:rPr>
          <w:rFonts w:eastAsiaTheme="minorHAnsi"/>
          <w:b/>
          <w:sz w:val="22"/>
          <w:szCs w:val="22"/>
          <w:lang w:eastAsia="en-US"/>
        </w:rPr>
        <w:t>Section 8</w:t>
      </w:r>
      <w:r w:rsidRPr="00EC6CCC">
        <w:rPr>
          <w:rFonts w:eastAsiaTheme="minorHAnsi"/>
          <w:b/>
          <w:sz w:val="22"/>
          <w:szCs w:val="22"/>
          <w:lang w:eastAsia="en-US"/>
        </w:rPr>
        <w:tab/>
        <w:t>Statutory declaration for body corporate</w:t>
      </w:r>
    </w:p>
    <w:p w14:paraId="4ED4DDAF" w14:textId="0389EC9E" w:rsidR="00603AB1" w:rsidRPr="00EC6CCC" w:rsidRDefault="00603AB1" w:rsidP="00F73E79">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w:t>
      </w:r>
      <w:r w:rsidR="00EC6CCC">
        <w:rPr>
          <w:rFonts w:ascii="Times New Roman" w:eastAsiaTheme="minorHAnsi" w:hAnsi="Times New Roman" w:cs="Times New Roman"/>
          <w:sz w:val="22"/>
          <w:szCs w:val="22"/>
        </w:rPr>
        <w:t>provides</w:t>
      </w:r>
      <w:r w:rsidR="00EC6CCC" w:rsidRPr="00EC6CCC">
        <w:rPr>
          <w:rFonts w:ascii="Times New Roman" w:eastAsiaTheme="minorHAnsi" w:hAnsi="Times New Roman" w:cs="Times New Roman"/>
          <w:sz w:val="22"/>
          <w:szCs w:val="22"/>
        </w:rPr>
        <w:t xml:space="preserve"> </w:t>
      </w:r>
      <w:r w:rsidRPr="00EC6CCC">
        <w:rPr>
          <w:rFonts w:ascii="Times New Roman" w:eastAsiaTheme="minorHAnsi" w:hAnsi="Times New Roman" w:cs="Times New Roman"/>
          <w:sz w:val="22"/>
          <w:szCs w:val="22"/>
        </w:rPr>
        <w:t>that where th</w:t>
      </w:r>
      <w:r w:rsidR="00B95061" w:rsidRPr="00EC6CCC">
        <w:rPr>
          <w:rFonts w:ascii="Times New Roman" w:eastAsiaTheme="minorHAnsi" w:hAnsi="Times New Roman" w:cs="Times New Roman"/>
          <w:sz w:val="22"/>
          <w:szCs w:val="22"/>
        </w:rPr>
        <w:t>e</w:t>
      </w:r>
      <w:r w:rsidRPr="00EC6CCC">
        <w:rPr>
          <w:rFonts w:ascii="Times New Roman" w:eastAsiaTheme="minorHAnsi" w:hAnsi="Times New Roman" w:cs="Times New Roman"/>
          <w:sz w:val="22"/>
          <w:szCs w:val="22"/>
        </w:rPr>
        <w:t xml:space="preserve"> Determination requires a</w:t>
      </w:r>
      <w:r w:rsidR="00702296">
        <w:rPr>
          <w:rFonts w:ascii="Times New Roman" w:eastAsiaTheme="minorHAnsi" w:hAnsi="Times New Roman" w:cs="Times New Roman"/>
          <w:sz w:val="22"/>
          <w:szCs w:val="22"/>
        </w:rPr>
        <w:t xml:space="preserve"> body corporate to </w:t>
      </w:r>
      <w:r w:rsidRPr="00EC6CCC">
        <w:rPr>
          <w:rFonts w:ascii="Times New Roman" w:eastAsiaTheme="minorHAnsi" w:hAnsi="Times New Roman" w:cs="Times New Roman"/>
          <w:sz w:val="22"/>
          <w:szCs w:val="22"/>
        </w:rPr>
        <w:t>make a statutory declaration, such a declaration must be made by a director or a secretary of that body corporate.</w:t>
      </w:r>
    </w:p>
    <w:p w14:paraId="574959F1" w14:textId="77777777" w:rsidR="00603AB1" w:rsidRPr="00EC6CCC" w:rsidRDefault="00603AB1" w:rsidP="00EC6CCC">
      <w:pPr>
        <w:keepNext/>
        <w:spacing w:before="280" w:after="160" w:line="259" w:lineRule="auto"/>
        <w:rPr>
          <w:rFonts w:eastAsiaTheme="minorHAnsi"/>
          <w:b/>
          <w:sz w:val="22"/>
          <w:szCs w:val="22"/>
          <w:lang w:eastAsia="en-US"/>
        </w:rPr>
      </w:pPr>
      <w:r w:rsidRPr="00EC6CCC">
        <w:rPr>
          <w:rFonts w:eastAsiaTheme="minorHAnsi"/>
          <w:b/>
          <w:sz w:val="22"/>
          <w:szCs w:val="22"/>
          <w:lang w:eastAsia="en-US"/>
        </w:rPr>
        <w:t>PART 2</w:t>
      </w:r>
      <w:r w:rsidRPr="00EC6CCC">
        <w:rPr>
          <w:rFonts w:eastAsiaTheme="minorHAnsi"/>
          <w:b/>
          <w:sz w:val="22"/>
          <w:szCs w:val="22"/>
          <w:lang w:eastAsia="en-US"/>
        </w:rPr>
        <w:tab/>
        <w:t>LIMITS ON ALLOCATION OF SPECTRUM</w:t>
      </w:r>
      <w:r w:rsidR="008E6D8E" w:rsidRPr="00EC6CCC">
        <w:rPr>
          <w:rFonts w:eastAsiaTheme="minorHAnsi"/>
          <w:b/>
          <w:sz w:val="22"/>
          <w:szCs w:val="22"/>
          <w:lang w:eastAsia="en-US"/>
        </w:rPr>
        <w:t xml:space="preserve">  </w:t>
      </w:r>
    </w:p>
    <w:p w14:paraId="0647E7DC" w14:textId="4D7B6E3D" w:rsidR="006170A4" w:rsidRPr="008F0CD0" w:rsidRDefault="006170A4" w:rsidP="00EC6CCC">
      <w:pPr>
        <w:keepNext/>
        <w:spacing w:after="160" w:line="259" w:lineRule="auto"/>
        <w:rPr>
          <w:b/>
        </w:rPr>
      </w:pPr>
      <w:r w:rsidRPr="00EC6CCC">
        <w:rPr>
          <w:rFonts w:eastAsiaTheme="minorHAnsi"/>
          <w:b/>
          <w:sz w:val="22"/>
          <w:szCs w:val="22"/>
          <w:lang w:eastAsia="en-US"/>
        </w:rPr>
        <w:t>Section 9</w:t>
      </w:r>
      <w:r w:rsidRPr="00EC6CCC">
        <w:rPr>
          <w:rFonts w:eastAsiaTheme="minorHAnsi"/>
          <w:b/>
          <w:sz w:val="22"/>
          <w:szCs w:val="22"/>
          <w:lang w:eastAsia="en-US"/>
        </w:rPr>
        <w:tab/>
        <w:t xml:space="preserve">Simplified outline of this Part </w:t>
      </w:r>
    </w:p>
    <w:p w14:paraId="7D957DEE" w14:textId="505DCA51" w:rsidR="002511E0" w:rsidRPr="00EC6CCC" w:rsidRDefault="00EC6CCC" w:rsidP="002511E0">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This section sets out a simplified outline of Part 2.</w:t>
      </w:r>
    </w:p>
    <w:p w14:paraId="4C3A31FA" w14:textId="2CE81282" w:rsidR="00603AB1" w:rsidRPr="00EC6CCC" w:rsidRDefault="00603AB1" w:rsidP="00EC6CCC">
      <w:pPr>
        <w:keepNext/>
        <w:spacing w:after="160" w:line="259" w:lineRule="auto"/>
        <w:rPr>
          <w:rFonts w:eastAsiaTheme="minorHAnsi"/>
          <w:b/>
          <w:sz w:val="22"/>
          <w:szCs w:val="22"/>
          <w:lang w:eastAsia="en-US"/>
        </w:rPr>
      </w:pPr>
      <w:bookmarkStart w:id="0" w:name="OLE_LINK30"/>
      <w:bookmarkStart w:id="1" w:name="OLE_LINK31"/>
      <w:r w:rsidRPr="00EC6CCC">
        <w:rPr>
          <w:rFonts w:eastAsiaTheme="minorHAnsi"/>
          <w:b/>
          <w:sz w:val="22"/>
          <w:szCs w:val="22"/>
          <w:lang w:eastAsia="en-US"/>
        </w:rPr>
        <w:t xml:space="preserve">Section </w:t>
      </w:r>
      <w:r w:rsidR="006170A4" w:rsidRPr="00EC6CCC">
        <w:rPr>
          <w:rFonts w:eastAsiaTheme="minorHAnsi"/>
          <w:b/>
          <w:sz w:val="22"/>
          <w:szCs w:val="22"/>
          <w:lang w:eastAsia="en-US"/>
        </w:rPr>
        <w:t>10</w:t>
      </w:r>
      <w:r w:rsidRPr="00EC6CCC">
        <w:rPr>
          <w:rFonts w:eastAsiaTheme="minorHAnsi"/>
          <w:b/>
          <w:sz w:val="22"/>
          <w:szCs w:val="22"/>
          <w:lang w:eastAsia="en-US"/>
        </w:rPr>
        <w:tab/>
        <w:t xml:space="preserve">Meaning of </w:t>
      </w:r>
      <w:r w:rsidRPr="00EC6CCC">
        <w:rPr>
          <w:rFonts w:eastAsiaTheme="minorHAnsi"/>
          <w:b/>
          <w:i/>
          <w:sz w:val="22"/>
          <w:szCs w:val="22"/>
          <w:lang w:eastAsia="en-US"/>
        </w:rPr>
        <w:t>allocation limits</w:t>
      </w:r>
    </w:p>
    <w:p w14:paraId="41F28E53" w14:textId="5D472411" w:rsidR="00EC6CCC" w:rsidRPr="00862B9A" w:rsidRDefault="00EC6CCC" w:rsidP="00EC6CCC">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 xml:space="preserve">The Minister has given the ACMA written directions under subsection 60(10) of the Act (see section </w:t>
      </w:r>
      <w:r w:rsidR="005C2D29">
        <w:rPr>
          <w:rFonts w:ascii="Times New Roman" w:eastAsiaTheme="minorHAnsi" w:hAnsi="Times New Roman" w:cs="Times New Roman"/>
          <w:sz w:val="22"/>
          <w:szCs w:val="22"/>
        </w:rPr>
        <w:t>6</w:t>
      </w:r>
      <w:r w:rsidRPr="00862B9A">
        <w:rPr>
          <w:rFonts w:ascii="Times New Roman" w:eastAsiaTheme="minorHAnsi" w:hAnsi="Times New Roman" w:cs="Times New Roman"/>
          <w:sz w:val="22"/>
          <w:szCs w:val="22"/>
        </w:rPr>
        <w:t xml:space="preserve"> of the Residual 700 MHz Spectrum Direction), which require the ACMA to determine procedures that impose limits on the aggregate parts of the spectrum that, as a result of the allocation of spectrum licences under Subdivision B of Division 1 of Part 3.2 of the Act, may in total be used by the members of a specified group of persons, namely, any person and that person’s associates.</w:t>
      </w:r>
    </w:p>
    <w:p w14:paraId="6F9C1B1C" w14:textId="4C5E6C02" w:rsidR="00603AB1" w:rsidRPr="00862B9A" w:rsidRDefault="00603AB1" w:rsidP="00EC6CCC">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lastRenderedPageBreak/>
        <w:t xml:space="preserve">This section defines the limits on the aggregate of the parts of the </w:t>
      </w:r>
      <w:r w:rsidR="003D4124">
        <w:rPr>
          <w:rFonts w:ascii="Times New Roman" w:eastAsiaTheme="minorHAnsi" w:hAnsi="Times New Roman" w:cs="Times New Roman"/>
          <w:sz w:val="22"/>
          <w:szCs w:val="22"/>
        </w:rPr>
        <w:t xml:space="preserve">700 MHz </w:t>
      </w:r>
      <w:r w:rsidR="005C2D29">
        <w:rPr>
          <w:rFonts w:ascii="Times New Roman" w:eastAsiaTheme="minorHAnsi" w:hAnsi="Times New Roman" w:cs="Times New Roman"/>
          <w:sz w:val="22"/>
          <w:szCs w:val="22"/>
        </w:rPr>
        <w:t>band</w:t>
      </w:r>
      <w:r w:rsidRPr="00862B9A">
        <w:rPr>
          <w:rFonts w:ascii="Times New Roman" w:eastAsiaTheme="minorHAnsi" w:hAnsi="Times New Roman" w:cs="Times New Roman"/>
          <w:sz w:val="22"/>
          <w:szCs w:val="22"/>
        </w:rPr>
        <w:t xml:space="preserve"> that, as a result of the allocation of spectrum licences </w:t>
      </w:r>
      <w:r w:rsidR="005C2D29">
        <w:rPr>
          <w:rFonts w:ascii="Times New Roman" w:eastAsiaTheme="minorHAnsi" w:hAnsi="Times New Roman" w:cs="Times New Roman"/>
          <w:sz w:val="22"/>
          <w:szCs w:val="22"/>
        </w:rPr>
        <w:t xml:space="preserve">in the residual 700 MHz band </w:t>
      </w:r>
      <w:r w:rsidRPr="00862B9A">
        <w:rPr>
          <w:rFonts w:ascii="Times New Roman" w:eastAsiaTheme="minorHAnsi" w:hAnsi="Times New Roman" w:cs="Times New Roman"/>
          <w:sz w:val="22"/>
          <w:szCs w:val="22"/>
        </w:rPr>
        <w:t xml:space="preserve">under </w:t>
      </w:r>
      <w:r w:rsidR="00E151A4" w:rsidRPr="00862B9A">
        <w:rPr>
          <w:rFonts w:ascii="Times New Roman" w:eastAsiaTheme="minorHAnsi" w:hAnsi="Times New Roman" w:cs="Times New Roman"/>
          <w:sz w:val="22"/>
          <w:szCs w:val="22"/>
        </w:rPr>
        <w:t>th</w:t>
      </w:r>
      <w:r w:rsidR="006C352A">
        <w:rPr>
          <w:rFonts w:ascii="Times New Roman" w:eastAsiaTheme="minorHAnsi" w:hAnsi="Times New Roman" w:cs="Times New Roman"/>
          <w:sz w:val="22"/>
          <w:szCs w:val="22"/>
        </w:rPr>
        <w:t>e</w:t>
      </w:r>
      <w:r w:rsidR="00E151A4" w:rsidRPr="00862B9A">
        <w:rPr>
          <w:rFonts w:ascii="Times New Roman" w:eastAsiaTheme="minorHAnsi" w:hAnsi="Times New Roman" w:cs="Times New Roman"/>
          <w:sz w:val="22"/>
          <w:szCs w:val="22"/>
        </w:rPr>
        <w:t xml:space="preserve"> </w:t>
      </w:r>
      <w:r w:rsidR="00EC6CCC" w:rsidRPr="00862B9A">
        <w:rPr>
          <w:rFonts w:ascii="Times New Roman" w:eastAsiaTheme="minorHAnsi" w:hAnsi="Times New Roman" w:cs="Times New Roman"/>
          <w:sz w:val="22"/>
          <w:szCs w:val="22"/>
        </w:rPr>
        <w:t xml:space="preserve">Determination </w:t>
      </w:r>
      <w:r w:rsidR="006A283F" w:rsidRPr="00862B9A">
        <w:rPr>
          <w:rFonts w:ascii="Times New Roman" w:eastAsiaTheme="minorHAnsi" w:hAnsi="Times New Roman" w:cs="Times New Roman"/>
          <w:sz w:val="22"/>
          <w:szCs w:val="22"/>
        </w:rPr>
        <w:t xml:space="preserve">and </w:t>
      </w:r>
      <w:r w:rsidR="005C2D29">
        <w:rPr>
          <w:rFonts w:ascii="Times New Roman" w:eastAsiaTheme="minorHAnsi" w:hAnsi="Times New Roman" w:cs="Times New Roman"/>
          <w:sz w:val="22"/>
          <w:szCs w:val="22"/>
        </w:rPr>
        <w:t xml:space="preserve">in other parts of the 700 MHz band </w:t>
      </w:r>
      <w:r w:rsidR="00EC6CCC" w:rsidRPr="00862B9A">
        <w:rPr>
          <w:rFonts w:ascii="Times New Roman" w:eastAsiaTheme="minorHAnsi" w:hAnsi="Times New Roman" w:cs="Times New Roman"/>
          <w:sz w:val="22"/>
          <w:szCs w:val="22"/>
        </w:rPr>
        <w:t xml:space="preserve">under </w:t>
      </w:r>
      <w:r w:rsidR="006A283F" w:rsidRPr="00862B9A">
        <w:rPr>
          <w:rFonts w:ascii="Times New Roman" w:eastAsiaTheme="minorHAnsi" w:hAnsi="Times New Roman" w:cs="Times New Roman"/>
          <w:sz w:val="22"/>
          <w:szCs w:val="22"/>
        </w:rPr>
        <w:t xml:space="preserve">the </w:t>
      </w:r>
      <w:proofErr w:type="spellStart"/>
      <w:r w:rsidR="00EC6CCC" w:rsidRPr="00862B9A">
        <w:rPr>
          <w:rFonts w:ascii="Times New Roman" w:eastAsiaTheme="minorHAnsi" w:hAnsi="Times New Roman" w:cs="Times New Roman"/>
          <w:i/>
          <w:sz w:val="22"/>
          <w:szCs w:val="22"/>
        </w:rPr>
        <w:t>Radiocommunications</w:t>
      </w:r>
      <w:proofErr w:type="spellEnd"/>
      <w:r w:rsidR="00EC6CCC" w:rsidRPr="00862B9A">
        <w:rPr>
          <w:rFonts w:ascii="Times New Roman" w:eastAsiaTheme="minorHAnsi" w:hAnsi="Times New Roman" w:cs="Times New Roman"/>
          <w:i/>
          <w:sz w:val="22"/>
          <w:szCs w:val="22"/>
        </w:rPr>
        <w:t xml:space="preserve"> (Spectrum Licence Allocation—Combinatorial Clock Auction) Determination 2012</w:t>
      </w:r>
      <w:r w:rsidR="00010604" w:rsidRPr="00862B9A">
        <w:rPr>
          <w:rFonts w:ascii="Times New Roman" w:eastAsiaTheme="minorHAnsi" w:hAnsi="Times New Roman" w:cs="Times New Roman"/>
          <w:i/>
          <w:sz w:val="22"/>
          <w:szCs w:val="22"/>
        </w:rPr>
        <w:t xml:space="preserve"> </w:t>
      </w:r>
      <w:r w:rsidR="00010604" w:rsidRPr="00862B9A">
        <w:rPr>
          <w:rFonts w:ascii="Times New Roman" w:eastAsiaTheme="minorHAnsi" w:hAnsi="Times New Roman" w:cs="Times New Roman"/>
          <w:sz w:val="22"/>
          <w:szCs w:val="22"/>
        </w:rPr>
        <w:t xml:space="preserve">(the </w:t>
      </w:r>
      <w:r w:rsidR="00010604" w:rsidRPr="00862B9A">
        <w:rPr>
          <w:rFonts w:ascii="Times New Roman" w:eastAsiaTheme="minorHAnsi" w:hAnsi="Times New Roman" w:cs="Times New Roman"/>
          <w:b/>
          <w:sz w:val="22"/>
          <w:szCs w:val="22"/>
        </w:rPr>
        <w:t xml:space="preserve">previous </w:t>
      </w:r>
      <w:r w:rsidR="00E240A0">
        <w:rPr>
          <w:rFonts w:ascii="Times New Roman" w:eastAsiaTheme="minorHAnsi" w:hAnsi="Times New Roman" w:cs="Times New Roman"/>
          <w:b/>
          <w:sz w:val="22"/>
          <w:szCs w:val="22"/>
        </w:rPr>
        <w:t>A</w:t>
      </w:r>
      <w:r w:rsidR="00010604" w:rsidRPr="00862B9A">
        <w:rPr>
          <w:rFonts w:ascii="Times New Roman" w:eastAsiaTheme="minorHAnsi" w:hAnsi="Times New Roman" w:cs="Times New Roman"/>
          <w:b/>
          <w:sz w:val="22"/>
          <w:szCs w:val="22"/>
        </w:rPr>
        <w:t>llocation Determination</w:t>
      </w:r>
      <w:r w:rsidR="00010604" w:rsidRPr="00862B9A">
        <w:rPr>
          <w:rFonts w:ascii="Times New Roman" w:eastAsiaTheme="minorHAnsi" w:hAnsi="Times New Roman" w:cs="Times New Roman"/>
          <w:sz w:val="22"/>
          <w:szCs w:val="22"/>
        </w:rPr>
        <w:t>)</w:t>
      </w:r>
      <w:r w:rsidRPr="00862B9A">
        <w:rPr>
          <w:rFonts w:ascii="Times New Roman" w:eastAsiaTheme="minorHAnsi" w:hAnsi="Times New Roman" w:cs="Times New Roman"/>
          <w:sz w:val="22"/>
          <w:szCs w:val="22"/>
        </w:rPr>
        <w:t xml:space="preserve"> may be used by any one person or specified groups of persons.</w:t>
      </w:r>
    </w:p>
    <w:p w14:paraId="52C8F276" w14:textId="698BD8C7" w:rsidR="00603AB1" w:rsidRPr="00862B9A" w:rsidRDefault="000A193B" w:rsidP="006D0417">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The Residual 7</w:t>
      </w:r>
      <w:r w:rsidR="002E2CEE" w:rsidRPr="00862B9A">
        <w:rPr>
          <w:rFonts w:ascii="Times New Roman" w:eastAsiaTheme="minorHAnsi" w:hAnsi="Times New Roman" w:cs="Times New Roman"/>
          <w:sz w:val="22"/>
          <w:szCs w:val="22"/>
        </w:rPr>
        <w:t>00 MHz Spectrum Direction requires the allocation limits to be no more than:</w:t>
      </w:r>
    </w:p>
    <w:p w14:paraId="020A8B49" w14:textId="405DDF71" w:rsidR="00DF231E" w:rsidRPr="00862B9A" w:rsidRDefault="00730A51" w:rsidP="00FF68DB">
      <w:pPr>
        <w:pStyle w:val="ACMABodyText"/>
        <w:numPr>
          <w:ilvl w:val="0"/>
          <w:numId w:val="4"/>
        </w:numPr>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20</w:t>
      </w:r>
      <w:r w:rsidR="00603AB1" w:rsidRPr="00862B9A">
        <w:rPr>
          <w:rFonts w:ascii="Times New Roman" w:eastAsiaTheme="minorHAnsi" w:hAnsi="Times New Roman" w:cs="Times New Roman"/>
          <w:sz w:val="22"/>
          <w:szCs w:val="22"/>
        </w:rPr>
        <w:t xml:space="preserve"> MHz of spectrum in the frequency band </w:t>
      </w:r>
      <w:r w:rsidR="00547A82" w:rsidRPr="00862B9A">
        <w:rPr>
          <w:rFonts w:ascii="Times New Roman" w:eastAsiaTheme="minorHAnsi" w:hAnsi="Times New Roman" w:cs="Times New Roman"/>
          <w:sz w:val="22"/>
          <w:szCs w:val="22"/>
        </w:rPr>
        <w:t>7</w:t>
      </w:r>
      <w:r w:rsidRPr="00862B9A">
        <w:rPr>
          <w:rFonts w:ascii="Times New Roman" w:eastAsiaTheme="minorHAnsi" w:hAnsi="Times New Roman" w:cs="Times New Roman"/>
          <w:sz w:val="22"/>
          <w:szCs w:val="22"/>
        </w:rPr>
        <w:t>0</w:t>
      </w:r>
      <w:r w:rsidR="002511E0" w:rsidRPr="00862B9A">
        <w:rPr>
          <w:rFonts w:ascii="Times New Roman" w:eastAsiaTheme="minorHAnsi" w:hAnsi="Times New Roman" w:cs="Times New Roman"/>
          <w:sz w:val="22"/>
          <w:szCs w:val="22"/>
        </w:rPr>
        <w:t>3</w:t>
      </w:r>
      <w:r w:rsidR="00DF231E" w:rsidRPr="00862B9A">
        <w:rPr>
          <w:rFonts w:ascii="Times New Roman" w:eastAsiaTheme="minorHAnsi" w:hAnsi="Times New Roman" w:cs="Times New Roman"/>
          <w:sz w:val="22"/>
          <w:szCs w:val="22"/>
        </w:rPr>
        <w:t xml:space="preserve"> MHz </w:t>
      </w:r>
      <w:r w:rsidR="002E2CEE" w:rsidRPr="00862B9A">
        <w:rPr>
          <w:rFonts w:ascii="Times New Roman" w:eastAsiaTheme="minorHAnsi" w:hAnsi="Times New Roman" w:cs="Times New Roman"/>
          <w:sz w:val="22"/>
          <w:szCs w:val="22"/>
        </w:rPr>
        <w:t xml:space="preserve">to </w:t>
      </w:r>
      <w:r w:rsidR="00547A82" w:rsidRPr="00862B9A">
        <w:rPr>
          <w:rFonts w:ascii="Times New Roman" w:eastAsiaTheme="minorHAnsi" w:hAnsi="Times New Roman" w:cs="Times New Roman"/>
          <w:sz w:val="22"/>
          <w:szCs w:val="22"/>
        </w:rPr>
        <w:t>7</w:t>
      </w:r>
      <w:r w:rsidR="002511E0" w:rsidRPr="00862B9A">
        <w:rPr>
          <w:rFonts w:ascii="Times New Roman" w:eastAsiaTheme="minorHAnsi" w:hAnsi="Times New Roman" w:cs="Times New Roman"/>
          <w:sz w:val="22"/>
          <w:szCs w:val="22"/>
        </w:rPr>
        <w:t>48</w:t>
      </w:r>
      <w:r w:rsidR="00547A82" w:rsidRPr="00862B9A">
        <w:rPr>
          <w:rFonts w:ascii="Times New Roman" w:eastAsiaTheme="minorHAnsi" w:hAnsi="Times New Roman" w:cs="Times New Roman"/>
          <w:sz w:val="22"/>
          <w:szCs w:val="22"/>
        </w:rPr>
        <w:t> MHz</w:t>
      </w:r>
      <w:r w:rsidR="00DF231E" w:rsidRPr="00862B9A">
        <w:rPr>
          <w:rFonts w:ascii="Times New Roman" w:eastAsiaTheme="minorHAnsi" w:hAnsi="Times New Roman" w:cs="Times New Roman"/>
          <w:sz w:val="22"/>
          <w:szCs w:val="22"/>
        </w:rPr>
        <w:t>;</w:t>
      </w:r>
    </w:p>
    <w:p w14:paraId="4C8C7DD5" w14:textId="6C51C4FE" w:rsidR="00C058F0" w:rsidRPr="00862B9A" w:rsidRDefault="00730A51" w:rsidP="00FF68DB">
      <w:pPr>
        <w:pStyle w:val="ACMABodyText"/>
        <w:numPr>
          <w:ilvl w:val="0"/>
          <w:numId w:val="4"/>
        </w:numPr>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20</w:t>
      </w:r>
      <w:r w:rsidR="00DF231E" w:rsidRPr="00862B9A">
        <w:rPr>
          <w:rFonts w:ascii="Times New Roman" w:eastAsiaTheme="minorHAnsi" w:hAnsi="Times New Roman" w:cs="Times New Roman"/>
          <w:sz w:val="22"/>
          <w:szCs w:val="22"/>
        </w:rPr>
        <w:t xml:space="preserve"> MHz of spectrum in the frequency band </w:t>
      </w:r>
      <w:r w:rsidR="002511E0" w:rsidRPr="00862B9A">
        <w:rPr>
          <w:rFonts w:ascii="Times New Roman" w:eastAsiaTheme="minorHAnsi" w:hAnsi="Times New Roman" w:cs="Times New Roman"/>
          <w:sz w:val="22"/>
          <w:szCs w:val="22"/>
        </w:rPr>
        <w:t>7</w:t>
      </w:r>
      <w:r w:rsidRPr="00862B9A">
        <w:rPr>
          <w:rFonts w:ascii="Times New Roman" w:eastAsiaTheme="minorHAnsi" w:hAnsi="Times New Roman" w:cs="Times New Roman"/>
          <w:sz w:val="22"/>
          <w:szCs w:val="22"/>
        </w:rPr>
        <w:t>5</w:t>
      </w:r>
      <w:r w:rsidR="002511E0" w:rsidRPr="00862B9A">
        <w:rPr>
          <w:rFonts w:ascii="Times New Roman" w:eastAsiaTheme="minorHAnsi" w:hAnsi="Times New Roman" w:cs="Times New Roman"/>
          <w:sz w:val="22"/>
          <w:szCs w:val="22"/>
        </w:rPr>
        <w:t>8</w:t>
      </w:r>
      <w:r w:rsidR="00DF231E" w:rsidRPr="00862B9A">
        <w:rPr>
          <w:rFonts w:ascii="Times New Roman" w:eastAsiaTheme="minorHAnsi" w:hAnsi="Times New Roman" w:cs="Times New Roman"/>
          <w:sz w:val="22"/>
          <w:szCs w:val="22"/>
        </w:rPr>
        <w:t xml:space="preserve"> MHz </w:t>
      </w:r>
      <w:r w:rsidR="002E2CEE" w:rsidRPr="00862B9A">
        <w:rPr>
          <w:rFonts w:ascii="Times New Roman" w:eastAsiaTheme="minorHAnsi" w:hAnsi="Times New Roman" w:cs="Times New Roman"/>
          <w:sz w:val="22"/>
          <w:szCs w:val="22"/>
        </w:rPr>
        <w:t>to</w:t>
      </w:r>
      <w:r w:rsidR="00547A82" w:rsidRPr="00862B9A">
        <w:rPr>
          <w:rFonts w:ascii="Times New Roman" w:eastAsiaTheme="minorHAnsi" w:hAnsi="Times New Roman" w:cs="Times New Roman"/>
          <w:sz w:val="22"/>
          <w:szCs w:val="22"/>
        </w:rPr>
        <w:t xml:space="preserve"> </w:t>
      </w:r>
      <w:r w:rsidR="002511E0" w:rsidRPr="00862B9A">
        <w:rPr>
          <w:rFonts w:ascii="Times New Roman" w:eastAsiaTheme="minorHAnsi" w:hAnsi="Times New Roman" w:cs="Times New Roman"/>
          <w:sz w:val="22"/>
          <w:szCs w:val="22"/>
        </w:rPr>
        <w:t>803</w:t>
      </w:r>
      <w:r w:rsidR="00547A82" w:rsidRPr="00862B9A">
        <w:rPr>
          <w:rFonts w:ascii="Times New Roman" w:eastAsiaTheme="minorHAnsi" w:hAnsi="Times New Roman" w:cs="Times New Roman"/>
          <w:sz w:val="22"/>
          <w:szCs w:val="22"/>
        </w:rPr>
        <w:t xml:space="preserve"> MHz</w:t>
      </w:r>
      <w:r w:rsidR="00767E8E" w:rsidRPr="00862B9A">
        <w:rPr>
          <w:rFonts w:ascii="Times New Roman" w:eastAsiaTheme="minorHAnsi" w:hAnsi="Times New Roman" w:cs="Times New Roman"/>
          <w:sz w:val="22"/>
          <w:szCs w:val="22"/>
        </w:rPr>
        <w:t>;</w:t>
      </w:r>
    </w:p>
    <w:p w14:paraId="40D832E6" w14:textId="47AEC3E1" w:rsidR="00C058F0" w:rsidRPr="00862B9A" w:rsidRDefault="00C058F0" w:rsidP="002E2CEE">
      <w:pPr>
        <w:pStyle w:val="ACMABodyText"/>
        <w:rPr>
          <w:rFonts w:ascii="Times New Roman" w:eastAsiaTheme="minorHAnsi" w:hAnsi="Times New Roman" w:cs="Times New Roman"/>
          <w:sz w:val="22"/>
          <w:szCs w:val="22"/>
        </w:rPr>
      </w:pPr>
      <w:proofErr w:type="gramStart"/>
      <w:r w:rsidRPr="00862B9A">
        <w:rPr>
          <w:rFonts w:ascii="Times New Roman" w:eastAsiaTheme="minorHAnsi" w:hAnsi="Times New Roman" w:cs="Times New Roman"/>
          <w:sz w:val="22"/>
          <w:szCs w:val="22"/>
        </w:rPr>
        <w:t>in</w:t>
      </w:r>
      <w:proofErr w:type="gramEnd"/>
      <w:r w:rsidRPr="00862B9A">
        <w:rPr>
          <w:rFonts w:ascii="Times New Roman" w:eastAsiaTheme="minorHAnsi" w:hAnsi="Times New Roman" w:cs="Times New Roman"/>
          <w:sz w:val="22"/>
          <w:szCs w:val="22"/>
        </w:rPr>
        <w:t xml:space="preserve"> the</w:t>
      </w:r>
      <w:r w:rsidR="00C2284A">
        <w:rPr>
          <w:rFonts w:ascii="Times New Roman" w:eastAsiaTheme="minorHAnsi" w:hAnsi="Times New Roman" w:cs="Times New Roman"/>
          <w:sz w:val="22"/>
          <w:szCs w:val="22"/>
        </w:rPr>
        <w:t xml:space="preserve"> ‘</w:t>
      </w:r>
      <w:r w:rsidR="00CF4464">
        <w:rPr>
          <w:rFonts w:ascii="Times New Roman" w:eastAsiaTheme="minorHAnsi" w:hAnsi="Times New Roman" w:cs="Times New Roman"/>
          <w:sz w:val="22"/>
          <w:szCs w:val="22"/>
        </w:rPr>
        <w:t>designated area</w:t>
      </w:r>
      <w:r w:rsidR="00C2284A">
        <w:rPr>
          <w:rFonts w:ascii="Times New Roman" w:eastAsiaTheme="minorHAnsi" w:hAnsi="Times New Roman" w:cs="Times New Roman"/>
          <w:sz w:val="22"/>
          <w:szCs w:val="22"/>
        </w:rPr>
        <w:t>’</w:t>
      </w:r>
      <w:r w:rsidR="006C352A">
        <w:rPr>
          <w:rFonts w:ascii="Times New Roman" w:eastAsiaTheme="minorHAnsi" w:hAnsi="Times New Roman" w:cs="Times New Roman"/>
          <w:sz w:val="22"/>
          <w:szCs w:val="22"/>
        </w:rPr>
        <w:t>,</w:t>
      </w:r>
      <w:r w:rsidR="002E2CEE" w:rsidRPr="00862B9A">
        <w:rPr>
          <w:rFonts w:ascii="Times New Roman" w:eastAsiaTheme="minorHAnsi" w:hAnsi="Times New Roman" w:cs="Times New Roman"/>
          <w:sz w:val="22"/>
          <w:szCs w:val="22"/>
        </w:rPr>
        <w:t xml:space="preserve"> that is, Australia</w:t>
      </w:r>
      <w:r w:rsidRPr="00862B9A">
        <w:rPr>
          <w:rFonts w:ascii="Times New Roman" w:eastAsiaTheme="minorHAnsi" w:hAnsi="Times New Roman" w:cs="Times New Roman"/>
          <w:sz w:val="22"/>
          <w:szCs w:val="22"/>
        </w:rPr>
        <w:t>, excluding the Mid West Radio Quiet Zone.</w:t>
      </w:r>
    </w:p>
    <w:p w14:paraId="4AF4BAA5" w14:textId="588C3ACB" w:rsidR="00603AB1" w:rsidRPr="002E2CEE" w:rsidRDefault="00603AB1" w:rsidP="006A2224">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 xml:space="preserve">For more information, </w:t>
      </w:r>
      <w:r w:rsidR="002E2CEE" w:rsidRPr="00862B9A">
        <w:rPr>
          <w:rFonts w:ascii="Times New Roman" w:eastAsiaTheme="minorHAnsi" w:hAnsi="Times New Roman" w:cs="Times New Roman"/>
          <w:sz w:val="22"/>
          <w:szCs w:val="22"/>
        </w:rPr>
        <w:t xml:space="preserve">including as to the Mid West Radio Quiet Zone, </w:t>
      </w:r>
      <w:r w:rsidRPr="00862B9A">
        <w:rPr>
          <w:rFonts w:ascii="Times New Roman" w:eastAsiaTheme="minorHAnsi" w:hAnsi="Times New Roman" w:cs="Times New Roman"/>
          <w:sz w:val="22"/>
          <w:szCs w:val="22"/>
        </w:rPr>
        <w:t xml:space="preserve">see the </w:t>
      </w:r>
      <w:r w:rsidR="00C80D9E" w:rsidRPr="00862B9A">
        <w:rPr>
          <w:rFonts w:ascii="Times New Roman" w:eastAsiaTheme="minorHAnsi" w:hAnsi="Times New Roman" w:cs="Times New Roman"/>
          <w:sz w:val="22"/>
          <w:szCs w:val="22"/>
        </w:rPr>
        <w:t>m</w:t>
      </w:r>
      <w:r w:rsidRPr="00862B9A">
        <w:rPr>
          <w:rFonts w:ascii="Times New Roman" w:eastAsiaTheme="minorHAnsi" w:hAnsi="Times New Roman" w:cs="Times New Roman"/>
          <w:sz w:val="22"/>
          <w:szCs w:val="22"/>
        </w:rPr>
        <w:t xml:space="preserve">arketing </w:t>
      </w:r>
      <w:r w:rsidR="00C80D9E" w:rsidRPr="00862B9A">
        <w:rPr>
          <w:rFonts w:ascii="Times New Roman" w:eastAsiaTheme="minorHAnsi" w:hAnsi="Times New Roman" w:cs="Times New Roman"/>
          <w:sz w:val="22"/>
          <w:szCs w:val="22"/>
        </w:rPr>
        <w:t>p</w:t>
      </w:r>
      <w:r w:rsidRPr="00862B9A">
        <w:rPr>
          <w:rFonts w:ascii="Times New Roman" w:eastAsiaTheme="minorHAnsi" w:hAnsi="Times New Roman" w:cs="Times New Roman"/>
          <w:sz w:val="22"/>
          <w:szCs w:val="22"/>
        </w:rPr>
        <w:t xml:space="preserve">lan, and </w:t>
      </w:r>
      <w:r w:rsidR="00BC3BF8" w:rsidRPr="00862B9A">
        <w:rPr>
          <w:rFonts w:ascii="Times New Roman" w:eastAsiaTheme="minorHAnsi" w:hAnsi="Times New Roman" w:cs="Times New Roman"/>
          <w:sz w:val="22"/>
          <w:szCs w:val="22"/>
        </w:rPr>
        <w:t xml:space="preserve">its </w:t>
      </w:r>
      <w:r w:rsidRPr="00862B9A">
        <w:rPr>
          <w:rFonts w:ascii="Times New Roman" w:eastAsiaTheme="minorHAnsi" w:hAnsi="Times New Roman" w:cs="Times New Roman"/>
          <w:sz w:val="22"/>
          <w:szCs w:val="22"/>
        </w:rPr>
        <w:t>associated explanatory statement.</w:t>
      </w:r>
    </w:p>
    <w:p w14:paraId="29A930CC" w14:textId="49CDD2C7" w:rsidR="00603AB1" w:rsidRPr="002E2CEE" w:rsidRDefault="00603AB1" w:rsidP="002E2CEE">
      <w:pPr>
        <w:keepNext/>
        <w:spacing w:after="160" w:line="259" w:lineRule="auto"/>
        <w:rPr>
          <w:rFonts w:eastAsiaTheme="minorHAnsi"/>
          <w:b/>
          <w:sz w:val="22"/>
          <w:szCs w:val="22"/>
          <w:lang w:eastAsia="en-US"/>
        </w:rPr>
      </w:pPr>
      <w:r w:rsidRPr="002E2CEE">
        <w:rPr>
          <w:rFonts w:eastAsiaTheme="minorHAnsi"/>
          <w:b/>
          <w:sz w:val="22"/>
          <w:szCs w:val="22"/>
          <w:lang w:eastAsia="en-US"/>
        </w:rPr>
        <w:t xml:space="preserve">Section </w:t>
      </w:r>
      <w:r w:rsidR="0092153A" w:rsidRPr="002E2CEE">
        <w:rPr>
          <w:rFonts w:eastAsiaTheme="minorHAnsi"/>
          <w:b/>
          <w:sz w:val="22"/>
          <w:szCs w:val="22"/>
          <w:lang w:eastAsia="en-US"/>
        </w:rPr>
        <w:t>1</w:t>
      </w:r>
      <w:r w:rsidR="002511E0" w:rsidRPr="002E2CEE">
        <w:rPr>
          <w:rFonts w:eastAsiaTheme="minorHAnsi"/>
          <w:b/>
          <w:sz w:val="22"/>
          <w:szCs w:val="22"/>
          <w:lang w:eastAsia="en-US"/>
        </w:rPr>
        <w:t>1</w:t>
      </w:r>
      <w:r w:rsidRPr="002E2CEE">
        <w:rPr>
          <w:rFonts w:eastAsiaTheme="minorHAnsi"/>
          <w:b/>
          <w:sz w:val="22"/>
          <w:szCs w:val="22"/>
          <w:lang w:eastAsia="en-US"/>
        </w:rPr>
        <w:t xml:space="preserve"> </w:t>
      </w:r>
      <w:r w:rsidRPr="002E2CEE">
        <w:rPr>
          <w:rFonts w:eastAsiaTheme="minorHAnsi"/>
          <w:b/>
          <w:sz w:val="22"/>
          <w:szCs w:val="22"/>
          <w:lang w:eastAsia="en-US"/>
        </w:rPr>
        <w:tab/>
        <w:t xml:space="preserve">Meaning of </w:t>
      </w:r>
      <w:r w:rsidRPr="002E2CEE">
        <w:rPr>
          <w:rFonts w:eastAsiaTheme="minorHAnsi"/>
          <w:b/>
          <w:i/>
          <w:sz w:val="22"/>
          <w:szCs w:val="22"/>
          <w:lang w:eastAsia="en-US"/>
        </w:rPr>
        <w:t>associate</w:t>
      </w:r>
    </w:p>
    <w:p w14:paraId="5AC1C851" w14:textId="1680A4ED" w:rsidR="00603AB1" w:rsidRPr="00862B9A" w:rsidRDefault="00603AB1" w:rsidP="006D0417">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 xml:space="preserve">The Minister has directed the ACMA to apply allocation limits on the amount of spectrum </w:t>
      </w:r>
      <w:r w:rsidR="009C4ACC" w:rsidRPr="00862B9A">
        <w:rPr>
          <w:rFonts w:ascii="Times New Roman" w:eastAsiaTheme="minorHAnsi" w:hAnsi="Times New Roman" w:cs="Times New Roman"/>
          <w:sz w:val="22"/>
          <w:szCs w:val="22"/>
        </w:rPr>
        <w:t xml:space="preserve">in the </w:t>
      </w:r>
      <w:r w:rsidR="003D1B6D" w:rsidRPr="00862B9A">
        <w:rPr>
          <w:rFonts w:ascii="Times New Roman" w:eastAsiaTheme="minorHAnsi" w:hAnsi="Times New Roman" w:cs="Times New Roman"/>
          <w:sz w:val="22"/>
          <w:szCs w:val="22"/>
        </w:rPr>
        <w:t>700</w:t>
      </w:r>
      <w:r w:rsidR="00010604" w:rsidRPr="00862B9A">
        <w:rPr>
          <w:rFonts w:ascii="Times New Roman" w:eastAsiaTheme="minorHAnsi" w:hAnsi="Times New Roman" w:cs="Times New Roman"/>
          <w:sz w:val="22"/>
          <w:szCs w:val="22"/>
        </w:rPr>
        <w:t> </w:t>
      </w:r>
      <w:r w:rsidR="009C4ACC" w:rsidRPr="00862B9A">
        <w:rPr>
          <w:rFonts w:ascii="Times New Roman" w:eastAsiaTheme="minorHAnsi" w:hAnsi="Times New Roman" w:cs="Times New Roman"/>
          <w:sz w:val="22"/>
          <w:szCs w:val="22"/>
        </w:rPr>
        <w:t xml:space="preserve">MHz band </w:t>
      </w:r>
      <w:r w:rsidRPr="00862B9A">
        <w:rPr>
          <w:rFonts w:ascii="Times New Roman" w:eastAsiaTheme="minorHAnsi" w:hAnsi="Times New Roman" w:cs="Times New Roman"/>
          <w:sz w:val="22"/>
          <w:szCs w:val="22"/>
        </w:rPr>
        <w:t xml:space="preserve">that can be used by a person or specified group of persons as a result of the allocation of spectrum licences </w:t>
      </w:r>
      <w:r w:rsidR="004E475F" w:rsidRPr="00862B9A">
        <w:rPr>
          <w:rFonts w:ascii="Times New Roman" w:eastAsiaTheme="minorHAnsi" w:hAnsi="Times New Roman" w:cs="Times New Roman"/>
          <w:sz w:val="22"/>
          <w:szCs w:val="22"/>
        </w:rPr>
        <w:t>under th</w:t>
      </w:r>
      <w:r w:rsidR="002E2CEE" w:rsidRPr="00862B9A">
        <w:rPr>
          <w:rFonts w:ascii="Times New Roman" w:eastAsiaTheme="minorHAnsi" w:hAnsi="Times New Roman" w:cs="Times New Roman"/>
          <w:sz w:val="22"/>
          <w:szCs w:val="22"/>
        </w:rPr>
        <w:t>e</w:t>
      </w:r>
      <w:r w:rsidR="009F0F5C" w:rsidRPr="00862B9A">
        <w:rPr>
          <w:rFonts w:ascii="Times New Roman" w:eastAsiaTheme="minorHAnsi" w:hAnsi="Times New Roman" w:cs="Times New Roman"/>
          <w:sz w:val="22"/>
          <w:szCs w:val="22"/>
        </w:rPr>
        <w:t xml:space="preserve"> </w:t>
      </w:r>
      <w:r w:rsidR="002E2CEE" w:rsidRPr="00862B9A">
        <w:rPr>
          <w:rFonts w:ascii="Times New Roman" w:eastAsiaTheme="minorHAnsi" w:hAnsi="Times New Roman" w:cs="Times New Roman"/>
          <w:sz w:val="22"/>
          <w:szCs w:val="22"/>
        </w:rPr>
        <w:t>Determination</w:t>
      </w:r>
      <w:r w:rsidRPr="00862B9A">
        <w:rPr>
          <w:rFonts w:ascii="Times New Roman" w:eastAsiaTheme="minorHAnsi" w:hAnsi="Times New Roman" w:cs="Times New Roman"/>
          <w:sz w:val="22"/>
          <w:szCs w:val="22"/>
        </w:rPr>
        <w:t xml:space="preserve">. </w:t>
      </w:r>
      <w:r w:rsidR="000A193B" w:rsidRPr="00862B9A">
        <w:rPr>
          <w:rFonts w:ascii="Times New Roman" w:eastAsiaTheme="minorHAnsi" w:hAnsi="Times New Roman" w:cs="Times New Roman"/>
          <w:sz w:val="22"/>
          <w:szCs w:val="22"/>
        </w:rPr>
        <w:t xml:space="preserve"> </w:t>
      </w:r>
      <w:r w:rsidRPr="00862B9A">
        <w:rPr>
          <w:rFonts w:ascii="Times New Roman" w:eastAsiaTheme="minorHAnsi" w:hAnsi="Times New Roman" w:cs="Times New Roman"/>
          <w:sz w:val="22"/>
          <w:szCs w:val="22"/>
        </w:rPr>
        <w:t>S</w:t>
      </w:r>
      <w:r w:rsidR="005D48D7" w:rsidRPr="00862B9A">
        <w:rPr>
          <w:rFonts w:ascii="Times New Roman" w:eastAsiaTheme="minorHAnsi" w:hAnsi="Times New Roman" w:cs="Times New Roman"/>
          <w:sz w:val="22"/>
          <w:szCs w:val="22"/>
        </w:rPr>
        <w:t>ubs</w:t>
      </w:r>
      <w:r w:rsidRPr="00862B9A">
        <w:rPr>
          <w:rFonts w:ascii="Times New Roman" w:eastAsiaTheme="minorHAnsi" w:hAnsi="Times New Roman" w:cs="Times New Roman"/>
          <w:sz w:val="22"/>
          <w:szCs w:val="22"/>
        </w:rPr>
        <w:t>ection 4</w:t>
      </w:r>
      <w:r w:rsidR="005D48D7" w:rsidRPr="00862B9A">
        <w:rPr>
          <w:rFonts w:ascii="Times New Roman" w:eastAsiaTheme="minorHAnsi" w:hAnsi="Times New Roman" w:cs="Times New Roman"/>
          <w:sz w:val="22"/>
          <w:szCs w:val="22"/>
        </w:rPr>
        <w:t>(1)</w:t>
      </w:r>
      <w:r w:rsidRPr="00862B9A">
        <w:rPr>
          <w:rFonts w:ascii="Times New Roman" w:eastAsiaTheme="minorHAnsi" w:hAnsi="Times New Roman" w:cs="Times New Roman"/>
          <w:sz w:val="22"/>
          <w:szCs w:val="22"/>
        </w:rPr>
        <w:t xml:space="preserve"> of th</w:t>
      </w:r>
      <w:r w:rsidR="002E2CEE" w:rsidRPr="00862B9A">
        <w:rPr>
          <w:rFonts w:ascii="Times New Roman" w:eastAsiaTheme="minorHAnsi" w:hAnsi="Times New Roman" w:cs="Times New Roman"/>
          <w:sz w:val="22"/>
          <w:szCs w:val="22"/>
        </w:rPr>
        <w:t>e</w:t>
      </w:r>
      <w:r w:rsidR="00E91F79" w:rsidRPr="00862B9A">
        <w:rPr>
          <w:rFonts w:ascii="Times New Roman" w:eastAsiaTheme="minorHAnsi" w:hAnsi="Times New Roman" w:cs="Times New Roman"/>
          <w:sz w:val="22"/>
          <w:szCs w:val="22"/>
        </w:rPr>
        <w:t xml:space="preserve"> </w:t>
      </w:r>
      <w:r w:rsidR="000A193B" w:rsidRPr="00862B9A">
        <w:rPr>
          <w:rFonts w:ascii="Times New Roman" w:eastAsiaTheme="minorHAnsi" w:hAnsi="Times New Roman" w:cs="Times New Roman"/>
          <w:sz w:val="22"/>
          <w:szCs w:val="22"/>
        </w:rPr>
        <w:t>Residual 700 MHz Spectrum Direction</w:t>
      </w:r>
      <w:r w:rsidR="002E2CEE" w:rsidRPr="00862B9A">
        <w:rPr>
          <w:rFonts w:ascii="Times New Roman" w:eastAsiaTheme="minorHAnsi" w:hAnsi="Times New Roman" w:cs="Times New Roman"/>
          <w:sz w:val="22"/>
          <w:szCs w:val="22"/>
        </w:rPr>
        <w:t xml:space="preserve"> </w:t>
      </w:r>
      <w:r w:rsidRPr="00862B9A">
        <w:rPr>
          <w:rFonts w:ascii="Times New Roman" w:eastAsiaTheme="minorHAnsi" w:hAnsi="Times New Roman" w:cs="Times New Roman"/>
          <w:sz w:val="22"/>
          <w:szCs w:val="22"/>
        </w:rPr>
        <w:t xml:space="preserve">defines </w:t>
      </w:r>
      <w:r w:rsidRPr="00862B9A">
        <w:rPr>
          <w:rFonts w:ascii="Times New Roman" w:eastAsiaTheme="minorHAnsi" w:hAnsi="Times New Roman" w:cs="Times New Roman"/>
          <w:b/>
          <w:sz w:val="22"/>
          <w:szCs w:val="22"/>
        </w:rPr>
        <w:t>specified group of persons</w:t>
      </w:r>
      <w:r w:rsidRPr="00862B9A">
        <w:rPr>
          <w:rFonts w:ascii="Times New Roman" w:eastAsiaTheme="minorHAnsi" w:hAnsi="Times New Roman" w:cs="Times New Roman"/>
          <w:sz w:val="22"/>
          <w:szCs w:val="22"/>
        </w:rPr>
        <w:t xml:space="preserve"> as the applicant </w:t>
      </w:r>
      <w:r w:rsidR="000A193B" w:rsidRPr="00862B9A">
        <w:rPr>
          <w:rFonts w:ascii="Times New Roman" w:eastAsiaTheme="minorHAnsi" w:hAnsi="Times New Roman" w:cs="Times New Roman"/>
          <w:sz w:val="22"/>
          <w:szCs w:val="22"/>
        </w:rPr>
        <w:t>for a spectrum licence</w:t>
      </w:r>
      <w:r w:rsidRPr="00862B9A">
        <w:rPr>
          <w:rFonts w:ascii="Times New Roman" w:eastAsiaTheme="minorHAnsi" w:hAnsi="Times New Roman" w:cs="Times New Roman"/>
          <w:sz w:val="22"/>
          <w:szCs w:val="22"/>
        </w:rPr>
        <w:t xml:space="preserve"> and</w:t>
      </w:r>
      <w:r w:rsidR="000A193B" w:rsidRPr="00862B9A">
        <w:rPr>
          <w:rFonts w:ascii="Times New Roman" w:eastAsiaTheme="minorHAnsi" w:hAnsi="Times New Roman" w:cs="Times New Roman"/>
          <w:sz w:val="22"/>
          <w:szCs w:val="22"/>
        </w:rPr>
        <w:t xml:space="preserve"> all</w:t>
      </w:r>
      <w:r w:rsidRPr="00862B9A">
        <w:rPr>
          <w:rFonts w:ascii="Times New Roman" w:eastAsiaTheme="minorHAnsi" w:hAnsi="Times New Roman" w:cs="Times New Roman"/>
          <w:sz w:val="22"/>
          <w:szCs w:val="22"/>
        </w:rPr>
        <w:t xml:space="preserve"> the applicant’s ‘associates’. </w:t>
      </w:r>
      <w:r w:rsidR="000A193B" w:rsidRPr="00862B9A">
        <w:rPr>
          <w:rFonts w:ascii="Times New Roman" w:eastAsiaTheme="minorHAnsi" w:hAnsi="Times New Roman" w:cs="Times New Roman"/>
          <w:sz w:val="22"/>
          <w:szCs w:val="22"/>
        </w:rPr>
        <w:t xml:space="preserve"> </w:t>
      </w:r>
      <w:r w:rsidR="00C058F0" w:rsidRPr="00862B9A">
        <w:rPr>
          <w:rFonts w:ascii="Times New Roman" w:eastAsiaTheme="minorHAnsi" w:hAnsi="Times New Roman" w:cs="Times New Roman"/>
          <w:sz w:val="22"/>
          <w:szCs w:val="22"/>
        </w:rPr>
        <w:t>This section</w:t>
      </w:r>
      <w:r w:rsidR="00406D06" w:rsidRPr="00862B9A">
        <w:rPr>
          <w:rFonts w:ascii="Times New Roman" w:eastAsiaTheme="minorHAnsi" w:hAnsi="Times New Roman" w:cs="Times New Roman"/>
          <w:sz w:val="22"/>
          <w:szCs w:val="22"/>
        </w:rPr>
        <w:t xml:space="preserve"> </w:t>
      </w:r>
      <w:r w:rsidR="000A193B" w:rsidRPr="00862B9A">
        <w:rPr>
          <w:rFonts w:ascii="Times New Roman" w:eastAsiaTheme="minorHAnsi" w:hAnsi="Times New Roman" w:cs="Times New Roman"/>
          <w:sz w:val="22"/>
          <w:szCs w:val="22"/>
        </w:rPr>
        <w:t xml:space="preserve">also </w:t>
      </w:r>
      <w:r w:rsidRPr="00862B9A">
        <w:rPr>
          <w:rFonts w:ascii="Times New Roman" w:eastAsiaTheme="minorHAnsi" w:hAnsi="Times New Roman" w:cs="Times New Roman"/>
          <w:sz w:val="22"/>
          <w:szCs w:val="22"/>
        </w:rPr>
        <w:t xml:space="preserve">defines the term </w:t>
      </w:r>
      <w:r w:rsidRPr="00862B9A">
        <w:rPr>
          <w:rFonts w:ascii="Times New Roman" w:eastAsiaTheme="minorHAnsi" w:hAnsi="Times New Roman" w:cs="Times New Roman"/>
          <w:b/>
          <w:sz w:val="22"/>
          <w:szCs w:val="22"/>
        </w:rPr>
        <w:t>associate</w:t>
      </w:r>
      <w:r w:rsidR="003D4124" w:rsidRPr="00E240A0">
        <w:rPr>
          <w:rFonts w:ascii="Times New Roman" w:eastAsiaTheme="minorHAnsi" w:hAnsi="Times New Roman" w:cs="Times New Roman"/>
          <w:sz w:val="22"/>
          <w:szCs w:val="22"/>
        </w:rPr>
        <w:t>, in relation to a person,</w:t>
      </w:r>
      <w:r w:rsidRPr="00862B9A">
        <w:rPr>
          <w:rFonts w:ascii="Times New Roman" w:eastAsiaTheme="minorHAnsi" w:hAnsi="Times New Roman" w:cs="Times New Roman"/>
          <w:sz w:val="22"/>
          <w:szCs w:val="22"/>
        </w:rPr>
        <w:t xml:space="preserve"> for the purposes of determining who is within a specified group of persons</w:t>
      </w:r>
      <w:r w:rsidR="000A193B" w:rsidRPr="00862B9A">
        <w:rPr>
          <w:rFonts w:ascii="Times New Roman" w:eastAsiaTheme="minorHAnsi" w:hAnsi="Times New Roman" w:cs="Times New Roman"/>
          <w:sz w:val="22"/>
          <w:szCs w:val="22"/>
        </w:rPr>
        <w:t>.  The Determination adopts these definitions in largely the same terms</w:t>
      </w:r>
      <w:r w:rsidRPr="00862B9A">
        <w:rPr>
          <w:rFonts w:ascii="Times New Roman" w:eastAsiaTheme="minorHAnsi" w:hAnsi="Times New Roman" w:cs="Times New Roman"/>
          <w:sz w:val="22"/>
          <w:szCs w:val="22"/>
        </w:rPr>
        <w:t xml:space="preserve"> for the purpose of complying with the allocation limits. </w:t>
      </w:r>
      <w:r w:rsidR="000A193B" w:rsidRPr="00862B9A">
        <w:rPr>
          <w:rFonts w:ascii="Times New Roman" w:eastAsiaTheme="minorHAnsi" w:hAnsi="Times New Roman" w:cs="Times New Roman"/>
          <w:sz w:val="22"/>
          <w:szCs w:val="22"/>
        </w:rPr>
        <w:t xml:space="preserve"> An associate of a person</w:t>
      </w:r>
      <w:r w:rsidRPr="00862B9A">
        <w:rPr>
          <w:rFonts w:ascii="Times New Roman" w:eastAsiaTheme="minorHAnsi" w:hAnsi="Times New Roman" w:cs="Times New Roman"/>
          <w:sz w:val="22"/>
          <w:szCs w:val="22"/>
        </w:rPr>
        <w:t xml:space="preserve"> includes any person that </w:t>
      </w:r>
      <w:r w:rsidR="00406D06" w:rsidRPr="00862B9A">
        <w:rPr>
          <w:rFonts w:ascii="Times New Roman" w:eastAsiaTheme="minorHAnsi" w:hAnsi="Times New Roman" w:cs="Times New Roman"/>
          <w:sz w:val="22"/>
          <w:szCs w:val="22"/>
        </w:rPr>
        <w:t>is a</w:t>
      </w:r>
      <w:r w:rsidRPr="00862B9A">
        <w:rPr>
          <w:rFonts w:ascii="Times New Roman" w:eastAsiaTheme="minorHAnsi" w:hAnsi="Times New Roman" w:cs="Times New Roman"/>
          <w:sz w:val="22"/>
          <w:szCs w:val="22"/>
        </w:rPr>
        <w:t xml:space="preserve"> party to a ‘relevant agreement’ with the </w:t>
      </w:r>
      <w:r w:rsidR="000A193B" w:rsidRPr="00862B9A">
        <w:rPr>
          <w:rFonts w:ascii="Times New Roman" w:eastAsiaTheme="minorHAnsi" w:hAnsi="Times New Roman" w:cs="Times New Roman"/>
          <w:sz w:val="22"/>
          <w:szCs w:val="22"/>
        </w:rPr>
        <w:t>person,</w:t>
      </w:r>
      <w:r w:rsidRPr="00862B9A">
        <w:rPr>
          <w:rFonts w:ascii="Times New Roman" w:eastAsiaTheme="minorHAnsi" w:hAnsi="Times New Roman" w:cs="Times New Roman"/>
          <w:sz w:val="22"/>
          <w:szCs w:val="22"/>
        </w:rPr>
        <w:t xml:space="preserve"> as defined under subsection </w:t>
      </w:r>
      <w:r w:rsidR="0092153A" w:rsidRPr="00862B9A">
        <w:rPr>
          <w:rFonts w:ascii="Times New Roman" w:eastAsiaTheme="minorHAnsi" w:hAnsi="Times New Roman" w:cs="Times New Roman"/>
          <w:sz w:val="22"/>
          <w:szCs w:val="22"/>
        </w:rPr>
        <w:t>1</w:t>
      </w:r>
      <w:r w:rsidR="009F0F5C" w:rsidRPr="00862B9A">
        <w:rPr>
          <w:rFonts w:ascii="Times New Roman" w:eastAsiaTheme="minorHAnsi" w:hAnsi="Times New Roman" w:cs="Times New Roman"/>
          <w:sz w:val="22"/>
          <w:szCs w:val="22"/>
        </w:rPr>
        <w:t>1</w:t>
      </w:r>
      <w:r w:rsidRPr="00862B9A">
        <w:rPr>
          <w:rFonts w:ascii="Times New Roman" w:eastAsiaTheme="minorHAnsi" w:hAnsi="Times New Roman" w:cs="Times New Roman"/>
          <w:sz w:val="22"/>
          <w:szCs w:val="22"/>
        </w:rPr>
        <w:t>(2)</w:t>
      </w:r>
      <w:r w:rsidR="006C352A">
        <w:rPr>
          <w:rFonts w:ascii="Times New Roman" w:eastAsiaTheme="minorHAnsi" w:hAnsi="Times New Roman" w:cs="Times New Roman"/>
          <w:sz w:val="22"/>
          <w:szCs w:val="22"/>
        </w:rPr>
        <w:t>, in the same way that it is defined</w:t>
      </w:r>
      <w:r w:rsidR="002E2CEE" w:rsidRPr="00862B9A">
        <w:rPr>
          <w:rFonts w:ascii="Times New Roman" w:eastAsiaTheme="minorHAnsi" w:hAnsi="Times New Roman" w:cs="Times New Roman"/>
          <w:sz w:val="22"/>
          <w:szCs w:val="22"/>
        </w:rPr>
        <w:t xml:space="preserve"> in the Residual 700 MHz Spectrum Direction.</w:t>
      </w:r>
    </w:p>
    <w:p w14:paraId="572EACD5" w14:textId="14403ECD" w:rsidR="00603AB1" w:rsidRPr="002E2CEE" w:rsidRDefault="00E240A0" w:rsidP="006D04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w:t>
      </w:r>
      <w:r w:rsidR="00603AB1" w:rsidRPr="00862B9A">
        <w:rPr>
          <w:rFonts w:ascii="Times New Roman" w:eastAsiaTheme="minorHAnsi" w:hAnsi="Times New Roman" w:cs="Times New Roman"/>
          <w:sz w:val="22"/>
          <w:szCs w:val="22"/>
        </w:rPr>
        <w:t xml:space="preserve">he inclusion of </w:t>
      </w:r>
      <w:r>
        <w:rPr>
          <w:rFonts w:ascii="Times New Roman" w:eastAsiaTheme="minorHAnsi" w:hAnsi="Times New Roman" w:cs="Times New Roman"/>
          <w:sz w:val="22"/>
          <w:szCs w:val="22"/>
        </w:rPr>
        <w:t xml:space="preserve">parties to </w:t>
      </w:r>
      <w:r w:rsidR="00603AB1" w:rsidRPr="00862B9A">
        <w:rPr>
          <w:rFonts w:ascii="Times New Roman" w:eastAsiaTheme="minorHAnsi" w:hAnsi="Times New Roman" w:cs="Times New Roman"/>
          <w:sz w:val="22"/>
          <w:szCs w:val="22"/>
        </w:rPr>
        <w:t xml:space="preserve">a ‘relevant agreement’ </w:t>
      </w:r>
      <w:r>
        <w:rPr>
          <w:rFonts w:ascii="Times New Roman" w:eastAsiaTheme="minorHAnsi" w:hAnsi="Times New Roman" w:cs="Times New Roman"/>
          <w:sz w:val="22"/>
          <w:szCs w:val="22"/>
        </w:rPr>
        <w:t xml:space="preserve">as associates </w:t>
      </w:r>
      <w:r w:rsidR="00603AB1" w:rsidRPr="00862B9A">
        <w:rPr>
          <w:rFonts w:ascii="Times New Roman" w:eastAsiaTheme="minorHAnsi" w:hAnsi="Times New Roman" w:cs="Times New Roman"/>
          <w:sz w:val="22"/>
          <w:szCs w:val="22"/>
        </w:rPr>
        <w:t>cover</w:t>
      </w:r>
      <w:r>
        <w:rPr>
          <w:rFonts w:ascii="Times New Roman" w:eastAsiaTheme="minorHAnsi" w:hAnsi="Times New Roman" w:cs="Times New Roman"/>
          <w:sz w:val="22"/>
          <w:szCs w:val="22"/>
        </w:rPr>
        <w:t>s</w:t>
      </w:r>
      <w:r w:rsidR="00603AB1" w:rsidRPr="00862B9A">
        <w:rPr>
          <w:rFonts w:ascii="Times New Roman" w:eastAsiaTheme="minorHAnsi" w:hAnsi="Times New Roman" w:cs="Times New Roman"/>
          <w:sz w:val="22"/>
          <w:szCs w:val="22"/>
        </w:rPr>
        <w:t xml:space="preserve"> situations where there may otherwise be no formal associate relationship existing between </w:t>
      </w:r>
      <w:r w:rsidR="00692E38" w:rsidRPr="00862B9A">
        <w:rPr>
          <w:rFonts w:ascii="Times New Roman" w:eastAsiaTheme="minorHAnsi" w:hAnsi="Times New Roman" w:cs="Times New Roman"/>
          <w:sz w:val="22"/>
          <w:szCs w:val="22"/>
        </w:rPr>
        <w:t>2 p</w:t>
      </w:r>
      <w:r w:rsidR="00603AB1" w:rsidRPr="00862B9A">
        <w:rPr>
          <w:rFonts w:ascii="Times New Roman" w:eastAsiaTheme="minorHAnsi" w:hAnsi="Times New Roman" w:cs="Times New Roman"/>
          <w:sz w:val="22"/>
          <w:szCs w:val="22"/>
        </w:rPr>
        <w:t>ersons, but one person (</w:t>
      </w:r>
      <w:r w:rsidR="00603AB1" w:rsidRPr="005C338A">
        <w:rPr>
          <w:rFonts w:ascii="Times New Roman" w:eastAsiaTheme="minorHAnsi" w:hAnsi="Times New Roman" w:cs="Times New Roman"/>
          <w:b/>
          <w:sz w:val="22"/>
          <w:szCs w:val="22"/>
        </w:rPr>
        <w:t>the first person</w:t>
      </w:r>
      <w:r w:rsidR="00603AB1" w:rsidRPr="00862B9A">
        <w:rPr>
          <w:rFonts w:ascii="Times New Roman" w:eastAsiaTheme="minorHAnsi" w:hAnsi="Times New Roman" w:cs="Times New Roman"/>
          <w:sz w:val="22"/>
          <w:szCs w:val="22"/>
        </w:rPr>
        <w:t>) has agreed that another</w:t>
      </w:r>
      <w:r w:rsidR="007A1051" w:rsidRPr="00862B9A">
        <w:rPr>
          <w:rFonts w:ascii="Times New Roman" w:eastAsiaTheme="minorHAnsi" w:hAnsi="Times New Roman" w:cs="Times New Roman"/>
          <w:sz w:val="22"/>
          <w:szCs w:val="22"/>
        </w:rPr>
        <w:t xml:space="preserve"> person</w:t>
      </w:r>
      <w:r w:rsidR="00603AB1" w:rsidRPr="00862B9A">
        <w:rPr>
          <w:rFonts w:ascii="Times New Roman" w:eastAsiaTheme="minorHAnsi" w:hAnsi="Times New Roman" w:cs="Times New Roman"/>
          <w:sz w:val="22"/>
          <w:szCs w:val="22"/>
        </w:rPr>
        <w:t xml:space="preserve"> would acquire spectrum ostensibly in their own right, but in actuality would be for the benefit of the first person. </w:t>
      </w:r>
      <w:r w:rsidR="000A193B" w:rsidRPr="00862B9A">
        <w:rPr>
          <w:rFonts w:ascii="Times New Roman" w:eastAsiaTheme="minorHAnsi" w:hAnsi="Times New Roman" w:cs="Times New Roman"/>
          <w:sz w:val="22"/>
          <w:szCs w:val="22"/>
        </w:rPr>
        <w:t xml:space="preserve"> </w:t>
      </w:r>
      <w:r w:rsidR="00603AB1" w:rsidRPr="00862B9A">
        <w:rPr>
          <w:rFonts w:ascii="Times New Roman" w:eastAsiaTheme="minorHAnsi" w:hAnsi="Times New Roman" w:cs="Times New Roman"/>
          <w:sz w:val="22"/>
          <w:szCs w:val="22"/>
        </w:rPr>
        <w:t xml:space="preserve">Roaming services agreements between mobile telecommunications carriers, and agreements between carriers provided for under the </w:t>
      </w:r>
      <w:r w:rsidR="00603AB1" w:rsidRPr="00862B9A">
        <w:rPr>
          <w:rFonts w:ascii="Times New Roman" w:eastAsiaTheme="minorHAnsi" w:hAnsi="Times New Roman" w:cs="Times New Roman"/>
          <w:i/>
          <w:sz w:val="22"/>
          <w:szCs w:val="22"/>
        </w:rPr>
        <w:t>Telecommunications Act 1997</w:t>
      </w:r>
      <w:r w:rsidR="00603AB1" w:rsidRPr="00862B9A">
        <w:rPr>
          <w:rFonts w:ascii="Times New Roman" w:eastAsiaTheme="minorHAnsi" w:hAnsi="Times New Roman" w:cs="Times New Roman"/>
          <w:sz w:val="22"/>
          <w:szCs w:val="22"/>
        </w:rPr>
        <w:t xml:space="preserve"> or Part XIC of the </w:t>
      </w:r>
      <w:r w:rsidR="00603AB1" w:rsidRPr="00862B9A">
        <w:rPr>
          <w:rFonts w:ascii="Times New Roman" w:eastAsiaTheme="minorHAnsi" w:hAnsi="Times New Roman" w:cs="Times New Roman"/>
          <w:i/>
          <w:sz w:val="22"/>
          <w:szCs w:val="22"/>
        </w:rPr>
        <w:t>Competition and Consumer Act</w:t>
      </w:r>
      <w:r w:rsidR="007A1051" w:rsidRPr="00862B9A">
        <w:rPr>
          <w:rFonts w:ascii="Times New Roman" w:eastAsiaTheme="minorHAnsi" w:hAnsi="Times New Roman" w:cs="Times New Roman"/>
          <w:i/>
          <w:sz w:val="22"/>
          <w:szCs w:val="22"/>
        </w:rPr>
        <w:t xml:space="preserve"> 2010</w:t>
      </w:r>
      <w:r w:rsidR="00603AB1" w:rsidRPr="00862B9A">
        <w:rPr>
          <w:rFonts w:ascii="Times New Roman" w:eastAsiaTheme="minorHAnsi" w:hAnsi="Times New Roman" w:cs="Times New Roman"/>
          <w:sz w:val="22"/>
          <w:szCs w:val="22"/>
        </w:rPr>
        <w:t>, are not included in the meaning of ‘relevant agreement’ for the purposes of defining an ‘associate’.</w:t>
      </w:r>
    </w:p>
    <w:p w14:paraId="34A94650" w14:textId="698F184E" w:rsidR="00603AB1" w:rsidRPr="002E2CEE" w:rsidRDefault="00603AB1" w:rsidP="002E2CEE">
      <w:pPr>
        <w:keepNext/>
        <w:spacing w:after="160" w:line="259" w:lineRule="auto"/>
        <w:rPr>
          <w:rFonts w:eastAsiaTheme="minorHAnsi"/>
          <w:b/>
          <w:sz w:val="22"/>
          <w:szCs w:val="22"/>
          <w:lang w:eastAsia="en-US"/>
        </w:rPr>
      </w:pPr>
      <w:r w:rsidRPr="002E2CEE">
        <w:rPr>
          <w:rFonts w:eastAsiaTheme="minorHAnsi"/>
          <w:b/>
          <w:sz w:val="22"/>
          <w:szCs w:val="22"/>
          <w:lang w:eastAsia="en-US"/>
        </w:rPr>
        <w:t xml:space="preserve">Section </w:t>
      </w:r>
      <w:r w:rsidR="0092153A" w:rsidRPr="002E2CEE">
        <w:rPr>
          <w:rFonts w:eastAsiaTheme="minorHAnsi"/>
          <w:b/>
          <w:sz w:val="22"/>
          <w:szCs w:val="22"/>
          <w:lang w:eastAsia="en-US"/>
        </w:rPr>
        <w:t>1</w:t>
      </w:r>
      <w:r w:rsidR="00C058F0" w:rsidRPr="002E2CEE">
        <w:rPr>
          <w:rFonts w:eastAsiaTheme="minorHAnsi"/>
          <w:b/>
          <w:sz w:val="22"/>
          <w:szCs w:val="22"/>
          <w:lang w:eastAsia="en-US"/>
        </w:rPr>
        <w:t>2</w:t>
      </w:r>
      <w:r w:rsidRPr="002E2CEE">
        <w:rPr>
          <w:rFonts w:eastAsiaTheme="minorHAnsi"/>
          <w:b/>
          <w:sz w:val="22"/>
          <w:szCs w:val="22"/>
          <w:lang w:eastAsia="en-US"/>
        </w:rPr>
        <w:t xml:space="preserve"> </w:t>
      </w:r>
      <w:r w:rsidRPr="002E2CEE">
        <w:rPr>
          <w:rFonts w:eastAsiaTheme="minorHAnsi"/>
          <w:b/>
          <w:sz w:val="22"/>
          <w:szCs w:val="22"/>
          <w:lang w:eastAsia="en-US"/>
        </w:rPr>
        <w:tab/>
        <w:t>Affiliation between applicants or bidders</w:t>
      </w:r>
    </w:p>
    <w:p w14:paraId="5CFB4A38" w14:textId="6DFF288D" w:rsidR="00603AB1" w:rsidRPr="00862B9A" w:rsidRDefault="00603AB1" w:rsidP="006D0417">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Under Part 4 of th</w:t>
      </w:r>
      <w:r w:rsidR="002E2CEE" w:rsidRPr="00862B9A">
        <w:rPr>
          <w:rFonts w:ascii="Times New Roman" w:eastAsiaTheme="minorHAnsi" w:hAnsi="Times New Roman" w:cs="Times New Roman"/>
          <w:sz w:val="22"/>
          <w:szCs w:val="22"/>
        </w:rPr>
        <w:t>e Determination</w:t>
      </w:r>
      <w:r w:rsidRPr="00862B9A">
        <w:rPr>
          <w:rFonts w:ascii="Times New Roman" w:eastAsiaTheme="minorHAnsi" w:hAnsi="Times New Roman" w:cs="Times New Roman"/>
          <w:sz w:val="22"/>
          <w:szCs w:val="22"/>
        </w:rPr>
        <w:t xml:space="preserve">, the ACMA has determined procedures that </w:t>
      </w:r>
      <w:r w:rsidR="0069029C" w:rsidRPr="00862B9A">
        <w:rPr>
          <w:rFonts w:ascii="Times New Roman" w:eastAsiaTheme="minorHAnsi" w:hAnsi="Times New Roman" w:cs="Times New Roman"/>
          <w:sz w:val="22"/>
          <w:szCs w:val="22"/>
        </w:rPr>
        <w:t xml:space="preserve">aim to </w:t>
      </w:r>
      <w:r w:rsidRPr="00862B9A">
        <w:rPr>
          <w:rFonts w:ascii="Times New Roman" w:eastAsiaTheme="minorHAnsi" w:hAnsi="Times New Roman" w:cs="Times New Roman"/>
          <w:sz w:val="22"/>
          <w:szCs w:val="22"/>
        </w:rPr>
        <w:t xml:space="preserve">ensure </w:t>
      </w:r>
      <w:r w:rsidR="0069029C" w:rsidRPr="00862B9A">
        <w:rPr>
          <w:rFonts w:ascii="Times New Roman" w:eastAsiaTheme="minorHAnsi" w:hAnsi="Times New Roman" w:cs="Times New Roman"/>
          <w:sz w:val="22"/>
          <w:szCs w:val="22"/>
        </w:rPr>
        <w:t xml:space="preserve">that </w:t>
      </w:r>
      <w:r w:rsidRPr="00862B9A">
        <w:rPr>
          <w:rFonts w:ascii="Times New Roman" w:eastAsiaTheme="minorHAnsi" w:hAnsi="Times New Roman" w:cs="Times New Roman"/>
          <w:sz w:val="22"/>
          <w:szCs w:val="22"/>
        </w:rPr>
        <w:t xml:space="preserve">affiliated applicants or bidders do not participate in the </w:t>
      </w:r>
      <w:r w:rsidR="007A1051" w:rsidRPr="00862B9A">
        <w:rPr>
          <w:rFonts w:ascii="Times New Roman" w:eastAsiaTheme="minorHAnsi" w:hAnsi="Times New Roman" w:cs="Times New Roman"/>
          <w:sz w:val="22"/>
          <w:szCs w:val="22"/>
        </w:rPr>
        <w:t>allocation process</w:t>
      </w:r>
      <w:r w:rsidRPr="00862B9A">
        <w:rPr>
          <w:rFonts w:ascii="Times New Roman" w:eastAsiaTheme="minorHAnsi" w:hAnsi="Times New Roman" w:cs="Times New Roman"/>
          <w:sz w:val="22"/>
          <w:szCs w:val="22"/>
        </w:rPr>
        <w:t xml:space="preserve"> as separate bidd</w:t>
      </w:r>
      <w:r w:rsidR="000A193B" w:rsidRPr="00862B9A">
        <w:rPr>
          <w:rFonts w:ascii="Times New Roman" w:eastAsiaTheme="minorHAnsi" w:hAnsi="Times New Roman" w:cs="Times New Roman"/>
          <w:sz w:val="22"/>
          <w:szCs w:val="22"/>
        </w:rPr>
        <w:t>ers</w:t>
      </w:r>
      <w:r w:rsidRPr="00862B9A">
        <w:rPr>
          <w:rFonts w:ascii="Times New Roman" w:eastAsiaTheme="minorHAnsi" w:hAnsi="Times New Roman" w:cs="Times New Roman"/>
          <w:sz w:val="22"/>
          <w:szCs w:val="22"/>
        </w:rPr>
        <w:t xml:space="preserve">. </w:t>
      </w:r>
      <w:r w:rsidR="00E240A0">
        <w:rPr>
          <w:rFonts w:ascii="Times New Roman" w:eastAsiaTheme="minorHAnsi" w:hAnsi="Times New Roman" w:cs="Times New Roman"/>
          <w:sz w:val="22"/>
          <w:szCs w:val="22"/>
        </w:rPr>
        <w:t xml:space="preserve"> </w:t>
      </w:r>
      <w:r w:rsidRPr="00862B9A">
        <w:rPr>
          <w:rFonts w:ascii="Times New Roman" w:eastAsiaTheme="minorHAnsi" w:hAnsi="Times New Roman" w:cs="Times New Roman"/>
          <w:sz w:val="22"/>
          <w:szCs w:val="22"/>
        </w:rPr>
        <w:t>These procedures have the effect of helping to ensure that the allocation limits set out in th</w:t>
      </w:r>
      <w:r w:rsidR="000A193B" w:rsidRPr="00862B9A">
        <w:rPr>
          <w:rFonts w:ascii="Times New Roman" w:eastAsiaTheme="minorHAnsi" w:hAnsi="Times New Roman" w:cs="Times New Roman"/>
          <w:sz w:val="22"/>
          <w:szCs w:val="22"/>
        </w:rPr>
        <w:t>e Determination</w:t>
      </w:r>
      <w:r w:rsidR="009F0F5C" w:rsidRPr="00862B9A">
        <w:rPr>
          <w:rFonts w:ascii="Times New Roman" w:eastAsiaTheme="minorHAnsi" w:hAnsi="Times New Roman" w:cs="Times New Roman"/>
          <w:sz w:val="22"/>
          <w:szCs w:val="22"/>
        </w:rPr>
        <w:t xml:space="preserve"> </w:t>
      </w:r>
      <w:r w:rsidRPr="00862B9A">
        <w:rPr>
          <w:rFonts w:ascii="Times New Roman" w:eastAsiaTheme="minorHAnsi" w:hAnsi="Times New Roman" w:cs="Times New Roman"/>
          <w:sz w:val="22"/>
          <w:szCs w:val="22"/>
        </w:rPr>
        <w:t>are not exceeded.</w:t>
      </w:r>
    </w:p>
    <w:p w14:paraId="2D973CD5" w14:textId="3FA6EE09" w:rsidR="009F0F5C" w:rsidRPr="005C338A" w:rsidRDefault="00603AB1" w:rsidP="00155EDA">
      <w:pPr>
        <w:pStyle w:val="ACMABodyText"/>
        <w:rPr>
          <w:rFonts w:ascii="Times New Roman" w:eastAsiaTheme="minorHAnsi" w:hAnsi="Times New Roman" w:cs="Times New Roman"/>
          <w:i/>
          <w:sz w:val="22"/>
          <w:szCs w:val="22"/>
        </w:rPr>
      </w:pPr>
      <w:r w:rsidRPr="00862B9A">
        <w:rPr>
          <w:rFonts w:ascii="Times New Roman" w:eastAsiaTheme="minorHAnsi" w:hAnsi="Times New Roman" w:cs="Times New Roman"/>
          <w:sz w:val="22"/>
          <w:szCs w:val="22"/>
        </w:rPr>
        <w:t xml:space="preserve">This section </w:t>
      </w:r>
      <w:r w:rsidR="00155EDA" w:rsidRPr="00862B9A">
        <w:rPr>
          <w:rFonts w:ascii="Times New Roman" w:eastAsiaTheme="minorHAnsi" w:hAnsi="Times New Roman" w:cs="Times New Roman"/>
          <w:sz w:val="22"/>
          <w:szCs w:val="22"/>
        </w:rPr>
        <w:t xml:space="preserve">sets out </w:t>
      </w:r>
      <w:r w:rsidRPr="00862B9A">
        <w:rPr>
          <w:rFonts w:ascii="Times New Roman" w:eastAsiaTheme="minorHAnsi" w:hAnsi="Times New Roman" w:cs="Times New Roman"/>
          <w:sz w:val="22"/>
          <w:szCs w:val="22"/>
        </w:rPr>
        <w:t xml:space="preserve">when </w:t>
      </w:r>
      <w:r w:rsidR="0086380A" w:rsidRPr="00862B9A">
        <w:rPr>
          <w:rFonts w:ascii="Times New Roman" w:eastAsiaTheme="minorHAnsi" w:hAnsi="Times New Roman" w:cs="Times New Roman"/>
          <w:sz w:val="22"/>
          <w:szCs w:val="22"/>
        </w:rPr>
        <w:t>2</w:t>
      </w:r>
      <w:r w:rsidRPr="00862B9A">
        <w:rPr>
          <w:rFonts w:ascii="Times New Roman" w:eastAsiaTheme="minorHAnsi" w:hAnsi="Times New Roman" w:cs="Times New Roman"/>
          <w:sz w:val="22"/>
          <w:szCs w:val="22"/>
        </w:rPr>
        <w:t xml:space="preserve"> applicants or bidders will be taken to be </w:t>
      </w:r>
      <w:r w:rsidRPr="00862B9A">
        <w:rPr>
          <w:rFonts w:ascii="Times New Roman" w:eastAsiaTheme="minorHAnsi" w:hAnsi="Times New Roman" w:cs="Times New Roman"/>
          <w:b/>
          <w:sz w:val="22"/>
          <w:szCs w:val="22"/>
        </w:rPr>
        <w:t>affiliated</w:t>
      </w:r>
      <w:r w:rsidRPr="00862B9A">
        <w:rPr>
          <w:rFonts w:ascii="Times New Roman" w:eastAsiaTheme="minorHAnsi" w:hAnsi="Times New Roman" w:cs="Times New Roman"/>
          <w:sz w:val="22"/>
          <w:szCs w:val="22"/>
        </w:rPr>
        <w:t xml:space="preserve">, and that affiliated applicants or bidders will be taken to be a single specified group of persons for the purpose of applying the allocation limits. </w:t>
      </w:r>
      <w:r w:rsidR="000A193B" w:rsidRPr="00862B9A">
        <w:rPr>
          <w:rFonts w:ascii="Times New Roman" w:eastAsiaTheme="minorHAnsi" w:hAnsi="Times New Roman" w:cs="Times New Roman"/>
          <w:sz w:val="22"/>
          <w:szCs w:val="22"/>
        </w:rPr>
        <w:t xml:space="preserve"> </w:t>
      </w:r>
      <w:r w:rsidR="007A1051" w:rsidRPr="00862B9A">
        <w:rPr>
          <w:rFonts w:ascii="Times New Roman" w:eastAsiaTheme="minorHAnsi" w:hAnsi="Times New Roman" w:cs="Times New Roman"/>
          <w:sz w:val="22"/>
          <w:szCs w:val="22"/>
        </w:rPr>
        <w:t xml:space="preserve">Under </w:t>
      </w:r>
      <w:r w:rsidR="00BC3BF8" w:rsidRPr="00862B9A">
        <w:rPr>
          <w:rFonts w:ascii="Times New Roman" w:eastAsiaTheme="minorHAnsi" w:hAnsi="Times New Roman" w:cs="Times New Roman"/>
          <w:sz w:val="22"/>
          <w:szCs w:val="22"/>
        </w:rPr>
        <w:t>this</w:t>
      </w:r>
      <w:r w:rsidR="007A1051" w:rsidRPr="00862B9A">
        <w:rPr>
          <w:rFonts w:ascii="Times New Roman" w:eastAsiaTheme="minorHAnsi" w:hAnsi="Times New Roman" w:cs="Times New Roman"/>
          <w:sz w:val="22"/>
          <w:szCs w:val="22"/>
        </w:rPr>
        <w:t xml:space="preserve"> section, </w:t>
      </w:r>
      <w:r w:rsidR="000A193B" w:rsidRPr="00862B9A">
        <w:rPr>
          <w:rFonts w:ascii="Times New Roman" w:eastAsiaTheme="minorHAnsi" w:hAnsi="Times New Roman" w:cs="Times New Roman"/>
          <w:sz w:val="22"/>
          <w:szCs w:val="22"/>
        </w:rPr>
        <w:t>two</w:t>
      </w:r>
      <w:r w:rsidRPr="00862B9A">
        <w:rPr>
          <w:rFonts w:ascii="Times New Roman" w:eastAsiaTheme="minorHAnsi" w:hAnsi="Times New Roman" w:cs="Times New Roman"/>
          <w:sz w:val="22"/>
          <w:szCs w:val="22"/>
        </w:rPr>
        <w:t xml:space="preserve"> applicants or bidders are affiliated if they are associates of each other or they have an associate in common.  An example would be where </w:t>
      </w:r>
      <w:r w:rsidR="000A193B" w:rsidRPr="00862B9A">
        <w:rPr>
          <w:rFonts w:ascii="Times New Roman" w:eastAsiaTheme="minorHAnsi" w:hAnsi="Times New Roman" w:cs="Times New Roman"/>
          <w:sz w:val="22"/>
          <w:szCs w:val="22"/>
        </w:rPr>
        <w:t>two</w:t>
      </w:r>
      <w:r w:rsidRPr="00862B9A">
        <w:rPr>
          <w:rFonts w:ascii="Times New Roman" w:eastAsiaTheme="minorHAnsi" w:hAnsi="Times New Roman" w:cs="Times New Roman"/>
          <w:sz w:val="22"/>
          <w:szCs w:val="22"/>
        </w:rPr>
        <w:t xml:space="preserve"> applicants or bid</w:t>
      </w:r>
      <w:r w:rsidR="00BC3BF8" w:rsidRPr="00862B9A">
        <w:rPr>
          <w:rFonts w:ascii="Times New Roman" w:eastAsiaTheme="minorHAnsi" w:hAnsi="Times New Roman" w:cs="Times New Roman"/>
          <w:sz w:val="22"/>
          <w:szCs w:val="22"/>
        </w:rPr>
        <w:t>ders have a director in common</w:t>
      </w:r>
      <w:r w:rsidRPr="00862B9A">
        <w:rPr>
          <w:rFonts w:ascii="Times New Roman" w:eastAsiaTheme="minorHAnsi" w:hAnsi="Times New Roman" w:cs="Times New Roman"/>
          <w:sz w:val="22"/>
          <w:szCs w:val="22"/>
        </w:rPr>
        <w:t xml:space="preserve">. </w:t>
      </w:r>
      <w:r w:rsidR="000A193B" w:rsidRPr="00862B9A">
        <w:rPr>
          <w:rFonts w:ascii="Times New Roman" w:eastAsiaTheme="minorHAnsi" w:hAnsi="Times New Roman" w:cs="Times New Roman"/>
          <w:sz w:val="22"/>
          <w:szCs w:val="22"/>
        </w:rPr>
        <w:t xml:space="preserve"> </w:t>
      </w:r>
      <w:r w:rsidRPr="00862B9A">
        <w:rPr>
          <w:rFonts w:ascii="Times New Roman" w:eastAsiaTheme="minorHAnsi" w:hAnsi="Times New Roman" w:cs="Times New Roman"/>
          <w:sz w:val="22"/>
          <w:szCs w:val="22"/>
        </w:rPr>
        <w:t xml:space="preserve">This is included in order to comply with section </w:t>
      </w:r>
      <w:r w:rsidR="006C352A">
        <w:rPr>
          <w:rFonts w:ascii="Times New Roman" w:eastAsiaTheme="minorHAnsi" w:hAnsi="Times New Roman" w:cs="Times New Roman"/>
          <w:sz w:val="22"/>
          <w:szCs w:val="22"/>
        </w:rPr>
        <w:t>6</w:t>
      </w:r>
      <w:r w:rsidRPr="00862B9A">
        <w:rPr>
          <w:rFonts w:ascii="Times New Roman" w:eastAsiaTheme="minorHAnsi" w:hAnsi="Times New Roman" w:cs="Times New Roman"/>
          <w:sz w:val="22"/>
          <w:szCs w:val="22"/>
        </w:rPr>
        <w:t xml:space="preserve"> of the </w:t>
      </w:r>
      <w:r w:rsidR="00155EDA" w:rsidRPr="00862B9A">
        <w:rPr>
          <w:rFonts w:ascii="Times New Roman" w:eastAsiaTheme="minorHAnsi" w:hAnsi="Times New Roman" w:cs="Times New Roman"/>
          <w:sz w:val="22"/>
          <w:szCs w:val="22"/>
        </w:rPr>
        <w:t>Residual 700 MHz Spectrum Direction</w:t>
      </w:r>
      <w:r w:rsidRPr="00862B9A">
        <w:rPr>
          <w:rFonts w:ascii="Times New Roman" w:eastAsiaTheme="minorHAnsi" w:hAnsi="Times New Roman" w:cs="Times New Roman"/>
          <w:sz w:val="22"/>
          <w:szCs w:val="22"/>
        </w:rPr>
        <w:t>.</w:t>
      </w:r>
    </w:p>
    <w:p w14:paraId="00D5778D" w14:textId="0206AB96" w:rsidR="00323C03" w:rsidRPr="002E2CEE" w:rsidRDefault="00C66F6D" w:rsidP="002E2CEE">
      <w:pPr>
        <w:keepNext/>
        <w:spacing w:after="160" w:line="259" w:lineRule="auto"/>
        <w:rPr>
          <w:rFonts w:eastAsiaTheme="minorHAnsi"/>
          <w:b/>
          <w:sz w:val="22"/>
          <w:szCs w:val="22"/>
          <w:lang w:eastAsia="en-US"/>
        </w:rPr>
      </w:pPr>
      <w:r w:rsidRPr="002E2CEE">
        <w:rPr>
          <w:rFonts w:eastAsiaTheme="minorHAnsi"/>
          <w:b/>
          <w:sz w:val="22"/>
          <w:szCs w:val="22"/>
          <w:lang w:eastAsia="en-US"/>
        </w:rPr>
        <w:lastRenderedPageBreak/>
        <w:t xml:space="preserve">Section </w:t>
      </w:r>
      <w:r w:rsidR="0092153A" w:rsidRPr="002E2CEE">
        <w:rPr>
          <w:rFonts w:eastAsiaTheme="minorHAnsi"/>
          <w:b/>
          <w:sz w:val="22"/>
          <w:szCs w:val="22"/>
          <w:lang w:eastAsia="en-US"/>
        </w:rPr>
        <w:t>1</w:t>
      </w:r>
      <w:r w:rsidR="00C058F0" w:rsidRPr="002E2CEE">
        <w:rPr>
          <w:rFonts w:eastAsiaTheme="minorHAnsi"/>
          <w:b/>
          <w:sz w:val="22"/>
          <w:szCs w:val="22"/>
          <w:lang w:eastAsia="en-US"/>
        </w:rPr>
        <w:t>3</w:t>
      </w:r>
      <w:r w:rsidRPr="002E2CEE">
        <w:rPr>
          <w:rFonts w:eastAsiaTheme="minorHAnsi"/>
          <w:b/>
          <w:sz w:val="22"/>
          <w:szCs w:val="22"/>
          <w:lang w:eastAsia="en-US"/>
        </w:rPr>
        <w:t xml:space="preserve"> </w:t>
      </w:r>
      <w:r w:rsidRPr="002E2CEE">
        <w:rPr>
          <w:rFonts w:eastAsiaTheme="minorHAnsi"/>
          <w:b/>
          <w:sz w:val="22"/>
          <w:szCs w:val="22"/>
          <w:lang w:eastAsia="en-US"/>
        </w:rPr>
        <w:tab/>
        <w:t>Affiliation between applicant or bidder and previous successful bidder</w:t>
      </w:r>
    </w:p>
    <w:p w14:paraId="283F5A77" w14:textId="07A62F37" w:rsidR="00C66F6D" w:rsidRPr="00862B9A" w:rsidRDefault="00C66F6D" w:rsidP="00155EDA">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An applicant or bidder is affiliated with a previous successful bidder if</w:t>
      </w:r>
      <w:r w:rsidR="006C352A">
        <w:rPr>
          <w:rFonts w:ascii="Times New Roman" w:eastAsiaTheme="minorHAnsi" w:hAnsi="Times New Roman" w:cs="Times New Roman"/>
          <w:sz w:val="22"/>
          <w:szCs w:val="22"/>
        </w:rPr>
        <w:t>:</w:t>
      </w:r>
      <w:r w:rsidRPr="00862B9A">
        <w:rPr>
          <w:rFonts w:ascii="Times New Roman" w:eastAsiaTheme="minorHAnsi" w:hAnsi="Times New Roman" w:cs="Times New Roman"/>
          <w:sz w:val="22"/>
          <w:szCs w:val="22"/>
        </w:rPr>
        <w:t xml:space="preserve"> either the previous successful bidder and the applicant or bidder are associates of each other; or </w:t>
      </w:r>
      <w:r w:rsidR="00726F26" w:rsidRPr="00862B9A">
        <w:rPr>
          <w:rFonts w:ascii="Times New Roman" w:eastAsiaTheme="minorHAnsi" w:hAnsi="Times New Roman" w:cs="Times New Roman"/>
          <w:sz w:val="22"/>
          <w:szCs w:val="22"/>
        </w:rPr>
        <w:t xml:space="preserve">if </w:t>
      </w:r>
      <w:r w:rsidRPr="00862B9A">
        <w:rPr>
          <w:rFonts w:ascii="Times New Roman" w:eastAsiaTheme="minorHAnsi" w:hAnsi="Times New Roman" w:cs="Times New Roman"/>
          <w:sz w:val="22"/>
          <w:szCs w:val="22"/>
        </w:rPr>
        <w:t>the specified group of persons in relation to the applicant or bidder has at least one member in common with the specified group of persons in relation to the previous successful bidder.</w:t>
      </w:r>
      <w:r w:rsidR="00BC03F4" w:rsidRPr="00862B9A">
        <w:rPr>
          <w:rFonts w:ascii="Times New Roman" w:eastAsiaTheme="minorHAnsi" w:hAnsi="Times New Roman" w:cs="Times New Roman"/>
          <w:sz w:val="22"/>
          <w:szCs w:val="22"/>
        </w:rPr>
        <w:t xml:space="preserve"> </w:t>
      </w:r>
      <w:r w:rsidR="00726F26" w:rsidRPr="00862B9A">
        <w:rPr>
          <w:rFonts w:ascii="Times New Roman" w:eastAsiaTheme="minorHAnsi" w:hAnsi="Times New Roman" w:cs="Times New Roman"/>
          <w:sz w:val="22"/>
          <w:szCs w:val="22"/>
        </w:rPr>
        <w:t xml:space="preserve"> </w:t>
      </w:r>
      <w:r w:rsidR="00BC03F4" w:rsidRPr="00862B9A">
        <w:rPr>
          <w:rFonts w:ascii="Times New Roman" w:eastAsiaTheme="minorHAnsi" w:hAnsi="Times New Roman" w:cs="Times New Roman"/>
          <w:sz w:val="22"/>
          <w:szCs w:val="22"/>
        </w:rPr>
        <w:t>This means</w:t>
      </w:r>
      <w:r w:rsidRPr="00862B9A">
        <w:rPr>
          <w:rFonts w:ascii="Times New Roman" w:eastAsiaTheme="minorHAnsi" w:hAnsi="Times New Roman" w:cs="Times New Roman"/>
          <w:sz w:val="22"/>
          <w:szCs w:val="22"/>
        </w:rPr>
        <w:t xml:space="preserve"> that an applicant or bidder will be taken to be affiliated with a previous successful bidder if they have an associate in common.</w:t>
      </w:r>
    </w:p>
    <w:p w14:paraId="03666C0B" w14:textId="02A79A71" w:rsidR="00C66F6D" w:rsidRPr="00155EDA" w:rsidRDefault="00C66F6D" w:rsidP="00155EDA">
      <w:pPr>
        <w:pStyle w:val="ACMABodyText"/>
        <w:rPr>
          <w:rFonts w:ascii="Times New Roman" w:eastAsiaTheme="minorHAnsi" w:hAnsi="Times New Roman" w:cs="Times New Roman"/>
          <w:sz w:val="22"/>
          <w:szCs w:val="22"/>
        </w:rPr>
      </w:pPr>
      <w:r w:rsidRPr="00862B9A">
        <w:rPr>
          <w:rFonts w:ascii="Times New Roman" w:eastAsiaTheme="minorHAnsi" w:hAnsi="Times New Roman" w:cs="Times New Roman"/>
          <w:sz w:val="22"/>
          <w:szCs w:val="22"/>
        </w:rPr>
        <w:t xml:space="preserve">If an applicant or bidder is affiliated with a previous successful bidder, they are taken to be in a single specified group of persons for the purpose of the allocation limits. </w:t>
      </w:r>
      <w:r w:rsidR="00726F26" w:rsidRPr="00862B9A">
        <w:rPr>
          <w:rFonts w:ascii="Times New Roman" w:eastAsiaTheme="minorHAnsi" w:hAnsi="Times New Roman" w:cs="Times New Roman"/>
          <w:sz w:val="22"/>
          <w:szCs w:val="22"/>
        </w:rPr>
        <w:t xml:space="preserve"> </w:t>
      </w:r>
      <w:r w:rsidR="00323C03" w:rsidRPr="00862B9A">
        <w:rPr>
          <w:rFonts w:ascii="Times New Roman" w:eastAsiaTheme="minorHAnsi" w:hAnsi="Times New Roman" w:cs="Times New Roman"/>
          <w:sz w:val="22"/>
          <w:szCs w:val="22"/>
        </w:rPr>
        <w:t xml:space="preserve">This section </w:t>
      </w:r>
      <w:r w:rsidRPr="00862B9A">
        <w:rPr>
          <w:rFonts w:ascii="Times New Roman" w:eastAsiaTheme="minorHAnsi" w:hAnsi="Times New Roman" w:cs="Times New Roman"/>
          <w:sz w:val="22"/>
          <w:szCs w:val="22"/>
        </w:rPr>
        <w:t xml:space="preserve">is recursive, so that </w:t>
      </w:r>
      <w:r w:rsidR="00726F26" w:rsidRPr="00862B9A">
        <w:rPr>
          <w:rFonts w:ascii="Times New Roman" w:eastAsiaTheme="minorHAnsi" w:hAnsi="Times New Roman" w:cs="Times New Roman"/>
          <w:sz w:val="22"/>
          <w:szCs w:val="22"/>
        </w:rPr>
        <w:t>one</w:t>
      </w:r>
      <w:r w:rsidRPr="00862B9A">
        <w:rPr>
          <w:rFonts w:ascii="Times New Roman" w:eastAsiaTheme="minorHAnsi" w:hAnsi="Times New Roman" w:cs="Times New Roman"/>
          <w:sz w:val="22"/>
          <w:szCs w:val="22"/>
        </w:rPr>
        <w:t xml:space="preserve"> or more previous successful bidders, and </w:t>
      </w:r>
      <w:r w:rsidR="00726F26" w:rsidRPr="00862B9A">
        <w:rPr>
          <w:rFonts w:ascii="Times New Roman" w:eastAsiaTheme="minorHAnsi" w:hAnsi="Times New Roman" w:cs="Times New Roman"/>
          <w:sz w:val="22"/>
          <w:szCs w:val="22"/>
        </w:rPr>
        <w:t>one</w:t>
      </w:r>
      <w:r w:rsidRPr="00862B9A">
        <w:rPr>
          <w:rFonts w:ascii="Times New Roman" w:eastAsiaTheme="minorHAnsi" w:hAnsi="Times New Roman" w:cs="Times New Roman"/>
          <w:sz w:val="22"/>
          <w:szCs w:val="22"/>
        </w:rPr>
        <w:t xml:space="preserve"> or more applicants or bidders, may be taken to be in a single specified group of persons for the purpose of the allocation </w:t>
      </w:r>
      <w:r w:rsidRPr="00E240A0">
        <w:rPr>
          <w:rFonts w:ascii="Times New Roman" w:eastAsiaTheme="minorHAnsi" w:hAnsi="Times New Roman" w:cs="Times New Roman"/>
          <w:sz w:val="22"/>
          <w:szCs w:val="22"/>
        </w:rPr>
        <w:t>limits.</w:t>
      </w:r>
      <w:r w:rsidR="00155EDA" w:rsidRPr="00E240A0">
        <w:rPr>
          <w:rFonts w:ascii="Times New Roman" w:eastAsiaTheme="minorHAnsi" w:hAnsi="Times New Roman" w:cs="Times New Roman"/>
          <w:sz w:val="22"/>
          <w:szCs w:val="22"/>
        </w:rPr>
        <w:t xml:space="preserve">  </w:t>
      </w:r>
      <w:r w:rsidR="00155EDA" w:rsidRPr="005C338A">
        <w:rPr>
          <w:rFonts w:ascii="Times New Roman" w:eastAsiaTheme="minorHAnsi" w:hAnsi="Times New Roman" w:cs="Times New Roman"/>
          <w:sz w:val="22"/>
          <w:szCs w:val="22"/>
        </w:rPr>
        <w:t xml:space="preserve">This is included in order to comply with section </w:t>
      </w:r>
      <w:r w:rsidR="006C352A">
        <w:rPr>
          <w:rFonts w:ascii="Times New Roman" w:eastAsiaTheme="minorHAnsi" w:hAnsi="Times New Roman" w:cs="Times New Roman"/>
          <w:sz w:val="22"/>
          <w:szCs w:val="22"/>
        </w:rPr>
        <w:t>6</w:t>
      </w:r>
      <w:r w:rsidR="00155EDA" w:rsidRPr="005C338A">
        <w:rPr>
          <w:rFonts w:ascii="Times New Roman" w:eastAsiaTheme="minorHAnsi" w:hAnsi="Times New Roman" w:cs="Times New Roman"/>
          <w:sz w:val="22"/>
          <w:szCs w:val="22"/>
        </w:rPr>
        <w:t xml:space="preserve"> of the Residual 700 MHz Spectrum Direction</w:t>
      </w:r>
      <w:r w:rsidR="00155EDA" w:rsidRPr="00E240A0">
        <w:rPr>
          <w:rFonts w:ascii="Times New Roman" w:eastAsiaTheme="minorHAnsi" w:hAnsi="Times New Roman" w:cs="Times New Roman"/>
          <w:sz w:val="22"/>
          <w:szCs w:val="22"/>
        </w:rPr>
        <w:t>.</w:t>
      </w:r>
      <w:r w:rsidR="003D4124" w:rsidRPr="008E3FE8">
        <w:rPr>
          <w:rFonts w:ascii="Times New Roman" w:eastAsiaTheme="minorHAnsi" w:hAnsi="Times New Roman" w:cs="Times New Roman"/>
          <w:i/>
          <w:sz w:val="22"/>
          <w:szCs w:val="22"/>
        </w:rPr>
        <w:t xml:space="preserve"> </w:t>
      </w:r>
    </w:p>
    <w:p w14:paraId="59DC8F7B" w14:textId="54F5772A" w:rsidR="00603AB1" w:rsidRPr="00155EDA" w:rsidRDefault="00603AB1" w:rsidP="00155EDA">
      <w:pPr>
        <w:keepNext/>
        <w:spacing w:after="160" w:line="259" w:lineRule="auto"/>
        <w:rPr>
          <w:rFonts w:eastAsiaTheme="minorHAnsi"/>
          <w:b/>
          <w:sz w:val="22"/>
          <w:szCs w:val="22"/>
          <w:lang w:eastAsia="en-US"/>
        </w:rPr>
      </w:pPr>
      <w:r w:rsidRPr="00155EDA">
        <w:rPr>
          <w:rFonts w:eastAsiaTheme="minorHAnsi"/>
          <w:b/>
          <w:sz w:val="22"/>
          <w:szCs w:val="22"/>
          <w:lang w:eastAsia="en-US"/>
        </w:rPr>
        <w:t xml:space="preserve">Section </w:t>
      </w:r>
      <w:r w:rsidR="0092153A" w:rsidRPr="00155EDA">
        <w:rPr>
          <w:rFonts w:eastAsiaTheme="minorHAnsi"/>
          <w:b/>
          <w:sz w:val="22"/>
          <w:szCs w:val="22"/>
          <w:lang w:eastAsia="en-US"/>
        </w:rPr>
        <w:t>1</w:t>
      </w:r>
      <w:r w:rsidR="00D61BBF" w:rsidRPr="00155EDA">
        <w:rPr>
          <w:rFonts w:eastAsiaTheme="minorHAnsi"/>
          <w:b/>
          <w:sz w:val="22"/>
          <w:szCs w:val="22"/>
          <w:lang w:eastAsia="en-US"/>
        </w:rPr>
        <w:t>4</w:t>
      </w:r>
      <w:r w:rsidRPr="00155EDA">
        <w:rPr>
          <w:rFonts w:eastAsiaTheme="minorHAnsi"/>
          <w:b/>
          <w:sz w:val="22"/>
          <w:szCs w:val="22"/>
          <w:lang w:eastAsia="en-US"/>
        </w:rPr>
        <w:t xml:space="preserve"> </w:t>
      </w:r>
      <w:r w:rsidRPr="00155EDA">
        <w:rPr>
          <w:rFonts w:eastAsiaTheme="minorHAnsi"/>
          <w:b/>
          <w:sz w:val="22"/>
          <w:szCs w:val="22"/>
          <w:lang w:eastAsia="en-US"/>
        </w:rPr>
        <w:tab/>
        <w:t>Information relevant to considering whether applicants</w:t>
      </w:r>
      <w:r w:rsidR="003D1B6D" w:rsidRPr="00155EDA">
        <w:rPr>
          <w:rFonts w:eastAsiaTheme="minorHAnsi"/>
          <w:b/>
          <w:sz w:val="22"/>
          <w:szCs w:val="22"/>
          <w:lang w:eastAsia="en-US"/>
        </w:rPr>
        <w:t>, bidder</w:t>
      </w:r>
      <w:r w:rsidR="006C352A">
        <w:rPr>
          <w:rFonts w:eastAsiaTheme="minorHAnsi"/>
          <w:b/>
          <w:sz w:val="22"/>
          <w:szCs w:val="22"/>
          <w:lang w:eastAsia="en-US"/>
        </w:rPr>
        <w:t>s</w:t>
      </w:r>
      <w:r w:rsidRPr="00155EDA">
        <w:rPr>
          <w:rFonts w:eastAsiaTheme="minorHAnsi"/>
          <w:b/>
          <w:sz w:val="22"/>
          <w:szCs w:val="22"/>
          <w:lang w:eastAsia="en-US"/>
        </w:rPr>
        <w:t xml:space="preserve"> or </w:t>
      </w:r>
      <w:r w:rsidR="003D1B6D" w:rsidRPr="00155EDA">
        <w:rPr>
          <w:rFonts w:eastAsiaTheme="minorHAnsi"/>
          <w:b/>
          <w:sz w:val="22"/>
          <w:szCs w:val="22"/>
          <w:lang w:eastAsia="en-US"/>
        </w:rPr>
        <w:t xml:space="preserve">previous successful </w:t>
      </w:r>
      <w:r w:rsidRPr="00155EDA">
        <w:rPr>
          <w:rFonts w:eastAsiaTheme="minorHAnsi"/>
          <w:b/>
          <w:sz w:val="22"/>
          <w:szCs w:val="22"/>
          <w:lang w:eastAsia="en-US"/>
        </w:rPr>
        <w:t>bidders are affiliated</w:t>
      </w:r>
    </w:p>
    <w:p w14:paraId="7D794A81" w14:textId="1351CFB0" w:rsidR="00603AB1" w:rsidRPr="001E3D17" w:rsidRDefault="00603AB1" w:rsidP="001E3D17">
      <w:pPr>
        <w:pStyle w:val="ACMABodyText"/>
        <w:rPr>
          <w:rFonts w:ascii="Times New Roman" w:eastAsiaTheme="minorHAnsi" w:hAnsi="Times New Roman" w:cs="Times New Roman"/>
          <w:sz w:val="22"/>
          <w:szCs w:val="22"/>
          <w:highlight w:val="yellow"/>
        </w:rPr>
      </w:pPr>
      <w:r w:rsidRPr="00862B9A">
        <w:rPr>
          <w:rFonts w:ascii="Times New Roman" w:eastAsiaTheme="minorHAnsi" w:hAnsi="Times New Roman" w:cs="Times New Roman"/>
          <w:sz w:val="22"/>
          <w:szCs w:val="22"/>
        </w:rPr>
        <w:t xml:space="preserve">This section sets out what matters the ACMA </w:t>
      </w:r>
      <w:r w:rsidR="001E3D17" w:rsidRPr="00862B9A">
        <w:rPr>
          <w:rFonts w:ascii="Times New Roman" w:eastAsiaTheme="minorHAnsi" w:hAnsi="Times New Roman" w:cs="Times New Roman"/>
          <w:sz w:val="22"/>
          <w:szCs w:val="22"/>
        </w:rPr>
        <w:t xml:space="preserve">must </w:t>
      </w:r>
      <w:r w:rsidRPr="00862B9A">
        <w:rPr>
          <w:rFonts w:ascii="Times New Roman" w:eastAsiaTheme="minorHAnsi" w:hAnsi="Times New Roman" w:cs="Times New Roman"/>
          <w:sz w:val="22"/>
          <w:szCs w:val="22"/>
        </w:rPr>
        <w:t xml:space="preserve">take into account in considering whether an affiliation exists between </w:t>
      </w:r>
      <w:r w:rsidR="00726F26" w:rsidRPr="00862B9A">
        <w:rPr>
          <w:rFonts w:ascii="Times New Roman" w:eastAsiaTheme="minorHAnsi" w:hAnsi="Times New Roman" w:cs="Times New Roman"/>
          <w:sz w:val="22"/>
          <w:szCs w:val="22"/>
        </w:rPr>
        <w:t>two</w:t>
      </w:r>
      <w:r w:rsidRPr="00862B9A">
        <w:rPr>
          <w:rFonts w:ascii="Times New Roman" w:eastAsiaTheme="minorHAnsi" w:hAnsi="Times New Roman" w:cs="Times New Roman"/>
          <w:sz w:val="22"/>
          <w:szCs w:val="22"/>
        </w:rPr>
        <w:t xml:space="preserve"> or more applicants or bidders</w:t>
      </w:r>
      <w:r w:rsidR="00726F26" w:rsidRPr="00862B9A">
        <w:rPr>
          <w:rFonts w:ascii="Times New Roman" w:eastAsiaTheme="minorHAnsi" w:hAnsi="Times New Roman" w:cs="Times New Roman"/>
          <w:sz w:val="22"/>
          <w:szCs w:val="22"/>
        </w:rPr>
        <w:t>,</w:t>
      </w:r>
      <w:r w:rsidR="00F57237" w:rsidRPr="00862B9A">
        <w:rPr>
          <w:rFonts w:ascii="Times New Roman" w:eastAsiaTheme="minorHAnsi" w:hAnsi="Times New Roman" w:cs="Times New Roman"/>
          <w:sz w:val="22"/>
          <w:szCs w:val="22"/>
        </w:rPr>
        <w:t xml:space="preserve"> or whether </w:t>
      </w:r>
      <w:r w:rsidR="00726F26" w:rsidRPr="00862B9A">
        <w:rPr>
          <w:rFonts w:ascii="Times New Roman" w:eastAsiaTheme="minorHAnsi" w:hAnsi="Times New Roman" w:cs="Times New Roman"/>
          <w:sz w:val="22"/>
          <w:szCs w:val="22"/>
        </w:rPr>
        <w:t>one</w:t>
      </w:r>
      <w:r w:rsidR="00F57237" w:rsidRPr="00862B9A">
        <w:rPr>
          <w:rFonts w:ascii="Times New Roman" w:eastAsiaTheme="minorHAnsi" w:hAnsi="Times New Roman" w:cs="Times New Roman"/>
          <w:sz w:val="22"/>
          <w:szCs w:val="22"/>
        </w:rPr>
        <w:t xml:space="preserve"> or more applicants or bidders are affiliated with </w:t>
      </w:r>
      <w:r w:rsidR="00726F26" w:rsidRPr="00862B9A">
        <w:rPr>
          <w:rFonts w:ascii="Times New Roman" w:eastAsiaTheme="minorHAnsi" w:hAnsi="Times New Roman" w:cs="Times New Roman"/>
          <w:sz w:val="22"/>
          <w:szCs w:val="22"/>
        </w:rPr>
        <w:t>one</w:t>
      </w:r>
      <w:r w:rsidR="00F57237" w:rsidRPr="00862B9A">
        <w:rPr>
          <w:rFonts w:ascii="Times New Roman" w:eastAsiaTheme="minorHAnsi" w:hAnsi="Times New Roman" w:cs="Times New Roman"/>
          <w:sz w:val="22"/>
          <w:szCs w:val="22"/>
        </w:rPr>
        <w:t xml:space="preserve"> or more previous successful bidders</w:t>
      </w:r>
      <w:r w:rsidR="001E3D17" w:rsidRPr="00862B9A">
        <w:rPr>
          <w:rFonts w:ascii="Times New Roman" w:eastAsiaTheme="minorHAnsi" w:hAnsi="Times New Roman" w:cs="Times New Roman"/>
          <w:sz w:val="22"/>
          <w:szCs w:val="22"/>
        </w:rPr>
        <w:t>, namely, the documents and information given by applicants and bidders under the Determination</w:t>
      </w:r>
      <w:r w:rsidRPr="00862B9A">
        <w:rPr>
          <w:rFonts w:ascii="Times New Roman" w:eastAsiaTheme="minorHAnsi" w:hAnsi="Times New Roman" w:cs="Times New Roman"/>
          <w:sz w:val="22"/>
          <w:szCs w:val="22"/>
        </w:rPr>
        <w:t xml:space="preserve">. </w:t>
      </w:r>
      <w:r w:rsidR="006C352A">
        <w:rPr>
          <w:rFonts w:ascii="Times New Roman" w:eastAsiaTheme="minorHAnsi" w:hAnsi="Times New Roman" w:cs="Times New Roman"/>
          <w:sz w:val="22"/>
          <w:szCs w:val="22"/>
        </w:rPr>
        <w:t xml:space="preserve"> The</w:t>
      </w:r>
      <w:r w:rsidRPr="00862B9A">
        <w:rPr>
          <w:rFonts w:ascii="Times New Roman" w:eastAsiaTheme="minorHAnsi" w:hAnsi="Times New Roman" w:cs="Times New Roman"/>
          <w:sz w:val="22"/>
          <w:szCs w:val="22"/>
        </w:rPr>
        <w:t xml:space="preserve"> ACMA may </w:t>
      </w:r>
      <w:r w:rsidR="006C352A">
        <w:rPr>
          <w:rFonts w:ascii="Times New Roman" w:eastAsiaTheme="minorHAnsi" w:hAnsi="Times New Roman" w:cs="Times New Roman"/>
          <w:sz w:val="22"/>
          <w:szCs w:val="22"/>
        </w:rPr>
        <w:t>have regard to</w:t>
      </w:r>
      <w:r w:rsidR="006C352A" w:rsidRPr="00862B9A">
        <w:rPr>
          <w:rFonts w:ascii="Times New Roman" w:eastAsiaTheme="minorHAnsi" w:hAnsi="Times New Roman" w:cs="Times New Roman"/>
          <w:sz w:val="22"/>
          <w:szCs w:val="22"/>
        </w:rPr>
        <w:t xml:space="preserve"> </w:t>
      </w:r>
      <w:r w:rsidR="00B629DC" w:rsidRPr="00862B9A">
        <w:rPr>
          <w:rFonts w:ascii="Times New Roman" w:eastAsiaTheme="minorHAnsi" w:hAnsi="Times New Roman" w:cs="Times New Roman"/>
          <w:sz w:val="22"/>
          <w:szCs w:val="22"/>
        </w:rPr>
        <w:t xml:space="preserve">any </w:t>
      </w:r>
      <w:r w:rsidR="005C338A" w:rsidRPr="00862B9A">
        <w:rPr>
          <w:rFonts w:ascii="Times New Roman" w:eastAsiaTheme="minorHAnsi" w:hAnsi="Times New Roman" w:cs="Times New Roman"/>
          <w:sz w:val="22"/>
          <w:szCs w:val="22"/>
        </w:rPr>
        <w:t>other</w:t>
      </w:r>
      <w:r w:rsidR="00B629DC" w:rsidRPr="00862B9A">
        <w:rPr>
          <w:rFonts w:ascii="Times New Roman" w:eastAsiaTheme="minorHAnsi" w:hAnsi="Times New Roman" w:cs="Times New Roman"/>
          <w:sz w:val="22"/>
          <w:szCs w:val="22"/>
        </w:rPr>
        <w:t xml:space="preserve"> information it considers relevant </w:t>
      </w:r>
      <w:r w:rsidRPr="00862B9A">
        <w:rPr>
          <w:rFonts w:ascii="Times New Roman" w:eastAsiaTheme="minorHAnsi" w:hAnsi="Times New Roman" w:cs="Times New Roman"/>
          <w:sz w:val="22"/>
          <w:szCs w:val="22"/>
        </w:rPr>
        <w:t>in determining whether</w:t>
      </w:r>
      <w:r w:rsidR="00726F26" w:rsidRPr="00862B9A">
        <w:rPr>
          <w:rFonts w:ascii="Times New Roman" w:eastAsiaTheme="minorHAnsi" w:hAnsi="Times New Roman" w:cs="Times New Roman"/>
          <w:sz w:val="22"/>
          <w:szCs w:val="22"/>
        </w:rPr>
        <w:t xml:space="preserve"> two</w:t>
      </w:r>
      <w:r w:rsidRPr="00862B9A">
        <w:rPr>
          <w:rFonts w:ascii="Times New Roman" w:eastAsiaTheme="minorHAnsi" w:hAnsi="Times New Roman" w:cs="Times New Roman"/>
          <w:sz w:val="22"/>
          <w:szCs w:val="22"/>
        </w:rPr>
        <w:t xml:space="preserve"> or more applicants </w:t>
      </w:r>
      <w:r w:rsidR="0059462D" w:rsidRPr="00862B9A">
        <w:rPr>
          <w:rFonts w:ascii="Times New Roman" w:eastAsiaTheme="minorHAnsi" w:hAnsi="Times New Roman" w:cs="Times New Roman"/>
          <w:sz w:val="22"/>
          <w:szCs w:val="22"/>
        </w:rPr>
        <w:t xml:space="preserve">or bidders </w:t>
      </w:r>
      <w:r w:rsidRPr="00862B9A">
        <w:rPr>
          <w:rFonts w:ascii="Times New Roman" w:eastAsiaTheme="minorHAnsi" w:hAnsi="Times New Roman" w:cs="Times New Roman"/>
          <w:sz w:val="22"/>
          <w:szCs w:val="22"/>
        </w:rPr>
        <w:t>are affiliated</w:t>
      </w:r>
      <w:r w:rsidR="00726F26" w:rsidRPr="00862B9A">
        <w:rPr>
          <w:rFonts w:ascii="Times New Roman" w:eastAsiaTheme="minorHAnsi" w:hAnsi="Times New Roman" w:cs="Times New Roman"/>
          <w:sz w:val="22"/>
          <w:szCs w:val="22"/>
        </w:rPr>
        <w:t>, or one or more applicants or bidders are affiliated with one or more previous successful bidders</w:t>
      </w:r>
      <w:r w:rsidR="00B629DC" w:rsidRPr="00862B9A">
        <w:rPr>
          <w:rFonts w:ascii="Times New Roman" w:eastAsiaTheme="minorHAnsi" w:hAnsi="Times New Roman" w:cs="Times New Roman"/>
          <w:sz w:val="22"/>
          <w:szCs w:val="22"/>
        </w:rPr>
        <w:t xml:space="preserve">, including any applications forms lodged under the previous allocation </w:t>
      </w:r>
      <w:r w:rsidR="00B629DC" w:rsidRPr="00E240A0">
        <w:rPr>
          <w:rFonts w:ascii="Times New Roman" w:eastAsiaTheme="minorHAnsi" w:hAnsi="Times New Roman" w:cs="Times New Roman"/>
          <w:sz w:val="22"/>
          <w:szCs w:val="22"/>
        </w:rPr>
        <w:t>Determination</w:t>
      </w:r>
      <w:r w:rsidRPr="005C338A">
        <w:rPr>
          <w:rFonts w:ascii="Times New Roman" w:eastAsiaTheme="minorHAnsi" w:hAnsi="Times New Roman" w:cs="Times New Roman"/>
          <w:sz w:val="22"/>
          <w:szCs w:val="22"/>
        </w:rPr>
        <w:t xml:space="preserve">. </w:t>
      </w:r>
    </w:p>
    <w:p w14:paraId="312C3B7D" w14:textId="2F87EBC5" w:rsidR="00603AB1" w:rsidRPr="001E3D17" w:rsidRDefault="00BC3BF8" w:rsidP="001E3D17">
      <w:pPr>
        <w:keepNext/>
        <w:spacing w:before="280" w:after="160" w:line="259" w:lineRule="auto"/>
        <w:rPr>
          <w:rFonts w:eastAsiaTheme="minorHAnsi"/>
          <w:b/>
          <w:sz w:val="22"/>
          <w:szCs w:val="22"/>
          <w:lang w:eastAsia="en-US"/>
        </w:rPr>
      </w:pPr>
      <w:r w:rsidRPr="001E3D17">
        <w:rPr>
          <w:rFonts w:eastAsiaTheme="minorHAnsi"/>
          <w:b/>
          <w:sz w:val="22"/>
          <w:szCs w:val="22"/>
          <w:lang w:eastAsia="en-US"/>
        </w:rPr>
        <w:t>PART</w:t>
      </w:r>
      <w:r w:rsidR="00603AB1" w:rsidRPr="001E3D17">
        <w:rPr>
          <w:rFonts w:eastAsiaTheme="minorHAnsi"/>
          <w:b/>
          <w:sz w:val="22"/>
          <w:szCs w:val="22"/>
          <w:lang w:eastAsia="en-US"/>
        </w:rPr>
        <w:t xml:space="preserve"> 3 </w:t>
      </w:r>
      <w:r w:rsidR="00603AB1" w:rsidRPr="001E3D17">
        <w:rPr>
          <w:rFonts w:eastAsiaTheme="minorHAnsi"/>
          <w:b/>
          <w:sz w:val="22"/>
          <w:szCs w:val="22"/>
          <w:lang w:eastAsia="en-US"/>
        </w:rPr>
        <w:tab/>
      </w:r>
      <w:r w:rsidR="001E3D17" w:rsidRPr="001E3D17">
        <w:rPr>
          <w:rFonts w:eastAsiaTheme="minorHAnsi"/>
          <w:b/>
          <w:sz w:val="22"/>
          <w:szCs w:val="22"/>
          <w:lang w:eastAsia="en-US"/>
        </w:rPr>
        <w:t>C</w:t>
      </w:r>
      <w:r w:rsidR="001E3D17">
        <w:rPr>
          <w:rFonts w:eastAsiaTheme="minorHAnsi"/>
          <w:b/>
          <w:sz w:val="22"/>
          <w:szCs w:val="22"/>
          <w:lang w:eastAsia="en-US"/>
        </w:rPr>
        <w:t>ONFIDENTIALITY</w:t>
      </w:r>
      <w:r w:rsidR="001E3D17" w:rsidRPr="001E3D17">
        <w:rPr>
          <w:rFonts w:eastAsiaTheme="minorHAnsi"/>
          <w:b/>
          <w:sz w:val="22"/>
          <w:szCs w:val="22"/>
          <w:lang w:eastAsia="en-US"/>
        </w:rPr>
        <w:t xml:space="preserve"> </w:t>
      </w:r>
    </w:p>
    <w:p w14:paraId="5068BBCF" w14:textId="4075C89D" w:rsidR="005B7150" w:rsidRPr="001E3D17" w:rsidRDefault="00603AB1" w:rsidP="001E3D17">
      <w:pPr>
        <w:keepNext/>
        <w:spacing w:after="160" w:line="259" w:lineRule="auto"/>
        <w:rPr>
          <w:rFonts w:eastAsiaTheme="minorHAnsi"/>
          <w:b/>
          <w:sz w:val="22"/>
          <w:szCs w:val="22"/>
          <w:lang w:eastAsia="en-US"/>
        </w:rPr>
      </w:pPr>
      <w:r w:rsidRPr="001E3D17">
        <w:rPr>
          <w:rFonts w:eastAsiaTheme="minorHAnsi"/>
          <w:b/>
          <w:sz w:val="22"/>
          <w:szCs w:val="22"/>
          <w:lang w:eastAsia="en-US"/>
        </w:rPr>
        <w:t xml:space="preserve">Section </w:t>
      </w:r>
      <w:r w:rsidR="0092153A" w:rsidRPr="001E3D17">
        <w:rPr>
          <w:rFonts w:eastAsiaTheme="minorHAnsi"/>
          <w:b/>
          <w:sz w:val="22"/>
          <w:szCs w:val="22"/>
          <w:lang w:eastAsia="en-US"/>
        </w:rPr>
        <w:t>1</w:t>
      </w:r>
      <w:r w:rsidR="005B7150" w:rsidRPr="001E3D17">
        <w:rPr>
          <w:rFonts w:eastAsiaTheme="minorHAnsi"/>
          <w:b/>
          <w:sz w:val="22"/>
          <w:szCs w:val="22"/>
          <w:lang w:eastAsia="en-US"/>
        </w:rPr>
        <w:t>5</w:t>
      </w:r>
      <w:r w:rsidR="005B7150" w:rsidRPr="001E3D17">
        <w:rPr>
          <w:rFonts w:eastAsiaTheme="minorHAnsi"/>
          <w:b/>
          <w:sz w:val="22"/>
          <w:szCs w:val="22"/>
          <w:lang w:eastAsia="en-US"/>
        </w:rPr>
        <w:tab/>
        <w:t xml:space="preserve">Simplified outline of this </w:t>
      </w:r>
      <w:r w:rsidR="001E3D17">
        <w:rPr>
          <w:rFonts w:eastAsiaTheme="minorHAnsi"/>
          <w:b/>
          <w:sz w:val="22"/>
          <w:szCs w:val="22"/>
          <w:lang w:eastAsia="en-US"/>
        </w:rPr>
        <w:t>P</w:t>
      </w:r>
      <w:r w:rsidR="005B7150" w:rsidRPr="001E3D17">
        <w:rPr>
          <w:rFonts w:eastAsiaTheme="minorHAnsi"/>
          <w:b/>
          <w:sz w:val="22"/>
          <w:szCs w:val="22"/>
          <w:lang w:eastAsia="en-US"/>
        </w:rPr>
        <w:t>art</w:t>
      </w:r>
    </w:p>
    <w:p w14:paraId="7459E314" w14:textId="64F27FC1" w:rsidR="001E3D17" w:rsidRPr="00EC6CCC" w:rsidRDefault="001E3D17" w:rsidP="001E3D17">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sets out a simplified outline of Part </w:t>
      </w:r>
      <w:r>
        <w:rPr>
          <w:rFonts w:ascii="Times New Roman" w:eastAsiaTheme="minorHAnsi" w:hAnsi="Times New Roman" w:cs="Times New Roman"/>
          <w:sz w:val="22"/>
          <w:szCs w:val="22"/>
        </w:rPr>
        <w:t>3</w:t>
      </w:r>
      <w:r w:rsidRPr="00EC6CCC">
        <w:rPr>
          <w:rFonts w:ascii="Times New Roman" w:eastAsiaTheme="minorHAnsi" w:hAnsi="Times New Roman" w:cs="Times New Roman"/>
          <w:sz w:val="22"/>
          <w:szCs w:val="22"/>
        </w:rPr>
        <w:t>.</w:t>
      </w:r>
    </w:p>
    <w:p w14:paraId="24C4E047" w14:textId="519BCAA8" w:rsidR="00603AB1" w:rsidRDefault="005B7150" w:rsidP="005D116B">
      <w:pPr>
        <w:keepNext/>
        <w:spacing w:after="160" w:line="259" w:lineRule="auto"/>
      </w:pPr>
      <w:r w:rsidRPr="005D116B">
        <w:rPr>
          <w:rFonts w:eastAsiaTheme="minorHAnsi"/>
          <w:b/>
          <w:sz w:val="22"/>
          <w:szCs w:val="22"/>
          <w:lang w:eastAsia="en-US"/>
        </w:rPr>
        <w:t>Section 16</w:t>
      </w:r>
      <w:r w:rsidR="00603AB1" w:rsidRPr="005D116B">
        <w:rPr>
          <w:rFonts w:eastAsiaTheme="minorHAnsi"/>
          <w:b/>
          <w:sz w:val="22"/>
          <w:szCs w:val="22"/>
          <w:lang w:eastAsia="en-US"/>
        </w:rPr>
        <w:tab/>
        <w:t xml:space="preserve">Meaning of </w:t>
      </w:r>
      <w:r w:rsidR="00603AB1" w:rsidRPr="005D116B">
        <w:rPr>
          <w:rFonts w:eastAsiaTheme="minorHAnsi"/>
          <w:b/>
          <w:i/>
          <w:sz w:val="22"/>
          <w:szCs w:val="22"/>
          <w:lang w:eastAsia="en-US"/>
        </w:rPr>
        <w:t>confidential information</w:t>
      </w:r>
    </w:p>
    <w:p w14:paraId="2FDCD877" w14:textId="66F5A6FC" w:rsidR="00603AB1" w:rsidRPr="005D116B" w:rsidRDefault="00603AB1" w:rsidP="00A21A76">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 xml:space="preserve">The definition of the term </w:t>
      </w:r>
      <w:r w:rsidRPr="00862B9A">
        <w:rPr>
          <w:rFonts w:ascii="Times New Roman" w:eastAsiaTheme="minorHAnsi" w:hAnsi="Times New Roman" w:cs="Times New Roman"/>
          <w:b/>
          <w:sz w:val="22"/>
          <w:szCs w:val="22"/>
        </w:rPr>
        <w:t>confidential information</w:t>
      </w:r>
      <w:r w:rsidRPr="005D116B">
        <w:rPr>
          <w:rFonts w:ascii="Times New Roman" w:eastAsiaTheme="minorHAnsi" w:hAnsi="Times New Roman" w:cs="Times New Roman"/>
          <w:sz w:val="22"/>
          <w:szCs w:val="22"/>
        </w:rPr>
        <w:t xml:space="preserve"> forms the basis of the confidentiality rules </w:t>
      </w:r>
      <w:r w:rsidR="005D116B">
        <w:rPr>
          <w:rFonts w:ascii="Times New Roman" w:eastAsiaTheme="minorHAnsi" w:hAnsi="Times New Roman" w:cs="Times New Roman"/>
          <w:sz w:val="22"/>
          <w:szCs w:val="22"/>
        </w:rPr>
        <w:t>imposed by</w:t>
      </w:r>
      <w:r w:rsidRPr="005D116B">
        <w:rPr>
          <w:rFonts w:ascii="Times New Roman" w:eastAsiaTheme="minorHAnsi" w:hAnsi="Times New Roman" w:cs="Times New Roman"/>
          <w:sz w:val="22"/>
          <w:szCs w:val="22"/>
        </w:rPr>
        <w:t xml:space="preserve"> this Part. </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The definition includes information that could give rise to collusion</w:t>
      </w:r>
      <w:r w:rsidR="005D116B">
        <w:rPr>
          <w:rFonts w:ascii="Times New Roman" w:eastAsiaTheme="minorHAnsi" w:hAnsi="Times New Roman" w:cs="Times New Roman"/>
          <w:sz w:val="22"/>
          <w:szCs w:val="22"/>
        </w:rPr>
        <w:t xml:space="preserve"> or price-signalling</w:t>
      </w:r>
      <w:r w:rsidRPr="005D116B">
        <w:rPr>
          <w:rFonts w:ascii="Times New Roman" w:eastAsiaTheme="minorHAnsi" w:hAnsi="Times New Roman" w:cs="Times New Roman"/>
          <w:sz w:val="22"/>
          <w:szCs w:val="22"/>
        </w:rPr>
        <w:t xml:space="preserve"> </w:t>
      </w:r>
      <w:r w:rsidR="005D116B">
        <w:rPr>
          <w:rFonts w:ascii="Times New Roman" w:eastAsiaTheme="minorHAnsi" w:hAnsi="Times New Roman" w:cs="Times New Roman"/>
          <w:sz w:val="22"/>
          <w:szCs w:val="22"/>
        </w:rPr>
        <w:t xml:space="preserve">(both deliberate and inadvertent) </w:t>
      </w:r>
      <w:r w:rsidRPr="005D116B">
        <w:rPr>
          <w:rFonts w:ascii="Times New Roman" w:eastAsiaTheme="minorHAnsi" w:hAnsi="Times New Roman" w:cs="Times New Roman"/>
          <w:sz w:val="22"/>
          <w:szCs w:val="22"/>
        </w:rPr>
        <w:t xml:space="preserve">if disclosed, such as information about a </w:t>
      </w:r>
      <w:r w:rsidR="009410B8" w:rsidRPr="005D116B">
        <w:rPr>
          <w:rFonts w:ascii="Times New Roman" w:eastAsiaTheme="minorHAnsi" w:hAnsi="Times New Roman" w:cs="Times New Roman"/>
          <w:sz w:val="22"/>
          <w:szCs w:val="22"/>
        </w:rPr>
        <w:t>bid</w:t>
      </w:r>
      <w:r w:rsidRPr="005D116B">
        <w:rPr>
          <w:rFonts w:ascii="Times New Roman" w:eastAsiaTheme="minorHAnsi" w:hAnsi="Times New Roman" w:cs="Times New Roman"/>
          <w:sz w:val="22"/>
          <w:szCs w:val="22"/>
        </w:rPr>
        <w:t xml:space="preserve">, or about </w:t>
      </w:r>
      <w:r w:rsidR="0003516C" w:rsidRPr="005D116B">
        <w:rPr>
          <w:rFonts w:ascii="Times New Roman" w:eastAsiaTheme="minorHAnsi" w:hAnsi="Times New Roman" w:cs="Times New Roman"/>
          <w:sz w:val="22"/>
          <w:szCs w:val="22"/>
        </w:rPr>
        <w:t xml:space="preserve">proposed </w:t>
      </w:r>
      <w:r w:rsidR="009410B8" w:rsidRPr="005D116B">
        <w:rPr>
          <w:rFonts w:ascii="Times New Roman" w:eastAsiaTheme="minorHAnsi" w:hAnsi="Times New Roman" w:cs="Times New Roman"/>
          <w:sz w:val="22"/>
          <w:szCs w:val="22"/>
        </w:rPr>
        <w:t>bid</w:t>
      </w:r>
      <w:r w:rsidR="0003516C" w:rsidRPr="005D116B">
        <w:rPr>
          <w:rFonts w:ascii="Times New Roman" w:eastAsiaTheme="minorHAnsi" w:hAnsi="Times New Roman" w:cs="Times New Roman"/>
          <w:sz w:val="22"/>
          <w:szCs w:val="22"/>
        </w:rPr>
        <w:t>s</w:t>
      </w:r>
      <w:r w:rsidRPr="005D116B">
        <w:rPr>
          <w:rFonts w:ascii="Times New Roman" w:eastAsiaTheme="minorHAnsi" w:hAnsi="Times New Roman" w:cs="Times New Roman"/>
          <w:sz w:val="22"/>
          <w:szCs w:val="22"/>
        </w:rPr>
        <w:t xml:space="preserve"> </w:t>
      </w:r>
      <w:r w:rsidR="0003516C" w:rsidRPr="005D116B">
        <w:rPr>
          <w:rFonts w:ascii="Times New Roman" w:eastAsiaTheme="minorHAnsi" w:hAnsi="Times New Roman" w:cs="Times New Roman"/>
          <w:sz w:val="22"/>
          <w:szCs w:val="22"/>
        </w:rPr>
        <w:t xml:space="preserve">of </w:t>
      </w:r>
      <w:r w:rsidRPr="005D116B">
        <w:rPr>
          <w:rFonts w:ascii="Times New Roman" w:eastAsiaTheme="minorHAnsi" w:hAnsi="Times New Roman" w:cs="Times New Roman"/>
          <w:sz w:val="22"/>
          <w:szCs w:val="22"/>
        </w:rPr>
        <w:t xml:space="preserve">an applicant or bidder, </w:t>
      </w:r>
      <w:r w:rsidR="0025200A">
        <w:rPr>
          <w:rFonts w:ascii="Times New Roman" w:eastAsiaTheme="minorHAnsi" w:hAnsi="Times New Roman" w:cs="Times New Roman"/>
          <w:sz w:val="22"/>
          <w:szCs w:val="22"/>
        </w:rPr>
        <w:t>an applicant’s or bidder’s</w:t>
      </w:r>
      <w:r w:rsidRPr="005D116B">
        <w:rPr>
          <w:rFonts w:ascii="Times New Roman" w:eastAsiaTheme="minorHAnsi" w:hAnsi="Times New Roman" w:cs="Times New Roman"/>
          <w:sz w:val="22"/>
          <w:szCs w:val="22"/>
        </w:rPr>
        <w:t xml:space="preserve"> bidding strategy, or the amount </w:t>
      </w:r>
      <w:r w:rsidR="0025200A">
        <w:rPr>
          <w:rFonts w:ascii="Times New Roman" w:eastAsiaTheme="minorHAnsi" w:hAnsi="Times New Roman" w:cs="Times New Roman"/>
          <w:sz w:val="22"/>
          <w:szCs w:val="22"/>
        </w:rPr>
        <w:t>an applicant or bidder is</w:t>
      </w:r>
      <w:r w:rsidRPr="005D116B">
        <w:rPr>
          <w:rFonts w:ascii="Times New Roman" w:eastAsiaTheme="minorHAnsi" w:hAnsi="Times New Roman" w:cs="Times New Roman"/>
          <w:sz w:val="22"/>
          <w:szCs w:val="22"/>
        </w:rPr>
        <w:t xml:space="preserve"> willing to pay for a lot or group of lots.</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 It also includes documents an applicant or bidder has given to the ACMA for the purpose of the auction (e.g., their </w:t>
      </w:r>
      <w:r w:rsidR="005E6FD1" w:rsidRPr="005D116B">
        <w:rPr>
          <w:rFonts w:ascii="Times New Roman" w:eastAsiaTheme="minorHAnsi" w:hAnsi="Times New Roman" w:cs="Times New Roman"/>
          <w:sz w:val="22"/>
          <w:szCs w:val="22"/>
        </w:rPr>
        <w:t>preference</w:t>
      </w:r>
      <w:r w:rsidRPr="005D116B">
        <w:rPr>
          <w:rFonts w:ascii="Times New Roman" w:eastAsiaTheme="minorHAnsi" w:hAnsi="Times New Roman" w:cs="Times New Roman"/>
          <w:sz w:val="22"/>
          <w:szCs w:val="22"/>
        </w:rPr>
        <w:t xml:space="preserve"> nomination form) and information provided to a bidder</w:t>
      </w:r>
      <w:r w:rsidR="005D116B">
        <w:rPr>
          <w:rFonts w:ascii="Times New Roman" w:eastAsiaTheme="minorHAnsi" w:hAnsi="Times New Roman" w:cs="Times New Roman"/>
          <w:sz w:val="22"/>
          <w:szCs w:val="22"/>
        </w:rPr>
        <w:t xml:space="preserve"> by the ACMA</w:t>
      </w:r>
      <w:r w:rsidRPr="005D116B">
        <w:rPr>
          <w:rFonts w:ascii="Times New Roman" w:eastAsiaTheme="minorHAnsi" w:hAnsi="Times New Roman" w:cs="Times New Roman"/>
          <w:sz w:val="22"/>
          <w:szCs w:val="22"/>
        </w:rPr>
        <w:t xml:space="preserve"> for the purposes of participating in the auction. </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More generally, the definition also covers any information that, if disclosed, could be expected to affect or </w:t>
      </w:r>
      <w:r w:rsidR="0099186D" w:rsidRPr="005D116B">
        <w:rPr>
          <w:rFonts w:ascii="Times New Roman" w:eastAsiaTheme="minorHAnsi" w:hAnsi="Times New Roman" w:cs="Times New Roman"/>
          <w:sz w:val="22"/>
          <w:szCs w:val="22"/>
        </w:rPr>
        <w:t>be</w:t>
      </w:r>
      <w:r w:rsidRPr="005D116B">
        <w:rPr>
          <w:rFonts w:ascii="Times New Roman" w:eastAsiaTheme="minorHAnsi" w:hAnsi="Times New Roman" w:cs="Times New Roman"/>
          <w:sz w:val="22"/>
          <w:szCs w:val="22"/>
        </w:rPr>
        <w:t xml:space="preserve"> capable of affecting another applicant or bidder’s </w:t>
      </w:r>
      <w:r w:rsidR="009410B8" w:rsidRPr="005D116B">
        <w:rPr>
          <w:rFonts w:ascii="Times New Roman" w:eastAsiaTheme="minorHAnsi" w:hAnsi="Times New Roman" w:cs="Times New Roman"/>
          <w:sz w:val="22"/>
          <w:szCs w:val="22"/>
        </w:rPr>
        <w:t>bid</w:t>
      </w:r>
      <w:r w:rsidR="00393782" w:rsidRPr="005D116B">
        <w:rPr>
          <w:rFonts w:ascii="Times New Roman" w:eastAsiaTheme="minorHAnsi" w:hAnsi="Times New Roman" w:cs="Times New Roman"/>
          <w:sz w:val="22"/>
          <w:szCs w:val="22"/>
        </w:rPr>
        <w:t xml:space="preserve">s, proposed </w:t>
      </w:r>
      <w:r w:rsidR="009410B8" w:rsidRPr="005D116B">
        <w:rPr>
          <w:rFonts w:ascii="Times New Roman" w:eastAsiaTheme="minorHAnsi" w:hAnsi="Times New Roman" w:cs="Times New Roman"/>
          <w:sz w:val="22"/>
          <w:szCs w:val="22"/>
        </w:rPr>
        <w:t>bid</w:t>
      </w:r>
      <w:r w:rsidR="00393782" w:rsidRPr="005D116B">
        <w:rPr>
          <w:rFonts w:ascii="Times New Roman" w:eastAsiaTheme="minorHAnsi" w:hAnsi="Times New Roman" w:cs="Times New Roman"/>
          <w:sz w:val="22"/>
          <w:szCs w:val="22"/>
        </w:rPr>
        <w:t>s</w:t>
      </w:r>
      <w:r w:rsidRPr="005D116B">
        <w:rPr>
          <w:rFonts w:ascii="Times New Roman" w:eastAsiaTheme="minorHAnsi" w:hAnsi="Times New Roman" w:cs="Times New Roman"/>
          <w:sz w:val="22"/>
          <w:szCs w:val="22"/>
        </w:rPr>
        <w:t xml:space="preserve"> or bidding strategy or the outcome of the </w:t>
      </w:r>
      <w:r w:rsidR="00393782" w:rsidRPr="005D116B">
        <w:rPr>
          <w:rFonts w:ascii="Times New Roman" w:eastAsiaTheme="minorHAnsi" w:hAnsi="Times New Roman" w:cs="Times New Roman"/>
          <w:sz w:val="22"/>
          <w:szCs w:val="22"/>
        </w:rPr>
        <w:t>allocation process</w:t>
      </w:r>
      <w:r w:rsidRPr="005D116B">
        <w:rPr>
          <w:rFonts w:ascii="Times New Roman" w:eastAsiaTheme="minorHAnsi" w:hAnsi="Times New Roman" w:cs="Times New Roman"/>
          <w:sz w:val="22"/>
          <w:szCs w:val="22"/>
        </w:rPr>
        <w:t xml:space="preserve">. </w:t>
      </w:r>
    </w:p>
    <w:p w14:paraId="46690A72" w14:textId="0FDA7CDE" w:rsidR="00603AB1" w:rsidRPr="005D116B" w:rsidRDefault="00603AB1" w:rsidP="005D116B">
      <w:pPr>
        <w:keepNext/>
        <w:spacing w:after="160" w:line="259" w:lineRule="auto"/>
        <w:rPr>
          <w:rFonts w:eastAsiaTheme="minorHAnsi"/>
          <w:b/>
          <w:sz w:val="22"/>
          <w:szCs w:val="22"/>
          <w:lang w:eastAsia="en-US"/>
        </w:rPr>
      </w:pPr>
      <w:r w:rsidRPr="005D116B">
        <w:rPr>
          <w:rFonts w:eastAsiaTheme="minorHAnsi"/>
          <w:b/>
          <w:sz w:val="22"/>
          <w:szCs w:val="22"/>
          <w:lang w:eastAsia="en-US"/>
        </w:rPr>
        <w:t xml:space="preserve">Section </w:t>
      </w:r>
      <w:r w:rsidR="0092153A" w:rsidRPr="005D116B">
        <w:rPr>
          <w:rFonts w:eastAsiaTheme="minorHAnsi"/>
          <w:b/>
          <w:sz w:val="22"/>
          <w:szCs w:val="22"/>
          <w:lang w:eastAsia="en-US"/>
        </w:rPr>
        <w:t>1</w:t>
      </w:r>
      <w:r w:rsidR="00323C03" w:rsidRPr="005D116B">
        <w:rPr>
          <w:rFonts w:eastAsiaTheme="minorHAnsi"/>
          <w:b/>
          <w:sz w:val="22"/>
          <w:szCs w:val="22"/>
          <w:lang w:eastAsia="en-US"/>
        </w:rPr>
        <w:t>7</w:t>
      </w:r>
      <w:r w:rsidRPr="005D116B">
        <w:rPr>
          <w:rFonts w:eastAsiaTheme="minorHAnsi"/>
          <w:b/>
          <w:sz w:val="22"/>
          <w:szCs w:val="22"/>
          <w:lang w:eastAsia="en-US"/>
        </w:rPr>
        <w:tab/>
        <w:t>Obligation not</w:t>
      </w:r>
      <w:r w:rsidR="005D116B">
        <w:rPr>
          <w:rFonts w:eastAsiaTheme="minorHAnsi"/>
          <w:b/>
          <w:sz w:val="22"/>
          <w:szCs w:val="22"/>
          <w:lang w:eastAsia="en-US"/>
        </w:rPr>
        <w:t xml:space="preserve"> to</w:t>
      </w:r>
      <w:r w:rsidRPr="005D116B">
        <w:rPr>
          <w:rFonts w:eastAsiaTheme="minorHAnsi"/>
          <w:b/>
          <w:sz w:val="22"/>
          <w:szCs w:val="22"/>
          <w:lang w:eastAsia="en-US"/>
        </w:rPr>
        <w:t xml:space="preserve"> disclose confidential information</w:t>
      </w:r>
    </w:p>
    <w:p w14:paraId="46C2A09D" w14:textId="44993C13" w:rsidR="00603AB1" w:rsidRPr="005D116B" w:rsidRDefault="00603AB1" w:rsidP="005D116B">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 xml:space="preserve">This section </w:t>
      </w:r>
      <w:r w:rsidR="005D116B">
        <w:rPr>
          <w:rFonts w:ascii="Times New Roman" w:eastAsiaTheme="minorHAnsi" w:hAnsi="Times New Roman" w:cs="Times New Roman"/>
          <w:sz w:val="22"/>
          <w:szCs w:val="22"/>
        </w:rPr>
        <w:t>provides</w:t>
      </w:r>
      <w:r w:rsidR="005D116B" w:rsidRPr="005D116B">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that an applicant or bidder must not disclose </w:t>
      </w:r>
      <w:r w:rsidR="0025200A">
        <w:rPr>
          <w:rFonts w:ascii="Times New Roman" w:eastAsiaTheme="minorHAnsi" w:hAnsi="Times New Roman" w:cs="Times New Roman"/>
          <w:sz w:val="22"/>
          <w:szCs w:val="22"/>
        </w:rPr>
        <w:t>its confidential</w:t>
      </w:r>
      <w:r w:rsidRPr="005D116B">
        <w:rPr>
          <w:rFonts w:ascii="Times New Roman" w:eastAsiaTheme="minorHAnsi" w:hAnsi="Times New Roman" w:cs="Times New Roman"/>
          <w:sz w:val="22"/>
          <w:szCs w:val="22"/>
        </w:rPr>
        <w:t xml:space="preserve"> information to any person, </w:t>
      </w:r>
      <w:r w:rsidR="005D116B">
        <w:rPr>
          <w:rFonts w:ascii="Times New Roman" w:eastAsiaTheme="minorHAnsi" w:hAnsi="Times New Roman" w:cs="Times New Roman"/>
          <w:sz w:val="22"/>
          <w:szCs w:val="22"/>
        </w:rPr>
        <w:t>other than in the case of</w:t>
      </w:r>
      <w:r w:rsidR="005D116B" w:rsidRPr="005D116B">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specific exceptions listed in th</w:t>
      </w:r>
      <w:r w:rsidR="006C352A">
        <w:rPr>
          <w:rFonts w:ascii="Times New Roman" w:eastAsiaTheme="minorHAnsi" w:hAnsi="Times New Roman" w:cs="Times New Roman"/>
          <w:sz w:val="22"/>
          <w:szCs w:val="22"/>
        </w:rPr>
        <w:t>e</w:t>
      </w:r>
      <w:r w:rsidRPr="005D116B">
        <w:rPr>
          <w:rFonts w:ascii="Times New Roman" w:eastAsiaTheme="minorHAnsi" w:hAnsi="Times New Roman" w:cs="Times New Roman"/>
          <w:sz w:val="22"/>
          <w:szCs w:val="22"/>
        </w:rPr>
        <w:t xml:space="preserve"> section. </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Th</w:t>
      </w:r>
      <w:r w:rsidR="005D116B">
        <w:rPr>
          <w:rFonts w:ascii="Times New Roman" w:eastAsiaTheme="minorHAnsi" w:hAnsi="Times New Roman" w:cs="Times New Roman"/>
          <w:sz w:val="22"/>
          <w:szCs w:val="22"/>
        </w:rPr>
        <w:t>is</w:t>
      </w:r>
      <w:r w:rsidRPr="005D116B">
        <w:rPr>
          <w:rFonts w:ascii="Times New Roman" w:eastAsiaTheme="minorHAnsi" w:hAnsi="Times New Roman" w:cs="Times New Roman"/>
          <w:sz w:val="22"/>
          <w:szCs w:val="22"/>
        </w:rPr>
        <w:t xml:space="preserve"> </w:t>
      </w:r>
      <w:r w:rsidR="005D116B">
        <w:rPr>
          <w:rFonts w:ascii="Times New Roman" w:eastAsiaTheme="minorHAnsi" w:hAnsi="Times New Roman" w:cs="Times New Roman"/>
          <w:sz w:val="22"/>
          <w:szCs w:val="22"/>
        </w:rPr>
        <w:t>confidentiality</w:t>
      </w:r>
      <w:r w:rsidRPr="005D116B">
        <w:rPr>
          <w:rFonts w:ascii="Times New Roman" w:eastAsiaTheme="minorHAnsi" w:hAnsi="Times New Roman" w:cs="Times New Roman"/>
          <w:sz w:val="22"/>
          <w:szCs w:val="22"/>
        </w:rPr>
        <w:t xml:space="preserve"> obligation also applies to a related person of an applicant or bidder who has knowledge of </w:t>
      </w:r>
      <w:r w:rsidR="0025200A">
        <w:rPr>
          <w:rFonts w:ascii="Times New Roman" w:eastAsiaTheme="minorHAnsi" w:hAnsi="Times New Roman" w:cs="Times New Roman"/>
          <w:sz w:val="22"/>
          <w:szCs w:val="22"/>
        </w:rPr>
        <w:t>the</w:t>
      </w:r>
      <w:r w:rsidRPr="005D116B">
        <w:rPr>
          <w:rFonts w:ascii="Times New Roman" w:eastAsiaTheme="minorHAnsi" w:hAnsi="Times New Roman" w:cs="Times New Roman"/>
          <w:sz w:val="22"/>
          <w:szCs w:val="22"/>
        </w:rPr>
        <w:t xml:space="preserve"> applicant</w:t>
      </w:r>
      <w:r w:rsidR="0025200A">
        <w:rPr>
          <w:rFonts w:ascii="Times New Roman" w:eastAsiaTheme="minorHAnsi" w:hAnsi="Times New Roman" w:cs="Times New Roman"/>
          <w:sz w:val="22"/>
          <w:szCs w:val="22"/>
        </w:rPr>
        <w:t>’s</w:t>
      </w:r>
      <w:r w:rsidRPr="005D116B">
        <w:rPr>
          <w:rFonts w:ascii="Times New Roman" w:eastAsiaTheme="minorHAnsi" w:hAnsi="Times New Roman" w:cs="Times New Roman"/>
          <w:sz w:val="22"/>
          <w:szCs w:val="22"/>
        </w:rPr>
        <w:t xml:space="preserve"> or </w:t>
      </w:r>
      <w:proofErr w:type="gramStart"/>
      <w:r w:rsidRPr="005D116B">
        <w:rPr>
          <w:rFonts w:ascii="Times New Roman" w:eastAsiaTheme="minorHAnsi" w:hAnsi="Times New Roman" w:cs="Times New Roman"/>
          <w:sz w:val="22"/>
          <w:szCs w:val="22"/>
        </w:rPr>
        <w:t>bidder’s</w:t>
      </w:r>
      <w:proofErr w:type="gramEnd"/>
      <w:r w:rsidRPr="005D116B">
        <w:rPr>
          <w:rFonts w:ascii="Times New Roman" w:eastAsiaTheme="minorHAnsi" w:hAnsi="Times New Roman" w:cs="Times New Roman"/>
          <w:sz w:val="22"/>
          <w:szCs w:val="22"/>
        </w:rPr>
        <w:t xml:space="preserve"> confidential information.</w:t>
      </w:r>
    </w:p>
    <w:p w14:paraId="339881C6" w14:textId="3F7661C8" w:rsidR="00603AB1" w:rsidRPr="005D116B" w:rsidRDefault="00603AB1" w:rsidP="00A21A76">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 xml:space="preserve">Although the disclosure of confidential information is prohibited by this section, </w:t>
      </w:r>
      <w:r w:rsidR="007B4B46" w:rsidRPr="005D116B">
        <w:rPr>
          <w:rFonts w:ascii="Times New Roman" w:eastAsiaTheme="minorHAnsi" w:hAnsi="Times New Roman" w:cs="Times New Roman"/>
          <w:sz w:val="22"/>
          <w:szCs w:val="22"/>
        </w:rPr>
        <w:t>it is a</w:t>
      </w:r>
      <w:r w:rsidRPr="005D116B">
        <w:rPr>
          <w:rFonts w:ascii="Times New Roman" w:eastAsiaTheme="minorHAnsi" w:hAnsi="Times New Roman" w:cs="Times New Roman"/>
          <w:sz w:val="22"/>
          <w:szCs w:val="22"/>
        </w:rPr>
        <w:t>cknowledge</w:t>
      </w:r>
      <w:r w:rsidR="007B4B46" w:rsidRPr="005D116B">
        <w:rPr>
          <w:rFonts w:ascii="Times New Roman" w:eastAsiaTheme="minorHAnsi" w:hAnsi="Times New Roman" w:cs="Times New Roman"/>
          <w:sz w:val="22"/>
          <w:szCs w:val="22"/>
        </w:rPr>
        <w:t>d</w:t>
      </w:r>
      <w:r w:rsidRPr="005D116B">
        <w:rPr>
          <w:rFonts w:ascii="Times New Roman" w:eastAsiaTheme="minorHAnsi" w:hAnsi="Times New Roman" w:cs="Times New Roman"/>
          <w:sz w:val="22"/>
          <w:szCs w:val="22"/>
        </w:rPr>
        <w:t xml:space="preserve"> that</w:t>
      </w:r>
      <w:r w:rsidR="005D116B">
        <w:rPr>
          <w:rFonts w:ascii="Times New Roman" w:eastAsiaTheme="minorHAnsi" w:hAnsi="Times New Roman" w:cs="Times New Roman"/>
          <w:sz w:val="22"/>
          <w:szCs w:val="22"/>
        </w:rPr>
        <w:t>,</w:t>
      </w:r>
      <w:r w:rsidRPr="005D116B">
        <w:rPr>
          <w:rFonts w:ascii="Times New Roman" w:eastAsiaTheme="minorHAnsi" w:hAnsi="Times New Roman" w:cs="Times New Roman"/>
          <w:sz w:val="22"/>
          <w:szCs w:val="22"/>
        </w:rPr>
        <w:t xml:space="preserve"> in order for an applicant to effectively participate in the </w:t>
      </w:r>
      <w:r w:rsidR="00403951" w:rsidRPr="005D116B">
        <w:rPr>
          <w:rFonts w:ascii="Times New Roman" w:eastAsiaTheme="minorHAnsi" w:hAnsi="Times New Roman" w:cs="Times New Roman"/>
          <w:sz w:val="22"/>
          <w:szCs w:val="22"/>
        </w:rPr>
        <w:t xml:space="preserve">allocation </w:t>
      </w:r>
      <w:r w:rsidRPr="005D116B">
        <w:rPr>
          <w:rFonts w:ascii="Times New Roman" w:eastAsiaTheme="minorHAnsi" w:hAnsi="Times New Roman" w:cs="Times New Roman"/>
          <w:sz w:val="22"/>
          <w:szCs w:val="22"/>
        </w:rPr>
        <w:t xml:space="preserve">process (and comply with other </w:t>
      </w:r>
      <w:r w:rsidRPr="005D116B">
        <w:rPr>
          <w:rFonts w:ascii="Times New Roman" w:eastAsiaTheme="minorHAnsi" w:hAnsi="Times New Roman" w:cs="Times New Roman"/>
          <w:sz w:val="22"/>
          <w:szCs w:val="22"/>
        </w:rPr>
        <w:lastRenderedPageBreak/>
        <w:t>requirements)</w:t>
      </w:r>
      <w:r w:rsidR="005D116B">
        <w:rPr>
          <w:rFonts w:ascii="Times New Roman" w:eastAsiaTheme="minorHAnsi" w:hAnsi="Times New Roman" w:cs="Times New Roman"/>
          <w:sz w:val="22"/>
          <w:szCs w:val="22"/>
        </w:rPr>
        <w:t>,</w:t>
      </w:r>
      <w:r w:rsidRPr="005D116B">
        <w:rPr>
          <w:rFonts w:ascii="Times New Roman" w:eastAsiaTheme="minorHAnsi" w:hAnsi="Times New Roman" w:cs="Times New Roman"/>
          <w:sz w:val="22"/>
          <w:szCs w:val="22"/>
        </w:rPr>
        <w:t xml:space="preserve"> there are certain limited circumstances in which confidential information may need to be communicated to another person. </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Subsection </w:t>
      </w:r>
      <w:r w:rsidR="0092153A" w:rsidRPr="005D116B">
        <w:rPr>
          <w:rFonts w:ascii="Times New Roman" w:eastAsiaTheme="minorHAnsi" w:hAnsi="Times New Roman" w:cs="Times New Roman"/>
          <w:sz w:val="22"/>
          <w:szCs w:val="22"/>
        </w:rPr>
        <w:t>1</w:t>
      </w:r>
      <w:r w:rsidR="00323C03" w:rsidRPr="005D116B">
        <w:rPr>
          <w:rFonts w:ascii="Times New Roman" w:eastAsiaTheme="minorHAnsi" w:hAnsi="Times New Roman" w:cs="Times New Roman"/>
          <w:sz w:val="22"/>
          <w:szCs w:val="22"/>
        </w:rPr>
        <w:t>7</w:t>
      </w:r>
      <w:r w:rsidRPr="005D116B">
        <w:rPr>
          <w:rFonts w:ascii="Times New Roman" w:eastAsiaTheme="minorHAnsi" w:hAnsi="Times New Roman" w:cs="Times New Roman"/>
          <w:sz w:val="22"/>
          <w:szCs w:val="22"/>
        </w:rPr>
        <w:t xml:space="preserve">(2) </w:t>
      </w:r>
      <w:r w:rsidR="005D116B">
        <w:rPr>
          <w:rFonts w:ascii="Times New Roman" w:eastAsiaTheme="minorHAnsi" w:hAnsi="Times New Roman" w:cs="Times New Roman"/>
          <w:sz w:val="22"/>
          <w:szCs w:val="22"/>
        </w:rPr>
        <w:t>sets out</w:t>
      </w:r>
      <w:r w:rsidRPr="005D116B">
        <w:rPr>
          <w:rFonts w:ascii="Times New Roman" w:eastAsiaTheme="minorHAnsi" w:hAnsi="Times New Roman" w:cs="Times New Roman"/>
          <w:sz w:val="22"/>
          <w:szCs w:val="22"/>
        </w:rPr>
        <w:t xml:space="preserve"> the exceptions to the prohibition on the disclosure of confidential information.</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 These include where an applicant or bidder discloses confidential information to a related person of th</w:t>
      </w:r>
      <w:r w:rsidR="005D116B">
        <w:rPr>
          <w:rFonts w:ascii="Times New Roman" w:eastAsiaTheme="minorHAnsi" w:hAnsi="Times New Roman" w:cs="Times New Roman"/>
          <w:sz w:val="22"/>
          <w:szCs w:val="22"/>
        </w:rPr>
        <w:t>at</w:t>
      </w:r>
      <w:r w:rsidRPr="005D116B">
        <w:rPr>
          <w:rFonts w:ascii="Times New Roman" w:eastAsiaTheme="minorHAnsi" w:hAnsi="Times New Roman" w:cs="Times New Roman"/>
          <w:sz w:val="22"/>
          <w:szCs w:val="22"/>
        </w:rPr>
        <w:t xml:space="preserve"> applicant or bidder, or to an advisor or consultant for the purpose of obtaining advice relating to the </w:t>
      </w:r>
      <w:r w:rsidR="00403951" w:rsidRPr="005D116B">
        <w:rPr>
          <w:rFonts w:ascii="Times New Roman" w:eastAsiaTheme="minorHAnsi" w:hAnsi="Times New Roman" w:cs="Times New Roman"/>
          <w:sz w:val="22"/>
          <w:szCs w:val="22"/>
        </w:rPr>
        <w:t>allocation process</w:t>
      </w:r>
      <w:r w:rsidRPr="005D116B">
        <w:rPr>
          <w:rFonts w:ascii="Times New Roman" w:eastAsiaTheme="minorHAnsi" w:hAnsi="Times New Roman" w:cs="Times New Roman"/>
          <w:sz w:val="22"/>
          <w:szCs w:val="22"/>
        </w:rPr>
        <w:t xml:space="preserve"> or obtaining finance to purchase spectrum licences in the </w:t>
      </w:r>
      <w:r w:rsidR="00403951" w:rsidRPr="005D116B">
        <w:rPr>
          <w:rFonts w:ascii="Times New Roman" w:eastAsiaTheme="minorHAnsi" w:hAnsi="Times New Roman" w:cs="Times New Roman"/>
          <w:sz w:val="22"/>
          <w:szCs w:val="22"/>
        </w:rPr>
        <w:t>allocation process</w:t>
      </w:r>
      <w:r w:rsidRPr="005D116B">
        <w:rPr>
          <w:rFonts w:ascii="Times New Roman" w:eastAsiaTheme="minorHAnsi" w:hAnsi="Times New Roman" w:cs="Times New Roman"/>
          <w:sz w:val="22"/>
          <w:szCs w:val="22"/>
        </w:rPr>
        <w:t>.</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 It also includes where an applicant or bidder discloses confidential information to the ACMA, </w:t>
      </w:r>
      <w:r w:rsidR="007B4B46" w:rsidRPr="005D116B">
        <w:rPr>
          <w:rFonts w:ascii="Times New Roman" w:eastAsiaTheme="minorHAnsi" w:hAnsi="Times New Roman" w:cs="Times New Roman"/>
          <w:sz w:val="22"/>
          <w:szCs w:val="22"/>
        </w:rPr>
        <w:t xml:space="preserve">or </w:t>
      </w:r>
      <w:r w:rsidRPr="005D116B">
        <w:rPr>
          <w:rFonts w:ascii="Times New Roman" w:eastAsiaTheme="minorHAnsi" w:hAnsi="Times New Roman" w:cs="Times New Roman"/>
          <w:sz w:val="22"/>
          <w:szCs w:val="22"/>
        </w:rPr>
        <w:t>as authorised by th</w:t>
      </w:r>
      <w:r w:rsidR="000252F9" w:rsidRPr="005D116B">
        <w:rPr>
          <w:rFonts w:ascii="Times New Roman" w:eastAsiaTheme="minorHAnsi" w:hAnsi="Times New Roman" w:cs="Times New Roman"/>
          <w:sz w:val="22"/>
          <w:szCs w:val="22"/>
        </w:rPr>
        <w:t>e</w:t>
      </w:r>
      <w:r w:rsidRPr="005D116B">
        <w:rPr>
          <w:rFonts w:ascii="Times New Roman" w:eastAsiaTheme="minorHAnsi" w:hAnsi="Times New Roman" w:cs="Times New Roman"/>
          <w:sz w:val="22"/>
          <w:szCs w:val="22"/>
        </w:rPr>
        <w:t xml:space="preserve"> Determination, or as required by law.</w:t>
      </w:r>
    </w:p>
    <w:p w14:paraId="7CB7617E" w14:textId="6A139337" w:rsidR="00603AB1" w:rsidRPr="005D116B" w:rsidRDefault="00603AB1" w:rsidP="00A21A76">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Information that would otherwise fall within the definition of confidential information but is already publicly available (and was not made available because of a breach of section</w:t>
      </w:r>
      <w:r w:rsidR="005D116B">
        <w:rPr>
          <w:rFonts w:ascii="Times New Roman" w:eastAsiaTheme="minorHAnsi" w:hAnsi="Times New Roman" w:cs="Times New Roman"/>
          <w:sz w:val="22"/>
          <w:szCs w:val="22"/>
        </w:rPr>
        <w:t xml:space="preserve"> 17</w:t>
      </w:r>
      <w:r w:rsidRPr="005D116B">
        <w:rPr>
          <w:rFonts w:ascii="Times New Roman" w:eastAsiaTheme="minorHAnsi" w:hAnsi="Times New Roman" w:cs="Times New Roman"/>
          <w:sz w:val="22"/>
          <w:szCs w:val="22"/>
        </w:rPr>
        <w:t xml:space="preserve">) will also be </w:t>
      </w:r>
      <w:r w:rsidR="005D116B">
        <w:rPr>
          <w:rFonts w:ascii="Times New Roman" w:eastAsiaTheme="minorHAnsi" w:hAnsi="Times New Roman" w:cs="Times New Roman"/>
          <w:sz w:val="22"/>
          <w:szCs w:val="22"/>
        </w:rPr>
        <w:t>able to be disclosed</w:t>
      </w:r>
      <w:r w:rsidRPr="005D116B">
        <w:rPr>
          <w:rFonts w:ascii="Times New Roman" w:eastAsiaTheme="minorHAnsi" w:hAnsi="Times New Roman" w:cs="Times New Roman"/>
          <w:sz w:val="22"/>
          <w:szCs w:val="22"/>
        </w:rPr>
        <w:t>.</w:t>
      </w:r>
    </w:p>
    <w:p w14:paraId="22241370" w14:textId="3989D342" w:rsidR="00603AB1" w:rsidRPr="005D116B" w:rsidRDefault="00603AB1" w:rsidP="005D116B">
      <w:pPr>
        <w:keepNext/>
        <w:spacing w:after="160" w:line="259" w:lineRule="auto"/>
        <w:rPr>
          <w:rFonts w:eastAsiaTheme="minorHAnsi"/>
          <w:b/>
          <w:sz w:val="22"/>
          <w:szCs w:val="22"/>
          <w:lang w:eastAsia="en-US"/>
        </w:rPr>
      </w:pPr>
      <w:r w:rsidRPr="005D116B">
        <w:rPr>
          <w:rFonts w:eastAsiaTheme="minorHAnsi"/>
          <w:b/>
          <w:sz w:val="22"/>
          <w:szCs w:val="22"/>
          <w:lang w:eastAsia="en-US"/>
        </w:rPr>
        <w:t xml:space="preserve">Section </w:t>
      </w:r>
      <w:r w:rsidR="0092153A" w:rsidRPr="005D116B">
        <w:rPr>
          <w:rFonts w:eastAsiaTheme="minorHAnsi"/>
          <w:b/>
          <w:sz w:val="22"/>
          <w:szCs w:val="22"/>
          <w:lang w:eastAsia="en-US"/>
        </w:rPr>
        <w:t>1</w:t>
      </w:r>
      <w:r w:rsidR="00323C03" w:rsidRPr="005D116B">
        <w:rPr>
          <w:rFonts w:eastAsiaTheme="minorHAnsi"/>
          <w:b/>
          <w:sz w:val="22"/>
          <w:szCs w:val="22"/>
          <w:lang w:eastAsia="en-US"/>
        </w:rPr>
        <w:t>8</w:t>
      </w:r>
      <w:r w:rsidRPr="005D116B">
        <w:rPr>
          <w:rFonts w:eastAsiaTheme="minorHAnsi"/>
          <w:b/>
          <w:sz w:val="22"/>
          <w:szCs w:val="22"/>
          <w:lang w:eastAsia="en-US"/>
        </w:rPr>
        <w:tab/>
        <w:t>Duration of confidentiality obligation</w:t>
      </w:r>
      <w:r w:rsidR="00586085" w:rsidRPr="005D116B">
        <w:rPr>
          <w:rFonts w:eastAsiaTheme="minorHAnsi"/>
          <w:b/>
          <w:sz w:val="22"/>
          <w:szCs w:val="22"/>
          <w:lang w:eastAsia="en-US"/>
        </w:rPr>
        <w:t>s</w:t>
      </w:r>
    </w:p>
    <w:p w14:paraId="5D0A827B" w14:textId="1F95E4C8" w:rsidR="00603AB1" w:rsidRPr="005D116B" w:rsidRDefault="00603AB1" w:rsidP="00A21A76">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In order to protect against collusion</w:t>
      </w:r>
      <w:r w:rsidR="005D116B">
        <w:rPr>
          <w:rFonts w:ascii="Times New Roman" w:eastAsiaTheme="minorHAnsi" w:hAnsi="Times New Roman" w:cs="Times New Roman"/>
          <w:sz w:val="22"/>
          <w:szCs w:val="22"/>
        </w:rPr>
        <w:t xml:space="preserve"> and price-signalling (whether deliberate or inadvertent)</w:t>
      </w:r>
      <w:r w:rsidRPr="005D116B">
        <w:rPr>
          <w:rFonts w:ascii="Times New Roman" w:eastAsiaTheme="minorHAnsi" w:hAnsi="Times New Roman" w:cs="Times New Roman"/>
          <w:sz w:val="22"/>
          <w:szCs w:val="22"/>
        </w:rPr>
        <w:t xml:space="preserve"> at all stages of the </w:t>
      </w:r>
      <w:r w:rsidR="00403951" w:rsidRPr="005D116B">
        <w:rPr>
          <w:rFonts w:ascii="Times New Roman" w:eastAsiaTheme="minorHAnsi" w:hAnsi="Times New Roman" w:cs="Times New Roman"/>
          <w:sz w:val="22"/>
          <w:szCs w:val="22"/>
        </w:rPr>
        <w:t>allocation</w:t>
      </w:r>
      <w:r w:rsidRPr="005D116B">
        <w:rPr>
          <w:rFonts w:ascii="Times New Roman" w:eastAsiaTheme="minorHAnsi" w:hAnsi="Times New Roman" w:cs="Times New Roman"/>
          <w:sz w:val="22"/>
          <w:szCs w:val="22"/>
        </w:rPr>
        <w:t xml:space="preserve"> process, the rules on confidential information apply to each applicant, bidder and related person with knowledge of the applicant</w:t>
      </w:r>
      <w:r w:rsidR="00586085" w:rsidRPr="005D116B">
        <w:rPr>
          <w:rFonts w:ascii="Times New Roman" w:eastAsiaTheme="minorHAnsi" w:hAnsi="Times New Roman" w:cs="Times New Roman"/>
          <w:sz w:val="22"/>
          <w:szCs w:val="22"/>
        </w:rPr>
        <w:t>’s</w:t>
      </w:r>
      <w:r w:rsidRPr="005D116B">
        <w:rPr>
          <w:rFonts w:ascii="Times New Roman" w:eastAsiaTheme="minorHAnsi" w:hAnsi="Times New Roman" w:cs="Times New Roman"/>
          <w:sz w:val="22"/>
          <w:szCs w:val="22"/>
        </w:rPr>
        <w:t xml:space="preserve"> or bidder’s confidential information from the date of application until after the </w:t>
      </w:r>
      <w:r w:rsidR="00403951" w:rsidRPr="005D116B">
        <w:rPr>
          <w:rFonts w:ascii="Times New Roman" w:eastAsiaTheme="minorHAnsi" w:hAnsi="Times New Roman" w:cs="Times New Roman"/>
          <w:sz w:val="22"/>
          <w:szCs w:val="22"/>
        </w:rPr>
        <w:t>allocation process</w:t>
      </w:r>
      <w:r w:rsidRPr="005D116B">
        <w:rPr>
          <w:rFonts w:ascii="Times New Roman" w:eastAsiaTheme="minorHAnsi" w:hAnsi="Times New Roman" w:cs="Times New Roman"/>
          <w:sz w:val="22"/>
          <w:szCs w:val="22"/>
        </w:rPr>
        <w:t xml:space="preserve"> has ended.</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 This section sets out </w:t>
      </w:r>
      <w:r w:rsidR="0025200A">
        <w:rPr>
          <w:rFonts w:ascii="Times New Roman" w:eastAsiaTheme="minorHAnsi" w:hAnsi="Times New Roman" w:cs="Times New Roman"/>
          <w:sz w:val="22"/>
          <w:szCs w:val="22"/>
        </w:rPr>
        <w:t xml:space="preserve">when, </w:t>
      </w:r>
      <w:r w:rsidRPr="005D116B">
        <w:rPr>
          <w:rFonts w:ascii="Times New Roman" w:eastAsiaTheme="minorHAnsi" w:hAnsi="Times New Roman" w:cs="Times New Roman"/>
          <w:sz w:val="22"/>
          <w:szCs w:val="22"/>
        </w:rPr>
        <w:t xml:space="preserve">after the </w:t>
      </w:r>
      <w:r w:rsidR="00403951" w:rsidRPr="005D116B">
        <w:rPr>
          <w:rFonts w:ascii="Times New Roman" w:eastAsiaTheme="minorHAnsi" w:hAnsi="Times New Roman" w:cs="Times New Roman"/>
          <w:sz w:val="22"/>
          <w:szCs w:val="22"/>
        </w:rPr>
        <w:t xml:space="preserve">relevant allocation process (either auction or </w:t>
      </w:r>
      <w:r w:rsidR="00544732">
        <w:rPr>
          <w:rFonts w:ascii="Times New Roman" w:eastAsiaTheme="minorHAnsi" w:hAnsi="Times New Roman" w:cs="Times New Roman"/>
          <w:sz w:val="22"/>
          <w:szCs w:val="22"/>
        </w:rPr>
        <w:t xml:space="preserve">allocation </w:t>
      </w:r>
      <w:r w:rsidR="00403951" w:rsidRPr="005D116B">
        <w:rPr>
          <w:rFonts w:ascii="Times New Roman" w:eastAsiaTheme="minorHAnsi" w:hAnsi="Times New Roman" w:cs="Times New Roman"/>
          <w:sz w:val="22"/>
          <w:szCs w:val="22"/>
        </w:rPr>
        <w:t>for a pre-determined price)</w:t>
      </w:r>
      <w:r w:rsidR="0025200A">
        <w:rPr>
          <w:rFonts w:ascii="Times New Roman" w:eastAsiaTheme="minorHAnsi" w:hAnsi="Times New Roman" w:cs="Times New Roman"/>
          <w:sz w:val="22"/>
          <w:szCs w:val="22"/>
        </w:rPr>
        <w:t>,</w:t>
      </w:r>
      <w:r w:rsidRPr="005D116B">
        <w:rPr>
          <w:rFonts w:ascii="Times New Roman" w:eastAsiaTheme="minorHAnsi" w:hAnsi="Times New Roman" w:cs="Times New Roman"/>
          <w:sz w:val="22"/>
          <w:szCs w:val="22"/>
        </w:rPr>
        <w:t xml:space="preserve"> the confidentiality obligation</w:t>
      </w:r>
      <w:r w:rsidR="00586085" w:rsidRPr="005D116B">
        <w:rPr>
          <w:rFonts w:ascii="Times New Roman" w:eastAsiaTheme="minorHAnsi" w:hAnsi="Times New Roman" w:cs="Times New Roman"/>
          <w:sz w:val="22"/>
          <w:szCs w:val="22"/>
        </w:rPr>
        <w:t>s</w:t>
      </w:r>
      <w:r w:rsidRPr="005D116B">
        <w:rPr>
          <w:rFonts w:ascii="Times New Roman" w:eastAsiaTheme="minorHAnsi" w:hAnsi="Times New Roman" w:cs="Times New Roman"/>
          <w:sz w:val="22"/>
          <w:szCs w:val="22"/>
        </w:rPr>
        <w:t xml:space="preserve"> for an applicant or bidder, and</w:t>
      </w:r>
      <w:r w:rsidR="00544732">
        <w:rPr>
          <w:rFonts w:ascii="Times New Roman" w:eastAsiaTheme="minorHAnsi" w:hAnsi="Times New Roman" w:cs="Times New Roman"/>
          <w:sz w:val="22"/>
          <w:szCs w:val="22"/>
        </w:rPr>
        <w:t xml:space="preserve"> for</w:t>
      </w:r>
      <w:r w:rsidRPr="005D116B">
        <w:rPr>
          <w:rFonts w:ascii="Times New Roman" w:eastAsiaTheme="minorHAnsi" w:hAnsi="Times New Roman" w:cs="Times New Roman"/>
          <w:sz w:val="22"/>
          <w:szCs w:val="22"/>
        </w:rPr>
        <w:t xml:space="preserve"> a related person</w:t>
      </w:r>
      <w:r w:rsidR="00544732">
        <w:rPr>
          <w:rFonts w:ascii="Times New Roman" w:eastAsiaTheme="minorHAnsi" w:hAnsi="Times New Roman" w:cs="Times New Roman"/>
          <w:sz w:val="22"/>
          <w:szCs w:val="22"/>
        </w:rPr>
        <w:t xml:space="preserve"> of an applicant or bidder</w:t>
      </w:r>
      <w:r w:rsidR="0025200A">
        <w:rPr>
          <w:rFonts w:ascii="Times New Roman" w:eastAsiaTheme="minorHAnsi" w:hAnsi="Times New Roman" w:cs="Times New Roman"/>
          <w:sz w:val="22"/>
          <w:szCs w:val="22"/>
        </w:rPr>
        <w:t>, will end</w:t>
      </w:r>
      <w:r w:rsidRPr="005D116B">
        <w:rPr>
          <w:rFonts w:ascii="Times New Roman" w:eastAsiaTheme="minorHAnsi" w:hAnsi="Times New Roman" w:cs="Times New Roman"/>
          <w:sz w:val="22"/>
          <w:szCs w:val="22"/>
        </w:rPr>
        <w:t>.</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 An applicant or bidder and their related persons will not be released from the obligation not to disclose confidential information until one of the circumstances set out in this section takes place (i.e., </w:t>
      </w:r>
      <w:r w:rsidR="005A6C2B" w:rsidRPr="005D116B">
        <w:rPr>
          <w:rFonts w:ascii="Times New Roman" w:eastAsiaTheme="minorHAnsi" w:hAnsi="Times New Roman" w:cs="Times New Roman"/>
          <w:sz w:val="22"/>
          <w:szCs w:val="22"/>
        </w:rPr>
        <w:t xml:space="preserve">the applicant is notified </w:t>
      </w:r>
      <w:r w:rsidR="003B4879" w:rsidRPr="005D116B">
        <w:rPr>
          <w:rFonts w:ascii="Times New Roman" w:eastAsiaTheme="minorHAnsi" w:hAnsi="Times New Roman" w:cs="Times New Roman"/>
          <w:sz w:val="22"/>
          <w:szCs w:val="22"/>
        </w:rPr>
        <w:t xml:space="preserve">about </w:t>
      </w:r>
      <w:r w:rsidR="005A6C2B" w:rsidRPr="005D116B">
        <w:rPr>
          <w:rFonts w:ascii="Times New Roman" w:eastAsiaTheme="minorHAnsi" w:hAnsi="Times New Roman" w:cs="Times New Roman"/>
          <w:sz w:val="22"/>
          <w:szCs w:val="22"/>
        </w:rPr>
        <w:t>the applicant</w:t>
      </w:r>
      <w:r w:rsidR="003B4879" w:rsidRPr="005D116B">
        <w:rPr>
          <w:rFonts w:ascii="Times New Roman" w:eastAsiaTheme="minorHAnsi" w:hAnsi="Times New Roman" w:cs="Times New Roman"/>
          <w:sz w:val="22"/>
          <w:szCs w:val="22"/>
        </w:rPr>
        <w:t>’s</w:t>
      </w:r>
      <w:r w:rsidR="005A6C2B" w:rsidRPr="005D116B">
        <w:rPr>
          <w:rFonts w:ascii="Times New Roman" w:eastAsiaTheme="minorHAnsi" w:hAnsi="Times New Roman" w:cs="Times New Roman"/>
          <w:sz w:val="22"/>
          <w:szCs w:val="22"/>
        </w:rPr>
        <w:t xml:space="preserve"> entitle</w:t>
      </w:r>
      <w:r w:rsidR="003B4879" w:rsidRPr="005D116B">
        <w:rPr>
          <w:rFonts w:ascii="Times New Roman" w:eastAsiaTheme="minorHAnsi" w:hAnsi="Times New Roman" w:cs="Times New Roman"/>
          <w:sz w:val="22"/>
          <w:szCs w:val="22"/>
        </w:rPr>
        <w:t>ment</w:t>
      </w:r>
      <w:r w:rsidR="005A6C2B" w:rsidRPr="005D116B">
        <w:rPr>
          <w:rFonts w:ascii="Times New Roman" w:eastAsiaTheme="minorHAnsi" w:hAnsi="Times New Roman" w:cs="Times New Roman"/>
          <w:sz w:val="22"/>
          <w:szCs w:val="22"/>
        </w:rPr>
        <w:t xml:space="preserve"> to be allocated a spectrum licence under subsection </w:t>
      </w:r>
      <w:r w:rsidR="00FD7F7B" w:rsidRPr="005D116B">
        <w:rPr>
          <w:rFonts w:ascii="Times New Roman" w:eastAsiaTheme="minorHAnsi" w:hAnsi="Times New Roman" w:cs="Times New Roman"/>
          <w:sz w:val="22"/>
          <w:szCs w:val="22"/>
        </w:rPr>
        <w:t>4</w:t>
      </w:r>
      <w:r w:rsidR="00BC4239" w:rsidRPr="005D116B">
        <w:rPr>
          <w:rFonts w:ascii="Times New Roman" w:eastAsiaTheme="minorHAnsi" w:hAnsi="Times New Roman" w:cs="Times New Roman"/>
          <w:sz w:val="22"/>
          <w:szCs w:val="22"/>
        </w:rPr>
        <w:t>5(1) or 46(1)</w:t>
      </w:r>
      <w:r w:rsidR="005A6C2B" w:rsidRPr="005D116B">
        <w:rPr>
          <w:rFonts w:ascii="Times New Roman" w:eastAsiaTheme="minorHAnsi" w:hAnsi="Times New Roman" w:cs="Times New Roman"/>
          <w:sz w:val="22"/>
          <w:szCs w:val="22"/>
        </w:rPr>
        <w:t xml:space="preserve">, </w:t>
      </w:r>
      <w:r w:rsidR="003B4879" w:rsidRPr="005D116B">
        <w:rPr>
          <w:rFonts w:ascii="Times New Roman" w:eastAsiaTheme="minorHAnsi" w:hAnsi="Times New Roman" w:cs="Times New Roman"/>
          <w:sz w:val="22"/>
          <w:szCs w:val="22"/>
        </w:rPr>
        <w:t>the bidder is notified that the bidder is not a winning bidder</w:t>
      </w:r>
      <w:r w:rsidR="00BC4239" w:rsidRPr="005D116B">
        <w:rPr>
          <w:rFonts w:ascii="Times New Roman" w:eastAsiaTheme="minorHAnsi" w:hAnsi="Times New Roman" w:cs="Times New Roman"/>
          <w:sz w:val="22"/>
          <w:szCs w:val="22"/>
        </w:rPr>
        <w:t xml:space="preserve"> under subsection 67(1)</w:t>
      </w:r>
      <w:r w:rsidR="003B4879" w:rsidRPr="005D116B">
        <w:rPr>
          <w:rFonts w:ascii="Times New Roman" w:eastAsiaTheme="minorHAnsi" w:hAnsi="Times New Roman" w:cs="Times New Roman"/>
          <w:sz w:val="22"/>
          <w:szCs w:val="22"/>
        </w:rPr>
        <w:t>, the applicant (who has withdrawn) is notified</w:t>
      </w:r>
      <w:r w:rsidR="00BC4239" w:rsidRPr="005D116B">
        <w:rPr>
          <w:rFonts w:ascii="Times New Roman" w:eastAsiaTheme="minorHAnsi" w:hAnsi="Times New Roman" w:cs="Times New Roman"/>
          <w:sz w:val="22"/>
          <w:szCs w:val="22"/>
        </w:rPr>
        <w:t xml:space="preserve"> under subsection 67(3)</w:t>
      </w:r>
      <w:r w:rsidR="003B4879" w:rsidRPr="005D116B">
        <w:rPr>
          <w:rFonts w:ascii="Times New Roman" w:eastAsiaTheme="minorHAnsi" w:hAnsi="Times New Roman" w:cs="Times New Roman"/>
          <w:sz w:val="22"/>
          <w:szCs w:val="22"/>
        </w:rPr>
        <w:t xml:space="preserve"> that the applicant’s confidentiality obligation is at an end, or the </w:t>
      </w:r>
      <w:r w:rsidRPr="005D116B">
        <w:rPr>
          <w:rFonts w:ascii="Times New Roman" w:eastAsiaTheme="minorHAnsi" w:hAnsi="Times New Roman" w:cs="Times New Roman"/>
          <w:sz w:val="22"/>
          <w:szCs w:val="22"/>
        </w:rPr>
        <w:t>bidder is asked to make a statement as a winning bidder</w:t>
      </w:r>
      <w:r w:rsidR="00BC4239" w:rsidRPr="005D116B">
        <w:rPr>
          <w:rFonts w:ascii="Times New Roman" w:eastAsiaTheme="minorHAnsi" w:hAnsi="Times New Roman" w:cs="Times New Roman"/>
          <w:sz w:val="22"/>
          <w:szCs w:val="22"/>
        </w:rPr>
        <w:t xml:space="preserve"> under section 68</w:t>
      </w:r>
      <w:r w:rsidR="00544732">
        <w:rPr>
          <w:rFonts w:ascii="Times New Roman" w:eastAsiaTheme="minorHAnsi" w:hAnsi="Times New Roman" w:cs="Times New Roman"/>
          <w:sz w:val="22"/>
          <w:szCs w:val="22"/>
        </w:rPr>
        <w:t>)</w:t>
      </w:r>
      <w:r w:rsidRPr="005D116B">
        <w:rPr>
          <w:rFonts w:ascii="Times New Roman" w:eastAsiaTheme="minorHAnsi" w:hAnsi="Times New Roman" w:cs="Times New Roman"/>
          <w:sz w:val="22"/>
          <w:szCs w:val="22"/>
        </w:rPr>
        <w:t>.</w:t>
      </w:r>
    </w:p>
    <w:p w14:paraId="773C9DDE" w14:textId="777A6842" w:rsidR="00603AB1" w:rsidRDefault="00603AB1" w:rsidP="005D116B">
      <w:pPr>
        <w:keepNext/>
        <w:spacing w:after="160" w:line="259" w:lineRule="auto"/>
      </w:pPr>
      <w:r w:rsidRPr="005D116B">
        <w:rPr>
          <w:rFonts w:eastAsiaTheme="minorHAnsi"/>
          <w:b/>
          <w:sz w:val="22"/>
          <w:szCs w:val="22"/>
          <w:lang w:eastAsia="en-US"/>
        </w:rPr>
        <w:t xml:space="preserve">Section </w:t>
      </w:r>
      <w:r w:rsidR="0092153A" w:rsidRPr="005D116B">
        <w:rPr>
          <w:rFonts w:eastAsiaTheme="minorHAnsi"/>
          <w:b/>
          <w:sz w:val="22"/>
          <w:szCs w:val="22"/>
          <w:lang w:eastAsia="en-US"/>
        </w:rPr>
        <w:t>1</w:t>
      </w:r>
      <w:r w:rsidR="00BC4239" w:rsidRPr="005D116B">
        <w:rPr>
          <w:rFonts w:eastAsiaTheme="minorHAnsi"/>
          <w:b/>
          <w:sz w:val="22"/>
          <w:szCs w:val="22"/>
          <w:lang w:eastAsia="en-US"/>
        </w:rPr>
        <w:t>9</w:t>
      </w:r>
      <w:r w:rsidRPr="005D116B">
        <w:rPr>
          <w:rFonts w:eastAsiaTheme="minorHAnsi"/>
          <w:b/>
          <w:sz w:val="22"/>
          <w:szCs w:val="22"/>
          <w:lang w:eastAsia="en-US"/>
        </w:rPr>
        <w:tab/>
        <w:t>Reporting breach of confidentiality</w:t>
      </w:r>
    </w:p>
    <w:p w14:paraId="6B815125" w14:textId="787EE38F" w:rsidR="00603AB1" w:rsidRPr="005D116B" w:rsidRDefault="00603AB1" w:rsidP="00A21A76">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Given its potential impact on the outcome of the auction process, and to ensure a fair and robust auction, it is important that the ACMA is made aware of any breach of the rules on confidentiality as soon as possible.</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 This section requires applicants and bidders, and their related persons, to notify the ACMA in writing as soon as possible after becoming aware of a breach of the confidentiality rules, and no later than </w:t>
      </w:r>
      <w:r w:rsidR="00697B04" w:rsidRPr="005D116B">
        <w:rPr>
          <w:rFonts w:ascii="Times New Roman" w:eastAsiaTheme="minorHAnsi" w:hAnsi="Times New Roman" w:cs="Times New Roman"/>
          <w:sz w:val="22"/>
          <w:szCs w:val="22"/>
        </w:rPr>
        <w:t>2</w:t>
      </w:r>
      <w:r w:rsidRPr="005D116B">
        <w:rPr>
          <w:rFonts w:ascii="Times New Roman" w:eastAsiaTheme="minorHAnsi" w:hAnsi="Times New Roman" w:cs="Times New Roman"/>
          <w:sz w:val="22"/>
          <w:szCs w:val="22"/>
        </w:rPr>
        <w:t xml:space="preserve"> working days after becoming aware of the breach.</w:t>
      </w:r>
      <w:r w:rsidR="00544732">
        <w:rPr>
          <w:rFonts w:ascii="Times New Roman" w:eastAsiaTheme="minorHAnsi" w:hAnsi="Times New Roman" w:cs="Times New Roman"/>
          <w:sz w:val="22"/>
          <w:szCs w:val="22"/>
        </w:rPr>
        <w:t xml:space="preserve">  This applies where the applicant or bidder, or related person of the applicant or bidder, discloses the confidential information or receives confidential information from another applicant, bidder or related person.</w:t>
      </w:r>
    </w:p>
    <w:p w14:paraId="5B12F040" w14:textId="47A832C1" w:rsidR="00603AB1" w:rsidRPr="005D116B" w:rsidRDefault="00603AB1" w:rsidP="005D116B">
      <w:pPr>
        <w:keepNext/>
        <w:spacing w:after="160" w:line="259" w:lineRule="auto"/>
        <w:rPr>
          <w:rFonts w:eastAsiaTheme="minorHAnsi"/>
          <w:b/>
          <w:sz w:val="22"/>
          <w:szCs w:val="22"/>
          <w:lang w:eastAsia="en-US"/>
        </w:rPr>
      </w:pPr>
      <w:r w:rsidRPr="005D116B">
        <w:rPr>
          <w:rFonts w:eastAsiaTheme="minorHAnsi"/>
          <w:b/>
          <w:sz w:val="22"/>
          <w:szCs w:val="22"/>
          <w:lang w:eastAsia="en-US"/>
        </w:rPr>
        <w:t xml:space="preserve">Section </w:t>
      </w:r>
      <w:r w:rsidR="00BC4239" w:rsidRPr="005D116B">
        <w:rPr>
          <w:rFonts w:eastAsiaTheme="minorHAnsi"/>
          <w:b/>
          <w:sz w:val="22"/>
          <w:szCs w:val="22"/>
          <w:lang w:eastAsia="en-US"/>
        </w:rPr>
        <w:t>20</w:t>
      </w:r>
      <w:r w:rsidRPr="005D116B">
        <w:rPr>
          <w:rFonts w:eastAsiaTheme="minorHAnsi"/>
          <w:b/>
          <w:sz w:val="22"/>
          <w:szCs w:val="22"/>
          <w:lang w:eastAsia="en-US"/>
        </w:rPr>
        <w:tab/>
        <w:t xml:space="preserve">Notice of breach of confidentiality </w:t>
      </w:r>
    </w:p>
    <w:p w14:paraId="0097B22D" w14:textId="1AAFF832" w:rsidR="00603AB1" w:rsidRPr="005D116B" w:rsidRDefault="00603AB1" w:rsidP="00A21A76">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This section states that where the ACMA has reason to believe there has been a breach of the rules regarding the disclosure of confidential information by an applicant or bidder (or a related person of an applicant or bidder) the ACMA must advise the applicant or bidder of that fact and ask it to make submissions to the ACMA on this matter.</w:t>
      </w:r>
      <w:r w:rsidR="0025200A">
        <w:rPr>
          <w:rFonts w:ascii="Times New Roman" w:eastAsiaTheme="minorHAnsi" w:hAnsi="Times New Roman" w:cs="Times New Roman"/>
          <w:sz w:val="22"/>
          <w:szCs w:val="22"/>
        </w:rPr>
        <w:t xml:space="preserve"> </w:t>
      </w:r>
      <w:r w:rsidRPr="005D116B">
        <w:rPr>
          <w:rFonts w:ascii="Times New Roman" w:eastAsiaTheme="minorHAnsi" w:hAnsi="Times New Roman" w:cs="Times New Roman"/>
          <w:sz w:val="22"/>
          <w:szCs w:val="22"/>
        </w:rPr>
        <w:t xml:space="preserve"> The ACMA must also set a deadline for the provision of any submissions of no more than </w:t>
      </w:r>
      <w:r w:rsidR="00BC2012" w:rsidRPr="005D116B">
        <w:rPr>
          <w:rFonts w:ascii="Times New Roman" w:eastAsiaTheme="minorHAnsi" w:hAnsi="Times New Roman" w:cs="Times New Roman"/>
          <w:sz w:val="22"/>
          <w:szCs w:val="22"/>
        </w:rPr>
        <w:t>5</w:t>
      </w:r>
      <w:r w:rsidRPr="005D116B">
        <w:rPr>
          <w:rFonts w:ascii="Times New Roman" w:eastAsiaTheme="minorHAnsi" w:hAnsi="Times New Roman" w:cs="Times New Roman"/>
          <w:sz w:val="22"/>
          <w:szCs w:val="22"/>
        </w:rPr>
        <w:t xml:space="preserve"> working days after the date of the request.</w:t>
      </w:r>
    </w:p>
    <w:p w14:paraId="569B238A" w14:textId="6BD16716" w:rsidR="00603AB1" w:rsidRPr="005D116B" w:rsidRDefault="00603AB1" w:rsidP="00A21A76">
      <w:pPr>
        <w:pStyle w:val="ACMABodyText"/>
        <w:rPr>
          <w:rFonts w:ascii="Times New Roman" w:eastAsiaTheme="minorHAnsi" w:hAnsi="Times New Roman" w:cs="Times New Roman"/>
          <w:sz w:val="22"/>
          <w:szCs w:val="22"/>
        </w:rPr>
      </w:pPr>
      <w:r w:rsidRPr="005D116B">
        <w:rPr>
          <w:rFonts w:ascii="Times New Roman" w:eastAsiaTheme="minorHAnsi" w:hAnsi="Times New Roman" w:cs="Times New Roman"/>
          <w:sz w:val="22"/>
          <w:szCs w:val="22"/>
        </w:rPr>
        <w:t>The ACMA is not obliged to tell the applicant or bidder of its belief until as soon as practicable after the auction period ends</w:t>
      </w:r>
      <w:r w:rsidR="003B4879" w:rsidRPr="005D116B">
        <w:rPr>
          <w:rFonts w:ascii="Times New Roman" w:eastAsiaTheme="minorHAnsi" w:hAnsi="Times New Roman" w:cs="Times New Roman"/>
          <w:sz w:val="22"/>
          <w:szCs w:val="22"/>
        </w:rPr>
        <w:t xml:space="preserve"> or entitlements under a pre-determined price process are notified</w:t>
      </w:r>
      <w:r w:rsidRPr="005D116B">
        <w:rPr>
          <w:rFonts w:ascii="Times New Roman" w:eastAsiaTheme="minorHAnsi" w:hAnsi="Times New Roman" w:cs="Times New Roman"/>
          <w:sz w:val="22"/>
          <w:szCs w:val="22"/>
        </w:rPr>
        <w:t>.</w:t>
      </w:r>
    </w:p>
    <w:p w14:paraId="18E9D2BF" w14:textId="2DFEB1A6" w:rsidR="00603AB1" w:rsidRPr="00544732" w:rsidRDefault="00603AB1" w:rsidP="00544732">
      <w:pPr>
        <w:keepNext/>
        <w:spacing w:after="160" w:line="259" w:lineRule="auto"/>
        <w:rPr>
          <w:rFonts w:eastAsiaTheme="minorHAnsi"/>
          <w:b/>
          <w:sz w:val="22"/>
          <w:szCs w:val="22"/>
          <w:lang w:eastAsia="en-US"/>
        </w:rPr>
      </w:pPr>
      <w:r w:rsidRPr="00544732">
        <w:rPr>
          <w:rFonts w:eastAsiaTheme="minorHAnsi"/>
          <w:b/>
          <w:sz w:val="22"/>
          <w:szCs w:val="22"/>
          <w:lang w:eastAsia="en-US"/>
        </w:rPr>
        <w:lastRenderedPageBreak/>
        <w:t xml:space="preserve">Section </w:t>
      </w:r>
      <w:r w:rsidR="00BC4239" w:rsidRPr="00544732">
        <w:rPr>
          <w:rFonts w:eastAsiaTheme="minorHAnsi"/>
          <w:b/>
          <w:sz w:val="22"/>
          <w:szCs w:val="22"/>
          <w:lang w:eastAsia="en-US"/>
        </w:rPr>
        <w:t>21</w:t>
      </w:r>
      <w:r w:rsidRPr="00544732">
        <w:rPr>
          <w:rFonts w:eastAsiaTheme="minorHAnsi"/>
          <w:b/>
          <w:sz w:val="22"/>
          <w:szCs w:val="22"/>
          <w:lang w:eastAsia="en-US"/>
        </w:rPr>
        <w:tab/>
        <w:t>Deed of confidentiality required from related persons</w:t>
      </w:r>
    </w:p>
    <w:p w14:paraId="5D46AFD1" w14:textId="2C575851" w:rsidR="00586085" w:rsidRPr="00544732" w:rsidRDefault="00603AB1" w:rsidP="00A21A76">
      <w:pPr>
        <w:pStyle w:val="ACMABodyText"/>
        <w:rPr>
          <w:rFonts w:ascii="Times New Roman" w:eastAsiaTheme="minorHAnsi" w:hAnsi="Times New Roman" w:cs="Times New Roman"/>
          <w:sz w:val="22"/>
          <w:szCs w:val="22"/>
        </w:rPr>
      </w:pPr>
      <w:r w:rsidRPr="00544732">
        <w:rPr>
          <w:rFonts w:ascii="Times New Roman" w:eastAsiaTheme="minorHAnsi" w:hAnsi="Times New Roman" w:cs="Times New Roman"/>
          <w:sz w:val="22"/>
          <w:szCs w:val="22"/>
        </w:rPr>
        <w:t>A deed of confidentiality represents a</w:t>
      </w:r>
      <w:r w:rsidR="007B4B46" w:rsidRPr="00544732">
        <w:rPr>
          <w:rFonts w:ascii="Times New Roman" w:eastAsiaTheme="minorHAnsi" w:hAnsi="Times New Roman" w:cs="Times New Roman"/>
          <w:sz w:val="22"/>
          <w:szCs w:val="22"/>
        </w:rPr>
        <w:t>n explicit</w:t>
      </w:r>
      <w:r w:rsidRPr="00544732">
        <w:rPr>
          <w:rFonts w:ascii="Times New Roman" w:eastAsiaTheme="minorHAnsi" w:hAnsi="Times New Roman" w:cs="Times New Roman"/>
          <w:sz w:val="22"/>
          <w:szCs w:val="22"/>
        </w:rPr>
        <w:t xml:space="preserve"> commitment on the part of each related person of an applicant or bidder that they will comply with </w:t>
      </w:r>
      <w:r w:rsidR="006C352A">
        <w:rPr>
          <w:rFonts w:ascii="Times New Roman" w:eastAsiaTheme="minorHAnsi" w:hAnsi="Times New Roman" w:cs="Times New Roman"/>
          <w:sz w:val="22"/>
          <w:szCs w:val="22"/>
        </w:rPr>
        <w:t>the</w:t>
      </w:r>
      <w:r w:rsidRPr="00544732">
        <w:rPr>
          <w:rFonts w:ascii="Times New Roman" w:eastAsiaTheme="minorHAnsi" w:hAnsi="Times New Roman" w:cs="Times New Roman"/>
          <w:sz w:val="22"/>
          <w:szCs w:val="22"/>
        </w:rPr>
        <w:t xml:space="preserve"> rules regarding the disclosure of confidential information throughout the </w:t>
      </w:r>
      <w:r w:rsidR="00E33255" w:rsidRPr="00544732">
        <w:rPr>
          <w:rFonts w:ascii="Times New Roman" w:eastAsiaTheme="minorHAnsi" w:hAnsi="Times New Roman" w:cs="Times New Roman"/>
          <w:sz w:val="22"/>
          <w:szCs w:val="22"/>
        </w:rPr>
        <w:t>allocation</w:t>
      </w:r>
      <w:r w:rsidRPr="00544732">
        <w:rPr>
          <w:rFonts w:ascii="Times New Roman" w:eastAsiaTheme="minorHAnsi" w:hAnsi="Times New Roman" w:cs="Times New Roman"/>
          <w:sz w:val="22"/>
          <w:szCs w:val="22"/>
        </w:rPr>
        <w:t xml:space="preserve"> process. </w:t>
      </w:r>
      <w:r w:rsidR="0025200A">
        <w:rPr>
          <w:rFonts w:ascii="Times New Roman" w:eastAsiaTheme="minorHAnsi" w:hAnsi="Times New Roman" w:cs="Times New Roman"/>
          <w:sz w:val="22"/>
          <w:szCs w:val="22"/>
        </w:rPr>
        <w:t xml:space="preserve"> I</w:t>
      </w:r>
      <w:r w:rsidRPr="00544732">
        <w:rPr>
          <w:rFonts w:ascii="Times New Roman" w:eastAsiaTheme="minorHAnsi" w:hAnsi="Times New Roman" w:cs="Times New Roman"/>
          <w:sz w:val="22"/>
          <w:szCs w:val="22"/>
        </w:rPr>
        <w:t xml:space="preserve">t is important that individual employees of an applicant or bidder (or of a related body corporate that provides services to the applicant or bidder) who have knowledge of their employer’s confidential information understand the importance of confidentiality in this process and acknowledge this through signing a confidentiality deed. </w:t>
      </w:r>
    </w:p>
    <w:p w14:paraId="7BD3DB3C" w14:textId="701B349F" w:rsidR="00586085" w:rsidRPr="00544732" w:rsidRDefault="00603AB1" w:rsidP="00A21A76">
      <w:pPr>
        <w:pStyle w:val="ACMABodyText"/>
        <w:rPr>
          <w:rFonts w:ascii="Times New Roman" w:eastAsiaTheme="minorHAnsi" w:hAnsi="Times New Roman" w:cs="Times New Roman"/>
          <w:sz w:val="22"/>
          <w:szCs w:val="22"/>
        </w:rPr>
      </w:pPr>
      <w:r w:rsidRPr="00544732">
        <w:rPr>
          <w:rFonts w:ascii="Times New Roman" w:eastAsiaTheme="minorHAnsi" w:hAnsi="Times New Roman" w:cs="Times New Roman"/>
          <w:sz w:val="22"/>
          <w:szCs w:val="22"/>
        </w:rPr>
        <w:t xml:space="preserve">The section states that a deed of confidentiality will only be required from </w:t>
      </w:r>
      <w:r w:rsidR="006E14C7" w:rsidRPr="00544732">
        <w:rPr>
          <w:rFonts w:ascii="Times New Roman" w:eastAsiaTheme="minorHAnsi" w:hAnsi="Times New Roman" w:cs="Times New Roman"/>
          <w:sz w:val="22"/>
          <w:szCs w:val="22"/>
        </w:rPr>
        <w:t xml:space="preserve">related persons who are also </w:t>
      </w:r>
      <w:r w:rsidRPr="00544732">
        <w:rPr>
          <w:rFonts w:ascii="Times New Roman" w:eastAsiaTheme="minorHAnsi" w:hAnsi="Times New Roman" w:cs="Times New Roman"/>
          <w:sz w:val="22"/>
          <w:szCs w:val="22"/>
        </w:rPr>
        <w:t xml:space="preserve">employees of the applicant or bidder, or employees of a related body corporate of the applicant or bidder that provides services to the applicant or bidder. </w:t>
      </w:r>
      <w:r w:rsidR="0025200A">
        <w:rPr>
          <w:rFonts w:ascii="Times New Roman" w:eastAsiaTheme="minorHAnsi" w:hAnsi="Times New Roman" w:cs="Times New Roman"/>
          <w:sz w:val="22"/>
          <w:szCs w:val="22"/>
        </w:rPr>
        <w:t xml:space="preserve"> </w:t>
      </w:r>
      <w:r w:rsidRPr="00544732">
        <w:rPr>
          <w:rFonts w:ascii="Times New Roman" w:eastAsiaTheme="minorHAnsi" w:hAnsi="Times New Roman" w:cs="Times New Roman"/>
          <w:sz w:val="22"/>
          <w:szCs w:val="22"/>
        </w:rPr>
        <w:t>The obligation to complete a deed of confidentiality under this section will not extend to a director or company secretary of an applicant or bidder</w:t>
      </w:r>
      <w:r w:rsidR="00544732">
        <w:rPr>
          <w:rFonts w:ascii="Times New Roman" w:eastAsiaTheme="minorHAnsi" w:hAnsi="Times New Roman" w:cs="Times New Roman"/>
          <w:sz w:val="22"/>
          <w:szCs w:val="22"/>
        </w:rPr>
        <w:t>, unless the</w:t>
      </w:r>
      <w:r w:rsidR="0025200A">
        <w:rPr>
          <w:rFonts w:ascii="Times New Roman" w:eastAsiaTheme="minorHAnsi" w:hAnsi="Times New Roman" w:cs="Times New Roman"/>
          <w:sz w:val="22"/>
          <w:szCs w:val="22"/>
        </w:rPr>
        <w:t xml:space="preserve"> director or secretary is</w:t>
      </w:r>
      <w:r w:rsidR="00544732">
        <w:rPr>
          <w:rFonts w:ascii="Times New Roman" w:eastAsiaTheme="minorHAnsi" w:hAnsi="Times New Roman" w:cs="Times New Roman"/>
          <w:sz w:val="22"/>
          <w:szCs w:val="22"/>
        </w:rPr>
        <w:t xml:space="preserve"> also an employee of the applicant or bidder</w:t>
      </w:r>
      <w:r w:rsidRPr="00544732">
        <w:rPr>
          <w:rFonts w:ascii="Times New Roman" w:eastAsiaTheme="minorHAnsi" w:hAnsi="Times New Roman" w:cs="Times New Roman"/>
          <w:sz w:val="22"/>
          <w:szCs w:val="22"/>
        </w:rPr>
        <w:t>.</w:t>
      </w:r>
    </w:p>
    <w:p w14:paraId="098E85BC" w14:textId="77777777" w:rsidR="00603AB1" w:rsidRPr="00544732" w:rsidRDefault="00603AB1" w:rsidP="00A21A76">
      <w:pPr>
        <w:pStyle w:val="ACMABodyText"/>
        <w:rPr>
          <w:rFonts w:ascii="Times New Roman" w:eastAsiaTheme="minorHAnsi" w:hAnsi="Times New Roman" w:cs="Times New Roman"/>
          <w:sz w:val="22"/>
          <w:szCs w:val="22"/>
        </w:rPr>
      </w:pPr>
      <w:r w:rsidRPr="00544732">
        <w:rPr>
          <w:rFonts w:ascii="Times New Roman" w:eastAsiaTheme="minorHAnsi" w:hAnsi="Times New Roman" w:cs="Times New Roman"/>
          <w:sz w:val="22"/>
          <w:szCs w:val="22"/>
        </w:rPr>
        <w:t xml:space="preserve">Where a related person of an applicant gains knowledge of the applicant’s confidential information prior to the application deadline, a deed of confidentiality from the related person must be submitted to the ACMA by the application deadline. </w:t>
      </w:r>
    </w:p>
    <w:p w14:paraId="3BAD375E" w14:textId="32BCFE6C" w:rsidR="00603AB1" w:rsidRPr="005615EA" w:rsidRDefault="005615EA" w:rsidP="005615EA">
      <w:pPr>
        <w:keepNext/>
        <w:spacing w:before="280" w:after="160" w:line="259" w:lineRule="auto"/>
        <w:rPr>
          <w:rFonts w:eastAsiaTheme="minorHAnsi"/>
          <w:b/>
          <w:sz w:val="22"/>
          <w:szCs w:val="22"/>
          <w:lang w:eastAsia="en-US"/>
        </w:rPr>
      </w:pPr>
      <w:r w:rsidRPr="005615EA">
        <w:rPr>
          <w:rFonts w:eastAsiaTheme="minorHAnsi"/>
          <w:b/>
          <w:sz w:val="22"/>
          <w:szCs w:val="22"/>
          <w:lang w:eastAsia="en-US"/>
        </w:rPr>
        <w:t>P</w:t>
      </w:r>
      <w:r>
        <w:rPr>
          <w:rFonts w:eastAsiaTheme="minorHAnsi"/>
          <w:b/>
          <w:sz w:val="22"/>
          <w:szCs w:val="22"/>
          <w:lang w:eastAsia="en-US"/>
        </w:rPr>
        <w:t>ART</w:t>
      </w:r>
      <w:r w:rsidRPr="005615EA">
        <w:rPr>
          <w:rFonts w:eastAsiaTheme="minorHAnsi"/>
          <w:b/>
          <w:sz w:val="22"/>
          <w:szCs w:val="22"/>
          <w:lang w:eastAsia="en-US"/>
        </w:rPr>
        <w:t xml:space="preserve"> </w:t>
      </w:r>
      <w:r w:rsidR="00603AB1" w:rsidRPr="005615EA">
        <w:rPr>
          <w:rFonts w:eastAsiaTheme="minorHAnsi"/>
          <w:b/>
          <w:sz w:val="22"/>
          <w:szCs w:val="22"/>
          <w:lang w:eastAsia="en-US"/>
        </w:rPr>
        <w:t>4</w:t>
      </w:r>
      <w:r w:rsidR="00603AB1" w:rsidRPr="005615EA">
        <w:rPr>
          <w:rFonts w:eastAsiaTheme="minorHAnsi"/>
          <w:b/>
          <w:sz w:val="22"/>
          <w:szCs w:val="22"/>
          <w:lang w:eastAsia="en-US"/>
        </w:rPr>
        <w:tab/>
      </w:r>
      <w:r>
        <w:rPr>
          <w:rFonts w:eastAsiaTheme="minorHAnsi"/>
          <w:b/>
          <w:sz w:val="22"/>
          <w:szCs w:val="22"/>
          <w:lang w:eastAsia="en-US"/>
        </w:rPr>
        <w:t>PROCEDURES BEFORE AUCTION</w:t>
      </w:r>
      <w:r w:rsidR="00312A99" w:rsidRPr="005615EA">
        <w:rPr>
          <w:rFonts w:eastAsiaTheme="minorHAnsi"/>
          <w:b/>
          <w:sz w:val="22"/>
          <w:szCs w:val="22"/>
          <w:lang w:eastAsia="en-US"/>
        </w:rPr>
        <w:t xml:space="preserve"> OR ALLOCATION FOR A PRE-DETERMINED PRICE</w:t>
      </w:r>
    </w:p>
    <w:p w14:paraId="03848EE5" w14:textId="77777777" w:rsidR="00D95137" w:rsidRPr="005615EA" w:rsidRDefault="00D95137" w:rsidP="005615EA">
      <w:pPr>
        <w:keepNext/>
        <w:spacing w:before="280" w:after="160" w:line="259" w:lineRule="auto"/>
        <w:rPr>
          <w:rFonts w:eastAsiaTheme="minorHAnsi"/>
          <w:b/>
          <w:lang w:eastAsia="en-US"/>
        </w:rPr>
      </w:pPr>
      <w:r w:rsidRPr="005615EA">
        <w:rPr>
          <w:rFonts w:eastAsiaTheme="minorHAnsi"/>
          <w:b/>
          <w:lang w:eastAsia="en-US"/>
        </w:rPr>
        <w:t>Division 1</w:t>
      </w:r>
      <w:r w:rsidRPr="005615EA">
        <w:rPr>
          <w:rFonts w:eastAsiaTheme="minorHAnsi"/>
          <w:b/>
          <w:lang w:eastAsia="en-US"/>
        </w:rPr>
        <w:tab/>
        <w:t xml:space="preserve">Simplified outline </w:t>
      </w:r>
    </w:p>
    <w:p w14:paraId="3B691906" w14:textId="19DE491D" w:rsidR="00D95137" w:rsidRPr="005615EA" w:rsidRDefault="00D95137" w:rsidP="005615EA">
      <w:pPr>
        <w:keepNext/>
        <w:spacing w:after="160" w:line="259" w:lineRule="auto"/>
        <w:rPr>
          <w:rFonts w:eastAsiaTheme="minorHAnsi"/>
          <w:b/>
          <w:sz w:val="22"/>
          <w:szCs w:val="22"/>
          <w:lang w:eastAsia="en-US"/>
        </w:rPr>
      </w:pPr>
      <w:r w:rsidRPr="005615EA">
        <w:rPr>
          <w:rFonts w:eastAsiaTheme="minorHAnsi"/>
          <w:b/>
          <w:sz w:val="22"/>
          <w:szCs w:val="22"/>
          <w:lang w:eastAsia="en-US"/>
        </w:rPr>
        <w:t>Section 22</w:t>
      </w:r>
      <w:r w:rsidRPr="005615EA">
        <w:rPr>
          <w:rFonts w:eastAsiaTheme="minorHAnsi"/>
          <w:b/>
          <w:sz w:val="22"/>
          <w:szCs w:val="22"/>
          <w:lang w:eastAsia="en-US"/>
        </w:rPr>
        <w:tab/>
        <w:t>Simplified outline of this Part</w:t>
      </w:r>
    </w:p>
    <w:p w14:paraId="4161C3E2" w14:textId="670FE79F" w:rsidR="005615EA" w:rsidRPr="00EC6CCC" w:rsidRDefault="005615EA" w:rsidP="005615EA">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sets out a simplified outline of Part </w:t>
      </w:r>
      <w:r>
        <w:rPr>
          <w:rFonts w:ascii="Times New Roman" w:eastAsiaTheme="minorHAnsi" w:hAnsi="Times New Roman" w:cs="Times New Roman"/>
          <w:sz w:val="22"/>
          <w:szCs w:val="22"/>
        </w:rPr>
        <w:t>4</w:t>
      </w:r>
      <w:r w:rsidRPr="00EC6CCC">
        <w:rPr>
          <w:rFonts w:ascii="Times New Roman" w:eastAsiaTheme="minorHAnsi" w:hAnsi="Times New Roman" w:cs="Times New Roman"/>
          <w:sz w:val="22"/>
          <w:szCs w:val="22"/>
        </w:rPr>
        <w:t>.</w:t>
      </w:r>
    </w:p>
    <w:p w14:paraId="37C06CB7" w14:textId="7140AB61" w:rsidR="00603AB1" w:rsidRPr="005615EA" w:rsidRDefault="00603AB1" w:rsidP="005615EA">
      <w:pPr>
        <w:keepNext/>
        <w:spacing w:before="280" w:after="160" w:line="259" w:lineRule="auto"/>
        <w:rPr>
          <w:rFonts w:eastAsiaTheme="minorHAnsi"/>
          <w:b/>
          <w:lang w:eastAsia="en-US"/>
        </w:rPr>
      </w:pPr>
      <w:r w:rsidRPr="005615EA">
        <w:rPr>
          <w:rFonts w:eastAsiaTheme="minorHAnsi"/>
          <w:b/>
          <w:lang w:eastAsia="en-US"/>
        </w:rPr>
        <w:t xml:space="preserve">Division </w:t>
      </w:r>
      <w:r w:rsidR="00D95137" w:rsidRPr="005615EA">
        <w:rPr>
          <w:rFonts w:eastAsiaTheme="minorHAnsi"/>
          <w:b/>
          <w:lang w:eastAsia="en-US"/>
        </w:rPr>
        <w:t>2</w:t>
      </w:r>
      <w:r w:rsidRPr="005615EA">
        <w:rPr>
          <w:rFonts w:eastAsiaTheme="minorHAnsi"/>
          <w:b/>
          <w:lang w:eastAsia="en-US"/>
        </w:rPr>
        <w:tab/>
        <w:t>Preliminary</w:t>
      </w:r>
    </w:p>
    <w:p w14:paraId="6C177162" w14:textId="58D43D14" w:rsidR="00603AB1" w:rsidRPr="005615EA" w:rsidRDefault="00603AB1" w:rsidP="005615EA">
      <w:pPr>
        <w:keepNext/>
        <w:spacing w:after="160" w:line="259" w:lineRule="auto"/>
        <w:rPr>
          <w:rFonts w:eastAsiaTheme="minorHAnsi"/>
          <w:b/>
          <w:sz w:val="22"/>
          <w:szCs w:val="22"/>
          <w:lang w:eastAsia="en-US"/>
        </w:rPr>
      </w:pPr>
      <w:r w:rsidRPr="005615EA">
        <w:rPr>
          <w:rFonts w:eastAsiaTheme="minorHAnsi"/>
          <w:b/>
          <w:sz w:val="22"/>
          <w:szCs w:val="22"/>
          <w:lang w:eastAsia="en-US"/>
        </w:rPr>
        <w:t xml:space="preserve">Section </w:t>
      </w:r>
      <w:r w:rsidR="0092153A" w:rsidRPr="005615EA">
        <w:rPr>
          <w:rFonts w:eastAsiaTheme="minorHAnsi"/>
          <w:b/>
          <w:sz w:val="22"/>
          <w:szCs w:val="22"/>
          <w:lang w:eastAsia="en-US"/>
        </w:rPr>
        <w:t>2</w:t>
      </w:r>
      <w:r w:rsidR="00D95137" w:rsidRPr="005615EA">
        <w:rPr>
          <w:rFonts w:eastAsiaTheme="minorHAnsi"/>
          <w:b/>
          <w:sz w:val="22"/>
          <w:szCs w:val="22"/>
          <w:lang w:eastAsia="en-US"/>
        </w:rPr>
        <w:t>3</w:t>
      </w:r>
      <w:r w:rsidRPr="005615EA">
        <w:rPr>
          <w:rFonts w:eastAsiaTheme="minorHAnsi"/>
          <w:b/>
          <w:sz w:val="22"/>
          <w:szCs w:val="22"/>
          <w:lang w:eastAsia="en-US"/>
        </w:rPr>
        <w:tab/>
        <w:t>Auction manager</w:t>
      </w:r>
    </w:p>
    <w:p w14:paraId="5A65B2B0" w14:textId="34284B43"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This section </w:t>
      </w:r>
      <w:r w:rsidR="006E128A">
        <w:rPr>
          <w:rFonts w:ascii="Times New Roman" w:eastAsiaTheme="minorHAnsi" w:hAnsi="Times New Roman" w:cs="Times New Roman"/>
          <w:sz w:val="22"/>
          <w:szCs w:val="22"/>
        </w:rPr>
        <w:t>provides</w:t>
      </w:r>
      <w:r w:rsidR="006E128A" w:rsidRPr="004A7691">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that the ACMA must appoint a person to manage the auction (</w:t>
      </w:r>
      <w:r w:rsidRPr="00DB64F8">
        <w:rPr>
          <w:rFonts w:ascii="Times New Roman" w:eastAsiaTheme="minorHAnsi" w:hAnsi="Times New Roman" w:cs="Times New Roman"/>
          <w:b/>
          <w:sz w:val="22"/>
          <w:szCs w:val="22"/>
        </w:rPr>
        <w:t xml:space="preserve">the </w:t>
      </w:r>
      <w:r w:rsidRPr="004A7691">
        <w:rPr>
          <w:rFonts w:ascii="Times New Roman" w:eastAsiaTheme="minorHAnsi" w:hAnsi="Times New Roman" w:cs="Times New Roman"/>
          <w:b/>
          <w:sz w:val="22"/>
          <w:szCs w:val="22"/>
        </w:rPr>
        <w:t>auction manager</w:t>
      </w:r>
      <w:r w:rsidRPr="004A7691">
        <w:rPr>
          <w:rFonts w:ascii="Times New Roman" w:eastAsiaTheme="minorHAnsi" w:hAnsi="Times New Roman" w:cs="Times New Roman"/>
          <w:sz w:val="22"/>
          <w:szCs w:val="22"/>
        </w:rPr>
        <w:t xml:space="preserve">). </w:t>
      </w:r>
      <w:r w:rsidR="0025200A">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This appointment will be made in writing. </w:t>
      </w:r>
      <w:r w:rsidR="0025200A">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The auction manager will facilitate and manage the auction conducted </w:t>
      </w:r>
      <w:r w:rsidR="004E475F" w:rsidRPr="004A7691">
        <w:rPr>
          <w:rFonts w:ascii="Times New Roman" w:eastAsiaTheme="minorHAnsi" w:hAnsi="Times New Roman" w:cs="Times New Roman"/>
          <w:sz w:val="22"/>
          <w:szCs w:val="22"/>
        </w:rPr>
        <w:t>under th</w:t>
      </w:r>
      <w:r w:rsidR="006E128A">
        <w:rPr>
          <w:rFonts w:ascii="Times New Roman" w:eastAsiaTheme="minorHAnsi" w:hAnsi="Times New Roman" w:cs="Times New Roman"/>
          <w:sz w:val="22"/>
          <w:szCs w:val="22"/>
        </w:rPr>
        <w:t>e</w:t>
      </w:r>
      <w:r w:rsidR="004E475F" w:rsidRPr="004A7691">
        <w:rPr>
          <w:rFonts w:ascii="Times New Roman" w:eastAsiaTheme="minorHAnsi" w:hAnsi="Times New Roman" w:cs="Times New Roman"/>
          <w:sz w:val="22"/>
          <w:szCs w:val="22"/>
        </w:rPr>
        <w:t xml:space="preserve"> </w:t>
      </w:r>
      <w:r w:rsidR="006E128A">
        <w:rPr>
          <w:rFonts w:ascii="Times New Roman" w:eastAsiaTheme="minorHAnsi" w:hAnsi="Times New Roman" w:cs="Times New Roman"/>
          <w:sz w:val="22"/>
          <w:szCs w:val="22"/>
        </w:rPr>
        <w:t>Determination</w:t>
      </w:r>
      <w:r w:rsidRPr="004A7691">
        <w:rPr>
          <w:rFonts w:ascii="Times New Roman" w:eastAsiaTheme="minorHAnsi" w:hAnsi="Times New Roman" w:cs="Times New Roman"/>
          <w:sz w:val="22"/>
          <w:szCs w:val="22"/>
        </w:rPr>
        <w:t>.</w:t>
      </w:r>
    </w:p>
    <w:p w14:paraId="2E48C211" w14:textId="3CA45842" w:rsidR="00603AB1" w:rsidRPr="005615EA" w:rsidRDefault="00603AB1" w:rsidP="005615EA">
      <w:pPr>
        <w:keepNext/>
        <w:spacing w:after="160" w:line="259" w:lineRule="auto"/>
        <w:rPr>
          <w:rFonts w:eastAsiaTheme="minorHAnsi"/>
          <w:b/>
          <w:sz w:val="22"/>
          <w:szCs w:val="22"/>
          <w:lang w:eastAsia="en-US"/>
        </w:rPr>
      </w:pPr>
      <w:r w:rsidRPr="005615EA">
        <w:rPr>
          <w:rFonts w:eastAsiaTheme="minorHAnsi"/>
          <w:b/>
          <w:sz w:val="22"/>
          <w:szCs w:val="22"/>
          <w:lang w:eastAsia="en-US"/>
        </w:rPr>
        <w:t xml:space="preserve">Section </w:t>
      </w:r>
      <w:r w:rsidR="0092153A" w:rsidRPr="005615EA">
        <w:rPr>
          <w:rFonts w:eastAsiaTheme="minorHAnsi"/>
          <w:b/>
          <w:sz w:val="22"/>
          <w:szCs w:val="22"/>
          <w:lang w:eastAsia="en-US"/>
        </w:rPr>
        <w:t>2</w:t>
      </w:r>
      <w:r w:rsidR="00D95137" w:rsidRPr="005615EA">
        <w:rPr>
          <w:rFonts w:eastAsiaTheme="minorHAnsi"/>
          <w:b/>
          <w:sz w:val="22"/>
          <w:szCs w:val="22"/>
          <w:lang w:eastAsia="en-US"/>
        </w:rPr>
        <w:t>4</w:t>
      </w:r>
      <w:r w:rsidRPr="005615EA">
        <w:rPr>
          <w:rFonts w:eastAsiaTheme="minorHAnsi"/>
          <w:b/>
          <w:sz w:val="22"/>
          <w:szCs w:val="22"/>
          <w:lang w:eastAsia="en-US"/>
        </w:rPr>
        <w:tab/>
        <w:t>Setting application fee</w:t>
      </w:r>
    </w:p>
    <w:p w14:paraId="3849BF59" w14:textId="08DC1AB7"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This section </w:t>
      </w:r>
      <w:r w:rsidR="006E128A">
        <w:rPr>
          <w:rFonts w:ascii="Times New Roman" w:eastAsiaTheme="minorHAnsi" w:hAnsi="Times New Roman" w:cs="Times New Roman"/>
          <w:sz w:val="22"/>
          <w:szCs w:val="22"/>
        </w:rPr>
        <w:t>provides</w:t>
      </w:r>
      <w:r w:rsidRPr="004A7691">
        <w:rPr>
          <w:rFonts w:ascii="Times New Roman" w:eastAsiaTheme="minorHAnsi" w:hAnsi="Times New Roman" w:cs="Times New Roman"/>
          <w:sz w:val="22"/>
          <w:szCs w:val="22"/>
        </w:rPr>
        <w:t xml:space="preserve"> that the ACMA must set an application fee amount prior to inviting applications for the auction. </w:t>
      </w:r>
      <w:r w:rsidR="0025200A">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This amount set will be included in a notice to advertise the auction and must be paid as part of a valid application.</w:t>
      </w:r>
    </w:p>
    <w:p w14:paraId="003E8384" w14:textId="6A617CE9" w:rsidR="00603AB1" w:rsidRPr="005615EA" w:rsidRDefault="00603AB1" w:rsidP="005615EA">
      <w:pPr>
        <w:keepNext/>
        <w:spacing w:after="160" w:line="259" w:lineRule="auto"/>
        <w:rPr>
          <w:rFonts w:eastAsiaTheme="minorHAnsi"/>
          <w:b/>
          <w:sz w:val="22"/>
          <w:szCs w:val="22"/>
          <w:lang w:eastAsia="en-US"/>
        </w:rPr>
      </w:pPr>
      <w:r w:rsidRPr="005615EA">
        <w:rPr>
          <w:rFonts w:eastAsiaTheme="minorHAnsi"/>
          <w:b/>
          <w:sz w:val="22"/>
          <w:szCs w:val="22"/>
          <w:lang w:eastAsia="en-US"/>
        </w:rPr>
        <w:t xml:space="preserve">Section </w:t>
      </w:r>
      <w:r w:rsidR="0092153A" w:rsidRPr="005615EA">
        <w:rPr>
          <w:rFonts w:eastAsiaTheme="minorHAnsi"/>
          <w:b/>
          <w:sz w:val="22"/>
          <w:szCs w:val="22"/>
          <w:lang w:eastAsia="en-US"/>
        </w:rPr>
        <w:t>2</w:t>
      </w:r>
      <w:r w:rsidR="00D95137" w:rsidRPr="005615EA">
        <w:rPr>
          <w:rFonts w:eastAsiaTheme="minorHAnsi"/>
          <w:b/>
          <w:sz w:val="22"/>
          <w:szCs w:val="22"/>
          <w:lang w:eastAsia="en-US"/>
        </w:rPr>
        <w:t>5</w:t>
      </w:r>
      <w:r w:rsidRPr="005615EA">
        <w:rPr>
          <w:rFonts w:eastAsiaTheme="minorHAnsi"/>
          <w:b/>
          <w:sz w:val="22"/>
          <w:szCs w:val="22"/>
          <w:lang w:eastAsia="en-US"/>
        </w:rPr>
        <w:tab/>
        <w:t>Application fee not refundable</w:t>
      </w:r>
    </w:p>
    <w:p w14:paraId="79480BAF" w14:textId="30307496"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This section states that the application fee to be paid under </w:t>
      </w:r>
      <w:r w:rsidR="006E128A">
        <w:rPr>
          <w:rFonts w:ascii="Times New Roman" w:eastAsiaTheme="minorHAnsi" w:hAnsi="Times New Roman" w:cs="Times New Roman"/>
          <w:sz w:val="22"/>
          <w:szCs w:val="22"/>
        </w:rPr>
        <w:t>the Determination</w:t>
      </w:r>
      <w:r w:rsidR="00D95137" w:rsidRPr="004A7691">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as part of the application requirements will not be refunded to an applicant or bidder under any circumstances. </w:t>
      </w:r>
    </w:p>
    <w:p w14:paraId="5BF52346" w14:textId="1A6D92A8" w:rsidR="00603AB1" w:rsidRPr="005615EA" w:rsidRDefault="00603AB1" w:rsidP="005615EA">
      <w:pPr>
        <w:keepNext/>
        <w:spacing w:before="280" w:after="160" w:line="259" w:lineRule="auto"/>
        <w:rPr>
          <w:rFonts w:eastAsiaTheme="minorHAnsi"/>
          <w:b/>
          <w:lang w:eastAsia="en-US"/>
        </w:rPr>
      </w:pPr>
      <w:r w:rsidRPr="005615EA">
        <w:rPr>
          <w:rFonts w:eastAsiaTheme="minorHAnsi"/>
          <w:b/>
          <w:lang w:eastAsia="en-US"/>
        </w:rPr>
        <w:t xml:space="preserve">Division </w:t>
      </w:r>
      <w:r w:rsidR="00D95137" w:rsidRPr="005615EA">
        <w:rPr>
          <w:rFonts w:eastAsiaTheme="minorHAnsi"/>
          <w:b/>
          <w:lang w:eastAsia="en-US"/>
        </w:rPr>
        <w:t>3</w:t>
      </w:r>
      <w:r w:rsidRPr="005615EA">
        <w:rPr>
          <w:rFonts w:eastAsiaTheme="minorHAnsi"/>
          <w:b/>
          <w:lang w:eastAsia="en-US"/>
        </w:rPr>
        <w:tab/>
        <w:t>Advertising</w:t>
      </w:r>
      <w:r w:rsidR="00D95137" w:rsidRPr="005615EA">
        <w:rPr>
          <w:rFonts w:eastAsiaTheme="minorHAnsi"/>
          <w:b/>
          <w:lang w:eastAsia="en-US"/>
        </w:rPr>
        <w:t xml:space="preserve"> the </w:t>
      </w:r>
      <w:r w:rsidRPr="005615EA">
        <w:rPr>
          <w:rFonts w:eastAsiaTheme="minorHAnsi"/>
          <w:b/>
          <w:lang w:eastAsia="en-US"/>
        </w:rPr>
        <w:t>auction</w:t>
      </w:r>
    </w:p>
    <w:p w14:paraId="34F93CAC" w14:textId="48DBAFD6" w:rsidR="00603AB1" w:rsidRPr="005615EA" w:rsidRDefault="00603AB1" w:rsidP="005615EA">
      <w:pPr>
        <w:keepNext/>
        <w:spacing w:after="160" w:line="259" w:lineRule="auto"/>
        <w:rPr>
          <w:rFonts w:eastAsiaTheme="minorHAnsi"/>
          <w:b/>
          <w:sz w:val="22"/>
          <w:szCs w:val="22"/>
          <w:lang w:eastAsia="en-US"/>
        </w:rPr>
      </w:pPr>
      <w:r w:rsidRPr="005615EA">
        <w:rPr>
          <w:rFonts w:eastAsiaTheme="minorHAnsi"/>
          <w:b/>
          <w:sz w:val="22"/>
          <w:szCs w:val="22"/>
          <w:lang w:eastAsia="en-US"/>
        </w:rPr>
        <w:t xml:space="preserve">Section </w:t>
      </w:r>
      <w:r w:rsidR="0092153A" w:rsidRPr="005615EA">
        <w:rPr>
          <w:rFonts w:eastAsiaTheme="minorHAnsi"/>
          <w:b/>
          <w:sz w:val="22"/>
          <w:szCs w:val="22"/>
          <w:lang w:eastAsia="en-US"/>
        </w:rPr>
        <w:t>2</w:t>
      </w:r>
      <w:r w:rsidR="00D95137" w:rsidRPr="005615EA">
        <w:rPr>
          <w:rFonts w:eastAsiaTheme="minorHAnsi"/>
          <w:b/>
          <w:sz w:val="22"/>
          <w:szCs w:val="22"/>
          <w:lang w:eastAsia="en-US"/>
        </w:rPr>
        <w:t>6</w:t>
      </w:r>
      <w:r w:rsidRPr="005615EA">
        <w:rPr>
          <w:rFonts w:eastAsiaTheme="minorHAnsi"/>
          <w:b/>
          <w:sz w:val="22"/>
          <w:szCs w:val="22"/>
          <w:lang w:eastAsia="en-US"/>
        </w:rPr>
        <w:tab/>
        <w:t>Advertising of auction by ACMA</w:t>
      </w:r>
    </w:p>
    <w:p w14:paraId="5899504D" w14:textId="05F39BE2"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This section </w:t>
      </w:r>
      <w:r w:rsidR="006E128A">
        <w:rPr>
          <w:rFonts w:ascii="Times New Roman" w:eastAsiaTheme="minorHAnsi" w:hAnsi="Times New Roman" w:cs="Times New Roman"/>
          <w:sz w:val="22"/>
          <w:szCs w:val="22"/>
        </w:rPr>
        <w:t>provides</w:t>
      </w:r>
      <w:r w:rsidRPr="004A7691">
        <w:rPr>
          <w:rFonts w:ascii="Times New Roman" w:eastAsiaTheme="minorHAnsi" w:hAnsi="Times New Roman" w:cs="Times New Roman"/>
          <w:sz w:val="22"/>
          <w:szCs w:val="22"/>
        </w:rPr>
        <w:t xml:space="preserve"> that the ACMA must publish a notice on its website (</w:t>
      </w:r>
      <w:hyperlink r:id="rId15" w:history="1">
        <w:r w:rsidR="0025200A" w:rsidRPr="00275788">
          <w:rPr>
            <w:rStyle w:val="Hyperlink"/>
            <w:rFonts w:ascii="Times New Roman" w:eastAsiaTheme="minorHAnsi" w:hAnsi="Times New Roman"/>
            <w:sz w:val="22"/>
            <w:szCs w:val="22"/>
          </w:rPr>
          <w:t>www.acma.gov.au</w:t>
        </w:r>
      </w:hyperlink>
      <w:r w:rsidRPr="004A7691">
        <w:rPr>
          <w:rFonts w:ascii="Times New Roman" w:eastAsiaTheme="minorHAnsi" w:hAnsi="Times New Roman" w:cs="Times New Roman"/>
          <w:sz w:val="22"/>
          <w:szCs w:val="22"/>
        </w:rPr>
        <w:t xml:space="preserve">) inviting interested persons to apply to the ACMA to participate in the auction. </w:t>
      </w:r>
      <w:r w:rsidR="0025200A">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The notice will specify </w:t>
      </w:r>
      <w:r w:rsidRPr="004A7691">
        <w:rPr>
          <w:rFonts w:ascii="Times New Roman" w:eastAsiaTheme="minorHAnsi" w:hAnsi="Times New Roman" w:cs="Times New Roman"/>
          <w:sz w:val="22"/>
          <w:szCs w:val="22"/>
        </w:rPr>
        <w:lastRenderedPageBreak/>
        <w:t xml:space="preserve">the spectrum to be allocated and will describe in general terms how the allocation will proceed. </w:t>
      </w:r>
      <w:r w:rsidR="00A01EA4">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It will also inform prospective applicants how they may obtain </w:t>
      </w:r>
      <w:r w:rsidR="007B4B46" w:rsidRPr="004A7691">
        <w:rPr>
          <w:rFonts w:ascii="Times New Roman" w:eastAsiaTheme="minorHAnsi" w:hAnsi="Times New Roman" w:cs="Times New Roman"/>
          <w:sz w:val="22"/>
          <w:szCs w:val="22"/>
        </w:rPr>
        <w:t xml:space="preserve">the </w:t>
      </w:r>
      <w:r w:rsidR="006E128A">
        <w:rPr>
          <w:rFonts w:ascii="Times New Roman" w:eastAsiaTheme="minorHAnsi" w:hAnsi="Times New Roman" w:cs="Times New Roman"/>
          <w:sz w:val="22"/>
          <w:szCs w:val="22"/>
        </w:rPr>
        <w:t>applicant information package (</w:t>
      </w:r>
      <w:r w:rsidR="007B4B46" w:rsidRPr="006E128A">
        <w:rPr>
          <w:rFonts w:ascii="Times New Roman" w:eastAsiaTheme="minorHAnsi" w:hAnsi="Times New Roman" w:cs="Times New Roman"/>
          <w:b/>
          <w:sz w:val="22"/>
          <w:szCs w:val="22"/>
        </w:rPr>
        <w:t>AIP</w:t>
      </w:r>
      <w:r w:rsidR="006E128A">
        <w:rPr>
          <w:rFonts w:ascii="Times New Roman" w:eastAsiaTheme="minorHAnsi" w:hAnsi="Times New Roman" w:cs="Times New Roman"/>
          <w:sz w:val="22"/>
          <w:szCs w:val="22"/>
        </w:rPr>
        <w:t>)</w:t>
      </w:r>
      <w:r w:rsidRPr="004A7691">
        <w:rPr>
          <w:rFonts w:ascii="Times New Roman" w:eastAsiaTheme="minorHAnsi" w:hAnsi="Times New Roman" w:cs="Times New Roman"/>
          <w:sz w:val="22"/>
          <w:szCs w:val="22"/>
        </w:rPr>
        <w:t xml:space="preserve"> that will explain the </w:t>
      </w:r>
      <w:r w:rsidR="00750412" w:rsidRPr="004A7691">
        <w:rPr>
          <w:rFonts w:ascii="Times New Roman" w:eastAsiaTheme="minorHAnsi" w:hAnsi="Times New Roman" w:cs="Times New Roman"/>
          <w:sz w:val="22"/>
          <w:szCs w:val="22"/>
        </w:rPr>
        <w:t>allocation process</w:t>
      </w:r>
      <w:r w:rsidRPr="004A7691">
        <w:rPr>
          <w:rFonts w:ascii="Times New Roman" w:eastAsiaTheme="minorHAnsi" w:hAnsi="Times New Roman" w:cs="Times New Roman"/>
          <w:sz w:val="22"/>
          <w:szCs w:val="22"/>
        </w:rPr>
        <w:t xml:space="preserve"> in greater detail.</w:t>
      </w:r>
    </w:p>
    <w:p w14:paraId="0CAA6E32" w14:textId="2DE3EC0D"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The deadlines for lodging the documentation and payments required for </w:t>
      </w:r>
      <w:r w:rsidR="007879B5" w:rsidRPr="004A7691">
        <w:rPr>
          <w:rFonts w:ascii="Times New Roman" w:eastAsiaTheme="minorHAnsi" w:hAnsi="Times New Roman" w:cs="Times New Roman"/>
          <w:sz w:val="22"/>
          <w:szCs w:val="22"/>
        </w:rPr>
        <w:t>an</w:t>
      </w:r>
      <w:r w:rsidRPr="004A7691">
        <w:rPr>
          <w:rFonts w:ascii="Times New Roman" w:eastAsiaTheme="minorHAnsi" w:hAnsi="Times New Roman" w:cs="Times New Roman"/>
          <w:sz w:val="22"/>
          <w:szCs w:val="22"/>
        </w:rPr>
        <w:t xml:space="preserve"> application</w:t>
      </w:r>
      <w:r w:rsidR="000816B6" w:rsidRPr="004A7691">
        <w:rPr>
          <w:rFonts w:ascii="Times New Roman" w:eastAsiaTheme="minorHAnsi" w:hAnsi="Times New Roman" w:cs="Times New Roman"/>
          <w:sz w:val="22"/>
          <w:szCs w:val="22"/>
        </w:rPr>
        <w:t xml:space="preserve"> (</w:t>
      </w:r>
      <w:r w:rsidR="000816B6" w:rsidRPr="006E128A">
        <w:rPr>
          <w:rFonts w:ascii="Times New Roman" w:eastAsiaTheme="minorHAnsi" w:hAnsi="Times New Roman" w:cs="Times New Roman"/>
          <w:b/>
          <w:sz w:val="22"/>
          <w:szCs w:val="22"/>
        </w:rPr>
        <w:t>application deadline</w:t>
      </w:r>
      <w:r w:rsidR="000816B6" w:rsidRPr="004A7691">
        <w:rPr>
          <w:rFonts w:ascii="Times New Roman" w:eastAsiaTheme="minorHAnsi" w:hAnsi="Times New Roman" w:cs="Times New Roman"/>
          <w:sz w:val="22"/>
          <w:szCs w:val="22"/>
        </w:rPr>
        <w:t>)</w:t>
      </w:r>
      <w:r w:rsidRPr="004A7691">
        <w:rPr>
          <w:rFonts w:ascii="Times New Roman" w:eastAsiaTheme="minorHAnsi" w:hAnsi="Times New Roman" w:cs="Times New Roman"/>
          <w:sz w:val="22"/>
          <w:szCs w:val="22"/>
        </w:rPr>
        <w:t xml:space="preserve"> and </w:t>
      </w:r>
      <w:r w:rsidR="005E6FD1" w:rsidRPr="004A7691">
        <w:rPr>
          <w:rFonts w:ascii="Times New Roman" w:eastAsiaTheme="minorHAnsi" w:hAnsi="Times New Roman" w:cs="Times New Roman"/>
          <w:sz w:val="22"/>
          <w:szCs w:val="22"/>
        </w:rPr>
        <w:t>preference</w:t>
      </w:r>
      <w:r w:rsidRPr="004A7691">
        <w:rPr>
          <w:rFonts w:ascii="Times New Roman" w:eastAsiaTheme="minorHAnsi" w:hAnsi="Times New Roman" w:cs="Times New Roman"/>
          <w:sz w:val="22"/>
          <w:szCs w:val="22"/>
        </w:rPr>
        <w:t xml:space="preserve"> nomination </w:t>
      </w:r>
      <w:r w:rsidR="000816B6" w:rsidRPr="004A7691">
        <w:rPr>
          <w:rFonts w:ascii="Times New Roman" w:eastAsiaTheme="minorHAnsi" w:hAnsi="Times New Roman" w:cs="Times New Roman"/>
          <w:sz w:val="22"/>
          <w:szCs w:val="22"/>
        </w:rPr>
        <w:t>(</w:t>
      </w:r>
      <w:r w:rsidR="000816B6" w:rsidRPr="006E128A">
        <w:rPr>
          <w:rFonts w:ascii="Times New Roman" w:eastAsiaTheme="minorHAnsi" w:hAnsi="Times New Roman" w:cs="Times New Roman"/>
          <w:b/>
          <w:sz w:val="22"/>
          <w:szCs w:val="22"/>
        </w:rPr>
        <w:t>preference deadline</w:t>
      </w:r>
      <w:r w:rsidR="000816B6" w:rsidRPr="004A7691">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to participate in the </w:t>
      </w:r>
      <w:r w:rsidR="00750412" w:rsidRPr="004A7691">
        <w:rPr>
          <w:rFonts w:ascii="Times New Roman" w:eastAsiaTheme="minorHAnsi" w:hAnsi="Times New Roman" w:cs="Times New Roman"/>
          <w:sz w:val="22"/>
          <w:szCs w:val="22"/>
        </w:rPr>
        <w:t>allocation</w:t>
      </w:r>
      <w:r w:rsidRPr="004A7691">
        <w:rPr>
          <w:rFonts w:ascii="Times New Roman" w:eastAsiaTheme="minorHAnsi" w:hAnsi="Times New Roman" w:cs="Times New Roman"/>
          <w:sz w:val="22"/>
          <w:szCs w:val="22"/>
        </w:rPr>
        <w:t xml:space="preserve"> </w:t>
      </w:r>
      <w:r w:rsidR="00750412" w:rsidRPr="004A7691">
        <w:rPr>
          <w:rFonts w:ascii="Times New Roman" w:eastAsiaTheme="minorHAnsi" w:hAnsi="Times New Roman" w:cs="Times New Roman"/>
          <w:sz w:val="22"/>
          <w:szCs w:val="22"/>
        </w:rPr>
        <w:t xml:space="preserve">process </w:t>
      </w:r>
      <w:r w:rsidRPr="004A7691">
        <w:rPr>
          <w:rFonts w:ascii="Times New Roman" w:eastAsiaTheme="minorHAnsi" w:hAnsi="Times New Roman" w:cs="Times New Roman"/>
          <w:sz w:val="22"/>
          <w:szCs w:val="22"/>
        </w:rPr>
        <w:t>will also be included in the notice.</w:t>
      </w:r>
    </w:p>
    <w:p w14:paraId="01522DF0" w14:textId="6DAFE538"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This section also notes that if there are any changes to information in the notice, the ACMA must publish another notice on its website with details of the change. </w:t>
      </w:r>
      <w:r w:rsidR="00A01EA4">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Subsection (3) </w:t>
      </w:r>
      <w:r w:rsidR="006E128A">
        <w:rPr>
          <w:rFonts w:ascii="Times New Roman" w:eastAsiaTheme="minorHAnsi" w:hAnsi="Times New Roman" w:cs="Times New Roman"/>
          <w:sz w:val="22"/>
          <w:szCs w:val="22"/>
        </w:rPr>
        <w:t>provides</w:t>
      </w:r>
      <w:r w:rsidR="006E128A" w:rsidRPr="004A7691">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that the ACMA may also publish the information provided in the advertisement, and other information about the auction, by other means.</w:t>
      </w:r>
    </w:p>
    <w:p w14:paraId="48B90563" w14:textId="7D1EF57D" w:rsidR="00603AB1" w:rsidRPr="005615EA" w:rsidRDefault="00603AB1" w:rsidP="005615EA">
      <w:pPr>
        <w:keepNext/>
        <w:spacing w:after="160" w:line="259" w:lineRule="auto"/>
        <w:rPr>
          <w:rFonts w:eastAsiaTheme="minorHAnsi"/>
          <w:b/>
          <w:sz w:val="22"/>
          <w:szCs w:val="22"/>
          <w:lang w:eastAsia="en-US"/>
        </w:rPr>
      </w:pPr>
      <w:r w:rsidRPr="005615EA">
        <w:rPr>
          <w:rFonts w:eastAsiaTheme="minorHAnsi"/>
          <w:b/>
          <w:sz w:val="22"/>
          <w:szCs w:val="22"/>
          <w:lang w:eastAsia="en-US"/>
        </w:rPr>
        <w:t xml:space="preserve">Section </w:t>
      </w:r>
      <w:r w:rsidR="0092153A" w:rsidRPr="005615EA">
        <w:rPr>
          <w:rFonts w:eastAsiaTheme="minorHAnsi"/>
          <w:b/>
          <w:sz w:val="22"/>
          <w:szCs w:val="22"/>
          <w:lang w:eastAsia="en-US"/>
        </w:rPr>
        <w:t>2</w:t>
      </w:r>
      <w:r w:rsidR="000816B6" w:rsidRPr="005615EA">
        <w:rPr>
          <w:rFonts w:eastAsiaTheme="minorHAnsi"/>
          <w:b/>
          <w:sz w:val="22"/>
          <w:szCs w:val="22"/>
          <w:lang w:eastAsia="en-US"/>
        </w:rPr>
        <w:t>7</w:t>
      </w:r>
      <w:r w:rsidRPr="005615EA">
        <w:rPr>
          <w:rFonts w:eastAsiaTheme="minorHAnsi"/>
          <w:b/>
          <w:sz w:val="22"/>
          <w:szCs w:val="22"/>
          <w:lang w:eastAsia="en-US"/>
        </w:rPr>
        <w:tab/>
        <w:t xml:space="preserve">Applicant </w:t>
      </w:r>
      <w:r w:rsidR="007879B5" w:rsidRPr="005615EA">
        <w:rPr>
          <w:rFonts w:eastAsiaTheme="minorHAnsi"/>
          <w:b/>
          <w:sz w:val="22"/>
          <w:szCs w:val="22"/>
          <w:lang w:eastAsia="en-US"/>
        </w:rPr>
        <w:t>i</w:t>
      </w:r>
      <w:r w:rsidRPr="005615EA">
        <w:rPr>
          <w:rFonts w:eastAsiaTheme="minorHAnsi"/>
          <w:b/>
          <w:sz w:val="22"/>
          <w:szCs w:val="22"/>
          <w:lang w:eastAsia="en-US"/>
        </w:rPr>
        <w:t xml:space="preserve">nformation </w:t>
      </w:r>
      <w:r w:rsidR="007879B5" w:rsidRPr="005615EA">
        <w:rPr>
          <w:rFonts w:eastAsiaTheme="minorHAnsi"/>
          <w:b/>
          <w:sz w:val="22"/>
          <w:szCs w:val="22"/>
          <w:lang w:eastAsia="en-US"/>
        </w:rPr>
        <w:t>p</w:t>
      </w:r>
      <w:r w:rsidRPr="005615EA">
        <w:rPr>
          <w:rFonts w:eastAsiaTheme="minorHAnsi"/>
          <w:b/>
          <w:sz w:val="22"/>
          <w:szCs w:val="22"/>
          <w:lang w:eastAsia="en-US"/>
        </w:rPr>
        <w:t>ackage</w:t>
      </w:r>
    </w:p>
    <w:p w14:paraId="7D107F74" w14:textId="1BE37349"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The AIP is intended to give prospective participants the key information they need to decide whether to participate in the </w:t>
      </w:r>
      <w:r w:rsidR="00750412" w:rsidRPr="004A7691">
        <w:rPr>
          <w:rFonts w:ascii="Times New Roman" w:eastAsiaTheme="minorHAnsi" w:hAnsi="Times New Roman" w:cs="Times New Roman"/>
          <w:sz w:val="22"/>
          <w:szCs w:val="22"/>
        </w:rPr>
        <w:t>allocation process</w:t>
      </w:r>
      <w:r w:rsidRPr="004A7691">
        <w:rPr>
          <w:rFonts w:ascii="Times New Roman" w:eastAsiaTheme="minorHAnsi" w:hAnsi="Times New Roman" w:cs="Times New Roman"/>
          <w:sz w:val="22"/>
          <w:szCs w:val="22"/>
        </w:rPr>
        <w:t xml:space="preserve">. </w:t>
      </w:r>
      <w:r w:rsidR="00A01EA4">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This section specifies the information that the AIP will contain. </w:t>
      </w:r>
      <w:r w:rsidR="00A01EA4">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The AIP will include the </w:t>
      </w:r>
      <w:r w:rsidR="007879B5" w:rsidRPr="004A7691">
        <w:rPr>
          <w:rFonts w:ascii="Times New Roman" w:eastAsiaTheme="minorHAnsi" w:hAnsi="Times New Roman" w:cs="Times New Roman"/>
          <w:sz w:val="22"/>
          <w:szCs w:val="22"/>
        </w:rPr>
        <w:t xml:space="preserve">Determination and marketing plan, the </w:t>
      </w:r>
      <w:r w:rsidR="006E128A">
        <w:rPr>
          <w:rFonts w:ascii="Times New Roman" w:eastAsiaTheme="minorHAnsi" w:hAnsi="Times New Roman" w:cs="Times New Roman"/>
          <w:sz w:val="22"/>
          <w:szCs w:val="22"/>
        </w:rPr>
        <w:t>R</w:t>
      </w:r>
      <w:r w:rsidR="000A2C54" w:rsidRPr="004A7691">
        <w:rPr>
          <w:rFonts w:ascii="Times New Roman" w:eastAsiaTheme="minorHAnsi" w:hAnsi="Times New Roman" w:cs="Times New Roman"/>
          <w:sz w:val="22"/>
          <w:szCs w:val="22"/>
        </w:rPr>
        <w:t xml:space="preserve">e-allocation </w:t>
      </w:r>
      <w:r w:rsidR="006E128A">
        <w:rPr>
          <w:rFonts w:ascii="Times New Roman" w:eastAsiaTheme="minorHAnsi" w:hAnsi="Times New Roman" w:cs="Times New Roman"/>
          <w:sz w:val="22"/>
          <w:szCs w:val="22"/>
        </w:rPr>
        <w:t>D</w:t>
      </w:r>
      <w:r w:rsidRPr="004A7691">
        <w:rPr>
          <w:rFonts w:ascii="Times New Roman" w:eastAsiaTheme="minorHAnsi" w:hAnsi="Times New Roman" w:cs="Times New Roman"/>
          <w:sz w:val="22"/>
          <w:szCs w:val="22"/>
        </w:rPr>
        <w:t>eclaration</w:t>
      </w:r>
      <w:r w:rsidR="000A2C54" w:rsidRPr="004A7691">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and </w:t>
      </w:r>
      <w:r w:rsidR="006E128A">
        <w:rPr>
          <w:rFonts w:ascii="Times New Roman" w:eastAsiaTheme="minorHAnsi" w:hAnsi="Times New Roman" w:cs="Times New Roman"/>
          <w:sz w:val="22"/>
          <w:szCs w:val="22"/>
        </w:rPr>
        <w:t>the Residual 700 MHz Spectrum Direction</w:t>
      </w:r>
      <w:r w:rsidR="007879B5" w:rsidRPr="004A7691">
        <w:rPr>
          <w:rFonts w:ascii="Times New Roman" w:eastAsiaTheme="minorHAnsi" w:hAnsi="Times New Roman" w:cs="Times New Roman"/>
          <w:sz w:val="22"/>
          <w:szCs w:val="22"/>
        </w:rPr>
        <w:t>,</w:t>
      </w:r>
      <w:r w:rsidRPr="004A7691">
        <w:rPr>
          <w:rFonts w:ascii="Times New Roman" w:eastAsiaTheme="minorHAnsi" w:hAnsi="Times New Roman" w:cs="Times New Roman"/>
          <w:sz w:val="22"/>
          <w:szCs w:val="22"/>
        </w:rPr>
        <w:t xml:space="preserve"> </w:t>
      </w:r>
      <w:r w:rsidR="00A01EA4">
        <w:rPr>
          <w:rFonts w:ascii="Times New Roman" w:eastAsiaTheme="minorHAnsi" w:hAnsi="Times New Roman" w:cs="Times New Roman"/>
          <w:sz w:val="22"/>
          <w:szCs w:val="22"/>
        </w:rPr>
        <w:t xml:space="preserve">which are the instruments </w:t>
      </w:r>
      <w:r w:rsidRPr="004A7691">
        <w:rPr>
          <w:rFonts w:ascii="Times New Roman" w:eastAsiaTheme="minorHAnsi" w:hAnsi="Times New Roman" w:cs="Times New Roman"/>
          <w:sz w:val="22"/>
          <w:szCs w:val="22"/>
        </w:rPr>
        <w:t>that provide the legal basis for th</w:t>
      </w:r>
      <w:r w:rsidR="006C352A">
        <w:rPr>
          <w:rFonts w:ascii="Times New Roman" w:eastAsiaTheme="minorHAnsi" w:hAnsi="Times New Roman" w:cs="Times New Roman"/>
          <w:sz w:val="22"/>
          <w:szCs w:val="22"/>
        </w:rPr>
        <w:t>e</w:t>
      </w:r>
      <w:r w:rsidRPr="004A7691">
        <w:rPr>
          <w:rFonts w:ascii="Times New Roman" w:eastAsiaTheme="minorHAnsi" w:hAnsi="Times New Roman" w:cs="Times New Roman"/>
          <w:sz w:val="22"/>
          <w:szCs w:val="22"/>
        </w:rPr>
        <w:t xml:space="preserve"> allocation</w:t>
      </w:r>
      <w:r w:rsidR="006E128A">
        <w:rPr>
          <w:rFonts w:ascii="Times New Roman" w:eastAsiaTheme="minorHAnsi" w:hAnsi="Times New Roman" w:cs="Times New Roman"/>
          <w:sz w:val="22"/>
          <w:szCs w:val="22"/>
        </w:rPr>
        <w:t xml:space="preserve"> process</w:t>
      </w:r>
      <w:r w:rsidR="000F2240" w:rsidRPr="004A7691">
        <w:rPr>
          <w:rFonts w:ascii="Times New Roman" w:eastAsiaTheme="minorHAnsi" w:hAnsi="Times New Roman" w:cs="Times New Roman"/>
          <w:sz w:val="22"/>
          <w:szCs w:val="22"/>
        </w:rPr>
        <w:t>.</w:t>
      </w:r>
    </w:p>
    <w:p w14:paraId="7CF67E4C" w14:textId="6CECF359"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The AIP will provide information needed for a person to apply</w:t>
      </w:r>
      <w:r w:rsidR="007B4B46" w:rsidRPr="004A7691">
        <w:rPr>
          <w:rFonts w:ascii="Times New Roman" w:eastAsiaTheme="minorHAnsi" w:hAnsi="Times New Roman" w:cs="Times New Roman"/>
          <w:sz w:val="22"/>
          <w:szCs w:val="22"/>
        </w:rPr>
        <w:t xml:space="preserve"> to</w:t>
      </w:r>
      <w:r w:rsidRPr="004A7691">
        <w:rPr>
          <w:rFonts w:ascii="Times New Roman" w:eastAsiaTheme="minorHAnsi" w:hAnsi="Times New Roman" w:cs="Times New Roman"/>
          <w:sz w:val="22"/>
          <w:szCs w:val="22"/>
        </w:rPr>
        <w:t xml:space="preserve"> be registered</w:t>
      </w:r>
      <w:r w:rsidR="007B4B46" w:rsidRPr="004A7691">
        <w:rPr>
          <w:rFonts w:ascii="Times New Roman" w:eastAsiaTheme="minorHAnsi" w:hAnsi="Times New Roman" w:cs="Times New Roman"/>
          <w:sz w:val="22"/>
          <w:szCs w:val="22"/>
        </w:rPr>
        <w:t xml:space="preserve"> as a bidder</w:t>
      </w:r>
      <w:r w:rsidRPr="004A7691">
        <w:rPr>
          <w:rFonts w:ascii="Times New Roman" w:eastAsiaTheme="minorHAnsi" w:hAnsi="Times New Roman" w:cs="Times New Roman"/>
          <w:sz w:val="22"/>
          <w:szCs w:val="22"/>
        </w:rPr>
        <w:t xml:space="preserve">, participate in the auction </w:t>
      </w:r>
      <w:r w:rsidR="000A2C54" w:rsidRPr="004A7691">
        <w:rPr>
          <w:rFonts w:ascii="Times New Roman" w:eastAsiaTheme="minorHAnsi" w:hAnsi="Times New Roman" w:cs="Times New Roman"/>
          <w:sz w:val="22"/>
          <w:szCs w:val="22"/>
        </w:rPr>
        <w:t>or pre-determined price allocation</w:t>
      </w:r>
      <w:r w:rsidR="00750412" w:rsidRPr="004A7691">
        <w:rPr>
          <w:rFonts w:ascii="Times New Roman" w:eastAsiaTheme="minorHAnsi" w:hAnsi="Times New Roman" w:cs="Times New Roman"/>
          <w:sz w:val="22"/>
          <w:szCs w:val="22"/>
        </w:rPr>
        <w:t>,</w:t>
      </w:r>
      <w:r w:rsidR="000A2C54" w:rsidRPr="004A7691">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and </w:t>
      </w:r>
      <w:r w:rsidR="006E128A">
        <w:rPr>
          <w:rFonts w:ascii="Times New Roman" w:eastAsiaTheme="minorHAnsi" w:hAnsi="Times New Roman" w:cs="Times New Roman"/>
          <w:sz w:val="22"/>
          <w:szCs w:val="22"/>
        </w:rPr>
        <w:t>be allocated and issued</w:t>
      </w:r>
      <w:r w:rsidRPr="004A7691">
        <w:rPr>
          <w:rFonts w:ascii="Times New Roman" w:eastAsiaTheme="minorHAnsi" w:hAnsi="Times New Roman" w:cs="Times New Roman"/>
          <w:sz w:val="22"/>
          <w:szCs w:val="22"/>
        </w:rPr>
        <w:t xml:space="preserve"> spectrum licences.</w:t>
      </w:r>
      <w:r w:rsidR="00A01EA4">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 All forms and documentation required for an applicant to apply and be registered to participate in the </w:t>
      </w:r>
      <w:r w:rsidR="00750412" w:rsidRPr="004A7691">
        <w:rPr>
          <w:rFonts w:ascii="Times New Roman" w:eastAsiaTheme="minorHAnsi" w:hAnsi="Times New Roman" w:cs="Times New Roman"/>
          <w:sz w:val="22"/>
          <w:szCs w:val="22"/>
        </w:rPr>
        <w:t>allocation</w:t>
      </w:r>
      <w:r w:rsidRPr="004A7691">
        <w:rPr>
          <w:rFonts w:ascii="Times New Roman" w:eastAsiaTheme="minorHAnsi" w:hAnsi="Times New Roman" w:cs="Times New Roman"/>
          <w:sz w:val="22"/>
          <w:szCs w:val="22"/>
        </w:rPr>
        <w:t xml:space="preserve"> will be provided, except for the </w:t>
      </w:r>
      <w:r w:rsidR="005E6FD1" w:rsidRPr="004A7691">
        <w:rPr>
          <w:rFonts w:ascii="Times New Roman" w:eastAsiaTheme="minorHAnsi" w:hAnsi="Times New Roman" w:cs="Times New Roman"/>
          <w:sz w:val="22"/>
          <w:szCs w:val="22"/>
        </w:rPr>
        <w:t>preference</w:t>
      </w:r>
      <w:r w:rsidRPr="004A7691">
        <w:rPr>
          <w:rFonts w:ascii="Times New Roman" w:eastAsiaTheme="minorHAnsi" w:hAnsi="Times New Roman" w:cs="Times New Roman"/>
          <w:sz w:val="22"/>
          <w:szCs w:val="22"/>
        </w:rPr>
        <w:t xml:space="preserve"> nomination form</w:t>
      </w:r>
      <w:r w:rsidR="00365496" w:rsidRPr="004A7691">
        <w:rPr>
          <w:rFonts w:ascii="Times New Roman" w:eastAsiaTheme="minorHAnsi" w:hAnsi="Times New Roman" w:cs="Times New Roman"/>
          <w:sz w:val="22"/>
          <w:szCs w:val="22"/>
        </w:rPr>
        <w:t xml:space="preserve"> (which will be provided later)</w:t>
      </w:r>
      <w:r w:rsidRPr="004A7691">
        <w:rPr>
          <w:rFonts w:ascii="Times New Roman" w:eastAsiaTheme="minorHAnsi" w:hAnsi="Times New Roman" w:cs="Times New Roman"/>
          <w:sz w:val="22"/>
          <w:szCs w:val="22"/>
        </w:rPr>
        <w:t>.</w:t>
      </w:r>
      <w:r w:rsidR="006C352A">
        <w:rPr>
          <w:rFonts w:ascii="Times New Roman" w:eastAsiaTheme="minorHAnsi" w:hAnsi="Times New Roman" w:cs="Times New Roman"/>
          <w:sz w:val="22"/>
          <w:szCs w:val="22"/>
        </w:rPr>
        <w:t xml:space="preserve">  The ACMA may provide forms for the bank guarantees referred to in subsections 44(6) and 75(7) in the AIP; if it does not, it will provide those forms by other means.</w:t>
      </w:r>
    </w:p>
    <w:p w14:paraId="17581EE0" w14:textId="1CDEF64E" w:rsidR="00603AB1" w:rsidRPr="004A7691" w:rsidRDefault="00603AB1"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 xml:space="preserve">To assist interested parties to better understand the contents of the AIP, this package will include a covering paper which will set out a concise summary of how the allocation will take place as well as any other relevant information. </w:t>
      </w:r>
      <w:r w:rsidR="00A01EA4">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 xml:space="preserve">This document is referred to in </w:t>
      </w:r>
      <w:r w:rsidR="00A01EA4">
        <w:rPr>
          <w:rFonts w:ascii="Times New Roman" w:eastAsiaTheme="minorHAnsi" w:hAnsi="Times New Roman" w:cs="Times New Roman"/>
          <w:sz w:val="22"/>
          <w:szCs w:val="22"/>
        </w:rPr>
        <w:t>the Determination</w:t>
      </w:r>
      <w:r w:rsidR="00AF7162" w:rsidRPr="004A7691">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as the ‘guide to the auction’ (</w:t>
      </w:r>
      <w:r w:rsidR="00151246" w:rsidRPr="004A7691">
        <w:rPr>
          <w:rFonts w:ascii="Times New Roman" w:eastAsiaTheme="minorHAnsi" w:hAnsi="Times New Roman" w:cs="Times New Roman"/>
          <w:sz w:val="22"/>
          <w:szCs w:val="22"/>
        </w:rPr>
        <w:t>paragrap</w:t>
      </w:r>
      <w:r w:rsidR="00750412" w:rsidRPr="004A7691">
        <w:rPr>
          <w:rFonts w:ascii="Times New Roman" w:eastAsiaTheme="minorHAnsi" w:hAnsi="Times New Roman" w:cs="Times New Roman"/>
          <w:sz w:val="22"/>
          <w:szCs w:val="22"/>
        </w:rPr>
        <w:t>h</w:t>
      </w:r>
      <w:r w:rsidRPr="004A7691">
        <w:rPr>
          <w:rFonts w:ascii="Times New Roman" w:eastAsiaTheme="minorHAnsi" w:hAnsi="Times New Roman" w:cs="Times New Roman"/>
          <w:sz w:val="22"/>
          <w:szCs w:val="22"/>
        </w:rPr>
        <w:t xml:space="preserve"> </w:t>
      </w:r>
      <w:r w:rsidR="0092153A" w:rsidRPr="004A7691">
        <w:rPr>
          <w:rFonts w:ascii="Times New Roman" w:eastAsiaTheme="minorHAnsi" w:hAnsi="Times New Roman" w:cs="Times New Roman"/>
          <w:sz w:val="22"/>
          <w:szCs w:val="22"/>
        </w:rPr>
        <w:t>2</w:t>
      </w:r>
      <w:r w:rsidR="00AF7162" w:rsidRPr="004A7691">
        <w:rPr>
          <w:rFonts w:ascii="Times New Roman" w:eastAsiaTheme="minorHAnsi" w:hAnsi="Times New Roman" w:cs="Times New Roman"/>
          <w:sz w:val="22"/>
          <w:szCs w:val="22"/>
        </w:rPr>
        <w:t>7</w:t>
      </w:r>
      <w:r w:rsidRPr="004A7691">
        <w:rPr>
          <w:rFonts w:ascii="Times New Roman" w:eastAsiaTheme="minorHAnsi" w:hAnsi="Times New Roman" w:cs="Times New Roman"/>
          <w:sz w:val="22"/>
          <w:szCs w:val="22"/>
        </w:rPr>
        <w:t>(1</w:t>
      </w:r>
      <w:proofErr w:type="gramStart"/>
      <w:r w:rsidRPr="004A7691">
        <w:rPr>
          <w:rFonts w:ascii="Times New Roman" w:eastAsiaTheme="minorHAnsi" w:hAnsi="Times New Roman" w:cs="Times New Roman"/>
          <w:sz w:val="22"/>
          <w:szCs w:val="22"/>
        </w:rPr>
        <w:t>)(</w:t>
      </w:r>
      <w:proofErr w:type="gramEnd"/>
      <w:r w:rsidR="00D16B44" w:rsidRPr="004A7691">
        <w:rPr>
          <w:rFonts w:ascii="Times New Roman" w:eastAsiaTheme="minorHAnsi" w:hAnsi="Times New Roman" w:cs="Times New Roman"/>
          <w:sz w:val="22"/>
          <w:szCs w:val="22"/>
        </w:rPr>
        <w:t>e</w:t>
      </w:r>
      <w:r w:rsidRPr="004A7691">
        <w:rPr>
          <w:rFonts w:ascii="Times New Roman" w:eastAsiaTheme="minorHAnsi" w:hAnsi="Times New Roman" w:cs="Times New Roman"/>
          <w:sz w:val="22"/>
          <w:szCs w:val="22"/>
        </w:rPr>
        <w:t>)).</w:t>
      </w:r>
    </w:p>
    <w:p w14:paraId="2AA53531" w14:textId="41568122" w:rsidR="00603AB1" w:rsidRPr="004A7691" w:rsidRDefault="00365496" w:rsidP="00D67611">
      <w:pPr>
        <w:pStyle w:val="ACMABodyText"/>
        <w:rPr>
          <w:rFonts w:ascii="Times New Roman" w:eastAsiaTheme="minorHAnsi" w:hAnsi="Times New Roman" w:cs="Times New Roman"/>
          <w:sz w:val="22"/>
          <w:szCs w:val="22"/>
        </w:rPr>
      </w:pPr>
      <w:r w:rsidRPr="004A7691">
        <w:rPr>
          <w:rFonts w:ascii="Times New Roman" w:eastAsiaTheme="minorHAnsi" w:hAnsi="Times New Roman" w:cs="Times New Roman"/>
          <w:sz w:val="22"/>
          <w:szCs w:val="22"/>
        </w:rPr>
        <w:t>T</w:t>
      </w:r>
      <w:r w:rsidR="00603AB1" w:rsidRPr="004A7691">
        <w:rPr>
          <w:rFonts w:ascii="Times New Roman" w:eastAsiaTheme="minorHAnsi" w:hAnsi="Times New Roman" w:cs="Times New Roman"/>
          <w:sz w:val="22"/>
          <w:szCs w:val="22"/>
        </w:rPr>
        <w:t xml:space="preserve">he ACMA must publish </w:t>
      </w:r>
      <w:r w:rsidRPr="004A7691">
        <w:rPr>
          <w:rFonts w:ascii="Times New Roman" w:eastAsiaTheme="minorHAnsi" w:hAnsi="Times New Roman" w:cs="Times New Roman"/>
          <w:sz w:val="22"/>
          <w:szCs w:val="22"/>
        </w:rPr>
        <w:t xml:space="preserve">the AIP </w:t>
      </w:r>
      <w:r w:rsidR="00603AB1" w:rsidRPr="004A7691">
        <w:rPr>
          <w:rFonts w:ascii="Times New Roman" w:eastAsiaTheme="minorHAnsi" w:hAnsi="Times New Roman" w:cs="Times New Roman"/>
          <w:sz w:val="22"/>
          <w:szCs w:val="22"/>
        </w:rPr>
        <w:t>on its website</w:t>
      </w:r>
      <w:r w:rsidRPr="004A7691">
        <w:rPr>
          <w:rFonts w:ascii="Times New Roman" w:eastAsiaTheme="minorHAnsi" w:hAnsi="Times New Roman" w:cs="Times New Roman"/>
          <w:sz w:val="22"/>
          <w:szCs w:val="22"/>
        </w:rPr>
        <w:t xml:space="preserve">. </w:t>
      </w:r>
      <w:r w:rsidR="00A01EA4">
        <w:rPr>
          <w:rFonts w:ascii="Times New Roman" w:eastAsiaTheme="minorHAnsi" w:hAnsi="Times New Roman" w:cs="Times New Roman"/>
          <w:sz w:val="22"/>
          <w:szCs w:val="22"/>
        </w:rPr>
        <w:t xml:space="preserve"> </w:t>
      </w:r>
      <w:r w:rsidRPr="004A7691">
        <w:rPr>
          <w:rFonts w:ascii="Times New Roman" w:eastAsiaTheme="minorHAnsi" w:hAnsi="Times New Roman" w:cs="Times New Roman"/>
          <w:sz w:val="22"/>
          <w:szCs w:val="22"/>
        </w:rPr>
        <w:t>A</w:t>
      </w:r>
      <w:r w:rsidR="00603AB1" w:rsidRPr="004A7691">
        <w:rPr>
          <w:rFonts w:ascii="Times New Roman" w:eastAsiaTheme="minorHAnsi" w:hAnsi="Times New Roman" w:cs="Times New Roman"/>
          <w:sz w:val="22"/>
          <w:szCs w:val="22"/>
        </w:rPr>
        <w:t xml:space="preserve"> notice </w:t>
      </w:r>
      <w:r w:rsidRPr="004A7691">
        <w:rPr>
          <w:rFonts w:ascii="Times New Roman" w:eastAsiaTheme="minorHAnsi" w:hAnsi="Times New Roman" w:cs="Times New Roman"/>
          <w:sz w:val="22"/>
          <w:szCs w:val="22"/>
        </w:rPr>
        <w:t xml:space="preserve">will also be published </w:t>
      </w:r>
      <w:r w:rsidR="00603AB1" w:rsidRPr="004A7691">
        <w:rPr>
          <w:rFonts w:ascii="Times New Roman" w:eastAsiaTheme="minorHAnsi" w:hAnsi="Times New Roman" w:cs="Times New Roman"/>
          <w:sz w:val="22"/>
          <w:szCs w:val="22"/>
        </w:rPr>
        <w:t>giving detail</w:t>
      </w:r>
      <w:r w:rsidRPr="004A7691">
        <w:rPr>
          <w:rFonts w:ascii="Times New Roman" w:eastAsiaTheme="minorHAnsi" w:hAnsi="Times New Roman" w:cs="Times New Roman"/>
          <w:sz w:val="22"/>
          <w:szCs w:val="22"/>
        </w:rPr>
        <w:t>s</w:t>
      </w:r>
      <w:r w:rsidR="00603AB1" w:rsidRPr="004A7691">
        <w:rPr>
          <w:rFonts w:ascii="Times New Roman" w:eastAsiaTheme="minorHAnsi" w:hAnsi="Times New Roman" w:cs="Times New Roman"/>
          <w:sz w:val="22"/>
          <w:szCs w:val="22"/>
        </w:rPr>
        <w:t xml:space="preserve"> of any </w:t>
      </w:r>
      <w:r w:rsidR="00D16B44" w:rsidRPr="004A7691">
        <w:rPr>
          <w:rFonts w:ascii="Times New Roman" w:eastAsiaTheme="minorHAnsi" w:hAnsi="Times New Roman" w:cs="Times New Roman"/>
          <w:sz w:val="22"/>
          <w:szCs w:val="22"/>
        </w:rPr>
        <w:t xml:space="preserve">subsequent </w:t>
      </w:r>
      <w:r w:rsidR="00603AB1" w:rsidRPr="004A7691">
        <w:rPr>
          <w:rFonts w:ascii="Times New Roman" w:eastAsiaTheme="minorHAnsi" w:hAnsi="Times New Roman" w:cs="Times New Roman"/>
          <w:sz w:val="22"/>
          <w:szCs w:val="22"/>
        </w:rPr>
        <w:t>changes made to the AIP</w:t>
      </w:r>
      <w:r w:rsidR="00D16B44" w:rsidRPr="004A7691">
        <w:rPr>
          <w:rFonts w:ascii="Times New Roman" w:eastAsiaTheme="minorHAnsi" w:hAnsi="Times New Roman" w:cs="Times New Roman"/>
          <w:sz w:val="22"/>
          <w:szCs w:val="22"/>
        </w:rPr>
        <w:t xml:space="preserve"> after initial release</w:t>
      </w:r>
      <w:r w:rsidR="00603AB1" w:rsidRPr="004A7691">
        <w:rPr>
          <w:rFonts w:ascii="Times New Roman" w:eastAsiaTheme="minorHAnsi" w:hAnsi="Times New Roman" w:cs="Times New Roman"/>
          <w:sz w:val="22"/>
          <w:szCs w:val="22"/>
        </w:rPr>
        <w:t>.</w:t>
      </w:r>
    </w:p>
    <w:p w14:paraId="1EF66D06" w14:textId="537737B8" w:rsidR="00603AB1" w:rsidRPr="006E128A" w:rsidRDefault="00603AB1" w:rsidP="006E128A">
      <w:pPr>
        <w:keepNext/>
        <w:spacing w:after="160" w:line="259" w:lineRule="auto"/>
        <w:rPr>
          <w:rFonts w:eastAsiaTheme="minorHAnsi"/>
          <w:b/>
          <w:sz w:val="22"/>
          <w:szCs w:val="22"/>
          <w:lang w:eastAsia="en-US"/>
        </w:rPr>
      </w:pPr>
      <w:r w:rsidRPr="006E128A">
        <w:rPr>
          <w:rFonts w:eastAsiaTheme="minorHAnsi"/>
          <w:b/>
          <w:sz w:val="22"/>
          <w:szCs w:val="22"/>
          <w:lang w:eastAsia="en-US"/>
        </w:rPr>
        <w:t xml:space="preserve">Section </w:t>
      </w:r>
      <w:r w:rsidR="0092153A" w:rsidRPr="006E128A">
        <w:rPr>
          <w:rFonts w:eastAsiaTheme="minorHAnsi"/>
          <w:b/>
          <w:sz w:val="22"/>
          <w:szCs w:val="22"/>
          <w:lang w:eastAsia="en-US"/>
        </w:rPr>
        <w:t>2</w:t>
      </w:r>
      <w:r w:rsidR="00D16B44" w:rsidRPr="006E128A">
        <w:rPr>
          <w:rFonts w:eastAsiaTheme="minorHAnsi"/>
          <w:b/>
          <w:sz w:val="22"/>
          <w:szCs w:val="22"/>
          <w:lang w:eastAsia="en-US"/>
        </w:rPr>
        <w:t>8</w:t>
      </w:r>
      <w:r w:rsidRPr="006E128A">
        <w:rPr>
          <w:rFonts w:eastAsiaTheme="minorHAnsi"/>
          <w:b/>
          <w:sz w:val="22"/>
          <w:szCs w:val="22"/>
          <w:lang w:eastAsia="en-US"/>
        </w:rPr>
        <w:tab/>
      </w:r>
      <w:r w:rsidR="00151C0B" w:rsidRPr="006E128A">
        <w:rPr>
          <w:rFonts w:eastAsiaTheme="minorHAnsi"/>
          <w:b/>
          <w:sz w:val="22"/>
          <w:szCs w:val="22"/>
          <w:lang w:eastAsia="en-US"/>
        </w:rPr>
        <w:t>S</w:t>
      </w:r>
      <w:r w:rsidR="000F2240" w:rsidRPr="006E128A">
        <w:rPr>
          <w:rFonts w:eastAsiaTheme="minorHAnsi"/>
          <w:b/>
          <w:sz w:val="22"/>
          <w:szCs w:val="22"/>
          <w:lang w:eastAsia="en-US"/>
        </w:rPr>
        <w:t>tarting</w:t>
      </w:r>
      <w:r w:rsidRPr="006E128A">
        <w:rPr>
          <w:rFonts w:eastAsiaTheme="minorHAnsi"/>
          <w:b/>
          <w:sz w:val="22"/>
          <w:szCs w:val="22"/>
          <w:lang w:eastAsia="en-US"/>
        </w:rPr>
        <w:t xml:space="preserve"> prices</w:t>
      </w:r>
    </w:p>
    <w:p w14:paraId="348A657E" w14:textId="3557674D" w:rsidR="00D714F2" w:rsidRPr="006E128A" w:rsidRDefault="00603AB1" w:rsidP="00D714F2">
      <w:pPr>
        <w:pStyle w:val="ACMABodyText"/>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This section provides that the ACMA must set</w:t>
      </w:r>
      <w:r w:rsidR="005E6FD1" w:rsidRPr="006E128A">
        <w:rPr>
          <w:rFonts w:ascii="Times New Roman" w:eastAsiaTheme="minorHAnsi" w:hAnsi="Times New Roman" w:cs="Times New Roman"/>
          <w:sz w:val="22"/>
          <w:szCs w:val="22"/>
        </w:rPr>
        <w:t xml:space="preserve"> </w:t>
      </w:r>
      <w:r w:rsidRPr="006E128A">
        <w:rPr>
          <w:rFonts w:ascii="Times New Roman" w:eastAsiaTheme="minorHAnsi" w:hAnsi="Times New Roman" w:cs="Times New Roman"/>
          <w:sz w:val="22"/>
          <w:szCs w:val="22"/>
        </w:rPr>
        <w:t xml:space="preserve">the starting price for </w:t>
      </w:r>
      <w:r w:rsidR="006E128A">
        <w:rPr>
          <w:rFonts w:ascii="Times New Roman" w:eastAsiaTheme="minorHAnsi" w:hAnsi="Times New Roman" w:cs="Times New Roman"/>
          <w:sz w:val="22"/>
          <w:szCs w:val="22"/>
        </w:rPr>
        <w:t xml:space="preserve">each of </w:t>
      </w:r>
      <w:r w:rsidR="006F3561" w:rsidRPr="006E128A">
        <w:rPr>
          <w:rFonts w:ascii="Times New Roman" w:eastAsiaTheme="minorHAnsi" w:hAnsi="Times New Roman" w:cs="Times New Roman"/>
          <w:sz w:val="22"/>
          <w:szCs w:val="22"/>
        </w:rPr>
        <w:t>the</w:t>
      </w:r>
      <w:r w:rsidR="006E128A">
        <w:rPr>
          <w:rFonts w:ascii="Times New Roman" w:eastAsiaTheme="minorHAnsi" w:hAnsi="Times New Roman" w:cs="Times New Roman"/>
          <w:sz w:val="22"/>
          <w:szCs w:val="22"/>
        </w:rPr>
        <w:t xml:space="preserve"> two</w:t>
      </w:r>
      <w:r w:rsidR="006F3561" w:rsidRPr="006E128A">
        <w:rPr>
          <w:rFonts w:ascii="Times New Roman" w:eastAsiaTheme="minorHAnsi" w:hAnsi="Times New Roman" w:cs="Times New Roman"/>
          <w:sz w:val="22"/>
          <w:szCs w:val="22"/>
        </w:rPr>
        <w:t xml:space="preserve"> </w:t>
      </w:r>
      <w:r w:rsidRPr="006E128A">
        <w:rPr>
          <w:rFonts w:ascii="Times New Roman" w:eastAsiaTheme="minorHAnsi" w:hAnsi="Times New Roman" w:cs="Times New Roman"/>
          <w:sz w:val="22"/>
          <w:szCs w:val="22"/>
        </w:rPr>
        <w:t>lots</w:t>
      </w:r>
      <w:r w:rsidR="006E128A">
        <w:rPr>
          <w:rFonts w:ascii="Times New Roman" w:eastAsiaTheme="minorHAnsi" w:hAnsi="Times New Roman" w:cs="Times New Roman"/>
          <w:sz w:val="22"/>
          <w:szCs w:val="22"/>
        </w:rPr>
        <w:t xml:space="preserve"> to be allocated</w:t>
      </w:r>
      <w:r w:rsidR="00D16B44" w:rsidRPr="006E128A">
        <w:rPr>
          <w:rFonts w:ascii="Times New Roman" w:eastAsiaTheme="minorHAnsi" w:hAnsi="Times New Roman" w:cs="Times New Roman"/>
          <w:sz w:val="22"/>
          <w:szCs w:val="22"/>
        </w:rPr>
        <w:t>.</w:t>
      </w:r>
      <w:r w:rsidR="006E128A">
        <w:rPr>
          <w:rFonts w:ascii="Times New Roman" w:eastAsiaTheme="minorHAnsi" w:hAnsi="Times New Roman" w:cs="Times New Roman"/>
          <w:sz w:val="22"/>
          <w:szCs w:val="22"/>
        </w:rPr>
        <w:t xml:space="preserve">  The starting price for a lot is the floor for bids on the lot in the auction or, if there is no auction, is the basis for calculating the spectrum access charge for a spectrum licence issued for that lot.</w:t>
      </w:r>
      <w:r w:rsidR="00D714F2" w:rsidRPr="00D714F2">
        <w:rPr>
          <w:rFonts w:ascii="Times New Roman" w:eastAsiaTheme="minorHAnsi" w:hAnsi="Times New Roman" w:cs="Times New Roman"/>
          <w:sz w:val="22"/>
          <w:szCs w:val="22"/>
        </w:rPr>
        <w:t xml:space="preserve"> </w:t>
      </w:r>
      <w:r w:rsidR="00D714F2">
        <w:rPr>
          <w:rFonts w:ascii="Times New Roman" w:eastAsiaTheme="minorHAnsi" w:hAnsi="Times New Roman" w:cs="Times New Roman"/>
          <w:sz w:val="22"/>
          <w:szCs w:val="22"/>
        </w:rPr>
        <w:t xml:space="preserve"> </w:t>
      </w:r>
      <w:r w:rsidR="00D714F2" w:rsidRPr="006E128A">
        <w:rPr>
          <w:rFonts w:ascii="Times New Roman" w:eastAsiaTheme="minorHAnsi" w:hAnsi="Times New Roman" w:cs="Times New Roman"/>
          <w:sz w:val="22"/>
          <w:szCs w:val="22"/>
        </w:rPr>
        <w:t>It will not be possible within the auction system for an applicant to place a bid for an amount below the starting price.</w:t>
      </w:r>
      <w:r w:rsidR="00E240A0">
        <w:rPr>
          <w:rFonts w:ascii="Times New Roman" w:eastAsiaTheme="minorHAnsi" w:hAnsi="Times New Roman" w:cs="Times New Roman"/>
          <w:sz w:val="22"/>
          <w:szCs w:val="22"/>
        </w:rPr>
        <w:t xml:space="preserve"> </w:t>
      </w:r>
      <w:r w:rsidR="00331396">
        <w:rPr>
          <w:rFonts w:ascii="Times New Roman" w:eastAsiaTheme="minorHAnsi" w:hAnsi="Times New Roman" w:cs="Times New Roman"/>
          <w:sz w:val="22"/>
          <w:szCs w:val="22"/>
        </w:rPr>
        <w:t xml:space="preserve"> </w:t>
      </w:r>
      <w:r w:rsidR="00331396" w:rsidRPr="005C338A">
        <w:rPr>
          <w:rFonts w:ascii="Times New Roman" w:eastAsiaTheme="minorHAnsi" w:hAnsi="Times New Roman" w:cs="Times New Roman"/>
          <w:sz w:val="22"/>
          <w:szCs w:val="22"/>
        </w:rPr>
        <w:t xml:space="preserve">The starting price for a lot must be set in a manner consistent with </w:t>
      </w:r>
      <w:r w:rsidR="005C338A" w:rsidRPr="005C338A">
        <w:rPr>
          <w:rFonts w:ascii="Times New Roman" w:eastAsiaTheme="minorHAnsi" w:hAnsi="Times New Roman" w:cs="Times New Roman"/>
          <w:sz w:val="22"/>
          <w:szCs w:val="22"/>
        </w:rPr>
        <w:t>the Residual</w:t>
      </w:r>
      <w:r w:rsidR="00331396" w:rsidRPr="005C338A">
        <w:rPr>
          <w:rFonts w:ascii="Times New Roman" w:eastAsiaTheme="minorHAnsi" w:hAnsi="Times New Roman" w:cs="Times New Roman"/>
          <w:sz w:val="22"/>
          <w:szCs w:val="22"/>
        </w:rPr>
        <w:t xml:space="preserve"> 700 MHz </w:t>
      </w:r>
      <w:r w:rsidR="005C338A" w:rsidRPr="005C338A">
        <w:rPr>
          <w:rFonts w:ascii="Times New Roman" w:eastAsiaTheme="minorHAnsi" w:hAnsi="Times New Roman" w:cs="Times New Roman"/>
          <w:sz w:val="22"/>
          <w:szCs w:val="22"/>
        </w:rPr>
        <w:t>Spectrum</w:t>
      </w:r>
      <w:r w:rsidR="00331396" w:rsidRPr="005C338A">
        <w:rPr>
          <w:rFonts w:ascii="Times New Roman" w:eastAsiaTheme="minorHAnsi" w:hAnsi="Times New Roman" w:cs="Times New Roman"/>
          <w:sz w:val="22"/>
          <w:szCs w:val="22"/>
        </w:rPr>
        <w:t xml:space="preserve"> Direction.</w:t>
      </w:r>
    </w:p>
    <w:p w14:paraId="39C3C0A2" w14:textId="16096B2C" w:rsidR="00603AB1" w:rsidRPr="006E128A" w:rsidRDefault="00603AB1" w:rsidP="007F404A">
      <w:pPr>
        <w:pStyle w:val="ACMABodyText"/>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After setting the </w:t>
      </w:r>
      <w:r w:rsidR="005E6FD1" w:rsidRPr="006E128A">
        <w:rPr>
          <w:rFonts w:ascii="Times New Roman" w:eastAsiaTheme="minorHAnsi" w:hAnsi="Times New Roman" w:cs="Times New Roman"/>
          <w:sz w:val="22"/>
          <w:szCs w:val="22"/>
        </w:rPr>
        <w:t>starting price</w:t>
      </w:r>
      <w:r w:rsidRPr="006E128A">
        <w:rPr>
          <w:rFonts w:ascii="Times New Roman" w:eastAsiaTheme="minorHAnsi" w:hAnsi="Times New Roman" w:cs="Times New Roman"/>
          <w:sz w:val="22"/>
          <w:szCs w:val="22"/>
        </w:rPr>
        <w:t xml:space="preserve">, the ACMA must approve a </w:t>
      </w:r>
      <w:r w:rsidR="005E6FD1" w:rsidRPr="006E128A">
        <w:rPr>
          <w:rFonts w:ascii="Times New Roman" w:eastAsiaTheme="minorHAnsi" w:hAnsi="Times New Roman" w:cs="Times New Roman"/>
          <w:sz w:val="22"/>
          <w:szCs w:val="22"/>
        </w:rPr>
        <w:t>preference</w:t>
      </w:r>
      <w:r w:rsidRPr="006E128A">
        <w:rPr>
          <w:rFonts w:ascii="Times New Roman" w:eastAsiaTheme="minorHAnsi" w:hAnsi="Times New Roman" w:cs="Times New Roman"/>
          <w:sz w:val="22"/>
          <w:szCs w:val="22"/>
        </w:rPr>
        <w:t xml:space="preserve"> nomination form to be completed by applicants as part of the process</w:t>
      </w:r>
      <w:r w:rsidR="006E128A">
        <w:rPr>
          <w:rFonts w:ascii="Times New Roman" w:eastAsiaTheme="minorHAnsi" w:hAnsi="Times New Roman" w:cs="Times New Roman"/>
          <w:sz w:val="22"/>
          <w:szCs w:val="22"/>
        </w:rPr>
        <w:t xml:space="preserve"> of registering as a bidder</w:t>
      </w:r>
      <w:r w:rsidRPr="006E128A">
        <w:rPr>
          <w:rFonts w:ascii="Times New Roman" w:eastAsiaTheme="minorHAnsi" w:hAnsi="Times New Roman" w:cs="Times New Roman"/>
          <w:sz w:val="22"/>
          <w:szCs w:val="22"/>
        </w:rPr>
        <w:t xml:space="preserve">. </w:t>
      </w:r>
      <w:r w:rsidR="00A01EA4">
        <w:rPr>
          <w:rFonts w:ascii="Times New Roman" w:eastAsiaTheme="minorHAnsi" w:hAnsi="Times New Roman" w:cs="Times New Roman"/>
          <w:sz w:val="22"/>
          <w:szCs w:val="22"/>
        </w:rPr>
        <w:t xml:space="preserve"> </w:t>
      </w:r>
      <w:r w:rsidRPr="006E128A">
        <w:rPr>
          <w:rFonts w:ascii="Times New Roman" w:eastAsiaTheme="minorHAnsi" w:hAnsi="Times New Roman" w:cs="Times New Roman"/>
          <w:sz w:val="22"/>
          <w:szCs w:val="22"/>
        </w:rPr>
        <w:t xml:space="preserve">The ACMA must publish each amount set under </w:t>
      </w:r>
      <w:r w:rsidR="00D16B44" w:rsidRPr="006E128A">
        <w:rPr>
          <w:rFonts w:ascii="Times New Roman" w:eastAsiaTheme="minorHAnsi" w:hAnsi="Times New Roman" w:cs="Times New Roman"/>
          <w:sz w:val="22"/>
          <w:szCs w:val="22"/>
        </w:rPr>
        <w:t xml:space="preserve">this </w:t>
      </w:r>
      <w:r w:rsidRPr="006E128A">
        <w:rPr>
          <w:rFonts w:ascii="Times New Roman" w:eastAsiaTheme="minorHAnsi" w:hAnsi="Times New Roman" w:cs="Times New Roman"/>
          <w:sz w:val="22"/>
          <w:szCs w:val="22"/>
        </w:rPr>
        <w:t>section</w:t>
      </w:r>
      <w:r w:rsidR="00D16B44" w:rsidRPr="006E128A">
        <w:rPr>
          <w:rFonts w:ascii="Times New Roman" w:eastAsiaTheme="minorHAnsi" w:hAnsi="Times New Roman" w:cs="Times New Roman"/>
          <w:sz w:val="22"/>
          <w:szCs w:val="22"/>
        </w:rPr>
        <w:t>,</w:t>
      </w:r>
      <w:r w:rsidRPr="006E128A">
        <w:rPr>
          <w:rFonts w:ascii="Times New Roman" w:eastAsiaTheme="minorHAnsi" w:hAnsi="Times New Roman" w:cs="Times New Roman"/>
          <w:sz w:val="22"/>
          <w:szCs w:val="22"/>
        </w:rPr>
        <w:t xml:space="preserve"> and the approved </w:t>
      </w:r>
      <w:r w:rsidR="005E6FD1" w:rsidRPr="006E128A">
        <w:rPr>
          <w:rFonts w:ascii="Times New Roman" w:eastAsiaTheme="minorHAnsi" w:hAnsi="Times New Roman" w:cs="Times New Roman"/>
          <w:sz w:val="22"/>
          <w:szCs w:val="22"/>
        </w:rPr>
        <w:t>preference</w:t>
      </w:r>
      <w:r w:rsidRPr="006E128A">
        <w:rPr>
          <w:rFonts w:ascii="Times New Roman" w:eastAsiaTheme="minorHAnsi" w:hAnsi="Times New Roman" w:cs="Times New Roman"/>
          <w:sz w:val="22"/>
          <w:szCs w:val="22"/>
        </w:rPr>
        <w:t xml:space="preserve"> nomination form on its website</w:t>
      </w:r>
      <w:r w:rsidR="000F2240" w:rsidRPr="006E128A">
        <w:rPr>
          <w:rFonts w:ascii="Times New Roman" w:eastAsiaTheme="minorHAnsi" w:hAnsi="Times New Roman" w:cs="Times New Roman"/>
          <w:sz w:val="22"/>
          <w:szCs w:val="22"/>
        </w:rPr>
        <w:t>.</w:t>
      </w:r>
    </w:p>
    <w:p w14:paraId="664C69B9" w14:textId="1FFD2F2E" w:rsidR="00603AB1" w:rsidRPr="006E128A" w:rsidRDefault="00603AB1" w:rsidP="007B4B46">
      <w:pPr>
        <w:pStyle w:val="ACMABodyText"/>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The </w:t>
      </w:r>
      <w:r w:rsidR="005E6FD1" w:rsidRPr="006E128A">
        <w:rPr>
          <w:rFonts w:ascii="Times New Roman" w:eastAsiaTheme="minorHAnsi" w:hAnsi="Times New Roman" w:cs="Times New Roman"/>
          <w:sz w:val="22"/>
          <w:szCs w:val="22"/>
        </w:rPr>
        <w:t>preference</w:t>
      </w:r>
      <w:r w:rsidRPr="006E128A">
        <w:rPr>
          <w:rFonts w:ascii="Times New Roman" w:eastAsiaTheme="minorHAnsi" w:hAnsi="Times New Roman" w:cs="Times New Roman"/>
          <w:sz w:val="22"/>
          <w:szCs w:val="22"/>
        </w:rPr>
        <w:t xml:space="preserve"> nomination form must be used by </w:t>
      </w:r>
      <w:r w:rsidR="006E128A">
        <w:rPr>
          <w:rFonts w:ascii="Times New Roman" w:eastAsiaTheme="minorHAnsi" w:hAnsi="Times New Roman" w:cs="Times New Roman"/>
          <w:sz w:val="22"/>
          <w:szCs w:val="22"/>
        </w:rPr>
        <w:t xml:space="preserve">each </w:t>
      </w:r>
      <w:r w:rsidRPr="006E128A">
        <w:rPr>
          <w:rFonts w:ascii="Times New Roman" w:eastAsiaTheme="minorHAnsi" w:hAnsi="Times New Roman" w:cs="Times New Roman"/>
          <w:sz w:val="22"/>
          <w:szCs w:val="22"/>
        </w:rPr>
        <w:t>applicant to nominate</w:t>
      </w:r>
      <w:r w:rsidR="004E0EE1" w:rsidRPr="006E128A">
        <w:rPr>
          <w:rFonts w:ascii="Times New Roman" w:eastAsiaTheme="minorHAnsi" w:hAnsi="Times New Roman" w:cs="Times New Roman"/>
          <w:sz w:val="22"/>
          <w:szCs w:val="22"/>
        </w:rPr>
        <w:t xml:space="preserve"> its preferred lots</w:t>
      </w:r>
      <w:r w:rsidRPr="006E128A">
        <w:rPr>
          <w:rFonts w:ascii="Times New Roman" w:eastAsiaTheme="minorHAnsi" w:hAnsi="Times New Roman" w:cs="Times New Roman"/>
          <w:sz w:val="22"/>
          <w:szCs w:val="22"/>
        </w:rPr>
        <w:t>.</w:t>
      </w:r>
      <w:r w:rsidR="006E128A">
        <w:rPr>
          <w:rFonts w:ascii="Times New Roman" w:eastAsiaTheme="minorHAnsi" w:hAnsi="Times New Roman" w:cs="Times New Roman"/>
          <w:sz w:val="22"/>
          <w:szCs w:val="22"/>
        </w:rPr>
        <w:t xml:space="preserve">  </w:t>
      </w:r>
      <w:r w:rsidR="00D714F2" w:rsidRPr="006E128A">
        <w:rPr>
          <w:rFonts w:ascii="Times New Roman" w:eastAsiaTheme="minorHAnsi" w:hAnsi="Times New Roman" w:cs="Times New Roman"/>
          <w:sz w:val="22"/>
          <w:szCs w:val="22"/>
        </w:rPr>
        <w:t>Each applicant</w:t>
      </w:r>
      <w:r w:rsidR="00D714F2">
        <w:rPr>
          <w:rFonts w:ascii="Times New Roman" w:eastAsiaTheme="minorHAnsi" w:hAnsi="Times New Roman" w:cs="Times New Roman"/>
          <w:sz w:val="22"/>
          <w:szCs w:val="22"/>
        </w:rPr>
        <w:t xml:space="preserve"> who is registered as a bidder</w:t>
      </w:r>
      <w:r w:rsidR="00D714F2" w:rsidRPr="006E128A">
        <w:rPr>
          <w:rFonts w:ascii="Times New Roman" w:eastAsiaTheme="minorHAnsi" w:hAnsi="Times New Roman" w:cs="Times New Roman"/>
          <w:sz w:val="22"/>
          <w:szCs w:val="22"/>
        </w:rPr>
        <w:t xml:space="preserve"> will only be able to bid during the auction on a lot</w:t>
      </w:r>
      <w:r w:rsidR="00D714F2">
        <w:rPr>
          <w:rFonts w:ascii="Times New Roman" w:eastAsiaTheme="minorHAnsi" w:hAnsi="Times New Roman" w:cs="Times New Roman"/>
          <w:sz w:val="22"/>
          <w:szCs w:val="22"/>
        </w:rPr>
        <w:t xml:space="preserve"> it has</w:t>
      </w:r>
      <w:r w:rsidR="00D714F2" w:rsidRPr="006E128A">
        <w:rPr>
          <w:rFonts w:ascii="Times New Roman" w:eastAsiaTheme="minorHAnsi" w:hAnsi="Times New Roman" w:cs="Times New Roman"/>
          <w:sz w:val="22"/>
          <w:szCs w:val="22"/>
        </w:rPr>
        <w:t xml:space="preserve"> nominated in the preference nomination form. </w:t>
      </w:r>
      <w:r w:rsidR="00A01EA4">
        <w:rPr>
          <w:rFonts w:ascii="Times New Roman" w:eastAsiaTheme="minorHAnsi" w:hAnsi="Times New Roman" w:cs="Times New Roman"/>
          <w:sz w:val="22"/>
          <w:szCs w:val="22"/>
        </w:rPr>
        <w:t xml:space="preserve"> </w:t>
      </w:r>
      <w:r w:rsidR="00D714F2" w:rsidRPr="006E128A">
        <w:rPr>
          <w:rFonts w:ascii="Times New Roman" w:eastAsiaTheme="minorHAnsi" w:hAnsi="Times New Roman" w:cs="Times New Roman"/>
          <w:sz w:val="22"/>
          <w:szCs w:val="22"/>
        </w:rPr>
        <w:t>This requirement will maximise the possibility of allocating lots in the most effective manner.</w:t>
      </w:r>
      <w:r w:rsidR="00D714F2">
        <w:rPr>
          <w:rFonts w:ascii="Times New Roman" w:eastAsiaTheme="minorHAnsi" w:hAnsi="Times New Roman" w:cs="Times New Roman"/>
          <w:sz w:val="22"/>
          <w:szCs w:val="22"/>
        </w:rPr>
        <w:t xml:space="preserve"> </w:t>
      </w:r>
      <w:r w:rsidR="006E128A">
        <w:rPr>
          <w:rFonts w:ascii="Times New Roman" w:eastAsiaTheme="minorHAnsi" w:hAnsi="Times New Roman" w:cs="Times New Roman"/>
          <w:sz w:val="22"/>
          <w:szCs w:val="22"/>
        </w:rPr>
        <w:t xml:space="preserve"> The ACMA may also use the information in a preference </w:t>
      </w:r>
      <w:r w:rsidR="006E128A">
        <w:rPr>
          <w:rFonts w:ascii="Times New Roman" w:eastAsiaTheme="minorHAnsi" w:hAnsi="Times New Roman" w:cs="Times New Roman"/>
          <w:sz w:val="22"/>
          <w:szCs w:val="22"/>
        </w:rPr>
        <w:lastRenderedPageBreak/>
        <w:t xml:space="preserve">nomination form to decide whether it can allocate licences without conducting an auction (see Part 5 of the Determination). </w:t>
      </w:r>
      <w:r w:rsidR="00092089" w:rsidRPr="006E128A">
        <w:rPr>
          <w:rFonts w:ascii="Times New Roman" w:eastAsiaTheme="minorHAnsi" w:hAnsi="Times New Roman" w:cs="Times New Roman"/>
          <w:sz w:val="22"/>
          <w:szCs w:val="22"/>
        </w:rPr>
        <w:t xml:space="preserve"> </w:t>
      </w:r>
      <w:r w:rsidRPr="006E128A">
        <w:rPr>
          <w:rFonts w:ascii="Times New Roman" w:eastAsiaTheme="minorHAnsi" w:hAnsi="Times New Roman" w:cs="Times New Roman"/>
          <w:sz w:val="22"/>
          <w:szCs w:val="22"/>
        </w:rPr>
        <w:t xml:space="preserve">It will be necessary for applicants to know the </w:t>
      </w:r>
      <w:r w:rsidR="004E0EE1" w:rsidRPr="006E128A">
        <w:rPr>
          <w:rFonts w:ascii="Times New Roman" w:eastAsiaTheme="minorHAnsi" w:hAnsi="Times New Roman" w:cs="Times New Roman"/>
          <w:sz w:val="22"/>
          <w:szCs w:val="22"/>
        </w:rPr>
        <w:t>s</w:t>
      </w:r>
      <w:r w:rsidR="00774B51" w:rsidRPr="006E128A">
        <w:rPr>
          <w:rFonts w:ascii="Times New Roman" w:eastAsiaTheme="minorHAnsi" w:hAnsi="Times New Roman" w:cs="Times New Roman"/>
          <w:sz w:val="22"/>
          <w:szCs w:val="22"/>
        </w:rPr>
        <w:t>tarting</w:t>
      </w:r>
      <w:r w:rsidRPr="006E128A">
        <w:rPr>
          <w:rFonts w:ascii="Times New Roman" w:eastAsiaTheme="minorHAnsi" w:hAnsi="Times New Roman" w:cs="Times New Roman"/>
          <w:sz w:val="22"/>
          <w:szCs w:val="22"/>
        </w:rPr>
        <w:t xml:space="preserve"> prices</w:t>
      </w:r>
      <w:r w:rsidR="002D5233" w:rsidRPr="006E128A">
        <w:rPr>
          <w:rFonts w:ascii="Times New Roman" w:eastAsiaTheme="minorHAnsi" w:hAnsi="Times New Roman" w:cs="Times New Roman"/>
          <w:sz w:val="22"/>
          <w:szCs w:val="22"/>
        </w:rPr>
        <w:t xml:space="preserve"> for lots</w:t>
      </w:r>
      <w:r w:rsidRPr="006E128A">
        <w:rPr>
          <w:rFonts w:ascii="Times New Roman" w:eastAsiaTheme="minorHAnsi" w:hAnsi="Times New Roman" w:cs="Times New Roman"/>
          <w:sz w:val="22"/>
          <w:szCs w:val="22"/>
        </w:rPr>
        <w:t xml:space="preserve"> </w:t>
      </w:r>
      <w:r w:rsidR="00747F97" w:rsidRPr="006E128A">
        <w:rPr>
          <w:rFonts w:ascii="Times New Roman" w:eastAsiaTheme="minorHAnsi" w:hAnsi="Times New Roman" w:cs="Times New Roman"/>
          <w:sz w:val="22"/>
          <w:szCs w:val="22"/>
        </w:rPr>
        <w:t xml:space="preserve">to calculate the </w:t>
      </w:r>
      <w:r w:rsidR="0057413D" w:rsidRPr="006E128A">
        <w:rPr>
          <w:rFonts w:ascii="Times New Roman" w:eastAsiaTheme="minorHAnsi" w:hAnsi="Times New Roman" w:cs="Times New Roman"/>
          <w:sz w:val="22"/>
          <w:szCs w:val="22"/>
        </w:rPr>
        <w:t>p</w:t>
      </w:r>
      <w:r w:rsidR="004E0EE1" w:rsidRPr="006E128A">
        <w:rPr>
          <w:rFonts w:ascii="Times New Roman" w:eastAsiaTheme="minorHAnsi" w:hAnsi="Times New Roman" w:cs="Times New Roman"/>
          <w:sz w:val="22"/>
          <w:szCs w:val="22"/>
        </w:rPr>
        <w:t>ercentage of the starting prices required for the deposit</w:t>
      </w:r>
      <w:r w:rsidR="00D16B44" w:rsidRPr="006E128A">
        <w:rPr>
          <w:rFonts w:ascii="Times New Roman" w:eastAsiaTheme="minorHAnsi" w:hAnsi="Times New Roman" w:cs="Times New Roman"/>
          <w:sz w:val="22"/>
          <w:szCs w:val="22"/>
        </w:rPr>
        <w:t xml:space="preserve"> or deed of financial security</w:t>
      </w:r>
      <w:r w:rsidR="006E128A">
        <w:rPr>
          <w:rFonts w:ascii="Times New Roman" w:eastAsiaTheme="minorHAnsi" w:hAnsi="Times New Roman" w:cs="Times New Roman"/>
          <w:sz w:val="22"/>
          <w:szCs w:val="22"/>
        </w:rPr>
        <w:t xml:space="preserve"> required to be provided by</w:t>
      </w:r>
      <w:r w:rsidRPr="006E128A">
        <w:rPr>
          <w:rFonts w:ascii="Times New Roman" w:eastAsiaTheme="minorHAnsi" w:hAnsi="Times New Roman" w:cs="Times New Roman"/>
          <w:sz w:val="22"/>
          <w:szCs w:val="22"/>
        </w:rPr>
        <w:t xml:space="preserve"> section </w:t>
      </w:r>
      <w:r w:rsidR="00FD7F7B" w:rsidRPr="006E128A">
        <w:rPr>
          <w:rFonts w:ascii="Times New Roman" w:eastAsiaTheme="minorHAnsi" w:hAnsi="Times New Roman" w:cs="Times New Roman"/>
          <w:sz w:val="22"/>
          <w:szCs w:val="22"/>
        </w:rPr>
        <w:t>3</w:t>
      </w:r>
      <w:r w:rsidR="00D16B44" w:rsidRPr="006E128A">
        <w:rPr>
          <w:rFonts w:ascii="Times New Roman" w:eastAsiaTheme="minorHAnsi" w:hAnsi="Times New Roman" w:cs="Times New Roman"/>
          <w:sz w:val="22"/>
          <w:szCs w:val="22"/>
        </w:rPr>
        <w:t>8</w:t>
      </w:r>
      <w:r w:rsidRPr="006E128A">
        <w:rPr>
          <w:rFonts w:ascii="Times New Roman" w:eastAsiaTheme="minorHAnsi" w:hAnsi="Times New Roman" w:cs="Times New Roman"/>
          <w:sz w:val="22"/>
          <w:szCs w:val="22"/>
        </w:rPr>
        <w:t xml:space="preserve"> </w:t>
      </w:r>
      <w:r w:rsidR="00747F97" w:rsidRPr="006E128A">
        <w:rPr>
          <w:rFonts w:ascii="Times New Roman" w:eastAsiaTheme="minorHAnsi" w:hAnsi="Times New Roman" w:cs="Times New Roman"/>
          <w:sz w:val="22"/>
          <w:szCs w:val="22"/>
        </w:rPr>
        <w:t>for the</w:t>
      </w:r>
      <w:r w:rsidR="006E128A">
        <w:rPr>
          <w:rFonts w:ascii="Times New Roman" w:eastAsiaTheme="minorHAnsi" w:hAnsi="Times New Roman" w:cs="Times New Roman"/>
          <w:sz w:val="22"/>
          <w:szCs w:val="22"/>
        </w:rPr>
        <w:t xml:space="preserve"> applicants’ preferred</w:t>
      </w:r>
      <w:r w:rsidR="00747F97" w:rsidRPr="006E128A">
        <w:rPr>
          <w:rFonts w:ascii="Times New Roman" w:eastAsiaTheme="minorHAnsi" w:hAnsi="Times New Roman" w:cs="Times New Roman"/>
          <w:sz w:val="22"/>
          <w:szCs w:val="22"/>
        </w:rPr>
        <w:t xml:space="preserve"> </w:t>
      </w:r>
      <w:r w:rsidR="00D16B44" w:rsidRPr="006E128A">
        <w:rPr>
          <w:rFonts w:ascii="Times New Roman" w:eastAsiaTheme="minorHAnsi" w:hAnsi="Times New Roman" w:cs="Times New Roman"/>
          <w:sz w:val="22"/>
          <w:szCs w:val="22"/>
        </w:rPr>
        <w:t>lots</w:t>
      </w:r>
      <w:r w:rsidRPr="006E128A">
        <w:rPr>
          <w:rFonts w:ascii="Times New Roman" w:eastAsiaTheme="minorHAnsi" w:hAnsi="Times New Roman" w:cs="Times New Roman"/>
          <w:sz w:val="22"/>
          <w:szCs w:val="22"/>
        </w:rPr>
        <w:t>.</w:t>
      </w:r>
    </w:p>
    <w:p w14:paraId="1C80DA97" w14:textId="3D06D51D" w:rsidR="00603AB1" w:rsidRPr="006E128A" w:rsidRDefault="00603AB1" w:rsidP="006E128A">
      <w:pPr>
        <w:keepNext/>
        <w:spacing w:before="280" w:after="160" w:line="259" w:lineRule="auto"/>
        <w:rPr>
          <w:rFonts w:eastAsiaTheme="minorHAnsi"/>
          <w:b/>
          <w:lang w:eastAsia="en-US"/>
        </w:rPr>
      </w:pPr>
      <w:r w:rsidRPr="006E128A">
        <w:rPr>
          <w:rFonts w:eastAsiaTheme="minorHAnsi"/>
          <w:b/>
          <w:lang w:eastAsia="en-US"/>
        </w:rPr>
        <w:t xml:space="preserve">Division </w:t>
      </w:r>
      <w:r w:rsidR="00BE74D2">
        <w:rPr>
          <w:rFonts w:eastAsiaTheme="minorHAnsi"/>
          <w:b/>
          <w:lang w:eastAsia="en-US"/>
        </w:rPr>
        <w:t>4</w:t>
      </w:r>
      <w:r w:rsidRPr="006E128A">
        <w:rPr>
          <w:rFonts w:eastAsiaTheme="minorHAnsi"/>
          <w:b/>
          <w:lang w:eastAsia="en-US"/>
        </w:rPr>
        <w:tab/>
        <w:t>Application to participate in auction</w:t>
      </w:r>
    </w:p>
    <w:p w14:paraId="608699E4" w14:textId="07A68C06" w:rsidR="00603AB1" w:rsidRPr="00181920" w:rsidRDefault="00603AB1" w:rsidP="006E128A">
      <w:pPr>
        <w:keepNext/>
        <w:spacing w:after="160" w:line="259" w:lineRule="auto"/>
      </w:pPr>
      <w:r w:rsidRPr="006E128A">
        <w:rPr>
          <w:rFonts w:eastAsiaTheme="minorHAnsi"/>
          <w:b/>
          <w:sz w:val="22"/>
          <w:szCs w:val="22"/>
          <w:lang w:eastAsia="en-US"/>
        </w:rPr>
        <w:t xml:space="preserve">Section </w:t>
      </w:r>
      <w:r w:rsidR="00151C0B" w:rsidRPr="006E128A">
        <w:rPr>
          <w:rFonts w:eastAsiaTheme="minorHAnsi"/>
          <w:b/>
          <w:sz w:val="22"/>
          <w:szCs w:val="22"/>
          <w:lang w:eastAsia="en-US"/>
        </w:rPr>
        <w:t>2</w:t>
      </w:r>
      <w:r w:rsidR="00D16B44" w:rsidRPr="006E128A">
        <w:rPr>
          <w:rFonts w:eastAsiaTheme="minorHAnsi"/>
          <w:b/>
          <w:sz w:val="22"/>
          <w:szCs w:val="22"/>
          <w:lang w:eastAsia="en-US"/>
        </w:rPr>
        <w:t>9</w:t>
      </w:r>
      <w:r w:rsidRPr="006E128A">
        <w:rPr>
          <w:rFonts w:eastAsiaTheme="minorHAnsi"/>
          <w:b/>
          <w:sz w:val="22"/>
          <w:szCs w:val="22"/>
          <w:lang w:eastAsia="en-US"/>
        </w:rPr>
        <w:tab/>
      </w:r>
      <w:r w:rsidR="00151C0B" w:rsidRPr="006E128A">
        <w:rPr>
          <w:rFonts w:eastAsiaTheme="minorHAnsi"/>
          <w:b/>
          <w:sz w:val="22"/>
          <w:szCs w:val="22"/>
          <w:lang w:eastAsia="en-US"/>
        </w:rPr>
        <w:t xml:space="preserve">Making </w:t>
      </w:r>
      <w:r w:rsidR="00D16B44" w:rsidRPr="006E128A">
        <w:rPr>
          <w:rFonts w:eastAsiaTheme="minorHAnsi"/>
          <w:b/>
          <w:sz w:val="22"/>
          <w:szCs w:val="22"/>
          <w:lang w:eastAsia="en-US"/>
        </w:rPr>
        <w:t xml:space="preserve">an </w:t>
      </w:r>
      <w:r w:rsidRPr="006E128A">
        <w:rPr>
          <w:rFonts w:eastAsiaTheme="minorHAnsi"/>
          <w:b/>
          <w:sz w:val="22"/>
          <w:szCs w:val="22"/>
          <w:lang w:eastAsia="en-US"/>
        </w:rPr>
        <w:t>application</w:t>
      </w:r>
    </w:p>
    <w:p w14:paraId="26CAA150" w14:textId="34092311" w:rsidR="00603AB1" w:rsidRPr="006E128A" w:rsidRDefault="00603AB1" w:rsidP="00D67611">
      <w:pPr>
        <w:pStyle w:val="ACMABodyText"/>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To take part in the auction, </w:t>
      </w:r>
      <w:r w:rsidR="008212D9" w:rsidRPr="006E128A">
        <w:rPr>
          <w:rFonts w:ascii="Times New Roman" w:eastAsiaTheme="minorHAnsi" w:hAnsi="Times New Roman" w:cs="Times New Roman"/>
          <w:sz w:val="22"/>
          <w:szCs w:val="22"/>
        </w:rPr>
        <w:t>a person</w:t>
      </w:r>
      <w:r w:rsidRPr="006E128A">
        <w:rPr>
          <w:rFonts w:ascii="Times New Roman" w:eastAsiaTheme="minorHAnsi" w:hAnsi="Times New Roman" w:cs="Times New Roman"/>
          <w:sz w:val="22"/>
          <w:szCs w:val="22"/>
        </w:rPr>
        <w:t xml:space="preserve"> must first apply to the ACMA to be registered as </w:t>
      </w:r>
      <w:r w:rsidR="008212D9" w:rsidRPr="006E128A">
        <w:rPr>
          <w:rFonts w:ascii="Times New Roman" w:eastAsiaTheme="minorHAnsi" w:hAnsi="Times New Roman" w:cs="Times New Roman"/>
          <w:sz w:val="22"/>
          <w:szCs w:val="22"/>
        </w:rPr>
        <w:t>a bidder</w:t>
      </w:r>
      <w:r w:rsidRPr="006E128A">
        <w:rPr>
          <w:rFonts w:ascii="Times New Roman" w:eastAsiaTheme="minorHAnsi" w:hAnsi="Times New Roman" w:cs="Times New Roman"/>
          <w:sz w:val="22"/>
          <w:szCs w:val="22"/>
        </w:rPr>
        <w:t xml:space="preserve">. </w:t>
      </w:r>
      <w:r w:rsidR="00A01EA4">
        <w:rPr>
          <w:rFonts w:ascii="Times New Roman" w:eastAsiaTheme="minorHAnsi" w:hAnsi="Times New Roman" w:cs="Times New Roman"/>
          <w:sz w:val="22"/>
          <w:szCs w:val="22"/>
        </w:rPr>
        <w:t xml:space="preserve"> </w:t>
      </w:r>
      <w:r w:rsidRPr="006E128A">
        <w:rPr>
          <w:rFonts w:ascii="Times New Roman" w:eastAsiaTheme="minorHAnsi" w:hAnsi="Times New Roman" w:cs="Times New Roman"/>
          <w:sz w:val="22"/>
          <w:szCs w:val="22"/>
        </w:rPr>
        <w:t>This section sets out the required documents and forms that a</w:t>
      </w:r>
      <w:r w:rsidR="008212D9" w:rsidRPr="006E128A">
        <w:rPr>
          <w:rFonts w:ascii="Times New Roman" w:eastAsiaTheme="minorHAnsi" w:hAnsi="Times New Roman" w:cs="Times New Roman"/>
          <w:sz w:val="22"/>
          <w:szCs w:val="22"/>
        </w:rPr>
        <w:t>n</w:t>
      </w:r>
      <w:r w:rsidRPr="006E128A">
        <w:rPr>
          <w:rFonts w:ascii="Times New Roman" w:eastAsiaTheme="minorHAnsi" w:hAnsi="Times New Roman" w:cs="Times New Roman"/>
          <w:sz w:val="22"/>
          <w:szCs w:val="22"/>
        </w:rPr>
        <w:t xml:space="preserve"> applicant must submit, and</w:t>
      </w:r>
      <w:r w:rsidR="00FF68DB">
        <w:rPr>
          <w:rFonts w:ascii="Times New Roman" w:eastAsiaTheme="minorHAnsi" w:hAnsi="Times New Roman" w:cs="Times New Roman"/>
          <w:sz w:val="22"/>
          <w:szCs w:val="22"/>
        </w:rPr>
        <w:t xml:space="preserve"> requires those documents and forms to be accompanied by</w:t>
      </w:r>
      <w:r w:rsidRPr="006E128A">
        <w:rPr>
          <w:rFonts w:ascii="Times New Roman" w:eastAsiaTheme="minorHAnsi" w:hAnsi="Times New Roman" w:cs="Times New Roman"/>
          <w:sz w:val="22"/>
          <w:szCs w:val="22"/>
        </w:rPr>
        <w:t xml:space="preserve"> the application fee. </w:t>
      </w:r>
      <w:r w:rsidR="00A01EA4">
        <w:rPr>
          <w:rFonts w:ascii="Times New Roman" w:eastAsiaTheme="minorHAnsi" w:hAnsi="Times New Roman" w:cs="Times New Roman"/>
          <w:sz w:val="22"/>
          <w:szCs w:val="22"/>
        </w:rPr>
        <w:t xml:space="preserve"> </w:t>
      </w:r>
      <w:r w:rsidRPr="006E128A">
        <w:rPr>
          <w:rFonts w:ascii="Times New Roman" w:eastAsiaTheme="minorHAnsi" w:hAnsi="Times New Roman" w:cs="Times New Roman"/>
          <w:sz w:val="22"/>
          <w:szCs w:val="22"/>
        </w:rPr>
        <w:t>For an application to be considered valid, applicants must do the following before the application deadline:</w:t>
      </w:r>
    </w:p>
    <w:p w14:paraId="469B399A" w14:textId="6A1DABA1" w:rsidR="0014129B" w:rsidRDefault="00603AB1" w:rsidP="006E128A">
      <w:pPr>
        <w:pStyle w:val="ACMABodyText"/>
        <w:numPr>
          <w:ilvl w:val="0"/>
          <w:numId w:val="4"/>
        </w:numPr>
      </w:pPr>
      <w:r w:rsidRPr="006E128A">
        <w:rPr>
          <w:rFonts w:ascii="Times New Roman" w:eastAsiaTheme="minorHAnsi" w:hAnsi="Times New Roman" w:cs="Times New Roman"/>
          <w:sz w:val="22"/>
          <w:szCs w:val="22"/>
        </w:rPr>
        <w:t>lod</w:t>
      </w:r>
      <w:r w:rsidR="008212D9" w:rsidRPr="006E128A">
        <w:rPr>
          <w:rFonts w:ascii="Times New Roman" w:eastAsiaTheme="minorHAnsi" w:hAnsi="Times New Roman" w:cs="Times New Roman"/>
          <w:sz w:val="22"/>
          <w:szCs w:val="22"/>
        </w:rPr>
        <w:t>ge a completed application form;</w:t>
      </w:r>
    </w:p>
    <w:p w14:paraId="4BFDA3FC" w14:textId="16C0C356" w:rsidR="0014129B" w:rsidRPr="006E128A" w:rsidRDefault="00603AB1">
      <w:pPr>
        <w:pStyle w:val="ACMABodyText"/>
        <w:numPr>
          <w:ilvl w:val="0"/>
          <w:numId w:val="4"/>
        </w:numPr>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lodge a signed </w:t>
      </w:r>
      <w:r w:rsidR="00A01EA4">
        <w:rPr>
          <w:rFonts w:ascii="Times New Roman" w:eastAsiaTheme="minorHAnsi" w:hAnsi="Times New Roman" w:cs="Times New Roman"/>
          <w:sz w:val="22"/>
          <w:szCs w:val="22"/>
        </w:rPr>
        <w:t>d</w:t>
      </w:r>
      <w:r w:rsidRPr="006E128A">
        <w:rPr>
          <w:rFonts w:ascii="Times New Roman" w:eastAsiaTheme="minorHAnsi" w:hAnsi="Times New Roman" w:cs="Times New Roman"/>
          <w:sz w:val="22"/>
          <w:szCs w:val="22"/>
        </w:rPr>
        <w:t xml:space="preserve">eed of </w:t>
      </w:r>
      <w:r w:rsidR="00A01EA4">
        <w:rPr>
          <w:rFonts w:ascii="Times New Roman" w:eastAsiaTheme="minorHAnsi" w:hAnsi="Times New Roman" w:cs="Times New Roman"/>
          <w:sz w:val="22"/>
          <w:szCs w:val="22"/>
        </w:rPr>
        <w:t>a</w:t>
      </w:r>
      <w:r w:rsidRPr="006E128A">
        <w:rPr>
          <w:rFonts w:ascii="Times New Roman" w:eastAsiaTheme="minorHAnsi" w:hAnsi="Times New Roman" w:cs="Times New Roman"/>
          <w:sz w:val="22"/>
          <w:szCs w:val="22"/>
        </w:rPr>
        <w:t>cknowledgement completed by the applicant, which specifies that the applicant agrees to be bound by</w:t>
      </w:r>
      <w:r w:rsidR="008212D9" w:rsidRPr="006E128A">
        <w:rPr>
          <w:rFonts w:ascii="Times New Roman" w:eastAsiaTheme="minorHAnsi" w:hAnsi="Times New Roman" w:cs="Times New Roman"/>
          <w:sz w:val="22"/>
          <w:szCs w:val="22"/>
        </w:rPr>
        <w:t xml:space="preserve"> the terms of </w:t>
      </w:r>
      <w:r w:rsidR="00FF68DB">
        <w:rPr>
          <w:rFonts w:ascii="Times New Roman" w:eastAsiaTheme="minorHAnsi" w:hAnsi="Times New Roman" w:cs="Times New Roman"/>
          <w:sz w:val="22"/>
          <w:szCs w:val="22"/>
        </w:rPr>
        <w:t>the Determination</w:t>
      </w:r>
      <w:r w:rsidR="008212D9" w:rsidRPr="006E128A">
        <w:rPr>
          <w:rFonts w:ascii="Times New Roman" w:eastAsiaTheme="minorHAnsi" w:hAnsi="Times New Roman" w:cs="Times New Roman"/>
          <w:sz w:val="22"/>
          <w:szCs w:val="22"/>
        </w:rPr>
        <w:t>;</w:t>
      </w:r>
    </w:p>
    <w:p w14:paraId="5C88C89F" w14:textId="6AA61667" w:rsidR="006F3561" w:rsidRPr="006E128A" w:rsidRDefault="006F3561" w:rsidP="006F3561">
      <w:pPr>
        <w:pStyle w:val="ACMABodyText"/>
        <w:numPr>
          <w:ilvl w:val="0"/>
          <w:numId w:val="4"/>
        </w:numPr>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lodge a signed </w:t>
      </w:r>
      <w:r w:rsidR="00A01EA4">
        <w:rPr>
          <w:rFonts w:ascii="Times New Roman" w:eastAsiaTheme="minorHAnsi" w:hAnsi="Times New Roman" w:cs="Times New Roman"/>
          <w:sz w:val="22"/>
          <w:szCs w:val="22"/>
        </w:rPr>
        <w:t>d</w:t>
      </w:r>
      <w:r w:rsidRPr="006E128A">
        <w:rPr>
          <w:rFonts w:ascii="Times New Roman" w:eastAsiaTheme="minorHAnsi" w:hAnsi="Times New Roman" w:cs="Times New Roman"/>
          <w:sz w:val="22"/>
          <w:szCs w:val="22"/>
        </w:rPr>
        <w:t xml:space="preserve">eed of </w:t>
      </w:r>
      <w:r w:rsidR="00A01EA4">
        <w:rPr>
          <w:rFonts w:ascii="Times New Roman" w:eastAsiaTheme="minorHAnsi" w:hAnsi="Times New Roman" w:cs="Times New Roman"/>
          <w:sz w:val="22"/>
          <w:szCs w:val="22"/>
        </w:rPr>
        <w:t>c</w:t>
      </w:r>
      <w:r w:rsidRPr="006E128A">
        <w:rPr>
          <w:rFonts w:ascii="Times New Roman" w:eastAsiaTheme="minorHAnsi" w:hAnsi="Times New Roman" w:cs="Times New Roman"/>
          <w:sz w:val="22"/>
          <w:szCs w:val="22"/>
        </w:rPr>
        <w:t>onfidentia</w:t>
      </w:r>
      <w:r w:rsidR="008212D9" w:rsidRPr="006E128A">
        <w:rPr>
          <w:rFonts w:ascii="Times New Roman" w:eastAsiaTheme="minorHAnsi" w:hAnsi="Times New Roman" w:cs="Times New Roman"/>
          <w:sz w:val="22"/>
          <w:szCs w:val="22"/>
        </w:rPr>
        <w:t>lity completed by the applicant;</w:t>
      </w:r>
    </w:p>
    <w:p w14:paraId="06855FF2" w14:textId="00B64A68" w:rsidR="0014129B" w:rsidRPr="006E128A" w:rsidRDefault="00603AB1">
      <w:pPr>
        <w:pStyle w:val="ACMABodyText"/>
        <w:numPr>
          <w:ilvl w:val="0"/>
          <w:numId w:val="4"/>
        </w:numPr>
        <w:rPr>
          <w:rFonts w:ascii="Times New Roman" w:eastAsiaTheme="minorHAnsi" w:hAnsi="Times New Roman" w:cs="Times New Roman"/>
          <w:sz w:val="22"/>
          <w:szCs w:val="22"/>
        </w:rPr>
      </w:pPr>
      <w:proofErr w:type="gramStart"/>
      <w:r w:rsidRPr="006E128A">
        <w:rPr>
          <w:rFonts w:ascii="Times New Roman" w:eastAsiaTheme="minorHAnsi" w:hAnsi="Times New Roman" w:cs="Times New Roman"/>
          <w:sz w:val="22"/>
          <w:szCs w:val="22"/>
        </w:rPr>
        <w:t>pay</w:t>
      </w:r>
      <w:proofErr w:type="gramEnd"/>
      <w:r w:rsidRPr="006E128A">
        <w:rPr>
          <w:rFonts w:ascii="Times New Roman" w:eastAsiaTheme="minorHAnsi" w:hAnsi="Times New Roman" w:cs="Times New Roman"/>
          <w:sz w:val="22"/>
          <w:szCs w:val="22"/>
        </w:rPr>
        <w:t xml:space="preserve"> the application fee set by the ACMA under section </w:t>
      </w:r>
      <w:r w:rsidR="0092153A" w:rsidRPr="006E128A">
        <w:rPr>
          <w:rFonts w:ascii="Times New Roman" w:eastAsiaTheme="minorHAnsi" w:hAnsi="Times New Roman" w:cs="Times New Roman"/>
          <w:sz w:val="22"/>
          <w:szCs w:val="22"/>
        </w:rPr>
        <w:t>2</w:t>
      </w:r>
      <w:r w:rsidR="000705A4" w:rsidRPr="006E128A">
        <w:rPr>
          <w:rFonts w:ascii="Times New Roman" w:eastAsiaTheme="minorHAnsi" w:hAnsi="Times New Roman" w:cs="Times New Roman"/>
          <w:sz w:val="22"/>
          <w:szCs w:val="22"/>
        </w:rPr>
        <w:t>4</w:t>
      </w:r>
      <w:r w:rsidRPr="006E128A">
        <w:rPr>
          <w:rFonts w:ascii="Times New Roman" w:eastAsiaTheme="minorHAnsi" w:hAnsi="Times New Roman" w:cs="Times New Roman"/>
          <w:sz w:val="22"/>
          <w:szCs w:val="22"/>
        </w:rPr>
        <w:t xml:space="preserve">, in the manner specified in </w:t>
      </w:r>
      <w:r w:rsidR="00FF68DB" w:rsidRPr="006E128A">
        <w:rPr>
          <w:rFonts w:ascii="Times New Roman" w:eastAsiaTheme="minorHAnsi" w:hAnsi="Times New Roman" w:cs="Times New Roman"/>
          <w:sz w:val="22"/>
          <w:szCs w:val="22"/>
        </w:rPr>
        <w:t>section</w:t>
      </w:r>
      <w:r w:rsidR="00FF68DB">
        <w:rPr>
          <w:rFonts w:ascii="Times New Roman" w:eastAsiaTheme="minorHAnsi" w:hAnsi="Times New Roman" w:cs="Times New Roman"/>
          <w:sz w:val="22"/>
          <w:szCs w:val="22"/>
        </w:rPr>
        <w:t> </w:t>
      </w:r>
      <w:r w:rsidRPr="006E128A">
        <w:rPr>
          <w:rFonts w:ascii="Times New Roman" w:eastAsiaTheme="minorHAnsi" w:hAnsi="Times New Roman" w:cs="Times New Roman"/>
          <w:sz w:val="22"/>
          <w:szCs w:val="22"/>
        </w:rPr>
        <w:t>7.</w:t>
      </w:r>
    </w:p>
    <w:p w14:paraId="45BE74C5" w14:textId="6C513B37" w:rsidR="00603AB1" w:rsidRPr="006E128A" w:rsidRDefault="00603AB1" w:rsidP="00AE0958">
      <w:pPr>
        <w:pStyle w:val="ACMABodyText"/>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Blank copies of the application form and the </w:t>
      </w:r>
      <w:r w:rsidR="00FF68DB">
        <w:rPr>
          <w:rFonts w:ascii="Times New Roman" w:eastAsiaTheme="minorHAnsi" w:hAnsi="Times New Roman" w:cs="Times New Roman"/>
          <w:sz w:val="22"/>
          <w:szCs w:val="22"/>
        </w:rPr>
        <w:t>two</w:t>
      </w:r>
      <w:r w:rsidRPr="006E128A">
        <w:rPr>
          <w:rFonts w:ascii="Times New Roman" w:eastAsiaTheme="minorHAnsi" w:hAnsi="Times New Roman" w:cs="Times New Roman"/>
          <w:sz w:val="22"/>
          <w:szCs w:val="22"/>
        </w:rPr>
        <w:t xml:space="preserve"> deeds will be provided in the AIP.</w:t>
      </w:r>
    </w:p>
    <w:p w14:paraId="2EB97397" w14:textId="425D523F" w:rsidR="00603AB1" w:rsidRPr="006E128A" w:rsidRDefault="00603AB1" w:rsidP="00AE0958">
      <w:pPr>
        <w:pStyle w:val="ACMABodyText"/>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The confidentiality provisions in section </w:t>
      </w:r>
      <w:r w:rsidR="0092153A" w:rsidRPr="006E128A">
        <w:rPr>
          <w:rFonts w:ascii="Times New Roman" w:eastAsiaTheme="minorHAnsi" w:hAnsi="Times New Roman" w:cs="Times New Roman"/>
          <w:sz w:val="22"/>
          <w:szCs w:val="22"/>
        </w:rPr>
        <w:t>1</w:t>
      </w:r>
      <w:r w:rsidR="000705A4" w:rsidRPr="006E128A">
        <w:rPr>
          <w:rFonts w:ascii="Times New Roman" w:eastAsiaTheme="minorHAnsi" w:hAnsi="Times New Roman" w:cs="Times New Roman"/>
          <w:sz w:val="22"/>
          <w:szCs w:val="22"/>
        </w:rPr>
        <w:t>7</w:t>
      </w:r>
      <w:r w:rsidRPr="006E128A">
        <w:rPr>
          <w:rFonts w:ascii="Times New Roman" w:eastAsiaTheme="minorHAnsi" w:hAnsi="Times New Roman" w:cs="Times New Roman"/>
          <w:sz w:val="22"/>
          <w:szCs w:val="22"/>
        </w:rPr>
        <w:t xml:space="preserve"> also require each applicant to provide a signed deed of confidentiality from each related person </w:t>
      </w:r>
      <w:r w:rsidR="008212D9" w:rsidRPr="006E128A">
        <w:rPr>
          <w:rFonts w:ascii="Times New Roman" w:eastAsiaTheme="minorHAnsi" w:hAnsi="Times New Roman" w:cs="Times New Roman"/>
          <w:sz w:val="22"/>
          <w:szCs w:val="22"/>
        </w:rPr>
        <w:t>identified in that section</w:t>
      </w:r>
      <w:r w:rsidRPr="006E128A">
        <w:rPr>
          <w:rFonts w:ascii="Times New Roman" w:eastAsiaTheme="minorHAnsi" w:hAnsi="Times New Roman" w:cs="Times New Roman"/>
          <w:sz w:val="22"/>
          <w:szCs w:val="22"/>
        </w:rPr>
        <w:t xml:space="preserve">. </w:t>
      </w:r>
    </w:p>
    <w:p w14:paraId="1B944059" w14:textId="201220E9" w:rsidR="00603AB1" w:rsidRPr="006E128A" w:rsidRDefault="00603AB1" w:rsidP="00D67611">
      <w:pPr>
        <w:pStyle w:val="ACMABodyText"/>
        <w:rPr>
          <w:rFonts w:ascii="Times New Roman" w:eastAsiaTheme="minorHAnsi" w:hAnsi="Times New Roman" w:cs="Times New Roman"/>
          <w:sz w:val="22"/>
          <w:szCs w:val="22"/>
        </w:rPr>
      </w:pPr>
      <w:r w:rsidRPr="006E128A">
        <w:rPr>
          <w:rFonts w:ascii="Times New Roman" w:eastAsiaTheme="minorHAnsi" w:hAnsi="Times New Roman" w:cs="Times New Roman"/>
          <w:sz w:val="22"/>
          <w:szCs w:val="22"/>
        </w:rPr>
        <w:t xml:space="preserve">Instructions on how to lodge documents are explained in section 6. </w:t>
      </w:r>
      <w:r w:rsidR="00A01EA4">
        <w:rPr>
          <w:rFonts w:ascii="Times New Roman" w:eastAsiaTheme="minorHAnsi" w:hAnsi="Times New Roman" w:cs="Times New Roman"/>
          <w:sz w:val="22"/>
          <w:szCs w:val="22"/>
        </w:rPr>
        <w:t xml:space="preserve"> </w:t>
      </w:r>
      <w:r w:rsidRPr="006E128A">
        <w:rPr>
          <w:rFonts w:ascii="Times New Roman" w:eastAsiaTheme="minorHAnsi" w:hAnsi="Times New Roman" w:cs="Times New Roman"/>
          <w:sz w:val="22"/>
          <w:szCs w:val="22"/>
        </w:rPr>
        <w:t>An applicant may also lodge an updated document at any time prior to the application deadline, but not afterwards.</w:t>
      </w:r>
    </w:p>
    <w:p w14:paraId="21755DAA" w14:textId="38B57C3B" w:rsidR="00603AB1" w:rsidRPr="00FF68DB" w:rsidRDefault="00603AB1" w:rsidP="00FF68DB">
      <w:pPr>
        <w:keepNext/>
        <w:spacing w:after="160" w:line="259" w:lineRule="auto"/>
        <w:rPr>
          <w:rFonts w:eastAsiaTheme="minorHAnsi"/>
          <w:b/>
          <w:sz w:val="22"/>
          <w:szCs w:val="22"/>
          <w:lang w:eastAsia="en-US"/>
        </w:rPr>
      </w:pPr>
      <w:r w:rsidRPr="00FF68DB">
        <w:rPr>
          <w:rFonts w:eastAsiaTheme="minorHAnsi"/>
          <w:b/>
          <w:sz w:val="22"/>
          <w:szCs w:val="22"/>
          <w:lang w:eastAsia="en-US"/>
        </w:rPr>
        <w:t xml:space="preserve">Section </w:t>
      </w:r>
      <w:r w:rsidR="000705A4" w:rsidRPr="00FF68DB">
        <w:rPr>
          <w:rFonts w:eastAsiaTheme="minorHAnsi"/>
          <w:b/>
          <w:sz w:val="22"/>
          <w:szCs w:val="22"/>
          <w:lang w:eastAsia="en-US"/>
        </w:rPr>
        <w:t>30</w:t>
      </w:r>
      <w:r w:rsidRPr="00FF68DB">
        <w:rPr>
          <w:rFonts w:eastAsiaTheme="minorHAnsi"/>
          <w:b/>
          <w:sz w:val="22"/>
          <w:szCs w:val="22"/>
          <w:lang w:eastAsia="en-US"/>
        </w:rPr>
        <w:tab/>
        <w:t>Applicants to notify ACMA if application information incorrect</w:t>
      </w:r>
    </w:p>
    <w:p w14:paraId="2E97199A" w14:textId="6AF5E09C" w:rsidR="00603AB1" w:rsidRPr="00FF68DB" w:rsidRDefault="00603AB1" w:rsidP="00D67611">
      <w:pPr>
        <w:pStyle w:val="ACMABodyText"/>
        <w:rPr>
          <w:rFonts w:ascii="Times New Roman" w:eastAsiaTheme="minorHAnsi" w:hAnsi="Times New Roman" w:cs="Times New Roman"/>
          <w:sz w:val="22"/>
          <w:szCs w:val="22"/>
        </w:rPr>
      </w:pPr>
      <w:r w:rsidRPr="00FF68DB">
        <w:rPr>
          <w:rFonts w:ascii="Times New Roman" w:eastAsiaTheme="minorHAnsi" w:hAnsi="Times New Roman" w:cs="Times New Roman"/>
          <w:sz w:val="22"/>
          <w:szCs w:val="22"/>
        </w:rPr>
        <w:t>This section requires an applicant to provide the ACMA with correct information, if it becomes aware that information in its application has changed or is incorrect.</w:t>
      </w:r>
      <w:r w:rsidR="000705A4" w:rsidRPr="00FF68DB">
        <w:rPr>
          <w:rFonts w:ascii="Times New Roman" w:eastAsiaTheme="minorHAnsi" w:hAnsi="Times New Roman" w:cs="Times New Roman"/>
          <w:sz w:val="22"/>
          <w:szCs w:val="22"/>
        </w:rPr>
        <w:t xml:space="preserve">  </w:t>
      </w:r>
    </w:p>
    <w:p w14:paraId="75BDF06D" w14:textId="38DC9D28" w:rsidR="00603AB1" w:rsidRPr="00FF68DB" w:rsidRDefault="00603AB1" w:rsidP="00FF68DB">
      <w:pPr>
        <w:keepNext/>
        <w:spacing w:after="160" w:line="259" w:lineRule="auto"/>
        <w:rPr>
          <w:rFonts w:eastAsiaTheme="minorHAnsi"/>
          <w:b/>
          <w:sz w:val="22"/>
          <w:szCs w:val="22"/>
          <w:lang w:eastAsia="en-US"/>
        </w:rPr>
      </w:pPr>
      <w:r w:rsidRPr="00FF68DB">
        <w:rPr>
          <w:rFonts w:eastAsiaTheme="minorHAnsi"/>
          <w:b/>
          <w:sz w:val="22"/>
          <w:szCs w:val="22"/>
          <w:lang w:eastAsia="en-US"/>
        </w:rPr>
        <w:t xml:space="preserve">Section </w:t>
      </w:r>
      <w:r w:rsidR="000705A4" w:rsidRPr="00FF68DB">
        <w:rPr>
          <w:rFonts w:eastAsiaTheme="minorHAnsi"/>
          <w:b/>
          <w:sz w:val="22"/>
          <w:szCs w:val="22"/>
          <w:lang w:eastAsia="en-US"/>
        </w:rPr>
        <w:t>31</w:t>
      </w:r>
      <w:r w:rsidRPr="00FF68DB">
        <w:rPr>
          <w:rFonts w:eastAsiaTheme="minorHAnsi"/>
          <w:b/>
          <w:sz w:val="22"/>
          <w:szCs w:val="22"/>
          <w:lang w:eastAsia="en-US"/>
        </w:rPr>
        <w:tab/>
        <w:t>Applicant to provide statutory declaration</w:t>
      </w:r>
    </w:p>
    <w:p w14:paraId="12BD6A61" w14:textId="45E77AF0" w:rsidR="00603AB1" w:rsidRPr="00FF68DB" w:rsidRDefault="00603AB1" w:rsidP="00D67611">
      <w:pPr>
        <w:pStyle w:val="ACMABodyText"/>
        <w:rPr>
          <w:rFonts w:ascii="Times New Roman" w:eastAsiaTheme="minorHAnsi" w:hAnsi="Times New Roman" w:cs="Times New Roman"/>
          <w:sz w:val="22"/>
          <w:szCs w:val="22"/>
        </w:rPr>
      </w:pPr>
      <w:r w:rsidRPr="00FF68DB">
        <w:rPr>
          <w:rFonts w:ascii="Times New Roman" w:eastAsiaTheme="minorHAnsi" w:hAnsi="Times New Roman" w:cs="Times New Roman"/>
          <w:sz w:val="22"/>
          <w:szCs w:val="22"/>
        </w:rPr>
        <w:t>To ensure that affiliated applicants do not participate in the auction as separate bidders,</w:t>
      </w:r>
      <w:r w:rsidR="00FF68DB">
        <w:rPr>
          <w:rFonts w:ascii="Times New Roman" w:eastAsiaTheme="minorHAnsi" w:hAnsi="Times New Roman" w:cs="Times New Roman"/>
          <w:sz w:val="22"/>
          <w:szCs w:val="22"/>
        </w:rPr>
        <w:t xml:space="preserve"> potentially leading to a contravention of the allocation limits or the disclosure of confidential information, and to ensure that an applicant affiliated with a previous successful bidder is not allocated a spectrum licence in contravention of the allocation limits,</w:t>
      </w:r>
      <w:r w:rsidRPr="00FF68DB">
        <w:rPr>
          <w:rFonts w:ascii="Times New Roman" w:eastAsiaTheme="minorHAnsi" w:hAnsi="Times New Roman" w:cs="Times New Roman"/>
          <w:sz w:val="22"/>
          <w:szCs w:val="22"/>
        </w:rPr>
        <w:t xml:space="preserve"> the ACMA has included procedures to identify </w:t>
      </w:r>
      <w:r w:rsidR="00BE74D2">
        <w:rPr>
          <w:rFonts w:ascii="Times New Roman" w:eastAsiaTheme="minorHAnsi" w:hAnsi="Times New Roman" w:cs="Times New Roman"/>
          <w:sz w:val="22"/>
          <w:szCs w:val="22"/>
        </w:rPr>
        <w:t xml:space="preserve">such </w:t>
      </w:r>
      <w:r w:rsidRPr="00FF68DB">
        <w:rPr>
          <w:rFonts w:ascii="Times New Roman" w:eastAsiaTheme="minorHAnsi" w:hAnsi="Times New Roman" w:cs="Times New Roman"/>
          <w:sz w:val="22"/>
          <w:szCs w:val="22"/>
        </w:rPr>
        <w:t>affiliat</w:t>
      </w:r>
      <w:r w:rsidR="00BE74D2">
        <w:rPr>
          <w:rFonts w:ascii="Times New Roman" w:eastAsiaTheme="minorHAnsi" w:hAnsi="Times New Roman" w:cs="Times New Roman"/>
          <w:sz w:val="22"/>
          <w:szCs w:val="22"/>
        </w:rPr>
        <w:t>ions</w:t>
      </w:r>
      <w:r w:rsidRPr="00FF68DB">
        <w:rPr>
          <w:rFonts w:ascii="Times New Roman" w:eastAsiaTheme="minorHAnsi" w:hAnsi="Times New Roman" w:cs="Times New Roman"/>
          <w:sz w:val="22"/>
          <w:szCs w:val="22"/>
        </w:rPr>
        <w:t xml:space="preserve"> before the commencement of the auction.</w:t>
      </w:r>
      <w:r w:rsidR="00A01EA4">
        <w:rPr>
          <w:rFonts w:ascii="Times New Roman" w:eastAsiaTheme="minorHAnsi" w:hAnsi="Times New Roman" w:cs="Times New Roman"/>
          <w:sz w:val="22"/>
          <w:szCs w:val="22"/>
        </w:rPr>
        <w:t xml:space="preserve"> </w:t>
      </w:r>
      <w:r w:rsidRPr="00FF68DB">
        <w:rPr>
          <w:rFonts w:ascii="Times New Roman" w:eastAsiaTheme="minorHAnsi" w:hAnsi="Times New Roman" w:cs="Times New Roman"/>
          <w:sz w:val="22"/>
          <w:szCs w:val="22"/>
        </w:rPr>
        <w:t xml:space="preserve"> This provision sets out the requirements that will assist the ACMA to identify whether </w:t>
      </w:r>
      <w:r w:rsidR="00FF68DB">
        <w:rPr>
          <w:rFonts w:ascii="Times New Roman" w:eastAsiaTheme="minorHAnsi" w:hAnsi="Times New Roman" w:cs="Times New Roman"/>
          <w:sz w:val="22"/>
          <w:szCs w:val="22"/>
        </w:rPr>
        <w:t>two</w:t>
      </w:r>
      <w:r w:rsidRPr="00FF68DB">
        <w:rPr>
          <w:rFonts w:ascii="Times New Roman" w:eastAsiaTheme="minorHAnsi" w:hAnsi="Times New Roman" w:cs="Times New Roman"/>
          <w:sz w:val="22"/>
          <w:szCs w:val="22"/>
        </w:rPr>
        <w:t xml:space="preserve"> or more applicants are affiliated</w:t>
      </w:r>
      <w:r w:rsidR="00FF68DB">
        <w:rPr>
          <w:rFonts w:ascii="Times New Roman" w:eastAsiaTheme="minorHAnsi" w:hAnsi="Times New Roman" w:cs="Times New Roman"/>
          <w:sz w:val="22"/>
          <w:szCs w:val="22"/>
        </w:rPr>
        <w:t>, or whether an applicant is affiliated with a previous successful bidder</w:t>
      </w:r>
      <w:r w:rsidRPr="00FF68DB">
        <w:rPr>
          <w:rFonts w:ascii="Times New Roman" w:eastAsiaTheme="minorHAnsi" w:hAnsi="Times New Roman" w:cs="Times New Roman"/>
          <w:sz w:val="22"/>
          <w:szCs w:val="22"/>
        </w:rPr>
        <w:t xml:space="preserve">. </w:t>
      </w:r>
      <w:r w:rsidR="00FF68DB">
        <w:rPr>
          <w:rFonts w:ascii="Times New Roman" w:eastAsiaTheme="minorHAnsi" w:hAnsi="Times New Roman" w:cs="Times New Roman"/>
          <w:sz w:val="22"/>
          <w:szCs w:val="22"/>
        </w:rPr>
        <w:t xml:space="preserve"> As mentioned above, Telstra and Optus Mobile are the two previous successful bidders. </w:t>
      </w:r>
    </w:p>
    <w:p w14:paraId="07A6CA8E" w14:textId="31492B12" w:rsidR="00603AB1" w:rsidRPr="00FF68DB" w:rsidRDefault="00603AB1" w:rsidP="00D67611">
      <w:pPr>
        <w:pStyle w:val="ACMABodyText"/>
        <w:rPr>
          <w:rFonts w:ascii="Times New Roman" w:eastAsiaTheme="minorHAnsi" w:hAnsi="Times New Roman" w:cs="Times New Roman"/>
          <w:sz w:val="22"/>
          <w:szCs w:val="22"/>
        </w:rPr>
      </w:pPr>
      <w:r w:rsidRPr="00FF68DB">
        <w:rPr>
          <w:rFonts w:ascii="Times New Roman" w:eastAsiaTheme="minorHAnsi" w:hAnsi="Times New Roman" w:cs="Times New Roman"/>
          <w:sz w:val="22"/>
          <w:szCs w:val="22"/>
        </w:rPr>
        <w:t>After the application deadline, the ACMA will provide each applicant with a list of all other applicants,</w:t>
      </w:r>
      <w:r w:rsidR="00F57237" w:rsidRPr="00FF68DB">
        <w:rPr>
          <w:rFonts w:ascii="Times New Roman" w:eastAsiaTheme="minorHAnsi" w:hAnsi="Times New Roman" w:cs="Times New Roman"/>
          <w:sz w:val="22"/>
          <w:szCs w:val="22"/>
        </w:rPr>
        <w:t xml:space="preserve"> the</w:t>
      </w:r>
      <w:r w:rsidRPr="00FF68DB">
        <w:rPr>
          <w:rFonts w:ascii="Times New Roman" w:eastAsiaTheme="minorHAnsi" w:hAnsi="Times New Roman" w:cs="Times New Roman"/>
          <w:sz w:val="22"/>
          <w:szCs w:val="22"/>
        </w:rPr>
        <w:t xml:space="preserve"> persons those applicants have identified as their associates</w:t>
      </w:r>
      <w:r w:rsidR="00FF68DB">
        <w:rPr>
          <w:rFonts w:ascii="Times New Roman" w:eastAsiaTheme="minorHAnsi" w:hAnsi="Times New Roman" w:cs="Times New Roman"/>
          <w:sz w:val="22"/>
          <w:szCs w:val="22"/>
        </w:rPr>
        <w:t>,</w:t>
      </w:r>
      <w:r w:rsidR="00F57237" w:rsidRPr="00FF68DB">
        <w:rPr>
          <w:rFonts w:ascii="Times New Roman" w:eastAsiaTheme="minorHAnsi" w:hAnsi="Times New Roman" w:cs="Times New Roman"/>
          <w:sz w:val="22"/>
          <w:szCs w:val="22"/>
        </w:rPr>
        <w:t xml:space="preserve"> and </w:t>
      </w:r>
      <w:r w:rsidR="00FF68DB">
        <w:rPr>
          <w:rFonts w:ascii="Times New Roman" w:eastAsiaTheme="minorHAnsi" w:hAnsi="Times New Roman" w:cs="Times New Roman"/>
          <w:sz w:val="22"/>
          <w:szCs w:val="22"/>
        </w:rPr>
        <w:t>both</w:t>
      </w:r>
      <w:r w:rsidR="00F57237" w:rsidRPr="00FF68DB">
        <w:rPr>
          <w:rFonts w:ascii="Times New Roman" w:eastAsiaTheme="minorHAnsi" w:hAnsi="Times New Roman" w:cs="Times New Roman"/>
          <w:sz w:val="22"/>
          <w:szCs w:val="22"/>
        </w:rPr>
        <w:t xml:space="preserve"> previous successful bidders</w:t>
      </w:r>
      <w:r w:rsidRPr="00FF68DB">
        <w:rPr>
          <w:rFonts w:ascii="Times New Roman" w:eastAsiaTheme="minorHAnsi" w:hAnsi="Times New Roman" w:cs="Times New Roman"/>
          <w:sz w:val="22"/>
          <w:szCs w:val="22"/>
        </w:rPr>
        <w:t>.</w:t>
      </w:r>
      <w:r w:rsidR="00A01EA4">
        <w:rPr>
          <w:rFonts w:ascii="Times New Roman" w:eastAsiaTheme="minorHAnsi" w:hAnsi="Times New Roman" w:cs="Times New Roman"/>
          <w:sz w:val="22"/>
          <w:szCs w:val="22"/>
        </w:rPr>
        <w:t xml:space="preserve"> </w:t>
      </w:r>
      <w:r w:rsidRPr="00FF68DB">
        <w:rPr>
          <w:rFonts w:ascii="Times New Roman" w:eastAsiaTheme="minorHAnsi" w:hAnsi="Times New Roman" w:cs="Times New Roman"/>
          <w:sz w:val="22"/>
          <w:szCs w:val="22"/>
        </w:rPr>
        <w:t xml:space="preserve"> The information distributed </w:t>
      </w:r>
      <w:r w:rsidR="00FF68DB">
        <w:rPr>
          <w:rFonts w:ascii="Times New Roman" w:eastAsiaTheme="minorHAnsi" w:hAnsi="Times New Roman" w:cs="Times New Roman"/>
          <w:sz w:val="22"/>
          <w:szCs w:val="22"/>
        </w:rPr>
        <w:t xml:space="preserve">about applicants </w:t>
      </w:r>
      <w:r w:rsidRPr="00FF68DB">
        <w:rPr>
          <w:rFonts w:ascii="Times New Roman" w:eastAsiaTheme="minorHAnsi" w:hAnsi="Times New Roman" w:cs="Times New Roman"/>
          <w:sz w:val="22"/>
          <w:szCs w:val="22"/>
        </w:rPr>
        <w:t>will be based on details provided as part of each person’s application.</w:t>
      </w:r>
      <w:r w:rsidR="00A01EA4">
        <w:rPr>
          <w:rFonts w:ascii="Times New Roman" w:eastAsiaTheme="minorHAnsi" w:hAnsi="Times New Roman" w:cs="Times New Roman"/>
          <w:sz w:val="22"/>
          <w:szCs w:val="22"/>
        </w:rPr>
        <w:t xml:space="preserve"> </w:t>
      </w:r>
      <w:r w:rsidRPr="00FF68DB">
        <w:rPr>
          <w:rFonts w:ascii="Times New Roman" w:eastAsiaTheme="minorHAnsi" w:hAnsi="Times New Roman" w:cs="Times New Roman"/>
          <w:sz w:val="22"/>
          <w:szCs w:val="22"/>
        </w:rPr>
        <w:t xml:space="preserve"> The application form </w:t>
      </w:r>
      <w:r w:rsidR="008212D9" w:rsidRPr="00FF68DB">
        <w:rPr>
          <w:rFonts w:ascii="Times New Roman" w:eastAsiaTheme="minorHAnsi" w:hAnsi="Times New Roman" w:cs="Times New Roman"/>
          <w:sz w:val="22"/>
          <w:szCs w:val="22"/>
        </w:rPr>
        <w:t xml:space="preserve">will </w:t>
      </w:r>
      <w:r w:rsidRPr="00FF68DB">
        <w:rPr>
          <w:rFonts w:ascii="Times New Roman" w:eastAsiaTheme="minorHAnsi" w:hAnsi="Times New Roman" w:cs="Times New Roman"/>
          <w:sz w:val="22"/>
          <w:szCs w:val="22"/>
        </w:rPr>
        <w:t>include a requirement for applicants to provide information about themselves as well as their associates</w:t>
      </w:r>
      <w:r w:rsidR="00FF68DB">
        <w:rPr>
          <w:rFonts w:ascii="Times New Roman" w:eastAsiaTheme="minorHAnsi" w:hAnsi="Times New Roman" w:cs="Times New Roman"/>
          <w:sz w:val="22"/>
          <w:szCs w:val="22"/>
        </w:rPr>
        <w:t>,</w:t>
      </w:r>
      <w:r w:rsidR="00F57237" w:rsidRPr="00FF68DB">
        <w:rPr>
          <w:rFonts w:ascii="Times New Roman" w:eastAsiaTheme="minorHAnsi" w:hAnsi="Times New Roman" w:cs="Times New Roman"/>
          <w:sz w:val="22"/>
          <w:szCs w:val="22"/>
        </w:rPr>
        <w:t xml:space="preserve"> including information in rel</w:t>
      </w:r>
      <w:r w:rsidR="00FF68DB">
        <w:rPr>
          <w:rFonts w:ascii="Times New Roman" w:eastAsiaTheme="minorHAnsi" w:hAnsi="Times New Roman" w:cs="Times New Roman"/>
          <w:sz w:val="22"/>
          <w:szCs w:val="22"/>
        </w:rPr>
        <w:t>a</w:t>
      </w:r>
      <w:r w:rsidR="00F57237" w:rsidRPr="00FF68DB">
        <w:rPr>
          <w:rFonts w:ascii="Times New Roman" w:eastAsiaTheme="minorHAnsi" w:hAnsi="Times New Roman" w:cs="Times New Roman"/>
          <w:sz w:val="22"/>
          <w:szCs w:val="22"/>
        </w:rPr>
        <w:t>tion to previous successful bidders</w:t>
      </w:r>
      <w:r w:rsidRPr="00FF68DB">
        <w:rPr>
          <w:rFonts w:ascii="Times New Roman" w:eastAsiaTheme="minorHAnsi" w:hAnsi="Times New Roman" w:cs="Times New Roman"/>
          <w:sz w:val="22"/>
          <w:szCs w:val="22"/>
        </w:rPr>
        <w:t>.</w:t>
      </w:r>
    </w:p>
    <w:p w14:paraId="24B56FB9" w14:textId="317171FE" w:rsidR="00603AB1" w:rsidRPr="00FF68DB" w:rsidRDefault="00603AB1" w:rsidP="00D67611">
      <w:pPr>
        <w:pStyle w:val="ACMABodyText"/>
        <w:rPr>
          <w:rFonts w:ascii="Times New Roman" w:eastAsiaTheme="minorHAnsi" w:hAnsi="Times New Roman" w:cs="Times New Roman"/>
          <w:sz w:val="22"/>
          <w:szCs w:val="22"/>
        </w:rPr>
      </w:pPr>
      <w:r w:rsidRPr="00FF68DB">
        <w:rPr>
          <w:rFonts w:ascii="Times New Roman" w:eastAsiaTheme="minorHAnsi" w:hAnsi="Times New Roman" w:cs="Times New Roman"/>
          <w:sz w:val="22"/>
          <w:szCs w:val="22"/>
        </w:rPr>
        <w:lastRenderedPageBreak/>
        <w:t xml:space="preserve">The ACMA will ask each applicant to identify from the list provided by the ACMA whether </w:t>
      </w:r>
      <w:r w:rsidR="00FF68DB">
        <w:rPr>
          <w:rFonts w:ascii="Times New Roman" w:eastAsiaTheme="minorHAnsi" w:hAnsi="Times New Roman" w:cs="Times New Roman"/>
          <w:sz w:val="22"/>
          <w:szCs w:val="22"/>
        </w:rPr>
        <w:t>it is</w:t>
      </w:r>
      <w:r w:rsidRPr="00FF68DB">
        <w:rPr>
          <w:rFonts w:ascii="Times New Roman" w:eastAsiaTheme="minorHAnsi" w:hAnsi="Times New Roman" w:cs="Times New Roman"/>
          <w:sz w:val="22"/>
          <w:szCs w:val="22"/>
        </w:rPr>
        <w:t xml:space="preserve"> affiliated with any other applicant</w:t>
      </w:r>
      <w:r w:rsidR="00A01EA4">
        <w:rPr>
          <w:rFonts w:ascii="Times New Roman" w:eastAsiaTheme="minorHAnsi" w:hAnsi="Times New Roman" w:cs="Times New Roman"/>
          <w:sz w:val="22"/>
          <w:szCs w:val="22"/>
        </w:rPr>
        <w:t xml:space="preserve"> or with a previous successful bidder</w:t>
      </w:r>
      <w:r w:rsidRPr="00FF68DB">
        <w:rPr>
          <w:rFonts w:ascii="Times New Roman" w:eastAsiaTheme="minorHAnsi" w:hAnsi="Times New Roman" w:cs="Times New Roman"/>
          <w:sz w:val="22"/>
          <w:szCs w:val="22"/>
        </w:rPr>
        <w:t xml:space="preserve">. </w:t>
      </w:r>
      <w:r w:rsidR="00A01EA4">
        <w:rPr>
          <w:rFonts w:ascii="Times New Roman" w:eastAsiaTheme="minorHAnsi" w:hAnsi="Times New Roman" w:cs="Times New Roman"/>
          <w:sz w:val="22"/>
          <w:szCs w:val="22"/>
        </w:rPr>
        <w:t xml:space="preserve"> </w:t>
      </w:r>
      <w:r w:rsidRPr="00FF68DB">
        <w:rPr>
          <w:rFonts w:ascii="Times New Roman" w:eastAsiaTheme="minorHAnsi" w:hAnsi="Times New Roman" w:cs="Times New Roman"/>
          <w:sz w:val="22"/>
          <w:szCs w:val="22"/>
        </w:rPr>
        <w:t xml:space="preserve">Under this section, </w:t>
      </w:r>
      <w:r w:rsidR="00FF68DB">
        <w:rPr>
          <w:rFonts w:ascii="Times New Roman" w:eastAsiaTheme="minorHAnsi" w:hAnsi="Times New Roman" w:cs="Times New Roman"/>
          <w:sz w:val="22"/>
          <w:szCs w:val="22"/>
        </w:rPr>
        <w:t xml:space="preserve">each </w:t>
      </w:r>
      <w:r w:rsidRPr="00FF68DB">
        <w:rPr>
          <w:rFonts w:ascii="Times New Roman" w:eastAsiaTheme="minorHAnsi" w:hAnsi="Times New Roman" w:cs="Times New Roman"/>
          <w:sz w:val="22"/>
          <w:szCs w:val="22"/>
        </w:rPr>
        <w:t xml:space="preserve">applicant must then make a statutory declaration to the ACMA stating whether </w:t>
      </w:r>
      <w:r w:rsidR="00FF68DB">
        <w:rPr>
          <w:rFonts w:ascii="Times New Roman" w:eastAsiaTheme="minorHAnsi" w:hAnsi="Times New Roman" w:cs="Times New Roman"/>
          <w:sz w:val="22"/>
          <w:szCs w:val="22"/>
        </w:rPr>
        <w:t>it is</w:t>
      </w:r>
      <w:r w:rsidRPr="00FF68DB">
        <w:rPr>
          <w:rFonts w:ascii="Times New Roman" w:eastAsiaTheme="minorHAnsi" w:hAnsi="Times New Roman" w:cs="Times New Roman"/>
          <w:sz w:val="22"/>
          <w:szCs w:val="22"/>
        </w:rPr>
        <w:t xml:space="preserve"> affiliated with another applicant, </w:t>
      </w:r>
      <w:r w:rsidR="00FF68DB">
        <w:rPr>
          <w:rFonts w:ascii="Times New Roman" w:eastAsiaTheme="minorHAnsi" w:hAnsi="Times New Roman" w:cs="Times New Roman"/>
          <w:sz w:val="22"/>
          <w:szCs w:val="22"/>
        </w:rPr>
        <w:t xml:space="preserve">or with a previous successful bidder who is not also an applicant, </w:t>
      </w:r>
      <w:r w:rsidRPr="00FF68DB">
        <w:rPr>
          <w:rFonts w:ascii="Times New Roman" w:eastAsiaTheme="minorHAnsi" w:hAnsi="Times New Roman" w:cs="Times New Roman"/>
          <w:sz w:val="22"/>
          <w:szCs w:val="22"/>
        </w:rPr>
        <w:t>and</w:t>
      </w:r>
      <w:r w:rsidR="00FF68DB">
        <w:rPr>
          <w:rFonts w:ascii="Times New Roman" w:eastAsiaTheme="minorHAnsi" w:hAnsi="Times New Roman" w:cs="Times New Roman"/>
          <w:sz w:val="22"/>
          <w:szCs w:val="22"/>
        </w:rPr>
        <w:t>,</w:t>
      </w:r>
      <w:r w:rsidRPr="00FF68DB">
        <w:rPr>
          <w:rFonts w:ascii="Times New Roman" w:eastAsiaTheme="minorHAnsi" w:hAnsi="Times New Roman" w:cs="Times New Roman"/>
          <w:sz w:val="22"/>
          <w:szCs w:val="22"/>
        </w:rPr>
        <w:t xml:space="preserve"> if so, giving details of that affiliation. </w:t>
      </w:r>
      <w:r w:rsidR="00A01EA4">
        <w:rPr>
          <w:rFonts w:ascii="Times New Roman" w:eastAsiaTheme="minorHAnsi" w:hAnsi="Times New Roman" w:cs="Times New Roman"/>
          <w:sz w:val="22"/>
          <w:szCs w:val="22"/>
        </w:rPr>
        <w:t xml:space="preserve"> </w:t>
      </w:r>
      <w:r w:rsidRPr="00FF68DB">
        <w:rPr>
          <w:rFonts w:ascii="Times New Roman" w:eastAsiaTheme="minorHAnsi" w:hAnsi="Times New Roman" w:cs="Times New Roman"/>
          <w:sz w:val="22"/>
          <w:szCs w:val="22"/>
        </w:rPr>
        <w:t xml:space="preserve">Applicants will have at least </w:t>
      </w:r>
      <w:r w:rsidR="00BC2012" w:rsidRPr="00FF68DB">
        <w:rPr>
          <w:rFonts w:ascii="Times New Roman" w:eastAsiaTheme="minorHAnsi" w:hAnsi="Times New Roman" w:cs="Times New Roman"/>
          <w:sz w:val="22"/>
          <w:szCs w:val="22"/>
        </w:rPr>
        <w:t>5</w:t>
      </w:r>
      <w:r w:rsidRPr="00FF68DB">
        <w:rPr>
          <w:rFonts w:ascii="Times New Roman" w:eastAsiaTheme="minorHAnsi" w:hAnsi="Times New Roman" w:cs="Times New Roman"/>
          <w:sz w:val="22"/>
          <w:szCs w:val="22"/>
        </w:rPr>
        <w:t xml:space="preserve"> working days after the date of the ACMA’s request under this section to provide a statutory declaration. </w:t>
      </w:r>
      <w:r w:rsidR="00A01EA4">
        <w:rPr>
          <w:rFonts w:ascii="Times New Roman" w:eastAsiaTheme="minorHAnsi" w:hAnsi="Times New Roman" w:cs="Times New Roman"/>
          <w:sz w:val="22"/>
          <w:szCs w:val="22"/>
        </w:rPr>
        <w:t xml:space="preserve"> </w:t>
      </w:r>
      <w:r w:rsidRPr="00FF68DB">
        <w:rPr>
          <w:rFonts w:ascii="Times New Roman" w:eastAsiaTheme="minorHAnsi" w:hAnsi="Times New Roman" w:cs="Times New Roman"/>
          <w:sz w:val="22"/>
          <w:szCs w:val="22"/>
        </w:rPr>
        <w:t xml:space="preserve">This timeframe is intended to give applicants sufficient time to provide accurate information in the statutory declaration, without unduly delaying the </w:t>
      </w:r>
      <w:r w:rsidR="00DC7EF1" w:rsidRPr="00FF68DB">
        <w:rPr>
          <w:rFonts w:ascii="Times New Roman" w:eastAsiaTheme="minorHAnsi" w:hAnsi="Times New Roman" w:cs="Times New Roman"/>
          <w:sz w:val="22"/>
          <w:szCs w:val="22"/>
        </w:rPr>
        <w:t>commencement</w:t>
      </w:r>
      <w:r w:rsidR="00971C86" w:rsidRPr="00FF68DB">
        <w:rPr>
          <w:rFonts w:ascii="Times New Roman" w:eastAsiaTheme="minorHAnsi" w:hAnsi="Times New Roman" w:cs="Times New Roman"/>
          <w:sz w:val="22"/>
          <w:szCs w:val="22"/>
        </w:rPr>
        <w:t xml:space="preserve"> of the allocation processes</w:t>
      </w:r>
      <w:r w:rsidRPr="00FF68DB">
        <w:rPr>
          <w:rFonts w:ascii="Times New Roman" w:eastAsiaTheme="minorHAnsi" w:hAnsi="Times New Roman" w:cs="Times New Roman"/>
          <w:sz w:val="22"/>
          <w:szCs w:val="22"/>
        </w:rPr>
        <w:t>.</w:t>
      </w:r>
    </w:p>
    <w:p w14:paraId="0F5C6D37" w14:textId="12ACEF45" w:rsidR="00603AB1" w:rsidRPr="00AE066E" w:rsidRDefault="00603AB1" w:rsidP="007A7279">
      <w:pPr>
        <w:keepNext/>
        <w:spacing w:after="160" w:line="259" w:lineRule="auto"/>
        <w:rPr>
          <w:rFonts w:eastAsiaTheme="minorHAnsi"/>
          <w:b/>
          <w:sz w:val="22"/>
          <w:szCs w:val="22"/>
          <w:lang w:eastAsia="en-US"/>
        </w:rPr>
      </w:pPr>
      <w:r w:rsidRPr="00AE066E">
        <w:rPr>
          <w:rFonts w:eastAsiaTheme="minorHAnsi"/>
          <w:b/>
          <w:sz w:val="22"/>
          <w:szCs w:val="22"/>
          <w:lang w:eastAsia="en-US"/>
        </w:rPr>
        <w:t xml:space="preserve">Section </w:t>
      </w:r>
      <w:r w:rsidR="00E26050" w:rsidRPr="00AE066E">
        <w:rPr>
          <w:rFonts w:eastAsiaTheme="minorHAnsi"/>
          <w:b/>
          <w:sz w:val="22"/>
          <w:szCs w:val="22"/>
          <w:lang w:eastAsia="en-US"/>
        </w:rPr>
        <w:t>32</w:t>
      </w:r>
      <w:r w:rsidRPr="00AE066E">
        <w:rPr>
          <w:rFonts w:eastAsiaTheme="minorHAnsi"/>
          <w:b/>
          <w:sz w:val="22"/>
          <w:szCs w:val="22"/>
          <w:lang w:eastAsia="en-US"/>
        </w:rPr>
        <w:tab/>
        <w:t>Failure to provide statutory declaration</w:t>
      </w:r>
    </w:p>
    <w:p w14:paraId="67D68F66" w14:textId="06C0BD74" w:rsidR="00603AB1" w:rsidRPr="00AE066E" w:rsidRDefault="00603AB1" w:rsidP="00AE066E">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 xml:space="preserve">This section sets out the consequences of failing to provide a statutory declaration in accordance with section </w:t>
      </w:r>
      <w:r w:rsidR="00E26050" w:rsidRPr="00AE066E">
        <w:rPr>
          <w:rFonts w:ascii="Times New Roman" w:eastAsiaTheme="minorHAnsi" w:hAnsi="Times New Roman" w:cs="Times New Roman"/>
          <w:sz w:val="22"/>
          <w:szCs w:val="22"/>
        </w:rPr>
        <w:t>31</w:t>
      </w:r>
      <w:r w:rsidRPr="00AE066E">
        <w:rPr>
          <w:rFonts w:ascii="Times New Roman" w:eastAsiaTheme="minorHAnsi" w:hAnsi="Times New Roman" w:cs="Times New Roman"/>
          <w:sz w:val="22"/>
          <w:szCs w:val="22"/>
        </w:rPr>
        <w:t>.</w:t>
      </w:r>
      <w:r w:rsidR="00AE066E">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 xml:space="preserve"> Applicants who do not provide the statutory declaration in the manner set out in section </w:t>
      </w:r>
      <w:r w:rsidR="00E26050" w:rsidRPr="00AE066E">
        <w:rPr>
          <w:rFonts w:ascii="Times New Roman" w:eastAsiaTheme="minorHAnsi" w:hAnsi="Times New Roman" w:cs="Times New Roman"/>
          <w:sz w:val="22"/>
          <w:szCs w:val="22"/>
        </w:rPr>
        <w:t>31</w:t>
      </w:r>
      <w:r w:rsidRPr="00AE066E">
        <w:rPr>
          <w:rFonts w:ascii="Times New Roman" w:eastAsiaTheme="minorHAnsi" w:hAnsi="Times New Roman" w:cs="Times New Roman"/>
          <w:sz w:val="22"/>
          <w:szCs w:val="22"/>
        </w:rPr>
        <w:t xml:space="preserve"> will be considered to have withdrawn from the auction. </w:t>
      </w:r>
      <w:r w:rsidR="00A01EA4">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 xml:space="preserve">They will not be entitled to re-apply or take part in the auction, and will not be allocated spectrum </w:t>
      </w:r>
      <w:r w:rsidR="00AE066E">
        <w:rPr>
          <w:rFonts w:ascii="Times New Roman" w:eastAsiaTheme="minorHAnsi" w:hAnsi="Times New Roman" w:cs="Times New Roman"/>
          <w:sz w:val="22"/>
          <w:szCs w:val="22"/>
        </w:rPr>
        <w:t xml:space="preserve">licences </w:t>
      </w:r>
      <w:r w:rsidRPr="00AE066E">
        <w:rPr>
          <w:rFonts w:ascii="Times New Roman" w:eastAsiaTheme="minorHAnsi" w:hAnsi="Times New Roman" w:cs="Times New Roman"/>
          <w:sz w:val="22"/>
          <w:szCs w:val="22"/>
        </w:rPr>
        <w:t xml:space="preserve">under </w:t>
      </w:r>
      <w:r w:rsidR="00AE066E">
        <w:rPr>
          <w:rFonts w:ascii="Times New Roman" w:eastAsiaTheme="minorHAnsi" w:hAnsi="Times New Roman" w:cs="Times New Roman"/>
          <w:sz w:val="22"/>
          <w:szCs w:val="22"/>
        </w:rPr>
        <w:t>the Determination</w:t>
      </w:r>
      <w:r w:rsidR="00E26050" w:rsidRPr="00AE066E">
        <w:rPr>
          <w:rFonts w:ascii="Times New Roman" w:eastAsiaTheme="minorHAnsi" w:hAnsi="Times New Roman" w:cs="Times New Roman"/>
          <w:sz w:val="22"/>
          <w:szCs w:val="22"/>
        </w:rPr>
        <w:t>.</w:t>
      </w:r>
      <w:r w:rsidRPr="00AE066E">
        <w:rPr>
          <w:rFonts w:ascii="Times New Roman" w:eastAsiaTheme="minorHAnsi" w:hAnsi="Times New Roman" w:cs="Times New Roman"/>
          <w:sz w:val="22"/>
          <w:szCs w:val="22"/>
        </w:rPr>
        <w:t xml:space="preserve"> </w:t>
      </w:r>
    </w:p>
    <w:p w14:paraId="2D4833A4" w14:textId="59079B19" w:rsidR="00603AB1" w:rsidRPr="00AE066E" w:rsidRDefault="00603AB1" w:rsidP="00AE066E">
      <w:pPr>
        <w:keepNext/>
        <w:spacing w:after="160" w:line="259" w:lineRule="auto"/>
        <w:rPr>
          <w:rFonts w:eastAsiaTheme="minorHAnsi"/>
          <w:b/>
          <w:sz w:val="22"/>
          <w:szCs w:val="22"/>
          <w:lang w:eastAsia="en-US"/>
        </w:rPr>
      </w:pPr>
      <w:r w:rsidRPr="00AE066E">
        <w:rPr>
          <w:rFonts w:eastAsiaTheme="minorHAnsi"/>
          <w:b/>
          <w:sz w:val="22"/>
          <w:szCs w:val="22"/>
          <w:lang w:eastAsia="en-US"/>
        </w:rPr>
        <w:t xml:space="preserve">Section </w:t>
      </w:r>
      <w:r w:rsidR="00151C0B" w:rsidRPr="00AE066E">
        <w:rPr>
          <w:rFonts w:eastAsiaTheme="minorHAnsi"/>
          <w:b/>
          <w:sz w:val="22"/>
          <w:szCs w:val="22"/>
          <w:lang w:eastAsia="en-US"/>
        </w:rPr>
        <w:t>3</w:t>
      </w:r>
      <w:r w:rsidR="00E26050" w:rsidRPr="00AE066E">
        <w:rPr>
          <w:rFonts w:eastAsiaTheme="minorHAnsi"/>
          <w:b/>
          <w:sz w:val="22"/>
          <w:szCs w:val="22"/>
          <w:lang w:eastAsia="en-US"/>
        </w:rPr>
        <w:t>3</w:t>
      </w:r>
      <w:r w:rsidRPr="00AE066E">
        <w:rPr>
          <w:rFonts w:eastAsiaTheme="minorHAnsi"/>
          <w:b/>
          <w:sz w:val="22"/>
          <w:szCs w:val="22"/>
          <w:lang w:eastAsia="en-US"/>
        </w:rPr>
        <w:tab/>
        <w:t>Procedure if ACMA satisfied applicants affiliated</w:t>
      </w:r>
    </w:p>
    <w:p w14:paraId="45F1F085" w14:textId="0E60C8F9" w:rsidR="00603AB1" w:rsidRPr="00AE066E" w:rsidRDefault="00603AB1" w:rsidP="00D67611">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 xml:space="preserve">This section sets out the options available to a group of </w:t>
      </w:r>
      <w:r w:rsidR="00AE066E">
        <w:rPr>
          <w:rFonts w:ascii="Times New Roman" w:eastAsiaTheme="minorHAnsi" w:hAnsi="Times New Roman" w:cs="Times New Roman"/>
          <w:sz w:val="22"/>
          <w:szCs w:val="22"/>
        </w:rPr>
        <w:t>two</w:t>
      </w:r>
      <w:r w:rsidRPr="00AE066E">
        <w:rPr>
          <w:rFonts w:ascii="Times New Roman" w:eastAsiaTheme="minorHAnsi" w:hAnsi="Times New Roman" w:cs="Times New Roman"/>
          <w:sz w:val="22"/>
          <w:szCs w:val="22"/>
        </w:rPr>
        <w:t xml:space="preserve"> or more applicants where the ACMA is satisfied that they are affiliated.  The aim of this section is to assist applicants that are affiliated by providing them with a range of options that they may use to resolve any affiliation so as to enable their participation in the auction.</w:t>
      </w:r>
    </w:p>
    <w:p w14:paraId="6DA50544" w14:textId="320AC0FD" w:rsidR="00603AB1" w:rsidRPr="00AE066E" w:rsidRDefault="00603AB1" w:rsidP="00D67611">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 xml:space="preserve">Under this section, the ACMA must write to each affiliated applicant and explain the reasons why it considers them to be affiliated. </w:t>
      </w:r>
      <w:r w:rsidR="00AE066E">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 xml:space="preserve">The ACMA must also tell all affiliated applicants </w:t>
      </w:r>
      <w:r w:rsidR="00F040D0" w:rsidRPr="00AE066E">
        <w:rPr>
          <w:rFonts w:ascii="Times New Roman" w:eastAsiaTheme="minorHAnsi" w:hAnsi="Times New Roman" w:cs="Times New Roman"/>
          <w:sz w:val="22"/>
          <w:szCs w:val="22"/>
        </w:rPr>
        <w:t xml:space="preserve">of </w:t>
      </w:r>
      <w:r w:rsidRPr="00AE066E">
        <w:rPr>
          <w:rFonts w:ascii="Times New Roman" w:eastAsiaTheme="minorHAnsi" w:hAnsi="Times New Roman" w:cs="Times New Roman"/>
          <w:sz w:val="22"/>
          <w:szCs w:val="22"/>
        </w:rPr>
        <w:t xml:space="preserve">the options available to them under this section. </w:t>
      </w:r>
      <w:r w:rsidR="00A01EA4">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 xml:space="preserve">Affiliated applicants are required to notify the ACMA in writing within </w:t>
      </w:r>
      <w:r w:rsidR="00154F94" w:rsidRPr="00AE066E">
        <w:rPr>
          <w:rFonts w:ascii="Times New Roman" w:eastAsiaTheme="minorHAnsi" w:hAnsi="Times New Roman" w:cs="Times New Roman"/>
          <w:sz w:val="22"/>
          <w:szCs w:val="22"/>
        </w:rPr>
        <w:t>10</w:t>
      </w:r>
      <w:r w:rsidR="008A2797" w:rsidRPr="00AE066E">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 xml:space="preserve">working days of receiving notification from the ACMA which option they propose to take. </w:t>
      </w:r>
      <w:r w:rsidR="00A01EA4">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The options available to affiliated applicants under this section are:</w:t>
      </w:r>
    </w:p>
    <w:p w14:paraId="02B2AF22" w14:textId="619A7D27" w:rsidR="00A01EA4" w:rsidRPr="00AE066E" w:rsidRDefault="00AE066E" w:rsidP="00AE066E">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(a)</w:t>
      </w:r>
      <w:r>
        <w:rPr>
          <w:rFonts w:ascii="Times New Roman" w:eastAsiaTheme="minorHAnsi" w:hAnsi="Times New Roman" w:cs="Times New Roman"/>
          <w:sz w:val="22"/>
          <w:szCs w:val="22"/>
        </w:rPr>
        <w:tab/>
      </w:r>
      <w:proofErr w:type="gramStart"/>
      <w:r w:rsidR="00603AB1" w:rsidRPr="00AE066E">
        <w:rPr>
          <w:rFonts w:ascii="Times New Roman" w:eastAsiaTheme="minorHAnsi" w:hAnsi="Times New Roman" w:cs="Times New Roman"/>
          <w:sz w:val="22"/>
          <w:szCs w:val="22"/>
        </w:rPr>
        <w:t>to</w:t>
      </w:r>
      <w:proofErr w:type="gramEnd"/>
      <w:r w:rsidR="00603AB1" w:rsidRPr="00AE066E">
        <w:rPr>
          <w:rFonts w:ascii="Times New Roman" w:eastAsiaTheme="minorHAnsi" w:hAnsi="Times New Roman" w:cs="Times New Roman"/>
          <w:sz w:val="22"/>
          <w:szCs w:val="22"/>
        </w:rPr>
        <w:t xml:space="preserve"> withdraw the applications of all the affiliated applicants and submit a new application, as a single new applicant, under section </w:t>
      </w:r>
      <w:r w:rsidR="00151C0B" w:rsidRPr="00AE066E">
        <w:rPr>
          <w:rFonts w:ascii="Times New Roman" w:eastAsiaTheme="minorHAnsi" w:hAnsi="Times New Roman" w:cs="Times New Roman"/>
          <w:sz w:val="22"/>
          <w:szCs w:val="22"/>
        </w:rPr>
        <w:t>3</w:t>
      </w:r>
      <w:r w:rsidR="00E26050" w:rsidRPr="00AE066E">
        <w:rPr>
          <w:rFonts w:ascii="Times New Roman" w:eastAsiaTheme="minorHAnsi" w:hAnsi="Times New Roman" w:cs="Times New Roman"/>
          <w:sz w:val="22"/>
          <w:szCs w:val="22"/>
        </w:rPr>
        <w:t>4</w:t>
      </w:r>
      <w:r w:rsidR="00971C86" w:rsidRPr="00AE066E">
        <w:rPr>
          <w:rFonts w:ascii="Times New Roman" w:eastAsiaTheme="minorHAnsi" w:hAnsi="Times New Roman" w:cs="Times New Roman"/>
          <w:sz w:val="22"/>
          <w:szCs w:val="22"/>
        </w:rPr>
        <w:t>; or</w:t>
      </w:r>
    </w:p>
    <w:p w14:paraId="078B4F3A" w14:textId="347B3359" w:rsidR="0014129B" w:rsidRPr="00AE066E" w:rsidRDefault="00AE066E" w:rsidP="00AE066E">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(b)</w:t>
      </w:r>
      <w:r>
        <w:rPr>
          <w:rFonts w:ascii="Times New Roman" w:eastAsiaTheme="minorHAnsi" w:hAnsi="Times New Roman" w:cs="Times New Roman"/>
          <w:sz w:val="22"/>
          <w:szCs w:val="22"/>
        </w:rPr>
        <w:tab/>
      </w:r>
      <w:proofErr w:type="gramStart"/>
      <w:r w:rsidR="00603AB1" w:rsidRPr="00AE066E">
        <w:rPr>
          <w:rFonts w:ascii="Times New Roman" w:eastAsiaTheme="minorHAnsi" w:hAnsi="Times New Roman" w:cs="Times New Roman"/>
          <w:sz w:val="22"/>
          <w:szCs w:val="22"/>
        </w:rPr>
        <w:t>to</w:t>
      </w:r>
      <w:proofErr w:type="gramEnd"/>
      <w:r w:rsidR="00603AB1" w:rsidRPr="00AE066E">
        <w:rPr>
          <w:rFonts w:ascii="Times New Roman" w:eastAsiaTheme="minorHAnsi" w:hAnsi="Times New Roman" w:cs="Times New Roman"/>
          <w:sz w:val="22"/>
          <w:szCs w:val="22"/>
        </w:rPr>
        <w:t xml:space="preserve"> withdraw the applications of all but one of the affiliated applicants. </w:t>
      </w:r>
    </w:p>
    <w:p w14:paraId="066B07D1" w14:textId="0B34F5DA" w:rsidR="00603AB1" w:rsidRPr="00AE066E" w:rsidRDefault="00603AB1" w:rsidP="00D67611">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 xml:space="preserve">Under this section, the ACMA will consider all of the affiliated applicants to have withdrawn their applications if the applicants do not respond to the ACMA within </w:t>
      </w:r>
      <w:r w:rsidR="00B32BC0" w:rsidRPr="00AE066E">
        <w:rPr>
          <w:rFonts w:ascii="Times New Roman" w:eastAsiaTheme="minorHAnsi" w:hAnsi="Times New Roman" w:cs="Times New Roman"/>
          <w:sz w:val="22"/>
          <w:szCs w:val="22"/>
        </w:rPr>
        <w:t>10</w:t>
      </w:r>
      <w:r w:rsidRPr="00AE066E">
        <w:rPr>
          <w:rFonts w:ascii="Times New Roman" w:eastAsiaTheme="minorHAnsi" w:hAnsi="Times New Roman" w:cs="Times New Roman"/>
          <w:sz w:val="22"/>
          <w:szCs w:val="22"/>
        </w:rPr>
        <w:t xml:space="preserve"> working days of the notification. </w:t>
      </w:r>
      <w:r w:rsidR="003B5342">
        <w:rPr>
          <w:rFonts w:ascii="Times New Roman" w:eastAsiaTheme="minorHAnsi" w:hAnsi="Times New Roman" w:cs="Times New Roman"/>
          <w:sz w:val="22"/>
          <w:szCs w:val="22"/>
        </w:rPr>
        <w:t xml:space="preserve"> </w:t>
      </w:r>
      <w:r w:rsidR="00AE066E">
        <w:rPr>
          <w:rFonts w:ascii="Times New Roman" w:eastAsiaTheme="minorHAnsi" w:hAnsi="Times New Roman" w:cs="Times New Roman"/>
          <w:sz w:val="22"/>
          <w:szCs w:val="22"/>
        </w:rPr>
        <w:t xml:space="preserve">If affiliated applicants elect to take the </w:t>
      </w:r>
      <w:r w:rsidR="003B5342">
        <w:rPr>
          <w:rFonts w:ascii="Times New Roman" w:eastAsiaTheme="minorHAnsi" w:hAnsi="Times New Roman" w:cs="Times New Roman"/>
          <w:sz w:val="22"/>
          <w:szCs w:val="22"/>
        </w:rPr>
        <w:t>second</w:t>
      </w:r>
      <w:r w:rsidR="00AE066E">
        <w:rPr>
          <w:rFonts w:ascii="Times New Roman" w:eastAsiaTheme="minorHAnsi" w:hAnsi="Times New Roman" w:cs="Times New Roman"/>
          <w:sz w:val="22"/>
          <w:szCs w:val="22"/>
        </w:rPr>
        <w:t xml:space="preserve"> option, but two or more of them do not withdraw their applications by the preference deadline, each of those applicants will be taken to have withdrawn their applications (such that none of the affiliated applicants will be able to participate in the allocation process). </w:t>
      </w:r>
    </w:p>
    <w:p w14:paraId="531782B0" w14:textId="65E0289B" w:rsidR="00603AB1" w:rsidRPr="00AE066E" w:rsidRDefault="00603AB1" w:rsidP="00D67611">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 xml:space="preserve">Where applicants are taken to have withdrawn under this section, the ACMA must notify those applicants and they will not be able to reapply (see section </w:t>
      </w:r>
      <w:r w:rsidR="00E26050" w:rsidRPr="00AE066E">
        <w:rPr>
          <w:rFonts w:ascii="Times New Roman" w:eastAsiaTheme="minorHAnsi" w:hAnsi="Times New Roman" w:cs="Times New Roman"/>
          <w:sz w:val="22"/>
          <w:szCs w:val="22"/>
        </w:rPr>
        <w:t>39</w:t>
      </w:r>
      <w:r w:rsidRPr="00AE066E">
        <w:rPr>
          <w:rFonts w:ascii="Times New Roman" w:eastAsiaTheme="minorHAnsi" w:hAnsi="Times New Roman" w:cs="Times New Roman"/>
          <w:sz w:val="22"/>
          <w:szCs w:val="22"/>
        </w:rPr>
        <w:t>).</w:t>
      </w:r>
    </w:p>
    <w:p w14:paraId="47FD88C2" w14:textId="7522CC30" w:rsidR="00603AB1" w:rsidRPr="00AE066E" w:rsidRDefault="00F0216B" w:rsidP="00AE066E">
      <w:pPr>
        <w:keepNext/>
        <w:spacing w:after="160" w:line="259" w:lineRule="auto"/>
        <w:rPr>
          <w:rFonts w:eastAsiaTheme="minorHAnsi"/>
          <w:b/>
          <w:sz w:val="22"/>
          <w:szCs w:val="22"/>
          <w:lang w:eastAsia="en-US"/>
        </w:rPr>
      </w:pPr>
      <w:r w:rsidRPr="00AE066E">
        <w:rPr>
          <w:rFonts w:eastAsiaTheme="minorHAnsi"/>
          <w:b/>
          <w:sz w:val="22"/>
          <w:szCs w:val="22"/>
          <w:lang w:eastAsia="en-US"/>
        </w:rPr>
        <w:t>S</w:t>
      </w:r>
      <w:r w:rsidR="00E26050" w:rsidRPr="00AE066E">
        <w:rPr>
          <w:rFonts w:eastAsiaTheme="minorHAnsi"/>
          <w:b/>
          <w:sz w:val="22"/>
          <w:szCs w:val="22"/>
          <w:lang w:eastAsia="en-US"/>
        </w:rPr>
        <w:t>e</w:t>
      </w:r>
      <w:r w:rsidR="00603AB1" w:rsidRPr="00AE066E">
        <w:rPr>
          <w:rFonts w:eastAsiaTheme="minorHAnsi"/>
          <w:b/>
          <w:sz w:val="22"/>
          <w:szCs w:val="22"/>
          <w:lang w:eastAsia="en-US"/>
        </w:rPr>
        <w:t xml:space="preserve">ction </w:t>
      </w:r>
      <w:r w:rsidR="00151C0B" w:rsidRPr="00AE066E">
        <w:rPr>
          <w:rFonts w:eastAsiaTheme="minorHAnsi"/>
          <w:b/>
          <w:sz w:val="22"/>
          <w:szCs w:val="22"/>
          <w:lang w:eastAsia="en-US"/>
        </w:rPr>
        <w:t>3</w:t>
      </w:r>
      <w:r w:rsidR="00E26050" w:rsidRPr="00AE066E">
        <w:rPr>
          <w:rFonts w:eastAsiaTheme="minorHAnsi"/>
          <w:b/>
          <w:sz w:val="22"/>
          <w:szCs w:val="22"/>
          <w:lang w:eastAsia="en-US"/>
        </w:rPr>
        <w:t>4</w:t>
      </w:r>
      <w:r w:rsidR="00603AB1" w:rsidRPr="00AE066E">
        <w:rPr>
          <w:rFonts w:eastAsiaTheme="minorHAnsi"/>
          <w:b/>
          <w:sz w:val="22"/>
          <w:szCs w:val="22"/>
          <w:lang w:eastAsia="en-US"/>
        </w:rPr>
        <w:tab/>
        <w:t>Requirement for new application</w:t>
      </w:r>
    </w:p>
    <w:p w14:paraId="647446C0" w14:textId="7C46873C" w:rsidR="00603AB1" w:rsidRPr="00AE066E" w:rsidRDefault="00603AB1" w:rsidP="00D67611">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 xml:space="preserve">This section allows a group of affiliated applicants who have withdrawn </w:t>
      </w:r>
      <w:r w:rsidR="00AE066E">
        <w:rPr>
          <w:rFonts w:ascii="Times New Roman" w:eastAsiaTheme="minorHAnsi" w:hAnsi="Times New Roman" w:cs="Times New Roman"/>
          <w:sz w:val="22"/>
          <w:szCs w:val="22"/>
        </w:rPr>
        <w:t>all of their</w:t>
      </w:r>
      <w:r w:rsidRPr="00AE066E">
        <w:rPr>
          <w:rFonts w:ascii="Times New Roman" w:eastAsiaTheme="minorHAnsi" w:hAnsi="Times New Roman" w:cs="Times New Roman"/>
          <w:sz w:val="22"/>
          <w:szCs w:val="22"/>
        </w:rPr>
        <w:t xml:space="preserve"> applications</w:t>
      </w:r>
      <w:r w:rsidR="00AE066E">
        <w:rPr>
          <w:rFonts w:ascii="Times New Roman" w:eastAsiaTheme="minorHAnsi" w:hAnsi="Times New Roman" w:cs="Times New Roman"/>
          <w:sz w:val="22"/>
          <w:szCs w:val="22"/>
        </w:rPr>
        <w:t>,</w:t>
      </w:r>
      <w:r w:rsidRPr="00AE066E">
        <w:rPr>
          <w:rFonts w:ascii="Times New Roman" w:eastAsiaTheme="minorHAnsi" w:hAnsi="Times New Roman" w:cs="Times New Roman"/>
          <w:sz w:val="22"/>
          <w:szCs w:val="22"/>
        </w:rPr>
        <w:t xml:space="preserve"> </w:t>
      </w:r>
      <w:r w:rsidR="00AE066E">
        <w:rPr>
          <w:rFonts w:ascii="Times New Roman" w:eastAsiaTheme="minorHAnsi" w:hAnsi="Times New Roman" w:cs="Times New Roman"/>
          <w:sz w:val="22"/>
          <w:szCs w:val="22"/>
        </w:rPr>
        <w:t>as set out in</w:t>
      </w:r>
      <w:r w:rsidRPr="00AE066E">
        <w:rPr>
          <w:rFonts w:ascii="Times New Roman" w:eastAsiaTheme="minorHAnsi" w:hAnsi="Times New Roman" w:cs="Times New Roman"/>
          <w:sz w:val="22"/>
          <w:szCs w:val="22"/>
        </w:rPr>
        <w:t xml:space="preserve"> subsection</w:t>
      </w:r>
      <w:r w:rsidR="001E300C" w:rsidRPr="00AE066E">
        <w:rPr>
          <w:rFonts w:ascii="Times New Roman" w:eastAsiaTheme="minorHAnsi" w:hAnsi="Times New Roman" w:cs="Times New Roman"/>
          <w:sz w:val="22"/>
          <w:szCs w:val="22"/>
        </w:rPr>
        <w:t xml:space="preserve"> 33</w:t>
      </w:r>
      <w:r w:rsidRPr="00AE066E">
        <w:rPr>
          <w:rFonts w:ascii="Times New Roman" w:eastAsiaTheme="minorHAnsi" w:hAnsi="Times New Roman" w:cs="Times New Roman"/>
          <w:sz w:val="22"/>
          <w:szCs w:val="22"/>
        </w:rPr>
        <w:t>(1)</w:t>
      </w:r>
      <w:r w:rsidR="00AE066E">
        <w:rPr>
          <w:rFonts w:ascii="Times New Roman" w:eastAsiaTheme="minorHAnsi" w:hAnsi="Times New Roman" w:cs="Times New Roman"/>
          <w:sz w:val="22"/>
          <w:szCs w:val="22"/>
        </w:rPr>
        <w:t>,</w:t>
      </w:r>
      <w:r w:rsidRPr="00AE066E">
        <w:rPr>
          <w:rFonts w:ascii="Times New Roman" w:eastAsiaTheme="minorHAnsi" w:hAnsi="Times New Roman" w:cs="Times New Roman"/>
          <w:sz w:val="22"/>
          <w:szCs w:val="22"/>
        </w:rPr>
        <w:t xml:space="preserve"> to make a new application </w:t>
      </w:r>
      <w:r w:rsidR="00AE066E">
        <w:rPr>
          <w:rFonts w:ascii="Times New Roman" w:eastAsiaTheme="minorHAnsi" w:hAnsi="Times New Roman" w:cs="Times New Roman"/>
          <w:sz w:val="22"/>
          <w:szCs w:val="22"/>
        </w:rPr>
        <w:t>through</w:t>
      </w:r>
      <w:r w:rsidR="008212D9" w:rsidRPr="00AE066E">
        <w:rPr>
          <w:rFonts w:ascii="Times New Roman" w:eastAsiaTheme="minorHAnsi" w:hAnsi="Times New Roman" w:cs="Times New Roman"/>
          <w:sz w:val="22"/>
          <w:szCs w:val="22"/>
        </w:rPr>
        <w:t xml:space="preserve"> a body corporate whose only members are one or more of th</w:t>
      </w:r>
      <w:r w:rsidR="00AE066E">
        <w:rPr>
          <w:rFonts w:ascii="Times New Roman" w:eastAsiaTheme="minorHAnsi" w:hAnsi="Times New Roman" w:cs="Times New Roman"/>
          <w:sz w:val="22"/>
          <w:szCs w:val="22"/>
        </w:rPr>
        <w:t>os</w:t>
      </w:r>
      <w:r w:rsidR="008212D9" w:rsidRPr="00AE066E">
        <w:rPr>
          <w:rFonts w:ascii="Times New Roman" w:eastAsiaTheme="minorHAnsi" w:hAnsi="Times New Roman" w:cs="Times New Roman"/>
          <w:sz w:val="22"/>
          <w:szCs w:val="22"/>
        </w:rPr>
        <w:t>e affiliated applicants.</w:t>
      </w:r>
      <w:r w:rsidR="003B5342">
        <w:rPr>
          <w:rFonts w:ascii="Times New Roman" w:eastAsiaTheme="minorHAnsi" w:hAnsi="Times New Roman" w:cs="Times New Roman"/>
          <w:sz w:val="22"/>
          <w:szCs w:val="22"/>
        </w:rPr>
        <w:t xml:space="preserve"> </w:t>
      </w:r>
      <w:r w:rsidR="008212D9" w:rsidRPr="00AE066E">
        <w:rPr>
          <w:rFonts w:ascii="Times New Roman" w:eastAsiaTheme="minorHAnsi" w:hAnsi="Times New Roman" w:cs="Times New Roman"/>
          <w:sz w:val="22"/>
          <w:szCs w:val="22"/>
        </w:rPr>
        <w:t xml:space="preserve"> The section</w:t>
      </w:r>
      <w:r w:rsidRPr="00AE066E">
        <w:rPr>
          <w:rFonts w:ascii="Times New Roman" w:eastAsiaTheme="minorHAnsi" w:hAnsi="Times New Roman" w:cs="Times New Roman"/>
          <w:sz w:val="22"/>
          <w:szCs w:val="22"/>
        </w:rPr>
        <w:t xml:space="preserve"> sets out the process and timeframe for </w:t>
      </w:r>
      <w:r w:rsidR="00AE066E">
        <w:rPr>
          <w:rFonts w:ascii="Times New Roman" w:eastAsiaTheme="minorHAnsi" w:hAnsi="Times New Roman" w:cs="Times New Roman"/>
          <w:sz w:val="22"/>
          <w:szCs w:val="22"/>
        </w:rPr>
        <w:t xml:space="preserve">the body corporate to </w:t>
      </w:r>
      <w:r w:rsidRPr="00AE066E">
        <w:rPr>
          <w:rFonts w:ascii="Times New Roman" w:eastAsiaTheme="minorHAnsi" w:hAnsi="Times New Roman" w:cs="Times New Roman"/>
          <w:sz w:val="22"/>
          <w:szCs w:val="22"/>
        </w:rPr>
        <w:t>lodg</w:t>
      </w:r>
      <w:r w:rsidR="00AE066E">
        <w:rPr>
          <w:rFonts w:ascii="Times New Roman" w:eastAsiaTheme="minorHAnsi" w:hAnsi="Times New Roman" w:cs="Times New Roman"/>
          <w:sz w:val="22"/>
          <w:szCs w:val="22"/>
        </w:rPr>
        <w:t>e</w:t>
      </w:r>
      <w:r w:rsidRPr="00AE066E">
        <w:rPr>
          <w:rFonts w:ascii="Times New Roman" w:eastAsiaTheme="minorHAnsi" w:hAnsi="Times New Roman" w:cs="Times New Roman"/>
          <w:sz w:val="22"/>
          <w:szCs w:val="22"/>
        </w:rPr>
        <w:t xml:space="preserve"> a new application. </w:t>
      </w:r>
      <w:r w:rsidR="003B5342">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A new application made under this section must be accompanied by an additional payment of the application fee.</w:t>
      </w:r>
    </w:p>
    <w:p w14:paraId="1D10AF44" w14:textId="29F5EF6D" w:rsidR="0014129B" w:rsidRPr="00AE066E" w:rsidRDefault="00AE066E" w:rsidP="00A55DDD">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A n</w:t>
      </w:r>
      <w:r w:rsidR="00603AB1" w:rsidRPr="00AE066E">
        <w:rPr>
          <w:rFonts w:ascii="Times New Roman" w:eastAsiaTheme="minorHAnsi" w:hAnsi="Times New Roman" w:cs="Times New Roman"/>
          <w:sz w:val="22"/>
          <w:szCs w:val="22"/>
        </w:rPr>
        <w:t>ew applicant</w:t>
      </w:r>
      <w:r>
        <w:rPr>
          <w:rFonts w:ascii="Times New Roman" w:eastAsiaTheme="minorHAnsi" w:hAnsi="Times New Roman" w:cs="Times New Roman"/>
          <w:sz w:val="22"/>
          <w:szCs w:val="22"/>
        </w:rPr>
        <w:t xml:space="preserve"> under this section</w:t>
      </w:r>
      <w:r w:rsidR="00603AB1" w:rsidRPr="00AE066E">
        <w:rPr>
          <w:rFonts w:ascii="Times New Roman" w:eastAsiaTheme="minorHAnsi" w:hAnsi="Times New Roman" w:cs="Times New Roman"/>
          <w:sz w:val="22"/>
          <w:szCs w:val="22"/>
        </w:rPr>
        <w:t xml:space="preserve"> will have</w:t>
      </w:r>
      <w:r w:rsidR="00A55DDD">
        <w:rPr>
          <w:rFonts w:ascii="Times New Roman" w:eastAsiaTheme="minorHAnsi" w:hAnsi="Times New Roman" w:cs="Times New Roman"/>
          <w:sz w:val="22"/>
          <w:szCs w:val="22"/>
        </w:rPr>
        <w:t xml:space="preserve"> </w:t>
      </w:r>
      <w:r w:rsidR="00B32BC0" w:rsidRPr="00AE066E">
        <w:rPr>
          <w:rFonts w:ascii="Times New Roman" w:eastAsiaTheme="minorHAnsi" w:hAnsi="Times New Roman" w:cs="Times New Roman"/>
          <w:sz w:val="22"/>
          <w:szCs w:val="22"/>
        </w:rPr>
        <w:t>10</w:t>
      </w:r>
      <w:r w:rsidR="00603AB1" w:rsidRPr="00AE066E">
        <w:rPr>
          <w:rFonts w:ascii="Times New Roman" w:eastAsiaTheme="minorHAnsi" w:hAnsi="Times New Roman" w:cs="Times New Roman"/>
          <w:sz w:val="22"/>
          <w:szCs w:val="22"/>
        </w:rPr>
        <w:t xml:space="preserve"> working days</w:t>
      </w:r>
      <w:r w:rsidR="00A55DDD">
        <w:rPr>
          <w:rFonts w:ascii="Times New Roman" w:eastAsiaTheme="minorHAnsi" w:hAnsi="Times New Roman" w:cs="Times New Roman"/>
          <w:sz w:val="22"/>
          <w:szCs w:val="22"/>
        </w:rPr>
        <w:t>,</w:t>
      </w:r>
      <w:r w:rsidR="00603AB1" w:rsidRPr="00AE066E">
        <w:rPr>
          <w:rFonts w:ascii="Times New Roman" w:eastAsiaTheme="minorHAnsi" w:hAnsi="Times New Roman" w:cs="Times New Roman"/>
          <w:sz w:val="22"/>
          <w:szCs w:val="22"/>
        </w:rPr>
        <w:t xml:space="preserve"> from the time that the</w:t>
      </w:r>
      <w:r w:rsidR="00A55DDD">
        <w:rPr>
          <w:rFonts w:ascii="Times New Roman" w:eastAsiaTheme="minorHAnsi" w:hAnsi="Times New Roman" w:cs="Times New Roman"/>
          <w:sz w:val="22"/>
          <w:szCs w:val="22"/>
        </w:rPr>
        <w:t xml:space="preserve"> group of affiliated applicants is</w:t>
      </w:r>
      <w:r w:rsidR="00603AB1" w:rsidRPr="00AE066E">
        <w:rPr>
          <w:rFonts w:ascii="Times New Roman" w:eastAsiaTheme="minorHAnsi" w:hAnsi="Times New Roman" w:cs="Times New Roman"/>
          <w:sz w:val="22"/>
          <w:szCs w:val="22"/>
        </w:rPr>
        <w:t xml:space="preserve"> notified of </w:t>
      </w:r>
      <w:r w:rsidR="00A55DDD">
        <w:rPr>
          <w:rFonts w:ascii="Times New Roman" w:eastAsiaTheme="minorHAnsi" w:hAnsi="Times New Roman" w:cs="Times New Roman"/>
          <w:sz w:val="22"/>
          <w:szCs w:val="22"/>
        </w:rPr>
        <w:t>the affiliation under subsection 33(1),</w:t>
      </w:r>
      <w:r w:rsidR="00603AB1" w:rsidRPr="00AE066E">
        <w:rPr>
          <w:rFonts w:ascii="Times New Roman" w:eastAsiaTheme="minorHAnsi" w:hAnsi="Times New Roman" w:cs="Times New Roman"/>
          <w:sz w:val="22"/>
          <w:szCs w:val="22"/>
        </w:rPr>
        <w:t xml:space="preserve"> to submit a completed application form and pay the application fee to the ACMA</w:t>
      </w:r>
      <w:r w:rsidR="00A204D5" w:rsidRPr="00AE066E">
        <w:rPr>
          <w:rFonts w:ascii="Times New Roman" w:eastAsiaTheme="minorHAnsi" w:hAnsi="Times New Roman" w:cs="Times New Roman"/>
          <w:sz w:val="22"/>
          <w:szCs w:val="22"/>
        </w:rPr>
        <w:t>.</w:t>
      </w:r>
      <w:r w:rsidR="003B5342">
        <w:rPr>
          <w:rFonts w:ascii="Times New Roman" w:eastAsiaTheme="minorHAnsi" w:hAnsi="Times New Roman" w:cs="Times New Roman"/>
          <w:sz w:val="22"/>
          <w:szCs w:val="22"/>
        </w:rPr>
        <w:t xml:space="preserve"> </w:t>
      </w:r>
      <w:r w:rsidR="00A204D5" w:rsidRPr="00AE066E">
        <w:rPr>
          <w:rFonts w:ascii="Times New Roman" w:eastAsiaTheme="minorHAnsi" w:hAnsi="Times New Roman" w:cs="Times New Roman"/>
          <w:sz w:val="22"/>
          <w:szCs w:val="22"/>
        </w:rPr>
        <w:t xml:space="preserve"> A</w:t>
      </w:r>
      <w:r w:rsidR="00603AB1" w:rsidRPr="00AE066E">
        <w:rPr>
          <w:rFonts w:ascii="Times New Roman" w:eastAsiaTheme="minorHAnsi" w:hAnsi="Times New Roman" w:cs="Times New Roman"/>
          <w:sz w:val="22"/>
          <w:szCs w:val="22"/>
        </w:rPr>
        <w:t>fter receiving the application form and fee, the ACMA will give each applicant</w:t>
      </w:r>
      <w:r w:rsidR="00A55DDD">
        <w:rPr>
          <w:rFonts w:ascii="Times New Roman" w:eastAsiaTheme="minorHAnsi" w:hAnsi="Times New Roman" w:cs="Times New Roman"/>
          <w:sz w:val="22"/>
          <w:szCs w:val="22"/>
        </w:rPr>
        <w:t xml:space="preserve"> who has not withdrawn its application</w:t>
      </w:r>
      <w:r w:rsidR="00603AB1" w:rsidRPr="00AE066E">
        <w:rPr>
          <w:rFonts w:ascii="Times New Roman" w:eastAsiaTheme="minorHAnsi" w:hAnsi="Times New Roman" w:cs="Times New Roman"/>
          <w:sz w:val="22"/>
          <w:szCs w:val="22"/>
        </w:rPr>
        <w:t>, including the new applicant, updated details of all other applicants who have not withdrawn, and their identified associates</w:t>
      </w:r>
      <w:r w:rsidR="00A204D5" w:rsidRPr="00AE066E">
        <w:rPr>
          <w:rFonts w:ascii="Times New Roman" w:eastAsiaTheme="minorHAnsi" w:hAnsi="Times New Roman" w:cs="Times New Roman"/>
          <w:sz w:val="22"/>
          <w:szCs w:val="22"/>
        </w:rPr>
        <w:t>.</w:t>
      </w:r>
    </w:p>
    <w:p w14:paraId="2420747C" w14:textId="719735FD" w:rsidR="0014129B" w:rsidRPr="00AE066E" w:rsidRDefault="00A55DDD" w:rsidP="00A55DDD">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The new applicant will then have three</w:t>
      </w:r>
      <w:r w:rsidR="00603AB1" w:rsidRPr="00AE066E">
        <w:rPr>
          <w:rFonts w:ascii="Times New Roman" w:eastAsiaTheme="minorHAnsi" w:hAnsi="Times New Roman" w:cs="Times New Roman"/>
          <w:sz w:val="22"/>
          <w:szCs w:val="22"/>
        </w:rPr>
        <w:t xml:space="preserve"> working days from the time </w:t>
      </w:r>
      <w:r>
        <w:rPr>
          <w:rFonts w:ascii="Times New Roman" w:eastAsiaTheme="minorHAnsi" w:hAnsi="Times New Roman" w:cs="Times New Roman"/>
          <w:sz w:val="22"/>
          <w:szCs w:val="22"/>
        </w:rPr>
        <w:t>it is</w:t>
      </w:r>
      <w:r w:rsidR="00603AB1" w:rsidRPr="00AE066E">
        <w:rPr>
          <w:rFonts w:ascii="Times New Roman" w:eastAsiaTheme="minorHAnsi" w:hAnsi="Times New Roman" w:cs="Times New Roman"/>
          <w:sz w:val="22"/>
          <w:szCs w:val="22"/>
        </w:rPr>
        <w:t xml:space="preserve"> given </w:t>
      </w:r>
      <w:r>
        <w:rPr>
          <w:rFonts w:ascii="Times New Roman" w:eastAsiaTheme="minorHAnsi" w:hAnsi="Times New Roman" w:cs="Times New Roman"/>
          <w:sz w:val="22"/>
          <w:szCs w:val="22"/>
        </w:rPr>
        <w:t xml:space="preserve">these </w:t>
      </w:r>
      <w:r w:rsidR="00603AB1" w:rsidRPr="00AE066E">
        <w:rPr>
          <w:rFonts w:ascii="Times New Roman" w:eastAsiaTheme="minorHAnsi" w:hAnsi="Times New Roman" w:cs="Times New Roman"/>
          <w:sz w:val="22"/>
          <w:szCs w:val="22"/>
        </w:rPr>
        <w:t xml:space="preserve">updated </w:t>
      </w:r>
      <w:r w:rsidR="006D79E2">
        <w:rPr>
          <w:rFonts w:ascii="Times New Roman" w:eastAsiaTheme="minorHAnsi" w:hAnsi="Times New Roman" w:cs="Times New Roman"/>
          <w:sz w:val="22"/>
          <w:szCs w:val="22"/>
        </w:rPr>
        <w:t xml:space="preserve">details </w:t>
      </w:r>
      <w:r w:rsidR="00603AB1" w:rsidRPr="00AE066E">
        <w:rPr>
          <w:rFonts w:ascii="Times New Roman" w:eastAsiaTheme="minorHAnsi" w:hAnsi="Times New Roman" w:cs="Times New Roman"/>
          <w:sz w:val="22"/>
          <w:szCs w:val="22"/>
        </w:rPr>
        <w:t>to submit: a completed deed of acknowledgement form</w:t>
      </w:r>
      <w:r>
        <w:rPr>
          <w:rFonts w:ascii="Times New Roman" w:eastAsiaTheme="minorHAnsi" w:hAnsi="Times New Roman" w:cs="Times New Roman"/>
          <w:sz w:val="22"/>
          <w:szCs w:val="22"/>
        </w:rPr>
        <w:t>,</w:t>
      </w:r>
      <w:r w:rsidR="00603AB1" w:rsidRPr="00AE066E">
        <w:rPr>
          <w:rFonts w:ascii="Times New Roman" w:eastAsiaTheme="minorHAnsi" w:hAnsi="Times New Roman" w:cs="Times New Roman"/>
          <w:sz w:val="22"/>
          <w:szCs w:val="22"/>
        </w:rPr>
        <w:t xml:space="preserve"> a completed deed of confidentiality form</w:t>
      </w:r>
      <w:r>
        <w:rPr>
          <w:rFonts w:ascii="Times New Roman" w:eastAsiaTheme="minorHAnsi" w:hAnsi="Times New Roman" w:cs="Times New Roman"/>
          <w:sz w:val="22"/>
          <w:szCs w:val="22"/>
        </w:rPr>
        <w:t>,</w:t>
      </w:r>
      <w:r w:rsidR="00603AB1" w:rsidRPr="00AE066E">
        <w:rPr>
          <w:rFonts w:ascii="Times New Roman" w:eastAsiaTheme="minorHAnsi" w:hAnsi="Times New Roman" w:cs="Times New Roman"/>
          <w:sz w:val="22"/>
          <w:szCs w:val="22"/>
        </w:rPr>
        <w:t xml:space="preserve"> and a statutory declaration that they are not affiliated with any other applicant that has not withdrawn</w:t>
      </w:r>
      <w:r>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(unless the ACMA agrees to a later time)</w:t>
      </w:r>
      <w:r w:rsidR="00603AB1" w:rsidRPr="00AE066E">
        <w:rPr>
          <w:rFonts w:ascii="Times New Roman" w:eastAsiaTheme="minorHAnsi" w:hAnsi="Times New Roman" w:cs="Times New Roman"/>
          <w:sz w:val="22"/>
          <w:szCs w:val="22"/>
        </w:rPr>
        <w:t>.</w:t>
      </w:r>
    </w:p>
    <w:p w14:paraId="0C21760B" w14:textId="68D80143" w:rsidR="00603AB1" w:rsidRPr="00AE066E" w:rsidRDefault="00603AB1" w:rsidP="00D67611">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This timing is intended to give affiliated applicants sufficient time to prepare a new application in accordance with this section</w:t>
      </w:r>
      <w:r w:rsidR="00EA7FE8" w:rsidRPr="00AE066E">
        <w:rPr>
          <w:rFonts w:ascii="Times New Roman" w:eastAsiaTheme="minorHAnsi" w:hAnsi="Times New Roman" w:cs="Times New Roman"/>
          <w:sz w:val="22"/>
          <w:szCs w:val="22"/>
        </w:rPr>
        <w:t xml:space="preserve">, without unduly delaying the commencement of the </w:t>
      </w:r>
      <w:r w:rsidR="00DC7EF1" w:rsidRPr="00AE066E">
        <w:rPr>
          <w:rFonts w:ascii="Times New Roman" w:eastAsiaTheme="minorHAnsi" w:hAnsi="Times New Roman" w:cs="Times New Roman"/>
          <w:sz w:val="22"/>
          <w:szCs w:val="22"/>
        </w:rPr>
        <w:t>allocation processes</w:t>
      </w:r>
      <w:r w:rsidRPr="00AE066E">
        <w:rPr>
          <w:rFonts w:ascii="Times New Roman" w:eastAsiaTheme="minorHAnsi" w:hAnsi="Times New Roman" w:cs="Times New Roman"/>
          <w:sz w:val="22"/>
          <w:szCs w:val="22"/>
        </w:rPr>
        <w:t>.</w:t>
      </w:r>
    </w:p>
    <w:p w14:paraId="7ABA31ED" w14:textId="335FA575" w:rsidR="00603AB1" w:rsidRPr="00AE066E" w:rsidRDefault="00603AB1" w:rsidP="00D67611">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This section is also intended to provide an opportunity for affiliated applicants to participate in the auction as a single bidding entity in a manner that will ensure that the allocation limits are not exceeded.</w:t>
      </w:r>
    </w:p>
    <w:p w14:paraId="7A9C087C" w14:textId="7FCA72B6" w:rsidR="0076224F" w:rsidRPr="00AE066E" w:rsidRDefault="00D529B4" w:rsidP="00AE066E">
      <w:pPr>
        <w:keepNext/>
        <w:spacing w:after="160" w:line="259" w:lineRule="auto"/>
        <w:rPr>
          <w:rFonts w:eastAsiaTheme="minorHAnsi"/>
          <w:b/>
          <w:sz w:val="22"/>
          <w:szCs w:val="22"/>
          <w:lang w:eastAsia="en-US"/>
        </w:rPr>
      </w:pPr>
      <w:r w:rsidRPr="00AE066E">
        <w:rPr>
          <w:rFonts w:eastAsiaTheme="minorHAnsi"/>
          <w:b/>
          <w:sz w:val="22"/>
          <w:szCs w:val="22"/>
          <w:lang w:eastAsia="en-US"/>
        </w:rPr>
        <w:t xml:space="preserve">Section </w:t>
      </w:r>
      <w:r w:rsidR="00151C0B" w:rsidRPr="00AE066E">
        <w:rPr>
          <w:rFonts w:eastAsiaTheme="minorHAnsi"/>
          <w:b/>
          <w:sz w:val="22"/>
          <w:szCs w:val="22"/>
          <w:lang w:eastAsia="en-US"/>
        </w:rPr>
        <w:t>3</w:t>
      </w:r>
      <w:r w:rsidRPr="00AE066E">
        <w:rPr>
          <w:rFonts w:eastAsiaTheme="minorHAnsi"/>
          <w:b/>
          <w:sz w:val="22"/>
          <w:szCs w:val="22"/>
          <w:lang w:eastAsia="en-US"/>
        </w:rPr>
        <w:t>5</w:t>
      </w:r>
      <w:r w:rsidR="0008629C" w:rsidRPr="00AE066E">
        <w:rPr>
          <w:rFonts w:eastAsiaTheme="minorHAnsi"/>
          <w:b/>
          <w:sz w:val="22"/>
          <w:szCs w:val="22"/>
          <w:lang w:eastAsia="en-US"/>
        </w:rPr>
        <w:tab/>
      </w:r>
      <w:r w:rsidR="0076224F" w:rsidRPr="00AE066E">
        <w:rPr>
          <w:rFonts w:eastAsiaTheme="minorHAnsi"/>
          <w:b/>
          <w:sz w:val="22"/>
          <w:szCs w:val="22"/>
          <w:lang w:eastAsia="en-US"/>
        </w:rPr>
        <w:t>Procedure if ACMA satisfied that applicant is affiliated with a previous successful bidder</w:t>
      </w:r>
    </w:p>
    <w:p w14:paraId="3CD8B4E9" w14:textId="530037C3" w:rsidR="0076224F" w:rsidRPr="00AE066E" w:rsidRDefault="0076224F" w:rsidP="0008629C">
      <w:pPr>
        <w:pStyle w:val="ACMABodyText"/>
        <w:rPr>
          <w:rFonts w:ascii="Times New Roman" w:eastAsiaTheme="minorHAnsi" w:hAnsi="Times New Roman" w:cs="Times New Roman"/>
          <w:sz w:val="22"/>
          <w:szCs w:val="22"/>
        </w:rPr>
      </w:pPr>
      <w:r w:rsidRPr="00AE066E">
        <w:rPr>
          <w:rFonts w:ascii="Times New Roman" w:eastAsiaTheme="minorHAnsi" w:hAnsi="Times New Roman" w:cs="Times New Roman"/>
          <w:sz w:val="22"/>
          <w:szCs w:val="22"/>
        </w:rPr>
        <w:t>If the ACMA is satisfied that</w:t>
      </w:r>
      <w:r w:rsidR="00D529B4" w:rsidRPr="00AE066E">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an applicant is affiliated with a previous successful bidder and</w:t>
      </w:r>
      <w:r w:rsidR="00D529B4" w:rsidRPr="00AE066E">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that previous successful bidder is not also an applicant</w:t>
      </w:r>
      <w:r w:rsidR="0008629C" w:rsidRPr="00AE066E">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the ACMA must, in writing, notify the applicant and tell them the basis on which the ACMA is satisfied the applicant is affiliated with a previous successful bidder.</w:t>
      </w:r>
      <w:r w:rsidR="0008629C" w:rsidRPr="00AE066E">
        <w:rPr>
          <w:rFonts w:ascii="Times New Roman" w:eastAsiaTheme="minorHAnsi" w:hAnsi="Times New Roman" w:cs="Times New Roman"/>
          <w:sz w:val="22"/>
          <w:szCs w:val="22"/>
        </w:rPr>
        <w:t xml:space="preserve">  </w:t>
      </w:r>
      <w:r w:rsidRPr="00AE066E">
        <w:rPr>
          <w:rFonts w:ascii="Times New Roman" w:eastAsiaTheme="minorHAnsi" w:hAnsi="Times New Roman" w:cs="Times New Roman"/>
          <w:sz w:val="22"/>
          <w:szCs w:val="22"/>
        </w:rPr>
        <w:t xml:space="preserve">If the previous successful bidder is also an applicant, section </w:t>
      </w:r>
      <w:r w:rsidR="0008629C" w:rsidRPr="00AE066E">
        <w:rPr>
          <w:rFonts w:ascii="Times New Roman" w:eastAsiaTheme="minorHAnsi" w:hAnsi="Times New Roman" w:cs="Times New Roman"/>
          <w:sz w:val="22"/>
          <w:szCs w:val="22"/>
        </w:rPr>
        <w:t>33</w:t>
      </w:r>
      <w:r w:rsidRPr="00AE066E">
        <w:rPr>
          <w:rFonts w:ascii="Times New Roman" w:eastAsiaTheme="minorHAnsi" w:hAnsi="Times New Roman" w:cs="Times New Roman"/>
          <w:sz w:val="22"/>
          <w:szCs w:val="22"/>
        </w:rPr>
        <w:t xml:space="preserve"> applies.</w:t>
      </w:r>
      <w:r w:rsidR="000A3599">
        <w:rPr>
          <w:rFonts w:ascii="Times New Roman" w:eastAsiaTheme="minorHAnsi" w:hAnsi="Times New Roman" w:cs="Times New Roman"/>
          <w:sz w:val="22"/>
          <w:szCs w:val="22"/>
        </w:rPr>
        <w:t xml:space="preserve"> </w:t>
      </w:r>
      <w:r w:rsidR="006D79E2">
        <w:rPr>
          <w:rFonts w:ascii="Times New Roman" w:eastAsiaTheme="minorHAnsi" w:hAnsi="Times New Roman" w:cs="Times New Roman"/>
          <w:sz w:val="22"/>
          <w:szCs w:val="22"/>
        </w:rPr>
        <w:t xml:space="preserve"> An applicant who is affiliated with a previous successful bidder may not be able to nominate a particular lot, or both lots, as its preferred lots under section 37, or to bid on the 5 MHz lot i</w:t>
      </w:r>
      <w:r w:rsidR="005C338A">
        <w:rPr>
          <w:rFonts w:ascii="Times New Roman" w:eastAsiaTheme="minorHAnsi" w:hAnsi="Times New Roman" w:cs="Times New Roman"/>
          <w:sz w:val="22"/>
          <w:szCs w:val="22"/>
        </w:rPr>
        <w:t>n particular circumstances spec</w:t>
      </w:r>
      <w:r w:rsidR="006D79E2">
        <w:rPr>
          <w:rFonts w:ascii="Times New Roman" w:eastAsiaTheme="minorHAnsi" w:hAnsi="Times New Roman" w:cs="Times New Roman"/>
          <w:sz w:val="22"/>
          <w:szCs w:val="22"/>
        </w:rPr>
        <w:t>i</w:t>
      </w:r>
      <w:r w:rsidR="005C338A">
        <w:rPr>
          <w:rFonts w:ascii="Times New Roman" w:eastAsiaTheme="minorHAnsi" w:hAnsi="Times New Roman" w:cs="Times New Roman"/>
          <w:sz w:val="22"/>
          <w:szCs w:val="22"/>
        </w:rPr>
        <w:t>fi</w:t>
      </w:r>
      <w:r w:rsidR="006D79E2">
        <w:rPr>
          <w:rFonts w:ascii="Times New Roman" w:eastAsiaTheme="minorHAnsi" w:hAnsi="Times New Roman" w:cs="Times New Roman"/>
          <w:sz w:val="22"/>
          <w:szCs w:val="22"/>
        </w:rPr>
        <w:t xml:space="preserve">ed under Schedule 1. </w:t>
      </w:r>
    </w:p>
    <w:p w14:paraId="541A3833" w14:textId="4AA999CE" w:rsidR="00603AB1" w:rsidRDefault="00603AB1" w:rsidP="00FF68DB">
      <w:pPr>
        <w:keepNext/>
        <w:spacing w:before="280" w:after="160" w:line="259" w:lineRule="auto"/>
      </w:pPr>
      <w:r w:rsidRPr="00061930">
        <w:rPr>
          <w:rFonts w:eastAsiaTheme="minorHAnsi"/>
          <w:b/>
          <w:lang w:eastAsia="en-US"/>
        </w:rPr>
        <w:t xml:space="preserve">Division </w:t>
      </w:r>
      <w:r w:rsidR="0008629C" w:rsidRPr="00061930">
        <w:rPr>
          <w:rFonts w:eastAsiaTheme="minorHAnsi"/>
          <w:b/>
          <w:lang w:eastAsia="en-US"/>
        </w:rPr>
        <w:t>5</w:t>
      </w:r>
      <w:r w:rsidR="0008629C" w:rsidRPr="00061930">
        <w:rPr>
          <w:rFonts w:eastAsiaTheme="minorHAnsi"/>
          <w:b/>
          <w:lang w:eastAsia="en-US"/>
        </w:rPr>
        <w:tab/>
      </w:r>
      <w:r w:rsidR="00EA7FE8" w:rsidRPr="00061930">
        <w:rPr>
          <w:rFonts w:eastAsiaTheme="minorHAnsi"/>
          <w:b/>
          <w:lang w:eastAsia="en-US"/>
        </w:rPr>
        <w:t xml:space="preserve">Setting </w:t>
      </w:r>
      <w:r w:rsidR="0008629C" w:rsidRPr="00061930">
        <w:rPr>
          <w:rFonts w:eastAsiaTheme="minorHAnsi"/>
          <w:b/>
          <w:lang w:eastAsia="en-US"/>
        </w:rPr>
        <w:t>the bid increment percentage</w:t>
      </w:r>
    </w:p>
    <w:p w14:paraId="36BA8E5C" w14:textId="6B6C2CCA" w:rsidR="00B32BC0" w:rsidRPr="00F650F3" w:rsidRDefault="00603AB1" w:rsidP="00F650F3">
      <w:pPr>
        <w:keepNext/>
        <w:spacing w:after="160" w:line="259" w:lineRule="auto"/>
        <w:rPr>
          <w:rFonts w:eastAsiaTheme="minorHAnsi"/>
          <w:b/>
          <w:sz w:val="22"/>
          <w:szCs w:val="22"/>
          <w:lang w:eastAsia="en-US"/>
        </w:rPr>
      </w:pPr>
      <w:r w:rsidRPr="00F650F3">
        <w:rPr>
          <w:rFonts w:eastAsiaTheme="minorHAnsi"/>
          <w:b/>
          <w:sz w:val="22"/>
          <w:szCs w:val="22"/>
          <w:lang w:eastAsia="en-US"/>
        </w:rPr>
        <w:t xml:space="preserve">Section </w:t>
      </w:r>
      <w:r w:rsidR="00205CD6" w:rsidRPr="00F650F3">
        <w:rPr>
          <w:rFonts w:eastAsiaTheme="minorHAnsi"/>
          <w:b/>
          <w:sz w:val="22"/>
          <w:szCs w:val="22"/>
          <w:lang w:eastAsia="en-US"/>
        </w:rPr>
        <w:t>3</w:t>
      </w:r>
      <w:r w:rsidR="007D7111" w:rsidRPr="00F650F3">
        <w:rPr>
          <w:rFonts w:eastAsiaTheme="minorHAnsi"/>
          <w:b/>
          <w:sz w:val="22"/>
          <w:szCs w:val="22"/>
          <w:lang w:eastAsia="en-US"/>
        </w:rPr>
        <w:t>6</w:t>
      </w:r>
      <w:r w:rsidR="00FD7F7B" w:rsidRPr="00F650F3">
        <w:rPr>
          <w:rFonts w:eastAsiaTheme="minorHAnsi"/>
          <w:b/>
          <w:sz w:val="22"/>
          <w:szCs w:val="22"/>
          <w:lang w:eastAsia="en-US"/>
        </w:rPr>
        <w:tab/>
      </w:r>
      <w:r w:rsidR="00B32BC0" w:rsidRPr="00F650F3">
        <w:rPr>
          <w:rFonts w:eastAsiaTheme="minorHAnsi"/>
          <w:b/>
          <w:sz w:val="22"/>
          <w:szCs w:val="22"/>
          <w:lang w:eastAsia="en-US"/>
        </w:rPr>
        <w:t>Bid increment percentage</w:t>
      </w:r>
    </w:p>
    <w:p w14:paraId="26363580" w14:textId="3406D780" w:rsidR="007D7111" w:rsidRPr="00F650F3" w:rsidRDefault="007D7111" w:rsidP="001E300C">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t xml:space="preserve">After the application deadline, the ACMA must set the bid increment percentage for </w:t>
      </w:r>
      <w:r w:rsidR="006D79E2">
        <w:rPr>
          <w:rFonts w:ascii="Times New Roman" w:eastAsiaTheme="minorHAnsi" w:hAnsi="Times New Roman" w:cs="Times New Roman"/>
          <w:sz w:val="22"/>
          <w:szCs w:val="22"/>
        </w:rPr>
        <w:t>both</w:t>
      </w:r>
      <w:r w:rsidRPr="00F650F3">
        <w:rPr>
          <w:rFonts w:ascii="Times New Roman" w:eastAsiaTheme="minorHAnsi" w:hAnsi="Times New Roman" w:cs="Times New Roman"/>
          <w:sz w:val="22"/>
          <w:szCs w:val="22"/>
        </w:rPr>
        <w:t xml:space="preserve"> lot</w:t>
      </w:r>
      <w:r w:rsidR="006D79E2">
        <w:rPr>
          <w:rFonts w:ascii="Times New Roman" w:eastAsiaTheme="minorHAnsi" w:hAnsi="Times New Roman" w:cs="Times New Roman"/>
          <w:sz w:val="22"/>
          <w:szCs w:val="22"/>
        </w:rPr>
        <w:t>s</w:t>
      </w:r>
      <w:r w:rsidRPr="00F650F3">
        <w:rPr>
          <w:rFonts w:ascii="Times New Roman" w:eastAsiaTheme="minorHAnsi" w:hAnsi="Times New Roman" w:cs="Times New Roman"/>
          <w:sz w:val="22"/>
          <w:szCs w:val="22"/>
        </w:rPr>
        <w:t xml:space="preserve"> as a percentage of the starting price for the lot in the first round, and of the specified price for the lot in any other round.</w:t>
      </w:r>
    </w:p>
    <w:p w14:paraId="65CE02FC" w14:textId="1371AE71" w:rsidR="00F650F3" w:rsidRDefault="0057413D" w:rsidP="00154C30">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t xml:space="preserve">The </w:t>
      </w:r>
      <w:r w:rsidR="00B32BC0" w:rsidRPr="00F650F3">
        <w:rPr>
          <w:rFonts w:ascii="Times New Roman" w:eastAsiaTheme="minorHAnsi" w:hAnsi="Times New Roman" w:cs="Times New Roman"/>
          <w:sz w:val="22"/>
          <w:szCs w:val="22"/>
        </w:rPr>
        <w:t xml:space="preserve">specified price </w:t>
      </w:r>
      <w:r w:rsidRPr="00F650F3">
        <w:rPr>
          <w:rFonts w:ascii="Times New Roman" w:eastAsiaTheme="minorHAnsi" w:hAnsi="Times New Roman" w:cs="Times New Roman"/>
          <w:sz w:val="22"/>
          <w:szCs w:val="22"/>
        </w:rPr>
        <w:t xml:space="preserve">in the first round </w:t>
      </w:r>
      <w:r w:rsidR="00F0216B" w:rsidRPr="00F650F3">
        <w:rPr>
          <w:rFonts w:ascii="Times New Roman" w:eastAsiaTheme="minorHAnsi" w:hAnsi="Times New Roman" w:cs="Times New Roman"/>
          <w:sz w:val="22"/>
          <w:szCs w:val="22"/>
        </w:rPr>
        <w:t xml:space="preserve">for a lot </w:t>
      </w:r>
      <w:r w:rsidRPr="00F650F3">
        <w:rPr>
          <w:rFonts w:ascii="Times New Roman" w:eastAsiaTheme="minorHAnsi" w:hAnsi="Times New Roman" w:cs="Times New Roman"/>
          <w:sz w:val="22"/>
          <w:szCs w:val="22"/>
        </w:rPr>
        <w:t xml:space="preserve">will be the starting price plus </w:t>
      </w:r>
      <w:r w:rsidR="00F650F3">
        <w:rPr>
          <w:rFonts w:ascii="Times New Roman" w:eastAsiaTheme="minorHAnsi" w:hAnsi="Times New Roman" w:cs="Times New Roman"/>
          <w:sz w:val="22"/>
          <w:szCs w:val="22"/>
        </w:rPr>
        <w:t xml:space="preserve">the </w:t>
      </w:r>
      <w:r w:rsidR="00B32BC0" w:rsidRPr="00F650F3">
        <w:rPr>
          <w:rFonts w:ascii="Times New Roman" w:eastAsiaTheme="minorHAnsi" w:hAnsi="Times New Roman" w:cs="Times New Roman"/>
          <w:sz w:val="22"/>
          <w:szCs w:val="22"/>
        </w:rPr>
        <w:t xml:space="preserve">bid </w:t>
      </w:r>
      <w:r w:rsidRPr="00F650F3">
        <w:rPr>
          <w:rFonts w:ascii="Times New Roman" w:eastAsiaTheme="minorHAnsi" w:hAnsi="Times New Roman" w:cs="Times New Roman"/>
          <w:sz w:val="22"/>
          <w:szCs w:val="22"/>
        </w:rPr>
        <w:t>increment</w:t>
      </w:r>
      <w:r w:rsidR="00B32BC0" w:rsidRPr="00F650F3">
        <w:rPr>
          <w:rFonts w:ascii="Times New Roman" w:eastAsiaTheme="minorHAnsi" w:hAnsi="Times New Roman" w:cs="Times New Roman"/>
          <w:sz w:val="22"/>
          <w:szCs w:val="22"/>
        </w:rPr>
        <w:t xml:space="preserve"> percentage</w:t>
      </w:r>
      <w:r w:rsidR="00354454">
        <w:rPr>
          <w:rFonts w:ascii="Times New Roman" w:eastAsiaTheme="minorHAnsi" w:hAnsi="Times New Roman" w:cs="Times New Roman"/>
          <w:sz w:val="22"/>
          <w:szCs w:val="22"/>
        </w:rPr>
        <w:t xml:space="preserve"> multiplied by the starting price</w:t>
      </w:r>
      <w:r w:rsidRPr="00F650F3">
        <w:rPr>
          <w:rFonts w:ascii="Times New Roman" w:eastAsiaTheme="minorHAnsi" w:hAnsi="Times New Roman" w:cs="Times New Roman"/>
          <w:sz w:val="22"/>
          <w:szCs w:val="22"/>
        </w:rPr>
        <w:t xml:space="preserve">. </w:t>
      </w:r>
      <w:r w:rsidR="007B5F38" w:rsidRPr="00F650F3">
        <w:rPr>
          <w:rFonts w:ascii="Times New Roman" w:eastAsiaTheme="minorHAnsi" w:hAnsi="Times New Roman" w:cs="Times New Roman"/>
          <w:sz w:val="22"/>
          <w:szCs w:val="22"/>
        </w:rPr>
        <w:t xml:space="preserve"> </w:t>
      </w:r>
      <w:r w:rsidR="00210C92" w:rsidRPr="00F650F3">
        <w:rPr>
          <w:rFonts w:ascii="Times New Roman" w:eastAsiaTheme="minorHAnsi" w:hAnsi="Times New Roman" w:cs="Times New Roman"/>
          <w:sz w:val="22"/>
          <w:szCs w:val="22"/>
        </w:rPr>
        <w:t>A</w:t>
      </w:r>
      <w:r w:rsidR="007B5F38" w:rsidRPr="00F650F3">
        <w:rPr>
          <w:rFonts w:ascii="Times New Roman" w:eastAsiaTheme="minorHAnsi" w:hAnsi="Times New Roman" w:cs="Times New Roman"/>
          <w:sz w:val="22"/>
          <w:szCs w:val="22"/>
        </w:rPr>
        <w:t xml:space="preserve"> person wishing to bid on that lot must </w:t>
      </w:r>
      <w:r w:rsidR="00210C92" w:rsidRPr="00F650F3">
        <w:rPr>
          <w:rFonts w:ascii="Times New Roman" w:eastAsiaTheme="minorHAnsi" w:hAnsi="Times New Roman" w:cs="Times New Roman"/>
          <w:sz w:val="22"/>
          <w:szCs w:val="22"/>
        </w:rPr>
        <w:t xml:space="preserve">make </w:t>
      </w:r>
      <w:r w:rsidR="00F650F3">
        <w:rPr>
          <w:rFonts w:ascii="Times New Roman" w:eastAsiaTheme="minorHAnsi" w:hAnsi="Times New Roman" w:cs="Times New Roman"/>
          <w:sz w:val="22"/>
          <w:szCs w:val="22"/>
        </w:rPr>
        <w:t>either a</w:t>
      </w:r>
      <w:r w:rsidR="00210C92" w:rsidRPr="00F650F3">
        <w:rPr>
          <w:rFonts w:ascii="Times New Roman" w:eastAsiaTheme="minorHAnsi" w:hAnsi="Times New Roman" w:cs="Times New Roman"/>
          <w:sz w:val="22"/>
          <w:szCs w:val="22"/>
        </w:rPr>
        <w:t xml:space="preserve"> </w:t>
      </w:r>
      <w:r w:rsidR="003D6B7F" w:rsidRPr="00F650F3">
        <w:rPr>
          <w:rFonts w:ascii="Times New Roman" w:eastAsiaTheme="minorHAnsi" w:hAnsi="Times New Roman" w:cs="Times New Roman"/>
          <w:sz w:val="22"/>
          <w:szCs w:val="22"/>
        </w:rPr>
        <w:t xml:space="preserve">continue </w:t>
      </w:r>
      <w:r w:rsidR="007B5F38" w:rsidRPr="00F650F3">
        <w:rPr>
          <w:rFonts w:ascii="Times New Roman" w:eastAsiaTheme="minorHAnsi" w:hAnsi="Times New Roman" w:cs="Times New Roman"/>
          <w:sz w:val="22"/>
          <w:szCs w:val="22"/>
        </w:rPr>
        <w:t xml:space="preserve">bid </w:t>
      </w:r>
      <w:r w:rsidR="00276D0E">
        <w:rPr>
          <w:rFonts w:ascii="Times New Roman" w:eastAsiaTheme="minorHAnsi" w:hAnsi="Times New Roman" w:cs="Times New Roman"/>
          <w:sz w:val="22"/>
          <w:szCs w:val="22"/>
        </w:rPr>
        <w:t>(including</w:t>
      </w:r>
      <w:r w:rsidR="00F650F3">
        <w:rPr>
          <w:rFonts w:ascii="Times New Roman" w:eastAsiaTheme="minorHAnsi" w:hAnsi="Times New Roman" w:cs="Times New Roman"/>
          <w:sz w:val="22"/>
          <w:szCs w:val="22"/>
        </w:rPr>
        <w:t xml:space="preserve"> a continue bid that is </w:t>
      </w:r>
      <w:r w:rsidR="00276D0E">
        <w:rPr>
          <w:rFonts w:ascii="Times New Roman" w:eastAsiaTheme="minorHAnsi" w:hAnsi="Times New Roman" w:cs="Times New Roman"/>
          <w:sz w:val="22"/>
          <w:szCs w:val="22"/>
        </w:rPr>
        <w:t xml:space="preserve">at </w:t>
      </w:r>
      <w:r w:rsidR="00F650F3">
        <w:rPr>
          <w:rFonts w:ascii="Times New Roman" w:eastAsiaTheme="minorHAnsi" w:hAnsi="Times New Roman" w:cs="Times New Roman"/>
          <w:sz w:val="22"/>
          <w:szCs w:val="22"/>
        </w:rPr>
        <w:t xml:space="preserve">an advance </w:t>
      </w:r>
      <w:r w:rsidR="00276D0E">
        <w:rPr>
          <w:rFonts w:ascii="Times New Roman" w:eastAsiaTheme="minorHAnsi" w:hAnsi="Times New Roman" w:cs="Times New Roman"/>
          <w:sz w:val="22"/>
          <w:szCs w:val="22"/>
        </w:rPr>
        <w:t>price</w:t>
      </w:r>
      <w:r w:rsidR="00F650F3">
        <w:rPr>
          <w:rFonts w:ascii="Times New Roman" w:eastAsiaTheme="minorHAnsi" w:hAnsi="Times New Roman" w:cs="Times New Roman"/>
          <w:sz w:val="22"/>
          <w:szCs w:val="22"/>
        </w:rPr>
        <w:t xml:space="preserve">) </w:t>
      </w:r>
      <w:r w:rsidR="007B5F38" w:rsidRPr="00F650F3">
        <w:rPr>
          <w:rFonts w:ascii="Times New Roman" w:eastAsiaTheme="minorHAnsi" w:hAnsi="Times New Roman" w:cs="Times New Roman"/>
          <w:sz w:val="22"/>
          <w:szCs w:val="22"/>
        </w:rPr>
        <w:t xml:space="preserve">in order to </w:t>
      </w:r>
      <w:r w:rsidR="003D6B7F" w:rsidRPr="00F650F3">
        <w:rPr>
          <w:rFonts w:ascii="Times New Roman" w:eastAsiaTheme="minorHAnsi" w:hAnsi="Times New Roman" w:cs="Times New Roman"/>
          <w:sz w:val="22"/>
          <w:szCs w:val="22"/>
        </w:rPr>
        <w:t>continue to bid in future rounds</w:t>
      </w:r>
      <w:r w:rsidR="00F650F3">
        <w:rPr>
          <w:rFonts w:ascii="Times New Roman" w:eastAsiaTheme="minorHAnsi" w:hAnsi="Times New Roman" w:cs="Times New Roman"/>
          <w:sz w:val="22"/>
          <w:szCs w:val="22"/>
        </w:rPr>
        <w:t>,</w:t>
      </w:r>
      <w:r w:rsidR="003D6B7F" w:rsidRPr="00F650F3">
        <w:rPr>
          <w:rFonts w:ascii="Times New Roman" w:eastAsiaTheme="minorHAnsi" w:hAnsi="Times New Roman" w:cs="Times New Roman"/>
          <w:sz w:val="22"/>
          <w:szCs w:val="22"/>
        </w:rPr>
        <w:t xml:space="preserve"> or make an exit bid</w:t>
      </w:r>
      <w:r w:rsidR="007D7111" w:rsidRPr="00F650F3">
        <w:rPr>
          <w:rFonts w:ascii="Times New Roman" w:eastAsiaTheme="minorHAnsi" w:hAnsi="Times New Roman" w:cs="Times New Roman"/>
          <w:sz w:val="22"/>
          <w:szCs w:val="22"/>
        </w:rPr>
        <w:t>.</w:t>
      </w:r>
      <w:r w:rsidR="000A3599">
        <w:rPr>
          <w:rFonts w:ascii="Times New Roman" w:eastAsiaTheme="minorHAnsi" w:hAnsi="Times New Roman" w:cs="Times New Roman"/>
          <w:sz w:val="22"/>
          <w:szCs w:val="22"/>
        </w:rPr>
        <w:t xml:space="preserve"> </w:t>
      </w:r>
      <w:r w:rsidR="007D7111" w:rsidRPr="00F650F3">
        <w:rPr>
          <w:rFonts w:ascii="Times New Roman" w:eastAsiaTheme="minorHAnsi" w:hAnsi="Times New Roman" w:cs="Times New Roman"/>
          <w:sz w:val="22"/>
          <w:szCs w:val="22"/>
        </w:rPr>
        <w:t xml:space="preserve"> </w:t>
      </w:r>
      <w:r w:rsidR="000A3599">
        <w:rPr>
          <w:rFonts w:ascii="Times New Roman" w:eastAsiaTheme="minorHAnsi" w:hAnsi="Times New Roman" w:cs="Times New Roman"/>
          <w:sz w:val="22"/>
          <w:szCs w:val="22"/>
        </w:rPr>
        <w:t>For a round (</w:t>
      </w:r>
      <w:r w:rsidR="000A3599" w:rsidRPr="005C338A">
        <w:rPr>
          <w:rFonts w:ascii="Times New Roman" w:eastAsiaTheme="minorHAnsi" w:hAnsi="Times New Roman" w:cs="Times New Roman"/>
          <w:b/>
          <w:sz w:val="22"/>
          <w:szCs w:val="22"/>
        </w:rPr>
        <w:t>the current round</w:t>
      </w:r>
      <w:r w:rsidR="000A3599">
        <w:rPr>
          <w:rFonts w:ascii="Times New Roman" w:eastAsiaTheme="minorHAnsi" w:hAnsi="Times New Roman" w:cs="Times New Roman"/>
          <w:sz w:val="22"/>
          <w:szCs w:val="22"/>
        </w:rPr>
        <w:t>), t</w:t>
      </w:r>
      <w:r w:rsidR="007B5F38" w:rsidRPr="00F650F3">
        <w:rPr>
          <w:rFonts w:ascii="Times New Roman" w:eastAsiaTheme="minorHAnsi" w:hAnsi="Times New Roman" w:cs="Times New Roman"/>
          <w:sz w:val="22"/>
          <w:szCs w:val="22"/>
        </w:rPr>
        <w:t>h</w:t>
      </w:r>
      <w:r w:rsidR="00DC7EF1" w:rsidRPr="00F650F3">
        <w:rPr>
          <w:rFonts w:ascii="Times New Roman" w:eastAsiaTheme="minorHAnsi" w:hAnsi="Times New Roman" w:cs="Times New Roman"/>
          <w:sz w:val="22"/>
          <w:szCs w:val="22"/>
        </w:rPr>
        <w:t xml:space="preserve">e </w:t>
      </w:r>
      <w:r w:rsidR="00B32BC0" w:rsidRPr="00F650F3">
        <w:rPr>
          <w:rFonts w:ascii="Times New Roman" w:eastAsiaTheme="minorHAnsi" w:hAnsi="Times New Roman" w:cs="Times New Roman"/>
          <w:sz w:val="22"/>
          <w:szCs w:val="22"/>
        </w:rPr>
        <w:t xml:space="preserve">specified price </w:t>
      </w:r>
      <w:r w:rsidR="002D65A0" w:rsidRPr="00F650F3">
        <w:rPr>
          <w:rFonts w:ascii="Times New Roman" w:eastAsiaTheme="minorHAnsi" w:hAnsi="Times New Roman" w:cs="Times New Roman"/>
          <w:sz w:val="22"/>
          <w:szCs w:val="22"/>
        </w:rPr>
        <w:t>for the next</w:t>
      </w:r>
      <w:r w:rsidR="00276D0E" w:rsidRPr="00F650F3">
        <w:rPr>
          <w:rFonts w:ascii="Times New Roman" w:eastAsiaTheme="minorHAnsi" w:hAnsi="Times New Roman" w:cs="Times New Roman"/>
          <w:sz w:val="22"/>
          <w:szCs w:val="22"/>
        </w:rPr>
        <w:t xml:space="preserve"> </w:t>
      </w:r>
      <w:r w:rsidR="002D65A0" w:rsidRPr="00F650F3">
        <w:rPr>
          <w:rFonts w:ascii="Times New Roman" w:eastAsiaTheme="minorHAnsi" w:hAnsi="Times New Roman" w:cs="Times New Roman"/>
          <w:sz w:val="22"/>
          <w:szCs w:val="22"/>
        </w:rPr>
        <w:t xml:space="preserve">round </w:t>
      </w:r>
      <w:r w:rsidR="00F0216B" w:rsidRPr="00F650F3">
        <w:rPr>
          <w:rFonts w:ascii="Times New Roman" w:eastAsiaTheme="minorHAnsi" w:hAnsi="Times New Roman" w:cs="Times New Roman"/>
          <w:sz w:val="22"/>
          <w:szCs w:val="22"/>
        </w:rPr>
        <w:t xml:space="preserve">for a lot </w:t>
      </w:r>
      <w:r w:rsidR="007B5F38" w:rsidRPr="00F650F3">
        <w:rPr>
          <w:rFonts w:ascii="Times New Roman" w:eastAsiaTheme="minorHAnsi" w:hAnsi="Times New Roman" w:cs="Times New Roman"/>
          <w:sz w:val="22"/>
          <w:szCs w:val="22"/>
        </w:rPr>
        <w:t>is calculated by adding a</w:t>
      </w:r>
      <w:r w:rsidR="003D6B7F" w:rsidRPr="00F650F3">
        <w:rPr>
          <w:rFonts w:ascii="Times New Roman" w:eastAsiaTheme="minorHAnsi" w:hAnsi="Times New Roman" w:cs="Times New Roman"/>
          <w:sz w:val="22"/>
          <w:szCs w:val="22"/>
        </w:rPr>
        <w:t xml:space="preserve"> percentage </w:t>
      </w:r>
      <w:r w:rsidR="007B5F38" w:rsidRPr="00F650F3">
        <w:rPr>
          <w:rFonts w:ascii="Times New Roman" w:eastAsiaTheme="minorHAnsi" w:hAnsi="Times New Roman" w:cs="Times New Roman"/>
          <w:sz w:val="22"/>
          <w:szCs w:val="22"/>
        </w:rPr>
        <w:t xml:space="preserve">increment </w:t>
      </w:r>
      <w:r w:rsidR="00F650F3">
        <w:rPr>
          <w:rFonts w:ascii="Times New Roman" w:eastAsiaTheme="minorHAnsi" w:hAnsi="Times New Roman" w:cs="Times New Roman"/>
          <w:sz w:val="22"/>
          <w:szCs w:val="22"/>
        </w:rPr>
        <w:t xml:space="preserve">of the specified price </w:t>
      </w:r>
      <w:r w:rsidR="00276D0E">
        <w:rPr>
          <w:rFonts w:ascii="Times New Roman" w:eastAsiaTheme="minorHAnsi" w:hAnsi="Times New Roman" w:cs="Times New Roman"/>
          <w:sz w:val="22"/>
          <w:szCs w:val="22"/>
        </w:rPr>
        <w:t xml:space="preserve">for the current round </w:t>
      </w:r>
      <w:r w:rsidR="00B32BC0" w:rsidRPr="00F650F3">
        <w:rPr>
          <w:rFonts w:ascii="Times New Roman" w:eastAsiaTheme="minorHAnsi" w:hAnsi="Times New Roman" w:cs="Times New Roman"/>
          <w:sz w:val="22"/>
          <w:szCs w:val="22"/>
        </w:rPr>
        <w:t>for that lot</w:t>
      </w:r>
      <w:r w:rsidR="007A7279">
        <w:rPr>
          <w:rFonts w:ascii="Times New Roman" w:eastAsiaTheme="minorHAnsi" w:hAnsi="Times New Roman" w:cs="Times New Roman"/>
          <w:sz w:val="22"/>
          <w:szCs w:val="22"/>
        </w:rPr>
        <w:t xml:space="preserve"> </w:t>
      </w:r>
      <w:r w:rsidR="007B5F38" w:rsidRPr="00F650F3">
        <w:rPr>
          <w:rFonts w:ascii="Times New Roman" w:eastAsiaTheme="minorHAnsi" w:hAnsi="Times New Roman" w:cs="Times New Roman"/>
          <w:sz w:val="22"/>
          <w:szCs w:val="22"/>
        </w:rPr>
        <w:t xml:space="preserve">to the </w:t>
      </w:r>
      <w:r w:rsidR="0091351E">
        <w:rPr>
          <w:rFonts w:ascii="Times New Roman" w:eastAsiaTheme="minorHAnsi" w:hAnsi="Times New Roman" w:cs="Times New Roman"/>
          <w:sz w:val="22"/>
          <w:szCs w:val="22"/>
        </w:rPr>
        <w:t>spec</w:t>
      </w:r>
      <w:r w:rsidR="00276D0E">
        <w:rPr>
          <w:rFonts w:ascii="Times New Roman" w:eastAsiaTheme="minorHAnsi" w:hAnsi="Times New Roman" w:cs="Times New Roman"/>
          <w:sz w:val="22"/>
          <w:szCs w:val="22"/>
        </w:rPr>
        <w:t>i</w:t>
      </w:r>
      <w:r w:rsidR="0091351E">
        <w:rPr>
          <w:rFonts w:ascii="Times New Roman" w:eastAsiaTheme="minorHAnsi" w:hAnsi="Times New Roman" w:cs="Times New Roman"/>
          <w:sz w:val="22"/>
          <w:szCs w:val="22"/>
        </w:rPr>
        <w:t xml:space="preserve">fied price </w:t>
      </w:r>
      <w:r w:rsidR="00276D0E">
        <w:rPr>
          <w:rFonts w:ascii="Times New Roman" w:eastAsiaTheme="minorHAnsi" w:hAnsi="Times New Roman" w:cs="Times New Roman"/>
          <w:sz w:val="22"/>
          <w:szCs w:val="22"/>
        </w:rPr>
        <w:t>for</w:t>
      </w:r>
      <w:r w:rsidR="0091351E">
        <w:rPr>
          <w:rFonts w:ascii="Times New Roman" w:eastAsiaTheme="minorHAnsi" w:hAnsi="Times New Roman" w:cs="Times New Roman"/>
          <w:sz w:val="22"/>
          <w:szCs w:val="22"/>
        </w:rPr>
        <w:t xml:space="preserve"> the </w:t>
      </w:r>
      <w:r w:rsidR="00276D0E">
        <w:rPr>
          <w:rFonts w:ascii="Times New Roman" w:eastAsiaTheme="minorHAnsi" w:hAnsi="Times New Roman" w:cs="Times New Roman"/>
          <w:sz w:val="22"/>
          <w:szCs w:val="22"/>
        </w:rPr>
        <w:t>current</w:t>
      </w:r>
      <w:r w:rsidR="0091351E">
        <w:rPr>
          <w:rFonts w:ascii="Times New Roman" w:eastAsiaTheme="minorHAnsi" w:hAnsi="Times New Roman" w:cs="Times New Roman"/>
          <w:sz w:val="22"/>
          <w:szCs w:val="22"/>
        </w:rPr>
        <w:t xml:space="preserve"> round</w:t>
      </w:r>
      <w:r w:rsidR="007B5F38" w:rsidRPr="00F650F3">
        <w:rPr>
          <w:rFonts w:ascii="Times New Roman" w:eastAsiaTheme="minorHAnsi" w:hAnsi="Times New Roman" w:cs="Times New Roman"/>
          <w:sz w:val="22"/>
          <w:szCs w:val="22"/>
        </w:rPr>
        <w:t>.</w:t>
      </w:r>
    </w:p>
    <w:p w14:paraId="06EF151D" w14:textId="77777777" w:rsidR="00BE4A32" w:rsidRDefault="00F650F3" w:rsidP="00154C30">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For example, if </w:t>
      </w:r>
      <w:r w:rsidR="00BE4A32">
        <w:rPr>
          <w:rFonts w:ascii="Times New Roman" w:eastAsiaTheme="minorHAnsi" w:hAnsi="Times New Roman" w:cs="Times New Roman"/>
          <w:sz w:val="22"/>
          <w:szCs w:val="22"/>
        </w:rPr>
        <w:t>the starting price for a lot is $100, and the bid increment percentage is 10 per cent, then:</w:t>
      </w:r>
    </w:p>
    <w:p w14:paraId="4D4D1505" w14:textId="45C958A9" w:rsidR="007B5F38" w:rsidRDefault="00BE4A32" w:rsidP="00BE4A32">
      <w:pPr>
        <w:pStyle w:val="ACMABodyText"/>
        <w:numPr>
          <w:ilvl w:val="0"/>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the specified price for the first round is</w:t>
      </w:r>
      <w:r w:rsidR="00354454">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$100 + $10 = $110, and:</w:t>
      </w:r>
    </w:p>
    <w:p w14:paraId="19C9ABB4" w14:textId="5D45972B" w:rsidR="00BE4A32" w:rsidRDefault="00BE4A32" w:rsidP="00BE4A32">
      <w:pPr>
        <w:pStyle w:val="ACMABodyText"/>
        <w:numPr>
          <w:ilvl w:val="1"/>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a bid in the first round greater than or equal to $100, but less than $110, is an exit bid;</w:t>
      </w:r>
    </w:p>
    <w:p w14:paraId="40568CBD" w14:textId="0B3DCE7D" w:rsidR="000A3599" w:rsidRDefault="00BE4A32" w:rsidP="00BE4A32">
      <w:pPr>
        <w:pStyle w:val="ACMABodyText"/>
        <w:numPr>
          <w:ilvl w:val="1"/>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a bid in the first round equal to $110 is a continue bid;</w:t>
      </w:r>
      <w:r w:rsidR="002612DD">
        <w:rPr>
          <w:rFonts w:ascii="Times New Roman" w:eastAsiaTheme="minorHAnsi" w:hAnsi="Times New Roman" w:cs="Times New Roman"/>
          <w:sz w:val="22"/>
          <w:szCs w:val="22"/>
        </w:rPr>
        <w:t xml:space="preserve"> </w:t>
      </w:r>
    </w:p>
    <w:p w14:paraId="78FD650C" w14:textId="3DDB8899" w:rsidR="00BE4A32" w:rsidRDefault="002612DD" w:rsidP="00BE4A32">
      <w:pPr>
        <w:pStyle w:val="ACMABodyText"/>
        <w:numPr>
          <w:ilvl w:val="1"/>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 xml:space="preserve">a bid </w:t>
      </w:r>
      <w:r w:rsidR="000A3599">
        <w:rPr>
          <w:rFonts w:ascii="Times New Roman" w:eastAsiaTheme="minorHAnsi" w:hAnsi="Times New Roman" w:cs="Times New Roman"/>
          <w:sz w:val="22"/>
          <w:szCs w:val="22"/>
        </w:rPr>
        <w:t xml:space="preserve">in the first round </w:t>
      </w:r>
      <w:r>
        <w:rPr>
          <w:rFonts w:ascii="Times New Roman" w:eastAsiaTheme="minorHAnsi" w:hAnsi="Times New Roman" w:cs="Times New Roman"/>
          <w:sz w:val="22"/>
          <w:szCs w:val="22"/>
        </w:rPr>
        <w:t>at an advance price (</w:t>
      </w:r>
      <w:r w:rsidR="000A3599">
        <w:rPr>
          <w:rFonts w:ascii="Times New Roman" w:eastAsiaTheme="minorHAnsi" w:hAnsi="Times New Roman" w:cs="Times New Roman"/>
          <w:sz w:val="22"/>
          <w:szCs w:val="22"/>
        </w:rPr>
        <w:t>that is, greater than</w:t>
      </w:r>
      <w:r>
        <w:rPr>
          <w:rFonts w:ascii="Times New Roman" w:eastAsiaTheme="minorHAnsi" w:hAnsi="Times New Roman" w:cs="Times New Roman"/>
          <w:sz w:val="22"/>
          <w:szCs w:val="22"/>
        </w:rPr>
        <w:t xml:space="preserve"> $1</w:t>
      </w:r>
      <w:r w:rsidR="000A3599">
        <w:rPr>
          <w:rFonts w:ascii="Times New Roman" w:eastAsiaTheme="minorHAnsi" w:hAnsi="Times New Roman" w:cs="Times New Roman"/>
          <w:sz w:val="22"/>
          <w:szCs w:val="22"/>
        </w:rPr>
        <w:t>1</w:t>
      </w:r>
      <w:r>
        <w:rPr>
          <w:rFonts w:ascii="Times New Roman" w:eastAsiaTheme="minorHAnsi" w:hAnsi="Times New Roman" w:cs="Times New Roman"/>
          <w:sz w:val="22"/>
          <w:szCs w:val="22"/>
        </w:rPr>
        <w:t>0) is a continue bid</w:t>
      </w:r>
      <w:r w:rsidR="000A3599">
        <w:rPr>
          <w:rFonts w:ascii="Times New Roman" w:eastAsiaTheme="minorHAnsi" w:hAnsi="Times New Roman" w:cs="Times New Roman"/>
          <w:sz w:val="22"/>
          <w:szCs w:val="22"/>
        </w:rPr>
        <w:t xml:space="preserve"> for the first round;</w:t>
      </w:r>
    </w:p>
    <w:p w14:paraId="0C6FF02C" w14:textId="04371ECA" w:rsidR="00BE4A32" w:rsidRDefault="00BE4A32" w:rsidP="006816A2">
      <w:pPr>
        <w:pStyle w:val="ACMABodyText"/>
        <w:keepNext/>
        <w:numPr>
          <w:ilvl w:val="0"/>
          <w:numId w:val="4"/>
        </w:numPr>
        <w:ind w:left="714" w:hanging="357"/>
        <w:rPr>
          <w:rFonts w:ascii="Times New Roman" w:eastAsiaTheme="minorHAnsi" w:hAnsi="Times New Roman" w:cs="Times New Roman"/>
          <w:sz w:val="22"/>
          <w:szCs w:val="22"/>
        </w:rPr>
      </w:pPr>
      <w:r>
        <w:rPr>
          <w:rFonts w:ascii="Times New Roman" w:eastAsiaTheme="minorHAnsi" w:hAnsi="Times New Roman" w:cs="Times New Roman"/>
          <w:sz w:val="22"/>
          <w:szCs w:val="22"/>
        </w:rPr>
        <w:t>the specified price for the second round is $110 + $11 = $121, and:</w:t>
      </w:r>
    </w:p>
    <w:p w14:paraId="0B562E33" w14:textId="51C532F9" w:rsidR="00BE4A32" w:rsidRDefault="00BE4A32" w:rsidP="00BE4A32">
      <w:pPr>
        <w:pStyle w:val="ACMABodyText"/>
        <w:numPr>
          <w:ilvl w:val="1"/>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a bid in the second round greater than or equal to $110, but less than $121, is an exit bid;</w:t>
      </w:r>
    </w:p>
    <w:p w14:paraId="51A4F111" w14:textId="62667FAC" w:rsidR="00BE4A32" w:rsidRDefault="00BE4A32" w:rsidP="00BE4A32">
      <w:pPr>
        <w:pStyle w:val="ACMABodyText"/>
        <w:numPr>
          <w:ilvl w:val="1"/>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a bid in the second round equal to $121 is a continue bid; </w:t>
      </w:r>
    </w:p>
    <w:p w14:paraId="0F1A325F" w14:textId="7B0B2CA4" w:rsidR="000A3599" w:rsidRDefault="000A3599" w:rsidP="00BE4A32">
      <w:pPr>
        <w:pStyle w:val="ACMABodyText"/>
        <w:numPr>
          <w:ilvl w:val="1"/>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a bid in the second round at an advance price (that is, greater than $121) is a continue bid; and</w:t>
      </w:r>
    </w:p>
    <w:p w14:paraId="5D36D818" w14:textId="31B89E07" w:rsidR="00BE4A32" w:rsidRPr="00F650F3" w:rsidRDefault="00BE4A32" w:rsidP="00BE4A32">
      <w:pPr>
        <w:pStyle w:val="ACMABodyText"/>
        <w:numPr>
          <w:ilvl w:val="1"/>
          <w:numId w:val="4"/>
        </w:numPr>
        <w:rPr>
          <w:rFonts w:ascii="Times New Roman" w:eastAsiaTheme="minorHAnsi" w:hAnsi="Times New Roman" w:cs="Times New Roman"/>
          <w:sz w:val="22"/>
          <w:szCs w:val="22"/>
        </w:rPr>
      </w:pPr>
      <w:proofErr w:type="gramStart"/>
      <w:r>
        <w:rPr>
          <w:rFonts w:ascii="Times New Roman" w:eastAsiaTheme="minorHAnsi" w:hAnsi="Times New Roman" w:cs="Times New Roman"/>
          <w:sz w:val="22"/>
          <w:szCs w:val="22"/>
        </w:rPr>
        <w:t>a</w:t>
      </w:r>
      <w:proofErr w:type="gramEnd"/>
      <w:r>
        <w:rPr>
          <w:rFonts w:ascii="Times New Roman" w:eastAsiaTheme="minorHAnsi" w:hAnsi="Times New Roman" w:cs="Times New Roman"/>
          <w:sz w:val="22"/>
          <w:szCs w:val="22"/>
        </w:rPr>
        <w:t xml:space="preserve"> bid in the </w:t>
      </w:r>
      <w:r w:rsidRPr="005C338A">
        <w:rPr>
          <w:rFonts w:ascii="Times New Roman" w:eastAsiaTheme="minorHAnsi" w:hAnsi="Times New Roman" w:cs="Times New Roman"/>
          <w:i/>
          <w:sz w:val="22"/>
          <w:szCs w:val="22"/>
        </w:rPr>
        <w:t xml:space="preserve">first </w:t>
      </w:r>
      <w:r>
        <w:rPr>
          <w:rFonts w:ascii="Times New Roman" w:eastAsiaTheme="minorHAnsi" w:hAnsi="Times New Roman" w:cs="Times New Roman"/>
          <w:sz w:val="22"/>
          <w:szCs w:val="22"/>
        </w:rPr>
        <w:t>round greater</w:t>
      </w:r>
      <w:r w:rsidR="00960695">
        <w:rPr>
          <w:rFonts w:ascii="Times New Roman" w:eastAsiaTheme="minorHAnsi" w:hAnsi="Times New Roman" w:cs="Times New Roman"/>
          <w:sz w:val="22"/>
          <w:szCs w:val="22"/>
        </w:rPr>
        <w:t xml:space="preserve"> than or equal to $121 (</w:t>
      </w:r>
      <w:r w:rsidR="000A3599">
        <w:rPr>
          <w:rFonts w:ascii="Times New Roman" w:eastAsiaTheme="minorHAnsi" w:hAnsi="Times New Roman" w:cs="Times New Roman"/>
          <w:sz w:val="22"/>
          <w:szCs w:val="22"/>
        </w:rPr>
        <w:t>that is</w:t>
      </w:r>
      <w:r w:rsidR="00960695">
        <w:rPr>
          <w:rFonts w:ascii="Times New Roman" w:eastAsiaTheme="minorHAnsi" w:hAnsi="Times New Roman" w:cs="Times New Roman"/>
          <w:sz w:val="22"/>
          <w:szCs w:val="22"/>
        </w:rPr>
        <w:t>, a continue bid at an</w:t>
      </w:r>
      <w:r>
        <w:rPr>
          <w:rFonts w:ascii="Times New Roman" w:eastAsiaTheme="minorHAnsi" w:hAnsi="Times New Roman" w:cs="Times New Roman"/>
          <w:sz w:val="22"/>
          <w:szCs w:val="22"/>
        </w:rPr>
        <w:t xml:space="preserve"> advance </w:t>
      </w:r>
      <w:r w:rsidR="00960695">
        <w:rPr>
          <w:rFonts w:ascii="Times New Roman" w:eastAsiaTheme="minorHAnsi" w:hAnsi="Times New Roman" w:cs="Times New Roman"/>
          <w:sz w:val="22"/>
          <w:szCs w:val="22"/>
        </w:rPr>
        <w:t>price</w:t>
      </w:r>
      <w:r>
        <w:rPr>
          <w:rFonts w:ascii="Times New Roman" w:eastAsiaTheme="minorHAnsi" w:hAnsi="Times New Roman" w:cs="Times New Roman"/>
          <w:sz w:val="22"/>
          <w:szCs w:val="22"/>
        </w:rPr>
        <w:t xml:space="preserve"> in the first round) is taken to be a continue bid for the second round.</w:t>
      </w:r>
    </w:p>
    <w:p w14:paraId="4BC20AFD" w14:textId="6E2C6286" w:rsidR="00BE4A32" w:rsidRDefault="00BE4A32" w:rsidP="007B5F38">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See Schedule 1 for more information about the rules of the auction.</w:t>
      </w:r>
    </w:p>
    <w:p w14:paraId="212C527C" w14:textId="2D4CA036" w:rsidR="007B5F38" w:rsidRPr="00F650F3" w:rsidRDefault="007B5F38" w:rsidP="007B5F38">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t xml:space="preserve">During the auction, the auction manager can vary the </w:t>
      </w:r>
      <w:r w:rsidR="0091351E">
        <w:rPr>
          <w:rFonts w:ascii="Times New Roman" w:eastAsiaTheme="minorHAnsi" w:hAnsi="Times New Roman" w:cs="Times New Roman"/>
          <w:sz w:val="22"/>
          <w:szCs w:val="22"/>
        </w:rPr>
        <w:t xml:space="preserve">bid </w:t>
      </w:r>
      <w:r w:rsidR="0003395B" w:rsidRPr="00F650F3">
        <w:rPr>
          <w:rFonts w:ascii="Times New Roman" w:eastAsiaTheme="minorHAnsi" w:hAnsi="Times New Roman" w:cs="Times New Roman"/>
          <w:sz w:val="22"/>
          <w:szCs w:val="22"/>
        </w:rPr>
        <w:t>increment</w:t>
      </w:r>
      <w:r w:rsidR="0091351E">
        <w:rPr>
          <w:rFonts w:ascii="Times New Roman" w:eastAsiaTheme="minorHAnsi" w:hAnsi="Times New Roman" w:cs="Times New Roman"/>
          <w:sz w:val="22"/>
          <w:szCs w:val="22"/>
        </w:rPr>
        <w:t xml:space="preserve"> percentage</w:t>
      </w:r>
      <w:r w:rsidR="00BE4A32">
        <w:rPr>
          <w:rFonts w:ascii="Times New Roman" w:eastAsiaTheme="minorHAnsi" w:hAnsi="Times New Roman" w:cs="Times New Roman"/>
          <w:sz w:val="22"/>
          <w:szCs w:val="22"/>
        </w:rPr>
        <w:t>, which will affect the specified price of lots in rounds after the variation,</w:t>
      </w:r>
      <w:r w:rsidR="0003395B" w:rsidRPr="00F650F3">
        <w:rPr>
          <w:rFonts w:ascii="Times New Roman" w:eastAsiaTheme="minorHAnsi" w:hAnsi="Times New Roman" w:cs="Times New Roman"/>
          <w:sz w:val="22"/>
          <w:szCs w:val="22"/>
        </w:rPr>
        <w:t xml:space="preserve"> </w:t>
      </w:r>
      <w:r w:rsidRPr="00F650F3">
        <w:rPr>
          <w:rFonts w:ascii="Times New Roman" w:eastAsiaTheme="minorHAnsi" w:hAnsi="Times New Roman" w:cs="Times New Roman"/>
          <w:sz w:val="22"/>
          <w:szCs w:val="22"/>
        </w:rPr>
        <w:t xml:space="preserve">after fulfilling the consultation requirements </w:t>
      </w:r>
      <w:r w:rsidR="00FC0E68" w:rsidRPr="00F650F3">
        <w:rPr>
          <w:rFonts w:ascii="Times New Roman" w:eastAsiaTheme="minorHAnsi" w:hAnsi="Times New Roman" w:cs="Times New Roman"/>
          <w:sz w:val="22"/>
          <w:szCs w:val="22"/>
        </w:rPr>
        <w:t xml:space="preserve">set out in </w:t>
      </w:r>
      <w:r w:rsidR="00354454" w:rsidRPr="00F650F3">
        <w:rPr>
          <w:rFonts w:ascii="Times New Roman" w:eastAsiaTheme="minorHAnsi" w:hAnsi="Times New Roman" w:cs="Times New Roman"/>
          <w:sz w:val="22"/>
          <w:szCs w:val="22"/>
        </w:rPr>
        <w:t>clause</w:t>
      </w:r>
      <w:r w:rsidR="00354454">
        <w:rPr>
          <w:rFonts w:ascii="Times New Roman" w:eastAsiaTheme="minorHAnsi" w:hAnsi="Times New Roman" w:cs="Times New Roman"/>
          <w:sz w:val="22"/>
          <w:szCs w:val="22"/>
        </w:rPr>
        <w:t> </w:t>
      </w:r>
      <w:r w:rsidR="007D7111" w:rsidRPr="00F650F3">
        <w:rPr>
          <w:rFonts w:ascii="Times New Roman" w:eastAsiaTheme="minorHAnsi" w:hAnsi="Times New Roman" w:cs="Times New Roman"/>
          <w:sz w:val="22"/>
          <w:szCs w:val="22"/>
        </w:rPr>
        <w:t>6</w:t>
      </w:r>
      <w:r w:rsidR="00FC0E68" w:rsidRPr="00F650F3">
        <w:rPr>
          <w:rFonts w:ascii="Times New Roman" w:eastAsiaTheme="minorHAnsi" w:hAnsi="Times New Roman" w:cs="Times New Roman"/>
          <w:sz w:val="22"/>
          <w:szCs w:val="22"/>
        </w:rPr>
        <w:t xml:space="preserve"> </w:t>
      </w:r>
      <w:r w:rsidRPr="00F650F3">
        <w:rPr>
          <w:rFonts w:ascii="Times New Roman" w:eastAsiaTheme="minorHAnsi" w:hAnsi="Times New Roman" w:cs="Times New Roman"/>
          <w:sz w:val="22"/>
          <w:szCs w:val="22"/>
        </w:rPr>
        <w:t>of Schedule 1</w:t>
      </w:r>
      <w:r w:rsidR="00201BA3" w:rsidRPr="00F650F3">
        <w:rPr>
          <w:rFonts w:ascii="Times New Roman" w:eastAsiaTheme="minorHAnsi" w:hAnsi="Times New Roman" w:cs="Times New Roman"/>
          <w:sz w:val="22"/>
          <w:szCs w:val="22"/>
        </w:rPr>
        <w:t xml:space="preserve"> to the Determination</w:t>
      </w:r>
      <w:r w:rsidRPr="00F650F3">
        <w:rPr>
          <w:rFonts w:ascii="Times New Roman" w:eastAsiaTheme="minorHAnsi" w:hAnsi="Times New Roman" w:cs="Times New Roman"/>
          <w:sz w:val="22"/>
          <w:szCs w:val="22"/>
        </w:rPr>
        <w:t>.</w:t>
      </w:r>
    </w:p>
    <w:p w14:paraId="3223A2BC" w14:textId="4B3DF329" w:rsidR="00474559" w:rsidRPr="003C6A34" w:rsidRDefault="00474559" w:rsidP="00F650F3">
      <w:pPr>
        <w:keepNext/>
        <w:spacing w:before="280" w:after="160" w:line="259" w:lineRule="auto"/>
      </w:pPr>
      <w:r w:rsidRPr="00F650F3">
        <w:rPr>
          <w:rFonts w:eastAsiaTheme="minorHAnsi"/>
          <w:b/>
          <w:lang w:eastAsia="en-US"/>
        </w:rPr>
        <w:t xml:space="preserve">Division </w:t>
      </w:r>
      <w:r w:rsidR="007D7111" w:rsidRPr="00F650F3">
        <w:rPr>
          <w:rFonts w:eastAsiaTheme="minorHAnsi"/>
          <w:b/>
          <w:lang w:eastAsia="en-US"/>
        </w:rPr>
        <w:t>6</w:t>
      </w:r>
      <w:r w:rsidRPr="00F650F3">
        <w:rPr>
          <w:rFonts w:eastAsiaTheme="minorHAnsi"/>
          <w:b/>
          <w:lang w:eastAsia="en-US"/>
        </w:rPr>
        <w:tab/>
      </w:r>
      <w:r w:rsidR="005E6FD1" w:rsidRPr="00F650F3">
        <w:rPr>
          <w:rFonts w:eastAsiaTheme="minorHAnsi"/>
          <w:b/>
          <w:lang w:eastAsia="en-US"/>
        </w:rPr>
        <w:t>Preference</w:t>
      </w:r>
      <w:r w:rsidRPr="00F650F3">
        <w:rPr>
          <w:rFonts w:eastAsiaTheme="minorHAnsi"/>
          <w:b/>
          <w:lang w:eastAsia="en-US"/>
        </w:rPr>
        <w:t xml:space="preserve"> nomination and financial security</w:t>
      </w:r>
    </w:p>
    <w:p w14:paraId="19CAB7E4" w14:textId="63B6034A" w:rsidR="00603AB1" w:rsidRPr="00F650F3" w:rsidRDefault="007B5F38" w:rsidP="00F650F3">
      <w:pPr>
        <w:keepNext/>
        <w:spacing w:after="160" w:line="259" w:lineRule="auto"/>
        <w:rPr>
          <w:rFonts w:eastAsiaTheme="minorHAnsi"/>
          <w:b/>
          <w:sz w:val="22"/>
          <w:szCs w:val="22"/>
          <w:lang w:eastAsia="en-US"/>
        </w:rPr>
      </w:pPr>
      <w:r w:rsidRPr="00F650F3">
        <w:rPr>
          <w:rFonts w:eastAsiaTheme="minorHAnsi"/>
          <w:b/>
          <w:sz w:val="22"/>
          <w:szCs w:val="22"/>
          <w:lang w:eastAsia="en-US"/>
        </w:rPr>
        <w:t xml:space="preserve">Section </w:t>
      </w:r>
      <w:r w:rsidR="00205CD6" w:rsidRPr="00F650F3">
        <w:rPr>
          <w:rFonts w:eastAsiaTheme="minorHAnsi"/>
          <w:b/>
          <w:sz w:val="22"/>
          <w:szCs w:val="22"/>
          <w:lang w:eastAsia="en-US"/>
        </w:rPr>
        <w:t>3</w:t>
      </w:r>
      <w:r w:rsidR="003C6A34" w:rsidRPr="00F650F3">
        <w:rPr>
          <w:rFonts w:eastAsiaTheme="minorHAnsi"/>
          <w:b/>
          <w:sz w:val="22"/>
          <w:szCs w:val="22"/>
          <w:lang w:eastAsia="en-US"/>
        </w:rPr>
        <w:t>7</w:t>
      </w:r>
      <w:r w:rsidR="008212D9" w:rsidRPr="00F650F3">
        <w:rPr>
          <w:rFonts w:eastAsiaTheme="minorHAnsi"/>
          <w:b/>
          <w:sz w:val="22"/>
          <w:szCs w:val="22"/>
          <w:lang w:eastAsia="en-US"/>
        </w:rPr>
        <w:tab/>
      </w:r>
      <w:r w:rsidR="00205CD6" w:rsidRPr="00F650F3">
        <w:rPr>
          <w:rFonts w:eastAsiaTheme="minorHAnsi"/>
          <w:b/>
          <w:sz w:val="22"/>
          <w:szCs w:val="22"/>
          <w:lang w:eastAsia="en-US"/>
        </w:rPr>
        <w:t xml:space="preserve">Giving preference </w:t>
      </w:r>
      <w:r w:rsidR="00603AB1" w:rsidRPr="00F650F3">
        <w:rPr>
          <w:rFonts w:eastAsiaTheme="minorHAnsi"/>
          <w:b/>
          <w:sz w:val="22"/>
          <w:szCs w:val="22"/>
          <w:lang w:eastAsia="en-US"/>
        </w:rPr>
        <w:t>nomination form</w:t>
      </w:r>
    </w:p>
    <w:p w14:paraId="10FD61B3" w14:textId="68CE7526" w:rsidR="00603AB1" w:rsidRPr="00F650F3" w:rsidRDefault="00603AB1" w:rsidP="008A02B1">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t xml:space="preserve">This section </w:t>
      </w:r>
      <w:r w:rsidR="00EA5345">
        <w:rPr>
          <w:rFonts w:ascii="Times New Roman" w:eastAsiaTheme="minorHAnsi" w:hAnsi="Times New Roman" w:cs="Times New Roman"/>
          <w:sz w:val="22"/>
          <w:szCs w:val="22"/>
        </w:rPr>
        <w:t>sets out</w:t>
      </w:r>
      <w:r w:rsidR="00EA5345" w:rsidRPr="00F650F3">
        <w:rPr>
          <w:rFonts w:ascii="Times New Roman" w:eastAsiaTheme="minorHAnsi" w:hAnsi="Times New Roman" w:cs="Times New Roman"/>
          <w:sz w:val="22"/>
          <w:szCs w:val="22"/>
        </w:rPr>
        <w:t xml:space="preserve"> </w:t>
      </w:r>
      <w:r w:rsidRPr="00F650F3">
        <w:rPr>
          <w:rFonts w:ascii="Times New Roman" w:eastAsiaTheme="minorHAnsi" w:hAnsi="Times New Roman" w:cs="Times New Roman"/>
          <w:sz w:val="22"/>
          <w:szCs w:val="22"/>
        </w:rPr>
        <w:t xml:space="preserve">the requirement for an applicant to nominate its </w:t>
      </w:r>
      <w:r w:rsidR="005E6FD1" w:rsidRPr="00F650F3">
        <w:rPr>
          <w:rFonts w:ascii="Times New Roman" w:eastAsiaTheme="minorHAnsi" w:hAnsi="Times New Roman" w:cs="Times New Roman"/>
          <w:sz w:val="22"/>
          <w:szCs w:val="22"/>
        </w:rPr>
        <w:t>prefer</w:t>
      </w:r>
      <w:r w:rsidR="00296C9F" w:rsidRPr="00F650F3">
        <w:rPr>
          <w:rFonts w:ascii="Times New Roman" w:eastAsiaTheme="minorHAnsi" w:hAnsi="Times New Roman" w:cs="Times New Roman"/>
          <w:sz w:val="22"/>
          <w:szCs w:val="22"/>
        </w:rPr>
        <w:t>red lots</w:t>
      </w:r>
      <w:r w:rsidRPr="00F650F3">
        <w:rPr>
          <w:rFonts w:ascii="Times New Roman" w:eastAsiaTheme="minorHAnsi" w:hAnsi="Times New Roman" w:cs="Times New Roman"/>
          <w:sz w:val="22"/>
          <w:szCs w:val="22"/>
        </w:rPr>
        <w:t xml:space="preserve"> for the auction by lodging a </w:t>
      </w:r>
      <w:r w:rsidR="005E6FD1" w:rsidRPr="00F650F3">
        <w:rPr>
          <w:rFonts w:ascii="Times New Roman" w:eastAsiaTheme="minorHAnsi" w:hAnsi="Times New Roman" w:cs="Times New Roman"/>
          <w:sz w:val="22"/>
          <w:szCs w:val="22"/>
        </w:rPr>
        <w:t>preference</w:t>
      </w:r>
      <w:r w:rsidRPr="00F650F3">
        <w:rPr>
          <w:rFonts w:ascii="Times New Roman" w:eastAsiaTheme="minorHAnsi" w:hAnsi="Times New Roman" w:cs="Times New Roman"/>
          <w:sz w:val="22"/>
          <w:szCs w:val="22"/>
        </w:rPr>
        <w:t xml:space="preserve"> nomination form with the ACMA</w:t>
      </w:r>
      <w:r w:rsidR="003C6A34" w:rsidRPr="00F650F3">
        <w:rPr>
          <w:rFonts w:ascii="Times New Roman" w:eastAsiaTheme="minorHAnsi" w:hAnsi="Times New Roman" w:cs="Times New Roman"/>
          <w:sz w:val="22"/>
          <w:szCs w:val="22"/>
        </w:rPr>
        <w:t xml:space="preserve"> </w:t>
      </w:r>
      <w:r w:rsidR="00154C30" w:rsidRPr="00F650F3">
        <w:rPr>
          <w:rFonts w:ascii="Times New Roman" w:eastAsiaTheme="minorHAnsi" w:hAnsi="Times New Roman" w:cs="Times New Roman"/>
          <w:sz w:val="22"/>
          <w:szCs w:val="22"/>
        </w:rPr>
        <w:t>by the preference deadline</w:t>
      </w:r>
      <w:r w:rsidRPr="00F650F3">
        <w:rPr>
          <w:rFonts w:ascii="Times New Roman" w:eastAsiaTheme="minorHAnsi" w:hAnsi="Times New Roman" w:cs="Times New Roman"/>
          <w:sz w:val="22"/>
          <w:szCs w:val="22"/>
        </w:rPr>
        <w:t xml:space="preserve">.  </w:t>
      </w:r>
      <w:r w:rsidR="005D7CD3" w:rsidRPr="00F650F3">
        <w:rPr>
          <w:rFonts w:ascii="Times New Roman" w:eastAsiaTheme="minorHAnsi" w:hAnsi="Times New Roman" w:cs="Times New Roman"/>
          <w:sz w:val="22"/>
          <w:szCs w:val="22"/>
        </w:rPr>
        <w:t>Note that a</w:t>
      </w:r>
      <w:r w:rsidR="003B294C">
        <w:rPr>
          <w:rFonts w:ascii="Times New Roman" w:eastAsiaTheme="minorHAnsi" w:hAnsi="Times New Roman" w:cs="Times New Roman"/>
          <w:sz w:val="22"/>
          <w:szCs w:val="22"/>
        </w:rPr>
        <w:t>n applicant</w:t>
      </w:r>
      <w:r w:rsidRPr="00F650F3">
        <w:rPr>
          <w:rFonts w:ascii="Times New Roman" w:eastAsiaTheme="minorHAnsi" w:hAnsi="Times New Roman" w:cs="Times New Roman"/>
          <w:sz w:val="22"/>
          <w:szCs w:val="22"/>
        </w:rPr>
        <w:t xml:space="preserve">’s </w:t>
      </w:r>
      <w:r w:rsidR="00296C9F" w:rsidRPr="00F650F3">
        <w:rPr>
          <w:rFonts w:ascii="Times New Roman" w:eastAsiaTheme="minorHAnsi" w:hAnsi="Times New Roman" w:cs="Times New Roman"/>
          <w:sz w:val="22"/>
          <w:szCs w:val="22"/>
        </w:rPr>
        <w:t xml:space="preserve">nominated </w:t>
      </w:r>
      <w:r w:rsidR="005E6FD1" w:rsidRPr="00F650F3">
        <w:rPr>
          <w:rFonts w:ascii="Times New Roman" w:eastAsiaTheme="minorHAnsi" w:hAnsi="Times New Roman" w:cs="Times New Roman"/>
          <w:sz w:val="22"/>
          <w:szCs w:val="22"/>
        </w:rPr>
        <w:t>prefer</w:t>
      </w:r>
      <w:r w:rsidR="00296C9F" w:rsidRPr="00F650F3">
        <w:rPr>
          <w:rFonts w:ascii="Times New Roman" w:eastAsiaTheme="minorHAnsi" w:hAnsi="Times New Roman" w:cs="Times New Roman"/>
          <w:sz w:val="22"/>
          <w:szCs w:val="22"/>
        </w:rPr>
        <w:t>red</w:t>
      </w:r>
      <w:r w:rsidR="00A10934" w:rsidRPr="00F650F3">
        <w:rPr>
          <w:rFonts w:ascii="Times New Roman" w:eastAsiaTheme="minorHAnsi" w:hAnsi="Times New Roman" w:cs="Times New Roman"/>
          <w:sz w:val="22"/>
          <w:szCs w:val="22"/>
        </w:rPr>
        <w:t xml:space="preserve"> </w:t>
      </w:r>
      <w:r w:rsidR="00296C9F" w:rsidRPr="00F650F3">
        <w:rPr>
          <w:rFonts w:ascii="Times New Roman" w:eastAsiaTheme="minorHAnsi" w:hAnsi="Times New Roman" w:cs="Times New Roman"/>
          <w:sz w:val="22"/>
          <w:szCs w:val="22"/>
        </w:rPr>
        <w:t>lots are</w:t>
      </w:r>
      <w:r w:rsidRPr="00F650F3">
        <w:rPr>
          <w:rFonts w:ascii="Times New Roman" w:eastAsiaTheme="minorHAnsi" w:hAnsi="Times New Roman" w:cs="Times New Roman"/>
          <w:sz w:val="22"/>
          <w:szCs w:val="22"/>
        </w:rPr>
        <w:t xml:space="preserve"> subject to the allocation limits</w:t>
      </w:r>
      <w:r w:rsidR="003B294C">
        <w:rPr>
          <w:rFonts w:ascii="Times New Roman" w:eastAsiaTheme="minorHAnsi" w:hAnsi="Times New Roman" w:cs="Times New Roman"/>
          <w:sz w:val="22"/>
          <w:szCs w:val="22"/>
        </w:rPr>
        <w:t>, which will be assessed by reference to any spectrum licences in the 700 MHz band held by the applicant (if the applicant is a previous successful bidder) or held by a previous successful bidder that is also an associate of the applicant</w:t>
      </w:r>
      <w:r w:rsidRPr="00F650F3">
        <w:rPr>
          <w:rFonts w:ascii="Times New Roman" w:eastAsiaTheme="minorHAnsi" w:hAnsi="Times New Roman" w:cs="Times New Roman"/>
          <w:sz w:val="22"/>
          <w:szCs w:val="22"/>
        </w:rPr>
        <w:t>.</w:t>
      </w:r>
    </w:p>
    <w:p w14:paraId="36662B85" w14:textId="0FC84EAE" w:rsidR="00D76825" w:rsidRPr="00F650F3" w:rsidRDefault="00603AB1" w:rsidP="00D67611">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t xml:space="preserve">The </w:t>
      </w:r>
      <w:r w:rsidR="00296C9F" w:rsidRPr="00F650F3">
        <w:rPr>
          <w:rFonts w:ascii="Times New Roman" w:eastAsiaTheme="minorHAnsi" w:hAnsi="Times New Roman" w:cs="Times New Roman"/>
          <w:sz w:val="22"/>
          <w:szCs w:val="22"/>
        </w:rPr>
        <w:t>preferred lot nomination</w:t>
      </w:r>
      <w:r w:rsidR="003B294C">
        <w:rPr>
          <w:rFonts w:ascii="Times New Roman" w:eastAsiaTheme="minorHAnsi" w:hAnsi="Times New Roman" w:cs="Times New Roman"/>
          <w:sz w:val="22"/>
          <w:szCs w:val="22"/>
        </w:rPr>
        <w:t>s</w:t>
      </w:r>
      <w:r w:rsidR="00296C9F" w:rsidRPr="00F650F3">
        <w:rPr>
          <w:rFonts w:ascii="Times New Roman" w:eastAsiaTheme="minorHAnsi" w:hAnsi="Times New Roman" w:cs="Times New Roman"/>
          <w:sz w:val="22"/>
          <w:szCs w:val="22"/>
        </w:rPr>
        <w:t xml:space="preserve"> </w:t>
      </w:r>
      <w:r w:rsidRPr="00F650F3">
        <w:rPr>
          <w:rFonts w:ascii="Times New Roman" w:eastAsiaTheme="minorHAnsi" w:hAnsi="Times New Roman" w:cs="Times New Roman"/>
          <w:sz w:val="22"/>
          <w:szCs w:val="22"/>
        </w:rPr>
        <w:t>by applicants will constrain the lots that they will be able to bid for</w:t>
      </w:r>
      <w:r w:rsidR="001E300C" w:rsidRPr="00F650F3">
        <w:rPr>
          <w:rFonts w:ascii="Times New Roman" w:eastAsiaTheme="minorHAnsi" w:hAnsi="Times New Roman" w:cs="Times New Roman"/>
          <w:sz w:val="22"/>
          <w:szCs w:val="22"/>
        </w:rPr>
        <w:t xml:space="preserve"> in </w:t>
      </w:r>
      <w:r w:rsidRPr="00F650F3">
        <w:rPr>
          <w:rFonts w:ascii="Times New Roman" w:eastAsiaTheme="minorHAnsi" w:hAnsi="Times New Roman" w:cs="Times New Roman"/>
          <w:sz w:val="22"/>
          <w:szCs w:val="22"/>
        </w:rPr>
        <w:t xml:space="preserve">the auction. </w:t>
      </w:r>
      <w:r w:rsidR="00354454">
        <w:rPr>
          <w:rFonts w:ascii="Times New Roman" w:eastAsiaTheme="minorHAnsi" w:hAnsi="Times New Roman" w:cs="Times New Roman"/>
          <w:sz w:val="22"/>
          <w:szCs w:val="22"/>
        </w:rPr>
        <w:t xml:space="preserve"> </w:t>
      </w:r>
      <w:r w:rsidRPr="00F650F3">
        <w:rPr>
          <w:rFonts w:ascii="Times New Roman" w:eastAsiaTheme="minorHAnsi" w:hAnsi="Times New Roman" w:cs="Times New Roman"/>
          <w:sz w:val="22"/>
          <w:szCs w:val="22"/>
        </w:rPr>
        <w:t xml:space="preserve">Applicants will select their </w:t>
      </w:r>
      <w:r w:rsidR="005E6FD1" w:rsidRPr="00F650F3">
        <w:rPr>
          <w:rFonts w:ascii="Times New Roman" w:eastAsiaTheme="minorHAnsi" w:hAnsi="Times New Roman" w:cs="Times New Roman"/>
          <w:sz w:val="22"/>
          <w:szCs w:val="22"/>
        </w:rPr>
        <w:t>prefer</w:t>
      </w:r>
      <w:r w:rsidR="00296C9F" w:rsidRPr="00F650F3">
        <w:rPr>
          <w:rFonts w:ascii="Times New Roman" w:eastAsiaTheme="minorHAnsi" w:hAnsi="Times New Roman" w:cs="Times New Roman"/>
          <w:sz w:val="22"/>
          <w:szCs w:val="22"/>
        </w:rPr>
        <w:t>red lots nomination</w:t>
      </w:r>
      <w:r w:rsidRPr="00F650F3">
        <w:rPr>
          <w:rFonts w:ascii="Times New Roman" w:eastAsiaTheme="minorHAnsi" w:hAnsi="Times New Roman" w:cs="Times New Roman"/>
          <w:sz w:val="22"/>
          <w:szCs w:val="22"/>
        </w:rPr>
        <w:t xml:space="preserve"> by completing a </w:t>
      </w:r>
      <w:r w:rsidR="005E6FD1" w:rsidRPr="00F650F3">
        <w:rPr>
          <w:rFonts w:ascii="Times New Roman" w:eastAsiaTheme="minorHAnsi" w:hAnsi="Times New Roman" w:cs="Times New Roman"/>
          <w:sz w:val="22"/>
          <w:szCs w:val="22"/>
        </w:rPr>
        <w:t>preference</w:t>
      </w:r>
      <w:r w:rsidRPr="00F650F3">
        <w:rPr>
          <w:rFonts w:ascii="Times New Roman" w:eastAsiaTheme="minorHAnsi" w:hAnsi="Times New Roman" w:cs="Times New Roman"/>
          <w:sz w:val="22"/>
          <w:szCs w:val="22"/>
        </w:rPr>
        <w:t xml:space="preserve"> nomination form.</w:t>
      </w:r>
    </w:p>
    <w:p w14:paraId="50F46FB1" w14:textId="113CE0A0" w:rsidR="00D76825" w:rsidRDefault="00D76825" w:rsidP="001E300C">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t>Subject to subsection</w:t>
      </w:r>
      <w:r w:rsidR="00BE7184">
        <w:rPr>
          <w:rFonts w:ascii="Times New Roman" w:eastAsiaTheme="minorHAnsi" w:hAnsi="Times New Roman" w:cs="Times New Roman"/>
          <w:sz w:val="22"/>
          <w:szCs w:val="22"/>
        </w:rPr>
        <w:t>s</w:t>
      </w:r>
      <w:r w:rsidRPr="00F650F3">
        <w:rPr>
          <w:rFonts w:ascii="Times New Roman" w:eastAsiaTheme="minorHAnsi" w:hAnsi="Times New Roman" w:cs="Times New Roman"/>
          <w:sz w:val="22"/>
          <w:szCs w:val="22"/>
        </w:rPr>
        <w:t xml:space="preserve"> (3) </w:t>
      </w:r>
      <w:r w:rsidR="0091351E">
        <w:rPr>
          <w:rFonts w:ascii="Times New Roman" w:eastAsiaTheme="minorHAnsi" w:hAnsi="Times New Roman" w:cs="Times New Roman"/>
          <w:sz w:val="22"/>
          <w:szCs w:val="22"/>
        </w:rPr>
        <w:t>and (</w:t>
      </w:r>
      <w:r w:rsidR="00BE7184">
        <w:rPr>
          <w:rFonts w:ascii="Times New Roman" w:eastAsiaTheme="minorHAnsi" w:hAnsi="Times New Roman" w:cs="Times New Roman"/>
          <w:sz w:val="22"/>
          <w:szCs w:val="22"/>
        </w:rPr>
        <w:t>4</w:t>
      </w:r>
      <w:r w:rsidR="0091351E">
        <w:rPr>
          <w:rFonts w:ascii="Times New Roman" w:eastAsiaTheme="minorHAnsi" w:hAnsi="Times New Roman" w:cs="Times New Roman"/>
          <w:sz w:val="22"/>
          <w:szCs w:val="22"/>
        </w:rPr>
        <w:t>)</w:t>
      </w:r>
      <w:r w:rsidR="003B294C">
        <w:rPr>
          <w:rFonts w:ascii="Times New Roman" w:eastAsiaTheme="minorHAnsi" w:hAnsi="Times New Roman" w:cs="Times New Roman"/>
          <w:sz w:val="22"/>
          <w:szCs w:val="22"/>
        </w:rPr>
        <w:t xml:space="preserve"> (which relate to the effect of the allocation limits)</w:t>
      </w:r>
      <w:r w:rsidRPr="00F650F3">
        <w:rPr>
          <w:rFonts w:ascii="Times New Roman" w:eastAsiaTheme="minorHAnsi" w:hAnsi="Times New Roman" w:cs="Times New Roman"/>
          <w:sz w:val="22"/>
          <w:szCs w:val="22"/>
        </w:rPr>
        <w:t>, an applicant may nominate the 10 MHz lot or the 5 MHz lot</w:t>
      </w:r>
      <w:r w:rsidR="003B294C">
        <w:rPr>
          <w:rFonts w:ascii="Times New Roman" w:eastAsiaTheme="minorHAnsi" w:hAnsi="Times New Roman" w:cs="Times New Roman"/>
          <w:sz w:val="22"/>
          <w:szCs w:val="22"/>
        </w:rPr>
        <w:t>,</w:t>
      </w:r>
      <w:r w:rsidRPr="00F650F3">
        <w:rPr>
          <w:rFonts w:ascii="Times New Roman" w:eastAsiaTheme="minorHAnsi" w:hAnsi="Times New Roman" w:cs="Times New Roman"/>
          <w:sz w:val="22"/>
          <w:szCs w:val="22"/>
        </w:rPr>
        <w:t xml:space="preserve"> or</w:t>
      </w:r>
      <w:r w:rsidR="003B294C">
        <w:rPr>
          <w:rFonts w:ascii="Times New Roman" w:eastAsiaTheme="minorHAnsi" w:hAnsi="Times New Roman" w:cs="Times New Roman"/>
          <w:sz w:val="22"/>
          <w:szCs w:val="22"/>
        </w:rPr>
        <w:t xml:space="preserve"> both</w:t>
      </w:r>
      <w:r w:rsidRPr="00F650F3">
        <w:rPr>
          <w:rFonts w:ascii="Times New Roman" w:eastAsiaTheme="minorHAnsi" w:hAnsi="Times New Roman" w:cs="Times New Roman"/>
          <w:sz w:val="22"/>
          <w:szCs w:val="22"/>
        </w:rPr>
        <w:t xml:space="preserve"> the 10 MHz lot and the 5 MHz lot</w:t>
      </w:r>
      <w:r w:rsidR="003B294C">
        <w:rPr>
          <w:rFonts w:ascii="Times New Roman" w:eastAsiaTheme="minorHAnsi" w:hAnsi="Times New Roman" w:cs="Times New Roman"/>
          <w:sz w:val="22"/>
          <w:szCs w:val="22"/>
        </w:rPr>
        <w:t>,</w:t>
      </w:r>
      <w:r w:rsidRPr="00F650F3">
        <w:rPr>
          <w:rFonts w:ascii="Times New Roman" w:eastAsiaTheme="minorHAnsi" w:hAnsi="Times New Roman" w:cs="Times New Roman"/>
          <w:sz w:val="22"/>
          <w:szCs w:val="22"/>
        </w:rPr>
        <w:t xml:space="preserve"> as its preferred lots.</w:t>
      </w:r>
    </w:p>
    <w:p w14:paraId="248C7F79" w14:textId="67820641" w:rsidR="00A869DB" w:rsidRPr="005C338A" w:rsidRDefault="00A869DB" w:rsidP="001E300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an applicant becoming the </w:t>
      </w:r>
      <w:r w:rsidR="00BE7184">
        <w:rPr>
          <w:rFonts w:ascii="Times New Roman" w:eastAsiaTheme="minorHAnsi" w:hAnsi="Times New Roman" w:cs="Times New Roman"/>
          <w:sz w:val="22"/>
          <w:szCs w:val="22"/>
        </w:rPr>
        <w:t xml:space="preserve">successful applicant or </w:t>
      </w:r>
      <w:r w:rsidRPr="005C338A">
        <w:rPr>
          <w:rFonts w:ascii="Times New Roman" w:eastAsiaTheme="minorHAnsi" w:hAnsi="Times New Roman" w:cs="Times New Roman"/>
          <w:sz w:val="22"/>
          <w:szCs w:val="22"/>
        </w:rPr>
        <w:t>winning bidder for one of the lots would exceed the allocation limits, subsections (3) and (</w:t>
      </w:r>
      <w:r w:rsidR="00BE7184">
        <w:rPr>
          <w:rFonts w:ascii="Times New Roman" w:eastAsiaTheme="minorHAnsi" w:hAnsi="Times New Roman" w:cs="Times New Roman"/>
          <w:sz w:val="22"/>
          <w:szCs w:val="22"/>
        </w:rPr>
        <w:t>4</w:t>
      </w:r>
      <w:r w:rsidRPr="005C338A">
        <w:rPr>
          <w:rFonts w:ascii="Times New Roman" w:eastAsiaTheme="minorHAnsi" w:hAnsi="Times New Roman" w:cs="Times New Roman"/>
          <w:sz w:val="22"/>
          <w:szCs w:val="22"/>
        </w:rPr>
        <w:t>) prevent that applicant from nominating that lot as one of its preferred lots</w:t>
      </w:r>
      <w:r>
        <w:rPr>
          <w:rFonts w:ascii="Times New Roman" w:eastAsiaTheme="minorHAnsi" w:hAnsi="Times New Roman" w:cs="Times New Roman"/>
          <w:sz w:val="22"/>
          <w:szCs w:val="22"/>
        </w:rPr>
        <w:t>.</w:t>
      </w:r>
    </w:p>
    <w:p w14:paraId="6866F419" w14:textId="6E347402" w:rsidR="00A869DB" w:rsidRPr="006A267A" w:rsidRDefault="00A869DB" w:rsidP="005C338A">
      <w:pPr>
        <w:pStyle w:val="ACMABodyText"/>
        <w:rPr>
          <w:rFonts w:eastAsiaTheme="minorHAnsi"/>
          <w:sz w:val="22"/>
          <w:szCs w:val="22"/>
        </w:rPr>
      </w:pPr>
      <w:r w:rsidRPr="005C338A">
        <w:rPr>
          <w:rFonts w:ascii="Times New Roman" w:eastAsiaTheme="minorHAnsi" w:hAnsi="Times New Roman" w:cs="Times New Roman"/>
          <w:sz w:val="22"/>
          <w:szCs w:val="22"/>
        </w:rPr>
        <w:t xml:space="preserve">If an applicant becoming the </w:t>
      </w:r>
      <w:r w:rsidR="00BE7184">
        <w:rPr>
          <w:rFonts w:ascii="Times New Roman" w:eastAsiaTheme="minorHAnsi" w:hAnsi="Times New Roman" w:cs="Times New Roman"/>
          <w:sz w:val="22"/>
          <w:szCs w:val="22"/>
        </w:rPr>
        <w:t xml:space="preserve">successful applicant or </w:t>
      </w:r>
      <w:r w:rsidRPr="005C338A">
        <w:rPr>
          <w:rFonts w:ascii="Times New Roman" w:eastAsiaTheme="minorHAnsi" w:hAnsi="Times New Roman" w:cs="Times New Roman"/>
          <w:sz w:val="22"/>
          <w:szCs w:val="22"/>
        </w:rPr>
        <w:t xml:space="preserve">winning bidder for both lots would result in the applicant being able to use spectrum in excess of the allocation limits, </w:t>
      </w:r>
      <w:r w:rsidR="00BE7184">
        <w:rPr>
          <w:rFonts w:ascii="Times New Roman" w:eastAsiaTheme="minorHAnsi" w:hAnsi="Times New Roman" w:cs="Times New Roman"/>
          <w:sz w:val="22"/>
          <w:szCs w:val="22"/>
        </w:rPr>
        <w:t xml:space="preserve">but the same is not true if the applicant became the successful applicant or winning bidder for one of the lots, </w:t>
      </w:r>
      <w:r w:rsidRPr="005C338A">
        <w:rPr>
          <w:rFonts w:ascii="Times New Roman" w:eastAsiaTheme="minorHAnsi" w:hAnsi="Times New Roman" w:cs="Times New Roman"/>
          <w:sz w:val="22"/>
          <w:szCs w:val="22"/>
        </w:rPr>
        <w:t>Schedule 1 prevents that applicant from bidding on the 5 MHz lot if the applicant is the winning bidder for the 10 MHz lot.</w:t>
      </w:r>
    </w:p>
    <w:p w14:paraId="13BA3251" w14:textId="2A278F2F" w:rsidR="00603AB1" w:rsidRPr="00F650F3" w:rsidRDefault="00603AB1" w:rsidP="00D67611">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t xml:space="preserve">Applicants may vary their </w:t>
      </w:r>
      <w:r w:rsidR="00D76825" w:rsidRPr="00F650F3">
        <w:rPr>
          <w:rFonts w:ascii="Times New Roman" w:eastAsiaTheme="minorHAnsi" w:hAnsi="Times New Roman" w:cs="Times New Roman"/>
          <w:sz w:val="22"/>
          <w:szCs w:val="22"/>
        </w:rPr>
        <w:t xml:space="preserve">preferences </w:t>
      </w:r>
      <w:r w:rsidRPr="00F650F3">
        <w:rPr>
          <w:rFonts w:ascii="Times New Roman" w:eastAsiaTheme="minorHAnsi" w:hAnsi="Times New Roman" w:cs="Times New Roman"/>
          <w:sz w:val="22"/>
          <w:szCs w:val="22"/>
        </w:rPr>
        <w:t xml:space="preserve">by submitting a new </w:t>
      </w:r>
      <w:r w:rsidR="005E6FD1" w:rsidRPr="00F650F3">
        <w:rPr>
          <w:rFonts w:ascii="Times New Roman" w:eastAsiaTheme="minorHAnsi" w:hAnsi="Times New Roman" w:cs="Times New Roman"/>
          <w:sz w:val="22"/>
          <w:szCs w:val="22"/>
        </w:rPr>
        <w:t>preference</w:t>
      </w:r>
      <w:r w:rsidRPr="00F650F3">
        <w:rPr>
          <w:rFonts w:ascii="Times New Roman" w:eastAsiaTheme="minorHAnsi" w:hAnsi="Times New Roman" w:cs="Times New Roman"/>
          <w:sz w:val="22"/>
          <w:szCs w:val="22"/>
        </w:rPr>
        <w:t xml:space="preserve"> nomination form; however, this must be lodged before the </w:t>
      </w:r>
      <w:r w:rsidR="005E6FD1" w:rsidRPr="00F650F3">
        <w:rPr>
          <w:rFonts w:ascii="Times New Roman" w:eastAsiaTheme="minorHAnsi" w:hAnsi="Times New Roman" w:cs="Times New Roman"/>
          <w:sz w:val="22"/>
          <w:szCs w:val="22"/>
        </w:rPr>
        <w:t>preference</w:t>
      </w:r>
      <w:r w:rsidRPr="00F650F3">
        <w:rPr>
          <w:rFonts w:ascii="Times New Roman" w:eastAsiaTheme="minorHAnsi" w:hAnsi="Times New Roman" w:cs="Times New Roman"/>
          <w:sz w:val="22"/>
          <w:szCs w:val="22"/>
        </w:rPr>
        <w:t xml:space="preserve"> deadline. </w:t>
      </w:r>
      <w:r w:rsidR="00354454">
        <w:rPr>
          <w:rFonts w:ascii="Times New Roman" w:eastAsiaTheme="minorHAnsi" w:hAnsi="Times New Roman" w:cs="Times New Roman"/>
          <w:sz w:val="22"/>
          <w:szCs w:val="22"/>
        </w:rPr>
        <w:t xml:space="preserve"> </w:t>
      </w:r>
      <w:r w:rsidRPr="00F650F3">
        <w:rPr>
          <w:rFonts w:ascii="Times New Roman" w:eastAsiaTheme="minorHAnsi" w:hAnsi="Times New Roman" w:cs="Times New Roman"/>
          <w:sz w:val="22"/>
          <w:szCs w:val="22"/>
        </w:rPr>
        <w:t xml:space="preserve">If an applicant changes its </w:t>
      </w:r>
      <w:r w:rsidR="00BE7184">
        <w:rPr>
          <w:rFonts w:ascii="Times New Roman" w:eastAsiaTheme="minorHAnsi" w:hAnsi="Times New Roman" w:cs="Times New Roman"/>
          <w:sz w:val="22"/>
          <w:szCs w:val="22"/>
        </w:rPr>
        <w:t xml:space="preserve">preferred lots before the </w:t>
      </w:r>
      <w:r w:rsidR="005E6FD1" w:rsidRPr="00F650F3">
        <w:rPr>
          <w:rFonts w:ascii="Times New Roman" w:eastAsiaTheme="minorHAnsi" w:hAnsi="Times New Roman" w:cs="Times New Roman"/>
          <w:sz w:val="22"/>
          <w:szCs w:val="22"/>
        </w:rPr>
        <w:t>preference</w:t>
      </w:r>
      <w:r w:rsidR="00BE7184">
        <w:rPr>
          <w:rFonts w:ascii="Times New Roman" w:eastAsiaTheme="minorHAnsi" w:hAnsi="Times New Roman" w:cs="Times New Roman"/>
          <w:sz w:val="22"/>
          <w:szCs w:val="22"/>
        </w:rPr>
        <w:t xml:space="preserve"> deadline</w:t>
      </w:r>
      <w:r w:rsidRPr="00F650F3">
        <w:rPr>
          <w:rFonts w:ascii="Times New Roman" w:eastAsiaTheme="minorHAnsi" w:hAnsi="Times New Roman" w:cs="Times New Roman"/>
          <w:sz w:val="22"/>
          <w:szCs w:val="22"/>
        </w:rPr>
        <w:t xml:space="preserve">, consequential changes to the </w:t>
      </w:r>
      <w:r w:rsidR="00A75624" w:rsidRPr="00F650F3">
        <w:rPr>
          <w:rFonts w:ascii="Times New Roman" w:eastAsiaTheme="minorHAnsi" w:hAnsi="Times New Roman" w:cs="Times New Roman"/>
          <w:sz w:val="22"/>
          <w:szCs w:val="22"/>
        </w:rPr>
        <w:t xml:space="preserve">deposit or </w:t>
      </w:r>
      <w:r w:rsidR="00CD52D8" w:rsidRPr="00F650F3">
        <w:rPr>
          <w:rFonts w:ascii="Times New Roman" w:eastAsiaTheme="minorHAnsi" w:hAnsi="Times New Roman" w:cs="Times New Roman"/>
          <w:sz w:val="22"/>
          <w:szCs w:val="22"/>
        </w:rPr>
        <w:t>amount under</w:t>
      </w:r>
      <w:r w:rsidRPr="00F650F3">
        <w:rPr>
          <w:rFonts w:ascii="Times New Roman" w:eastAsiaTheme="minorHAnsi" w:hAnsi="Times New Roman" w:cs="Times New Roman"/>
          <w:sz w:val="22"/>
          <w:szCs w:val="22"/>
        </w:rPr>
        <w:t xml:space="preserve"> the </w:t>
      </w:r>
      <w:r w:rsidR="00CD52D8" w:rsidRPr="00F650F3">
        <w:rPr>
          <w:rFonts w:ascii="Times New Roman" w:eastAsiaTheme="minorHAnsi" w:hAnsi="Times New Roman" w:cs="Times New Roman"/>
          <w:sz w:val="22"/>
          <w:szCs w:val="22"/>
        </w:rPr>
        <w:t xml:space="preserve">deed of </w:t>
      </w:r>
      <w:r w:rsidRPr="00F650F3">
        <w:rPr>
          <w:rFonts w:ascii="Times New Roman" w:eastAsiaTheme="minorHAnsi" w:hAnsi="Times New Roman" w:cs="Times New Roman"/>
          <w:sz w:val="22"/>
          <w:szCs w:val="22"/>
        </w:rPr>
        <w:t xml:space="preserve">financial security </w:t>
      </w:r>
      <w:r w:rsidR="00741EA0" w:rsidRPr="00F650F3">
        <w:rPr>
          <w:rFonts w:ascii="Times New Roman" w:eastAsiaTheme="minorHAnsi" w:hAnsi="Times New Roman" w:cs="Times New Roman"/>
          <w:sz w:val="22"/>
          <w:szCs w:val="22"/>
        </w:rPr>
        <w:t xml:space="preserve">that </w:t>
      </w:r>
      <w:r w:rsidRPr="00F650F3">
        <w:rPr>
          <w:rFonts w:ascii="Times New Roman" w:eastAsiaTheme="minorHAnsi" w:hAnsi="Times New Roman" w:cs="Times New Roman"/>
          <w:sz w:val="22"/>
          <w:szCs w:val="22"/>
        </w:rPr>
        <w:t xml:space="preserve">the applicant has provided under section </w:t>
      </w:r>
      <w:r w:rsidR="00FD7F7B" w:rsidRPr="00F650F3">
        <w:rPr>
          <w:rFonts w:ascii="Times New Roman" w:eastAsiaTheme="minorHAnsi" w:hAnsi="Times New Roman" w:cs="Times New Roman"/>
          <w:sz w:val="22"/>
          <w:szCs w:val="22"/>
        </w:rPr>
        <w:t>3</w:t>
      </w:r>
      <w:r w:rsidR="003B294C">
        <w:rPr>
          <w:rFonts w:ascii="Times New Roman" w:eastAsiaTheme="minorHAnsi" w:hAnsi="Times New Roman" w:cs="Times New Roman"/>
          <w:sz w:val="22"/>
          <w:szCs w:val="22"/>
        </w:rPr>
        <w:t>8</w:t>
      </w:r>
      <w:r w:rsidRPr="00F650F3">
        <w:rPr>
          <w:rFonts w:ascii="Times New Roman" w:eastAsiaTheme="minorHAnsi" w:hAnsi="Times New Roman" w:cs="Times New Roman"/>
          <w:sz w:val="22"/>
          <w:szCs w:val="22"/>
        </w:rPr>
        <w:t xml:space="preserve"> must be made to match the new </w:t>
      </w:r>
      <w:r w:rsidR="00296C9F" w:rsidRPr="00F650F3">
        <w:rPr>
          <w:rFonts w:ascii="Times New Roman" w:eastAsiaTheme="minorHAnsi" w:hAnsi="Times New Roman" w:cs="Times New Roman"/>
          <w:sz w:val="22"/>
          <w:szCs w:val="22"/>
        </w:rPr>
        <w:t>deposit</w:t>
      </w:r>
      <w:r w:rsidR="003B294C">
        <w:rPr>
          <w:rFonts w:ascii="Times New Roman" w:eastAsiaTheme="minorHAnsi" w:hAnsi="Times New Roman" w:cs="Times New Roman"/>
          <w:sz w:val="22"/>
          <w:szCs w:val="22"/>
        </w:rPr>
        <w:t xml:space="preserve"> or deed of financial security required</w:t>
      </w:r>
      <w:r w:rsidRPr="00F650F3">
        <w:rPr>
          <w:rFonts w:ascii="Times New Roman" w:eastAsiaTheme="minorHAnsi" w:hAnsi="Times New Roman" w:cs="Times New Roman"/>
          <w:sz w:val="22"/>
          <w:szCs w:val="22"/>
        </w:rPr>
        <w:t>.</w:t>
      </w:r>
    </w:p>
    <w:p w14:paraId="4F01FE69" w14:textId="22C254CB" w:rsidR="00D76825" w:rsidRPr="00F650F3" w:rsidRDefault="00D76825" w:rsidP="001E300C">
      <w:pPr>
        <w:pStyle w:val="ACMABodyText"/>
        <w:rPr>
          <w:rFonts w:ascii="Times New Roman" w:eastAsiaTheme="minorHAnsi" w:hAnsi="Times New Roman" w:cs="Times New Roman"/>
          <w:sz w:val="22"/>
          <w:szCs w:val="22"/>
        </w:rPr>
      </w:pPr>
      <w:r w:rsidRPr="00F650F3">
        <w:rPr>
          <w:rFonts w:ascii="Times New Roman" w:eastAsiaTheme="minorHAnsi" w:hAnsi="Times New Roman" w:cs="Times New Roman"/>
          <w:sz w:val="22"/>
          <w:szCs w:val="22"/>
        </w:rPr>
        <w:lastRenderedPageBreak/>
        <w:t>If an applicant does not nominate its preferred lots by the preference deadline</w:t>
      </w:r>
      <w:r w:rsidR="00A337C8">
        <w:rPr>
          <w:rFonts w:ascii="Times New Roman" w:eastAsiaTheme="minorHAnsi" w:hAnsi="Times New Roman" w:cs="Times New Roman"/>
          <w:sz w:val="22"/>
          <w:szCs w:val="22"/>
        </w:rPr>
        <w:t xml:space="preserve"> or </w:t>
      </w:r>
      <w:proofErr w:type="gramStart"/>
      <w:r w:rsidR="00A337C8">
        <w:rPr>
          <w:rFonts w:ascii="Times New Roman" w:eastAsiaTheme="minorHAnsi" w:hAnsi="Times New Roman" w:cs="Times New Roman"/>
          <w:sz w:val="22"/>
          <w:szCs w:val="22"/>
        </w:rPr>
        <w:t>its</w:t>
      </w:r>
      <w:proofErr w:type="gramEnd"/>
      <w:r w:rsidR="00A337C8">
        <w:rPr>
          <w:rFonts w:ascii="Times New Roman" w:eastAsiaTheme="minorHAnsi" w:hAnsi="Times New Roman" w:cs="Times New Roman"/>
          <w:sz w:val="22"/>
          <w:szCs w:val="22"/>
        </w:rPr>
        <w:t xml:space="preserve"> subject to allocation limits for the 5 MHz lot as </w:t>
      </w:r>
      <w:r w:rsidR="00BE7184">
        <w:rPr>
          <w:rFonts w:ascii="Times New Roman" w:eastAsiaTheme="minorHAnsi" w:hAnsi="Times New Roman" w:cs="Times New Roman"/>
          <w:sz w:val="22"/>
          <w:szCs w:val="22"/>
        </w:rPr>
        <w:t>set out</w:t>
      </w:r>
      <w:r w:rsidR="00A337C8">
        <w:rPr>
          <w:rFonts w:ascii="Times New Roman" w:eastAsiaTheme="minorHAnsi" w:hAnsi="Times New Roman" w:cs="Times New Roman"/>
          <w:sz w:val="22"/>
          <w:szCs w:val="22"/>
        </w:rPr>
        <w:t xml:space="preserve"> in subsection 37(</w:t>
      </w:r>
      <w:r w:rsidR="00BE7184">
        <w:rPr>
          <w:rFonts w:ascii="Times New Roman" w:eastAsiaTheme="minorHAnsi" w:hAnsi="Times New Roman" w:cs="Times New Roman"/>
          <w:sz w:val="22"/>
          <w:szCs w:val="22"/>
        </w:rPr>
        <w:t>4</w:t>
      </w:r>
      <w:r w:rsidR="00A337C8">
        <w:rPr>
          <w:rFonts w:ascii="Times New Roman" w:eastAsiaTheme="minorHAnsi" w:hAnsi="Times New Roman" w:cs="Times New Roman"/>
          <w:sz w:val="22"/>
          <w:szCs w:val="22"/>
        </w:rPr>
        <w:t>)</w:t>
      </w:r>
      <w:r w:rsidRPr="00F650F3">
        <w:rPr>
          <w:rFonts w:ascii="Times New Roman" w:eastAsiaTheme="minorHAnsi" w:hAnsi="Times New Roman" w:cs="Times New Roman"/>
          <w:sz w:val="22"/>
          <w:szCs w:val="22"/>
        </w:rPr>
        <w:t xml:space="preserve">, the applicant is taken to have withdrawn its application. The ACMA must tell an applicant in writing if it is taken to have withdrawn its application under subsection </w:t>
      </w:r>
      <w:r w:rsidR="00C139D6" w:rsidRPr="00F650F3">
        <w:rPr>
          <w:rFonts w:ascii="Times New Roman" w:eastAsiaTheme="minorHAnsi" w:hAnsi="Times New Roman" w:cs="Times New Roman"/>
          <w:sz w:val="22"/>
          <w:szCs w:val="22"/>
        </w:rPr>
        <w:t>37</w:t>
      </w:r>
      <w:r w:rsidRPr="00F650F3">
        <w:rPr>
          <w:rFonts w:ascii="Times New Roman" w:eastAsiaTheme="minorHAnsi" w:hAnsi="Times New Roman" w:cs="Times New Roman"/>
          <w:sz w:val="22"/>
          <w:szCs w:val="22"/>
        </w:rPr>
        <w:t>(</w:t>
      </w:r>
      <w:r w:rsidR="00A21F1D">
        <w:rPr>
          <w:rFonts w:ascii="Times New Roman" w:eastAsiaTheme="minorHAnsi" w:hAnsi="Times New Roman" w:cs="Times New Roman"/>
          <w:sz w:val="22"/>
          <w:szCs w:val="22"/>
        </w:rPr>
        <w:t>6</w:t>
      </w:r>
      <w:r w:rsidRPr="00F650F3">
        <w:rPr>
          <w:rFonts w:ascii="Times New Roman" w:eastAsiaTheme="minorHAnsi" w:hAnsi="Times New Roman" w:cs="Times New Roman"/>
          <w:sz w:val="22"/>
          <w:szCs w:val="22"/>
        </w:rPr>
        <w:t>).</w:t>
      </w:r>
    </w:p>
    <w:p w14:paraId="6928F9EE" w14:textId="2DE07D07" w:rsidR="00603AB1" w:rsidRPr="00061930" w:rsidRDefault="00603AB1" w:rsidP="00061930">
      <w:pPr>
        <w:keepNext/>
        <w:spacing w:after="160" w:line="259" w:lineRule="auto"/>
        <w:rPr>
          <w:rFonts w:eastAsiaTheme="minorHAnsi"/>
          <w:b/>
          <w:sz w:val="22"/>
          <w:szCs w:val="22"/>
          <w:lang w:eastAsia="en-US"/>
        </w:rPr>
      </w:pPr>
      <w:r w:rsidRPr="00061930">
        <w:rPr>
          <w:rFonts w:eastAsiaTheme="minorHAnsi"/>
          <w:b/>
          <w:sz w:val="22"/>
          <w:szCs w:val="22"/>
          <w:lang w:eastAsia="en-US"/>
        </w:rPr>
        <w:t xml:space="preserve">Section </w:t>
      </w:r>
      <w:r w:rsidR="00205CD6" w:rsidRPr="00061930">
        <w:rPr>
          <w:rFonts w:eastAsiaTheme="minorHAnsi"/>
          <w:b/>
          <w:sz w:val="22"/>
          <w:szCs w:val="22"/>
          <w:lang w:eastAsia="en-US"/>
        </w:rPr>
        <w:t>3</w:t>
      </w:r>
      <w:r w:rsidR="00C139D6" w:rsidRPr="00061930">
        <w:rPr>
          <w:rFonts w:eastAsiaTheme="minorHAnsi"/>
          <w:b/>
          <w:sz w:val="22"/>
          <w:szCs w:val="22"/>
          <w:lang w:eastAsia="en-US"/>
        </w:rPr>
        <w:t>8</w:t>
      </w:r>
      <w:r w:rsidRPr="00061930">
        <w:rPr>
          <w:rFonts w:eastAsiaTheme="minorHAnsi"/>
          <w:b/>
          <w:sz w:val="22"/>
          <w:szCs w:val="22"/>
          <w:lang w:eastAsia="en-US"/>
        </w:rPr>
        <w:tab/>
      </w:r>
      <w:r w:rsidR="00296C9F" w:rsidRPr="00061930">
        <w:rPr>
          <w:rFonts w:eastAsiaTheme="minorHAnsi"/>
          <w:b/>
          <w:sz w:val="22"/>
          <w:szCs w:val="22"/>
          <w:lang w:eastAsia="en-US"/>
        </w:rPr>
        <w:t>Deposit</w:t>
      </w:r>
      <w:r w:rsidR="00A75624" w:rsidRPr="00061930">
        <w:rPr>
          <w:rFonts w:eastAsiaTheme="minorHAnsi"/>
          <w:b/>
          <w:sz w:val="22"/>
          <w:szCs w:val="22"/>
          <w:lang w:eastAsia="en-US"/>
        </w:rPr>
        <w:t xml:space="preserve"> </w:t>
      </w:r>
      <w:r w:rsidRPr="00061930">
        <w:rPr>
          <w:rFonts w:eastAsiaTheme="minorHAnsi"/>
          <w:b/>
          <w:sz w:val="22"/>
          <w:szCs w:val="22"/>
          <w:lang w:eastAsia="en-US"/>
        </w:rPr>
        <w:t xml:space="preserve">or deed of financial security required </w:t>
      </w:r>
    </w:p>
    <w:p w14:paraId="69EC81F9" w14:textId="546FAD8A" w:rsidR="003B294C" w:rsidRDefault="00603AB1" w:rsidP="001E300C">
      <w:pPr>
        <w:pStyle w:val="ACMABodyText"/>
        <w:rPr>
          <w:rFonts w:ascii="Times New Roman" w:eastAsiaTheme="minorHAnsi" w:hAnsi="Times New Roman" w:cs="Times New Roman"/>
          <w:sz w:val="22"/>
          <w:szCs w:val="22"/>
        </w:rPr>
      </w:pPr>
      <w:r w:rsidRPr="00061930">
        <w:rPr>
          <w:rFonts w:ascii="Times New Roman" w:eastAsiaTheme="minorHAnsi" w:hAnsi="Times New Roman" w:cs="Times New Roman"/>
          <w:sz w:val="22"/>
          <w:szCs w:val="22"/>
        </w:rPr>
        <w:t xml:space="preserve">An applicant </w:t>
      </w:r>
      <w:r w:rsidR="003B294C">
        <w:rPr>
          <w:rFonts w:ascii="Times New Roman" w:eastAsiaTheme="minorHAnsi" w:hAnsi="Times New Roman" w:cs="Times New Roman"/>
          <w:sz w:val="22"/>
          <w:szCs w:val="22"/>
        </w:rPr>
        <w:t>must</w:t>
      </w:r>
      <w:r w:rsidRPr="00061930">
        <w:rPr>
          <w:rFonts w:ascii="Times New Roman" w:eastAsiaTheme="minorHAnsi" w:hAnsi="Times New Roman" w:cs="Times New Roman"/>
          <w:sz w:val="22"/>
          <w:szCs w:val="22"/>
        </w:rPr>
        <w:t xml:space="preserve"> </w:t>
      </w:r>
      <w:r w:rsidR="003B294C">
        <w:rPr>
          <w:rFonts w:ascii="Times New Roman" w:eastAsiaTheme="minorHAnsi" w:hAnsi="Times New Roman" w:cs="Times New Roman"/>
          <w:sz w:val="22"/>
          <w:szCs w:val="22"/>
        </w:rPr>
        <w:t>pay</w:t>
      </w:r>
      <w:r w:rsidRPr="00061930">
        <w:rPr>
          <w:rFonts w:ascii="Times New Roman" w:eastAsiaTheme="minorHAnsi" w:hAnsi="Times New Roman" w:cs="Times New Roman"/>
          <w:sz w:val="22"/>
          <w:szCs w:val="22"/>
        </w:rPr>
        <w:t xml:space="preserve"> a </w:t>
      </w:r>
      <w:r w:rsidR="00A75624" w:rsidRPr="00061930">
        <w:rPr>
          <w:rFonts w:ascii="Times New Roman" w:eastAsiaTheme="minorHAnsi" w:hAnsi="Times New Roman" w:cs="Times New Roman"/>
          <w:sz w:val="22"/>
          <w:szCs w:val="22"/>
        </w:rPr>
        <w:t>deposit or</w:t>
      </w:r>
      <w:r w:rsidRPr="00061930">
        <w:rPr>
          <w:rFonts w:ascii="Times New Roman" w:eastAsiaTheme="minorHAnsi" w:hAnsi="Times New Roman" w:cs="Times New Roman"/>
          <w:sz w:val="22"/>
          <w:szCs w:val="22"/>
        </w:rPr>
        <w:t xml:space="preserve"> provid</w:t>
      </w:r>
      <w:r w:rsidR="003B294C">
        <w:rPr>
          <w:rFonts w:ascii="Times New Roman" w:eastAsiaTheme="minorHAnsi" w:hAnsi="Times New Roman" w:cs="Times New Roman"/>
          <w:sz w:val="22"/>
          <w:szCs w:val="22"/>
        </w:rPr>
        <w:t>e</w:t>
      </w:r>
      <w:r w:rsidRPr="00061930">
        <w:rPr>
          <w:rFonts w:ascii="Times New Roman" w:eastAsiaTheme="minorHAnsi" w:hAnsi="Times New Roman" w:cs="Times New Roman"/>
          <w:sz w:val="22"/>
          <w:szCs w:val="22"/>
        </w:rPr>
        <w:t xml:space="preserve"> a deed of financial security</w:t>
      </w:r>
      <w:r w:rsidR="00CD52D8" w:rsidRPr="00061930">
        <w:rPr>
          <w:rFonts w:ascii="Times New Roman" w:eastAsiaTheme="minorHAnsi" w:hAnsi="Times New Roman" w:cs="Times New Roman"/>
          <w:sz w:val="22"/>
          <w:szCs w:val="22"/>
        </w:rPr>
        <w:t>, or a combination of both,</w:t>
      </w:r>
      <w:r w:rsidRPr="00061930">
        <w:rPr>
          <w:rFonts w:ascii="Times New Roman" w:eastAsiaTheme="minorHAnsi" w:hAnsi="Times New Roman" w:cs="Times New Roman"/>
          <w:sz w:val="22"/>
          <w:szCs w:val="22"/>
        </w:rPr>
        <w:t xml:space="preserve"> to the ACMA by the </w:t>
      </w:r>
      <w:r w:rsidR="005E6FD1" w:rsidRPr="00061930">
        <w:rPr>
          <w:rFonts w:ascii="Times New Roman" w:eastAsiaTheme="minorHAnsi" w:hAnsi="Times New Roman" w:cs="Times New Roman"/>
          <w:sz w:val="22"/>
          <w:szCs w:val="22"/>
        </w:rPr>
        <w:t>preference</w:t>
      </w:r>
      <w:r w:rsidRPr="00061930">
        <w:rPr>
          <w:rFonts w:ascii="Times New Roman" w:eastAsiaTheme="minorHAnsi" w:hAnsi="Times New Roman" w:cs="Times New Roman"/>
          <w:sz w:val="22"/>
          <w:szCs w:val="22"/>
        </w:rPr>
        <w:t xml:space="preserve"> deadline.</w:t>
      </w:r>
      <w:r w:rsidR="00A21F1D">
        <w:rPr>
          <w:rFonts w:ascii="Times New Roman" w:eastAsiaTheme="minorHAnsi" w:hAnsi="Times New Roman" w:cs="Times New Roman"/>
          <w:sz w:val="22"/>
          <w:szCs w:val="22"/>
        </w:rPr>
        <w:t xml:space="preserve"> </w:t>
      </w:r>
      <w:r w:rsidRPr="00061930">
        <w:rPr>
          <w:rFonts w:ascii="Times New Roman" w:eastAsiaTheme="minorHAnsi" w:hAnsi="Times New Roman" w:cs="Times New Roman"/>
          <w:sz w:val="22"/>
          <w:szCs w:val="22"/>
        </w:rPr>
        <w:t xml:space="preserve"> </w:t>
      </w:r>
      <w:r w:rsidR="005320EA" w:rsidRPr="00061930">
        <w:rPr>
          <w:rFonts w:ascii="Times New Roman" w:eastAsiaTheme="minorHAnsi" w:hAnsi="Times New Roman" w:cs="Times New Roman"/>
          <w:sz w:val="22"/>
          <w:szCs w:val="22"/>
        </w:rPr>
        <w:t xml:space="preserve">The amount </w:t>
      </w:r>
      <w:r w:rsidR="003B294C">
        <w:rPr>
          <w:rFonts w:ascii="Times New Roman" w:eastAsiaTheme="minorHAnsi" w:hAnsi="Times New Roman" w:cs="Times New Roman"/>
          <w:sz w:val="22"/>
          <w:szCs w:val="22"/>
        </w:rPr>
        <w:t>to be secured</w:t>
      </w:r>
      <w:r w:rsidR="005320EA" w:rsidRPr="00061930">
        <w:rPr>
          <w:rFonts w:ascii="Times New Roman" w:eastAsiaTheme="minorHAnsi" w:hAnsi="Times New Roman" w:cs="Times New Roman"/>
          <w:sz w:val="22"/>
          <w:szCs w:val="22"/>
        </w:rPr>
        <w:t>, in relation to an applicant, is</w:t>
      </w:r>
      <w:r w:rsidR="003B294C">
        <w:rPr>
          <w:rFonts w:ascii="Times New Roman" w:eastAsiaTheme="minorHAnsi" w:hAnsi="Times New Roman" w:cs="Times New Roman"/>
          <w:sz w:val="22"/>
          <w:szCs w:val="22"/>
        </w:rPr>
        <w:t>:</w:t>
      </w:r>
    </w:p>
    <w:p w14:paraId="2AA0658B" w14:textId="4F3F2FE3" w:rsidR="003B294C" w:rsidRDefault="003B294C" w:rsidP="003B294C">
      <w:pPr>
        <w:pStyle w:val="ACMABodyText"/>
        <w:numPr>
          <w:ilvl w:val="0"/>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if the applicant nominated only the 5 MHz lot as its preferred lot</w:t>
      </w:r>
      <w:r w:rsidR="003A2B74">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 xml:space="preserve">– </w:t>
      </w:r>
      <w:r w:rsidR="005320EA" w:rsidRPr="00061930">
        <w:rPr>
          <w:rFonts w:ascii="Times New Roman" w:eastAsiaTheme="minorHAnsi" w:hAnsi="Times New Roman" w:cs="Times New Roman"/>
          <w:sz w:val="22"/>
          <w:szCs w:val="22"/>
        </w:rPr>
        <w:t>10 per</w:t>
      </w:r>
      <w:r>
        <w:rPr>
          <w:rFonts w:ascii="Times New Roman" w:eastAsiaTheme="minorHAnsi" w:hAnsi="Times New Roman" w:cs="Times New Roman"/>
          <w:sz w:val="22"/>
          <w:szCs w:val="22"/>
        </w:rPr>
        <w:t xml:space="preserve"> </w:t>
      </w:r>
      <w:r w:rsidR="005320EA" w:rsidRPr="00061930">
        <w:rPr>
          <w:rFonts w:ascii="Times New Roman" w:eastAsiaTheme="minorHAnsi" w:hAnsi="Times New Roman" w:cs="Times New Roman"/>
          <w:sz w:val="22"/>
          <w:szCs w:val="22"/>
        </w:rPr>
        <w:t xml:space="preserve">cent of the starting price of the </w:t>
      </w:r>
      <w:r>
        <w:rPr>
          <w:rFonts w:ascii="Times New Roman" w:eastAsiaTheme="minorHAnsi" w:hAnsi="Times New Roman" w:cs="Times New Roman"/>
          <w:sz w:val="22"/>
          <w:szCs w:val="22"/>
        </w:rPr>
        <w:t>5 MHz lot; or</w:t>
      </w:r>
    </w:p>
    <w:p w14:paraId="3201313A" w14:textId="5A5C7F0E" w:rsidR="005320EA" w:rsidRPr="00A21F1D" w:rsidRDefault="003B294C" w:rsidP="003B294C">
      <w:pPr>
        <w:pStyle w:val="ACMABodyText"/>
        <w:numPr>
          <w:ilvl w:val="0"/>
          <w:numId w:val="4"/>
        </w:numPr>
        <w:rPr>
          <w:rFonts w:ascii="Times New Roman" w:eastAsiaTheme="minorHAnsi" w:hAnsi="Times New Roman" w:cs="Times New Roman"/>
          <w:sz w:val="22"/>
          <w:szCs w:val="22"/>
        </w:rPr>
      </w:pPr>
      <w:proofErr w:type="gramStart"/>
      <w:r w:rsidRPr="00A21F1D">
        <w:rPr>
          <w:rFonts w:ascii="Times New Roman" w:eastAsiaTheme="minorHAnsi" w:hAnsi="Times New Roman" w:cs="Times New Roman"/>
          <w:sz w:val="22"/>
          <w:szCs w:val="22"/>
        </w:rPr>
        <w:t>if</w:t>
      </w:r>
      <w:proofErr w:type="gramEnd"/>
      <w:r w:rsidRPr="00A21F1D">
        <w:rPr>
          <w:rFonts w:ascii="Times New Roman" w:eastAsiaTheme="minorHAnsi" w:hAnsi="Times New Roman" w:cs="Times New Roman"/>
          <w:sz w:val="22"/>
          <w:szCs w:val="22"/>
        </w:rPr>
        <w:t xml:space="preserve"> the applicant nominated only the 10 MHz lot, or both the 5 MHz lot and the 10 MHz lot, as its preferred lot – 10 per cent of the starting price of the 10 MHz lot</w:t>
      </w:r>
      <w:r w:rsidR="005320EA" w:rsidRPr="00A21F1D">
        <w:rPr>
          <w:rFonts w:ascii="Times New Roman" w:eastAsiaTheme="minorHAnsi" w:hAnsi="Times New Roman" w:cs="Times New Roman"/>
          <w:sz w:val="22"/>
          <w:szCs w:val="22"/>
        </w:rPr>
        <w:t>.</w:t>
      </w:r>
    </w:p>
    <w:p w14:paraId="4FF15C45" w14:textId="4272A06F" w:rsidR="00154C30" w:rsidRPr="005C338A" w:rsidRDefault="00603AB1" w:rsidP="001E300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A situation may arise where the amount provided to the ACMA by an applicant as security</w:t>
      </w:r>
      <w:r w:rsidR="00154C30" w:rsidRPr="005C338A">
        <w:rPr>
          <w:rFonts w:ascii="Times New Roman" w:eastAsiaTheme="minorHAnsi" w:hAnsi="Times New Roman" w:cs="Times New Roman"/>
          <w:sz w:val="22"/>
          <w:szCs w:val="22"/>
        </w:rPr>
        <w:t xml:space="preserve"> at the preference nomination </w:t>
      </w:r>
      <w:r w:rsidR="00025BFE" w:rsidRPr="005C338A">
        <w:rPr>
          <w:rFonts w:ascii="Times New Roman" w:eastAsiaTheme="minorHAnsi" w:hAnsi="Times New Roman" w:cs="Times New Roman"/>
          <w:sz w:val="22"/>
          <w:szCs w:val="22"/>
        </w:rPr>
        <w:t>deadline</w:t>
      </w:r>
      <w:r w:rsidR="00154C30"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is less than the amount that is due based on the </w:t>
      </w:r>
      <w:r w:rsidR="004B711E" w:rsidRPr="005C338A">
        <w:rPr>
          <w:rFonts w:ascii="Times New Roman" w:eastAsiaTheme="minorHAnsi" w:hAnsi="Times New Roman" w:cs="Times New Roman"/>
          <w:sz w:val="22"/>
          <w:szCs w:val="22"/>
        </w:rPr>
        <w:t>lots</w:t>
      </w:r>
      <w:r w:rsidRPr="005C338A">
        <w:rPr>
          <w:rFonts w:ascii="Times New Roman" w:eastAsiaTheme="minorHAnsi" w:hAnsi="Times New Roman" w:cs="Times New Roman"/>
          <w:sz w:val="22"/>
          <w:szCs w:val="22"/>
        </w:rPr>
        <w:t xml:space="preserve"> that an applicant has </w:t>
      </w:r>
      <w:r w:rsidR="004B711E" w:rsidRPr="005C338A">
        <w:rPr>
          <w:rFonts w:ascii="Times New Roman" w:eastAsiaTheme="minorHAnsi" w:hAnsi="Times New Roman" w:cs="Times New Roman"/>
          <w:sz w:val="22"/>
          <w:szCs w:val="22"/>
        </w:rPr>
        <w:t xml:space="preserve">nominated </w:t>
      </w:r>
      <w:r w:rsidRPr="005C338A">
        <w:rPr>
          <w:rFonts w:ascii="Times New Roman" w:eastAsiaTheme="minorHAnsi" w:hAnsi="Times New Roman" w:cs="Times New Roman"/>
          <w:sz w:val="22"/>
          <w:szCs w:val="22"/>
        </w:rPr>
        <w:t xml:space="preserve">in their </w:t>
      </w:r>
      <w:r w:rsidR="005E6FD1" w:rsidRPr="005C338A">
        <w:rPr>
          <w:rFonts w:ascii="Times New Roman" w:eastAsiaTheme="minorHAnsi" w:hAnsi="Times New Roman" w:cs="Times New Roman"/>
          <w:sz w:val="22"/>
          <w:szCs w:val="22"/>
        </w:rPr>
        <w:t>preference</w:t>
      </w:r>
      <w:r w:rsidRPr="005C338A">
        <w:rPr>
          <w:rFonts w:ascii="Times New Roman" w:eastAsiaTheme="minorHAnsi" w:hAnsi="Times New Roman" w:cs="Times New Roman"/>
          <w:sz w:val="22"/>
          <w:szCs w:val="22"/>
        </w:rPr>
        <w:t xml:space="preserve"> nomination form.</w:t>
      </w:r>
      <w:r w:rsidR="00354454"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 Applicants </w:t>
      </w:r>
      <w:r w:rsidR="00154C30" w:rsidRPr="005C338A">
        <w:rPr>
          <w:rFonts w:ascii="Times New Roman" w:eastAsiaTheme="minorHAnsi" w:hAnsi="Times New Roman" w:cs="Times New Roman"/>
          <w:sz w:val="22"/>
          <w:szCs w:val="22"/>
        </w:rPr>
        <w:t xml:space="preserve">have </w:t>
      </w:r>
      <w:r w:rsidR="00354454" w:rsidRPr="005C338A">
        <w:rPr>
          <w:rFonts w:ascii="Times New Roman" w:eastAsiaTheme="minorHAnsi" w:hAnsi="Times New Roman" w:cs="Times New Roman"/>
          <w:sz w:val="22"/>
          <w:szCs w:val="22"/>
        </w:rPr>
        <w:t>three</w:t>
      </w:r>
      <w:r w:rsidR="00154C30" w:rsidRPr="005C338A">
        <w:rPr>
          <w:rFonts w:ascii="Times New Roman" w:eastAsiaTheme="minorHAnsi" w:hAnsi="Times New Roman" w:cs="Times New Roman"/>
          <w:sz w:val="22"/>
          <w:szCs w:val="22"/>
        </w:rPr>
        <w:t xml:space="preserve"> working days to</w:t>
      </w:r>
      <w:r w:rsidRPr="005C338A">
        <w:rPr>
          <w:rFonts w:ascii="Times New Roman" w:eastAsiaTheme="minorHAnsi" w:hAnsi="Times New Roman" w:cs="Times New Roman"/>
          <w:sz w:val="22"/>
          <w:szCs w:val="22"/>
        </w:rPr>
        <w:t xml:space="preserve"> provide the ACMA with </w:t>
      </w:r>
      <w:r w:rsidR="003B294C" w:rsidRPr="005C338A">
        <w:rPr>
          <w:rFonts w:ascii="Times New Roman" w:eastAsiaTheme="minorHAnsi" w:hAnsi="Times New Roman" w:cs="Times New Roman"/>
          <w:sz w:val="22"/>
          <w:szCs w:val="22"/>
        </w:rPr>
        <w:t xml:space="preserve">an </w:t>
      </w:r>
      <w:r w:rsidRPr="005C338A">
        <w:rPr>
          <w:rFonts w:ascii="Times New Roman" w:eastAsiaTheme="minorHAnsi" w:hAnsi="Times New Roman" w:cs="Times New Roman"/>
          <w:sz w:val="22"/>
          <w:szCs w:val="22"/>
        </w:rPr>
        <w:t xml:space="preserve">additional </w:t>
      </w:r>
      <w:r w:rsidR="00154C30" w:rsidRPr="005C338A">
        <w:rPr>
          <w:rFonts w:ascii="Times New Roman" w:eastAsiaTheme="minorHAnsi" w:hAnsi="Times New Roman" w:cs="Times New Roman"/>
          <w:sz w:val="22"/>
          <w:szCs w:val="22"/>
        </w:rPr>
        <w:t xml:space="preserve">deposit or </w:t>
      </w:r>
      <w:r w:rsidR="00541818" w:rsidRPr="005C338A">
        <w:rPr>
          <w:rFonts w:ascii="Times New Roman" w:eastAsiaTheme="minorHAnsi" w:hAnsi="Times New Roman" w:cs="Times New Roman"/>
          <w:sz w:val="22"/>
          <w:szCs w:val="22"/>
        </w:rPr>
        <w:t xml:space="preserve">deed of financial </w:t>
      </w:r>
      <w:r w:rsidRPr="005C338A">
        <w:rPr>
          <w:rFonts w:ascii="Times New Roman" w:eastAsiaTheme="minorHAnsi" w:hAnsi="Times New Roman" w:cs="Times New Roman"/>
          <w:sz w:val="22"/>
          <w:szCs w:val="22"/>
        </w:rPr>
        <w:t>security to make up the balance to secure the number</w:t>
      </w:r>
      <w:r w:rsidR="008B4336" w:rsidRPr="005C338A">
        <w:rPr>
          <w:rFonts w:ascii="Times New Roman" w:eastAsiaTheme="minorHAnsi" w:hAnsi="Times New Roman" w:cs="Times New Roman"/>
          <w:sz w:val="22"/>
          <w:szCs w:val="22"/>
        </w:rPr>
        <w:t xml:space="preserve"> of</w:t>
      </w:r>
      <w:r w:rsidRPr="005C338A">
        <w:rPr>
          <w:rFonts w:ascii="Times New Roman" w:eastAsiaTheme="minorHAnsi" w:hAnsi="Times New Roman" w:cs="Times New Roman"/>
          <w:sz w:val="22"/>
          <w:szCs w:val="22"/>
        </w:rPr>
        <w:t xml:space="preserve"> </w:t>
      </w:r>
      <w:r w:rsidR="00154C30" w:rsidRPr="005C338A">
        <w:rPr>
          <w:rFonts w:ascii="Times New Roman" w:eastAsiaTheme="minorHAnsi" w:hAnsi="Times New Roman" w:cs="Times New Roman"/>
          <w:sz w:val="22"/>
          <w:szCs w:val="22"/>
        </w:rPr>
        <w:t xml:space="preserve">preferred lots that </w:t>
      </w:r>
      <w:r w:rsidRPr="005C338A">
        <w:rPr>
          <w:rFonts w:ascii="Times New Roman" w:eastAsiaTheme="minorHAnsi" w:hAnsi="Times New Roman" w:cs="Times New Roman"/>
          <w:sz w:val="22"/>
          <w:szCs w:val="22"/>
        </w:rPr>
        <w:t>they have nominated.</w:t>
      </w:r>
      <w:r w:rsidR="00354454"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 However, if such an underpayment exists after th</w:t>
      </w:r>
      <w:r w:rsidR="00354454" w:rsidRPr="005C338A">
        <w:rPr>
          <w:rFonts w:ascii="Times New Roman" w:eastAsiaTheme="minorHAnsi" w:hAnsi="Times New Roman" w:cs="Times New Roman"/>
          <w:sz w:val="22"/>
          <w:szCs w:val="22"/>
        </w:rPr>
        <w:t>is three working day</w:t>
      </w:r>
      <w:r w:rsidR="00781FA5" w:rsidRPr="005C338A">
        <w:rPr>
          <w:rFonts w:ascii="Times New Roman" w:eastAsiaTheme="minorHAnsi" w:hAnsi="Times New Roman" w:cs="Times New Roman"/>
          <w:sz w:val="22"/>
          <w:szCs w:val="22"/>
        </w:rPr>
        <w:t xml:space="preserve"> </w:t>
      </w:r>
      <w:r w:rsidR="00354454" w:rsidRPr="005C338A">
        <w:rPr>
          <w:rFonts w:ascii="Times New Roman" w:eastAsiaTheme="minorHAnsi" w:hAnsi="Times New Roman" w:cs="Times New Roman"/>
          <w:sz w:val="22"/>
          <w:szCs w:val="22"/>
        </w:rPr>
        <w:t>period</w:t>
      </w:r>
      <w:r w:rsidRPr="005C338A">
        <w:rPr>
          <w:rFonts w:ascii="Times New Roman" w:eastAsiaTheme="minorHAnsi" w:hAnsi="Times New Roman" w:cs="Times New Roman"/>
          <w:sz w:val="22"/>
          <w:szCs w:val="22"/>
        </w:rPr>
        <w:t xml:space="preserve">, then </w:t>
      </w:r>
      <w:r w:rsidR="00154C30" w:rsidRPr="005C338A">
        <w:rPr>
          <w:rFonts w:ascii="Times New Roman" w:eastAsiaTheme="minorHAnsi" w:hAnsi="Times New Roman" w:cs="Times New Roman"/>
          <w:sz w:val="22"/>
          <w:szCs w:val="22"/>
        </w:rPr>
        <w:t xml:space="preserve">the applicant’s preferred lots are worked out by the ACMA </w:t>
      </w:r>
      <w:r w:rsidR="003B294C" w:rsidRPr="005C338A">
        <w:rPr>
          <w:rFonts w:ascii="Times New Roman" w:eastAsiaTheme="minorHAnsi" w:hAnsi="Times New Roman" w:cs="Times New Roman"/>
          <w:sz w:val="22"/>
          <w:szCs w:val="22"/>
        </w:rPr>
        <w:t>as follows:</w:t>
      </w:r>
    </w:p>
    <w:p w14:paraId="13A86400" w14:textId="5FE36930" w:rsidR="001E300C" w:rsidRPr="005C338A" w:rsidRDefault="00A21F1D" w:rsidP="003B294C">
      <w:pPr>
        <w:pStyle w:val="ACMABodyText"/>
        <w:numPr>
          <w:ilvl w:val="0"/>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i</w:t>
      </w:r>
      <w:r w:rsidR="005320EA" w:rsidRPr="005C338A">
        <w:rPr>
          <w:rFonts w:ascii="Times New Roman" w:eastAsiaTheme="minorHAnsi" w:hAnsi="Times New Roman" w:cs="Times New Roman"/>
          <w:sz w:val="22"/>
          <w:szCs w:val="22"/>
        </w:rPr>
        <w:t>f the applicant has nominated only one lot as its preferred lot – the applicant is taken to have withdrawn its application</w:t>
      </w:r>
      <w:r>
        <w:rPr>
          <w:rFonts w:ascii="Times New Roman" w:eastAsiaTheme="minorHAnsi" w:hAnsi="Times New Roman" w:cs="Times New Roman"/>
          <w:sz w:val="22"/>
          <w:szCs w:val="22"/>
        </w:rPr>
        <w:t>;</w:t>
      </w:r>
      <w:r w:rsidR="005320EA" w:rsidRPr="005C338A">
        <w:rPr>
          <w:rFonts w:ascii="Times New Roman" w:eastAsiaTheme="minorHAnsi" w:hAnsi="Times New Roman" w:cs="Times New Roman"/>
          <w:sz w:val="22"/>
          <w:szCs w:val="22"/>
        </w:rPr>
        <w:t xml:space="preserve"> </w:t>
      </w:r>
    </w:p>
    <w:p w14:paraId="0E2B2586" w14:textId="70F6FB3F" w:rsidR="003B294C" w:rsidRPr="005C338A" w:rsidRDefault="00A21F1D" w:rsidP="003B294C">
      <w:pPr>
        <w:pStyle w:val="ACMABodyText"/>
        <w:numPr>
          <w:ilvl w:val="0"/>
          <w:numId w:val="4"/>
        </w:numPr>
        <w:rPr>
          <w:rFonts w:ascii="Times New Roman" w:eastAsiaTheme="minorHAnsi" w:hAnsi="Times New Roman" w:cs="Times New Roman"/>
          <w:sz w:val="22"/>
          <w:szCs w:val="22"/>
        </w:rPr>
      </w:pPr>
      <w:r>
        <w:rPr>
          <w:rFonts w:ascii="Times New Roman" w:eastAsiaTheme="minorHAnsi" w:hAnsi="Times New Roman" w:cs="Times New Roman"/>
          <w:sz w:val="22"/>
          <w:szCs w:val="22"/>
        </w:rPr>
        <w:t>i</w:t>
      </w:r>
      <w:r w:rsidR="005320EA" w:rsidRPr="005C338A">
        <w:rPr>
          <w:rFonts w:ascii="Times New Roman" w:eastAsiaTheme="minorHAnsi" w:hAnsi="Times New Roman" w:cs="Times New Roman"/>
          <w:sz w:val="22"/>
          <w:szCs w:val="22"/>
        </w:rPr>
        <w:t>f</w:t>
      </w:r>
      <w:r w:rsidR="00AE3FC6" w:rsidRPr="005C338A">
        <w:rPr>
          <w:rFonts w:ascii="Times New Roman" w:eastAsiaTheme="minorHAnsi" w:hAnsi="Times New Roman" w:cs="Times New Roman"/>
          <w:sz w:val="22"/>
          <w:szCs w:val="22"/>
        </w:rPr>
        <w:t xml:space="preserve"> the </w:t>
      </w:r>
      <w:r w:rsidR="003B294C" w:rsidRPr="005C338A">
        <w:rPr>
          <w:rFonts w:ascii="Times New Roman" w:eastAsiaTheme="minorHAnsi" w:hAnsi="Times New Roman" w:cs="Times New Roman"/>
          <w:sz w:val="22"/>
          <w:szCs w:val="22"/>
        </w:rPr>
        <w:t>applicant nominated both lots,</w:t>
      </w:r>
      <w:r w:rsidR="00AE3FC6" w:rsidRPr="005C338A">
        <w:rPr>
          <w:rFonts w:ascii="Times New Roman" w:eastAsiaTheme="minorHAnsi" w:hAnsi="Times New Roman" w:cs="Times New Roman"/>
          <w:sz w:val="22"/>
          <w:szCs w:val="22"/>
        </w:rPr>
        <w:t xml:space="preserve"> and </w:t>
      </w:r>
      <w:r w:rsidR="005320EA" w:rsidRPr="005C338A">
        <w:rPr>
          <w:rFonts w:ascii="Times New Roman" w:eastAsiaTheme="minorHAnsi" w:hAnsi="Times New Roman" w:cs="Times New Roman"/>
          <w:sz w:val="22"/>
          <w:szCs w:val="22"/>
        </w:rPr>
        <w:t>10 per</w:t>
      </w:r>
      <w:r w:rsidR="003B294C" w:rsidRPr="005C338A">
        <w:rPr>
          <w:rFonts w:ascii="Times New Roman" w:eastAsiaTheme="minorHAnsi" w:hAnsi="Times New Roman" w:cs="Times New Roman"/>
          <w:sz w:val="22"/>
          <w:szCs w:val="22"/>
        </w:rPr>
        <w:t xml:space="preserve"> </w:t>
      </w:r>
      <w:r w:rsidR="005320EA" w:rsidRPr="005C338A">
        <w:rPr>
          <w:rFonts w:ascii="Times New Roman" w:eastAsiaTheme="minorHAnsi" w:hAnsi="Times New Roman" w:cs="Times New Roman"/>
          <w:sz w:val="22"/>
          <w:szCs w:val="22"/>
        </w:rPr>
        <w:t>cent of the starting price for the 5 MHz lot is equal to or less than the amount of the deposit paid or the deed of financial security given (or both)– the applicant is taken to have nominated only the 5 MHz lot as its preferred lot</w:t>
      </w:r>
      <w:r>
        <w:rPr>
          <w:rFonts w:ascii="Times New Roman" w:eastAsiaTheme="minorHAnsi" w:hAnsi="Times New Roman" w:cs="Times New Roman"/>
          <w:sz w:val="22"/>
          <w:szCs w:val="22"/>
        </w:rPr>
        <w:t>;</w:t>
      </w:r>
    </w:p>
    <w:p w14:paraId="52C4137D" w14:textId="4E118CFB" w:rsidR="005320EA" w:rsidRPr="005C338A" w:rsidRDefault="00A21F1D" w:rsidP="003B294C">
      <w:pPr>
        <w:pStyle w:val="ACMABodyText"/>
        <w:numPr>
          <w:ilvl w:val="0"/>
          <w:numId w:val="4"/>
        </w:numPr>
        <w:rPr>
          <w:rFonts w:ascii="Times New Roman" w:eastAsiaTheme="minorHAnsi" w:hAnsi="Times New Roman" w:cs="Times New Roman"/>
          <w:sz w:val="22"/>
          <w:szCs w:val="22"/>
        </w:rPr>
      </w:pPr>
      <w:proofErr w:type="gramStart"/>
      <w:r>
        <w:rPr>
          <w:rFonts w:ascii="Times New Roman" w:eastAsiaTheme="minorHAnsi" w:hAnsi="Times New Roman" w:cs="Times New Roman"/>
          <w:sz w:val="22"/>
          <w:szCs w:val="22"/>
        </w:rPr>
        <w:t>i</w:t>
      </w:r>
      <w:r w:rsidR="00AE3FC6" w:rsidRPr="005C338A">
        <w:rPr>
          <w:rFonts w:ascii="Times New Roman" w:eastAsiaTheme="minorHAnsi" w:hAnsi="Times New Roman" w:cs="Times New Roman"/>
          <w:sz w:val="22"/>
          <w:szCs w:val="22"/>
        </w:rPr>
        <w:t>n</w:t>
      </w:r>
      <w:proofErr w:type="gramEnd"/>
      <w:r w:rsidR="00AE3FC6" w:rsidRPr="005C338A">
        <w:rPr>
          <w:rFonts w:ascii="Times New Roman" w:eastAsiaTheme="minorHAnsi" w:hAnsi="Times New Roman" w:cs="Times New Roman"/>
          <w:sz w:val="22"/>
          <w:szCs w:val="22"/>
        </w:rPr>
        <w:t xml:space="preserve"> any other case, </w:t>
      </w:r>
      <w:r w:rsidR="005320EA" w:rsidRPr="005C338A">
        <w:rPr>
          <w:rFonts w:ascii="Times New Roman" w:eastAsiaTheme="minorHAnsi" w:hAnsi="Times New Roman" w:cs="Times New Roman"/>
          <w:sz w:val="22"/>
          <w:szCs w:val="22"/>
        </w:rPr>
        <w:t>the applicant is taken to have withdrawn its application.</w:t>
      </w:r>
    </w:p>
    <w:p w14:paraId="5E3CAC99" w14:textId="364BAFC4" w:rsidR="005320EA" w:rsidRPr="00061930" w:rsidRDefault="00AE3FC6" w:rsidP="001E300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The ACMA must tell an applicant in writing if it is taken to have withdrawn its application under subsection 38(4).</w:t>
      </w:r>
    </w:p>
    <w:p w14:paraId="1926C282" w14:textId="4ED65AC3" w:rsidR="00732346" w:rsidRPr="00061930" w:rsidRDefault="00732346" w:rsidP="00732346">
      <w:pPr>
        <w:pStyle w:val="ACMABodyText"/>
        <w:rPr>
          <w:rFonts w:ascii="Times New Roman" w:eastAsiaTheme="minorHAnsi" w:hAnsi="Times New Roman" w:cs="Times New Roman"/>
          <w:sz w:val="22"/>
          <w:szCs w:val="22"/>
        </w:rPr>
      </w:pPr>
      <w:r w:rsidRPr="00061930">
        <w:rPr>
          <w:rFonts w:ascii="Times New Roman" w:eastAsiaTheme="minorHAnsi" w:hAnsi="Times New Roman" w:cs="Times New Roman"/>
          <w:sz w:val="22"/>
          <w:szCs w:val="22"/>
        </w:rPr>
        <w:t xml:space="preserve">A deed of financial security </w:t>
      </w:r>
      <w:r w:rsidR="00354454">
        <w:rPr>
          <w:rFonts w:ascii="Times New Roman" w:eastAsiaTheme="minorHAnsi" w:hAnsi="Times New Roman" w:cs="Times New Roman"/>
          <w:sz w:val="22"/>
          <w:szCs w:val="22"/>
        </w:rPr>
        <w:t xml:space="preserve">given to the ACMA under section 38 </w:t>
      </w:r>
      <w:r w:rsidRPr="00061930">
        <w:rPr>
          <w:rFonts w:ascii="Times New Roman" w:eastAsiaTheme="minorHAnsi" w:hAnsi="Times New Roman" w:cs="Times New Roman"/>
          <w:sz w:val="22"/>
          <w:szCs w:val="22"/>
        </w:rPr>
        <w:t>must be executed by</w:t>
      </w:r>
      <w:r w:rsidR="003B294C">
        <w:rPr>
          <w:rFonts w:ascii="Times New Roman" w:eastAsiaTheme="minorHAnsi" w:hAnsi="Times New Roman" w:cs="Times New Roman"/>
          <w:sz w:val="22"/>
          <w:szCs w:val="22"/>
        </w:rPr>
        <w:t xml:space="preserve"> </w:t>
      </w:r>
      <w:r w:rsidRPr="00061930">
        <w:rPr>
          <w:rFonts w:ascii="Times New Roman" w:eastAsiaTheme="minorHAnsi" w:hAnsi="Times New Roman" w:cs="Times New Roman"/>
          <w:sz w:val="22"/>
          <w:szCs w:val="22"/>
        </w:rPr>
        <w:t xml:space="preserve">an </w:t>
      </w:r>
      <w:r w:rsidR="004A5E68" w:rsidRPr="00061930">
        <w:rPr>
          <w:rFonts w:ascii="Times New Roman" w:eastAsiaTheme="minorHAnsi" w:hAnsi="Times New Roman" w:cs="Times New Roman"/>
          <w:sz w:val="22"/>
          <w:szCs w:val="22"/>
        </w:rPr>
        <w:t xml:space="preserve">Australian-owned </w:t>
      </w:r>
      <w:r w:rsidRPr="00061930">
        <w:rPr>
          <w:rFonts w:ascii="Times New Roman" w:eastAsiaTheme="minorHAnsi" w:hAnsi="Times New Roman" w:cs="Times New Roman"/>
          <w:sz w:val="22"/>
          <w:szCs w:val="22"/>
        </w:rPr>
        <w:t xml:space="preserve">authorised deposit-taking institution within the meaning of the </w:t>
      </w:r>
      <w:r w:rsidRPr="00061930">
        <w:rPr>
          <w:rFonts w:ascii="Times New Roman" w:eastAsiaTheme="minorHAnsi" w:hAnsi="Times New Roman" w:cs="Times New Roman"/>
          <w:i/>
          <w:sz w:val="22"/>
          <w:szCs w:val="22"/>
        </w:rPr>
        <w:t>Banking Act 1959</w:t>
      </w:r>
      <w:r w:rsidR="004A5E68" w:rsidRPr="00061930">
        <w:rPr>
          <w:rFonts w:ascii="Times New Roman" w:eastAsiaTheme="minorHAnsi" w:hAnsi="Times New Roman" w:cs="Times New Roman"/>
          <w:i/>
          <w:sz w:val="22"/>
          <w:szCs w:val="22"/>
        </w:rPr>
        <w:t xml:space="preserve"> </w:t>
      </w:r>
      <w:r w:rsidR="004A5E68" w:rsidRPr="00061930">
        <w:rPr>
          <w:rFonts w:ascii="Times New Roman" w:eastAsiaTheme="minorHAnsi" w:hAnsi="Times New Roman" w:cs="Times New Roman"/>
          <w:sz w:val="22"/>
          <w:szCs w:val="22"/>
        </w:rPr>
        <w:t>which is a bank.</w:t>
      </w:r>
      <w:r w:rsidR="00937F02">
        <w:rPr>
          <w:rFonts w:ascii="Times New Roman" w:eastAsiaTheme="minorHAnsi" w:hAnsi="Times New Roman" w:cs="Times New Roman"/>
          <w:sz w:val="22"/>
          <w:szCs w:val="22"/>
        </w:rPr>
        <w:t xml:space="preserve"> </w:t>
      </w:r>
      <w:r w:rsidRPr="00061930">
        <w:rPr>
          <w:rFonts w:ascii="Times New Roman" w:eastAsiaTheme="minorHAnsi" w:hAnsi="Times New Roman" w:cs="Times New Roman"/>
          <w:sz w:val="22"/>
          <w:szCs w:val="22"/>
        </w:rPr>
        <w:t xml:space="preserve"> If a deed of financial security is executed by a person acting under a power of attorney for a body corporate, the applicant must give the ACMA a copy of the power of attorney with the deed.</w:t>
      </w:r>
    </w:p>
    <w:p w14:paraId="7F00A541" w14:textId="45FF52C7" w:rsidR="00603AB1" w:rsidRPr="00061930" w:rsidRDefault="00603AB1" w:rsidP="00D67611">
      <w:pPr>
        <w:pStyle w:val="ACMABodyText"/>
        <w:rPr>
          <w:rFonts w:ascii="Times New Roman" w:eastAsiaTheme="minorHAnsi" w:hAnsi="Times New Roman" w:cs="Times New Roman"/>
          <w:sz w:val="22"/>
          <w:szCs w:val="22"/>
        </w:rPr>
      </w:pPr>
      <w:r w:rsidRPr="00061930">
        <w:rPr>
          <w:rFonts w:ascii="Times New Roman" w:eastAsiaTheme="minorHAnsi" w:hAnsi="Times New Roman" w:cs="Times New Roman"/>
          <w:sz w:val="22"/>
          <w:szCs w:val="22"/>
        </w:rPr>
        <w:t xml:space="preserve">If a deed of financial security is given to the ACMA by email or fax, the original document must also be received by the ACMA within </w:t>
      </w:r>
      <w:r w:rsidR="00BC2012" w:rsidRPr="00061930">
        <w:rPr>
          <w:rFonts w:ascii="Times New Roman" w:eastAsiaTheme="minorHAnsi" w:hAnsi="Times New Roman" w:cs="Times New Roman"/>
          <w:sz w:val="22"/>
          <w:szCs w:val="22"/>
        </w:rPr>
        <w:t>3</w:t>
      </w:r>
      <w:r w:rsidRPr="00061930">
        <w:rPr>
          <w:rFonts w:ascii="Times New Roman" w:eastAsiaTheme="minorHAnsi" w:hAnsi="Times New Roman" w:cs="Times New Roman"/>
          <w:sz w:val="22"/>
          <w:szCs w:val="22"/>
        </w:rPr>
        <w:t xml:space="preserve"> working days </w:t>
      </w:r>
      <w:r w:rsidR="00333609" w:rsidRPr="00061930">
        <w:rPr>
          <w:rFonts w:ascii="Times New Roman" w:eastAsiaTheme="minorHAnsi" w:hAnsi="Times New Roman" w:cs="Times New Roman"/>
          <w:sz w:val="22"/>
          <w:szCs w:val="22"/>
        </w:rPr>
        <w:t>after</w:t>
      </w:r>
      <w:r w:rsidRPr="00061930">
        <w:rPr>
          <w:rFonts w:ascii="Times New Roman" w:eastAsiaTheme="minorHAnsi" w:hAnsi="Times New Roman" w:cs="Times New Roman"/>
          <w:sz w:val="22"/>
          <w:szCs w:val="22"/>
        </w:rPr>
        <w:t xml:space="preserve"> the </w:t>
      </w:r>
      <w:r w:rsidR="005E6FD1" w:rsidRPr="00061930">
        <w:rPr>
          <w:rFonts w:ascii="Times New Roman" w:eastAsiaTheme="minorHAnsi" w:hAnsi="Times New Roman" w:cs="Times New Roman"/>
          <w:sz w:val="22"/>
          <w:szCs w:val="22"/>
        </w:rPr>
        <w:t>preference</w:t>
      </w:r>
      <w:r w:rsidRPr="00061930">
        <w:rPr>
          <w:rFonts w:ascii="Times New Roman" w:eastAsiaTheme="minorHAnsi" w:hAnsi="Times New Roman" w:cs="Times New Roman"/>
          <w:sz w:val="22"/>
          <w:szCs w:val="22"/>
        </w:rPr>
        <w:t xml:space="preserve"> deadline for the deed to be considered to have been given to the ACMA. </w:t>
      </w:r>
      <w:r w:rsidR="00937F02">
        <w:rPr>
          <w:rFonts w:ascii="Times New Roman" w:eastAsiaTheme="minorHAnsi" w:hAnsi="Times New Roman" w:cs="Times New Roman"/>
          <w:sz w:val="22"/>
          <w:szCs w:val="22"/>
        </w:rPr>
        <w:t xml:space="preserve"> </w:t>
      </w:r>
      <w:r w:rsidR="002B27A8">
        <w:rPr>
          <w:rFonts w:ascii="Times New Roman" w:eastAsiaTheme="minorHAnsi" w:hAnsi="Times New Roman" w:cs="Times New Roman"/>
          <w:sz w:val="22"/>
          <w:szCs w:val="22"/>
        </w:rPr>
        <w:t>Under subsection 38(8)</w:t>
      </w:r>
      <w:r w:rsidRPr="00061930">
        <w:rPr>
          <w:rFonts w:ascii="Times New Roman" w:eastAsiaTheme="minorHAnsi" w:hAnsi="Times New Roman" w:cs="Times New Roman"/>
          <w:sz w:val="22"/>
          <w:szCs w:val="22"/>
        </w:rPr>
        <w:t xml:space="preserve">, the ACMA </w:t>
      </w:r>
      <w:r w:rsidR="002B27A8">
        <w:rPr>
          <w:rFonts w:ascii="Times New Roman" w:eastAsiaTheme="minorHAnsi" w:hAnsi="Times New Roman" w:cs="Times New Roman"/>
          <w:sz w:val="22"/>
          <w:szCs w:val="22"/>
        </w:rPr>
        <w:t xml:space="preserve">may </w:t>
      </w:r>
      <w:r w:rsidR="00C2284A">
        <w:rPr>
          <w:rFonts w:ascii="Times New Roman" w:eastAsiaTheme="minorHAnsi" w:hAnsi="Times New Roman" w:cs="Times New Roman"/>
          <w:sz w:val="22"/>
          <w:szCs w:val="22"/>
        </w:rPr>
        <w:t xml:space="preserve">at its discretion </w:t>
      </w:r>
      <w:r w:rsidR="002B27A8">
        <w:rPr>
          <w:rFonts w:ascii="Times New Roman" w:eastAsiaTheme="minorHAnsi" w:hAnsi="Times New Roman" w:cs="Times New Roman"/>
          <w:sz w:val="22"/>
          <w:szCs w:val="22"/>
        </w:rPr>
        <w:t>agree to the provision of an original deed of financial security at a later time</w:t>
      </w:r>
      <w:r w:rsidRPr="00061930">
        <w:rPr>
          <w:rFonts w:ascii="Times New Roman" w:eastAsiaTheme="minorHAnsi" w:hAnsi="Times New Roman" w:cs="Times New Roman"/>
          <w:sz w:val="22"/>
          <w:szCs w:val="22"/>
        </w:rPr>
        <w:t>.</w:t>
      </w:r>
    </w:p>
    <w:p w14:paraId="56D09903" w14:textId="78D6224A" w:rsidR="00603AB1" w:rsidRPr="00061930" w:rsidRDefault="00603AB1" w:rsidP="00D67611">
      <w:pPr>
        <w:pStyle w:val="ACMABodyText"/>
        <w:rPr>
          <w:rFonts w:ascii="Times New Roman" w:eastAsiaTheme="minorHAnsi" w:hAnsi="Times New Roman" w:cs="Times New Roman"/>
          <w:sz w:val="22"/>
          <w:szCs w:val="22"/>
        </w:rPr>
      </w:pPr>
      <w:r w:rsidRPr="00061930">
        <w:rPr>
          <w:rFonts w:ascii="Times New Roman" w:eastAsiaTheme="minorHAnsi" w:hAnsi="Times New Roman" w:cs="Times New Roman"/>
          <w:sz w:val="22"/>
          <w:szCs w:val="22"/>
        </w:rPr>
        <w:t xml:space="preserve">Under </w:t>
      </w:r>
      <w:r w:rsidR="00937F02">
        <w:rPr>
          <w:rFonts w:ascii="Times New Roman" w:eastAsiaTheme="minorHAnsi" w:hAnsi="Times New Roman" w:cs="Times New Roman"/>
          <w:sz w:val="22"/>
          <w:szCs w:val="22"/>
        </w:rPr>
        <w:t>section 38</w:t>
      </w:r>
      <w:r w:rsidRPr="00061930">
        <w:rPr>
          <w:rFonts w:ascii="Times New Roman" w:eastAsiaTheme="minorHAnsi" w:hAnsi="Times New Roman" w:cs="Times New Roman"/>
          <w:sz w:val="22"/>
          <w:szCs w:val="22"/>
        </w:rPr>
        <w:t>, an applicant is considered to have withdrawn if it fails to provide payment under this section, or fails to provide a properly executed deed of financial security in accordance with the requirements of this section, or the ACMA is not satisfied that the person executing a deed of financial security is a</w:t>
      </w:r>
      <w:r w:rsidR="00937F02" w:rsidRPr="00061930">
        <w:rPr>
          <w:rFonts w:ascii="Times New Roman" w:eastAsiaTheme="minorHAnsi" w:hAnsi="Times New Roman" w:cs="Times New Roman"/>
          <w:sz w:val="22"/>
          <w:szCs w:val="22"/>
        </w:rPr>
        <w:t xml:space="preserve">n Australian-owned authorised deposit-taking institution within the meaning of the </w:t>
      </w:r>
      <w:r w:rsidR="00937F02" w:rsidRPr="00061930">
        <w:rPr>
          <w:rFonts w:ascii="Times New Roman" w:eastAsiaTheme="minorHAnsi" w:hAnsi="Times New Roman" w:cs="Times New Roman"/>
          <w:i/>
          <w:sz w:val="22"/>
          <w:szCs w:val="22"/>
        </w:rPr>
        <w:t xml:space="preserve">Banking Act 1959 </w:t>
      </w:r>
      <w:r w:rsidR="00937F02" w:rsidRPr="00061930">
        <w:rPr>
          <w:rFonts w:ascii="Times New Roman" w:eastAsiaTheme="minorHAnsi" w:hAnsi="Times New Roman" w:cs="Times New Roman"/>
          <w:sz w:val="22"/>
          <w:szCs w:val="22"/>
        </w:rPr>
        <w:t>which is a bank</w:t>
      </w:r>
      <w:r w:rsidRPr="00061930">
        <w:rPr>
          <w:rFonts w:ascii="Times New Roman" w:eastAsiaTheme="minorHAnsi" w:hAnsi="Times New Roman" w:cs="Times New Roman"/>
          <w:sz w:val="22"/>
          <w:szCs w:val="22"/>
        </w:rPr>
        <w:t xml:space="preserve">. </w:t>
      </w:r>
    </w:p>
    <w:p w14:paraId="1B8ADF3C" w14:textId="02F41E7F" w:rsidR="00603AB1" w:rsidRPr="00937F02" w:rsidRDefault="00603AB1" w:rsidP="00937F02">
      <w:pPr>
        <w:keepNext/>
        <w:spacing w:before="280" w:after="160" w:line="259" w:lineRule="auto"/>
        <w:rPr>
          <w:rFonts w:eastAsiaTheme="minorHAnsi"/>
          <w:b/>
          <w:lang w:eastAsia="en-US"/>
        </w:rPr>
      </w:pPr>
      <w:r w:rsidRPr="00937F02">
        <w:rPr>
          <w:rFonts w:eastAsiaTheme="minorHAnsi"/>
          <w:b/>
          <w:lang w:eastAsia="en-US"/>
        </w:rPr>
        <w:lastRenderedPageBreak/>
        <w:t>Division</w:t>
      </w:r>
      <w:r w:rsidR="00474559" w:rsidRPr="00937F02">
        <w:rPr>
          <w:rFonts w:eastAsiaTheme="minorHAnsi"/>
          <w:b/>
          <w:lang w:eastAsia="en-US"/>
        </w:rPr>
        <w:t xml:space="preserve"> </w:t>
      </w:r>
      <w:r w:rsidR="00C139D6" w:rsidRPr="00937F02">
        <w:rPr>
          <w:rFonts w:eastAsiaTheme="minorHAnsi"/>
          <w:b/>
          <w:lang w:eastAsia="en-US"/>
        </w:rPr>
        <w:t>7</w:t>
      </w:r>
      <w:r w:rsidRPr="00937F02">
        <w:rPr>
          <w:rFonts w:eastAsiaTheme="minorHAnsi"/>
          <w:b/>
          <w:lang w:eastAsia="en-US"/>
        </w:rPr>
        <w:tab/>
        <w:t>Withdrawal</w:t>
      </w:r>
    </w:p>
    <w:p w14:paraId="3357C2AE" w14:textId="79F70145" w:rsidR="00603AB1" w:rsidRPr="00181920" w:rsidRDefault="00603AB1" w:rsidP="00937F02">
      <w:pPr>
        <w:keepNext/>
        <w:spacing w:after="160" w:line="259" w:lineRule="auto"/>
      </w:pPr>
      <w:r w:rsidRPr="00937F02">
        <w:rPr>
          <w:rFonts w:eastAsiaTheme="minorHAnsi"/>
          <w:b/>
          <w:sz w:val="22"/>
          <w:szCs w:val="22"/>
          <w:lang w:eastAsia="en-US"/>
        </w:rPr>
        <w:t xml:space="preserve">Section </w:t>
      </w:r>
      <w:r w:rsidR="00FD7F7B" w:rsidRPr="00937F02">
        <w:rPr>
          <w:rFonts w:eastAsiaTheme="minorHAnsi"/>
          <w:b/>
          <w:sz w:val="22"/>
          <w:szCs w:val="22"/>
          <w:lang w:eastAsia="en-US"/>
        </w:rPr>
        <w:t>3</w:t>
      </w:r>
      <w:r w:rsidR="00C139D6" w:rsidRPr="00937F02">
        <w:rPr>
          <w:rFonts w:eastAsiaTheme="minorHAnsi"/>
          <w:b/>
          <w:sz w:val="22"/>
          <w:szCs w:val="22"/>
          <w:lang w:eastAsia="en-US"/>
        </w:rPr>
        <w:t>9</w:t>
      </w:r>
      <w:r w:rsidRPr="00937F02">
        <w:rPr>
          <w:rFonts w:eastAsiaTheme="minorHAnsi"/>
          <w:b/>
          <w:sz w:val="22"/>
          <w:szCs w:val="22"/>
          <w:lang w:eastAsia="en-US"/>
        </w:rPr>
        <w:tab/>
        <w:t>Withdrawal of applica</w:t>
      </w:r>
      <w:r w:rsidR="00937F02">
        <w:rPr>
          <w:rFonts w:eastAsiaTheme="minorHAnsi"/>
          <w:b/>
          <w:sz w:val="22"/>
          <w:szCs w:val="22"/>
          <w:lang w:eastAsia="en-US"/>
        </w:rPr>
        <w:t>tion</w:t>
      </w:r>
    </w:p>
    <w:p w14:paraId="48D44DF3" w14:textId="13F8A8E2" w:rsidR="00603AB1" w:rsidRPr="00937F02" w:rsidRDefault="00603AB1" w:rsidP="00D67611">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 xml:space="preserve">This section </w:t>
      </w:r>
      <w:r w:rsidR="00937F02">
        <w:rPr>
          <w:rFonts w:ascii="Times New Roman" w:eastAsiaTheme="minorHAnsi" w:hAnsi="Times New Roman" w:cs="Times New Roman"/>
          <w:sz w:val="22"/>
          <w:szCs w:val="22"/>
        </w:rPr>
        <w:t>provide</w:t>
      </w:r>
      <w:r w:rsidR="00937F02" w:rsidRPr="00937F02">
        <w:rPr>
          <w:rFonts w:ascii="Times New Roman" w:eastAsiaTheme="minorHAnsi" w:hAnsi="Times New Roman" w:cs="Times New Roman"/>
          <w:sz w:val="22"/>
          <w:szCs w:val="22"/>
        </w:rPr>
        <w:t xml:space="preserve">s </w:t>
      </w:r>
      <w:r w:rsidRPr="00937F02">
        <w:rPr>
          <w:rFonts w:ascii="Times New Roman" w:eastAsiaTheme="minorHAnsi" w:hAnsi="Times New Roman" w:cs="Times New Roman"/>
          <w:sz w:val="22"/>
          <w:szCs w:val="22"/>
        </w:rPr>
        <w:t xml:space="preserve">how and when an applicant may withdraw from the </w:t>
      </w:r>
      <w:r w:rsidR="001C1B46" w:rsidRPr="00937F02">
        <w:rPr>
          <w:rFonts w:ascii="Times New Roman" w:eastAsiaTheme="minorHAnsi" w:hAnsi="Times New Roman" w:cs="Times New Roman"/>
          <w:sz w:val="22"/>
          <w:szCs w:val="22"/>
        </w:rPr>
        <w:t>auction</w:t>
      </w:r>
      <w:r w:rsidRPr="00937F02">
        <w:rPr>
          <w:rFonts w:ascii="Times New Roman" w:eastAsiaTheme="minorHAnsi" w:hAnsi="Times New Roman" w:cs="Times New Roman"/>
          <w:sz w:val="22"/>
          <w:szCs w:val="22"/>
        </w:rPr>
        <w:t>. It also describes the consequences of withdrawing an application.</w:t>
      </w:r>
    </w:p>
    <w:p w14:paraId="60597345" w14:textId="01A5D7BB" w:rsidR="005320EA" w:rsidRPr="00937F02" w:rsidRDefault="00603AB1" w:rsidP="005320EA">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 xml:space="preserve">An applicant can withdraw </w:t>
      </w:r>
      <w:r w:rsidR="001C1B46" w:rsidRPr="00937F02">
        <w:rPr>
          <w:rFonts w:ascii="Times New Roman" w:eastAsiaTheme="minorHAnsi" w:hAnsi="Times New Roman" w:cs="Times New Roman"/>
          <w:sz w:val="22"/>
          <w:szCs w:val="22"/>
        </w:rPr>
        <w:t>at</w:t>
      </w:r>
      <w:r w:rsidRPr="00937F02">
        <w:rPr>
          <w:rFonts w:ascii="Times New Roman" w:eastAsiaTheme="minorHAnsi" w:hAnsi="Times New Roman" w:cs="Times New Roman"/>
          <w:sz w:val="22"/>
          <w:szCs w:val="22"/>
        </w:rPr>
        <w:t xml:space="preserve"> any time before the </w:t>
      </w:r>
      <w:r w:rsidR="00B95CBB" w:rsidRPr="00937F02">
        <w:rPr>
          <w:rFonts w:ascii="Times New Roman" w:eastAsiaTheme="minorHAnsi" w:hAnsi="Times New Roman" w:cs="Times New Roman"/>
          <w:sz w:val="22"/>
          <w:szCs w:val="22"/>
        </w:rPr>
        <w:t>preference deadline</w:t>
      </w:r>
      <w:r w:rsidRPr="00937F02">
        <w:rPr>
          <w:rFonts w:ascii="Times New Roman" w:eastAsiaTheme="minorHAnsi" w:hAnsi="Times New Roman" w:cs="Times New Roman"/>
          <w:sz w:val="22"/>
          <w:szCs w:val="22"/>
        </w:rPr>
        <w:t xml:space="preserve">; however, it must inform the ACMA of this in writing. </w:t>
      </w:r>
      <w:r w:rsidR="00937F02">
        <w:rPr>
          <w:rFonts w:ascii="Times New Roman" w:eastAsiaTheme="minorHAnsi" w:hAnsi="Times New Roman" w:cs="Times New Roman"/>
          <w:sz w:val="22"/>
          <w:szCs w:val="22"/>
        </w:rPr>
        <w:t xml:space="preserve"> </w:t>
      </w:r>
      <w:r w:rsidRPr="00937F02">
        <w:rPr>
          <w:rFonts w:ascii="Times New Roman" w:eastAsiaTheme="minorHAnsi" w:hAnsi="Times New Roman" w:cs="Times New Roman"/>
          <w:sz w:val="22"/>
          <w:szCs w:val="22"/>
        </w:rPr>
        <w:t xml:space="preserve">An applicant who has withdrawn will not be </w:t>
      </w:r>
      <w:r w:rsidR="00333609" w:rsidRPr="00937F02">
        <w:rPr>
          <w:rFonts w:ascii="Times New Roman" w:eastAsiaTheme="minorHAnsi" w:hAnsi="Times New Roman" w:cs="Times New Roman"/>
          <w:sz w:val="22"/>
          <w:szCs w:val="22"/>
        </w:rPr>
        <w:t>re-admitted to the auction</w:t>
      </w:r>
      <w:r w:rsidR="005C338A" w:rsidRPr="00937F02">
        <w:rPr>
          <w:rFonts w:ascii="Times New Roman" w:eastAsiaTheme="minorHAnsi" w:hAnsi="Times New Roman" w:cs="Times New Roman"/>
          <w:sz w:val="22"/>
          <w:szCs w:val="22"/>
        </w:rPr>
        <w:t>.</w:t>
      </w:r>
    </w:p>
    <w:p w14:paraId="2A3C7DB6" w14:textId="7F95D28C" w:rsidR="00603AB1" w:rsidRPr="00937F02" w:rsidRDefault="00937F02" w:rsidP="00D67611">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Subject to sections 85 and 88, a</w:t>
      </w:r>
      <w:r w:rsidR="00603AB1" w:rsidRPr="00937F02">
        <w:rPr>
          <w:rFonts w:ascii="Times New Roman" w:eastAsiaTheme="minorHAnsi" w:hAnsi="Times New Roman" w:cs="Times New Roman"/>
          <w:sz w:val="22"/>
          <w:szCs w:val="22"/>
        </w:rPr>
        <w:t xml:space="preserve">ny </w:t>
      </w:r>
      <w:r w:rsidR="00296C9F" w:rsidRPr="00937F02">
        <w:rPr>
          <w:rFonts w:ascii="Times New Roman" w:eastAsiaTheme="minorHAnsi" w:hAnsi="Times New Roman" w:cs="Times New Roman"/>
          <w:sz w:val="22"/>
          <w:szCs w:val="22"/>
        </w:rPr>
        <w:t>deposit</w:t>
      </w:r>
      <w:r w:rsidR="004B711E" w:rsidRPr="00937F02">
        <w:rPr>
          <w:rFonts w:ascii="Times New Roman" w:eastAsiaTheme="minorHAnsi" w:hAnsi="Times New Roman" w:cs="Times New Roman"/>
          <w:sz w:val="22"/>
          <w:szCs w:val="22"/>
        </w:rPr>
        <w:t xml:space="preserve"> </w:t>
      </w:r>
      <w:r w:rsidR="00603AB1" w:rsidRPr="00937F02">
        <w:rPr>
          <w:rFonts w:ascii="Times New Roman" w:eastAsiaTheme="minorHAnsi" w:hAnsi="Times New Roman" w:cs="Times New Roman"/>
          <w:sz w:val="22"/>
          <w:szCs w:val="22"/>
        </w:rPr>
        <w:t xml:space="preserve">amount paid by an applicant </w:t>
      </w:r>
      <w:r w:rsidR="00C139D6" w:rsidRPr="00937F02">
        <w:rPr>
          <w:rFonts w:ascii="Times New Roman" w:eastAsiaTheme="minorHAnsi" w:hAnsi="Times New Roman" w:cs="Times New Roman"/>
          <w:sz w:val="22"/>
          <w:szCs w:val="22"/>
        </w:rPr>
        <w:t xml:space="preserve">under subsection 39(1) </w:t>
      </w:r>
      <w:r w:rsidR="00603AB1" w:rsidRPr="00937F02">
        <w:rPr>
          <w:rFonts w:ascii="Times New Roman" w:eastAsiaTheme="minorHAnsi" w:hAnsi="Times New Roman" w:cs="Times New Roman"/>
          <w:sz w:val="22"/>
          <w:szCs w:val="22"/>
        </w:rPr>
        <w:t xml:space="preserve">who withdraws before the </w:t>
      </w:r>
      <w:r w:rsidR="005E6FD1" w:rsidRPr="00937F02">
        <w:rPr>
          <w:rFonts w:ascii="Times New Roman" w:eastAsiaTheme="minorHAnsi" w:hAnsi="Times New Roman" w:cs="Times New Roman"/>
          <w:sz w:val="22"/>
          <w:szCs w:val="22"/>
        </w:rPr>
        <w:t>preference</w:t>
      </w:r>
      <w:r w:rsidR="00603AB1" w:rsidRPr="00937F02">
        <w:rPr>
          <w:rFonts w:ascii="Times New Roman" w:eastAsiaTheme="minorHAnsi" w:hAnsi="Times New Roman" w:cs="Times New Roman"/>
          <w:sz w:val="22"/>
          <w:szCs w:val="22"/>
        </w:rPr>
        <w:t xml:space="preserve"> deadline, or that is taken to have withdrawn under other sections of </w:t>
      </w:r>
      <w:r>
        <w:rPr>
          <w:rFonts w:ascii="Times New Roman" w:eastAsiaTheme="minorHAnsi" w:hAnsi="Times New Roman" w:cs="Times New Roman"/>
          <w:sz w:val="22"/>
          <w:szCs w:val="22"/>
        </w:rPr>
        <w:t>the Determination</w:t>
      </w:r>
      <w:r w:rsidR="00603AB1" w:rsidRPr="00937F02">
        <w:rPr>
          <w:rFonts w:ascii="Times New Roman" w:eastAsiaTheme="minorHAnsi" w:hAnsi="Times New Roman" w:cs="Times New Roman"/>
          <w:sz w:val="22"/>
          <w:szCs w:val="22"/>
        </w:rPr>
        <w:t xml:space="preserve">, will be refunded. </w:t>
      </w:r>
      <w:r w:rsidR="00354454">
        <w:rPr>
          <w:rFonts w:ascii="Times New Roman" w:eastAsiaTheme="minorHAnsi" w:hAnsi="Times New Roman" w:cs="Times New Roman"/>
          <w:sz w:val="22"/>
          <w:szCs w:val="22"/>
        </w:rPr>
        <w:t xml:space="preserve"> </w:t>
      </w:r>
      <w:r w:rsidR="00603AB1" w:rsidRPr="00937F02">
        <w:rPr>
          <w:rFonts w:ascii="Times New Roman" w:eastAsiaTheme="minorHAnsi" w:hAnsi="Times New Roman" w:cs="Times New Roman"/>
          <w:sz w:val="22"/>
          <w:szCs w:val="22"/>
        </w:rPr>
        <w:t xml:space="preserve">Under section </w:t>
      </w:r>
      <w:r w:rsidR="0092153A" w:rsidRPr="00937F02">
        <w:rPr>
          <w:rFonts w:ascii="Times New Roman" w:eastAsiaTheme="minorHAnsi" w:hAnsi="Times New Roman" w:cs="Times New Roman"/>
          <w:sz w:val="22"/>
          <w:szCs w:val="22"/>
        </w:rPr>
        <w:t>2</w:t>
      </w:r>
      <w:r w:rsidR="00C139D6" w:rsidRPr="00937F02">
        <w:rPr>
          <w:rFonts w:ascii="Times New Roman" w:eastAsiaTheme="minorHAnsi" w:hAnsi="Times New Roman" w:cs="Times New Roman"/>
          <w:sz w:val="22"/>
          <w:szCs w:val="22"/>
        </w:rPr>
        <w:t>5</w:t>
      </w:r>
      <w:r w:rsidR="00603AB1" w:rsidRPr="00937F02">
        <w:rPr>
          <w:rFonts w:ascii="Times New Roman" w:eastAsiaTheme="minorHAnsi" w:hAnsi="Times New Roman" w:cs="Times New Roman"/>
          <w:sz w:val="22"/>
          <w:szCs w:val="22"/>
        </w:rPr>
        <w:t>, any application fee paid by an applicant who withdraws will not be refunded.</w:t>
      </w:r>
    </w:p>
    <w:p w14:paraId="6DAF72ED" w14:textId="77777777" w:rsidR="00B60A96" w:rsidRPr="00EF6D68" w:rsidRDefault="00603AB1" w:rsidP="00937F02">
      <w:pPr>
        <w:keepNext/>
        <w:spacing w:before="280" w:after="160" w:line="259" w:lineRule="auto"/>
      </w:pPr>
      <w:r w:rsidRPr="00937F02">
        <w:rPr>
          <w:rFonts w:eastAsiaTheme="minorHAnsi"/>
          <w:b/>
          <w:sz w:val="22"/>
          <w:szCs w:val="22"/>
          <w:lang w:eastAsia="en-US"/>
        </w:rPr>
        <w:t xml:space="preserve">PART </w:t>
      </w:r>
      <w:r w:rsidR="002C2245" w:rsidRPr="00937F02">
        <w:rPr>
          <w:rFonts w:eastAsiaTheme="minorHAnsi"/>
          <w:b/>
          <w:sz w:val="22"/>
          <w:szCs w:val="22"/>
          <w:lang w:eastAsia="en-US"/>
        </w:rPr>
        <w:t>5</w:t>
      </w:r>
      <w:r w:rsidR="00B60A96" w:rsidRPr="00937F02">
        <w:rPr>
          <w:rFonts w:eastAsiaTheme="minorHAnsi"/>
          <w:b/>
          <w:sz w:val="22"/>
          <w:szCs w:val="22"/>
          <w:lang w:eastAsia="en-US"/>
        </w:rPr>
        <w:t xml:space="preserve"> </w:t>
      </w:r>
      <w:r w:rsidR="00F76979" w:rsidRPr="00937F02">
        <w:rPr>
          <w:rFonts w:eastAsiaTheme="minorHAnsi"/>
          <w:b/>
          <w:sz w:val="22"/>
          <w:szCs w:val="22"/>
          <w:lang w:eastAsia="en-US"/>
        </w:rPr>
        <w:tab/>
      </w:r>
      <w:r w:rsidR="00B60A96" w:rsidRPr="00937F02">
        <w:rPr>
          <w:rFonts w:eastAsiaTheme="minorHAnsi"/>
          <w:b/>
          <w:sz w:val="22"/>
          <w:szCs w:val="22"/>
          <w:lang w:eastAsia="en-US"/>
        </w:rPr>
        <w:t>ALLOCATION FOR A PRE-DETERMINED PRICE</w:t>
      </w:r>
    </w:p>
    <w:p w14:paraId="225B018E" w14:textId="10A2C6CD" w:rsidR="004A5E68" w:rsidRPr="00937F02" w:rsidRDefault="004A5E68" w:rsidP="00937F02">
      <w:pPr>
        <w:keepNext/>
        <w:spacing w:after="160" w:line="259" w:lineRule="auto"/>
        <w:rPr>
          <w:rFonts w:eastAsiaTheme="minorHAnsi"/>
          <w:b/>
          <w:sz w:val="22"/>
          <w:szCs w:val="22"/>
          <w:lang w:eastAsia="en-US"/>
        </w:rPr>
      </w:pPr>
      <w:r w:rsidRPr="00937F02">
        <w:rPr>
          <w:rFonts w:eastAsiaTheme="minorHAnsi"/>
          <w:b/>
          <w:sz w:val="22"/>
          <w:szCs w:val="22"/>
          <w:lang w:eastAsia="en-US"/>
        </w:rPr>
        <w:t>Section 40</w:t>
      </w:r>
      <w:r w:rsidRPr="00937F02">
        <w:rPr>
          <w:rFonts w:eastAsiaTheme="minorHAnsi"/>
          <w:b/>
          <w:sz w:val="22"/>
          <w:szCs w:val="22"/>
          <w:lang w:eastAsia="en-US"/>
        </w:rPr>
        <w:tab/>
        <w:t xml:space="preserve">Simplified </w:t>
      </w:r>
      <w:r w:rsidR="00354454">
        <w:rPr>
          <w:rFonts w:eastAsiaTheme="minorHAnsi"/>
          <w:b/>
          <w:sz w:val="22"/>
          <w:szCs w:val="22"/>
          <w:lang w:eastAsia="en-US"/>
        </w:rPr>
        <w:t>o</w:t>
      </w:r>
      <w:r w:rsidRPr="00937F02">
        <w:rPr>
          <w:rFonts w:eastAsiaTheme="minorHAnsi"/>
          <w:b/>
          <w:sz w:val="22"/>
          <w:szCs w:val="22"/>
          <w:lang w:eastAsia="en-US"/>
        </w:rPr>
        <w:t>utline of this Part</w:t>
      </w:r>
    </w:p>
    <w:p w14:paraId="2BED653F" w14:textId="745B4A21" w:rsidR="00937F02" w:rsidRPr="00EC6CCC" w:rsidRDefault="00937F02" w:rsidP="00937F02">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sets out a simplified outline of Part </w:t>
      </w:r>
      <w:r w:rsidR="00A87C15">
        <w:rPr>
          <w:rFonts w:ascii="Times New Roman" w:eastAsiaTheme="minorHAnsi" w:hAnsi="Times New Roman" w:cs="Times New Roman"/>
          <w:sz w:val="22"/>
          <w:szCs w:val="22"/>
        </w:rPr>
        <w:t>5</w:t>
      </w:r>
      <w:r w:rsidRPr="00EC6CCC">
        <w:rPr>
          <w:rFonts w:ascii="Times New Roman" w:eastAsiaTheme="minorHAnsi" w:hAnsi="Times New Roman" w:cs="Times New Roman"/>
          <w:sz w:val="22"/>
          <w:szCs w:val="22"/>
        </w:rPr>
        <w:t>.</w:t>
      </w:r>
    </w:p>
    <w:p w14:paraId="0DFF1AF8" w14:textId="1C9F0AFB" w:rsidR="00B60A96" w:rsidRPr="007C43CA" w:rsidRDefault="0036029A" w:rsidP="00937F02">
      <w:pPr>
        <w:keepNext/>
        <w:spacing w:after="160" w:line="259" w:lineRule="auto"/>
      </w:pPr>
      <w:r w:rsidRPr="00937F02">
        <w:rPr>
          <w:rFonts w:eastAsiaTheme="minorHAnsi"/>
          <w:b/>
          <w:sz w:val="22"/>
          <w:szCs w:val="22"/>
          <w:lang w:eastAsia="en-US"/>
        </w:rPr>
        <w:t>S</w:t>
      </w:r>
      <w:r w:rsidR="00B60A96" w:rsidRPr="00937F02">
        <w:rPr>
          <w:rFonts w:eastAsiaTheme="minorHAnsi"/>
          <w:b/>
          <w:sz w:val="22"/>
          <w:szCs w:val="22"/>
          <w:lang w:eastAsia="en-US"/>
        </w:rPr>
        <w:t xml:space="preserve">ection </w:t>
      </w:r>
      <w:r w:rsidR="004A5E68" w:rsidRPr="00937F02">
        <w:rPr>
          <w:rFonts w:eastAsiaTheme="minorHAnsi"/>
          <w:b/>
          <w:sz w:val="22"/>
          <w:szCs w:val="22"/>
          <w:lang w:eastAsia="en-US"/>
        </w:rPr>
        <w:t>41</w:t>
      </w:r>
      <w:r w:rsidR="00B60A96" w:rsidRPr="00937F02">
        <w:rPr>
          <w:rFonts w:eastAsiaTheme="minorHAnsi"/>
          <w:b/>
          <w:sz w:val="22"/>
          <w:szCs w:val="22"/>
          <w:lang w:eastAsia="en-US"/>
        </w:rPr>
        <w:tab/>
        <w:t xml:space="preserve">Allocation for a pre-determined price </w:t>
      </w:r>
      <w:r w:rsidR="008002D0" w:rsidRPr="00937F02">
        <w:rPr>
          <w:rFonts w:eastAsiaTheme="minorHAnsi"/>
          <w:b/>
          <w:sz w:val="22"/>
          <w:szCs w:val="22"/>
          <w:lang w:eastAsia="en-US"/>
        </w:rPr>
        <w:t>without an auction</w:t>
      </w:r>
    </w:p>
    <w:p w14:paraId="0EBA447C" w14:textId="30E1BFD1" w:rsidR="00F80F17" w:rsidRPr="00937F02" w:rsidRDefault="002D5DCC" w:rsidP="00F80F17">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 xml:space="preserve">This section allows the ACMA, </w:t>
      </w:r>
      <w:r w:rsidR="00F80F17" w:rsidRPr="00937F02">
        <w:rPr>
          <w:rFonts w:ascii="Times New Roman" w:eastAsiaTheme="minorHAnsi" w:hAnsi="Times New Roman" w:cs="Times New Roman"/>
          <w:sz w:val="22"/>
          <w:szCs w:val="22"/>
        </w:rPr>
        <w:t xml:space="preserve">before the auction manager sets the start date and time for the first and second </w:t>
      </w:r>
      <w:r w:rsidR="00F80F17" w:rsidRPr="00A21F1D">
        <w:rPr>
          <w:rFonts w:ascii="Times New Roman" w:eastAsiaTheme="minorHAnsi" w:hAnsi="Times New Roman" w:cs="Times New Roman"/>
          <w:sz w:val="22"/>
          <w:szCs w:val="22"/>
        </w:rPr>
        <w:t xml:space="preserve">rounds of the auction under section </w:t>
      </w:r>
      <w:r w:rsidR="00C3134E" w:rsidRPr="00A21F1D">
        <w:rPr>
          <w:rFonts w:ascii="Times New Roman" w:eastAsiaTheme="minorHAnsi" w:hAnsi="Times New Roman" w:cs="Times New Roman"/>
          <w:sz w:val="22"/>
          <w:szCs w:val="22"/>
        </w:rPr>
        <w:t>58</w:t>
      </w:r>
      <w:r w:rsidR="00F80F17" w:rsidRPr="00A21F1D">
        <w:rPr>
          <w:rFonts w:ascii="Times New Roman" w:eastAsiaTheme="minorHAnsi" w:hAnsi="Times New Roman" w:cs="Times New Roman"/>
          <w:sz w:val="22"/>
          <w:szCs w:val="22"/>
        </w:rPr>
        <w:t xml:space="preserve">, </w:t>
      </w:r>
      <w:r w:rsidRPr="00A21F1D">
        <w:rPr>
          <w:rFonts w:ascii="Times New Roman" w:eastAsiaTheme="minorHAnsi" w:hAnsi="Times New Roman" w:cs="Times New Roman"/>
          <w:sz w:val="22"/>
          <w:szCs w:val="22"/>
        </w:rPr>
        <w:t xml:space="preserve">to determine that </w:t>
      </w:r>
      <w:r w:rsidR="00F76979" w:rsidRPr="00A21F1D">
        <w:rPr>
          <w:rFonts w:ascii="Times New Roman" w:eastAsiaTheme="minorHAnsi" w:hAnsi="Times New Roman" w:cs="Times New Roman"/>
          <w:sz w:val="22"/>
          <w:szCs w:val="22"/>
        </w:rPr>
        <w:t xml:space="preserve">it </w:t>
      </w:r>
      <w:r w:rsidRPr="00A21F1D">
        <w:rPr>
          <w:rFonts w:ascii="Times New Roman" w:eastAsiaTheme="minorHAnsi" w:hAnsi="Times New Roman" w:cs="Times New Roman"/>
          <w:sz w:val="22"/>
          <w:szCs w:val="22"/>
        </w:rPr>
        <w:t xml:space="preserve">will offer </w:t>
      </w:r>
      <w:r w:rsidR="00F80F17" w:rsidRPr="00A21F1D">
        <w:rPr>
          <w:rFonts w:ascii="Times New Roman" w:eastAsiaTheme="minorHAnsi" w:hAnsi="Times New Roman" w:cs="Times New Roman"/>
          <w:sz w:val="22"/>
          <w:szCs w:val="22"/>
        </w:rPr>
        <w:t xml:space="preserve">to allocate spectrum licences for </w:t>
      </w:r>
      <w:r w:rsidR="00FE59FD" w:rsidRPr="00A21F1D">
        <w:rPr>
          <w:rFonts w:ascii="Times New Roman" w:eastAsiaTheme="minorHAnsi" w:hAnsi="Times New Roman" w:cs="Times New Roman"/>
          <w:sz w:val="22"/>
          <w:szCs w:val="22"/>
        </w:rPr>
        <w:t xml:space="preserve">lots for </w:t>
      </w:r>
      <w:r w:rsidR="00F80F17" w:rsidRPr="00A21F1D">
        <w:rPr>
          <w:rFonts w:ascii="Times New Roman" w:eastAsiaTheme="minorHAnsi" w:hAnsi="Times New Roman" w:cs="Times New Roman"/>
          <w:sz w:val="22"/>
          <w:szCs w:val="22"/>
        </w:rPr>
        <w:t>a pre</w:t>
      </w:r>
      <w:r w:rsidR="00F80F17" w:rsidRPr="00A21F1D">
        <w:rPr>
          <w:rFonts w:ascii="Times New Roman" w:eastAsiaTheme="minorHAnsi" w:hAnsi="Times New Roman" w:cs="Times New Roman"/>
          <w:sz w:val="22"/>
          <w:szCs w:val="22"/>
        </w:rPr>
        <w:noBreakHyphen/>
        <w:t>determined price</w:t>
      </w:r>
      <w:r w:rsidRPr="00A21F1D">
        <w:rPr>
          <w:rFonts w:ascii="Times New Roman" w:eastAsiaTheme="minorHAnsi" w:hAnsi="Times New Roman" w:cs="Times New Roman"/>
          <w:sz w:val="22"/>
          <w:szCs w:val="22"/>
        </w:rPr>
        <w:t xml:space="preserve"> if </w:t>
      </w:r>
      <w:r w:rsidRPr="005C338A">
        <w:rPr>
          <w:rFonts w:ascii="Times New Roman" w:eastAsiaTheme="minorHAnsi" w:hAnsi="Times New Roman" w:cs="Times New Roman"/>
          <w:sz w:val="22"/>
          <w:szCs w:val="22"/>
        </w:rPr>
        <w:t>it considers</w:t>
      </w:r>
      <w:r w:rsidR="00C63684"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that it is able to identify the</w:t>
      </w:r>
      <w:r w:rsidR="00A21F1D">
        <w:rPr>
          <w:rFonts w:ascii="Times New Roman" w:eastAsiaTheme="minorHAnsi" w:hAnsi="Times New Roman" w:cs="Times New Roman"/>
          <w:sz w:val="22"/>
          <w:szCs w:val="22"/>
        </w:rPr>
        <w:t xml:space="preserve"> person willing to make the</w:t>
      </w:r>
      <w:r w:rsidRPr="005C338A">
        <w:rPr>
          <w:rFonts w:ascii="Times New Roman" w:eastAsiaTheme="minorHAnsi" w:hAnsi="Times New Roman" w:cs="Times New Roman"/>
          <w:sz w:val="22"/>
          <w:szCs w:val="22"/>
        </w:rPr>
        <w:t xml:space="preserve"> highest value </w:t>
      </w:r>
      <w:r w:rsidR="00A21F1D">
        <w:rPr>
          <w:rFonts w:ascii="Times New Roman" w:eastAsiaTheme="minorHAnsi" w:hAnsi="Times New Roman" w:cs="Times New Roman"/>
          <w:sz w:val="22"/>
          <w:szCs w:val="22"/>
        </w:rPr>
        <w:t>payment for allocation of a</w:t>
      </w:r>
      <w:r w:rsidRPr="005C338A">
        <w:rPr>
          <w:rFonts w:ascii="Times New Roman" w:eastAsiaTheme="minorHAnsi" w:hAnsi="Times New Roman" w:cs="Times New Roman"/>
          <w:sz w:val="22"/>
          <w:szCs w:val="22"/>
        </w:rPr>
        <w:t xml:space="preserve"> spectrum </w:t>
      </w:r>
      <w:r w:rsidR="00A21F1D">
        <w:rPr>
          <w:rFonts w:ascii="Times New Roman" w:eastAsiaTheme="minorHAnsi" w:hAnsi="Times New Roman" w:cs="Times New Roman"/>
          <w:sz w:val="22"/>
          <w:szCs w:val="22"/>
        </w:rPr>
        <w:t xml:space="preserve">licence </w:t>
      </w:r>
      <w:r w:rsidRPr="005C338A">
        <w:rPr>
          <w:rFonts w:ascii="Times New Roman" w:eastAsiaTheme="minorHAnsi" w:hAnsi="Times New Roman" w:cs="Times New Roman"/>
          <w:sz w:val="22"/>
          <w:szCs w:val="22"/>
        </w:rPr>
        <w:t>without conducting an auction.</w:t>
      </w:r>
    </w:p>
    <w:p w14:paraId="1AE1F8DB" w14:textId="7A93821E" w:rsidR="00F80F17" w:rsidRPr="00937F02" w:rsidRDefault="002D5DCC" w:rsidP="00F80F17">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 xml:space="preserve">Any </w:t>
      </w:r>
      <w:r w:rsidR="00F80F17" w:rsidRPr="00937F02">
        <w:rPr>
          <w:rFonts w:ascii="Times New Roman" w:eastAsiaTheme="minorHAnsi" w:hAnsi="Times New Roman" w:cs="Times New Roman"/>
          <w:sz w:val="22"/>
          <w:szCs w:val="22"/>
        </w:rPr>
        <w:t xml:space="preserve">offer of a spectrum licence </w:t>
      </w:r>
      <w:r w:rsidRPr="00937F02">
        <w:rPr>
          <w:rFonts w:ascii="Times New Roman" w:eastAsiaTheme="minorHAnsi" w:hAnsi="Times New Roman" w:cs="Times New Roman"/>
          <w:sz w:val="22"/>
          <w:szCs w:val="22"/>
        </w:rPr>
        <w:t xml:space="preserve">made under this Part </w:t>
      </w:r>
      <w:r w:rsidR="00F80F17" w:rsidRPr="00937F02">
        <w:rPr>
          <w:rFonts w:ascii="Times New Roman" w:eastAsiaTheme="minorHAnsi" w:hAnsi="Times New Roman" w:cs="Times New Roman"/>
          <w:sz w:val="22"/>
          <w:szCs w:val="22"/>
        </w:rPr>
        <w:t xml:space="preserve">will be conditional on payment of the </w:t>
      </w:r>
      <w:r w:rsidR="00354454">
        <w:rPr>
          <w:rFonts w:ascii="Times New Roman" w:eastAsiaTheme="minorHAnsi" w:hAnsi="Times New Roman" w:cs="Times New Roman"/>
          <w:sz w:val="22"/>
          <w:szCs w:val="22"/>
        </w:rPr>
        <w:t>spectrum access charge</w:t>
      </w:r>
      <w:r w:rsidR="00F80F17" w:rsidRPr="00937F02">
        <w:rPr>
          <w:rFonts w:ascii="Times New Roman" w:eastAsiaTheme="minorHAnsi" w:hAnsi="Times New Roman" w:cs="Times New Roman"/>
          <w:sz w:val="22"/>
          <w:szCs w:val="22"/>
        </w:rPr>
        <w:t>.</w:t>
      </w:r>
    </w:p>
    <w:p w14:paraId="6A1498B0" w14:textId="0E920AE5" w:rsidR="007C43CA" w:rsidRPr="00937F02" w:rsidRDefault="007C43CA" w:rsidP="00937F02">
      <w:pPr>
        <w:keepNext/>
        <w:spacing w:after="160" w:line="259" w:lineRule="auto"/>
        <w:rPr>
          <w:rFonts w:eastAsiaTheme="minorHAnsi"/>
          <w:b/>
          <w:sz w:val="22"/>
          <w:szCs w:val="22"/>
          <w:lang w:eastAsia="en-US"/>
        </w:rPr>
      </w:pPr>
      <w:r w:rsidRPr="00937F02">
        <w:rPr>
          <w:rFonts w:eastAsiaTheme="minorHAnsi"/>
          <w:b/>
          <w:sz w:val="22"/>
          <w:szCs w:val="22"/>
          <w:lang w:eastAsia="en-US"/>
        </w:rPr>
        <w:t xml:space="preserve">Section </w:t>
      </w:r>
      <w:r w:rsidR="00C3134E" w:rsidRPr="00937F02">
        <w:rPr>
          <w:rFonts w:eastAsiaTheme="minorHAnsi"/>
          <w:b/>
          <w:sz w:val="22"/>
          <w:szCs w:val="22"/>
          <w:lang w:eastAsia="en-US"/>
        </w:rPr>
        <w:t>42</w:t>
      </w:r>
      <w:r w:rsidRPr="00937F02">
        <w:rPr>
          <w:rFonts w:eastAsiaTheme="minorHAnsi"/>
          <w:b/>
          <w:sz w:val="22"/>
          <w:szCs w:val="22"/>
          <w:lang w:eastAsia="en-US"/>
        </w:rPr>
        <w:tab/>
      </w:r>
      <w:r w:rsidR="008002D0" w:rsidRPr="00937F02">
        <w:rPr>
          <w:rFonts w:eastAsiaTheme="minorHAnsi"/>
          <w:b/>
          <w:sz w:val="22"/>
          <w:szCs w:val="22"/>
          <w:lang w:eastAsia="en-US"/>
        </w:rPr>
        <w:t>ACM</w:t>
      </w:r>
      <w:r w:rsidR="00333609" w:rsidRPr="00937F02">
        <w:rPr>
          <w:rFonts w:eastAsiaTheme="minorHAnsi"/>
          <w:b/>
          <w:sz w:val="22"/>
          <w:szCs w:val="22"/>
          <w:lang w:eastAsia="en-US"/>
        </w:rPr>
        <w:t>A must have regard to applicant</w:t>
      </w:r>
      <w:r w:rsidR="008002D0" w:rsidRPr="00937F02">
        <w:rPr>
          <w:rFonts w:eastAsiaTheme="minorHAnsi"/>
          <w:b/>
          <w:sz w:val="22"/>
          <w:szCs w:val="22"/>
          <w:lang w:eastAsia="en-US"/>
        </w:rPr>
        <w:t>s</w:t>
      </w:r>
      <w:r w:rsidR="00333609" w:rsidRPr="00937F02">
        <w:rPr>
          <w:rFonts w:eastAsiaTheme="minorHAnsi"/>
          <w:b/>
          <w:sz w:val="22"/>
          <w:szCs w:val="22"/>
          <w:lang w:eastAsia="en-US"/>
        </w:rPr>
        <w:t>’</w:t>
      </w:r>
      <w:r w:rsidR="008002D0" w:rsidRPr="00937F02">
        <w:rPr>
          <w:rFonts w:eastAsiaTheme="minorHAnsi"/>
          <w:b/>
          <w:sz w:val="22"/>
          <w:szCs w:val="22"/>
          <w:lang w:eastAsia="en-US"/>
        </w:rPr>
        <w:t xml:space="preserve"> requirements</w:t>
      </w:r>
    </w:p>
    <w:p w14:paraId="33327B72" w14:textId="2C1EFFC1" w:rsidR="007C43CA" w:rsidRPr="00937F02" w:rsidRDefault="002D5DCC" w:rsidP="007C43CA">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 xml:space="preserve">In deciding </w:t>
      </w:r>
      <w:r w:rsidR="00C3134E" w:rsidRPr="00937F02">
        <w:rPr>
          <w:rFonts w:ascii="Times New Roman" w:eastAsiaTheme="minorHAnsi" w:hAnsi="Times New Roman" w:cs="Times New Roman"/>
          <w:sz w:val="22"/>
          <w:szCs w:val="22"/>
        </w:rPr>
        <w:t xml:space="preserve">under subsection 41(1) </w:t>
      </w:r>
      <w:r w:rsidRPr="00937F02">
        <w:rPr>
          <w:rFonts w:ascii="Times New Roman" w:eastAsiaTheme="minorHAnsi" w:hAnsi="Times New Roman" w:cs="Times New Roman"/>
          <w:sz w:val="22"/>
          <w:szCs w:val="22"/>
        </w:rPr>
        <w:t xml:space="preserve">whether it may </w:t>
      </w:r>
      <w:r w:rsidR="00934DBB" w:rsidRPr="00937F02">
        <w:rPr>
          <w:rFonts w:ascii="Times New Roman" w:eastAsiaTheme="minorHAnsi" w:hAnsi="Times New Roman" w:cs="Times New Roman"/>
          <w:sz w:val="22"/>
          <w:szCs w:val="22"/>
        </w:rPr>
        <w:t xml:space="preserve">be able to </w:t>
      </w:r>
      <w:r w:rsidRPr="00937F02">
        <w:rPr>
          <w:rFonts w:ascii="Times New Roman" w:eastAsiaTheme="minorHAnsi" w:hAnsi="Times New Roman" w:cs="Times New Roman"/>
          <w:sz w:val="22"/>
          <w:szCs w:val="22"/>
        </w:rPr>
        <w:t xml:space="preserve">allocate spectrum </w:t>
      </w:r>
      <w:r w:rsidR="00934DBB" w:rsidRPr="00937F02">
        <w:rPr>
          <w:rFonts w:ascii="Times New Roman" w:eastAsiaTheme="minorHAnsi" w:hAnsi="Times New Roman" w:cs="Times New Roman"/>
          <w:sz w:val="22"/>
          <w:szCs w:val="22"/>
        </w:rPr>
        <w:t xml:space="preserve">licences </w:t>
      </w:r>
      <w:r w:rsidR="0067647D" w:rsidRPr="00937F02">
        <w:rPr>
          <w:rFonts w:ascii="Times New Roman" w:eastAsiaTheme="minorHAnsi" w:hAnsi="Times New Roman" w:cs="Times New Roman"/>
          <w:sz w:val="22"/>
          <w:szCs w:val="22"/>
        </w:rPr>
        <w:t xml:space="preserve">for certain lots </w:t>
      </w:r>
      <w:r w:rsidRPr="00937F02">
        <w:rPr>
          <w:rFonts w:ascii="Times New Roman" w:eastAsiaTheme="minorHAnsi" w:hAnsi="Times New Roman" w:cs="Times New Roman"/>
          <w:sz w:val="22"/>
          <w:szCs w:val="22"/>
        </w:rPr>
        <w:t>without an auction, t</w:t>
      </w:r>
      <w:r w:rsidR="007C43CA" w:rsidRPr="00937F02">
        <w:rPr>
          <w:rFonts w:ascii="Times New Roman" w:eastAsiaTheme="minorHAnsi" w:hAnsi="Times New Roman" w:cs="Times New Roman"/>
          <w:sz w:val="22"/>
          <w:szCs w:val="22"/>
        </w:rPr>
        <w:t>he ACMA m</w:t>
      </w:r>
      <w:r w:rsidR="00934DBB" w:rsidRPr="00937F02">
        <w:rPr>
          <w:rFonts w:ascii="Times New Roman" w:eastAsiaTheme="minorHAnsi" w:hAnsi="Times New Roman" w:cs="Times New Roman"/>
          <w:sz w:val="22"/>
          <w:szCs w:val="22"/>
        </w:rPr>
        <w:t>ust</w:t>
      </w:r>
      <w:r w:rsidRPr="00937F02">
        <w:rPr>
          <w:rFonts w:ascii="Times New Roman" w:eastAsiaTheme="minorHAnsi" w:hAnsi="Times New Roman" w:cs="Times New Roman"/>
          <w:sz w:val="22"/>
          <w:szCs w:val="22"/>
        </w:rPr>
        <w:t xml:space="preserve"> only </w:t>
      </w:r>
      <w:r w:rsidR="007C43CA" w:rsidRPr="00937F02">
        <w:rPr>
          <w:rFonts w:ascii="Times New Roman" w:eastAsiaTheme="minorHAnsi" w:hAnsi="Times New Roman" w:cs="Times New Roman"/>
          <w:sz w:val="22"/>
          <w:szCs w:val="22"/>
        </w:rPr>
        <w:t xml:space="preserve">have regard to applicants’ </w:t>
      </w:r>
      <w:r w:rsidRPr="00937F02">
        <w:rPr>
          <w:rFonts w:ascii="Times New Roman" w:eastAsiaTheme="minorHAnsi" w:hAnsi="Times New Roman" w:cs="Times New Roman"/>
          <w:sz w:val="22"/>
          <w:szCs w:val="22"/>
        </w:rPr>
        <w:t>indications of</w:t>
      </w:r>
      <w:r w:rsidR="004B75E5" w:rsidRPr="00937F02">
        <w:rPr>
          <w:rFonts w:ascii="Times New Roman" w:eastAsiaTheme="minorHAnsi" w:hAnsi="Times New Roman" w:cs="Times New Roman"/>
          <w:sz w:val="22"/>
          <w:szCs w:val="22"/>
        </w:rPr>
        <w:t xml:space="preserve"> preferred</w:t>
      </w:r>
      <w:r w:rsidRPr="00937F02">
        <w:rPr>
          <w:rFonts w:ascii="Times New Roman" w:eastAsiaTheme="minorHAnsi" w:hAnsi="Times New Roman" w:cs="Times New Roman"/>
          <w:sz w:val="22"/>
          <w:szCs w:val="22"/>
        </w:rPr>
        <w:t xml:space="preserve"> lot</w:t>
      </w:r>
      <w:r w:rsidR="002B27A8">
        <w:rPr>
          <w:rFonts w:ascii="Times New Roman" w:eastAsiaTheme="minorHAnsi" w:hAnsi="Times New Roman" w:cs="Times New Roman"/>
          <w:sz w:val="22"/>
          <w:szCs w:val="22"/>
        </w:rPr>
        <w:t>s</w:t>
      </w:r>
      <w:r w:rsidRPr="00937F02">
        <w:rPr>
          <w:rFonts w:ascii="Times New Roman" w:eastAsiaTheme="minorHAnsi" w:hAnsi="Times New Roman" w:cs="Times New Roman"/>
          <w:sz w:val="22"/>
          <w:szCs w:val="22"/>
        </w:rPr>
        <w:t xml:space="preserve"> provided through their </w:t>
      </w:r>
      <w:r w:rsidR="005E6FD1" w:rsidRPr="00937F02">
        <w:rPr>
          <w:rFonts w:ascii="Times New Roman" w:eastAsiaTheme="minorHAnsi" w:hAnsi="Times New Roman" w:cs="Times New Roman"/>
          <w:sz w:val="22"/>
          <w:szCs w:val="22"/>
        </w:rPr>
        <w:t>preference</w:t>
      </w:r>
      <w:r w:rsidRPr="00937F02">
        <w:rPr>
          <w:rFonts w:ascii="Times New Roman" w:eastAsiaTheme="minorHAnsi" w:hAnsi="Times New Roman" w:cs="Times New Roman"/>
          <w:sz w:val="22"/>
          <w:szCs w:val="22"/>
        </w:rPr>
        <w:t xml:space="preserve"> nomination forms or through other information </w:t>
      </w:r>
      <w:r w:rsidR="00934DBB" w:rsidRPr="00937F02">
        <w:rPr>
          <w:rFonts w:ascii="Times New Roman" w:eastAsiaTheme="minorHAnsi" w:hAnsi="Times New Roman" w:cs="Times New Roman"/>
          <w:sz w:val="22"/>
          <w:szCs w:val="22"/>
        </w:rPr>
        <w:t>about</w:t>
      </w:r>
      <w:r w:rsidR="00541818" w:rsidRPr="00937F02">
        <w:rPr>
          <w:rFonts w:ascii="Times New Roman" w:eastAsiaTheme="minorHAnsi" w:hAnsi="Times New Roman" w:cs="Times New Roman"/>
          <w:sz w:val="22"/>
          <w:szCs w:val="22"/>
        </w:rPr>
        <w:t xml:space="preserve"> preferred</w:t>
      </w:r>
      <w:r w:rsidR="00934DBB" w:rsidRPr="00937F02">
        <w:rPr>
          <w:rFonts w:ascii="Times New Roman" w:eastAsiaTheme="minorHAnsi" w:hAnsi="Times New Roman" w:cs="Times New Roman"/>
          <w:sz w:val="22"/>
          <w:szCs w:val="22"/>
        </w:rPr>
        <w:t xml:space="preserve"> lot</w:t>
      </w:r>
      <w:r w:rsidR="00CA5F4C">
        <w:rPr>
          <w:rFonts w:ascii="Times New Roman" w:eastAsiaTheme="minorHAnsi" w:hAnsi="Times New Roman" w:cs="Times New Roman"/>
          <w:sz w:val="22"/>
          <w:szCs w:val="22"/>
        </w:rPr>
        <w:t>s</w:t>
      </w:r>
      <w:r w:rsidR="00934DBB" w:rsidRPr="00937F02">
        <w:rPr>
          <w:rFonts w:ascii="Times New Roman" w:eastAsiaTheme="minorHAnsi" w:hAnsi="Times New Roman" w:cs="Times New Roman"/>
          <w:sz w:val="22"/>
          <w:szCs w:val="22"/>
        </w:rPr>
        <w:t xml:space="preserve"> </w:t>
      </w:r>
      <w:r w:rsidRPr="00937F02">
        <w:rPr>
          <w:rFonts w:ascii="Times New Roman" w:eastAsiaTheme="minorHAnsi" w:hAnsi="Times New Roman" w:cs="Times New Roman"/>
          <w:sz w:val="22"/>
          <w:szCs w:val="22"/>
        </w:rPr>
        <w:t>provided by applicant</w:t>
      </w:r>
      <w:r w:rsidR="00934DBB" w:rsidRPr="00937F02">
        <w:rPr>
          <w:rFonts w:ascii="Times New Roman" w:eastAsiaTheme="minorHAnsi" w:hAnsi="Times New Roman" w:cs="Times New Roman"/>
          <w:sz w:val="22"/>
          <w:szCs w:val="22"/>
        </w:rPr>
        <w:t>s</w:t>
      </w:r>
      <w:r w:rsidRPr="00937F02">
        <w:rPr>
          <w:rFonts w:ascii="Times New Roman" w:eastAsiaTheme="minorHAnsi" w:hAnsi="Times New Roman" w:cs="Times New Roman"/>
          <w:sz w:val="22"/>
          <w:szCs w:val="22"/>
        </w:rPr>
        <w:t xml:space="preserve"> to the ACMA.</w:t>
      </w:r>
      <w:r w:rsidR="00A21F1D">
        <w:rPr>
          <w:rFonts w:ascii="Times New Roman" w:eastAsiaTheme="minorHAnsi" w:hAnsi="Times New Roman" w:cs="Times New Roman"/>
          <w:sz w:val="22"/>
          <w:szCs w:val="22"/>
        </w:rPr>
        <w:t xml:space="preserve"> </w:t>
      </w:r>
      <w:r w:rsidR="00422D06">
        <w:rPr>
          <w:rFonts w:ascii="Times New Roman" w:eastAsiaTheme="minorHAnsi" w:hAnsi="Times New Roman" w:cs="Times New Roman"/>
          <w:sz w:val="22"/>
          <w:szCs w:val="22"/>
        </w:rPr>
        <w:t xml:space="preserve"> </w:t>
      </w:r>
      <w:r w:rsidR="00422D06" w:rsidRPr="005C338A">
        <w:rPr>
          <w:rFonts w:ascii="Times New Roman" w:eastAsiaTheme="minorHAnsi" w:hAnsi="Times New Roman" w:cs="Times New Roman"/>
          <w:sz w:val="22"/>
          <w:szCs w:val="22"/>
        </w:rPr>
        <w:t>The allocation limits may affect the lots an applicant may nominate as its preferred lots.</w:t>
      </w:r>
    </w:p>
    <w:p w14:paraId="32B68048" w14:textId="3C464789" w:rsidR="007C43CA" w:rsidRPr="00937F02" w:rsidRDefault="007C43CA" w:rsidP="00937F02">
      <w:pPr>
        <w:keepNext/>
        <w:spacing w:after="160" w:line="259" w:lineRule="auto"/>
        <w:rPr>
          <w:rFonts w:eastAsiaTheme="minorHAnsi"/>
          <w:b/>
          <w:sz w:val="22"/>
          <w:szCs w:val="22"/>
          <w:lang w:eastAsia="en-US"/>
        </w:rPr>
      </w:pPr>
      <w:r w:rsidRPr="00937F02">
        <w:rPr>
          <w:rFonts w:eastAsiaTheme="minorHAnsi"/>
          <w:b/>
          <w:sz w:val="22"/>
          <w:szCs w:val="22"/>
          <w:lang w:eastAsia="en-US"/>
        </w:rPr>
        <w:t xml:space="preserve">Section </w:t>
      </w:r>
      <w:r w:rsidR="00AB3165" w:rsidRPr="00937F02">
        <w:rPr>
          <w:rFonts w:eastAsiaTheme="minorHAnsi"/>
          <w:b/>
          <w:sz w:val="22"/>
          <w:szCs w:val="22"/>
          <w:lang w:eastAsia="en-US"/>
        </w:rPr>
        <w:t>43</w:t>
      </w:r>
      <w:r w:rsidRPr="00937F02">
        <w:rPr>
          <w:rFonts w:eastAsiaTheme="minorHAnsi"/>
          <w:b/>
          <w:sz w:val="22"/>
          <w:szCs w:val="22"/>
          <w:lang w:eastAsia="en-US"/>
        </w:rPr>
        <w:tab/>
        <w:t xml:space="preserve">The </w:t>
      </w:r>
      <w:r w:rsidR="00FD7F7B" w:rsidRPr="00937F02">
        <w:rPr>
          <w:rFonts w:eastAsiaTheme="minorHAnsi"/>
          <w:b/>
          <w:sz w:val="22"/>
          <w:szCs w:val="22"/>
          <w:lang w:eastAsia="en-US"/>
        </w:rPr>
        <w:t xml:space="preserve">upfront </w:t>
      </w:r>
      <w:r w:rsidRPr="00937F02">
        <w:rPr>
          <w:rFonts w:eastAsiaTheme="minorHAnsi"/>
          <w:b/>
          <w:sz w:val="22"/>
          <w:szCs w:val="22"/>
          <w:lang w:eastAsia="en-US"/>
        </w:rPr>
        <w:t>pre</w:t>
      </w:r>
      <w:r w:rsidRPr="00937F02">
        <w:rPr>
          <w:rFonts w:eastAsiaTheme="minorHAnsi"/>
          <w:b/>
          <w:sz w:val="22"/>
          <w:szCs w:val="22"/>
          <w:lang w:eastAsia="en-US"/>
        </w:rPr>
        <w:noBreakHyphen/>
        <w:t>determined price</w:t>
      </w:r>
      <w:r w:rsidR="00FD7F7B" w:rsidRPr="00937F02">
        <w:rPr>
          <w:rFonts w:eastAsiaTheme="minorHAnsi"/>
          <w:b/>
          <w:sz w:val="22"/>
          <w:szCs w:val="22"/>
          <w:lang w:eastAsia="en-US"/>
        </w:rPr>
        <w:t xml:space="preserve"> and </w:t>
      </w:r>
      <w:r w:rsidR="002B27A8">
        <w:rPr>
          <w:rFonts w:eastAsiaTheme="minorHAnsi"/>
          <w:b/>
          <w:sz w:val="22"/>
          <w:szCs w:val="22"/>
          <w:lang w:eastAsia="en-US"/>
        </w:rPr>
        <w:t xml:space="preserve">the </w:t>
      </w:r>
      <w:r w:rsidR="00FD7F7B" w:rsidRPr="00937F02">
        <w:rPr>
          <w:rFonts w:eastAsiaTheme="minorHAnsi"/>
          <w:b/>
          <w:sz w:val="22"/>
          <w:szCs w:val="22"/>
          <w:lang w:eastAsia="en-US"/>
        </w:rPr>
        <w:t>delayed pre-determined price</w:t>
      </w:r>
    </w:p>
    <w:p w14:paraId="36E74C31" w14:textId="6F3323FD" w:rsidR="00F859E9" w:rsidRPr="005C338A" w:rsidRDefault="00824D5D" w:rsidP="00AB3165">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This section sets out how </w:t>
      </w:r>
      <w:r w:rsidR="00F859E9" w:rsidRPr="005C338A">
        <w:rPr>
          <w:rFonts w:ascii="Times New Roman" w:eastAsiaTheme="minorHAnsi" w:hAnsi="Times New Roman" w:cs="Times New Roman"/>
          <w:sz w:val="22"/>
          <w:szCs w:val="22"/>
        </w:rPr>
        <w:t xml:space="preserve">the </w:t>
      </w:r>
      <w:r w:rsidRPr="005C338A">
        <w:rPr>
          <w:rFonts w:ascii="Times New Roman" w:eastAsiaTheme="minorHAnsi" w:hAnsi="Times New Roman" w:cs="Times New Roman"/>
          <w:sz w:val="22"/>
          <w:szCs w:val="22"/>
        </w:rPr>
        <w:t>pre-determined price is calculated</w:t>
      </w:r>
      <w:r w:rsidR="001B43ED" w:rsidRPr="005C338A">
        <w:rPr>
          <w:rFonts w:ascii="Times New Roman" w:eastAsiaTheme="minorHAnsi" w:hAnsi="Times New Roman" w:cs="Times New Roman"/>
          <w:sz w:val="22"/>
          <w:szCs w:val="22"/>
        </w:rPr>
        <w:t xml:space="preserve"> </w:t>
      </w:r>
      <w:r w:rsidR="007C43CA" w:rsidRPr="005C338A">
        <w:rPr>
          <w:rFonts w:ascii="Times New Roman" w:eastAsiaTheme="minorHAnsi" w:hAnsi="Times New Roman" w:cs="Times New Roman"/>
          <w:sz w:val="22"/>
          <w:szCs w:val="22"/>
        </w:rPr>
        <w:t>for a spectrum licence</w:t>
      </w:r>
      <w:r w:rsidR="001B43ED" w:rsidRPr="005C338A">
        <w:rPr>
          <w:rFonts w:ascii="Times New Roman" w:eastAsiaTheme="minorHAnsi" w:hAnsi="Times New Roman" w:cs="Times New Roman"/>
          <w:sz w:val="22"/>
          <w:szCs w:val="22"/>
        </w:rPr>
        <w:t>.</w:t>
      </w:r>
      <w:r w:rsidR="007C43CA" w:rsidRPr="005C338A">
        <w:rPr>
          <w:rFonts w:ascii="Times New Roman" w:eastAsiaTheme="minorHAnsi" w:hAnsi="Times New Roman" w:cs="Times New Roman"/>
          <w:sz w:val="22"/>
          <w:szCs w:val="22"/>
        </w:rPr>
        <w:t xml:space="preserve"> </w:t>
      </w:r>
      <w:r w:rsidR="00F859E9" w:rsidRPr="005C338A">
        <w:rPr>
          <w:rFonts w:ascii="Times New Roman" w:eastAsiaTheme="minorHAnsi" w:hAnsi="Times New Roman" w:cs="Times New Roman"/>
          <w:sz w:val="22"/>
          <w:szCs w:val="22"/>
        </w:rPr>
        <w:t xml:space="preserve"> As mentioned above, the Residual 700 MHz Spectrum Direction requires the ACMA to allow </w:t>
      </w:r>
      <w:r w:rsidR="002B27A8">
        <w:rPr>
          <w:rFonts w:ascii="Times New Roman" w:eastAsiaTheme="minorHAnsi" w:hAnsi="Times New Roman" w:cs="Times New Roman"/>
          <w:sz w:val="22"/>
          <w:szCs w:val="22"/>
        </w:rPr>
        <w:t xml:space="preserve">a </w:t>
      </w:r>
      <w:r w:rsidR="00F859E9" w:rsidRPr="005C338A">
        <w:rPr>
          <w:rFonts w:ascii="Times New Roman" w:eastAsiaTheme="minorHAnsi" w:hAnsi="Times New Roman" w:cs="Times New Roman"/>
          <w:sz w:val="22"/>
          <w:szCs w:val="22"/>
        </w:rPr>
        <w:t xml:space="preserve">successful applicant to pay the spectrum access charge in </w:t>
      </w:r>
      <w:r w:rsidR="00E22627" w:rsidRPr="005C338A">
        <w:rPr>
          <w:rFonts w:ascii="Times New Roman" w:eastAsiaTheme="minorHAnsi" w:hAnsi="Times New Roman" w:cs="Times New Roman"/>
          <w:sz w:val="22"/>
          <w:szCs w:val="22"/>
        </w:rPr>
        <w:t xml:space="preserve">three </w:t>
      </w:r>
      <w:r w:rsidR="00F859E9" w:rsidRPr="005C338A">
        <w:rPr>
          <w:rFonts w:ascii="Times New Roman" w:eastAsiaTheme="minorHAnsi" w:hAnsi="Times New Roman" w:cs="Times New Roman"/>
          <w:sz w:val="22"/>
          <w:szCs w:val="22"/>
        </w:rPr>
        <w:t>instalments, subject to certain conditions being met.  One of those conditions is that the ‘present value’ of the instalment payments must total the amount determined in accordance with the allocation process.  Under this Part, the amount determined in accordance with the allocation process for a spectrum licence is the sum of the starting prices for the lots to be included in that licence.</w:t>
      </w:r>
    </w:p>
    <w:p w14:paraId="7AE4BFB1" w14:textId="0B338A01" w:rsidR="00AB3165" w:rsidRPr="005C338A" w:rsidRDefault="007C43CA" w:rsidP="00AB3165">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The ACMA will identify each lot to be included in the spectrum licence and will add up the starting prices for each lot</w:t>
      </w:r>
      <w:r w:rsidR="00333609" w:rsidRPr="005C338A">
        <w:rPr>
          <w:rFonts w:ascii="Times New Roman" w:eastAsiaTheme="minorHAnsi" w:hAnsi="Times New Roman" w:cs="Times New Roman"/>
          <w:sz w:val="22"/>
          <w:szCs w:val="22"/>
        </w:rPr>
        <w:t xml:space="preserve"> (the starting price for each lot is set by the ACMA under section </w:t>
      </w:r>
      <w:r w:rsidR="0092153A" w:rsidRPr="005C338A">
        <w:rPr>
          <w:rFonts w:ascii="Times New Roman" w:eastAsiaTheme="minorHAnsi" w:hAnsi="Times New Roman" w:cs="Times New Roman"/>
          <w:sz w:val="22"/>
          <w:szCs w:val="22"/>
        </w:rPr>
        <w:t>2</w:t>
      </w:r>
      <w:r w:rsidR="00AB3165" w:rsidRPr="005C338A">
        <w:rPr>
          <w:rFonts w:ascii="Times New Roman" w:eastAsiaTheme="minorHAnsi" w:hAnsi="Times New Roman" w:cs="Times New Roman"/>
          <w:sz w:val="22"/>
          <w:szCs w:val="22"/>
        </w:rPr>
        <w:t>8</w:t>
      </w:r>
      <w:r w:rsidR="00333609" w:rsidRPr="005C338A">
        <w:rPr>
          <w:rFonts w:ascii="Times New Roman" w:eastAsiaTheme="minorHAnsi" w:hAnsi="Times New Roman" w:cs="Times New Roman"/>
          <w:sz w:val="22"/>
          <w:szCs w:val="22"/>
        </w:rPr>
        <w:t>)</w:t>
      </w:r>
      <w:r w:rsidR="00820A08" w:rsidRPr="005C338A">
        <w:rPr>
          <w:rFonts w:ascii="Times New Roman" w:eastAsiaTheme="minorHAnsi" w:hAnsi="Times New Roman" w:cs="Times New Roman"/>
          <w:sz w:val="22"/>
          <w:szCs w:val="22"/>
        </w:rPr>
        <w:t xml:space="preserve"> for the </w:t>
      </w:r>
      <w:r w:rsidR="00AB3165" w:rsidRPr="005C338A">
        <w:rPr>
          <w:rFonts w:ascii="Times New Roman" w:eastAsiaTheme="minorHAnsi" w:hAnsi="Times New Roman" w:cs="Times New Roman"/>
          <w:b/>
          <w:sz w:val="22"/>
          <w:szCs w:val="22"/>
        </w:rPr>
        <w:t>upfront pre-determined price</w:t>
      </w:r>
      <w:r w:rsidR="00820A08" w:rsidRPr="005C338A">
        <w:rPr>
          <w:rFonts w:ascii="Times New Roman" w:eastAsiaTheme="minorHAnsi" w:hAnsi="Times New Roman" w:cs="Times New Roman"/>
          <w:sz w:val="22"/>
          <w:szCs w:val="22"/>
        </w:rPr>
        <w:t>.</w:t>
      </w:r>
      <w:r w:rsidR="00F859E9" w:rsidRPr="005C338A">
        <w:rPr>
          <w:rFonts w:ascii="Times New Roman" w:eastAsiaTheme="minorHAnsi" w:hAnsi="Times New Roman" w:cs="Times New Roman"/>
          <w:sz w:val="22"/>
          <w:szCs w:val="22"/>
        </w:rPr>
        <w:t xml:space="preserve">  If a successful applicant chooses to pay the entire spectrum access charge up front, the upfront pre-determined price is the spectrum access charge for the spectrum licence to be issued to the successful applicant.</w:t>
      </w:r>
    </w:p>
    <w:p w14:paraId="348FBBF6" w14:textId="7ED2475D" w:rsidR="00AB3165" w:rsidRPr="005C338A" w:rsidRDefault="00AB3165" w:rsidP="00AB3165">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lastRenderedPageBreak/>
        <w:t xml:space="preserve">The </w:t>
      </w:r>
      <w:r w:rsidRPr="005C338A">
        <w:rPr>
          <w:rFonts w:ascii="Times New Roman" w:eastAsiaTheme="minorHAnsi" w:hAnsi="Times New Roman" w:cs="Times New Roman"/>
          <w:b/>
          <w:sz w:val="22"/>
          <w:szCs w:val="22"/>
        </w:rPr>
        <w:t>balance of the upfront pre-determined price</w:t>
      </w:r>
      <w:r w:rsidRPr="005C338A">
        <w:rPr>
          <w:rFonts w:ascii="Times New Roman" w:eastAsiaTheme="minorHAnsi" w:hAnsi="Times New Roman" w:cs="Times New Roman"/>
          <w:sz w:val="22"/>
          <w:szCs w:val="22"/>
        </w:rPr>
        <w:t xml:space="preserve"> for a spectrum licence is the upfront pre-determined price less the amount of any deposit paid by the applicant.</w:t>
      </w:r>
    </w:p>
    <w:p w14:paraId="2D3E4681" w14:textId="77777777" w:rsidR="00331396" w:rsidRDefault="00AB3165" w:rsidP="00331396">
      <w:pPr>
        <w:pStyle w:val="subsection"/>
      </w:pPr>
      <w:r w:rsidRPr="005C338A">
        <w:rPr>
          <w:rFonts w:eastAsiaTheme="minorHAnsi"/>
          <w:szCs w:val="22"/>
        </w:rPr>
        <w:t xml:space="preserve">The </w:t>
      </w:r>
      <w:r w:rsidRPr="005C338A">
        <w:rPr>
          <w:rFonts w:eastAsiaTheme="minorHAnsi"/>
          <w:b/>
          <w:szCs w:val="22"/>
        </w:rPr>
        <w:t>delayed pre-determined price</w:t>
      </w:r>
      <w:r w:rsidRPr="005C338A">
        <w:rPr>
          <w:rFonts w:eastAsiaTheme="minorHAnsi"/>
          <w:szCs w:val="22"/>
        </w:rPr>
        <w:t xml:space="preserve"> for a spectrum licence is </w:t>
      </w:r>
      <w:r w:rsidR="00331396" w:rsidRPr="00A21F1D">
        <w:t>the sum of:</w:t>
      </w:r>
    </w:p>
    <w:p w14:paraId="4923992E" w14:textId="77777777" w:rsidR="00331396" w:rsidRPr="005C338A" w:rsidRDefault="00331396" w:rsidP="005C338A">
      <w:pPr>
        <w:pStyle w:val="ACMABodyText"/>
        <w:tabs>
          <w:tab w:val="left" w:pos="851"/>
        </w:tabs>
        <w:ind w:left="851" w:hanging="567"/>
        <w:rPr>
          <w:rFonts w:eastAsiaTheme="minorHAnsi"/>
          <w:szCs w:val="22"/>
        </w:rPr>
      </w:pPr>
      <w:r w:rsidRPr="005C338A">
        <w:rPr>
          <w:rFonts w:ascii="Times New Roman" w:eastAsiaTheme="minorHAnsi" w:hAnsi="Times New Roman" w:cs="Times New Roman"/>
          <w:sz w:val="22"/>
          <w:szCs w:val="22"/>
        </w:rPr>
        <w:tab/>
        <w:t>(a)</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deposit paid by the successful applicant for the licence under section 38 (if any);</w:t>
      </w:r>
    </w:p>
    <w:p w14:paraId="75B85D23" w14:textId="77777777" w:rsidR="00331396" w:rsidRPr="005C338A" w:rsidRDefault="00331396" w:rsidP="005C338A">
      <w:pPr>
        <w:pStyle w:val="ACMABodyText"/>
        <w:tabs>
          <w:tab w:val="left" w:pos="851"/>
        </w:tabs>
        <w:ind w:left="851" w:hanging="567"/>
        <w:rPr>
          <w:rFonts w:eastAsiaTheme="minorHAnsi"/>
          <w:szCs w:val="22"/>
        </w:rPr>
      </w:pPr>
      <w:r w:rsidRPr="005C338A">
        <w:rPr>
          <w:rFonts w:ascii="Times New Roman" w:eastAsiaTheme="minorHAnsi" w:hAnsi="Times New Roman" w:cs="Times New Roman"/>
          <w:sz w:val="22"/>
          <w:szCs w:val="22"/>
        </w:rPr>
        <w:tab/>
        <w:t>(b)</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first instalment for the licence;</w:t>
      </w:r>
    </w:p>
    <w:p w14:paraId="56F9AF52" w14:textId="5F887058" w:rsidR="00A21F1D" w:rsidRPr="005C338A" w:rsidRDefault="00331396" w:rsidP="005C338A">
      <w:pPr>
        <w:pStyle w:val="ACMABodyText"/>
        <w:tabs>
          <w:tab w:val="left" w:pos="851"/>
        </w:tabs>
        <w:ind w:left="851" w:hanging="567"/>
        <w:rPr>
          <w:rFonts w:eastAsiaTheme="minorHAnsi"/>
          <w:szCs w:val="22"/>
        </w:rPr>
      </w:pPr>
      <w:r w:rsidRPr="005C338A">
        <w:rPr>
          <w:rFonts w:ascii="Times New Roman" w:eastAsiaTheme="minorHAnsi" w:hAnsi="Times New Roman" w:cs="Times New Roman"/>
          <w:sz w:val="22"/>
          <w:szCs w:val="22"/>
        </w:rPr>
        <w:tab/>
        <w:t>(c)</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second instalment for the licence; and</w:t>
      </w:r>
    </w:p>
    <w:p w14:paraId="516A2637" w14:textId="1E036928" w:rsidR="00331396" w:rsidRPr="005C338A" w:rsidRDefault="00A21F1D" w:rsidP="005C338A">
      <w:pPr>
        <w:pStyle w:val="ACMABodyText"/>
        <w:tabs>
          <w:tab w:val="left" w:pos="851"/>
        </w:tabs>
        <w:ind w:left="851" w:hanging="567"/>
        <w:rPr>
          <w:rFonts w:ascii="Times New Roman" w:eastAsiaTheme="minorHAnsi" w:hAnsi="Times New Roman" w:cs="Times New Roman"/>
          <w:sz w:val="22"/>
          <w:szCs w:val="22"/>
        </w:rPr>
      </w:pPr>
      <w:r w:rsidRPr="00A21F1D">
        <w:rPr>
          <w:rFonts w:ascii="Times New Roman" w:eastAsiaTheme="minorHAnsi" w:hAnsi="Times New Roman" w:cs="Times New Roman"/>
          <w:sz w:val="22"/>
          <w:szCs w:val="22"/>
        </w:rPr>
        <w:tab/>
      </w:r>
      <w:r w:rsidR="00331396" w:rsidRPr="005C338A">
        <w:rPr>
          <w:rFonts w:ascii="Times New Roman" w:eastAsiaTheme="minorHAnsi" w:hAnsi="Times New Roman" w:cs="Times New Roman"/>
          <w:sz w:val="22"/>
          <w:szCs w:val="22"/>
        </w:rPr>
        <w:t>(d)</w:t>
      </w:r>
      <w:r w:rsidRPr="00A21F1D">
        <w:rPr>
          <w:rFonts w:ascii="Times New Roman" w:eastAsiaTheme="minorHAnsi" w:hAnsi="Times New Roman" w:cs="Times New Roman"/>
          <w:sz w:val="22"/>
          <w:szCs w:val="22"/>
        </w:rPr>
        <w:tab/>
      </w:r>
      <w:proofErr w:type="gramStart"/>
      <w:r w:rsidR="00331396" w:rsidRPr="005C338A">
        <w:rPr>
          <w:rFonts w:ascii="Times New Roman" w:eastAsiaTheme="minorHAnsi" w:hAnsi="Times New Roman" w:cs="Times New Roman"/>
          <w:sz w:val="22"/>
          <w:szCs w:val="22"/>
        </w:rPr>
        <w:t>the</w:t>
      </w:r>
      <w:proofErr w:type="gramEnd"/>
      <w:r w:rsidR="00331396" w:rsidRPr="005C338A">
        <w:rPr>
          <w:rFonts w:ascii="Times New Roman" w:eastAsiaTheme="minorHAnsi" w:hAnsi="Times New Roman" w:cs="Times New Roman"/>
          <w:sz w:val="22"/>
          <w:szCs w:val="22"/>
        </w:rPr>
        <w:t xml:space="preserve"> third instalment for the licence.</w:t>
      </w:r>
    </w:p>
    <w:p w14:paraId="183E8F29" w14:textId="12A9F472" w:rsidR="00331396" w:rsidRPr="005C338A" w:rsidRDefault="00331396" w:rsidP="005C338A">
      <w:pPr>
        <w:pStyle w:val="ACMABodyText"/>
        <w:rPr>
          <w:rFonts w:eastAsiaTheme="minorHAnsi"/>
          <w:sz w:val="22"/>
          <w:szCs w:val="22"/>
        </w:rPr>
      </w:pPr>
      <w:r w:rsidRPr="005C338A">
        <w:rPr>
          <w:rFonts w:ascii="Times New Roman" w:eastAsiaTheme="minorHAnsi" w:hAnsi="Times New Roman" w:cs="Times New Roman"/>
          <w:sz w:val="22"/>
          <w:szCs w:val="22"/>
        </w:rPr>
        <w:t>The first, second and third instalments to be paid in relation to a spectrum licence are calculated by reference to the starting prices for the lots to be included in the licence (see section 46).  The starting price is set by the ACMA under subsection 28(1).  The ACMA must set starting prices in a manner that is consistent with</w:t>
      </w:r>
      <w:r w:rsidR="00A21F1D">
        <w:rPr>
          <w:rFonts w:ascii="Times New Roman" w:eastAsiaTheme="minorHAnsi" w:hAnsi="Times New Roman" w:cs="Times New Roman"/>
          <w:sz w:val="22"/>
          <w:szCs w:val="22"/>
        </w:rPr>
        <w:t xml:space="preserve"> the </w:t>
      </w:r>
      <w:r w:rsidRPr="005C338A">
        <w:rPr>
          <w:rFonts w:ascii="Times New Roman" w:eastAsiaTheme="minorHAnsi" w:hAnsi="Times New Roman" w:cs="Times New Roman"/>
          <w:sz w:val="22"/>
          <w:szCs w:val="22"/>
        </w:rPr>
        <w:t>Residual 700 MHz Spectrum Direction.</w:t>
      </w:r>
    </w:p>
    <w:p w14:paraId="24C959A7" w14:textId="760D7C24" w:rsidR="00B359F3" w:rsidRPr="005C338A" w:rsidRDefault="00B359F3" w:rsidP="005C338A">
      <w:pPr>
        <w:pStyle w:val="ACMABodyText"/>
        <w:rPr>
          <w:rFonts w:eastAsiaTheme="minorHAnsi"/>
          <w:sz w:val="22"/>
          <w:szCs w:val="22"/>
        </w:rPr>
      </w:pPr>
      <w:r w:rsidRPr="005C338A">
        <w:rPr>
          <w:rFonts w:ascii="Times New Roman" w:eastAsiaTheme="minorHAnsi" w:hAnsi="Times New Roman" w:cs="Times New Roman"/>
          <w:sz w:val="22"/>
          <w:szCs w:val="22"/>
        </w:rPr>
        <w:t xml:space="preserve">The sum of the </w:t>
      </w:r>
      <w:r w:rsidR="00A21F1D">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present value</w:t>
      </w:r>
      <w:r w:rsidR="00A21F1D">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 xml:space="preserve"> of each of the instalments, and of the deposit (if any), is the same as the sum of the starting prices for the lots to be included in the licence, when calculated in accordance with the Residual 700 MHz Spectrum Direction.</w:t>
      </w:r>
      <w:r w:rsidR="00A21F1D">
        <w:rPr>
          <w:rFonts w:ascii="Times New Roman" w:eastAsiaTheme="minorHAnsi" w:hAnsi="Times New Roman" w:cs="Times New Roman"/>
          <w:sz w:val="22"/>
          <w:szCs w:val="22"/>
        </w:rPr>
        <w:t xml:space="preserve">  See below for further discussion on the calculation of the instalments.</w:t>
      </w:r>
    </w:p>
    <w:p w14:paraId="038656A6" w14:textId="601ABCBB" w:rsidR="007C43CA" w:rsidRPr="00937F02" w:rsidRDefault="007C43CA" w:rsidP="00937F02">
      <w:pPr>
        <w:keepNext/>
        <w:spacing w:after="160" w:line="259" w:lineRule="auto"/>
        <w:rPr>
          <w:rFonts w:eastAsiaTheme="minorHAnsi"/>
          <w:b/>
          <w:sz w:val="22"/>
          <w:szCs w:val="22"/>
          <w:lang w:eastAsia="en-US"/>
        </w:rPr>
      </w:pPr>
      <w:r w:rsidRPr="00937F02">
        <w:rPr>
          <w:rFonts w:eastAsiaTheme="minorHAnsi"/>
          <w:b/>
          <w:sz w:val="22"/>
          <w:szCs w:val="22"/>
          <w:lang w:eastAsia="en-US"/>
        </w:rPr>
        <w:t xml:space="preserve">Section </w:t>
      </w:r>
      <w:r w:rsidR="00FD7F7B" w:rsidRPr="00937F02">
        <w:rPr>
          <w:rFonts w:eastAsiaTheme="minorHAnsi"/>
          <w:b/>
          <w:sz w:val="22"/>
          <w:szCs w:val="22"/>
          <w:lang w:eastAsia="en-US"/>
        </w:rPr>
        <w:t>4</w:t>
      </w:r>
      <w:r w:rsidR="00AB3165" w:rsidRPr="00937F02">
        <w:rPr>
          <w:rFonts w:eastAsiaTheme="minorHAnsi"/>
          <w:b/>
          <w:sz w:val="22"/>
          <w:szCs w:val="22"/>
          <w:lang w:eastAsia="en-US"/>
        </w:rPr>
        <w:t>4</w:t>
      </w:r>
      <w:r w:rsidRPr="00937F02">
        <w:rPr>
          <w:rFonts w:eastAsiaTheme="minorHAnsi"/>
          <w:b/>
          <w:sz w:val="22"/>
          <w:szCs w:val="22"/>
          <w:lang w:eastAsia="en-US"/>
        </w:rPr>
        <w:tab/>
        <w:t>Offer of spectrum licence</w:t>
      </w:r>
      <w:r w:rsidR="00FD7F7B" w:rsidRPr="00937F02">
        <w:rPr>
          <w:rFonts w:eastAsiaTheme="minorHAnsi"/>
          <w:b/>
          <w:sz w:val="22"/>
          <w:szCs w:val="22"/>
          <w:lang w:eastAsia="en-US"/>
        </w:rPr>
        <w:t xml:space="preserve"> and decision on pre-determined price</w:t>
      </w:r>
    </w:p>
    <w:p w14:paraId="53B6C9C3" w14:textId="59C80BD0" w:rsidR="007C43CA" w:rsidRPr="00937F02" w:rsidRDefault="00824D5D" w:rsidP="00B95DEE">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 xml:space="preserve">This section sets out the procedures that the ACMA will undertake when offering spectrum licences </w:t>
      </w:r>
      <w:r w:rsidR="00A153C7">
        <w:rPr>
          <w:rFonts w:ascii="Times New Roman" w:eastAsiaTheme="minorHAnsi" w:hAnsi="Times New Roman" w:cs="Times New Roman"/>
          <w:sz w:val="22"/>
          <w:szCs w:val="22"/>
        </w:rPr>
        <w:t>for</w:t>
      </w:r>
      <w:r w:rsidRPr="00937F02">
        <w:rPr>
          <w:rFonts w:ascii="Times New Roman" w:eastAsiaTheme="minorHAnsi" w:hAnsi="Times New Roman" w:cs="Times New Roman"/>
          <w:sz w:val="22"/>
          <w:szCs w:val="22"/>
        </w:rPr>
        <w:t xml:space="preserve"> a pre-determined price. </w:t>
      </w:r>
      <w:r w:rsidR="00A21F1D">
        <w:rPr>
          <w:rFonts w:ascii="Times New Roman" w:eastAsiaTheme="minorHAnsi" w:hAnsi="Times New Roman" w:cs="Times New Roman"/>
          <w:sz w:val="22"/>
          <w:szCs w:val="22"/>
        </w:rPr>
        <w:t xml:space="preserve"> </w:t>
      </w:r>
      <w:r w:rsidR="007C43CA" w:rsidRPr="00937F02">
        <w:rPr>
          <w:rFonts w:ascii="Times New Roman" w:eastAsiaTheme="minorHAnsi" w:hAnsi="Times New Roman" w:cs="Times New Roman"/>
          <w:sz w:val="22"/>
          <w:szCs w:val="22"/>
        </w:rPr>
        <w:t xml:space="preserve">The ACMA will send each </w:t>
      </w:r>
      <w:r w:rsidR="00E22627">
        <w:rPr>
          <w:rFonts w:ascii="Times New Roman" w:eastAsiaTheme="minorHAnsi" w:hAnsi="Times New Roman" w:cs="Times New Roman"/>
          <w:sz w:val="22"/>
          <w:szCs w:val="22"/>
        </w:rPr>
        <w:t xml:space="preserve">relevant </w:t>
      </w:r>
      <w:r w:rsidR="007C43CA" w:rsidRPr="00937F02">
        <w:rPr>
          <w:rFonts w:ascii="Times New Roman" w:eastAsiaTheme="minorHAnsi" w:hAnsi="Times New Roman" w:cs="Times New Roman"/>
          <w:sz w:val="22"/>
          <w:szCs w:val="22"/>
        </w:rPr>
        <w:t>applicant, by re</w:t>
      </w:r>
      <w:r w:rsidR="002D5DCC" w:rsidRPr="00937F02">
        <w:rPr>
          <w:rFonts w:ascii="Times New Roman" w:eastAsiaTheme="minorHAnsi" w:hAnsi="Times New Roman" w:cs="Times New Roman"/>
          <w:sz w:val="22"/>
          <w:szCs w:val="22"/>
        </w:rPr>
        <w:t>gistered</w:t>
      </w:r>
      <w:r w:rsidR="007C43CA" w:rsidRPr="00937F02">
        <w:rPr>
          <w:rFonts w:ascii="Times New Roman" w:eastAsiaTheme="minorHAnsi" w:hAnsi="Times New Roman" w:cs="Times New Roman"/>
          <w:sz w:val="22"/>
          <w:szCs w:val="22"/>
        </w:rPr>
        <w:t xml:space="preserve"> mail</w:t>
      </w:r>
      <w:r w:rsidR="00D553FA" w:rsidRPr="00937F02">
        <w:rPr>
          <w:rFonts w:ascii="Times New Roman" w:eastAsiaTheme="minorHAnsi" w:hAnsi="Times New Roman" w:cs="Times New Roman"/>
          <w:sz w:val="22"/>
          <w:szCs w:val="22"/>
        </w:rPr>
        <w:t>,</w:t>
      </w:r>
      <w:r w:rsidR="00B95DEE" w:rsidRPr="00937F02">
        <w:rPr>
          <w:rFonts w:ascii="Times New Roman" w:eastAsiaTheme="minorHAnsi" w:hAnsi="Times New Roman" w:cs="Times New Roman"/>
          <w:sz w:val="22"/>
          <w:szCs w:val="22"/>
        </w:rPr>
        <w:t xml:space="preserve"> </w:t>
      </w:r>
      <w:r w:rsidR="007C43CA" w:rsidRPr="00937F02">
        <w:rPr>
          <w:rFonts w:ascii="Times New Roman" w:eastAsiaTheme="minorHAnsi" w:hAnsi="Times New Roman" w:cs="Times New Roman"/>
          <w:sz w:val="22"/>
          <w:szCs w:val="22"/>
        </w:rPr>
        <w:t>a draft of the spectrum licence or licences</w:t>
      </w:r>
      <w:r w:rsidR="00E22627">
        <w:rPr>
          <w:rFonts w:ascii="Times New Roman" w:eastAsiaTheme="minorHAnsi" w:hAnsi="Times New Roman" w:cs="Times New Roman"/>
          <w:sz w:val="22"/>
          <w:szCs w:val="22"/>
        </w:rPr>
        <w:t xml:space="preserve"> that may be allocated to the applicant</w:t>
      </w:r>
      <w:r w:rsidR="007C43CA" w:rsidRPr="00937F02">
        <w:rPr>
          <w:rFonts w:ascii="Times New Roman" w:eastAsiaTheme="minorHAnsi" w:hAnsi="Times New Roman" w:cs="Times New Roman"/>
          <w:sz w:val="22"/>
          <w:szCs w:val="22"/>
        </w:rPr>
        <w:t xml:space="preserve"> and</w:t>
      </w:r>
      <w:r w:rsidR="00B95DEE" w:rsidRPr="00937F02">
        <w:rPr>
          <w:rFonts w:ascii="Times New Roman" w:eastAsiaTheme="minorHAnsi" w:hAnsi="Times New Roman" w:cs="Times New Roman"/>
          <w:sz w:val="22"/>
          <w:szCs w:val="22"/>
        </w:rPr>
        <w:t xml:space="preserve"> </w:t>
      </w:r>
      <w:r w:rsidR="007C43CA" w:rsidRPr="00937F02">
        <w:rPr>
          <w:rFonts w:ascii="Times New Roman" w:eastAsiaTheme="minorHAnsi" w:hAnsi="Times New Roman" w:cs="Times New Roman"/>
          <w:sz w:val="22"/>
          <w:szCs w:val="22"/>
        </w:rPr>
        <w:t>a notice stating:</w:t>
      </w:r>
    </w:p>
    <w:p w14:paraId="2667252B" w14:textId="46675037" w:rsidR="007C43CA" w:rsidRPr="009311BF" w:rsidRDefault="00937F02" w:rsidP="00937F02">
      <w:pPr>
        <w:pStyle w:val="ACMABodyText"/>
        <w:tabs>
          <w:tab w:val="left" w:pos="851"/>
        </w:tabs>
        <w:ind w:left="851" w:hanging="567"/>
        <w:rPr>
          <w:rFonts w:ascii="Times New Roman" w:eastAsiaTheme="minorHAnsi" w:hAnsi="Times New Roman" w:cs="Times New Roman"/>
          <w:sz w:val="22"/>
          <w:szCs w:val="22"/>
        </w:rPr>
      </w:pPr>
      <w:r w:rsidRPr="009311BF">
        <w:rPr>
          <w:rFonts w:ascii="Times New Roman" w:eastAsiaTheme="minorHAnsi" w:hAnsi="Times New Roman" w:cs="Times New Roman"/>
          <w:sz w:val="22"/>
          <w:szCs w:val="22"/>
        </w:rPr>
        <w:t>(a)</w:t>
      </w:r>
      <w:r w:rsidRPr="009311BF">
        <w:rPr>
          <w:rFonts w:ascii="Times New Roman" w:eastAsiaTheme="minorHAnsi" w:hAnsi="Times New Roman" w:cs="Times New Roman"/>
          <w:sz w:val="22"/>
          <w:szCs w:val="22"/>
        </w:rPr>
        <w:tab/>
      </w:r>
      <w:proofErr w:type="gramStart"/>
      <w:r w:rsidR="007C43CA" w:rsidRPr="009311BF">
        <w:rPr>
          <w:rFonts w:ascii="Times New Roman" w:eastAsiaTheme="minorHAnsi" w:hAnsi="Times New Roman" w:cs="Times New Roman"/>
          <w:sz w:val="22"/>
          <w:szCs w:val="22"/>
        </w:rPr>
        <w:t>that</w:t>
      </w:r>
      <w:proofErr w:type="gramEnd"/>
      <w:r w:rsidR="007C43CA" w:rsidRPr="009311BF">
        <w:rPr>
          <w:rFonts w:ascii="Times New Roman" w:eastAsiaTheme="minorHAnsi" w:hAnsi="Times New Roman" w:cs="Times New Roman"/>
          <w:sz w:val="22"/>
          <w:szCs w:val="22"/>
        </w:rPr>
        <w:t xml:space="preserve"> the applicant is offered a spectrum licence for the </w:t>
      </w:r>
      <w:r w:rsidR="002D5DCC" w:rsidRPr="009311BF">
        <w:rPr>
          <w:rFonts w:ascii="Times New Roman" w:eastAsiaTheme="minorHAnsi" w:hAnsi="Times New Roman" w:cs="Times New Roman"/>
          <w:sz w:val="22"/>
          <w:szCs w:val="22"/>
        </w:rPr>
        <w:t xml:space="preserve">relevant </w:t>
      </w:r>
      <w:r w:rsidR="007C43CA" w:rsidRPr="009311BF">
        <w:rPr>
          <w:rFonts w:ascii="Times New Roman" w:eastAsiaTheme="minorHAnsi" w:hAnsi="Times New Roman" w:cs="Times New Roman"/>
          <w:sz w:val="22"/>
          <w:szCs w:val="22"/>
        </w:rPr>
        <w:t>lots</w:t>
      </w:r>
      <w:r w:rsidR="00F95563" w:rsidRPr="009311BF">
        <w:rPr>
          <w:rFonts w:ascii="Times New Roman" w:eastAsiaTheme="minorHAnsi" w:hAnsi="Times New Roman" w:cs="Times New Roman"/>
          <w:sz w:val="22"/>
          <w:szCs w:val="22"/>
        </w:rPr>
        <w:t xml:space="preserve"> to be included in that licence</w:t>
      </w:r>
      <w:r w:rsidR="007C43CA" w:rsidRPr="009311BF">
        <w:rPr>
          <w:rFonts w:ascii="Times New Roman" w:eastAsiaTheme="minorHAnsi" w:hAnsi="Times New Roman" w:cs="Times New Roman"/>
          <w:sz w:val="22"/>
          <w:szCs w:val="22"/>
        </w:rPr>
        <w:t xml:space="preserve">; </w:t>
      </w:r>
    </w:p>
    <w:p w14:paraId="5E09A89A" w14:textId="55EC3D35" w:rsidR="007C43CA" w:rsidRPr="005C338A" w:rsidRDefault="00937F02" w:rsidP="00937F02">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b/>
      </w:r>
      <w:proofErr w:type="gramStart"/>
      <w:r w:rsidR="007C43CA" w:rsidRPr="005C338A">
        <w:rPr>
          <w:rFonts w:ascii="Times New Roman" w:eastAsiaTheme="minorHAnsi" w:hAnsi="Times New Roman" w:cs="Times New Roman"/>
          <w:sz w:val="22"/>
          <w:szCs w:val="22"/>
        </w:rPr>
        <w:t>the</w:t>
      </w:r>
      <w:proofErr w:type="gramEnd"/>
      <w:r w:rsidR="007C43CA" w:rsidRPr="005C338A">
        <w:rPr>
          <w:rFonts w:ascii="Times New Roman" w:eastAsiaTheme="minorHAnsi" w:hAnsi="Times New Roman" w:cs="Times New Roman"/>
          <w:sz w:val="22"/>
          <w:szCs w:val="22"/>
        </w:rPr>
        <w:t xml:space="preserve"> amount of the </w:t>
      </w:r>
      <w:r w:rsidR="00F95563" w:rsidRPr="005C338A">
        <w:rPr>
          <w:rFonts w:ascii="Times New Roman" w:eastAsiaTheme="minorHAnsi" w:hAnsi="Times New Roman" w:cs="Times New Roman"/>
          <w:sz w:val="22"/>
          <w:szCs w:val="22"/>
        </w:rPr>
        <w:t xml:space="preserve">upfront </w:t>
      </w:r>
      <w:r w:rsidR="007C43CA" w:rsidRPr="005C338A">
        <w:rPr>
          <w:rFonts w:ascii="Times New Roman" w:eastAsiaTheme="minorHAnsi" w:hAnsi="Times New Roman" w:cs="Times New Roman"/>
          <w:sz w:val="22"/>
          <w:szCs w:val="22"/>
        </w:rPr>
        <w:t>pre</w:t>
      </w:r>
      <w:r w:rsidR="007C43CA" w:rsidRPr="005C338A">
        <w:rPr>
          <w:rFonts w:ascii="Times New Roman" w:eastAsiaTheme="minorHAnsi" w:hAnsi="Times New Roman" w:cs="Times New Roman"/>
          <w:sz w:val="22"/>
          <w:szCs w:val="22"/>
        </w:rPr>
        <w:noBreakHyphen/>
        <w:t xml:space="preserve">determined price payable for </w:t>
      </w:r>
      <w:r w:rsidR="00F95563" w:rsidRPr="005C338A">
        <w:rPr>
          <w:rFonts w:ascii="Times New Roman" w:eastAsiaTheme="minorHAnsi" w:hAnsi="Times New Roman" w:cs="Times New Roman"/>
          <w:sz w:val="22"/>
          <w:szCs w:val="22"/>
        </w:rPr>
        <w:t xml:space="preserve">the </w:t>
      </w:r>
      <w:r w:rsidR="007C43CA" w:rsidRPr="005C338A">
        <w:rPr>
          <w:rFonts w:ascii="Times New Roman" w:eastAsiaTheme="minorHAnsi" w:hAnsi="Times New Roman" w:cs="Times New Roman"/>
          <w:sz w:val="22"/>
          <w:szCs w:val="22"/>
        </w:rPr>
        <w:t>licence</w:t>
      </w:r>
      <w:r w:rsidR="00F95563" w:rsidRPr="005C338A">
        <w:rPr>
          <w:rFonts w:ascii="Times New Roman" w:eastAsiaTheme="minorHAnsi" w:hAnsi="Times New Roman" w:cs="Times New Roman"/>
          <w:sz w:val="22"/>
          <w:szCs w:val="22"/>
        </w:rPr>
        <w:t>;</w:t>
      </w:r>
      <w:r w:rsidR="007C43CA" w:rsidRPr="005C338A">
        <w:rPr>
          <w:rFonts w:ascii="Times New Roman" w:eastAsiaTheme="minorHAnsi" w:hAnsi="Times New Roman" w:cs="Times New Roman"/>
          <w:sz w:val="22"/>
          <w:szCs w:val="22"/>
        </w:rPr>
        <w:t xml:space="preserve"> </w:t>
      </w:r>
    </w:p>
    <w:p w14:paraId="095BC0AD" w14:textId="62F50A45" w:rsidR="00F95563" w:rsidRPr="00937F02" w:rsidRDefault="00937F02" w:rsidP="00937F02">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(c)</w:t>
      </w:r>
      <w:r w:rsidRPr="005C338A">
        <w:rPr>
          <w:rFonts w:ascii="Times New Roman" w:eastAsiaTheme="minorHAnsi" w:hAnsi="Times New Roman" w:cs="Times New Roman"/>
          <w:sz w:val="22"/>
          <w:szCs w:val="22"/>
        </w:rPr>
        <w:tab/>
      </w:r>
      <w:proofErr w:type="gramStart"/>
      <w:r w:rsidR="00F95563" w:rsidRPr="005C338A">
        <w:rPr>
          <w:rFonts w:ascii="Times New Roman" w:eastAsiaTheme="minorHAnsi" w:hAnsi="Times New Roman" w:cs="Times New Roman"/>
          <w:sz w:val="22"/>
          <w:szCs w:val="22"/>
        </w:rPr>
        <w:t>the</w:t>
      </w:r>
      <w:proofErr w:type="gramEnd"/>
      <w:r w:rsidR="00F95563" w:rsidRPr="005C338A">
        <w:rPr>
          <w:rFonts w:ascii="Times New Roman" w:eastAsiaTheme="minorHAnsi" w:hAnsi="Times New Roman" w:cs="Times New Roman"/>
          <w:sz w:val="22"/>
          <w:szCs w:val="22"/>
        </w:rPr>
        <w:t xml:space="preserve"> amount of the delayed pre</w:t>
      </w:r>
      <w:r w:rsidR="00F95563" w:rsidRPr="005C338A">
        <w:rPr>
          <w:rFonts w:ascii="Times New Roman" w:eastAsiaTheme="minorHAnsi" w:hAnsi="Times New Roman" w:cs="Times New Roman"/>
          <w:sz w:val="22"/>
          <w:szCs w:val="22"/>
        </w:rPr>
        <w:noBreakHyphen/>
        <w:t>determined price payable for the licence;</w:t>
      </w:r>
      <w:r w:rsidR="00F95563" w:rsidRPr="00937F02">
        <w:rPr>
          <w:rFonts w:ascii="Times New Roman" w:eastAsiaTheme="minorHAnsi" w:hAnsi="Times New Roman" w:cs="Times New Roman"/>
          <w:sz w:val="22"/>
          <w:szCs w:val="22"/>
        </w:rPr>
        <w:t xml:space="preserve"> </w:t>
      </w:r>
    </w:p>
    <w:p w14:paraId="33960ED0" w14:textId="027F0A05" w:rsidR="007C43CA" w:rsidRPr="00937F02" w:rsidRDefault="00937F02" w:rsidP="00937F02">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(d)</w:t>
      </w:r>
      <w:r>
        <w:rPr>
          <w:rFonts w:ascii="Times New Roman" w:eastAsiaTheme="minorHAnsi" w:hAnsi="Times New Roman" w:cs="Times New Roman"/>
          <w:sz w:val="22"/>
          <w:szCs w:val="22"/>
        </w:rPr>
        <w:tab/>
      </w:r>
      <w:proofErr w:type="gramStart"/>
      <w:r w:rsidR="007C43CA" w:rsidRPr="00937F02">
        <w:rPr>
          <w:rFonts w:ascii="Times New Roman" w:eastAsiaTheme="minorHAnsi" w:hAnsi="Times New Roman" w:cs="Times New Roman"/>
          <w:sz w:val="22"/>
          <w:szCs w:val="22"/>
        </w:rPr>
        <w:t>the</w:t>
      </w:r>
      <w:proofErr w:type="gramEnd"/>
      <w:r w:rsidR="007C43CA" w:rsidRPr="00937F02">
        <w:rPr>
          <w:rFonts w:ascii="Times New Roman" w:eastAsiaTheme="minorHAnsi" w:hAnsi="Times New Roman" w:cs="Times New Roman"/>
          <w:sz w:val="22"/>
          <w:szCs w:val="22"/>
        </w:rPr>
        <w:t xml:space="preserve"> amount of any </w:t>
      </w:r>
      <w:r w:rsidR="00296C9F" w:rsidRPr="00937F02">
        <w:rPr>
          <w:rFonts w:ascii="Times New Roman" w:eastAsiaTheme="minorHAnsi" w:hAnsi="Times New Roman" w:cs="Times New Roman"/>
          <w:sz w:val="22"/>
          <w:szCs w:val="22"/>
        </w:rPr>
        <w:t>deposit</w:t>
      </w:r>
      <w:r w:rsidR="004B711E" w:rsidRPr="00937F02">
        <w:rPr>
          <w:rFonts w:ascii="Times New Roman" w:eastAsiaTheme="minorHAnsi" w:hAnsi="Times New Roman" w:cs="Times New Roman"/>
          <w:sz w:val="22"/>
          <w:szCs w:val="22"/>
        </w:rPr>
        <w:t xml:space="preserve"> </w:t>
      </w:r>
      <w:r w:rsidR="00E22627">
        <w:rPr>
          <w:rFonts w:ascii="Times New Roman" w:eastAsiaTheme="minorHAnsi" w:hAnsi="Times New Roman" w:cs="Times New Roman"/>
          <w:sz w:val="22"/>
          <w:szCs w:val="22"/>
        </w:rPr>
        <w:t>paid</w:t>
      </w:r>
      <w:r w:rsidR="00E22627" w:rsidRPr="00937F02">
        <w:rPr>
          <w:rFonts w:ascii="Times New Roman" w:eastAsiaTheme="minorHAnsi" w:hAnsi="Times New Roman" w:cs="Times New Roman"/>
          <w:sz w:val="22"/>
          <w:szCs w:val="22"/>
        </w:rPr>
        <w:t xml:space="preserve"> </w:t>
      </w:r>
      <w:r w:rsidR="007C43CA" w:rsidRPr="00937F02">
        <w:rPr>
          <w:rFonts w:ascii="Times New Roman" w:eastAsiaTheme="minorHAnsi" w:hAnsi="Times New Roman" w:cs="Times New Roman"/>
          <w:sz w:val="22"/>
          <w:szCs w:val="22"/>
        </w:rPr>
        <w:t>by the applicant and held by the ACMA</w:t>
      </w:r>
      <w:r w:rsidR="00F95563" w:rsidRPr="00937F02">
        <w:rPr>
          <w:rFonts w:ascii="Times New Roman" w:eastAsiaTheme="minorHAnsi" w:hAnsi="Times New Roman" w:cs="Times New Roman"/>
          <w:sz w:val="22"/>
          <w:szCs w:val="22"/>
        </w:rPr>
        <w:t xml:space="preserve"> or the Commonwealth</w:t>
      </w:r>
      <w:r w:rsidR="007C43CA" w:rsidRPr="00937F02">
        <w:rPr>
          <w:rFonts w:ascii="Times New Roman" w:eastAsiaTheme="minorHAnsi" w:hAnsi="Times New Roman" w:cs="Times New Roman"/>
          <w:sz w:val="22"/>
          <w:szCs w:val="22"/>
        </w:rPr>
        <w:t xml:space="preserve">; </w:t>
      </w:r>
    </w:p>
    <w:p w14:paraId="0F52B2FC" w14:textId="6541ED5A" w:rsidR="00096E06" w:rsidRPr="00937F02" w:rsidRDefault="00937F02" w:rsidP="00937F02">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(e)</w:t>
      </w:r>
      <w:r>
        <w:rPr>
          <w:rFonts w:ascii="Times New Roman" w:eastAsiaTheme="minorHAnsi" w:hAnsi="Times New Roman" w:cs="Times New Roman"/>
          <w:sz w:val="22"/>
          <w:szCs w:val="22"/>
        </w:rPr>
        <w:tab/>
      </w:r>
      <w:proofErr w:type="gramStart"/>
      <w:r w:rsidR="007C43CA" w:rsidRPr="00937F02">
        <w:rPr>
          <w:rFonts w:ascii="Times New Roman" w:eastAsiaTheme="minorHAnsi" w:hAnsi="Times New Roman" w:cs="Times New Roman"/>
          <w:sz w:val="22"/>
          <w:szCs w:val="22"/>
        </w:rPr>
        <w:t>the</w:t>
      </w:r>
      <w:proofErr w:type="gramEnd"/>
      <w:r w:rsidR="007C43CA" w:rsidRPr="00937F02">
        <w:rPr>
          <w:rFonts w:ascii="Times New Roman" w:eastAsiaTheme="minorHAnsi" w:hAnsi="Times New Roman" w:cs="Times New Roman"/>
          <w:sz w:val="22"/>
          <w:szCs w:val="22"/>
        </w:rPr>
        <w:t xml:space="preserve"> balance of the </w:t>
      </w:r>
      <w:r w:rsidR="00F95563" w:rsidRPr="00937F02">
        <w:rPr>
          <w:rFonts w:ascii="Times New Roman" w:eastAsiaTheme="minorHAnsi" w:hAnsi="Times New Roman" w:cs="Times New Roman"/>
          <w:sz w:val="22"/>
          <w:szCs w:val="22"/>
        </w:rPr>
        <w:t xml:space="preserve">upfront </w:t>
      </w:r>
      <w:r w:rsidR="007C43CA" w:rsidRPr="00937F02">
        <w:rPr>
          <w:rFonts w:ascii="Times New Roman" w:eastAsiaTheme="minorHAnsi" w:hAnsi="Times New Roman" w:cs="Times New Roman"/>
          <w:sz w:val="22"/>
          <w:szCs w:val="22"/>
        </w:rPr>
        <w:t>pre</w:t>
      </w:r>
      <w:r w:rsidR="007C43CA" w:rsidRPr="00937F02">
        <w:rPr>
          <w:rFonts w:ascii="Times New Roman" w:eastAsiaTheme="minorHAnsi" w:hAnsi="Times New Roman" w:cs="Times New Roman"/>
          <w:sz w:val="22"/>
          <w:szCs w:val="22"/>
        </w:rPr>
        <w:noBreakHyphen/>
        <w:t>determined price</w:t>
      </w:r>
      <w:r w:rsidR="004B711E" w:rsidRPr="00937F02">
        <w:rPr>
          <w:rFonts w:ascii="Times New Roman" w:eastAsiaTheme="minorHAnsi" w:hAnsi="Times New Roman" w:cs="Times New Roman"/>
          <w:sz w:val="22"/>
          <w:szCs w:val="22"/>
        </w:rPr>
        <w:t>.</w:t>
      </w:r>
    </w:p>
    <w:p w14:paraId="5C8C5982" w14:textId="2148114A" w:rsidR="00096E06" w:rsidRPr="00937F02" w:rsidRDefault="007C43CA" w:rsidP="00096E06">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An applicant who wishes to accept the ACMA’s offer must do so by notifying the ACMA in writing within</w:t>
      </w:r>
      <w:r w:rsidR="00BC2012" w:rsidRPr="00937F02">
        <w:rPr>
          <w:rFonts w:ascii="Times New Roman" w:eastAsiaTheme="minorHAnsi" w:hAnsi="Times New Roman" w:cs="Times New Roman"/>
          <w:sz w:val="22"/>
          <w:szCs w:val="22"/>
        </w:rPr>
        <w:t xml:space="preserve"> </w:t>
      </w:r>
      <w:r w:rsidR="00F95563" w:rsidRPr="00937F02">
        <w:rPr>
          <w:rFonts w:ascii="Times New Roman" w:eastAsiaTheme="minorHAnsi" w:hAnsi="Times New Roman" w:cs="Times New Roman"/>
          <w:sz w:val="22"/>
          <w:szCs w:val="22"/>
        </w:rPr>
        <w:t>10</w:t>
      </w:r>
      <w:r w:rsidRPr="00937F02">
        <w:rPr>
          <w:rFonts w:ascii="Times New Roman" w:eastAsiaTheme="minorHAnsi" w:hAnsi="Times New Roman" w:cs="Times New Roman"/>
          <w:sz w:val="22"/>
          <w:szCs w:val="22"/>
        </w:rPr>
        <w:t xml:space="preserve"> working days of receiving the offer and agreeing, in writing, to pay</w:t>
      </w:r>
      <w:r w:rsidR="00F95563" w:rsidRPr="00937F02">
        <w:rPr>
          <w:rFonts w:ascii="Times New Roman" w:eastAsiaTheme="minorHAnsi" w:hAnsi="Times New Roman" w:cs="Times New Roman"/>
          <w:sz w:val="22"/>
          <w:szCs w:val="22"/>
        </w:rPr>
        <w:t xml:space="preserve"> either</w:t>
      </w:r>
      <w:r w:rsidRPr="00937F02">
        <w:rPr>
          <w:rFonts w:ascii="Times New Roman" w:eastAsiaTheme="minorHAnsi" w:hAnsi="Times New Roman" w:cs="Times New Roman"/>
          <w:sz w:val="22"/>
          <w:szCs w:val="22"/>
        </w:rPr>
        <w:t xml:space="preserve"> the balance of the </w:t>
      </w:r>
      <w:r w:rsidR="00E22627">
        <w:rPr>
          <w:rFonts w:ascii="Times New Roman" w:eastAsiaTheme="minorHAnsi" w:hAnsi="Times New Roman" w:cs="Times New Roman"/>
          <w:sz w:val="22"/>
          <w:szCs w:val="22"/>
        </w:rPr>
        <w:t xml:space="preserve">upfront </w:t>
      </w:r>
      <w:r w:rsidRPr="00937F02">
        <w:rPr>
          <w:rFonts w:ascii="Times New Roman" w:eastAsiaTheme="minorHAnsi" w:hAnsi="Times New Roman" w:cs="Times New Roman"/>
          <w:sz w:val="22"/>
          <w:szCs w:val="22"/>
        </w:rPr>
        <w:t>pre</w:t>
      </w:r>
      <w:r w:rsidRPr="00937F02">
        <w:rPr>
          <w:rFonts w:ascii="Times New Roman" w:eastAsiaTheme="minorHAnsi" w:hAnsi="Times New Roman" w:cs="Times New Roman"/>
          <w:sz w:val="22"/>
          <w:szCs w:val="22"/>
        </w:rPr>
        <w:noBreakHyphen/>
        <w:t>determined price</w:t>
      </w:r>
      <w:r w:rsidR="00934DBB" w:rsidRPr="00937F02">
        <w:rPr>
          <w:rFonts w:ascii="Times New Roman" w:eastAsiaTheme="minorHAnsi" w:hAnsi="Times New Roman" w:cs="Times New Roman"/>
          <w:sz w:val="22"/>
          <w:szCs w:val="22"/>
        </w:rPr>
        <w:t xml:space="preserve"> for </w:t>
      </w:r>
      <w:r w:rsidR="000A0FCA" w:rsidRPr="00937F02">
        <w:rPr>
          <w:rFonts w:ascii="Times New Roman" w:eastAsiaTheme="minorHAnsi" w:hAnsi="Times New Roman" w:cs="Times New Roman"/>
          <w:sz w:val="22"/>
          <w:szCs w:val="22"/>
        </w:rPr>
        <w:t xml:space="preserve">the </w:t>
      </w:r>
      <w:r w:rsidR="00934DBB" w:rsidRPr="00937F02">
        <w:rPr>
          <w:rFonts w:ascii="Times New Roman" w:eastAsiaTheme="minorHAnsi" w:hAnsi="Times New Roman" w:cs="Times New Roman"/>
          <w:sz w:val="22"/>
          <w:szCs w:val="22"/>
        </w:rPr>
        <w:t>spectrum licence</w:t>
      </w:r>
      <w:r w:rsidR="000A0FCA" w:rsidRPr="00937F02">
        <w:rPr>
          <w:rFonts w:ascii="Times New Roman" w:eastAsiaTheme="minorHAnsi" w:hAnsi="Times New Roman" w:cs="Times New Roman"/>
          <w:sz w:val="22"/>
          <w:szCs w:val="22"/>
        </w:rPr>
        <w:t xml:space="preserve"> in accordance with section 45 or to pay the delayed pre-determined price for the spectrum licence in accordance with section 46.</w:t>
      </w:r>
      <w:r w:rsidR="00D81F0C" w:rsidRPr="00937F02">
        <w:rPr>
          <w:rFonts w:ascii="Times New Roman" w:eastAsiaTheme="minorHAnsi" w:hAnsi="Times New Roman" w:cs="Times New Roman"/>
          <w:sz w:val="22"/>
          <w:szCs w:val="22"/>
        </w:rPr>
        <w:t xml:space="preserve"> </w:t>
      </w:r>
      <w:r w:rsidR="00096E06" w:rsidRPr="00937F02">
        <w:rPr>
          <w:rFonts w:ascii="Times New Roman" w:eastAsiaTheme="minorHAnsi" w:hAnsi="Times New Roman" w:cs="Times New Roman"/>
          <w:sz w:val="22"/>
          <w:szCs w:val="22"/>
        </w:rPr>
        <w:t xml:space="preserve"> If an applicant does not accept the offer of a spectrum licence, section 47 applies.</w:t>
      </w:r>
    </w:p>
    <w:p w14:paraId="463C9CEF" w14:textId="7CC74ADD" w:rsidR="00A46C4E" w:rsidRPr="00937F02" w:rsidRDefault="00A46C4E" w:rsidP="00A46C4E">
      <w:pPr>
        <w:pStyle w:val="ACMABodyText"/>
        <w:rPr>
          <w:rFonts w:ascii="Times New Roman" w:eastAsiaTheme="minorHAnsi" w:hAnsi="Times New Roman" w:cs="Times New Roman"/>
          <w:sz w:val="22"/>
          <w:szCs w:val="22"/>
        </w:rPr>
      </w:pPr>
      <w:r w:rsidRPr="00937F02">
        <w:rPr>
          <w:rFonts w:ascii="Times New Roman" w:eastAsiaTheme="minorHAnsi" w:hAnsi="Times New Roman" w:cs="Times New Roman"/>
          <w:sz w:val="22"/>
          <w:szCs w:val="22"/>
        </w:rPr>
        <w:t xml:space="preserve">If an applicant accepts the offer of the spectrum licence and agrees to pay </w:t>
      </w:r>
      <w:r w:rsidR="00703841">
        <w:rPr>
          <w:rFonts w:ascii="Times New Roman" w:eastAsiaTheme="minorHAnsi" w:hAnsi="Times New Roman" w:cs="Times New Roman"/>
          <w:sz w:val="22"/>
          <w:szCs w:val="22"/>
        </w:rPr>
        <w:t xml:space="preserve">and pays </w:t>
      </w:r>
      <w:r w:rsidRPr="00937F02">
        <w:rPr>
          <w:rFonts w:ascii="Times New Roman" w:eastAsiaTheme="minorHAnsi" w:hAnsi="Times New Roman" w:cs="Times New Roman"/>
          <w:sz w:val="22"/>
          <w:szCs w:val="22"/>
        </w:rPr>
        <w:t>the balance of the upfront pre-determined price, the applicant is entitled to be issued the spectrum licence offered to it in accordance with section 45.</w:t>
      </w:r>
    </w:p>
    <w:p w14:paraId="654B50FA" w14:textId="41F9860D" w:rsidR="00A21F1D" w:rsidRPr="009311BF" w:rsidRDefault="00096E06" w:rsidP="005C7BE9">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Subject to subsection</w:t>
      </w:r>
      <w:r w:rsidR="00A46C4E" w:rsidRPr="005C338A">
        <w:rPr>
          <w:rFonts w:ascii="Times New Roman" w:eastAsiaTheme="minorHAnsi" w:hAnsi="Times New Roman" w:cs="Times New Roman"/>
          <w:sz w:val="22"/>
          <w:szCs w:val="22"/>
        </w:rPr>
        <w:t xml:space="preserve"> 44</w:t>
      </w:r>
      <w:r w:rsidRPr="005C338A">
        <w:rPr>
          <w:rFonts w:ascii="Times New Roman" w:eastAsiaTheme="minorHAnsi" w:hAnsi="Times New Roman" w:cs="Times New Roman"/>
          <w:sz w:val="22"/>
          <w:szCs w:val="22"/>
        </w:rPr>
        <w:t>(6), if an applicant accepts the offer of the spectrum licence and agrees to pay the delayed pre-determined price for the spectrum licence in accordance with section 46, the applicant is entitled to be issued the spectrum licence offered to it on payment of the first instalment in accordance with sect</w:t>
      </w:r>
      <w:r w:rsidR="00A46C4E" w:rsidRPr="005C338A">
        <w:rPr>
          <w:rFonts w:ascii="Times New Roman" w:eastAsiaTheme="minorHAnsi" w:hAnsi="Times New Roman" w:cs="Times New Roman"/>
          <w:sz w:val="22"/>
          <w:szCs w:val="22"/>
        </w:rPr>
        <w:t>ion 46</w:t>
      </w:r>
      <w:r w:rsidR="005C7BE9" w:rsidRPr="005C338A">
        <w:rPr>
          <w:rFonts w:ascii="Times New Roman" w:eastAsiaTheme="minorHAnsi" w:hAnsi="Times New Roman" w:cs="Times New Roman"/>
          <w:sz w:val="22"/>
          <w:szCs w:val="22"/>
        </w:rPr>
        <w:t>.  However</w:t>
      </w:r>
      <w:r w:rsidR="00A46C4E" w:rsidRPr="005C338A">
        <w:rPr>
          <w:rFonts w:ascii="Times New Roman" w:eastAsiaTheme="minorHAnsi" w:hAnsi="Times New Roman" w:cs="Times New Roman"/>
          <w:sz w:val="22"/>
          <w:szCs w:val="22"/>
        </w:rPr>
        <w:t xml:space="preserve">, the applicant is not entitled to be issued a spectrum licence </w:t>
      </w:r>
      <w:r w:rsidR="005C7BE9" w:rsidRPr="005C338A">
        <w:rPr>
          <w:rFonts w:ascii="Times New Roman" w:eastAsiaTheme="minorHAnsi" w:hAnsi="Times New Roman" w:cs="Times New Roman"/>
          <w:sz w:val="22"/>
          <w:szCs w:val="22"/>
        </w:rPr>
        <w:t xml:space="preserve">under the delayed pre-determined price arrangement </w:t>
      </w:r>
      <w:r w:rsidR="00A46C4E" w:rsidRPr="005C338A">
        <w:rPr>
          <w:rFonts w:ascii="Times New Roman" w:eastAsiaTheme="minorHAnsi" w:hAnsi="Times New Roman" w:cs="Times New Roman"/>
          <w:sz w:val="22"/>
          <w:szCs w:val="22"/>
        </w:rPr>
        <w:t xml:space="preserve">unless the applicant </w:t>
      </w:r>
      <w:r w:rsidR="00E22627" w:rsidRPr="005C338A">
        <w:rPr>
          <w:rFonts w:ascii="Times New Roman" w:eastAsiaTheme="minorHAnsi" w:hAnsi="Times New Roman" w:cs="Times New Roman"/>
          <w:sz w:val="22"/>
          <w:szCs w:val="22"/>
        </w:rPr>
        <w:t xml:space="preserve">also </w:t>
      </w:r>
      <w:r w:rsidR="00A46C4E" w:rsidRPr="005C338A">
        <w:rPr>
          <w:rFonts w:ascii="Times New Roman" w:eastAsiaTheme="minorHAnsi" w:hAnsi="Times New Roman" w:cs="Times New Roman"/>
          <w:sz w:val="22"/>
          <w:szCs w:val="22"/>
        </w:rPr>
        <w:t xml:space="preserve">gives the ACMA an irrevocable bank guarantee securing the </w:t>
      </w:r>
      <w:r w:rsidR="00A21F1D">
        <w:rPr>
          <w:rFonts w:ascii="Times New Roman" w:eastAsiaTheme="minorHAnsi" w:hAnsi="Times New Roman" w:cs="Times New Roman"/>
          <w:sz w:val="22"/>
          <w:szCs w:val="22"/>
        </w:rPr>
        <w:t>‘</w:t>
      </w:r>
      <w:r w:rsidR="00B359F3" w:rsidRPr="005C338A">
        <w:rPr>
          <w:rFonts w:ascii="Times New Roman" w:eastAsiaTheme="minorHAnsi" w:hAnsi="Times New Roman" w:cs="Times New Roman"/>
          <w:sz w:val="22"/>
          <w:szCs w:val="22"/>
        </w:rPr>
        <w:t>secured amount</w:t>
      </w:r>
      <w:r w:rsidR="00A21F1D">
        <w:rPr>
          <w:rFonts w:ascii="Times New Roman" w:eastAsiaTheme="minorHAnsi" w:hAnsi="Times New Roman" w:cs="Times New Roman"/>
          <w:sz w:val="22"/>
          <w:szCs w:val="22"/>
        </w:rPr>
        <w:t>’</w:t>
      </w:r>
      <w:r w:rsidR="00E22627" w:rsidRPr="005C338A">
        <w:rPr>
          <w:rFonts w:ascii="Times New Roman" w:eastAsiaTheme="minorHAnsi" w:hAnsi="Times New Roman" w:cs="Times New Roman"/>
          <w:sz w:val="22"/>
          <w:szCs w:val="22"/>
        </w:rPr>
        <w:t xml:space="preserve">.  </w:t>
      </w:r>
      <w:r w:rsidR="00A21F1D">
        <w:rPr>
          <w:rFonts w:ascii="Times New Roman" w:eastAsiaTheme="minorHAnsi" w:hAnsi="Times New Roman" w:cs="Times New Roman"/>
          <w:sz w:val="22"/>
          <w:szCs w:val="22"/>
        </w:rPr>
        <w:t xml:space="preserve">In accordance with the Residual 700 MHz </w:t>
      </w:r>
      <w:r w:rsidR="00A21F1D">
        <w:rPr>
          <w:rFonts w:ascii="Times New Roman" w:eastAsiaTheme="minorHAnsi" w:hAnsi="Times New Roman" w:cs="Times New Roman"/>
          <w:sz w:val="22"/>
          <w:szCs w:val="22"/>
        </w:rPr>
        <w:lastRenderedPageBreak/>
        <w:t xml:space="preserve">Spectrum Direction, the </w:t>
      </w:r>
      <w:r w:rsidR="00A21F1D">
        <w:rPr>
          <w:rFonts w:ascii="Times New Roman" w:eastAsiaTheme="minorHAnsi" w:hAnsi="Times New Roman" w:cs="Times New Roman"/>
          <w:b/>
          <w:sz w:val="22"/>
          <w:szCs w:val="22"/>
        </w:rPr>
        <w:t xml:space="preserve">secured amount </w:t>
      </w:r>
      <w:r w:rsidR="00A21F1D">
        <w:rPr>
          <w:rFonts w:ascii="Times New Roman" w:eastAsiaTheme="minorHAnsi" w:hAnsi="Times New Roman" w:cs="Times New Roman"/>
          <w:sz w:val="22"/>
          <w:szCs w:val="22"/>
        </w:rPr>
        <w:t>is five per cent of the amount of spectrum access charge that remains unpaid (that is, five per cent of the second and third instalments, reducing to five per cent of the third instalment after the second instalment is paid).</w:t>
      </w:r>
    </w:p>
    <w:p w14:paraId="1F1DB8C9" w14:textId="156E6C34" w:rsidR="00A46C4E" w:rsidRPr="005C338A" w:rsidRDefault="00E22627" w:rsidP="005C7BE9">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This bank guarantee must be</w:t>
      </w:r>
      <w:r w:rsidR="00A46C4E" w:rsidRPr="005C338A">
        <w:rPr>
          <w:rFonts w:ascii="Times New Roman" w:eastAsiaTheme="minorHAnsi" w:hAnsi="Times New Roman" w:cs="Times New Roman"/>
          <w:sz w:val="22"/>
          <w:szCs w:val="22"/>
        </w:rPr>
        <w:t xml:space="preserve"> issued by an Australian-owned authorised deposit-taking institution (as defined in the </w:t>
      </w:r>
      <w:r w:rsidR="00A46C4E" w:rsidRPr="005C338A">
        <w:rPr>
          <w:rFonts w:ascii="Times New Roman" w:eastAsiaTheme="minorHAnsi" w:hAnsi="Times New Roman" w:cs="Times New Roman"/>
          <w:i/>
          <w:sz w:val="22"/>
          <w:szCs w:val="22"/>
        </w:rPr>
        <w:t>Banking Act 1959</w:t>
      </w:r>
      <w:r w:rsidR="00A46C4E" w:rsidRPr="005C338A">
        <w:rPr>
          <w:rFonts w:ascii="Times New Roman" w:eastAsiaTheme="minorHAnsi" w:hAnsi="Times New Roman" w:cs="Times New Roman"/>
          <w:sz w:val="22"/>
          <w:szCs w:val="22"/>
        </w:rPr>
        <w:t>) which is a bank, in a form approved by the ACMA (</w:t>
      </w:r>
      <w:r w:rsidR="00A46C4E" w:rsidRPr="005C338A">
        <w:rPr>
          <w:rFonts w:ascii="Times New Roman" w:eastAsiaTheme="minorHAnsi" w:hAnsi="Times New Roman" w:cs="Times New Roman"/>
          <w:b/>
          <w:sz w:val="22"/>
          <w:szCs w:val="22"/>
        </w:rPr>
        <w:t>delayed pre-determined price bank guarantee</w:t>
      </w:r>
      <w:r w:rsidR="00A46C4E" w:rsidRPr="005C338A">
        <w:rPr>
          <w:rFonts w:ascii="Times New Roman" w:eastAsiaTheme="minorHAnsi" w:hAnsi="Times New Roman" w:cs="Times New Roman"/>
          <w:sz w:val="22"/>
          <w:szCs w:val="22"/>
        </w:rPr>
        <w:t>), no later than the date mentioned in paragraph 46(2)(a)</w:t>
      </w:r>
      <w:r w:rsidRPr="005C338A">
        <w:rPr>
          <w:rFonts w:ascii="Times New Roman" w:eastAsiaTheme="minorHAnsi" w:hAnsi="Times New Roman" w:cs="Times New Roman"/>
          <w:sz w:val="22"/>
          <w:szCs w:val="22"/>
        </w:rPr>
        <w:t xml:space="preserve"> (that is, the date by which the first instalment must be paid)</w:t>
      </w:r>
      <w:r w:rsidR="00A46C4E" w:rsidRPr="005C338A">
        <w:rPr>
          <w:rFonts w:ascii="Times New Roman" w:eastAsiaTheme="minorHAnsi" w:hAnsi="Times New Roman" w:cs="Times New Roman"/>
          <w:sz w:val="22"/>
          <w:szCs w:val="22"/>
        </w:rPr>
        <w:t>.</w:t>
      </w:r>
    </w:p>
    <w:p w14:paraId="5B025940" w14:textId="6D97E81C" w:rsidR="00711DEA" w:rsidRPr="005C338A" w:rsidRDefault="005C7BE9">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the applicant fails to pay an instalment other than the first instalment</w:t>
      </w:r>
      <w:r w:rsidR="00E22627" w:rsidRPr="005C338A">
        <w:rPr>
          <w:rFonts w:ascii="Times New Roman" w:eastAsiaTheme="minorHAnsi" w:hAnsi="Times New Roman" w:cs="Times New Roman"/>
          <w:sz w:val="22"/>
          <w:szCs w:val="22"/>
        </w:rPr>
        <w:t xml:space="preserve"> in accordance with section 46</w:t>
      </w:r>
      <w:r w:rsidRPr="005C338A">
        <w:rPr>
          <w:rFonts w:ascii="Times New Roman" w:eastAsiaTheme="minorHAnsi" w:hAnsi="Times New Roman" w:cs="Times New Roman"/>
          <w:sz w:val="22"/>
          <w:szCs w:val="22"/>
        </w:rPr>
        <w:t>, the applicant may be in breach of the licence condition required to be included in a spectrum licence by section 67 of the Act</w:t>
      </w:r>
      <w:r w:rsidR="00711DEA" w:rsidRPr="005C338A">
        <w:rPr>
          <w:rFonts w:ascii="Times New Roman" w:eastAsiaTheme="minorHAnsi" w:hAnsi="Times New Roman" w:cs="Times New Roman"/>
          <w:sz w:val="22"/>
          <w:szCs w:val="22"/>
        </w:rPr>
        <w:t>, and</w:t>
      </w:r>
      <w:r w:rsidRPr="005C338A">
        <w:rPr>
          <w:rFonts w:ascii="Times New Roman" w:eastAsiaTheme="minorHAnsi" w:hAnsi="Times New Roman" w:cs="Times New Roman"/>
          <w:sz w:val="22"/>
          <w:szCs w:val="22"/>
        </w:rPr>
        <w:t xml:space="preserve"> the ACMA or the Commonwealth may require the authorised deposit-taking institution that has issued the delayed pre-determined price bank guarantee to pay the amount secured by </w:t>
      </w:r>
      <w:r w:rsidR="002F7F4C">
        <w:rPr>
          <w:rFonts w:ascii="Times New Roman" w:eastAsiaTheme="minorHAnsi" w:hAnsi="Times New Roman" w:cs="Times New Roman"/>
          <w:sz w:val="22"/>
          <w:szCs w:val="22"/>
        </w:rPr>
        <w:t>that</w:t>
      </w:r>
      <w:r w:rsidRPr="005C338A">
        <w:rPr>
          <w:rFonts w:ascii="Times New Roman" w:eastAsiaTheme="minorHAnsi" w:hAnsi="Times New Roman" w:cs="Times New Roman"/>
          <w:sz w:val="22"/>
          <w:szCs w:val="22"/>
        </w:rPr>
        <w:t xml:space="preserve"> bank guarantee</w:t>
      </w:r>
      <w:r w:rsidR="0052551E" w:rsidRPr="005C338A">
        <w:rPr>
          <w:rFonts w:ascii="Times New Roman" w:eastAsiaTheme="minorHAnsi" w:hAnsi="Times New Roman" w:cs="Times New Roman"/>
          <w:sz w:val="22"/>
          <w:szCs w:val="22"/>
        </w:rPr>
        <w:t>.</w:t>
      </w:r>
      <w:r w:rsidR="002F7F4C">
        <w:rPr>
          <w:rFonts w:ascii="Times New Roman" w:eastAsiaTheme="minorHAnsi" w:hAnsi="Times New Roman" w:cs="Times New Roman"/>
          <w:sz w:val="22"/>
          <w:szCs w:val="22"/>
        </w:rPr>
        <w:t xml:space="preserve">  Nothing in the Determination limits the other rights or remedies the ACMA or the Commonwealth has against a person, including </w:t>
      </w:r>
      <w:r w:rsidR="0066118F">
        <w:rPr>
          <w:rFonts w:ascii="Times New Roman" w:eastAsiaTheme="minorHAnsi" w:hAnsi="Times New Roman" w:cs="Times New Roman"/>
          <w:sz w:val="22"/>
          <w:szCs w:val="22"/>
        </w:rPr>
        <w:t xml:space="preserve">against </w:t>
      </w:r>
      <w:r w:rsidR="002F7F4C">
        <w:rPr>
          <w:rFonts w:ascii="Times New Roman" w:eastAsiaTheme="minorHAnsi" w:hAnsi="Times New Roman" w:cs="Times New Roman"/>
          <w:sz w:val="22"/>
          <w:szCs w:val="22"/>
        </w:rPr>
        <w:t>the authorised deposit-taking institution that has issued the delayed pre-determined price bank guarantee.</w:t>
      </w:r>
    </w:p>
    <w:p w14:paraId="2B3C3393" w14:textId="7B2B0678" w:rsidR="00096E06" w:rsidRPr="009311BF" w:rsidRDefault="0052551E">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a spectrum licence is issued to an applicant in accordance with subsection 44(5), each of the first instalment, the second instalment and the third instalment is not refundable in any circumstances.</w:t>
      </w:r>
    </w:p>
    <w:p w14:paraId="5CC8613B" w14:textId="015463E4" w:rsidR="0052551E" w:rsidRDefault="0052551E" w:rsidP="003B4BAF">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a delayed pre-determined price bank guarantee is given to the ACMA by email or fax before the date mentioned in subsection 44(6), the original guarantee must be received by the ACMA no later than </w:t>
      </w:r>
      <w:r w:rsidR="00711DEA" w:rsidRPr="005C338A">
        <w:rPr>
          <w:rFonts w:ascii="Times New Roman" w:eastAsiaTheme="minorHAnsi" w:hAnsi="Times New Roman" w:cs="Times New Roman"/>
          <w:sz w:val="22"/>
          <w:szCs w:val="22"/>
        </w:rPr>
        <w:t xml:space="preserve">three </w:t>
      </w:r>
      <w:r w:rsidRPr="005C338A">
        <w:rPr>
          <w:rFonts w:ascii="Times New Roman" w:eastAsiaTheme="minorHAnsi" w:hAnsi="Times New Roman" w:cs="Times New Roman"/>
          <w:sz w:val="22"/>
          <w:szCs w:val="22"/>
        </w:rPr>
        <w:t>working days after that date (or, if the ACMA agrees to a later time, the agreed time) for the guarantee to be taken to have been given to the ACMA.</w:t>
      </w:r>
    </w:p>
    <w:p w14:paraId="4CB966D6" w14:textId="4F79EE05" w:rsidR="00B95DEE" w:rsidRPr="00E22627" w:rsidRDefault="00B95DEE" w:rsidP="00937F02">
      <w:pPr>
        <w:keepNext/>
        <w:spacing w:after="160" w:line="259" w:lineRule="auto"/>
        <w:rPr>
          <w:rFonts w:eastAsiaTheme="minorHAnsi"/>
          <w:b/>
          <w:sz w:val="22"/>
          <w:szCs w:val="22"/>
          <w:lang w:eastAsia="en-US"/>
        </w:rPr>
      </w:pPr>
      <w:r w:rsidRPr="00937F02">
        <w:rPr>
          <w:rFonts w:eastAsiaTheme="minorHAnsi"/>
          <w:b/>
          <w:sz w:val="22"/>
          <w:szCs w:val="22"/>
          <w:lang w:eastAsia="en-US"/>
        </w:rPr>
        <w:t xml:space="preserve">Section </w:t>
      </w:r>
      <w:r w:rsidR="00FD7F7B" w:rsidRPr="00937F02">
        <w:rPr>
          <w:rFonts w:eastAsiaTheme="minorHAnsi"/>
          <w:b/>
          <w:sz w:val="22"/>
          <w:szCs w:val="22"/>
          <w:lang w:eastAsia="en-US"/>
        </w:rPr>
        <w:t>4</w:t>
      </w:r>
      <w:r w:rsidR="00B66EF1" w:rsidRPr="00937F02">
        <w:rPr>
          <w:rFonts w:eastAsiaTheme="minorHAnsi"/>
          <w:b/>
          <w:sz w:val="22"/>
          <w:szCs w:val="22"/>
          <w:lang w:eastAsia="en-US"/>
        </w:rPr>
        <w:t>5</w:t>
      </w:r>
      <w:r w:rsidRPr="00E22627">
        <w:rPr>
          <w:rFonts w:eastAsiaTheme="minorHAnsi"/>
          <w:b/>
          <w:sz w:val="22"/>
          <w:szCs w:val="22"/>
          <w:lang w:eastAsia="en-US"/>
        </w:rPr>
        <w:tab/>
        <w:t xml:space="preserve">Payment of </w:t>
      </w:r>
      <w:r w:rsidR="00FD7F7B" w:rsidRPr="00E22627">
        <w:rPr>
          <w:rFonts w:eastAsiaTheme="minorHAnsi"/>
          <w:b/>
          <w:sz w:val="22"/>
          <w:szCs w:val="22"/>
          <w:lang w:eastAsia="en-US"/>
        </w:rPr>
        <w:t xml:space="preserve">the </w:t>
      </w:r>
      <w:r w:rsidRPr="00E22627">
        <w:rPr>
          <w:rFonts w:eastAsiaTheme="minorHAnsi"/>
          <w:b/>
          <w:sz w:val="22"/>
          <w:szCs w:val="22"/>
          <w:lang w:eastAsia="en-US"/>
        </w:rPr>
        <w:t xml:space="preserve">balance of </w:t>
      </w:r>
      <w:r w:rsidR="00E22627">
        <w:rPr>
          <w:rFonts w:eastAsiaTheme="minorHAnsi"/>
          <w:b/>
          <w:sz w:val="22"/>
          <w:szCs w:val="22"/>
          <w:lang w:eastAsia="en-US"/>
        </w:rPr>
        <w:t xml:space="preserve">the </w:t>
      </w:r>
      <w:r w:rsidR="00FD7F7B" w:rsidRPr="00E22627">
        <w:rPr>
          <w:rFonts w:eastAsiaTheme="minorHAnsi"/>
          <w:b/>
          <w:sz w:val="22"/>
          <w:szCs w:val="22"/>
          <w:lang w:eastAsia="en-US"/>
        </w:rPr>
        <w:t xml:space="preserve">upfront </w:t>
      </w:r>
      <w:r w:rsidRPr="00E22627">
        <w:rPr>
          <w:rFonts w:eastAsiaTheme="minorHAnsi"/>
          <w:b/>
          <w:sz w:val="22"/>
          <w:szCs w:val="22"/>
          <w:lang w:eastAsia="en-US"/>
        </w:rPr>
        <w:t>pre-determined price</w:t>
      </w:r>
    </w:p>
    <w:p w14:paraId="79D0C075" w14:textId="4A638CFA" w:rsidR="00B95DEE" w:rsidRPr="00E22627" w:rsidRDefault="00B95DEE" w:rsidP="004E475F">
      <w:pPr>
        <w:pStyle w:val="ACMABodyText"/>
        <w:rPr>
          <w:rFonts w:ascii="Times New Roman" w:eastAsiaTheme="minorHAnsi" w:hAnsi="Times New Roman" w:cs="Times New Roman"/>
          <w:sz w:val="22"/>
          <w:szCs w:val="22"/>
        </w:rPr>
      </w:pPr>
      <w:r w:rsidRPr="00E22627">
        <w:rPr>
          <w:rFonts w:ascii="Times New Roman" w:eastAsiaTheme="minorHAnsi" w:hAnsi="Times New Roman" w:cs="Times New Roman"/>
          <w:sz w:val="22"/>
          <w:szCs w:val="22"/>
        </w:rPr>
        <w:t>This section sets out the arrangements</w:t>
      </w:r>
      <w:r w:rsidR="00824D5D" w:rsidRPr="00E22627">
        <w:rPr>
          <w:rFonts w:ascii="Times New Roman" w:eastAsiaTheme="minorHAnsi" w:hAnsi="Times New Roman" w:cs="Times New Roman"/>
          <w:sz w:val="22"/>
          <w:szCs w:val="22"/>
        </w:rPr>
        <w:t xml:space="preserve"> where </w:t>
      </w:r>
      <w:r w:rsidR="00E22627">
        <w:rPr>
          <w:rFonts w:ascii="Times New Roman" w:eastAsiaTheme="minorHAnsi" w:hAnsi="Times New Roman" w:cs="Times New Roman"/>
          <w:sz w:val="22"/>
          <w:szCs w:val="22"/>
        </w:rPr>
        <w:t>an</w:t>
      </w:r>
      <w:r w:rsidR="00824D5D" w:rsidRPr="00E22627">
        <w:rPr>
          <w:rFonts w:ascii="Times New Roman" w:eastAsiaTheme="minorHAnsi" w:hAnsi="Times New Roman" w:cs="Times New Roman"/>
          <w:sz w:val="22"/>
          <w:szCs w:val="22"/>
        </w:rPr>
        <w:t xml:space="preserve"> </w:t>
      </w:r>
      <w:r w:rsidR="006A110D" w:rsidRPr="00E22627">
        <w:rPr>
          <w:rFonts w:ascii="Times New Roman" w:eastAsiaTheme="minorHAnsi" w:hAnsi="Times New Roman" w:cs="Times New Roman"/>
          <w:sz w:val="22"/>
          <w:szCs w:val="22"/>
        </w:rPr>
        <w:t>applicant</w:t>
      </w:r>
      <w:r w:rsidR="00824D5D" w:rsidRPr="00E22627">
        <w:rPr>
          <w:rFonts w:ascii="Times New Roman" w:eastAsiaTheme="minorHAnsi" w:hAnsi="Times New Roman" w:cs="Times New Roman"/>
          <w:sz w:val="22"/>
          <w:szCs w:val="22"/>
        </w:rPr>
        <w:t xml:space="preserve"> accept</w:t>
      </w:r>
      <w:r w:rsidR="00E22627">
        <w:rPr>
          <w:rFonts w:ascii="Times New Roman" w:eastAsiaTheme="minorHAnsi" w:hAnsi="Times New Roman" w:cs="Times New Roman"/>
          <w:sz w:val="22"/>
          <w:szCs w:val="22"/>
        </w:rPr>
        <w:t>s</w:t>
      </w:r>
      <w:r w:rsidR="00824D5D" w:rsidRPr="00E22627">
        <w:rPr>
          <w:rFonts w:ascii="Times New Roman" w:eastAsiaTheme="minorHAnsi" w:hAnsi="Times New Roman" w:cs="Times New Roman"/>
          <w:sz w:val="22"/>
          <w:szCs w:val="22"/>
        </w:rPr>
        <w:t xml:space="preserve"> the offer of a licence or licences at </w:t>
      </w:r>
      <w:r w:rsidR="00E22627">
        <w:rPr>
          <w:rFonts w:ascii="Times New Roman" w:eastAsiaTheme="minorHAnsi" w:hAnsi="Times New Roman" w:cs="Times New Roman"/>
          <w:sz w:val="22"/>
          <w:szCs w:val="22"/>
        </w:rPr>
        <w:t>the</w:t>
      </w:r>
      <w:r w:rsidR="0052551E" w:rsidRPr="00E22627">
        <w:rPr>
          <w:rFonts w:ascii="Times New Roman" w:eastAsiaTheme="minorHAnsi" w:hAnsi="Times New Roman" w:cs="Times New Roman"/>
          <w:sz w:val="22"/>
          <w:szCs w:val="22"/>
        </w:rPr>
        <w:t xml:space="preserve"> upfront</w:t>
      </w:r>
      <w:r w:rsidR="00824D5D" w:rsidRPr="00E22627">
        <w:rPr>
          <w:rFonts w:ascii="Times New Roman" w:eastAsiaTheme="minorHAnsi" w:hAnsi="Times New Roman" w:cs="Times New Roman"/>
          <w:sz w:val="22"/>
          <w:szCs w:val="22"/>
        </w:rPr>
        <w:t xml:space="preserve"> pre-determined price.</w:t>
      </w:r>
      <w:r w:rsidR="00711DEA">
        <w:rPr>
          <w:rFonts w:ascii="Times New Roman" w:eastAsiaTheme="minorHAnsi" w:hAnsi="Times New Roman" w:cs="Times New Roman"/>
          <w:sz w:val="22"/>
          <w:szCs w:val="22"/>
        </w:rPr>
        <w:t xml:space="preserve"> </w:t>
      </w:r>
      <w:r w:rsidR="00824D5D" w:rsidRPr="00E22627">
        <w:rPr>
          <w:rFonts w:ascii="Times New Roman" w:eastAsiaTheme="minorHAnsi" w:hAnsi="Times New Roman" w:cs="Times New Roman"/>
          <w:sz w:val="22"/>
          <w:szCs w:val="22"/>
        </w:rPr>
        <w:t xml:space="preserve"> The ACMA </w:t>
      </w:r>
      <w:r w:rsidR="00333609" w:rsidRPr="00E22627">
        <w:rPr>
          <w:rFonts w:ascii="Times New Roman" w:eastAsiaTheme="minorHAnsi" w:hAnsi="Times New Roman" w:cs="Times New Roman"/>
          <w:sz w:val="22"/>
          <w:szCs w:val="22"/>
        </w:rPr>
        <w:t>must</w:t>
      </w:r>
      <w:r w:rsidR="00824D5D" w:rsidRPr="00E22627">
        <w:rPr>
          <w:rFonts w:ascii="Times New Roman" w:eastAsiaTheme="minorHAnsi" w:hAnsi="Times New Roman" w:cs="Times New Roman"/>
          <w:sz w:val="22"/>
          <w:szCs w:val="22"/>
        </w:rPr>
        <w:t xml:space="preserve"> </w:t>
      </w:r>
      <w:r w:rsidRPr="00E22627">
        <w:rPr>
          <w:rFonts w:ascii="Times New Roman" w:eastAsiaTheme="minorHAnsi" w:hAnsi="Times New Roman" w:cs="Times New Roman"/>
          <w:sz w:val="22"/>
          <w:szCs w:val="22"/>
        </w:rPr>
        <w:t xml:space="preserve">notify </w:t>
      </w:r>
      <w:r w:rsidR="00824D5D" w:rsidRPr="00E22627">
        <w:rPr>
          <w:rFonts w:ascii="Times New Roman" w:eastAsiaTheme="minorHAnsi" w:hAnsi="Times New Roman" w:cs="Times New Roman"/>
          <w:sz w:val="22"/>
          <w:szCs w:val="22"/>
        </w:rPr>
        <w:t>th</w:t>
      </w:r>
      <w:r w:rsidR="00D81F0C" w:rsidRPr="00E22627">
        <w:rPr>
          <w:rFonts w:ascii="Times New Roman" w:eastAsiaTheme="minorHAnsi" w:hAnsi="Times New Roman" w:cs="Times New Roman"/>
          <w:sz w:val="22"/>
          <w:szCs w:val="22"/>
        </w:rPr>
        <w:t>e</w:t>
      </w:r>
      <w:r w:rsidR="00824D5D" w:rsidRPr="00E22627">
        <w:rPr>
          <w:rFonts w:ascii="Times New Roman" w:eastAsiaTheme="minorHAnsi" w:hAnsi="Times New Roman" w:cs="Times New Roman"/>
          <w:sz w:val="22"/>
          <w:szCs w:val="22"/>
        </w:rPr>
        <w:t xml:space="preserve"> </w:t>
      </w:r>
      <w:r w:rsidR="006A110D" w:rsidRPr="00E22627">
        <w:rPr>
          <w:rFonts w:ascii="Times New Roman" w:eastAsiaTheme="minorHAnsi" w:hAnsi="Times New Roman" w:cs="Times New Roman"/>
          <w:sz w:val="22"/>
          <w:szCs w:val="22"/>
        </w:rPr>
        <w:t xml:space="preserve">applicant </w:t>
      </w:r>
      <w:r w:rsidR="00C9050D" w:rsidRPr="00E22627">
        <w:rPr>
          <w:rFonts w:ascii="Times New Roman" w:eastAsiaTheme="minorHAnsi" w:hAnsi="Times New Roman" w:cs="Times New Roman"/>
          <w:sz w:val="22"/>
          <w:szCs w:val="22"/>
        </w:rPr>
        <w:t xml:space="preserve">by registered mail </w:t>
      </w:r>
      <w:r w:rsidRPr="00E22627">
        <w:rPr>
          <w:rFonts w:ascii="Times New Roman" w:eastAsiaTheme="minorHAnsi" w:hAnsi="Times New Roman" w:cs="Times New Roman"/>
          <w:sz w:val="22"/>
          <w:szCs w:val="22"/>
        </w:rPr>
        <w:t>of the balance of the</w:t>
      </w:r>
      <w:r w:rsidR="00E22627">
        <w:rPr>
          <w:rFonts w:ascii="Times New Roman" w:eastAsiaTheme="minorHAnsi" w:hAnsi="Times New Roman" w:cs="Times New Roman"/>
          <w:sz w:val="22"/>
          <w:szCs w:val="22"/>
        </w:rPr>
        <w:t xml:space="preserve"> upfront</w:t>
      </w:r>
      <w:r w:rsidRPr="00E22627">
        <w:rPr>
          <w:rFonts w:ascii="Times New Roman" w:eastAsiaTheme="minorHAnsi" w:hAnsi="Times New Roman" w:cs="Times New Roman"/>
          <w:sz w:val="22"/>
          <w:szCs w:val="22"/>
        </w:rPr>
        <w:t xml:space="preserve"> pre-determined price </w:t>
      </w:r>
      <w:r w:rsidR="00C51E1B" w:rsidRPr="00E22627">
        <w:rPr>
          <w:rFonts w:ascii="Times New Roman" w:eastAsiaTheme="minorHAnsi" w:hAnsi="Times New Roman" w:cs="Times New Roman"/>
          <w:sz w:val="22"/>
          <w:szCs w:val="22"/>
        </w:rPr>
        <w:t>payable for all spectrum licences that the applicant is entitled to</w:t>
      </w:r>
      <w:r w:rsidR="00E22627">
        <w:rPr>
          <w:rFonts w:ascii="Times New Roman" w:eastAsiaTheme="minorHAnsi" w:hAnsi="Times New Roman" w:cs="Times New Roman"/>
          <w:sz w:val="22"/>
          <w:szCs w:val="22"/>
        </w:rPr>
        <w:t xml:space="preserve"> be issued</w:t>
      </w:r>
      <w:r w:rsidR="00C51E1B" w:rsidRPr="009311BF">
        <w:rPr>
          <w:rFonts w:ascii="Times New Roman" w:eastAsiaTheme="minorHAnsi" w:hAnsi="Times New Roman" w:cs="Times New Roman"/>
          <w:sz w:val="22"/>
          <w:szCs w:val="22"/>
        </w:rPr>
        <w:t xml:space="preserve">.  </w:t>
      </w:r>
      <w:r w:rsidR="00C867CF" w:rsidRPr="005C338A">
        <w:rPr>
          <w:rFonts w:ascii="Times New Roman" w:eastAsiaTheme="minorHAnsi" w:hAnsi="Times New Roman" w:cs="Times New Roman"/>
          <w:sz w:val="22"/>
          <w:szCs w:val="22"/>
        </w:rPr>
        <w:t>The balance of the upfront pre-determined price for a spectrum licence is payable no later than 31 January 2018</w:t>
      </w:r>
      <w:r w:rsidR="00E22627" w:rsidRPr="009311BF">
        <w:rPr>
          <w:rFonts w:ascii="Times New Roman" w:eastAsiaTheme="minorHAnsi" w:hAnsi="Times New Roman" w:cs="Times New Roman"/>
          <w:sz w:val="22"/>
          <w:szCs w:val="22"/>
        </w:rPr>
        <w:t>, and must be</w:t>
      </w:r>
      <w:r w:rsidR="00E22627">
        <w:rPr>
          <w:rFonts w:ascii="Times New Roman" w:eastAsiaTheme="minorHAnsi" w:hAnsi="Times New Roman" w:cs="Times New Roman"/>
          <w:sz w:val="22"/>
          <w:szCs w:val="22"/>
        </w:rPr>
        <w:t xml:space="preserve"> paid in accordance with</w:t>
      </w:r>
      <w:r w:rsidR="00C867CF" w:rsidRPr="00E22627">
        <w:rPr>
          <w:rFonts w:ascii="Times New Roman" w:eastAsiaTheme="minorHAnsi" w:hAnsi="Times New Roman" w:cs="Times New Roman"/>
          <w:sz w:val="22"/>
          <w:szCs w:val="22"/>
        </w:rPr>
        <w:t xml:space="preserve"> </w:t>
      </w:r>
      <w:r w:rsidRPr="00E22627">
        <w:rPr>
          <w:rFonts w:ascii="Times New Roman" w:eastAsiaTheme="minorHAnsi" w:hAnsi="Times New Roman" w:cs="Times New Roman"/>
          <w:sz w:val="22"/>
          <w:szCs w:val="22"/>
        </w:rPr>
        <w:t xml:space="preserve">the </w:t>
      </w:r>
      <w:r w:rsidR="00824D5D" w:rsidRPr="00E22627">
        <w:rPr>
          <w:rFonts w:ascii="Times New Roman" w:eastAsiaTheme="minorHAnsi" w:hAnsi="Times New Roman" w:cs="Times New Roman"/>
          <w:sz w:val="22"/>
          <w:szCs w:val="22"/>
        </w:rPr>
        <w:t>payment arrangements</w:t>
      </w:r>
      <w:r w:rsidR="0052551E" w:rsidRPr="00E22627">
        <w:rPr>
          <w:rFonts w:ascii="Times New Roman" w:eastAsiaTheme="minorHAnsi" w:hAnsi="Times New Roman" w:cs="Times New Roman"/>
          <w:sz w:val="22"/>
          <w:szCs w:val="22"/>
        </w:rPr>
        <w:t xml:space="preserve"> that are outlined in section 7.</w:t>
      </w:r>
    </w:p>
    <w:p w14:paraId="09523E2A" w14:textId="682427DD" w:rsidR="00FD7F7B" w:rsidRPr="00E22627" w:rsidRDefault="00FD7F7B" w:rsidP="00E22627">
      <w:pPr>
        <w:keepNext/>
        <w:spacing w:after="160" w:line="259" w:lineRule="auto"/>
        <w:rPr>
          <w:rFonts w:eastAsiaTheme="minorHAnsi"/>
          <w:b/>
          <w:sz w:val="22"/>
          <w:szCs w:val="22"/>
          <w:lang w:eastAsia="en-US"/>
        </w:rPr>
      </w:pPr>
      <w:r w:rsidRPr="00E22627">
        <w:rPr>
          <w:rFonts w:eastAsiaTheme="minorHAnsi"/>
          <w:b/>
          <w:sz w:val="22"/>
          <w:szCs w:val="22"/>
          <w:lang w:eastAsia="en-US"/>
        </w:rPr>
        <w:t>Section 4</w:t>
      </w:r>
      <w:r w:rsidR="0052551E" w:rsidRPr="00E22627">
        <w:rPr>
          <w:rFonts w:eastAsiaTheme="minorHAnsi"/>
          <w:b/>
          <w:sz w:val="22"/>
          <w:szCs w:val="22"/>
          <w:lang w:eastAsia="en-US"/>
        </w:rPr>
        <w:t>6</w:t>
      </w:r>
      <w:r w:rsidRPr="00E22627">
        <w:rPr>
          <w:rFonts w:eastAsiaTheme="minorHAnsi"/>
          <w:b/>
          <w:sz w:val="22"/>
          <w:szCs w:val="22"/>
          <w:lang w:eastAsia="en-US"/>
        </w:rPr>
        <w:tab/>
        <w:t>Payment of the delayed pre-determined price</w:t>
      </w:r>
    </w:p>
    <w:p w14:paraId="3488C099" w14:textId="77777777" w:rsidR="0052551E" w:rsidRPr="005C338A" w:rsidRDefault="0052551E" w:rsidP="004E475F">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an applicant accepts the offer of a spectrum licence and agrees to pay the delayed pre-determined price for the licence, the ACMA must notify the applicant by registered mail that the ACMA has received the applicant’s acceptance.</w:t>
      </w:r>
    </w:p>
    <w:p w14:paraId="085F2A60" w14:textId="77777777" w:rsidR="00593442" w:rsidRDefault="00593442" w:rsidP="00593442">
      <w:pPr>
        <w:pStyle w:val="subsection"/>
        <w:tabs>
          <w:tab w:val="clear" w:pos="1021"/>
          <w:tab w:val="right" w:pos="709"/>
        </w:tabs>
        <w:ind w:left="0" w:firstLine="0"/>
      </w:pPr>
      <w:r>
        <w:t>The delayed pre-determined price for a spectrum licence is payable in accordance with the following schedule:</w:t>
      </w:r>
    </w:p>
    <w:p w14:paraId="45E95039" w14:textId="285CDB7D" w:rsidR="00593442" w:rsidRPr="005C338A" w:rsidRDefault="00593442" w:rsidP="005C338A">
      <w:pPr>
        <w:pStyle w:val="ACMABodyText"/>
        <w:tabs>
          <w:tab w:val="left" w:pos="851"/>
        </w:tabs>
        <w:ind w:left="709" w:hanging="425"/>
        <w:rPr>
          <w:rFonts w:eastAsiaTheme="minorHAnsi"/>
          <w:szCs w:val="22"/>
        </w:rPr>
      </w:pPr>
      <w:r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an</w:t>
      </w:r>
      <w:proofErr w:type="gramEnd"/>
      <w:r w:rsidRPr="005C338A">
        <w:rPr>
          <w:rFonts w:ascii="Times New Roman" w:eastAsiaTheme="minorHAnsi" w:hAnsi="Times New Roman" w:cs="Times New Roman"/>
          <w:sz w:val="22"/>
          <w:szCs w:val="22"/>
        </w:rPr>
        <w:t xml:space="preserve"> instalment of:</w:t>
      </w:r>
    </w:p>
    <w:p w14:paraId="22B76467" w14:textId="0D5D0575" w:rsidR="00593442" w:rsidRPr="006A267A" w:rsidRDefault="00593442" w:rsidP="005C338A">
      <w:pPr>
        <w:pStyle w:val="ACMABodyText"/>
        <w:tabs>
          <w:tab w:val="left" w:pos="1418"/>
        </w:tabs>
        <w:ind w:left="1418" w:hanging="709"/>
        <w:rPr>
          <w:szCs w:val="22"/>
        </w:rPr>
      </w:pPr>
      <w:r w:rsidRPr="005C338A">
        <w:rPr>
          <w:rFonts w:ascii="Times New Roman" w:hAnsi="Times New Roman" w:cs="Times New Roman"/>
          <w:sz w:val="22"/>
          <w:szCs w:val="22"/>
        </w:rPr>
        <w:t>(</w:t>
      </w:r>
      <w:proofErr w:type="spellStart"/>
      <w:r w:rsidRPr="005C338A">
        <w:rPr>
          <w:rFonts w:ascii="Times New Roman" w:hAnsi="Times New Roman" w:cs="Times New Roman"/>
          <w:sz w:val="22"/>
          <w:szCs w:val="22"/>
        </w:rPr>
        <w:t>i</w:t>
      </w:r>
      <w:proofErr w:type="spellEnd"/>
      <w:r w:rsidRPr="005C338A">
        <w:rPr>
          <w:rFonts w:ascii="Times New Roman" w:hAnsi="Times New Roman" w:cs="Times New Roman"/>
          <w:sz w:val="22"/>
          <w:szCs w:val="22"/>
        </w:rPr>
        <w:t>)</w:t>
      </w:r>
      <w:r w:rsidRPr="005C338A">
        <w:rPr>
          <w:rFonts w:ascii="Times New Roman" w:hAnsi="Times New Roman" w:cs="Times New Roman"/>
          <w:sz w:val="22"/>
          <w:szCs w:val="22"/>
        </w:rPr>
        <w:tab/>
        <w:t>48.0051 per cent of the gross price for the licence; less</w:t>
      </w:r>
    </w:p>
    <w:p w14:paraId="70937C5C" w14:textId="44A71213" w:rsidR="00593442" w:rsidRPr="006A267A" w:rsidRDefault="00593442" w:rsidP="005C338A">
      <w:pPr>
        <w:pStyle w:val="ACMABodyText"/>
        <w:tabs>
          <w:tab w:val="left" w:pos="1418"/>
        </w:tabs>
        <w:ind w:left="1418" w:hanging="709"/>
        <w:rPr>
          <w:szCs w:val="22"/>
        </w:rPr>
      </w:pPr>
      <w:r w:rsidRPr="005C338A">
        <w:rPr>
          <w:rFonts w:ascii="Times New Roman" w:hAnsi="Times New Roman" w:cs="Times New Roman"/>
          <w:sz w:val="22"/>
          <w:szCs w:val="22"/>
        </w:rPr>
        <w:t>(ii)</w:t>
      </w:r>
      <w:r w:rsidRPr="005C338A">
        <w:rPr>
          <w:rFonts w:ascii="Times New Roman" w:hAnsi="Times New Roman" w:cs="Times New Roman"/>
          <w:sz w:val="22"/>
          <w:szCs w:val="22"/>
        </w:rPr>
        <w:tab/>
      </w:r>
      <w:proofErr w:type="gramStart"/>
      <w:r w:rsidRPr="005C338A">
        <w:rPr>
          <w:rFonts w:ascii="Times New Roman" w:hAnsi="Times New Roman" w:cs="Times New Roman"/>
          <w:sz w:val="22"/>
          <w:szCs w:val="22"/>
        </w:rPr>
        <w:t>the</w:t>
      </w:r>
      <w:proofErr w:type="gramEnd"/>
      <w:r w:rsidRPr="005C338A">
        <w:rPr>
          <w:rFonts w:ascii="Times New Roman" w:hAnsi="Times New Roman" w:cs="Times New Roman"/>
          <w:sz w:val="22"/>
          <w:szCs w:val="22"/>
        </w:rPr>
        <w:t xml:space="preserve"> deposit (if any) paid by the applicant under section 38;</w:t>
      </w:r>
    </w:p>
    <w:p w14:paraId="6516D76C" w14:textId="586D420F" w:rsidR="00593442" w:rsidRPr="005C338A" w:rsidRDefault="00593442" w:rsidP="00926AB8">
      <w:pPr>
        <w:pStyle w:val="ACMABodyText"/>
        <w:tabs>
          <w:tab w:val="left" w:pos="851"/>
        </w:tabs>
        <w:ind w:left="709" w:hanging="425"/>
        <w:rPr>
          <w:rFonts w:eastAsiaTheme="minorHAnsi"/>
          <w:szCs w:val="22"/>
        </w:rPr>
      </w:pPr>
      <w:r w:rsidRPr="005C338A">
        <w:rPr>
          <w:rFonts w:ascii="Times New Roman" w:eastAsiaTheme="minorHAnsi" w:hAnsi="Times New Roman" w:cs="Times New Roman"/>
          <w:sz w:val="22"/>
          <w:szCs w:val="22"/>
        </w:rPr>
        <w:tab/>
        <w:t>(</w:t>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b/>
          <w:sz w:val="22"/>
          <w:szCs w:val="22"/>
        </w:rPr>
        <w:t>first instalment</w:t>
      </w:r>
      <w:r w:rsidRPr="005C338A">
        <w:rPr>
          <w:rFonts w:ascii="Times New Roman" w:eastAsiaTheme="minorHAnsi" w:hAnsi="Times New Roman" w:cs="Times New Roman"/>
          <w:sz w:val="22"/>
          <w:szCs w:val="22"/>
        </w:rPr>
        <w:t xml:space="preserve"> for the licence) must be paid no later than 31 January 2018;</w:t>
      </w:r>
    </w:p>
    <w:p w14:paraId="75F3F09C" w14:textId="77777777" w:rsidR="00926AB8" w:rsidRDefault="00593442" w:rsidP="005C338A">
      <w:pPr>
        <w:pStyle w:val="ACMABodyText"/>
        <w:tabs>
          <w:tab w:val="left" w:pos="851"/>
        </w:tabs>
        <w:ind w:left="709" w:hanging="425"/>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an</w:t>
      </w:r>
      <w:proofErr w:type="gramEnd"/>
      <w:r w:rsidRPr="005C338A">
        <w:rPr>
          <w:rFonts w:ascii="Times New Roman" w:eastAsiaTheme="minorHAnsi" w:hAnsi="Times New Roman" w:cs="Times New Roman"/>
          <w:sz w:val="22"/>
          <w:szCs w:val="22"/>
        </w:rPr>
        <w:t xml:space="preserve"> instalment of 26.6315 per cent of the gross price for the licence, multiplied by 1.05 (the </w:t>
      </w:r>
      <w:r w:rsidRPr="005C338A">
        <w:rPr>
          <w:rFonts w:ascii="Times New Roman" w:eastAsiaTheme="minorHAnsi" w:hAnsi="Times New Roman" w:cs="Times New Roman"/>
          <w:b/>
          <w:sz w:val="22"/>
          <w:szCs w:val="22"/>
        </w:rPr>
        <w:t>second instalment</w:t>
      </w:r>
      <w:r w:rsidRPr="005C338A">
        <w:rPr>
          <w:rFonts w:ascii="Times New Roman" w:eastAsiaTheme="minorHAnsi" w:hAnsi="Times New Roman" w:cs="Times New Roman"/>
          <w:sz w:val="22"/>
          <w:szCs w:val="22"/>
        </w:rPr>
        <w:t xml:space="preserve"> for the licence) must be paid no later than 31 January 2019; and</w:t>
      </w:r>
    </w:p>
    <w:p w14:paraId="697634BE" w14:textId="2A6284AA" w:rsidR="00593442" w:rsidRPr="005C338A" w:rsidRDefault="00593442" w:rsidP="005C338A">
      <w:pPr>
        <w:pStyle w:val="ACMABodyText"/>
        <w:tabs>
          <w:tab w:val="left" w:pos="851"/>
        </w:tabs>
        <w:ind w:left="709" w:hanging="425"/>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lastRenderedPageBreak/>
        <w:t>(c)</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an</w:t>
      </w:r>
      <w:proofErr w:type="gramEnd"/>
      <w:r w:rsidRPr="005C338A">
        <w:rPr>
          <w:rFonts w:ascii="Times New Roman" w:eastAsiaTheme="minorHAnsi" w:hAnsi="Times New Roman" w:cs="Times New Roman"/>
          <w:sz w:val="22"/>
          <w:szCs w:val="22"/>
        </w:rPr>
        <w:t xml:space="preserve"> instalment of 25.3634 per cent of the gross price for the licence, multiplied by 1.1025 (the </w:t>
      </w:r>
      <w:r w:rsidRPr="005C338A">
        <w:rPr>
          <w:rFonts w:ascii="Times New Roman" w:eastAsiaTheme="minorHAnsi" w:hAnsi="Times New Roman" w:cs="Times New Roman"/>
          <w:b/>
          <w:sz w:val="22"/>
          <w:szCs w:val="22"/>
        </w:rPr>
        <w:t>third instalment</w:t>
      </w:r>
      <w:r w:rsidRPr="005C338A">
        <w:rPr>
          <w:rFonts w:ascii="Times New Roman" w:eastAsiaTheme="minorHAnsi" w:hAnsi="Times New Roman" w:cs="Times New Roman"/>
          <w:sz w:val="22"/>
          <w:szCs w:val="22"/>
        </w:rPr>
        <w:t xml:space="preserve"> for the licence) must be paid no later than 31 January 2020.</w:t>
      </w:r>
    </w:p>
    <w:p w14:paraId="76D2567B" w14:textId="0E994744" w:rsidR="00593442" w:rsidRDefault="002D4EC3" w:rsidP="00593442">
      <w:pPr>
        <w:pStyle w:val="ACMABodyText"/>
        <w:rPr>
          <w:rFonts w:eastAsiaTheme="minorHAnsi"/>
          <w:szCs w:val="22"/>
        </w:rPr>
      </w:pPr>
      <w:r>
        <w:rPr>
          <w:rFonts w:ascii="Times New Roman" w:eastAsiaTheme="minorHAnsi" w:hAnsi="Times New Roman" w:cs="Times New Roman"/>
          <w:sz w:val="22"/>
          <w:szCs w:val="22"/>
        </w:rPr>
        <w:t xml:space="preserve">For the purposes of calculating the instalments, the </w:t>
      </w:r>
      <w:r w:rsidR="00593442" w:rsidRPr="005C338A">
        <w:rPr>
          <w:rFonts w:ascii="Times New Roman" w:eastAsiaTheme="minorHAnsi" w:hAnsi="Times New Roman" w:cs="Times New Roman"/>
          <w:b/>
          <w:sz w:val="22"/>
          <w:szCs w:val="22"/>
        </w:rPr>
        <w:t>gross price</w:t>
      </w:r>
      <w:r>
        <w:rPr>
          <w:rFonts w:ascii="Times New Roman" w:eastAsiaTheme="minorHAnsi" w:hAnsi="Times New Roman" w:cs="Times New Roman"/>
          <w:sz w:val="22"/>
          <w:szCs w:val="22"/>
        </w:rPr>
        <w:t xml:space="preserve"> for a licence </w:t>
      </w:r>
      <w:r w:rsidR="00593442">
        <w:rPr>
          <w:rFonts w:ascii="Times New Roman" w:eastAsiaTheme="minorHAnsi" w:hAnsi="Times New Roman" w:cs="Times New Roman"/>
          <w:sz w:val="22"/>
          <w:szCs w:val="22"/>
        </w:rPr>
        <w:t xml:space="preserve">is the sum of the </w:t>
      </w:r>
      <w:r w:rsidR="00593442" w:rsidRPr="007C4A30">
        <w:rPr>
          <w:rFonts w:ascii="Times New Roman" w:eastAsiaTheme="minorHAnsi" w:hAnsi="Times New Roman" w:cs="Times New Roman"/>
          <w:sz w:val="22"/>
          <w:szCs w:val="22"/>
        </w:rPr>
        <w:t>starting price</w:t>
      </w:r>
      <w:r w:rsidR="00593442">
        <w:rPr>
          <w:rFonts w:ascii="Times New Roman" w:eastAsiaTheme="minorHAnsi" w:hAnsi="Times New Roman" w:cs="Times New Roman"/>
          <w:sz w:val="22"/>
          <w:szCs w:val="22"/>
        </w:rPr>
        <w:t>s for each of the lots to be included in the licence.</w:t>
      </w:r>
    </w:p>
    <w:p w14:paraId="7E4C9761" w14:textId="4B52D4F2" w:rsidR="00593442" w:rsidRPr="005C338A" w:rsidRDefault="00593442" w:rsidP="005C338A">
      <w:pPr>
        <w:pStyle w:val="ACMABodyText"/>
        <w:rPr>
          <w:rFonts w:eastAsiaTheme="minorHAnsi"/>
          <w:sz w:val="22"/>
          <w:szCs w:val="22"/>
        </w:rPr>
      </w:pPr>
      <w:r w:rsidRPr="005C338A">
        <w:rPr>
          <w:rFonts w:ascii="Times New Roman" w:eastAsiaTheme="minorHAnsi" w:hAnsi="Times New Roman" w:cs="Times New Roman"/>
          <w:sz w:val="22"/>
          <w:szCs w:val="22"/>
        </w:rPr>
        <w:t>In announcing his intention to direct the ACMA to conduct an auction</w:t>
      </w:r>
      <w:r w:rsidR="000B1A12">
        <w:rPr>
          <w:rFonts w:ascii="Times New Roman" w:eastAsiaTheme="minorHAnsi" w:hAnsi="Times New Roman" w:cs="Times New Roman"/>
          <w:sz w:val="22"/>
          <w:szCs w:val="22"/>
        </w:rPr>
        <w:t xml:space="preserve"> in October 2016</w:t>
      </w:r>
      <w:r w:rsidRPr="005C338A">
        <w:rPr>
          <w:rFonts w:ascii="Times New Roman" w:eastAsiaTheme="minorHAnsi" w:hAnsi="Times New Roman" w:cs="Times New Roman"/>
          <w:sz w:val="22"/>
          <w:szCs w:val="22"/>
        </w:rPr>
        <w:t>, the Minister wrote to the ACMA, indicating that he is considering directing the ACMA to allow successful bid</w:t>
      </w:r>
      <w:r w:rsidR="00926AB8">
        <w:rPr>
          <w:rFonts w:ascii="Times New Roman" w:eastAsiaTheme="minorHAnsi" w:hAnsi="Times New Roman" w:cs="Times New Roman"/>
          <w:sz w:val="22"/>
          <w:szCs w:val="22"/>
        </w:rPr>
        <w:t xml:space="preserve">ders to pay the auction winning </w:t>
      </w:r>
      <w:r w:rsidRPr="005C338A">
        <w:rPr>
          <w:rFonts w:ascii="Times New Roman" w:eastAsiaTheme="minorHAnsi" w:hAnsi="Times New Roman" w:cs="Times New Roman"/>
          <w:sz w:val="22"/>
          <w:szCs w:val="22"/>
        </w:rPr>
        <w:t xml:space="preserve">price </w:t>
      </w:r>
      <w:r w:rsidR="002D4EC3">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in a manner consistent with the payment arrangement outlined in the draft ministerial direction to the ACMA on VHA</w:t>
      </w:r>
      <w:r w:rsidR="002D4EC3">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s March 2016 proposal</w:t>
      </w:r>
      <w:r w:rsidR="002D4EC3">
        <w:rPr>
          <w:rFonts w:ascii="Times New Roman" w:eastAsiaTheme="minorHAnsi" w:hAnsi="Times New Roman" w:cs="Times New Roman"/>
          <w:sz w:val="22"/>
          <w:szCs w:val="22"/>
        </w:rPr>
        <w:t xml:space="preserve">’ (see the Minister’s letter to the Acting Chair of the ACMA, available on the ACMA’s webpage for </w:t>
      </w:r>
      <w:hyperlink r:id="rId16" w:history="1">
        <w:r w:rsidR="002D4EC3" w:rsidRPr="002D4EC3">
          <w:rPr>
            <w:rStyle w:val="Hyperlink"/>
            <w:rFonts w:ascii="Times New Roman" w:eastAsiaTheme="minorHAnsi" w:hAnsi="Times New Roman"/>
            <w:sz w:val="22"/>
            <w:szCs w:val="22"/>
          </w:rPr>
          <w:t>consultation</w:t>
        </w:r>
      </w:hyperlink>
      <w:r w:rsidR="002D4EC3">
        <w:rPr>
          <w:rFonts w:ascii="Times New Roman" w:eastAsiaTheme="minorHAnsi" w:hAnsi="Times New Roman" w:cs="Times New Roman"/>
          <w:sz w:val="22"/>
          <w:szCs w:val="22"/>
        </w:rPr>
        <w:t xml:space="preserve"> on the Determination)</w:t>
      </w:r>
      <w:r w:rsidRPr="005C338A">
        <w:rPr>
          <w:rFonts w:ascii="Times New Roman" w:eastAsiaTheme="minorHAnsi" w:hAnsi="Times New Roman" w:cs="Times New Roman"/>
          <w:sz w:val="22"/>
          <w:szCs w:val="22"/>
        </w:rPr>
        <w:t>.</w:t>
      </w:r>
      <w:r w:rsidR="002D4EC3">
        <w:rPr>
          <w:rFonts w:ascii="Times New Roman" w:eastAsiaTheme="minorHAnsi" w:hAnsi="Times New Roman" w:cs="Times New Roman"/>
          <w:sz w:val="22"/>
          <w:szCs w:val="22"/>
        </w:rPr>
        <w:t xml:space="preserve">  The reference to ‘VHA’s March 2016 proposal’ is a reference to a proposal put forward by Vodafone Hutchison Australia</w:t>
      </w:r>
      <w:r w:rsidR="000B1A12">
        <w:rPr>
          <w:rFonts w:ascii="Times New Roman" w:eastAsiaTheme="minorHAnsi" w:hAnsi="Times New Roman" w:cs="Times New Roman"/>
          <w:sz w:val="22"/>
          <w:szCs w:val="22"/>
        </w:rPr>
        <w:t>, on which</w:t>
      </w:r>
      <w:r w:rsidR="002D4EC3">
        <w:rPr>
          <w:rFonts w:ascii="Times New Roman" w:eastAsiaTheme="minorHAnsi" w:hAnsi="Times New Roman" w:cs="Times New Roman"/>
          <w:sz w:val="22"/>
          <w:szCs w:val="22"/>
        </w:rPr>
        <w:t xml:space="preserve"> the Department of Communications and the Arts </w:t>
      </w:r>
      <w:r w:rsidR="000B1A12">
        <w:rPr>
          <w:rFonts w:ascii="Times New Roman" w:eastAsiaTheme="minorHAnsi" w:hAnsi="Times New Roman" w:cs="Times New Roman"/>
          <w:sz w:val="22"/>
          <w:szCs w:val="22"/>
        </w:rPr>
        <w:t xml:space="preserve">publicly </w:t>
      </w:r>
      <w:r w:rsidR="002D4EC3">
        <w:rPr>
          <w:rFonts w:ascii="Times New Roman" w:eastAsiaTheme="minorHAnsi" w:hAnsi="Times New Roman" w:cs="Times New Roman"/>
          <w:sz w:val="22"/>
          <w:szCs w:val="22"/>
        </w:rPr>
        <w:t xml:space="preserve">consulted between 6 May </w:t>
      </w:r>
      <w:r w:rsidR="000B1A12">
        <w:rPr>
          <w:rFonts w:ascii="Times New Roman" w:eastAsiaTheme="minorHAnsi" w:hAnsi="Times New Roman" w:cs="Times New Roman"/>
          <w:sz w:val="22"/>
          <w:szCs w:val="22"/>
        </w:rPr>
        <w:t xml:space="preserve">and 10 June 2016. </w:t>
      </w:r>
      <w:r w:rsidR="002D4EC3">
        <w:rPr>
          <w:rFonts w:ascii="Times New Roman" w:eastAsiaTheme="minorHAnsi" w:hAnsi="Times New Roman" w:cs="Times New Roman"/>
          <w:sz w:val="22"/>
          <w:szCs w:val="22"/>
        </w:rPr>
        <w:t xml:space="preserve"> The ACMA consulted on the basis that the instalment percentages would be the same as those </w:t>
      </w:r>
      <w:r w:rsidR="000B1A12">
        <w:rPr>
          <w:rFonts w:ascii="Times New Roman" w:eastAsiaTheme="minorHAnsi" w:hAnsi="Times New Roman" w:cs="Times New Roman"/>
          <w:sz w:val="22"/>
          <w:szCs w:val="22"/>
        </w:rPr>
        <w:t>in that proposal.</w:t>
      </w:r>
    </w:p>
    <w:p w14:paraId="2781EC96" w14:textId="473D2717" w:rsidR="000B1A12" w:rsidRDefault="000B1A12" w:rsidP="005C338A">
      <w:pPr>
        <w:pStyle w:val="ACMABodyText"/>
        <w:rPr>
          <w:rFonts w:eastAsiaTheme="minorHAnsi"/>
          <w:sz w:val="22"/>
          <w:szCs w:val="22"/>
        </w:rPr>
      </w:pPr>
      <w:r>
        <w:rPr>
          <w:rFonts w:ascii="Times New Roman" w:eastAsiaTheme="minorHAnsi" w:hAnsi="Times New Roman" w:cs="Times New Roman"/>
          <w:sz w:val="22"/>
          <w:szCs w:val="22"/>
        </w:rPr>
        <w:t>The percentages in the Determination for the instalment payments vary slightly from those included in VHA’s March 2016 proposal.  The ACMA has sought to keep close to those percentages, while complying with the requirement in the Residual 700 MHz Spectrum Direction to ensure that the present value of the total spectrum access charge payable (that is, the delayed pre-determined price) be the same (when rounded to the nearest $1,000) as the amount determined in accordance with the allocation procedures (that is, the sum of the starting prices for the lots included in the relevant spectrum licence).</w:t>
      </w:r>
      <w:r w:rsidR="00F6271F">
        <w:rPr>
          <w:rFonts w:ascii="Times New Roman" w:eastAsiaTheme="minorHAnsi" w:hAnsi="Times New Roman" w:cs="Times New Roman"/>
          <w:sz w:val="22"/>
          <w:szCs w:val="22"/>
        </w:rPr>
        <w:t xml:space="preserve">  The </w:t>
      </w:r>
      <w:r w:rsidR="00CC19D5">
        <w:rPr>
          <w:rFonts w:ascii="Times New Roman" w:eastAsiaTheme="minorHAnsi" w:hAnsi="Times New Roman" w:cs="Times New Roman"/>
          <w:sz w:val="22"/>
          <w:szCs w:val="22"/>
        </w:rPr>
        <w:t>Residual 700 MHz Spectrum D</w:t>
      </w:r>
      <w:r w:rsidR="00F6271F">
        <w:rPr>
          <w:rFonts w:ascii="Times New Roman" w:eastAsiaTheme="minorHAnsi" w:hAnsi="Times New Roman" w:cs="Times New Roman"/>
          <w:sz w:val="22"/>
          <w:szCs w:val="22"/>
        </w:rPr>
        <w:t xml:space="preserve">irection requires that the ‘present value of the </w:t>
      </w:r>
      <w:r w:rsidR="002F7F4C">
        <w:rPr>
          <w:rFonts w:ascii="Times New Roman" w:eastAsiaTheme="minorHAnsi" w:hAnsi="Times New Roman" w:cs="Times New Roman"/>
          <w:sz w:val="22"/>
          <w:szCs w:val="22"/>
        </w:rPr>
        <w:t xml:space="preserve">total </w:t>
      </w:r>
      <w:r w:rsidR="00F6271F">
        <w:rPr>
          <w:rFonts w:ascii="Times New Roman" w:eastAsiaTheme="minorHAnsi" w:hAnsi="Times New Roman" w:cs="Times New Roman"/>
          <w:sz w:val="22"/>
          <w:szCs w:val="22"/>
        </w:rPr>
        <w:t>spectrum access charge</w:t>
      </w:r>
      <w:r w:rsidR="002F7F4C">
        <w:rPr>
          <w:rFonts w:ascii="Times New Roman" w:eastAsiaTheme="minorHAnsi" w:hAnsi="Times New Roman" w:cs="Times New Roman"/>
          <w:sz w:val="22"/>
          <w:szCs w:val="22"/>
        </w:rPr>
        <w:t>s</w:t>
      </w:r>
      <w:r w:rsidR="00F6271F">
        <w:rPr>
          <w:rFonts w:ascii="Times New Roman" w:eastAsiaTheme="minorHAnsi" w:hAnsi="Times New Roman" w:cs="Times New Roman"/>
          <w:sz w:val="22"/>
          <w:szCs w:val="22"/>
        </w:rPr>
        <w:t>’ be calculated as the sum of the present values of the instalments.  For this purpose, the ACMA treats the deposit as being paid at the same time as the first auction instalment.</w:t>
      </w:r>
    </w:p>
    <w:p w14:paraId="67182B8F" w14:textId="1D16F61F" w:rsidR="00593442" w:rsidRDefault="000B1A12" w:rsidP="005C338A">
      <w:pPr>
        <w:pStyle w:val="ACMABodyText"/>
        <w:rPr>
          <w:rFonts w:eastAsiaTheme="minorHAnsi"/>
          <w:sz w:val="22"/>
          <w:szCs w:val="22"/>
        </w:rPr>
      </w:pPr>
      <w:r>
        <w:rPr>
          <w:rFonts w:ascii="Times New Roman" w:eastAsiaTheme="minorHAnsi" w:hAnsi="Times New Roman" w:cs="Times New Roman"/>
          <w:sz w:val="22"/>
          <w:szCs w:val="22"/>
        </w:rPr>
        <w:t>In accordance with the Residual 700 MHz Spectrum Direction, t</w:t>
      </w:r>
      <w:r w:rsidR="00593442" w:rsidRPr="005C338A">
        <w:rPr>
          <w:rFonts w:ascii="Times New Roman" w:eastAsiaTheme="minorHAnsi" w:hAnsi="Times New Roman" w:cs="Times New Roman"/>
          <w:sz w:val="22"/>
          <w:szCs w:val="22"/>
        </w:rPr>
        <w:t>he payment arrangements have been determined so that the present value of the first instalment payment is the same as the amount of that payment.</w:t>
      </w:r>
      <w:r>
        <w:rPr>
          <w:rFonts w:ascii="Times New Roman" w:eastAsiaTheme="minorHAnsi" w:hAnsi="Times New Roman" w:cs="Times New Roman"/>
          <w:sz w:val="22"/>
          <w:szCs w:val="22"/>
        </w:rPr>
        <w:t xml:space="preserve"> </w:t>
      </w:r>
      <w:r w:rsidR="00593442" w:rsidRPr="005C338A">
        <w:rPr>
          <w:rFonts w:ascii="Times New Roman" w:eastAsiaTheme="minorHAnsi" w:hAnsi="Times New Roman" w:cs="Times New Roman"/>
          <w:sz w:val="22"/>
          <w:szCs w:val="22"/>
        </w:rPr>
        <w:t xml:space="preserve"> The present value of subsequent instalment payments have been calculated as being the amount of that instalment payment reduced at the rate of </w:t>
      </w:r>
      <w:r>
        <w:rPr>
          <w:rFonts w:ascii="Times New Roman" w:eastAsiaTheme="minorHAnsi" w:hAnsi="Times New Roman" w:cs="Times New Roman"/>
          <w:sz w:val="22"/>
          <w:szCs w:val="22"/>
        </w:rPr>
        <w:t>five per cent</w:t>
      </w:r>
      <w:r w:rsidR="00593442" w:rsidRPr="005C338A">
        <w:rPr>
          <w:rFonts w:ascii="Times New Roman" w:eastAsiaTheme="minorHAnsi" w:hAnsi="Times New Roman" w:cs="Times New Roman"/>
          <w:sz w:val="22"/>
          <w:szCs w:val="22"/>
        </w:rPr>
        <w:t xml:space="preserve"> per annum for the period from the date that instalment payment is payable to the date the first instalment payment is payable.</w:t>
      </w:r>
    </w:p>
    <w:p w14:paraId="16E18BC9" w14:textId="722492DC" w:rsidR="000B1A12" w:rsidRPr="005C338A" w:rsidRDefault="000B1A12" w:rsidP="005C338A">
      <w:pPr>
        <w:pStyle w:val="ACMABodyText"/>
        <w:rPr>
          <w:rFonts w:eastAsiaTheme="minorHAnsi"/>
          <w:sz w:val="22"/>
          <w:szCs w:val="22"/>
        </w:rPr>
      </w:pPr>
      <w:r>
        <w:rPr>
          <w:rFonts w:ascii="Times New Roman" w:eastAsiaTheme="minorHAnsi" w:hAnsi="Times New Roman" w:cs="Times New Roman"/>
          <w:sz w:val="22"/>
          <w:szCs w:val="22"/>
        </w:rPr>
        <w:t>The ACMA has set the percentages for the second and third instalments so that, when allowing for the reduction in present value described above, the amount to be paid in the second and third instalments is almost the same.</w:t>
      </w:r>
    </w:p>
    <w:p w14:paraId="5B88B7B9" w14:textId="15C1DCBA" w:rsidR="00593442" w:rsidRPr="005C338A" w:rsidRDefault="00593442" w:rsidP="00593442">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an applicant accepts the offer of a spectrum licence and agrees to pay the delayed pre-determined price for the licence, the applicant must give the ACMA the delayed pre-determined price bank guarantee in accordance with subsection 44(6) by</w:t>
      </w:r>
      <w:r w:rsidR="009311BF">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31 January 2018.</w:t>
      </w:r>
    </w:p>
    <w:p w14:paraId="26FD243A" w14:textId="77777777" w:rsidR="00593442" w:rsidRPr="00E22627" w:rsidRDefault="00593442" w:rsidP="00593442">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Each instalment must be paid in accordance with the payment arrangements that are outlined in section 7.</w:t>
      </w:r>
      <w:r w:rsidRPr="00E22627">
        <w:rPr>
          <w:rFonts w:ascii="Times New Roman" w:eastAsiaTheme="minorHAnsi" w:hAnsi="Times New Roman" w:cs="Times New Roman"/>
          <w:sz w:val="22"/>
          <w:szCs w:val="22"/>
        </w:rPr>
        <w:t xml:space="preserve"> </w:t>
      </w:r>
    </w:p>
    <w:p w14:paraId="58743659" w14:textId="0F114D66" w:rsidR="00824D5D" w:rsidRPr="00E22627" w:rsidRDefault="00824D5D" w:rsidP="00E22627">
      <w:pPr>
        <w:keepNext/>
        <w:spacing w:after="160" w:line="259" w:lineRule="auto"/>
        <w:rPr>
          <w:rFonts w:eastAsiaTheme="minorHAnsi"/>
          <w:b/>
          <w:sz w:val="22"/>
          <w:szCs w:val="22"/>
          <w:lang w:eastAsia="en-US"/>
        </w:rPr>
      </w:pPr>
      <w:r w:rsidRPr="00E22627">
        <w:rPr>
          <w:rFonts w:eastAsiaTheme="minorHAnsi"/>
          <w:b/>
          <w:sz w:val="22"/>
          <w:szCs w:val="22"/>
          <w:lang w:eastAsia="en-US"/>
        </w:rPr>
        <w:t xml:space="preserve">Section </w:t>
      </w:r>
      <w:r w:rsidR="00FD7F7B" w:rsidRPr="00E22627">
        <w:rPr>
          <w:rFonts w:eastAsiaTheme="minorHAnsi"/>
          <w:b/>
          <w:sz w:val="22"/>
          <w:szCs w:val="22"/>
          <w:lang w:eastAsia="en-US"/>
        </w:rPr>
        <w:t>4</w:t>
      </w:r>
      <w:r w:rsidR="00C867CF" w:rsidRPr="00E22627">
        <w:rPr>
          <w:rFonts w:eastAsiaTheme="minorHAnsi"/>
          <w:b/>
          <w:sz w:val="22"/>
          <w:szCs w:val="22"/>
          <w:lang w:eastAsia="en-US"/>
        </w:rPr>
        <w:t>7</w:t>
      </w:r>
      <w:r w:rsidRPr="00E22627">
        <w:rPr>
          <w:rFonts w:eastAsiaTheme="minorHAnsi"/>
          <w:b/>
          <w:sz w:val="22"/>
          <w:szCs w:val="22"/>
          <w:lang w:eastAsia="en-US"/>
        </w:rPr>
        <w:tab/>
        <w:t>Allocation if offer refused</w:t>
      </w:r>
    </w:p>
    <w:p w14:paraId="0DB70B78" w14:textId="4517355A" w:rsidR="00C867CF" w:rsidRPr="00E22627" w:rsidRDefault="00C867CF" w:rsidP="00C867CF">
      <w:pPr>
        <w:pStyle w:val="ACMABodyText"/>
        <w:rPr>
          <w:rFonts w:ascii="Times New Roman" w:eastAsiaTheme="minorHAnsi" w:hAnsi="Times New Roman" w:cs="Times New Roman"/>
          <w:sz w:val="22"/>
          <w:szCs w:val="22"/>
        </w:rPr>
      </w:pPr>
      <w:r w:rsidRPr="00E22627">
        <w:rPr>
          <w:rFonts w:ascii="Times New Roman" w:eastAsiaTheme="minorHAnsi" w:hAnsi="Times New Roman" w:cs="Times New Roman"/>
          <w:sz w:val="22"/>
          <w:szCs w:val="22"/>
        </w:rPr>
        <w:t xml:space="preserve">This section sets out the procedures that will apply if an applicant does not accept, in accordance with subsection 44(3), a spectrum licence that has been offered to it through the pre-determined price allocation.  In this case, the ACMA may allocate those lots by auction, in accordance with </w:t>
      </w:r>
      <w:r w:rsidR="00E7248E">
        <w:rPr>
          <w:rFonts w:ascii="Times New Roman" w:eastAsiaTheme="minorHAnsi" w:hAnsi="Times New Roman" w:cs="Times New Roman"/>
          <w:sz w:val="22"/>
          <w:szCs w:val="22"/>
        </w:rPr>
        <w:t xml:space="preserve">the Determination, </w:t>
      </w:r>
      <w:r w:rsidRPr="00E22627">
        <w:rPr>
          <w:rFonts w:ascii="Times New Roman" w:eastAsiaTheme="minorHAnsi" w:hAnsi="Times New Roman" w:cs="Times New Roman"/>
          <w:sz w:val="22"/>
          <w:szCs w:val="22"/>
        </w:rPr>
        <w:t xml:space="preserve">or </w:t>
      </w:r>
      <w:r w:rsidR="00E7248E">
        <w:rPr>
          <w:rFonts w:ascii="Times New Roman" w:eastAsiaTheme="minorHAnsi" w:hAnsi="Times New Roman" w:cs="Times New Roman"/>
          <w:sz w:val="22"/>
          <w:szCs w:val="22"/>
        </w:rPr>
        <w:t>remove</w:t>
      </w:r>
      <w:r w:rsidR="00E7248E" w:rsidRPr="00E22627">
        <w:rPr>
          <w:rFonts w:ascii="Times New Roman" w:eastAsiaTheme="minorHAnsi" w:hAnsi="Times New Roman" w:cs="Times New Roman"/>
          <w:sz w:val="22"/>
          <w:szCs w:val="22"/>
        </w:rPr>
        <w:t xml:space="preserve"> </w:t>
      </w:r>
      <w:r w:rsidRPr="00E22627">
        <w:rPr>
          <w:rFonts w:ascii="Times New Roman" w:eastAsiaTheme="minorHAnsi" w:hAnsi="Times New Roman" w:cs="Times New Roman"/>
          <w:sz w:val="22"/>
          <w:szCs w:val="22"/>
        </w:rPr>
        <w:t xml:space="preserve">those lots from </w:t>
      </w:r>
      <w:r w:rsidR="0066118F">
        <w:rPr>
          <w:rFonts w:ascii="Times New Roman" w:eastAsiaTheme="minorHAnsi" w:hAnsi="Times New Roman" w:cs="Times New Roman"/>
          <w:sz w:val="22"/>
          <w:szCs w:val="22"/>
        </w:rPr>
        <w:t xml:space="preserve">the </w:t>
      </w:r>
      <w:r w:rsidRPr="00E22627">
        <w:rPr>
          <w:rFonts w:ascii="Times New Roman" w:eastAsiaTheme="minorHAnsi" w:hAnsi="Times New Roman" w:cs="Times New Roman"/>
          <w:sz w:val="22"/>
          <w:szCs w:val="22"/>
        </w:rPr>
        <w:t>allocation process.</w:t>
      </w:r>
    </w:p>
    <w:p w14:paraId="6D83C75E" w14:textId="6BD44456" w:rsidR="00F80F17" w:rsidRPr="00E22627" w:rsidRDefault="004659EE" w:rsidP="00E22627">
      <w:pPr>
        <w:keepNext/>
        <w:spacing w:after="160" w:line="259" w:lineRule="auto"/>
        <w:rPr>
          <w:rFonts w:eastAsiaTheme="minorHAnsi"/>
          <w:b/>
          <w:sz w:val="22"/>
          <w:szCs w:val="22"/>
          <w:lang w:eastAsia="en-US"/>
        </w:rPr>
      </w:pPr>
      <w:r w:rsidRPr="00E22627">
        <w:rPr>
          <w:rFonts w:eastAsiaTheme="minorHAnsi"/>
          <w:b/>
          <w:sz w:val="22"/>
          <w:szCs w:val="22"/>
          <w:lang w:eastAsia="en-US"/>
        </w:rPr>
        <w:lastRenderedPageBreak/>
        <w:t xml:space="preserve">Section </w:t>
      </w:r>
      <w:r w:rsidR="00FD7F7B" w:rsidRPr="00E22627">
        <w:rPr>
          <w:rFonts w:eastAsiaTheme="minorHAnsi"/>
          <w:b/>
          <w:sz w:val="22"/>
          <w:szCs w:val="22"/>
          <w:lang w:eastAsia="en-US"/>
        </w:rPr>
        <w:t>4</w:t>
      </w:r>
      <w:r w:rsidR="00E151A4" w:rsidRPr="00E22627">
        <w:rPr>
          <w:rFonts w:eastAsiaTheme="minorHAnsi"/>
          <w:b/>
          <w:sz w:val="22"/>
          <w:szCs w:val="22"/>
          <w:lang w:eastAsia="en-US"/>
        </w:rPr>
        <w:t>8</w:t>
      </w:r>
      <w:r w:rsidRPr="00E22627">
        <w:rPr>
          <w:rFonts w:eastAsiaTheme="minorHAnsi"/>
          <w:b/>
          <w:sz w:val="22"/>
          <w:szCs w:val="22"/>
          <w:lang w:eastAsia="en-US"/>
        </w:rPr>
        <w:tab/>
        <w:t>Default</w:t>
      </w:r>
    </w:p>
    <w:p w14:paraId="738457AF" w14:textId="2666A0E7" w:rsidR="004659EE" w:rsidRPr="005C338A" w:rsidRDefault="004659EE" w:rsidP="00E22627">
      <w:pPr>
        <w:pStyle w:val="ACMABodyText"/>
        <w:keepN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This section </w:t>
      </w:r>
      <w:r w:rsidR="00E7248E" w:rsidRPr="005C338A">
        <w:rPr>
          <w:rFonts w:ascii="Times New Roman" w:eastAsiaTheme="minorHAnsi" w:hAnsi="Times New Roman" w:cs="Times New Roman"/>
          <w:sz w:val="22"/>
          <w:szCs w:val="22"/>
        </w:rPr>
        <w:t>sets out the consequences that apply</w:t>
      </w:r>
      <w:r w:rsidRPr="005C338A">
        <w:rPr>
          <w:rFonts w:ascii="Times New Roman" w:eastAsiaTheme="minorHAnsi" w:hAnsi="Times New Roman" w:cs="Times New Roman"/>
          <w:sz w:val="22"/>
          <w:szCs w:val="22"/>
        </w:rPr>
        <w:t xml:space="preserve"> if an applicant does not pay the balance of the </w:t>
      </w:r>
      <w:r w:rsidR="00E151A4" w:rsidRPr="005C338A">
        <w:rPr>
          <w:rFonts w:ascii="Times New Roman" w:eastAsiaTheme="minorHAnsi" w:hAnsi="Times New Roman" w:cs="Times New Roman"/>
          <w:sz w:val="22"/>
          <w:szCs w:val="22"/>
        </w:rPr>
        <w:t xml:space="preserve">upfront </w:t>
      </w:r>
      <w:r w:rsidRPr="005C338A">
        <w:rPr>
          <w:rFonts w:ascii="Times New Roman" w:eastAsiaTheme="minorHAnsi" w:hAnsi="Times New Roman" w:cs="Times New Roman"/>
          <w:sz w:val="22"/>
          <w:szCs w:val="22"/>
        </w:rPr>
        <w:t xml:space="preserve">pre-determined price </w:t>
      </w:r>
      <w:r w:rsidR="005B697C" w:rsidRPr="005C338A">
        <w:rPr>
          <w:rFonts w:ascii="Times New Roman" w:eastAsiaTheme="minorHAnsi" w:hAnsi="Times New Roman" w:cs="Times New Roman"/>
          <w:sz w:val="22"/>
          <w:szCs w:val="22"/>
        </w:rPr>
        <w:t>after accepting the ACMA’s offer of</w:t>
      </w:r>
      <w:r w:rsidRPr="005C338A">
        <w:rPr>
          <w:rFonts w:ascii="Times New Roman" w:eastAsiaTheme="minorHAnsi" w:hAnsi="Times New Roman" w:cs="Times New Roman"/>
          <w:sz w:val="22"/>
          <w:szCs w:val="22"/>
        </w:rPr>
        <w:t xml:space="preserve"> a spectrum licence in accordance with section </w:t>
      </w:r>
      <w:r w:rsidR="00FD7F7B" w:rsidRPr="005C338A">
        <w:rPr>
          <w:rFonts w:ascii="Times New Roman" w:eastAsiaTheme="minorHAnsi" w:hAnsi="Times New Roman" w:cs="Times New Roman"/>
          <w:sz w:val="22"/>
          <w:szCs w:val="22"/>
        </w:rPr>
        <w:t>4</w:t>
      </w:r>
      <w:r w:rsidR="00E151A4" w:rsidRPr="005C338A">
        <w:rPr>
          <w:rFonts w:ascii="Times New Roman" w:eastAsiaTheme="minorHAnsi" w:hAnsi="Times New Roman" w:cs="Times New Roman"/>
          <w:sz w:val="22"/>
          <w:szCs w:val="22"/>
        </w:rPr>
        <w:t>5</w:t>
      </w:r>
      <w:r w:rsidRPr="005C338A">
        <w:rPr>
          <w:rFonts w:ascii="Times New Roman" w:eastAsiaTheme="minorHAnsi" w:hAnsi="Times New Roman" w:cs="Times New Roman"/>
          <w:sz w:val="22"/>
          <w:szCs w:val="22"/>
        </w:rPr>
        <w:t>.  In this case</w:t>
      </w:r>
      <w:r w:rsidR="00E7248E" w:rsidRPr="005C338A">
        <w:rPr>
          <w:rFonts w:ascii="Times New Roman" w:eastAsiaTheme="minorHAnsi" w:hAnsi="Times New Roman" w:cs="Times New Roman"/>
          <w:sz w:val="22"/>
          <w:szCs w:val="22"/>
        </w:rPr>
        <w:t>,</w:t>
      </w:r>
      <w:r w:rsidR="009F4CF1"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the applicant ceases to be entitled to be allocated the spectrum licence</w:t>
      </w:r>
      <w:r w:rsidR="00BE38BB" w:rsidRPr="005C338A">
        <w:rPr>
          <w:rFonts w:ascii="Times New Roman" w:eastAsiaTheme="minorHAnsi" w:hAnsi="Times New Roman" w:cs="Times New Roman"/>
          <w:sz w:val="22"/>
          <w:szCs w:val="22"/>
        </w:rPr>
        <w:t xml:space="preserve"> or licences,</w:t>
      </w:r>
      <w:r w:rsidR="009F4CF1" w:rsidRPr="005C338A">
        <w:rPr>
          <w:rFonts w:ascii="Times New Roman" w:eastAsiaTheme="minorHAnsi" w:hAnsi="Times New Roman" w:cs="Times New Roman"/>
          <w:sz w:val="22"/>
          <w:szCs w:val="22"/>
        </w:rPr>
        <w:t xml:space="preserve"> but </w:t>
      </w:r>
      <w:r w:rsidRPr="005C338A">
        <w:rPr>
          <w:rFonts w:ascii="Times New Roman" w:eastAsiaTheme="minorHAnsi" w:hAnsi="Times New Roman" w:cs="Times New Roman"/>
          <w:sz w:val="22"/>
          <w:szCs w:val="22"/>
        </w:rPr>
        <w:t>the allocation of spectrum licences to other applicants is not affected</w:t>
      </w:r>
      <w:r w:rsidR="009F4CF1" w:rsidRPr="005C338A">
        <w:rPr>
          <w:rFonts w:ascii="Times New Roman" w:eastAsiaTheme="minorHAnsi" w:hAnsi="Times New Roman" w:cs="Times New Roman"/>
          <w:sz w:val="22"/>
          <w:szCs w:val="22"/>
        </w:rPr>
        <w:t>.</w:t>
      </w:r>
      <w:r w:rsidR="00711DEA" w:rsidRPr="005C338A">
        <w:rPr>
          <w:rFonts w:ascii="Times New Roman" w:eastAsiaTheme="minorHAnsi" w:hAnsi="Times New Roman" w:cs="Times New Roman"/>
          <w:sz w:val="22"/>
          <w:szCs w:val="22"/>
        </w:rPr>
        <w:t xml:space="preserve"> </w:t>
      </w:r>
      <w:r w:rsidR="009F4CF1" w:rsidRPr="005C338A">
        <w:rPr>
          <w:rFonts w:ascii="Times New Roman" w:eastAsiaTheme="minorHAnsi" w:hAnsi="Times New Roman" w:cs="Times New Roman"/>
          <w:sz w:val="22"/>
          <w:szCs w:val="22"/>
        </w:rPr>
        <w:t xml:space="preserve"> The </w:t>
      </w:r>
      <w:r w:rsidRPr="005C338A">
        <w:rPr>
          <w:rFonts w:ascii="Times New Roman" w:eastAsiaTheme="minorHAnsi" w:hAnsi="Times New Roman" w:cs="Times New Roman"/>
          <w:sz w:val="22"/>
          <w:szCs w:val="22"/>
        </w:rPr>
        <w:t>lots included in the spectrum licence</w:t>
      </w:r>
      <w:r w:rsidR="00BE38BB" w:rsidRPr="005C338A">
        <w:rPr>
          <w:rFonts w:ascii="Times New Roman" w:eastAsiaTheme="minorHAnsi" w:hAnsi="Times New Roman" w:cs="Times New Roman"/>
          <w:sz w:val="22"/>
          <w:szCs w:val="22"/>
        </w:rPr>
        <w:t xml:space="preserve"> or licences</w:t>
      </w:r>
      <w:r w:rsidRPr="005C338A">
        <w:rPr>
          <w:rFonts w:ascii="Times New Roman" w:eastAsiaTheme="minorHAnsi" w:hAnsi="Times New Roman" w:cs="Times New Roman"/>
          <w:sz w:val="22"/>
          <w:szCs w:val="22"/>
        </w:rPr>
        <w:t xml:space="preserve"> </w:t>
      </w:r>
      <w:r w:rsidR="00E7248E" w:rsidRPr="005C338A">
        <w:rPr>
          <w:rFonts w:ascii="Times New Roman" w:eastAsiaTheme="minorHAnsi" w:hAnsi="Times New Roman" w:cs="Times New Roman"/>
          <w:sz w:val="22"/>
          <w:szCs w:val="22"/>
        </w:rPr>
        <w:t>for which</w:t>
      </w:r>
      <w:r w:rsidR="009F4CF1" w:rsidRPr="005C338A">
        <w:rPr>
          <w:rFonts w:ascii="Times New Roman" w:eastAsiaTheme="minorHAnsi" w:hAnsi="Times New Roman" w:cs="Times New Roman"/>
          <w:sz w:val="22"/>
          <w:szCs w:val="22"/>
        </w:rPr>
        <w:t xml:space="preserve"> the applicant has not paid the balance of the </w:t>
      </w:r>
      <w:r w:rsidR="0066118F">
        <w:rPr>
          <w:rFonts w:ascii="Times New Roman" w:eastAsiaTheme="minorHAnsi" w:hAnsi="Times New Roman" w:cs="Times New Roman"/>
          <w:sz w:val="22"/>
          <w:szCs w:val="22"/>
        </w:rPr>
        <w:t xml:space="preserve">upfront </w:t>
      </w:r>
      <w:r w:rsidR="009F4CF1" w:rsidRPr="005C338A">
        <w:rPr>
          <w:rFonts w:ascii="Times New Roman" w:eastAsiaTheme="minorHAnsi" w:hAnsi="Times New Roman" w:cs="Times New Roman"/>
          <w:sz w:val="22"/>
          <w:szCs w:val="22"/>
        </w:rPr>
        <w:t xml:space="preserve">pre-determined price </w:t>
      </w:r>
      <w:r w:rsidRPr="005C338A">
        <w:rPr>
          <w:rFonts w:ascii="Times New Roman" w:eastAsiaTheme="minorHAnsi" w:hAnsi="Times New Roman" w:cs="Times New Roman"/>
          <w:sz w:val="22"/>
          <w:szCs w:val="22"/>
        </w:rPr>
        <w:t>are taken to be unallocated spectrum under section 8</w:t>
      </w:r>
      <w:r w:rsidR="00E151A4" w:rsidRPr="005C338A">
        <w:rPr>
          <w:rFonts w:ascii="Times New Roman" w:eastAsiaTheme="minorHAnsi" w:hAnsi="Times New Roman" w:cs="Times New Roman"/>
          <w:sz w:val="22"/>
          <w:szCs w:val="22"/>
        </w:rPr>
        <w:t>0</w:t>
      </w:r>
      <w:r w:rsidR="009F4CF1" w:rsidRPr="005C338A">
        <w:rPr>
          <w:rFonts w:ascii="Times New Roman" w:eastAsiaTheme="minorHAnsi" w:hAnsi="Times New Roman" w:cs="Times New Roman"/>
          <w:sz w:val="22"/>
          <w:szCs w:val="22"/>
        </w:rPr>
        <w:t xml:space="preserve"> of the Determination</w:t>
      </w:r>
      <w:r w:rsidRPr="005C338A">
        <w:rPr>
          <w:rFonts w:ascii="Times New Roman" w:eastAsiaTheme="minorHAnsi" w:hAnsi="Times New Roman" w:cs="Times New Roman"/>
          <w:sz w:val="22"/>
          <w:szCs w:val="22"/>
        </w:rPr>
        <w:t>.</w:t>
      </w:r>
      <w:r w:rsidR="009F4CF1" w:rsidRPr="005C338A">
        <w:rPr>
          <w:rFonts w:ascii="Times New Roman" w:eastAsiaTheme="minorHAnsi" w:hAnsi="Times New Roman" w:cs="Times New Roman"/>
          <w:sz w:val="22"/>
          <w:szCs w:val="22"/>
        </w:rPr>
        <w:t xml:space="preserve"> </w:t>
      </w:r>
    </w:p>
    <w:p w14:paraId="490E542A" w14:textId="6C23F773" w:rsidR="004E475F" w:rsidRPr="005C338A" w:rsidRDefault="00E151A4" w:rsidP="00E22627">
      <w:pPr>
        <w:pStyle w:val="ACMABodyText"/>
        <w:keepN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This section also </w:t>
      </w:r>
      <w:r w:rsidR="00E7248E" w:rsidRPr="005C338A">
        <w:rPr>
          <w:rFonts w:ascii="Times New Roman" w:eastAsiaTheme="minorHAnsi" w:hAnsi="Times New Roman" w:cs="Times New Roman"/>
          <w:sz w:val="22"/>
          <w:szCs w:val="22"/>
        </w:rPr>
        <w:t>sets out the consequences that apply</w:t>
      </w:r>
      <w:r w:rsidRPr="005C338A">
        <w:rPr>
          <w:rFonts w:ascii="Times New Roman" w:eastAsiaTheme="minorHAnsi" w:hAnsi="Times New Roman" w:cs="Times New Roman"/>
          <w:sz w:val="22"/>
          <w:szCs w:val="22"/>
        </w:rPr>
        <w:t xml:space="preserve"> if an applicant</w:t>
      </w:r>
      <w:r w:rsidR="004E475F" w:rsidRPr="005C338A">
        <w:rPr>
          <w:rFonts w:ascii="Times New Roman" w:eastAsiaTheme="minorHAnsi" w:hAnsi="Times New Roman" w:cs="Times New Roman"/>
          <w:sz w:val="22"/>
          <w:szCs w:val="22"/>
        </w:rPr>
        <w:t xml:space="preserve"> a</w:t>
      </w:r>
      <w:r w:rsidRPr="005C338A">
        <w:rPr>
          <w:rFonts w:ascii="Times New Roman" w:eastAsiaTheme="minorHAnsi" w:hAnsi="Times New Roman" w:cs="Times New Roman"/>
          <w:sz w:val="22"/>
          <w:szCs w:val="22"/>
        </w:rPr>
        <w:t>ccepts the offer of a spectrum licence and agrees to pay the delayed pre-determined price for the licence</w:t>
      </w:r>
      <w:r w:rsidR="001167C3" w:rsidRPr="005C338A">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 xml:space="preserve"> </w:t>
      </w:r>
      <w:r w:rsidR="001167C3" w:rsidRPr="005C338A">
        <w:rPr>
          <w:rFonts w:ascii="Times New Roman" w:eastAsiaTheme="minorHAnsi" w:hAnsi="Times New Roman" w:cs="Times New Roman"/>
          <w:sz w:val="22"/>
          <w:szCs w:val="22"/>
        </w:rPr>
        <w:t>but</w:t>
      </w:r>
      <w:r w:rsidR="004E475F"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either, or both:</w:t>
      </w:r>
    </w:p>
    <w:p w14:paraId="10AB4C7C" w14:textId="1187D371" w:rsidR="00E151A4" w:rsidRPr="005C338A" w:rsidRDefault="00E22627" w:rsidP="00E22627">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ab/>
      </w:r>
      <w:proofErr w:type="gramStart"/>
      <w:r w:rsidR="00E151A4" w:rsidRPr="005C338A">
        <w:rPr>
          <w:rFonts w:ascii="Times New Roman" w:eastAsiaTheme="minorHAnsi" w:hAnsi="Times New Roman" w:cs="Times New Roman"/>
          <w:sz w:val="22"/>
          <w:szCs w:val="22"/>
        </w:rPr>
        <w:t>does</w:t>
      </w:r>
      <w:proofErr w:type="gramEnd"/>
      <w:r w:rsidR="00E151A4" w:rsidRPr="005C338A">
        <w:rPr>
          <w:rFonts w:ascii="Times New Roman" w:eastAsiaTheme="minorHAnsi" w:hAnsi="Times New Roman" w:cs="Times New Roman"/>
          <w:sz w:val="22"/>
          <w:szCs w:val="22"/>
        </w:rPr>
        <w:t xml:space="preserve"> not pay the first instalment in accordance with section 46; or</w:t>
      </w:r>
    </w:p>
    <w:p w14:paraId="0FBF5DE0" w14:textId="3AD8DF61" w:rsidR="004E475F" w:rsidRPr="005C338A" w:rsidRDefault="00E22627" w:rsidP="00E22627">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b/>
      </w:r>
      <w:proofErr w:type="gramStart"/>
      <w:r w:rsidR="00E151A4" w:rsidRPr="005C338A">
        <w:rPr>
          <w:rFonts w:ascii="Times New Roman" w:eastAsiaTheme="minorHAnsi" w:hAnsi="Times New Roman" w:cs="Times New Roman"/>
          <w:sz w:val="22"/>
          <w:szCs w:val="22"/>
        </w:rPr>
        <w:t>does</w:t>
      </w:r>
      <w:proofErr w:type="gramEnd"/>
      <w:r w:rsidR="00E151A4" w:rsidRPr="005C338A">
        <w:rPr>
          <w:rFonts w:ascii="Times New Roman" w:eastAsiaTheme="minorHAnsi" w:hAnsi="Times New Roman" w:cs="Times New Roman"/>
          <w:sz w:val="22"/>
          <w:szCs w:val="22"/>
        </w:rPr>
        <w:t xml:space="preserve"> not give the ACMA the delayed pre-determined price bank guarantee in accordance with subsection 44(6)</w:t>
      </w:r>
      <w:r w:rsidR="00E7248E" w:rsidRPr="005C338A">
        <w:rPr>
          <w:rFonts w:ascii="Times New Roman" w:eastAsiaTheme="minorHAnsi" w:hAnsi="Times New Roman" w:cs="Times New Roman"/>
          <w:sz w:val="22"/>
          <w:szCs w:val="22"/>
        </w:rPr>
        <w:t>.</w:t>
      </w:r>
    </w:p>
    <w:p w14:paraId="24703B46" w14:textId="48D61DF7" w:rsidR="00E151A4" w:rsidRPr="005C338A" w:rsidRDefault="00E7248E" w:rsidP="00E22627">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w:t>
      </w:r>
      <w:r w:rsidR="004E475F" w:rsidRPr="005C338A">
        <w:rPr>
          <w:rFonts w:ascii="Times New Roman" w:eastAsiaTheme="minorHAnsi" w:hAnsi="Times New Roman" w:cs="Times New Roman"/>
          <w:sz w:val="22"/>
          <w:szCs w:val="22"/>
        </w:rPr>
        <w:t>n this case</w:t>
      </w:r>
      <w:r w:rsidRPr="005C338A">
        <w:rPr>
          <w:rFonts w:ascii="Times New Roman" w:eastAsiaTheme="minorHAnsi" w:hAnsi="Times New Roman" w:cs="Times New Roman"/>
          <w:sz w:val="22"/>
          <w:szCs w:val="22"/>
        </w:rPr>
        <w:t>,</w:t>
      </w:r>
      <w:r w:rsidR="004E475F" w:rsidRPr="005C338A">
        <w:rPr>
          <w:rFonts w:ascii="Times New Roman" w:eastAsiaTheme="minorHAnsi" w:hAnsi="Times New Roman" w:cs="Times New Roman"/>
          <w:sz w:val="22"/>
          <w:szCs w:val="22"/>
        </w:rPr>
        <w:t xml:space="preserve"> </w:t>
      </w:r>
      <w:r w:rsidR="00E151A4" w:rsidRPr="005C338A">
        <w:rPr>
          <w:rFonts w:ascii="Times New Roman" w:eastAsiaTheme="minorHAnsi" w:hAnsi="Times New Roman" w:cs="Times New Roman"/>
          <w:sz w:val="22"/>
          <w:szCs w:val="22"/>
        </w:rPr>
        <w:t>the spectrum licence is not allocated to the applicant</w:t>
      </w:r>
      <w:r w:rsidRPr="005C338A">
        <w:rPr>
          <w:rFonts w:ascii="Times New Roman" w:eastAsiaTheme="minorHAnsi" w:hAnsi="Times New Roman" w:cs="Times New Roman"/>
          <w:sz w:val="22"/>
          <w:szCs w:val="22"/>
        </w:rPr>
        <w:t>, but</w:t>
      </w:r>
      <w:r w:rsidR="004E475F" w:rsidRPr="005C338A">
        <w:rPr>
          <w:rFonts w:ascii="Times New Roman" w:eastAsiaTheme="minorHAnsi" w:hAnsi="Times New Roman" w:cs="Times New Roman"/>
          <w:sz w:val="22"/>
          <w:szCs w:val="22"/>
        </w:rPr>
        <w:t xml:space="preserve"> </w:t>
      </w:r>
      <w:r w:rsidR="00E151A4" w:rsidRPr="005C338A">
        <w:rPr>
          <w:rFonts w:ascii="Times New Roman" w:eastAsiaTheme="minorHAnsi" w:hAnsi="Times New Roman" w:cs="Times New Roman"/>
          <w:sz w:val="22"/>
          <w:szCs w:val="22"/>
        </w:rPr>
        <w:t>the allocation of spectrum licences to other applicants is not affected</w:t>
      </w:r>
      <w:r w:rsidRPr="005C338A">
        <w:rPr>
          <w:rFonts w:ascii="Times New Roman" w:eastAsiaTheme="minorHAnsi" w:hAnsi="Times New Roman" w:cs="Times New Roman"/>
          <w:sz w:val="22"/>
          <w:szCs w:val="22"/>
        </w:rPr>
        <w:t xml:space="preserve">.  The lots included in the spectrum licence or licences in this case are taken to be unallocated spectrum under </w:t>
      </w:r>
      <w:r w:rsidR="00E151A4" w:rsidRPr="005C338A">
        <w:rPr>
          <w:rFonts w:ascii="Times New Roman" w:eastAsiaTheme="minorHAnsi" w:hAnsi="Times New Roman" w:cs="Times New Roman"/>
          <w:sz w:val="22"/>
          <w:szCs w:val="22"/>
        </w:rPr>
        <w:t xml:space="preserve">section 80 </w:t>
      </w:r>
      <w:r w:rsidRPr="005C338A">
        <w:rPr>
          <w:rFonts w:ascii="Times New Roman" w:eastAsiaTheme="minorHAnsi" w:hAnsi="Times New Roman" w:cs="Times New Roman"/>
          <w:sz w:val="22"/>
          <w:szCs w:val="22"/>
        </w:rPr>
        <w:t>of the Determination</w:t>
      </w:r>
      <w:r w:rsidR="00E151A4" w:rsidRPr="005C338A">
        <w:rPr>
          <w:rFonts w:ascii="Times New Roman" w:eastAsiaTheme="minorHAnsi" w:hAnsi="Times New Roman" w:cs="Times New Roman"/>
          <w:sz w:val="22"/>
          <w:szCs w:val="22"/>
        </w:rPr>
        <w:t>.</w:t>
      </w:r>
    </w:p>
    <w:p w14:paraId="4CB34F0C" w14:textId="77B05B5A" w:rsidR="00952A47" w:rsidRPr="00E22627" w:rsidRDefault="00952A47" w:rsidP="00A87C15">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the applicant fails to pay an instalment other than the first instalment, the applicant may be in breach of the licence condition required to be included in a spectrum licence by section 67 of the Act</w:t>
      </w:r>
      <w:r w:rsidR="00E7248E" w:rsidRPr="005C338A">
        <w:rPr>
          <w:rFonts w:ascii="Times New Roman" w:eastAsiaTheme="minorHAnsi" w:hAnsi="Times New Roman" w:cs="Times New Roman"/>
          <w:sz w:val="22"/>
          <w:szCs w:val="22"/>
        </w:rPr>
        <w:t>, and</w:t>
      </w:r>
      <w:r w:rsidRPr="005C338A">
        <w:rPr>
          <w:rFonts w:ascii="Times New Roman" w:eastAsiaTheme="minorHAnsi" w:hAnsi="Times New Roman" w:cs="Times New Roman"/>
          <w:sz w:val="22"/>
          <w:szCs w:val="22"/>
        </w:rPr>
        <w:t xml:space="preserve"> the ACMA or the Commonwealth may require the authorised deposit-taking institution that has issued the delayed pre-determined price bank guarantee to pay the amounts secured by </w:t>
      </w:r>
      <w:r w:rsidR="0066118F">
        <w:rPr>
          <w:rFonts w:ascii="Times New Roman" w:eastAsiaTheme="minorHAnsi" w:hAnsi="Times New Roman" w:cs="Times New Roman"/>
          <w:sz w:val="22"/>
          <w:szCs w:val="22"/>
        </w:rPr>
        <w:t>that</w:t>
      </w:r>
      <w:r w:rsidRPr="005C338A">
        <w:rPr>
          <w:rFonts w:ascii="Times New Roman" w:eastAsiaTheme="minorHAnsi" w:hAnsi="Times New Roman" w:cs="Times New Roman"/>
          <w:sz w:val="22"/>
          <w:szCs w:val="22"/>
        </w:rPr>
        <w:t xml:space="preserve"> bank guarantee.</w:t>
      </w:r>
      <w:r w:rsidR="0066118F">
        <w:rPr>
          <w:rFonts w:ascii="Times New Roman" w:eastAsiaTheme="minorHAnsi" w:hAnsi="Times New Roman" w:cs="Times New Roman"/>
          <w:sz w:val="22"/>
          <w:szCs w:val="22"/>
        </w:rPr>
        <w:t xml:space="preserve">  Nothing in the Determination limits the other rights or remedies the ACMA or the Commonwealth has against a person, including against the authorised deposit-taking institution that has issued the delayed pre-determined price bank guarantee.</w:t>
      </w:r>
    </w:p>
    <w:p w14:paraId="3724BC33" w14:textId="2F7A0EE7" w:rsidR="004659EE" w:rsidRPr="00E22627" w:rsidRDefault="004659EE" w:rsidP="00E22627">
      <w:pPr>
        <w:keepNext/>
        <w:spacing w:after="160" w:line="259" w:lineRule="auto"/>
        <w:rPr>
          <w:rFonts w:eastAsiaTheme="minorHAnsi"/>
          <w:b/>
          <w:sz w:val="22"/>
          <w:szCs w:val="22"/>
          <w:lang w:eastAsia="en-US"/>
        </w:rPr>
      </w:pPr>
      <w:r w:rsidRPr="00E22627">
        <w:rPr>
          <w:rFonts w:eastAsiaTheme="minorHAnsi"/>
          <w:b/>
          <w:sz w:val="22"/>
          <w:szCs w:val="22"/>
          <w:lang w:eastAsia="en-US"/>
        </w:rPr>
        <w:t xml:space="preserve">Section </w:t>
      </w:r>
      <w:r w:rsidR="00FD7F7B" w:rsidRPr="00E22627">
        <w:rPr>
          <w:rFonts w:eastAsiaTheme="minorHAnsi"/>
          <w:b/>
          <w:sz w:val="22"/>
          <w:szCs w:val="22"/>
          <w:lang w:eastAsia="en-US"/>
        </w:rPr>
        <w:t>4</w:t>
      </w:r>
      <w:r w:rsidR="004E475F" w:rsidRPr="00E22627">
        <w:rPr>
          <w:rFonts w:eastAsiaTheme="minorHAnsi"/>
          <w:b/>
          <w:sz w:val="22"/>
          <w:szCs w:val="22"/>
          <w:lang w:eastAsia="en-US"/>
        </w:rPr>
        <w:t>9</w:t>
      </w:r>
      <w:r w:rsidRPr="00E22627">
        <w:rPr>
          <w:rFonts w:eastAsiaTheme="minorHAnsi"/>
          <w:b/>
          <w:sz w:val="22"/>
          <w:szCs w:val="22"/>
          <w:lang w:eastAsia="en-US"/>
        </w:rPr>
        <w:tab/>
        <w:t>Publication of results</w:t>
      </w:r>
    </w:p>
    <w:p w14:paraId="1754D276" w14:textId="14ECC880" w:rsidR="004659EE" w:rsidRPr="00E22627" w:rsidRDefault="004659EE" w:rsidP="00E22627">
      <w:pPr>
        <w:pStyle w:val="ACMABodyText"/>
        <w:rPr>
          <w:rFonts w:ascii="Times New Roman" w:eastAsiaTheme="minorHAnsi" w:hAnsi="Times New Roman" w:cs="Times New Roman"/>
          <w:sz w:val="22"/>
          <w:szCs w:val="22"/>
        </w:rPr>
      </w:pPr>
      <w:r w:rsidRPr="00E22627">
        <w:rPr>
          <w:rFonts w:ascii="Times New Roman" w:eastAsiaTheme="minorHAnsi" w:hAnsi="Times New Roman" w:cs="Times New Roman"/>
          <w:sz w:val="22"/>
          <w:szCs w:val="22"/>
        </w:rPr>
        <w:t xml:space="preserve">The ACMA will release the pre-determined price allocation results to the public. </w:t>
      </w:r>
      <w:r w:rsidR="009311BF">
        <w:rPr>
          <w:rFonts w:ascii="Times New Roman" w:eastAsiaTheme="minorHAnsi" w:hAnsi="Times New Roman" w:cs="Times New Roman"/>
          <w:sz w:val="22"/>
          <w:szCs w:val="22"/>
        </w:rPr>
        <w:t xml:space="preserve"> </w:t>
      </w:r>
      <w:r w:rsidRPr="00E22627">
        <w:rPr>
          <w:rFonts w:ascii="Times New Roman" w:eastAsiaTheme="minorHAnsi" w:hAnsi="Times New Roman" w:cs="Times New Roman"/>
          <w:sz w:val="22"/>
          <w:szCs w:val="22"/>
        </w:rPr>
        <w:t xml:space="preserve">This section sets out </w:t>
      </w:r>
      <w:r w:rsidR="009F4CF1" w:rsidRPr="00E22627">
        <w:rPr>
          <w:rFonts w:ascii="Times New Roman" w:eastAsiaTheme="minorHAnsi" w:hAnsi="Times New Roman" w:cs="Times New Roman"/>
          <w:sz w:val="22"/>
          <w:szCs w:val="22"/>
        </w:rPr>
        <w:t xml:space="preserve">the </w:t>
      </w:r>
      <w:r w:rsidRPr="00E22627">
        <w:rPr>
          <w:rFonts w:ascii="Times New Roman" w:eastAsiaTheme="minorHAnsi" w:hAnsi="Times New Roman" w:cs="Times New Roman"/>
          <w:sz w:val="22"/>
          <w:szCs w:val="22"/>
        </w:rPr>
        <w:t xml:space="preserve">information </w:t>
      </w:r>
      <w:r w:rsidR="009F4CF1" w:rsidRPr="00E22627">
        <w:rPr>
          <w:rFonts w:ascii="Times New Roman" w:eastAsiaTheme="minorHAnsi" w:hAnsi="Times New Roman" w:cs="Times New Roman"/>
          <w:sz w:val="22"/>
          <w:szCs w:val="22"/>
        </w:rPr>
        <w:t xml:space="preserve">that </w:t>
      </w:r>
      <w:r w:rsidRPr="00E22627">
        <w:rPr>
          <w:rFonts w:ascii="Times New Roman" w:eastAsiaTheme="minorHAnsi" w:hAnsi="Times New Roman" w:cs="Times New Roman"/>
          <w:sz w:val="22"/>
          <w:szCs w:val="22"/>
        </w:rPr>
        <w:t xml:space="preserve">the ACMA must announce or publish. </w:t>
      </w:r>
      <w:r w:rsidR="009311BF">
        <w:rPr>
          <w:rFonts w:ascii="Times New Roman" w:eastAsiaTheme="minorHAnsi" w:hAnsi="Times New Roman" w:cs="Times New Roman"/>
          <w:sz w:val="22"/>
          <w:szCs w:val="22"/>
        </w:rPr>
        <w:t xml:space="preserve"> </w:t>
      </w:r>
      <w:r w:rsidRPr="00E22627">
        <w:rPr>
          <w:rFonts w:ascii="Times New Roman" w:eastAsiaTheme="minorHAnsi" w:hAnsi="Times New Roman" w:cs="Times New Roman"/>
          <w:sz w:val="22"/>
          <w:szCs w:val="22"/>
        </w:rPr>
        <w:t xml:space="preserve">The information released will include the names of the persons to whom spectrum licences are to be issued, the spectrum </w:t>
      </w:r>
      <w:r w:rsidR="009F4CF1" w:rsidRPr="00E22627">
        <w:rPr>
          <w:rFonts w:ascii="Times New Roman" w:eastAsiaTheme="minorHAnsi" w:hAnsi="Times New Roman" w:cs="Times New Roman"/>
          <w:sz w:val="22"/>
          <w:szCs w:val="22"/>
        </w:rPr>
        <w:t>allocated</w:t>
      </w:r>
      <w:r w:rsidRPr="00E22627">
        <w:rPr>
          <w:rFonts w:ascii="Times New Roman" w:eastAsiaTheme="minorHAnsi" w:hAnsi="Times New Roman" w:cs="Times New Roman"/>
          <w:sz w:val="22"/>
          <w:szCs w:val="22"/>
        </w:rPr>
        <w:t xml:space="preserve"> to each person</w:t>
      </w:r>
      <w:r w:rsidR="00952A47" w:rsidRPr="00E22627">
        <w:rPr>
          <w:rFonts w:ascii="Times New Roman" w:eastAsiaTheme="minorHAnsi" w:hAnsi="Times New Roman" w:cs="Times New Roman"/>
          <w:sz w:val="22"/>
          <w:szCs w:val="22"/>
        </w:rPr>
        <w:t xml:space="preserve"> and</w:t>
      </w:r>
      <w:r w:rsidRPr="00E22627">
        <w:rPr>
          <w:rFonts w:ascii="Times New Roman" w:eastAsiaTheme="minorHAnsi" w:hAnsi="Times New Roman" w:cs="Times New Roman"/>
          <w:sz w:val="22"/>
          <w:szCs w:val="22"/>
        </w:rPr>
        <w:t xml:space="preserve"> the</w:t>
      </w:r>
      <w:r w:rsidR="004E475F" w:rsidRPr="00E22627">
        <w:rPr>
          <w:rFonts w:ascii="Times New Roman" w:eastAsiaTheme="minorHAnsi" w:hAnsi="Times New Roman" w:cs="Times New Roman"/>
          <w:sz w:val="22"/>
          <w:szCs w:val="22"/>
        </w:rPr>
        <w:t xml:space="preserve"> upfront (or delayed) </w:t>
      </w:r>
      <w:r w:rsidRPr="00E22627">
        <w:rPr>
          <w:rFonts w:ascii="Times New Roman" w:eastAsiaTheme="minorHAnsi" w:hAnsi="Times New Roman" w:cs="Times New Roman"/>
          <w:sz w:val="22"/>
          <w:szCs w:val="22"/>
        </w:rPr>
        <w:t xml:space="preserve">pre-determined price for each spectrum licence to be issued to that person. </w:t>
      </w:r>
    </w:p>
    <w:p w14:paraId="2C1ABBDB" w14:textId="5AD483AE" w:rsidR="00603AB1" w:rsidRPr="00A87C15" w:rsidRDefault="00BC4E75" w:rsidP="00E22627">
      <w:pPr>
        <w:keepNext/>
        <w:spacing w:before="280" w:after="160" w:line="259" w:lineRule="auto"/>
        <w:rPr>
          <w:rFonts w:eastAsiaTheme="minorHAnsi"/>
          <w:b/>
          <w:sz w:val="22"/>
          <w:szCs w:val="22"/>
          <w:lang w:eastAsia="en-US"/>
        </w:rPr>
      </w:pPr>
      <w:r w:rsidRPr="00A87C15">
        <w:rPr>
          <w:rFonts w:eastAsiaTheme="minorHAnsi"/>
          <w:b/>
          <w:sz w:val="22"/>
          <w:szCs w:val="22"/>
          <w:lang w:eastAsia="en-US"/>
        </w:rPr>
        <w:t>P</w:t>
      </w:r>
      <w:r w:rsidR="00D91F9A" w:rsidRPr="00A87C15">
        <w:rPr>
          <w:rFonts w:eastAsiaTheme="minorHAnsi"/>
          <w:b/>
          <w:sz w:val="22"/>
          <w:szCs w:val="22"/>
          <w:lang w:eastAsia="en-US"/>
        </w:rPr>
        <w:t>ART 6</w:t>
      </w:r>
      <w:r w:rsidR="00603AB1" w:rsidRPr="00A87C15">
        <w:rPr>
          <w:rFonts w:eastAsiaTheme="minorHAnsi"/>
          <w:b/>
          <w:sz w:val="22"/>
          <w:szCs w:val="22"/>
          <w:lang w:eastAsia="en-US"/>
        </w:rPr>
        <w:tab/>
      </w:r>
      <w:r w:rsidR="00E22627">
        <w:rPr>
          <w:rFonts w:eastAsiaTheme="minorHAnsi"/>
          <w:b/>
          <w:sz w:val="22"/>
          <w:szCs w:val="22"/>
          <w:lang w:eastAsia="en-US"/>
        </w:rPr>
        <w:t>AUCTION PROCEDURES</w:t>
      </w:r>
    </w:p>
    <w:p w14:paraId="17A805EE" w14:textId="77777777" w:rsidR="004E475F" w:rsidRPr="00A87C15" w:rsidRDefault="00D91F9A" w:rsidP="00A87C15">
      <w:pPr>
        <w:keepNext/>
        <w:spacing w:before="280" w:after="160" w:line="259" w:lineRule="auto"/>
        <w:rPr>
          <w:rFonts w:eastAsiaTheme="minorHAnsi"/>
          <w:b/>
          <w:lang w:eastAsia="en-US"/>
        </w:rPr>
      </w:pPr>
      <w:r w:rsidRPr="00A87C15">
        <w:rPr>
          <w:rFonts w:eastAsiaTheme="minorHAnsi"/>
          <w:b/>
          <w:lang w:eastAsia="en-US"/>
        </w:rPr>
        <w:t>Division 1</w:t>
      </w:r>
      <w:r w:rsidRPr="00A87C15">
        <w:rPr>
          <w:rFonts w:eastAsiaTheme="minorHAnsi"/>
          <w:b/>
          <w:lang w:eastAsia="en-US"/>
        </w:rPr>
        <w:tab/>
      </w:r>
      <w:r w:rsidR="004E475F" w:rsidRPr="00A87C15">
        <w:rPr>
          <w:rFonts w:eastAsiaTheme="minorHAnsi"/>
          <w:b/>
          <w:lang w:eastAsia="en-US"/>
        </w:rPr>
        <w:t>Simplified outline</w:t>
      </w:r>
    </w:p>
    <w:p w14:paraId="271DDFDA" w14:textId="25CC985C" w:rsidR="00FD7F7B" w:rsidRPr="00A87C15" w:rsidRDefault="00FD7F7B"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4E475F" w:rsidRPr="00A87C15">
        <w:rPr>
          <w:rFonts w:eastAsiaTheme="minorHAnsi"/>
          <w:b/>
          <w:sz w:val="22"/>
          <w:szCs w:val="22"/>
          <w:lang w:eastAsia="en-US"/>
        </w:rPr>
        <w:t>50</w:t>
      </w:r>
      <w:r w:rsidRPr="00A87C15">
        <w:rPr>
          <w:rFonts w:eastAsiaTheme="minorHAnsi"/>
          <w:b/>
          <w:sz w:val="22"/>
          <w:szCs w:val="22"/>
          <w:lang w:eastAsia="en-US"/>
        </w:rPr>
        <w:tab/>
      </w:r>
      <w:r w:rsidR="004E475F" w:rsidRPr="00A87C15">
        <w:rPr>
          <w:rFonts w:eastAsiaTheme="minorHAnsi"/>
          <w:b/>
          <w:sz w:val="22"/>
          <w:szCs w:val="22"/>
          <w:lang w:eastAsia="en-US"/>
        </w:rPr>
        <w:t>Simplified outline of this Part</w:t>
      </w:r>
      <w:r w:rsidR="00B95CBB" w:rsidRPr="00A87C15">
        <w:rPr>
          <w:rFonts w:eastAsiaTheme="minorHAnsi"/>
          <w:b/>
          <w:sz w:val="22"/>
          <w:szCs w:val="22"/>
          <w:lang w:eastAsia="en-US"/>
        </w:rPr>
        <w:t xml:space="preserve"> </w:t>
      </w:r>
    </w:p>
    <w:p w14:paraId="63F46300" w14:textId="21677BD5" w:rsidR="00A87C15" w:rsidRPr="00EC6CCC" w:rsidRDefault="00A87C15" w:rsidP="00A87C15">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sets out a simplified outline of Part </w:t>
      </w:r>
      <w:r>
        <w:rPr>
          <w:rFonts w:ascii="Times New Roman" w:eastAsiaTheme="minorHAnsi" w:hAnsi="Times New Roman" w:cs="Times New Roman"/>
          <w:sz w:val="22"/>
          <w:szCs w:val="22"/>
        </w:rPr>
        <w:t>6</w:t>
      </w:r>
      <w:r w:rsidRPr="00EC6CCC">
        <w:rPr>
          <w:rFonts w:ascii="Times New Roman" w:eastAsiaTheme="minorHAnsi" w:hAnsi="Times New Roman" w:cs="Times New Roman"/>
          <w:sz w:val="22"/>
          <w:szCs w:val="22"/>
        </w:rPr>
        <w:t>.</w:t>
      </w:r>
    </w:p>
    <w:p w14:paraId="31B87D37" w14:textId="69A8253E" w:rsidR="004E475F" w:rsidRPr="00A87C15" w:rsidRDefault="00FD7F7B" w:rsidP="00A87C15">
      <w:pPr>
        <w:keepNext/>
        <w:spacing w:before="280" w:after="160" w:line="259" w:lineRule="auto"/>
        <w:rPr>
          <w:rFonts w:eastAsiaTheme="minorHAnsi"/>
          <w:b/>
          <w:lang w:eastAsia="en-US"/>
        </w:rPr>
      </w:pPr>
      <w:r w:rsidRPr="00A87C15">
        <w:rPr>
          <w:rFonts w:eastAsiaTheme="minorHAnsi"/>
          <w:b/>
          <w:lang w:eastAsia="en-US"/>
        </w:rPr>
        <w:t>Division 2</w:t>
      </w:r>
      <w:r w:rsidRPr="00A87C15">
        <w:rPr>
          <w:rFonts w:eastAsiaTheme="minorHAnsi"/>
          <w:b/>
          <w:lang w:eastAsia="en-US"/>
        </w:rPr>
        <w:tab/>
      </w:r>
      <w:r w:rsidR="004E475F" w:rsidRPr="00A87C15">
        <w:rPr>
          <w:rFonts w:eastAsiaTheme="minorHAnsi"/>
          <w:b/>
          <w:lang w:eastAsia="en-US"/>
        </w:rPr>
        <w:t xml:space="preserve">Application of this </w:t>
      </w:r>
      <w:r w:rsidR="00A87C15">
        <w:rPr>
          <w:rFonts w:eastAsiaTheme="minorHAnsi"/>
          <w:b/>
          <w:lang w:eastAsia="en-US"/>
        </w:rPr>
        <w:t>P</w:t>
      </w:r>
      <w:r w:rsidR="004E475F" w:rsidRPr="00A87C15">
        <w:rPr>
          <w:rFonts w:eastAsiaTheme="minorHAnsi"/>
          <w:b/>
          <w:lang w:eastAsia="en-US"/>
        </w:rPr>
        <w:t>art</w:t>
      </w:r>
    </w:p>
    <w:p w14:paraId="6EB5B326" w14:textId="69C2F511" w:rsidR="003B4BAF" w:rsidRPr="00A87C15" w:rsidRDefault="003B4BAF"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Section 51</w:t>
      </w:r>
      <w:r w:rsidRPr="00A87C15">
        <w:rPr>
          <w:rFonts w:eastAsiaTheme="minorHAnsi"/>
          <w:b/>
          <w:sz w:val="22"/>
          <w:szCs w:val="22"/>
          <w:lang w:eastAsia="en-US"/>
        </w:rPr>
        <w:tab/>
        <w:t>Lots to which this Part applies</w:t>
      </w:r>
    </w:p>
    <w:p w14:paraId="3C097F4E" w14:textId="38FE1699" w:rsidR="003B4BAF" w:rsidRPr="00A87C15" w:rsidRDefault="003B4BAF" w:rsidP="003B4BAF">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This Part applies in relation to the 10 MHz lot and the 5 MHz lot.</w:t>
      </w:r>
      <w:r w:rsidR="007357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 xml:space="preserve"> However, this Part does not apply in relation to a lot if the lot is included in a spectrum licence that is offered to an applicant under </w:t>
      </w:r>
      <w:r w:rsidR="007357EB" w:rsidRPr="00A87C15">
        <w:rPr>
          <w:rFonts w:ascii="Times New Roman" w:eastAsiaTheme="minorHAnsi" w:hAnsi="Times New Roman" w:cs="Times New Roman"/>
          <w:sz w:val="22"/>
          <w:szCs w:val="22"/>
        </w:rPr>
        <w:t>Part</w:t>
      </w:r>
      <w:r w:rsidR="007357EB">
        <w:rPr>
          <w:rFonts w:ascii="Times New Roman" w:eastAsiaTheme="minorHAnsi" w:hAnsi="Times New Roman" w:cs="Times New Roman"/>
          <w:sz w:val="22"/>
          <w:szCs w:val="22"/>
        </w:rPr>
        <w:t> </w:t>
      </w:r>
      <w:r w:rsidRPr="00A87C15">
        <w:rPr>
          <w:rFonts w:ascii="Times New Roman" w:eastAsiaTheme="minorHAnsi" w:hAnsi="Times New Roman" w:cs="Times New Roman"/>
          <w:sz w:val="22"/>
          <w:szCs w:val="22"/>
        </w:rPr>
        <w:t>5, and the applicant accepts that offer</w:t>
      </w:r>
      <w:r w:rsidR="00A87C15">
        <w:rPr>
          <w:rFonts w:ascii="Times New Roman" w:eastAsiaTheme="minorHAnsi" w:hAnsi="Times New Roman" w:cs="Times New Roman"/>
          <w:sz w:val="22"/>
          <w:szCs w:val="22"/>
        </w:rPr>
        <w:t>,</w:t>
      </w:r>
      <w:r w:rsidRPr="00A87C15">
        <w:rPr>
          <w:rFonts w:ascii="Times New Roman" w:eastAsiaTheme="minorHAnsi" w:hAnsi="Times New Roman" w:cs="Times New Roman"/>
          <w:sz w:val="22"/>
          <w:szCs w:val="22"/>
        </w:rPr>
        <w:t xml:space="preserve"> or </w:t>
      </w:r>
      <w:r w:rsidR="00A87C15">
        <w:rPr>
          <w:rFonts w:ascii="Times New Roman" w:eastAsiaTheme="minorHAnsi" w:hAnsi="Times New Roman" w:cs="Times New Roman"/>
          <w:sz w:val="22"/>
          <w:szCs w:val="22"/>
        </w:rPr>
        <w:t xml:space="preserve">if </w:t>
      </w:r>
      <w:r w:rsidRPr="00A87C15">
        <w:rPr>
          <w:rFonts w:ascii="Times New Roman" w:eastAsiaTheme="minorHAnsi" w:hAnsi="Times New Roman" w:cs="Times New Roman"/>
          <w:sz w:val="22"/>
          <w:szCs w:val="22"/>
        </w:rPr>
        <w:t>the ACMA decides under section 47 to remove the lot from the allocation process.</w:t>
      </w:r>
    </w:p>
    <w:p w14:paraId="7EA0840F" w14:textId="6FA7B3D3" w:rsidR="00FD7F7B" w:rsidRPr="00A87C15" w:rsidRDefault="004E475F" w:rsidP="00A87C15">
      <w:pPr>
        <w:keepNext/>
        <w:spacing w:before="280" w:after="160" w:line="259" w:lineRule="auto"/>
        <w:rPr>
          <w:rFonts w:eastAsiaTheme="minorHAnsi"/>
          <w:b/>
          <w:lang w:eastAsia="en-US"/>
        </w:rPr>
      </w:pPr>
      <w:r w:rsidRPr="00A87C15">
        <w:rPr>
          <w:rFonts w:eastAsiaTheme="minorHAnsi"/>
          <w:b/>
          <w:lang w:eastAsia="en-US"/>
        </w:rPr>
        <w:lastRenderedPageBreak/>
        <w:t>Division 3</w:t>
      </w:r>
      <w:r w:rsidRPr="00A87C15">
        <w:rPr>
          <w:rFonts w:eastAsiaTheme="minorHAnsi"/>
          <w:b/>
          <w:lang w:eastAsia="en-US"/>
        </w:rPr>
        <w:tab/>
      </w:r>
      <w:r w:rsidR="00FD7F7B" w:rsidRPr="00A87C15">
        <w:rPr>
          <w:rFonts w:eastAsiaTheme="minorHAnsi"/>
          <w:b/>
          <w:lang w:eastAsia="en-US"/>
        </w:rPr>
        <w:t>Registration of bidders</w:t>
      </w:r>
    </w:p>
    <w:p w14:paraId="4F1E3C1B" w14:textId="17E55DA8" w:rsidR="00D91F9A" w:rsidRPr="00A87C15" w:rsidRDefault="00D91F9A"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3B4BAF" w:rsidRPr="00A87C15">
        <w:rPr>
          <w:rFonts w:eastAsiaTheme="minorHAnsi"/>
          <w:b/>
          <w:sz w:val="22"/>
          <w:szCs w:val="22"/>
          <w:lang w:eastAsia="en-US"/>
        </w:rPr>
        <w:t>52</w:t>
      </w:r>
      <w:r w:rsidRPr="00A87C15">
        <w:rPr>
          <w:rFonts w:eastAsiaTheme="minorHAnsi"/>
          <w:b/>
          <w:sz w:val="22"/>
          <w:szCs w:val="22"/>
          <w:lang w:eastAsia="en-US"/>
        </w:rPr>
        <w:tab/>
        <w:t>Register of bidders</w:t>
      </w:r>
    </w:p>
    <w:p w14:paraId="55F4BCD0" w14:textId="0771C5C1"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This section </w:t>
      </w:r>
      <w:r w:rsidR="00BB2EEB">
        <w:rPr>
          <w:rFonts w:ascii="Times New Roman" w:eastAsiaTheme="minorHAnsi" w:hAnsi="Times New Roman" w:cs="Times New Roman"/>
          <w:sz w:val="22"/>
          <w:szCs w:val="22"/>
        </w:rPr>
        <w:t>provides</w:t>
      </w:r>
      <w:r w:rsidRPr="00A87C15">
        <w:rPr>
          <w:rFonts w:ascii="Times New Roman" w:eastAsiaTheme="minorHAnsi" w:hAnsi="Times New Roman" w:cs="Times New Roman"/>
          <w:sz w:val="22"/>
          <w:szCs w:val="22"/>
        </w:rPr>
        <w:t xml:space="preserve"> that the ACMA must maintain an electronic register of bidders.</w:t>
      </w:r>
      <w:r w:rsidR="00BB2E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 xml:space="preserve"> It also provides a list of details that the register must contain.</w:t>
      </w:r>
    </w:p>
    <w:p w14:paraId="28FC4BB5" w14:textId="41939B45"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Bidders must inform the ACMA if they become aware of any change to the details</w:t>
      </w:r>
      <w:r w:rsidR="00BB2EEB">
        <w:rPr>
          <w:rFonts w:ascii="Times New Roman" w:eastAsiaTheme="minorHAnsi" w:hAnsi="Times New Roman" w:cs="Times New Roman"/>
          <w:sz w:val="22"/>
          <w:szCs w:val="22"/>
        </w:rPr>
        <w:t xml:space="preserve"> included on the register,</w:t>
      </w:r>
      <w:r w:rsidRPr="00A87C15">
        <w:rPr>
          <w:rFonts w:ascii="Times New Roman" w:eastAsiaTheme="minorHAnsi" w:hAnsi="Times New Roman" w:cs="Times New Roman"/>
          <w:sz w:val="22"/>
          <w:szCs w:val="22"/>
        </w:rPr>
        <w:t xml:space="preserve"> and provide updated information.</w:t>
      </w:r>
      <w:r w:rsidR="007357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 xml:space="preserve"> The ACMA must update the register accordingly.</w:t>
      </w:r>
    </w:p>
    <w:p w14:paraId="71F137EA" w14:textId="2773A4C1" w:rsidR="00D91F9A" w:rsidRPr="00A87C15" w:rsidRDefault="00D91F9A"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3B4BAF" w:rsidRPr="00A87C15">
        <w:rPr>
          <w:rFonts w:eastAsiaTheme="minorHAnsi"/>
          <w:b/>
          <w:sz w:val="22"/>
          <w:szCs w:val="22"/>
          <w:lang w:eastAsia="en-US"/>
        </w:rPr>
        <w:t>53</w:t>
      </w:r>
      <w:r w:rsidRPr="00A87C15">
        <w:rPr>
          <w:rFonts w:eastAsiaTheme="minorHAnsi"/>
          <w:b/>
          <w:sz w:val="22"/>
          <w:szCs w:val="22"/>
          <w:lang w:eastAsia="en-US"/>
        </w:rPr>
        <w:tab/>
        <w:t>Regist</w:t>
      </w:r>
      <w:r w:rsidR="00B95CBB" w:rsidRPr="00A87C15">
        <w:rPr>
          <w:rFonts w:eastAsiaTheme="minorHAnsi"/>
          <w:b/>
          <w:sz w:val="22"/>
          <w:szCs w:val="22"/>
          <w:lang w:eastAsia="en-US"/>
        </w:rPr>
        <w:t>ration process</w:t>
      </w:r>
    </w:p>
    <w:p w14:paraId="4DFB120E" w14:textId="56B87E2E"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This section sets out the requirements that must be satisfied in order for a</w:t>
      </w:r>
      <w:r w:rsidR="00BB2EEB">
        <w:rPr>
          <w:rFonts w:ascii="Times New Roman" w:eastAsiaTheme="minorHAnsi" w:hAnsi="Times New Roman" w:cs="Times New Roman"/>
          <w:sz w:val="22"/>
          <w:szCs w:val="22"/>
        </w:rPr>
        <w:t>n applicant</w:t>
      </w:r>
      <w:r w:rsidRPr="00A87C15">
        <w:rPr>
          <w:rFonts w:ascii="Times New Roman" w:eastAsiaTheme="minorHAnsi" w:hAnsi="Times New Roman" w:cs="Times New Roman"/>
          <w:sz w:val="22"/>
          <w:szCs w:val="22"/>
        </w:rPr>
        <w:t xml:space="preserve"> to be registered as a bidder. </w:t>
      </w:r>
      <w:r w:rsidR="007357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In order for an applicant to be registered as a bidder it must have:</w:t>
      </w:r>
    </w:p>
    <w:p w14:paraId="33F07B47" w14:textId="583CBD12" w:rsidR="00D91F9A" w:rsidRPr="00A87C15" w:rsidRDefault="00952A47" w:rsidP="00A87C15">
      <w:pPr>
        <w:pStyle w:val="ACMABodyText"/>
        <w:tabs>
          <w:tab w:val="left" w:pos="851"/>
        </w:tabs>
        <w:ind w:left="851" w:hanging="567"/>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w:t>
      </w:r>
      <w:proofErr w:type="gramStart"/>
      <w:r w:rsidRPr="00A87C15">
        <w:rPr>
          <w:rFonts w:ascii="Times New Roman" w:eastAsiaTheme="minorHAnsi" w:hAnsi="Times New Roman" w:cs="Times New Roman"/>
          <w:sz w:val="22"/>
          <w:szCs w:val="22"/>
        </w:rPr>
        <w:t>a</w:t>
      </w:r>
      <w:proofErr w:type="gramEnd"/>
      <w:r w:rsidRPr="00A87C15">
        <w:rPr>
          <w:rFonts w:ascii="Times New Roman" w:eastAsiaTheme="minorHAnsi" w:hAnsi="Times New Roman" w:cs="Times New Roman"/>
          <w:sz w:val="22"/>
          <w:szCs w:val="22"/>
        </w:rPr>
        <w:t>)</w:t>
      </w:r>
      <w:r w:rsidR="00A87C15">
        <w:rPr>
          <w:rFonts w:ascii="Times New Roman" w:eastAsiaTheme="minorHAnsi" w:hAnsi="Times New Roman" w:cs="Times New Roman"/>
          <w:sz w:val="22"/>
          <w:szCs w:val="22"/>
        </w:rPr>
        <w:tab/>
      </w:r>
      <w:r w:rsidR="00D91F9A" w:rsidRPr="00A87C15">
        <w:rPr>
          <w:rFonts w:ascii="Times New Roman" w:eastAsiaTheme="minorHAnsi" w:hAnsi="Times New Roman" w:cs="Times New Roman"/>
          <w:sz w:val="22"/>
          <w:szCs w:val="22"/>
        </w:rPr>
        <w:t>submitted a valid application</w:t>
      </w:r>
      <w:r w:rsidR="008E64DE" w:rsidRPr="00A87C15">
        <w:rPr>
          <w:rFonts w:ascii="Times New Roman" w:eastAsiaTheme="minorHAnsi" w:hAnsi="Times New Roman" w:cs="Times New Roman"/>
          <w:sz w:val="22"/>
          <w:szCs w:val="22"/>
        </w:rPr>
        <w:t>;</w:t>
      </w:r>
    </w:p>
    <w:p w14:paraId="2BB6249E" w14:textId="6AEC2F69" w:rsidR="00D91F9A" w:rsidRPr="00A87C15" w:rsidRDefault="00952A47" w:rsidP="00A87C15">
      <w:pPr>
        <w:pStyle w:val="ACMABodyText"/>
        <w:tabs>
          <w:tab w:val="left" w:pos="851"/>
        </w:tabs>
        <w:ind w:left="851" w:hanging="567"/>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(b)</w:t>
      </w:r>
      <w:r w:rsidR="00A87C15">
        <w:rPr>
          <w:rFonts w:ascii="Times New Roman" w:eastAsiaTheme="minorHAnsi" w:hAnsi="Times New Roman" w:cs="Times New Roman"/>
          <w:sz w:val="22"/>
          <w:szCs w:val="22"/>
        </w:rPr>
        <w:tab/>
      </w:r>
      <w:proofErr w:type="gramStart"/>
      <w:r w:rsidR="00D91F9A" w:rsidRPr="00A87C15">
        <w:rPr>
          <w:rFonts w:ascii="Times New Roman" w:eastAsiaTheme="minorHAnsi" w:hAnsi="Times New Roman" w:cs="Times New Roman"/>
          <w:sz w:val="22"/>
          <w:szCs w:val="22"/>
        </w:rPr>
        <w:t>lodged</w:t>
      </w:r>
      <w:proofErr w:type="gramEnd"/>
      <w:r w:rsidR="00D91F9A" w:rsidRPr="00A87C15">
        <w:rPr>
          <w:rFonts w:ascii="Times New Roman" w:eastAsiaTheme="minorHAnsi" w:hAnsi="Times New Roman" w:cs="Times New Roman"/>
          <w:sz w:val="22"/>
          <w:szCs w:val="22"/>
        </w:rPr>
        <w:t xml:space="preserve"> a completed </w:t>
      </w:r>
      <w:r w:rsidR="005E6FD1" w:rsidRPr="00A87C15">
        <w:rPr>
          <w:rFonts w:ascii="Times New Roman" w:eastAsiaTheme="minorHAnsi" w:hAnsi="Times New Roman" w:cs="Times New Roman"/>
          <w:sz w:val="22"/>
          <w:szCs w:val="22"/>
        </w:rPr>
        <w:t>preference</w:t>
      </w:r>
      <w:r w:rsidR="00D91F9A" w:rsidRPr="00A87C15">
        <w:rPr>
          <w:rFonts w:ascii="Times New Roman" w:eastAsiaTheme="minorHAnsi" w:hAnsi="Times New Roman" w:cs="Times New Roman"/>
          <w:sz w:val="22"/>
          <w:szCs w:val="22"/>
        </w:rPr>
        <w:t xml:space="preserve"> nomination form</w:t>
      </w:r>
      <w:r w:rsidR="008E64DE" w:rsidRPr="00A87C15">
        <w:rPr>
          <w:rFonts w:ascii="Times New Roman" w:eastAsiaTheme="minorHAnsi" w:hAnsi="Times New Roman" w:cs="Times New Roman"/>
          <w:sz w:val="22"/>
          <w:szCs w:val="22"/>
        </w:rPr>
        <w:t>; and</w:t>
      </w:r>
    </w:p>
    <w:p w14:paraId="05A7825D" w14:textId="124A4C91" w:rsidR="00D91F9A" w:rsidRPr="00A87C15" w:rsidRDefault="00952A47" w:rsidP="00A87C15">
      <w:pPr>
        <w:pStyle w:val="ACMABodyText"/>
        <w:tabs>
          <w:tab w:val="left" w:pos="851"/>
        </w:tabs>
        <w:ind w:left="851" w:hanging="567"/>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(c)</w:t>
      </w:r>
      <w:r w:rsidR="00A87C15">
        <w:rPr>
          <w:rFonts w:ascii="Times New Roman" w:eastAsiaTheme="minorHAnsi" w:hAnsi="Times New Roman" w:cs="Times New Roman"/>
          <w:sz w:val="22"/>
          <w:szCs w:val="22"/>
        </w:rPr>
        <w:tab/>
      </w:r>
      <w:proofErr w:type="gramStart"/>
      <w:r w:rsidR="00D91F9A" w:rsidRPr="00A87C15">
        <w:rPr>
          <w:rFonts w:ascii="Times New Roman" w:eastAsiaTheme="minorHAnsi" w:hAnsi="Times New Roman" w:cs="Times New Roman"/>
          <w:sz w:val="22"/>
          <w:szCs w:val="22"/>
        </w:rPr>
        <w:t>paid</w:t>
      </w:r>
      <w:proofErr w:type="gramEnd"/>
      <w:r w:rsidR="00D91F9A" w:rsidRPr="00A87C15">
        <w:rPr>
          <w:rFonts w:ascii="Times New Roman" w:eastAsiaTheme="minorHAnsi" w:hAnsi="Times New Roman" w:cs="Times New Roman"/>
          <w:sz w:val="22"/>
          <w:szCs w:val="22"/>
        </w:rPr>
        <w:t xml:space="preserve"> the applicable </w:t>
      </w:r>
      <w:r w:rsidR="00A75624" w:rsidRPr="00A87C15">
        <w:rPr>
          <w:rFonts w:ascii="Times New Roman" w:eastAsiaTheme="minorHAnsi" w:hAnsi="Times New Roman" w:cs="Times New Roman"/>
          <w:sz w:val="22"/>
          <w:szCs w:val="22"/>
        </w:rPr>
        <w:t>deposit or</w:t>
      </w:r>
      <w:r w:rsidR="00D91F9A" w:rsidRPr="00A87C15">
        <w:rPr>
          <w:rFonts w:ascii="Times New Roman" w:eastAsiaTheme="minorHAnsi" w:hAnsi="Times New Roman" w:cs="Times New Roman"/>
          <w:sz w:val="22"/>
          <w:szCs w:val="22"/>
        </w:rPr>
        <w:t xml:space="preserve"> provided a deed of financial security</w:t>
      </w:r>
      <w:r w:rsidR="00BB2EEB">
        <w:rPr>
          <w:rFonts w:ascii="Times New Roman" w:eastAsiaTheme="minorHAnsi" w:hAnsi="Times New Roman" w:cs="Times New Roman"/>
          <w:sz w:val="22"/>
          <w:szCs w:val="22"/>
        </w:rPr>
        <w:t>,</w:t>
      </w:r>
      <w:r w:rsidR="00D91F9A" w:rsidRPr="00A87C15">
        <w:rPr>
          <w:rFonts w:ascii="Times New Roman" w:eastAsiaTheme="minorHAnsi" w:hAnsi="Times New Roman" w:cs="Times New Roman"/>
          <w:sz w:val="22"/>
          <w:szCs w:val="22"/>
        </w:rPr>
        <w:t xml:space="preserve"> or a combination of the two, in accordance with the requirement</w:t>
      </w:r>
      <w:r w:rsidR="00333609" w:rsidRPr="00A87C15">
        <w:rPr>
          <w:rFonts w:ascii="Times New Roman" w:eastAsiaTheme="minorHAnsi" w:hAnsi="Times New Roman" w:cs="Times New Roman"/>
          <w:sz w:val="22"/>
          <w:szCs w:val="22"/>
        </w:rPr>
        <w:t>s</w:t>
      </w:r>
      <w:r w:rsidR="00D91F9A" w:rsidRPr="00A87C15">
        <w:rPr>
          <w:rFonts w:ascii="Times New Roman" w:eastAsiaTheme="minorHAnsi" w:hAnsi="Times New Roman" w:cs="Times New Roman"/>
          <w:sz w:val="22"/>
          <w:szCs w:val="22"/>
        </w:rPr>
        <w:t xml:space="preserve"> in section </w:t>
      </w:r>
      <w:r w:rsidR="00205CD6" w:rsidRPr="00A87C15">
        <w:rPr>
          <w:rFonts w:ascii="Times New Roman" w:eastAsiaTheme="minorHAnsi" w:hAnsi="Times New Roman" w:cs="Times New Roman"/>
          <w:sz w:val="22"/>
          <w:szCs w:val="22"/>
        </w:rPr>
        <w:t>3</w:t>
      </w:r>
      <w:r w:rsidR="003B4BAF" w:rsidRPr="00A87C15">
        <w:rPr>
          <w:rFonts w:ascii="Times New Roman" w:eastAsiaTheme="minorHAnsi" w:hAnsi="Times New Roman" w:cs="Times New Roman"/>
          <w:sz w:val="22"/>
          <w:szCs w:val="22"/>
        </w:rPr>
        <w:t>8</w:t>
      </w:r>
      <w:r w:rsidR="00D91F9A" w:rsidRPr="00A87C15">
        <w:rPr>
          <w:rFonts w:ascii="Times New Roman" w:eastAsiaTheme="minorHAnsi" w:hAnsi="Times New Roman" w:cs="Times New Roman"/>
          <w:sz w:val="22"/>
          <w:szCs w:val="22"/>
        </w:rPr>
        <w:t>.</w:t>
      </w:r>
    </w:p>
    <w:p w14:paraId="0640EFC6" w14:textId="71812375"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A</w:t>
      </w:r>
      <w:r w:rsidR="008E64DE" w:rsidRPr="00A87C15">
        <w:rPr>
          <w:rFonts w:ascii="Times New Roman" w:eastAsiaTheme="minorHAnsi" w:hAnsi="Times New Roman" w:cs="Times New Roman"/>
          <w:sz w:val="22"/>
          <w:szCs w:val="22"/>
        </w:rPr>
        <w:t>n a</w:t>
      </w:r>
      <w:r w:rsidRPr="00A87C15">
        <w:rPr>
          <w:rFonts w:ascii="Times New Roman" w:eastAsiaTheme="minorHAnsi" w:hAnsi="Times New Roman" w:cs="Times New Roman"/>
          <w:sz w:val="22"/>
          <w:szCs w:val="22"/>
        </w:rPr>
        <w:t xml:space="preserve">pplicant will only become a bidder when </w:t>
      </w:r>
      <w:r w:rsidR="008E64DE" w:rsidRPr="00A87C15">
        <w:rPr>
          <w:rFonts w:ascii="Times New Roman" w:eastAsiaTheme="minorHAnsi" w:hAnsi="Times New Roman" w:cs="Times New Roman"/>
          <w:sz w:val="22"/>
          <w:szCs w:val="22"/>
        </w:rPr>
        <w:t>its</w:t>
      </w:r>
      <w:r w:rsidRPr="00A87C15">
        <w:rPr>
          <w:rFonts w:ascii="Times New Roman" w:eastAsiaTheme="minorHAnsi" w:hAnsi="Times New Roman" w:cs="Times New Roman"/>
          <w:sz w:val="22"/>
          <w:szCs w:val="22"/>
        </w:rPr>
        <w:t xml:space="preserve"> details are entered in the register. </w:t>
      </w:r>
      <w:r w:rsidR="007357EB">
        <w:rPr>
          <w:rFonts w:ascii="Times New Roman" w:eastAsiaTheme="minorHAnsi" w:hAnsi="Times New Roman" w:cs="Times New Roman"/>
          <w:sz w:val="22"/>
          <w:szCs w:val="22"/>
        </w:rPr>
        <w:t xml:space="preserve"> </w:t>
      </w:r>
      <w:r w:rsidR="00333609" w:rsidRPr="00A87C15">
        <w:rPr>
          <w:rFonts w:ascii="Times New Roman" w:eastAsiaTheme="minorHAnsi" w:hAnsi="Times New Roman" w:cs="Times New Roman"/>
          <w:sz w:val="22"/>
          <w:szCs w:val="22"/>
        </w:rPr>
        <w:t>T</w:t>
      </w:r>
      <w:r w:rsidRPr="00A87C15">
        <w:rPr>
          <w:rFonts w:ascii="Times New Roman" w:eastAsiaTheme="minorHAnsi" w:hAnsi="Times New Roman" w:cs="Times New Roman"/>
          <w:sz w:val="22"/>
          <w:szCs w:val="22"/>
        </w:rPr>
        <w:t xml:space="preserve">he ACMA must not register </w:t>
      </w:r>
      <w:r w:rsidR="00BB2EEB">
        <w:rPr>
          <w:rFonts w:ascii="Times New Roman" w:eastAsiaTheme="minorHAnsi" w:hAnsi="Times New Roman" w:cs="Times New Roman"/>
          <w:sz w:val="22"/>
          <w:szCs w:val="22"/>
        </w:rPr>
        <w:t xml:space="preserve">an applicant as </w:t>
      </w:r>
      <w:r w:rsidRPr="00A87C15">
        <w:rPr>
          <w:rFonts w:ascii="Times New Roman" w:eastAsiaTheme="minorHAnsi" w:hAnsi="Times New Roman" w:cs="Times New Roman"/>
          <w:sz w:val="22"/>
          <w:szCs w:val="22"/>
        </w:rPr>
        <w:t xml:space="preserve">a bidder until after the </w:t>
      </w:r>
      <w:r w:rsidR="00B95CBB" w:rsidRPr="00A87C15">
        <w:rPr>
          <w:rFonts w:ascii="Times New Roman" w:eastAsiaTheme="minorHAnsi" w:hAnsi="Times New Roman" w:cs="Times New Roman"/>
          <w:sz w:val="22"/>
          <w:szCs w:val="22"/>
        </w:rPr>
        <w:t>preference deadline</w:t>
      </w:r>
      <w:r w:rsidRPr="00A87C15">
        <w:rPr>
          <w:rFonts w:ascii="Times New Roman" w:eastAsiaTheme="minorHAnsi" w:hAnsi="Times New Roman" w:cs="Times New Roman"/>
          <w:sz w:val="22"/>
          <w:szCs w:val="22"/>
        </w:rPr>
        <w:t xml:space="preserve"> has passed.</w:t>
      </w:r>
    </w:p>
    <w:p w14:paraId="043B2512" w14:textId="7ECD9BED"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This section also</w:t>
      </w:r>
      <w:r w:rsidR="00BB2EEB">
        <w:rPr>
          <w:rFonts w:ascii="Times New Roman" w:eastAsiaTheme="minorHAnsi" w:hAnsi="Times New Roman" w:cs="Times New Roman"/>
          <w:sz w:val="22"/>
          <w:szCs w:val="22"/>
        </w:rPr>
        <w:t xml:space="preserve"> provides</w:t>
      </w:r>
      <w:r w:rsidRPr="00A87C15">
        <w:rPr>
          <w:rFonts w:ascii="Times New Roman" w:eastAsiaTheme="minorHAnsi" w:hAnsi="Times New Roman" w:cs="Times New Roman"/>
          <w:sz w:val="22"/>
          <w:szCs w:val="22"/>
        </w:rPr>
        <w:t xml:space="preserve"> that the ACMA must</w:t>
      </w:r>
      <w:r w:rsidR="00807ED5" w:rsidRPr="00A87C15">
        <w:rPr>
          <w:rFonts w:ascii="Times New Roman" w:eastAsiaTheme="minorHAnsi" w:hAnsi="Times New Roman" w:cs="Times New Roman"/>
          <w:sz w:val="22"/>
          <w:szCs w:val="22"/>
        </w:rPr>
        <w:t xml:space="preserve">, after the </w:t>
      </w:r>
      <w:r w:rsidR="00B95CBB" w:rsidRPr="00A87C15">
        <w:rPr>
          <w:rFonts w:ascii="Times New Roman" w:eastAsiaTheme="minorHAnsi" w:hAnsi="Times New Roman" w:cs="Times New Roman"/>
          <w:sz w:val="22"/>
          <w:szCs w:val="22"/>
        </w:rPr>
        <w:t>preference deadline</w:t>
      </w:r>
      <w:r w:rsidR="00807ED5" w:rsidRPr="00A87C15">
        <w:rPr>
          <w:rFonts w:ascii="Times New Roman" w:eastAsiaTheme="minorHAnsi" w:hAnsi="Times New Roman" w:cs="Times New Roman"/>
          <w:sz w:val="22"/>
          <w:szCs w:val="22"/>
        </w:rPr>
        <w:t>,</w:t>
      </w:r>
      <w:r w:rsidRPr="00A87C15">
        <w:rPr>
          <w:rFonts w:ascii="Times New Roman" w:eastAsiaTheme="minorHAnsi" w:hAnsi="Times New Roman" w:cs="Times New Roman"/>
          <w:sz w:val="22"/>
          <w:szCs w:val="22"/>
        </w:rPr>
        <w:t xml:space="preserve"> notify an applicant that it is registered as a bidder. </w:t>
      </w:r>
      <w:r w:rsidR="007357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At that time, the ACMA will provide bidders with the contact details for the ACMA, and a copy of the</w:t>
      </w:r>
      <w:r w:rsidR="00807ED5" w:rsidRPr="00A87C15">
        <w:rPr>
          <w:rFonts w:ascii="Times New Roman" w:eastAsiaTheme="minorHAnsi" w:hAnsi="Times New Roman" w:cs="Times New Roman"/>
          <w:sz w:val="22"/>
          <w:szCs w:val="22"/>
        </w:rPr>
        <w:t xml:space="preserve"> bidder’s</w:t>
      </w:r>
      <w:r w:rsidRPr="00A87C15">
        <w:rPr>
          <w:rFonts w:ascii="Times New Roman" w:eastAsiaTheme="minorHAnsi" w:hAnsi="Times New Roman" w:cs="Times New Roman"/>
          <w:sz w:val="22"/>
          <w:szCs w:val="22"/>
        </w:rPr>
        <w:t xml:space="preserve"> information recorded in the register for th</w:t>
      </w:r>
      <w:r w:rsidR="00807ED5" w:rsidRPr="00A87C15">
        <w:rPr>
          <w:rFonts w:ascii="Times New Roman" w:eastAsiaTheme="minorHAnsi" w:hAnsi="Times New Roman" w:cs="Times New Roman"/>
          <w:sz w:val="22"/>
          <w:szCs w:val="22"/>
        </w:rPr>
        <w:t>at</w:t>
      </w:r>
      <w:r w:rsidRPr="00A87C15">
        <w:rPr>
          <w:rFonts w:ascii="Times New Roman" w:eastAsiaTheme="minorHAnsi" w:hAnsi="Times New Roman" w:cs="Times New Roman"/>
          <w:sz w:val="22"/>
          <w:szCs w:val="22"/>
        </w:rPr>
        <w:t xml:space="preserve"> bidder. </w:t>
      </w:r>
      <w:r w:rsidR="007357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Bidders will also receive information and tools to access and use the auction system, as well as information explaining how to submit an offline bid if they are unable to use the auction system during the auction.</w:t>
      </w:r>
    </w:p>
    <w:p w14:paraId="6C09E879" w14:textId="2C11C69F"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The information provided to a bidder under this section for the purpose of participating in the auction is </w:t>
      </w:r>
      <w:r w:rsidRPr="002853AA">
        <w:rPr>
          <w:rFonts w:ascii="Times New Roman" w:eastAsiaTheme="minorHAnsi" w:hAnsi="Times New Roman" w:cs="Times New Roman"/>
          <w:b/>
          <w:sz w:val="22"/>
          <w:szCs w:val="22"/>
        </w:rPr>
        <w:t>confidential information</w:t>
      </w:r>
      <w:r w:rsidRPr="00A87C15">
        <w:rPr>
          <w:rFonts w:ascii="Times New Roman" w:eastAsiaTheme="minorHAnsi" w:hAnsi="Times New Roman" w:cs="Times New Roman"/>
          <w:sz w:val="22"/>
          <w:szCs w:val="22"/>
        </w:rPr>
        <w:t xml:space="preserve"> under section </w:t>
      </w:r>
      <w:r w:rsidR="0092153A" w:rsidRPr="00A87C15">
        <w:rPr>
          <w:rFonts w:ascii="Times New Roman" w:eastAsiaTheme="minorHAnsi" w:hAnsi="Times New Roman" w:cs="Times New Roman"/>
          <w:sz w:val="22"/>
          <w:szCs w:val="22"/>
        </w:rPr>
        <w:t>1</w:t>
      </w:r>
      <w:r w:rsidR="00F8326E" w:rsidRPr="00A87C15">
        <w:rPr>
          <w:rFonts w:ascii="Times New Roman" w:eastAsiaTheme="minorHAnsi" w:hAnsi="Times New Roman" w:cs="Times New Roman"/>
          <w:sz w:val="22"/>
          <w:szCs w:val="22"/>
        </w:rPr>
        <w:t>6</w:t>
      </w:r>
      <w:r w:rsidRPr="00A87C15">
        <w:rPr>
          <w:rFonts w:ascii="Times New Roman" w:eastAsiaTheme="minorHAnsi" w:hAnsi="Times New Roman" w:cs="Times New Roman"/>
          <w:sz w:val="22"/>
          <w:szCs w:val="22"/>
        </w:rPr>
        <w:t>.</w:t>
      </w:r>
    </w:p>
    <w:p w14:paraId="532847FE" w14:textId="023A354C" w:rsidR="00D91F9A" w:rsidRPr="0020671B" w:rsidRDefault="00D91F9A" w:rsidP="00A87C15">
      <w:pPr>
        <w:keepNext/>
        <w:spacing w:after="160" w:line="259" w:lineRule="auto"/>
        <w:rPr>
          <w:b/>
        </w:rPr>
      </w:pPr>
      <w:r w:rsidRPr="00A87C15">
        <w:rPr>
          <w:rFonts w:eastAsiaTheme="minorHAnsi"/>
          <w:b/>
          <w:sz w:val="22"/>
          <w:szCs w:val="22"/>
          <w:lang w:eastAsia="en-US"/>
        </w:rPr>
        <w:t>Section</w:t>
      </w:r>
      <w:r w:rsidR="00A31965" w:rsidRPr="00A87C15">
        <w:rPr>
          <w:rFonts w:eastAsiaTheme="minorHAnsi"/>
          <w:b/>
          <w:sz w:val="22"/>
          <w:szCs w:val="22"/>
          <w:lang w:eastAsia="en-US"/>
        </w:rPr>
        <w:t xml:space="preserve"> </w:t>
      </w:r>
      <w:r w:rsidR="00187ED3" w:rsidRPr="00A87C15">
        <w:rPr>
          <w:rFonts w:eastAsiaTheme="minorHAnsi"/>
          <w:b/>
          <w:sz w:val="22"/>
          <w:szCs w:val="22"/>
          <w:lang w:eastAsia="en-US"/>
        </w:rPr>
        <w:t>54</w:t>
      </w:r>
      <w:r w:rsidRPr="00A87C15">
        <w:rPr>
          <w:rFonts w:eastAsiaTheme="minorHAnsi"/>
          <w:b/>
          <w:sz w:val="22"/>
          <w:szCs w:val="22"/>
          <w:lang w:eastAsia="en-US"/>
        </w:rPr>
        <w:tab/>
        <w:t xml:space="preserve">Bidder to notify ACMA if register incorrect </w:t>
      </w:r>
    </w:p>
    <w:p w14:paraId="4B5EB39D" w14:textId="74CBC5AF"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The section </w:t>
      </w:r>
      <w:r w:rsidR="002853AA">
        <w:rPr>
          <w:rFonts w:ascii="Times New Roman" w:eastAsiaTheme="minorHAnsi" w:hAnsi="Times New Roman" w:cs="Times New Roman"/>
          <w:sz w:val="22"/>
          <w:szCs w:val="22"/>
        </w:rPr>
        <w:t>provides</w:t>
      </w:r>
      <w:r w:rsidR="002853AA" w:rsidRPr="00A87C15">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 xml:space="preserve">that a bidder has an ongoing responsibility to tell the ACMA if any of the information about the bidder or its associates on the register of bidders is incorrect. </w:t>
      </w:r>
      <w:r w:rsidR="002853AA">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If information is incorrect, the bidder must immediately give the ACMA the correct information.</w:t>
      </w:r>
    </w:p>
    <w:p w14:paraId="0B1D6DCC" w14:textId="58BF55B1" w:rsidR="00D91F9A" w:rsidRPr="00A87C15" w:rsidRDefault="00D91F9A"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B95CBB" w:rsidRPr="00A87C15">
        <w:rPr>
          <w:rFonts w:eastAsiaTheme="minorHAnsi"/>
          <w:b/>
          <w:sz w:val="22"/>
          <w:szCs w:val="22"/>
          <w:lang w:eastAsia="en-US"/>
        </w:rPr>
        <w:t>5</w:t>
      </w:r>
      <w:r w:rsidR="00187ED3" w:rsidRPr="00A87C15">
        <w:rPr>
          <w:rFonts w:eastAsiaTheme="minorHAnsi"/>
          <w:b/>
          <w:sz w:val="22"/>
          <w:szCs w:val="22"/>
          <w:lang w:eastAsia="en-US"/>
        </w:rPr>
        <w:t>5</w:t>
      </w:r>
      <w:r w:rsidRPr="00A87C15">
        <w:rPr>
          <w:rFonts w:eastAsiaTheme="minorHAnsi"/>
          <w:b/>
          <w:sz w:val="22"/>
          <w:szCs w:val="22"/>
          <w:lang w:eastAsia="en-US"/>
        </w:rPr>
        <w:tab/>
        <w:t>Preparation for bidding</w:t>
      </w:r>
    </w:p>
    <w:p w14:paraId="0309E3D6" w14:textId="54E508A7"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This section provides that the ACMA will give each applicant an opportunity to </w:t>
      </w:r>
      <w:r w:rsidR="00333609" w:rsidRPr="00A87C15">
        <w:rPr>
          <w:rFonts w:ascii="Times New Roman" w:eastAsiaTheme="minorHAnsi" w:hAnsi="Times New Roman" w:cs="Times New Roman"/>
          <w:sz w:val="22"/>
          <w:szCs w:val="22"/>
        </w:rPr>
        <w:t>try out</w:t>
      </w:r>
      <w:r w:rsidRPr="00A87C15">
        <w:rPr>
          <w:rFonts w:ascii="Times New Roman" w:eastAsiaTheme="minorHAnsi" w:hAnsi="Times New Roman" w:cs="Times New Roman"/>
          <w:sz w:val="22"/>
          <w:szCs w:val="22"/>
        </w:rPr>
        <w:t xml:space="preserve"> the auction system prior to the start of the auction. </w:t>
      </w:r>
      <w:r w:rsidR="002853AA">
        <w:rPr>
          <w:rFonts w:ascii="Times New Roman" w:eastAsiaTheme="minorHAnsi" w:hAnsi="Times New Roman" w:cs="Times New Roman"/>
          <w:sz w:val="22"/>
          <w:szCs w:val="22"/>
        </w:rPr>
        <w:t xml:space="preserve"> </w:t>
      </w:r>
      <w:r w:rsidR="00592E9D">
        <w:rPr>
          <w:rFonts w:ascii="Times New Roman" w:eastAsiaTheme="minorHAnsi" w:hAnsi="Times New Roman" w:cs="Times New Roman"/>
          <w:sz w:val="22"/>
          <w:szCs w:val="22"/>
        </w:rPr>
        <w:t>In addition, t</w:t>
      </w:r>
      <w:r w:rsidR="002853AA">
        <w:rPr>
          <w:rFonts w:ascii="Times New Roman" w:eastAsiaTheme="minorHAnsi" w:hAnsi="Times New Roman" w:cs="Times New Roman"/>
          <w:sz w:val="22"/>
          <w:szCs w:val="22"/>
        </w:rPr>
        <w:t>he ACMA intends to provide b</w:t>
      </w:r>
      <w:r w:rsidRPr="00A87C15">
        <w:rPr>
          <w:rFonts w:ascii="Times New Roman" w:eastAsiaTheme="minorHAnsi" w:hAnsi="Times New Roman" w:cs="Times New Roman"/>
          <w:sz w:val="22"/>
          <w:szCs w:val="22"/>
        </w:rPr>
        <w:t xml:space="preserve">idders </w:t>
      </w:r>
      <w:r w:rsidR="002853AA">
        <w:rPr>
          <w:rFonts w:ascii="Times New Roman" w:eastAsiaTheme="minorHAnsi" w:hAnsi="Times New Roman" w:cs="Times New Roman"/>
          <w:sz w:val="22"/>
          <w:szCs w:val="22"/>
        </w:rPr>
        <w:t>with</w:t>
      </w:r>
      <w:r w:rsidRPr="00A87C15">
        <w:rPr>
          <w:rFonts w:ascii="Times New Roman" w:eastAsiaTheme="minorHAnsi" w:hAnsi="Times New Roman" w:cs="Times New Roman"/>
          <w:sz w:val="22"/>
          <w:szCs w:val="22"/>
        </w:rPr>
        <w:t xml:space="preserve"> a user guide to </w:t>
      </w:r>
      <w:r w:rsidR="00187ED3" w:rsidRPr="00A87C15">
        <w:rPr>
          <w:rFonts w:ascii="Times New Roman" w:eastAsiaTheme="minorHAnsi" w:hAnsi="Times New Roman" w:cs="Times New Roman"/>
          <w:sz w:val="22"/>
          <w:szCs w:val="22"/>
        </w:rPr>
        <w:t xml:space="preserve">assist in </w:t>
      </w:r>
      <w:r w:rsidRPr="00A87C15">
        <w:rPr>
          <w:rFonts w:ascii="Times New Roman" w:eastAsiaTheme="minorHAnsi" w:hAnsi="Times New Roman" w:cs="Times New Roman"/>
          <w:sz w:val="22"/>
          <w:szCs w:val="22"/>
        </w:rPr>
        <w:t>accessing and using the auction system.</w:t>
      </w:r>
    </w:p>
    <w:p w14:paraId="2D76291D" w14:textId="064A3341" w:rsidR="00D91F9A" w:rsidRPr="00A87C15" w:rsidRDefault="00D91F9A"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B95CBB" w:rsidRPr="00A87C15">
        <w:rPr>
          <w:rFonts w:eastAsiaTheme="minorHAnsi"/>
          <w:b/>
          <w:sz w:val="22"/>
          <w:szCs w:val="22"/>
          <w:lang w:eastAsia="en-US"/>
        </w:rPr>
        <w:t>5</w:t>
      </w:r>
      <w:r w:rsidR="00187ED3" w:rsidRPr="00A87C15">
        <w:rPr>
          <w:rFonts w:eastAsiaTheme="minorHAnsi"/>
          <w:b/>
          <w:sz w:val="22"/>
          <w:szCs w:val="22"/>
          <w:lang w:eastAsia="en-US"/>
        </w:rPr>
        <w:t>6</w:t>
      </w:r>
      <w:r w:rsidRPr="00A87C15">
        <w:rPr>
          <w:rFonts w:eastAsiaTheme="minorHAnsi"/>
          <w:b/>
          <w:sz w:val="22"/>
          <w:szCs w:val="22"/>
          <w:lang w:eastAsia="en-US"/>
        </w:rPr>
        <w:tab/>
        <w:t xml:space="preserve">Security of auction </w:t>
      </w:r>
    </w:p>
    <w:p w14:paraId="291402FF" w14:textId="46B9CE8C" w:rsidR="00D91F9A" w:rsidRPr="00A87C15" w:rsidRDefault="00D91F9A" w:rsidP="00D91F9A">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This section </w:t>
      </w:r>
      <w:r w:rsidR="002853AA">
        <w:rPr>
          <w:rFonts w:ascii="Times New Roman" w:eastAsiaTheme="minorHAnsi" w:hAnsi="Times New Roman" w:cs="Times New Roman"/>
          <w:sz w:val="22"/>
          <w:szCs w:val="22"/>
        </w:rPr>
        <w:t>imposes an</w:t>
      </w:r>
      <w:r w:rsidRPr="00A87C15">
        <w:rPr>
          <w:rFonts w:ascii="Times New Roman" w:eastAsiaTheme="minorHAnsi" w:hAnsi="Times New Roman" w:cs="Times New Roman"/>
          <w:sz w:val="22"/>
          <w:szCs w:val="22"/>
        </w:rPr>
        <w:t xml:space="preserve"> obligation </w:t>
      </w:r>
      <w:r w:rsidR="004746D5" w:rsidRPr="00A87C15">
        <w:rPr>
          <w:rFonts w:ascii="Times New Roman" w:eastAsiaTheme="minorHAnsi" w:hAnsi="Times New Roman" w:cs="Times New Roman"/>
          <w:sz w:val="22"/>
          <w:szCs w:val="22"/>
        </w:rPr>
        <w:t>on</w:t>
      </w:r>
      <w:r w:rsidRPr="00A87C15">
        <w:rPr>
          <w:rFonts w:ascii="Times New Roman" w:eastAsiaTheme="minorHAnsi" w:hAnsi="Times New Roman" w:cs="Times New Roman"/>
          <w:sz w:val="22"/>
          <w:szCs w:val="22"/>
        </w:rPr>
        <w:t xml:space="preserve"> bidder</w:t>
      </w:r>
      <w:r w:rsidR="004746D5" w:rsidRPr="00A87C15">
        <w:rPr>
          <w:rFonts w:ascii="Times New Roman" w:eastAsiaTheme="minorHAnsi" w:hAnsi="Times New Roman" w:cs="Times New Roman"/>
          <w:sz w:val="22"/>
          <w:szCs w:val="22"/>
        </w:rPr>
        <w:t>s</w:t>
      </w:r>
      <w:r w:rsidRPr="00A87C15">
        <w:rPr>
          <w:rFonts w:ascii="Times New Roman" w:eastAsiaTheme="minorHAnsi" w:hAnsi="Times New Roman" w:cs="Times New Roman"/>
          <w:sz w:val="22"/>
          <w:szCs w:val="22"/>
        </w:rPr>
        <w:t xml:space="preserve"> to ensure </w:t>
      </w:r>
      <w:r w:rsidR="004746D5" w:rsidRPr="00A87C15">
        <w:rPr>
          <w:rFonts w:ascii="Times New Roman" w:eastAsiaTheme="minorHAnsi" w:hAnsi="Times New Roman" w:cs="Times New Roman"/>
          <w:sz w:val="22"/>
          <w:szCs w:val="22"/>
        </w:rPr>
        <w:t xml:space="preserve">that </w:t>
      </w:r>
      <w:r w:rsidRPr="00A87C15">
        <w:rPr>
          <w:rFonts w:ascii="Times New Roman" w:eastAsiaTheme="minorHAnsi" w:hAnsi="Times New Roman" w:cs="Times New Roman"/>
          <w:sz w:val="22"/>
          <w:szCs w:val="22"/>
        </w:rPr>
        <w:t>the security of the auction system</w:t>
      </w:r>
      <w:r w:rsidR="004746D5" w:rsidRPr="00A87C15">
        <w:rPr>
          <w:rFonts w:ascii="Times New Roman" w:eastAsiaTheme="minorHAnsi" w:hAnsi="Times New Roman" w:cs="Times New Roman"/>
          <w:sz w:val="22"/>
          <w:szCs w:val="22"/>
        </w:rPr>
        <w:t xml:space="preserve"> is maintained</w:t>
      </w:r>
      <w:r w:rsidRPr="00A87C15">
        <w:rPr>
          <w:rFonts w:ascii="Times New Roman" w:eastAsiaTheme="minorHAnsi" w:hAnsi="Times New Roman" w:cs="Times New Roman"/>
          <w:sz w:val="22"/>
          <w:szCs w:val="22"/>
        </w:rPr>
        <w:t xml:space="preserve">. </w:t>
      </w:r>
      <w:r w:rsidR="002853AA">
        <w:rPr>
          <w:rFonts w:ascii="Times New Roman" w:eastAsiaTheme="minorHAnsi" w:hAnsi="Times New Roman" w:cs="Times New Roman"/>
          <w:sz w:val="22"/>
          <w:szCs w:val="22"/>
        </w:rPr>
        <w:t xml:space="preserve"> </w:t>
      </w:r>
      <w:r w:rsidR="004746D5" w:rsidRPr="00A87C15">
        <w:rPr>
          <w:rFonts w:ascii="Times New Roman" w:eastAsiaTheme="minorHAnsi" w:hAnsi="Times New Roman" w:cs="Times New Roman"/>
          <w:sz w:val="22"/>
          <w:szCs w:val="22"/>
        </w:rPr>
        <w:t>A bidder must keep secure any items used to access the auction system.</w:t>
      </w:r>
      <w:r w:rsidR="007357EB">
        <w:rPr>
          <w:rFonts w:ascii="Times New Roman" w:eastAsiaTheme="minorHAnsi" w:hAnsi="Times New Roman" w:cs="Times New Roman"/>
          <w:sz w:val="22"/>
          <w:szCs w:val="22"/>
        </w:rPr>
        <w:t xml:space="preserve"> </w:t>
      </w:r>
      <w:r w:rsidR="004746D5" w:rsidRPr="00A87C15">
        <w:rPr>
          <w:rFonts w:ascii="Times New Roman" w:eastAsiaTheme="minorHAnsi" w:hAnsi="Times New Roman" w:cs="Times New Roman"/>
          <w:sz w:val="22"/>
          <w:szCs w:val="22"/>
        </w:rPr>
        <w:t xml:space="preserve"> If such items are lost or stolen, a bidder must immediately notify the ACMA.</w:t>
      </w:r>
    </w:p>
    <w:p w14:paraId="7FC3C9B9" w14:textId="6837BDA9" w:rsidR="0053004D" w:rsidRPr="00A87C15" w:rsidRDefault="0053004D" w:rsidP="00A87C15">
      <w:pPr>
        <w:keepNext/>
        <w:spacing w:before="280" w:after="160" w:line="259" w:lineRule="auto"/>
        <w:rPr>
          <w:rFonts w:eastAsiaTheme="minorHAnsi"/>
          <w:b/>
          <w:lang w:eastAsia="en-US"/>
        </w:rPr>
      </w:pPr>
      <w:r w:rsidRPr="00A87C15">
        <w:rPr>
          <w:rFonts w:eastAsiaTheme="minorHAnsi"/>
          <w:b/>
          <w:lang w:eastAsia="en-US"/>
        </w:rPr>
        <w:lastRenderedPageBreak/>
        <w:t xml:space="preserve">Division </w:t>
      </w:r>
      <w:r w:rsidR="00187ED3" w:rsidRPr="00A87C15">
        <w:rPr>
          <w:rFonts w:eastAsiaTheme="minorHAnsi"/>
          <w:b/>
          <w:lang w:eastAsia="en-US"/>
        </w:rPr>
        <w:t>4</w:t>
      </w:r>
      <w:r w:rsidRPr="00A87C15">
        <w:rPr>
          <w:rFonts w:eastAsiaTheme="minorHAnsi"/>
          <w:b/>
          <w:lang w:eastAsia="en-US"/>
        </w:rPr>
        <w:tab/>
        <w:t>Setting elements of the auction</w:t>
      </w:r>
    </w:p>
    <w:p w14:paraId="151EBD4A" w14:textId="6135A23B" w:rsidR="00603AB1" w:rsidRPr="00A87C15" w:rsidRDefault="00A31965"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187ED3" w:rsidRPr="00A87C15">
        <w:rPr>
          <w:rFonts w:eastAsiaTheme="minorHAnsi"/>
          <w:b/>
          <w:sz w:val="22"/>
          <w:szCs w:val="22"/>
          <w:lang w:eastAsia="en-US"/>
        </w:rPr>
        <w:t>57</w:t>
      </w:r>
      <w:r w:rsidR="00333609" w:rsidRPr="00A87C15">
        <w:rPr>
          <w:rFonts w:eastAsiaTheme="minorHAnsi"/>
          <w:b/>
          <w:sz w:val="22"/>
          <w:szCs w:val="22"/>
          <w:lang w:eastAsia="en-US"/>
        </w:rPr>
        <w:tab/>
      </w:r>
      <w:r w:rsidR="00603AB1" w:rsidRPr="00A87C15">
        <w:rPr>
          <w:rFonts w:eastAsiaTheme="minorHAnsi"/>
          <w:b/>
          <w:sz w:val="22"/>
          <w:szCs w:val="22"/>
          <w:lang w:eastAsia="en-US"/>
        </w:rPr>
        <w:t xml:space="preserve">Auction </w:t>
      </w:r>
      <w:r w:rsidR="00A948BD" w:rsidRPr="00A87C15">
        <w:rPr>
          <w:rFonts w:eastAsiaTheme="minorHAnsi"/>
          <w:b/>
          <w:sz w:val="22"/>
          <w:szCs w:val="22"/>
          <w:lang w:eastAsia="en-US"/>
        </w:rPr>
        <w:t>procedures</w:t>
      </w:r>
    </w:p>
    <w:p w14:paraId="575075C1" w14:textId="31DEBC2A" w:rsidR="00603AB1" w:rsidRPr="00A87C15" w:rsidRDefault="00603AB1" w:rsidP="00AB1DAC">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This section </w:t>
      </w:r>
      <w:r w:rsidR="002853AA">
        <w:rPr>
          <w:rFonts w:ascii="Times New Roman" w:eastAsiaTheme="minorHAnsi" w:hAnsi="Times New Roman" w:cs="Times New Roman"/>
          <w:sz w:val="22"/>
          <w:szCs w:val="22"/>
        </w:rPr>
        <w:t>provides</w:t>
      </w:r>
      <w:r w:rsidRPr="00A87C15">
        <w:rPr>
          <w:rFonts w:ascii="Times New Roman" w:eastAsiaTheme="minorHAnsi" w:hAnsi="Times New Roman" w:cs="Times New Roman"/>
          <w:sz w:val="22"/>
          <w:szCs w:val="22"/>
        </w:rPr>
        <w:t xml:space="preserve"> that the </w:t>
      </w:r>
      <w:r w:rsidR="00A948BD" w:rsidRPr="00A87C15">
        <w:rPr>
          <w:rFonts w:ascii="Times New Roman" w:eastAsiaTheme="minorHAnsi" w:hAnsi="Times New Roman" w:cs="Times New Roman"/>
          <w:sz w:val="22"/>
          <w:szCs w:val="22"/>
        </w:rPr>
        <w:t xml:space="preserve">first round of the auction starts on the date and time for that round set under </w:t>
      </w:r>
      <w:r w:rsidR="002E6009" w:rsidRPr="00A87C15">
        <w:rPr>
          <w:rFonts w:ascii="Times New Roman" w:eastAsiaTheme="minorHAnsi" w:hAnsi="Times New Roman" w:cs="Times New Roman"/>
          <w:sz w:val="22"/>
          <w:szCs w:val="22"/>
        </w:rPr>
        <w:t xml:space="preserve">subsection </w:t>
      </w:r>
      <w:r w:rsidR="00187ED3" w:rsidRPr="00A87C15">
        <w:rPr>
          <w:rFonts w:ascii="Times New Roman" w:eastAsiaTheme="minorHAnsi" w:hAnsi="Times New Roman" w:cs="Times New Roman"/>
          <w:sz w:val="22"/>
          <w:szCs w:val="22"/>
        </w:rPr>
        <w:t>58</w:t>
      </w:r>
      <w:r w:rsidR="00A948BD" w:rsidRPr="00A87C15">
        <w:rPr>
          <w:rFonts w:ascii="Times New Roman" w:eastAsiaTheme="minorHAnsi" w:hAnsi="Times New Roman" w:cs="Times New Roman"/>
          <w:sz w:val="22"/>
          <w:szCs w:val="22"/>
        </w:rPr>
        <w:t>(1)</w:t>
      </w:r>
      <w:r w:rsidR="008E64DE" w:rsidRPr="00A87C15">
        <w:rPr>
          <w:rFonts w:ascii="Times New Roman" w:eastAsiaTheme="minorHAnsi" w:hAnsi="Times New Roman" w:cs="Times New Roman"/>
          <w:sz w:val="22"/>
          <w:szCs w:val="22"/>
        </w:rPr>
        <w:t xml:space="preserve">. </w:t>
      </w:r>
      <w:r w:rsidR="002853AA">
        <w:rPr>
          <w:rFonts w:ascii="Times New Roman" w:eastAsiaTheme="minorHAnsi" w:hAnsi="Times New Roman" w:cs="Times New Roman"/>
          <w:sz w:val="22"/>
          <w:szCs w:val="22"/>
        </w:rPr>
        <w:t xml:space="preserve"> </w:t>
      </w:r>
      <w:r w:rsidR="008E64DE" w:rsidRPr="00A87C15">
        <w:rPr>
          <w:rFonts w:ascii="Times New Roman" w:eastAsiaTheme="minorHAnsi" w:hAnsi="Times New Roman" w:cs="Times New Roman"/>
          <w:sz w:val="22"/>
          <w:szCs w:val="22"/>
        </w:rPr>
        <w:t>T</w:t>
      </w:r>
      <w:r w:rsidR="0053004D" w:rsidRPr="00A87C15">
        <w:rPr>
          <w:rFonts w:ascii="Times New Roman" w:eastAsiaTheme="minorHAnsi" w:hAnsi="Times New Roman" w:cs="Times New Roman"/>
          <w:sz w:val="22"/>
          <w:szCs w:val="22"/>
        </w:rPr>
        <w:t xml:space="preserve">he rounds </w:t>
      </w:r>
      <w:r w:rsidR="001932CA" w:rsidRPr="00A87C15">
        <w:rPr>
          <w:rFonts w:ascii="Times New Roman" w:eastAsiaTheme="minorHAnsi" w:hAnsi="Times New Roman" w:cs="Times New Roman"/>
          <w:sz w:val="22"/>
          <w:szCs w:val="22"/>
        </w:rPr>
        <w:t xml:space="preserve">of the auction </w:t>
      </w:r>
      <w:r w:rsidR="0053004D" w:rsidRPr="00A87C15">
        <w:rPr>
          <w:rFonts w:ascii="Times New Roman" w:eastAsiaTheme="minorHAnsi" w:hAnsi="Times New Roman" w:cs="Times New Roman"/>
          <w:sz w:val="22"/>
          <w:szCs w:val="22"/>
        </w:rPr>
        <w:t xml:space="preserve">will </w:t>
      </w:r>
      <w:r w:rsidR="001932CA" w:rsidRPr="00A87C15">
        <w:rPr>
          <w:rFonts w:ascii="Times New Roman" w:eastAsiaTheme="minorHAnsi" w:hAnsi="Times New Roman" w:cs="Times New Roman"/>
          <w:sz w:val="22"/>
          <w:szCs w:val="22"/>
        </w:rPr>
        <w:t xml:space="preserve">be </w:t>
      </w:r>
      <w:r w:rsidR="00187ED3" w:rsidRPr="00A87C15">
        <w:rPr>
          <w:rFonts w:ascii="Times New Roman" w:eastAsiaTheme="minorHAnsi" w:hAnsi="Times New Roman" w:cs="Times New Roman"/>
          <w:sz w:val="22"/>
          <w:szCs w:val="22"/>
        </w:rPr>
        <w:t xml:space="preserve">scheduled and </w:t>
      </w:r>
      <w:r w:rsidR="001932CA" w:rsidRPr="00A87C15">
        <w:rPr>
          <w:rFonts w:ascii="Times New Roman" w:eastAsiaTheme="minorHAnsi" w:hAnsi="Times New Roman" w:cs="Times New Roman"/>
          <w:sz w:val="22"/>
          <w:szCs w:val="22"/>
        </w:rPr>
        <w:t>conducted in accordance with the rules in Schedule 1</w:t>
      </w:r>
      <w:r w:rsidR="008E64DE" w:rsidRPr="00A87C15">
        <w:rPr>
          <w:rFonts w:ascii="Times New Roman" w:eastAsiaTheme="minorHAnsi" w:hAnsi="Times New Roman" w:cs="Times New Roman"/>
          <w:sz w:val="22"/>
          <w:szCs w:val="22"/>
        </w:rPr>
        <w:t xml:space="preserve"> </w:t>
      </w:r>
      <w:r w:rsidR="00187ED3" w:rsidRPr="00A87C15">
        <w:rPr>
          <w:rFonts w:ascii="Times New Roman" w:eastAsiaTheme="minorHAnsi" w:hAnsi="Times New Roman" w:cs="Times New Roman"/>
          <w:sz w:val="22"/>
          <w:szCs w:val="22"/>
        </w:rPr>
        <w:t>of</w:t>
      </w:r>
      <w:r w:rsidR="008E64DE" w:rsidRPr="00A87C15">
        <w:rPr>
          <w:rFonts w:ascii="Times New Roman" w:eastAsiaTheme="minorHAnsi" w:hAnsi="Times New Roman" w:cs="Times New Roman"/>
          <w:sz w:val="22"/>
          <w:szCs w:val="22"/>
        </w:rPr>
        <w:t xml:space="preserve"> </w:t>
      </w:r>
      <w:r w:rsidR="002853AA">
        <w:rPr>
          <w:rFonts w:ascii="Times New Roman" w:eastAsiaTheme="minorHAnsi" w:hAnsi="Times New Roman" w:cs="Times New Roman"/>
          <w:sz w:val="22"/>
          <w:szCs w:val="22"/>
        </w:rPr>
        <w:t>the Determination</w:t>
      </w:r>
      <w:r w:rsidR="001932CA" w:rsidRPr="00A87C15">
        <w:rPr>
          <w:rFonts w:ascii="Times New Roman" w:eastAsiaTheme="minorHAnsi" w:hAnsi="Times New Roman" w:cs="Times New Roman"/>
          <w:sz w:val="22"/>
          <w:szCs w:val="22"/>
        </w:rPr>
        <w:t>.</w:t>
      </w:r>
    </w:p>
    <w:p w14:paraId="44C25DF5" w14:textId="1DF98D3E" w:rsidR="00A31965" w:rsidRPr="00A87C15" w:rsidRDefault="00A31965"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187ED3" w:rsidRPr="00A87C15">
        <w:rPr>
          <w:rFonts w:eastAsiaTheme="minorHAnsi"/>
          <w:b/>
          <w:sz w:val="22"/>
          <w:szCs w:val="22"/>
          <w:lang w:eastAsia="en-US"/>
        </w:rPr>
        <w:t>58</w:t>
      </w:r>
      <w:r w:rsidRPr="00A87C15">
        <w:rPr>
          <w:rFonts w:eastAsiaTheme="minorHAnsi"/>
          <w:b/>
          <w:sz w:val="22"/>
          <w:szCs w:val="22"/>
          <w:lang w:eastAsia="en-US"/>
        </w:rPr>
        <w:tab/>
        <w:t xml:space="preserve">First </w:t>
      </w:r>
      <w:r w:rsidR="0053004D" w:rsidRPr="00A87C15">
        <w:rPr>
          <w:rFonts w:eastAsiaTheme="minorHAnsi"/>
          <w:b/>
          <w:sz w:val="22"/>
          <w:szCs w:val="22"/>
          <w:lang w:eastAsia="en-US"/>
        </w:rPr>
        <w:t xml:space="preserve">and second </w:t>
      </w:r>
      <w:r w:rsidRPr="00A87C15">
        <w:rPr>
          <w:rFonts w:eastAsiaTheme="minorHAnsi"/>
          <w:b/>
          <w:sz w:val="22"/>
          <w:szCs w:val="22"/>
          <w:lang w:eastAsia="en-US"/>
        </w:rPr>
        <w:t>round</w:t>
      </w:r>
      <w:r w:rsidR="0053004D" w:rsidRPr="00A87C15">
        <w:rPr>
          <w:rFonts w:eastAsiaTheme="minorHAnsi"/>
          <w:b/>
          <w:sz w:val="22"/>
          <w:szCs w:val="22"/>
          <w:lang w:eastAsia="en-US"/>
        </w:rPr>
        <w:t>s</w:t>
      </w:r>
    </w:p>
    <w:p w14:paraId="6F9B489B" w14:textId="34FDB559" w:rsidR="00A31965" w:rsidRPr="00A87C15" w:rsidRDefault="00A31965" w:rsidP="00A31965">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This section specifies that the auction manager must set the start date and time of the first and second rounds of the auction following the </w:t>
      </w:r>
      <w:r w:rsidR="005E6FD1" w:rsidRPr="00A87C15">
        <w:rPr>
          <w:rFonts w:ascii="Times New Roman" w:eastAsiaTheme="minorHAnsi" w:hAnsi="Times New Roman" w:cs="Times New Roman"/>
          <w:sz w:val="22"/>
          <w:szCs w:val="22"/>
        </w:rPr>
        <w:t>preference</w:t>
      </w:r>
      <w:r w:rsidRPr="00A87C15">
        <w:rPr>
          <w:rFonts w:ascii="Times New Roman" w:eastAsiaTheme="minorHAnsi" w:hAnsi="Times New Roman" w:cs="Times New Roman"/>
          <w:sz w:val="22"/>
          <w:szCs w:val="22"/>
        </w:rPr>
        <w:t xml:space="preserve"> deadline. </w:t>
      </w:r>
      <w:r w:rsidR="007357EB">
        <w:rPr>
          <w:rFonts w:ascii="Times New Roman" w:eastAsiaTheme="minorHAnsi" w:hAnsi="Times New Roman" w:cs="Times New Roman"/>
          <w:sz w:val="22"/>
          <w:szCs w:val="22"/>
        </w:rPr>
        <w:t xml:space="preserve"> </w:t>
      </w:r>
      <w:r w:rsidR="00BD1E74" w:rsidRPr="00A87C15">
        <w:rPr>
          <w:rFonts w:ascii="Times New Roman" w:eastAsiaTheme="minorHAnsi" w:hAnsi="Times New Roman" w:cs="Times New Roman"/>
          <w:sz w:val="22"/>
          <w:szCs w:val="22"/>
        </w:rPr>
        <w:t>T</w:t>
      </w:r>
      <w:r w:rsidRPr="00A87C15">
        <w:rPr>
          <w:rFonts w:ascii="Times New Roman" w:eastAsiaTheme="minorHAnsi" w:hAnsi="Times New Roman" w:cs="Times New Roman"/>
          <w:sz w:val="22"/>
          <w:szCs w:val="22"/>
        </w:rPr>
        <w:t xml:space="preserve">he auction manager must notify bidders of the </w:t>
      </w:r>
      <w:r w:rsidR="002E6009" w:rsidRPr="00A87C15">
        <w:rPr>
          <w:rFonts w:ascii="Times New Roman" w:eastAsiaTheme="minorHAnsi" w:hAnsi="Times New Roman" w:cs="Times New Roman"/>
          <w:sz w:val="22"/>
          <w:szCs w:val="22"/>
        </w:rPr>
        <w:t xml:space="preserve">start </w:t>
      </w:r>
      <w:r w:rsidRPr="00A87C15">
        <w:rPr>
          <w:rFonts w:ascii="Times New Roman" w:eastAsiaTheme="minorHAnsi" w:hAnsi="Times New Roman" w:cs="Times New Roman"/>
          <w:sz w:val="22"/>
          <w:szCs w:val="22"/>
        </w:rPr>
        <w:t xml:space="preserve">date and time </w:t>
      </w:r>
      <w:r w:rsidR="002E6009" w:rsidRPr="00A87C15">
        <w:rPr>
          <w:rFonts w:ascii="Times New Roman" w:eastAsiaTheme="minorHAnsi" w:hAnsi="Times New Roman" w:cs="Times New Roman"/>
          <w:sz w:val="22"/>
          <w:szCs w:val="22"/>
        </w:rPr>
        <w:t xml:space="preserve">of the first and second rounds </w:t>
      </w:r>
      <w:r w:rsidRPr="00A87C15">
        <w:rPr>
          <w:rFonts w:ascii="Times New Roman" w:eastAsiaTheme="minorHAnsi" w:hAnsi="Times New Roman" w:cs="Times New Roman"/>
          <w:sz w:val="22"/>
          <w:szCs w:val="22"/>
        </w:rPr>
        <w:t xml:space="preserve">at least </w:t>
      </w:r>
      <w:r w:rsidR="00BC2012" w:rsidRPr="00A87C15">
        <w:rPr>
          <w:rFonts w:ascii="Times New Roman" w:eastAsiaTheme="minorHAnsi" w:hAnsi="Times New Roman" w:cs="Times New Roman"/>
          <w:sz w:val="22"/>
          <w:szCs w:val="22"/>
        </w:rPr>
        <w:t>10</w:t>
      </w:r>
      <w:r w:rsidRPr="00A87C15">
        <w:rPr>
          <w:rFonts w:ascii="Times New Roman" w:eastAsiaTheme="minorHAnsi" w:hAnsi="Times New Roman" w:cs="Times New Roman"/>
          <w:sz w:val="22"/>
          <w:szCs w:val="22"/>
        </w:rPr>
        <w:t xml:space="preserve"> working days before the first round starts.</w:t>
      </w:r>
    </w:p>
    <w:p w14:paraId="333D62E3" w14:textId="4A889D51" w:rsidR="0053004D" w:rsidRPr="00A87C15" w:rsidRDefault="0053004D" w:rsidP="00A87C15">
      <w:pPr>
        <w:keepNext/>
        <w:spacing w:before="280" w:after="160" w:line="259" w:lineRule="auto"/>
        <w:rPr>
          <w:rFonts w:eastAsiaTheme="minorHAnsi"/>
          <w:b/>
          <w:lang w:eastAsia="en-US"/>
        </w:rPr>
      </w:pPr>
      <w:r w:rsidRPr="00A87C15">
        <w:rPr>
          <w:rFonts w:eastAsiaTheme="minorHAnsi"/>
          <w:b/>
          <w:lang w:eastAsia="en-US"/>
        </w:rPr>
        <w:t xml:space="preserve">Division </w:t>
      </w:r>
      <w:r w:rsidR="00187ED3" w:rsidRPr="00A87C15">
        <w:rPr>
          <w:rFonts w:eastAsiaTheme="minorHAnsi"/>
          <w:b/>
          <w:lang w:eastAsia="en-US"/>
        </w:rPr>
        <w:t>5</w:t>
      </w:r>
      <w:r w:rsidRPr="00A87C15">
        <w:rPr>
          <w:rFonts w:eastAsiaTheme="minorHAnsi"/>
          <w:b/>
          <w:lang w:eastAsia="en-US"/>
        </w:rPr>
        <w:tab/>
        <w:t xml:space="preserve">Procedures for </w:t>
      </w:r>
      <w:r w:rsidR="009410B8" w:rsidRPr="00A87C15">
        <w:rPr>
          <w:rFonts w:eastAsiaTheme="minorHAnsi"/>
          <w:b/>
          <w:lang w:eastAsia="en-US"/>
        </w:rPr>
        <w:t>bid</w:t>
      </w:r>
      <w:r w:rsidR="003578F6" w:rsidRPr="00A87C15">
        <w:rPr>
          <w:rFonts w:eastAsiaTheme="minorHAnsi"/>
          <w:b/>
          <w:lang w:eastAsia="en-US"/>
        </w:rPr>
        <w:t>s</w:t>
      </w:r>
      <w:r w:rsidRPr="00A87C15">
        <w:rPr>
          <w:rFonts w:eastAsiaTheme="minorHAnsi"/>
          <w:b/>
          <w:lang w:eastAsia="en-US"/>
        </w:rPr>
        <w:t xml:space="preserve"> not using the auction system and for exceptional circumstances</w:t>
      </w:r>
    </w:p>
    <w:p w14:paraId="55076C9D" w14:textId="54E651EF" w:rsidR="00603AB1" w:rsidRPr="00A87C15" w:rsidRDefault="00603AB1"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Section</w:t>
      </w:r>
      <w:r w:rsidR="00A31965" w:rsidRPr="00A87C15">
        <w:rPr>
          <w:rFonts w:eastAsiaTheme="minorHAnsi"/>
          <w:b/>
          <w:sz w:val="22"/>
          <w:szCs w:val="22"/>
          <w:lang w:eastAsia="en-US"/>
        </w:rPr>
        <w:t xml:space="preserve"> </w:t>
      </w:r>
      <w:r w:rsidR="00187ED3" w:rsidRPr="00A87C15">
        <w:rPr>
          <w:rFonts w:eastAsiaTheme="minorHAnsi"/>
          <w:b/>
          <w:sz w:val="22"/>
          <w:szCs w:val="22"/>
          <w:lang w:eastAsia="en-US"/>
        </w:rPr>
        <w:t>59</w:t>
      </w:r>
      <w:r w:rsidR="00187ED3" w:rsidRPr="00A87C15">
        <w:rPr>
          <w:rFonts w:eastAsiaTheme="minorHAnsi"/>
          <w:b/>
          <w:sz w:val="22"/>
          <w:szCs w:val="22"/>
          <w:lang w:eastAsia="en-US"/>
        </w:rPr>
        <w:tab/>
      </w:r>
      <w:r w:rsidR="001932CA" w:rsidRPr="00A87C15">
        <w:rPr>
          <w:rFonts w:eastAsiaTheme="minorHAnsi"/>
          <w:b/>
          <w:sz w:val="22"/>
          <w:szCs w:val="22"/>
          <w:lang w:eastAsia="en-US"/>
        </w:rPr>
        <w:t>Auction manager’s discretion to accept bid</w:t>
      </w:r>
      <w:r w:rsidR="004E35BC" w:rsidRPr="00A87C15">
        <w:rPr>
          <w:rFonts w:eastAsiaTheme="minorHAnsi"/>
          <w:b/>
          <w:sz w:val="22"/>
          <w:szCs w:val="22"/>
          <w:lang w:eastAsia="en-US"/>
        </w:rPr>
        <w:t>s</w:t>
      </w:r>
    </w:p>
    <w:p w14:paraId="18DEAE2F" w14:textId="2960ADB7" w:rsidR="00406C5D" w:rsidRPr="00A87C15" w:rsidRDefault="002E6009" w:rsidP="00406C5D">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Subsection </w:t>
      </w:r>
      <w:r w:rsidR="00187ED3" w:rsidRPr="00A87C15">
        <w:rPr>
          <w:rFonts w:ascii="Times New Roman" w:eastAsiaTheme="minorHAnsi" w:hAnsi="Times New Roman" w:cs="Times New Roman"/>
          <w:sz w:val="22"/>
          <w:szCs w:val="22"/>
        </w:rPr>
        <w:t>59</w:t>
      </w:r>
      <w:r w:rsidRPr="00A87C15">
        <w:rPr>
          <w:rFonts w:ascii="Times New Roman" w:eastAsiaTheme="minorHAnsi" w:hAnsi="Times New Roman" w:cs="Times New Roman"/>
          <w:sz w:val="22"/>
          <w:szCs w:val="22"/>
        </w:rPr>
        <w:t>(1) recognises that</w:t>
      </w:r>
      <w:r w:rsidR="00594038">
        <w:rPr>
          <w:rFonts w:ascii="Times New Roman" w:eastAsiaTheme="minorHAnsi" w:hAnsi="Times New Roman" w:cs="Times New Roman"/>
          <w:sz w:val="22"/>
          <w:szCs w:val="22"/>
        </w:rPr>
        <w:t>,</w:t>
      </w:r>
      <w:r w:rsidRPr="00A87C15">
        <w:rPr>
          <w:rFonts w:ascii="Times New Roman" w:eastAsiaTheme="minorHAnsi" w:hAnsi="Times New Roman" w:cs="Times New Roman"/>
          <w:sz w:val="22"/>
          <w:szCs w:val="22"/>
        </w:rPr>
        <w:t xml:space="preserve"> d</w:t>
      </w:r>
      <w:r w:rsidR="00406C5D" w:rsidRPr="00A87C15">
        <w:rPr>
          <w:rFonts w:ascii="Times New Roman" w:eastAsiaTheme="minorHAnsi" w:hAnsi="Times New Roman" w:cs="Times New Roman"/>
          <w:sz w:val="22"/>
          <w:szCs w:val="22"/>
        </w:rPr>
        <w:t xml:space="preserve">uring the auction, unanticipated circumstances may arise that prevent a bidder from being able to use the auction system to submit a </w:t>
      </w:r>
      <w:r w:rsidR="009410B8" w:rsidRPr="00A87C15">
        <w:rPr>
          <w:rFonts w:ascii="Times New Roman" w:eastAsiaTheme="minorHAnsi" w:hAnsi="Times New Roman" w:cs="Times New Roman"/>
          <w:sz w:val="22"/>
          <w:szCs w:val="22"/>
        </w:rPr>
        <w:t>bid</w:t>
      </w:r>
      <w:r w:rsidR="00926840" w:rsidRPr="00A87C15">
        <w:rPr>
          <w:rFonts w:ascii="Times New Roman" w:eastAsiaTheme="minorHAnsi" w:hAnsi="Times New Roman" w:cs="Times New Roman"/>
          <w:sz w:val="22"/>
          <w:szCs w:val="22"/>
        </w:rPr>
        <w:t xml:space="preserve"> </w:t>
      </w:r>
      <w:r w:rsidR="00472811" w:rsidRPr="00A87C15">
        <w:rPr>
          <w:rFonts w:ascii="Times New Roman" w:eastAsiaTheme="minorHAnsi" w:hAnsi="Times New Roman" w:cs="Times New Roman"/>
          <w:sz w:val="22"/>
          <w:szCs w:val="22"/>
        </w:rPr>
        <w:t>for</w:t>
      </w:r>
      <w:r w:rsidR="00406C5D" w:rsidRPr="00A87C15">
        <w:rPr>
          <w:rFonts w:ascii="Times New Roman" w:eastAsiaTheme="minorHAnsi" w:hAnsi="Times New Roman" w:cs="Times New Roman"/>
          <w:sz w:val="22"/>
          <w:szCs w:val="22"/>
        </w:rPr>
        <w:t xml:space="preserve"> a round. </w:t>
      </w:r>
      <w:r w:rsidR="007357EB">
        <w:rPr>
          <w:rFonts w:ascii="Times New Roman" w:eastAsiaTheme="minorHAnsi" w:hAnsi="Times New Roman" w:cs="Times New Roman"/>
          <w:sz w:val="22"/>
          <w:szCs w:val="22"/>
        </w:rPr>
        <w:t xml:space="preserve"> </w:t>
      </w:r>
      <w:r w:rsidR="00406C5D" w:rsidRPr="00A87C15">
        <w:rPr>
          <w:rFonts w:ascii="Times New Roman" w:eastAsiaTheme="minorHAnsi" w:hAnsi="Times New Roman" w:cs="Times New Roman"/>
          <w:sz w:val="22"/>
          <w:szCs w:val="22"/>
        </w:rPr>
        <w:t xml:space="preserve">For example, a sudden power blackout may cut a bidder’s computer access to the auction system. </w:t>
      </w:r>
      <w:r w:rsidR="007357EB">
        <w:rPr>
          <w:rFonts w:ascii="Times New Roman" w:eastAsiaTheme="minorHAnsi" w:hAnsi="Times New Roman" w:cs="Times New Roman"/>
          <w:sz w:val="22"/>
          <w:szCs w:val="22"/>
        </w:rPr>
        <w:t xml:space="preserve"> </w:t>
      </w:r>
      <w:r w:rsidR="00406C5D" w:rsidRPr="00A87C15">
        <w:rPr>
          <w:rFonts w:ascii="Times New Roman" w:eastAsiaTheme="minorHAnsi" w:hAnsi="Times New Roman" w:cs="Times New Roman"/>
          <w:sz w:val="22"/>
          <w:szCs w:val="22"/>
        </w:rPr>
        <w:t xml:space="preserve">This section gives the auction manager the discretion to permit a </w:t>
      </w:r>
      <w:r w:rsidR="00A533BD" w:rsidRPr="00A87C15">
        <w:rPr>
          <w:rFonts w:ascii="Times New Roman" w:eastAsiaTheme="minorHAnsi" w:hAnsi="Times New Roman" w:cs="Times New Roman"/>
          <w:sz w:val="22"/>
          <w:szCs w:val="22"/>
        </w:rPr>
        <w:t xml:space="preserve">bidder to </w:t>
      </w:r>
      <w:r w:rsidR="009410B8" w:rsidRPr="00A87C15">
        <w:rPr>
          <w:rFonts w:ascii="Times New Roman" w:eastAsiaTheme="minorHAnsi" w:hAnsi="Times New Roman" w:cs="Times New Roman"/>
          <w:sz w:val="22"/>
          <w:szCs w:val="22"/>
        </w:rPr>
        <w:t>bid</w:t>
      </w:r>
      <w:r w:rsidR="00406C5D" w:rsidRPr="00A87C15">
        <w:rPr>
          <w:rFonts w:ascii="Times New Roman" w:eastAsiaTheme="minorHAnsi" w:hAnsi="Times New Roman" w:cs="Times New Roman"/>
          <w:sz w:val="22"/>
          <w:szCs w:val="22"/>
        </w:rPr>
        <w:t xml:space="preserve"> </w:t>
      </w:r>
      <w:r w:rsidR="00A533BD" w:rsidRPr="00A87C15">
        <w:rPr>
          <w:rFonts w:ascii="Times New Roman" w:eastAsiaTheme="minorHAnsi" w:hAnsi="Times New Roman" w:cs="Times New Roman"/>
          <w:sz w:val="22"/>
          <w:szCs w:val="22"/>
        </w:rPr>
        <w:t xml:space="preserve">for a round </w:t>
      </w:r>
      <w:r w:rsidR="00406C5D" w:rsidRPr="00A87C15">
        <w:rPr>
          <w:rFonts w:ascii="Times New Roman" w:eastAsiaTheme="minorHAnsi" w:hAnsi="Times New Roman" w:cs="Times New Roman"/>
          <w:sz w:val="22"/>
          <w:szCs w:val="22"/>
        </w:rPr>
        <w:t xml:space="preserve">by an alternative method. </w:t>
      </w:r>
      <w:r w:rsidR="007357EB">
        <w:rPr>
          <w:rFonts w:ascii="Times New Roman" w:eastAsiaTheme="minorHAnsi" w:hAnsi="Times New Roman" w:cs="Times New Roman"/>
          <w:sz w:val="22"/>
          <w:szCs w:val="22"/>
        </w:rPr>
        <w:t xml:space="preserve"> </w:t>
      </w:r>
      <w:r w:rsidR="00A533BD" w:rsidRPr="00A87C15">
        <w:rPr>
          <w:rFonts w:ascii="Times New Roman" w:eastAsiaTheme="minorHAnsi" w:hAnsi="Times New Roman" w:cs="Times New Roman"/>
          <w:sz w:val="22"/>
          <w:szCs w:val="22"/>
        </w:rPr>
        <w:t>B</w:t>
      </w:r>
      <w:r w:rsidR="00406C5D" w:rsidRPr="00A87C15">
        <w:rPr>
          <w:rFonts w:ascii="Times New Roman" w:eastAsiaTheme="minorHAnsi" w:hAnsi="Times New Roman" w:cs="Times New Roman"/>
          <w:sz w:val="22"/>
          <w:szCs w:val="22"/>
        </w:rPr>
        <w:t xml:space="preserve">idders will receive information about how they can </w:t>
      </w:r>
      <w:r w:rsidR="00960695">
        <w:rPr>
          <w:rFonts w:ascii="Times New Roman" w:eastAsiaTheme="minorHAnsi" w:hAnsi="Times New Roman" w:cs="Times New Roman"/>
          <w:sz w:val="22"/>
          <w:szCs w:val="22"/>
        </w:rPr>
        <w:t xml:space="preserve">request to </w:t>
      </w:r>
      <w:r w:rsidR="00406C5D" w:rsidRPr="00A87C15">
        <w:rPr>
          <w:rFonts w:ascii="Times New Roman" w:eastAsiaTheme="minorHAnsi" w:hAnsi="Times New Roman" w:cs="Times New Roman"/>
          <w:sz w:val="22"/>
          <w:szCs w:val="22"/>
        </w:rPr>
        <w:t xml:space="preserve">submit a </w:t>
      </w:r>
      <w:r w:rsidR="009410B8" w:rsidRPr="00A87C15">
        <w:rPr>
          <w:rFonts w:ascii="Times New Roman" w:eastAsiaTheme="minorHAnsi" w:hAnsi="Times New Roman" w:cs="Times New Roman"/>
          <w:sz w:val="22"/>
          <w:szCs w:val="22"/>
        </w:rPr>
        <w:t>bid</w:t>
      </w:r>
      <w:r w:rsidR="00406C5D" w:rsidRPr="00A87C15">
        <w:rPr>
          <w:rFonts w:ascii="Times New Roman" w:eastAsiaTheme="minorHAnsi" w:hAnsi="Times New Roman" w:cs="Times New Roman"/>
          <w:sz w:val="22"/>
          <w:szCs w:val="22"/>
        </w:rPr>
        <w:t xml:space="preserve"> if they are unable to use the auction system</w:t>
      </w:r>
      <w:r w:rsidR="00960695">
        <w:rPr>
          <w:rFonts w:ascii="Times New Roman" w:eastAsiaTheme="minorHAnsi" w:hAnsi="Times New Roman" w:cs="Times New Roman"/>
          <w:sz w:val="22"/>
          <w:szCs w:val="22"/>
        </w:rPr>
        <w:t>,</w:t>
      </w:r>
      <w:r w:rsidR="00406C5D" w:rsidRPr="00A87C15">
        <w:rPr>
          <w:rFonts w:ascii="Times New Roman" w:eastAsiaTheme="minorHAnsi" w:hAnsi="Times New Roman" w:cs="Times New Roman"/>
          <w:sz w:val="22"/>
          <w:szCs w:val="22"/>
        </w:rPr>
        <w:t xml:space="preserve"> once they are registered under section </w:t>
      </w:r>
      <w:r w:rsidR="00A533BD" w:rsidRPr="00A87C15">
        <w:rPr>
          <w:rFonts w:ascii="Times New Roman" w:eastAsiaTheme="minorHAnsi" w:hAnsi="Times New Roman" w:cs="Times New Roman"/>
          <w:sz w:val="22"/>
          <w:szCs w:val="22"/>
        </w:rPr>
        <w:t>53</w:t>
      </w:r>
      <w:r w:rsidR="00406C5D" w:rsidRPr="00A87C15">
        <w:rPr>
          <w:rFonts w:ascii="Times New Roman" w:eastAsiaTheme="minorHAnsi" w:hAnsi="Times New Roman" w:cs="Times New Roman"/>
          <w:sz w:val="22"/>
          <w:szCs w:val="22"/>
        </w:rPr>
        <w:t>.</w:t>
      </w:r>
    </w:p>
    <w:p w14:paraId="31CD112C" w14:textId="0E1B4668" w:rsidR="00406C5D" w:rsidRPr="00A87C15" w:rsidRDefault="00406C5D" w:rsidP="00406C5D">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 xml:space="preserve">Under </w:t>
      </w:r>
      <w:r w:rsidR="002E6009" w:rsidRPr="00A87C15">
        <w:rPr>
          <w:rFonts w:ascii="Times New Roman" w:eastAsiaTheme="minorHAnsi" w:hAnsi="Times New Roman" w:cs="Times New Roman"/>
          <w:sz w:val="22"/>
          <w:szCs w:val="22"/>
        </w:rPr>
        <w:t>sub</w:t>
      </w:r>
      <w:r w:rsidRPr="00A87C15">
        <w:rPr>
          <w:rFonts w:ascii="Times New Roman" w:eastAsiaTheme="minorHAnsi" w:hAnsi="Times New Roman" w:cs="Times New Roman"/>
          <w:sz w:val="22"/>
          <w:szCs w:val="22"/>
        </w:rPr>
        <w:t>section</w:t>
      </w:r>
      <w:r w:rsidR="002E6009" w:rsidRPr="00A87C15">
        <w:rPr>
          <w:rFonts w:ascii="Times New Roman" w:eastAsiaTheme="minorHAnsi" w:hAnsi="Times New Roman" w:cs="Times New Roman"/>
          <w:sz w:val="22"/>
          <w:szCs w:val="22"/>
        </w:rPr>
        <w:t xml:space="preserve"> </w:t>
      </w:r>
      <w:r w:rsidR="00A533BD" w:rsidRPr="00A87C15">
        <w:rPr>
          <w:rFonts w:ascii="Times New Roman" w:eastAsiaTheme="minorHAnsi" w:hAnsi="Times New Roman" w:cs="Times New Roman"/>
          <w:sz w:val="22"/>
          <w:szCs w:val="22"/>
        </w:rPr>
        <w:t>59</w:t>
      </w:r>
      <w:r w:rsidR="002E6009" w:rsidRPr="00A87C15">
        <w:rPr>
          <w:rFonts w:ascii="Times New Roman" w:eastAsiaTheme="minorHAnsi" w:hAnsi="Times New Roman" w:cs="Times New Roman"/>
          <w:sz w:val="22"/>
          <w:szCs w:val="22"/>
        </w:rPr>
        <w:t>(2)</w:t>
      </w:r>
      <w:r w:rsidRPr="00A87C15">
        <w:rPr>
          <w:rFonts w:ascii="Times New Roman" w:eastAsiaTheme="minorHAnsi" w:hAnsi="Times New Roman" w:cs="Times New Roman"/>
          <w:sz w:val="22"/>
          <w:szCs w:val="22"/>
        </w:rPr>
        <w:t xml:space="preserve">, the auction manager also has discretion to permit a bidder to submit a </w:t>
      </w:r>
      <w:r w:rsidR="009410B8" w:rsidRPr="00A87C15">
        <w:rPr>
          <w:rFonts w:ascii="Times New Roman" w:eastAsiaTheme="minorHAnsi" w:hAnsi="Times New Roman" w:cs="Times New Roman"/>
          <w:sz w:val="22"/>
          <w:szCs w:val="22"/>
        </w:rPr>
        <w:t>bid</w:t>
      </w:r>
      <w:r w:rsidRPr="00A87C15">
        <w:rPr>
          <w:rFonts w:ascii="Times New Roman" w:eastAsiaTheme="minorHAnsi" w:hAnsi="Times New Roman" w:cs="Times New Roman"/>
          <w:sz w:val="22"/>
          <w:szCs w:val="22"/>
        </w:rPr>
        <w:t xml:space="preserve"> after </w:t>
      </w:r>
      <w:r w:rsidR="00472811" w:rsidRPr="00A87C15">
        <w:rPr>
          <w:rFonts w:ascii="Times New Roman" w:eastAsiaTheme="minorHAnsi" w:hAnsi="Times New Roman" w:cs="Times New Roman"/>
          <w:sz w:val="22"/>
          <w:szCs w:val="22"/>
        </w:rPr>
        <w:t xml:space="preserve">the </w:t>
      </w:r>
      <w:r w:rsidRPr="00A87C15">
        <w:rPr>
          <w:rFonts w:ascii="Times New Roman" w:eastAsiaTheme="minorHAnsi" w:hAnsi="Times New Roman" w:cs="Times New Roman"/>
          <w:sz w:val="22"/>
          <w:szCs w:val="22"/>
        </w:rPr>
        <w:t>round</w:t>
      </w:r>
      <w:r w:rsidR="00A533BD" w:rsidRPr="00A87C15">
        <w:rPr>
          <w:rFonts w:ascii="Times New Roman" w:eastAsiaTheme="minorHAnsi" w:hAnsi="Times New Roman" w:cs="Times New Roman"/>
          <w:sz w:val="22"/>
          <w:szCs w:val="22"/>
        </w:rPr>
        <w:t xml:space="preserve"> has ended</w:t>
      </w:r>
      <w:r w:rsidRPr="00A87C15">
        <w:rPr>
          <w:rFonts w:ascii="Times New Roman" w:eastAsiaTheme="minorHAnsi" w:hAnsi="Times New Roman" w:cs="Times New Roman"/>
          <w:sz w:val="22"/>
          <w:szCs w:val="22"/>
        </w:rPr>
        <w:t xml:space="preserve">, but only if satisfied that technical or communication problems have prevented the bidder from submitting a </w:t>
      </w:r>
      <w:r w:rsidR="009410B8" w:rsidRPr="00A87C15">
        <w:rPr>
          <w:rFonts w:ascii="Times New Roman" w:eastAsiaTheme="minorHAnsi" w:hAnsi="Times New Roman" w:cs="Times New Roman"/>
          <w:sz w:val="22"/>
          <w:szCs w:val="22"/>
        </w:rPr>
        <w:t>bid</w:t>
      </w:r>
      <w:r w:rsidR="00926840" w:rsidRPr="00A87C15">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during the</w:t>
      </w:r>
      <w:r w:rsidR="00472811" w:rsidRPr="00A87C15">
        <w:rPr>
          <w:rFonts w:ascii="Times New Roman" w:eastAsiaTheme="minorHAnsi" w:hAnsi="Times New Roman" w:cs="Times New Roman"/>
          <w:sz w:val="22"/>
          <w:szCs w:val="22"/>
        </w:rPr>
        <w:t xml:space="preserve"> </w:t>
      </w:r>
      <w:r w:rsidR="00187ED3" w:rsidRPr="00A87C15">
        <w:rPr>
          <w:rFonts w:ascii="Times New Roman" w:eastAsiaTheme="minorHAnsi" w:hAnsi="Times New Roman" w:cs="Times New Roman"/>
          <w:sz w:val="22"/>
          <w:szCs w:val="22"/>
        </w:rPr>
        <w:t>round</w:t>
      </w:r>
      <w:r w:rsidRPr="00A87C15">
        <w:rPr>
          <w:rFonts w:ascii="Times New Roman" w:eastAsiaTheme="minorHAnsi" w:hAnsi="Times New Roman" w:cs="Times New Roman"/>
          <w:sz w:val="22"/>
          <w:szCs w:val="22"/>
        </w:rPr>
        <w:t xml:space="preserve">. </w:t>
      </w:r>
      <w:r w:rsidR="007357EB">
        <w:rPr>
          <w:rFonts w:ascii="Times New Roman" w:eastAsiaTheme="minorHAnsi" w:hAnsi="Times New Roman" w:cs="Times New Roman"/>
          <w:sz w:val="22"/>
          <w:szCs w:val="22"/>
        </w:rPr>
        <w:t xml:space="preserve"> </w:t>
      </w:r>
      <w:r w:rsidR="009410B8" w:rsidRPr="00A87C15">
        <w:rPr>
          <w:rFonts w:ascii="Times New Roman" w:eastAsiaTheme="minorHAnsi" w:hAnsi="Times New Roman" w:cs="Times New Roman"/>
          <w:sz w:val="22"/>
          <w:szCs w:val="22"/>
        </w:rPr>
        <w:t>Bid</w:t>
      </w:r>
      <w:r w:rsidR="004E35BC" w:rsidRPr="00A87C15">
        <w:rPr>
          <w:rFonts w:ascii="Times New Roman" w:eastAsiaTheme="minorHAnsi" w:hAnsi="Times New Roman" w:cs="Times New Roman"/>
          <w:sz w:val="22"/>
          <w:szCs w:val="22"/>
        </w:rPr>
        <w:t>s</w:t>
      </w:r>
      <w:r w:rsidRPr="00A87C15">
        <w:rPr>
          <w:rFonts w:ascii="Times New Roman" w:eastAsiaTheme="minorHAnsi" w:hAnsi="Times New Roman" w:cs="Times New Roman"/>
          <w:sz w:val="22"/>
          <w:szCs w:val="22"/>
        </w:rPr>
        <w:t xml:space="preserve"> that have been submitted in this way will be regarded as </w:t>
      </w:r>
      <w:r w:rsidR="00BD1E74" w:rsidRPr="00A87C15">
        <w:rPr>
          <w:rFonts w:ascii="Times New Roman" w:eastAsiaTheme="minorHAnsi" w:hAnsi="Times New Roman" w:cs="Times New Roman"/>
          <w:sz w:val="22"/>
          <w:szCs w:val="22"/>
        </w:rPr>
        <w:t xml:space="preserve">valid </w:t>
      </w:r>
      <w:r w:rsidR="009410B8" w:rsidRPr="00A87C15">
        <w:rPr>
          <w:rFonts w:ascii="Times New Roman" w:eastAsiaTheme="minorHAnsi" w:hAnsi="Times New Roman" w:cs="Times New Roman"/>
          <w:sz w:val="22"/>
          <w:szCs w:val="22"/>
        </w:rPr>
        <w:t>bid</w:t>
      </w:r>
      <w:r w:rsidR="004E35BC" w:rsidRPr="00A87C15">
        <w:rPr>
          <w:rFonts w:ascii="Times New Roman" w:eastAsiaTheme="minorHAnsi" w:hAnsi="Times New Roman" w:cs="Times New Roman"/>
          <w:sz w:val="22"/>
          <w:szCs w:val="22"/>
        </w:rPr>
        <w:t>s</w:t>
      </w:r>
      <w:r w:rsidR="00472811" w:rsidRPr="00A87C15">
        <w:rPr>
          <w:rFonts w:ascii="Times New Roman" w:eastAsiaTheme="minorHAnsi" w:hAnsi="Times New Roman" w:cs="Times New Roman"/>
          <w:sz w:val="22"/>
          <w:szCs w:val="22"/>
        </w:rPr>
        <w:t xml:space="preserve"> made</w:t>
      </w:r>
      <w:r w:rsidRPr="00A87C15">
        <w:rPr>
          <w:rFonts w:ascii="Times New Roman" w:eastAsiaTheme="minorHAnsi" w:hAnsi="Times New Roman" w:cs="Times New Roman"/>
          <w:sz w:val="22"/>
          <w:szCs w:val="22"/>
        </w:rPr>
        <w:t xml:space="preserve"> during the </w:t>
      </w:r>
      <w:r w:rsidR="00187ED3" w:rsidRPr="00A87C15">
        <w:rPr>
          <w:rFonts w:ascii="Times New Roman" w:eastAsiaTheme="minorHAnsi" w:hAnsi="Times New Roman" w:cs="Times New Roman"/>
          <w:sz w:val="22"/>
          <w:szCs w:val="22"/>
        </w:rPr>
        <w:t xml:space="preserve">round </w:t>
      </w:r>
      <w:r w:rsidRPr="00A87C15">
        <w:rPr>
          <w:rFonts w:ascii="Times New Roman" w:eastAsiaTheme="minorHAnsi" w:hAnsi="Times New Roman" w:cs="Times New Roman"/>
          <w:sz w:val="22"/>
          <w:szCs w:val="22"/>
        </w:rPr>
        <w:t>for the purposes of calculating the results of a round just ended.</w:t>
      </w:r>
      <w:r w:rsidR="004B75E5" w:rsidRPr="00A87C15">
        <w:rPr>
          <w:rFonts w:ascii="Times New Roman" w:eastAsiaTheme="minorHAnsi" w:hAnsi="Times New Roman" w:cs="Times New Roman"/>
          <w:sz w:val="22"/>
          <w:szCs w:val="22"/>
        </w:rPr>
        <w:t xml:space="preserve">  Details of the information about the outcome of the round</w:t>
      </w:r>
      <w:r w:rsidR="007357EB">
        <w:rPr>
          <w:rFonts w:ascii="Times New Roman" w:eastAsiaTheme="minorHAnsi" w:hAnsi="Times New Roman" w:cs="Times New Roman"/>
          <w:sz w:val="22"/>
          <w:szCs w:val="22"/>
        </w:rPr>
        <w:t xml:space="preserve"> to be provided to bidders</w:t>
      </w:r>
      <w:r w:rsidR="004B75E5" w:rsidRPr="00A87C15">
        <w:rPr>
          <w:rFonts w:ascii="Times New Roman" w:eastAsiaTheme="minorHAnsi" w:hAnsi="Times New Roman" w:cs="Times New Roman"/>
          <w:sz w:val="22"/>
          <w:szCs w:val="22"/>
        </w:rPr>
        <w:t xml:space="preserve"> </w:t>
      </w:r>
      <w:r w:rsidR="0066118F">
        <w:rPr>
          <w:rFonts w:ascii="Times New Roman" w:eastAsiaTheme="minorHAnsi" w:hAnsi="Times New Roman" w:cs="Times New Roman"/>
          <w:sz w:val="22"/>
          <w:szCs w:val="22"/>
        </w:rPr>
        <w:t>are</w:t>
      </w:r>
      <w:r w:rsidR="004B75E5" w:rsidRPr="00A87C15">
        <w:rPr>
          <w:rFonts w:ascii="Times New Roman" w:eastAsiaTheme="minorHAnsi" w:hAnsi="Times New Roman" w:cs="Times New Roman"/>
          <w:sz w:val="22"/>
          <w:szCs w:val="22"/>
        </w:rPr>
        <w:t xml:space="preserve"> outlined in </w:t>
      </w:r>
      <w:r w:rsidR="007357EB" w:rsidRPr="00A87C15">
        <w:rPr>
          <w:rFonts w:ascii="Times New Roman" w:eastAsiaTheme="minorHAnsi" w:hAnsi="Times New Roman" w:cs="Times New Roman"/>
          <w:sz w:val="22"/>
          <w:szCs w:val="22"/>
        </w:rPr>
        <w:t>Schedule</w:t>
      </w:r>
      <w:r w:rsidR="007357EB">
        <w:rPr>
          <w:rFonts w:ascii="Times New Roman" w:eastAsiaTheme="minorHAnsi" w:hAnsi="Times New Roman" w:cs="Times New Roman"/>
          <w:sz w:val="22"/>
          <w:szCs w:val="22"/>
        </w:rPr>
        <w:t> 1</w:t>
      </w:r>
      <w:r w:rsidR="004B75E5" w:rsidRPr="00A87C15">
        <w:rPr>
          <w:rFonts w:ascii="Times New Roman" w:eastAsiaTheme="minorHAnsi" w:hAnsi="Times New Roman" w:cs="Times New Roman"/>
          <w:sz w:val="22"/>
          <w:szCs w:val="22"/>
        </w:rPr>
        <w:t>.</w:t>
      </w:r>
      <w:r w:rsidR="00594038">
        <w:rPr>
          <w:rFonts w:ascii="Times New Roman" w:eastAsiaTheme="minorHAnsi" w:hAnsi="Times New Roman" w:cs="Times New Roman"/>
          <w:sz w:val="22"/>
          <w:szCs w:val="22"/>
        </w:rPr>
        <w:t xml:space="preserve">  However, a bidder will not be permitted to make a bid in this way after the results of the relevant round have been published</w:t>
      </w:r>
      <w:r w:rsidR="007357EB">
        <w:rPr>
          <w:rFonts w:ascii="Times New Roman" w:eastAsiaTheme="minorHAnsi" w:hAnsi="Times New Roman" w:cs="Times New Roman"/>
          <w:sz w:val="22"/>
          <w:szCs w:val="22"/>
        </w:rPr>
        <w:t xml:space="preserve"> to all bidders</w:t>
      </w:r>
      <w:r w:rsidR="00594038">
        <w:rPr>
          <w:rFonts w:ascii="Times New Roman" w:eastAsiaTheme="minorHAnsi" w:hAnsi="Times New Roman" w:cs="Times New Roman"/>
          <w:sz w:val="22"/>
          <w:szCs w:val="22"/>
        </w:rPr>
        <w:t>.</w:t>
      </w:r>
    </w:p>
    <w:p w14:paraId="2318A57E" w14:textId="0269BB84" w:rsidR="00603AB1" w:rsidRPr="00A87C15" w:rsidRDefault="00603AB1" w:rsidP="00A87C15">
      <w:pPr>
        <w:keepNext/>
        <w:spacing w:after="160" w:line="259" w:lineRule="auto"/>
        <w:rPr>
          <w:rFonts w:eastAsiaTheme="minorHAnsi"/>
          <w:b/>
          <w:sz w:val="22"/>
          <w:szCs w:val="22"/>
          <w:lang w:eastAsia="en-US"/>
        </w:rPr>
      </w:pPr>
      <w:r w:rsidRPr="00A87C15">
        <w:rPr>
          <w:rFonts w:eastAsiaTheme="minorHAnsi"/>
          <w:b/>
          <w:sz w:val="22"/>
          <w:szCs w:val="22"/>
          <w:lang w:eastAsia="en-US"/>
        </w:rPr>
        <w:t xml:space="preserve">Section </w:t>
      </w:r>
      <w:r w:rsidR="00BD1E74" w:rsidRPr="00A87C15">
        <w:rPr>
          <w:rFonts w:eastAsiaTheme="minorHAnsi"/>
          <w:b/>
          <w:sz w:val="22"/>
          <w:szCs w:val="22"/>
          <w:lang w:eastAsia="en-US"/>
        </w:rPr>
        <w:t>6</w:t>
      </w:r>
      <w:r w:rsidR="00A533BD" w:rsidRPr="00A87C15">
        <w:rPr>
          <w:rFonts w:eastAsiaTheme="minorHAnsi"/>
          <w:b/>
          <w:sz w:val="22"/>
          <w:szCs w:val="22"/>
          <w:lang w:eastAsia="en-US"/>
        </w:rPr>
        <w:t>0</w:t>
      </w:r>
      <w:r w:rsidRPr="00A87C15">
        <w:rPr>
          <w:rFonts w:eastAsiaTheme="minorHAnsi"/>
          <w:b/>
          <w:sz w:val="22"/>
          <w:szCs w:val="22"/>
          <w:lang w:eastAsia="en-US"/>
        </w:rPr>
        <w:tab/>
      </w:r>
      <w:r w:rsidR="00406C5D" w:rsidRPr="00A87C15">
        <w:rPr>
          <w:rFonts w:eastAsiaTheme="minorHAnsi"/>
          <w:b/>
          <w:sz w:val="22"/>
          <w:szCs w:val="22"/>
          <w:lang w:eastAsia="en-US"/>
        </w:rPr>
        <w:t>Action that auction manager may take in exceptional circumstances</w:t>
      </w:r>
    </w:p>
    <w:p w14:paraId="0391AAD1" w14:textId="2880B872" w:rsidR="00406C5D" w:rsidRPr="00A87C15" w:rsidRDefault="00406C5D" w:rsidP="00406C5D">
      <w:pPr>
        <w:pStyle w:val="ACMABodyText"/>
        <w:rPr>
          <w:rFonts w:ascii="Times New Roman" w:eastAsiaTheme="minorHAnsi" w:hAnsi="Times New Roman" w:cs="Times New Roman"/>
          <w:sz w:val="22"/>
          <w:szCs w:val="22"/>
        </w:rPr>
      </w:pPr>
      <w:r w:rsidRPr="00A87C15">
        <w:rPr>
          <w:rFonts w:ascii="Times New Roman" w:eastAsiaTheme="minorHAnsi" w:hAnsi="Times New Roman" w:cs="Times New Roman"/>
          <w:sz w:val="22"/>
          <w:szCs w:val="22"/>
        </w:rPr>
        <w:t>Exceptional circumstances may arise that affect the auction.</w:t>
      </w:r>
      <w:r w:rsidR="007357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 xml:space="preserve"> If the auction manager is satisfied that this has occurred, </w:t>
      </w:r>
      <w:r w:rsidR="00472811" w:rsidRPr="00A87C15">
        <w:rPr>
          <w:rFonts w:ascii="Times New Roman" w:eastAsiaTheme="minorHAnsi" w:hAnsi="Times New Roman" w:cs="Times New Roman"/>
          <w:sz w:val="22"/>
          <w:szCs w:val="22"/>
        </w:rPr>
        <w:t>sub</w:t>
      </w:r>
      <w:r w:rsidRPr="00A87C15">
        <w:rPr>
          <w:rFonts w:ascii="Times New Roman" w:eastAsiaTheme="minorHAnsi" w:hAnsi="Times New Roman" w:cs="Times New Roman"/>
          <w:sz w:val="22"/>
          <w:szCs w:val="22"/>
        </w:rPr>
        <w:t>section</w:t>
      </w:r>
      <w:r w:rsidR="00472811" w:rsidRPr="00A87C15">
        <w:rPr>
          <w:rFonts w:ascii="Times New Roman" w:eastAsiaTheme="minorHAnsi" w:hAnsi="Times New Roman" w:cs="Times New Roman"/>
          <w:sz w:val="22"/>
          <w:szCs w:val="22"/>
        </w:rPr>
        <w:t xml:space="preserve"> </w:t>
      </w:r>
      <w:r w:rsidR="00A533BD" w:rsidRPr="00A87C15">
        <w:rPr>
          <w:rFonts w:ascii="Times New Roman" w:eastAsiaTheme="minorHAnsi" w:hAnsi="Times New Roman" w:cs="Times New Roman"/>
          <w:sz w:val="22"/>
          <w:szCs w:val="22"/>
        </w:rPr>
        <w:t>60</w:t>
      </w:r>
      <w:r w:rsidR="00472811" w:rsidRPr="00A87C15">
        <w:rPr>
          <w:rFonts w:ascii="Times New Roman" w:eastAsiaTheme="minorHAnsi" w:hAnsi="Times New Roman" w:cs="Times New Roman"/>
          <w:sz w:val="22"/>
          <w:szCs w:val="22"/>
        </w:rPr>
        <w:t>(1)</w:t>
      </w:r>
      <w:r w:rsidRPr="00A87C15">
        <w:rPr>
          <w:rFonts w:ascii="Times New Roman" w:eastAsiaTheme="minorHAnsi" w:hAnsi="Times New Roman" w:cs="Times New Roman"/>
          <w:sz w:val="22"/>
          <w:szCs w:val="22"/>
        </w:rPr>
        <w:t xml:space="preserve"> </w:t>
      </w:r>
      <w:r w:rsidR="00094EC3">
        <w:rPr>
          <w:rFonts w:ascii="Times New Roman" w:eastAsiaTheme="minorHAnsi" w:hAnsi="Times New Roman" w:cs="Times New Roman"/>
          <w:sz w:val="22"/>
          <w:szCs w:val="22"/>
        </w:rPr>
        <w:t xml:space="preserve">allows </w:t>
      </w:r>
      <w:r w:rsidRPr="00A87C15">
        <w:rPr>
          <w:rFonts w:ascii="Times New Roman" w:eastAsiaTheme="minorHAnsi" w:hAnsi="Times New Roman" w:cs="Times New Roman"/>
          <w:sz w:val="22"/>
          <w:szCs w:val="22"/>
        </w:rPr>
        <w:t xml:space="preserve">the auction manager to take a range of actions to </w:t>
      </w:r>
      <w:r w:rsidR="000C0DB4">
        <w:rPr>
          <w:rFonts w:ascii="Times New Roman" w:eastAsiaTheme="minorHAnsi" w:hAnsi="Times New Roman" w:cs="Times New Roman"/>
          <w:sz w:val="22"/>
          <w:szCs w:val="22"/>
        </w:rPr>
        <w:t>deal with</w:t>
      </w:r>
      <w:r w:rsidR="000C0DB4" w:rsidRPr="00A87C15">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 xml:space="preserve">these circumstances. </w:t>
      </w:r>
      <w:r w:rsidR="007357EB">
        <w:rPr>
          <w:rFonts w:ascii="Times New Roman" w:eastAsiaTheme="minorHAnsi" w:hAnsi="Times New Roman" w:cs="Times New Roman"/>
          <w:sz w:val="22"/>
          <w:szCs w:val="22"/>
        </w:rPr>
        <w:t xml:space="preserve"> </w:t>
      </w:r>
      <w:r w:rsidRPr="00A87C15">
        <w:rPr>
          <w:rFonts w:ascii="Times New Roman" w:eastAsiaTheme="minorHAnsi" w:hAnsi="Times New Roman" w:cs="Times New Roman"/>
          <w:sz w:val="22"/>
          <w:szCs w:val="22"/>
        </w:rPr>
        <w:t xml:space="preserve">These actions can include </w:t>
      </w:r>
      <w:r w:rsidR="001E651E" w:rsidRPr="00A87C15">
        <w:rPr>
          <w:rFonts w:ascii="Times New Roman" w:eastAsiaTheme="minorHAnsi" w:hAnsi="Times New Roman" w:cs="Times New Roman"/>
          <w:sz w:val="22"/>
          <w:szCs w:val="22"/>
        </w:rPr>
        <w:t xml:space="preserve">making corrections to the results of the current round of the auction and </w:t>
      </w:r>
      <w:r w:rsidR="00094EC3">
        <w:rPr>
          <w:rFonts w:ascii="Times New Roman" w:eastAsiaTheme="minorHAnsi" w:hAnsi="Times New Roman" w:cs="Times New Roman"/>
          <w:sz w:val="22"/>
          <w:szCs w:val="22"/>
        </w:rPr>
        <w:t xml:space="preserve">the </w:t>
      </w:r>
      <w:r w:rsidR="001E651E" w:rsidRPr="00A87C15">
        <w:rPr>
          <w:rFonts w:ascii="Times New Roman" w:eastAsiaTheme="minorHAnsi" w:hAnsi="Times New Roman" w:cs="Times New Roman"/>
          <w:sz w:val="22"/>
          <w:szCs w:val="22"/>
        </w:rPr>
        <w:t xml:space="preserve">information received by a bidder </w:t>
      </w:r>
      <w:r w:rsidR="00A533BD" w:rsidRPr="00A87C15">
        <w:rPr>
          <w:rFonts w:ascii="Times New Roman" w:eastAsiaTheme="minorHAnsi" w:hAnsi="Times New Roman" w:cs="Times New Roman"/>
          <w:sz w:val="22"/>
          <w:szCs w:val="22"/>
        </w:rPr>
        <w:t xml:space="preserve">after </w:t>
      </w:r>
      <w:r w:rsidR="001E651E" w:rsidRPr="00A87C15">
        <w:rPr>
          <w:rFonts w:ascii="Times New Roman" w:eastAsiaTheme="minorHAnsi" w:hAnsi="Times New Roman" w:cs="Times New Roman"/>
          <w:sz w:val="22"/>
          <w:szCs w:val="22"/>
        </w:rPr>
        <w:t>the round</w:t>
      </w:r>
      <w:r w:rsidR="00A533BD" w:rsidRPr="00A87C15">
        <w:rPr>
          <w:rFonts w:ascii="Times New Roman" w:eastAsiaTheme="minorHAnsi" w:hAnsi="Times New Roman" w:cs="Times New Roman"/>
          <w:sz w:val="22"/>
          <w:szCs w:val="22"/>
        </w:rPr>
        <w:t xml:space="preserve"> just ended</w:t>
      </w:r>
      <w:r w:rsidR="001E651E" w:rsidRPr="00A87C15">
        <w:rPr>
          <w:rFonts w:ascii="Times New Roman" w:eastAsiaTheme="minorHAnsi" w:hAnsi="Times New Roman" w:cs="Times New Roman"/>
          <w:sz w:val="22"/>
          <w:szCs w:val="22"/>
        </w:rPr>
        <w:t xml:space="preserve">, </w:t>
      </w:r>
      <w:r w:rsidR="00BD1E74" w:rsidRPr="00A87C15">
        <w:rPr>
          <w:rFonts w:ascii="Times New Roman" w:eastAsiaTheme="minorHAnsi" w:hAnsi="Times New Roman" w:cs="Times New Roman"/>
          <w:sz w:val="22"/>
          <w:szCs w:val="22"/>
        </w:rPr>
        <w:t xml:space="preserve">stopping the current round of the auction and </w:t>
      </w:r>
      <w:r w:rsidRPr="00A87C15">
        <w:rPr>
          <w:rFonts w:ascii="Times New Roman" w:eastAsiaTheme="minorHAnsi" w:hAnsi="Times New Roman" w:cs="Times New Roman"/>
          <w:sz w:val="22"/>
          <w:szCs w:val="22"/>
        </w:rPr>
        <w:t>restarting a round, cancelling the results of one or more rounds and restarting the auction from the point before those rounds, restarting the auction from the first round, or stopping the auction</w:t>
      </w:r>
      <w:r w:rsidR="000C0DB4">
        <w:rPr>
          <w:rFonts w:ascii="Times New Roman" w:eastAsiaTheme="minorHAnsi" w:hAnsi="Times New Roman" w:cs="Times New Roman"/>
          <w:sz w:val="22"/>
          <w:szCs w:val="22"/>
        </w:rPr>
        <w:t xml:space="preserve"> entirely</w:t>
      </w:r>
      <w:r w:rsidRPr="00A87C15">
        <w:rPr>
          <w:rFonts w:ascii="Times New Roman" w:eastAsiaTheme="minorHAnsi" w:hAnsi="Times New Roman" w:cs="Times New Roman"/>
          <w:sz w:val="22"/>
          <w:szCs w:val="22"/>
        </w:rPr>
        <w:t>.</w:t>
      </w:r>
    </w:p>
    <w:p w14:paraId="0652D7D1" w14:textId="0CB9E4CF" w:rsidR="00406C5D" w:rsidRDefault="00472811" w:rsidP="00406C5D">
      <w:pPr>
        <w:pStyle w:val="ACMABodyText"/>
      </w:pPr>
      <w:r w:rsidRPr="00A87C15">
        <w:rPr>
          <w:rFonts w:ascii="Times New Roman" w:eastAsiaTheme="minorHAnsi" w:hAnsi="Times New Roman" w:cs="Times New Roman"/>
          <w:sz w:val="22"/>
          <w:szCs w:val="22"/>
        </w:rPr>
        <w:t>Subs</w:t>
      </w:r>
      <w:r w:rsidR="00406C5D" w:rsidRPr="00A87C15">
        <w:rPr>
          <w:rFonts w:ascii="Times New Roman" w:eastAsiaTheme="minorHAnsi" w:hAnsi="Times New Roman" w:cs="Times New Roman"/>
          <w:sz w:val="22"/>
          <w:szCs w:val="22"/>
        </w:rPr>
        <w:t xml:space="preserve">ection </w:t>
      </w:r>
      <w:r w:rsidRPr="00A87C15">
        <w:rPr>
          <w:rFonts w:ascii="Times New Roman" w:eastAsiaTheme="minorHAnsi" w:hAnsi="Times New Roman" w:cs="Times New Roman"/>
          <w:sz w:val="22"/>
          <w:szCs w:val="22"/>
        </w:rPr>
        <w:t>6</w:t>
      </w:r>
      <w:r w:rsidR="00A533BD" w:rsidRPr="00A87C15">
        <w:rPr>
          <w:rFonts w:ascii="Times New Roman" w:eastAsiaTheme="minorHAnsi" w:hAnsi="Times New Roman" w:cs="Times New Roman"/>
          <w:sz w:val="22"/>
          <w:szCs w:val="22"/>
        </w:rPr>
        <w:t>0</w:t>
      </w:r>
      <w:r w:rsidRPr="00A87C15">
        <w:rPr>
          <w:rFonts w:ascii="Times New Roman" w:eastAsiaTheme="minorHAnsi" w:hAnsi="Times New Roman" w:cs="Times New Roman"/>
          <w:sz w:val="22"/>
          <w:szCs w:val="22"/>
        </w:rPr>
        <w:t>(2)</w:t>
      </w:r>
      <w:r w:rsidR="00406C5D" w:rsidRPr="00A87C15">
        <w:rPr>
          <w:rFonts w:ascii="Times New Roman" w:eastAsiaTheme="minorHAnsi" w:hAnsi="Times New Roman" w:cs="Times New Roman"/>
          <w:sz w:val="22"/>
          <w:szCs w:val="22"/>
        </w:rPr>
        <w:t xml:space="preserve"> sets out examples of exceptional circumstances that could permit the auction manager to take discretionary action under this provision</w:t>
      </w:r>
      <w:r w:rsidR="00FD57BB" w:rsidRPr="00A87C15">
        <w:rPr>
          <w:rFonts w:ascii="Times New Roman" w:eastAsiaTheme="minorHAnsi" w:hAnsi="Times New Roman" w:cs="Times New Roman"/>
          <w:sz w:val="22"/>
          <w:szCs w:val="22"/>
        </w:rPr>
        <w:t>, including significant technical difficulty with the auction system</w:t>
      </w:r>
      <w:r w:rsidR="00A533BD" w:rsidRPr="00A87C15">
        <w:rPr>
          <w:rFonts w:ascii="Times New Roman" w:eastAsiaTheme="minorHAnsi" w:hAnsi="Times New Roman" w:cs="Times New Roman"/>
          <w:sz w:val="22"/>
          <w:szCs w:val="22"/>
        </w:rPr>
        <w:t xml:space="preserve"> or a breach of confidentiality obligations under section 17</w:t>
      </w:r>
      <w:r w:rsidR="00406C5D" w:rsidRPr="00A87C15">
        <w:rPr>
          <w:rFonts w:ascii="Times New Roman" w:eastAsiaTheme="minorHAnsi" w:hAnsi="Times New Roman" w:cs="Times New Roman"/>
          <w:sz w:val="22"/>
          <w:szCs w:val="22"/>
        </w:rPr>
        <w:t>.</w:t>
      </w:r>
      <w:r w:rsidR="007357EB">
        <w:rPr>
          <w:rFonts w:ascii="Times New Roman" w:eastAsiaTheme="minorHAnsi" w:hAnsi="Times New Roman" w:cs="Times New Roman"/>
          <w:sz w:val="22"/>
          <w:szCs w:val="22"/>
        </w:rPr>
        <w:t xml:space="preserve"> </w:t>
      </w:r>
      <w:r w:rsidR="00406C5D" w:rsidRPr="00A87C15">
        <w:rPr>
          <w:rFonts w:ascii="Times New Roman" w:eastAsiaTheme="minorHAnsi" w:hAnsi="Times New Roman" w:cs="Times New Roman"/>
          <w:sz w:val="22"/>
          <w:szCs w:val="22"/>
        </w:rPr>
        <w:t xml:space="preserve"> However, the examples given are not exhaustive and do not preclude other circumstances from being regarded as exceptional.</w:t>
      </w:r>
    </w:p>
    <w:p w14:paraId="332E0FC5" w14:textId="57C3E6D7" w:rsidR="00406C5D" w:rsidRPr="000C0DB4" w:rsidRDefault="00406C5D" w:rsidP="000C0DB4">
      <w:pPr>
        <w:keepNext/>
        <w:spacing w:before="280" w:after="160" w:line="259" w:lineRule="auto"/>
        <w:rPr>
          <w:rFonts w:eastAsiaTheme="minorHAnsi"/>
          <w:b/>
          <w:lang w:eastAsia="en-US"/>
        </w:rPr>
      </w:pPr>
      <w:r w:rsidRPr="000C0DB4">
        <w:rPr>
          <w:rFonts w:eastAsiaTheme="minorHAnsi"/>
          <w:b/>
          <w:lang w:eastAsia="en-US"/>
        </w:rPr>
        <w:lastRenderedPageBreak/>
        <w:t xml:space="preserve">Division </w:t>
      </w:r>
      <w:r w:rsidR="00A533BD" w:rsidRPr="000C0DB4">
        <w:rPr>
          <w:rFonts w:eastAsiaTheme="minorHAnsi"/>
          <w:b/>
          <w:lang w:eastAsia="en-US"/>
        </w:rPr>
        <w:t>6</w:t>
      </w:r>
      <w:r w:rsidR="00FD57BB" w:rsidRPr="000C0DB4">
        <w:rPr>
          <w:rFonts w:eastAsiaTheme="minorHAnsi"/>
          <w:b/>
          <w:lang w:eastAsia="en-US"/>
        </w:rPr>
        <w:tab/>
      </w:r>
      <w:r w:rsidRPr="000C0DB4">
        <w:rPr>
          <w:rFonts w:eastAsiaTheme="minorHAnsi"/>
          <w:b/>
          <w:lang w:eastAsia="en-US"/>
        </w:rPr>
        <w:t xml:space="preserve">Affiliations during </w:t>
      </w:r>
      <w:r w:rsidR="002745C6" w:rsidRPr="000C0DB4">
        <w:rPr>
          <w:rFonts w:eastAsiaTheme="minorHAnsi"/>
          <w:b/>
          <w:lang w:eastAsia="en-US"/>
        </w:rPr>
        <w:t xml:space="preserve">the </w:t>
      </w:r>
      <w:r w:rsidRPr="000C0DB4">
        <w:rPr>
          <w:rFonts w:eastAsiaTheme="minorHAnsi"/>
          <w:b/>
          <w:lang w:eastAsia="en-US"/>
        </w:rPr>
        <w:t>auction</w:t>
      </w:r>
    </w:p>
    <w:p w14:paraId="21C13505" w14:textId="33CCBB71" w:rsidR="00406C5D" w:rsidRPr="000C0DB4" w:rsidRDefault="00406C5D"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 xml:space="preserve">Section </w:t>
      </w:r>
      <w:r w:rsidR="00E41296" w:rsidRPr="000C0DB4">
        <w:rPr>
          <w:rFonts w:eastAsiaTheme="minorHAnsi"/>
          <w:b/>
          <w:sz w:val="22"/>
          <w:szCs w:val="22"/>
          <w:lang w:eastAsia="en-US"/>
        </w:rPr>
        <w:t>61</w:t>
      </w:r>
      <w:r w:rsidRPr="000C0DB4">
        <w:rPr>
          <w:rFonts w:eastAsiaTheme="minorHAnsi"/>
          <w:b/>
          <w:sz w:val="22"/>
          <w:szCs w:val="22"/>
          <w:lang w:eastAsia="en-US"/>
        </w:rPr>
        <w:tab/>
        <w:t>Affiliation</w:t>
      </w:r>
      <w:r w:rsidR="000C0DB4">
        <w:rPr>
          <w:rFonts w:eastAsiaTheme="minorHAnsi"/>
          <w:b/>
          <w:sz w:val="22"/>
          <w:szCs w:val="22"/>
          <w:lang w:eastAsia="en-US"/>
        </w:rPr>
        <w:t xml:space="preserve"> between bidders</w:t>
      </w:r>
      <w:r w:rsidRPr="000C0DB4">
        <w:rPr>
          <w:rFonts w:eastAsiaTheme="minorHAnsi"/>
          <w:b/>
          <w:sz w:val="22"/>
          <w:szCs w:val="22"/>
          <w:lang w:eastAsia="en-US"/>
        </w:rPr>
        <w:t xml:space="preserve"> during auction period not permitted</w:t>
      </w:r>
    </w:p>
    <w:p w14:paraId="0C1BC89A" w14:textId="786730E8" w:rsidR="00406C5D" w:rsidRPr="000C0DB4" w:rsidRDefault="00406C5D" w:rsidP="00406C5D">
      <w:pPr>
        <w:pStyle w:val="ACMABodyText"/>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This section provides that a bidder must not be affiliated with another bidder during the auction period (</w:t>
      </w:r>
      <w:r w:rsidR="000C0DB4">
        <w:rPr>
          <w:rFonts w:ascii="Times New Roman" w:eastAsiaTheme="minorHAnsi" w:hAnsi="Times New Roman" w:cs="Times New Roman"/>
          <w:sz w:val="22"/>
          <w:szCs w:val="22"/>
        </w:rPr>
        <w:t xml:space="preserve">as </w:t>
      </w:r>
      <w:r w:rsidRPr="000C0DB4">
        <w:rPr>
          <w:rFonts w:ascii="Times New Roman" w:eastAsiaTheme="minorHAnsi" w:hAnsi="Times New Roman" w:cs="Times New Roman"/>
          <w:sz w:val="22"/>
          <w:szCs w:val="22"/>
        </w:rPr>
        <w:t xml:space="preserve">defined in </w:t>
      </w:r>
      <w:r w:rsidR="005D48D7" w:rsidRPr="000C0DB4">
        <w:rPr>
          <w:rFonts w:ascii="Times New Roman" w:eastAsiaTheme="minorHAnsi" w:hAnsi="Times New Roman" w:cs="Times New Roman"/>
          <w:sz w:val="22"/>
          <w:szCs w:val="22"/>
        </w:rPr>
        <w:t>sub</w:t>
      </w:r>
      <w:r w:rsidRPr="000C0DB4">
        <w:rPr>
          <w:rFonts w:ascii="Times New Roman" w:eastAsiaTheme="minorHAnsi" w:hAnsi="Times New Roman" w:cs="Times New Roman"/>
          <w:sz w:val="22"/>
          <w:szCs w:val="22"/>
        </w:rPr>
        <w:t>section 4</w:t>
      </w:r>
      <w:r w:rsidR="005D48D7" w:rsidRPr="000C0DB4">
        <w:rPr>
          <w:rFonts w:ascii="Times New Roman" w:eastAsiaTheme="minorHAnsi" w:hAnsi="Times New Roman" w:cs="Times New Roman"/>
          <w:sz w:val="22"/>
          <w:szCs w:val="22"/>
        </w:rPr>
        <w:t>(1)</w:t>
      </w:r>
      <w:r w:rsidR="007357EB">
        <w:rPr>
          <w:rFonts w:ascii="Times New Roman" w:eastAsiaTheme="minorHAnsi" w:hAnsi="Times New Roman" w:cs="Times New Roman"/>
          <w:sz w:val="22"/>
          <w:szCs w:val="22"/>
        </w:rPr>
        <w:t xml:space="preserve"> of the Determination</w:t>
      </w:r>
      <w:r w:rsidRPr="000C0DB4">
        <w:rPr>
          <w:rFonts w:ascii="Times New Roman" w:eastAsiaTheme="minorHAnsi" w:hAnsi="Times New Roman" w:cs="Times New Roman"/>
          <w:sz w:val="22"/>
          <w:szCs w:val="22"/>
        </w:rPr>
        <w:t xml:space="preserve">). </w:t>
      </w:r>
      <w:r w:rsidR="007357EB">
        <w:rPr>
          <w:rFonts w:ascii="Times New Roman" w:eastAsiaTheme="minorHAnsi" w:hAnsi="Times New Roman" w:cs="Times New Roman"/>
          <w:sz w:val="22"/>
          <w:szCs w:val="22"/>
        </w:rPr>
        <w:t xml:space="preserve"> </w:t>
      </w:r>
      <w:r w:rsidRPr="000C0DB4">
        <w:rPr>
          <w:rFonts w:ascii="Times New Roman" w:eastAsiaTheme="minorHAnsi" w:hAnsi="Times New Roman" w:cs="Times New Roman"/>
          <w:sz w:val="22"/>
          <w:szCs w:val="22"/>
        </w:rPr>
        <w:t xml:space="preserve">If the ACMA is satisfied that a breach of this provision has occurred, the ACMA may take action under section </w:t>
      </w:r>
      <w:r w:rsidR="001B2376" w:rsidRPr="000C0DB4">
        <w:rPr>
          <w:rFonts w:ascii="Times New Roman" w:eastAsiaTheme="minorHAnsi" w:hAnsi="Times New Roman" w:cs="Times New Roman"/>
          <w:sz w:val="22"/>
          <w:szCs w:val="22"/>
        </w:rPr>
        <w:t>8</w:t>
      </w:r>
      <w:r w:rsidR="00E41296" w:rsidRPr="000C0DB4">
        <w:rPr>
          <w:rFonts w:ascii="Times New Roman" w:eastAsiaTheme="minorHAnsi" w:hAnsi="Times New Roman" w:cs="Times New Roman"/>
          <w:sz w:val="22"/>
          <w:szCs w:val="22"/>
        </w:rPr>
        <w:t>5</w:t>
      </w:r>
      <w:r w:rsidRPr="000C0DB4">
        <w:rPr>
          <w:rFonts w:ascii="Times New Roman" w:eastAsiaTheme="minorHAnsi" w:hAnsi="Times New Roman" w:cs="Times New Roman"/>
          <w:sz w:val="22"/>
          <w:szCs w:val="22"/>
        </w:rPr>
        <w:t>.</w:t>
      </w:r>
    </w:p>
    <w:p w14:paraId="20EB6FDF" w14:textId="22183F0F" w:rsidR="00406C5D" w:rsidRPr="000C0DB4" w:rsidRDefault="00406C5D"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 xml:space="preserve">Section </w:t>
      </w:r>
      <w:r w:rsidR="00BD1E74" w:rsidRPr="000C0DB4">
        <w:rPr>
          <w:rFonts w:eastAsiaTheme="minorHAnsi"/>
          <w:b/>
          <w:sz w:val="22"/>
          <w:szCs w:val="22"/>
          <w:lang w:eastAsia="en-US"/>
        </w:rPr>
        <w:t>6</w:t>
      </w:r>
      <w:r w:rsidR="00E41296" w:rsidRPr="000C0DB4">
        <w:rPr>
          <w:rFonts w:eastAsiaTheme="minorHAnsi"/>
          <w:b/>
          <w:sz w:val="22"/>
          <w:szCs w:val="22"/>
          <w:lang w:eastAsia="en-US"/>
        </w:rPr>
        <w:t>2</w:t>
      </w:r>
      <w:r w:rsidRPr="000C0DB4">
        <w:rPr>
          <w:rFonts w:eastAsiaTheme="minorHAnsi"/>
          <w:b/>
          <w:sz w:val="22"/>
          <w:szCs w:val="22"/>
          <w:lang w:eastAsia="en-US"/>
        </w:rPr>
        <w:tab/>
        <w:t>Requirement to report affiliation</w:t>
      </w:r>
    </w:p>
    <w:p w14:paraId="032F9322" w14:textId="68C9B2C2" w:rsidR="00406C5D" w:rsidRPr="000C0DB4" w:rsidRDefault="00406C5D" w:rsidP="00406C5D">
      <w:pPr>
        <w:pStyle w:val="ACMABodyText"/>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Under this provision, a bidder is obliged to immediately tell the ACMA in writing if the bidder believes that it may be affiliated with another bidder</w:t>
      </w:r>
      <w:r w:rsidR="000C0DB4">
        <w:rPr>
          <w:rFonts w:ascii="Times New Roman" w:eastAsiaTheme="minorHAnsi" w:hAnsi="Times New Roman" w:cs="Times New Roman"/>
          <w:sz w:val="22"/>
          <w:szCs w:val="22"/>
        </w:rPr>
        <w:t>, or with a previous successful bidder,</w:t>
      </w:r>
      <w:r w:rsidRPr="000C0DB4">
        <w:rPr>
          <w:rFonts w:ascii="Times New Roman" w:eastAsiaTheme="minorHAnsi" w:hAnsi="Times New Roman" w:cs="Times New Roman"/>
          <w:sz w:val="22"/>
          <w:szCs w:val="22"/>
        </w:rPr>
        <w:t xml:space="preserve"> during the auction period, noting the identity of the other bidder </w:t>
      </w:r>
      <w:r w:rsidR="00E41296" w:rsidRPr="000C0DB4">
        <w:rPr>
          <w:rFonts w:ascii="Times New Roman" w:eastAsiaTheme="minorHAnsi" w:hAnsi="Times New Roman" w:cs="Times New Roman"/>
          <w:sz w:val="22"/>
          <w:szCs w:val="22"/>
        </w:rPr>
        <w:t xml:space="preserve">or previous successful bidder </w:t>
      </w:r>
      <w:r w:rsidRPr="000C0DB4">
        <w:rPr>
          <w:rFonts w:ascii="Times New Roman" w:eastAsiaTheme="minorHAnsi" w:hAnsi="Times New Roman" w:cs="Times New Roman"/>
          <w:sz w:val="22"/>
          <w:szCs w:val="22"/>
        </w:rPr>
        <w:t xml:space="preserve">and </w:t>
      </w:r>
      <w:r w:rsidR="00333609" w:rsidRPr="000C0DB4">
        <w:rPr>
          <w:rFonts w:ascii="Times New Roman" w:eastAsiaTheme="minorHAnsi" w:hAnsi="Times New Roman" w:cs="Times New Roman"/>
          <w:sz w:val="22"/>
          <w:szCs w:val="22"/>
        </w:rPr>
        <w:t>giving details</w:t>
      </w:r>
      <w:r w:rsidRPr="000C0DB4">
        <w:rPr>
          <w:rFonts w:ascii="Times New Roman" w:eastAsiaTheme="minorHAnsi" w:hAnsi="Times New Roman" w:cs="Times New Roman"/>
          <w:sz w:val="22"/>
          <w:szCs w:val="22"/>
        </w:rPr>
        <w:t xml:space="preserve"> of the affiliation.</w:t>
      </w:r>
    </w:p>
    <w:p w14:paraId="532C4004" w14:textId="25ED6CDD" w:rsidR="00406C5D" w:rsidRPr="000C0DB4" w:rsidRDefault="00406C5D"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Section</w:t>
      </w:r>
      <w:r w:rsidR="00BD1E74" w:rsidRPr="000C0DB4">
        <w:rPr>
          <w:rFonts w:eastAsiaTheme="minorHAnsi"/>
          <w:b/>
          <w:sz w:val="22"/>
          <w:szCs w:val="22"/>
          <w:lang w:eastAsia="en-US"/>
        </w:rPr>
        <w:t xml:space="preserve"> 6</w:t>
      </w:r>
      <w:r w:rsidR="00E41296" w:rsidRPr="000C0DB4">
        <w:rPr>
          <w:rFonts w:eastAsiaTheme="minorHAnsi"/>
          <w:b/>
          <w:sz w:val="22"/>
          <w:szCs w:val="22"/>
          <w:lang w:eastAsia="en-US"/>
        </w:rPr>
        <w:t>3</w:t>
      </w:r>
      <w:r w:rsidRPr="000C0DB4">
        <w:rPr>
          <w:rFonts w:eastAsiaTheme="minorHAnsi"/>
          <w:b/>
          <w:sz w:val="22"/>
          <w:szCs w:val="22"/>
          <w:lang w:eastAsia="en-US"/>
        </w:rPr>
        <w:tab/>
        <w:t>Auction continues despite possible affiliation</w:t>
      </w:r>
    </w:p>
    <w:p w14:paraId="63A0A9ED" w14:textId="078DB61F" w:rsidR="00406C5D" w:rsidRPr="000C0DB4" w:rsidRDefault="00406C5D" w:rsidP="00406C5D">
      <w:pPr>
        <w:pStyle w:val="ACMABodyText"/>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 xml:space="preserve">This section </w:t>
      </w:r>
      <w:r w:rsidR="000C0DB4">
        <w:rPr>
          <w:rFonts w:ascii="Times New Roman" w:eastAsiaTheme="minorHAnsi" w:hAnsi="Times New Roman" w:cs="Times New Roman"/>
          <w:sz w:val="22"/>
          <w:szCs w:val="22"/>
        </w:rPr>
        <w:t>prescribes</w:t>
      </w:r>
      <w:r w:rsidRPr="000C0DB4">
        <w:rPr>
          <w:rFonts w:ascii="Times New Roman" w:eastAsiaTheme="minorHAnsi" w:hAnsi="Times New Roman" w:cs="Times New Roman"/>
          <w:sz w:val="22"/>
          <w:szCs w:val="22"/>
        </w:rPr>
        <w:t xml:space="preserve"> </w:t>
      </w:r>
      <w:r w:rsidR="000238FA" w:rsidRPr="000C0DB4">
        <w:rPr>
          <w:rFonts w:ascii="Times New Roman" w:eastAsiaTheme="minorHAnsi" w:hAnsi="Times New Roman" w:cs="Times New Roman"/>
          <w:sz w:val="22"/>
          <w:szCs w:val="22"/>
        </w:rPr>
        <w:t xml:space="preserve">what happens </w:t>
      </w:r>
      <w:r w:rsidRPr="000C0DB4">
        <w:rPr>
          <w:rFonts w:ascii="Times New Roman" w:eastAsiaTheme="minorHAnsi" w:hAnsi="Times New Roman" w:cs="Times New Roman"/>
          <w:sz w:val="22"/>
          <w:szCs w:val="22"/>
        </w:rPr>
        <w:t xml:space="preserve">if the ACMA becomes aware during the auction period that </w:t>
      </w:r>
      <w:r w:rsidR="000C0DB4">
        <w:rPr>
          <w:rFonts w:ascii="Times New Roman" w:eastAsiaTheme="minorHAnsi" w:hAnsi="Times New Roman" w:cs="Times New Roman"/>
          <w:sz w:val="22"/>
          <w:szCs w:val="22"/>
        </w:rPr>
        <w:t>two</w:t>
      </w:r>
      <w:r w:rsidRPr="000C0DB4">
        <w:rPr>
          <w:rFonts w:ascii="Times New Roman" w:eastAsiaTheme="minorHAnsi" w:hAnsi="Times New Roman" w:cs="Times New Roman"/>
          <w:sz w:val="22"/>
          <w:szCs w:val="22"/>
        </w:rPr>
        <w:t xml:space="preserve"> or more bidders</w:t>
      </w:r>
      <w:r w:rsidR="0066118F">
        <w:rPr>
          <w:rFonts w:ascii="Times New Roman" w:eastAsiaTheme="minorHAnsi" w:hAnsi="Times New Roman" w:cs="Times New Roman"/>
          <w:sz w:val="22"/>
          <w:szCs w:val="22"/>
        </w:rPr>
        <w:t>,</w:t>
      </w:r>
      <w:r w:rsidRPr="000C0DB4">
        <w:rPr>
          <w:rFonts w:ascii="Times New Roman" w:eastAsiaTheme="minorHAnsi" w:hAnsi="Times New Roman" w:cs="Times New Roman"/>
          <w:sz w:val="22"/>
          <w:szCs w:val="22"/>
        </w:rPr>
        <w:t xml:space="preserve"> </w:t>
      </w:r>
      <w:r w:rsidR="00E41296" w:rsidRPr="000C0DB4">
        <w:rPr>
          <w:rFonts w:ascii="Times New Roman" w:eastAsiaTheme="minorHAnsi" w:hAnsi="Times New Roman" w:cs="Times New Roman"/>
          <w:sz w:val="22"/>
          <w:szCs w:val="22"/>
        </w:rPr>
        <w:t xml:space="preserve">or </w:t>
      </w:r>
      <w:r w:rsidR="0066118F">
        <w:rPr>
          <w:rFonts w:ascii="Times New Roman" w:eastAsiaTheme="minorHAnsi" w:hAnsi="Times New Roman" w:cs="Times New Roman"/>
          <w:sz w:val="22"/>
          <w:szCs w:val="22"/>
        </w:rPr>
        <w:t xml:space="preserve">a </w:t>
      </w:r>
      <w:r w:rsidR="00E41296" w:rsidRPr="000C0DB4">
        <w:rPr>
          <w:rFonts w:ascii="Times New Roman" w:eastAsiaTheme="minorHAnsi" w:hAnsi="Times New Roman" w:cs="Times New Roman"/>
          <w:sz w:val="22"/>
          <w:szCs w:val="22"/>
        </w:rPr>
        <w:t>bidder and a previous successful bidder</w:t>
      </w:r>
      <w:r w:rsidR="005A1F11">
        <w:rPr>
          <w:rFonts w:ascii="Times New Roman" w:eastAsiaTheme="minorHAnsi" w:hAnsi="Times New Roman" w:cs="Times New Roman"/>
          <w:sz w:val="22"/>
          <w:szCs w:val="22"/>
        </w:rPr>
        <w:t>,</w:t>
      </w:r>
      <w:r w:rsidR="00E41296" w:rsidRPr="000C0DB4">
        <w:rPr>
          <w:rFonts w:ascii="Times New Roman" w:eastAsiaTheme="minorHAnsi" w:hAnsi="Times New Roman" w:cs="Times New Roman"/>
          <w:sz w:val="22"/>
          <w:szCs w:val="22"/>
        </w:rPr>
        <w:t xml:space="preserve"> </w:t>
      </w:r>
      <w:r w:rsidRPr="000C0DB4">
        <w:rPr>
          <w:rFonts w:ascii="Times New Roman" w:eastAsiaTheme="minorHAnsi" w:hAnsi="Times New Roman" w:cs="Times New Roman"/>
          <w:sz w:val="22"/>
          <w:szCs w:val="22"/>
        </w:rPr>
        <w:t xml:space="preserve">may be affiliated. </w:t>
      </w:r>
      <w:r w:rsidR="007357EB">
        <w:rPr>
          <w:rFonts w:ascii="Times New Roman" w:eastAsiaTheme="minorHAnsi" w:hAnsi="Times New Roman" w:cs="Times New Roman"/>
          <w:sz w:val="22"/>
          <w:szCs w:val="22"/>
        </w:rPr>
        <w:t xml:space="preserve"> </w:t>
      </w:r>
      <w:r w:rsidRPr="000C0DB4">
        <w:rPr>
          <w:rFonts w:ascii="Times New Roman" w:eastAsiaTheme="minorHAnsi" w:hAnsi="Times New Roman" w:cs="Times New Roman"/>
          <w:sz w:val="22"/>
          <w:szCs w:val="22"/>
        </w:rPr>
        <w:t>The auction will proceed normally and any bidders who may be affiliated are permitted to continue to participate.</w:t>
      </w:r>
    </w:p>
    <w:p w14:paraId="1A6575BA" w14:textId="45DFD151" w:rsidR="00406C5D" w:rsidRPr="000C0DB4" w:rsidRDefault="00406C5D"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 xml:space="preserve">Section </w:t>
      </w:r>
      <w:r w:rsidR="00BD1E74" w:rsidRPr="000C0DB4">
        <w:rPr>
          <w:rFonts w:eastAsiaTheme="minorHAnsi"/>
          <w:b/>
          <w:sz w:val="22"/>
          <w:szCs w:val="22"/>
          <w:lang w:eastAsia="en-US"/>
        </w:rPr>
        <w:t>6</w:t>
      </w:r>
      <w:r w:rsidR="00E41296" w:rsidRPr="000C0DB4">
        <w:rPr>
          <w:rFonts w:eastAsiaTheme="minorHAnsi"/>
          <w:b/>
          <w:sz w:val="22"/>
          <w:szCs w:val="22"/>
          <w:lang w:eastAsia="en-US"/>
        </w:rPr>
        <w:t>4</w:t>
      </w:r>
      <w:r w:rsidRPr="000C0DB4">
        <w:rPr>
          <w:rFonts w:eastAsiaTheme="minorHAnsi"/>
          <w:b/>
          <w:sz w:val="22"/>
          <w:szCs w:val="22"/>
          <w:lang w:eastAsia="en-US"/>
        </w:rPr>
        <w:tab/>
        <w:t xml:space="preserve">ACMA consideration of affiliation </w:t>
      </w:r>
    </w:p>
    <w:p w14:paraId="34731B90" w14:textId="6E3D59D1" w:rsidR="00D86054" w:rsidRPr="000C0DB4" w:rsidRDefault="00D86054" w:rsidP="00D86054">
      <w:pPr>
        <w:pStyle w:val="ACMABodyText"/>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 xml:space="preserve">If the ACMA has reason to believe that </w:t>
      </w:r>
      <w:r w:rsidR="000C0DB4">
        <w:rPr>
          <w:rFonts w:ascii="Times New Roman" w:eastAsiaTheme="minorHAnsi" w:hAnsi="Times New Roman" w:cs="Times New Roman"/>
          <w:sz w:val="22"/>
          <w:szCs w:val="22"/>
        </w:rPr>
        <w:t>two</w:t>
      </w:r>
      <w:r w:rsidRPr="000C0DB4">
        <w:rPr>
          <w:rFonts w:ascii="Times New Roman" w:eastAsiaTheme="minorHAnsi" w:hAnsi="Times New Roman" w:cs="Times New Roman"/>
          <w:sz w:val="22"/>
          <w:szCs w:val="22"/>
        </w:rPr>
        <w:t xml:space="preserve"> or more bidders are affiliated during the auction period, the ACMA must notify the bidders in writing and tell them the basis on which the ACMA believes the bidders are affiliated.</w:t>
      </w:r>
    </w:p>
    <w:p w14:paraId="5339E069" w14:textId="5BA5E1CE" w:rsidR="004B75E5" w:rsidRPr="000C0DB4" w:rsidRDefault="00D86054" w:rsidP="00406C5D">
      <w:pPr>
        <w:pStyle w:val="ACMABodyText"/>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 xml:space="preserve">If </w:t>
      </w:r>
      <w:r w:rsidR="004B75E5" w:rsidRPr="000C0DB4">
        <w:rPr>
          <w:rFonts w:ascii="Times New Roman" w:eastAsiaTheme="minorHAnsi" w:hAnsi="Times New Roman" w:cs="Times New Roman"/>
          <w:sz w:val="22"/>
          <w:szCs w:val="22"/>
        </w:rPr>
        <w:t>the ACMA has reason to believe that a bidder is affiliated with a previous successful bidder during the auction period, and the bidder had not made this known to the ACMA before the commencement of the auction period, the ACMA must notify the bidder in writing and tell it the basis on which the ACMA believes that the bidder is affiliated with a previous successful bidder</w:t>
      </w:r>
      <w:r w:rsidR="009311BF">
        <w:rPr>
          <w:rFonts w:ascii="Times New Roman" w:eastAsiaTheme="minorHAnsi" w:hAnsi="Times New Roman" w:cs="Times New Roman"/>
          <w:sz w:val="22"/>
          <w:szCs w:val="22"/>
        </w:rPr>
        <w:t>.</w:t>
      </w:r>
    </w:p>
    <w:p w14:paraId="1BA8E38B" w14:textId="65028402" w:rsidR="00E467AC" w:rsidRPr="000C0DB4" w:rsidRDefault="00E467AC" w:rsidP="00E467AC">
      <w:pPr>
        <w:pStyle w:val="ACMABodyText"/>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 xml:space="preserve">If </w:t>
      </w:r>
      <w:r w:rsidR="000C0DB4">
        <w:rPr>
          <w:rFonts w:ascii="Times New Roman" w:eastAsiaTheme="minorHAnsi" w:hAnsi="Times New Roman" w:cs="Times New Roman"/>
          <w:sz w:val="22"/>
          <w:szCs w:val="22"/>
        </w:rPr>
        <w:t xml:space="preserve">a bidder notified the ACMA about a possible affiliation under section 62, but </w:t>
      </w:r>
      <w:r w:rsidRPr="000C0DB4">
        <w:rPr>
          <w:rFonts w:ascii="Times New Roman" w:eastAsiaTheme="minorHAnsi" w:hAnsi="Times New Roman" w:cs="Times New Roman"/>
          <w:sz w:val="22"/>
          <w:szCs w:val="22"/>
        </w:rPr>
        <w:t xml:space="preserve">the ACMA does not consider that these bidders </w:t>
      </w:r>
      <w:r w:rsidR="0066118F">
        <w:rPr>
          <w:rFonts w:ascii="Times New Roman" w:eastAsiaTheme="minorHAnsi" w:hAnsi="Times New Roman" w:cs="Times New Roman"/>
          <w:sz w:val="22"/>
          <w:szCs w:val="22"/>
        </w:rPr>
        <w:t>a</w:t>
      </w:r>
      <w:r w:rsidRPr="000C0DB4">
        <w:rPr>
          <w:rFonts w:ascii="Times New Roman" w:eastAsiaTheme="minorHAnsi" w:hAnsi="Times New Roman" w:cs="Times New Roman"/>
          <w:sz w:val="22"/>
          <w:szCs w:val="22"/>
        </w:rPr>
        <w:t xml:space="preserve">re affiliated, then the ACMA must notify the bidders of that </w:t>
      </w:r>
      <w:r w:rsidR="00333609" w:rsidRPr="000C0DB4">
        <w:rPr>
          <w:rFonts w:ascii="Times New Roman" w:eastAsiaTheme="minorHAnsi" w:hAnsi="Times New Roman" w:cs="Times New Roman"/>
          <w:sz w:val="22"/>
          <w:szCs w:val="22"/>
        </w:rPr>
        <w:t>view</w:t>
      </w:r>
      <w:r w:rsidRPr="000C0DB4">
        <w:rPr>
          <w:rFonts w:ascii="Times New Roman" w:eastAsiaTheme="minorHAnsi" w:hAnsi="Times New Roman" w:cs="Times New Roman"/>
          <w:sz w:val="22"/>
          <w:szCs w:val="22"/>
        </w:rPr>
        <w:t>.</w:t>
      </w:r>
    </w:p>
    <w:p w14:paraId="65506C0E" w14:textId="0C9725AD" w:rsidR="001C1F4F" w:rsidRPr="000C0DB4" w:rsidRDefault="001C1F4F" w:rsidP="00D86054">
      <w:pPr>
        <w:pStyle w:val="ACMABodyText"/>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 xml:space="preserve">If a bidder </w:t>
      </w:r>
      <w:r w:rsidR="000C0DB4">
        <w:rPr>
          <w:rFonts w:ascii="Times New Roman" w:eastAsiaTheme="minorHAnsi" w:hAnsi="Times New Roman" w:cs="Times New Roman"/>
          <w:sz w:val="22"/>
          <w:szCs w:val="22"/>
        </w:rPr>
        <w:t xml:space="preserve">notified </w:t>
      </w:r>
      <w:r w:rsidRPr="000C0DB4">
        <w:rPr>
          <w:rFonts w:ascii="Times New Roman" w:eastAsiaTheme="minorHAnsi" w:hAnsi="Times New Roman" w:cs="Times New Roman"/>
          <w:sz w:val="22"/>
          <w:szCs w:val="22"/>
        </w:rPr>
        <w:t>the ACMA about a</w:t>
      </w:r>
      <w:r w:rsidR="000C0DB4">
        <w:rPr>
          <w:rFonts w:ascii="Times New Roman" w:eastAsiaTheme="minorHAnsi" w:hAnsi="Times New Roman" w:cs="Times New Roman"/>
          <w:sz w:val="22"/>
          <w:szCs w:val="22"/>
        </w:rPr>
        <w:t xml:space="preserve"> possible</w:t>
      </w:r>
      <w:r w:rsidRPr="000C0DB4">
        <w:rPr>
          <w:rFonts w:ascii="Times New Roman" w:eastAsiaTheme="minorHAnsi" w:hAnsi="Times New Roman" w:cs="Times New Roman"/>
          <w:sz w:val="22"/>
          <w:szCs w:val="22"/>
        </w:rPr>
        <w:t xml:space="preserve"> affiliation with a previous successful bidder</w:t>
      </w:r>
      <w:r w:rsidR="000C0DB4">
        <w:rPr>
          <w:rFonts w:ascii="Times New Roman" w:eastAsiaTheme="minorHAnsi" w:hAnsi="Times New Roman" w:cs="Times New Roman"/>
          <w:sz w:val="22"/>
          <w:szCs w:val="22"/>
        </w:rPr>
        <w:t xml:space="preserve"> under section 62, but</w:t>
      </w:r>
      <w:r w:rsidRPr="000C0DB4">
        <w:rPr>
          <w:rFonts w:ascii="Times New Roman" w:eastAsiaTheme="minorHAnsi" w:hAnsi="Times New Roman" w:cs="Times New Roman"/>
          <w:sz w:val="22"/>
          <w:szCs w:val="22"/>
        </w:rPr>
        <w:t xml:space="preserve"> the ACMA does not consider that the bidder is affiliated with the previous successful bidder, the ACMA must tell the bidder that the ACMA does not consider it to be affiliated with the previous successful bidder.</w:t>
      </w:r>
    </w:p>
    <w:p w14:paraId="392E0797" w14:textId="57342329" w:rsidR="00603AB1" w:rsidRPr="000C0DB4" w:rsidRDefault="00A87C15" w:rsidP="000C0DB4">
      <w:pPr>
        <w:keepNext/>
        <w:spacing w:before="280" w:after="160" w:line="259" w:lineRule="auto"/>
        <w:rPr>
          <w:rFonts w:eastAsiaTheme="minorHAnsi"/>
          <w:b/>
          <w:sz w:val="22"/>
          <w:szCs w:val="22"/>
          <w:lang w:eastAsia="en-US"/>
        </w:rPr>
      </w:pPr>
      <w:r w:rsidRPr="000C0DB4">
        <w:rPr>
          <w:rFonts w:eastAsiaTheme="minorHAnsi"/>
          <w:b/>
          <w:sz w:val="22"/>
          <w:szCs w:val="22"/>
          <w:lang w:eastAsia="en-US"/>
        </w:rPr>
        <w:t>P</w:t>
      </w:r>
      <w:r>
        <w:rPr>
          <w:rFonts w:eastAsiaTheme="minorHAnsi"/>
          <w:b/>
          <w:sz w:val="22"/>
          <w:szCs w:val="22"/>
          <w:lang w:eastAsia="en-US"/>
        </w:rPr>
        <w:t>ART</w:t>
      </w:r>
      <w:r w:rsidRPr="000C0DB4">
        <w:rPr>
          <w:rFonts w:eastAsiaTheme="minorHAnsi"/>
          <w:b/>
          <w:sz w:val="22"/>
          <w:szCs w:val="22"/>
          <w:lang w:eastAsia="en-US"/>
        </w:rPr>
        <w:t xml:space="preserve"> </w:t>
      </w:r>
      <w:r w:rsidR="00BD1E74" w:rsidRPr="000C0DB4">
        <w:rPr>
          <w:rFonts w:eastAsiaTheme="minorHAnsi"/>
          <w:b/>
          <w:sz w:val="22"/>
          <w:szCs w:val="22"/>
          <w:lang w:eastAsia="en-US"/>
        </w:rPr>
        <w:t>7</w:t>
      </w:r>
      <w:r w:rsidR="00603AB1" w:rsidRPr="000C0DB4">
        <w:rPr>
          <w:rFonts w:eastAsiaTheme="minorHAnsi"/>
          <w:b/>
          <w:sz w:val="22"/>
          <w:szCs w:val="22"/>
          <w:lang w:eastAsia="en-US"/>
        </w:rPr>
        <w:tab/>
      </w:r>
      <w:r>
        <w:rPr>
          <w:rFonts w:eastAsiaTheme="minorHAnsi"/>
          <w:b/>
          <w:sz w:val="22"/>
          <w:szCs w:val="22"/>
          <w:lang w:eastAsia="en-US"/>
        </w:rPr>
        <w:t>P</w:t>
      </w:r>
      <w:r w:rsidRPr="000C0DB4">
        <w:rPr>
          <w:rFonts w:eastAsiaTheme="minorHAnsi"/>
          <w:b/>
          <w:sz w:val="22"/>
          <w:szCs w:val="22"/>
          <w:lang w:eastAsia="en-US"/>
        </w:rPr>
        <w:t xml:space="preserve">ROCEDURES </w:t>
      </w:r>
      <w:r w:rsidR="00603AB1" w:rsidRPr="000C0DB4">
        <w:rPr>
          <w:rFonts w:eastAsiaTheme="minorHAnsi"/>
          <w:b/>
          <w:sz w:val="22"/>
          <w:szCs w:val="22"/>
          <w:lang w:eastAsia="en-US"/>
        </w:rPr>
        <w:t xml:space="preserve">AFTER </w:t>
      </w:r>
      <w:r>
        <w:rPr>
          <w:rFonts w:eastAsiaTheme="minorHAnsi"/>
          <w:b/>
          <w:sz w:val="22"/>
          <w:szCs w:val="22"/>
          <w:lang w:eastAsia="en-US"/>
        </w:rPr>
        <w:t>A</w:t>
      </w:r>
      <w:r w:rsidR="00603AB1" w:rsidRPr="000C0DB4">
        <w:rPr>
          <w:rFonts w:eastAsiaTheme="minorHAnsi"/>
          <w:b/>
          <w:sz w:val="22"/>
          <w:szCs w:val="22"/>
          <w:lang w:eastAsia="en-US"/>
        </w:rPr>
        <w:t>UCTION</w:t>
      </w:r>
    </w:p>
    <w:p w14:paraId="529824CE" w14:textId="1828F3F9" w:rsidR="00603AB1" w:rsidRPr="000C0DB4" w:rsidRDefault="00603AB1" w:rsidP="000C0DB4">
      <w:pPr>
        <w:keepNext/>
        <w:spacing w:before="280" w:after="160" w:line="259" w:lineRule="auto"/>
        <w:rPr>
          <w:rFonts w:eastAsiaTheme="minorHAnsi"/>
          <w:b/>
          <w:lang w:eastAsia="en-US"/>
        </w:rPr>
      </w:pPr>
      <w:r w:rsidRPr="000C0DB4">
        <w:rPr>
          <w:rFonts w:eastAsiaTheme="minorHAnsi"/>
          <w:b/>
          <w:lang w:eastAsia="en-US"/>
        </w:rPr>
        <w:t>Division 1</w:t>
      </w:r>
      <w:r w:rsidRPr="000C0DB4">
        <w:rPr>
          <w:rFonts w:eastAsiaTheme="minorHAnsi"/>
          <w:b/>
          <w:lang w:eastAsia="en-US"/>
        </w:rPr>
        <w:tab/>
      </w:r>
      <w:r w:rsidR="00D86054" w:rsidRPr="000C0DB4">
        <w:rPr>
          <w:rFonts w:eastAsiaTheme="minorHAnsi"/>
          <w:b/>
          <w:lang w:eastAsia="en-US"/>
        </w:rPr>
        <w:t>Simplified outline</w:t>
      </w:r>
    </w:p>
    <w:p w14:paraId="76BB4FBD" w14:textId="12D92097" w:rsidR="00E41296" w:rsidRPr="000C0DB4" w:rsidRDefault="00E41296"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 xml:space="preserve">Section 65 </w:t>
      </w:r>
      <w:r w:rsidRPr="000C0DB4">
        <w:rPr>
          <w:rFonts w:eastAsiaTheme="minorHAnsi"/>
          <w:b/>
          <w:sz w:val="22"/>
          <w:szCs w:val="22"/>
          <w:lang w:eastAsia="en-US"/>
        </w:rPr>
        <w:tab/>
        <w:t>Simplified outline of this Part</w:t>
      </w:r>
    </w:p>
    <w:p w14:paraId="507CECEA" w14:textId="1D0EF8D4" w:rsidR="000C0DB4" w:rsidRPr="00EC6CCC" w:rsidRDefault="000C0DB4" w:rsidP="000C0DB4">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sets out a simplified outline of Part </w:t>
      </w:r>
      <w:r w:rsidR="0021312B">
        <w:rPr>
          <w:rFonts w:ascii="Times New Roman" w:eastAsiaTheme="minorHAnsi" w:hAnsi="Times New Roman" w:cs="Times New Roman"/>
          <w:sz w:val="22"/>
          <w:szCs w:val="22"/>
        </w:rPr>
        <w:t>7</w:t>
      </w:r>
      <w:r w:rsidRPr="00EC6CCC">
        <w:rPr>
          <w:rFonts w:ascii="Times New Roman" w:eastAsiaTheme="minorHAnsi" w:hAnsi="Times New Roman" w:cs="Times New Roman"/>
          <w:sz w:val="22"/>
          <w:szCs w:val="22"/>
        </w:rPr>
        <w:t>.</w:t>
      </w:r>
    </w:p>
    <w:p w14:paraId="51406865" w14:textId="162FC5D1" w:rsidR="00E41296" w:rsidRPr="00487A88" w:rsidRDefault="00E41296" w:rsidP="00487A88">
      <w:pPr>
        <w:keepNext/>
        <w:spacing w:before="280" w:after="160" w:line="259" w:lineRule="auto"/>
        <w:rPr>
          <w:rFonts w:eastAsiaTheme="minorHAnsi"/>
          <w:b/>
          <w:lang w:eastAsia="en-US"/>
        </w:rPr>
      </w:pPr>
      <w:r w:rsidRPr="00487A88">
        <w:rPr>
          <w:rFonts w:eastAsiaTheme="minorHAnsi"/>
          <w:b/>
          <w:lang w:eastAsia="en-US"/>
        </w:rPr>
        <w:t>Division 2</w:t>
      </w:r>
      <w:r w:rsidRPr="00487A88">
        <w:rPr>
          <w:rFonts w:eastAsiaTheme="minorHAnsi"/>
          <w:b/>
          <w:lang w:eastAsia="en-US"/>
        </w:rPr>
        <w:tab/>
        <w:t>Application of this Part</w:t>
      </w:r>
    </w:p>
    <w:p w14:paraId="0D06A0E6" w14:textId="68A3CC77" w:rsidR="00E55A53" w:rsidRPr="00487A88" w:rsidRDefault="00603AB1" w:rsidP="00487A88">
      <w:pPr>
        <w:keepNext/>
        <w:spacing w:after="160" w:line="259" w:lineRule="auto"/>
        <w:rPr>
          <w:rFonts w:eastAsiaTheme="minorHAnsi"/>
          <w:b/>
          <w:sz w:val="22"/>
          <w:szCs w:val="22"/>
          <w:lang w:eastAsia="en-US"/>
        </w:rPr>
      </w:pPr>
      <w:r w:rsidRPr="00487A88">
        <w:rPr>
          <w:rFonts w:eastAsiaTheme="minorHAnsi"/>
          <w:b/>
          <w:sz w:val="22"/>
          <w:szCs w:val="22"/>
          <w:lang w:eastAsia="en-US"/>
        </w:rPr>
        <w:t xml:space="preserve">Section </w:t>
      </w:r>
      <w:r w:rsidR="00E55A53" w:rsidRPr="00487A88">
        <w:rPr>
          <w:rFonts w:eastAsiaTheme="minorHAnsi"/>
          <w:b/>
          <w:sz w:val="22"/>
          <w:szCs w:val="22"/>
          <w:lang w:eastAsia="en-US"/>
        </w:rPr>
        <w:t>66</w:t>
      </w:r>
      <w:r w:rsidRPr="00487A88">
        <w:rPr>
          <w:rFonts w:eastAsiaTheme="minorHAnsi"/>
          <w:b/>
          <w:sz w:val="22"/>
          <w:szCs w:val="22"/>
          <w:lang w:eastAsia="en-US"/>
        </w:rPr>
        <w:tab/>
      </w:r>
      <w:r w:rsidR="00E55A53" w:rsidRPr="00487A88">
        <w:rPr>
          <w:rFonts w:eastAsiaTheme="minorHAnsi"/>
          <w:b/>
          <w:sz w:val="22"/>
          <w:szCs w:val="22"/>
          <w:lang w:eastAsia="en-US"/>
        </w:rPr>
        <w:t xml:space="preserve">This </w:t>
      </w:r>
      <w:r w:rsidR="00487A88">
        <w:rPr>
          <w:rFonts w:eastAsiaTheme="minorHAnsi"/>
          <w:b/>
          <w:sz w:val="22"/>
          <w:szCs w:val="22"/>
          <w:lang w:eastAsia="en-US"/>
        </w:rPr>
        <w:t>P</w:t>
      </w:r>
      <w:r w:rsidR="00E55A53" w:rsidRPr="00487A88">
        <w:rPr>
          <w:rFonts w:eastAsiaTheme="minorHAnsi"/>
          <w:b/>
          <w:sz w:val="22"/>
          <w:szCs w:val="22"/>
          <w:lang w:eastAsia="en-US"/>
        </w:rPr>
        <w:t>art applies if an auction is conducted</w:t>
      </w:r>
    </w:p>
    <w:p w14:paraId="780C046A" w14:textId="515FD56E" w:rsidR="00E55A53" w:rsidRPr="00487A88" w:rsidRDefault="00487A88" w:rsidP="001728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Part 7</w:t>
      </w:r>
      <w:r w:rsidR="00E55A53" w:rsidRPr="00487A88">
        <w:rPr>
          <w:rFonts w:ascii="Times New Roman" w:eastAsiaTheme="minorHAnsi" w:hAnsi="Times New Roman" w:cs="Times New Roman"/>
          <w:sz w:val="22"/>
          <w:szCs w:val="22"/>
        </w:rPr>
        <w:t xml:space="preserve"> applies </w:t>
      </w:r>
      <w:r>
        <w:rPr>
          <w:rFonts w:ascii="Times New Roman" w:eastAsiaTheme="minorHAnsi" w:hAnsi="Times New Roman" w:cs="Times New Roman"/>
          <w:sz w:val="22"/>
          <w:szCs w:val="22"/>
        </w:rPr>
        <w:t xml:space="preserve">only </w:t>
      </w:r>
      <w:r w:rsidR="00E55A53" w:rsidRPr="00487A88">
        <w:rPr>
          <w:rFonts w:ascii="Times New Roman" w:eastAsiaTheme="minorHAnsi" w:hAnsi="Times New Roman" w:cs="Times New Roman"/>
          <w:sz w:val="22"/>
          <w:szCs w:val="22"/>
        </w:rPr>
        <w:t xml:space="preserve">if an auction is conducted under </w:t>
      </w:r>
      <w:r>
        <w:rPr>
          <w:rFonts w:ascii="Times New Roman" w:eastAsiaTheme="minorHAnsi" w:hAnsi="Times New Roman" w:cs="Times New Roman"/>
          <w:sz w:val="22"/>
          <w:szCs w:val="22"/>
        </w:rPr>
        <w:t>P</w:t>
      </w:r>
      <w:r w:rsidR="00E55A53" w:rsidRPr="00487A88">
        <w:rPr>
          <w:rFonts w:ascii="Times New Roman" w:eastAsiaTheme="minorHAnsi" w:hAnsi="Times New Roman" w:cs="Times New Roman"/>
          <w:sz w:val="22"/>
          <w:szCs w:val="22"/>
        </w:rPr>
        <w:t>art 6.</w:t>
      </w:r>
    </w:p>
    <w:p w14:paraId="69823056" w14:textId="2F51AD81" w:rsidR="00E41296" w:rsidRPr="00487A88" w:rsidRDefault="00E41296" w:rsidP="00487A88">
      <w:pPr>
        <w:keepNext/>
        <w:spacing w:before="280" w:after="160" w:line="259" w:lineRule="auto"/>
        <w:rPr>
          <w:rFonts w:eastAsiaTheme="minorHAnsi"/>
          <w:b/>
          <w:lang w:eastAsia="en-US"/>
        </w:rPr>
      </w:pPr>
      <w:r w:rsidRPr="00487A88">
        <w:rPr>
          <w:rFonts w:eastAsiaTheme="minorHAnsi"/>
          <w:b/>
          <w:lang w:eastAsia="en-US"/>
        </w:rPr>
        <w:lastRenderedPageBreak/>
        <w:t>Division 3</w:t>
      </w:r>
      <w:r w:rsidR="00D86054" w:rsidRPr="00487A88">
        <w:rPr>
          <w:rFonts w:eastAsiaTheme="minorHAnsi"/>
          <w:b/>
          <w:lang w:eastAsia="en-US"/>
        </w:rPr>
        <w:tab/>
      </w:r>
      <w:r w:rsidRPr="00487A88">
        <w:rPr>
          <w:rFonts w:eastAsiaTheme="minorHAnsi"/>
          <w:b/>
          <w:lang w:eastAsia="en-US"/>
        </w:rPr>
        <w:t>Confirmation of auction results</w:t>
      </w:r>
    </w:p>
    <w:p w14:paraId="607A4971" w14:textId="71481A39" w:rsidR="00E55A53" w:rsidRPr="00487A88" w:rsidRDefault="00E55A53" w:rsidP="00487A88">
      <w:pPr>
        <w:keepNext/>
        <w:spacing w:after="160" w:line="259" w:lineRule="auto"/>
        <w:rPr>
          <w:rFonts w:eastAsiaTheme="minorHAnsi"/>
          <w:b/>
          <w:sz w:val="22"/>
          <w:szCs w:val="22"/>
          <w:lang w:eastAsia="en-US"/>
        </w:rPr>
      </w:pPr>
      <w:r w:rsidRPr="00487A88">
        <w:rPr>
          <w:rFonts w:eastAsiaTheme="minorHAnsi"/>
          <w:b/>
          <w:sz w:val="22"/>
          <w:szCs w:val="22"/>
          <w:lang w:eastAsia="en-US"/>
        </w:rPr>
        <w:t>Section 67</w:t>
      </w:r>
      <w:r w:rsidRPr="00487A88">
        <w:rPr>
          <w:rFonts w:eastAsiaTheme="minorHAnsi"/>
          <w:b/>
          <w:sz w:val="22"/>
          <w:szCs w:val="22"/>
          <w:lang w:eastAsia="en-US"/>
        </w:rPr>
        <w:tab/>
      </w:r>
      <w:r w:rsidR="00603AB1" w:rsidRPr="00487A88">
        <w:rPr>
          <w:rFonts w:eastAsiaTheme="minorHAnsi"/>
          <w:b/>
          <w:sz w:val="22"/>
          <w:szCs w:val="22"/>
          <w:lang w:eastAsia="en-US"/>
        </w:rPr>
        <w:t>Notice and refunds to unsuccessful bidders</w:t>
      </w:r>
      <w:r w:rsidRPr="00487A88">
        <w:rPr>
          <w:rFonts w:eastAsiaTheme="minorHAnsi"/>
          <w:b/>
          <w:sz w:val="22"/>
          <w:szCs w:val="22"/>
          <w:lang w:eastAsia="en-US"/>
        </w:rPr>
        <w:t xml:space="preserve"> </w:t>
      </w:r>
      <w:r w:rsidR="00730A51" w:rsidRPr="00487A88">
        <w:rPr>
          <w:rFonts w:eastAsiaTheme="minorHAnsi"/>
          <w:b/>
          <w:sz w:val="22"/>
          <w:szCs w:val="22"/>
          <w:lang w:eastAsia="en-US"/>
        </w:rPr>
        <w:t xml:space="preserve">and </w:t>
      </w:r>
      <w:r w:rsidRPr="00487A88">
        <w:rPr>
          <w:rFonts w:eastAsiaTheme="minorHAnsi"/>
          <w:b/>
          <w:sz w:val="22"/>
          <w:szCs w:val="22"/>
          <w:lang w:eastAsia="en-US"/>
        </w:rPr>
        <w:t>withdrawn applicants</w:t>
      </w:r>
    </w:p>
    <w:p w14:paraId="7622F44A" w14:textId="5EB72ABB" w:rsidR="00730A51" w:rsidRPr="00487A88" w:rsidRDefault="00603AB1" w:rsidP="000F55A9">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This section sets out the procedure that the ACMA must follow </w:t>
      </w:r>
      <w:r w:rsidR="00487A88">
        <w:rPr>
          <w:rFonts w:ascii="Times New Roman" w:eastAsiaTheme="minorHAnsi" w:hAnsi="Times New Roman" w:cs="Times New Roman"/>
          <w:sz w:val="22"/>
          <w:szCs w:val="22"/>
        </w:rPr>
        <w:t>in relation to</w:t>
      </w:r>
      <w:r w:rsidRPr="00487A88">
        <w:rPr>
          <w:rFonts w:ascii="Times New Roman" w:eastAsiaTheme="minorHAnsi" w:hAnsi="Times New Roman" w:cs="Times New Roman"/>
          <w:sz w:val="22"/>
          <w:szCs w:val="22"/>
        </w:rPr>
        <w:t xml:space="preserve"> unsuccessful bidders </w:t>
      </w:r>
      <w:r w:rsidR="00E55A53" w:rsidRPr="00487A88">
        <w:rPr>
          <w:rFonts w:ascii="Times New Roman" w:eastAsiaTheme="minorHAnsi" w:hAnsi="Times New Roman" w:cs="Times New Roman"/>
          <w:sz w:val="22"/>
          <w:szCs w:val="22"/>
        </w:rPr>
        <w:t xml:space="preserve">or </w:t>
      </w:r>
      <w:r w:rsidRPr="00487A88">
        <w:rPr>
          <w:rFonts w:ascii="Times New Roman" w:eastAsiaTheme="minorHAnsi" w:hAnsi="Times New Roman" w:cs="Times New Roman"/>
          <w:sz w:val="22"/>
          <w:szCs w:val="22"/>
        </w:rPr>
        <w:t xml:space="preserve">withdrawn </w:t>
      </w:r>
      <w:r w:rsidR="00E55A53" w:rsidRPr="00487A88">
        <w:rPr>
          <w:rFonts w:ascii="Times New Roman" w:eastAsiaTheme="minorHAnsi" w:hAnsi="Times New Roman" w:cs="Times New Roman"/>
          <w:sz w:val="22"/>
          <w:szCs w:val="22"/>
        </w:rPr>
        <w:t>applicants.</w:t>
      </w:r>
      <w:r w:rsidRPr="00487A88">
        <w:rPr>
          <w:rFonts w:ascii="Times New Roman" w:eastAsiaTheme="minorHAnsi" w:hAnsi="Times New Roman" w:cs="Times New Roman"/>
          <w:sz w:val="22"/>
          <w:szCs w:val="22"/>
        </w:rPr>
        <w:t xml:space="preserve"> </w:t>
      </w:r>
      <w:r w:rsidR="00487A88">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Unsuccessful bidders will be notified as soon as practicable after the auction </w:t>
      </w:r>
      <w:r w:rsidR="00E55A53" w:rsidRPr="00487A88">
        <w:rPr>
          <w:rFonts w:ascii="Times New Roman" w:eastAsiaTheme="minorHAnsi" w:hAnsi="Times New Roman" w:cs="Times New Roman"/>
          <w:sz w:val="22"/>
          <w:szCs w:val="22"/>
        </w:rPr>
        <w:t xml:space="preserve">period </w:t>
      </w:r>
      <w:r w:rsidRPr="00487A88">
        <w:rPr>
          <w:rFonts w:ascii="Times New Roman" w:eastAsiaTheme="minorHAnsi" w:hAnsi="Times New Roman" w:cs="Times New Roman"/>
          <w:sz w:val="22"/>
          <w:szCs w:val="22"/>
        </w:rPr>
        <w:t xml:space="preserve">that they have not won any spectrum and that their confidentiality obligations under section </w:t>
      </w:r>
      <w:r w:rsidR="0092153A" w:rsidRPr="00487A88">
        <w:rPr>
          <w:rFonts w:ascii="Times New Roman" w:eastAsiaTheme="minorHAnsi" w:hAnsi="Times New Roman" w:cs="Times New Roman"/>
          <w:sz w:val="22"/>
          <w:szCs w:val="22"/>
        </w:rPr>
        <w:t>1</w:t>
      </w:r>
      <w:r w:rsidR="00E55A53" w:rsidRPr="00487A88">
        <w:rPr>
          <w:rFonts w:ascii="Times New Roman" w:eastAsiaTheme="minorHAnsi" w:hAnsi="Times New Roman" w:cs="Times New Roman"/>
          <w:sz w:val="22"/>
          <w:szCs w:val="22"/>
        </w:rPr>
        <w:t>7</w:t>
      </w:r>
      <w:r w:rsidRPr="00487A88">
        <w:rPr>
          <w:rFonts w:ascii="Times New Roman" w:eastAsiaTheme="minorHAnsi" w:hAnsi="Times New Roman" w:cs="Times New Roman"/>
          <w:sz w:val="22"/>
          <w:szCs w:val="22"/>
        </w:rPr>
        <w:t xml:space="preserve"> </w:t>
      </w:r>
      <w:r w:rsidR="000238FA" w:rsidRPr="00487A88">
        <w:rPr>
          <w:rFonts w:ascii="Times New Roman" w:eastAsiaTheme="minorHAnsi" w:hAnsi="Times New Roman" w:cs="Times New Roman"/>
          <w:sz w:val="22"/>
          <w:szCs w:val="22"/>
        </w:rPr>
        <w:t>have ended</w:t>
      </w:r>
      <w:r w:rsidRPr="00487A88">
        <w:rPr>
          <w:rFonts w:ascii="Times New Roman" w:eastAsiaTheme="minorHAnsi" w:hAnsi="Times New Roman" w:cs="Times New Roman"/>
          <w:sz w:val="22"/>
          <w:szCs w:val="22"/>
        </w:rPr>
        <w:t xml:space="preserve">. </w:t>
      </w:r>
      <w:r w:rsidR="007357EB">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The ACMA must refund any </w:t>
      </w:r>
      <w:r w:rsidR="00296C9F" w:rsidRPr="00487A88">
        <w:rPr>
          <w:rFonts w:ascii="Times New Roman" w:eastAsiaTheme="minorHAnsi" w:hAnsi="Times New Roman" w:cs="Times New Roman"/>
          <w:sz w:val="22"/>
          <w:szCs w:val="22"/>
        </w:rPr>
        <w:t>deposit</w:t>
      </w:r>
      <w:r w:rsidR="00707CCA" w:rsidRPr="00487A88">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made by </w:t>
      </w:r>
      <w:r w:rsidR="00642BE5" w:rsidRPr="00487A88">
        <w:rPr>
          <w:rFonts w:ascii="Times New Roman" w:eastAsiaTheme="minorHAnsi" w:hAnsi="Times New Roman" w:cs="Times New Roman"/>
          <w:sz w:val="22"/>
          <w:szCs w:val="22"/>
        </w:rPr>
        <w:t>an</w:t>
      </w:r>
      <w:r w:rsidRPr="00487A88">
        <w:rPr>
          <w:rFonts w:ascii="Times New Roman" w:eastAsiaTheme="minorHAnsi" w:hAnsi="Times New Roman" w:cs="Times New Roman"/>
          <w:sz w:val="22"/>
          <w:szCs w:val="22"/>
        </w:rPr>
        <w:t xml:space="preserve"> unsuccessful bidder</w:t>
      </w:r>
      <w:r w:rsidR="003B6D09" w:rsidRPr="00487A88">
        <w:rPr>
          <w:rFonts w:ascii="Times New Roman" w:eastAsiaTheme="minorHAnsi" w:hAnsi="Times New Roman" w:cs="Times New Roman"/>
          <w:sz w:val="22"/>
          <w:szCs w:val="22"/>
        </w:rPr>
        <w:t>,</w:t>
      </w:r>
      <w:r w:rsidRPr="00487A88">
        <w:rPr>
          <w:rFonts w:ascii="Times New Roman" w:eastAsiaTheme="minorHAnsi" w:hAnsi="Times New Roman" w:cs="Times New Roman"/>
          <w:sz w:val="22"/>
          <w:szCs w:val="22"/>
        </w:rPr>
        <w:t xml:space="preserve"> within a maximum period of 6 months </w:t>
      </w:r>
      <w:r w:rsidR="00333609" w:rsidRPr="00487A88">
        <w:rPr>
          <w:rFonts w:ascii="Times New Roman" w:eastAsiaTheme="minorHAnsi" w:hAnsi="Times New Roman" w:cs="Times New Roman"/>
          <w:sz w:val="22"/>
          <w:szCs w:val="22"/>
        </w:rPr>
        <w:t>after</w:t>
      </w:r>
      <w:r w:rsidRPr="00487A88">
        <w:rPr>
          <w:rFonts w:ascii="Times New Roman" w:eastAsiaTheme="minorHAnsi" w:hAnsi="Times New Roman" w:cs="Times New Roman"/>
          <w:sz w:val="22"/>
          <w:szCs w:val="22"/>
        </w:rPr>
        <w:t xml:space="preserve"> notifying the bidder that they are unsuccessful, </w:t>
      </w:r>
      <w:r w:rsidR="00094EC3">
        <w:rPr>
          <w:rFonts w:ascii="Times New Roman" w:eastAsiaTheme="minorHAnsi" w:hAnsi="Times New Roman" w:cs="Times New Roman"/>
          <w:sz w:val="22"/>
          <w:szCs w:val="22"/>
        </w:rPr>
        <w:t xml:space="preserve">unless </w:t>
      </w:r>
      <w:r w:rsidRPr="00487A88">
        <w:rPr>
          <w:rFonts w:ascii="Times New Roman" w:eastAsiaTheme="minorHAnsi" w:hAnsi="Times New Roman" w:cs="Times New Roman"/>
          <w:sz w:val="22"/>
          <w:szCs w:val="22"/>
        </w:rPr>
        <w:t xml:space="preserve">the ACMA has decided to </w:t>
      </w:r>
      <w:r w:rsidR="000238FA" w:rsidRPr="00487A88">
        <w:rPr>
          <w:rFonts w:ascii="Times New Roman" w:eastAsiaTheme="minorHAnsi" w:hAnsi="Times New Roman" w:cs="Times New Roman"/>
          <w:sz w:val="22"/>
          <w:szCs w:val="22"/>
        </w:rPr>
        <w:t xml:space="preserve">retain </w:t>
      </w:r>
      <w:r w:rsidRPr="00487A88">
        <w:rPr>
          <w:rFonts w:ascii="Times New Roman" w:eastAsiaTheme="minorHAnsi" w:hAnsi="Times New Roman" w:cs="Times New Roman"/>
          <w:sz w:val="22"/>
          <w:szCs w:val="22"/>
        </w:rPr>
        <w:t xml:space="preserve">the </w:t>
      </w:r>
      <w:r w:rsidR="00296C9F" w:rsidRPr="00487A88">
        <w:rPr>
          <w:rFonts w:ascii="Times New Roman" w:eastAsiaTheme="minorHAnsi" w:hAnsi="Times New Roman" w:cs="Times New Roman"/>
          <w:sz w:val="22"/>
          <w:szCs w:val="22"/>
        </w:rPr>
        <w:t>deposit</w:t>
      </w:r>
      <w:r w:rsidR="00707CCA" w:rsidRPr="00487A88">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under section </w:t>
      </w:r>
      <w:r w:rsidR="000F55A9" w:rsidRPr="00487A88">
        <w:rPr>
          <w:rFonts w:ascii="Times New Roman" w:eastAsiaTheme="minorHAnsi" w:hAnsi="Times New Roman" w:cs="Times New Roman"/>
          <w:sz w:val="22"/>
          <w:szCs w:val="22"/>
        </w:rPr>
        <w:t>85</w:t>
      </w:r>
      <w:r w:rsidRPr="00487A88">
        <w:rPr>
          <w:rFonts w:ascii="Times New Roman" w:eastAsiaTheme="minorHAnsi" w:hAnsi="Times New Roman" w:cs="Times New Roman"/>
          <w:sz w:val="22"/>
          <w:szCs w:val="22"/>
        </w:rPr>
        <w:t xml:space="preserve"> due to a breach of the </w:t>
      </w:r>
      <w:r w:rsidR="00642BE5" w:rsidRPr="00487A88">
        <w:rPr>
          <w:rFonts w:ascii="Times New Roman" w:eastAsiaTheme="minorHAnsi" w:hAnsi="Times New Roman" w:cs="Times New Roman"/>
          <w:sz w:val="22"/>
          <w:szCs w:val="22"/>
        </w:rPr>
        <w:t>Determination</w:t>
      </w:r>
      <w:r w:rsidRPr="00487A88">
        <w:rPr>
          <w:rFonts w:ascii="Times New Roman" w:eastAsiaTheme="minorHAnsi" w:hAnsi="Times New Roman" w:cs="Times New Roman"/>
          <w:sz w:val="22"/>
          <w:szCs w:val="22"/>
        </w:rPr>
        <w:t>.</w:t>
      </w:r>
    </w:p>
    <w:p w14:paraId="4240DB10" w14:textId="2C8F29B4" w:rsidR="000F55A9" w:rsidRPr="00487A88" w:rsidRDefault="000F55A9" w:rsidP="000F55A9">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Similarly</w:t>
      </w:r>
      <w:r w:rsidR="00B45DC8" w:rsidRPr="00487A88">
        <w:rPr>
          <w:rFonts w:ascii="Times New Roman" w:eastAsiaTheme="minorHAnsi" w:hAnsi="Times New Roman" w:cs="Times New Roman"/>
          <w:sz w:val="22"/>
          <w:szCs w:val="22"/>
        </w:rPr>
        <w:t xml:space="preserve"> for withdrawn applicants</w:t>
      </w:r>
      <w:r w:rsidRPr="00487A88">
        <w:rPr>
          <w:rFonts w:ascii="Times New Roman" w:eastAsiaTheme="minorHAnsi" w:hAnsi="Times New Roman" w:cs="Times New Roman"/>
          <w:sz w:val="22"/>
          <w:szCs w:val="22"/>
        </w:rPr>
        <w:t>, as soon as practicable after the end of the auction period, the ACMA must notify each applicant that withdrew, or was taken to have withdrawn, its application that the applicant’s confidentiality obligations under section 17 have ended.</w:t>
      </w:r>
      <w:r w:rsidR="00487A88">
        <w:rPr>
          <w:rFonts w:ascii="Times New Roman" w:eastAsiaTheme="minorHAnsi" w:hAnsi="Times New Roman" w:cs="Times New Roman"/>
          <w:sz w:val="22"/>
          <w:szCs w:val="22"/>
        </w:rPr>
        <w:t xml:space="preserve">  Subject to section</w:t>
      </w:r>
      <w:r w:rsidR="0066118F">
        <w:rPr>
          <w:rFonts w:ascii="Times New Roman" w:eastAsiaTheme="minorHAnsi" w:hAnsi="Times New Roman" w:cs="Times New Roman"/>
          <w:sz w:val="22"/>
          <w:szCs w:val="22"/>
        </w:rPr>
        <w:t>s</w:t>
      </w:r>
      <w:r w:rsidR="00487A88">
        <w:rPr>
          <w:rFonts w:ascii="Times New Roman" w:eastAsiaTheme="minorHAnsi" w:hAnsi="Times New Roman" w:cs="Times New Roman"/>
          <w:sz w:val="22"/>
          <w:szCs w:val="22"/>
        </w:rPr>
        <w:t xml:space="preserve"> 85</w:t>
      </w:r>
      <w:r w:rsidR="0066118F">
        <w:rPr>
          <w:rFonts w:ascii="Times New Roman" w:eastAsiaTheme="minorHAnsi" w:hAnsi="Times New Roman" w:cs="Times New Roman"/>
          <w:sz w:val="22"/>
          <w:szCs w:val="22"/>
        </w:rPr>
        <w:t xml:space="preserve"> and 88</w:t>
      </w:r>
      <w:r w:rsidR="00487A88">
        <w:rPr>
          <w:rFonts w:ascii="Times New Roman" w:eastAsiaTheme="minorHAnsi" w:hAnsi="Times New Roman" w:cs="Times New Roman"/>
          <w:sz w:val="22"/>
          <w:szCs w:val="22"/>
        </w:rPr>
        <w:t xml:space="preserve">, the ACMA is obliged </w:t>
      </w:r>
      <w:r w:rsidR="0066118F">
        <w:rPr>
          <w:rFonts w:ascii="Times New Roman" w:eastAsiaTheme="minorHAnsi" w:hAnsi="Times New Roman" w:cs="Times New Roman"/>
          <w:sz w:val="22"/>
          <w:szCs w:val="22"/>
        </w:rPr>
        <w:t xml:space="preserve">under section 39 </w:t>
      </w:r>
      <w:r w:rsidR="00487A88">
        <w:rPr>
          <w:rFonts w:ascii="Times New Roman" w:eastAsiaTheme="minorHAnsi" w:hAnsi="Times New Roman" w:cs="Times New Roman"/>
          <w:sz w:val="22"/>
          <w:szCs w:val="22"/>
        </w:rPr>
        <w:t>to refund any deposit paid to a withdrawn applicant.</w:t>
      </w:r>
    </w:p>
    <w:p w14:paraId="5EACDBA9" w14:textId="1509B5A3" w:rsidR="00603AB1" w:rsidRPr="000C0DB4" w:rsidRDefault="00603AB1"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 xml:space="preserve">Section </w:t>
      </w:r>
      <w:r w:rsidR="00B45DC8" w:rsidRPr="000C0DB4">
        <w:rPr>
          <w:rFonts w:eastAsiaTheme="minorHAnsi"/>
          <w:b/>
          <w:sz w:val="22"/>
          <w:szCs w:val="22"/>
          <w:lang w:eastAsia="en-US"/>
        </w:rPr>
        <w:t>68</w:t>
      </w:r>
      <w:r w:rsidRPr="000C0DB4">
        <w:rPr>
          <w:rFonts w:eastAsiaTheme="minorHAnsi"/>
          <w:b/>
          <w:sz w:val="22"/>
          <w:szCs w:val="22"/>
          <w:lang w:eastAsia="en-US"/>
        </w:rPr>
        <w:tab/>
        <w:t>Winning bidder to make statement about affiliations</w:t>
      </w:r>
    </w:p>
    <w:p w14:paraId="2873D722" w14:textId="0940AB2C" w:rsidR="00603AB1" w:rsidRPr="00487A88" w:rsidRDefault="00487A88" w:rsidP="001728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Under this section, t</w:t>
      </w:r>
      <w:r w:rsidR="00603AB1" w:rsidRPr="00487A88">
        <w:rPr>
          <w:rFonts w:ascii="Times New Roman" w:eastAsiaTheme="minorHAnsi" w:hAnsi="Times New Roman" w:cs="Times New Roman"/>
          <w:sz w:val="22"/>
          <w:szCs w:val="22"/>
        </w:rPr>
        <w:t xml:space="preserve">he ACMA is required to </w:t>
      </w:r>
      <w:r w:rsidR="00094F32" w:rsidRPr="00487A88">
        <w:rPr>
          <w:rFonts w:ascii="Times New Roman" w:eastAsiaTheme="minorHAnsi" w:hAnsi="Times New Roman" w:cs="Times New Roman"/>
          <w:sz w:val="22"/>
          <w:szCs w:val="22"/>
        </w:rPr>
        <w:t>give</w:t>
      </w:r>
      <w:r w:rsidR="00603AB1" w:rsidRPr="00487A88">
        <w:rPr>
          <w:rFonts w:ascii="Times New Roman" w:eastAsiaTheme="minorHAnsi" w:hAnsi="Times New Roman" w:cs="Times New Roman"/>
          <w:sz w:val="22"/>
          <w:szCs w:val="22"/>
        </w:rPr>
        <w:t xml:space="preserve"> each winning bidder </w:t>
      </w:r>
      <w:r w:rsidR="00094F32" w:rsidRPr="00487A88">
        <w:rPr>
          <w:rFonts w:ascii="Times New Roman" w:eastAsiaTheme="minorHAnsi" w:hAnsi="Times New Roman" w:cs="Times New Roman"/>
          <w:sz w:val="22"/>
          <w:szCs w:val="22"/>
        </w:rPr>
        <w:t xml:space="preserve">details of the identity </w:t>
      </w:r>
      <w:r w:rsidR="00603AB1" w:rsidRPr="00487A88">
        <w:rPr>
          <w:rFonts w:ascii="Times New Roman" w:eastAsiaTheme="minorHAnsi" w:hAnsi="Times New Roman" w:cs="Times New Roman"/>
          <w:sz w:val="22"/>
          <w:szCs w:val="22"/>
        </w:rPr>
        <w:t xml:space="preserve">of all other winning bidders as soon as practicable after the end of the auction period. </w:t>
      </w:r>
      <w:r>
        <w:rPr>
          <w:rFonts w:ascii="Times New Roman" w:eastAsiaTheme="minorHAnsi" w:hAnsi="Times New Roman" w:cs="Times New Roman"/>
          <w:sz w:val="22"/>
          <w:szCs w:val="22"/>
        </w:rPr>
        <w:t xml:space="preserve"> </w:t>
      </w:r>
      <w:r w:rsidR="00603AB1" w:rsidRPr="00487A88">
        <w:rPr>
          <w:rFonts w:ascii="Times New Roman" w:eastAsiaTheme="minorHAnsi" w:hAnsi="Times New Roman" w:cs="Times New Roman"/>
          <w:sz w:val="22"/>
          <w:szCs w:val="22"/>
        </w:rPr>
        <w:t>Each winning bidder is then required to provide the ACMA with a statement to say whether they are affiliated with any other winning bidder</w:t>
      </w:r>
      <w:r w:rsidR="006A39D1" w:rsidRPr="00487A88">
        <w:rPr>
          <w:rFonts w:ascii="Times New Roman" w:eastAsiaTheme="minorHAnsi" w:hAnsi="Times New Roman" w:cs="Times New Roman"/>
          <w:sz w:val="22"/>
          <w:szCs w:val="22"/>
        </w:rPr>
        <w:t xml:space="preserve"> or </w:t>
      </w:r>
      <w:r>
        <w:rPr>
          <w:rFonts w:ascii="Times New Roman" w:eastAsiaTheme="minorHAnsi" w:hAnsi="Times New Roman" w:cs="Times New Roman"/>
          <w:sz w:val="22"/>
          <w:szCs w:val="22"/>
        </w:rPr>
        <w:t xml:space="preserve">with </w:t>
      </w:r>
      <w:r w:rsidR="006A39D1" w:rsidRPr="00487A88">
        <w:rPr>
          <w:rFonts w:ascii="Times New Roman" w:eastAsiaTheme="minorHAnsi" w:hAnsi="Times New Roman" w:cs="Times New Roman"/>
          <w:sz w:val="22"/>
          <w:szCs w:val="22"/>
        </w:rPr>
        <w:t xml:space="preserve">a previous successful bidder </w:t>
      </w:r>
      <w:r w:rsidR="00603AB1" w:rsidRPr="00487A88">
        <w:rPr>
          <w:rFonts w:ascii="Times New Roman" w:eastAsiaTheme="minorHAnsi" w:hAnsi="Times New Roman" w:cs="Times New Roman"/>
          <w:sz w:val="22"/>
          <w:szCs w:val="22"/>
        </w:rPr>
        <w:t>and</w:t>
      </w:r>
      <w:r>
        <w:rPr>
          <w:rFonts w:ascii="Times New Roman" w:eastAsiaTheme="minorHAnsi" w:hAnsi="Times New Roman" w:cs="Times New Roman"/>
          <w:sz w:val="22"/>
          <w:szCs w:val="22"/>
        </w:rPr>
        <w:t>,</w:t>
      </w:r>
      <w:r w:rsidR="00603AB1" w:rsidRPr="00487A88">
        <w:rPr>
          <w:rFonts w:ascii="Times New Roman" w:eastAsiaTheme="minorHAnsi" w:hAnsi="Times New Roman" w:cs="Times New Roman"/>
          <w:sz w:val="22"/>
          <w:szCs w:val="22"/>
        </w:rPr>
        <w:t xml:space="preserve"> if so, to provide details of that affiliation.</w:t>
      </w:r>
      <w:r w:rsidR="007357EB">
        <w:rPr>
          <w:rFonts w:ascii="Times New Roman" w:eastAsiaTheme="minorHAnsi" w:hAnsi="Times New Roman" w:cs="Times New Roman"/>
          <w:sz w:val="22"/>
          <w:szCs w:val="22"/>
        </w:rPr>
        <w:t xml:space="preserve"> </w:t>
      </w:r>
      <w:r w:rsidR="00603AB1" w:rsidRPr="00487A88">
        <w:rPr>
          <w:rFonts w:ascii="Times New Roman" w:eastAsiaTheme="minorHAnsi" w:hAnsi="Times New Roman" w:cs="Times New Roman"/>
          <w:sz w:val="22"/>
          <w:szCs w:val="22"/>
        </w:rPr>
        <w:t xml:space="preserve"> The ACMA will not issue a spectrum licence to a winning bidder </w:t>
      </w:r>
      <w:r w:rsidR="00BA65BA">
        <w:rPr>
          <w:rFonts w:ascii="Times New Roman" w:eastAsiaTheme="minorHAnsi" w:hAnsi="Times New Roman" w:cs="Times New Roman"/>
          <w:sz w:val="22"/>
          <w:szCs w:val="22"/>
        </w:rPr>
        <w:t xml:space="preserve">unless and </w:t>
      </w:r>
      <w:r w:rsidR="00603AB1" w:rsidRPr="00487A88">
        <w:rPr>
          <w:rFonts w:ascii="Times New Roman" w:eastAsiaTheme="minorHAnsi" w:hAnsi="Times New Roman" w:cs="Times New Roman"/>
          <w:sz w:val="22"/>
          <w:szCs w:val="22"/>
        </w:rPr>
        <w:t>until this statement has been received.</w:t>
      </w:r>
      <w:r w:rsidR="007357EB">
        <w:rPr>
          <w:rFonts w:ascii="Times New Roman" w:eastAsiaTheme="minorHAnsi" w:hAnsi="Times New Roman" w:cs="Times New Roman"/>
          <w:sz w:val="22"/>
          <w:szCs w:val="22"/>
        </w:rPr>
        <w:t xml:space="preserve"> </w:t>
      </w:r>
      <w:r w:rsidR="00603AB1" w:rsidRPr="00487A88">
        <w:rPr>
          <w:rFonts w:ascii="Times New Roman" w:eastAsiaTheme="minorHAnsi" w:hAnsi="Times New Roman" w:cs="Times New Roman"/>
          <w:sz w:val="22"/>
          <w:szCs w:val="22"/>
        </w:rPr>
        <w:t xml:space="preserve"> This section also sets out that the ACMA must state a deadline for the receipt of the statement </w:t>
      </w:r>
      <w:r w:rsidR="00F07703" w:rsidRPr="00487A88">
        <w:rPr>
          <w:rFonts w:ascii="Times New Roman" w:eastAsiaTheme="minorHAnsi" w:hAnsi="Times New Roman" w:cs="Times New Roman"/>
          <w:sz w:val="22"/>
          <w:szCs w:val="22"/>
        </w:rPr>
        <w:t>not</w:t>
      </w:r>
      <w:r w:rsidR="00603AB1" w:rsidRPr="00487A88">
        <w:rPr>
          <w:rFonts w:ascii="Times New Roman" w:eastAsiaTheme="minorHAnsi" w:hAnsi="Times New Roman" w:cs="Times New Roman"/>
          <w:sz w:val="22"/>
          <w:szCs w:val="22"/>
        </w:rPr>
        <w:t xml:space="preserve"> less than </w:t>
      </w:r>
      <w:r w:rsidR="00707CCA" w:rsidRPr="00487A88">
        <w:rPr>
          <w:rFonts w:ascii="Times New Roman" w:eastAsiaTheme="minorHAnsi" w:hAnsi="Times New Roman" w:cs="Times New Roman"/>
          <w:sz w:val="22"/>
          <w:szCs w:val="22"/>
        </w:rPr>
        <w:t>10</w:t>
      </w:r>
      <w:r w:rsidR="00603AB1" w:rsidRPr="00487A88">
        <w:rPr>
          <w:rFonts w:ascii="Times New Roman" w:eastAsiaTheme="minorHAnsi" w:hAnsi="Times New Roman" w:cs="Times New Roman"/>
          <w:sz w:val="22"/>
          <w:szCs w:val="22"/>
        </w:rPr>
        <w:t xml:space="preserve"> working days after the date of </w:t>
      </w:r>
      <w:r>
        <w:rPr>
          <w:rFonts w:ascii="Times New Roman" w:eastAsiaTheme="minorHAnsi" w:hAnsi="Times New Roman" w:cs="Times New Roman"/>
          <w:sz w:val="22"/>
          <w:szCs w:val="22"/>
        </w:rPr>
        <w:t xml:space="preserve">the </w:t>
      </w:r>
      <w:r w:rsidR="00603AB1" w:rsidRPr="00487A88">
        <w:rPr>
          <w:rFonts w:ascii="Times New Roman" w:eastAsiaTheme="minorHAnsi" w:hAnsi="Times New Roman" w:cs="Times New Roman"/>
          <w:sz w:val="22"/>
          <w:szCs w:val="22"/>
        </w:rPr>
        <w:t xml:space="preserve">request. </w:t>
      </w:r>
      <w:r>
        <w:rPr>
          <w:rFonts w:ascii="Times New Roman" w:eastAsiaTheme="minorHAnsi" w:hAnsi="Times New Roman" w:cs="Times New Roman"/>
          <w:sz w:val="22"/>
          <w:szCs w:val="22"/>
        </w:rPr>
        <w:t xml:space="preserve"> G</w:t>
      </w:r>
      <w:r w:rsidR="00603AB1" w:rsidRPr="00487A88">
        <w:rPr>
          <w:rFonts w:ascii="Times New Roman" w:eastAsiaTheme="minorHAnsi" w:hAnsi="Times New Roman" w:cs="Times New Roman"/>
          <w:sz w:val="22"/>
          <w:szCs w:val="22"/>
        </w:rPr>
        <w:t xml:space="preserve">iving false or misleading information to the ACMA </w:t>
      </w:r>
      <w:r w:rsidR="00F07703" w:rsidRPr="00487A88">
        <w:rPr>
          <w:rFonts w:ascii="Times New Roman" w:eastAsiaTheme="minorHAnsi" w:hAnsi="Times New Roman" w:cs="Times New Roman"/>
          <w:sz w:val="22"/>
          <w:szCs w:val="22"/>
        </w:rPr>
        <w:t>may</w:t>
      </w:r>
      <w:r w:rsidR="00603AB1" w:rsidRPr="00487A88">
        <w:rPr>
          <w:rFonts w:ascii="Times New Roman" w:eastAsiaTheme="minorHAnsi" w:hAnsi="Times New Roman" w:cs="Times New Roman"/>
          <w:sz w:val="22"/>
          <w:szCs w:val="22"/>
        </w:rPr>
        <w:t xml:space="preserve"> constitute a serious offence under the </w:t>
      </w:r>
      <w:r w:rsidR="00603AB1" w:rsidRPr="00487A88">
        <w:rPr>
          <w:rFonts w:ascii="Times New Roman" w:eastAsiaTheme="minorHAnsi" w:hAnsi="Times New Roman" w:cs="Times New Roman"/>
          <w:i/>
          <w:sz w:val="22"/>
          <w:szCs w:val="22"/>
        </w:rPr>
        <w:t>Criminal Code</w:t>
      </w:r>
      <w:r w:rsidR="00603AB1" w:rsidRPr="00487A88">
        <w:rPr>
          <w:rFonts w:ascii="Times New Roman" w:eastAsiaTheme="minorHAnsi" w:hAnsi="Times New Roman" w:cs="Times New Roman"/>
          <w:sz w:val="22"/>
          <w:szCs w:val="22"/>
        </w:rPr>
        <w:t>.</w:t>
      </w:r>
    </w:p>
    <w:p w14:paraId="7F110D0A" w14:textId="7A6C027C" w:rsidR="00603AB1" w:rsidRPr="00487A88" w:rsidRDefault="00603AB1" w:rsidP="00172817">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The </w:t>
      </w:r>
      <w:r w:rsidR="007357EB">
        <w:rPr>
          <w:rFonts w:ascii="Times New Roman" w:eastAsiaTheme="minorHAnsi" w:hAnsi="Times New Roman" w:cs="Times New Roman"/>
          <w:sz w:val="22"/>
          <w:szCs w:val="22"/>
        </w:rPr>
        <w:t>purpose</w:t>
      </w:r>
      <w:r w:rsidR="007357EB" w:rsidRPr="00487A88">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of this section is to enable the ACMA to obtain information to ensure that </w:t>
      </w:r>
      <w:r w:rsidR="00D930AE" w:rsidRPr="00487A88">
        <w:rPr>
          <w:rFonts w:ascii="Times New Roman" w:eastAsiaTheme="minorHAnsi" w:hAnsi="Times New Roman" w:cs="Times New Roman"/>
          <w:sz w:val="22"/>
          <w:szCs w:val="22"/>
        </w:rPr>
        <w:t>spectrum</w:t>
      </w:r>
      <w:r w:rsidRPr="00487A88">
        <w:rPr>
          <w:rFonts w:ascii="Times New Roman" w:eastAsiaTheme="minorHAnsi" w:hAnsi="Times New Roman" w:cs="Times New Roman"/>
          <w:sz w:val="22"/>
          <w:szCs w:val="22"/>
        </w:rPr>
        <w:t xml:space="preserve"> licences issued </w:t>
      </w:r>
      <w:r w:rsidR="004E475F" w:rsidRPr="00487A88">
        <w:rPr>
          <w:rFonts w:ascii="Times New Roman" w:eastAsiaTheme="minorHAnsi" w:hAnsi="Times New Roman" w:cs="Times New Roman"/>
          <w:sz w:val="22"/>
          <w:szCs w:val="22"/>
        </w:rPr>
        <w:t xml:space="preserve">under </w:t>
      </w:r>
      <w:r w:rsidR="00487A88">
        <w:rPr>
          <w:rFonts w:ascii="Times New Roman" w:eastAsiaTheme="minorHAnsi" w:hAnsi="Times New Roman" w:cs="Times New Roman"/>
          <w:sz w:val="22"/>
          <w:szCs w:val="22"/>
        </w:rPr>
        <w:t>the Determination</w:t>
      </w:r>
      <w:r w:rsidRPr="00487A88">
        <w:rPr>
          <w:rFonts w:ascii="Times New Roman" w:eastAsiaTheme="minorHAnsi" w:hAnsi="Times New Roman" w:cs="Times New Roman"/>
          <w:sz w:val="22"/>
          <w:szCs w:val="22"/>
        </w:rPr>
        <w:t xml:space="preserve"> comply with the allocation limits set by the Minister </w:t>
      </w:r>
      <w:r w:rsidR="00487A88">
        <w:rPr>
          <w:rFonts w:ascii="Times New Roman" w:eastAsiaTheme="minorHAnsi" w:hAnsi="Times New Roman" w:cs="Times New Roman"/>
          <w:sz w:val="22"/>
          <w:szCs w:val="22"/>
        </w:rPr>
        <w:t>in the Residual 700 MHz Spectrum Direction</w:t>
      </w:r>
      <w:r w:rsidRPr="00487A88">
        <w:rPr>
          <w:rFonts w:ascii="Times New Roman" w:eastAsiaTheme="minorHAnsi" w:hAnsi="Times New Roman" w:cs="Times New Roman"/>
          <w:sz w:val="22"/>
          <w:szCs w:val="22"/>
        </w:rPr>
        <w:t xml:space="preserve">. </w:t>
      </w:r>
    </w:p>
    <w:p w14:paraId="4C2E22BB" w14:textId="0DEA4061" w:rsidR="00603AB1" w:rsidRPr="000C0DB4" w:rsidRDefault="00603AB1"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Section</w:t>
      </w:r>
      <w:r w:rsidR="004B5788" w:rsidRPr="000C0DB4">
        <w:rPr>
          <w:rFonts w:eastAsiaTheme="minorHAnsi"/>
          <w:b/>
          <w:sz w:val="22"/>
          <w:szCs w:val="22"/>
          <w:lang w:eastAsia="en-US"/>
        </w:rPr>
        <w:t xml:space="preserve"> </w:t>
      </w:r>
      <w:r w:rsidR="006A39D1" w:rsidRPr="000C0DB4">
        <w:rPr>
          <w:rFonts w:eastAsiaTheme="minorHAnsi"/>
          <w:b/>
          <w:sz w:val="22"/>
          <w:szCs w:val="22"/>
          <w:lang w:eastAsia="en-US"/>
        </w:rPr>
        <w:t>69</w:t>
      </w:r>
      <w:r w:rsidRPr="000C0DB4">
        <w:rPr>
          <w:rFonts w:eastAsiaTheme="minorHAnsi"/>
          <w:b/>
          <w:sz w:val="22"/>
          <w:szCs w:val="22"/>
          <w:lang w:eastAsia="en-US"/>
        </w:rPr>
        <w:tab/>
        <w:t>Notification that winning bidders are affiliated</w:t>
      </w:r>
      <w:r w:rsidR="006A39D1" w:rsidRPr="000C0DB4">
        <w:rPr>
          <w:rFonts w:eastAsiaTheme="minorHAnsi"/>
          <w:b/>
          <w:sz w:val="22"/>
          <w:szCs w:val="22"/>
          <w:lang w:eastAsia="en-US"/>
        </w:rPr>
        <w:t>, or winning bidder is affiliated with previous successful bidder</w:t>
      </w:r>
    </w:p>
    <w:p w14:paraId="20F74191" w14:textId="208D079F" w:rsidR="00603AB1" w:rsidRPr="00487A88" w:rsidRDefault="00603AB1" w:rsidP="00172817">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This section </w:t>
      </w:r>
      <w:r w:rsidR="00487A88">
        <w:rPr>
          <w:rFonts w:ascii="Times New Roman" w:eastAsiaTheme="minorHAnsi" w:hAnsi="Times New Roman" w:cs="Times New Roman"/>
          <w:sz w:val="22"/>
          <w:szCs w:val="22"/>
        </w:rPr>
        <w:t>provides</w:t>
      </w:r>
      <w:r w:rsidRPr="00487A88">
        <w:rPr>
          <w:rFonts w:ascii="Times New Roman" w:eastAsiaTheme="minorHAnsi" w:hAnsi="Times New Roman" w:cs="Times New Roman"/>
          <w:sz w:val="22"/>
          <w:szCs w:val="22"/>
        </w:rPr>
        <w:t xml:space="preserve"> that the ACMA must notify </w:t>
      </w:r>
      <w:r w:rsidR="00487A88">
        <w:rPr>
          <w:rFonts w:ascii="Times New Roman" w:eastAsiaTheme="minorHAnsi" w:hAnsi="Times New Roman" w:cs="Times New Roman"/>
          <w:sz w:val="22"/>
          <w:szCs w:val="22"/>
        </w:rPr>
        <w:t xml:space="preserve">the </w:t>
      </w:r>
      <w:r w:rsidRPr="00487A88">
        <w:rPr>
          <w:rFonts w:ascii="Times New Roman" w:eastAsiaTheme="minorHAnsi" w:hAnsi="Times New Roman" w:cs="Times New Roman"/>
          <w:sz w:val="22"/>
          <w:szCs w:val="22"/>
        </w:rPr>
        <w:t xml:space="preserve">winning bidders if it is satisfied that </w:t>
      </w:r>
      <w:r w:rsidR="006A39D1" w:rsidRPr="00487A88">
        <w:rPr>
          <w:rFonts w:ascii="Times New Roman" w:eastAsiaTheme="minorHAnsi" w:hAnsi="Times New Roman" w:cs="Times New Roman"/>
          <w:sz w:val="22"/>
          <w:szCs w:val="22"/>
        </w:rPr>
        <w:t xml:space="preserve">2 winning bidders </w:t>
      </w:r>
      <w:r w:rsidRPr="00487A88">
        <w:rPr>
          <w:rFonts w:ascii="Times New Roman" w:eastAsiaTheme="minorHAnsi" w:hAnsi="Times New Roman" w:cs="Times New Roman"/>
          <w:sz w:val="22"/>
          <w:szCs w:val="22"/>
        </w:rPr>
        <w:t xml:space="preserve">became affiliated after (but not during) the auction period. </w:t>
      </w:r>
      <w:r w:rsidR="007357EB">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This notification will provide details of the basis on which that decision has been made.</w:t>
      </w:r>
      <w:r w:rsidR="006A39D1" w:rsidRPr="00487A88">
        <w:rPr>
          <w:rFonts w:ascii="Times New Roman" w:eastAsiaTheme="minorHAnsi" w:hAnsi="Times New Roman" w:cs="Times New Roman"/>
          <w:sz w:val="22"/>
          <w:szCs w:val="22"/>
        </w:rPr>
        <w:t xml:space="preserve"> </w:t>
      </w:r>
      <w:r w:rsidR="00487A88">
        <w:rPr>
          <w:rFonts w:ascii="Times New Roman" w:eastAsiaTheme="minorHAnsi" w:hAnsi="Times New Roman" w:cs="Times New Roman"/>
          <w:sz w:val="22"/>
          <w:szCs w:val="22"/>
        </w:rPr>
        <w:t xml:space="preserve"> </w:t>
      </w:r>
      <w:r w:rsidR="006A39D1" w:rsidRPr="00487A88">
        <w:rPr>
          <w:rFonts w:ascii="Times New Roman" w:eastAsiaTheme="minorHAnsi" w:hAnsi="Times New Roman" w:cs="Times New Roman"/>
          <w:sz w:val="22"/>
          <w:szCs w:val="22"/>
        </w:rPr>
        <w:t>If the ACMA is satisfied that a winning bidder is affiliated with a previous successful bidder</w:t>
      </w:r>
      <w:r w:rsidR="00487A88">
        <w:rPr>
          <w:rFonts w:ascii="Times New Roman" w:eastAsiaTheme="minorHAnsi" w:hAnsi="Times New Roman" w:cs="Times New Roman"/>
          <w:sz w:val="22"/>
          <w:szCs w:val="22"/>
        </w:rPr>
        <w:t xml:space="preserve"> who is not also a winning bidder</w:t>
      </w:r>
      <w:r w:rsidR="006A39D1" w:rsidRPr="00487A88">
        <w:rPr>
          <w:rFonts w:ascii="Times New Roman" w:eastAsiaTheme="minorHAnsi" w:hAnsi="Times New Roman" w:cs="Times New Roman"/>
          <w:sz w:val="22"/>
          <w:szCs w:val="22"/>
        </w:rPr>
        <w:t>, the ACMA must notify the winning bidder in writing and tell the bidder the basis on which the ACMA is satisfied that the bidder and the previous successful bidder are affiliated.</w:t>
      </w:r>
    </w:p>
    <w:p w14:paraId="489B2527" w14:textId="0AA7592B" w:rsidR="00603AB1" w:rsidRPr="000C0DB4" w:rsidRDefault="00603AB1"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 xml:space="preserve">Section </w:t>
      </w:r>
      <w:r w:rsidR="004B5788" w:rsidRPr="000C0DB4">
        <w:rPr>
          <w:rFonts w:eastAsiaTheme="minorHAnsi"/>
          <w:b/>
          <w:sz w:val="22"/>
          <w:szCs w:val="22"/>
          <w:lang w:eastAsia="en-US"/>
        </w:rPr>
        <w:t>7</w:t>
      </w:r>
      <w:r w:rsidR="006A39D1" w:rsidRPr="000C0DB4">
        <w:rPr>
          <w:rFonts w:eastAsiaTheme="minorHAnsi"/>
          <w:b/>
          <w:sz w:val="22"/>
          <w:szCs w:val="22"/>
          <w:lang w:eastAsia="en-US"/>
        </w:rPr>
        <w:t>0</w:t>
      </w:r>
      <w:r w:rsidRPr="000C0DB4">
        <w:rPr>
          <w:rFonts w:eastAsiaTheme="minorHAnsi"/>
          <w:b/>
          <w:sz w:val="22"/>
          <w:szCs w:val="22"/>
          <w:lang w:eastAsia="en-US"/>
        </w:rPr>
        <w:tab/>
        <w:t>Consequences of affiliation</w:t>
      </w:r>
      <w:r w:rsidR="006A39D1" w:rsidRPr="000C0DB4">
        <w:rPr>
          <w:rFonts w:eastAsiaTheme="minorHAnsi"/>
          <w:b/>
          <w:sz w:val="22"/>
          <w:szCs w:val="22"/>
          <w:lang w:eastAsia="en-US"/>
        </w:rPr>
        <w:t xml:space="preserve"> between 2 winning bidders</w:t>
      </w:r>
    </w:p>
    <w:p w14:paraId="6E0E385C" w14:textId="0263469E" w:rsidR="00DA14F1" w:rsidRPr="00487A88" w:rsidRDefault="00487A88" w:rsidP="001728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The</w:t>
      </w:r>
      <w:r w:rsidR="00971146">
        <w:rPr>
          <w:rFonts w:ascii="Times New Roman" w:eastAsiaTheme="minorHAnsi" w:hAnsi="Times New Roman" w:cs="Times New Roman"/>
          <w:sz w:val="22"/>
          <w:szCs w:val="22"/>
        </w:rPr>
        <w:t xml:space="preserve"> allocation limits may affect the</w:t>
      </w:r>
      <w:r>
        <w:rPr>
          <w:rFonts w:ascii="Times New Roman" w:eastAsiaTheme="minorHAnsi" w:hAnsi="Times New Roman" w:cs="Times New Roman"/>
          <w:sz w:val="22"/>
          <w:szCs w:val="22"/>
        </w:rPr>
        <w:t xml:space="preserve"> allocation of spectrum licences to w</w:t>
      </w:r>
      <w:r w:rsidR="00603AB1" w:rsidRPr="00487A88">
        <w:rPr>
          <w:rFonts w:ascii="Times New Roman" w:eastAsiaTheme="minorHAnsi" w:hAnsi="Times New Roman" w:cs="Times New Roman"/>
          <w:sz w:val="22"/>
          <w:szCs w:val="22"/>
        </w:rPr>
        <w:t>inning bidders who have been notified that the ACMA is satisfied that</w:t>
      </w:r>
      <w:r w:rsidR="00B848DC">
        <w:rPr>
          <w:rFonts w:ascii="Times New Roman" w:eastAsiaTheme="minorHAnsi" w:hAnsi="Times New Roman" w:cs="Times New Roman"/>
          <w:sz w:val="22"/>
          <w:szCs w:val="22"/>
        </w:rPr>
        <w:t xml:space="preserve"> they</w:t>
      </w:r>
      <w:r w:rsidR="00603AB1" w:rsidRPr="00487A88">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became</w:t>
      </w:r>
      <w:r w:rsidR="00603AB1" w:rsidRPr="00487A88">
        <w:rPr>
          <w:rFonts w:ascii="Times New Roman" w:eastAsiaTheme="minorHAnsi" w:hAnsi="Times New Roman" w:cs="Times New Roman"/>
          <w:sz w:val="22"/>
          <w:szCs w:val="22"/>
        </w:rPr>
        <w:t xml:space="preserve"> affiliat</w:t>
      </w:r>
      <w:r>
        <w:rPr>
          <w:rFonts w:ascii="Times New Roman" w:eastAsiaTheme="minorHAnsi" w:hAnsi="Times New Roman" w:cs="Times New Roman"/>
          <w:sz w:val="22"/>
          <w:szCs w:val="22"/>
        </w:rPr>
        <w:t>ed</w:t>
      </w:r>
      <w:r w:rsidR="00603AB1" w:rsidRPr="00487A88">
        <w:rPr>
          <w:rFonts w:ascii="Times New Roman" w:eastAsiaTheme="minorHAnsi" w:hAnsi="Times New Roman" w:cs="Times New Roman"/>
          <w:sz w:val="22"/>
          <w:szCs w:val="22"/>
        </w:rPr>
        <w:t xml:space="preserve"> after the auction period </w:t>
      </w:r>
      <w:r w:rsidR="00DA14F1" w:rsidRPr="00487A88">
        <w:rPr>
          <w:rFonts w:ascii="Times New Roman" w:eastAsiaTheme="minorHAnsi" w:hAnsi="Times New Roman" w:cs="Times New Roman"/>
          <w:sz w:val="22"/>
          <w:szCs w:val="22"/>
        </w:rPr>
        <w:t>(</w:t>
      </w:r>
      <w:r w:rsidR="00DA14F1" w:rsidRPr="00487A88">
        <w:rPr>
          <w:rFonts w:ascii="Times New Roman" w:eastAsiaTheme="minorHAnsi" w:hAnsi="Times New Roman" w:cs="Times New Roman"/>
          <w:b/>
          <w:sz w:val="22"/>
          <w:szCs w:val="22"/>
        </w:rPr>
        <w:t>affiliated winning bidders</w:t>
      </w:r>
      <w:r w:rsidR="00DA14F1" w:rsidRPr="00487A88">
        <w:rPr>
          <w:rFonts w:ascii="Times New Roman" w:eastAsiaTheme="minorHAnsi" w:hAnsi="Times New Roman" w:cs="Times New Roman"/>
          <w:sz w:val="22"/>
          <w:szCs w:val="22"/>
        </w:rPr>
        <w:t>)</w:t>
      </w:r>
      <w:r w:rsidR="00603AB1" w:rsidRPr="00487A88">
        <w:rPr>
          <w:rFonts w:ascii="Times New Roman" w:eastAsiaTheme="minorHAnsi" w:hAnsi="Times New Roman" w:cs="Times New Roman"/>
          <w:sz w:val="22"/>
          <w:szCs w:val="22"/>
        </w:rPr>
        <w:t>.</w:t>
      </w:r>
      <w:r w:rsidR="007357EB">
        <w:rPr>
          <w:rFonts w:ascii="Times New Roman" w:eastAsiaTheme="minorHAnsi" w:hAnsi="Times New Roman" w:cs="Times New Roman"/>
          <w:sz w:val="22"/>
          <w:szCs w:val="22"/>
        </w:rPr>
        <w:t xml:space="preserve"> </w:t>
      </w:r>
      <w:r w:rsidR="00603AB1" w:rsidRPr="00487A88">
        <w:rPr>
          <w:rFonts w:ascii="Times New Roman" w:eastAsiaTheme="minorHAnsi" w:hAnsi="Times New Roman" w:cs="Times New Roman"/>
          <w:sz w:val="22"/>
          <w:szCs w:val="22"/>
        </w:rPr>
        <w:t xml:space="preserve"> </w:t>
      </w:r>
      <w:r w:rsidR="00DA14F1" w:rsidRPr="00487A88">
        <w:rPr>
          <w:rFonts w:ascii="Times New Roman" w:eastAsiaTheme="minorHAnsi" w:hAnsi="Times New Roman" w:cs="Times New Roman"/>
          <w:sz w:val="22"/>
          <w:szCs w:val="22"/>
        </w:rPr>
        <w:t xml:space="preserve">The ACMA must not issue spectrum licences to the affiliated winning bidders that would exceed the allocation limits.  </w:t>
      </w:r>
      <w:r>
        <w:rPr>
          <w:rFonts w:ascii="Times New Roman" w:eastAsiaTheme="minorHAnsi" w:hAnsi="Times New Roman" w:cs="Times New Roman"/>
          <w:sz w:val="22"/>
          <w:szCs w:val="22"/>
        </w:rPr>
        <w:t>W</w:t>
      </w:r>
      <w:r w:rsidR="00DA14F1" w:rsidRPr="00487A88">
        <w:rPr>
          <w:rFonts w:ascii="Times New Roman" w:eastAsiaTheme="minorHAnsi" w:hAnsi="Times New Roman" w:cs="Times New Roman"/>
          <w:sz w:val="22"/>
          <w:szCs w:val="22"/>
        </w:rPr>
        <w:t>here the number of lots won by the affiliated winning bidders</w:t>
      </w:r>
      <w:r w:rsidR="009311BF" w:rsidRPr="009311BF">
        <w:rPr>
          <w:rFonts w:ascii="Times New Roman" w:eastAsiaTheme="minorHAnsi" w:hAnsi="Times New Roman" w:cs="Times New Roman"/>
          <w:sz w:val="22"/>
          <w:szCs w:val="22"/>
        </w:rPr>
        <w:t xml:space="preserve"> </w:t>
      </w:r>
      <w:r w:rsidR="009311BF" w:rsidRPr="00487A88">
        <w:rPr>
          <w:rFonts w:ascii="Times New Roman" w:eastAsiaTheme="minorHAnsi" w:hAnsi="Times New Roman" w:cs="Times New Roman"/>
          <w:sz w:val="22"/>
          <w:szCs w:val="22"/>
        </w:rPr>
        <w:t>exceed</w:t>
      </w:r>
      <w:r w:rsidR="009311BF">
        <w:rPr>
          <w:rFonts w:ascii="Times New Roman" w:eastAsiaTheme="minorHAnsi" w:hAnsi="Times New Roman" w:cs="Times New Roman"/>
          <w:sz w:val="22"/>
          <w:szCs w:val="22"/>
        </w:rPr>
        <w:t>s</w:t>
      </w:r>
      <w:r w:rsidR="009311BF" w:rsidRPr="00487A88">
        <w:rPr>
          <w:rFonts w:ascii="Times New Roman" w:eastAsiaTheme="minorHAnsi" w:hAnsi="Times New Roman" w:cs="Times New Roman"/>
          <w:sz w:val="22"/>
          <w:szCs w:val="22"/>
        </w:rPr>
        <w:t xml:space="preserve"> these allocation limits</w:t>
      </w:r>
      <w:r w:rsidR="00DA14F1" w:rsidRPr="00487A88">
        <w:rPr>
          <w:rFonts w:ascii="Times New Roman" w:eastAsiaTheme="minorHAnsi" w:hAnsi="Times New Roman" w:cs="Times New Roman"/>
          <w:sz w:val="22"/>
          <w:szCs w:val="22"/>
        </w:rPr>
        <w:t xml:space="preserve">, when the lot size of those lots is aggregated with a part of the spectrum that either or both the affiliated winning bidders, or the specified group of persons that includes the affiliated winning bidders, may use as a result of the allocation of spectrum licences under the previous allocation </w:t>
      </w:r>
      <w:r w:rsidR="00E25645">
        <w:rPr>
          <w:rFonts w:ascii="Times New Roman" w:eastAsiaTheme="minorHAnsi" w:hAnsi="Times New Roman" w:cs="Times New Roman"/>
          <w:sz w:val="22"/>
          <w:szCs w:val="22"/>
        </w:rPr>
        <w:t>D</w:t>
      </w:r>
      <w:r w:rsidR="00DA14F1" w:rsidRPr="00487A88">
        <w:rPr>
          <w:rFonts w:ascii="Times New Roman" w:eastAsiaTheme="minorHAnsi" w:hAnsi="Times New Roman" w:cs="Times New Roman"/>
          <w:sz w:val="22"/>
          <w:szCs w:val="22"/>
        </w:rPr>
        <w:t xml:space="preserve">etermination, </w:t>
      </w:r>
      <w:r w:rsidR="00A5548E">
        <w:rPr>
          <w:rFonts w:ascii="Times New Roman" w:eastAsiaTheme="minorHAnsi" w:hAnsi="Times New Roman" w:cs="Times New Roman"/>
          <w:sz w:val="22"/>
          <w:szCs w:val="22"/>
        </w:rPr>
        <w:t>this section applies</w:t>
      </w:r>
      <w:r w:rsidR="00DA14F1" w:rsidRPr="00487A88">
        <w:rPr>
          <w:rFonts w:ascii="Times New Roman" w:eastAsiaTheme="minorHAnsi" w:hAnsi="Times New Roman" w:cs="Times New Roman"/>
          <w:sz w:val="22"/>
          <w:szCs w:val="22"/>
        </w:rPr>
        <w:t>.</w:t>
      </w:r>
    </w:p>
    <w:p w14:paraId="488E72D8" w14:textId="3EB9C9E5" w:rsidR="00DA14F1" w:rsidRPr="00A5548E" w:rsidRDefault="00DA14F1" w:rsidP="00172817">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lastRenderedPageBreak/>
        <w:t xml:space="preserve">If one of the winning bidders is also a previous successful bidder, any spectrum licences allocated under the </w:t>
      </w:r>
      <w:r w:rsidR="00E25645">
        <w:rPr>
          <w:rFonts w:ascii="Times New Roman" w:eastAsiaTheme="minorHAnsi" w:hAnsi="Times New Roman" w:cs="Times New Roman"/>
          <w:sz w:val="22"/>
          <w:szCs w:val="22"/>
        </w:rPr>
        <w:t>previous allocation Determination</w:t>
      </w:r>
      <w:r w:rsidR="003E487E">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to the previous successful bidder are relevant to an assessment whether issuing spectrum licences to the winning bidders would exceed the allocation limits</w:t>
      </w:r>
      <w:r w:rsidR="009311BF">
        <w:rPr>
          <w:rFonts w:ascii="Times New Roman" w:eastAsiaTheme="minorHAnsi" w:hAnsi="Times New Roman" w:cs="Times New Roman"/>
          <w:sz w:val="22"/>
          <w:szCs w:val="22"/>
        </w:rPr>
        <w:t>.  In this case</w:t>
      </w:r>
      <w:r w:rsidR="00A5548E">
        <w:rPr>
          <w:rFonts w:ascii="Times New Roman" w:eastAsiaTheme="minorHAnsi" w:hAnsi="Times New Roman" w:cs="Times New Roman"/>
          <w:sz w:val="22"/>
          <w:szCs w:val="22"/>
        </w:rPr>
        <w:t xml:space="preserve">, subsection 70(1) provides that new spectrum licences must only be issued in accordance with section 70.  If the two winning bidders are also affiliated with a previous successful bidder who is not a winning bidder, then any spectrum licences in the 700 MHz band allocated to that previous successful bidder </w:t>
      </w:r>
      <w:r w:rsidR="00A5548E" w:rsidRPr="00A5548E">
        <w:rPr>
          <w:rFonts w:ascii="Times New Roman" w:eastAsiaTheme="minorHAnsi" w:hAnsi="Times New Roman" w:cs="Times New Roman"/>
          <w:sz w:val="22"/>
          <w:szCs w:val="22"/>
        </w:rPr>
        <w:t xml:space="preserve">under the </w:t>
      </w:r>
      <w:r w:rsidR="00E25645">
        <w:rPr>
          <w:rFonts w:ascii="Times New Roman" w:eastAsiaTheme="minorHAnsi" w:hAnsi="Times New Roman" w:cs="Times New Roman"/>
          <w:sz w:val="22"/>
          <w:szCs w:val="22"/>
        </w:rPr>
        <w:t xml:space="preserve">previous allocation Determination </w:t>
      </w:r>
      <w:r w:rsidR="00A5548E">
        <w:rPr>
          <w:rFonts w:ascii="Times New Roman" w:eastAsiaTheme="minorHAnsi" w:hAnsi="Times New Roman" w:cs="Times New Roman"/>
          <w:sz w:val="22"/>
          <w:szCs w:val="22"/>
        </w:rPr>
        <w:t>are relevant to an assessment whether issuing spectrum licences to the winning bidders would exceed the allocation limits, and subsection 70(2) provides that new spectrum licences must only be issued in accordance with section</w:t>
      </w:r>
      <w:r w:rsidR="00F07DE2">
        <w:rPr>
          <w:rFonts w:ascii="Times New Roman" w:eastAsiaTheme="minorHAnsi" w:hAnsi="Times New Roman" w:cs="Times New Roman"/>
          <w:sz w:val="22"/>
          <w:szCs w:val="22"/>
        </w:rPr>
        <w:t> </w:t>
      </w:r>
      <w:r w:rsidR="00A5548E">
        <w:rPr>
          <w:rFonts w:ascii="Times New Roman" w:eastAsiaTheme="minorHAnsi" w:hAnsi="Times New Roman" w:cs="Times New Roman"/>
          <w:sz w:val="22"/>
          <w:szCs w:val="22"/>
        </w:rPr>
        <w:t>70.</w:t>
      </w:r>
    </w:p>
    <w:p w14:paraId="630D6499" w14:textId="469A447B" w:rsidR="009D7474" w:rsidRPr="00487A88" w:rsidRDefault="00560D85" w:rsidP="0040292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Subject to subsection (9), </w:t>
      </w:r>
      <w:r w:rsidR="00A5548E">
        <w:rPr>
          <w:rFonts w:ascii="Times New Roman" w:eastAsiaTheme="minorHAnsi" w:hAnsi="Times New Roman" w:cs="Times New Roman"/>
          <w:sz w:val="22"/>
          <w:szCs w:val="22"/>
        </w:rPr>
        <w:t xml:space="preserve">subsection (3) provides that, </w:t>
      </w:r>
      <w:r w:rsidRPr="00487A88">
        <w:rPr>
          <w:rFonts w:ascii="Times New Roman" w:eastAsiaTheme="minorHAnsi" w:hAnsi="Times New Roman" w:cs="Times New Roman"/>
          <w:sz w:val="22"/>
          <w:szCs w:val="22"/>
        </w:rPr>
        <w:t>if the issue of spectrum licences to the affiliated winning bidders for both the 10 MHz lot and the 5 MHz lot would exceed the allocation limits, the bidders may give a direction to the ACMA</w:t>
      </w:r>
      <w:r w:rsidR="009D7474" w:rsidRPr="00487A88">
        <w:rPr>
          <w:rFonts w:ascii="Times New Roman" w:eastAsiaTheme="minorHAnsi" w:hAnsi="Times New Roman" w:cs="Times New Roman"/>
          <w:sz w:val="22"/>
          <w:szCs w:val="22"/>
        </w:rPr>
        <w:t>. This direction may be either</w:t>
      </w:r>
      <w:r w:rsidR="00A5548E">
        <w:rPr>
          <w:rFonts w:ascii="Times New Roman" w:eastAsiaTheme="minorHAnsi" w:hAnsi="Times New Roman" w:cs="Times New Roman"/>
          <w:sz w:val="22"/>
          <w:szCs w:val="22"/>
        </w:rPr>
        <w:t>:</w:t>
      </w:r>
    </w:p>
    <w:p w14:paraId="0CD8D058" w14:textId="1B7EB537" w:rsidR="00560D85" w:rsidRPr="000C0DB4" w:rsidRDefault="00A5548E" w:rsidP="000C0DB4">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(a)</w:t>
      </w:r>
      <w:r>
        <w:rPr>
          <w:rFonts w:ascii="Times New Roman" w:eastAsiaTheme="minorHAnsi" w:hAnsi="Times New Roman" w:cs="Times New Roman"/>
          <w:sz w:val="22"/>
          <w:szCs w:val="22"/>
        </w:rPr>
        <w:tab/>
      </w:r>
      <w:r w:rsidR="00560D85" w:rsidRPr="000C0DB4">
        <w:rPr>
          <w:rFonts w:ascii="Times New Roman" w:eastAsiaTheme="minorHAnsi" w:hAnsi="Times New Roman" w:cs="Times New Roman"/>
          <w:sz w:val="22"/>
          <w:szCs w:val="22"/>
        </w:rPr>
        <w:t xml:space="preserve">if </w:t>
      </w:r>
      <w:r w:rsidR="009D7474" w:rsidRPr="000C0DB4">
        <w:rPr>
          <w:rFonts w:ascii="Times New Roman" w:eastAsiaTheme="minorHAnsi" w:hAnsi="Times New Roman" w:cs="Times New Roman"/>
          <w:sz w:val="22"/>
          <w:szCs w:val="22"/>
        </w:rPr>
        <w:t xml:space="preserve">the ACMA </w:t>
      </w:r>
      <w:r w:rsidR="00560D85" w:rsidRPr="000C0DB4">
        <w:rPr>
          <w:rFonts w:ascii="Times New Roman" w:eastAsiaTheme="minorHAnsi" w:hAnsi="Times New Roman" w:cs="Times New Roman"/>
          <w:sz w:val="22"/>
          <w:szCs w:val="22"/>
        </w:rPr>
        <w:t>issuing a spectrum licence for only the 10 MHz lot to either of the affiliated winning bidders would exceed the allocation limits – which of the bidders is to be issued a spectrum licence for the 5 MHz lot;</w:t>
      </w:r>
      <w:r w:rsidR="009D7474" w:rsidRPr="000C0DB4">
        <w:rPr>
          <w:rFonts w:ascii="Times New Roman" w:eastAsiaTheme="minorHAnsi" w:hAnsi="Times New Roman" w:cs="Times New Roman"/>
          <w:sz w:val="22"/>
          <w:szCs w:val="22"/>
        </w:rPr>
        <w:t xml:space="preserve"> or</w:t>
      </w:r>
    </w:p>
    <w:p w14:paraId="74BD80EE" w14:textId="642B98A9" w:rsidR="00560D85" w:rsidRPr="000C0DB4" w:rsidRDefault="00A5548E" w:rsidP="000C0DB4">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(b)</w:t>
      </w:r>
      <w:r>
        <w:rPr>
          <w:rFonts w:ascii="Times New Roman" w:eastAsiaTheme="minorHAnsi" w:hAnsi="Times New Roman" w:cs="Times New Roman"/>
          <w:sz w:val="22"/>
          <w:szCs w:val="22"/>
        </w:rPr>
        <w:tab/>
      </w:r>
      <w:proofErr w:type="gramStart"/>
      <w:r w:rsidR="00560D85" w:rsidRPr="000C0DB4">
        <w:rPr>
          <w:rFonts w:ascii="Times New Roman" w:eastAsiaTheme="minorHAnsi" w:hAnsi="Times New Roman" w:cs="Times New Roman"/>
          <w:sz w:val="22"/>
          <w:szCs w:val="22"/>
        </w:rPr>
        <w:t>in</w:t>
      </w:r>
      <w:proofErr w:type="gramEnd"/>
      <w:r w:rsidR="00560D85" w:rsidRPr="000C0DB4">
        <w:rPr>
          <w:rFonts w:ascii="Times New Roman" w:eastAsiaTheme="minorHAnsi" w:hAnsi="Times New Roman" w:cs="Times New Roman"/>
          <w:sz w:val="22"/>
          <w:szCs w:val="22"/>
        </w:rPr>
        <w:t xml:space="preserve"> any other case – which of the bidders is to be issued a spectrum licence for the 10 MHz lot.</w:t>
      </w:r>
    </w:p>
    <w:p w14:paraId="73F7914E" w14:textId="77777777" w:rsidR="007357EB" w:rsidRDefault="00A5548E" w:rsidP="00402928">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That is, if a spectrum licence for the 10 MHz lot may be issued to either affiliated winning bidder without exceeding the allocation limits, the affiliated winning bidders can direct the ACMA as to which one of them receives a spectrum licence for the 10 MHz lot, and the 5 MHz lot remains unallocated.  However, if issuing a licence for the 10 MHz lot to either affiliated winning bidder would exceed the allocation limits, the winning bidders can direct the ACMA as to which of them receives a spectrum licence for the 5 MHz lot, and the 10 MHz lot remains unallocated.  </w:t>
      </w:r>
    </w:p>
    <w:p w14:paraId="637B764F" w14:textId="7B8E5106" w:rsidR="00A5548E" w:rsidRDefault="00A5548E" w:rsidP="00402928">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Subsection</w:t>
      </w:r>
      <w:r w:rsidR="007357EB">
        <w:rPr>
          <w:rFonts w:ascii="Times New Roman" w:eastAsiaTheme="minorHAnsi" w:hAnsi="Times New Roman" w:cs="Times New Roman"/>
          <w:sz w:val="22"/>
          <w:szCs w:val="22"/>
        </w:rPr>
        <w:t> </w:t>
      </w:r>
      <w:r>
        <w:rPr>
          <w:rFonts w:ascii="Times New Roman" w:eastAsiaTheme="minorHAnsi" w:hAnsi="Times New Roman" w:cs="Times New Roman"/>
          <w:sz w:val="22"/>
          <w:szCs w:val="22"/>
        </w:rPr>
        <w:t>(9) provides that if issuing a spectrum licence for the 5 MHz lot to either affiliated winning bidder would exceed the allocation limits, both lots remain unallocated and no spectrum licences must be issued.</w:t>
      </w:r>
    </w:p>
    <w:p w14:paraId="16B404D9" w14:textId="3598D458" w:rsidR="009D7474" w:rsidRPr="00487A88" w:rsidRDefault="009D7474" w:rsidP="0040292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The direction given under subsection (3) must be given jointly by the affiliated winning bidders and must be given to the ACMA within </w:t>
      </w:r>
      <w:r w:rsidR="007357EB">
        <w:rPr>
          <w:rFonts w:ascii="Times New Roman" w:eastAsiaTheme="minorHAnsi" w:hAnsi="Times New Roman" w:cs="Times New Roman"/>
          <w:sz w:val="22"/>
          <w:szCs w:val="22"/>
        </w:rPr>
        <w:t>five</w:t>
      </w:r>
      <w:r w:rsidRPr="00487A88">
        <w:rPr>
          <w:rFonts w:ascii="Times New Roman" w:eastAsiaTheme="minorHAnsi" w:hAnsi="Times New Roman" w:cs="Times New Roman"/>
          <w:sz w:val="22"/>
          <w:szCs w:val="22"/>
        </w:rPr>
        <w:t xml:space="preserve"> working days after the bidders receive notification under subsection 69(1). </w:t>
      </w:r>
      <w:r w:rsidR="00A5548E">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Subject to the Act and </w:t>
      </w:r>
      <w:r w:rsidR="00A5548E">
        <w:rPr>
          <w:rFonts w:ascii="Times New Roman" w:eastAsiaTheme="minorHAnsi" w:hAnsi="Times New Roman" w:cs="Times New Roman"/>
          <w:sz w:val="22"/>
          <w:szCs w:val="22"/>
        </w:rPr>
        <w:t>the Determination</w:t>
      </w:r>
      <w:r w:rsidRPr="00487A88">
        <w:rPr>
          <w:rFonts w:ascii="Times New Roman" w:eastAsiaTheme="minorHAnsi" w:hAnsi="Times New Roman" w:cs="Times New Roman"/>
          <w:sz w:val="22"/>
          <w:szCs w:val="22"/>
        </w:rPr>
        <w:t>, the ACMA must issue a spectrum licence in accordance with that direction, and must not issue a spectrum licence for the other lot to either of the affiliated winning bidders.</w:t>
      </w:r>
    </w:p>
    <w:p w14:paraId="2F013AD5" w14:textId="03D6E83C" w:rsidR="00927960" w:rsidRPr="00487A88" w:rsidRDefault="00927960" w:rsidP="0040292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Under subsection (6)</w:t>
      </w:r>
      <w:r w:rsidR="00A5548E">
        <w:rPr>
          <w:rFonts w:ascii="Times New Roman" w:eastAsiaTheme="minorHAnsi" w:hAnsi="Times New Roman" w:cs="Times New Roman"/>
          <w:sz w:val="22"/>
          <w:szCs w:val="22"/>
        </w:rPr>
        <w:t>,</w:t>
      </w:r>
      <w:r w:rsidR="00CB11AC">
        <w:rPr>
          <w:rFonts w:ascii="Times New Roman" w:eastAsiaTheme="minorHAnsi" w:hAnsi="Times New Roman" w:cs="Times New Roman"/>
          <w:sz w:val="22"/>
          <w:szCs w:val="22"/>
        </w:rPr>
        <w:t xml:space="preserve"> and again subject to subsection (9),</w:t>
      </w:r>
      <w:r w:rsidRPr="00487A88">
        <w:rPr>
          <w:rFonts w:ascii="Times New Roman" w:eastAsiaTheme="minorHAnsi" w:hAnsi="Times New Roman" w:cs="Times New Roman"/>
          <w:sz w:val="22"/>
          <w:szCs w:val="22"/>
        </w:rPr>
        <w:t xml:space="preserve"> if the ACMA does not receive a direction within 5 working days, the ACMA may choose at its discretion either:</w:t>
      </w:r>
    </w:p>
    <w:p w14:paraId="5D3AC529" w14:textId="6DF91153" w:rsidR="00927960" w:rsidRPr="000C0DB4" w:rsidRDefault="00927960" w:rsidP="000C0DB4">
      <w:pPr>
        <w:pStyle w:val="ACMABodyText"/>
        <w:tabs>
          <w:tab w:val="left" w:pos="851"/>
        </w:tabs>
        <w:ind w:left="851" w:hanging="567"/>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(a)</w:t>
      </w:r>
      <w:r w:rsidR="00A5548E">
        <w:rPr>
          <w:rFonts w:ascii="Times New Roman" w:eastAsiaTheme="minorHAnsi" w:hAnsi="Times New Roman" w:cs="Times New Roman"/>
          <w:sz w:val="22"/>
          <w:szCs w:val="22"/>
        </w:rPr>
        <w:tab/>
      </w:r>
      <w:r w:rsidRPr="000C0DB4">
        <w:rPr>
          <w:rFonts w:ascii="Times New Roman" w:eastAsiaTheme="minorHAnsi" w:hAnsi="Times New Roman" w:cs="Times New Roman"/>
          <w:sz w:val="22"/>
          <w:szCs w:val="22"/>
        </w:rPr>
        <w:t>if issuing a spectrum licence for only the 10 MHz lot to either of the affiliated winning bidders would exceed the allocation limits – which of those bidders is to be issued a spectrum licence for the 5 MHz lot; or</w:t>
      </w:r>
    </w:p>
    <w:p w14:paraId="32AA902F" w14:textId="071A9916" w:rsidR="00927960" w:rsidRPr="000C0DB4" w:rsidRDefault="00927960" w:rsidP="000C0DB4">
      <w:pPr>
        <w:pStyle w:val="ACMABodyText"/>
        <w:tabs>
          <w:tab w:val="left" w:pos="851"/>
        </w:tabs>
        <w:ind w:left="851" w:hanging="567"/>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(b)</w:t>
      </w:r>
      <w:r w:rsidR="00A5548E">
        <w:rPr>
          <w:rFonts w:ascii="Times New Roman" w:eastAsiaTheme="minorHAnsi" w:hAnsi="Times New Roman" w:cs="Times New Roman"/>
          <w:sz w:val="22"/>
          <w:szCs w:val="22"/>
        </w:rPr>
        <w:tab/>
      </w:r>
      <w:proofErr w:type="gramStart"/>
      <w:r w:rsidRPr="000C0DB4">
        <w:rPr>
          <w:rFonts w:ascii="Times New Roman" w:eastAsiaTheme="minorHAnsi" w:hAnsi="Times New Roman" w:cs="Times New Roman"/>
          <w:sz w:val="22"/>
          <w:szCs w:val="22"/>
        </w:rPr>
        <w:t>in</w:t>
      </w:r>
      <w:proofErr w:type="gramEnd"/>
      <w:r w:rsidRPr="000C0DB4">
        <w:rPr>
          <w:rFonts w:ascii="Times New Roman" w:eastAsiaTheme="minorHAnsi" w:hAnsi="Times New Roman" w:cs="Times New Roman"/>
          <w:sz w:val="22"/>
          <w:szCs w:val="22"/>
        </w:rPr>
        <w:t xml:space="preserve"> any other case – which of those bidders is to be issued a spectrum licence for the 10 MHz lot.</w:t>
      </w:r>
    </w:p>
    <w:p w14:paraId="1593FD36" w14:textId="3023744C" w:rsidR="00927960" w:rsidRPr="00487A88" w:rsidRDefault="00927960" w:rsidP="0040292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The ACMA must give written notice to the affiliated winning bidders of its decision under </w:t>
      </w:r>
      <w:r w:rsidR="007357EB" w:rsidRPr="00487A88">
        <w:rPr>
          <w:rFonts w:ascii="Times New Roman" w:eastAsiaTheme="minorHAnsi" w:hAnsi="Times New Roman" w:cs="Times New Roman"/>
          <w:sz w:val="22"/>
          <w:szCs w:val="22"/>
        </w:rPr>
        <w:t>subsection</w:t>
      </w:r>
      <w:r w:rsidR="007357EB">
        <w:rPr>
          <w:rFonts w:ascii="Times New Roman" w:eastAsiaTheme="minorHAnsi" w:hAnsi="Times New Roman" w:cs="Times New Roman"/>
          <w:sz w:val="22"/>
          <w:szCs w:val="22"/>
        </w:rPr>
        <w:t> </w:t>
      </w:r>
      <w:r w:rsidRPr="00487A88">
        <w:rPr>
          <w:rFonts w:ascii="Times New Roman" w:eastAsiaTheme="minorHAnsi" w:hAnsi="Times New Roman" w:cs="Times New Roman"/>
          <w:sz w:val="22"/>
          <w:szCs w:val="22"/>
        </w:rPr>
        <w:t xml:space="preserve">(6). </w:t>
      </w:r>
      <w:r w:rsidR="00CB11AC">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Subject to the Act and </w:t>
      </w:r>
      <w:r w:rsidR="00CB11AC">
        <w:rPr>
          <w:rFonts w:ascii="Times New Roman" w:eastAsiaTheme="minorHAnsi" w:hAnsi="Times New Roman" w:cs="Times New Roman"/>
          <w:sz w:val="22"/>
          <w:szCs w:val="22"/>
        </w:rPr>
        <w:t>the Determination</w:t>
      </w:r>
      <w:r w:rsidRPr="00487A88">
        <w:rPr>
          <w:rFonts w:ascii="Times New Roman" w:eastAsiaTheme="minorHAnsi" w:hAnsi="Times New Roman" w:cs="Times New Roman"/>
          <w:sz w:val="22"/>
          <w:szCs w:val="22"/>
        </w:rPr>
        <w:t>, the ACMA must issue a spectrum licence in accordance with its decision under subsection (6), and must not issue a spectrum licence for the other lot to either of the affiliated winning bidders.</w:t>
      </w:r>
    </w:p>
    <w:p w14:paraId="2E6F18D1" w14:textId="1654E5FA" w:rsidR="00927960" w:rsidRPr="00487A88" w:rsidRDefault="00CB4466" w:rsidP="00402928">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As mentioned, under subsection (9), i</w:t>
      </w:r>
      <w:r w:rsidR="00927960" w:rsidRPr="00487A88">
        <w:rPr>
          <w:rFonts w:ascii="Times New Roman" w:eastAsiaTheme="minorHAnsi" w:hAnsi="Times New Roman" w:cs="Times New Roman"/>
          <w:sz w:val="22"/>
          <w:szCs w:val="22"/>
        </w:rPr>
        <w:t>f issuing a spectrum licence for the 5 MHz lot to either of the affiliated winning bidders would exceed the allocation limits, the ACMA must not issue any spectrum licences to those bidders.</w:t>
      </w:r>
      <w:r w:rsidR="00094B77" w:rsidRPr="00487A88">
        <w:rPr>
          <w:rFonts w:ascii="Times New Roman" w:eastAsiaTheme="minorHAnsi" w:hAnsi="Times New Roman" w:cs="Times New Roman"/>
          <w:sz w:val="22"/>
          <w:szCs w:val="22"/>
        </w:rPr>
        <w:t xml:space="preserve"> </w:t>
      </w:r>
      <w:r w:rsidR="007357EB">
        <w:rPr>
          <w:rFonts w:ascii="Times New Roman" w:eastAsiaTheme="minorHAnsi" w:hAnsi="Times New Roman" w:cs="Times New Roman"/>
          <w:sz w:val="22"/>
          <w:szCs w:val="22"/>
        </w:rPr>
        <w:t xml:space="preserve"> </w:t>
      </w:r>
      <w:r w:rsidR="00094B77" w:rsidRPr="00487A88">
        <w:rPr>
          <w:rFonts w:ascii="Times New Roman" w:eastAsiaTheme="minorHAnsi" w:hAnsi="Times New Roman" w:cs="Times New Roman"/>
          <w:sz w:val="22"/>
          <w:szCs w:val="22"/>
        </w:rPr>
        <w:t xml:space="preserve">If </w:t>
      </w:r>
      <w:r>
        <w:rPr>
          <w:rFonts w:ascii="Times New Roman" w:eastAsiaTheme="minorHAnsi" w:hAnsi="Times New Roman" w:cs="Times New Roman"/>
          <w:sz w:val="22"/>
          <w:szCs w:val="22"/>
        </w:rPr>
        <w:t>issuing a spectrum licence for the</w:t>
      </w:r>
      <w:r w:rsidR="00094B77" w:rsidRPr="00487A88">
        <w:rPr>
          <w:rFonts w:ascii="Times New Roman" w:eastAsiaTheme="minorHAnsi" w:hAnsi="Times New Roman" w:cs="Times New Roman"/>
          <w:sz w:val="22"/>
          <w:szCs w:val="22"/>
        </w:rPr>
        <w:t xml:space="preserve"> 5 MHz lot</w:t>
      </w:r>
      <w:r>
        <w:rPr>
          <w:rFonts w:ascii="Times New Roman" w:eastAsiaTheme="minorHAnsi" w:hAnsi="Times New Roman" w:cs="Times New Roman"/>
          <w:sz w:val="22"/>
          <w:szCs w:val="22"/>
        </w:rPr>
        <w:t xml:space="preserve"> would</w:t>
      </w:r>
      <w:r w:rsidR="00094B77" w:rsidRPr="00487A88">
        <w:rPr>
          <w:rFonts w:ascii="Times New Roman" w:eastAsiaTheme="minorHAnsi" w:hAnsi="Times New Roman" w:cs="Times New Roman"/>
          <w:sz w:val="22"/>
          <w:szCs w:val="22"/>
        </w:rPr>
        <w:t xml:space="preserve"> exceed the allocation limit for either bidder, then issuing </w:t>
      </w:r>
      <w:r>
        <w:rPr>
          <w:rFonts w:ascii="Times New Roman" w:eastAsiaTheme="minorHAnsi" w:hAnsi="Times New Roman" w:cs="Times New Roman"/>
          <w:sz w:val="22"/>
          <w:szCs w:val="22"/>
        </w:rPr>
        <w:t xml:space="preserve">a spectrum licence for </w:t>
      </w:r>
      <w:r w:rsidR="00094B77" w:rsidRPr="00487A88">
        <w:rPr>
          <w:rFonts w:ascii="Times New Roman" w:eastAsiaTheme="minorHAnsi" w:hAnsi="Times New Roman" w:cs="Times New Roman"/>
          <w:sz w:val="22"/>
          <w:szCs w:val="22"/>
        </w:rPr>
        <w:t>either the 10 MHz lot</w:t>
      </w:r>
      <w:r>
        <w:rPr>
          <w:rFonts w:ascii="Times New Roman" w:eastAsiaTheme="minorHAnsi" w:hAnsi="Times New Roman" w:cs="Times New Roman"/>
          <w:sz w:val="22"/>
          <w:szCs w:val="22"/>
        </w:rPr>
        <w:t>,</w:t>
      </w:r>
      <w:r w:rsidR="00094B77" w:rsidRPr="00487A88">
        <w:rPr>
          <w:rFonts w:ascii="Times New Roman" w:eastAsiaTheme="minorHAnsi" w:hAnsi="Times New Roman" w:cs="Times New Roman"/>
          <w:sz w:val="22"/>
          <w:szCs w:val="22"/>
        </w:rPr>
        <w:t xml:space="preserve"> or </w:t>
      </w:r>
      <w:r>
        <w:rPr>
          <w:rFonts w:ascii="Times New Roman" w:eastAsiaTheme="minorHAnsi" w:hAnsi="Times New Roman" w:cs="Times New Roman"/>
          <w:sz w:val="22"/>
          <w:szCs w:val="22"/>
        </w:rPr>
        <w:t xml:space="preserve">both </w:t>
      </w:r>
      <w:r w:rsidR="00094B77" w:rsidRPr="00487A88">
        <w:rPr>
          <w:rFonts w:ascii="Times New Roman" w:eastAsiaTheme="minorHAnsi" w:hAnsi="Times New Roman" w:cs="Times New Roman"/>
          <w:sz w:val="22"/>
          <w:szCs w:val="22"/>
        </w:rPr>
        <w:t>the 5MHz lot and 10 MHz lot</w:t>
      </w:r>
      <w:r>
        <w:rPr>
          <w:rFonts w:ascii="Times New Roman" w:eastAsiaTheme="minorHAnsi" w:hAnsi="Times New Roman" w:cs="Times New Roman"/>
          <w:sz w:val="22"/>
          <w:szCs w:val="22"/>
        </w:rPr>
        <w:t>,</w:t>
      </w:r>
      <w:r w:rsidR="00094B77" w:rsidRPr="00487A88">
        <w:rPr>
          <w:rFonts w:ascii="Times New Roman" w:eastAsiaTheme="minorHAnsi" w:hAnsi="Times New Roman" w:cs="Times New Roman"/>
          <w:sz w:val="22"/>
          <w:szCs w:val="22"/>
        </w:rPr>
        <w:t xml:space="preserve"> would exceed the allocation limits.</w:t>
      </w:r>
    </w:p>
    <w:p w14:paraId="478D7648" w14:textId="43170F9C" w:rsidR="00CC1819" w:rsidRPr="00487A88" w:rsidRDefault="00CC1819" w:rsidP="0040292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If the ACMA must not issue a spectrum licence for a lot to a bidder under section</w:t>
      </w:r>
      <w:r w:rsidR="00B848DC">
        <w:rPr>
          <w:rFonts w:ascii="Times New Roman" w:eastAsiaTheme="minorHAnsi" w:hAnsi="Times New Roman" w:cs="Times New Roman"/>
          <w:sz w:val="22"/>
          <w:szCs w:val="22"/>
        </w:rPr>
        <w:t xml:space="preserve"> 70</w:t>
      </w:r>
      <w:r w:rsidRPr="00487A88">
        <w:rPr>
          <w:rFonts w:ascii="Times New Roman" w:eastAsiaTheme="minorHAnsi" w:hAnsi="Times New Roman" w:cs="Times New Roman"/>
          <w:sz w:val="22"/>
          <w:szCs w:val="22"/>
        </w:rPr>
        <w:t>, section 80 applies to that lot.</w:t>
      </w:r>
    </w:p>
    <w:p w14:paraId="29FB2146" w14:textId="55BD6558" w:rsidR="00CC1819" w:rsidRPr="000C0DB4" w:rsidRDefault="00CC1819"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Section 7</w:t>
      </w:r>
      <w:r w:rsidR="00D30A11" w:rsidRPr="000C0DB4">
        <w:rPr>
          <w:rFonts w:eastAsiaTheme="minorHAnsi"/>
          <w:b/>
          <w:sz w:val="22"/>
          <w:szCs w:val="22"/>
          <w:lang w:eastAsia="en-US"/>
        </w:rPr>
        <w:t>1</w:t>
      </w:r>
      <w:r w:rsidRPr="000C0DB4">
        <w:rPr>
          <w:rFonts w:eastAsiaTheme="minorHAnsi"/>
          <w:b/>
          <w:sz w:val="22"/>
          <w:szCs w:val="22"/>
          <w:lang w:eastAsia="en-US"/>
        </w:rPr>
        <w:tab/>
        <w:t>Consequences of affiliation with previous successful bidder</w:t>
      </w:r>
    </w:p>
    <w:p w14:paraId="17383259" w14:textId="66BEA3C5" w:rsidR="00040097" w:rsidRPr="00487A88" w:rsidRDefault="00CB4466" w:rsidP="00D30A11">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The allocation of spectrum licences under th</w:t>
      </w:r>
      <w:r w:rsidR="00B848DC">
        <w:rPr>
          <w:rFonts w:ascii="Times New Roman" w:eastAsiaTheme="minorHAnsi" w:hAnsi="Times New Roman" w:cs="Times New Roman"/>
          <w:sz w:val="22"/>
          <w:szCs w:val="22"/>
        </w:rPr>
        <w:t>e</w:t>
      </w:r>
      <w:r>
        <w:rPr>
          <w:rFonts w:ascii="Times New Roman" w:eastAsiaTheme="minorHAnsi" w:hAnsi="Times New Roman" w:cs="Times New Roman"/>
          <w:sz w:val="22"/>
          <w:szCs w:val="22"/>
        </w:rPr>
        <w:t xml:space="preserve"> Determination to a winning bidder affiliated with a previous successful bidder remains subject to the allocation limits</w:t>
      </w:r>
      <w:r w:rsidR="00D30A11" w:rsidRPr="00487A88">
        <w:rPr>
          <w:rFonts w:ascii="Times New Roman" w:eastAsiaTheme="minorHAnsi" w:hAnsi="Times New Roman" w:cs="Times New Roman"/>
          <w:sz w:val="22"/>
          <w:szCs w:val="22"/>
        </w:rPr>
        <w:t>.  If</w:t>
      </w:r>
      <w:r w:rsidR="00040097" w:rsidRPr="00487A88">
        <w:rPr>
          <w:rFonts w:ascii="Times New Roman" w:eastAsiaTheme="minorHAnsi" w:hAnsi="Times New Roman" w:cs="Times New Roman"/>
          <w:sz w:val="22"/>
          <w:szCs w:val="22"/>
        </w:rPr>
        <w:t>:</w:t>
      </w:r>
    </w:p>
    <w:p w14:paraId="3847D5E8" w14:textId="3A9D9D13" w:rsidR="00040097" w:rsidRPr="000C0DB4" w:rsidRDefault="00CB4466" w:rsidP="000C0DB4">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(a)</w:t>
      </w:r>
      <w:r>
        <w:rPr>
          <w:rFonts w:ascii="Times New Roman" w:eastAsiaTheme="minorHAnsi" w:hAnsi="Times New Roman" w:cs="Times New Roman"/>
          <w:sz w:val="22"/>
          <w:szCs w:val="22"/>
        </w:rPr>
        <w:tab/>
      </w:r>
      <w:proofErr w:type="gramStart"/>
      <w:r w:rsidR="00D30A11" w:rsidRPr="000C0DB4">
        <w:rPr>
          <w:rFonts w:ascii="Times New Roman" w:eastAsiaTheme="minorHAnsi" w:hAnsi="Times New Roman" w:cs="Times New Roman"/>
          <w:sz w:val="22"/>
          <w:szCs w:val="22"/>
        </w:rPr>
        <w:t>the</w:t>
      </w:r>
      <w:proofErr w:type="gramEnd"/>
      <w:r w:rsidR="00D30A11" w:rsidRPr="000C0DB4">
        <w:rPr>
          <w:rFonts w:ascii="Times New Roman" w:eastAsiaTheme="minorHAnsi" w:hAnsi="Times New Roman" w:cs="Times New Roman"/>
          <w:sz w:val="22"/>
          <w:szCs w:val="22"/>
        </w:rPr>
        <w:t xml:space="preserve"> ACMA notifies a winning bidder </w:t>
      </w:r>
      <w:r w:rsidR="00B848DC" w:rsidRPr="000C0DB4">
        <w:rPr>
          <w:rFonts w:ascii="Times New Roman" w:eastAsiaTheme="minorHAnsi" w:hAnsi="Times New Roman" w:cs="Times New Roman"/>
          <w:sz w:val="22"/>
          <w:szCs w:val="22"/>
        </w:rPr>
        <w:t xml:space="preserve">under subsection 69(2) </w:t>
      </w:r>
      <w:r w:rsidR="00D30A11" w:rsidRPr="000C0DB4">
        <w:rPr>
          <w:rFonts w:ascii="Times New Roman" w:eastAsiaTheme="minorHAnsi" w:hAnsi="Times New Roman" w:cs="Times New Roman"/>
          <w:sz w:val="22"/>
          <w:szCs w:val="22"/>
        </w:rPr>
        <w:t>that it is satisfied the bidder is affiliated with a previous successful bidder</w:t>
      </w:r>
      <w:r w:rsidR="00040097" w:rsidRPr="000C0DB4">
        <w:rPr>
          <w:rFonts w:ascii="Times New Roman" w:eastAsiaTheme="minorHAnsi" w:hAnsi="Times New Roman" w:cs="Times New Roman"/>
          <w:sz w:val="22"/>
          <w:szCs w:val="22"/>
        </w:rPr>
        <w:t>; and</w:t>
      </w:r>
    </w:p>
    <w:p w14:paraId="5078DA1E" w14:textId="021F0103" w:rsidR="00040097" w:rsidRPr="000C0DB4" w:rsidRDefault="00CB4466" w:rsidP="000C0DB4">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(b)</w:t>
      </w:r>
      <w:r>
        <w:rPr>
          <w:rFonts w:ascii="Times New Roman" w:eastAsiaTheme="minorHAnsi" w:hAnsi="Times New Roman" w:cs="Times New Roman"/>
          <w:sz w:val="22"/>
          <w:szCs w:val="22"/>
        </w:rPr>
        <w:tab/>
      </w:r>
      <w:proofErr w:type="gramStart"/>
      <w:r w:rsidR="00D30A11" w:rsidRPr="000C0DB4">
        <w:rPr>
          <w:rFonts w:ascii="Times New Roman" w:eastAsiaTheme="minorHAnsi" w:hAnsi="Times New Roman" w:cs="Times New Roman"/>
          <w:sz w:val="22"/>
          <w:szCs w:val="22"/>
        </w:rPr>
        <w:t>the</w:t>
      </w:r>
      <w:proofErr w:type="gramEnd"/>
      <w:r w:rsidR="00D30A11" w:rsidRPr="000C0DB4">
        <w:rPr>
          <w:rFonts w:ascii="Times New Roman" w:eastAsiaTheme="minorHAnsi" w:hAnsi="Times New Roman" w:cs="Times New Roman"/>
          <w:sz w:val="22"/>
          <w:szCs w:val="22"/>
        </w:rPr>
        <w:t xml:space="preserve"> previous successful bidder is not also a winning bidder</w:t>
      </w:r>
      <w:r w:rsidR="00040097" w:rsidRPr="000C0DB4">
        <w:rPr>
          <w:rFonts w:ascii="Times New Roman" w:eastAsiaTheme="minorHAnsi" w:hAnsi="Times New Roman" w:cs="Times New Roman"/>
          <w:sz w:val="22"/>
          <w:szCs w:val="22"/>
        </w:rPr>
        <w:t>; and</w:t>
      </w:r>
    </w:p>
    <w:p w14:paraId="4D5367B1" w14:textId="49AD3CCD" w:rsidR="00040097" w:rsidRPr="000C0DB4" w:rsidRDefault="00CB4466" w:rsidP="000C0DB4">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(c)</w:t>
      </w:r>
      <w:r>
        <w:rPr>
          <w:rFonts w:ascii="Times New Roman" w:eastAsiaTheme="minorHAnsi" w:hAnsi="Times New Roman" w:cs="Times New Roman"/>
          <w:sz w:val="22"/>
          <w:szCs w:val="22"/>
        </w:rPr>
        <w:tab/>
      </w:r>
      <w:r w:rsidR="00D30A11" w:rsidRPr="000C0DB4">
        <w:rPr>
          <w:rFonts w:ascii="Times New Roman" w:eastAsiaTheme="minorHAnsi" w:hAnsi="Times New Roman" w:cs="Times New Roman"/>
          <w:sz w:val="22"/>
          <w:szCs w:val="22"/>
        </w:rPr>
        <w:t>the lot</w:t>
      </w:r>
      <w:r w:rsidR="00040097" w:rsidRPr="000C0DB4">
        <w:rPr>
          <w:rFonts w:ascii="Times New Roman" w:eastAsiaTheme="minorHAnsi" w:hAnsi="Times New Roman" w:cs="Times New Roman"/>
          <w:sz w:val="22"/>
          <w:szCs w:val="22"/>
        </w:rPr>
        <w:t xml:space="preserve"> </w:t>
      </w:r>
      <w:r w:rsidR="00D30A11" w:rsidRPr="000C0DB4">
        <w:rPr>
          <w:rFonts w:ascii="Times New Roman" w:eastAsiaTheme="minorHAnsi" w:hAnsi="Times New Roman" w:cs="Times New Roman"/>
          <w:sz w:val="22"/>
          <w:szCs w:val="22"/>
        </w:rPr>
        <w:t>s</w:t>
      </w:r>
      <w:r w:rsidR="00040097" w:rsidRPr="000C0DB4">
        <w:rPr>
          <w:rFonts w:ascii="Times New Roman" w:eastAsiaTheme="minorHAnsi" w:hAnsi="Times New Roman" w:cs="Times New Roman"/>
          <w:sz w:val="22"/>
          <w:szCs w:val="22"/>
        </w:rPr>
        <w:t>ize</w:t>
      </w:r>
      <w:r w:rsidR="00D30A11" w:rsidRPr="000C0DB4">
        <w:rPr>
          <w:rFonts w:ascii="Times New Roman" w:eastAsiaTheme="minorHAnsi" w:hAnsi="Times New Roman" w:cs="Times New Roman"/>
          <w:sz w:val="22"/>
          <w:szCs w:val="22"/>
        </w:rPr>
        <w:t xml:space="preserve"> </w:t>
      </w:r>
      <w:r w:rsidR="00040097" w:rsidRPr="000C0DB4">
        <w:rPr>
          <w:rFonts w:ascii="Times New Roman" w:eastAsiaTheme="minorHAnsi" w:hAnsi="Times New Roman" w:cs="Times New Roman"/>
          <w:sz w:val="22"/>
          <w:szCs w:val="22"/>
        </w:rPr>
        <w:t>of the lots</w:t>
      </w:r>
      <w:r>
        <w:rPr>
          <w:rFonts w:ascii="Times New Roman" w:eastAsiaTheme="minorHAnsi" w:hAnsi="Times New Roman" w:cs="Times New Roman"/>
          <w:sz w:val="22"/>
          <w:szCs w:val="22"/>
        </w:rPr>
        <w:t xml:space="preserve"> won by the winning bidder</w:t>
      </w:r>
      <w:r w:rsidR="00B848DC">
        <w:rPr>
          <w:rFonts w:ascii="Times New Roman" w:eastAsiaTheme="minorHAnsi" w:hAnsi="Times New Roman" w:cs="Times New Roman"/>
          <w:sz w:val="22"/>
          <w:szCs w:val="22"/>
        </w:rPr>
        <w:t>,</w:t>
      </w:r>
      <w:r w:rsidR="00040097" w:rsidRPr="000C0DB4">
        <w:rPr>
          <w:rFonts w:ascii="Times New Roman" w:eastAsiaTheme="minorHAnsi" w:hAnsi="Times New Roman" w:cs="Times New Roman"/>
          <w:sz w:val="22"/>
          <w:szCs w:val="22"/>
        </w:rPr>
        <w:t xml:space="preserve"> </w:t>
      </w:r>
      <w:r w:rsidR="00B848DC">
        <w:rPr>
          <w:rFonts w:ascii="Times New Roman" w:eastAsiaTheme="minorHAnsi" w:hAnsi="Times New Roman" w:cs="Times New Roman"/>
          <w:sz w:val="22"/>
          <w:szCs w:val="22"/>
        </w:rPr>
        <w:t>when</w:t>
      </w:r>
      <w:r w:rsidR="00040097" w:rsidRPr="000C0DB4">
        <w:rPr>
          <w:rFonts w:ascii="Times New Roman" w:eastAsiaTheme="minorHAnsi" w:hAnsi="Times New Roman" w:cs="Times New Roman"/>
          <w:sz w:val="22"/>
          <w:szCs w:val="22"/>
        </w:rPr>
        <w:t xml:space="preserve"> aggregated with the part of the spectrum that the previous successful bidder</w:t>
      </w:r>
      <w:r>
        <w:rPr>
          <w:rFonts w:ascii="Times New Roman" w:eastAsiaTheme="minorHAnsi" w:hAnsi="Times New Roman" w:cs="Times New Roman"/>
          <w:sz w:val="22"/>
          <w:szCs w:val="22"/>
        </w:rPr>
        <w:t>,</w:t>
      </w:r>
      <w:r w:rsidR="00040097" w:rsidRPr="000C0DB4">
        <w:rPr>
          <w:rFonts w:ascii="Times New Roman" w:eastAsiaTheme="minorHAnsi" w:hAnsi="Times New Roman" w:cs="Times New Roman"/>
          <w:sz w:val="22"/>
          <w:szCs w:val="22"/>
        </w:rPr>
        <w:t xml:space="preserve"> </w:t>
      </w:r>
      <w:r w:rsidR="00D30A11" w:rsidRPr="000C0DB4">
        <w:rPr>
          <w:rFonts w:ascii="Times New Roman" w:eastAsiaTheme="minorHAnsi" w:hAnsi="Times New Roman" w:cs="Times New Roman"/>
          <w:sz w:val="22"/>
          <w:szCs w:val="22"/>
        </w:rPr>
        <w:t xml:space="preserve">or the specified group of persons that includes the </w:t>
      </w:r>
      <w:r w:rsidR="00040097" w:rsidRPr="000C0DB4">
        <w:rPr>
          <w:rFonts w:ascii="Times New Roman" w:eastAsiaTheme="minorHAnsi" w:hAnsi="Times New Roman" w:cs="Times New Roman"/>
          <w:sz w:val="22"/>
          <w:szCs w:val="22"/>
        </w:rPr>
        <w:t xml:space="preserve">previous successful </w:t>
      </w:r>
      <w:r w:rsidR="00D30A11" w:rsidRPr="000C0DB4">
        <w:rPr>
          <w:rFonts w:ascii="Times New Roman" w:eastAsiaTheme="minorHAnsi" w:hAnsi="Times New Roman" w:cs="Times New Roman"/>
          <w:sz w:val="22"/>
          <w:szCs w:val="22"/>
        </w:rPr>
        <w:t xml:space="preserve">bidder, may use as a result of the allocation of spectrum licences under the </w:t>
      </w:r>
      <w:r w:rsidR="00E25645">
        <w:rPr>
          <w:rFonts w:ascii="Times New Roman" w:eastAsiaTheme="minorHAnsi" w:hAnsi="Times New Roman" w:cs="Times New Roman"/>
          <w:sz w:val="22"/>
          <w:szCs w:val="22"/>
        </w:rPr>
        <w:t>previous allocation Determination</w:t>
      </w:r>
      <w:r w:rsidR="005A1F11">
        <w:rPr>
          <w:rFonts w:ascii="Times New Roman" w:eastAsiaTheme="minorHAnsi" w:hAnsi="Times New Roman" w:cs="Times New Roman"/>
          <w:sz w:val="22"/>
          <w:szCs w:val="22"/>
        </w:rPr>
        <w:t>,</w:t>
      </w:r>
      <w:r>
        <w:rPr>
          <w:rFonts w:ascii="Times New Roman" w:eastAsiaTheme="minorHAnsi" w:hAnsi="Times New Roman" w:cs="Times New Roman"/>
          <w:sz w:val="22"/>
          <w:szCs w:val="22"/>
        </w:rPr>
        <w:t xml:space="preserve"> would exceed the allocation limits;</w:t>
      </w:r>
    </w:p>
    <w:p w14:paraId="4D1B571F" w14:textId="6A2B95CC" w:rsidR="00040097" w:rsidRPr="000C0DB4" w:rsidRDefault="00CB4466" w:rsidP="003E487E">
      <w:pPr>
        <w:pStyle w:val="ACMABodyText"/>
        <w:rPr>
          <w:rFonts w:ascii="Times New Roman" w:eastAsiaTheme="minorHAnsi" w:hAnsi="Times New Roman" w:cs="Times New Roman"/>
          <w:sz w:val="22"/>
          <w:szCs w:val="22"/>
        </w:rPr>
      </w:pPr>
      <w:proofErr w:type="gramStart"/>
      <w:r>
        <w:rPr>
          <w:rFonts w:ascii="Times New Roman" w:eastAsiaTheme="minorHAnsi" w:hAnsi="Times New Roman" w:cs="Times New Roman"/>
          <w:sz w:val="22"/>
          <w:szCs w:val="22"/>
        </w:rPr>
        <w:t>subsection</w:t>
      </w:r>
      <w:proofErr w:type="gramEnd"/>
      <w:r>
        <w:rPr>
          <w:rFonts w:ascii="Times New Roman" w:eastAsiaTheme="minorHAnsi" w:hAnsi="Times New Roman" w:cs="Times New Roman"/>
          <w:sz w:val="22"/>
          <w:szCs w:val="22"/>
        </w:rPr>
        <w:t xml:space="preserve"> (1) provides that </w:t>
      </w:r>
      <w:r w:rsidR="00040097" w:rsidRPr="00CB4466">
        <w:rPr>
          <w:rFonts w:ascii="Times New Roman" w:eastAsiaTheme="minorHAnsi" w:hAnsi="Times New Roman" w:cs="Times New Roman"/>
          <w:sz w:val="22"/>
          <w:szCs w:val="22"/>
        </w:rPr>
        <w:t>the ACMA</w:t>
      </w:r>
      <w:r w:rsidR="007357EB">
        <w:rPr>
          <w:rFonts w:ascii="Times New Roman" w:eastAsiaTheme="minorHAnsi" w:hAnsi="Times New Roman" w:cs="Times New Roman"/>
          <w:sz w:val="22"/>
          <w:szCs w:val="22"/>
        </w:rPr>
        <w:t xml:space="preserve"> </w:t>
      </w:r>
      <w:r w:rsidR="00040097" w:rsidRPr="000C0DB4">
        <w:rPr>
          <w:rFonts w:ascii="Times New Roman" w:eastAsiaTheme="minorHAnsi" w:hAnsi="Times New Roman" w:cs="Times New Roman"/>
          <w:sz w:val="22"/>
          <w:szCs w:val="22"/>
        </w:rPr>
        <w:t>must not issue spectrum licences to the winning bidder that would exceed the allocation limits</w:t>
      </w:r>
      <w:r w:rsidR="007357EB">
        <w:rPr>
          <w:rFonts w:ascii="Times New Roman" w:eastAsiaTheme="minorHAnsi" w:hAnsi="Times New Roman" w:cs="Times New Roman"/>
          <w:sz w:val="22"/>
          <w:szCs w:val="22"/>
        </w:rPr>
        <w:t>,</w:t>
      </w:r>
      <w:r w:rsidR="00040097" w:rsidRPr="000C0DB4">
        <w:rPr>
          <w:rFonts w:ascii="Times New Roman" w:eastAsiaTheme="minorHAnsi" w:hAnsi="Times New Roman" w:cs="Times New Roman"/>
          <w:sz w:val="22"/>
          <w:szCs w:val="22"/>
        </w:rPr>
        <w:t xml:space="preserve"> and</w:t>
      </w:r>
      <w:r w:rsidR="007357EB">
        <w:rPr>
          <w:rFonts w:ascii="Times New Roman" w:eastAsiaTheme="minorHAnsi" w:hAnsi="Times New Roman" w:cs="Times New Roman"/>
          <w:sz w:val="22"/>
          <w:szCs w:val="22"/>
        </w:rPr>
        <w:t xml:space="preserve"> </w:t>
      </w:r>
      <w:r w:rsidR="00040097" w:rsidRPr="000C0DB4">
        <w:rPr>
          <w:rFonts w:ascii="Times New Roman" w:eastAsiaTheme="minorHAnsi" w:hAnsi="Times New Roman" w:cs="Times New Roman"/>
          <w:sz w:val="22"/>
          <w:szCs w:val="22"/>
        </w:rPr>
        <w:t>must not issue spectrum licences to the winning bidder except in accordance with section</w:t>
      </w:r>
      <w:r w:rsidR="007357EB">
        <w:rPr>
          <w:rFonts w:ascii="Times New Roman" w:eastAsiaTheme="minorHAnsi" w:hAnsi="Times New Roman" w:cs="Times New Roman"/>
          <w:sz w:val="22"/>
          <w:szCs w:val="22"/>
        </w:rPr>
        <w:t xml:space="preserve"> 71</w:t>
      </w:r>
      <w:r w:rsidR="00040097" w:rsidRPr="000C0DB4">
        <w:rPr>
          <w:rFonts w:ascii="Times New Roman" w:eastAsiaTheme="minorHAnsi" w:hAnsi="Times New Roman" w:cs="Times New Roman"/>
          <w:sz w:val="22"/>
          <w:szCs w:val="22"/>
        </w:rPr>
        <w:t>.</w:t>
      </w:r>
    </w:p>
    <w:p w14:paraId="03D49954" w14:textId="26387BAE" w:rsidR="00653F46" w:rsidRPr="00487A88" w:rsidRDefault="00653F46" w:rsidP="00487A8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Under subsection (2) if:</w:t>
      </w:r>
    </w:p>
    <w:p w14:paraId="0E0AD76D" w14:textId="38B62AE0" w:rsidR="00653F46" w:rsidRPr="000C0DB4" w:rsidRDefault="00653F46" w:rsidP="000C0DB4">
      <w:pPr>
        <w:pStyle w:val="ACMABodyText"/>
        <w:tabs>
          <w:tab w:val="left" w:pos="851"/>
        </w:tabs>
        <w:ind w:left="851" w:hanging="567"/>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(a)</w:t>
      </w:r>
      <w:r w:rsidRPr="000C0DB4">
        <w:rPr>
          <w:rFonts w:ascii="Times New Roman" w:eastAsiaTheme="minorHAnsi" w:hAnsi="Times New Roman" w:cs="Times New Roman"/>
          <w:sz w:val="22"/>
          <w:szCs w:val="22"/>
        </w:rPr>
        <w:tab/>
      </w:r>
      <w:proofErr w:type="gramStart"/>
      <w:r w:rsidRPr="000C0DB4">
        <w:rPr>
          <w:rFonts w:ascii="Times New Roman" w:eastAsiaTheme="minorHAnsi" w:hAnsi="Times New Roman" w:cs="Times New Roman"/>
          <w:sz w:val="22"/>
          <w:szCs w:val="22"/>
        </w:rPr>
        <w:t>the</w:t>
      </w:r>
      <w:proofErr w:type="gramEnd"/>
      <w:r w:rsidRPr="000C0DB4">
        <w:rPr>
          <w:rFonts w:ascii="Times New Roman" w:eastAsiaTheme="minorHAnsi" w:hAnsi="Times New Roman" w:cs="Times New Roman"/>
          <w:sz w:val="22"/>
          <w:szCs w:val="22"/>
        </w:rPr>
        <w:t xml:space="preserve"> winning bidder won both the 10 MHz </w:t>
      </w:r>
      <w:r w:rsidR="00B848DC">
        <w:rPr>
          <w:rFonts w:ascii="Times New Roman" w:eastAsiaTheme="minorHAnsi" w:hAnsi="Times New Roman" w:cs="Times New Roman"/>
          <w:sz w:val="22"/>
          <w:szCs w:val="22"/>
        </w:rPr>
        <w:t xml:space="preserve">lot </w:t>
      </w:r>
      <w:r w:rsidRPr="000C0DB4">
        <w:rPr>
          <w:rFonts w:ascii="Times New Roman" w:eastAsiaTheme="minorHAnsi" w:hAnsi="Times New Roman" w:cs="Times New Roman"/>
          <w:sz w:val="22"/>
          <w:szCs w:val="22"/>
        </w:rPr>
        <w:t>and the 5 MHz lot; and</w:t>
      </w:r>
    </w:p>
    <w:p w14:paraId="50F73502" w14:textId="29F1D5F6" w:rsidR="00653F46" w:rsidRPr="000C0DB4" w:rsidRDefault="00653F46" w:rsidP="000C0DB4">
      <w:pPr>
        <w:pStyle w:val="ACMABodyText"/>
        <w:tabs>
          <w:tab w:val="left" w:pos="851"/>
        </w:tabs>
        <w:ind w:left="851" w:hanging="567"/>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(b)</w:t>
      </w:r>
      <w:r w:rsidRPr="000C0DB4">
        <w:rPr>
          <w:rFonts w:ascii="Times New Roman" w:eastAsiaTheme="minorHAnsi" w:hAnsi="Times New Roman" w:cs="Times New Roman"/>
          <w:sz w:val="22"/>
          <w:szCs w:val="22"/>
        </w:rPr>
        <w:tab/>
      </w:r>
      <w:proofErr w:type="gramStart"/>
      <w:r w:rsidRPr="000C0DB4">
        <w:rPr>
          <w:rFonts w:ascii="Times New Roman" w:eastAsiaTheme="minorHAnsi" w:hAnsi="Times New Roman" w:cs="Times New Roman"/>
          <w:sz w:val="22"/>
          <w:szCs w:val="22"/>
        </w:rPr>
        <w:t>issuing</w:t>
      </w:r>
      <w:proofErr w:type="gramEnd"/>
      <w:r w:rsidRPr="000C0DB4">
        <w:rPr>
          <w:rFonts w:ascii="Times New Roman" w:eastAsiaTheme="minorHAnsi" w:hAnsi="Times New Roman" w:cs="Times New Roman"/>
          <w:sz w:val="22"/>
          <w:szCs w:val="22"/>
        </w:rPr>
        <w:t xml:space="preserve"> a spectrum licence for only the 10 MHz lot to the bidder would not exceed the allocation limits;</w:t>
      </w:r>
    </w:p>
    <w:p w14:paraId="36B96159" w14:textId="1CE97127" w:rsidR="00653F46" w:rsidRPr="00487A88" w:rsidRDefault="00653F46" w:rsidP="00487A88">
      <w:pPr>
        <w:pStyle w:val="ACMABodyText"/>
        <w:rPr>
          <w:rFonts w:ascii="Times New Roman" w:eastAsiaTheme="minorHAnsi" w:hAnsi="Times New Roman" w:cs="Times New Roman"/>
          <w:sz w:val="22"/>
          <w:szCs w:val="22"/>
        </w:rPr>
      </w:pPr>
      <w:proofErr w:type="gramStart"/>
      <w:r w:rsidRPr="00487A88">
        <w:rPr>
          <w:rFonts w:ascii="Times New Roman" w:eastAsiaTheme="minorHAnsi" w:hAnsi="Times New Roman" w:cs="Times New Roman"/>
          <w:sz w:val="22"/>
          <w:szCs w:val="22"/>
        </w:rPr>
        <w:t>the</w:t>
      </w:r>
      <w:proofErr w:type="gramEnd"/>
      <w:r w:rsidRPr="00487A88">
        <w:rPr>
          <w:rFonts w:ascii="Times New Roman" w:eastAsiaTheme="minorHAnsi" w:hAnsi="Times New Roman" w:cs="Times New Roman"/>
          <w:sz w:val="22"/>
          <w:szCs w:val="22"/>
        </w:rPr>
        <w:t xml:space="preserve"> bidder may give a direction to the ACMA specifying either:</w:t>
      </w:r>
    </w:p>
    <w:p w14:paraId="00D86216" w14:textId="3B63643A" w:rsidR="00653F46" w:rsidRPr="000C0DB4" w:rsidRDefault="00653F46" w:rsidP="000C0DB4">
      <w:pPr>
        <w:pStyle w:val="ACMABodyText"/>
        <w:tabs>
          <w:tab w:val="left" w:pos="851"/>
        </w:tabs>
        <w:ind w:left="851" w:hanging="567"/>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(c)</w:t>
      </w:r>
      <w:r w:rsidRPr="000C0DB4">
        <w:rPr>
          <w:rFonts w:ascii="Times New Roman" w:eastAsiaTheme="minorHAnsi" w:hAnsi="Times New Roman" w:cs="Times New Roman"/>
          <w:sz w:val="22"/>
          <w:szCs w:val="22"/>
        </w:rPr>
        <w:tab/>
      </w:r>
      <w:proofErr w:type="gramStart"/>
      <w:r w:rsidRPr="000C0DB4">
        <w:rPr>
          <w:rFonts w:ascii="Times New Roman" w:eastAsiaTheme="minorHAnsi" w:hAnsi="Times New Roman" w:cs="Times New Roman"/>
          <w:sz w:val="22"/>
          <w:szCs w:val="22"/>
        </w:rPr>
        <w:t>that</w:t>
      </w:r>
      <w:proofErr w:type="gramEnd"/>
      <w:r w:rsidRPr="000C0DB4">
        <w:rPr>
          <w:rFonts w:ascii="Times New Roman" w:eastAsiaTheme="minorHAnsi" w:hAnsi="Times New Roman" w:cs="Times New Roman"/>
          <w:sz w:val="22"/>
          <w:szCs w:val="22"/>
        </w:rPr>
        <w:t xml:space="preserve"> the bidder wishes to be issued a spectrum licence for the 10 MHz lot; or</w:t>
      </w:r>
    </w:p>
    <w:p w14:paraId="083795CD" w14:textId="6F08E2CE" w:rsidR="00653F46" w:rsidRPr="000C0DB4" w:rsidRDefault="00653F46" w:rsidP="000C0DB4">
      <w:pPr>
        <w:pStyle w:val="ACMABodyText"/>
        <w:tabs>
          <w:tab w:val="left" w:pos="851"/>
        </w:tabs>
        <w:ind w:left="851" w:hanging="567"/>
        <w:rPr>
          <w:rFonts w:ascii="Times New Roman" w:eastAsiaTheme="minorHAnsi" w:hAnsi="Times New Roman" w:cs="Times New Roman"/>
          <w:sz w:val="22"/>
          <w:szCs w:val="22"/>
        </w:rPr>
      </w:pPr>
      <w:r w:rsidRPr="000C0DB4">
        <w:rPr>
          <w:rFonts w:ascii="Times New Roman" w:eastAsiaTheme="minorHAnsi" w:hAnsi="Times New Roman" w:cs="Times New Roman"/>
          <w:sz w:val="22"/>
          <w:szCs w:val="22"/>
        </w:rPr>
        <w:t>(d)</w:t>
      </w:r>
      <w:r w:rsidRPr="000C0DB4">
        <w:rPr>
          <w:rFonts w:ascii="Times New Roman" w:eastAsiaTheme="minorHAnsi" w:hAnsi="Times New Roman" w:cs="Times New Roman"/>
          <w:sz w:val="22"/>
          <w:szCs w:val="22"/>
        </w:rPr>
        <w:tab/>
      </w:r>
      <w:proofErr w:type="gramStart"/>
      <w:r w:rsidRPr="000C0DB4">
        <w:rPr>
          <w:rFonts w:ascii="Times New Roman" w:eastAsiaTheme="minorHAnsi" w:hAnsi="Times New Roman" w:cs="Times New Roman"/>
          <w:sz w:val="22"/>
          <w:szCs w:val="22"/>
        </w:rPr>
        <w:t>that</w:t>
      </w:r>
      <w:proofErr w:type="gramEnd"/>
      <w:r w:rsidRPr="000C0DB4">
        <w:rPr>
          <w:rFonts w:ascii="Times New Roman" w:eastAsiaTheme="minorHAnsi" w:hAnsi="Times New Roman" w:cs="Times New Roman"/>
          <w:sz w:val="22"/>
          <w:szCs w:val="22"/>
        </w:rPr>
        <w:t xml:space="preserve"> the bidder wishes to be issued a spectrum licence for the 5 MHz lot.</w:t>
      </w:r>
    </w:p>
    <w:p w14:paraId="63B6702F" w14:textId="3DAA0639" w:rsidR="00363BFC" w:rsidRPr="00487A88" w:rsidRDefault="00363BFC" w:rsidP="00487A8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The direction must be given by the winning bidder to the ACMA within </w:t>
      </w:r>
      <w:r w:rsidR="007357EB">
        <w:rPr>
          <w:rFonts w:ascii="Times New Roman" w:eastAsiaTheme="minorHAnsi" w:hAnsi="Times New Roman" w:cs="Times New Roman"/>
          <w:sz w:val="22"/>
          <w:szCs w:val="22"/>
        </w:rPr>
        <w:t>five</w:t>
      </w:r>
      <w:r w:rsidRPr="00487A88">
        <w:rPr>
          <w:rFonts w:ascii="Times New Roman" w:eastAsiaTheme="minorHAnsi" w:hAnsi="Times New Roman" w:cs="Times New Roman"/>
          <w:sz w:val="22"/>
          <w:szCs w:val="22"/>
        </w:rPr>
        <w:t xml:space="preserve"> working days after the winning bidder receive</w:t>
      </w:r>
      <w:r w:rsidR="00B848DC">
        <w:rPr>
          <w:rFonts w:ascii="Times New Roman" w:eastAsiaTheme="minorHAnsi" w:hAnsi="Times New Roman" w:cs="Times New Roman"/>
          <w:sz w:val="22"/>
          <w:szCs w:val="22"/>
        </w:rPr>
        <w:t>s</w:t>
      </w:r>
      <w:r w:rsidRPr="00487A88">
        <w:rPr>
          <w:rFonts w:ascii="Times New Roman" w:eastAsiaTheme="minorHAnsi" w:hAnsi="Times New Roman" w:cs="Times New Roman"/>
          <w:sz w:val="22"/>
          <w:szCs w:val="22"/>
        </w:rPr>
        <w:t xml:space="preserve"> notification under subsection 69(2). </w:t>
      </w:r>
      <w:r w:rsidR="00CB4466">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Subject to the Act and th</w:t>
      </w:r>
      <w:r w:rsidR="00CB4466">
        <w:rPr>
          <w:rFonts w:ascii="Times New Roman" w:eastAsiaTheme="minorHAnsi" w:hAnsi="Times New Roman" w:cs="Times New Roman"/>
          <w:sz w:val="22"/>
          <w:szCs w:val="22"/>
        </w:rPr>
        <w:t>e Determination</w:t>
      </w:r>
      <w:r w:rsidRPr="00487A88">
        <w:rPr>
          <w:rFonts w:ascii="Times New Roman" w:eastAsiaTheme="minorHAnsi" w:hAnsi="Times New Roman" w:cs="Times New Roman"/>
          <w:sz w:val="22"/>
          <w:szCs w:val="22"/>
        </w:rPr>
        <w:t xml:space="preserve">, the ACMA must issue a spectrum licence in accordance with that direction, and must not issue a spectrum licence for the other lot to the bidder. </w:t>
      </w:r>
      <w:r w:rsidR="00CB4466">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If the ACMA does not receive a direction within </w:t>
      </w:r>
      <w:r w:rsidR="00DB54F7">
        <w:rPr>
          <w:rFonts w:ascii="Times New Roman" w:eastAsiaTheme="minorHAnsi" w:hAnsi="Times New Roman" w:cs="Times New Roman"/>
          <w:sz w:val="22"/>
          <w:szCs w:val="22"/>
        </w:rPr>
        <w:t>five</w:t>
      </w:r>
      <w:r w:rsidRPr="00487A88">
        <w:rPr>
          <w:rFonts w:ascii="Times New Roman" w:eastAsiaTheme="minorHAnsi" w:hAnsi="Times New Roman" w:cs="Times New Roman"/>
          <w:sz w:val="22"/>
          <w:szCs w:val="22"/>
        </w:rPr>
        <w:t xml:space="preserve"> working days, subject to the Act and </w:t>
      </w:r>
      <w:r w:rsidR="00CB4466">
        <w:rPr>
          <w:rFonts w:ascii="Times New Roman" w:eastAsiaTheme="minorHAnsi" w:hAnsi="Times New Roman" w:cs="Times New Roman"/>
          <w:sz w:val="22"/>
          <w:szCs w:val="22"/>
        </w:rPr>
        <w:t>the Determination</w:t>
      </w:r>
      <w:r w:rsidRPr="00487A88">
        <w:rPr>
          <w:rFonts w:ascii="Times New Roman" w:eastAsiaTheme="minorHAnsi" w:hAnsi="Times New Roman" w:cs="Times New Roman"/>
          <w:sz w:val="22"/>
          <w:szCs w:val="22"/>
        </w:rPr>
        <w:t xml:space="preserve">, the ACMA must issue a spectrum licence for the 10 MHz lot to the bidder. </w:t>
      </w:r>
    </w:p>
    <w:p w14:paraId="4C7607F6" w14:textId="3EBD99F7" w:rsidR="00653F46" w:rsidRPr="00487A88" w:rsidRDefault="00363BFC" w:rsidP="00487A8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 xml:space="preserve">If </w:t>
      </w:r>
      <w:r w:rsidR="00653F46" w:rsidRPr="00487A88">
        <w:rPr>
          <w:rFonts w:ascii="Times New Roman" w:eastAsiaTheme="minorHAnsi" w:hAnsi="Times New Roman" w:cs="Times New Roman"/>
          <w:sz w:val="22"/>
          <w:szCs w:val="22"/>
        </w:rPr>
        <w:t>the winning bidder won both the 10 MHz lot and the 5 MHz lot; and</w:t>
      </w:r>
      <w:r w:rsidRPr="00487A88">
        <w:rPr>
          <w:rFonts w:ascii="Times New Roman" w:eastAsiaTheme="minorHAnsi" w:hAnsi="Times New Roman" w:cs="Times New Roman"/>
          <w:sz w:val="22"/>
          <w:szCs w:val="22"/>
        </w:rPr>
        <w:t xml:space="preserve"> </w:t>
      </w:r>
      <w:r w:rsidR="00653F46" w:rsidRPr="00487A88">
        <w:rPr>
          <w:rFonts w:ascii="Times New Roman" w:eastAsiaTheme="minorHAnsi" w:hAnsi="Times New Roman" w:cs="Times New Roman"/>
          <w:sz w:val="22"/>
          <w:szCs w:val="22"/>
        </w:rPr>
        <w:t>issuing a spectrum licence for only the 10 MHz lot to the bidder would exceed the allocation limits</w:t>
      </w:r>
      <w:r w:rsidR="00CB4466">
        <w:rPr>
          <w:rFonts w:ascii="Times New Roman" w:eastAsiaTheme="minorHAnsi" w:hAnsi="Times New Roman" w:cs="Times New Roman"/>
          <w:sz w:val="22"/>
          <w:szCs w:val="22"/>
        </w:rPr>
        <w:t>,</w:t>
      </w:r>
      <w:r w:rsidRPr="00487A88">
        <w:rPr>
          <w:rFonts w:ascii="Times New Roman" w:eastAsiaTheme="minorHAnsi" w:hAnsi="Times New Roman" w:cs="Times New Roman"/>
          <w:sz w:val="22"/>
          <w:szCs w:val="22"/>
        </w:rPr>
        <w:t xml:space="preserve"> </w:t>
      </w:r>
      <w:r w:rsidR="00653F46" w:rsidRPr="00487A88">
        <w:rPr>
          <w:rFonts w:ascii="Times New Roman" w:eastAsiaTheme="minorHAnsi" w:hAnsi="Times New Roman" w:cs="Times New Roman"/>
          <w:sz w:val="22"/>
          <w:szCs w:val="22"/>
        </w:rPr>
        <w:t>then</w:t>
      </w:r>
      <w:r w:rsidRPr="00487A88">
        <w:rPr>
          <w:rFonts w:ascii="Times New Roman" w:eastAsiaTheme="minorHAnsi" w:hAnsi="Times New Roman" w:cs="Times New Roman"/>
          <w:sz w:val="22"/>
          <w:szCs w:val="22"/>
        </w:rPr>
        <w:t xml:space="preserve"> </w:t>
      </w:r>
      <w:r w:rsidR="00653F46" w:rsidRPr="00487A88">
        <w:rPr>
          <w:rFonts w:ascii="Times New Roman" w:eastAsiaTheme="minorHAnsi" w:hAnsi="Times New Roman" w:cs="Times New Roman"/>
          <w:sz w:val="22"/>
          <w:szCs w:val="22"/>
        </w:rPr>
        <w:t>the ACMA must not issue a spectrum licence for the 10 MHz lot to the bidder</w:t>
      </w:r>
      <w:r w:rsidR="00CB4466">
        <w:rPr>
          <w:rFonts w:ascii="Times New Roman" w:eastAsiaTheme="minorHAnsi" w:hAnsi="Times New Roman" w:cs="Times New Roman"/>
          <w:sz w:val="22"/>
          <w:szCs w:val="22"/>
        </w:rPr>
        <w:t>.  S</w:t>
      </w:r>
      <w:r w:rsidR="00653F46" w:rsidRPr="00487A88">
        <w:rPr>
          <w:rFonts w:ascii="Times New Roman" w:eastAsiaTheme="minorHAnsi" w:hAnsi="Times New Roman" w:cs="Times New Roman"/>
          <w:sz w:val="22"/>
          <w:szCs w:val="22"/>
        </w:rPr>
        <w:t xml:space="preserve">ubject to the Act and </w:t>
      </w:r>
      <w:r w:rsidR="00CB4466">
        <w:rPr>
          <w:rFonts w:ascii="Times New Roman" w:eastAsiaTheme="minorHAnsi" w:hAnsi="Times New Roman" w:cs="Times New Roman"/>
          <w:sz w:val="22"/>
          <w:szCs w:val="22"/>
        </w:rPr>
        <w:t>the Determination</w:t>
      </w:r>
      <w:r w:rsidR="00653F46" w:rsidRPr="00487A88">
        <w:rPr>
          <w:rFonts w:ascii="Times New Roman" w:eastAsiaTheme="minorHAnsi" w:hAnsi="Times New Roman" w:cs="Times New Roman"/>
          <w:sz w:val="22"/>
          <w:szCs w:val="22"/>
        </w:rPr>
        <w:t>, the ACMA must issue a spectrum licence for the 5 MHz lot to the bidder.</w:t>
      </w:r>
    </w:p>
    <w:p w14:paraId="09BF55CA" w14:textId="38C856F2" w:rsidR="00363BFC" w:rsidRPr="00487A88" w:rsidRDefault="00363BFC" w:rsidP="00487A8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If the winning bidder won only the 10 MHz lot and issuing a spectrum licence for only the 10 MHz lot to the bidder would exceed the spectrum allocation limits, then the ACMA must not issue a spectrum licence for the 10 MHz lot to that bidder.</w:t>
      </w:r>
    </w:p>
    <w:p w14:paraId="7EC99818" w14:textId="78BC4FD6" w:rsidR="00013A7E" w:rsidRPr="00487A88" w:rsidRDefault="00013A7E" w:rsidP="00487A8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lastRenderedPageBreak/>
        <w:t>If issuing a spectrum licence for the 5 MHz lot to the winning bidder would exceed the allocation limits, the ACMA must not issue a spectrum licence for the 10 MHz lot, or the 5 MHz lot, or both</w:t>
      </w:r>
      <w:r w:rsidR="00DB54F7">
        <w:rPr>
          <w:rFonts w:ascii="Times New Roman" w:eastAsiaTheme="minorHAnsi" w:hAnsi="Times New Roman" w:cs="Times New Roman"/>
          <w:sz w:val="22"/>
          <w:szCs w:val="22"/>
        </w:rPr>
        <w:t xml:space="preserve"> lots</w:t>
      </w:r>
      <w:r w:rsidRPr="00487A88">
        <w:rPr>
          <w:rFonts w:ascii="Times New Roman" w:eastAsiaTheme="minorHAnsi" w:hAnsi="Times New Roman" w:cs="Times New Roman"/>
          <w:sz w:val="22"/>
          <w:szCs w:val="22"/>
        </w:rPr>
        <w:t>, to that bidder.</w:t>
      </w:r>
      <w:r w:rsidR="00DB54F7">
        <w:rPr>
          <w:rFonts w:ascii="Times New Roman" w:eastAsiaTheme="minorHAnsi" w:hAnsi="Times New Roman" w:cs="Times New Roman"/>
          <w:sz w:val="22"/>
          <w:szCs w:val="22"/>
        </w:rPr>
        <w:t xml:space="preserve"> </w:t>
      </w:r>
      <w:r w:rsidRPr="00487A88">
        <w:rPr>
          <w:rFonts w:ascii="Times New Roman" w:eastAsiaTheme="minorHAnsi" w:hAnsi="Times New Roman" w:cs="Times New Roman"/>
          <w:sz w:val="22"/>
          <w:szCs w:val="22"/>
        </w:rPr>
        <w:t xml:space="preserve"> If issuing a spectrum licence for the 5 MHz lot to the bidder would exceed the allocation limits, then issuing a spectrum licence for the 10 MHz lot, or for both the 5 MHz and </w:t>
      </w:r>
      <w:r w:rsidR="00DB54F7" w:rsidRPr="00487A88">
        <w:rPr>
          <w:rFonts w:ascii="Times New Roman" w:eastAsiaTheme="minorHAnsi" w:hAnsi="Times New Roman" w:cs="Times New Roman"/>
          <w:sz w:val="22"/>
          <w:szCs w:val="22"/>
        </w:rPr>
        <w:t>10</w:t>
      </w:r>
      <w:r w:rsidR="00DB54F7">
        <w:rPr>
          <w:rFonts w:ascii="Times New Roman" w:eastAsiaTheme="minorHAnsi" w:hAnsi="Times New Roman" w:cs="Times New Roman"/>
          <w:sz w:val="22"/>
          <w:szCs w:val="22"/>
        </w:rPr>
        <w:t> </w:t>
      </w:r>
      <w:r w:rsidRPr="00487A88">
        <w:rPr>
          <w:rFonts w:ascii="Times New Roman" w:eastAsiaTheme="minorHAnsi" w:hAnsi="Times New Roman" w:cs="Times New Roman"/>
          <w:sz w:val="22"/>
          <w:szCs w:val="22"/>
        </w:rPr>
        <w:t>MHz lots, would exceed the allocation limits.</w:t>
      </w:r>
    </w:p>
    <w:p w14:paraId="33F3E5E5" w14:textId="0AC869BB" w:rsidR="00013A7E" w:rsidRPr="00487A88" w:rsidRDefault="00013A7E" w:rsidP="00487A88">
      <w:pPr>
        <w:pStyle w:val="ACMABodyText"/>
        <w:rPr>
          <w:rFonts w:ascii="Times New Roman" w:eastAsiaTheme="minorHAnsi" w:hAnsi="Times New Roman" w:cs="Times New Roman"/>
          <w:sz w:val="22"/>
          <w:szCs w:val="22"/>
        </w:rPr>
      </w:pPr>
      <w:r w:rsidRPr="00487A88">
        <w:rPr>
          <w:rFonts w:ascii="Times New Roman" w:eastAsiaTheme="minorHAnsi" w:hAnsi="Times New Roman" w:cs="Times New Roman"/>
          <w:sz w:val="22"/>
          <w:szCs w:val="22"/>
        </w:rPr>
        <w:t>If the ACMA must not issue a spectrum licence for a lot to a bidder under section</w:t>
      </w:r>
      <w:r w:rsidR="00B848DC">
        <w:rPr>
          <w:rFonts w:ascii="Times New Roman" w:eastAsiaTheme="minorHAnsi" w:hAnsi="Times New Roman" w:cs="Times New Roman"/>
          <w:sz w:val="22"/>
          <w:szCs w:val="22"/>
        </w:rPr>
        <w:t xml:space="preserve"> 71</w:t>
      </w:r>
      <w:r w:rsidRPr="00487A88">
        <w:rPr>
          <w:rFonts w:ascii="Times New Roman" w:eastAsiaTheme="minorHAnsi" w:hAnsi="Times New Roman" w:cs="Times New Roman"/>
          <w:sz w:val="22"/>
          <w:szCs w:val="22"/>
        </w:rPr>
        <w:t>, section 80 applies to that lot.</w:t>
      </w:r>
    </w:p>
    <w:p w14:paraId="64C91E95" w14:textId="318A54A2" w:rsidR="00603AB1" w:rsidRPr="009311BF" w:rsidRDefault="00603AB1" w:rsidP="00012378">
      <w:pPr>
        <w:keepNext/>
        <w:spacing w:before="280" w:after="160" w:line="259" w:lineRule="auto"/>
        <w:rPr>
          <w:rFonts w:eastAsiaTheme="minorHAnsi"/>
          <w:b/>
          <w:lang w:eastAsia="en-US"/>
        </w:rPr>
      </w:pPr>
      <w:r w:rsidRPr="009311BF">
        <w:rPr>
          <w:rFonts w:eastAsiaTheme="minorHAnsi"/>
          <w:b/>
          <w:lang w:eastAsia="en-US"/>
        </w:rPr>
        <w:t xml:space="preserve">Division </w:t>
      </w:r>
      <w:r w:rsidR="00013A7E" w:rsidRPr="009311BF">
        <w:rPr>
          <w:rFonts w:eastAsiaTheme="minorHAnsi"/>
          <w:b/>
          <w:lang w:eastAsia="en-US"/>
        </w:rPr>
        <w:t>4</w:t>
      </w:r>
      <w:r w:rsidRPr="009311BF">
        <w:rPr>
          <w:rFonts w:eastAsiaTheme="minorHAnsi"/>
          <w:b/>
          <w:lang w:eastAsia="en-US"/>
        </w:rPr>
        <w:tab/>
        <w:t xml:space="preserve">Payment and issue of </w:t>
      </w:r>
      <w:r w:rsidR="00047024" w:rsidRPr="009311BF">
        <w:rPr>
          <w:rFonts w:eastAsiaTheme="minorHAnsi"/>
          <w:b/>
          <w:lang w:eastAsia="en-US"/>
        </w:rPr>
        <w:t xml:space="preserve">spectrum </w:t>
      </w:r>
      <w:r w:rsidRPr="009311BF">
        <w:rPr>
          <w:rFonts w:eastAsiaTheme="minorHAnsi"/>
          <w:b/>
          <w:lang w:eastAsia="en-US"/>
        </w:rPr>
        <w:t>licences</w:t>
      </w:r>
    </w:p>
    <w:p w14:paraId="3FFBD9B0" w14:textId="3205875B" w:rsidR="00013A7E" w:rsidRPr="00CC30BD" w:rsidRDefault="00603AB1" w:rsidP="000C0DB4">
      <w:pPr>
        <w:keepNext/>
        <w:spacing w:after="160" w:line="259" w:lineRule="auto"/>
        <w:rPr>
          <w:rFonts w:eastAsiaTheme="minorHAnsi"/>
          <w:b/>
          <w:sz w:val="22"/>
          <w:szCs w:val="22"/>
          <w:lang w:eastAsia="en-US"/>
        </w:rPr>
      </w:pPr>
      <w:r w:rsidRPr="00CC30BD">
        <w:rPr>
          <w:rFonts w:eastAsiaTheme="minorHAnsi"/>
          <w:b/>
          <w:sz w:val="22"/>
          <w:szCs w:val="22"/>
          <w:lang w:eastAsia="en-US"/>
        </w:rPr>
        <w:t xml:space="preserve">Section </w:t>
      </w:r>
      <w:r w:rsidR="004B5788" w:rsidRPr="00CC30BD">
        <w:rPr>
          <w:rFonts w:eastAsiaTheme="minorHAnsi"/>
          <w:b/>
          <w:sz w:val="22"/>
          <w:szCs w:val="22"/>
          <w:lang w:eastAsia="en-US"/>
        </w:rPr>
        <w:t>7</w:t>
      </w:r>
      <w:r w:rsidR="00013A7E" w:rsidRPr="00CC30BD">
        <w:rPr>
          <w:rFonts w:eastAsiaTheme="minorHAnsi"/>
          <w:b/>
          <w:sz w:val="22"/>
          <w:szCs w:val="22"/>
          <w:lang w:eastAsia="en-US"/>
        </w:rPr>
        <w:t>2</w:t>
      </w:r>
      <w:r w:rsidR="00013A7E" w:rsidRPr="00CC30BD">
        <w:rPr>
          <w:rFonts w:eastAsiaTheme="minorHAnsi"/>
          <w:b/>
          <w:sz w:val="22"/>
          <w:szCs w:val="22"/>
          <w:lang w:eastAsia="en-US"/>
        </w:rPr>
        <w:tab/>
        <w:t>The winning price for a lot</w:t>
      </w:r>
    </w:p>
    <w:p w14:paraId="0C440445" w14:textId="4F81DA02" w:rsidR="00013A7E" w:rsidRPr="009311BF" w:rsidRDefault="005C2F87" w:rsidP="00487A88">
      <w:pPr>
        <w:pStyle w:val="ACMABodyText"/>
        <w:rPr>
          <w:rFonts w:ascii="Times New Roman" w:eastAsiaTheme="minorHAnsi" w:hAnsi="Times New Roman" w:cs="Times New Roman"/>
          <w:sz w:val="22"/>
          <w:szCs w:val="22"/>
        </w:rPr>
      </w:pPr>
      <w:r w:rsidRPr="00D208A5">
        <w:rPr>
          <w:rFonts w:ascii="Times New Roman" w:eastAsiaTheme="minorHAnsi" w:hAnsi="Times New Roman" w:cs="Times New Roman"/>
          <w:sz w:val="22"/>
          <w:szCs w:val="22"/>
        </w:rPr>
        <w:t>I</w:t>
      </w:r>
      <w:r w:rsidR="00013A7E" w:rsidRPr="00D208A5">
        <w:rPr>
          <w:rFonts w:ascii="Times New Roman" w:eastAsiaTheme="minorHAnsi" w:hAnsi="Times New Roman" w:cs="Times New Roman"/>
          <w:sz w:val="22"/>
          <w:szCs w:val="22"/>
        </w:rPr>
        <w:t xml:space="preserve">f there is only one bid on the lot, the </w:t>
      </w:r>
      <w:r w:rsidR="00013A7E" w:rsidRPr="00D019B0">
        <w:rPr>
          <w:rFonts w:ascii="Times New Roman" w:eastAsiaTheme="minorHAnsi" w:hAnsi="Times New Roman" w:cs="Times New Roman"/>
          <w:b/>
          <w:sz w:val="22"/>
          <w:szCs w:val="22"/>
        </w:rPr>
        <w:t>winning price</w:t>
      </w:r>
      <w:r w:rsidR="00013A7E" w:rsidRPr="00D019B0">
        <w:rPr>
          <w:rFonts w:ascii="Times New Roman" w:eastAsiaTheme="minorHAnsi" w:hAnsi="Times New Roman" w:cs="Times New Roman"/>
          <w:sz w:val="22"/>
          <w:szCs w:val="22"/>
        </w:rPr>
        <w:t xml:space="preserve"> for a lot won by a bidder at auction is the starting price for the lot. </w:t>
      </w:r>
      <w:r w:rsidR="00012378" w:rsidRPr="00D019B0">
        <w:rPr>
          <w:rFonts w:ascii="Times New Roman" w:eastAsiaTheme="minorHAnsi" w:hAnsi="Times New Roman" w:cs="Times New Roman"/>
          <w:sz w:val="22"/>
          <w:szCs w:val="22"/>
        </w:rPr>
        <w:t xml:space="preserve"> </w:t>
      </w:r>
      <w:r w:rsidR="00013A7E" w:rsidRPr="00D019B0">
        <w:rPr>
          <w:rFonts w:ascii="Times New Roman" w:eastAsiaTheme="minorHAnsi" w:hAnsi="Times New Roman" w:cs="Times New Roman"/>
          <w:sz w:val="22"/>
          <w:szCs w:val="22"/>
        </w:rPr>
        <w:t xml:space="preserve">If there is more than one bid on the lot, the </w:t>
      </w:r>
      <w:r w:rsidR="00013A7E" w:rsidRPr="00D019B0">
        <w:rPr>
          <w:rFonts w:ascii="Times New Roman" w:eastAsiaTheme="minorHAnsi" w:hAnsi="Times New Roman" w:cs="Times New Roman"/>
          <w:b/>
          <w:sz w:val="22"/>
          <w:szCs w:val="22"/>
        </w:rPr>
        <w:t>winning price</w:t>
      </w:r>
      <w:r w:rsidR="00013A7E" w:rsidRPr="00D019B0">
        <w:rPr>
          <w:rFonts w:ascii="Times New Roman" w:eastAsiaTheme="minorHAnsi" w:hAnsi="Times New Roman" w:cs="Times New Roman"/>
          <w:sz w:val="22"/>
          <w:szCs w:val="22"/>
        </w:rPr>
        <w:t xml:space="preserve"> for a lot won by a bidder at auction is the highest bid made for the lot by any bidder, during any round, other than the </w:t>
      </w:r>
      <w:r w:rsidR="00013A7E" w:rsidRPr="009311BF">
        <w:rPr>
          <w:rFonts w:ascii="Times New Roman" w:eastAsiaTheme="minorHAnsi" w:hAnsi="Times New Roman" w:cs="Times New Roman"/>
          <w:b/>
          <w:sz w:val="22"/>
          <w:szCs w:val="22"/>
        </w:rPr>
        <w:t>final high bid</w:t>
      </w:r>
      <w:r w:rsidR="00013A7E" w:rsidRPr="009311BF">
        <w:rPr>
          <w:rFonts w:ascii="Times New Roman" w:eastAsiaTheme="minorHAnsi" w:hAnsi="Times New Roman" w:cs="Times New Roman"/>
          <w:sz w:val="22"/>
          <w:szCs w:val="22"/>
        </w:rPr>
        <w:t>.</w:t>
      </w:r>
      <w:r w:rsidR="00012378" w:rsidRPr="009311BF">
        <w:rPr>
          <w:rFonts w:ascii="Times New Roman" w:eastAsiaTheme="minorHAnsi" w:hAnsi="Times New Roman" w:cs="Times New Roman"/>
          <w:sz w:val="22"/>
          <w:szCs w:val="22"/>
        </w:rPr>
        <w:t xml:space="preserve">  The final high bid is defined in Schedule 1 to the Determination.</w:t>
      </w:r>
    </w:p>
    <w:p w14:paraId="2EDB4116" w14:textId="3DBF7668" w:rsidR="00603AB1" w:rsidRPr="009311BF" w:rsidRDefault="00013A7E" w:rsidP="000C0DB4">
      <w:pPr>
        <w:keepNext/>
        <w:spacing w:after="160" w:line="259" w:lineRule="auto"/>
        <w:rPr>
          <w:rFonts w:eastAsiaTheme="minorHAnsi"/>
          <w:b/>
          <w:sz w:val="22"/>
          <w:szCs w:val="22"/>
          <w:lang w:eastAsia="en-US"/>
        </w:rPr>
      </w:pPr>
      <w:r w:rsidRPr="009311BF">
        <w:rPr>
          <w:rFonts w:eastAsiaTheme="minorHAnsi"/>
          <w:b/>
          <w:sz w:val="22"/>
          <w:szCs w:val="22"/>
          <w:lang w:eastAsia="en-US"/>
        </w:rPr>
        <w:t>Section 73</w:t>
      </w:r>
      <w:r w:rsidR="00603AB1" w:rsidRPr="009311BF">
        <w:rPr>
          <w:rFonts w:eastAsiaTheme="minorHAnsi"/>
          <w:b/>
          <w:sz w:val="22"/>
          <w:szCs w:val="22"/>
          <w:lang w:eastAsia="en-US"/>
        </w:rPr>
        <w:tab/>
      </w:r>
      <w:r w:rsidR="00CC5437" w:rsidRPr="009311BF">
        <w:rPr>
          <w:rFonts w:eastAsiaTheme="minorHAnsi"/>
          <w:b/>
          <w:sz w:val="22"/>
          <w:szCs w:val="22"/>
          <w:lang w:eastAsia="en-US"/>
        </w:rPr>
        <w:t>The upfront winning p</w:t>
      </w:r>
      <w:r w:rsidR="00F07DE2">
        <w:rPr>
          <w:rFonts w:eastAsiaTheme="minorHAnsi"/>
          <w:b/>
          <w:sz w:val="22"/>
          <w:szCs w:val="22"/>
          <w:lang w:eastAsia="en-US"/>
        </w:rPr>
        <w:t xml:space="preserve">rice and </w:t>
      </w:r>
      <w:r w:rsidR="00B848DC">
        <w:rPr>
          <w:rFonts w:eastAsiaTheme="minorHAnsi"/>
          <w:b/>
          <w:sz w:val="22"/>
          <w:szCs w:val="22"/>
          <w:lang w:eastAsia="en-US"/>
        </w:rPr>
        <w:t xml:space="preserve">the </w:t>
      </w:r>
      <w:r w:rsidR="00F07DE2">
        <w:rPr>
          <w:rFonts w:eastAsiaTheme="minorHAnsi"/>
          <w:b/>
          <w:sz w:val="22"/>
          <w:szCs w:val="22"/>
          <w:lang w:eastAsia="en-US"/>
        </w:rPr>
        <w:t>delayed winning price</w:t>
      </w:r>
    </w:p>
    <w:p w14:paraId="4A8E1676" w14:textId="66C29086" w:rsidR="00CC5437" w:rsidRPr="005C338A" w:rsidRDefault="00CC5437" w:rsidP="00B739F2">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Under section 75</w:t>
      </w:r>
      <w:r w:rsidR="00EB7A77" w:rsidRPr="005C338A">
        <w:rPr>
          <w:rFonts w:ascii="Times New Roman" w:eastAsiaTheme="minorHAnsi" w:hAnsi="Times New Roman" w:cs="Times New Roman"/>
          <w:sz w:val="22"/>
          <w:szCs w:val="22"/>
        </w:rPr>
        <w:t>, and in accordance with the Residual 700 MHz Spectrum Direction,</w:t>
      </w:r>
      <w:r w:rsidRPr="005C338A">
        <w:rPr>
          <w:rFonts w:ascii="Times New Roman" w:eastAsiaTheme="minorHAnsi" w:hAnsi="Times New Roman" w:cs="Times New Roman"/>
          <w:sz w:val="22"/>
          <w:szCs w:val="22"/>
        </w:rPr>
        <w:t xml:space="preserve"> </w:t>
      </w:r>
      <w:r w:rsidR="00EB7A77"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 xml:space="preserve"> winning bidder can elect either to pay the balance of the upfront winning price no later than 31 January 2018 or to pay the delayed winning price by instalments as outlined in subsection 75(3). </w:t>
      </w:r>
      <w:r w:rsidR="00EB7A77" w:rsidRPr="005C338A">
        <w:rPr>
          <w:rFonts w:ascii="Times New Roman" w:eastAsiaTheme="minorHAnsi" w:hAnsi="Times New Roman" w:cs="Times New Roman"/>
          <w:sz w:val="22"/>
          <w:szCs w:val="22"/>
        </w:rPr>
        <w:t xml:space="preserve"> </w:t>
      </w:r>
      <w:r w:rsidR="00603AB1" w:rsidRPr="005C338A">
        <w:rPr>
          <w:rFonts w:ascii="Times New Roman" w:eastAsiaTheme="minorHAnsi" w:hAnsi="Times New Roman" w:cs="Times New Roman"/>
          <w:sz w:val="22"/>
          <w:szCs w:val="22"/>
        </w:rPr>
        <w:t>This section de</w:t>
      </w:r>
      <w:r w:rsidRPr="005C338A">
        <w:rPr>
          <w:rFonts w:ascii="Times New Roman" w:eastAsiaTheme="minorHAnsi" w:hAnsi="Times New Roman" w:cs="Times New Roman"/>
          <w:sz w:val="22"/>
          <w:szCs w:val="22"/>
        </w:rPr>
        <w:t xml:space="preserve">fines the terms used in calculating payment of </w:t>
      </w:r>
      <w:r w:rsidR="00025BFE" w:rsidRPr="005C338A">
        <w:rPr>
          <w:rFonts w:ascii="Times New Roman" w:eastAsiaTheme="minorHAnsi" w:hAnsi="Times New Roman" w:cs="Times New Roman"/>
          <w:sz w:val="22"/>
          <w:szCs w:val="22"/>
        </w:rPr>
        <w:t>the</w:t>
      </w:r>
      <w:r w:rsidRPr="005C338A">
        <w:rPr>
          <w:rFonts w:ascii="Times New Roman" w:eastAsiaTheme="minorHAnsi" w:hAnsi="Times New Roman" w:cs="Times New Roman"/>
          <w:sz w:val="22"/>
          <w:szCs w:val="22"/>
        </w:rPr>
        <w:t xml:space="preserve"> upfront winning price</w:t>
      </w:r>
      <w:r w:rsidR="00B1619E" w:rsidRPr="005C338A">
        <w:rPr>
          <w:rFonts w:ascii="Times New Roman" w:eastAsiaTheme="minorHAnsi" w:hAnsi="Times New Roman" w:cs="Times New Roman"/>
          <w:sz w:val="22"/>
          <w:szCs w:val="22"/>
        </w:rPr>
        <w:t>, the balance of the upfront winning price</w:t>
      </w:r>
      <w:r w:rsidRPr="005C338A">
        <w:rPr>
          <w:rFonts w:ascii="Times New Roman" w:eastAsiaTheme="minorHAnsi" w:hAnsi="Times New Roman" w:cs="Times New Roman"/>
          <w:sz w:val="22"/>
          <w:szCs w:val="22"/>
        </w:rPr>
        <w:t xml:space="preserve"> and delayed winning price. </w:t>
      </w:r>
      <w:r w:rsidR="00DB54F7" w:rsidRPr="005C338A">
        <w:rPr>
          <w:rFonts w:ascii="Times New Roman" w:eastAsiaTheme="minorHAnsi" w:hAnsi="Times New Roman" w:cs="Times New Roman"/>
          <w:sz w:val="22"/>
          <w:szCs w:val="22"/>
        </w:rPr>
        <w:t xml:space="preserve"> </w:t>
      </w:r>
      <w:r w:rsidR="00EB7A77" w:rsidRPr="005C338A">
        <w:rPr>
          <w:rFonts w:ascii="Times New Roman" w:eastAsiaTheme="minorHAnsi" w:hAnsi="Times New Roman" w:cs="Times New Roman"/>
          <w:sz w:val="22"/>
          <w:szCs w:val="22"/>
        </w:rPr>
        <w:t>As mentioned above, the Residual 700 MHz Spectrum Direction requires the ACMA to allow successful applicant to pay the spectrum access charge in three instalments, subject to certain conditions being met.  One of those conditions is that the present value of the instalment payments must total the amount determined in accordance with the allocation process.  Under this Part, the amount determined in accordance with the allocation process for a spectrum licence is the sum of the winning prices for the lots to be included in that licence.</w:t>
      </w:r>
    </w:p>
    <w:p w14:paraId="400C3763" w14:textId="36E747CF" w:rsidR="00783625" w:rsidRPr="005C338A" w:rsidRDefault="00CC5437" w:rsidP="00996A57">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The </w:t>
      </w:r>
      <w:r w:rsidRPr="005C338A">
        <w:rPr>
          <w:rFonts w:ascii="Times New Roman" w:eastAsiaTheme="minorHAnsi" w:hAnsi="Times New Roman" w:cs="Times New Roman"/>
          <w:b/>
          <w:sz w:val="22"/>
          <w:szCs w:val="22"/>
        </w:rPr>
        <w:t>upfront winning price</w:t>
      </w:r>
      <w:r w:rsidRPr="005C338A">
        <w:rPr>
          <w:rFonts w:ascii="Times New Roman" w:eastAsiaTheme="minorHAnsi" w:hAnsi="Times New Roman" w:cs="Times New Roman"/>
          <w:sz w:val="22"/>
          <w:szCs w:val="22"/>
        </w:rPr>
        <w:t xml:space="preserve"> for a winning bidder is the sum of the winning prices for the lots won by the bidder at auction. </w:t>
      </w:r>
      <w:r w:rsidR="00783625" w:rsidRPr="005C338A">
        <w:rPr>
          <w:rFonts w:ascii="Times New Roman" w:eastAsiaTheme="minorHAnsi" w:hAnsi="Times New Roman" w:cs="Times New Roman"/>
          <w:sz w:val="22"/>
          <w:szCs w:val="22"/>
        </w:rPr>
        <w:t xml:space="preserve"> If a winning bidder chooses to pay the entire spectrum access charge up front, the upfront winning price is the spectrum access charge for the spectrum licence to be issued to the winning bidder.</w:t>
      </w:r>
    </w:p>
    <w:p w14:paraId="0A16642D" w14:textId="2FB5A6C2" w:rsidR="00CC5437" w:rsidRPr="005C338A" w:rsidRDefault="00CC5437" w:rsidP="00996A57">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The </w:t>
      </w:r>
      <w:r w:rsidRPr="005C338A">
        <w:rPr>
          <w:rFonts w:ascii="Times New Roman" w:eastAsiaTheme="minorHAnsi" w:hAnsi="Times New Roman" w:cs="Times New Roman"/>
          <w:b/>
          <w:sz w:val="22"/>
          <w:szCs w:val="22"/>
        </w:rPr>
        <w:t>balance of the upfront winning price</w:t>
      </w:r>
      <w:r w:rsidRPr="005C338A">
        <w:rPr>
          <w:rFonts w:ascii="Times New Roman" w:eastAsiaTheme="minorHAnsi" w:hAnsi="Times New Roman" w:cs="Times New Roman"/>
          <w:sz w:val="22"/>
          <w:szCs w:val="22"/>
        </w:rPr>
        <w:t xml:space="preserve"> for a winning bidder is the upfront winning price less the amount of any deposit paid by the winning bidder.</w:t>
      </w:r>
    </w:p>
    <w:p w14:paraId="37F2FDA3" w14:textId="77777777" w:rsidR="0043693D" w:rsidRPr="000F2BEE" w:rsidRDefault="00CC5437" w:rsidP="0043693D">
      <w:pPr>
        <w:pStyle w:val="subsection"/>
        <w:keepNext/>
      </w:pPr>
      <w:r w:rsidRPr="005C338A">
        <w:rPr>
          <w:rFonts w:eastAsiaTheme="minorHAnsi"/>
          <w:szCs w:val="22"/>
        </w:rPr>
        <w:t xml:space="preserve">The </w:t>
      </w:r>
      <w:r w:rsidRPr="005C338A">
        <w:rPr>
          <w:rFonts w:eastAsiaTheme="minorHAnsi"/>
          <w:b/>
          <w:szCs w:val="22"/>
        </w:rPr>
        <w:t>delayed winning price</w:t>
      </w:r>
      <w:r w:rsidRPr="005C338A">
        <w:rPr>
          <w:rFonts w:eastAsiaTheme="minorHAnsi"/>
          <w:szCs w:val="22"/>
        </w:rPr>
        <w:t xml:space="preserve"> for a winning bidder is </w:t>
      </w:r>
      <w:r w:rsidR="0043693D" w:rsidRPr="009311BF">
        <w:t>the sum of:</w:t>
      </w:r>
    </w:p>
    <w:p w14:paraId="7FF92257" w14:textId="218F13A3" w:rsidR="0043693D" w:rsidRPr="005C338A" w:rsidRDefault="0043693D" w:rsidP="005C338A">
      <w:pPr>
        <w:pStyle w:val="ACMABodyText"/>
        <w:tabs>
          <w:tab w:val="left" w:pos="851"/>
        </w:tabs>
        <w:ind w:left="851" w:hanging="567"/>
        <w:rPr>
          <w:rFonts w:eastAsiaTheme="minorHAnsi"/>
          <w:szCs w:val="22"/>
        </w:rPr>
      </w:pPr>
      <w:r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deposit paid by the winning bidder for the licence under section 38 (if any);</w:t>
      </w:r>
    </w:p>
    <w:p w14:paraId="13A7526D" w14:textId="08F10BD1" w:rsidR="0043693D" w:rsidRPr="005C338A" w:rsidRDefault="0043693D" w:rsidP="005C338A">
      <w:pPr>
        <w:pStyle w:val="ACMABodyText"/>
        <w:tabs>
          <w:tab w:val="left" w:pos="851"/>
        </w:tabs>
        <w:ind w:left="851" w:hanging="567"/>
        <w:rPr>
          <w:rFonts w:eastAsiaTheme="minorHAnsi"/>
          <w:sz w:val="22"/>
          <w:szCs w:val="22"/>
        </w:rPr>
      </w:pPr>
      <w:r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first auction instalment for the winning bidder;</w:t>
      </w:r>
    </w:p>
    <w:p w14:paraId="1511EBF4" w14:textId="225EFBDD" w:rsidR="0043693D" w:rsidRPr="005C338A" w:rsidRDefault="0043693D" w:rsidP="005C338A">
      <w:pPr>
        <w:pStyle w:val="ACMABodyText"/>
        <w:tabs>
          <w:tab w:val="left" w:pos="851"/>
        </w:tabs>
        <w:ind w:left="851" w:hanging="567"/>
        <w:rPr>
          <w:rFonts w:eastAsiaTheme="minorHAnsi"/>
          <w:sz w:val="22"/>
          <w:szCs w:val="22"/>
        </w:rPr>
      </w:pPr>
      <w:r w:rsidRPr="005C338A">
        <w:rPr>
          <w:rFonts w:ascii="Times New Roman" w:eastAsiaTheme="minorHAnsi" w:hAnsi="Times New Roman" w:cs="Times New Roman"/>
          <w:sz w:val="22"/>
          <w:szCs w:val="22"/>
        </w:rPr>
        <w:t>(c)</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second auction instalment for the winning bidder; and</w:t>
      </w:r>
    </w:p>
    <w:p w14:paraId="6B95A6A3" w14:textId="30F103D6" w:rsidR="0043693D" w:rsidRPr="005C338A" w:rsidRDefault="0043693D" w:rsidP="005C338A">
      <w:pPr>
        <w:pStyle w:val="ACMABodyText"/>
        <w:tabs>
          <w:tab w:val="left" w:pos="851"/>
        </w:tabs>
        <w:ind w:left="851" w:hanging="567"/>
        <w:rPr>
          <w:rFonts w:eastAsiaTheme="minorHAnsi"/>
          <w:sz w:val="22"/>
          <w:szCs w:val="22"/>
        </w:rPr>
      </w:pPr>
      <w:r w:rsidRPr="005C338A">
        <w:rPr>
          <w:rFonts w:ascii="Times New Roman" w:eastAsiaTheme="minorHAnsi" w:hAnsi="Times New Roman" w:cs="Times New Roman"/>
          <w:sz w:val="22"/>
          <w:szCs w:val="22"/>
        </w:rPr>
        <w:t>(d)</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third auction instalment for the winning bidder.</w:t>
      </w:r>
    </w:p>
    <w:p w14:paraId="6726A17D" w14:textId="563F195E" w:rsidR="0043693D" w:rsidRPr="005C338A" w:rsidRDefault="0043693D" w:rsidP="005C338A">
      <w:pPr>
        <w:pStyle w:val="ACMABodyText"/>
        <w:rPr>
          <w:rFonts w:eastAsiaTheme="minorHAnsi"/>
          <w:sz w:val="22"/>
          <w:szCs w:val="22"/>
        </w:rPr>
      </w:pPr>
      <w:r w:rsidRPr="005C338A">
        <w:rPr>
          <w:rFonts w:ascii="Times New Roman" w:eastAsiaTheme="minorHAnsi" w:hAnsi="Times New Roman" w:cs="Times New Roman"/>
          <w:sz w:val="22"/>
          <w:szCs w:val="22"/>
        </w:rPr>
        <w:t xml:space="preserve">The first, second and third auction instalments to be paid in relation to a spectrum licence are calculated by reference to the winning prices for the lots to be included in the licence (see </w:t>
      </w:r>
      <w:r w:rsidR="005C338A" w:rsidRPr="005C338A">
        <w:rPr>
          <w:rFonts w:ascii="Times New Roman" w:eastAsiaTheme="minorHAnsi" w:hAnsi="Times New Roman" w:cs="Times New Roman"/>
          <w:sz w:val="22"/>
          <w:szCs w:val="22"/>
        </w:rPr>
        <w:t>section 75</w:t>
      </w:r>
      <w:r w:rsidRPr="005C338A">
        <w:rPr>
          <w:rFonts w:ascii="Times New Roman" w:eastAsiaTheme="minorHAnsi" w:hAnsi="Times New Roman" w:cs="Times New Roman"/>
          <w:sz w:val="22"/>
          <w:szCs w:val="22"/>
        </w:rPr>
        <w:t>).</w:t>
      </w:r>
    </w:p>
    <w:p w14:paraId="500E365D" w14:textId="38C64647" w:rsidR="0043693D" w:rsidRPr="005C338A" w:rsidRDefault="0043693D" w:rsidP="005C338A">
      <w:pPr>
        <w:pStyle w:val="ACMABodyText"/>
        <w:rPr>
          <w:rFonts w:eastAsiaTheme="minorHAnsi"/>
          <w:sz w:val="22"/>
          <w:szCs w:val="22"/>
        </w:rPr>
      </w:pPr>
      <w:r w:rsidRPr="005C338A">
        <w:rPr>
          <w:rFonts w:ascii="Times New Roman" w:eastAsiaTheme="minorHAnsi" w:hAnsi="Times New Roman" w:cs="Times New Roman"/>
          <w:sz w:val="22"/>
          <w:szCs w:val="22"/>
        </w:rPr>
        <w:t xml:space="preserve">The sum of the present value of each of the instalments, and of the deposit (if any), is the same as the sum of the winning prices for the lots to be included in the licence, when calculated in accordance with </w:t>
      </w:r>
      <w:r w:rsidR="005C338A" w:rsidRPr="005C338A">
        <w:rPr>
          <w:rFonts w:ascii="Times New Roman" w:eastAsiaTheme="minorHAnsi" w:hAnsi="Times New Roman" w:cs="Times New Roman"/>
          <w:sz w:val="22"/>
          <w:szCs w:val="22"/>
        </w:rPr>
        <w:lastRenderedPageBreak/>
        <w:t>the Residual</w:t>
      </w:r>
      <w:r w:rsidRPr="005C338A">
        <w:rPr>
          <w:rFonts w:ascii="Times New Roman" w:eastAsiaTheme="minorHAnsi" w:hAnsi="Times New Roman" w:cs="Times New Roman"/>
          <w:sz w:val="22"/>
          <w:szCs w:val="22"/>
        </w:rPr>
        <w:t xml:space="preserve"> 700 MHz Spectrum Direction.</w:t>
      </w:r>
      <w:r w:rsidR="009311BF">
        <w:rPr>
          <w:rFonts w:ascii="Times New Roman" w:eastAsiaTheme="minorHAnsi" w:hAnsi="Times New Roman" w:cs="Times New Roman"/>
          <w:sz w:val="22"/>
          <w:szCs w:val="22"/>
        </w:rPr>
        <w:t xml:space="preserve">  See below for further discussion on the calculation of the auction instalments</w:t>
      </w:r>
      <w:r w:rsidR="000312DE">
        <w:rPr>
          <w:rFonts w:ascii="Times New Roman" w:eastAsiaTheme="minorHAnsi" w:hAnsi="Times New Roman" w:cs="Times New Roman"/>
          <w:sz w:val="22"/>
          <w:szCs w:val="22"/>
        </w:rPr>
        <w:t>.</w:t>
      </w:r>
    </w:p>
    <w:p w14:paraId="7B527214" w14:textId="0CD50C00" w:rsidR="00603AB1" w:rsidRPr="00CC30BD" w:rsidRDefault="00603AB1" w:rsidP="000C0DB4">
      <w:pPr>
        <w:keepNext/>
        <w:spacing w:after="160" w:line="259" w:lineRule="auto"/>
        <w:rPr>
          <w:rFonts w:eastAsiaTheme="minorHAnsi"/>
          <w:b/>
          <w:sz w:val="22"/>
          <w:szCs w:val="22"/>
          <w:lang w:eastAsia="en-US"/>
        </w:rPr>
      </w:pPr>
      <w:r w:rsidRPr="00CC30BD">
        <w:rPr>
          <w:rFonts w:eastAsiaTheme="minorHAnsi"/>
          <w:b/>
          <w:sz w:val="22"/>
          <w:szCs w:val="22"/>
          <w:lang w:eastAsia="en-US"/>
        </w:rPr>
        <w:t xml:space="preserve">Section </w:t>
      </w:r>
      <w:r w:rsidR="004B5788" w:rsidRPr="00CC30BD">
        <w:rPr>
          <w:rFonts w:eastAsiaTheme="minorHAnsi"/>
          <w:b/>
          <w:sz w:val="22"/>
          <w:szCs w:val="22"/>
          <w:lang w:eastAsia="en-US"/>
        </w:rPr>
        <w:t>7</w:t>
      </w:r>
      <w:r w:rsidR="00013A7E" w:rsidRPr="00CC30BD">
        <w:rPr>
          <w:rFonts w:eastAsiaTheme="minorHAnsi"/>
          <w:b/>
          <w:sz w:val="22"/>
          <w:szCs w:val="22"/>
          <w:lang w:eastAsia="en-US"/>
        </w:rPr>
        <w:t>4</w:t>
      </w:r>
      <w:r w:rsidR="00013A7E" w:rsidRPr="00CC30BD">
        <w:rPr>
          <w:rFonts w:eastAsiaTheme="minorHAnsi"/>
          <w:b/>
          <w:sz w:val="22"/>
          <w:szCs w:val="22"/>
          <w:lang w:eastAsia="en-US"/>
        </w:rPr>
        <w:tab/>
      </w:r>
      <w:r w:rsidRPr="00CC30BD">
        <w:rPr>
          <w:rFonts w:eastAsiaTheme="minorHAnsi"/>
          <w:b/>
          <w:sz w:val="22"/>
          <w:szCs w:val="22"/>
          <w:lang w:eastAsia="en-US"/>
        </w:rPr>
        <w:t xml:space="preserve">Sufficient </w:t>
      </w:r>
      <w:r w:rsidR="003155B6" w:rsidRPr="00CC30BD">
        <w:rPr>
          <w:rFonts w:eastAsiaTheme="minorHAnsi"/>
          <w:b/>
          <w:sz w:val="22"/>
          <w:szCs w:val="22"/>
          <w:lang w:eastAsia="en-US"/>
        </w:rPr>
        <w:t>deposit</w:t>
      </w:r>
      <w:r w:rsidRPr="00CC30BD">
        <w:rPr>
          <w:rFonts w:eastAsiaTheme="minorHAnsi"/>
          <w:b/>
          <w:sz w:val="22"/>
          <w:szCs w:val="22"/>
          <w:lang w:eastAsia="en-US"/>
        </w:rPr>
        <w:t xml:space="preserve">—issue of </w:t>
      </w:r>
      <w:r w:rsidR="005E3A6D" w:rsidRPr="00CC30BD">
        <w:rPr>
          <w:rFonts w:eastAsiaTheme="minorHAnsi"/>
          <w:b/>
          <w:sz w:val="22"/>
          <w:szCs w:val="22"/>
          <w:lang w:eastAsia="en-US"/>
        </w:rPr>
        <w:t xml:space="preserve">spectrum </w:t>
      </w:r>
      <w:r w:rsidRPr="00CC30BD">
        <w:rPr>
          <w:rFonts w:eastAsiaTheme="minorHAnsi"/>
          <w:b/>
          <w:sz w:val="22"/>
          <w:szCs w:val="22"/>
          <w:lang w:eastAsia="en-US"/>
        </w:rPr>
        <w:t>licence without further payment</w:t>
      </w:r>
    </w:p>
    <w:p w14:paraId="24EF53F7" w14:textId="2982EC75" w:rsidR="00E062DE" w:rsidRPr="005C338A" w:rsidRDefault="00603AB1" w:rsidP="00172817">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This section </w:t>
      </w:r>
      <w:r w:rsidR="00EB7A77" w:rsidRPr="005C338A">
        <w:rPr>
          <w:rFonts w:ascii="Times New Roman" w:eastAsiaTheme="minorHAnsi" w:hAnsi="Times New Roman" w:cs="Times New Roman"/>
          <w:sz w:val="22"/>
          <w:szCs w:val="22"/>
        </w:rPr>
        <w:t xml:space="preserve">provides for </w:t>
      </w:r>
      <w:r w:rsidRPr="005C338A">
        <w:rPr>
          <w:rFonts w:ascii="Times New Roman" w:eastAsiaTheme="minorHAnsi" w:hAnsi="Times New Roman" w:cs="Times New Roman"/>
          <w:sz w:val="22"/>
          <w:szCs w:val="22"/>
        </w:rPr>
        <w:t>refund</w:t>
      </w:r>
      <w:r w:rsidR="005E3A6D" w:rsidRPr="005C338A">
        <w:rPr>
          <w:rFonts w:ascii="Times New Roman" w:eastAsiaTheme="minorHAnsi" w:hAnsi="Times New Roman" w:cs="Times New Roman"/>
          <w:sz w:val="22"/>
          <w:szCs w:val="22"/>
        </w:rPr>
        <w:t>s</w:t>
      </w:r>
      <w:r w:rsidRPr="005C338A">
        <w:rPr>
          <w:rFonts w:ascii="Times New Roman" w:eastAsiaTheme="minorHAnsi" w:hAnsi="Times New Roman" w:cs="Times New Roman"/>
          <w:sz w:val="22"/>
          <w:szCs w:val="22"/>
        </w:rPr>
        <w:t xml:space="preserve"> and </w:t>
      </w:r>
      <w:r w:rsidR="00F07703" w:rsidRPr="005C338A">
        <w:rPr>
          <w:rFonts w:ascii="Times New Roman" w:eastAsiaTheme="minorHAnsi" w:hAnsi="Times New Roman" w:cs="Times New Roman"/>
          <w:sz w:val="22"/>
          <w:szCs w:val="22"/>
        </w:rPr>
        <w:t xml:space="preserve">the </w:t>
      </w:r>
      <w:r w:rsidR="005E3A6D" w:rsidRPr="005C338A">
        <w:rPr>
          <w:rFonts w:ascii="Times New Roman" w:eastAsiaTheme="minorHAnsi" w:hAnsi="Times New Roman" w:cs="Times New Roman"/>
          <w:sz w:val="22"/>
          <w:szCs w:val="22"/>
        </w:rPr>
        <w:t xml:space="preserve">entitlement to be issued spectrum </w:t>
      </w:r>
      <w:r w:rsidRPr="005C338A">
        <w:rPr>
          <w:rFonts w:ascii="Times New Roman" w:eastAsiaTheme="minorHAnsi" w:hAnsi="Times New Roman" w:cs="Times New Roman"/>
          <w:sz w:val="22"/>
          <w:szCs w:val="22"/>
        </w:rPr>
        <w:t>licence</w:t>
      </w:r>
      <w:r w:rsidR="005E3A6D" w:rsidRPr="005C338A">
        <w:rPr>
          <w:rFonts w:ascii="Times New Roman" w:eastAsiaTheme="minorHAnsi" w:hAnsi="Times New Roman" w:cs="Times New Roman"/>
          <w:sz w:val="22"/>
          <w:szCs w:val="22"/>
        </w:rPr>
        <w:t>s</w:t>
      </w:r>
      <w:r w:rsidRPr="005C338A">
        <w:rPr>
          <w:rFonts w:ascii="Times New Roman" w:eastAsiaTheme="minorHAnsi" w:hAnsi="Times New Roman" w:cs="Times New Roman"/>
          <w:sz w:val="22"/>
          <w:szCs w:val="22"/>
        </w:rPr>
        <w:t xml:space="preserve"> where the</w:t>
      </w:r>
      <w:r w:rsidR="004B5788" w:rsidRPr="005C338A">
        <w:rPr>
          <w:rFonts w:ascii="Times New Roman" w:eastAsiaTheme="minorHAnsi" w:hAnsi="Times New Roman" w:cs="Times New Roman"/>
          <w:sz w:val="22"/>
          <w:szCs w:val="22"/>
        </w:rPr>
        <w:t xml:space="preserve"> </w:t>
      </w:r>
      <w:r w:rsidR="005E3A6D" w:rsidRPr="005C338A">
        <w:rPr>
          <w:rFonts w:ascii="Times New Roman" w:eastAsiaTheme="minorHAnsi" w:hAnsi="Times New Roman" w:cs="Times New Roman"/>
          <w:sz w:val="22"/>
          <w:szCs w:val="22"/>
        </w:rPr>
        <w:t xml:space="preserve">balance of the </w:t>
      </w:r>
      <w:r w:rsidR="00025BFE" w:rsidRPr="005C338A">
        <w:rPr>
          <w:rFonts w:ascii="Times New Roman" w:eastAsiaTheme="minorHAnsi" w:hAnsi="Times New Roman" w:cs="Times New Roman"/>
          <w:sz w:val="22"/>
          <w:szCs w:val="22"/>
        </w:rPr>
        <w:t>upfront</w:t>
      </w:r>
      <w:r w:rsidR="00EB7A77" w:rsidRPr="005C338A">
        <w:rPr>
          <w:rFonts w:ascii="Times New Roman" w:eastAsiaTheme="minorHAnsi" w:hAnsi="Times New Roman" w:cs="Times New Roman"/>
          <w:sz w:val="22"/>
          <w:szCs w:val="22"/>
        </w:rPr>
        <w:t xml:space="preserve"> </w:t>
      </w:r>
      <w:r w:rsidR="00047024" w:rsidRPr="005C338A">
        <w:rPr>
          <w:rFonts w:ascii="Times New Roman" w:eastAsiaTheme="minorHAnsi" w:hAnsi="Times New Roman" w:cs="Times New Roman"/>
          <w:sz w:val="22"/>
          <w:szCs w:val="22"/>
        </w:rPr>
        <w:t>winning price as worked out under section 7</w:t>
      </w:r>
      <w:r w:rsidR="003155B6" w:rsidRPr="005C338A">
        <w:rPr>
          <w:rFonts w:ascii="Times New Roman" w:eastAsiaTheme="minorHAnsi" w:hAnsi="Times New Roman" w:cs="Times New Roman"/>
          <w:sz w:val="22"/>
          <w:szCs w:val="22"/>
        </w:rPr>
        <w:t>3</w:t>
      </w:r>
      <w:r w:rsidR="00047024" w:rsidRPr="005C338A">
        <w:rPr>
          <w:rFonts w:ascii="Times New Roman" w:eastAsiaTheme="minorHAnsi" w:hAnsi="Times New Roman" w:cs="Times New Roman"/>
          <w:sz w:val="22"/>
          <w:szCs w:val="22"/>
        </w:rPr>
        <w:t xml:space="preserve"> </w:t>
      </w:r>
      <w:r w:rsidR="00B848DC">
        <w:rPr>
          <w:rFonts w:ascii="Times New Roman" w:eastAsiaTheme="minorHAnsi" w:hAnsi="Times New Roman" w:cs="Times New Roman"/>
          <w:sz w:val="22"/>
          <w:szCs w:val="22"/>
        </w:rPr>
        <w:t>is</w:t>
      </w:r>
      <w:r w:rsidR="00EB7A77" w:rsidRPr="005C338A">
        <w:rPr>
          <w:rFonts w:ascii="Times New Roman" w:eastAsiaTheme="minorHAnsi" w:hAnsi="Times New Roman" w:cs="Times New Roman"/>
          <w:sz w:val="22"/>
          <w:szCs w:val="22"/>
        </w:rPr>
        <w:t xml:space="preserve"> equal to or</w:t>
      </w:r>
      <w:r w:rsidRPr="005C338A">
        <w:rPr>
          <w:rFonts w:ascii="Times New Roman" w:eastAsiaTheme="minorHAnsi" w:hAnsi="Times New Roman" w:cs="Times New Roman"/>
          <w:sz w:val="22"/>
          <w:szCs w:val="22"/>
        </w:rPr>
        <w:t xml:space="preserve"> less than </w:t>
      </w:r>
      <w:r w:rsidR="00E062DE" w:rsidRPr="005C338A">
        <w:rPr>
          <w:rFonts w:ascii="Times New Roman" w:eastAsiaTheme="minorHAnsi" w:hAnsi="Times New Roman" w:cs="Times New Roman"/>
          <w:sz w:val="22"/>
          <w:szCs w:val="22"/>
        </w:rPr>
        <w:t>zero</w:t>
      </w:r>
      <w:r w:rsidRPr="005C338A">
        <w:rPr>
          <w:rFonts w:ascii="Times New Roman" w:eastAsiaTheme="minorHAnsi" w:hAnsi="Times New Roman" w:cs="Times New Roman"/>
          <w:sz w:val="22"/>
          <w:szCs w:val="22"/>
        </w:rPr>
        <w:t>.</w:t>
      </w:r>
    </w:p>
    <w:p w14:paraId="0C74F763" w14:textId="61AB77EC" w:rsidR="00603AB1" w:rsidRPr="005C338A" w:rsidRDefault="00E062DE" w:rsidP="00172817">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the balance of the </w:t>
      </w:r>
      <w:r w:rsidR="00C92B11" w:rsidRPr="005C338A">
        <w:rPr>
          <w:rFonts w:ascii="Times New Roman" w:eastAsiaTheme="minorHAnsi" w:hAnsi="Times New Roman" w:cs="Times New Roman"/>
          <w:sz w:val="22"/>
          <w:szCs w:val="22"/>
        </w:rPr>
        <w:t xml:space="preserve">upfront </w:t>
      </w:r>
      <w:r w:rsidRPr="005C338A">
        <w:rPr>
          <w:rFonts w:ascii="Times New Roman" w:eastAsiaTheme="minorHAnsi" w:hAnsi="Times New Roman" w:cs="Times New Roman"/>
          <w:sz w:val="22"/>
          <w:szCs w:val="22"/>
        </w:rPr>
        <w:t xml:space="preserve">winning price is less than zero, the ACMA </w:t>
      </w:r>
      <w:r w:rsidR="008049C5" w:rsidRPr="005C338A">
        <w:rPr>
          <w:rFonts w:ascii="Times New Roman" w:eastAsiaTheme="minorHAnsi" w:hAnsi="Times New Roman" w:cs="Times New Roman"/>
          <w:sz w:val="22"/>
          <w:szCs w:val="22"/>
        </w:rPr>
        <w:t xml:space="preserve">must refund </w:t>
      </w:r>
      <w:r w:rsidR="005E3A6D" w:rsidRPr="005C338A">
        <w:rPr>
          <w:rFonts w:ascii="Times New Roman" w:eastAsiaTheme="minorHAnsi" w:hAnsi="Times New Roman" w:cs="Times New Roman"/>
          <w:sz w:val="22"/>
          <w:szCs w:val="22"/>
        </w:rPr>
        <w:t xml:space="preserve">that part of </w:t>
      </w:r>
      <w:r w:rsidR="008049C5" w:rsidRPr="005C338A">
        <w:rPr>
          <w:rFonts w:ascii="Times New Roman" w:eastAsiaTheme="minorHAnsi" w:hAnsi="Times New Roman" w:cs="Times New Roman"/>
          <w:sz w:val="22"/>
          <w:szCs w:val="22"/>
        </w:rPr>
        <w:t xml:space="preserve">the </w:t>
      </w:r>
      <w:r w:rsidR="00296C9F" w:rsidRPr="005C338A">
        <w:rPr>
          <w:rFonts w:ascii="Times New Roman" w:eastAsiaTheme="minorHAnsi" w:hAnsi="Times New Roman" w:cs="Times New Roman"/>
          <w:sz w:val="22"/>
          <w:szCs w:val="22"/>
        </w:rPr>
        <w:t>deposit</w:t>
      </w:r>
      <w:r w:rsidR="00D048AA" w:rsidRPr="005C338A">
        <w:rPr>
          <w:rFonts w:ascii="Times New Roman" w:eastAsiaTheme="minorHAnsi" w:hAnsi="Times New Roman" w:cs="Times New Roman"/>
          <w:sz w:val="22"/>
          <w:szCs w:val="22"/>
        </w:rPr>
        <w:t xml:space="preserve"> </w:t>
      </w:r>
      <w:r w:rsidR="005E3A6D" w:rsidRPr="005C338A">
        <w:rPr>
          <w:rFonts w:ascii="Times New Roman" w:eastAsiaTheme="minorHAnsi" w:hAnsi="Times New Roman" w:cs="Times New Roman"/>
          <w:sz w:val="22"/>
          <w:szCs w:val="22"/>
        </w:rPr>
        <w:t xml:space="preserve">that is </w:t>
      </w:r>
      <w:r w:rsidR="008049C5" w:rsidRPr="005C338A">
        <w:rPr>
          <w:rFonts w:ascii="Times New Roman" w:eastAsiaTheme="minorHAnsi" w:hAnsi="Times New Roman" w:cs="Times New Roman"/>
          <w:sz w:val="22"/>
          <w:szCs w:val="22"/>
        </w:rPr>
        <w:t>in excess of the total of the</w:t>
      </w:r>
      <w:r w:rsidR="00E96E5A" w:rsidRPr="005C338A">
        <w:rPr>
          <w:rFonts w:ascii="Times New Roman" w:eastAsiaTheme="minorHAnsi" w:hAnsi="Times New Roman" w:cs="Times New Roman"/>
          <w:sz w:val="22"/>
          <w:szCs w:val="22"/>
        </w:rPr>
        <w:t xml:space="preserve"> </w:t>
      </w:r>
      <w:r w:rsidR="003155B6" w:rsidRPr="005C338A">
        <w:rPr>
          <w:rFonts w:ascii="Times New Roman" w:eastAsiaTheme="minorHAnsi" w:hAnsi="Times New Roman" w:cs="Times New Roman"/>
          <w:sz w:val="22"/>
          <w:szCs w:val="22"/>
        </w:rPr>
        <w:t xml:space="preserve">upfront </w:t>
      </w:r>
      <w:r w:rsidR="00E96E5A" w:rsidRPr="005C338A">
        <w:rPr>
          <w:rFonts w:ascii="Times New Roman" w:eastAsiaTheme="minorHAnsi" w:hAnsi="Times New Roman" w:cs="Times New Roman"/>
          <w:sz w:val="22"/>
          <w:szCs w:val="22"/>
        </w:rPr>
        <w:t xml:space="preserve">winning price </w:t>
      </w:r>
      <w:r w:rsidR="008049C5" w:rsidRPr="005C338A">
        <w:rPr>
          <w:rFonts w:ascii="Times New Roman" w:eastAsiaTheme="minorHAnsi" w:hAnsi="Times New Roman" w:cs="Times New Roman"/>
          <w:sz w:val="22"/>
          <w:szCs w:val="22"/>
        </w:rPr>
        <w:t xml:space="preserve">for lots won by the </w:t>
      </w:r>
      <w:r w:rsidR="003155B6" w:rsidRPr="005C338A">
        <w:rPr>
          <w:rFonts w:ascii="Times New Roman" w:eastAsiaTheme="minorHAnsi" w:hAnsi="Times New Roman" w:cs="Times New Roman"/>
          <w:sz w:val="22"/>
          <w:szCs w:val="22"/>
        </w:rPr>
        <w:t xml:space="preserve">winning </w:t>
      </w:r>
      <w:r w:rsidR="008049C5" w:rsidRPr="005C338A">
        <w:rPr>
          <w:rFonts w:ascii="Times New Roman" w:eastAsiaTheme="minorHAnsi" w:hAnsi="Times New Roman" w:cs="Times New Roman"/>
          <w:sz w:val="22"/>
          <w:szCs w:val="22"/>
        </w:rPr>
        <w:t xml:space="preserve">bidder. </w:t>
      </w:r>
      <w:r w:rsidR="00DB54F7" w:rsidRPr="005C338A">
        <w:rPr>
          <w:rFonts w:ascii="Times New Roman" w:eastAsiaTheme="minorHAnsi" w:hAnsi="Times New Roman" w:cs="Times New Roman"/>
          <w:sz w:val="22"/>
          <w:szCs w:val="22"/>
        </w:rPr>
        <w:t xml:space="preserve"> </w:t>
      </w:r>
      <w:r w:rsidR="008049C5" w:rsidRPr="005C338A">
        <w:rPr>
          <w:rFonts w:ascii="Times New Roman" w:eastAsiaTheme="minorHAnsi" w:hAnsi="Times New Roman" w:cs="Times New Roman"/>
          <w:sz w:val="22"/>
          <w:szCs w:val="22"/>
        </w:rPr>
        <w:t xml:space="preserve">The bidder is entitled to be issued a spectrum licence for each part of </w:t>
      </w:r>
      <w:r w:rsidR="005E3A6D" w:rsidRPr="005C338A">
        <w:rPr>
          <w:rFonts w:ascii="Times New Roman" w:eastAsiaTheme="minorHAnsi" w:hAnsi="Times New Roman" w:cs="Times New Roman"/>
          <w:sz w:val="22"/>
          <w:szCs w:val="22"/>
        </w:rPr>
        <w:t xml:space="preserve">the </w:t>
      </w:r>
      <w:r w:rsidR="008049C5" w:rsidRPr="005C338A">
        <w:rPr>
          <w:rFonts w:ascii="Times New Roman" w:eastAsiaTheme="minorHAnsi" w:hAnsi="Times New Roman" w:cs="Times New Roman"/>
          <w:sz w:val="22"/>
          <w:szCs w:val="22"/>
        </w:rPr>
        <w:t>spectrum allocated to the bidder without further payment.</w:t>
      </w:r>
    </w:p>
    <w:p w14:paraId="7E433D78" w14:textId="00BF5EF4" w:rsidR="00603AB1" w:rsidRPr="004A5A1E" w:rsidRDefault="00603AB1" w:rsidP="00432524">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the </w:t>
      </w:r>
      <w:r w:rsidR="008049C5" w:rsidRPr="005C338A">
        <w:rPr>
          <w:rFonts w:ascii="Times New Roman" w:eastAsiaTheme="minorHAnsi" w:hAnsi="Times New Roman" w:cs="Times New Roman"/>
          <w:sz w:val="22"/>
          <w:szCs w:val="22"/>
        </w:rPr>
        <w:t>balance of the winning price for any winning bidder is zero</w:t>
      </w:r>
      <w:r w:rsidR="00432524" w:rsidRPr="005C338A">
        <w:rPr>
          <w:rFonts w:ascii="Times New Roman" w:eastAsiaTheme="minorHAnsi" w:hAnsi="Times New Roman" w:cs="Times New Roman"/>
          <w:sz w:val="22"/>
          <w:szCs w:val="22"/>
        </w:rPr>
        <w:t xml:space="preserve">, the bidder is entitled to be issued a spectrum licence for each part of </w:t>
      </w:r>
      <w:r w:rsidR="005E3A6D" w:rsidRPr="005C338A">
        <w:rPr>
          <w:rFonts w:ascii="Times New Roman" w:eastAsiaTheme="minorHAnsi" w:hAnsi="Times New Roman" w:cs="Times New Roman"/>
          <w:sz w:val="22"/>
          <w:szCs w:val="22"/>
        </w:rPr>
        <w:t xml:space="preserve">the </w:t>
      </w:r>
      <w:r w:rsidR="00432524" w:rsidRPr="005C338A">
        <w:rPr>
          <w:rFonts w:ascii="Times New Roman" w:eastAsiaTheme="minorHAnsi" w:hAnsi="Times New Roman" w:cs="Times New Roman"/>
          <w:sz w:val="22"/>
          <w:szCs w:val="22"/>
        </w:rPr>
        <w:t>spectrum allocated to the bidder without further payment.</w:t>
      </w:r>
      <w:r w:rsidR="00432524" w:rsidRPr="004A5A1E">
        <w:rPr>
          <w:rFonts w:ascii="Times New Roman" w:eastAsiaTheme="minorHAnsi" w:hAnsi="Times New Roman" w:cs="Times New Roman"/>
          <w:sz w:val="22"/>
          <w:szCs w:val="22"/>
        </w:rPr>
        <w:t xml:space="preserve"> </w:t>
      </w:r>
    </w:p>
    <w:p w14:paraId="749A20BF" w14:textId="2F695EB4" w:rsidR="00603AB1" w:rsidRPr="00CC30BD" w:rsidRDefault="00603AB1" w:rsidP="000C0DB4">
      <w:pPr>
        <w:keepNext/>
        <w:spacing w:after="160" w:line="259" w:lineRule="auto"/>
        <w:rPr>
          <w:rFonts w:eastAsiaTheme="minorHAnsi"/>
          <w:b/>
          <w:sz w:val="22"/>
          <w:szCs w:val="22"/>
          <w:lang w:eastAsia="en-US"/>
        </w:rPr>
      </w:pPr>
      <w:r w:rsidRPr="00CC30BD">
        <w:rPr>
          <w:rFonts w:eastAsiaTheme="minorHAnsi"/>
          <w:b/>
          <w:sz w:val="22"/>
          <w:szCs w:val="22"/>
          <w:lang w:eastAsia="en-US"/>
        </w:rPr>
        <w:t>Section</w:t>
      </w:r>
      <w:r w:rsidR="000420C7" w:rsidRPr="00CC30BD">
        <w:rPr>
          <w:rFonts w:eastAsiaTheme="minorHAnsi"/>
          <w:b/>
          <w:sz w:val="22"/>
          <w:szCs w:val="22"/>
          <w:lang w:eastAsia="en-US"/>
        </w:rPr>
        <w:t xml:space="preserve"> </w:t>
      </w:r>
      <w:r w:rsidR="00013A7E" w:rsidRPr="00CC30BD">
        <w:rPr>
          <w:rFonts w:eastAsiaTheme="minorHAnsi"/>
          <w:b/>
          <w:sz w:val="22"/>
          <w:szCs w:val="22"/>
          <w:lang w:eastAsia="en-US"/>
        </w:rPr>
        <w:t>75</w:t>
      </w:r>
      <w:r w:rsidRPr="00CC30BD">
        <w:rPr>
          <w:rFonts w:eastAsiaTheme="minorHAnsi"/>
          <w:b/>
          <w:sz w:val="22"/>
          <w:szCs w:val="22"/>
          <w:lang w:eastAsia="en-US"/>
        </w:rPr>
        <w:tab/>
        <w:t>Payment of balance of winning price</w:t>
      </w:r>
    </w:p>
    <w:p w14:paraId="57E73ED7" w14:textId="24EDCD8D" w:rsidR="00603AB1" w:rsidRPr="005C338A" w:rsidRDefault="00603AB1" w:rsidP="00172817">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This section sets out the arrangements for notifying winning bidders of the balance of the </w:t>
      </w:r>
      <w:r w:rsidR="00EB7A77" w:rsidRPr="005C338A">
        <w:rPr>
          <w:rFonts w:ascii="Times New Roman" w:eastAsiaTheme="minorHAnsi" w:hAnsi="Times New Roman" w:cs="Times New Roman"/>
          <w:sz w:val="22"/>
          <w:szCs w:val="22"/>
        </w:rPr>
        <w:t xml:space="preserve">upfront </w:t>
      </w:r>
      <w:r w:rsidRPr="005C338A">
        <w:rPr>
          <w:rFonts w:ascii="Times New Roman" w:eastAsiaTheme="minorHAnsi" w:hAnsi="Times New Roman" w:cs="Times New Roman"/>
          <w:sz w:val="22"/>
          <w:szCs w:val="22"/>
        </w:rPr>
        <w:t>winning price, where th</w:t>
      </w:r>
      <w:r w:rsidR="00EB7A77" w:rsidRPr="005C338A">
        <w:rPr>
          <w:rFonts w:ascii="Times New Roman" w:eastAsiaTheme="minorHAnsi" w:hAnsi="Times New Roman" w:cs="Times New Roman"/>
          <w:sz w:val="22"/>
          <w:szCs w:val="22"/>
        </w:rPr>
        <w:t>at</w:t>
      </w:r>
      <w:r w:rsidRPr="005C338A">
        <w:rPr>
          <w:rFonts w:ascii="Times New Roman" w:eastAsiaTheme="minorHAnsi" w:hAnsi="Times New Roman" w:cs="Times New Roman"/>
          <w:sz w:val="22"/>
          <w:szCs w:val="22"/>
        </w:rPr>
        <w:t xml:space="preserve"> amount is </w:t>
      </w:r>
      <w:r w:rsidR="002250B5" w:rsidRPr="005C338A">
        <w:rPr>
          <w:rFonts w:ascii="Times New Roman" w:eastAsiaTheme="minorHAnsi" w:hAnsi="Times New Roman" w:cs="Times New Roman"/>
          <w:sz w:val="22"/>
          <w:szCs w:val="22"/>
        </w:rPr>
        <w:t>greater than zero (i.e.</w:t>
      </w:r>
      <w:r w:rsidR="00EB7A77" w:rsidRPr="005C338A">
        <w:rPr>
          <w:rFonts w:ascii="Times New Roman" w:eastAsiaTheme="minorHAnsi" w:hAnsi="Times New Roman" w:cs="Times New Roman"/>
          <w:sz w:val="22"/>
          <w:szCs w:val="22"/>
        </w:rPr>
        <w:t>, it is</w:t>
      </w:r>
      <w:r w:rsidR="002250B5"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more than the bidder’s </w:t>
      </w:r>
      <w:r w:rsidR="00C92B11" w:rsidRPr="005C338A">
        <w:rPr>
          <w:rFonts w:ascii="Times New Roman" w:eastAsiaTheme="minorHAnsi" w:hAnsi="Times New Roman" w:cs="Times New Roman"/>
          <w:sz w:val="22"/>
          <w:szCs w:val="22"/>
        </w:rPr>
        <w:t>deposit</w:t>
      </w:r>
      <w:r w:rsidR="002250B5" w:rsidRPr="005C338A">
        <w:rPr>
          <w:rFonts w:ascii="Times New Roman" w:eastAsiaTheme="minorHAnsi" w:hAnsi="Times New Roman" w:cs="Times New Roman"/>
          <w:sz w:val="22"/>
          <w:szCs w:val="22"/>
        </w:rPr>
        <w:t>)</w:t>
      </w:r>
      <w:r w:rsidR="00EB7A77" w:rsidRPr="005C338A">
        <w:rPr>
          <w:rFonts w:ascii="Times New Roman" w:eastAsiaTheme="minorHAnsi" w:hAnsi="Times New Roman" w:cs="Times New Roman"/>
          <w:sz w:val="22"/>
          <w:szCs w:val="22"/>
        </w:rPr>
        <w:t>, and of the delayed winning price</w:t>
      </w:r>
      <w:r w:rsidRPr="005C338A">
        <w:rPr>
          <w:rFonts w:ascii="Times New Roman" w:eastAsiaTheme="minorHAnsi" w:hAnsi="Times New Roman" w:cs="Times New Roman"/>
          <w:sz w:val="22"/>
          <w:szCs w:val="22"/>
        </w:rPr>
        <w:t xml:space="preserve">. </w:t>
      </w:r>
      <w:r w:rsidR="00CC19D5">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It also </w:t>
      </w:r>
      <w:r w:rsidR="005E3A6D" w:rsidRPr="005C338A">
        <w:rPr>
          <w:rFonts w:ascii="Times New Roman" w:eastAsiaTheme="minorHAnsi" w:hAnsi="Times New Roman" w:cs="Times New Roman"/>
          <w:sz w:val="22"/>
          <w:szCs w:val="22"/>
        </w:rPr>
        <w:t>sets out</w:t>
      </w:r>
      <w:r w:rsidRPr="005C338A">
        <w:rPr>
          <w:rFonts w:ascii="Times New Roman" w:eastAsiaTheme="minorHAnsi" w:hAnsi="Times New Roman" w:cs="Times New Roman"/>
          <w:sz w:val="22"/>
          <w:szCs w:val="22"/>
        </w:rPr>
        <w:t xml:space="preserve"> the timing by which th</w:t>
      </w:r>
      <w:r w:rsidR="002250B5" w:rsidRPr="005C338A">
        <w:rPr>
          <w:rFonts w:ascii="Times New Roman" w:eastAsiaTheme="minorHAnsi" w:hAnsi="Times New Roman" w:cs="Times New Roman"/>
          <w:sz w:val="22"/>
          <w:szCs w:val="22"/>
        </w:rPr>
        <w:t xml:space="preserve">e balance of the </w:t>
      </w:r>
      <w:r w:rsidR="00EB7A77" w:rsidRPr="005C338A">
        <w:rPr>
          <w:rFonts w:ascii="Times New Roman" w:eastAsiaTheme="minorHAnsi" w:hAnsi="Times New Roman" w:cs="Times New Roman"/>
          <w:sz w:val="22"/>
          <w:szCs w:val="22"/>
        </w:rPr>
        <w:t xml:space="preserve">upfront </w:t>
      </w:r>
      <w:r w:rsidR="002250B5" w:rsidRPr="005C338A">
        <w:rPr>
          <w:rFonts w:ascii="Times New Roman" w:eastAsiaTheme="minorHAnsi" w:hAnsi="Times New Roman" w:cs="Times New Roman"/>
          <w:sz w:val="22"/>
          <w:szCs w:val="22"/>
        </w:rPr>
        <w:t>win</w:t>
      </w:r>
      <w:r w:rsidR="00F07703" w:rsidRPr="005C338A">
        <w:rPr>
          <w:rFonts w:ascii="Times New Roman" w:eastAsiaTheme="minorHAnsi" w:hAnsi="Times New Roman" w:cs="Times New Roman"/>
          <w:sz w:val="22"/>
          <w:szCs w:val="22"/>
        </w:rPr>
        <w:t>n</w:t>
      </w:r>
      <w:r w:rsidR="002250B5" w:rsidRPr="005C338A">
        <w:rPr>
          <w:rFonts w:ascii="Times New Roman" w:eastAsiaTheme="minorHAnsi" w:hAnsi="Times New Roman" w:cs="Times New Roman"/>
          <w:sz w:val="22"/>
          <w:szCs w:val="22"/>
        </w:rPr>
        <w:t>ing price</w:t>
      </w:r>
      <w:r w:rsidR="00EB7A77" w:rsidRPr="005C338A">
        <w:rPr>
          <w:rFonts w:ascii="Times New Roman" w:eastAsiaTheme="minorHAnsi" w:hAnsi="Times New Roman" w:cs="Times New Roman"/>
          <w:sz w:val="22"/>
          <w:szCs w:val="22"/>
        </w:rPr>
        <w:t xml:space="preserve"> or the delayed winning price</w:t>
      </w:r>
      <w:r w:rsidRPr="005C338A">
        <w:rPr>
          <w:rFonts w:ascii="Times New Roman" w:eastAsiaTheme="minorHAnsi" w:hAnsi="Times New Roman" w:cs="Times New Roman"/>
          <w:sz w:val="22"/>
          <w:szCs w:val="22"/>
        </w:rPr>
        <w:t xml:space="preserve"> must be </w:t>
      </w:r>
      <w:r w:rsidR="002250B5" w:rsidRPr="005C338A">
        <w:rPr>
          <w:rFonts w:ascii="Times New Roman" w:eastAsiaTheme="minorHAnsi" w:hAnsi="Times New Roman" w:cs="Times New Roman"/>
          <w:sz w:val="22"/>
          <w:szCs w:val="22"/>
        </w:rPr>
        <w:t>paid</w:t>
      </w:r>
      <w:r w:rsidRPr="005C338A">
        <w:rPr>
          <w:rFonts w:ascii="Times New Roman" w:eastAsiaTheme="minorHAnsi" w:hAnsi="Times New Roman" w:cs="Times New Roman"/>
          <w:sz w:val="22"/>
          <w:szCs w:val="22"/>
        </w:rPr>
        <w:t>.</w:t>
      </w:r>
    </w:p>
    <w:p w14:paraId="74B63C8F" w14:textId="1EB6161A" w:rsidR="00230C07" w:rsidRPr="004A5A1E" w:rsidRDefault="00603AB1" w:rsidP="00487A88">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the balance of the </w:t>
      </w:r>
      <w:r w:rsidR="00EB7A77" w:rsidRPr="005C338A">
        <w:rPr>
          <w:rFonts w:ascii="Times New Roman" w:eastAsiaTheme="minorHAnsi" w:hAnsi="Times New Roman" w:cs="Times New Roman"/>
          <w:sz w:val="22"/>
          <w:szCs w:val="22"/>
        </w:rPr>
        <w:t xml:space="preserve">upfront </w:t>
      </w:r>
      <w:r w:rsidRPr="005C338A">
        <w:rPr>
          <w:rFonts w:ascii="Times New Roman" w:eastAsiaTheme="minorHAnsi" w:hAnsi="Times New Roman" w:cs="Times New Roman"/>
          <w:sz w:val="22"/>
          <w:szCs w:val="22"/>
        </w:rPr>
        <w:t xml:space="preserve">winning price that has been calculated under section </w:t>
      </w:r>
      <w:r w:rsidR="00C92B11" w:rsidRPr="005C338A">
        <w:rPr>
          <w:rFonts w:ascii="Times New Roman" w:eastAsiaTheme="minorHAnsi" w:hAnsi="Times New Roman" w:cs="Times New Roman"/>
          <w:sz w:val="22"/>
          <w:szCs w:val="22"/>
        </w:rPr>
        <w:t xml:space="preserve">73 </w:t>
      </w:r>
      <w:r w:rsidR="005A1F11">
        <w:rPr>
          <w:rFonts w:ascii="Times New Roman" w:eastAsiaTheme="minorHAnsi" w:hAnsi="Times New Roman" w:cs="Times New Roman"/>
          <w:sz w:val="22"/>
          <w:szCs w:val="22"/>
        </w:rPr>
        <w:t>is</w:t>
      </w:r>
      <w:r w:rsidRPr="005C338A">
        <w:rPr>
          <w:rFonts w:ascii="Times New Roman" w:eastAsiaTheme="minorHAnsi" w:hAnsi="Times New Roman" w:cs="Times New Roman"/>
          <w:sz w:val="22"/>
          <w:szCs w:val="22"/>
        </w:rPr>
        <w:t xml:space="preserve"> greater than zero, the ACMA must notify each winning bidder by registered mail of the balance </w:t>
      </w:r>
      <w:r w:rsidR="00230C07" w:rsidRPr="005C338A">
        <w:rPr>
          <w:rFonts w:ascii="Times New Roman" w:eastAsiaTheme="minorHAnsi" w:hAnsi="Times New Roman" w:cs="Times New Roman"/>
          <w:sz w:val="22"/>
          <w:szCs w:val="22"/>
        </w:rPr>
        <w:t xml:space="preserve">of the upfront winning price, the delayed winning price, the dates on which the three </w:t>
      </w:r>
      <w:r w:rsidR="004A5A1E">
        <w:rPr>
          <w:rFonts w:ascii="Times New Roman" w:eastAsiaTheme="minorHAnsi" w:hAnsi="Times New Roman" w:cs="Times New Roman"/>
          <w:sz w:val="22"/>
          <w:szCs w:val="22"/>
        </w:rPr>
        <w:t xml:space="preserve">auction </w:t>
      </w:r>
      <w:r w:rsidR="00230C07" w:rsidRPr="005C338A">
        <w:rPr>
          <w:rFonts w:ascii="Times New Roman" w:eastAsiaTheme="minorHAnsi" w:hAnsi="Times New Roman" w:cs="Times New Roman"/>
          <w:sz w:val="22"/>
          <w:szCs w:val="22"/>
        </w:rPr>
        <w:t>instalments for the delayed winning price must be paid, the amounts of those instalments (including the effect of the deposit (if any) paid under section 38 on the first auction instalment)</w:t>
      </w:r>
      <w:r w:rsidR="00EB7A77" w:rsidRPr="005C338A">
        <w:rPr>
          <w:rFonts w:ascii="Times New Roman" w:eastAsiaTheme="minorHAnsi" w:hAnsi="Times New Roman" w:cs="Times New Roman"/>
          <w:sz w:val="22"/>
          <w:szCs w:val="22"/>
        </w:rPr>
        <w:t xml:space="preserve">, </w:t>
      </w:r>
      <w:r w:rsidR="00896360" w:rsidRPr="005C338A">
        <w:rPr>
          <w:rFonts w:ascii="Times New Roman" w:eastAsiaTheme="minorHAnsi" w:hAnsi="Times New Roman" w:cs="Times New Roman"/>
          <w:sz w:val="22"/>
          <w:szCs w:val="22"/>
        </w:rPr>
        <w:t>a</w:t>
      </w:r>
      <w:r w:rsidR="00230C07" w:rsidRPr="005C338A">
        <w:rPr>
          <w:rFonts w:ascii="Times New Roman" w:eastAsiaTheme="minorHAnsi" w:hAnsi="Times New Roman" w:cs="Times New Roman"/>
          <w:sz w:val="22"/>
          <w:szCs w:val="22"/>
        </w:rPr>
        <w:t>nd</w:t>
      </w:r>
      <w:r w:rsidR="00896360" w:rsidRPr="005C338A">
        <w:rPr>
          <w:rFonts w:ascii="Times New Roman" w:eastAsiaTheme="minorHAnsi" w:hAnsi="Times New Roman" w:cs="Times New Roman"/>
          <w:sz w:val="22"/>
          <w:szCs w:val="22"/>
        </w:rPr>
        <w:t xml:space="preserve"> </w:t>
      </w:r>
      <w:r w:rsidR="00230C07" w:rsidRPr="005C338A">
        <w:rPr>
          <w:rFonts w:ascii="Times New Roman" w:eastAsiaTheme="minorHAnsi" w:hAnsi="Times New Roman" w:cs="Times New Roman"/>
          <w:sz w:val="22"/>
          <w:szCs w:val="22"/>
        </w:rPr>
        <w:t>the date, not earlier than 10 working days after the date of the notice, by which the bidder must give the ACMA written notice whether it elects to pay either:</w:t>
      </w:r>
    </w:p>
    <w:p w14:paraId="0E3E21E1" w14:textId="7314ADC1" w:rsidR="00230C07" w:rsidRPr="005C338A" w:rsidRDefault="0052551E" w:rsidP="00185B7E">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w:t>
      </w:r>
      <w:r w:rsidR="00896360"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w:t>
      </w:r>
      <w:r w:rsidR="00EB7A77" w:rsidRPr="005C338A">
        <w:rPr>
          <w:rFonts w:ascii="Times New Roman" w:eastAsiaTheme="minorHAnsi" w:hAnsi="Times New Roman" w:cs="Times New Roman"/>
          <w:sz w:val="22"/>
          <w:szCs w:val="22"/>
        </w:rPr>
        <w:tab/>
      </w:r>
      <w:proofErr w:type="gramStart"/>
      <w:r w:rsidR="00230C07" w:rsidRPr="005C338A">
        <w:rPr>
          <w:rFonts w:ascii="Times New Roman" w:eastAsiaTheme="minorHAnsi" w:hAnsi="Times New Roman" w:cs="Times New Roman"/>
          <w:sz w:val="22"/>
          <w:szCs w:val="22"/>
        </w:rPr>
        <w:t>the</w:t>
      </w:r>
      <w:proofErr w:type="gramEnd"/>
      <w:r w:rsidR="00230C07" w:rsidRPr="005C338A">
        <w:rPr>
          <w:rFonts w:ascii="Times New Roman" w:eastAsiaTheme="minorHAnsi" w:hAnsi="Times New Roman" w:cs="Times New Roman"/>
          <w:sz w:val="22"/>
          <w:szCs w:val="22"/>
        </w:rPr>
        <w:t xml:space="preserve"> balance of the upfront winning price; or</w:t>
      </w:r>
    </w:p>
    <w:p w14:paraId="2196B426" w14:textId="63117473" w:rsidR="00230C07" w:rsidRPr="005C338A" w:rsidRDefault="00230C07" w:rsidP="00185B7E">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w:t>
      </w:r>
      <w:r w:rsidR="00896360"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w:t>
      </w:r>
      <w:r w:rsidR="00EB7A77"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delayed winning price</w:t>
      </w:r>
      <w:r w:rsidR="00896360" w:rsidRPr="005C338A">
        <w:rPr>
          <w:rFonts w:ascii="Times New Roman" w:eastAsiaTheme="minorHAnsi" w:hAnsi="Times New Roman" w:cs="Times New Roman"/>
          <w:sz w:val="22"/>
          <w:szCs w:val="22"/>
        </w:rPr>
        <w:t>.</w:t>
      </w:r>
    </w:p>
    <w:p w14:paraId="5635D964" w14:textId="53FC04C2" w:rsidR="00230C07" w:rsidRPr="005C338A" w:rsidRDefault="00230C07"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a winning bidder gives the ACMA written notice that it elects to pay the balance of the upfront winning price by the date </w:t>
      </w:r>
      <w:r w:rsidR="00FA28D0" w:rsidRPr="005C338A">
        <w:rPr>
          <w:rFonts w:ascii="Times New Roman" w:eastAsiaTheme="minorHAnsi" w:hAnsi="Times New Roman" w:cs="Times New Roman"/>
          <w:sz w:val="22"/>
          <w:szCs w:val="22"/>
        </w:rPr>
        <w:t>specified in the notice given by the ACMA</w:t>
      </w:r>
      <w:r w:rsidRPr="005C338A">
        <w:rPr>
          <w:rFonts w:ascii="Times New Roman" w:eastAsiaTheme="minorHAnsi" w:hAnsi="Times New Roman" w:cs="Times New Roman"/>
          <w:sz w:val="22"/>
          <w:szCs w:val="22"/>
        </w:rPr>
        <w:t>:</w:t>
      </w:r>
    </w:p>
    <w:p w14:paraId="6AE1A5FF" w14:textId="6512BEB5" w:rsidR="00230C07" w:rsidRPr="005C338A" w:rsidRDefault="00230C07" w:rsidP="000C0DB4">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ACMA must notify the winning bidder by registered mail that the ACMA has received the bidder’s election; and</w:t>
      </w:r>
    </w:p>
    <w:p w14:paraId="6DAA0B37" w14:textId="7D2E41DA" w:rsidR="00230C07" w:rsidRPr="005C338A" w:rsidRDefault="00230C07" w:rsidP="000C0DB4">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the</w:t>
      </w:r>
      <w:proofErr w:type="gramEnd"/>
      <w:r w:rsidRPr="005C338A">
        <w:rPr>
          <w:rFonts w:ascii="Times New Roman" w:eastAsiaTheme="minorHAnsi" w:hAnsi="Times New Roman" w:cs="Times New Roman"/>
          <w:sz w:val="22"/>
          <w:szCs w:val="22"/>
        </w:rPr>
        <w:t xml:space="preserve"> balance of the upfront winning price must be paid by the winning bidder to the ACMA on behalf of the Commonwealth no later than 31 January 2018.</w:t>
      </w:r>
    </w:p>
    <w:p w14:paraId="4FB59F75" w14:textId="47F976AC" w:rsidR="00787E02" w:rsidRPr="005C338A" w:rsidRDefault="00787E02">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a winning bidder gives the ACMA written notice that it elects to pay the delayed winning price by the date</w:t>
      </w:r>
      <w:r w:rsidR="00FA28D0" w:rsidRPr="005C338A">
        <w:rPr>
          <w:rFonts w:ascii="Times New Roman" w:eastAsiaTheme="minorHAnsi" w:hAnsi="Times New Roman" w:cs="Times New Roman"/>
          <w:sz w:val="22"/>
          <w:szCs w:val="22"/>
        </w:rPr>
        <w:t xml:space="preserve"> specified in the notice given by the ACMA</w:t>
      </w:r>
      <w:r w:rsidR="00EB7A77" w:rsidRPr="005C338A">
        <w:rPr>
          <w:rFonts w:ascii="Times New Roman" w:eastAsiaTheme="minorHAnsi" w:hAnsi="Times New Roman" w:cs="Times New Roman"/>
          <w:sz w:val="22"/>
          <w:szCs w:val="22"/>
        </w:rPr>
        <w:t>,</w:t>
      </w:r>
      <w:r w:rsidR="00D706A2"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the ACMA must notify the winning bidder by registered mail that the ACMA has received the bidder’s election</w:t>
      </w:r>
      <w:r w:rsidR="00EB7A77" w:rsidRPr="005C338A">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 xml:space="preserve"> and</w:t>
      </w:r>
      <w:r w:rsidR="00D706A2"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the delayed winning price must be paid by the winning bidder to the ACMA on behalf of the Commonwealth</w:t>
      </w:r>
      <w:r w:rsidR="00B1619E" w:rsidRPr="005C338A">
        <w:rPr>
          <w:rFonts w:ascii="Times New Roman" w:eastAsiaTheme="minorHAnsi" w:hAnsi="Times New Roman" w:cs="Times New Roman"/>
          <w:sz w:val="22"/>
          <w:szCs w:val="22"/>
        </w:rPr>
        <w:t xml:space="preserve"> in accordanc</w:t>
      </w:r>
      <w:r w:rsidR="00960695" w:rsidRPr="005C338A">
        <w:rPr>
          <w:rFonts w:ascii="Times New Roman" w:eastAsiaTheme="minorHAnsi" w:hAnsi="Times New Roman" w:cs="Times New Roman"/>
          <w:sz w:val="22"/>
          <w:szCs w:val="22"/>
        </w:rPr>
        <w:t>e</w:t>
      </w:r>
      <w:r w:rsidR="00B1619E" w:rsidRPr="005C338A">
        <w:rPr>
          <w:rFonts w:ascii="Times New Roman" w:eastAsiaTheme="minorHAnsi" w:hAnsi="Times New Roman" w:cs="Times New Roman"/>
          <w:sz w:val="22"/>
          <w:szCs w:val="22"/>
        </w:rPr>
        <w:t xml:space="preserve"> with the following schedule:</w:t>
      </w:r>
    </w:p>
    <w:p w14:paraId="71A3FFEB" w14:textId="77777777" w:rsidR="00CC30BD" w:rsidRPr="00643800" w:rsidRDefault="00CC30BD" w:rsidP="00CC30BD">
      <w:pPr>
        <w:pStyle w:val="ACMABodyText"/>
        <w:tabs>
          <w:tab w:val="left" w:pos="709"/>
        </w:tabs>
        <w:ind w:left="709" w:hanging="425"/>
        <w:rPr>
          <w:rFonts w:ascii="Times New Roman" w:eastAsiaTheme="minorHAnsi" w:hAnsi="Times New Roman" w:cs="Times New Roman"/>
          <w:sz w:val="22"/>
          <w:szCs w:val="22"/>
        </w:rPr>
      </w:pPr>
      <w:r w:rsidRPr="00643800">
        <w:rPr>
          <w:rFonts w:ascii="Times New Roman" w:eastAsiaTheme="minorHAnsi" w:hAnsi="Times New Roman" w:cs="Times New Roman"/>
          <w:sz w:val="22"/>
          <w:szCs w:val="22"/>
        </w:rPr>
        <w:t>(a)</w:t>
      </w:r>
      <w:r w:rsidRPr="00643800">
        <w:rPr>
          <w:rFonts w:ascii="Times New Roman" w:eastAsiaTheme="minorHAnsi" w:hAnsi="Times New Roman" w:cs="Times New Roman"/>
          <w:sz w:val="22"/>
          <w:szCs w:val="22"/>
        </w:rPr>
        <w:tab/>
      </w:r>
      <w:proofErr w:type="gramStart"/>
      <w:r w:rsidRPr="00643800">
        <w:rPr>
          <w:rFonts w:ascii="Times New Roman" w:eastAsiaTheme="minorHAnsi" w:hAnsi="Times New Roman" w:cs="Times New Roman"/>
          <w:sz w:val="22"/>
          <w:szCs w:val="22"/>
        </w:rPr>
        <w:t>an</w:t>
      </w:r>
      <w:proofErr w:type="gramEnd"/>
      <w:r w:rsidRPr="00643800">
        <w:rPr>
          <w:rFonts w:ascii="Times New Roman" w:eastAsiaTheme="minorHAnsi" w:hAnsi="Times New Roman" w:cs="Times New Roman"/>
          <w:sz w:val="22"/>
          <w:szCs w:val="22"/>
        </w:rPr>
        <w:t xml:space="preserve"> instalment of:</w:t>
      </w:r>
    </w:p>
    <w:p w14:paraId="3B9DD002" w14:textId="77A9706A" w:rsidR="00CC30BD" w:rsidRPr="006A267A" w:rsidRDefault="00CC30BD" w:rsidP="005C338A">
      <w:pPr>
        <w:pStyle w:val="ACMABodyText"/>
        <w:tabs>
          <w:tab w:val="left" w:pos="1418"/>
        </w:tabs>
        <w:ind w:left="1418" w:hanging="709"/>
        <w:rPr>
          <w:szCs w:val="22"/>
        </w:rPr>
      </w:pPr>
      <w:r w:rsidRPr="005C338A">
        <w:rPr>
          <w:rFonts w:ascii="Times New Roman" w:hAnsi="Times New Roman" w:cs="Times New Roman"/>
          <w:sz w:val="22"/>
          <w:szCs w:val="22"/>
        </w:rPr>
        <w:t>(</w:t>
      </w:r>
      <w:proofErr w:type="spellStart"/>
      <w:r w:rsidRPr="005C338A">
        <w:rPr>
          <w:rFonts w:ascii="Times New Roman" w:hAnsi="Times New Roman" w:cs="Times New Roman"/>
          <w:sz w:val="22"/>
          <w:szCs w:val="22"/>
        </w:rPr>
        <w:t>i</w:t>
      </w:r>
      <w:proofErr w:type="spellEnd"/>
      <w:r w:rsidRPr="005C338A">
        <w:rPr>
          <w:rFonts w:ascii="Times New Roman" w:hAnsi="Times New Roman" w:cs="Times New Roman"/>
          <w:sz w:val="22"/>
          <w:szCs w:val="22"/>
        </w:rPr>
        <w:t>)</w:t>
      </w:r>
      <w:r w:rsidRPr="005C338A">
        <w:rPr>
          <w:rFonts w:ascii="Times New Roman" w:hAnsi="Times New Roman" w:cs="Times New Roman"/>
          <w:sz w:val="22"/>
          <w:szCs w:val="22"/>
        </w:rPr>
        <w:tab/>
        <w:t>48.0051 per cent of the gross auction price for the licence; less</w:t>
      </w:r>
    </w:p>
    <w:p w14:paraId="3041BD76" w14:textId="146AD16C" w:rsidR="00CC30BD" w:rsidRPr="006A267A" w:rsidRDefault="00CC30BD" w:rsidP="006816A2">
      <w:pPr>
        <w:pStyle w:val="ACMABodyText"/>
        <w:keepNext/>
        <w:tabs>
          <w:tab w:val="left" w:pos="1418"/>
        </w:tabs>
        <w:ind w:left="1418" w:hanging="709"/>
        <w:rPr>
          <w:szCs w:val="22"/>
        </w:rPr>
      </w:pPr>
      <w:r w:rsidRPr="005C338A">
        <w:rPr>
          <w:rFonts w:ascii="Times New Roman" w:hAnsi="Times New Roman" w:cs="Times New Roman"/>
          <w:sz w:val="22"/>
          <w:szCs w:val="22"/>
        </w:rPr>
        <w:t>(ii)</w:t>
      </w:r>
      <w:r w:rsidRPr="005C338A">
        <w:rPr>
          <w:rFonts w:ascii="Times New Roman" w:hAnsi="Times New Roman" w:cs="Times New Roman"/>
          <w:sz w:val="22"/>
          <w:szCs w:val="22"/>
        </w:rPr>
        <w:tab/>
      </w:r>
      <w:proofErr w:type="gramStart"/>
      <w:r w:rsidRPr="005C338A">
        <w:rPr>
          <w:rFonts w:ascii="Times New Roman" w:hAnsi="Times New Roman" w:cs="Times New Roman"/>
          <w:sz w:val="22"/>
          <w:szCs w:val="22"/>
        </w:rPr>
        <w:t>the</w:t>
      </w:r>
      <w:proofErr w:type="gramEnd"/>
      <w:r w:rsidRPr="005C338A">
        <w:rPr>
          <w:rFonts w:ascii="Times New Roman" w:hAnsi="Times New Roman" w:cs="Times New Roman"/>
          <w:sz w:val="22"/>
          <w:szCs w:val="22"/>
        </w:rPr>
        <w:t xml:space="preserve"> deposit (if any) paid by the applicant under section 38;</w:t>
      </w:r>
    </w:p>
    <w:p w14:paraId="650E1E73" w14:textId="0ADC1807" w:rsidR="00CC30BD" w:rsidRPr="00643800" w:rsidRDefault="00CC30BD" w:rsidP="00D208A5">
      <w:pPr>
        <w:pStyle w:val="ACMABodyText"/>
        <w:tabs>
          <w:tab w:val="left" w:pos="709"/>
        </w:tabs>
        <w:ind w:left="709" w:hanging="425"/>
        <w:rPr>
          <w:rFonts w:ascii="Times New Roman" w:eastAsiaTheme="minorHAnsi" w:hAnsi="Times New Roman" w:cs="Times New Roman"/>
          <w:sz w:val="22"/>
          <w:szCs w:val="22"/>
        </w:rPr>
      </w:pPr>
      <w:r w:rsidRPr="00643800">
        <w:rPr>
          <w:rFonts w:ascii="Times New Roman" w:eastAsiaTheme="minorHAnsi" w:hAnsi="Times New Roman" w:cs="Times New Roman"/>
          <w:sz w:val="22"/>
          <w:szCs w:val="22"/>
        </w:rPr>
        <w:tab/>
        <w:t>(</w:t>
      </w:r>
      <w:proofErr w:type="gramStart"/>
      <w:r w:rsidRPr="00643800">
        <w:rPr>
          <w:rFonts w:ascii="Times New Roman" w:eastAsiaTheme="minorHAnsi" w:hAnsi="Times New Roman" w:cs="Times New Roman"/>
          <w:sz w:val="22"/>
          <w:szCs w:val="22"/>
        </w:rPr>
        <w:t>the</w:t>
      </w:r>
      <w:proofErr w:type="gramEnd"/>
      <w:r w:rsidRPr="00643800">
        <w:rPr>
          <w:rFonts w:ascii="Times New Roman" w:eastAsiaTheme="minorHAnsi" w:hAnsi="Times New Roman" w:cs="Times New Roman"/>
          <w:sz w:val="22"/>
          <w:szCs w:val="22"/>
        </w:rPr>
        <w:t xml:space="preserve"> </w:t>
      </w:r>
      <w:r w:rsidRPr="00643800">
        <w:rPr>
          <w:rFonts w:ascii="Times New Roman" w:eastAsiaTheme="minorHAnsi" w:hAnsi="Times New Roman" w:cs="Times New Roman"/>
          <w:b/>
          <w:sz w:val="22"/>
          <w:szCs w:val="22"/>
        </w:rPr>
        <w:t>first</w:t>
      </w:r>
      <w:r>
        <w:rPr>
          <w:rFonts w:ascii="Times New Roman" w:eastAsiaTheme="minorHAnsi" w:hAnsi="Times New Roman" w:cs="Times New Roman"/>
          <w:b/>
          <w:sz w:val="22"/>
          <w:szCs w:val="22"/>
        </w:rPr>
        <w:t xml:space="preserve"> auction</w:t>
      </w:r>
      <w:r w:rsidRPr="00643800">
        <w:rPr>
          <w:rFonts w:ascii="Times New Roman" w:eastAsiaTheme="minorHAnsi" w:hAnsi="Times New Roman" w:cs="Times New Roman"/>
          <w:b/>
          <w:sz w:val="22"/>
          <w:szCs w:val="22"/>
        </w:rPr>
        <w:t xml:space="preserve"> instalment</w:t>
      </w:r>
      <w:r w:rsidRPr="00643800">
        <w:rPr>
          <w:rFonts w:ascii="Times New Roman" w:eastAsiaTheme="minorHAnsi" w:hAnsi="Times New Roman" w:cs="Times New Roman"/>
          <w:sz w:val="22"/>
          <w:szCs w:val="22"/>
        </w:rPr>
        <w:t xml:space="preserve"> for the licence) must be paid no later than 31 January 2018;</w:t>
      </w:r>
    </w:p>
    <w:p w14:paraId="69B2FFA9" w14:textId="11CD0B3B" w:rsidR="00CC30BD" w:rsidRDefault="00CC30BD" w:rsidP="00CC30BD">
      <w:pPr>
        <w:pStyle w:val="ACMABodyText"/>
        <w:tabs>
          <w:tab w:val="left" w:pos="709"/>
        </w:tabs>
        <w:ind w:left="709" w:hanging="425"/>
        <w:rPr>
          <w:rFonts w:ascii="Times New Roman" w:eastAsiaTheme="minorHAnsi" w:hAnsi="Times New Roman" w:cs="Times New Roman"/>
          <w:sz w:val="22"/>
          <w:szCs w:val="22"/>
        </w:rPr>
      </w:pPr>
      <w:r w:rsidRPr="00643800">
        <w:rPr>
          <w:rFonts w:ascii="Times New Roman" w:eastAsiaTheme="minorHAnsi" w:hAnsi="Times New Roman" w:cs="Times New Roman"/>
          <w:sz w:val="22"/>
          <w:szCs w:val="22"/>
        </w:rPr>
        <w:t>(b)</w:t>
      </w:r>
      <w:r w:rsidRPr="00643800">
        <w:rPr>
          <w:rFonts w:ascii="Times New Roman" w:eastAsiaTheme="minorHAnsi" w:hAnsi="Times New Roman" w:cs="Times New Roman"/>
          <w:sz w:val="22"/>
          <w:szCs w:val="22"/>
        </w:rPr>
        <w:tab/>
      </w:r>
      <w:proofErr w:type="gramStart"/>
      <w:r w:rsidRPr="00643800">
        <w:rPr>
          <w:rFonts w:ascii="Times New Roman" w:eastAsiaTheme="minorHAnsi" w:hAnsi="Times New Roman" w:cs="Times New Roman"/>
          <w:sz w:val="22"/>
          <w:szCs w:val="22"/>
        </w:rPr>
        <w:t>an</w:t>
      </w:r>
      <w:proofErr w:type="gramEnd"/>
      <w:r w:rsidRPr="00643800">
        <w:rPr>
          <w:rFonts w:ascii="Times New Roman" w:eastAsiaTheme="minorHAnsi" w:hAnsi="Times New Roman" w:cs="Times New Roman"/>
          <w:sz w:val="22"/>
          <w:szCs w:val="22"/>
        </w:rPr>
        <w:t xml:space="preserve"> instalment of 26.6315 per cent of the gross </w:t>
      </w:r>
      <w:r>
        <w:rPr>
          <w:rFonts w:ascii="Times New Roman" w:eastAsiaTheme="minorHAnsi" w:hAnsi="Times New Roman" w:cs="Times New Roman"/>
          <w:sz w:val="22"/>
          <w:szCs w:val="22"/>
        </w:rPr>
        <w:t xml:space="preserve">auction </w:t>
      </w:r>
      <w:r w:rsidRPr="00643800">
        <w:rPr>
          <w:rFonts w:ascii="Times New Roman" w:eastAsiaTheme="minorHAnsi" w:hAnsi="Times New Roman" w:cs="Times New Roman"/>
          <w:sz w:val="22"/>
          <w:szCs w:val="22"/>
        </w:rPr>
        <w:t xml:space="preserve">price for the licence, multiplied by 1.05 (the </w:t>
      </w:r>
      <w:r w:rsidRPr="00643800">
        <w:rPr>
          <w:rFonts w:ascii="Times New Roman" w:eastAsiaTheme="minorHAnsi" w:hAnsi="Times New Roman" w:cs="Times New Roman"/>
          <w:b/>
          <w:sz w:val="22"/>
          <w:szCs w:val="22"/>
        </w:rPr>
        <w:t xml:space="preserve">second </w:t>
      </w:r>
      <w:r>
        <w:rPr>
          <w:rFonts w:ascii="Times New Roman" w:eastAsiaTheme="minorHAnsi" w:hAnsi="Times New Roman" w:cs="Times New Roman"/>
          <w:b/>
          <w:sz w:val="22"/>
          <w:szCs w:val="22"/>
        </w:rPr>
        <w:t xml:space="preserve">auction </w:t>
      </w:r>
      <w:r w:rsidRPr="00643800">
        <w:rPr>
          <w:rFonts w:ascii="Times New Roman" w:eastAsiaTheme="minorHAnsi" w:hAnsi="Times New Roman" w:cs="Times New Roman"/>
          <w:b/>
          <w:sz w:val="22"/>
          <w:szCs w:val="22"/>
        </w:rPr>
        <w:t>instalment</w:t>
      </w:r>
      <w:r w:rsidRPr="00643800">
        <w:rPr>
          <w:rFonts w:ascii="Times New Roman" w:eastAsiaTheme="minorHAnsi" w:hAnsi="Times New Roman" w:cs="Times New Roman"/>
          <w:sz w:val="22"/>
          <w:szCs w:val="22"/>
        </w:rPr>
        <w:t xml:space="preserve"> for the licence) must be paid no later than 31 January 2019; and</w:t>
      </w:r>
    </w:p>
    <w:p w14:paraId="1306E717" w14:textId="54903980" w:rsidR="00CC30BD" w:rsidRPr="00643800" w:rsidRDefault="00CC30BD" w:rsidP="00CC30BD">
      <w:pPr>
        <w:pStyle w:val="ACMABodyText"/>
        <w:tabs>
          <w:tab w:val="left" w:pos="709"/>
        </w:tabs>
        <w:ind w:left="709" w:hanging="425"/>
        <w:rPr>
          <w:rFonts w:ascii="Times New Roman" w:eastAsiaTheme="minorHAnsi" w:hAnsi="Times New Roman" w:cs="Times New Roman"/>
          <w:sz w:val="22"/>
          <w:szCs w:val="22"/>
        </w:rPr>
      </w:pPr>
      <w:r w:rsidRPr="00643800">
        <w:rPr>
          <w:rFonts w:ascii="Times New Roman" w:eastAsiaTheme="minorHAnsi" w:hAnsi="Times New Roman" w:cs="Times New Roman"/>
          <w:sz w:val="22"/>
          <w:szCs w:val="22"/>
        </w:rPr>
        <w:t>(c)</w:t>
      </w:r>
      <w:r w:rsidRPr="00643800">
        <w:rPr>
          <w:rFonts w:ascii="Times New Roman" w:eastAsiaTheme="minorHAnsi" w:hAnsi="Times New Roman" w:cs="Times New Roman"/>
          <w:sz w:val="22"/>
          <w:szCs w:val="22"/>
        </w:rPr>
        <w:tab/>
      </w:r>
      <w:proofErr w:type="gramStart"/>
      <w:r w:rsidRPr="00643800">
        <w:rPr>
          <w:rFonts w:ascii="Times New Roman" w:eastAsiaTheme="minorHAnsi" w:hAnsi="Times New Roman" w:cs="Times New Roman"/>
          <w:sz w:val="22"/>
          <w:szCs w:val="22"/>
        </w:rPr>
        <w:t>an</w:t>
      </w:r>
      <w:proofErr w:type="gramEnd"/>
      <w:r w:rsidRPr="00643800">
        <w:rPr>
          <w:rFonts w:ascii="Times New Roman" w:eastAsiaTheme="minorHAnsi" w:hAnsi="Times New Roman" w:cs="Times New Roman"/>
          <w:sz w:val="22"/>
          <w:szCs w:val="22"/>
        </w:rPr>
        <w:t xml:space="preserve"> instalment of 25.3634 per cent of the gross </w:t>
      </w:r>
      <w:r>
        <w:rPr>
          <w:rFonts w:ascii="Times New Roman" w:eastAsiaTheme="minorHAnsi" w:hAnsi="Times New Roman" w:cs="Times New Roman"/>
          <w:sz w:val="22"/>
          <w:szCs w:val="22"/>
        </w:rPr>
        <w:t xml:space="preserve">auction </w:t>
      </w:r>
      <w:r w:rsidRPr="00643800">
        <w:rPr>
          <w:rFonts w:ascii="Times New Roman" w:eastAsiaTheme="minorHAnsi" w:hAnsi="Times New Roman" w:cs="Times New Roman"/>
          <w:sz w:val="22"/>
          <w:szCs w:val="22"/>
        </w:rPr>
        <w:t xml:space="preserve">price for the licence, multiplied by 1.1025 (the </w:t>
      </w:r>
      <w:r w:rsidRPr="00643800">
        <w:rPr>
          <w:rFonts w:ascii="Times New Roman" w:eastAsiaTheme="minorHAnsi" w:hAnsi="Times New Roman" w:cs="Times New Roman"/>
          <w:b/>
          <w:sz w:val="22"/>
          <w:szCs w:val="22"/>
        </w:rPr>
        <w:t xml:space="preserve">third </w:t>
      </w:r>
      <w:r>
        <w:rPr>
          <w:rFonts w:ascii="Times New Roman" w:eastAsiaTheme="minorHAnsi" w:hAnsi="Times New Roman" w:cs="Times New Roman"/>
          <w:b/>
          <w:sz w:val="22"/>
          <w:szCs w:val="22"/>
        </w:rPr>
        <w:t xml:space="preserve">auction </w:t>
      </w:r>
      <w:r w:rsidRPr="00643800">
        <w:rPr>
          <w:rFonts w:ascii="Times New Roman" w:eastAsiaTheme="minorHAnsi" w:hAnsi="Times New Roman" w:cs="Times New Roman"/>
          <w:b/>
          <w:sz w:val="22"/>
          <w:szCs w:val="22"/>
        </w:rPr>
        <w:t>instalment</w:t>
      </w:r>
      <w:r w:rsidRPr="00643800">
        <w:rPr>
          <w:rFonts w:ascii="Times New Roman" w:eastAsiaTheme="minorHAnsi" w:hAnsi="Times New Roman" w:cs="Times New Roman"/>
          <w:sz w:val="22"/>
          <w:szCs w:val="22"/>
        </w:rPr>
        <w:t xml:space="preserve"> for the licence) must be paid no later than 31 January 2020.</w:t>
      </w:r>
    </w:p>
    <w:p w14:paraId="36F02F51" w14:textId="368F7756" w:rsidR="00CC30BD" w:rsidRDefault="00CC30BD" w:rsidP="00CC30BD">
      <w:pPr>
        <w:pStyle w:val="ACMABodyText"/>
        <w:rPr>
          <w:rFonts w:eastAsiaTheme="minorHAnsi"/>
          <w:szCs w:val="22"/>
        </w:rPr>
      </w:pPr>
      <w:r>
        <w:rPr>
          <w:rFonts w:ascii="Times New Roman" w:eastAsiaTheme="minorHAnsi" w:hAnsi="Times New Roman" w:cs="Times New Roman"/>
          <w:sz w:val="22"/>
          <w:szCs w:val="22"/>
        </w:rPr>
        <w:t xml:space="preserve">For the purposes of calculating the auction instalments, the </w:t>
      </w:r>
      <w:r w:rsidRPr="00643800">
        <w:rPr>
          <w:rFonts w:ascii="Times New Roman" w:eastAsiaTheme="minorHAnsi" w:hAnsi="Times New Roman" w:cs="Times New Roman"/>
          <w:b/>
          <w:sz w:val="22"/>
          <w:szCs w:val="22"/>
        </w:rPr>
        <w:t>gross</w:t>
      </w:r>
      <w:r>
        <w:rPr>
          <w:rFonts w:ascii="Times New Roman" w:eastAsiaTheme="minorHAnsi" w:hAnsi="Times New Roman" w:cs="Times New Roman"/>
          <w:b/>
          <w:sz w:val="22"/>
          <w:szCs w:val="22"/>
        </w:rPr>
        <w:t xml:space="preserve"> auction</w:t>
      </w:r>
      <w:r w:rsidRPr="00643800">
        <w:rPr>
          <w:rFonts w:ascii="Times New Roman" w:eastAsiaTheme="minorHAnsi" w:hAnsi="Times New Roman" w:cs="Times New Roman"/>
          <w:b/>
          <w:sz w:val="22"/>
          <w:szCs w:val="22"/>
        </w:rPr>
        <w:t xml:space="preserve"> price</w:t>
      </w:r>
      <w:r>
        <w:rPr>
          <w:rFonts w:ascii="Times New Roman" w:eastAsiaTheme="minorHAnsi" w:hAnsi="Times New Roman" w:cs="Times New Roman"/>
          <w:sz w:val="22"/>
          <w:szCs w:val="22"/>
        </w:rPr>
        <w:t xml:space="preserve"> for a licence is the sum of the winning</w:t>
      </w:r>
      <w:r w:rsidRPr="007C4A30">
        <w:rPr>
          <w:rFonts w:ascii="Times New Roman" w:eastAsiaTheme="minorHAnsi" w:hAnsi="Times New Roman" w:cs="Times New Roman"/>
          <w:sz w:val="22"/>
          <w:szCs w:val="22"/>
        </w:rPr>
        <w:t xml:space="preserve"> price</w:t>
      </w:r>
      <w:r>
        <w:rPr>
          <w:rFonts w:ascii="Times New Roman" w:eastAsiaTheme="minorHAnsi" w:hAnsi="Times New Roman" w:cs="Times New Roman"/>
          <w:sz w:val="22"/>
          <w:szCs w:val="22"/>
        </w:rPr>
        <w:t>s for each of the lots to be included in the licence.</w:t>
      </w:r>
    </w:p>
    <w:p w14:paraId="44F70D4B" w14:textId="5B55B028" w:rsidR="00CC30BD" w:rsidRPr="00643800" w:rsidRDefault="00CC30BD" w:rsidP="00CC30BD">
      <w:pPr>
        <w:pStyle w:val="ACMABodyText"/>
        <w:rPr>
          <w:rFonts w:ascii="Times New Roman" w:eastAsiaTheme="minorHAnsi" w:hAnsi="Times New Roman" w:cs="Times New Roman"/>
          <w:sz w:val="22"/>
          <w:szCs w:val="22"/>
        </w:rPr>
      </w:pPr>
      <w:r w:rsidRPr="00643800">
        <w:rPr>
          <w:rFonts w:ascii="Times New Roman" w:eastAsiaTheme="minorHAnsi" w:hAnsi="Times New Roman" w:cs="Times New Roman"/>
          <w:sz w:val="22"/>
          <w:szCs w:val="22"/>
        </w:rPr>
        <w:t>In announcing his intention to direct the ACMA to conduct an auction</w:t>
      </w:r>
      <w:r>
        <w:rPr>
          <w:rFonts w:ascii="Times New Roman" w:eastAsiaTheme="minorHAnsi" w:hAnsi="Times New Roman" w:cs="Times New Roman"/>
          <w:sz w:val="22"/>
          <w:szCs w:val="22"/>
        </w:rPr>
        <w:t xml:space="preserve"> in October 2016</w:t>
      </w:r>
      <w:r w:rsidRPr="00643800">
        <w:rPr>
          <w:rFonts w:ascii="Times New Roman" w:eastAsiaTheme="minorHAnsi" w:hAnsi="Times New Roman" w:cs="Times New Roman"/>
          <w:sz w:val="22"/>
          <w:szCs w:val="22"/>
        </w:rPr>
        <w:t>, the Minister wrote to the ACMA, indicating that he</w:t>
      </w:r>
      <w:r>
        <w:rPr>
          <w:rFonts w:ascii="Times New Roman" w:eastAsiaTheme="minorHAnsi" w:hAnsi="Times New Roman" w:cs="Times New Roman"/>
          <w:sz w:val="22"/>
          <w:szCs w:val="22"/>
        </w:rPr>
        <w:t xml:space="preserve"> wa</w:t>
      </w:r>
      <w:r w:rsidRPr="00643800">
        <w:rPr>
          <w:rFonts w:ascii="Times New Roman" w:eastAsiaTheme="minorHAnsi" w:hAnsi="Times New Roman" w:cs="Times New Roman"/>
          <w:sz w:val="22"/>
          <w:szCs w:val="22"/>
        </w:rPr>
        <w:t xml:space="preserve">s considering directing the ACMA to allow successful bidders to pay the auction winning-bid price </w:t>
      </w:r>
      <w:r>
        <w:rPr>
          <w:rFonts w:ascii="Times New Roman" w:eastAsiaTheme="minorHAnsi" w:hAnsi="Times New Roman" w:cs="Times New Roman"/>
          <w:sz w:val="22"/>
          <w:szCs w:val="22"/>
        </w:rPr>
        <w:t>‘</w:t>
      </w:r>
      <w:r w:rsidRPr="00643800">
        <w:rPr>
          <w:rFonts w:ascii="Times New Roman" w:eastAsiaTheme="minorHAnsi" w:hAnsi="Times New Roman" w:cs="Times New Roman"/>
          <w:sz w:val="22"/>
          <w:szCs w:val="22"/>
        </w:rPr>
        <w:t>in a manner consistent with the payment arrangement outlined in the draft ministerial direction to the ACMA on VHA</w:t>
      </w:r>
      <w:r>
        <w:rPr>
          <w:rFonts w:ascii="Times New Roman" w:eastAsiaTheme="minorHAnsi" w:hAnsi="Times New Roman" w:cs="Times New Roman"/>
          <w:sz w:val="22"/>
          <w:szCs w:val="22"/>
        </w:rPr>
        <w:t>’</w:t>
      </w:r>
      <w:r w:rsidRPr="00643800">
        <w:rPr>
          <w:rFonts w:ascii="Times New Roman" w:eastAsiaTheme="minorHAnsi" w:hAnsi="Times New Roman" w:cs="Times New Roman"/>
          <w:sz w:val="22"/>
          <w:szCs w:val="22"/>
        </w:rPr>
        <w:t>s March 2016 proposal</w:t>
      </w:r>
      <w:r>
        <w:rPr>
          <w:rFonts w:ascii="Times New Roman" w:eastAsiaTheme="minorHAnsi" w:hAnsi="Times New Roman" w:cs="Times New Roman"/>
          <w:sz w:val="22"/>
          <w:szCs w:val="22"/>
        </w:rPr>
        <w:t xml:space="preserve">’ (see the Minister’s letter to the Acting Chair of the ACMA, available on the ACMA’s webpage for </w:t>
      </w:r>
      <w:hyperlink r:id="rId17" w:history="1">
        <w:r w:rsidRPr="002D4EC3">
          <w:rPr>
            <w:rStyle w:val="Hyperlink"/>
            <w:rFonts w:ascii="Times New Roman" w:eastAsiaTheme="minorHAnsi" w:hAnsi="Times New Roman"/>
            <w:sz w:val="22"/>
            <w:szCs w:val="22"/>
          </w:rPr>
          <w:t>consultation</w:t>
        </w:r>
      </w:hyperlink>
      <w:r>
        <w:rPr>
          <w:rFonts w:ascii="Times New Roman" w:eastAsiaTheme="minorHAnsi" w:hAnsi="Times New Roman" w:cs="Times New Roman"/>
          <w:sz w:val="22"/>
          <w:szCs w:val="22"/>
        </w:rPr>
        <w:t xml:space="preserve"> on the Determination)</w:t>
      </w:r>
      <w:r w:rsidRPr="00643800">
        <w:rPr>
          <w:rFonts w:ascii="Times New Roman" w:eastAsiaTheme="minorHAnsi" w:hAnsi="Times New Roman" w:cs="Times New Roman"/>
          <w:sz w:val="22"/>
          <w:szCs w:val="22"/>
        </w:rPr>
        <w:t>.</w:t>
      </w:r>
      <w:r>
        <w:rPr>
          <w:rFonts w:ascii="Times New Roman" w:eastAsiaTheme="minorHAnsi" w:hAnsi="Times New Roman" w:cs="Times New Roman"/>
          <w:sz w:val="22"/>
          <w:szCs w:val="22"/>
        </w:rPr>
        <w:t xml:space="preserve">  The reference to ‘VHA’s March 2016 proposal’ is a reference to a proposal put forward by Vodafone Hutchison Australia, on which the Department of Communications and the Arts publicly consulted between 6 May and 10 June 2016.  The ACMA consulted on the basis that the auction instalment percentages would be the same as those in that proposal.</w:t>
      </w:r>
    </w:p>
    <w:p w14:paraId="54C5DACD" w14:textId="658B4426" w:rsidR="00CC30BD" w:rsidRDefault="00CC30BD" w:rsidP="00CC30BD">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The percentages in the Determination for the auction instalment payments vary slightly from those included in VHA’s March 2016 proposal.  The ACMA has sought to</w:t>
      </w:r>
      <w:r w:rsidR="00F6271F">
        <w:rPr>
          <w:rFonts w:ascii="Times New Roman" w:eastAsiaTheme="minorHAnsi" w:hAnsi="Times New Roman" w:cs="Times New Roman"/>
          <w:sz w:val="22"/>
          <w:szCs w:val="22"/>
        </w:rPr>
        <w:t xml:space="preserve"> keep close</w:t>
      </w:r>
      <w:r>
        <w:rPr>
          <w:rFonts w:ascii="Times New Roman" w:eastAsiaTheme="minorHAnsi" w:hAnsi="Times New Roman" w:cs="Times New Roman"/>
          <w:sz w:val="22"/>
          <w:szCs w:val="22"/>
        </w:rPr>
        <w:t xml:space="preserve"> to those percentages, while complying with the requirement in the Residual 700 MHz Spectrum Direction to ensure that the present value of the total spectrum access charge payable (that is, the delayed winning price) be the same (when rounded to the nearest $1,000) as the amount determined in accordance with the allocation procedures (that is, the sum of the winning prices for the lots included in the relevant spectrum licence).</w:t>
      </w:r>
      <w:r w:rsidR="00CC19D5">
        <w:rPr>
          <w:rFonts w:ascii="Times New Roman" w:eastAsiaTheme="minorHAnsi" w:hAnsi="Times New Roman" w:cs="Times New Roman"/>
          <w:sz w:val="22"/>
          <w:szCs w:val="22"/>
        </w:rPr>
        <w:t xml:space="preserve">  The Residual 700 MHz Spectrum D</w:t>
      </w:r>
      <w:r w:rsidR="00F6271F">
        <w:rPr>
          <w:rFonts w:ascii="Times New Roman" w:eastAsiaTheme="minorHAnsi" w:hAnsi="Times New Roman" w:cs="Times New Roman"/>
          <w:sz w:val="22"/>
          <w:szCs w:val="22"/>
        </w:rPr>
        <w:t xml:space="preserve">irection requires that the ‘present value of the </w:t>
      </w:r>
      <w:r w:rsidR="00461379">
        <w:rPr>
          <w:rFonts w:ascii="Times New Roman" w:eastAsiaTheme="minorHAnsi" w:hAnsi="Times New Roman" w:cs="Times New Roman"/>
          <w:sz w:val="22"/>
          <w:szCs w:val="22"/>
        </w:rPr>
        <w:t xml:space="preserve">total </w:t>
      </w:r>
      <w:r w:rsidR="00F6271F">
        <w:rPr>
          <w:rFonts w:ascii="Times New Roman" w:eastAsiaTheme="minorHAnsi" w:hAnsi="Times New Roman" w:cs="Times New Roman"/>
          <w:sz w:val="22"/>
          <w:szCs w:val="22"/>
        </w:rPr>
        <w:t>spectrum access charge</w:t>
      </w:r>
      <w:r w:rsidR="00461379">
        <w:rPr>
          <w:rFonts w:ascii="Times New Roman" w:eastAsiaTheme="minorHAnsi" w:hAnsi="Times New Roman" w:cs="Times New Roman"/>
          <w:sz w:val="22"/>
          <w:szCs w:val="22"/>
        </w:rPr>
        <w:t>s</w:t>
      </w:r>
      <w:r w:rsidR="00F6271F">
        <w:rPr>
          <w:rFonts w:ascii="Times New Roman" w:eastAsiaTheme="minorHAnsi" w:hAnsi="Times New Roman" w:cs="Times New Roman"/>
          <w:sz w:val="22"/>
          <w:szCs w:val="22"/>
        </w:rPr>
        <w:t>’ be calculated as the sum of the present values of the instalments.  For this purpose, the ACMA treats the deposit as being paid at the same time as the first auction instalment.</w:t>
      </w:r>
    </w:p>
    <w:p w14:paraId="079F5198" w14:textId="074A2EF6" w:rsidR="00CC30BD" w:rsidRPr="005C338A" w:rsidRDefault="00056138" w:rsidP="00783625">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T</w:t>
      </w:r>
      <w:r w:rsidR="00787E02" w:rsidRPr="005C338A">
        <w:rPr>
          <w:rFonts w:ascii="Times New Roman" w:eastAsiaTheme="minorHAnsi" w:hAnsi="Times New Roman" w:cs="Times New Roman"/>
          <w:sz w:val="22"/>
          <w:szCs w:val="22"/>
        </w:rPr>
        <w:t xml:space="preserve">he winning bidder </w:t>
      </w:r>
      <w:r w:rsidRPr="005C338A">
        <w:rPr>
          <w:rFonts w:ascii="Times New Roman" w:eastAsiaTheme="minorHAnsi" w:hAnsi="Times New Roman" w:cs="Times New Roman"/>
          <w:sz w:val="22"/>
          <w:szCs w:val="22"/>
        </w:rPr>
        <w:t xml:space="preserve">paying the delayed winning price </w:t>
      </w:r>
      <w:r w:rsidR="00787E02" w:rsidRPr="005C338A">
        <w:rPr>
          <w:rFonts w:ascii="Times New Roman" w:eastAsiaTheme="minorHAnsi" w:hAnsi="Times New Roman" w:cs="Times New Roman"/>
          <w:sz w:val="22"/>
          <w:szCs w:val="22"/>
        </w:rPr>
        <w:t xml:space="preserve">must </w:t>
      </w:r>
      <w:r w:rsidRPr="005C338A">
        <w:rPr>
          <w:rFonts w:ascii="Times New Roman" w:eastAsiaTheme="minorHAnsi" w:hAnsi="Times New Roman" w:cs="Times New Roman"/>
          <w:sz w:val="22"/>
          <w:szCs w:val="22"/>
        </w:rPr>
        <w:t xml:space="preserve">also </w:t>
      </w:r>
      <w:r w:rsidR="00787E02" w:rsidRPr="005C338A">
        <w:rPr>
          <w:rFonts w:ascii="Times New Roman" w:eastAsiaTheme="minorHAnsi" w:hAnsi="Times New Roman" w:cs="Times New Roman"/>
          <w:sz w:val="22"/>
          <w:szCs w:val="22"/>
        </w:rPr>
        <w:t xml:space="preserve">give </w:t>
      </w:r>
      <w:r w:rsidR="00094B4A" w:rsidRPr="005C338A">
        <w:rPr>
          <w:rFonts w:ascii="Times New Roman" w:eastAsiaTheme="minorHAnsi" w:hAnsi="Times New Roman" w:cs="Times New Roman"/>
          <w:sz w:val="22"/>
          <w:szCs w:val="22"/>
        </w:rPr>
        <w:t xml:space="preserve">the ACMA an irrevocable bank guarantee securing the payment of the second auction instalment and the third auction instalment, issued by an Australian-owned authorised deposit-taking institution (as defined in the </w:t>
      </w:r>
      <w:r w:rsidR="00094B4A" w:rsidRPr="005C338A">
        <w:rPr>
          <w:rFonts w:ascii="Times New Roman" w:eastAsiaTheme="minorHAnsi" w:hAnsi="Times New Roman" w:cs="Times New Roman"/>
          <w:i/>
          <w:sz w:val="22"/>
          <w:szCs w:val="22"/>
        </w:rPr>
        <w:t>Banking Act 1959</w:t>
      </w:r>
      <w:r w:rsidR="00094B4A" w:rsidRPr="005C338A">
        <w:rPr>
          <w:rFonts w:ascii="Times New Roman" w:eastAsiaTheme="minorHAnsi" w:hAnsi="Times New Roman" w:cs="Times New Roman"/>
          <w:sz w:val="22"/>
          <w:szCs w:val="22"/>
        </w:rPr>
        <w:t>) which is a bank, in a form approved by the ACMA (</w:t>
      </w:r>
      <w:r w:rsidR="00094B4A" w:rsidRPr="005C338A">
        <w:rPr>
          <w:rFonts w:ascii="Times New Roman" w:eastAsiaTheme="minorHAnsi" w:hAnsi="Times New Roman" w:cs="Times New Roman"/>
          <w:b/>
          <w:sz w:val="22"/>
          <w:szCs w:val="22"/>
        </w:rPr>
        <w:t>delayed winning</w:t>
      </w:r>
      <w:r w:rsidR="00094B4A" w:rsidRPr="005C338A">
        <w:rPr>
          <w:rFonts w:ascii="Times New Roman" w:eastAsiaTheme="minorHAnsi" w:hAnsi="Times New Roman" w:cs="Times New Roman"/>
          <w:sz w:val="22"/>
          <w:szCs w:val="22"/>
        </w:rPr>
        <w:t xml:space="preserve"> </w:t>
      </w:r>
      <w:r w:rsidR="00094B4A" w:rsidRPr="005C338A">
        <w:rPr>
          <w:rFonts w:ascii="Times New Roman" w:eastAsiaTheme="minorHAnsi" w:hAnsi="Times New Roman" w:cs="Times New Roman"/>
          <w:b/>
          <w:sz w:val="22"/>
          <w:szCs w:val="22"/>
        </w:rPr>
        <w:t>price bank guarantee</w:t>
      </w:r>
      <w:r w:rsidR="00094B4A" w:rsidRPr="005C338A">
        <w:rPr>
          <w:rFonts w:ascii="Times New Roman" w:eastAsiaTheme="minorHAnsi" w:hAnsi="Times New Roman" w:cs="Times New Roman"/>
          <w:sz w:val="22"/>
          <w:szCs w:val="22"/>
        </w:rPr>
        <w:t>), no later than 31 January 2018 (that is, the date by which the first auction instalment must be paid).</w:t>
      </w:r>
      <w:r w:rsidR="00CC30BD">
        <w:rPr>
          <w:rFonts w:ascii="Times New Roman" w:eastAsiaTheme="minorHAnsi" w:hAnsi="Times New Roman" w:cs="Times New Roman"/>
          <w:sz w:val="22"/>
          <w:szCs w:val="22"/>
        </w:rPr>
        <w:t xml:space="preserve">  The winning bidder is not entitled to be issued a spectrum licence unless it gives the ACMA the delayed winning price bank guarantee </w:t>
      </w:r>
      <w:r w:rsidR="00CC30BD" w:rsidRPr="00643800">
        <w:rPr>
          <w:rFonts w:ascii="Times New Roman" w:eastAsiaTheme="minorHAnsi" w:hAnsi="Times New Roman" w:cs="Times New Roman"/>
          <w:sz w:val="22"/>
          <w:szCs w:val="22"/>
        </w:rPr>
        <w:t xml:space="preserve">securing the </w:t>
      </w:r>
      <w:r w:rsidR="00CC30BD">
        <w:rPr>
          <w:rFonts w:ascii="Times New Roman" w:eastAsiaTheme="minorHAnsi" w:hAnsi="Times New Roman" w:cs="Times New Roman"/>
          <w:sz w:val="22"/>
          <w:szCs w:val="22"/>
        </w:rPr>
        <w:t>‘</w:t>
      </w:r>
      <w:r w:rsidR="00CC30BD" w:rsidRPr="00643800">
        <w:rPr>
          <w:rFonts w:ascii="Times New Roman" w:eastAsiaTheme="minorHAnsi" w:hAnsi="Times New Roman" w:cs="Times New Roman"/>
          <w:sz w:val="22"/>
          <w:szCs w:val="22"/>
        </w:rPr>
        <w:t>secured</w:t>
      </w:r>
      <w:r w:rsidR="00CC30BD">
        <w:rPr>
          <w:rFonts w:ascii="Times New Roman" w:eastAsiaTheme="minorHAnsi" w:hAnsi="Times New Roman" w:cs="Times New Roman"/>
          <w:sz w:val="22"/>
          <w:szCs w:val="22"/>
        </w:rPr>
        <w:t xml:space="preserve"> auction</w:t>
      </w:r>
      <w:r w:rsidR="00CC30BD" w:rsidRPr="00643800">
        <w:rPr>
          <w:rFonts w:ascii="Times New Roman" w:eastAsiaTheme="minorHAnsi" w:hAnsi="Times New Roman" w:cs="Times New Roman"/>
          <w:sz w:val="22"/>
          <w:szCs w:val="22"/>
        </w:rPr>
        <w:t xml:space="preserve"> amount</w:t>
      </w:r>
      <w:r w:rsidR="00CC30BD">
        <w:rPr>
          <w:rFonts w:ascii="Times New Roman" w:eastAsiaTheme="minorHAnsi" w:hAnsi="Times New Roman" w:cs="Times New Roman"/>
          <w:sz w:val="22"/>
          <w:szCs w:val="22"/>
        </w:rPr>
        <w:t>’</w:t>
      </w:r>
      <w:r w:rsidR="00CC30BD" w:rsidRPr="00643800">
        <w:rPr>
          <w:rFonts w:ascii="Times New Roman" w:eastAsiaTheme="minorHAnsi" w:hAnsi="Times New Roman" w:cs="Times New Roman"/>
          <w:sz w:val="22"/>
          <w:szCs w:val="22"/>
        </w:rPr>
        <w:t xml:space="preserve">.  </w:t>
      </w:r>
      <w:r w:rsidR="00CC30BD">
        <w:rPr>
          <w:rFonts w:ascii="Times New Roman" w:eastAsiaTheme="minorHAnsi" w:hAnsi="Times New Roman" w:cs="Times New Roman"/>
          <w:sz w:val="22"/>
          <w:szCs w:val="22"/>
        </w:rPr>
        <w:t xml:space="preserve">In accordance with the Residual 700 MHz Spectrum Direction, the </w:t>
      </w:r>
      <w:r w:rsidR="00CC30BD">
        <w:rPr>
          <w:rFonts w:ascii="Times New Roman" w:eastAsiaTheme="minorHAnsi" w:hAnsi="Times New Roman" w:cs="Times New Roman"/>
          <w:b/>
          <w:sz w:val="22"/>
          <w:szCs w:val="22"/>
        </w:rPr>
        <w:t xml:space="preserve">secured auction amount </w:t>
      </w:r>
      <w:r w:rsidR="00CC30BD">
        <w:rPr>
          <w:rFonts w:ascii="Times New Roman" w:eastAsiaTheme="minorHAnsi" w:hAnsi="Times New Roman" w:cs="Times New Roman"/>
          <w:sz w:val="22"/>
          <w:szCs w:val="22"/>
        </w:rPr>
        <w:t>is five per cent of the amount of spectrum access charge that remains unpaid (that is, five per cent of the second and third auction instalments, reducing to five per cent of the third auction instalment after the second auction instalment is paid).</w:t>
      </w:r>
    </w:p>
    <w:p w14:paraId="3D7DCA05" w14:textId="0D0CFDCA" w:rsidR="00787E02" w:rsidRPr="005C338A" w:rsidRDefault="00783625"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Each instalment must be paid in accordance with the payment arrangements that are outlined in section 7.</w:t>
      </w:r>
      <w:r w:rsidRPr="00CC30BD">
        <w:rPr>
          <w:rFonts w:ascii="Times New Roman" w:eastAsiaTheme="minorHAnsi" w:hAnsi="Times New Roman" w:cs="Times New Roman"/>
          <w:sz w:val="22"/>
          <w:szCs w:val="22"/>
        </w:rPr>
        <w:t xml:space="preserve"> </w:t>
      </w:r>
    </w:p>
    <w:p w14:paraId="2A86D89C" w14:textId="43F83E27" w:rsidR="008B52A3" w:rsidRPr="005C338A" w:rsidRDefault="008B52A3"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the ACMA becomes aware that a notice </w:t>
      </w:r>
      <w:r w:rsidR="00FA28D0" w:rsidRPr="005C338A">
        <w:rPr>
          <w:rFonts w:ascii="Times New Roman" w:eastAsiaTheme="minorHAnsi" w:hAnsi="Times New Roman" w:cs="Times New Roman"/>
          <w:sz w:val="22"/>
          <w:szCs w:val="22"/>
        </w:rPr>
        <w:t xml:space="preserve">given to a winning bidder </w:t>
      </w:r>
      <w:r w:rsidRPr="005C338A">
        <w:rPr>
          <w:rFonts w:ascii="Times New Roman" w:eastAsiaTheme="minorHAnsi" w:hAnsi="Times New Roman" w:cs="Times New Roman"/>
          <w:sz w:val="22"/>
          <w:szCs w:val="22"/>
        </w:rPr>
        <w:t>under subsection</w:t>
      </w:r>
      <w:r w:rsidR="00FA28D0"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(1) </w:t>
      </w:r>
      <w:r w:rsidR="00FA28D0" w:rsidRPr="005C338A">
        <w:rPr>
          <w:rFonts w:ascii="Times New Roman" w:eastAsiaTheme="minorHAnsi" w:hAnsi="Times New Roman" w:cs="Times New Roman"/>
          <w:sz w:val="22"/>
          <w:szCs w:val="22"/>
        </w:rPr>
        <w:t xml:space="preserve">(i.e., the notice setting out the balance of the upfront winning price and the delayed winning price, among other </w:t>
      </w:r>
      <w:r w:rsidR="00FA28D0" w:rsidRPr="005C338A">
        <w:rPr>
          <w:rFonts w:ascii="Times New Roman" w:eastAsiaTheme="minorHAnsi" w:hAnsi="Times New Roman" w:cs="Times New Roman"/>
          <w:sz w:val="22"/>
          <w:szCs w:val="22"/>
        </w:rPr>
        <w:lastRenderedPageBreak/>
        <w:t xml:space="preserve">things) </w:t>
      </w:r>
      <w:r w:rsidRPr="005C338A">
        <w:rPr>
          <w:rFonts w:ascii="Times New Roman" w:eastAsiaTheme="minorHAnsi" w:hAnsi="Times New Roman" w:cs="Times New Roman"/>
          <w:sz w:val="22"/>
          <w:szCs w:val="22"/>
        </w:rPr>
        <w:t>contains a material error, the ACMA must give the winning bidder a revised notice by registered mail</w:t>
      </w:r>
      <w:r w:rsidR="00FA28D0" w:rsidRPr="005C338A">
        <w:rPr>
          <w:rFonts w:ascii="Times New Roman" w:eastAsiaTheme="minorHAnsi" w:hAnsi="Times New Roman" w:cs="Times New Roman"/>
          <w:sz w:val="22"/>
          <w:szCs w:val="22"/>
        </w:rPr>
        <w:t xml:space="preserve"> (subsection (4))</w:t>
      </w:r>
      <w:r w:rsidRPr="005C338A">
        <w:rPr>
          <w:rFonts w:ascii="Times New Roman" w:eastAsiaTheme="minorHAnsi" w:hAnsi="Times New Roman" w:cs="Times New Roman"/>
          <w:sz w:val="22"/>
          <w:szCs w:val="22"/>
        </w:rPr>
        <w:t>.</w:t>
      </w:r>
      <w:r w:rsidR="00CC30BD">
        <w:rPr>
          <w:rFonts w:ascii="Times New Roman" w:eastAsiaTheme="minorHAnsi" w:hAnsi="Times New Roman" w:cs="Times New Roman"/>
          <w:sz w:val="22"/>
          <w:szCs w:val="22"/>
        </w:rPr>
        <w:t xml:space="preserve"> </w:t>
      </w:r>
      <w:r w:rsidR="005B3FC3"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If a revised notice is given under subsection (4):</w:t>
      </w:r>
    </w:p>
    <w:p w14:paraId="12309092" w14:textId="376EAA93" w:rsidR="008B52A3" w:rsidRPr="005C338A" w:rsidRDefault="008B52A3" w:rsidP="000C0DB4">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(a)</w:t>
      </w:r>
      <w:r w:rsidR="00FA28D0" w:rsidRPr="005C338A">
        <w:rPr>
          <w:rFonts w:ascii="Times New Roman" w:eastAsiaTheme="minorHAnsi" w:hAnsi="Times New Roman" w:cs="Times New Roman"/>
          <w:sz w:val="22"/>
          <w:szCs w:val="22"/>
        </w:rPr>
        <w:tab/>
      </w:r>
      <w:r w:rsidR="005B3FC3" w:rsidRPr="005C338A">
        <w:rPr>
          <w:rFonts w:ascii="Times New Roman" w:eastAsiaTheme="minorHAnsi" w:hAnsi="Times New Roman" w:cs="Times New Roman"/>
          <w:sz w:val="22"/>
          <w:szCs w:val="22"/>
        </w:rPr>
        <w:t>t</w:t>
      </w:r>
      <w:r w:rsidRPr="005C338A">
        <w:rPr>
          <w:rFonts w:ascii="Times New Roman" w:eastAsiaTheme="minorHAnsi" w:hAnsi="Times New Roman" w:cs="Times New Roman"/>
          <w:sz w:val="22"/>
          <w:szCs w:val="22"/>
        </w:rPr>
        <w:t>he ACMA must include in the revised notice a date, not later than 15 working days after the date of the revised notice, by which the bidder may give the ACMA notice whether it has elected to pay the balance of the upfront winning price or the delayed winning price; and</w:t>
      </w:r>
    </w:p>
    <w:p w14:paraId="6C26F7D8" w14:textId="609FD7FE" w:rsidR="008B52A3" w:rsidRPr="005C338A" w:rsidRDefault="008B52A3" w:rsidP="000C0DB4">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(b)</w:t>
      </w:r>
      <w:r w:rsidR="00FA28D0" w:rsidRPr="005C338A">
        <w:rPr>
          <w:rFonts w:ascii="Times New Roman" w:eastAsiaTheme="minorHAnsi" w:hAnsi="Times New Roman" w:cs="Times New Roman"/>
          <w:sz w:val="22"/>
          <w:szCs w:val="22"/>
        </w:rPr>
        <w:tab/>
      </w:r>
      <w:r w:rsidRPr="005C338A">
        <w:rPr>
          <w:rFonts w:ascii="Times New Roman" w:eastAsiaTheme="minorHAnsi" w:hAnsi="Times New Roman" w:cs="Times New Roman"/>
          <w:sz w:val="22"/>
          <w:szCs w:val="22"/>
        </w:rPr>
        <w:t>subsections 75(2) and 75(3) apply as if the date</w:t>
      </w:r>
      <w:r w:rsidR="00FA28D0" w:rsidRPr="005C338A">
        <w:rPr>
          <w:rFonts w:ascii="Times New Roman" w:eastAsiaTheme="minorHAnsi" w:hAnsi="Times New Roman" w:cs="Times New Roman"/>
          <w:sz w:val="22"/>
          <w:szCs w:val="22"/>
        </w:rPr>
        <w:t xml:space="preserve"> </w:t>
      </w:r>
      <w:r w:rsidR="00401FC5">
        <w:rPr>
          <w:rFonts w:ascii="Times New Roman" w:eastAsiaTheme="minorHAnsi" w:hAnsi="Times New Roman" w:cs="Times New Roman"/>
          <w:sz w:val="22"/>
          <w:szCs w:val="22"/>
        </w:rPr>
        <w:t>for making the election as to upfront or delayed payment</w:t>
      </w:r>
      <w:r w:rsidRPr="005C338A">
        <w:rPr>
          <w:rFonts w:ascii="Times New Roman" w:eastAsiaTheme="minorHAnsi" w:hAnsi="Times New Roman" w:cs="Times New Roman"/>
          <w:sz w:val="22"/>
          <w:szCs w:val="22"/>
        </w:rPr>
        <w:t xml:space="preserve"> were the date included in the revised notice; and</w:t>
      </w:r>
    </w:p>
    <w:p w14:paraId="2DFF0C43" w14:textId="6CA5D900" w:rsidR="008B52A3" w:rsidRPr="00CC30BD" w:rsidRDefault="008B52A3" w:rsidP="000C0DB4">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(c)</w:t>
      </w:r>
      <w:r w:rsidR="00FA28D0"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any</w:t>
      </w:r>
      <w:proofErr w:type="gramEnd"/>
      <w:r w:rsidRPr="005C338A">
        <w:rPr>
          <w:rFonts w:ascii="Times New Roman" w:eastAsiaTheme="minorHAnsi" w:hAnsi="Times New Roman" w:cs="Times New Roman"/>
          <w:sz w:val="22"/>
          <w:szCs w:val="22"/>
        </w:rPr>
        <w:t xml:space="preserve"> previous notice given by the winning bidder under subsection </w:t>
      </w:r>
      <w:r w:rsidR="00401FC5">
        <w:rPr>
          <w:rFonts w:ascii="Times New Roman" w:eastAsiaTheme="minorHAnsi" w:hAnsi="Times New Roman" w:cs="Times New Roman"/>
          <w:sz w:val="22"/>
          <w:szCs w:val="22"/>
        </w:rPr>
        <w:t>75</w:t>
      </w:r>
      <w:r w:rsidRPr="005C338A">
        <w:rPr>
          <w:rFonts w:ascii="Times New Roman" w:eastAsiaTheme="minorHAnsi" w:hAnsi="Times New Roman" w:cs="Times New Roman"/>
          <w:sz w:val="22"/>
          <w:szCs w:val="22"/>
        </w:rPr>
        <w:t xml:space="preserve">(2) or </w:t>
      </w:r>
      <w:r w:rsidR="00401FC5">
        <w:rPr>
          <w:rFonts w:ascii="Times New Roman" w:eastAsiaTheme="minorHAnsi" w:hAnsi="Times New Roman" w:cs="Times New Roman"/>
          <w:sz w:val="22"/>
          <w:szCs w:val="22"/>
        </w:rPr>
        <w:t>75</w:t>
      </w:r>
      <w:r w:rsidRPr="005C338A">
        <w:rPr>
          <w:rFonts w:ascii="Times New Roman" w:eastAsiaTheme="minorHAnsi" w:hAnsi="Times New Roman" w:cs="Times New Roman"/>
          <w:sz w:val="22"/>
          <w:szCs w:val="22"/>
        </w:rPr>
        <w:t>(3) is of no effect.</w:t>
      </w:r>
    </w:p>
    <w:p w14:paraId="139146DC" w14:textId="3182C8EA" w:rsidR="005B3FC3" w:rsidRPr="005C338A" w:rsidRDefault="005B3FC3" w:rsidP="00F763AC">
      <w:pPr>
        <w:pStyle w:val="ACMABodyText"/>
        <w:rPr>
          <w:rFonts w:ascii="Times New Roman" w:eastAsiaTheme="minorHAnsi" w:hAnsi="Times New Roman" w:cs="Times New Roman"/>
          <w:sz w:val="22"/>
          <w:szCs w:val="22"/>
        </w:rPr>
      </w:pPr>
      <w:r w:rsidRPr="005C338A">
        <w:rPr>
          <w:rFonts w:ascii="Times New Roman" w:hAnsi="Times New Roman" w:cs="Times New Roman"/>
          <w:sz w:val="22"/>
          <w:szCs w:val="22"/>
        </w:rPr>
        <w:t xml:space="preserve">If </w:t>
      </w:r>
      <w:r w:rsidRPr="005C338A">
        <w:rPr>
          <w:rFonts w:ascii="Times New Roman" w:eastAsiaTheme="minorHAnsi" w:hAnsi="Times New Roman" w:cs="Times New Roman"/>
          <w:sz w:val="22"/>
          <w:szCs w:val="22"/>
        </w:rPr>
        <w:t xml:space="preserve">a winning bidder does not give the ACMA written notice whether it elects to pay the balance of the upfront winning price or the delayed winning price by the date </w:t>
      </w:r>
      <w:r w:rsidR="00FA28D0" w:rsidRPr="005C338A">
        <w:rPr>
          <w:rFonts w:ascii="Times New Roman" w:eastAsiaTheme="minorHAnsi" w:hAnsi="Times New Roman" w:cs="Times New Roman"/>
          <w:sz w:val="22"/>
          <w:szCs w:val="22"/>
        </w:rPr>
        <w:t>specified in the original notice given by the ACMA (or in any revised notice)</w:t>
      </w:r>
      <w:r w:rsidRPr="005C338A">
        <w:rPr>
          <w:rFonts w:ascii="Times New Roman" w:eastAsiaTheme="minorHAnsi" w:hAnsi="Times New Roman" w:cs="Times New Roman"/>
          <w:sz w:val="22"/>
          <w:szCs w:val="22"/>
        </w:rPr>
        <w:t>, the bidder is deemed to have given the ACMA written notice that it elects to pay the balance of the upfront winning price under subsection (2)</w:t>
      </w:r>
      <w:r w:rsidR="00401FC5">
        <w:rPr>
          <w:rFonts w:ascii="Times New Roman" w:eastAsiaTheme="minorHAnsi" w:hAnsi="Times New Roman" w:cs="Times New Roman"/>
          <w:sz w:val="22"/>
          <w:szCs w:val="22"/>
        </w:rPr>
        <w:t xml:space="preserve"> (that is, the upfront option)</w:t>
      </w:r>
      <w:r w:rsidRPr="005C338A">
        <w:rPr>
          <w:rFonts w:ascii="Times New Roman" w:eastAsiaTheme="minorHAnsi" w:hAnsi="Times New Roman" w:cs="Times New Roman"/>
          <w:sz w:val="22"/>
          <w:szCs w:val="22"/>
        </w:rPr>
        <w:t>.</w:t>
      </w:r>
    </w:p>
    <w:p w14:paraId="514C3D4B" w14:textId="4EB5D9D3" w:rsidR="00F73E7A" w:rsidRPr="005C338A" w:rsidRDefault="00F73E7A"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a winning bidder gives the ACMA written notice that it elects to pay the delayed winning price by the date </w:t>
      </w:r>
      <w:r w:rsidR="00FA28D0" w:rsidRPr="005C338A">
        <w:rPr>
          <w:rFonts w:ascii="Times New Roman" w:eastAsiaTheme="minorHAnsi" w:hAnsi="Times New Roman" w:cs="Times New Roman"/>
          <w:sz w:val="22"/>
          <w:szCs w:val="22"/>
        </w:rPr>
        <w:t>specified in the original notice given by the ACMA (or in any revised notice)</w:t>
      </w:r>
      <w:r w:rsidRPr="005C338A">
        <w:rPr>
          <w:rFonts w:ascii="Times New Roman" w:eastAsiaTheme="minorHAnsi" w:hAnsi="Times New Roman" w:cs="Times New Roman"/>
          <w:sz w:val="22"/>
          <w:szCs w:val="22"/>
        </w:rPr>
        <w:t xml:space="preserve">, the winning bidder is not entitled to be issued a spectrum licence unless the winning bidder </w:t>
      </w:r>
      <w:r w:rsidR="00094B4A" w:rsidRPr="005C338A">
        <w:rPr>
          <w:rFonts w:ascii="Times New Roman" w:eastAsiaTheme="minorHAnsi" w:hAnsi="Times New Roman" w:cs="Times New Roman"/>
          <w:sz w:val="22"/>
          <w:szCs w:val="22"/>
        </w:rPr>
        <w:t xml:space="preserve">has also given </w:t>
      </w:r>
      <w:r w:rsidRPr="005C338A">
        <w:rPr>
          <w:rFonts w:ascii="Times New Roman" w:eastAsiaTheme="minorHAnsi" w:hAnsi="Times New Roman" w:cs="Times New Roman"/>
          <w:sz w:val="22"/>
          <w:szCs w:val="22"/>
        </w:rPr>
        <w:t xml:space="preserve">the ACMA </w:t>
      </w:r>
      <w:r w:rsidR="00094B4A" w:rsidRPr="005C338A">
        <w:rPr>
          <w:rFonts w:ascii="Times New Roman" w:eastAsiaTheme="minorHAnsi" w:hAnsi="Times New Roman" w:cs="Times New Roman"/>
          <w:sz w:val="22"/>
          <w:szCs w:val="22"/>
        </w:rPr>
        <w:t xml:space="preserve">a </w:t>
      </w:r>
      <w:r w:rsidRPr="005C338A">
        <w:rPr>
          <w:rFonts w:ascii="Times New Roman" w:eastAsiaTheme="minorHAnsi" w:hAnsi="Times New Roman" w:cs="Times New Roman"/>
          <w:sz w:val="22"/>
          <w:szCs w:val="22"/>
        </w:rPr>
        <w:t xml:space="preserve">delayed winning price bank guarantee, no later than </w:t>
      </w:r>
      <w:r w:rsidR="00FA28D0" w:rsidRPr="005C338A">
        <w:rPr>
          <w:rFonts w:ascii="Times New Roman" w:eastAsiaTheme="minorHAnsi" w:hAnsi="Times New Roman" w:cs="Times New Roman"/>
          <w:sz w:val="22"/>
          <w:szCs w:val="22"/>
        </w:rPr>
        <w:t>31 January 2018</w:t>
      </w:r>
      <w:r w:rsidR="00D208A5">
        <w:rPr>
          <w:rFonts w:ascii="Times New Roman" w:eastAsiaTheme="minorHAnsi" w:hAnsi="Times New Roman" w:cs="Times New Roman"/>
          <w:sz w:val="22"/>
          <w:szCs w:val="22"/>
        </w:rPr>
        <w:t>, as mentioned above</w:t>
      </w:r>
      <w:r w:rsidR="00094B4A" w:rsidRPr="005C338A">
        <w:rPr>
          <w:rFonts w:ascii="Times New Roman" w:eastAsiaTheme="minorHAnsi" w:hAnsi="Times New Roman" w:cs="Times New Roman"/>
          <w:sz w:val="22"/>
          <w:szCs w:val="22"/>
        </w:rPr>
        <w:t>.</w:t>
      </w:r>
    </w:p>
    <w:p w14:paraId="2ECF0348" w14:textId="6F2E1D03" w:rsidR="004569BB" w:rsidRPr="005C338A" w:rsidRDefault="004569BB">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the winning bidder fails to pay an instalment other than the first auction instalment in accordance with subsection (3), the winning bidder may be in breach of the licence condition required to be included in a spectrum l</w:t>
      </w:r>
      <w:r w:rsidR="00896360" w:rsidRPr="005C338A">
        <w:rPr>
          <w:rFonts w:ascii="Times New Roman" w:eastAsiaTheme="minorHAnsi" w:hAnsi="Times New Roman" w:cs="Times New Roman"/>
          <w:sz w:val="22"/>
          <w:szCs w:val="22"/>
        </w:rPr>
        <w:t>icence by section 67 of the Act, and</w:t>
      </w:r>
      <w:r w:rsidRPr="005C338A">
        <w:rPr>
          <w:rFonts w:ascii="Times New Roman" w:eastAsiaTheme="minorHAnsi" w:hAnsi="Times New Roman" w:cs="Times New Roman"/>
          <w:sz w:val="22"/>
          <w:szCs w:val="22"/>
        </w:rPr>
        <w:t xml:space="preserve"> the ACMA or the Commonwealth may require the authorised deposit-taking institution that has issued the delayed winning price bank guarantee to pay the amounts secured by </w:t>
      </w:r>
      <w:r w:rsidR="00401FC5">
        <w:rPr>
          <w:rFonts w:ascii="Times New Roman" w:eastAsiaTheme="minorHAnsi" w:hAnsi="Times New Roman" w:cs="Times New Roman"/>
          <w:sz w:val="22"/>
          <w:szCs w:val="22"/>
        </w:rPr>
        <w:t>that</w:t>
      </w:r>
      <w:r w:rsidRPr="005C338A">
        <w:rPr>
          <w:rFonts w:ascii="Times New Roman" w:eastAsiaTheme="minorHAnsi" w:hAnsi="Times New Roman" w:cs="Times New Roman"/>
          <w:sz w:val="22"/>
          <w:szCs w:val="22"/>
        </w:rPr>
        <w:t xml:space="preserve"> bank guarantee.</w:t>
      </w:r>
      <w:r w:rsidR="00401FC5">
        <w:rPr>
          <w:rFonts w:ascii="Times New Roman" w:eastAsiaTheme="minorHAnsi" w:hAnsi="Times New Roman" w:cs="Times New Roman"/>
          <w:sz w:val="22"/>
          <w:szCs w:val="22"/>
        </w:rPr>
        <w:t xml:space="preserve">  Nothing in the Determination limits the other rights or remedies the ACMA or the Commonwealth has against a person, including against the authorised deposit-taking institution that has issued the delayed winning price bank guarantee.</w:t>
      </w:r>
    </w:p>
    <w:p w14:paraId="0C9CF911" w14:textId="77777777" w:rsidR="00F73E7A" w:rsidRPr="005C338A" w:rsidRDefault="00F73E7A"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a spectrum licence is issued to a winning bidder in accordance with subsection 76(2), each of the first auction instalment, the second auction instalment and the third auction instalment is not refundable in any circumstances.</w:t>
      </w:r>
    </w:p>
    <w:p w14:paraId="1BD63A2F" w14:textId="487E54EB" w:rsidR="00F73E7A" w:rsidRPr="00487A88" w:rsidRDefault="00F73E7A"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If a delayed winning price bank guarantee is given to the ACMA by email or fax before the date mentioned in subsection 75(7), the original guarantee must be received by the ACMA no later than </w:t>
      </w:r>
      <w:r w:rsidR="00896360" w:rsidRPr="005C338A">
        <w:rPr>
          <w:rFonts w:ascii="Times New Roman" w:eastAsiaTheme="minorHAnsi" w:hAnsi="Times New Roman" w:cs="Times New Roman"/>
          <w:sz w:val="22"/>
          <w:szCs w:val="22"/>
        </w:rPr>
        <w:t xml:space="preserve">three </w:t>
      </w:r>
      <w:r w:rsidRPr="005C338A">
        <w:rPr>
          <w:rFonts w:ascii="Times New Roman" w:eastAsiaTheme="minorHAnsi" w:hAnsi="Times New Roman" w:cs="Times New Roman"/>
          <w:sz w:val="22"/>
          <w:szCs w:val="22"/>
        </w:rPr>
        <w:t>working days after that date (or, if the ACMA agrees to a later time, the agreed time) for the guarantee to be taken to have been given to the ACMA.</w:t>
      </w:r>
    </w:p>
    <w:p w14:paraId="37AD3BC1" w14:textId="318CA3D3" w:rsidR="00E9421B" w:rsidRPr="000C0DB4" w:rsidRDefault="00E9421B"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Section 76</w:t>
      </w:r>
      <w:r w:rsidRPr="000C0DB4">
        <w:rPr>
          <w:rFonts w:eastAsiaTheme="minorHAnsi"/>
          <w:b/>
          <w:sz w:val="22"/>
          <w:szCs w:val="22"/>
          <w:lang w:eastAsia="en-US"/>
        </w:rPr>
        <w:tab/>
        <w:t>Issue of spectrum licence</w:t>
      </w:r>
    </w:p>
    <w:p w14:paraId="43A9AC71" w14:textId="684B3AF3" w:rsidR="00E9421B" w:rsidRPr="005C338A" w:rsidRDefault="00E9421B"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a winning bidder elects to pay the balance of the upfront winning price</w:t>
      </w:r>
      <w:r w:rsidR="00783625" w:rsidRPr="005C338A">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 xml:space="preserve"> and pays the balance of the upfront winning price in accordance with subsection 75(2), the winning bidder is entitled to be issued a spectrum licence for each part of the spectrum allocated to the bidder. </w:t>
      </w:r>
    </w:p>
    <w:p w14:paraId="38AB7E2D" w14:textId="3EBFB579" w:rsidR="00E9421B" w:rsidRPr="00487A88" w:rsidRDefault="00E9421B" w:rsidP="00F763AC">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a winning bidder elects to pay the delayed winning price and pays the first auction instalment in accordance with subparagraph 75(3</w:t>
      </w:r>
      <w:proofErr w:type="gramStart"/>
      <w:r w:rsidRPr="005C338A">
        <w:rPr>
          <w:rFonts w:ascii="Times New Roman" w:eastAsiaTheme="minorHAnsi" w:hAnsi="Times New Roman" w:cs="Times New Roman"/>
          <w:sz w:val="22"/>
          <w:szCs w:val="22"/>
        </w:rPr>
        <w:t>)(</w:t>
      </w:r>
      <w:proofErr w:type="gramEnd"/>
      <w:r w:rsidRPr="005C338A">
        <w:rPr>
          <w:rFonts w:ascii="Times New Roman" w:eastAsiaTheme="minorHAnsi" w:hAnsi="Times New Roman" w:cs="Times New Roman"/>
          <w:sz w:val="22"/>
          <w:szCs w:val="22"/>
        </w:rPr>
        <w:t>b)(</w:t>
      </w:r>
      <w:proofErr w:type="spellStart"/>
      <w:r w:rsidRPr="005C338A">
        <w:rPr>
          <w:rFonts w:ascii="Times New Roman" w:eastAsiaTheme="minorHAnsi" w:hAnsi="Times New Roman" w:cs="Times New Roman"/>
          <w:sz w:val="22"/>
          <w:szCs w:val="22"/>
        </w:rPr>
        <w:t>i</w:t>
      </w:r>
      <w:proofErr w:type="spellEnd"/>
      <w:r w:rsidRPr="005C338A">
        <w:rPr>
          <w:rFonts w:ascii="Times New Roman" w:eastAsiaTheme="minorHAnsi" w:hAnsi="Times New Roman" w:cs="Times New Roman"/>
          <w:sz w:val="22"/>
          <w:szCs w:val="22"/>
        </w:rPr>
        <w:t>) and gives the ACMA the delayed winning price bank guarantee in accordance with subsection 75(7), the winning bidder is entitled to be issued a spectrum licence for each part of the spectrum allocated to the bidder.</w:t>
      </w:r>
    </w:p>
    <w:p w14:paraId="554A6940" w14:textId="7D657006" w:rsidR="00F73E7A" w:rsidRPr="000C0DB4" w:rsidRDefault="00354090" w:rsidP="000C0DB4">
      <w:pPr>
        <w:keepNext/>
        <w:spacing w:after="160" w:line="259" w:lineRule="auto"/>
        <w:rPr>
          <w:rFonts w:eastAsiaTheme="minorHAnsi"/>
          <w:b/>
          <w:sz w:val="22"/>
          <w:szCs w:val="22"/>
          <w:lang w:eastAsia="en-US"/>
        </w:rPr>
      </w:pPr>
      <w:r w:rsidRPr="000C0DB4">
        <w:rPr>
          <w:rFonts w:eastAsiaTheme="minorHAnsi"/>
          <w:b/>
          <w:sz w:val="22"/>
          <w:szCs w:val="22"/>
          <w:lang w:eastAsia="en-US"/>
        </w:rPr>
        <w:lastRenderedPageBreak/>
        <w:t>Section 77</w:t>
      </w:r>
      <w:r w:rsidRPr="000C0DB4">
        <w:rPr>
          <w:rFonts w:eastAsiaTheme="minorHAnsi"/>
          <w:b/>
          <w:sz w:val="22"/>
          <w:szCs w:val="22"/>
          <w:lang w:eastAsia="en-US"/>
        </w:rPr>
        <w:tab/>
        <w:t>Default</w:t>
      </w:r>
    </w:p>
    <w:p w14:paraId="30E31102" w14:textId="571BF1F3" w:rsidR="000F214C" w:rsidRPr="00487A88" w:rsidRDefault="004569BB" w:rsidP="00932F9C">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This section sets out the consequences that apply if </w:t>
      </w:r>
      <w:r w:rsidR="000F214C" w:rsidRPr="00487A88">
        <w:rPr>
          <w:rFonts w:ascii="Times New Roman" w:eastAsiaTheme="minorHAnsi" w:hAnsi="Times New Roman" w:cs="Times New Roman"/>
          <w:sz w:val="22"/>
          <w:szCs w:val="22"/>
        </w:rPr>
        <w:t>a winning bidder</w:t>
      </w:r>
      <w:r w:rsidR="003D5246" w:rsidRPr="00487A88">
        <w:rPr>
          <w:rFonts w:ascii="Times New Roman" w:eastAsiaTheme="minorHAnsi" w:hAnsi="Times New Roman" w:cs="Times New Roman"/>
          <w:sz w:val="22"/>
          <w:szCs w:val="22"/>
        </w:rPr>
        <w:t xml:space="preserve"> </w:t>
      </w:r>
      <w:r w:rsidR="000F214C" w:rsidRPr="00487A88">
        <w:rPr>
          <w:rFonts w:ascii="Times New Roman" w:eastAsiaTheme="minorHAnsi" w:hAnsi="Times New Roman" w:cs="Times New Roman"/>
          <w:sz w:val="22"/>
          <w:szCs w:val="22"/>
        </w:rPr>
        <w:t>elects to pay the balance of the upfront winning price and</w:t>
      </w:r>
      <w:r w:rsidR="003D5246" w:rsidRPr="00487A88">
        <w:rPr>
          <w:rFonts w:ascii="Times New Roman" w:eastAsiaTheme="minorHAnsi" w:hAnsi="Times New Roman" w:cs="Times New Roman"/>
          <w:sz w:val="22"/>
          <w:szCs w:val="22"/>
        </w:rPr>
        <w:t xml:space="preserve"> </w:t>
      </w:r>
      <w:r w:rsidR="000F214C" w:rsidRPr="00487A88">
        <w:rPr>
          <w:rFonts w:ascii="Times New Roman" w:eastAsiaTheme="minorHAnsi" w:hAnsi="Times New Roman" w:cs="Times New Roman"/>
          <w:sz w:val="22"/>
          <w:szCs w:val="22"/>
        </w:rPr>
        <w:t>does not pay the balance of the upfront winning price in accordance with subsection 75(2)</w:t>
      </w:r>
      <w:r>
        <w:rPr>
          <w:rFonts w:ascii="Times New Roman" w:eastAsiaTheme="minorHAnsi" w:hAnsi="Times New Roman" w:cs="Times New Roman"/>
          <w:sz w:val="22"/>
          <w:szCs w:val="22"/>
        </w:rPr>
        <w:t xml:space="preserve">.  In this case, </w:t>
      </w:r>
      <w:r w:rsidR="000F214C" w:rsidRPr="00487A88">
        <w:rPr>
          <w:rFonts w:ascii="Times New Roman" w:eastAsiaTheme="minorHAnsi" w:hAnsi="Times New Roman" w:cs="Times New Roman"/>
          <w:sz w:val="22"/>
          <w:szCs w:val="22"/>
        </w:rPr>
        <w:t xml:space="preserve">the spectrum licence is not allocated to the winning </w:t>
      </w:r>
      <w:r w:rsidR="00025BFE" w:rsidRPr="00487A88">
        <w:rPr>
          <w:rFonts w:ascii="Times New Roman" w:eastAsiaTheme="minorHAnsi" w:hAnsi="Times New Roman" w:cs="Times New Roman"/>
          <w:sz w:val="22"/>
          <w:szCs w:val="22"/>
        </w:rPr>
        <w:t>bidder</w:t>
      </w:r>
      <w:r w:rsidR="00025BFE">
        <w:rPr>
          <w:rFonts w:ascii="Times New Roman" w:eastAsiaTheme="minorHAnsi" w:hAnsi="Times New Roman" w:cs="Times New Roman"/>
          <w:sz w:val="22"/>
          <w:szCs w:val="22"/>
        </w:rPr>
        <w:t>, the</w:t>
      </w:r>
      <w:r w:rsidR="000F214C" w:rsidRPr="00487A88">
        <w:rPr>
          <w:rFonts w:ascii="Times New Roman" w:eastAsiaTheme="minorHAnsi" w:hAnsi="Times New Roman" w:cs="Times New Roman"/>
          <w:sz w:val="22"/>
          <w:szCs w:val="22"/>
        </w:rPr>
        <w:t xml:space="preserve"> allocation of spectrum licences under </w:t>
      </w:r>
      <w:r>
        <w:rPr>
          <w:rFonts w:ascii="Times New Roman" w:eastAsiaTheme="minorHAnsi" w:hAnsi="Times New Roman" w:cs="Times New Roman"/>
          <w:sz w:val="22"/>
          <w:szCs w:val="22"/>
        </w:rPr>
        <w:t>the Determination</w:t>
      </w:r>
      <w:r w:rsidR="000F214C" w:rsidRPr="00487A88">
        <w:rPr>
          <w:rFonts w:ascii="Times New Roman" w:eastAsiaTheme="minorHAnsi" w:hAnsi="Times New Roman" w:cs="Times New Roman"/>
          <w:sz w:val="22"/>
          <w:szCs w:val="22"/>
        </w:rPr>
        <w:t xml:space="preserve"> to other applicants is not affected</w:t>
      </w:r>
      <w:r>
        <w:rPr>
          <w:rFonts w:ascii="Times New Roman" w:eastAsiaTheme="minorHAnsi" w:hAnsi="Times New Roman" w:cs="Times New Roman"/>
          <w:sz w:val="22"/>
          <w:szCs w:val="22"/>
        </w:rPr>
        <w:t>,</w:t>
      </w:r>
      <w:r w:rsidR="000F214C" w:rsidRPr="00487A88">
        <w:rPr>
          <w:rFonts w:ascii="Times New Roman" w:eastAsiaTheme="minorHAnsi" w:hAnsi="Times New Roman" w:cs="Times New Roman"/>
          <w:sz w:val="22"/>
          <w:szCs w:val="22"/>
        </w:rPr>
        <w:t xml:space="preserve"> and</w:t>
      </w:r>
      <w:r>
        <w:rPr>
          <w:rFonts w:ascii="Times New Roman" w:eastAsiaTheme="minorHAnsi" w:hAnsi="Times New Roman" w:cs="Times New Roman"/>
          <w:sz w:val="22"/>
          <w:szCs w:val="22"/>
        </w:rPr>
        <w:t xml:space="preserve"> </w:t>
      </w:r>
      <w:r w:rsidR="000F214C" w:rsidRPr="00487A88">
        <w:rPr>
          <w:rFonts w:ascii="Times New Roman" w:eastAsiaTheme="minorHAnsi" w:hAnsi="Times New Roman" w:cs="Times New Roman"/>
          <w:sz w:val="22"/>
          <w:szCs w:val="22"/>
        </w:rPr>
        <w:t>section 80 applies to spectrum that, but for section</w:t>
      </w:r>
      <w:r w:rsidR="00401FC5">
        <w:rPr>
          <w:rFonts w:ascii="Times New Roman" w:eastAsiaTheme="minorHAnsi" w:hAnsi="Times New Roman" w:cs="Times New Roman"/>
          <w:sz w:val="22"/>
          <w:szCs w:val="22"/>
        </w:rPr>
        <w:t xml:space="preserve"> 77</w:t>
      </w:r>
      <w:r w:rsidR="000F214C" w:rsidRPr="00487A88">
        <w:rPr>
          <w:rFonts w:ascii="Times New Roman" w:eastAsiaTheme="minorHAnsi" w:hAnsi="Times New Roman" w:cs="Times New Roman"/>
          <w:sz w:val="22"/>
          <w:szCs w:val="22"/>
        </w:rPr>
        <w:t>, would have been included in a spectrum licence allocated to the winning bidder.</w:t>
      </w:r>
    </w:p>
    <w:p w14:paraId="74498969" w14:textId="2513CDB9" w:rsidR="000F214C" w:rsidRPr="005C338A" w:rsidRDefault="00401FC5" w:rsidP="00F763AC">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S</w:t>
      </w:r>
      <w:r w:rsidR="004569BB" w:rsidRPr="005C338A">
        <w:rPr>
          <w:rFonts w:ascii="Times New Roman" w:eastAsiaTheme="minorHAnsi" w:hAnsi="Times New Roman" w:cs="Times New Roman"/>
          <w:sz w:val="22"/>
          <w:szCs w:val="22"/>
        </w:rPr>
        <w:t>ection</w:t>
      </w:r>
      <w:r>
        <w:rPr>
          <w:rFonts w:ascii="Times New Roman" w:eastAsiaTheme="minorHAnsi" w:hAnsi="Times New Roman" w:cs="Times New Roman"/>
          <w:sz w:val="22"/>
          <w:szCs w:val="22"/>
        </w:rPr>
        <w:t xml:space="preserve"> 77</w:t>
      </w:r>
      <w:r w:rsidR="004569BB" w:rsidRPr="005C338A">
        <w:rPr>
          <w:rFonts w:ascii="Times New Roman" w:eastAsiaTheme="minorHAnsi" w:hAnsi="Times New Roman" w:cs="Times New Roman"/>
          <w:sz w:val="22"/>
          <w:szCs w:val="22"/>
        </w:rPr>
        <w:t xml:space="preserve"> also sets out the consequences that apply if</w:t>
      </w:r>
      <w:r w:rsidR="000F214C" w:rsidRPr="005C338A">
        <w:rPr>
          <w:rFonts w:ascii="Times New Roman" w:eastAsiaTheme="minorHAnsi" w:hAnsi="Times New Roman" w:cs="Times New Roman"/>
          <w:sz w:val="22"/>
          <w:szCs w:val="22"/>
        </w:rPr>
        <w:t xml:space="preserve"> a winning bidder</w:t>
      </w:r>
      <w:r w:rsidR="003D5246" w:rsidRPr="005C338A">
        <w:rPr>
          <w:rFonts w:ascii="Times New Roman" w:eastAsiaTheme="minorHAnsi" w:hAnsi="Times New Roman" w:cs="Times New Roman"/>
          <w:sz w:val="22"/>
          <w:szCs w:val="22"/>
        </w:rPr>
        <w:t xml:space="preserve"> </w:t>
      </w:r>
      <w:r w:rsidR="000F214C" w:rsidRPr="005C338A">
        <w:rPr>
          <w:rFonts w:ascii="Times New Roman" w:eastAsiaTheme="minorHAnsi" w:hAnsi="Times New Roman" w:cs="Times New Roman"/>
          <w:sz w:val="22"/>
          <w:szCs w:val="22"/>
        </w:rPr>
        <w:t>elects to pay the delayed winning price; and</w:t>
      </w:r>
      <w:r w:rsidR="00404FDE" w:rsidRPr="005C338A">
        <w:rPr>
          <w:rFonts w:ascii="Times New Roman" w:eastAsiaTheme="minorHAnsi" w:hAnsi="Times New Roman" w:cs="Times New Roman"/>
          <w:sz w:val="22"/>
          <w:szCs w:val="22"/>
        </w:rPr>
        <w:t xml:space="preserve"> </w:t>
      </w:r>
      <w:r w:rsidR="000F214C" w:rsidRPr="005C338A">
        <w:rPr>
          <w:rFonts w:ascii="Times New Roman" w:eastAsiaTheme="minorHAnsi" w:hAnsi="Times New Roman" w:cs="Times New Roman"/>
          <w:sz w:val="22"/>
          <w:szCs w:val="22"/>
        </w:rPr>
        <w:t>either, or both:</w:t>
      </w:r>
    </w:p>
    <w:p w14:paraId="442978CE" w14:textId="5EA64B93" w:rsidR="000F214C" w:rsidRPr="005C338A" w:rsidRDefault="000F214C" w:rsidP="00487A88">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w:t>
      </w:r>
      <w:r w:rsidR="004569BB"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w:t>
      </w:r>
      <w:r w:rsidR="004569BB"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does</w:t>
      </w:r>
      <w:proofErr w:type="gramEnd"/>
      <w:r w:rsidRPr="005C338A">
        <w:rPr>
          <w:rFonts w:ascii="Times New Roman" w:eastAsiaTheme="minorHAnsi" w:hAnsi="Times New Roman" w:cs="Times New Roman"/>
          <w:sz w:val="22"/>
          <w:szCs w:val="22"/>
        </w:rPr>
        <w:t xml:space="preserve"> not pay the first auction instalment in accordance with subparagraph 75(3)(b)(</w:t>
      </w:r>
      <w:proofErr w:type="spellStart"/>
      <w:r w:rsidRPr="005C338A">
        <w:rPr>
          <w:rFonts w:ascii="Times New Roman" w:eastAsiaTheme="minorHAnsi" w:hAnsi="Times New Roman" w:cs="Times New Roman"/>
          <w:sz w:val="22"/>
          <w:szCs w:val="22"/>
        </w:rPr>
        <w:t>i</w:t>
      </w:r>
      <w:proofErr w:type="spellEnd"/>
      <w:r w:rsidRPr="005C338A">
        <w:rPr>
          <w:rFonts w:ascii="Times New Roman" w:eastAsiaTheme="minorHAnsi" w:hAnsi="Times New Roman" w:cs="Times New Roman"/>
          <w:sz w:val="22"/>
          <w:szCs w:val="22"/>
        </w:rPr>
        <w:t>); or</w:t>
      </w:r>
    </w:p>
    <w:p w14:paraId="060C53D3" w14:textId="28215DA2" w:rsidR="000F214C" w:rsidRPr="00D019B0" w:rsidRDefault="000F214C" w:rsidP="00487A88">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w:t>
      </w:r>
      <w:r w:rsidR="004569BB"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w:t>
      </w:r>
      <w:r w:rsidR="004569BB" w:rsidRPr="005C338A">
        <w:rPr>
          <w:rFonts w:ascii="Times New Roman" w:eastAsiaTheme="minorHAnsi" w:hAnsi="Times New Roman" w:cs="Times New Roman"/>
          <w:sz w:val="22"/>
          <w:szCs w:val="22"/>
        </w:rPr>
        <w:tab/>
      </w:r>
      <w:proofErr w:type="gramStart"/>
      <w:r w:rsidRPr="005C338A">
        <w:rPr>
          <w:rFonts w:ascii="Times New Roman" w:eastAsiaTheme="minorHAnsi" w:hAnsi="Times New Roman" w:cs="Times New Roman"/>
          <w:sz w:val="22"/>
          <w:szCs w:val="22"/>
        </w:rPr>
        <w:t>does</w:t>
      </w:r>
      <w:proofErr w:type="gramEnd"/>
      <w:r w:rsidRPr="005C338A">
        <w:rPr>
          <w:rFonts w:ascii="Times New Roman" w:eastAsiaTheme="minorHAnsi" w:hAnsi="Times New Roman" w:cs="Times New Roman"/>
          <w:sz w:val="22"/>
          <w:szCs w:val="22"/>
        </w:rPr>
        <w:t xml:space="preserve"> not give the ACMA the delayed winning price bank guarantee in accordance with subsection 75(7)</w:t>
      </w:r>
      <w:r w:rsidR="00896360" w:rsidRPr="005C338A">
        <w:rPr>
          <w:rFonts w:ascii="Times New Roman" w:eastAsiaTheme="minorHAnsi" w:hAnsi="Times New Roman" w:cs="Times New Roman"/>
          <w:sz w:val="22"/>
          <w:szCs w:val="22"/>
        </w:rPr>
        <w:t>.</w:t>
      </w:r>
    </w:p>
    <w:p w14:paraId="3F5B1C6F" w14:textId="24C43EF0" w:rsidR="000F214C" w:rsidRPr="00D019B0" w:rsidRDefault="004569BB" w:rsidP="00487A88">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In this case, </w:t>
      </w:r>
      <w:r w:rsidR="000F214C" w:rsidRPr="005C338A">
        <w:rPr>
          <w:rFonts w:ascii="Times New Roman" w:eastAsiaTheme="minorHAnsi" w:hAnsi="Times New Roman" w:cs="Times New Roman"/>
          <w:sz w:val="22"/>
          <w:szCs w:val="22"/>
        </w:rPr>
        <w:t>the spectrum licence is not allocated to the winning bidder</w:t>
      </w:r>
      <w:r w:rsidR="009C2BE5" w:rsidRPr="005C338A">
        <w:rPr>
          <w:rFonts w:ascii="Times New Roman" w:eastAsiaTheme="minorHAnsi" w:hAnsi="Times New Roman" w:cs="Times New Roman"/>
          <w:sz w:val="22"/>
          <w:szCs w:val="22"/>
        </w:rPr>
        <w:t>,</w:t>
      </w:r>
      <w:r w:rsidR="00404FDE" w:rsidRPr="005C338A">
        <w:rPr>
          <w:rFonts w:ascii="Times New Roman" w:eastAsiaTheme="minorHAnsi" w:hAnsi="Times New Roman" w:cs="Times New Roman"/>
          <w:sz w:val="22"/>
          <w:szCs w:val="22"/>
        </w:rPr>
        <w:t xml:space="preserve"> </w:t>
      </w:r>
      <w:r w:rsidR="000F214C" w:rsidRPr="005C338A">
        <w:rPr>
          <w:rFonts w:ascii="Times New Roman" w:eastAsiaTheme="minorHAnsi" w:hAnsi="Times New Roman" w:cs="Times New Roman"/>
          <w:sz w:val="22"/>
          <w:szCs w:val="22"/>
        </w:rPr>
        <w:t xml:space="preserve">the allocation of spectrum licences under </w:t>
      </w:r>
      <w:r w:rsidR="009C2BE5" w:rsidRPr="005C338A">
        <w:rPr>
          <w:rFonts w:ascii="Times New Roman" w:eastAsiaTheme="minorHAnsi" w:hAnsi="Times New Roman" w:cs="Times New Roman"/>
          <w:sz w:val="22"/>
          <w:szCs w:val="22"/>
        </w:rPr>
        <w:t>the Determination</w:t>
      </w:r>
      <w:r w:rsidR="000F214C" w:rsidRPr="005C338A">
        <w:rPr>
          <w:rFonts w:ascii="Times New Roman" w:eastAsiaTheme="minorHAnsi" w:hAnsi="Times New Roman" w:cs="Times New Roman"/>
          <w:sz w:val="22"/>
          <w:szCs w:val="22"/>
        </w:rPr>
        <w:t xml:space="preserve"> to other applicants is not affected</w:t>
      </w:r>
      <w:r w:rsidR="009C2BE5" w:rsidRPr="005C338A">
        <w:rPr>
          <w:rFonts w:ascii="Times New Roman" w:eastAsiaTheme="minorHAnsi" w:hAnsi="Times New Roman" w:cs="Times New Roman"/>
          <w:sz w:val="22"/>
          <w:szCs w:val="22"/>
        </w:rPr>
        <w:t>,</w:t>
      </w:r>
      <w:r w:rsidR="000F214C" w:rsidRPr="005C338A">
        <w:rPr>
          <w:rFonts w:ascii="Times New Roman" w:eastAsiaTheme="minorHAnsi" w:hAnsi="Times New Roman" w:cs="Times New Roman"/>
          <w:sz w:val="22"/>
          <w:szCs w:val="22"/>
        </w:rPr>
        <w:t xml:space="preserve"> and</w:t>
      </w:r>
      <w:r w:rsidR="00404FDE" w:rsidRPr="005C338A">
        <w:rPr>
          <w:rFonts w:ascii="Times New Roman" w:eastAsiaTheme="minorHAnsi" w:hAnsi="Times New Roman" w:cs="Times New Roman"/>
          <w:sz w:val="22"/>
          <w:szCs w:val="22"/>
        </w:rPr>
        <w:t xml:space="preserve"> </w:t>
      </w:r>
      <w:r w:rsidR="000F214C" w:rsidRPr="005C338A">
        <w:rPr>
          <w:rFonts w:ascii="Times New Roman" w:eastAsiaTheme="minorHAnsi" w:hAnsi="Times New Roman" w:cs="Times New Roman"/>
          <w:sz w:val="22"/>
          <w:szCs w:val="22"/>
        </w:rPr>
        <w:t>section 80 applies to spectrum that, but for this section, would have been included in a spectrum licence allocated to the winning bidder.</w:t>
      </w:r>
    </w:p>
    <w:p w14:paraId="3B0C6ABA" w14:textId="150660B9" w:rsidR="00F763AC" w:rsidRPr="00487A88" w:rsidRDefault="000F214C" w:rsidP="00487A88">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If the applicant fails to pay an instalment other than the first auction instalment, the applicant may be in breach of the licence condition required to be included in a spectrum licence by section 67 of the Act</w:t>
      </w:r>
      <w:r w:rsidR="000D1CFE" w:rsidRPr="005C338A">
        <w:rPr>
          <w:rFonts w:ascii="Times New Roman" w:eastAsiaTheme="minorHAnsi" w:hAnsi="Times New Roman" w:cs="Times New Roman"/>
          <w:sz w:val="22"/>
          <w:szCs w:val="22"/>
        </w:rPr>
        <w:t>, and</w:t>
      </w:r>
      <w:r w:rsidR="00F763AC" w:rsidRPr="005C338A">
        <w:rPr>
          <w:rFonts w:ascii="Times New Roman" w:eastAsiaTheme="minorHAnsi" w:hAnsi="Times New Roman" w:cs="Times New Roman"/>
          <w:sz w:val="22"/>
          <w:szCs w:val="22"/>
        </w:rPr>
        <w:t xml:space="preserve"> the ACMA or the Commonwealth may require the authorised deposit-taking institution that has issued the delayed </w:t>
      </w:r>
      <w:r w:rsidR="000D1CFE" w:rsidRPr="005C338A">
        <w:rPr>
          <w:rFonts w:ascii="Times New Roman" w:eastAsiaTheme="minorHAnsi" w:hAnsi="Times New Roman" w:cs="Times New Roman"/>
          <w:sz w:val="22"/>
          <w:szCs w:val="22"/>
        </w:rPr>
        <w:t>winning</w:t>
      </w:r>
      <w:r w:rsidR="00F763AC" w:rsidRPr="005C338A">
        <w:rPr>
          <w:rFonts w:ascii="Times New Roman" w:eastAsiaTheme="minorHAnsi" w:hAnsi="Times New Roman" w:cs="Times New Roman"/>
          <w:sz w:val="22"/>
          <w:szCs w:val="22"/>
        </w:rPr>
        <w:t xml:space="preserve"> price bank guarantee to pay the amount secured by </w:t>
      </w:r>
      <w:r w:rsidR="00401FC5">
        <w:rPr>
          <w:rFonts w:ascii="Times New Roman" w:eastAsiaTheme="minorHAnsi" w:hAnsi="Times New Roman" w:cs="Times New Roman"/>
          <w:sz w:val="22"/>
          <w:szCs w:val="22"/>
        </w:rPr>
        <w:t>that</w:t>
      </w:r>
      <w:r w:rsidR="00F763AC" w:rsidRPr="005C338A">
        <w:rPr>
          <w:rFonts w:ascii="Times New Roman" w:eastAsiaTheme="minorHAnsi" w:hAnsi="Times New Roman" w:cs="Times New Roman"/>
          <w:sz w:val="22"/>
          <w:szCs w:val="22"/>
        </w:rPr>
        <w:t xml:space="preserve"> bank guarantee.</w:t>
      </w:r>
      <w:r w:rsidR="00401FC5">
        <w:rPr>
          <w:rFonts w:ascii="Times New Roman" w:eastAsiaTheme="minorHAnsi" w:hAnsi="Times New Roman" w:cs="Times New Roman"/>
          <w:sz w:val="22"/>
          <w:szCs w:val="22"/>
        </w:rPr>
        <w:t xml:space="preserve">  Nothing in the Determination limits the other rights or remedies the ACMA or the Commonwealth has against a person, including against the authorised deposit-taking institution that has issued the delayed winning price bank guarantee.</w:t>
      </w:r>
    </w:p>
    <w:p w14:paraId="1001E8E6" w14:textId="22589D60" w:rsidR="00F763AC" w:rsidRPr="000C0DB4" w:rsidRDefault="00F763AC" w:rsidP="000C0DB4">
      <w:pPr>
        <w:keepNext/>
        <w:spacing w:after="160" w:line="259" w:lineRule="auto"/>
        <w:rPr>
          <w:rFonts w:eastAsiaTheme="minorHAnsi"/>
          <w:b/>
          <w:sz w:val="22"/>
          <w:szCs w:val="22"/>
          <w:lang w:eastAsia="en-US"/>
        </w:rPr>
      </w:pPr>
      <w:r w:rsidRPr="000C0DB4">
        <w:rPr>
          <w:rFonts w:eastAsiaTheme="minorHAnsi"/>
          <w:b/>
          <w:sz w:val="22"/>
          <w:szCs w:val="22"/>
          <w:lang w:eastAsia="en-US"/>
        </w:rPr>
        <w:t>Section 78</w:t>
      </w:r>
      <w:r w:rsidR="00932F9C">
        <w:rPr>
          <w:rFonts w:eastAsiaTheme="minorHAnsi"/>
          <w:b/>
          <w:sz w:val="22"/>
          <w:szCs w:val="22"/>
          <w:lang w:eastAsia="en-US"/>
        </w:rPr>
        <w:tab/>
      </w:r>
      <w:r w:rsidRPr="000C0DB4">
        <w:rPr>
          <w:rFonts w:eastAsiaTheme="minorHAnsi"/>
          <w:b/>
          <w:sz w:val="22"/>
          <w:szCs w:val="22"/>
          <w:lang w:eastAsia="en-US"/>
        </w:rPr>
        <w:t>Publication of auction results</w:t>
      </w:r>
    </w:p>
    <w:p w14:paraId="34506D1D" w14:textId="03520799" w:rsidR="00F763AC" w:rsidRPr="00487A88" w:rsidRDefault="00B90E13" w:rsidP="00F763AC">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ACMA will release the auction results to the public.  This section sets out the information that the </w:t>
      </w:r>
      <w:r w:rsidR="00F763AC" w:rsidRPr="00487A88">
        <w:rPr>
          <w:rFonts w:ascii="Times New Roman" w:eastAsiaTheme="minorHAnsi" w:hAnsi="Times New Roman" w:cs="Times New Roman"/>
          <w:sz w:val="22"/>
          <w:szCs w:val="22"/>
        </w:rPr>
        <w:t>ACMA must announce or publish</w:t>
      </w:r>
      <w:r>
        <w:rPr>
          <w:rFonts w:ascii="Times New Roman" w:eastAsiaTheme="minorHAnsi" w:hAnsi="Times New Roman" w:cs="Times New Roman"/>
          <w:sz w:val="22"/>
          <w:szCs w:val="22"/>
        </w:rPr>
        <w:t xml:space="preserve">.  The information released will include the names of winning bidders, the spectrum allocated to each </w:t>
      </w:r>
      <w:r w:rsidR="00025BFE">
        <w:rPr>
          <w:rFonts w:ascii="Times New Roman" w:eastAsiaTheme="minorHAnsi" w:hAnsi="Times New Roman" w:cs="Times New Roman"/>
          <w:sz w:val="22"/>
          <w:szCs w:val="22"/>
        </w:rPr>
        <w:t>winning</w:t>
      </w:r>
      <w:r>
        <w:rPr>
          <w:rFonts w:ascii="Times New Roman" w:eastAsiaTheme="minorHAnsi" w:hAnsi="Times New Roman" w:cs="Times New Roman"/>
          <w:sz w:val="22"/>
          <w:szCs w:val="22"/>
        </w:rPr>
        <w:t xml:space="preserve"> </w:t>
      </w:r>
      <w:r w:rsidR="00025BFE">
        <w:rPr>
          <w:rFonts w:ascii="Times New Roman" w:eastAsiaTheme="minorHAnsi" w:hAnsi="Times New Roman" w:cs="Times New Roman"/>
          <w:sz w:val="22"/>
          <w:szCs w:val="22"/>
        </w:rPr>
        <w:t>bidder</w:t>
      </w:r>
      <w:r>
        <w:rPr>
          <w:rFonts w:ascii="Times New Roman" w:eastAsiaTheme="minorHAnsi" w:hAnsi="Times New Roman" w:cs="Times New Roman"/>
          <w:sz w:val="22"/>
          <w:szCs w:val="22"/>
        </w:rPr>
        <w:t>, and the winning price for each lot won by each winning bidder.</w:t>
      </w:r>
    </w:p>
    <w:p w14:paraId="76F27503" w14:textId="02F72CDD" w:rsidR="00603AB1" w:rsidRPr="0021312B" w:rsidRDefault="000C0DB4" w:rsidP="0021312B">
      <w:pPr>
        <w:keepNext/>
        <w:spacing w:before="280" w:after="160" w:line="259" w:lineRule="auto"/>
        <w:rPr>
          <w:rFonts w:eastAsiaTheme="minorHAnsi"/>
          <w:szCs w:val="22"/>
        </w:rPr>
      </w:pPr>
      <w:r w:rsidRPr="0021312B">
        <w:rPr>
          <w:rFonts w:eastAsiaTheme="minorHAnsi"/>
          <w:b/>
          <w:sz w:val="22"/>
          <w:szCs w:val="22"/>
          <w:lang w:eastAsia="en-US"/>
        </w:rPr>
        <w:t>P</w:t>
      </w:r>
      <w:r>
        <w:rPr>
          <w:rFonts w:eastAsiaTheme="minorHAnsi"/>
          <w:b/>
          <w:sz w:val="22"/>
          <w:szCs w:val="22"/>
          <w:lang w:eastAsia="en-US"/>
        </w:rPr>
        <w:t>ART</w:t>
      </w:r>
      <w:r w:rsidRPr="0021312B">
        <w:rPr>
          <w:rFonts w:eastAsiaTheme="minorHAnsi"/>
          <w:b/>
          <w:sz w:val="22"/>
          <w:szCs w:val="22"/>
          <w:lang w:eastAsia="en-US"/>
        </w:rPr>
        <w:t xml:space="preserve"> </w:t>
      </w:r>
      <w:r w:rsidR="00D33C40" w:rsidRPr="0021312B">
        <w:rPr>
          <w:rFonts w:eastAsiaTheme="minorHAnsi"/>
          <w:b/>
          <w:sz w:val="22"/>
          <w:szCs w:val="22"/>
          <w:lang w:eastAsia="en-US"/>
        </w:rPr>
        <w:t>8</w:t>
      </w:r>
      <w:r w:rsidR="00603AB1" w:rsidRPr="0021312B">
        <w:rPr>
          <w:rFonts w:eastAsiaTheme="minorHAnsi"/>
          <w:b/>
          <w:sz w:val="22"/>
          <w:szCs w:val="22"/>
          <w:lang w:eastAsia="en-US"/>
        </w:rPr>
        <w:tab/>
      </w:r>
      <w:r w:rsidRPr="0021312B">
        <w:rPr>
          <w:rFonts w:eastAsiaTheme="minorHAnsi"/>
          <w:b/>
          <w:sz w:val="22"/>
          <w:szCs w:val="22"/>
          <w:lang w:eastAsia="en-US"/>
        </w:rPr>
        <w:t>M</w:t>
      </w:r>
      <w:r>
        <w:rPr>
          <w:rFonts w:eastAsiaTheme="minorHAnsi"/>
          <w:b/>
          <w:sz w:val="22"/>
          <w:szCs w:val="22"/>
          <w:lang w:eastAsia="en-US"/>
        </w:rPr>
        <w:t>ISCELLANEOUS</w:t>
      </w:r>
    </w:p>
    <w:p w14:paraId="02FD846E" w14:textId="0DB3DDFB" w:rsidR="00AE5424"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w:t>
      </w:r>
      <w:r w:rsidR="00AE5424" w:rsidRPr="0021312B">
        <w:rPr>
          <w:rFonts w:eastAsiaTheme="minorHAnsi"/>
          <w:b/>
          <w:sz w:val="22"/>
          <w:szCs w:val="22"/>
          <w:lang w:eastAsia="en-US"/>
        </w:rPr>
        <w:t>79</w:t>
      </w:r>
      <w:r w:rsidR="0021312B">
        <w:rPr>
          <w:rFonts w:eastAsiaTheme="minorHAnsi"/>
          <w:b/>
          <w:sz w:val="22"/>
          <w:szCs w:val="22"/>
          <w:lang w:eastAsia="en-US"/>
        </w:rPr>
        <w:tab/>
        <w:t>Simplified outline of this Part</w:t>
      </w:r>
    </w:p>
    <w:p w14:paraId="49C6918B" w14:textId="6E426077" w:rsidR="00BE1090" w:rsidRPr="0021312B" w:rsidRDefault="0021312B" w:rsidP="00BE1090">
      <w:pPr>
        <w:pStyle w:val="ACMABodyText"/>
        <w:rPr>
          <w:rFonts w:ascii="Times New Roman" w:eastAsiaTheme="minorHAnsi" w:hAnsi="Times New Roman" w:cs="Times New Roman"/>
          <w:sz w:val="22"/>
          <w:szCs w:val="22"/>
        </w:rPr>
      </w:pPr>
      <w:r w:rsidRPr="00EC6CCC">
        <w:rPr>
          <w:rFonts w:ascii="Times New Roman" w:eastAsiaTheme="minorHAnsi" w:hAnsi="Times New Roman" w:cs="Times New Roman"/>
          <w:sz w:val="22"/>
          <w:szCs w:val="22"/>
        </w:rPr>
        <w:t xml:space="preserve">This section sets out a simplified outline of Part </w:t>
      </w:r>
      <w:r>
        <w:rPr>
          <w:rFonts w:ascii="Times New Roman" w:eastAsiaTheme="minorHAnsi" w:hAnsi="Times New Roman" w:cs="Times New Roman"/>
          <w:sz w:val="22"/>
          <w:szCs w:val="22"/>
        </w:rPr>
        <w:t>8</w:t>
      </w:r>
      <w:r w:rsidRPr="00EC6CCC">
        <w:rPr>
          <w:rFonts w:ascii="Times New Roman" w:eastAsiaTheme="minorHAnsi" w:hAnsi="Times New Roman" w:cs="Times New Roman"/>
          <w:sz w:val="22"/>
          <w:szCs w:val="22"/>
        </w:rPr>
        <w:t>.</w:t>
      </w:r>
    </w:p>
    <w:p w14:paraId="09CD011F" w14:textId="01D879DA" w:rsidR="00603AB1" w:rsidRPr="0021312B" w:rsidRDefault="00AE5424"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80 </w:t>
      </w:r>
      <w:r w:rsidRPr="0021312B">
        <w:rPr>
          <w:rFonts w:eastAsiaTheme="minorHAnsi"/>
          <w:b/>
          <w:sz w:val="22"/>
          <w:szCs w:val="22"/>
          <w:lang w:eastAsia="en-US"/>
        </w:rPr>
        <w:tab/>
      </w:r>
      <w:r w:rsidR="00603AB1" w:rsidRPr="0021312B">
        <w:rPr>
          <w:rFonts w:eastAsiaTheme="minorHAnsi"/>
          <w:b/>
          <w:sz w:val="22"/>
          <w:szCs w:val="22"/>
          <w:lang w:eastAsia="en-US"/>
        </w:rPr>
        <w:t>Unallocated spectrum</w:t>
      </w:r>
    </w:p>
    <w:p w14:paraId="18B0BB96" w14:textId="3FD93482" w:rsidR="00603AB1" w:rsidRPr="0021312B" w:rsidRDefault="00603AB1" w:rsidP="00AB1DAC">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There </w:t>
      </w:r>
      <w:r w:rsidR="000A7238" w:rsidRPr="0021312B">
        <w:rPr>
          <w:rFonts w:ascii="Times New Roman" w:eastAsiaTheme="minorHAnsi" w:hAnsi="Times New Roman" w:cs="Times New Roman"/>
          <w:sz w:val="22"/>
          <w:szCs w:val="22"/>
        </w:rPr>
        <w:t>may be</w:t>
      </w:r>
      <w:r w:rsidRPr="0021312B">
        <w:rPr>
          <w:rFonts w:ascii="Times New Roman" w:eastAsiaTheme="minorHAnsi" w:hAnsi="Times New Roman" w:cs="Times New Roman"/>
          <w:sz w:val="22"/>
          <w:szCs w:val="22"/>
        </w:rPr>
        <w:t xml:space="preserve"> circumstances</w:t>
      </w:r>
      <w:r w:rsidR="00D836F6" w:rsidRPr="0021312B">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in which spectrum lots offered at auction are</w:t>
      </w:r>
      <w:r w:rsidR="000A7238" w:rsidRPr="0021312B">
        <w:rPr>
          <w:rFonts w:ascii="Times New Roman" w:eastAsiaTheme="minorHAnsi" w:hAnsi="Times New Roman" w:cs="Times New Roman"/>
          <w:sz w:val="22"/>
          <w:szCs w:val="22"/>
        </w:rPr>
        <w:t xml:space="preserve"> not </w:t>
      </w:r>
      <w:r w:rsidRPr="0021312B">
        <w:rPr>
          <w:rFonts w:ascii="Times New Roman" w:eastAsiaTheme="minorHAnsi" w:hAnsi="Times New Roman" w:cs="Times New Roman"/>
          <w:sz w:val="22"/>
          <w:szCs w:val="22"/>
        </w:rPr>
        <w:t xml:space="preserve">allocated.  For example, unallocated lots could arise where </w:t>
      </w:r>
      <w:r w:rsidR="0021312B">
        <w:rPr>
          <w:rFonts w:ascii="Times New Roman" w:eastAsiaTheme="minorHAnsi" w:hAnsi="Times New Roman" w:cs="Times New Roman"/>
          <w:sz w:val="22"/>
          <w:szCs w:val="22"/>
        </w:rPr>
        <w:t xml:space="preserve">there is no person who nominates a lot as its preferred lot, </w:t>
      </w:r>
      <w:r w:rsidR="00401FC5">
        <w:rPr>
          <w:rFonts w:ascii="Times New Roman" w:eastAsiaTheme="minorHAnsi" w:hAnsi="Times New Roman" w:cs="Times New Roman"/>
          <w:sz w:val="22"/>
          <w:szCs w:val="22"/>
        </w:rPr>
        <w:t xml:space="preserve">or </w:t>
      </w:r>
      <w:r w:rsidR="0021312B">
        <w:rPr>
          <w:rFonts w:ascii="Times New Roman" w:eastAsiaTheme="minorHAnsi" w:hAnsi="Times New Roman" w:cs="Times New Roman"/>
          <w:sz w:val="22"/>
          <w:szCs w:val="22"/>
        </w:rPr>
        <w:t xml:space="preserve">where </w:t>
      </w:r>
      <w:r w:rsidRPr="0021312B">
        <w:rPr>
          <w:rFonts w:ascii="Times New Roman" w:eastAsiaTheme="minorHAnsi" w:hAnsi="Times New Roman" w:cs="Times New Roman"/>
          <w:sz w:val="22"/>
          <w:szCs w:val="22"/>
        </w:rPr>
        <w:t xml:space="preserve">a winning bidder does not pay the balance of the </w:t>
      </w:r>
      <w:r w:rsidR="0021312B">
        <w:rPr>
          <w:rFonts w:ascii="Times New Roman" w:eastAsiaTheme="minorHAnsi" w:hAnsi="Times New Roman" w:cs="Times New Roman"/>
          <w:sz w:val="22"/>
          <w:szCs w:val="22"/>
        </w:rPr>
        <w:t xml:space="preserve">upfront </w:t>
      </w:r>
      <w:r w:rsidRPr="0021312B">
        <w:rPr>
          <w:rFonts w:ascii="Times New Roman" w:eastAsiaTheme="minorHAnsi" w:hAnsi="Times New Roman" w:cs="Times New Roman"/>
          <w:sz w:val="22"/>
          <w:szCs w:val="22"/>
        </w:rPr>
        <w:t>winning price</w:t>
      </w:r>
      <w:r w:rsidR="0021312B">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in accordance with section </w:t>
      </w:r>
      <w:r w:rsidR="00660919" w:rsidRPr="0021312B">
        <w:rPr>
          <w:rFonts w:ascii="Times New Roman" w:eastAsiaTheme="minorHAnsi" w:hAnsi="Times New Roman" w:cs="Times New Roman"/>
          <w:sz w:val="22"/>
          <w:szCs w:val="22"/>
        </w:rPr>
        <w:t>7</w:t>
      </w:r>
      <w:r w:rsidR="00AE5424" w:rsidRPr="0021312B">
        <w:rPr>
          <w:rFonts w:ascii="Times New Roman" w:eastAsiaTheme="minorHAnsi" w:hAnsi="Times New Roman" w:cs="Times New Roman"/>
          <w:sz w:val="22"/>
          <w:szCs w:val="22"/>
        </w:rPr>
        <w:t>7</w:t>
      </w:r>
      <w:r w:rsidRPr="0021312B">
        <w:rPr>
          <w:rFonts w:ascii="Times New Roman" w:eastAsiaTheme="minorHAnsi" w:hAnsi="Times New Roman" w:cs="Times New Roman"/>
          <w:sz w:val="22"/>
          <w:szCs w:val="22"/>
        </w:rPr>
        <w:t xml:space="preserve">, or where the ACMA is satisfied that </w:t>
      </w:r>
      <w:r w:rsidR="0021312B">
        <w:rPr>
          <w:rFonts w:ascii="Times New Roman" w:eastAsiaTheme="minorHAnsi" w:hAnsi="Times New Roman" w:cs="Times New Roman"/>
          <w:sz w:val="22"/>
          <w:szCs w:val="22"/>
        </w:rPr>
        <w:t>two</w:t>
      </w:r>
      <w:r w:rsidRPr="0021312B">
        <w:rPr>
          <w:rFonts w:ascii="Times New Roman" w:eastAsiaTheme="minorHAnsi" w:hAnsi="Times New Roman" w:cs="Times New Roman"/>
          <w:sz w:val="22"/>
          <w:szCs w:val="22"/>
        </w:rPr>
        <w:t xml:space="preserve"> or more winning bidders are affiliated and the spectrum won at auction by the affiliated winning bidders </w:t>
      </w:r>
      <w:r w:rsidR="0021312B">
        <w:rPr>
          <w:rFonts w:ascii="Times New Roman" w:eastAsiaTheme="minorHAnsi" w:hAnsi="Times New Roman" w:cs="Times New Roman"/>
          <w:sz w:val="22"/>
          <w:szCs w:val="22"/>
        </w:rPr>
        <w:t xml:space="preserve">would </w:t>
      </w:r>
      <w:r w:rsidRPr="0021312B">
        <w:rPr>
          <w:rFonts w:ascii="Times New Roman" w:eastAsiaTheme="minorHAnsi" w:hAnsi="Times New Roman" w:cs="Times New Roman"/>
          <w:sz w:val="22"/>
          <w:szCs w:val="22"/>
        </w:rPr>
        <w:t>exceed the allocation limits.</w:t>
      </w:r>
    </w:p>
    <w:p w14:paraId="4F191B3E" w14:textId="7D7857F8" w:rsidR="00603AB1" w:rsidRPr="0021312B" w:rsidRDefault="00603AB1" w:rsidP="00AB1DAC">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This section provides that any parts of the spectrum that are offered at the auction </w:t>
      </w:r>
      <w:r w:rsidR="00766E38" w:rsidRPr="0021312B">
        <w:rPr>
          <w:rFonts w:ascii="Times New Roman" w:eastAsiaTheme="minorHAnsi" w:hAnsi="Times New Roman" w:cs="Times New Roman"/>
          <w:sz w:val="22"/>
          <w:szCs w:val="22"/>
        </w:rPr>
        <w:t xml:space="preserve">or for a pre-determined price </w:t>
      </w:r>
      <w:r w:rsidRPr="0021312B">
        <w:rPr>
          <w:rFonts w:ascii="Times New Roman" w:eastAsiaTheme="minorHAnsi" w:hAnsi="Times New Roman" w:cs="Times New Roman"/>
          <w:sz w:val="22"/>
          <w:szCs w:val="22"/>
        </w:rPr>
        <w:t xml:space="preserve">but are not allocated may be allocated at a later date by the ACMA via procedures determined by the ACMA. </w:t>
      </w:r>
    </w:p>
    <w:p w14:paraId="11370ABE" w14:textId="4D75B0CC"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lastRenderedPageBreak/>
        <w:t>Section</w:t>
      </w:r>
      <w:r w:rsidR="000420C7" w:rsidRPr="0021312B">
        <w:rPr>
          <w:rFonts w:eastAsiaTheme="minorHAnsi"/>
          <w:b/>
          <w:sz w:val="22"/>
          <w:szCs w:val="22"/>
          <w:lang w:eastAsia="en-US"/>
        </w:rPr>
        <w:t xml:space="preserve"> 8</w:t>
      </w:r>
      <w:r w:rsidR="00AE5424" w:rsidRPr="0021312B">
        <w:rPr>
          <w:rFonts w:eastAsiaTheme="minorHAnsi"/>
          <w:b/>
          <w:sz w:val="22"/>
          <w:szCs w:val="22"/>
          <w:lang w:eastAsia="en-US"/>
        </w:rPr>
        <w:t>1</w:t>
      </w:r>
      <w:r w:rsidR="00E56F10">
        <w:rPr>
          <w:rFonts w:eastAsiaTheme="minorHAnsi"/>
          <w:b/>
          <w:sz w:val="22"/>
          <w:szCs w:val="22"/>
          <w:lang w:eastAsia="en-US"/>
        </w:rPr>
        <w:tab/>
      </w:r>
      <w:r w:rsidRPr="0021312B">
        <w:rPr>
          <w:rFonts w:eastAsiaTheme="minorHAnsi"/>
          <w:b/>
          <w:sz w:val="22"/>
          <w:szCs w:val="22"/>
          <w:lang w:eastAsia="en-US"/>
        </w:rPr>
        <w:t>Bidders must not misuse auction system</w:t>
      </w:r>
    </w:p>
    <w:p w14:paraId="07A3E01C" w14:textId="370C53A2" w:rsidR="00603AB1" w:rsidRPr="0021312B" w:rsidRDefault="00603AB1" w:rsidP="00AB1DAC">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This section provides that a bidder must only access and use the auction system </w:t>
      </w:r>
      <w:r w:rsidR="0021312B">
        <w:rPr>
          <w:rFonts w:ascii="Times New Roman" w:eastAsiaTheme="minorHAnsi" w:hAnsi="Times New Roman" w:cs="Times New Roman"/>
          <w:sz w:val="22"/>
          <w:szCs w:val="22"/>
        </w:rPr>
        <w:t>in accordance with</w:t>
      </w:r>
      <w:r w:rsidR="0021312B" w:rsidRPr="0021312B">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 xml:space="preserve">the information provided by the ACMA under section </w:t>
      </w:r>
      <w:r w:rsidR="00AE5424" w:rsidRPr="0021312B">
        <w:rPr>
          <w:rFonts w:ascii="Times New Roman" w:eastAsiaTheme="minorHAnsi" w:hAnsi="Times New Roman" w:cs="Times New Roman"/>
          <w:sz w:val="22"/>
          <w:szCs w:val="22"/>
        </w:rPr>
        <w:t>53</w:t>
      </w:r>
      <w:r w:rsidRPr="0021312B">
        <w:rPr>
          <w:rFonts w:ascii="Times New Roman" w:eastAsiaTheme="minorHAnsi" w:hAnsi="Times New Roman" w:cs="Times New Roman"/>
          <w:sz w:val="22"/>
          <w:szCs w:val="22"/>
        </w:rPr>
        <w:t>, which requires the ACMA to give the bidder certain information once they are registered to participate in the auction.</w:t>
      </w:r>
      <w:r w:rsidR="00896360">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 xml:space="preserve"> A bidder must not attempt to interfere</w:t>
      </w:r>
      <w:r w:rsidR="00766E38" w:rsidRPr="0021312B">
        <w:rPr>
          <w:rFonts w:ascii="Times New Roman" w:eastAsiaTheme="minorHAnsi" w:hAnsi="Times New Roman" w:cs="Times New Roman"/>
          <w:sz w:val="22"/>
          <w:szCs w:val="22"/>
        </w:rPr>
        <w:t xml:space="preserve"> with, disrupt or damage</w:t>
      </w:r>
      <w:r w:rsidRPr="0021312B">
        <w:rPr>
          <w:rFonts w:ascii="Times New Roman" w:eastAsiaTheme="minorHAnsi" w:hAnsi="Times New Roman" w:cs="Times New Roman"/>
          <w:sz w:val="22"/>
          <w:szCs w:val="22"/>
        </w:rPr>
        <w:t xml:space="preserve"> the auction system, or use it to breach a law of the Commonwealth.</w:t>
      </w:r>
    </w:p>
    <w:p w14:paraId="34D957C8" w14:textId="58F7A5B7"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w:t>
      </w:r>
      <w:r w:rsidR="000420C7" w:rsidRPr="0021312B">
        <w:rPr>
          <w:rFonts w:eastAsiaTheme="minorHAnsi"/>
          <w:b/>
          <w:sz w:val="22"/>
          <w:szCs w:val="22"/>
          <w:lang w:eastAsia="en-US"/>
        </w:rPr>
        <w:t>8</w:t>
      </w:r>
      <w:r w:rsidR="00AE5424" w:rsidRPr="0021312B">
        <w:rPr>
          <w:rFonts w:eastAsiaTheme="minorHAnsi"/>
          <w:b/>
          <w:sz w:val="22"/>
          <w:szCs w:val="22"/>
          <w:lang w:eastAsia="en-US"/>
        </w:rPr>
        <w:t>2</w:t>
      </w:r>
      <w:r w:rsidRPr="0021312B">
        <w:rPr>
          <w:rFonts w:eastAsiaTheme="minorHAnsi"/>
          <w:b/>
          <w:sz w:val="22"/>
          <w:szCs w:val="22"/>
          <w:lang w:eastAsia="en-US"/>
        </w:rPr>
        <w:tab/>
        <w:t>ACMA may obtain information from applicants and bidders</w:t>
      </w:r>
    </w:p>
    <w:p w14:paraId="110963AF" w14:textId="30B9492A" w:rsidR="00603AB1" w:rsidRPr="0021312B" w:rsidRDefault="00603AB1" w:rsidP="00AB1DAC">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The ACMA may wish to obtain information or documents from an applicant </w:t>
      </w:r>
      <w:r w:rsidR="00D836F6" w:rsidRPr="0021312B">
        <w:rPr>
          <w:rFonts w:ascii="Times New Roman" w:eastAsiaTheme="minorHAnsi" w:hAnsi="Times New Roman" w:cs="Times New Roman"/>
          <w:sz w:val="22"/>
          <w:szCs w:val="22"/>
        </w:rPr>
        <w:t xml:space="preserve">or an applicant who becomes a bidder </w:t>
      </w:r>
      <w:r w:rsidRPr="0021312B">
        <w:rPr>
          <w:rFonts w:ascii="Times New Roman" w:eastAsiaTheme="minorHAnsi" w:hAnsi="Times New Roman" w:cs="Times New Roman"/>
          <w:sz w:val="22"/>
          <w:szCs w:val="22"/>
        </w:rPr>
        <w:t>for a number of reasons, including for the purposes of determining whether any contravention of the Determination has occurred</w:t>
      </w:r>
      <w:r w:rsidR="0021312B">
        <w:rPr>
          <w:rFonts w:ascii="Times New Roman" w:eastAsiaTheme="minorHAnsi" w:hAnsi="Times New Roman" w:cs="Times New Roman"/>
          <w:sz w:val="22"/>
          <w:szCs w:val="22"/>
        </w:rPr>
        <w:t>, or considering whether two applicants are affiliated</w:t>
      </w:r>
      <w:r w:rsidRPr="0021312B">
        <w:rPr>
          <w:rFonts w:ascii="Times New Roman" w:eastAsiaTheme="minorHAnsi" w:hAnsi="Times New Roman" w:cs="Times New Roman"/>
          <w:sz w:val="22"/>
          <w:szCs w:val="22"/>
        </w:rPr>
        <w:t>.</w:t>
      </w:r>
    </w:p>
    <w:p w14:paraId="5B9F17E8" w14:textId="4F388D53" w:rsidR="00EB0741" w:rsidRPr="0021312B" w:rsidRDefault="00EB0741" w:rsidP="00EB0741">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If the ACMA has reason to believe that an applicant or bidder has information or documents that are relevant to the performance of any of the ACMA’s functions or the exercise of its powers under </w:t>
      </w:r>
      <w:r w:rsidR="00401FC5">
        <w:rPr>
          <w:rFonts w:ascii="Times New Roman" w:eastAsiaTheme="minorHAnsi" w:hAnsi="Times New Roman" w:cs="Times New Roman"/>
          <w:sz w:val="22"/>
          <w:szCs w:val="22"/>
        </w:rPr>
        <w:t>the Determination</w:t>
      </w:r>
      <w:r w:rsidRPr="0021312B">
        <w:rPr>
          <w:rFonts w:ascii="Times New Roman" w:eastAsiaTheme="minorHAnsi" w:hAnsi="Times New Roman" w:cs="Times New Roman"/>
          <w:sz w:val="22"/>
          <w:szCs w:val="22"/>
        </w:rPr>
        <w:t>, the ACMA may, by written notice, require the applicant or bidder to give to the ACMA, within the period and in the manner and form specified in the notice, any such information or to produce to the ACMA, within the period and in the manner specified in the notice, any such documents.</w:t>
      </w:r>
    </w:p>
    <w:p w14:paraId="5F1F765A" w14:textId="507318FD" w:rsidR="00896360" w:rsidRDefault="00603AB1" w:rsidP="00AB1DAC">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The ACMA may require the information or documents requested of an applicant or bidder under this section to make decisions which could have a significant impact on their participation in the auction. </w:t>
      </w:r>
      <w:r w:rsidR="00896360">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This provision therefore notes that if a requirement in a notice given under</w:t>
      </w:r>
      <w:r w:rsidR="00EB0741" w:rsidRPr="0021312B">
        <w:rPr>
          <w:rFonts w:ascii="Times New Roman" w:eastAsiaTheme="minorHAnsi" w:hAnsi="Times New Roman" w:cs="Times New Roman"/>
          <w:sz w:val="22"/>
          <w:szCs w:val="22"/>
        </w:rPr>
        <w:t xml:space="preserve"> this section </w:t>
      </w:r>
      <w:r w:rsidRPr="0021312B">
        <w:rPr>
          <w:rFonts w:ascii="Times New Roman" w:eastAsiaTheme="minorHAnsi" w:hAnsi="Times New Roman" w:cs="Times New Roman"/>
          <w:sz w:val="22"/>
          <w:szCs w:val="22"/>
        </w:rPr>
        <w:t xml:space="preserve">is breached, including failure to provide available information or documentation when requested, the ACMA may take action under section </w:t>
      </w:r>
      <w:r w:rsidR="00596367" w:rsidRPr="0021312B">
        <w:rPr>
          <w:rFonts w:ascii="Times New Roman" w:eastAsiaTheme="minorHAnsi" w:hAnsi="Times New Roman" w:cs="Times New Roman"/>
          <w:sz w:val="22"/>
          <w:szCs w:val="22"/>
        </w:rPr>
        <w:t>8</w:t>
      </w:r>
      <w:r w:rsidR="00EB0741" w:rsidRPr="0021312B">
        <w:rPr>
          <w:rFonts w:ascii="Times New Roman" w:eastAsiaTheme="minorHAnsi" w:hAnsi="Times New Roman" w:cs="Times New Roman"/>
          <w:sz w:val="22"/>
          <w:szCs w:val="22"/>
        </w:rPr>
        <w:t>5</w:t>
      </w:r>
      <w:r w:rsidRPr="0021312B">
        <w:rPr>
          <w:rFonts w:ascii="Times New Roman" w:eastAsiaTheme="minorHAnsi" w:hAnsi="Times New Roman" w:cs="Times New Roman"/>
          <w:sz w:val="22"/>
          <w:szCs w:val="22"/>
        </w:rPr>
        <w:t xml:space="preserve"> of </w:t>
      </w:r>
      <w:r w:rsidR="0021312B">
        <w:rPr>
          <w:rFonts w:ascii="Times New Roman" w:eastAsiaTheme="minorHAnsi" w:hAnsi="Times New Roman" w:cs="Times New Roman"/>
          <w:sz w:val="22"/>
          <w:szCs w:val="22"/>
        </w:rPr>
        <w:t>the Determination</w:t>
      </w:r>
      <w:r w:rsidRPr="0021312B">
        <w:rPr>
          <w:rFonts w:ascii="Times New Roman" w:eastAsiaTheme="minorHAnsi" w:hAnsi="Times New Roman" w:cs="Times New Roman"/>
          <w:sz w:val="22"/>
          <w:szCs w:val="22"/>
        </w:rPr>
        <w:t>.</w:t>
      </w:r>
    </w:p>
    <w:p w14:paraId="0C878C86" w14:textId="2895C23D" w:rsidR="00603AB1" w:rsidRPr="0021312B" w:rsidRDefault="00EB0741" w:rsidP="00AB1DAC">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T</w:t>
      </w:r>
      <w:r w:rsidR="00603AB1" w:rsidRPr="0021312B">
        <w:rPr>
          <w:rFonts w:ascii="Times New Roman" w:eastAsiaTheme="minorHAnsi" w:hAnsi="Times New Roman" w:cs="Times New Roman"/>
          <w:sz w:val="22"/>
          <w:szCs w:val="22"/>
        </w:rPr>
        <w:t xml:space="preserve">he ACMA </w:t>
      </w:r>
      <w:r w:rsidRPr="0021312B">
        <w:rPr>
          <w:rFonts w:ascii="Times New Roman" w:eastAsiaTheme="minorHAnsi" w:hAnsi="Times New Roman" w:cs="Times New Roman"/>
          <w:sz w:val="22"/>
          <w:szCs w:val="22"/>
        </w:rPr>
        <w:t>may vary the notice</w:t>
      </w:r>
      <w:r w:rsidR="00603AB1" w:rsidRPr="0021312B">
        <w:rPr>
          <w:rFonts w:ascii="Times New Roman" w:eastAsiaTheme="minorHAnsi" w:hAnsi="Times New Roman" w:cs="Times New Roman"/>
          <w:sz w:val="22"/>
          <w:szCs w:val="22"/>
        </w:rPr>
        <w:t xml:space="preserve">. </w:t>
      </w:r>
    </w:p>
    <w:p w14:paraId="4726971E" w14:textId="1A722E6B"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w:t>
      </w:r>
      <w:r w:rsidR="000420C7" w:rsidRPr="0021312B">
        <w:rPr>
          <w:rFonts w:eastAsiaTheme="minorHAnsi"/>
          <w:b/>
          <w:sz w:val="22"/>
          <w:szCs w:val="22"/>
          <w:lang w:eastAsia="en-US"/>
        </w:rPr>
        <w:t>8</w:t>
      </w:r>
      <w:r w:rsidR="00D91D65" w:rsidRPr="0021312B">
        <w:rPr>
          <w:rFonts w:eastAsiaTheme="minorHAnsi"/>
          <w:b/>
          <w:sz w:val="22"/>
          <w:szCs w:val="22"/>
          <w:lang w:eastAsia="en-US"/>
        </w:rPr>
        <w:t>3</w:t>
      </w:r>
      <w:r w:rsidRPr="0021312B">
        <w:rPr>
          <w:rFonts w:eastAsiaTheme="minorHAnsi"/>
          <w:b/>
          <w:sz w:val="22"/>
          <w:szCs w:val="22"/>
          <w:lang w:eastAsia="en-US"/>
        </w:rPr>
        <w:tab/>
        <w:t>Use of information and documents by ACMA</w:t>
      </w:r>
    </w:p>
    <w:p w14:paraId="2E803AB5" w14:textId="134EC83B" w:rsidR="00603AB1" w:rsidRPr="0021312B" w:rsidRDefault="00603AB1" w:rsidP="005B1EC3">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Under this section, the ACMA may use any information or documents </w:t>
      </w:r>
      <w:r w:rsidR="00F07703" w:rsidRPr="0021312B">
        <w:rPr>
          <w:rFonts w:ascii="Times New Roman" w:eastAsiaTheme="minorHAnsi" w:hAnsi="Times New Roman" w:cs="Times New Roman"/>
          <w:sz w:val="22"/>
          <w:szCs w:val="22"/>
        </w:rPr>
        <w:t>it obtains</w:t>
      </w:r>
      <w:r w:rsidRPr="0021312B">
        <w:rPr>
          <w:rFonts w:ascii="Times New Roman" w:eastAsiaTheme="minorHAnsi" w:hAnsi="Times New Roman" w:cs="Times New Roman"/>
          <w:sz w:val="22"/>
          <w:szCs w:val="22"/>
        </w:rPr>
        <w:t xml:space="preserve"> </w:t>
      </w:r>
      <w:r w:rsidR="00721B60" w:rsidRPr="0021312B">
        <w:rPr>
          <w:rFonts w:ascii="Times New Roman" w:eastAsiaTheme="minorHAnsi" w:hAnsi="Times New Roman" w:cs="Times New Roman"/>
          <w:sz w:val="22"/>
          <w:szCs w:val="22"/>
        </w:rPr>
        <w:t xml:space="preserve">in the performance </w:t>
      </w:r>
      <w:r w:rsidRPr="0021312B">
        <w:rPr>
          <w:rFonts w:ascii="Times New Roman" w:eastAsiaTheme="minorHAnsi" w:hAnsi="Times New Roman" w:cs="Times New Roman"/>
          <w:sz w:val="22"/>
          <w:szCs w:val="22"/>
        </w:rPr>
        <w:t xml:space="preserve">of </w:t>
      </w:r>
      <w:r w:rsidR="00E11632" w:rsidRPr="0021312B">
        <w:rPr>
          <w:rFonts w:ascii="Times New Roman" w:eastAsiaTheme="minorHAnsi" w:hAnsi="Times New Roman" w:cs="Times New Roman"/>
          <w:sz w:val="22"/>
          <w:szCs w:val="22"/>
        </w:rPr>
        <w:t>the ACMA’s</w:t>
      </w:r>
      <w:r w:rsidRPr="0021312B">
        <w:rPr>
          <w:rFonts w:ascii="Times New Roman" w:eastAsiaTheme="minorHAnsi" w:hAnsi="Times New Roman" w:cs="Times New Roman"/>
          <w:sz w:val="22"/>
          <w:szCs w:val="22"/>
        </w:rPr>
        <w:t xml:space="preserve"> functions </w:t>
      </w:r>
      <w:r w:rsidR="004E475F" w:rsidRPr="0021312B">
        <w:rPr>
          <w:rFonts w:ascii="Times New Roman" w:eastAsiaTheme="minorHAnsi" w:hAnsi="Times New Roman" w:cs="Times New Roman"/>
          <w:sz w:val="22"/>
          <w:szCs w:val="22"/>
        </w:rPr>
        <w:t xml:space="preserve">under </w:t>
      </w:r>
      <w:r w:rsidR="0021312B">
        <w:rPr>
          <w:rFonts w:ascii="Times New Roman" w:eastAsiaTheme="minorHAnsi" w:hAnsi="Times New Roman" w:cs="Times New Roman"/>
          <w:sz w:val="22"/>
          <w:szCs w:val="22"/>
        </w:rPr>
        <w:t>the Determination for</w:t>
      </w:r>
      <w:r w:rsidRPr="0021312B">
        <w:rPr>
          <w:rFonts w:ascii="Times New Roman" w:eastAsiaTheme="minorHAnsi" w:hAnsi="Times New Roman" w:cs="Times New Roman"/>
          <w:sz w:val="22"/>
          <w:szCs w:val="22"/>
        </w:rPr>
        <w:t xml:space="preserve"> the purposes </w:t>
      </w:r>
      <w:r w:rsidR="00E11632" w:rsidRPr="0021312B">
        <w:rPr>
          <w:rFonts w:ascii="Times New Roman" w:eastAsiaTheme="minorHAnsi" w:hAnsi="Times New Roman" w:cs="Times New Roman"/>
          <w:sz w:val="22"/>
          <w:szCs w:val="22"/>
        </w:rPr>
        <w:t>of</w:t>
      </w:r>
      <w:r w:rsidRPr="0021312B">
        <w:rPr>
          <w:rFonts w:ascii="Times New Roman" w:eastAsiaTheme="minorHAnsi" w:hAnsi="Times New Roman" w:cs="Times New Roman"/>
          <w:sz w:val="22"/>
          <w:szCs w:val="22"/>
        </w:rPr>
        <w:t xml:space="preserve"> </w:t>
      </w:r>
      <w:r w:rsidR="0021312B">
        <w:rPr>
          <w:rFonts w:ascii="Times New Roman" w:eastAsiaTheme="minorHAnsi" w:hAnsi="Times New Roman" w:cs="Times New Roman"/>
          <w:sz w:val="22"/>
          <w:szCs w:val="22"/>
        </w:rPr>
        <w:t>the Determination</w:t>
      </w:r>
      <w:r w:rsidR="00D91D65" w:rsidRPr="0021312B">
        <w:rPr>
          <w:rFonts w:ascii="Times New Roman" w:eastAsiaTheme="minorHAnsi" w:hAnsi="Times New Roman" w:cs="Times New Roman"/>
          <w:sz w:val="22"/>
          <w:szCs w:val="22"/>
        </w:rPr>
        <w:t xml:space="preserve">, including disclosing or publishing information or documents as provided for in </w:t>
      </w:r>
      <w:r w:rsidR="0021312B">
        <w:rPr>
          <w:rFonts w:ascii="Times New Roman" w:eastAsiaTheme="minorHAnsi" w:hAnsi="Times New Roman" w:cs="Times New Roman"/>
          <w:sz w:val="22"/>
          <w:szCs w:val="22"/>
        </w:rPr>
        <w:t>the Determination</w:t>
      </w:r>
      <w:r w:rsidRPr="0021312B">
        <w:rPr>
          <w:rFonts w:ascii="Times New Roman" w:eastAsiaTheme="minorHAnsi" w:hAnsi="Times New Roman" w:cs="Times New Roman"/>
          <w:sz w:val="22"/>
          <w:szCs w:val="22"/>
        </w:rPr>
        <w:t xml:space="preserve">. </w:t>
      </w:r>
      <w:r w:rsidR="00896360">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 xml:space="preserve">The ACMA may also use </w:t>
      </w:r>
      <w:r w:rsidR="00E11632" w:rsidRPr="0021312B">
        <w:rPr>
          <w:rFonts w:ascii="Times New Roman" w:eastAsiaTheme="minorHAnsi" w:hAnsi="Times New Roman" w:cs="Times New Roman"/>
          <w:sz w:val="22"/>
          <w:szCs w:val="22"/>
        </w:rPr>
        <w:t xml:space="preserve">the </w:t>
      </w:r>
      <w:r w:rsidRPr="0021312B">
        <w:rPr>
          <w:rFonts w:ascii="Times New Roman" w:eastAsiaTheme="minorHAnsi" w:hAnsi="Times New Roman" w:cs="Times New Roman"/>
          <w:sz w:val="22"/>
          <w:szCs w:val="22"/>
        </w:rPr>
        <w:t xml:space="preserve">information </w:t>
      </w:r>
      <w:r w:rsidR="00E11632" w:rsidRPr="0021312B">
        <w:rPr>
          <w:rFonts w:ascii="Times New Roman" w:eastAsiaTheme="minorHAnsi" w:hAnsi="Times New Roman" w:cs="Times New Roman"/>
          <w:sz w:val="22"/>
          <w:szCs w:val="22"/>
        </w:rPr>
        <w:t xml:space="preserve">or documents </w:t>
      </w:r>
      <w:r w:rsidRPr="0021312B">
        <w:rPr>
          <w:rFonts w:ascii="Times New Roman" w:eastAsiaTheme="minorHAnsi" w:hAnsi="Times New Roman" w:cs="Times New Roman"/>
          <w:sz w:val="22"/>
          <w:szCs w:val="22"/>
        </w:rPr>
        <w:t xml:space="preserve">to perform its functions in relation to a spectrum licence issued as a result of the </w:t>
      </w:r>
      <w:r w:rsidR="00E11632" w:rsidRPr="0021312B">
        <w:rPr>
          <w:rFonts w:ascii="Times New Roman" w:eastAsiaTheme="minorHAnsi" w:hAnsi="Times New Roman" w:cs="Times New Roman"/>
          <w:sz w:val="22"/>
          <w:szCs w:val="22"/>
        </w:rPr>
        <w:t xml:space="preserve">allocation process under </w:t>
      </w:r>
      <w:r w:rsidR="0021312B">
        <w:rPr>
          <w:rFonts w:ascii="Times New Roman" w:eastAsiaTheme="minorHAnsi" w:hAnsi="Times New Roman" w:cs="Times New Roman"/>
          <w:sz w:val="22"/>
          <w:szCs w:val="22"/>
        </w:rPr>
        <w:t>the Determination</w:t>
      </w:r>
      <w:r w:rsidR="00D91D65" w:rsidRPr="0021312B">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 xml:space="preserve"> The ACMA may keep a document obtained under this section for as long as necessary for the performance of any of </w:t>
      </w:r>
      <w:r w:rsidR="00401FC5">
        <w:rPr>
          <w:rFonts w:ascii="Times New Roman" w:eastAsiaTheme="minorHAnsi" w:hAnsi="Times New Roman" w:cs="Times New Roman"/>
          <w:sz w:val="22"/>
          <w:szCs w:val="22"/>
        </w:rPr>
        <w:t>its</w:t>
      </w:r>
      <w:r w:rsidRPr="0021312B">
        <w:rPr>
          <w:rFonts w:ascii="Times New Roman" w:eastAsiaTheme="minorHAnsi" w:hAnsi="Times New Roman" w:cs="Times New Roman"/>
          <w:sz w:val="22"/>
          <w:szCs w:val="22"/>
        </w:rPr>
        <w:t xml:space="preserve"> functions or exercise of its powers under </w:t>
      </w:r>
      <w:r w:rsidR="00147E35">
        <w:rPr>
          <w:rFonts w:ascii="Times New Roman" w:eastAsiaTheme="minorHAnsi" w:hAnsi="Times New Roman" w:cs="Times New Roman"/>
          <w:sz w:val="22"/>
          <w:szCs w:val="22"/>
        </w:rPr>
        <w:t>the Determination</w:t>
      </w:r>
      <w:r w:rsidR="00D91D65" w:rsidRPr="0021312B">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or the Act.</w:t>
      </w:r>
    </w:p>
    <w:p w14:paraId="0858FF4F" w14:textId="7664B39C" w:rsidR="00603AB1" w:rsidRPr="0021312B" w:rsidRDefault="00603AB1" w:rsidP="005B1EC3">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The ACMA may also disclose information or documents as permitted by Part 7A of the</w:t>
      </w:r>
      <w:r w:rsidR="00896360">
        <w:rPr>
          <w:rFonts w:ascii="Times New Roman" w:eastAsiaTheme="minorHAnsi" w:hAnsi="Times New Roman" w:cs="Times New Roman"/>
          <w:sz w:val="22"/>
          <w:szCs w:val="22"/>
        </w:rPr>
        <w:t xml:space="preserve"> ACMA Act</w:t>
      </w:r>
      <w:r w:rsidRPr="0021312B">
        <w:rPr>
          <w:rFonts w:ascii="Times New Roman" w:eastAsiaTheme="minorHAnsi" w:hAnsi="Times New Roman" w:cs="Times New Roman"/>
          <w:sz w:val="22"/>
          <w:szCs w:val="22"/>
        </w:rPr>
        <w:t>, or a</w:t>
      </w:r>
      <w:r w:rsidR="00D91D65" w:rsidRPr="0021312B">
        <w:rPr>
          <w:rFonts w:ascii="Times New Roman" w:eastAsiaTheme="minorHAnsi" w:hAnsi="Times New Roman" w:cs="Times New Roman"/>
          <w:sz w:val="22"/>
          <w:szCs w:val="22"/>
        </w:rPr>
        <w:t>s</w:t>
      </w:r>
      <w:r w:rsidR="00401FC5">
        <w:rPr>
          <w:rFonts w:ascii="Times New Roman" w:eastAsiaTheme="minorHAnsi" w:hAnsi="Times New Roman" w:cs="Times New Roman"/>
          <w:sz w:val="22"/>
          <w:szCs w:val="22"/>
        </w:rPr>
        <w:t xml:space="preserve"> otherwise</w:t>
      </w:r>
      <w:r w:rsidR="00D91D65" w:rsidRPr="0021312B">
        <w:rPr>
          <w:rFonts w:ascii="Times New Roman" w:eastAsiaTheme="minorHAnsi" w:hAnsi="Times New Roman" w:cs="Times New Roman"/>
          <w:sz w:val="22"/>
          <w:szCs w:val="22"/>
        </w:rPr>
        <w:t xml:space="preserve"> authori</w:t>
      </w:r>
      <w:r w:rsidR="00147E35">
        <w:rPr>
          <w:rFonts w:ascii="Times New Roman" w:eastAsiaTheme="minorHAnsi" w:hAnsi="Times New Roman" w:cs="Times New Roman"/>
          <w:sz w:val="22"/>
          <w:szCs w:val="22"/>
        </w:rPr>
        <w:t>s</w:t>
      </w:r>
      <w:r w:rsidR="00D91D65" w:rsidRPr="0021312B">
        <w:rPr>
          <w:rFonts w:ascii="Times New Roman" w:eastAsiaTheme="minorHAnsi" w:hAnsi="Times New Roman" w:cs="Times New Roman"/>
          <w:sz w:val="22"/>
          <w:szCs w:val="22"/>
        </w:rPr>
        <w:t>ed by</w:t>
      </w:r>
      <w:r w:rsidRPr="0021312B">
        <w:rPr>
          <w:rFonts w:ascii="Times New Roman" w:eastAsiaTheme="minorHAnsi" w:hAnsi="Times New Roman" w:cs="Times New Roman"/>
          <w:sz w:val="22"/>
          <w:szCs w:val="22"/>
        </w:rPr>
        <w:t xml:space="preserve"> law.</w:t>
      </w:r>
    </w:p>
    <w:p w14:paraId="59472D19" w14:textId="08556C3B"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w:t>
      </w:r>
      <w:r w:rsidR="000420C7" w:rsidRPr="0021312B">
        <w:rPr>
          <w:rFonts w:eastAsiaTheme="minorHAnsi"/>
          <w:b/>
          <w:sz w:val="22"/>
          <w:szCs w:val="22"/>
          <w:lang w:eastAsia="en-US"/>
        </w:rPr>
        <w:t>8</w:t>
      </w:r>
      <w:r w:rsidR="00D91D65" w:rsidRPr="0021312B">
        <w:rPr>
          <w:rFonts w:eastAsiaTheme="minorHAnsi"/>
          <w:b/>
          <w:sz w:val="22"/>
          <w:szCs w:val="22"/>
          <w:lang w:eastAsia="en-US"/>
        </w:rPr>
        <w:t>4</w:t>
      </w:r>
      <w:r w:rsidRPr="0021312B">
        <w:rPr>
          <w:rFonts w:eastAsiaTheme="minorHAnsi"/>
          <w:b/>
          <w:sz w:val="22"/>
          <w:szCs w:val="22"/>
          <w:lang w:eastAsia="en-US"/>
        </w:rPr>
        <w:tab/>
        <w:t xml:space="preserve">ACMA </w:t>
      </w:r>
      <w:r w:rsidR="006A6635" w:rsidRPr="0021312B">
        <w:rPr>
          <w:rFonts w:eastAsiaTheme="minorHAnsi"/>
          <w:b/>
          <w:sz w:val="22"/>
          <w:szCs w:val="22"/>
          <w:lang w:eastAsia="en-US"/>
        </w:rPr>
        <w:t xml:space="preserve">to </w:t>
      </w:r>
      <w:r w:rsidRPr="0021312B">
        <w:rPr>
          <w:rFonts w:eastAsiaTheme="minorHAnsi"/>
          <w:b/>
          <w:sz w:val="22"/>
          <w:szCs w:val="22"/>
          <w:lang w:eastAsia="en-US"/>
        </w:rPr>
        <w:t>provide information to ACCC on request</w:t>
      </w:r>
    </w:p>
    <w:p w14:paraId="1A9A0927" w14:textId="50642E6A" w:rsidR="00603AB1" w:rsidRPr="0021312B" w:rsidRDefault="00401FC5" w:rsidP="00AB1DAC">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In line with subsection 60(7) of the Act, </w:t>
      </w:r>
      <w:r w:rsidR="00603AB1" w:rsidRPr="0021312B">
        <w:rPr>
          <w:rFonts w:ascii="Times New Roman" w:eastAsiaTheme="minorHAnsi" w:hAnsi="Times New Roman" w:cs="Times New Roman"/>
          <w:sz w:val="22"/>
          <w:szCs w:val="22"/>
        </w:rPr>
        <w:t>section</w:t>
      </w:r>
      <w:r>
        <w:rPr>
          <w:rFonts w:ascii="Times New Roman" w:eastAsiaTheme="minorHAnsi" w:hAnsi="Times New Roman" w:cs="Times New Roman"/>
          <w:sz w:val="22"/>
          <w:szCs w:val="22"/>
        </w:rPr>
        <w:t xml:space="preserve"> 84</w:t>
      </w:r>
      <w:r w:rsidR="00603AB1" w:rsidRPr="0021312B">
        <w:rPr>
          <w:rFonts w:ascii="Times New Roman" w:eastAsiaTheme="minorHAnsi" w:hAnsi="Times New Roman" w:cs="Times New Roman"/>
          <w:sz w:val="22"/>
          <w:szCs w:val="22"/>
        </w:rPr>
        <w:t xml:space="preserve"> requires the ACMA to provide specified information to the ACCC, where the ACCC has requested the information in relation to any applicant</w:t>
      </w:r>
      <w:r w:rsidR="00BA2074" w:rsidRPr="0021312B">
        <w:rPr>
          <w:rFonts w:ascii="Times New Roman" w:eastAsiaTheme="minorHAnsi" w:hAnsi="Times New Roman" w:cs="Times New Roman"/>
          <w:sz w:val="22"/>
          <w:szCs w:val="22"/>
        </w:rPr>
        <w:t xml:space="preserve"> or bidder</w:t>
      </w:r>
      <w:r w:rsidR="00603AB1" w:rsidRPr="0021312B">
        <w:rPr>
          <w:rFonts w:ascii="Times New Roman" w:eastAsiaTheme="minorHAnsi" w:hAnsi="Times New Roman" w:cs="Times New Roman"/>
          <w:sz w:val="22"/>
          <w:szCs w:val="22"/>
        </w:rPr>
        <w:t xml:space="preserve">. Information that may be requested includes forms and deeds submitted by an applicant </w:t>
      </w:r>
      <w:r w:rsidR="00E72BFC" w:rsidRPr="0021312B">
        <w:rPr>
          <w:rFonts w:ascii="Times New Roman" w:eastAsiaTheme="minorHAnsi" w:hAnsi="Times New Roman" w:cs="Times New Roman"/>
          <w:sz w:val="22"/>
          <w:szCs w:val="22"/>
        </w:rPr>
        <w:t>to participate in or during the allocation</w:t>
      </w:r>
      <w:r w:rsidR="00603AB1" w:rsidRPr="0021312B">
        <w:rPr>
          <w:rFonts w:ascii="Times New Roman" w:eastAsiaTheme="minorHAnsi" w:hAnsi="Times New Roman" w:cs="Times New Roman"/>
          <w:sz w:val="22"/>
          <w:szCs w:val="22"/>
        </w:rPr>
        <w:t xml:space="preserve"> process, information about an applicant’s affiliations, and information about any breach of confidentiality obligations. </w:t>
      </w:r>
      <w:r w:rsidR="00896360">
        <w:rPr>
          <w:rFonts w:ascii="Times New Roman" w:eastAsiaTheme="minorHAnsi" w:hAnsi="Times New Roman" w:cs="Times New Roman"/>
          <w:sz w:val="22"/>
          <w:szCs w:val="22"/>
        </w:rPr>
        <w:t xml:space="preserve"> </w:t>
      </w:r>
      <w:r w:rsidR="00603AB1" w:rsidRPr="0021312B">
        <w:rPr>
          <w:rFonts w:ascii="Times New Roman" w:eastAsiaTheme="minorHAnsi" w:hAnsi="Times New Roman" w:cs="Times New Roman"/>
          <w:sz w:val="22"/>
          <w:szCs w:val="22"/>
        </w:rPr>
        <w:t>It also includes information about bidding during the auction and information about the outcome of</w:t>
      </w:r>
      <w:r w:rsidR="00147E35">
        <w:rPr>
          <w:rFonts w:ascii="Times New Roman" w:eastAsiaTheme="minorHAnsi" w:hAnsi="Times New Roman" w:cs="Times New Roman"/>
          <w:sz w:val="22"/>
          <w:szCs w:val="22"/>
        </w:rPr>
        <w:t xml:space="preserve"> the</w:t>
      </w:r>
      <w:r w:rsidR="00603AB1" w:rsidRPr="0021312B">
        <w:rPr>
          <w:rFonts w:ascii="Times New Roman" w:eastAsiaTheme="minorHAnsi" w:hAnsi="Times New Roman" w:cs="Times New Roman"/>
          <w:sz w:val="22"/>
          <w:szCs w:val="22"/>
        </w:rPr>
        <w:t xml:space="preserve"> procedures in Part</w:t>
      </w:r>
      <w:r w:rsidR="00E72BFC" w:rsidRPr="0021312B">
        <w:rPr>
          <w:rFonts w:ascii="Times New Roman" w:eastAsiaTheme="minorHAnsi" w:hAnsi="Times New Roman" w:cs="Times New Roman"/>
          <w:sz w:val="22"/>
          <w:szCs w:val="22"/>
        </w:rPr>
        <w:t>s 5 and</w:t>
      </w:r>
      <w:r w:rsidR="00603AB1" w:rsidRPr="0021312B">
        <w:rPr>
          <w:rFonts w:ascii="Times New Roman" w:eastAsiaTheme="minorHAnsi" w:hAnsi="Times New Roman" w:cs="Times New Roman"/>
          <w:sz w:val="22"/>
          <w:szCs w:val="22"/>
        </w:rPr>
        <w:t xml:space="preserve"> </w:t>
      </w:r>
      <w:r w:rsidR="00766E38" w:rsidRPr="0021312B">
        <w:rPr>
          <w:rFonts w:ascii="Times New Roman" w:eastAsiaTheme="minorHAnsi" w:hAnsi="Times New Roman" w:cs="Times New Roman"/>
          <w:sz w:val="22"/>
          <w:szCs w:val="22"/>
        </w:rPr>
        <w:t>7</w:t>
      </w:r>
      <w:r w:rsidR="00603AB1" w:rsidRPr="0021312B">
        <w:rPr>
          <w:rFonts w:ascii="Times New Roman" w:eastAsiaTheme="minorHAnsi" w:hAnsi="Times New Roman" w:cs="Times New Roman"/>
          <w:sz w:val="22"/>
          <w:szCs w:val="22"/>
        </w:rPr>
        <w:t>.</w:t>
      </w:r>
    </w:p>
    <w:p w14:paraId="225DD451" w14:textId="1B64BBB5"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Section</w:t>
      </w:r>
      <w:r w:rsidR="00FD415F" w:rsidRPr="0021312B">
        <w:rPr>
          <w:rFonts w:eastAsiaTheme="minorHAnsi"/>
          <w:b/>
          <w:sz w:val="22"/>
          <w:szCs w:val="22"/>
          <w:lang w:eastAsia="en-US"/>
        </w:rPr>
        <w:t xml:space="preserve"> 85</w:t>
      </w:r>
      <w:r w:rsidRPr="0021312B">
        <w:rPr>
          <w:rFonts w:eastAsiaTheme="minorHAnsi"/>
          <w:b/>
          <w:sz w:val="22"/>
          <w:szCs w:val="22"/>
          <w:lang w:eastAsia="en-US"/>
        </w:rPr>
        <w:tab/>
        <w:t xml:space="preserve">Retention of </w:t>
      </w:r>
      <w:r w:rsidR="00A75624" w:rsidRPr="0021312B">
        <w:rPr>
          <w:rFonts w:eastAsiaTheme="minorHAnsi"/>
          <w:b/>
          <w:sz w:val="22"/>
          <w:szCs w:val="22"/>
          <w:lang w:eastAsia="en-US"/>
        </w:rPr>
        <w:t xml:space="preserve">deposit or </w:t>
      </w:r>
      <w:r w:rsidRPr="0021312B">
        <w:rPr>
          <w:rFonts w:eastAsiaTheme="minorHAnsi"/>
          <w:b/>
          <w:sz w:val="22"/>
          <w:szCs w:val="22"/>
          <w:lang w:eastAsia="en-US"/>
        </w:rPr>
        <w:t>enforcement of deed for breach of procedures</w:t>
      </w:r>
    </w:p>
    <w:p w14:paraId="614689C8" w14:textId="1F5030F9" w:rsidR="00FD415F" w:rsidRPr="0021312B" w:rsidRDefault="00603AB1" w:rsidP="00FD415F">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This section sets out the action that the ACMA may take </w:t>
      </w:r>
      <w:r w:rsidR="00E72BFC" w:rsidRPr="0021312B">
        <w:rPr>
          <w:rFonts w:ascii="Times New Roman" w:eastAsiaTheme="minorHAnsi" w:hAnsi="Times New Roman" w:cs="Times New Roman"/>
          <w:sz w:val="22"/>
          <w:szCs w:val="22"/>
        </w:rPr>
        <w:t xml:space="preserve">for </w:t>
      </w:r>
      <w:r w:rsidRPr="0021312B">
        <w:rPr>
          <w:rFonts w:ascii="Times New Roman" w:eastAsiaTheme="minorHAnsi" w:hAnsi="Times New Roman" w:cs="Times New Roman"/>
          <w:sz w:val="22"/>
          <w:szCs w:val="22"/>
        </w:rPr>
        <w:t xml:space="preserve">a breach of </w:t>
      </w:r>
      <w:r w:rsidR="00E72BFC" w:rsidRPr="0021312B">
        <w:rPr>
          <w:rFonts w:ascii="Times New Roman" w:eastAsiaTheme="minorHAnsi" w:hAnsi="Times New Roman" w:cs="Times New Roman"/>
          <w:sz w:val="22"/>
          <w:szCs w:val="22"/>
        </w:rPr>
        <w:t xml:space="preserve">provisions of the Determination, such as </w:t>
      </w:r>
      <w:r w:rsidRPr="0021312B">
        <w:rPr>
          <w:rFonts w:ascii="Times New Roman" w:eastAsiaTheme="minorHAnsi" w:hAnsi="Times New Roman" w:cs="Times New Roman"/>
          <w:sz w:val="22"/>
          <w:szCs w:val="22"/>
        </w:rPr>
        <w:t xml:space="preserve">the auction rules or related procedures. </w:t>
      </w:r>
      <w:r w:rsidR="00D019B0">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The ACMA may</w:t>
      </w:r>
      <w:r w:rsidR="00147E35">
        <w:rPr>
          <w:rFonts w:ascii="Times New Roman" w:eastAsiaTheme="minorHAnsi" w:hAnsi="Times New Roman" w:cs="Times New Roman"/>
          <w:sz w:val="22"/>
          <w:szCs w:val="22"/>
        </w:rPr>
        <w:t xml:space="preserve">, on behalf of the </w:t>
      </w:r>
      <w:r w:rsidR="00147E35">
        <w:rPr>
          <w:rFonts w:ascii="Times New Roman" w:eastAsiaTheme="minorHAnsi" w:hAnsi="Times New Roman" w:cs="Times New Roman"/>
          <w:sz w:val="22"/>
          <w:szCs w:val="22"/>
        </w:rPr>
        <w:lastRenderedPageBreak/>
        <w:t>Commonwealth, retain a deposit paid, or enforce a deed of financial security given, by an applicant or bidder</w:t>
      </w:r>
      <w:r w:rsidRPr="0021312B">
        <w:rPr>
          <w:rFonts w:ascii="Times New Roman" w:eastAsiaTheme="minorHAnsi" w:hAnsi="Times New Roman" w:cs="Times New Roman"/>
          <w:sz w:val="22"/>
          <w:szCs w:val="22"/>
        </w:rPr>
        <w:t xml:space="preserve"> where it is satisfied that an applicant or bidder, or a related person, breached a provision of </w:t>
      </w:r>
      <w:r w:rsidR="00147E35">
        <w:rPr>
          <w:rFonts w:ascii="Times New Roman" w:eastAsiaTheme="minorHAnsi" w:hAnsi="Times New Roman" w:cs="Times New Roman"/>
          <w:sz w:val="22"/>
          <w:szCs w:val="22"/>
        </w:rPr>
        <w:t>the Determination</w:t>
      </w:r>
      <w:r w:rsidRPr="0021312B">
        <w:rPr>
          <w:rFonts w:ascii="Times New Roman" w:eastAsiaTheme="minorHAnsi" w:hAnsi="Times New Roman" w:cs="Times New Roman"/>
          <w:sz w:val="22"/>
          <w:szCs w:val="22"/>
        </w:rPr>
        <w:t xml:space="preserve"> and that </w:t>
      </w:r>
      <w:r w:rsidR="00025BFE">
        <w:rPr>
          <w:rFonts w:ascii="Times New Roman" w:eastAsiaTheme="minorHAnsi" w:hAnsi="Times New Roman" w:cs="Times New Roman"/>
          <w:sz w:val="22"/>
          <w:szCs w:val="22"/>
        </w:rPr>
        <w:t>th</w:t>
      </w:r>
      <w:r w:rsidR="00F35DA0">
        <w:rPr>
          <w:rFonts w:ascii="Times New Roman" w:eastAsiaTheme="minorHAnsi" w:hAnsi="Times New Roman" w:cs="Times New Roman"/>
          <w:sz w:val="22"/>
          <w:szCs w:val="22"/>
        </w:rPr>
        <w:t>e</w:t>
      </w:r>
      <w:r w:rsidR="00025BFE" w:rsidRPr="0021312B">
        <w:rPr>
          <w:rFonts w:ascii="Times New Roman" w:eastAsiaTheme="minorHAnsi" w:hAnsi="Times New Roman" w:cs="Times New Roman"/>
          <w:sz w:val="22"/>
          <w:szCs w:val="22"/>
        </w:rPr>
        <w:t xml:space="preserve"> breach</w:t>
      </w:r>
      <w:r w:rsidRPr="0021312B">
        <w:rPr>
          <w:rFonts w:ascii="Times New Roman" w:eastAsiaTheme="minorHAnsi" w:hAnsi="Times New Roman" w:cs="Times New Roman"/>
          <w:sz w:val="22"/>
          <w:szCs w:val="22"/>
        </w:rPr>
        <w:t xml:space="preserve"> affected or could have affected the outcome of the </w:t>
      </w:r>
      <w:r w:rsidR="00766E38" w:rsidRPr="0021312B">
        <w:rPr>
          <w:rFonts w:ascii="Times New Roman" w:eastAsiaTheme="minorHAnsi" w:hAnsi="Times New Roman" w:cs="Times New Roman"/>
          <w:sz w:val="22"/>
          <w:szCs w:val="22"/>
        </w:rPr>
        <w:t>allocation process</w:t>
      </w:r>
      <w:r w:rsidRPr="0021312B">
        <w:rPr>
          <w:rFonts w:ascii="Times New Roman" w:eastAsiaTheme="minorHAnsi" w:hAnsi="Times New Roman" w:cs="Times New Roman"/>
          <w:sz w:val="22"/>
          <w:szCs w:val="22"/>
        </w:rPr>
        <w:t xml:space="preserve">. </w:t>
      </w:r>
    </w:p>
    <w:p w14:paraId="2B1534EF" w14:textId="1E6CB961" w:rsidR="00FD415F" w:rsidRPr="0021312B" w:rsidRDefault="00FD415F" w:rsidP="00FD415F">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The ACMA may also retain the deposit</w:t>
      </w:r>
      <w:r w:rsidR="00147E35">
        <w:rPr>
          <w:rFonts w:ascii="Times New Roman" w:eastAsiaTheme="minorHAnsi" w:hAnsi="Times New Roman" w:cs="Times New Roman"/>
          <w:sz w:val="22"/>
          <w:szCs w:val="22"/>
        </w:rPr>
        <w:t xml:space="preserve"> or enforce the deed</w:t>
      </w:r>
      <w:r w:rsidR="00960695">
        <w:rPr>
          <w:rFonts w:ascii="Times New Roman" w:eastAsiaTheme="minorHAnsi" w:hAnsi="Times New Roman" w:cs="Times New Roman"/>
          <w:sz w:val="22"/>
          <w:szCs w:val="22"/>
        </w:rPr>
        <w:t xml:space="preserve"> of financial security</w:t>
      </w:r>
      <w:r w:rsidRPr="0021312B">
        <w:rPr>
          <w:rFonts w:ascii="Times New Roman" w:eastAsiaTheme="minorHAnsi" w:hAnsi="Times New Roman" w:cs="Times New Roman"/>
          <w:sz w:val="22"/>
          <w:szCs w:val="22"/>
        </w:rPr>
        <w:t xml:space="preserve"> if </w:t>
      </w:r>
      <w:r w:rsidR="00147E35">
        <w:rPr>
          <w:rFonts w:ascii="Times New Roman" w:eastAsiaTheme="minorHAnsi" w:hAnsi="Times New Roman" w:cs="Times New Roman"/>
          <w:sz w:val="22"/>
          <w:szCs w:val="22"/>
        </w:rPr>
        <w:t>a successful</w:t>
      </w:r>
      <w:r w:rsidRPr="0021312B">
        <w:rPr>
          <w:rFonts w:ascii="Times New Roman" w:eastAsiaTheme="minorHAnsi" w:hAnsi="Times New Roman" w:cs="Times New Roman"/>
          <w:sz w:val="22"/>
          <w:szCs w:val="22"/>
        </w:rPr>
        <w:t xml:space="preserve"> applicant failed to pay the balance of the upfront pre-determined price as required under subsection 45(2)</w:t>
      </w:r>
      <w:r w:rsidR="00147E35">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failed to pay the first instalment as required under paragraph 46(2</w:t>
      </w:r>
      <w:proofErr w:type="gramStart"/>
      <w:r w:rsidRPr="0021312B">
        <w:rPr>
          <w:rFonts w:ascii="Times New Roman" w:eastAsiaTheme="minorHAnsi" w:hAnsi="Times New Roman" w:cs="Times New Roman"/>
          <w:sz w:val="22"/>
          <w:szCs w:val="22"/>
        </w:rPr>
        <w:t>)(</w:t>
      </w:r>
      <w:proofErr w:type="gramEnd"/>
      <w:r w:rsidRPr="0021312B">
        <w:rPr>
          <w:rFonts w:ascii="Times New Roman" w:eastAsiaTheme="minorHAnsi" w:hAnsi="Times New Roman" w:cs="Times New Roman"/>
          <w:sz w:val="22"/>
          <w:szCs w:val="22"/>
        </w:rPr>
        <w:t>a)</w:t>
      </w:r>
      <w:r w:rsidR="00147E35">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or failed to give the ACMA the delayed pre-determined price bank guarantee in accordance with subsection 44(6). </w:t>
      </w:r>
    </w:p>
    <w:p w14:paraId="58BC83BB" w14:textId="7F2EF07F" w:rsidR="00FD415F" w:rsidRPr="0021312B" w:rsidRDefault="00FD415F" w:rsidP="00FD415F">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The ACMA may also retain the deposit </w:t>
      </w:r>
      <w:r w:rsidR="00147E35">
        <w:rPr>
          <w:rFonts w:ascii="Times New Roman" w:eastAsiaTheme="minorHAnsi" w:hAnsi="Times New Roman" w:cs="Times New Roman"/>
          <w:sz w:val="22"/>
          <w:szCs w:val="22"/>
        </w:rPr>
        <w:t>or enforce the deed</w:t>
      </w:r>
      <w:r w:rsidR="00960695">
        <w:rPr>
          <w:rFonts w:ascii="Times New Roman" w:eastAsiaTheme="minorHAnsi" w:hAnsi="Times New Roman" w:cs="Times New Roman"/>
          <w:sz w:val="22"/>
          <w:szCs w:val="22"/>
        </w:rPr>
        <w:t xml:space="preserve"> of financial security</w:t>
      </w:r>
      <w:r w:rsidR="00147E35">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if the ACMA is satisfied that the bidder breached section 61 (</w:t>
      </w:r>
      <w:r w:rsidR="00147E35">
        <w:rPr>
          <w:rFonts w:ascii="Times New Roman" w:eastAsiaTheme="minorHAnsi" w:hAnsi="Times New Roman" w:cs="Times New Roman"/>
          <w:sz w:val="22"/>
          <w:szCs w:val="22"/>
        </w:rPr>
        <w:t>that is, the bidder was affiliated with another bidder during the auction period</w:t>
      </w:r>
      <w:r w:rsidRPr="0021312B">
        <w:rPr>
          <w:rFonts w:ascii="Times New Roman" w:eastAsiaTheme="minorHAnsi" w:hAnsi="Times New Roman" w:cs="Times New Roman"/>
          <w:sz w:val="22"/>
          <w:szCs w:val="22"/>
        </w:rPr>
        <w:t>)</w:t>
      </w:r>
      <w:r w:rsidR="00896360">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or the bidder is a winning bidder who failed to give the statement required under section 68 </w:t>
      </w:r>
      <w:r w:rsidR="00147E35">
        <w:rPr>
          <w:rFonts w:ascii="Times New Roman" w:eastAsiaTheme="minorHAnsi" w:hAnsi="Times New Roman" w:cs="Times New Roman"/>
          <w:sz w:val="22"/>
          <w:szCs w:val="22"/>
        </w:rPr>
        <w:t>about affiliations with other bidders and previous successful bidders</w:t>
      </w:r>
      <w:r w:rsidRPr="0021312B">
        <w:rPr>
          <w:rFonts w:ascii="Times New Roman" w:eastAsiaTheme="minorHAnsi" w:hAnsi="Times New Roman" w:cs="Times New Roman"/>
          <w:sz w:val="22"/>
          <w:szCs w:val="22"/>
        </w:rPr>
        <w:t>.</w:t>
      </w:r>
    </w:p>
    <w:p w14:paraId="58541005" w14:textId="2E8B23C8" w:rsidR="00FD415F" w:rsidRPr="0021312B" w:rsidRDefault="00FD415F" w:rsidP="00FD415F">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The ACMA may also retain the deposit </w:t>
      </w:r>
      <w:r w:rsidR="00147E35">
        <w:rPr>
          <w:rFonts w:ascii="Times New Roman" w:eastAsiaTheme="minorHAnsi" w:hAnsi="Times New Roman" w:cs="Times New Roman"/>
          <w:sz w:val="22"/>
          <w:szCs w:val="22"/>
        </w:rPr>
        <w:t xml:space="preserve">or enforce the deed </w:t>
      </w:r>
      <w:r w:rsidR="00960695">
        <w:rPr>
          <w:rFonts w:ascii="Times New Roman" w:eastAsiaTheme="minorHAnsi" w:hAnsi="Times New Roman" w:cs="Times New Roman"/>
          <w:sz w:val="22"/>
          <w:szCs w:val="22"/>
        </w:rPr>
        <w:t xml:space="preserve">of financial security </w:t>
      </w:r>
      <w:r w:rsidRPr="0021312B">
        <w:rPr>
          <w:rFonts w:ascii="Times New Roman" w:eastAsiaTheme="minorHAnsi" w:hAnsi="Times New Roman" w:cs="Times New Roman"/>
          <w:sz w:val="22"/>
          <w:szCs w:val="22"/>
        </w:rPr>
        <w:t>if a winning bidder failed to pay the balance of the upfront winning price as required under paragraph 75(2</w:t>
      </w:r>
      <w:proofErr w:type="gramStart"/>
      <w:r w:rsidRPr="0021312B">
        <w:rPr>
          <w:rFonts w:ascii="Times New Roman" w:eastAsiaTheme="minorHAnsi" w:hAnsi="Times New Roman" w:cs="Times New Roman"/>
          <w:sz w:val="22"/>
          <w:szCs w:val="22"/>
        </w:rPr>
        <w:t>)(</w:t>
      </w:r>
      <w:proofErr w:type="gramEnd"/>
      <w:r w:rsidRPr="0021312B">
        <w:rPr>
          <w:rFonts w:ascii="Times New Roman" w:eastAsiaTheme="minorHAnsi" w:hAnsi="Times New Roman" w:cs="Times New Roman"/>
          <w:sz w:val="22"/>
          <w:szCs w:val="22"/>
        </w:rPr>
        <w:t>b)</w:t>
      </w:r>
      <w:r w:rsidR="00147E35">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failed to pay the first auction instalment as required under subparagraph 75(3)(b)(</w:t>
      </w:r>
      <w:proofErr w:type="spellStart"/>
      <w:r w:rsidRPr="0021312B">
        <w:rPr>
          <w:rFonts w:ascii="Times New Roman" w:eastAsiaTheme="minorHAnsi" w:hAnsi="Times New Roman" w:cs="Times New Roman"/>
          <w:sz w:val="22"/>
          <w:szCs w:val="22"/>
        </w:rPr>
        <w:t>i</w:t>
      </w:r>
      <w:proofErr w:type="spellEnd"/>
      <w:r w:rsidRPr="0021312B">
        <w:rPr>
          <w:rFonts w:ascii="Times New Roman" w:eastAsiaTheme="minorHAnsi" w:hAnsi="Times New Roman" w:cs="Times New Roman"/>
          <w:sz w:val="22"/>
          <w:szCs w:val="22"/>
        </w:rPr>
        <w:t>)</w:t>
      </w:r>
      <w:r w:rsidR="00147E35">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or failed to give the ACMA the delayed winning price bank guarantee in accordance with subsection 75(7).</w:t>
      </w:r>
    </w:p>
    <w:p w14:paraId="505A8426" w14:textId="352947BC" w:rsidR="00FD415F" w:rsidRPr="0021312B" w:rsidRDefault="00FD415F" w:rsidP="00FD415F">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The ACMA may also retain the deposit </w:t>
      </w:r>
      <w:r w:rsidR="00147E35">
        <w:rPr>
          <w:rFonts w:ascii="Times New Roman" w:eastAsiaTheme="minorHAnsi" w:hAnsi="Times New Roman" w:cs="Times New Roman"/>
          <w:sz w:val="22"/>
          <w:szCs w:val="22"/>
        </w:rPr>
        <w:t xml:space="preserve">or enforce the deed </w:t>
      </w:r>
      <w:r w:rsidR="00960695">
        <w:rPr>
          <w:rFonts w:ascii="Times New Roman" w:eastAsiaTheme="minorHAnsi" w:hAnsi="Times New Roman" w:cs="Times New Roman"/>
          <w:sz w:val="22"/>
          <w:szCs w:val="22"/>
        </w:rPr>
        <w:t xml:space="preserve">of financial security </w:t>
      </w:r>
      <w:r w:rsidR="00147E35">
        <w:rPr>
          <w:rFonts w:ascii="Times New Roman" w:eastAsiaTheme="minorHAnsi" w:hAnsi="Times New Roman" w:cs="Times New Roman"/>
          <w:sz w:val="22"/>
          <w:szCs w:val="22"/>
        </w:rPr>
        <w:t xml:space="preserve">if </w:t>
      </w:r>
      <w:r w:rsidRPr="0021312B">
        <w:rPr>
          <w:rFonts w:ascii="Times New Roman" w:eastAsiaTheme="minorHAnsi" w:hAnsi="Times New Roman" w:cs="Times New Roman"/>
          <w:sz w:val="22"/>
          <w:szCs w:val="22"/>
        </w:rPr>
        <w:t>the ACMA is satisfied that the applicant or bidder, or a related person of the applicant or bidder, breached the confidentiality obligations under section 17 after the end of the auction period (but before the confidentiality obligations came to an end)</w:t>
      </w:r>
      <w:r w:rsidR="00896360">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or the applicant or bidder failed to comply with a requirement in a notice given under subsection 82(1)</w:t>
      </w:r>
      <w:r w:rsidR="00147E35">
        <w:rPr>
          <w:rFonts w:ascii="Times New Roman" w:eastAsiaTheme="minorHAnsi" w:hAnsi="Times New Roman" w:cs="Times New Roman"/>
          <w:sz w:val="22"/>
          <w:szCs w:val="22"/>
        </w:rPr>
        <w:t>, requiring the production of information or documents</w:t>
      </w:r>
      <w:r w:rsidRPr="0021312B">
        <w:rPr>
          <w:rFonts w:ascii="Times New Roman" w:eastAsiaTheme="minorHAnsi" w:hAnsi="Times New Roman" w:cs="Times New Roman"/>
          <w:sz w:val="22"/>
          <w:szCs w:val="22"/>
        </w:rPr>
        <w:t>.</w:t>
      </w:r>
    </w:p>
    <w:p w14:paraId="1A33683E" w14:textId="6C5D8224" w:rsidR="0073463A" w:rsidRPr="0021312B" w:rsidRDefault="0073463A" w:rsidP="0021312B">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The ACMA must notify the applicant or bidder, in writing, of a decision under subsection </w:t>
      </w:r>
      <w:r w:rsidR="00401FC5">
        <w:rPr>
          <w:rFonts w:ascii="Times New Roman" w:eastAsiaTheme="minorHAnsi" w:hAnsi="Times New Roman" w:cs="Times New Roman"/>
          <w:sz w:val="22"/>
          <w:szCs w:val="22"/>
        </w:rPr>
        <w:t>85</w:t>
      </w:r>
      <w:r w:rsidRPr="0021312B">
        <w:rPr>
          <w:rFonts w:ascii="Times New Roman" w:eastAsiaTheme="minorHAnsi" w:hAnsi="Times New Roman" w:cs="Times New Roman"/>
          <w:sz w:val="22"/>
          <w:szCs w:val="22"/>
        </w:rPr>
        <w:t>(1) and the nature of the breach or failure</w:t>
      </w:r>
      <w:r w:rsidR="00147E35">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before the later of:</w:t>
      </w:r>
    </w:p>
    <w:p w14:paraId="4132D1EA" w14:textId="25D34EE6" w:rsidR="0073463A" w:rsidRPr="0021312B" w:rsidRDefault="0073463A" w:rsidP="0021312B">
      <w:pPr>
        <w:pStyle w:val="ACMABodyText"/>
        <w:tabs>
          <w:tab w:val="left" w:pos="851"/>
        </w:tabs>
        <w:ind w:left="851" w:hanging="567"/>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(a)</w:t>
      </w:r>
      <w:r w:rsidRPr="0021312B">
        <w:rPr>
          <w:rFonts w:ascii="Times New Roman" w:eastAsiaTheme="minorHAnsi" w:hAnsi="Times New Roman" w:cs="Times New Roman"/>
          <w:sz w:val="22"/>
          <w:szCs w:val="22"/>
        </w:rPr>
        <w:tab/>
        <w:t>six months after:</w:t>
      </w:r>
    </w:p>
    <w:p w14:paraId="55ABE21C" w14:textId="36141614" w:rsidR="0073463A" w:rsidRPr="0021312B" w:rsidRDefault="0073463A" w:rsidP="0021312B">
      <w:pPr>
        <w:pStyle w:val="ACMABodyText"/>
        <w:tabs>
          <w:tab w:val="left" w:pos="1418"/>
        </w:tabs>
        <w:ind w:left="1418" w:hanging="709"/>
        <w:rPr>
          <w:rFonts w:ascii="Times New Roman" w:hAnsi="Times New Roman" w:cs="Times New Roman"/>
          <w:sz w:val="22"/>
          <w:szCs w:val="22"/>
        </w:rPr>
      </w:pPr>
      <w:r w:rsidRPr="0021312B">
        <w:rPr>
          <w:rFonts w:ascii="Times New Roman" w:hAnsi="Times New Roman" w:cs="Times New Roman"/>
          <w:sz w:val="22"/>
          <w:szCs w:val="22"/>
        </w:rPr>
        <w:t>(</w:t>
      </w:r>
      <w:proofErr w:type="spellStart"/>
      <w:r w:rsidRPr="0021312B">
        <w:rPr>
          <w:rFonts w:ascii="Times New Roman" w:hAnsi="Times New Roman" w:cs="Times New Roman"/>
          <w:sz w:val="22"/>
          <w:szCs w:val="22"/>
        </w:rPr>
        <w:t>i</w:t>
      </w:r>
      <w:proofErr w:type="spellEnd"/>
      <w:r w:rsidRPr="0021312B">
        <w:rPr>
          <w:rFonts w:ascii="Times New Roman" w:hAnsi="Times New Roman" w:cs="Times New Roman"/>
          <w:sz w:val="22"/>
          <w:szCs w:val="22"/>
        </w:rPr>
        <w:t>)</w:t>
      </w:r>
      <w:r w:rsidRPr="0021312B">
        <w:rPr>
          <w:rFonts w:ascii="Times New Roman" w:hAnsi="Times New Roman" w:cs="Times New Roman"/>
          <w:sz w:val="22"/>
          <w:szCs w:val="22"/>
        </w:rPr>
        <w:tab/>
      </w:r>
      <w:proofErr w:type="gramStart"/>
      <w:r w:rsidRPr="0021312B">
        <w:rPr>
          <w:rFonts w:ascii="Times New Roman" w:hAnsi="Times New Roman" w:cs="Times New Roman"/>
          <w:sz w:val="22"/>
          <w:szCs w:val="22"/>
        </w:rPr>
        <w:t>if</w:t>
      </w:r>
      <w:proofErr w:type="gramEnd"/>
      <w:r w:rsidRPr="0021312B">
        <w:rPr>
          <w:rFonts w:ascii="Times New Roman" w:hAnsi="Times New Roman" w:cs="Times New Roman"/>
          <w:sz w:val="22"/>
          <w:szCs w:val="22"/>
        </w:rPr>
        <w:t xml:space="preserve"> notice was given to the applicant under subsection 45(1) or 46(1) (pre-determined price payments) – the day the notice was given; or</w:t>
      </w:r>
    </w:p>
    <w:p w14:paraId="3E0E3FC9" w14:textId="11F7B991" w:rsidR="0073463A" w:rsidRPr="0021312B" w:rsidRDefault="0073463A" w:rsidP="0021312B">
      <w:pPr>
        <w:pStyle w:val="ACMABodyText"/>
        <w:tabs>
          <w:tab w:val="left" w:pos="1418"/>
        </w:tabs>
        <w:ind w:left="1418" w:hanging="709"/>
        <w:rPr>
          <w:rFonts w:ascii="Times New Roman" w:hAnsi="Times New Roman" w:cs="Times New Roman"/>
          <w:sz w:val="22"/>
          <w:szCs w:val="22"/>
        </w:rPr>
      </w:pPr>
      <w:r w:rsidRPr="0021312B">
        <w:rPr>
          <w:rFonts w:ascii="Times New Roman" w:hAnsi="Times New Roman" w:cs="Times New Roman"/>
          <w:sz w:val="22"/>
          <w:szCs w:val="22"/>
        </w:rPr>
        <w:t>(ii)</w:t>
      </w:r>
      <w:r w:rsidRPr="0021312B">
        <w:rPr>
          <w:rFonts w:ascii="Times New Roman" w:hAnsi="Times New Roman" w:cs="Times New Roman"/>
          <w:sz w:val="22"/>
          <w:szCs w:val="22"/>
        </w:rPr>
        <w:tab/>
      </w:r>
      <w:proofErr w:type="gramStart"/>
      <w:r w:rsidRPr="0021312B">
        <w:rPr>
          <w:rFonts w:ascii="Times New Roman" w:hAnsi="Times New Roman" w:cs="Times New Roman"/>
          <w:sz w:val="22"/>
          <w:szCs w:val="22"/>
        </w:rPr>
        <w:t>in</w:t>
      </w:r>
      <w:proofErr w:type="gramEnd"/>
      <w:r w:rsidRPr="0021312B">
        <w:rPr>
          <w:rFonts w:ascii="Times New Roman" w:hAnsi="Times New Roman" w:cs="Times New Roman"/>
          <w:sz w:val="22"/>
          <w:szCs w:val="22"/>
        </w:rPr>
        <w:t xml:space="preserve"> any other case – the end of the auction period; and</w:t>
      </w:r>
    </w:p>
    <w:p w14:paraId="43B1E646" w14:textId="5A569C0F" w:rsidR="0073463A" w:rsidRPr="0021312B" w:rsidRDefault="0073463A" w:rsidP="0021312B">
      <w:pPr>
        <w:pStyle w:val="ACMABodyText"/>
        <w:tabs>
          <w:tab w:val="left" w:pos="851"/>
        </w:tabs>
        <w:ind w:left="851" w:hanging="567"/>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(b)</w:t>
      </w:r>
      <w:r w:rsidRPr="0021312B">
        <w:rPr>
          <w:rFonts w:ascii="Times New Roman" w:eastAsiaTheme="minorHAnsi" w:hAnsi="Times New Roman" w:cs="Times New Roman"/>
          <w:sz w:val="22"/>
          <w:szCs w:val="22"/>
        </w:rPr>
        <w:tab/>
      </w:r>
      <w:r w:rsidR="00896360">
        <w:rPr>
          <w:rFonts w:ascii="Times New Roman" w:eastAsiaTheme="minorHAnsi" w:hAnsi="Times New Roman" w:cs="Times New Roman"/>
          <w:sz w:val="22"/>
          <w:szCs w:val="22"/>
        </w:rPr>
        <w:t>six</w:t>
      </w:r>
      <w:r w:rsidRPr="0021312B">
        <w:rPr>
          <w:rFonts w:ascii="Times New Roman" w:eastAsiaTheme="minorHAnsi" w:hAnsi="Times New Roman" w:cs="Times New Roman"/>
          <w:sz w:val="22"/>
          <w:szCs w:val="22"/>
        </w:rPr>
        <w:t xml:space="preserve"> months after the day on which the breach of failure mentioned in subsection </w:t>
      </w:r>
      <w:r w:rsidR="00401FC5">
        <w:rPr>
          <w:rFonts w:ascii="Times New Roman" w:eastAsiaTheme="minorHAnsi" w:hAnsi="Times New Roman" w:cs="Times New Roman"/>
          <w:sz w:val="22"/>
          <w:szCs w:val="22"/>
        </w:rPr>
        <w:t>85</w:t>
      </w:r>
      <w:r w:rsidRPr="0021312B">
        <w:rPr>
          <w:rFonts w:ascii="Times New Roman" w:eastAsiaTheme="minorHAnsi" w:hAnsi="Times New Roman" w:cs="Times New Roman"/>
          <w:sz w:val="22"/>
          <w:szCs w:val="22"/>
        </w:rPr>
        <w:t>(1) occurred.</w:t>
      </w:r>
    </w:p>
    <w:p w14:paraId="2FAFFD08" w14:textId="0BB1BA23" w:rsidR="00603AB1" w:rsidRPr="0021312B" w:rsidRDefault="00603AB1" w:rsidP="00D822D1">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Any amount retained or obtained by the ACMA under section </w:t>
      </w:r>
      <w:r w:rsidR="00401FC5">
        <w:rPr>
          <w:rFonts w:ascii="Times New Roman" w:eastAsiaTheme="minorHAnsi" w:hAnsi="Times New Roman" w:cs="Times New Roman"/>
          <w:sz w:val="22"/>
          <w:szCs w:val="22"/>
        </w:rPr>
        <w:t xml:space="preserve">85 </w:t>
      </w:r>
      <w:r w:rsidRPr="0021312B">
        <w:rPr>
          <w:rFonts w:ascii="Times New Roman" w:eastAsiaTheme="minorHAnsi" w:hAnsi="Times New Roman" w:cs="Times New Roman"/>
          <w:sz w:val="22"/>
          <w:szCs w:val="22"/>
        </w:rPr>
        <w:t xml:space="preserve">is forfeited to the Commonwealth unless the Federal Court orders its return under section </w:t>
      </w:r>
      <w:r w:rsidR="00A86208" w:rsidRPr="0021312B">
        <w:rPr>
          <w:rFonts w:ascii="Times New Roman" w:eastAsiaTheme="minorHAnsi" w:hAnsi="Times New Roman" w:cs="Times New Roman"/>
          <w:sz w:val="22"/>
          <w:szCs w:val="22"/>
        </w:rPr>
        <w:t>8</w:t>
      </w:r>
      <w:r w:rsidR="0073463A" w:rsidRPr="0021312B">
        <w:rPr>
          <w:rFonts w:ascii="Times New Roman" w:eastAsiaTheme="minorHAnsi" w:hAnsi="Times New Roman" w:cs="Times New Roman"/>
          <w:sz w:val="22"/>
          <w:szCs w:val="22"/>
        </w:rPr>
        <w:t>8.</w:t>
      </w:r>
    </w:p>
    <w:p w14:paraId="0D8AE87D" w14:textId="67530004" w:rsidR="000420C7" w:rsidRPr="0021312B" w:rsidRDefault="000420C7"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Section 8</w:t>
      </w:r>
      <w:r w:rsidR="0073463A" w:rsidRPr="0021312B">
        <w:rPr>
          <w:rFonts w:eastAsiaTheme="minorHAnsi"/>
          <w:b/>
          <w:sz w:val="22"/>
          <w:szCs w:val="22"/>
          <w:lang w:eastAsia="en-US"/>
        </w:rPr>
        <w:t>6</w:t>
      </w:r>
      <w:r w:rsidR="00147E35">
        <w:rPr>
          <w:rFonts w:eastAsiaTheme="minorHAnsi"/>
          <w:b/>
          <w:sz w:val="22"/>
          <w:szCs w:val="22"/>
          <w:lang w:eastAsia="en-US"/>
        </w:rPr>
        <w:tab/>
      </w:r>
      <w:r w:rsidRPr="0021312B">
        <w:rPr>
          <w:rFonts w:eastAsiaTheme="minorHAnsi"/>
          <w:b/>
          <w:sz w:val="22"/>
          <w:szCs w:val="22"/>
          <w:lang w:eastAsia="en-US"/>
        </w:rPr>
        <w:t>Effect of retention on allocation to applicants for pre-determined price</w:t>
      </w:r>
    </w:p>
    <w:p w14:paraId="2505A8F4" w14:textId="5A8D387D" w:rsidR="000420C7" w:rsidRPr="0021312B" w:rsidRDefault="000420C7" w:rsidP="000420C7">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This section provides that</w:t>
      </w:r>
      <w:r w:rsidR="00147E35">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if the ACMA makes a decision under subsection 8</w:t>
      </w:r>
      <w:r w:rsidR="0073463A" w:rsidRPr="0021312B">
        <w:rPr>
          <w:rFonts w:ascii="Times New Roman" w:eastAsiaTheme="minorHAnsi" w:hAnsi="Times New Roman" w:cs="Times New Roman"/>
          <w:sz w:val="22"/>
          <w:szCs w:val="22"/>
        </w:rPr>
        <w:t xml:space="preserve">5(1) </w:t>
      </w:r>
      <w:r w:rsidR="00D1487E" w:rsidRPr="0021312B">
        <w:rPr>
          <w:rFonts w:ascii="Times New Roman" w:eastAsiaTheme="minorHAnsi" w:hAnsi="Times New Roman" w:cs="Times New Roman"/>
          <w:sz w:val="22"/>
          <w:szCs w:val="22"/>
        </w:rPr>
        <w:t xml:space="preserve">in relation to an applicant </w:t>
      </w:r>
      <w:r w:rsidR="0073463A" w:rsidRPr="0021312B">
        <w:rPr>
          <w:rFonts w:ascii="Times New Roman" w:eastAsiaTheme="minorHAnsi" w:hAnsi="Times New Roman" w:cs="Times New Roman"/>
          <w:sz w:val="22"/>
          <w:szCs w:val="22"/>
        </w:rPr>
        <w:t>notified under s</w:t>
      </w:r>
      <w:r w:rsidR="00147E35">
        <w:rPr>
          <w:rFonts w:ascii="Times New Roman" w:eastAsiaTheme="minorHAnsi" w:hAnsi="Times New Roman" w:cs="Times New Roman"/>
          <w:sz w:val="22"/>
          <w:szCs w:val="22"/>
        </w:rPr>
        <w:t xml:space="preserve">ubsection </w:t>
      </w:r>
      <w:r w:rsidR="0073463A" w:rsidRPr="0021312B">
        <w:rPr>
          <w:rFonts w:ascii="Times New Roman" w:eastAsiaTheme="minorHAnsi" w:hAnsi="Times New Roman" w:cs="Times New Roman"/>
          <w:sz w:val="22"/>
          <w:szCs w:val="22"/>
        </w:rPr>
        <w:t>45(1) or 46(1) th</w:t>
      </w:r>
      <w:r w:rsidR="00724312" w:rsidRPr="0021312B">
        <w:rPr>
          <w:rFonts w:ascii="Times New Roman" w:eastAsiaTheme="minorHAnsi" w:hAnsi="Times New Roman" w:cs="Times New Roman"/>
          <w:sz w:val="22"/>
          <w:szCs w:val="22"/>
        </w:rPr>
        <w:t>e ACMA</w:t>
      </w:r>
      <w:r w:rsidRPr="0021312B">
        <w:rPr>
          <w:rFonts w:ascii="Times New Roman" w:eastAsiaTheme="minorHAnsi" w:hAnsi="Times New Roman" w:cs="Times New Roman"/>
          <w:sz w:val="22"/>
          <w:szCs w:val="22"/>
        </w:rPr>
        <w:t xml:space="preserve"> must not issue a spectrum licence to the</w:t>
      </w:r>
      <w:r w:rsidR="00371F8D" w:rsidRPr="0021312B">
        <w:rPr>
          <w:rFonts w:ascii="Times New Roman" w:eastAsiaTheme="minorHAnsi" w:hAnsi="Times New Roman" w:cs="Times New Roman"/>
          <w:sz w:val="22"/>
          <w:szCs w:val="22"/>
        </w:rPr>
        <w:t xml:space="preserve"> applicant</w:t>
      </w:r>
      <w:r w:rsidRPr="0021312B">
        <w:rPr>
          <w:rFonts w:ascii="Times New Roman" w:eastAsiaTheme="minorHAnsi" w:hAnsi="Times New Roman" w:cs="Times New Roman"/>
          <w:sz w:val="22"/>
          <w:szCs w:val="22"/>
        </w:rPr>
        <w:t xml:space="preserve">, and </w:t>
      </w:r>
      <w:r w:rsidR="00AB6134" w:rsidRPr="0021312B">
        <w:rPr>
          <w:rFonts w:ascii="Times New Roman" w:eastAsiaTheme="minorHAnsi" w:hAnsi="Times New Roman" w:cs="Times New Roman"/>
          <w:sz w:val="22"/>
          <w:szCs w:val="22"/>
        </w:rPr>
        <w:t>section 80 applies in a spectrum licence allocated to the winning bidder.</w:t>
      </w:r>
      <w:r w:rsidR="00147E35">
        <w:rPr>
          <w:rFonts w:ascii="Times New Roman" w:eastAsiaTheme="minorHAnsi" w:hAnsi="Times New Roman" w:cs="Times New Roman"/>
          <w:sz w:val="22"/>
          <w:szCs w:val="22"/>
        </w:rPr>
        <w:t xml:space="preserve">  This section takes precedence over subsections 44(4) and 44(5), which otherwise would require the ACMA to issue a licence to the applicant.</w:t>
      </w:r>
    </w:p>
    <w:p w14:paraId="652F4C30" w14:textId="76BCEBE6"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Section</w:t>
      </w:r>
      <w:r w:rsidR="000420C7" w:rsidRPr="0021312B">
        <w:rPr>
          <w:rFonts w:eastAsiaTheme="minorHAnsi"/>
          <w:b/>
          <w:sz w:val="22"/>
          <w:szCs w:val="22"/>
          <w:lang w:eastAsia="en-US"/>
        </w:rPr>
        <w:t xml:space="preserve"> 8</w:t>
      </w:r>
      <w:r w:rsidR="00D1487E" w:rsidRPr="0021312B">
        <w:rPr>
          <w:rFonts w:eastAsiaTheme="minorHAnsi"/>
          <w:b/>
          <w:sz w:val="22"/>
          <w:szCs w:val="22"/>
          <w:lang w:eastAsia="en-US"/>
        </w:rPr>
        <w:t>7</w:t>
      </w:r>
      <w:r w:rsidRPr="0021312B">
        <w:rPr>
          <w:rFonts w:eastAsiaTheme="minorHAnsi"/>
          <w:b/>
          <w:sz w:val="22"/>
          <w:szCs w:val="22"/>
          <w:lang w:eastAsia="en-US"/>
        </w:rPr>
        <w:tab/>
        <w:t>Effect of retention on winning bidders</w:t>
      </w:r>
    </w:p>
    <w:p w14:paraId="547A3B0B" w14:textId="45849BEC" w:rsidR="00D1487E" w:rsidRPr="0021312B" w:rsidRDefault="00603AB1" w:rsidP="00D1487E">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This section provides that</w:t>
      </w:r>
      <w:r w:rsidR="007C05EB">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if the ACMA makes a decision under subsection </w:t>
      </w:r>
      <w:r w:rsidR="000420C7" w:rsidRPr="0021312B">
        <w:rPr>
          <w:rFonts w:ascii="Times New Roman" w:eastAsiaTheme="minorHAnsi" w:hAnsi="Times New Roman" w:cs="Times New Roman"/>
          <w:sz w:val="22"/>
          <w:szCs w:val="22"/>
        </w:rPr>
        <w:t>8</w:t>
      </w:r>
      <w:r w:rsidR="00D1487E" w:rsidRPr="0021312B">
        <w:rPr>
          <w:rFonts w:ascii="Times New Roman" w:eastAsiaTheme="minorHAnsi" w:hAnsi="Times New Roman" w:cs="Times New Roman"/>
          <w:sz w:val="22"/>
          <w:szCs w:val="22"/>
        </w:rPr>
        <w:t>5</w:t>
      </w:r>
      <w:r w:rsidRPr="0021312B">
        <w:rPr>
          <w:rFonts w:ascii="Times New Roman" w:eastAsiaTheme="minorHAnsi" w:hAnsi="Times New Roman" w:cs="Times New Roman"/>
          <w:sz w:val="22"/>
          <w:szCs w:val="22"/>
        </w:rPr>
        <w:t xml:space="preserve">(1) </w:t>
      </w:r>
      <w:r w:rsidR="00D1487E" w:rsidRPr="0021312B">
        <w:rPr>
          <w:rFonts w:ascii="Times New Roman" w:eastAsiaTheme="minorHAnsi" w:hAnsi="Times New Roman" w:cs="Times New Roman"/>
          <w:sz w:val="22"/>
          <w:szCs w:val="22"/>
        </w:rPr>
        <w:t>in relation to a winning bidder</w:t>
      </w:r>
      <w:r w:rsidR="007C05EB">
        <w:rPr>
          <w:rFonts w:ascii="Times New Roman" w:eastAsiaTheme="minorHAnsi" w:hAnsi="Times New Roman" w:cs="Times New Roman"/>
          <w:sz w:val="22"/>
          <w:szCs w:val="22"/>
        </w:rPr>
        <w:t>,</w:t>
      </w:r>
      <w:r w:rsidR="00D1487E" w:rsidRPr="0021312B">
        <w:rPr>
          <w:rFonts w:ascii="Times New Roman" w:eastAsiaTheme="minorHAnsi" w:hAnsi="Times New Roman" w:cs="Times New Roman"/>
          <w:sz w:val="22"/>
          <w:szCs w:val="22"/>
        </w:rPr>
        <w:t xml:space="preserve"> the ACMA must not issue a spectrum licence to the winning bidder; and section 80 </w:t>
      </w:r>
      <w:r w:rsidR="00D1487E" w:rsidRPr="0021312B">
        <w:rPr>
          <w:rFonts w:ascii="Times New Roman" w:eastAsiaTheme="minorHAnsi" w:hAnsi="Times New Roman" w:cs="Times New Roman"/>
          <w:sz w:val="22"/>
          <w:szCs w:val="22"/>
        </w:rPr>
        <w:lastRenderedPageBreak/>
        <w:t>applies to spectrum that, but for section</w:t>
      </w:r>
      <w:r w:rsidR="00401FC5">
        <w:rPr>
          <w:rFonts w:ascii="Times New Roman" w:eastAsiaTheme="minorHAnsi" w:hAnsi="Times New Roman" w:cs="Times New Roman"/>
          <w:sz w:val="22"/>
          <w:szCs w:val="22"/>
        </w:rPr>
        <w:t xml:space="preserve"> 87</w:t>
      </w:r>
      <w:r w:rsidR="00D1487E" w:rsidRPr="0021312B">
        <w:rPr>
          <w:rFonts w:ascii="Times New Roman" w:eastAsiaTheme="minorHAnsi" w:hAnsi="Times New Roman" w:cs="Times New Roman"/>
          <w:sz w:val="22"/>
          <w:szCs w:val="22"/>
        </w:rPr>
        <w:t>, would have been included in a spectrum licence allocated to the winning bidder</w:t>
      </w:r>
      <w:r w:rsidR="00444488" w:rsidRPr="0021312B">
        <w:rPr>
          <w:rFonts w:ascii="Times New Roman" w:eastAsiaTheme="minorHAnsi" w:hAnsi="Times New Roman" w:cs="Times New Roman"/>
          <w:sz w:val="22"/>
          <w:szCs w:val="22"/>
        </w:rPr>
        <w:t>.</w:t>
      </w:r>
      <w:r w:rsidR="007C05EB" w:rsidRPr="007C05EB">
        <w:rPr>
          <w:rFonts w:ascii="Times New Roman" w:eastAsiaTheme="minorHAnsi" w:hAnsi="Times New Roman" w:cs="Times New Roman"/>
          <w:sz w:val="22"/>
          <w:szCs w:val="22"/>
        </w:rPr>
        <w:t xml:space="preserve"> </w:t>
      </w:r>
      <w:r w:rsidR="00401FC5">
        <w:rPr>
          <w:rFonts w:ascii="Times New Roman" w:eastAsiaTheme="minorHAnsi" w:hAnsi="Times New Roman" w:cs="Times New Roman"/>
          <w:sz w:val="22"/>
          <w:szCs w:val="22"/>
        </w:rPr>
        <w:t>S</w:t>
      </w:r>
      <w:r w:rsidR="007C05EB">
        <w:rPr>
          <w:rFonts w:ascii="Times New Roman" w:eastAsiaTheme="minorHAnsi" w:hAnsi="Times New Roman" w:cs="Times New Roman"/>
          <w:sz w:val="22"/>
          <w:szCs w:val="22"/>
        </w:rPr>
        <w:t>ection</w:t>
      </w:r>
      <w:r w:rsidR="00401FC5">
        <w:rPr>
          <w:rFonts w:ascii="Times New Roman" w:eastAsiaTheme="minorHAnsi" w:hAnsi="Times New Roman" w:cs="Times New Roman"/>
          <w:sz w:val="22"/>
          <w:szCs w:val="22"/>
        </w:rPr>
        <w:t xml:space="preserve"> 87</w:t>
      </w:r>
      <w:r w:rsidR="007C05EB">
        <w:rPr>
          <w:rFonts w:ascii="Times New Roman" w:eastAsiaTheme="minorHAnsi" w:hAnsi="Times New Roman" w:cs="Times New Roman"/>
          <w:sz w:val="22"/>
          <w:szCs w:val="22"/>
        </w:rPr>
        <w:t xml:space="preserve"> takes </w:t>
      </w:r>
      <w:r w:rsidR="00025BFE">
        <w:rPr>
          <w:rFonts w:ascii="Times New Roman" w:eastAsiaTheme="minorHAnsi" w:hAnsi="Times New Roman" w:cs="Times New Roman"/>
          <w:sz w:val="22"/>
          <w:szCs w:val="22"/>
        </w:rPr>
        <w:t>precedence</w:t>
      </w:r>
      <w:r w:rsidR="007C05EB">
        <w:rPr>
          <w:rFonts w:ascii="Times New Roman" w:eastAsiaTheme="minorHAnsi" w:hAnsi="Times New Roman" w:cs="Times New Roman"/>
          <w:sz w:val="22"/>
          <w:szCs w:val="22"/>
        </w:rPr>
        <w:t xml:space="preserve"> over</w:t>
      </w:r>
      <w:r w:rsidR="007C05EB" w:rsidRPr="0021312B">
        <w:rPr>
          <w:rFonts w:ascii="Times New Roman" w:eastAsiaTheme="minorHAnsi" w:hAnsi="Times New Roman" w:cs="Times New Roman"/>
          <w:sz w:val="22"/>
          <w:szCs w:val="22"/>
        </w:rPr>
        <w:t xml:space="preserve"> subsections 70(5), 70(8), 71(4), 71(5) and 71(6), and sections 74 and 76,</w:t>
      </w:r>
      <w:r w:rsidR="007C05EB">
        <w:rPr>
          <w:rFonts w:ascii="Times New Roman" w:eastAsiaTheme="minorHAnsi" w:hAnsi="Times New Roman" w:cs="Times New Roman"/>
          <w:sz w:val="22"/>
          <w:szCs w:val="22"/>
        </w:rPr>
        <w:t xml:space="preserve"> which otherwise would require the ACMA to issue a licence to the winning bidder.</w:t>
      </w:r>
    </w:p>
    <w:p w14:paraId="01D1E053" w14:textId="125B8584"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w:t>
      </w:r>
      <w:r w:rsidR="00371F8D" w:rsidRPr="0021312B">
        <w:rPr>
          <w:rFonts w:eastAsiaTheme="minorHAnsi"/>
          <w:b/>
          <w:sz w:val="22"/>
          <w:szCs w:val="22"/>
          <w:lang w:eastAsia="en-US"/>
        </w:rPr>
        <w:t>8</w:t>
      </w:r>
      <w:r w:rsidR="00D1487E" w:rsidRPr="0021312B">
        <w:rPr>
          <w:rFonts w:eastAsiaTheme="minorHAnsi"/>
          <w:b/>
          <w:sz w:val="22"/>
          <w:szCs w:val="22"/>
          <w:lang w:eastAsia="en-US"/>
        </w:rPr>
        <w:t>8</w:t>
      </w:r>
      <w:r w:rsidRPr="0021312B">
        <w:rPr>
          <w:rFonts w:eastAsiaTheme="minorHAnsi"/>
          <w:b/>
          <w:sz w:val="22"/>
          <w:szCs w:val="22"/>
          <w:lang w:eastAsia="en-US"/>
        </w:rPr>
        <w:tab/>
        <w:t>Application to Federal Court for return of retained amount</w:t>
      </w:r>
    </w:p>
    <w:p w14:paraId="771674B6" w14:textId="7D8C3B1D" w:rsidR="00EF628F" w:rsidRPr="0021312B" w:rsidRDefault="00603AB1" w:rsidP="00D822D1">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This section </w:t>
      </w:r>
      <w:r w:rsidR="007C05EB">
        <w:rPr>
          <w:rFonts w:ascii="Times New Roman" w:eastAsiaTheme="minorHAnsi" w:hAnsi="Times New Roman" w:cs="Times New Roman"/>
          <w:sz w:val="22"/>
          <w:szCs w:val="22"/>
        </w:rPr>
        <w:t>provides</w:t>
      </w:r>
      <w:r w:rsidRPr="0021312B">
        <w:rPr>
          <w:rFonts w:ascii="Times New Roman" w:eastAsiaTheme="minorHAnsi" w:hAnsi="Times New Roman" w:cs="Times New Roman"/>
          <w:sz w:val="22"/>
          <w:szCs w:val="22"/>
        </w:rPr>
        <w:t xml:space="preserve"> that</w:t>
      </w:r>
      <w:r w:rsidR="007C05EB">
        <w:rPr>
          <w:rFonts w:ascii="Times New Roman" w:eastAsiaTheme="minorHAnsi" w:hAnsi="Times New Roman" w:cs="Times New Roman"/>
          <w:sz w:val="22"/>
          <w:szCs w:val="22"/>
        </w:rPr>
        <w:t>,</w:t>
      </w:r>
      <w:r w:rsidRPr="0021312B">
        <w:rPr>
          <w:rFonts w:ascii="Times New Roman" w:eastAsiaTheme="minorHAnsi" w:hAnsi="Times New Roman" w:cs="Times New Roman"/>
          <w:sz w:val="22"/>
          <w:szCs w:val="22"/>
        </w:rPr>
        <w:t xml:space="preserve"> where an applicant or bidder is notified by the ACMA of its </w:t>
      </w:r>
      <w:r w:rsidR="00F07703" w:rsidRPr="0021312B">
        <w:rPr>
          <w:rFonts w:ascii="Times New Roman" w:eastAsiaTheme="minorHAnsi" w:hAnsi="Times New Roman" w:cs="Times New Roman"/>
          <w:sz w:val="22"/>
          <w:szCs w:val="22"/>
        </w:rPr>
        <w:t>decision</w:t>
      </w:r>
      <w:r w:rsidR="004B498D" w:rsidRPr="0021312B">
        <w:rPr>
          <w:rFonts w:ascii="Times New Roman" w:eastAsiaTheme="minorHAnsi" w:hAnsi="Times New Roman" w:cs="Times New Roman"/>
          <w:sz w:val="22"/>
          <w:szCs w:val="22"/>
        </w:rPr>
        <w:t xml:space="preserve"> </w:t>
      </w:r>
      <w:r w:rsidR="007C05EB">
        <w:rPr>
          <w:rFonts w:ascii="Times New Roman" w:eastAsiaTheme="minorHAnsi" w:hAnsi="Times New Roman" w:cs="Times New Roman"/>
          <w:sz w:val="22"/>
          <w:szCs w:val="22"/>
        </w:rPr>
        <w:t>to retain a deposit or enforce a deed of financial security, the applicant</w:t>
      </w:r>
      <w:r w:rsidRPr="0021312B">
        <w:rPr>
          <w:rFonts w:ascii="Times New Roman" w:eastAsiaTheme="minorHAnsi" w:hAnsi="Times New Roman" w:cs="Times New Roman"/>
          <w:sz w:val="22"/>
          <w:szCs w:val="22"/>
        </w:rPr>
        <w:t xml:space="preserve"> </w:t>
      </w:r>
      <w:r w:rsidR="00EF628F" w:rsidRPr="0021312B">
        <w:rPr>
          <w:rFonts w:ascii="Times New Roman" w:eastAsiaTheme="minorHAnsi" w:hAnsi="Times New Roman" w:cs="Times New Roman"/>
          <w:sz w:val="22"/>
          <w:szCs w:val="22"/>
        </w:rPr>
        <w:t xml:space="preserve">may, within one year of receiving the notice, </w:t>
      </w:r>
      <w:r w:rsidRPr="0021312B">
        <w:rPr>
          <w:rFonts w:ascii="Times New Roman" w:eastAsiaTheme="minorHAnsi" w:hAnsi="Times New Roman" w:cs="Times New Roman"/>
          <w:sz w:val="22"/>
          <w:szCs w:val="22"/>
        </w:rPr>
        <w:t xml:space="preserve">apply to the Federal Court for return of </w:t>
      </w:r>
      <w:r w:rsidR="00EF628F" w:rsidRPr="0021312B">
        <w:rPr>
          <w:rFonts w:ascii="Times New Roman" w:eastAsiaTheme="minorHAnsi" w:hAnsi="Times New Roman" w:cs="Times New Roman"/>
          <w:sz w:val="22"/>
          <w:szCs w:val="22"/>
        </w:rPr>
        <w:t>all or part of a deposit or an amount secured by a deed of financial security</w:t>
      </w:r>
      <w:r w:rsidRPr="0021312B">
        <w:rPr>
          <w:rFonts w:ascii="Times New Roman" w:eastAsiaTheme="minorHAnsi" w:hAnsi="Times New Roman" w:cs="Times New Roman"/>
          <w:sz w:val="22"/>
          <w:szCs w:val="22"/>
        </w:rPr>
        <w:t>.</w:t>
      </w:r>
    </w:p>
    <w:p w14:paraId="71694426" w14:textId="77777777" w:rsidR="00EF628F" w:rsidRPr="0021312B" w:rsidRDefault="00EF628F" w:rsidP="00D822D1">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On application, t</w:t>
      </w:r>
      <w:r w:rsidR="00603AB1" w:rsidRPr="0021312B">
        <w:rPr>
          <w:rFonts w:ascii="Times New Roman" w:eastAsiaTheme="minorHAnsi" w:hAnsi="Times New Roman" w:cs="Times New Roman"/>
          <w:sz w:val="22"/>
          <w:szCs w:val="22"/>
        </w:rPr>
        <w:t>he Court may</w:t>
      </w:r>
      <w:r w:rsidRPr="0021312B">
        <w:rPr>
          <w:rFonts w:ascii="Times New Roman" w:eastAsiaTheme="minorHAnsi" w:hAnsi="Times New Roman" w:cs="Times New Roman"/>
          <w:sz w:val="22"/>
          <w:szCs w:val="22"/>
        </w:rPr>
        <w:t>:</w:t>
      </w:r>
    </w:p>
    <w:p w14:paraId="79C6EE9C" w14:textId="07C4B130" w:rsidR="00EF628F" w:rsidRPr="007C05EB" w:rsidRDefault="00EF628F"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(a)</w:t>
      </w:r>
      <w:r w:rsidRPr="007C05EB">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if</w:t>
      </w:r>
      <w:proofErr w:type="gramEnd"/>
      <w:r w:rsidRPr="007C05EB">
        <w:rPr>
          <w:rFonts w:ascii="Times New Roman" w:eastAsiaTheme="minorHAnsi" w:hAnsi="Times New Roman" w:cs="Times New Roman"/>
          <w:sz w:val="22"/>
          <w:szCs w:val="22"/>
        </w:rPr>
        <w:t xml:space="preserve"> the Court is not satisfied that the applicant or bidder committed the breach or failure identified in the notice given by the ACMA – order the return of all the amount retained by the ACMA; or</w:t>
      </w:r>
    </w:p>
    <w:p w14:paraId="32A5AD5A" w14:textId="1FCE3669" w:rsidR="00EF628F" w:rsidRPr="007C05EB" w:rsidRDefault="00EF628F"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(b)</w:t>
      </w:r>
      <w:r w:rsidR="007C05EB">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if</w:t>
      </w:r>
      <w:proofErr w:type="gramEnd"/>
      <w:r w:rsidRPr="007C05EB">
        <w:rPr>
          <w:rFonts w:ascii="Times New Roman" w:eastAsiaTheme="minorHAnsi" w:hAnsi="Times New Roman" w:cs="Times New Roman"/>
          <w:sz w:val="22"/>
          <w:szCs w:val="22"/>
        </w:rPr>
        <w:t xml:space="preserve"> the Court is satisfied that the applicant or bidder committed the breach or failure, but considers that it would be disproportionate for the full amount to be retained – order the return of part of the amount retained by the ACMA.</w:t>
      </w:r>
    </w:p>
    <w:p w14:paraId="68D5CEC3" w14:textId="1348324B" w:rsidR="00603AB1" w:rsidRPr="0021312B" w:rsidRDefault="00EF628F" w:rsidP="00D822D1">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This section does not enable the Federal Court to order that a spectrum licence be issued to an applicant or bidder.</w:t>
      </w:r>
      <w:r w:rsidR="00A37E52">
        <w:rPr>
          <w:rFonts w:ascii="Times New Roman" w:eastAsiaTheme="minorHAnsi" w:hAnsi="Times New Roman" w:cs="Times New Roman"/>
          <w:sz w:val="22"/>
          <w:szCs w:val="22"/>
        </w:rPr>
        <w:t xml:space="preserve"> </w:t>
      </w:r>
      <w:r w:rsidR="00444488" w:rsidRPr="0021312B">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This se</w:t>
      </w:r>
      <w:r w:rsidR="00603AB1" w:rsidRPr="0021312B">
        <w:rPr>
          <w:rFonts w:ascii="Times New Roman" w:eastAsiaTheme="minorHAnsi" w:hAnsi="Times New Roman" w:cs="Times New Roman"/>
          <w:sz w:val="22"/>
          <w:szCs w:val="22"/>
        </w:rPr>
        <w:t xml:space="preserve">ction </w:t>
      </w:r>
      <w:r w:rsidR="00444488" w:rsidRPr="0021312B">
        <w:rPr>
          <w:rFonts w:ascii="Times New Roman" w:eastAsiaTheme="minorHAnsi" w:hAnsi="Times New Roman" w:cs="Times New Roman"/>
          <w:sz w:val="22"/>
          <w:szCs w:val="22"/>
        </w:rPr>
        <w:t xml:space="preserve">also </w:t>
      </w:r>
      <w:r w:rsidR="00603AB1" w:rsidRPr="0021312B">
        <w:rPr>
          <w:rFonts w:ascii="Times New Roman" w:eastAsiaTheme="minorHAnsi" w:hAnsi="Times New Roman" w:cs="Times New Roman"/>
          <w:sz w:val="22"/>
          <w:szCs w:val="22"/>
        </w:rPr>
        <w:t>does not remove any existing jurisdiction of a court</w:t>
      </w:r>
      <w:r w:rsidRPr="0021312B">
        <w:rPr>
          <w:rFonts w:ascii="Times New Roman" w:eastAsiaTheme="minorHAnsi" w:hAnsi="Times New Roman" w:cs="Times New Roman"/>
          <w:sz w:val="22"/>
          <w:szCs w:val="22"/>
        </w:rPr>
        <w:t>.</w:t>
      </w:r>
      <w:r w:rsidR="00603AB1" w:rsidRPr="0021312B">
        <w:rPr>
          <w:rFonts w:ascii="Times New Roman" w:eastAsiaTheme="minorHAnsi" w:hAnsi="Times New Roman" w:cs="Times New Roman"/>
          <w:sz w:val="22"/>
          <w:szCs w:val="22"/>
        </w:rPr>
        <w:t xml:space="preserve"> </w:t>
      </w:r>
    </w:p>
    <w:p w14:paraId="6D69EF7F" w14:textId="0FE8F541"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w:t>
      </w:r>
      <w:r w:rsidR="00371F8D" w:rsidRPr="0021312B">
        <w:rPr>
          <w:rFonts w:eastAsiaTheme="minorHAnsi"/>
          <w:b/>
          <w:sz w:val="22"/>
          <w:szCs w:val="22"/>
          <w:lang w:eastAsia="en-US"/>
        </w:rPr>
        <w:t>8</w:t>
      </w:r>
      <w:r w:rsidR="00EF628F" w:rsidRPr="0021312B">
        <w:rPr>
          <w:rFonts w:eastAsiaTheme="minorHAnsi"/>
          <w:b/>
          <w:sz w:val="22"/>
          <w:szCs w:val="22"/>
          <w:lang w:eastAsia="en-US"/>
        </w:rPr>
        <w:t>9</w:t>
      </w:r>
      <w:r w:rsidRPr="0021312B">
        <w:rPr>
          <w:rFonts w:eastAsiaTheme="minorHAnsi"/>
          <w:b/>
          <w:sz w:val="22"/>
          <w:szCs w:val="22"/>
          <w:lang w:eastAsia="en-US"/>
        </w:rPr>
        <w:tab/>
        <w:t>Liability of ACMA</w:t>
      </w:r>
      <w:r w:rsidR="00EF628F" w:rsidRPr="0021312B">
        <w:rPr>
          <w:rFonts w:eastAsiaTheme="minorHAnsi"/>
          <w:b/>
          <w:sz w:val="22"/>
          <w:szCs w:val="22"/>
          <w:lang w:eastAsia="en-US"/>
        </w:rPr>
        <w:t xml:space="preserve">, auction manager and </w:t>
      </w:r>
      <w:r w:rsidR="00401FC5">
        <w:rPr>
          <w:rFonts w:eastAsiaTheme="minorHAnsi"/>
          <w:b/>
          <w:sz w:val="22"/>
          <w:szCs w:val="22"/>
          <w:lang w:eastAsia="en-US"/>
        </w:rPr>
        <w:t xml:space="preserve">the </w:t>
      </w:r>
      <w:r w:rsidR="00EF628F" w:rsidRPr="0021312B">
        <w:rPr>
          <w:rFonts w:eastAsiaTheme="minorHAnsi"/>
          <w:b/>
          <w:sz w:val="22"/>
          <w:szCs w:val="22"/>
          <w:lang w:eastAsia="en-US"/>
        </w:rPr>
        <w:t>Commonwealth</w:t>
      </w:r>
    </w:p>
    <w:p w14:paraId="1415C11E" w14:textId="0B5E7B0A" w:rsidR="00603AB1" w:rsidRPr="0021312B" w:rsidRDefault="00603AB1" w:rsidP="00AB1DAC">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This section </w:t>
      </w:r>
      <w:r w:rsidR="00B50DE3" w:rsidRPr="0021312B">
        <w:rPr>
          <w:rFonts w:ascii="Times New Roman" w:eastAsiaTheme="minorHAnsi" w:hAnsi="Times New Roman" w:cs="Times New Roman"/>
          <w:sz w:val="22"/>
          <w:szCs w:val="22"/>
        </w:rPr>
        <w:t xml:space="preserve">provides that </w:t>
      </w:r>
      <w:r w:rsidR="00F07703" w:rsidRPr="0021312B">
        <w:rPr>
          <w:rFonts w:ascii="Times New Roman" w:eastAsiaTheme="minorHAnsi" w:hAnsi="Times New Roman" w:cs="Times New Roman"/>
          <w:sz w:val="22"/>
          <w:szCs w:val="22"/>
        </w:rPr>
        <w:t>n</w:t>
      </w:r>
      <w:r w:rsidR="00EF628F" w:rsidRPr="0021312B">
        <w:rPr>
          <w:rFonts w:ascii="Times New Roman" w:eastAsiaTheme="minorHAnsi" w:hAnsi="Times New Roman" w:cs="Times New Roman"/>
          <w:sz w:val="22"/>
          <w:szCs w:val="22"/>
        </w:rPr>
        <w:t xml:space="preserve">either </w:t>
      </w:r>
      <w:r w:rsidRPr="0021312B">
        <w:rPr>
          <w:rFonts w:ascii="Times New Roman" w:eastAsiaTheme="minorHAnsi" w:hAnsi="Times New Roman" w:cs="Times New Roman"/>
          <w:sz w:val="22"/>
          <w:szCs w:val="22"/>
        </w:rPr>
        <w:t xml:space="preserve">the ACMA, the auction </w:t>
      </w:r>
      <w:r w:rsidR="00B50DE3" w:rsidRPr="0021312B">
        <w:rPr>
          <w:rFonts w:ascii="Times New Roman" w:eastAsiaTheme="minorHAnsi" w:hAnsi="Times New Roman" w:cs="Times New Roman"/>
          <w:sz w:val="22"/>
          <w:szCs w:val="22"/>
        </w:rPr>
        <w:t>manager n</w:t>
      </w:r>
      <w:r w:rsidRPr="0021312B">
        <w:rPr>
          <w:rFonts w:ascii="Times New Roman" w:eastAsiaTheme="minorHAnsi" w:hAnsi="Times New Roman" w:cs="Times New Roman"/>
          <w:sz w:val="22"/>
          <w:szCs w:val="22"/>
        </w:rPr>
        <w:t xml:space="preserve">or the </w:t>
      </w:r>
      <w:r w:rsidR="00B50DE3" w:rsidRPr="0021312B">
        <w:rPr>
          <w:rFonts w:ascii="Times New Roman" w:eastAsiaTheme="minorHAnsi" w:hAnsi="Times New Roman" w:cs="Times New Roman"/>
          <w:sz w:val="22"/>
          <w:szCs w:val="22"/>
        </w:rPr>
        <w:t xml:space="preserve">Commonwealth, is </w:t>
      </w:r>
      <w:r w:rsidRPr="0021312B">
        <w:rPr>
          <w:rFonts w:ascii="Times New Roman" w:eastAsiaTheme="minorHAnsi" w:hAnsi="Times New Roman" w:cs="Times New Roman"/>
          <w:sz w:val="22"/>
          <w:szCs w:val="22"/>
        </w:rPr>
        <w:t>liabl</w:t>
      </w:r>
      <w:r w:rsidR="00B50DE3" w:rsidRPr="0021312B">
        <w:rPr>
          <w:rFonts w:ascii="Times New Roman" w:eastAsiaTheme="minorHAnsi" w:hAnsi="Times New Roman" w:cs="Times New Roman"/>
          <w:sz w:val="22"/>
          <w:szCs w:val="22"/>
        </w:rPr>
        <w:t>e</w:t>
      </w:r>
      <w:r w:rsidRPr="0021312B">
        <w:rPr>
          <w:rFonts w:ascii="Times New Roman" w:eastAsiaTheme="minorHAnsi" w:hAnsi="Times New Roman" w:cs="Times New Roman"/>
          <w:sz w:val="22"/>
          <w:szCs w:val="22"/>
        </w:rPr>
        <w:t xml:space="preserve"> </w:t>
      </w:r>
      <w:r w:rsidR="00B50DE3" w:rsidRPr="0021312B">
        <w:rPr>
          <w:rFonts w:ascii="Times New Roman" w:eastAsiaTheme="minorHAnsi" w:hAnsi="Times New Roman" w:cs="Times New Roman"/>
          <w:sz w:val="22"/>
          <w:szCs w:val="22"/>
        </w:rPr>
        <w:t>to pay</w:t>
      </w:r>
      <w:r w:rsidRPr="0021312B">
        <w:rPr>
          <w:rFonts w:ascii="Times New Roman" w:eastAsiaTheme="minorHAnsi" w:hAnsi="Times New Roman" w:cs="Times New Roman"/>
          <w:sz w:val="22"/>
          <w:szCs w:val="22"/>
        </w:rPr>
        <w:t xml:space="preserve"> damages or costs arising from any act or omission of any person in relation to the </w:t>
      </w:r>
      <w:r w:rsidR="004B498D" w:rsidRPr="0021312B">
        <w:rPr>
          <w:rFonts w:ascii="Times New Roman" w:eastAsiaTheme="minorHAnsi" w:hAnsi="Times New Roman" w:cs="Times New Roman"/>
          <w:sz w:val="22"/>
          <w:szCs w:val="22"/>
        </w:rPr>
        <w:t>allocation</w:t>
      </w:r>
      <w:r w:rsidRPr="0021312B">
        <w:rPr>
          <w:rFonts w:ascii="Times New Roman" w:eastAsiaTheme="minorHAnsi" w:hAnsi="Times New Roman" w:cs="Times New Roman"/>
          <w:sz w:val="22"/>
          <w:szCs w:val="22"/>
        </w:rPr>
        <w:t xml:space="preserve"> procedures set out in </w:t>
      </w:r>
      <w:r w:rsidR="00B50DE3" w:rsidRPr="0021312B">
        <w:rPr>
          <w:rFonts w:ascii="Times New Roman" w:eastAsiaTheme="minorHAnsi" w:hAnsi="Times New Roman" w:cs="Times New Roman"/>
          <w:sz w:val="22"/>
          <w:szCs w:val="22"/>
        </w:rPr>
        <w:t>th</w:t>
      </w:r>
      <w:r w:rsidR="00401FC5">
        <w:rPr>
          <w:rFonts w:ascii="Times New Roman" w:eastAsiaTheme="minorHAnsi" w:hAnsi="Times New Roman" w:cs="Times New Roman"/>
          <w:sz w:val="22"/>
          <w:szCs w:val="22"/>
        </w:rPr>
        <w:t>e Determination</w:t>
      </w:r>
      <w:r w:rsidRPr="0021312B">
        <w:rPr>
          <w:rFonts w:ascii="Times New Roman" w:eastAsiaTheme="minorHAnsi" w:hAnsi="Times New Roman" w:cs="Times New Roman"/>
          <w:sz w:val="22"/>
          <w:szCs w:val="22"/>
        </w:rPr>
        <w:t>.</w:t>
      </w:r>
    </w:p>
    <w:p w14:paraId="219E579E" w14:textId="02F60118"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Section</w:t>
      </w:r>
      <w:r w:rsidR="00371F8D" w:rsidRPr="0021312B">
        <w:rPr>
          <w:rFonts w:eastAsiaTheme="minorHAnsi"/>
          <w:b/>
          <w:sz w:val="22"/>
          <w:szCs w:val="22"/>
          <w:lang w:eastAsia="en-US"/>
        </w:rPr>
        <w:t xml:space="preserve"> </w:t>
      </w:r>
      <w:r w:rsidR="00EF628F" w:rsidRPr="0021312B">
        <w:rPr>
          <w:rFonts w:eastAsiaTheme="minorHAnsi"/>
          <w:b/>
          <w:sz w:val="22"/>
          <w:szCs w:val="22"/>
          <w:lang w:eastAsia="en-US"/>
        </w:rPr>
        <w:t>90</w:t>
      </w:r>
      <w:r w:rsidRPr="0021312B">
        <w:rPr>
          <w:rFonts w:eastAsiaTheme="minorHAnsi"/>
          <w:b/>
          <w:sz w:val="22"/>
          <w:szCs w:val="22"/>
          <w:lang w:eastAsia="en-US"/>
        </w:rPr>
        <w:tab/>
        <w:t>Other rights not affected</w:t>
      </w:r>
    </w:p>
    <w:p w14:paraId="05BA218D" w14:textId="3B69753F" w:rsidR="00A37E52" w:rsidRPr="0021312B" w:rsidRDefault="00603AB1" w:rsidP="00C91D23">
      <w:pPr>
        <w:pStyle w:val="ACMABodyText"/>
        <w:rPr>
          <w:rFonts w:ascii="Times New Roman" w:eastAsiaTheme="minorHAnsi" w:hAnsi="Times New Roman" w:cs="Times New Roman"/>
          <w:sz w:val="22"/>
          <w:szCs w:val="22"/>
        </w:rPr>
      </w:pPr>
      <w:r w:rsidRPr="00E56F10">
        <w:rPr>
          <w:rFonts w:ascii="Times New Roman" w:eastAsiaTheme="minorHAnsi" w:hAnsi="Times New Roman" w:cs="Times New Roman"/>
          <w:sz w:val="22"/>
          <w:szCs w:val="22"/>
        </w:rPr>
        <w:t xml:space="preserve">This </w:t>
      </w:r>
      <w:r w:rsidR="007C05EB" w:rsidRPr="00E56F10">
        <w:rPr>
          <w:rFonts w:ascii="Times New Roman" w:eastAsiaTheme="minorHAnsi" w:hAnsi="Times New Roman" w:cs="Times New Roman"/>
          <w:sz w:val="22"/>
          <w:szCs w:val="22"/>
        </w:rPr>
        <w:t>section provides that the Determination</w:t>
      </w:r>
      <w:r w:rsidR="00EF628F" w:rsidRPr="00E56F10">
        <w:rPr>
          <w:rFonts w:ascii="Times New Roman" w:eastAsiaTheme="minorHAnsi" w:hAnsi="Times New Roman" w:cs="Times New Roman"/>
          <w:sz w:val="22"/>
          <w:szCs w:val="22"/>
        </w:rPr>
        <w:t xml:space="preserve"> </w:t>
      </w:r>
      <w:r w:rsidRPr="00E56F10">
        <w:rPr>
          <w:rFonts w:ascii="Times New Roman" w:eastAsiaTheme="minorHAnsi" w:hAnsi="Times New Roman" w:cs="Times New Roman"/>
          <w:sz w:val="22"/>
          <w:szCs w:val="22"/>
        </w:rPr>
        <w:t>does not limit any right of action or remedy that the ACMA or the Commonwealth ha</w:t>
      </w:r>
      <w:r w:rsidR="00EF628F" w:rsidRPr="00E56F10">
        <w:rPr>
          <w:rFonts w:ascii="Times New Roman" w:eastAsiaTheme="minorHAnsi" w:hAnsi="Times New Roman" w:cs="Times New Roman"/>
          <w:sz w:val="22"/>
          <w:szCs w:val="22"/>
        </w:rPr>
        <w:t>s</w:t>
      </w:r>
      <w:r w:rsidRPr="00E56F10">
        <w:rPr>
          <w:rFonts w:ascii="Times New Roman" w:eastAsiaTheme="minorHAnsi" w:hAnsi="Times New Roman" w:cs="Times New Roman"/>
          <w:sz w:val="22"/>
          <w:szCs w:val="22"/>
        </w:rPr>
        <w:t xml:space="preserve"> against any person.</w:t>
      </w:r>
      <w:r w:rsidR="007C05EB" w:rsidRPr="00E56F10">
        <w:rPr>
          <w:rFonts w:ascii="Times New Roman" w:eastAsiaTheme="minorHAnsi" w:hAnsi="Times New Roman" w:cs="Times New Roman"/>
          <w:sz w:val="22"/>
          <w:szCs w:val="22"/>
        </w:rPr>
        <w:t xml:space="preserve">  In particular, it does not limit the right of action or remedy the ACMA or the Commonwe</w:t>
      </w:r>
      <w:r w:rsidR="00A37E52" w:rsidRPr="00E56F10">
        <w:rPr>
          <w:rFonts w:ascii="Times New Roman" w:eastAsiaTheme="minorHAnsi" w:hAnsi="Times New Roman" w:cs="Times New Roman"/>
          <w:sz w:val="22"/>
          <w:szCs w:val="22"/>
        </w:rPr>
        <w:t>alth may have in relation to a deed of a</w:t>
      </w:r>
      <w:r w:rsidR="007C05EB" w:rsidRPr="00E56F10">
        <w:rPr>
          <w:rFonts w:ascii="Times New Roman" w:eastAsiaTheme="minorHAnsi" w:hAnsi="Times New Roman" w:cs="Times New Roman"/>
          <w:sz w:val="22"/>
          <w:szCs w:val="22"/>
        </w:rPr>
        <w:t xml:space="preserve">cknowledgment, </w:t>
      </w:r>
      <w:r w:rsidR="00A37E52" w:rsidRPr="00E56F10">
        <w:rPr>
          <w:rFonts w:ascii="Times New Roman" w:eastAsiaTheme="minorHAnsi" w:hAnsi="Times New Roman" w:cs="Times New Roman"/>
          <w:sz w:val="22"/>
          <w:szCs w:val="22"/>
        </w:rPr>
        <w:t>d</w:t>
      </w:r>
      <w:r w:rsidR="007C05EB" w:rsidRPr="00E56F10">
        <w:rPr>
          <w:rFonts w:ascii="Times New Roman" w:eastAsiaTheme="minorHAnsi" w:hAnsi="Times New Roman" w:cs="Times New Roman"/>
          <w:sz w:val="22"/>
          <w:szCs w:val="22"/>
        </w:rPr>
        <w:t xml:space="preserve">eed of </w:t>
      </w:r>
      <w:r w:rsidR="00A37E52" w:rsidRPr="00E56F10">
        <w:rPr>
          <w:rFonts w:ascii="Times New Roman" w:eastAsiaTheme="minorHAnsi" w:hAnsi="Times New Roman" w:cs="Times New Roman"/>
          <w:sz w:val="22"/>
          <w:szCs w:val="22"/>
        </w:rPr>
        <w:t>f</w:t>
      </w:r>
      <w:r w:rsidR="007C05EB" w:rsidRPr="00E56F10">
        <w:rPr>
          <w:rFonts w:ascii="Times New Roman" w:eastAsiaTheme="minorHAnsi" w:hAnsi="Times New Roman" w:cs="Times New Roman"/>
          <w:sz w:val="22"/>
          <w:szCs w:val="22"/>
        </w:rPr>
        <w:t xml:space="preserve">inancial </w:t>
      </w:r>
      <w:r w:rsidR="00A37E52" w:rsidRPr="00E56F10">
        <w:rPr>
          <w:rFonts w:ascii="Times New Roman" w:eastAsiaTheme="minorHAnsi" w:hAnsi="Times New Roman" w:cs="Times New Roman"/>
          <w:sz w:val="22"/>
          <w:szCs w:val="22"/>
        </w:rPr>
        <w:t>s</w:t>
      </w:r>
      <w:r w:rsidR="007C05EB" w:rsidRPr="00E56F10">
        <w:rPr>
          <w:rFonts w:ascii="Times New Roman" w:eastAsiaTheme="minorHAnsi" w:hAnsi="Times New Roman" w:cs="Times New Roman"/>
          <w:sz w:val="22"/>
          <w:szCs w:val="22"/>
        </w:rPr>
        <w:t xml:space="preserve">ecurity, </w:t>
      </w:r>
      <w:r w:rsidR="00A37E52" w:rsidRPr="00E56F10">
        <w:rPr>
          <w:rFonts w:ascii="Times New Roman" w:eastAsiaTheme="minorHAnsi" w:hAnsi="Times New Roman" w:cs="Times New Roman"/>
          <w:sz w:val="22"/>
          <w:szCs w:val="22"/>
        </w:rPr>
        <w:t>d</w:t>
      </w:r>
      <w:r w:rsidR="007C05EB" w:rsidRPr="00E56F10">
        <w:rPr>
          <w:rFonts w:ascii="Times New Roman" w:eastAsiaTheme="minorHAnsi" w:hAnsi="Times New Roman" w:cs="Times New Roman"/>
          <w:sz w:val="22"/>
          <w:szCs w:val="22"/>
        </w:rPr>
        <w:t xml:space="preserve">eed of </w:t>
      </w:r>
      <w:r w:rsidR="00A37E52" w:rsidRPr="00E56F10">
        <w:rPr>
          <w:rFonts w:ascii="Times New Roman" w:eastAsiaTheme="minorHAnsi" w:hAnsi="Times New Roman" w:cs="Times New Roman"/>
          <w:sz w:val="22"/>
          <w:szCs w:val="22"/>
        </w:rPr>
        <w:t>c</w:t>
      </w:r>
      <w:r w:rsidR="007C05EB" w:rsidRPr="00E56F10">
        <w:rPr>
          <w:rFonts w:ascii="Times New Roman" w:eastAsiaTheme="minorHAnsi" w:hAnsi="Times New Roman" w:cs="Times New Roman"/>
          <w:sz w:val="22"/>
          <w:szCs w:val="22"/>
        </w:rPr>
        <w:t>onfidentiality or bank guarantee given under the Determination</w:t>
      </w:r>
      <w:r w:rsidR="00401FC5">
        <w:rPr>
          <w:rFonts w:ascii="Times New Roman" w:eastAsiaTheme="minorHAnsi" w:hAnsi="Times New Roman" w:cs="Times New Roman"/>
          <w:sz w:val="22"/>
          <w:szCs w:val="22"/>
        </w:rPr>
        <w:t>, or in relation to any failure to pay any instalments payable under the Determination, or to enforce any licence condition of a licence issued pursuant to the Determination</w:t>
      </w:r>
      <w:r w:rsidR="007C05EB" w:rsidRPr="00E56F10">
        <w:rPr>
          <w:rFonts w:ascii="Times New Roman" w:eastAsiaTheme="minorHAnsi" w:hAnsi="Times New Roman" w:cs="Times New Roman"/>
          <w:sz w:val="22"/>
          <w:szCs w:val="22"/>
        </w:rPr>
        <w:t>.</w:t>
      </w:r>
    </w:p>
    <w:p w14:paraId="169C3F3A" w14:textId="097F939F" w:rsidR="00603AB1" w:rsidRPr="0021312B" w:rsidRDefault="00603AB1" w:rsidP="0021312B">
      <w:pPr>
        <w:keepNext/>
        <w:spacing w:after="160" w:line="259" w:lineRule="auto"/>
        <w:rPr>
          <w:rFonts w:eastAsiaTheme="minorHAnsi"/>
          <w:b/>
          <w:sz w:val="22"/>
          <w:szCs w:val="22"/>
          <w:lang w:eastAsia="en-US"/>
        </w:rPr>
      </w:pPr>
      <w:r w:rsidRPr="0021312B">
        <w:rPr>
          <w:rFonts w:eastAsiaTheme="minorHAnsi"/>
          <w:b/>
          <w:sz w:val="22"/>
          <w:szCs w:val="22"/>
          <w:lang w:eastAsia="en-US"/>
        </w:rPr>
        <w:t xml:space="preserve">Section </w:t>
      </w:r>
      <w:r w:rsidR="00EF628F" w:rsidRPr="0021312B">
        <w:rPr>
          <w:rFonts w:eastAsiaTheme="minorHAnsi"/>
          <w:b/>
          <w:sz w:val="22"/>
          <w:szCs w:val="22"/>
          <w:lang w:eastAsia="en-US"/>
        </w:rPr>
        <w:t>91</w:t>
      </w:r>
      <w:r w:rsidR="00EF628F" w:rsidRPr="0021312B">
        <w:rPr>
          <w:rFonts w:eastAsiaTheme="minorHAnsi"/>
          <w:b/>
          <w:sz w:val="22"/>
          <w:szCs w:val="22"/>
          <w:lang w:eastAsia="en-US"/>
        </w:rPr>
        <w:tab/>
      </w:r>
      <w:r w:rsidRPr="0021312B">
        <w:rPr>
          <w:rFonts w:eastAsiaTheme="minorHAnsi"/>
          <w:b/>
          <w:sz w:val="22"/>
          <w:szCs w:val="22"/>
          <w:lang w:eastAsia="en-US"/>
        </w:rPr>
        <w:t>Auction manager may delegate functions and powers</w:t>
      </w:r>
    </w:p>
    <w:p w14:paraId="03323EC9" w14:textId="0C1DFF3F" w:rsidR="00603AB1" w:rsidRPr="0021312B" w:rsidRDefault="00603AB1" w:rsidP="007F404A">
      <w:pPr>
        <w:pStyle w:val="ACMABodyText"/>
        <w:rPr>
          <w:rFonts w:ascii="Times New Roman" w:eastAsiaTheme="minorHAnsi" w:hAnsi="Times New Roman" w:cs="Times New Roman"/>
          <w:sz w:val="22"/>
          <w:szCs w:val="22"/>
        </w:rPr>
      </w:pPr>
      <w:r w:rsidRPr="0021312B">
        <w:rPr>
          <w:rFonts w:ascii="Times New Roman" w:eastAsiaTheme="minorHAnsi" w:hAnsi="Times New Roman" w:cs="Times New Roman"/>
          <w:sz w:val="22"/>
          <w:szCs w:val="22"/>
        </w:rPr>
        <w:t xml:space="preserve">This section provides that the auction manager may delegate any of </w:t>
      </w:r>
      <w:r w:rsidR="00401FC5">
        <w:rPr>
          <w:rFonts w:ascii="Times New Roman" w:eastAsiaTheme="minorHAnsi" w:hAnsi="Times New Roman" w:cs="Times New Roman"/>
          <w:sz w:val="22"/>
          <w:szCs w:val="22"/>
        </w:rPr>
        <w:t>their</w:t>
      </w:r>
      <w:r w:rsidR="00936E6B" w:rsidRPr="0021312B">
        <w:rPr>
          <w:rFonts w:ascii="Times New Roman" w:eastAsiaTheme="minorHAnsi" w:hAnsi="Times New Roman" w:cs="Times New Roman"/>
          <w:sz w:val="22"/>
          <w:szCs w:val="22"/>
        </w:rPr>
        <w:t xml:space="preserve"> </w:t>
      </w:r>
      <w:r w:rsidRPr="0021312B">
        <w:rPr>
          <w:rFonts w:ascii="Times New Roman" w:eastAsiaTheme="minorHAnsi" w:hAnsi="Times New Roman" w:cs="Times New Roman"/>
          <w:sz w:val="22"/>
          <w:szCs w:val="22"/>
        </w:rPr>
        <w:t xml:space="preserve">functions and powers under </w:t>
      </w:r>
      <w:r w:rsidR="007C05EB">
        <w:rPr>
          <w:rFonts w:ascii="Times New Roman" w:eastAsiaTheme="minorHAnsi" w:hAnsi="Times New Roman" w:cs="Times New Roman"/>
          <w:sz w:val="22"/>
          <w:szCs w:val="22"/>
        </w:rPr>
        <w:t>the Determination</w:t>
      </w:r>
      <w:r w:rsidRPr="0021312B">
        <w:rPr>
          <w:rFonts w:ascii="Times New Roman" w:eastAsiaTheme="minorHAnsi" w:hAnsi="Times New Roman" w:cs="Times New Roman"/>
          <w:sz w:val="22"/>
          <w:szCs w:val="22"/>
        </w:rPr>
        <w:t xml:space="preserve">. </w:t>
      </w:r>
      <w:bookmarkEnd w:id="0"/>
      <w:bookmarkEnd w:id="1"/>
    </w:p>
    <w:p w14:paraId="399F46AA" w14:textId="77777777" w:rsidR="00603AB1" w:rsidRDefault="00603AB1" w:rsidP="007A15FE">
      <w:pPr>
        <w:pStyle w:val="Partheadinglevel"/>
        <w:sectPr w:rsidR="00603AB1" w:rsidSect="002E2CEE">
          <w:footerReference w:type="default" r:id="rId18"/>
          <w:pgSz w:w="11899" w:h="16838"/>
          <w:pgMar w:top="1134" w:right="1409" w:bottom="1440" w:left="1418" w:header="720" w:footer="720" w:gutter="0"/>
          <w:cols w:space="720"/>
          <w:titlePg/>
          <w:docGrid w:linePitch="360"/>
        </w:sectPr>
      </w:pPr>
    </w:p>
    <w:p w14:paraId="2E66B098" w14:textId="53BE24D6" w:rsidR="00A37E52" w:rsidRDefault="00A37E52">
      <w:pPr>
        <w:rPr>
          <w:rFonts w:ascii="Arial" w:hAnsi="Arial" w:cs="Arial"/>
          <w:b/>
          <w:sz w:val="20"/>
          <w:szCs w:val="20"/>
          <w:lang w:val="en-US" w:eastAsia="en-US"/>
        </w:rPr>
      </w:pPr>
      <w:r>
        <w:rPr>
          <w:b/>
          <w:lang w:val="en-US"/>
        </w:rPr>
        <w:lastRenderedPageBreak/>
        <w:br w:type="page"/>
      </w:r>
    </w:p>
    <w:p w14:paraId="40980B6C" w14:textId="77777777" w:rsidR="00603AB1" w:rsidRPr="00C32CC9" w:rsidRDefault="00603AB1" w:rsidP="00726EB3">
      <w:pPr>
        <w:pStyle w:val="ACMABodyText"/>
        <w:jc w:val="right"/>
        <w:rPr>
          <w:b/>
          <w:lang w:val="en-US"/>
        </w:rPr>
      </w:pPr>
    </w:p>
    <w:p w14:paraId="4A9A161E" w14:textId="57944623" w:rsidR="00603AB1" w:rsidRPr="007C05EB" w:rsidRDefault="00603AB1" w:rsidP="007C05EB">
      <w:pPr>
        <w:keepNext/>
        <w:spacing w:before="280" w:after="160" w:line="259" w:lineRule="auto"/>
        <w:rPr>
          <w:rFonts w:eastAsiaTheme="minorHAnsi"/>
          <w:b/>
          <w:sz w:val="22"/>
          <w:szCs w:val="22"/>
          <w:lang w:eastAsia="en-US"/>
        </w:rPr>
      </w:pPr>
      <w:r w:rsidRPr="007C05EB">
        <w:rPr>
          <w:rFonts w:eastAsiaTheme="minorHAnsi"/>
          <w:b/>
          <w:sz w:val="22"/>
          <w:szCs w:val="22"/>
          <w:lang w:eastAsia="en-US"/>
        </w:rPr>
        <w:t>SCHEDULE 1</w:t>
      </w:r>
      <w:r w:rsidR="007C05EB">
        <w:rPr>
          <w:rFonts w:eastAsiaTheme="minorHAnsi"/>
          <w:b/>
          <w:sz w:val="22"/>
          <w:szCs w:val="22"/>
          <w:lang w:eastAsia="en-US"/>
        </w:rPr>
        <w:tab/>
      </w:r>
      <w:r w:rsidR="00A37E52">
        <w:rPr>
          <w:rFonts w:eastAsiaTheme="minorHAnsi"/>
          <w:b/>
          <w:sz w:val="22"/>
          <w:szCs w:val="22"/>
          <w:lang w:eastAsia="en-US"/>
        </w:rPr>
        <w:tab/>
      </w:r>
      <w:r w:rsidRPr="007C05EB">
        <w:rPr>
          <w:rFonts w:eastAsiaTheme="minorHAnsi"/>
          <w:b/>
          <w:sz w:val="22"/>
          <w:szCs w:val="22"/>
          <w:lang w:eastAsia="en-US"/>
        </w:rPr>
        <w:t>AUCTION RULES</w:t>
      </w:r>
    </w:p>
    <w:p w14:paraId="7E63B256" w14:textId="75D5D898" w:rsidR="007C05EB" w:rsidRPr="007C05EB" w:rsidRDefault="007C05EB"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This Schedule describes the detailed rules for conducting the auction, </w:t>
      </w:r>
      <w:r w:rsidR="00401FC5">
        <w:rPr>
          <w:rFonts w:ascii="Times New Roman" w:eastAsiaTheme="minorHAnsi" w:hAnsi="Times New Roman" w:cs="Times New Roman"/>
          <w:sz w:val="22"/>
          <w:szCs w:val="22"/>
        </w:rPr>
        <w:t>and operates in conjunction with</w:t>
      </w:r>
      <w:r w:rsidRPr="007C05EB">
        <w:rPr>
          <w:rFonts w:ascii="Times New Roman" w:eastAsiaTheme="minorHAnsi" w:hAnsi="Times New Roman" w:cs="Times New Roman"/>
          <w:sz w:val="22"/>
          <w:szCs w:val="22"/>
        </w:rPr>
        <w:t xml:space="preserve"> related procedures that are referred to in Part 6 of the Determination. </w:t>
      </w:r>
      <w:r>
        <w:rPr>
          <w:rFonts w:ascii="Times New Roman" w:eastAsiaTheme="minorHAnsi" w:hAnsi="Times New Roman" w:cs="Times New Roman"/>
          <w:sz w:val="22"/>
          <w:szCs w:val="22"/>
        </w:rPr>
        <w:t xml:space="preserve"> It also defines some terms that are relevant both to the Schedule and other Parts of the Determination (such as Part 7, and the calculation of the spectrum access charge).</w:t>
      </w:r>
    </w:p>
    <w:p w14:paraId="0EA418CE" w14:textId="0470EBB5" w:rsidR="00F257C5" w:rsidRPr="007C05EB" w:rsidRDefault="00603AB1" w:rsidP="007C05EB">
      <w:pPr>
        <w:keepNext/>
        <w:spacing w:before="280" w:after="160" w:line="259" w:lineRule="auto"/>
        <w:rPr>
          <w:rFonts w:eastAsiaTheme="minorHAnsi"/>
          <w:b/>
          <w:lang w:eastAsia="en-US"/>
        </w:rPr>
      </w:pPr>
      <w:r w:rsidRPr="007C05EB">
        <w:rPr>
          <w:rFonts w:eastAsiaTheme="minorHAnsi"/>
          <w:b/>
          <w:lang w:eastAsia="en-US"/>
        </w:rPr>
        <w:t>Part 1</w:t>
      </w:r>
      <w:r w:rsidRPr="007C05EB">
        <w:rPr>
          <w:rFonts w:eastAsiaTheme="minorHAnsi"/>
          <w:b/>
          <w:lang w:eastAsia="en-US"/>
        </w:rPr>
        <w:tab/>
      </w:r>
      <w:r w:rsidR="007C05EB">
        <w:rPr>
          <w:rFonts w:eastAsiaTheme="minorHAnsi"/>
          <w:b/>
          <w:lang w:eastAsia="en-US"/>
        </w:rPr>
        <w:tab/>
      </w:r>
      <w:r w:rsidR="00F257C5" w:rsidRPr="007C05EB">
        <w:rPr>
          <w:rFonts w:eastAsiaTheme="minorHAnsi"/>
          <w:b/>
          <w:lang w:eastAsia="en-US"/>
        </w:rPr>
        <w:t xml:space="preserve">Auction arrangements </w:t>
      </w:r>
    </w:p>
    <w:p w14:paraId="76A72EB5" w14:textId="67D2E0B1" w:rsidR="00D81E77" w:rsidRPr="007C05EB" w:rsidRDefault="00F257C5" w:rsidP="007C05EB">
      <w:pPr>
        <w:keepNext/>
        <w:spacing w:after="160" w:line="259" w:lineRule="auto"/>
        <w:rPr>
          <w:rFonts w:eastAsiaTheme="minorHAnsi"/>
          <w:b/>
          <w:sz w:val="22"/>
          <w:szCs w:val="22"/>
          <w:lang w:eastAsia="en-US"/>
        </w:rPr>
      </w:pPr>
      <w:r w:rsidRPr="007C05EB">
        <w:rPr>
          <w:rFonts w:eastAsiaTheme="minorHAnsi"/>
          <w:b/>
          <w:sz w:val="22"/>
          <w:szCs w:val="22"/>
          <w:lang w:eastAsia="en-US"/>
        </w:rPr>
        <w:t>Clause 1</w:t>
      </w:r>
      <w:r w:rsidR="00693C1C" w:rsidRPr="007C05EB">
        <w:rPr>
          <w:rFonts w:eastAsiaTheme="minorHAnsi"/>
          <w:b/>
          <w:sz w:val="22"/>
          <w:szCs w:val="22"/>
          <w:lang w:eastAsia="en-US"/>
        </w:rPr>
        <w:tab/>
      </w:r>
      <w:r w:rsidR="00D81E77" w:rsidRPr="007C05EB">
        <w:rPr>
          <w:rFonts w:eastAsiaTheme="minorHAnsi"/>
          <w:b/>
          <w:sz w:val="22"/>
          <w:szCs w:val="22"/>
          <w:lang w:eastAsia="en-US"/>
        </w:rPr>
        <w:t>Schedule for rounds of the auction</w:t>
      </w:r>
    </w:p>
    <w:p w14:paraId="06B7CC72" w14:textId="27E32EB7" w:rsidR="00D81E77" w:rsidRPr="007C05EB" w:rsidRDefault="001F5FF1" w:rsidP="00D81E7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The SCA methodology</w:t>
      </w:r>
      <w:r w:rsidR="004755B3">
        <w:rPr>
          <w:rFonts w:ascii="Times New Roman" w:eastAsiaTheme="minorHAnsi" w:hAnsi="Times New Roman" w:cs="Times New Roman"/>
          <w:sz w:val="22"/>
          <w:szCs w:val="22"/>
        </w:rPr>
        <w:t xml:space="preserve"> for the auction requires a series of rounds to be held, during which bidders may place a bid on a lot in accordance with this Schedule.  </w:t>
      </w:r>
      <w:r w:rsidR="00D81E77" w:rsidRPr="007C05EB">
        <w:rPr>
          <w:rFonts w:ascii="Times New Roman" w:eastAsiaTheme="minorHAnsi" w:hAnsi="Times New Roman" w:cs="Times New Roman"/>
          <w:sz w:val="22"/>
          <w:szCs w:val="22"/>
        </w:rPr>
        <w:t xml:space="preserve">This clause </w:t>
      </w:r>
      <w:r w:rsidR="004755B3">
        <w:rPr>
          <w:rFonts w:ascii="Times New Roman" w:eastAsiaTheme="minorHAnsi" w:hAnsi="Times New Roman" w:cs="Times New Roman"/>
          <w:sz w:val="22"/>
          <w:szCs w:val="22"/>
        </w:rPr>
        <w:t>provides for the scheduling of rounds of the auction, and the rules that such a schedule must meet.</w:t>
      </w:r>
      <w:r w:rsidR="004755B3" w:rsidRPr="007C05EB">
        <w:rPr>
          <w:rFonts w:ascii="Times New Roman" w:eastAsiaTheme="minorHAnsi" w:hAnsi="Times New Roman" w:cs="Times New Roman"/>
          <w:sz w:val="22"/>
          <w:szCs w:val="22"/>
        </w:rPr>
        <w:t xml:space="preserve"> </w:t>
      </w:r>
      <w:r w:rsidR="004755B3">
        <w:rPr>
          <w:rFonts w:ascii="Times New Roman" w:eastAsiaTheme="minorHAnsi" w:hAnsi="Times New Roman" w:cs="Times New Roman"/>
          <w:sz w:val="22"/>
          <w:szCs w:val="22"/>
        </w:rPr>
        <w:t xml:space="preserve"> R</w:t>
      </w:r>
      <w:r w:rsidR="00D81E77" w:rsidRPr="007C05EB">
        <w:rPr>
          <w:rFonts w:ascii="Times New Roman" w:eastAsiaTheme="minorHAnsi" w:hAnsi="Times New Roman" w:cs="Times New Roman"/>
          <w:sz w:val="22"/>
          <w:szCs w:val="22"/>
        </w:rPr>
        <w:t xml:space="preserve">ounds must only occur on a working day (as defined in subsection 4(1)) </w:t>
      </w:r>
      <w:r w:rsidR="004755B3">
        <w:rPr>
          <w:rFonts w:ascii="Times New Roman" w:eastAsiaTheme="minorHAnsi" w:hAnsi="Times New Roman" w:cs="Times New Roman"/>
          <w:sz w:val="22"/>
          <w:szCs w:val="22"/>
        </w:rPr>
        <w:t xml:space="preserve">other than a recess day, </w:t>
      </w:r>
      <w:r w:rsidR="00D81E77" w:rsidRPr="007C05EB">
        <w:rPr>
          <w:rFonts w:ascii="Times New Roman" w:eastAsiaTheme="minorHAnsi" w:hAnsi="Times New Roman" w:cs="Times New Roman"/>
          <w:sz w:val="22"/>
          <w:szCs w:val="22"/>
        </w:rPr>
        <w:t xml:space="preserve">and will start and finish between 9 am and 5 pm. </w:t>
      </w:r>
      <w:r w:rsidR="0007547C" w:rsidRPr="007C05EB">
        <w:rPr>
          <w:rFonts w:ascii="Times New Roman" w:eastAsiaTheme="minorHAnsi" w:hAnsi="Times New Roman" w:cs="Times New Roman"/>
          <w:sz w:val="22"/>
          <w:szCs w:val="22"/>
        </w:rPr>
        <w:t>The scheduling of the rounds between those times is at the auction manager’s discretion</w:t>
      </w:r>
      <w:r w:rsidR="004755B3">
        <w:rPr>
          <w:rFonts w:ascii="Times New Roman" w:eastAsiaTheme="minorHAnsi" w:hAnsi="Times New Roman" w:cs="Times New Roman"/>
          <w:sz w:val="22"/>
          <w:szCs w:val="22"/>
        </w:rPr>
        <w:t>,</w:t>
      </w:r>
      <w:r w:rsidR="0007547C" w:rsidRPr="007C05EB">
        <w:rPr>
          <w:rFonts w:ascii="Times New Roman" w:eastAsiaTheme="minorHAnsi" w:hAnsi="Times New Roman" w:cs="Times New Roman"/>
          <w:sz w:val="22"/>
          <w:szCs w:val="22"/>
        </w:rPr>
        <w:t xml:space="preserve"> subject to </w:t>
      </w:r>
      <w:r w:rsidR="004755B3">
        <w:rPr>
          <w:rFonts w:ascii="Times New Roman" w:eastAsiaTheme="minorHAnsi" w:hAnsi="Times New Roman" w:cs="Times New Roman"/>
          <w:sz w:val="22"/>
          <w:szCs w:val="22"/>
        </w:rPr>
        <w:t>p</w:t>
      </w:r>
      <w:r w:rsidR="0007547C" w:rsidRPr="007C05EB">
        <w:rPr>
          <w:rFonts w:ascii="Times New Roman" w:eastAsiaTheme="minorHAnsi" w:hAnsi="Times New Roman" w:cs="Times New Roman"/>
          <w:sz w:val="22"/>
          <w:szCs w:val="22"/>
        </w:rPr>
        <w:t>aragraph 2(3</w:t>
      </w:r>
      <w:proofErr w:type="gramStart"/>
      <w:r w:rsidR="0007547C" w:rsidRPr="007C05EB">
        <w:rPr>
          <w:rFonts w:ascii="Times New Roman" w:eastAsiaTheme="minorHAnsi" w:hAnsi="Times New Roman" w:cs="Times New Roman"/>
          <w:sz w:val="22"/>
          <w:szCs w:val="22"/>
        </w:rPr>
        <w:t>)(</w:t>
      </w:r>
      <w:proofErr w:type="gramEnd"/>
      <w:r w:rsidR="0007547C" w:rsidRPr="007C05EB">
        <w:rPr>
          <w:rFonts w:ascii="Times New Roman" w:eastAsiaTheme="minorHAnsi" w:hAnsi="Times New Roman" w:cs="Times New Roman"/>
          <w:sz w:val="22"/>
          <w:szCs w:val="22"/>
        </w:rPr>
        <w:t xml:space="preserve">a) of the Schedule. </w:t>
      </w:r>
      <w:r w:rsidR="004755B3">
        <w:rPr>
          <w:rFonts w:ascii="Times New Roman" w:eastAsiaTheme="minorHAnsi" w:hAnsi="Times New Roman" w:cs="Times New Roman"/>
          <w:sz w:val="22"/>
          <w:szCs w:val="22"/>
        </w:rPr>
        <w:t xml:space="preserve"> T</w:t>
      </w:r>
      <w:r w:rsidR="00D81E77" w:rsidRPr="007C05EB">
        <w:rPr>
          <w:rFonts w:ascii="Times New Roman" w:eastAsiaTheme="minorHAnsi" w:hAnsi="Times New Roman" w:cs="Times New Roman"/>
          <w:sz w:val="22"/>
          <w:szCs w:val="22"/>
        </w:rPr>
        <w:t>here is no minimum or maximum duration for each round</w:t>
      </w:r>
      <w:r w:rsidR="004755B3">
        <w:rPr>
          <w:rFonts w:ascii="Times New Roman" w:eastAsiaTheme="minorHAnsi" w:hAnsi="Times New Roman" w:cs="Times New Roman"/>
          <w:sz w:val="22"/>
          <w:szCs w:val="22"/>
        </w:rPr>
        <w:t>,</w:t>
      </w:r>
      <w:r w:rsidR="00D81E77" w:rsidRPr="007C05EB">
        <w:rPr>
          <w:rFonts w:ascii="Times New Roman" w:eastAsiaTheme="minorHAnsi" w:hAnsi="Times New Roman" w:cs="Times New Roman"/>
          <w:sz w:val="22"/>
          <w:szCs w:val="22"/>
        </w:rPr>
        <w:t xml:space="preserve"> nor</w:t>
      </w:r>
      <w:r w:rsidR="004755B3">
        <w:rPr>
          <w:rFonts w:ascii="Times New Roman" w:eastAsiaTheme="minorHAnsi" w:hAnsi="Times New Roman" w:cs="Times New Roman"/>
          <w:sz w:val="22"/>
          <w:szCs w:val="22"/>
        </w:rPr>
        <w:t xml:space="preserve"> for</w:t>
      </w:r>
      <w:r w:rsidR="00D81E77" w:rsidRPr="007C05EB">
        <w:rPr>
          <w:rFonts w:ascii="Times New Roman" w:eastAsiaTheme="minorHAnsi" w:hAnsi="Times New Roman" w:cs="Times New Roman"/>
          <w:sz w:val="22"/>
          <w:szCs w:val="22"/>
        </w:rPr>
        <w:t xml:space="preserve"> the interval between rounds.</w:t>
      </w:r>
      <w:r w:rsidR="004755B3">
        <w:rPr>
          <w:rFonts w:ascii="Times New Roman" w:eastAsiaTheme="minorHAnsi" w:hAnsi="Times New Roman" w:cs="Times New Roman"/>
          <w:sz w:val="22"/>
          <w:szCs w:val="22"/>
        </w:rPr>
        <w:t xml:space="preserve">  There is no</w:t>
      </w:r>
      <w:r w:rsidR="00401FC5">
        <w:rPr>
          <w:rFonts w:ascii="Times New Roman" w:eastAsiaTheme="minorHAnsi" w:hAnsi="Times New Roman" w:cs="Times New Roman"/>
          <w:sz w:val="22"/>
          <w:szCs w:val="22"/>
        </w:rPr>
        <w:t xml:space="preserve"> upper or lower</w:t>
      </w:r>
      <w:r w:rsidR="00D81E77" w:rsidRPr="007C05EB">
        <w:rPr>
          <w:rFonts w:ascii="Times New Roman" w:eastAsiaTheme="minorHAnsi" w:hAnsi="Times New Roman" w:cs="Times New Roman"/>
          <w:sz w:val="22"/>
          <w:szCs w:val="22"/>
        </w:rPr>
        <w:t xml:space="preserve"> limit</w:t>
      </w:r>
      <w:r w:rsidR="00401FC5">
        <w:rPr>
          <w:rFonts w:ascii="Times New Roman" w:eastAsiaTheme="minorHAnsi" w:hAnsi="Times New Roman" w:cs="Times New Roman"/>
          <w:sz w:val="22"/>
          <w:szCs w:val="22"/>
        </w:rPr>
        <w:t xml:space="preserve"> on</w:t>
      </w:r>
      <w:r w:rsidR="00D81E77" w:rsidRPr="007C05EB">
        <w:rPr>
          <w:rFonts w:ascii="Times New Roman" w:eastAsiaTheme="minorHAnsi" w:hAnsi="Times New Roman" w:cs="Times New Roman"/>
          <w:sz w:val="22"/>
          <w:szCs w:val="22"/>
        </w:rPr>
        <w:t xml:space="preserve"> the number of rounds that can be held on any day.</w:t>
      </w:r>
    </w:p>
    <w:p w14:paraId="542ADA19" w14:textId="5183E0BF" w:rsidR="00D81E77" w:rsidRPr="007C05EB" w:rsidRDefault="00D81E77" w:rsidP="00D81E77">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All bidders will be notified via the auction system of the anticipated schedule of rounds for a given day a minimum of </w:t>
      </w:r>
      <w:r w:rsidR="001F5FF1">
        <w:rPr>
          <w:rFonts w:ascii="Times New Roman" w:eastAsiaTheme="minorHAnsi" w:hAnsi="Times New Roman" w:cs="Times New Roman"/>
          <w:sz w:val="22"/>
          <w:szCs w:val="22"/>
        </w:rPr>
        <w:t>one</w:t>
      </w:r>
      <w:r w:rsidRPr="007C05EB">
        <w:rPr>
          <w:rFonts w:ascii="Times New Roman" w:eastAsiaTheme="minorHAnsi" w:hAnsi="Times New Roman" w:cs="Times New Roman"/>
          <w:sz w:val="22"/>
          <w:szCs w:val="22"/>
        </w:rPr>
        <w:t xml:space="preserve"> hour before the first round of the day</w:t>
      </w:r>
      <w:r w:rsidR="004755B3">
        <w:rPr>
          <w:rFonts w:ascii="Times New Roman" w:eastAsiaTheme="minorHAnsi" w:hAnsi="Times New Roman" w:cs="Times New Roman"/>
          <w:sz w:val="22"/>
          <w:szCs w:val="22"/>
        </w:rPr>
        <w:t>,</w:t>
      </w:r>
      <w:r w:rsidRPr="007C05EB">
        <w:rPr>
          <w:rFonts w:ascii="Times New Roman" w:eastAsiaTheme="minorHAnsi" w:hAnsi="Times New Roman" w:cs="Times New Roman"/>
          <w:sz w:val="22"/>
          <w:szCs w:val="22"/>
        </w:rPr>
        <w:t xml:space="preserve"> </w:t>
      </w:r>
      <w:r w:rsidR="0007547C" w:rsidRPr="007C05EB">
        <w:rPr>
          <w:rFonts w:ascii="Times New Roman" w:eastAsiaTheme="minorHAnsi" w:hAnsi="Times New Roman" w:cs="Times New Roman"/>
          <w:sz w:val="22"/>
          <w:szCs w:val="22"/>
        </w:rPr>
        <w:t>subject to section 58</w:t>
      </w:r>
      <w:r w:rsidR="004755B3">
        <w:rPr>
          <w:rFonts w:ascii="Times New Roman" w:eastAsiaTheme="minorHAnsi" w:hAnsi="Times New Roman" w:cs="Times New Roman"/>
          <w:sz w:val="22"/>
          <w:szCs w:val="22"/>
        </w:rPr>
        <w:t>, which deals with the notice to be given of the first</w:t>
      </w:r>
      <w:r w:rsidR="00401FC5">
        <w:rPr>
          <w:rFonts w:ascii="Times New Roman" w:eastAsiaTheme="minorHAnsi" w:hAnsi="Times New Roman" w:cs="Times New Roman"/>
          <w:sz w:val="22"/>
          <w:szCs w:val="22"/>
        </w:rPr>
        <w:t xml:space="preserve"> and second</w:t>
      </w:r>
      <w:r w:rsidR="004755B3">
        <w:rPr>
          <w:rFonts w:ascii="Times New Roman" w:eastAsiaTheme="minorHAnsi" w:hAnsi="Times New Roman" w:cs="Times New Roman"/>
          <w:sz w:val="22"/>
          <w:szCs w:val="22"/>
        </w:rPr>
        <w:t xml:space="preserve"> round</w:t>
      </w:r>
      <w:r w:rsidR="00401FC5">
        <w:rPr>
          <w:rFonts w:ascii="Times New Roman" w:eastAsiaTheme="minorHAnsi" w:hAnsi="Times New Roman" w:cs="Times New Roman"/>
          <w:sz w:val="22"/>
          <w:szCs w:val="22"/>
        </w:rPr>
        <w:t>s</w:t>
      </w:r>
      <w:r w:rsidR="004755B3">
        <w:rPr>
          <w:rFonts w:ascii="Times New Roman" w:eastAsiaTheme="minorHAnsi" w:hAnsi="Times New Roman" w:cs="Times New Roman"/>
          <w:sz w:val="22"/>
          <w:szCs w:val="22"/>
        </w:rPr>
        <w:t xml:space="preserve"> of the auction</w:t>
      </w:r>
      <w:r w:rsidR="0007547C" w:rsidRPr="007C05EB">
        <w:rPr>
          <w:rFonts w:ascii="Times New Roman" w:eastAsiaTheme="minorHAnsi" w:hAnsi="Times New Roman" w:cs="Times New Roman"/>
          <w:sz w:val="22"/>
          <w:szCs w:val="22"/>
        </w:rPr>
        <w:t>.</w:t>
      </w:r>
      <w:r w:rsidR="001F5FF1">
        <w:rPr>
          <w:rFonts w:ascii="Times New Roman" w:eastAsiaTheme="minorHAnsi" w:hAnsi="Times New Roman" w:cs="Times New Roman"/>
          <w:sz w:val="22"/>
          <w:szCs w:val="22"/>
        </w:rPr>
        <w:t xml:space="preserve"> </w:t>
      </w:r>
      <w:r w:rsidR="0007547C" w:rsidRPr="007C05EB">
        <w:rPr>
          <w:rFonts w:ascii="Times New Roman" w:eastAsiaTheme="minorHAnsi" w:hAnsi="Times New Roman" w:cs="Times New Roman"/>
          <w:sz w:val="22"/>
          <w:szCs w:val="22"/>
        </w:rPr>
        <w:t xml:space="preserve"> This clause </w:t>
      </w:r>
      <w:r w:rsidRPr="007C05EB">
        <w:rPr>
          <w:rFonts w:ascii="Times New Roman" w:eastAsiaTheme="minorHAnsi" w:hAnsi="Times New Roman" w:cs="Times New Roman"/>
          <w:sz w:val="22"/>
          <w:szCs w:val="22"/>
        </w:rPr>
        <w:t>also allows the auction manager to alter the schedule of rounds.</w:t>
      </w:r>
      <w:r w:rsidR="001F5FF1">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 xml:space="preserve"> However, if this occurs, the auction manager must inform bidders </w:t>
      </w:r>
      <w:r w:rsidR="0007547C" w:rsidRPr="007C05EB">
        <w:rPr>
          <w:rFonts w:ascii="Times New Roman" w:eastAsiaTheme="minorHAnsi" w:hAnsi="Times New Roman" w:cs="Times New Roman"/>
          <w:sz w:val="22"/>
          <w:szCs w:val="22"/>
        </w:rPr>
        <w:t xml:space="preserve">of the change </w:t>
      </w:r>
      <w:r w:rsidRPr="007C05EB">
        <w:rPr>
          <w:rFonts w:ascii="Times New Roman" w:eastAsiaTheme="minorHAnsi" w:hAnsi="Times New Roman" w:cs="Times New Roman"/>
          <w:sz w:val="22"/>
          <w:szCs w:val="22"/>
        </w:rPr>
        <w:t>as soon as practicable.</w:t>
      </w:r>
    </w:p>
    <w:p w14:paraId="069BA9A2" w14:textId="33B7C55A" w:rsidR="00D81E77" w:rsidRPr="007C05EB" w:rsidRDefault="00D81E77" w:rsidP="007C05EB">
      <w:pPr>
        <w:keepNext/>
        <w:spacing w:after="160" w:line="259" w:lineRule="auto"/>
        <w:rPr>
          <w:rFonts w:eastAsiaTheme="minorHAnsi"/>
          <w:b/>
          <w:sz w:val="22"/>
          <w:szCs w:val="22"/>
          <w:lang w:eastAsia="en-US"/>
        </w:rPr>
      </w:pPr>
      <w:r w:rsidRPr="007C05EB">
        <w:rPr>
          <w:rFonts w:eastAsiaTheme="minorHAnsi"/>
          <w:b/>
          <w:sz w:val="22"/>
          <w:szCs w:val="22"/>
          <w:lang w:eastAsia="en-US"/>
        </w:rPr>
        <w:t>Clause 2</w:t>
      </w:r>
      <w:r w:rsidRPr="007C05EB">
        <w:rPr>
          <w:rFonts w:eastAsiaTheme="minorHAnsi"/>
          <w:b/>
          <w:sz w:val="22"/>
          <w:szCs w:val="22"/>
          <w:lang w:eastAsia="en-US"/>
        </w:rPr>
        <w:tab/>
        <w:t>Rounds of the auction</w:t>
      </w:r>
    </w:p>
    <w:p w14:paraId="68A01947" w14:textId="5E70AB27" w:rsidR="004755B3" w:rsidRDefault="0007547C" w:rsidP="00726EB3">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This clause</w:t>
      </w:r>
      <w:r w:rsidR="001E54A3" w:rsidRPr="007C05EB">
        <w:rPr>
          <w:rFonts w:ascii="Times New Roman" w:eastAsiaTheme="minorHAnsi" w:hAnsi="Times New Roman" w:cs="Times New Roman"/>
          <w:sz w:val="22"/>
          <w:szCs w:val="22"/>
        </w:rPr>
        <w:t xml:space="preserve"> </w:t>
      </w:r>
      <w:r w:rsidR="004755B3">
        <w:rPr>
          <w:rFonts w:ascii="Times New Roman" w:eastAsiaTheme="minorHAnsi" w:hAnsi="Times New Roman" w:cs="Times New Roman"/>
          <w:sz w:val="22"/>
          <w:szCs w:val="22"/>
        </w:rPr>
        <w:t xml:space="preserve">provides </w:t>
      </w:r>
      <w:r w:rsidR="001E54A3" w:rsidRPr="007C05EB">
        <w:rPr>
          <w:rFonts w:ascii="Times New Roman" w:eastAsiaTheme="minorHAnsi" w:hAnsi="Times New Roman" w:cs="Times New Roman"/>
          <w:sz w:val="22"/>
          <w:szCs w:val="22"/>
        </w:rPr>
        <w:t>that</w:t>
      </w:r>
      <w:r w:rsidR="00D81E77" w:rsidRPr="007C05EB">
        <w:rPr>
          <w:rFonts w:ascii="Times New Roman" w:eastAsiaTheme="minorHAnsi" w:hAnsi="Times New Roman" w:cs="Times New Roman"/>
          <w:sz w:val="22"/>
          <w:szCs w:val="22"/>
        </w:rPr>
        <w:t xml:space="preserve"> </w:t>
      </w:r>
      <w:r w:rsidR="004755B3">
        <w:rPr>
          <w:rFonts w:ascii="Times New Roman" w:eastAsiaTheme="minorHAnsi" w:hAnsi="Times New Roman" w:cs="Times New Roman"/>
          <w:sz w:val="22"/>
          <w:szCs w:val="22"/>
        </w:rPr>
        <w:t>each</w:t>
      </w:r>
      <w:r w:rsidR="00D81E77" w:rsidRPr="007C05EB">
        <w:rPr>
          <w:rFonts w:ascii="Times New Roman" w:eastAsiaTheme="minorHAnsi" w:hAnsi="Times New Roman" w:cs="Times New Roman"/>
          <w:sz w:val="22"/>
          <w:szCs w:val="22"/>
        </w:rPr>
        <w:t xml:space="preserve"> </w:t>
      </w:r>
      <w:r w:rsidR="005C338A" w:rsidRPr="007C05EB">
        <w:rPr>
          <w:rFonts w:ascii="Times New Roman" w:eastAsiaTheme="minorHAnsi" w:hAnsi="Times New Roman" w:cs="Times New Roman"/>
          <w:sz w:val="22"/>
          <w:szCs w:val="22"/>
        </w:rPr>
        <w:t>round will</w:t>
      </w:r>
      <w:r w:rsidRPr="007C05EB">
        <w:rPr>
          <w:rFonts w:ascii="Times New Roman" w:eastAsiaTheme="minorHAnsi" w:hAnsi="Times New Roman" w:cs="Times New Roman"/>
          <w:sz w:val="22"/>
          <w:szCs w:val="22"/>
        </w:rPr>
        <w:t xml:space="preserve"> be for bids on a single lot</w:t>
      </w:r>
      <w:r w:rsidR="004755B3" w:rsidRPr="003727D1">
        <w:rPr>
          <w:rFonts w:ascii="Times New Roman" w:eastAsiaTheme="minorHAnsi" w:hAnsi="Times New Roman" w:cs="Times New Roman"/>
          <w:sz w:val="22"/>
          <w:szCs w:val="22"/>
        </w:rPr>
        <w:t xml:space="preserve">.  In </w:t>
      </w:r>
      <w:r w:rsidR="004755B3" w:rsidRPr="005C338A">
        <w:rPr>
          <w:rFonts w:ascii="Times New Roman" w:eastAsiaTheme="minorHAnsi" w:hAnsi="Times New Roman" w:cs="Times New Roman"/>
          <w:sz w:val="22"/>
          <w:szCs w:val="22"/>
        </w:rPr>
        <w:t>accordance with the Residual 700 MHz Spectrum Direction</w:t>
      </w:r>
      <w:r w:rsidR="004755B3" w:rsidRPr="003727D1">
        <w:rPr>
          <w:rFonts w:ascii="Times New Roman" w:eastAsiaTheme="minorHAnsi" w:hAnsi="Times New Roman" w:cs="Times New Roman"/>
          <w:sz w:val="22"/>
          <w:szCs w:val="22"/>
        </w:rPr>
        <w:t xml:space="preserve">, </w:t>
      </w:r>
      <w:r w:rsidRPr="003727D1">
        <w:rPr>
          <w:rFonts w:ascii="Times New Roman" w:eastAsiaTheme="minorHAnsi" w:hAnsi="Times New Roman" w:cs="Times New Roman"/>
          <w:sz w:val="22"/>
          <w:szCs w:val="22"/>
        </w:rPr>
        <w:t xml:space="preserve">the first round will be for </w:t>
      </w:r>
      <w:r w:rsidR="004755B3" w:rsidRPr="00F6271F">
        <w:rPr>
          <w:rFonts w:ascii="Times New Roman" w:eastAsiaTheme="minorHAnsi" w:hAnsi="Times New Roman" w:cs="Times New Roman"/>
          <w:sz w:val="22"/>
          <w:szCs w:val="22"/>
        </w:rPr>
        <w:t xml:space="preserve">bids on </w:t>
      </w:r>
      <w:r w:rsidRPr="003727D1">
        <w:rPr>
          <w:rFonts w:ascii="Times New Roman" w:eastAsiaTheme="minorHAnsi" w:hAnsi="Times New Roman" w:cs="Times New Roman"/>
          <w:sz w:val="22"/>
          <w:szCs w:val="22"/>
        </w:rPr>
        <w:t xml:space="preserve">the 10 MHz lot.  </w:t>
      </w:r>
      <w:r w:rsidR="008500D5" w:rsidRPr="003727D1">
        <w:rPr>
          <w:rFonts w:ascii="Times New Roman" w:eastAsiaTheme="minorHAnsi" w:hAnsi="Times New Roman" w:cs="Times New Roman"/>
          <w:sz w:val="22"/>
          <w:szCs w:val="22"/>
        </w:rPr>
        <w:t>Each</w:t>
      </w:r>
      <w:r w:rsidR="008500D5" w:rsidRPr="007C05EB">
        <w:rPr>
          <w:rFonts w:ascii="Times New Roman" w:eastAsiaTheme="minorHAnsi" w:hAnsi="Times New Roman" w:cs="Times New Roman"/>
          <w:sz w:val="22"/>
          <w:szCs w:val="22"/>
        </w:rPr>
        <w:t xml:space="preserve"> subsequent round will be for bids on the 10 MHz lot until </w:t>
      </w:r>
      <w:r w:rsidR="004755B3">
        <w:rPr>
          <w:rFonts w:ascii="Times New Roman" w:eastAsiaTheme="minorHAnsi" w:hAnsi="Times New Roman" w:cs="Times New Roman"/>
          <w:sz w:val="22"/>
          <w:szCs w:val="22"/>
        </w:rPr>
        <w:t xml:space="preserve">there is a </w:t>
      </w:r>
      <w:r w:rsidR="008500D5" w:rsidRPr="007C05EB">
        <w:rPr>
          <w:rFonts w:ascii="Times New Roman" w:eastAsiaTheme="minorHAnsi" w:hAnsi="Times New Roman" w:cs="Times New Roman"/>
          <w:sz w:val="22"/>
          <w:szCs w:val="22"/>
        </w:rPr>
        <w:t xml:space="preserve">final round </w:t>
      </w:r>
      <w:r w:rsidR="004755B3">
        <w:rPr>
          <w:rFonts w:ascii="Times New Roman" w:eastAsiaTheme="minorHAnsi" w:hAnsi="Times New Roman" w:cs="Times New Roman"/>
          <w:sz w:val="22"/>
          <w:szCs w:val="22"/>
        </w:rPr>
        <w:t>for bids</w:t>
      </w:r>
      <w:r w:rsidR="008500D5" w:rsidRPr="007C05EB">
        <w:rPr>
          <w:rFonts w:ascii="Times New Roman" w:eastAsiaTheme="minorHAnsi" w:hAnsi="Times New Roman" w:cs="Times New Roman"/>
          <w:sz w:val="22"/>
          <w:szCs w:val="22"/>
        </w:rPr>
        <w:t xml:space="preserve"> on the 10 M</w:t>
      </w:r>
      <w:r w:rsidR="004755B3">
        <w:rPr>
          <w:rFonts w:ascii="Times New Roman" w:eastAsiaTheme="minorHAnsi" w:hAnsi="Times New Roman" w:cs="Times New Roman"/>
          <w:sz w:val="22"/>
          <w:szCs w:val="22"/>
        </w:rPr>
        <w:t>H</w:t>
      </w:r>
      <w:r w:rsidR="008500D5" w:rsidRPr="007C05EB">
        <w:rPr>
          <w:rFonts w:ascii="Times New Roman" w:eastAsiaTheme="minorHAnsi" w:hAnsi="Times New Roman" w:cs="Times New Roman"/>
          <w:sz w:val="22"/>
          <w:szCs w:val="22"/>
        </w:rPr>
        <w:t>z lot</w:t>
      </w:r>
      <w:r w:rsidR="004755B3">
        <w:rPr>
          <w:rFonts w:ascii="Times New Roman" w:eastAsiaTheme="minorHAnsi" w:hAnsi="Times New Roman" w:cs="Times New Roman"/>
          <w:sz w:val="22"/>
          <w:szCs w:val="22"/>
        </w:rPr>
        <w:t xml:space="preserve"> (see below for how to assess which round is the final rounds for bids on the 10 MHz lot)</w:t>
      </w:r>
      <w:r w:rsidR="008500D5" w:rsidRPr="007C05EB">
        <w:rPr>
          <w:rFonts w:ascii="Times New Roman" w:eastAsiaTheme="minorHAnsi" w:hAnsi="Times New Roman" w:cs="Times New Roman"/>
          <w:sz w:val="22"/>
          <w:szCs w:val="22"/>
        </w:rPr>
        <w:t xml:space="preserve">. </w:t>
      </w:r>
      <w:r w:rsidR="004755B3">
        <w:rPr>
          <w:rFonts w:ascii="Times New Roman" w:eastAsiaTheme="minorHAnsi" w:hAnsi="Times New Roman" w:cs="Times New Roman"/>
          <w:sz w:val="22"/>
          <w:szCs w:val="22"/>
        </w:rPr>
        <w:t xml:space="preserve"> </w:t>
      </w:r>
      <w:r w:rsidR="008500D5" w:rsidRPr="007C05EB">
        <w:rPr>
          <w:rFonts w:ascii="Times New Roman" w:eastAsiaTheme="minorHAnsi" w:hAnsi="Times New Roman" w:cs="Times New Roman"/>
          <w:sz w:val="22"/>
          <w:szCs w:val="22"/>
        </w:rPr>
        <w:t xml:space="preserve">After the final round </w:t>
      </w:r>
      <w:r w:rsidR="004755B3">
        <w:rPr>
          <w:rFonts w:ascii="Times New Roman" w:eastAsiaTheme="minorHAnsi" w:hAnsi="Times New Roman" w:cs="Times New Roman"/>
          <w:sz w:val="22"/>
          <w:szCs w:val="22"/>
        </w:rPr>
        <w:t xml:space="preserve">for bids on </w:t>
      </w:r>
      <w:r w:rsidR="008500D5" w:rsidRPr="007C05EB">
        <w:rPr>
          <w:rFonts w:ascii="Times New Roman" w:eastAsiaTheme="minorHAnsi" w:hAnsi="Times New Roman" w:cs="Times New Roman"/>
          <w:sz w:val="22"/>
          <w:szCs w:val="22"/>
        </w:rPr>
        <w:t>the 10 MHz lot</w:t>
      </w:r>
      <w:r w:rsidR="004755B3">
        <w:rPr>
          <w:rFonts w:ascii="Times New Roman" w:eastAsiaTheme="minorHAnsi" w:hAnsi="Times New Roman" w:cs="Times New Roman"/>
          <w:sz w:val="22"/>
          <w:szCs w:val="22"/>
        </w:rPr>
        <w:t xml:space="preserve"> (at which point the ACMA will know the identity of the winning bidder for the 10 MHz lot)</w:t>
      </w:r>
      <w:r w:rsidR="008500D5" w:rsidRPr="007C05EB">
        <w:rPr>
          <w:rFonts w:ascii="Times New Roman" w:eastAsiaTheme="minorHAnsi" w:hAnsi="Times New Roman" w:cs="Times New Roman"/>
          <w:sz w:val="22"/>
          <w:szCs w:val="22"/>
        </w:rPr>
        <w:t xml:space="preserve">, there must be at least one recess day </w:t>
      </w:r>
      <w:r w:rsidR="004755B3">
        <w:rPr>
          <w:rFonts w:ascii="Times New Roman" w:eastAsiaTheme="minorHAnsi" w:hAnsi="Times New Roman" w:cs="Times New Roman"/>
          <w:sz w:val="22"/>
          <w:szCs w:val="22"/>
        </w:rPr>
        <w:t>before</w:t>
      </w:r>
      <w:r w:rsidR="008500D5" w:rsidRPr="007C05EB">
        <w:rPr>
          <w:rFonts w:ascii="Times New Roman" w:eastAsiaTheme="minorHAnsi" w:hAnsi="Times New Roman" w:cs="Times New Roman"/>
          <w:sz w:val="22"/>
          <w:szCs w:val="22"/>
        </w:rPr>
        <w:t xml:space="preserve"> the next round of the auction</w:t>
      </w:r>
      <w:r w:rsidR="004755B3">
        <w:rPr>
          <w:rFonts w:ascii="Times New Roman" w:eastAsiaTheme="minorHAnsi" w:hAnsi="Times New Roman" w:cs="Times New Roman"/>
          <w:sz w:val="22"/>
          <w:szCs w:val="22"/>
        </w:rPr>
        <w:t>,</w:t>
      </w:r>
      <w:r w:rsidR="008500D5" w:rsidRPr="007C05EB">
        <w:rPr>
          <w:rFonts w:ascii="Times New Roman" w:eastAsiaTheme="minorHAnsi" w:hAnsi="Times New Roman" w:cs="Times New Roman"/>
          <w:sz w:val="22"/>
          <w:szCs w:val="22"/>
        </w:rPr>
        <w:t xml:space="preserve"> which will be the opening round for </w:t>
      </w:r>
      <w:r w:rsidR="004755B3">
        <w:rPr>
          <w:rFonts w:ascii="Times New Roman" w:eastAsiaTheme="minorHAnsi" w:hAnsi="Times New Roman" w:cs="Times New Roman"/>
          <w:sz w:val="22"/>
          <w:szCs w:val="22"/>
        </w:rPr>
        <w:t xml:space="preserve">bids on </w:t>
      </w:r>
      <w:r w:rsidR="008500D5" w:rsidRPr="007C05EB">
        <w:rPr>
          <w:rFonts w:ascii="Times New Roman" w:eastAsiaTheme="minorHAnsi" w:hAnsi="Times New Roman" w:cs="Times New Roman"/>
          <w:sz w:val="22"/>
          <w:szCs w:val="22"/>
        </w:rPr>
        <w:t>the 5 MHz lot.</w:t>
      </w:r>
    </w:p>
    <w:p w14:paraId="0BD59488" w14:textId="2C93F592" w:rsidR="008500D5" w:rsidRPr="007C05EB" w:rsidRDefault="008500D5" w:rsidP="00726EB3">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A bidder may only make a b</w:t>
      </w:r>
      <w:r w:rsidR="00BC1AEF" w:rsidRPr="007C05EB">
        <w:rPr>
          <w:rFonts w:ascii="Times New Roman" w:eastAsiaTheme="minorHAnsi" w:hAnsi="Times New Roman" w:cs="Times New Roman"/>
          <w:sz w:val="22"/>
          <w:szCs w:val="22"/>
        </w:rPr>
        <w:t>id on</w:t>
      </w:r>
      <w:r w:rsidRPr="007C05EB">
        <w:rPr>
          <w:rFonts w:ascii="Times New Roman" w:eastAsiaTheme="minorHAnsi" w:hAnsi="Times New Roman" w:cs="Times New Roman"/>
          <w:sz w:val="22"/>
          <w:szCs w:val="22"/>
        </w:rPr>
        <w:t xml:space="preserve"> a lot if it is one of the</w:t>
      </w:r>
      <w:r w:rsidR="004755B3">
        <w:rPr>
          <w:rFonts w:ascii="Times New Roman" w:eastAsiaTheme="minorHAnsi" w:hAnsi="Times New Roman" w:cs="Times New Roman"/>
          <w:sz w:val="22"/>
          <w:szCs w:val="22"/>
        </w:rPr>
        <w:t xml:space="preserve"> bidder’s</w:t>
      </w:r>
      <w:r w:rsidRPr="007C05EB">
        <w:rPr>
          <w:rFonts w:ascii="Times New Roman" w:eastAsiaTheme="minorHAnsi" w:hAnsi="Times New Roman" w:cs="Times New Roman"/>
          <w:sz w:val="22"/>
          <w:szCs w:val="22"/>
        </w:rPr>
        <w:t xml:space="preserve"> preferred lots</w:t>
      </w:r>
      <w:r w:rsidR="004755B3">
        <w:rPr>
          <w:rFonts w:ascii="Times New Roman" w:eastAsiaTheme="minorHAnsi" w:hAnsi="Times New Roman" w:cs="Times New Roman"/>
          <w:sz w:val="22"/>
          <w:szCs w:val="22"/>
        </w:rPr>
        <w:t>, as set out in its preference nomination form</w:t>
      </w:r>
      <w:r w:rsidR="001F5FF1">
        <w:rPr>
          <w:rFonts w:ascii="Times New Roman" w:eastAsiaTheme="minorHAnsi" w:hAnsi="Times New Roman" w:cs="Times New Roman"/>
          <w:sz w:val="22"/>
          <w:szCs w:val="22"/>
        </w:rPr>
        <w:t xml:space="preserve"> (as affected by operation of the allocation limits, as discussed above)</w:t>
      </w:r>
      <w:r w:rsidRPr="007C05EB">
        <w:rPr>
          <w:rFonts w:ascii="Times New Roman" w:eastAsiaTheme="minorHAnsi" w:hAnsi="Times New Roman" w:cs="Times New Roman"/>
          <w:sz w:val="22"/>
          <w:szCs w:val="22"/>
        </w:rPr>
        <w:t>.</w:t>
      </w:r>
    </w:p>
    <w:p w14:paraId="67F49D68" w14:textId="1DB3FB7F" w:rsidR="004755B3" w:rsidRDefault="00401FC5" w:rsidP="00726EB3">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Clause 2</w:t>
      </w:r>
      <w:r w:rsidR="004755B3">
        <w:rPr>
          <w:rFonts w:ascii="Times New Roman" w:eastAsiaTheme="minorHAnsi" w:hAnsi="Times New Roman" w:cs="Times New Roman"/>
          <w:sz w:val="22"/>
          <w:szCs w:val="22"/>
        </w:rPr>
        <w:t xml:space="preserve"> also requires the </w:t>
      </w:r>
      <w:r>
        <w:rPr>
          <w:rFonts w:ascii="Times New Roman" w:eastAsiaTheme="minorHAnsi" w:hAnsi="Times New Roman" w:cs="Times New Roman"/>
          <w:sz w:val="22"/>
          <w:szCs w:val="22"/>
        </w:rPr>
        <w:t>auction manager</w:t>
      </w:r>
      <w:r w:rsidR="004755B3">
        <w:rPr>
          <w:rFonts w:ascii="Times New Roman" w:eastAsiaTheme="minorHAnsi" w:hAnsi="Times New Roman" w:cs="Times New Roman"/>
          <w:sz w:val="22"/>
          <w:szCs w:val="22"/>
        </w:rPr>
        <w:t xml:space="preserve"> to provide specific information to bidders before, and after, rounds, which may be used by bidders in assessing whether to make a bid in a round.  </w:t>
      </w:r>
      <w:r w:rsidR="008500D5" w:rsidRPr="007C05EB">
        <w:rPr>
          <w:rFonts w:ascii="Times New Roman" w:eastAsiaTheme="minorHAnsi" w:hAnsi="Times New Roman" w:cs="Times New Roman"/>
          <w:sz w:val="22"/>
          <w:szCs w:val="22"/>
        </w:rPr>
        <w:t>Before the start time of each round for bids on the 10 MHz lot, the auction manager must us</w:t>
      </w:r>
      <w:r w:rsidR="001F5FF1">
        <w:rPr>
          <w:rFonts w:ascii="Times New Roman" w:eastAsiaTheme="minorHAnsi" w:hAnsi="Times New Roman" w:cs="Times New Roman"/>
          <w:sz w:val="22"/>
          <w:szCs w:val="22"/>
        </w:rPr>
        <w:t>e</w:t>
      </w:r>
      <w:r w:rsidR="008500D5" w:rsidRPr="007C05EB">
        <w:rPr>
          <w:rFonts w:ascii="Times New Roman" w:eastAsiaTheme="minorHAnsi" w:hAnsi="Times New Roman" w:cs="Times New Roman"/>
          <w:sz w:val="22"/>
          <w:szCs w:val="22"/>
        </w:rPr>
        <w:t xml:space="preserve"> the auction system</w:t>
      </w:r>
      <w:r w:rsidR="001F5FF1">
        <w:rPr>
          <w:rFonts w:ascii="Times New Roman" w:eastAsiaTheme="minorHAnsi" w:hAnsi="Times New Roman" w:cs="Times New Roman"/>
          <w:sz w:val="22"/>
          <w:szCs w:val="22"/>
        </w:rPr>
        <w:t xml:space="preserve"> to provide</w:t>
      </w:r>
      <w:r w:rsidR="008500D5" w:rsidRPr="007C05EB">
        <w:rPr>
          <w:rFonts w:ascii="Times New Roman" w:eastAsiaTheme="minorHAnsi" w:hAnsi="Times New Roman" w:cs="Times New Roman"/>
          <w:sz w:val="22"/>
          <w:szCs w:val="22"/>
        </w:rPr>
        <w:t xml:space="preserve"> to each bidder who nominated the 10 MHz lot as a preferred lot</w:t>
      </w:r>
      <w:r w:rsidR="004755B3">
        <w:rPr>
          <w:rFonts w:ascii="Times New Roman" w:eastAsiaTheme="minorHAnsi" w:hAnsi="Times New Roman" w:cs="Times New Roman"/>
          <w:sz w:val="22"/>
          <w:szCs w:val="22"/>
        </w:rPr>
        <w:t xml:space="preserve"> the following information:</w:t>
      </w:r>
    </w:p>
    <w:p w14:paraId="572CF1A5" w14:textId="54913031" w:rsidR="004755B3" w:rsidRDefault="008500D5" w:rsidP="004755B3">
      <w:pPr>
        <w:pStyle w:val="ACMABodyText"/>
        <w:numPr>
          <w:ilvl w:val="0"/>
          <w:numId w:val="24"/>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start time of the round</w:t>
      </w:r>
      <w:r w:rsidR="001F5FF1">
        <w:rPr>
          <w:rFonts w:ascii="Times New Roman" w:eastAsiaTheme="minorHAnsi" w:hAnsi="Times New Roman" w:cs="Times New Roman"/>
          <w:sz w:val="22"/>
          <w:szCs w:val="22"/>
        </w:rPr>
        <w:t>;</w:t>
      </w:r>
    </w:p>
    <w:p w14:paraId="52B6333D" w14:textId="60F2A53C" w:rsidR="004755B3" w:rsidRDefault="008500D5" w:rsidP="004755B3">
      <w:pPr>
        <w:pStyle w:val="ACMABodyText"/>
        <w:numPr>
          <w:ilvl w:val="0"/>
          <w:numId w:val="24"/>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end time of the round</w:t>
      </w:r>
      <w:r w:rsidR="004755B3">
        <w:rPr>
          <w:rFonts w:ascii="Times New Roman" w:eastAsiaTheme="minorHAnsi" w:hAnsi="Times New Roman" w:cs="Times New Roman"/>
          <w:sz w:val="22"/>
          <w:szCs w:val="22"/>
        </w:rPr>
        <w:t>;</w:t>
      </w:r>
    </w:p>
    <w:p w14:paraId="41214451" w14:textId="103B6565" w:rsidR="004755B3" w:rsidRDefault="008500D5" w:rsidP="004755B3">
      <w:pPr>
        <w:pStyle w:val="ACMABodyText"/>
        <w:numPr>
          <w:ilvl w:val="0"/>
          <w:numId w:val="24"/>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specified price that will apply to the 10 MHz lot in the round;</w:t>
      </w:r>
    </w:p>
    <w:p w14:paraId="16843575" w14:textId="1CC3EE96" w:rsidR="004755B3" w:rsidRDefault="008500D5" w:rsidP="004755B3">
      <w:pPr>
        <w:pStyle w:val="ACMABodyText"/>
        <w:numPr>
          <w:ilvl w:val="0"/>
          <w:numId w:val="24"/>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lastRenderedPageBreak/>
        <w:t xml:space="preserve">for each round other than the first round, the specified price that applied to the 10 MHz lot in the previous round; </w:t>
      </w:r>
    </w:p>
    <w:p w14:paraId="46151866" w14:textId="77777777" w:rsidR="004755B3" w:rsidRDefault="008500D5" w:rsidP="004755B3">
      <w:pPr>
        <w:pStyle w:val="ACMABodyText"/>
        <w:numPr>
          <w:ilvl w:val="0"/>
          <w:numId w:val="24"/>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total number of bidders that have nominated the 10 MHz lot as a preferred lot;</w:t>
      </w:r>
    </w:p>
    <w:p w14:paraId="664650A0" w14:textId="77777777" w:rsidR="004755B3" w:rsidRDefault="008500D5" w:rsidP="004755B3">
      <w:pPr>
        <w:pStyle w:val="ACMABodyText"/>
        <w:numPr>
          <w:ilvl w:val="0"/>
          <w:numId w:val="24"/>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number of bidders remaining in the auction for the 10 MHz lot after the end of the previous round</w:t>
      </w:r>
      <w:r w:rsidR="004755B3">
        <w:rPr>
          <w:rFonts w:ascii="Times New Roman" w:eastAsiaTheme="minorHAnsi" w:hAnsi="Times New Roman" w:cs="Times New Roman"/>
          <w:sz w:val="22"/>
          <w:szCs w:val="22"/>
        </w:rPr>
        <w:t>;</w:t>
      </w:r>
      <w:r w:rsidRPr="007C05EB">
        <w:rPr>
          <w:rFonts w:ascii="Times New Roman" w:eastAsiaTheme="minorHAnsi" w:hAnsi="Times New Roman" w:cs="Times New Roman"/>
          <w:sz w:val="22"/>
          <w:szCs w:val="22"/>
        </w:rPr>
        <w:t xml:space="preserve"> and </w:t>
      </w:r>
    </w:p>
    <w:p w14:paraId="1129DD07" w14:textId="328FF499" w:rsidR="008500D5" w:rsidRPr="007C05EB" w:rsidRDefault="008500D5" w:rsidP="004755B3">
      <w:pPr>
        <w:pStyle w:val="ACMABodyText"/>
        <w:numPr>
          <w:ilvl w:val="0"/>
          <w:numId w:val="24"/>
        </w:numPr>
        <w:rPr>
          <w:rFonts w:ascii="Times New Roman" w:eastAsiaTheme="minorHAnsi" w:hAnsi="Times New Roman" w:cs="Times New Roman"/>
          <w:sz w:val="22"/>
          <w:szCs w:val="22"/>
        </w:rPr>
      </w:pPr>
      <w:proofErr w:type="gramStart"/>
      <w:r w:rsidRPr="007C05EB">
        <w:rPr>
          <w:rFonts w:ascii="Times New Roman" w:eastAsiaTheme="minorHAnsi" w:hAnsi="Times New Roman" w:cs="Times New Roman"/>
          <w:sz w:val="22"/>
          <w:szCs w:val="22"/>
        </w:rPr>
        <w:t>any</w:t>
      </w:r>
      <w:proofErr w:type="gramEnd"/>
      <w:r w:rsidRPr="007C05EB">
        <w:rPr>
          <w:rFonts w:ascii="Times New Roman" w:eastAsiaTheme="minorHAnsi" w:hAnsi="Times New Roman" w:cs="Times New Roman"/>
          <w:sz w:val="22"/>
          <w:szCs w:val="22"/>
        </w:rPr>
        <w:t xml:space="preserve"> other information the ACMA considers necessary or convenient to conduct the auction.</w:t>
      </w:r>
    </w:p>
    <w:p w14:paraId="228DFB90" w14:textId="0480557A" w:rsidR="001F5FF1" w:rsidRDefault="001F5FF1" w:rsidP="003772A0">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During a round, no bidder will know the amount of any other bidder’s bid, or whether any other bidder has made a bid.</w:t>
      </w:r>
    </w:p>
    <w:p w14:paraId="11D83471" w14:textId="61549557" w:rsidR="004755B3" w:rsidRDefault="003772A0" w:rsidP="003772A0">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After each round for bids on the 10 MHz lot, the auction manager must </w:t>
      </w:r>
      <w:r w:rsidR="001F5FF1">
        <w:rPr>
          <w:rFonts w:ascii="Times New Roman" w:eastAsiaTheme="minorHAnsi" w:hAnsi="Times New Roman" w:cs="Times New Roman"/>
          <w:sz w:val="22"/>
          <w:szCs w:val="22"/>
        </w:rPr>
        <w:t>use</w:t>
      </w:r>
      <w:r w:rsidRPr="007C05EB">
        <w:rPr>
          <w:rFonts w:ascii="Times New Roman" w:eastAsiaTheme="minorHAnsi" w:hAnsi="Times New Roman" w:cs="Times New Roman"/>
          <w:sz w:val="22"/>
          <w:szCs w:val="22"/>
        </w:rPr>
        <w:t xml:space="preserve"> the auction system</w:t>
      </w:r>
      <w:r w:rsidR="001F5FF1">
        <w:rPr>
          <w:rFonts w:ascii="Times New Roman" w:eastAsiaTheme="minorHAnsi" w:hAnsi="Times New Roman" w:cs="Times New Roman"/>
          <w:sz w:val="22"/>
          <w:szCs w:val="22"/>
        </w:rPr>
        <w:t xml:space="preserve"> to provide</w:t>
      </w:r>
      <w:r w:rsidRPr="007C05EB">
        <w:rPr>
          <w:rFonts w:ascii="Times New Roman" w:eastAsiaTheme="minorHAnsi" w:hAnsi="Times New Roman" w:cs="Times New Roman"/>
          <w:sz w:val="22"/>
          <w:szCs w:val="22"/>
        </w:rPr>
        <w:t xml:space="preserve"> to each bidder who nominated the 10 MHz lot as a preferred lot</w:t>
      </w:r>
      <w:r w:rsidR="004755B3">
        <w:rPr>
          <w:rFonts w:ascii="Times New Roman" w:eastAsiaTheme="minorHAnsi" w:hAnsi="Times New Roman" w:cs="Times New Roman"/>
          <w:sz w:val="22"/>
          <w:szCs w:val="22"/>
        </w:rPr>
        <w:t xml:space="preserve"> the following information:</w:t>
      </w:r>
    </w:p>
    <w:p w14:paraId="7A0E38AE" w14:textId="04F218AE" w:rsidR="004755B3" w:rsidRDefault="003772A0" w:rsidP="004755B3">
      <w:pPr>
        <w:pStyle w:val="ACMABodyText"/>
        <w:numPr>
          <w:ilvl w:val="0"/>
          <w:numId w:val="25"/>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the bid made by the bidder during the round (if any); </w:t>
      </w:r>
    </w:p>
    <w:p w14:paraId="6135582B" w14:textId="56A9782B" w:rsidR="004755B3" w:rsidRDefault="003772A0" w:rsidP="004755B3">
      <w:pPr>
        <w:pStyle w:val="ACMABodyText"/>
        <w:numPr>
          <w:ilvl w:val="0"/>
          <w:numId w:val="25"/>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for each round other than the final round for the 10 MHz lot– the number of bidders remaining in the auction for the lot after the round;</w:t>
      </w:r>
    </w:p>
    <w:p w14:paraId="2C8FA6DC" w14:textId="77777777" w:rsidR="004755B3" w:rsidRDefault="003772A0" w:rsidP="004755B3">
      <w:pPr>
        <w:pStyle w:val="ACMABodyText"/>
        <w:numPr>
          <w:ilvl w:val="0"/>
          <w:numId w:val="25"/>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if, as a result of the round, the bidder is the winning bidder for the 10 MHz lot – the winning price for that lot; </w:t>
      </w:r>
      <w:r w:rsidR="004755B3">
        <w:rPr>
          <w:rFonts w:ascii="Times New Roman" w:eastAsiaTheme="minorHAnsi" w:hAnsi="Times New Roman" w:cs="Times New Roman"/>
          <w:sz w:val="22"/>
          <w:szCs w:val="22"/>
        </w:rPr>
        <w:t>and</w:t>
      </w:r>
    </w:p>
    <w:p w14:paraId="6856D224" w14:textId="1E00FE6C" w:rsidR="003772A0" w:rsidRPr="007C05EB" w:rsidRDefault="003772A0" w:rsidP="004755B3">
      <w:pPr>
        <w:pStyle w:val="ACMABodyText"/>
        <w:numPr>
          <w:ilvl w:val="0"/>
          <w:numId w:val="25"/>
        </w:numPr>
        <w:rPr>
          <w:rFonts w:ascii="Times New Roman" w:eastAsiaTheme="minorHAnsi" w:hAnsi="Times New Roman" w:cs="Times New Roman"/>
          <w:sz w:val="22"/>
          <w:szCs w:val="22"/>
        </w:rPr>
      </w:pPr>
      <w:proofErr w:type="gramStart"/>
      <w:r w:rsidRPr="007C05EB">
        <w:rPr>
          <w:rFonts w:ascii="Times New Roman" w:eastAsiaTheme="minorHAnsi" w:hAnsi="Times New Roman" w:cs="Times New Roman"/>
          <w:sz w:val="22"/>
          <w:szCs w:val="22"/>
        </w:rPr>
        <w:t>any</w:t>
      </w:r>
      <w:proofErr w:type="gramEnd"/>
      <w:r w:rsidRPr="007C05EB">
        <w:rPr>
          <w:rFonts w:ascii="Times New Roman" w:eastAsiaTheme="minorHAnsi" w:hAnsi="Times New Roman" w:cs="Times New Roman"/>
          <w:sz w:val="22"/>
          <w:szCs w:val="22"/>
        </w:rPr>
        <w:t xml:space="preserve"> other information the ACMA considers necessary or convenient to conduct the auction.</w:t>
      </w:r>
    </w:p>
    <w:p w14:paraId="6314C82D" w14:textId="00045B5D" w:rsidR="004755B3" w:rsidRDefault="003772A0" w:rsidP="003772A0">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Before the start time of each round for bids on the 5 MHz lot, the auction manager must </w:t>
      </w:r>
      <w:r w:rsidR="001F5FF1">
        <w:rPr>
          <w:rFonts w:ascii="Times New Roman" w:eastAsiaTheme="minorHAnsi" w:hAnsi="Times New Roman" w:cs="Times New Roman"/>
          <w:sz w:val="22"/>
          <w:szCs w:val="22"/>
        </w:rPr>
        <w:t>u</w:t>
      </w:r>
      <w:r w:rsidRPr="007C05EB">
        <w:rPr>
          <w:rFonts w:ascii="Times New Roman" w:eastAsiaTheme="minorHAnsi" w:hAnsi="Times New Roman" w:cs="Times New Roman"/>
          <w:sz w:val="22"/>
          <w:szCs w:val="22"/>
        </w:rPr>
        <w:t>s</w:t>
      </w:r>
      <w:r w:rsidR="001F5FF1">
        <w:rPr>
          <w:rFonts w:ascii="Times New Roman" w:eastAsiaTheme="minorHAnsi" w:hAnsi="Times New Roman" w:cs="Times New Roman"/>
          <w:sz w:val="22"/>
          <w:szCs w:val="22"/>
        </w:rPr>
        <w:t>e</w:t>
      </w:r>
      <w:r w:rsidRPr="007C05EB">
        <w:rPr>
          <w:rFonts w:ascii="Times New Roman" w:eastAsiaTheme="minorHAnsi" w:hAnsi="Times New Roman" w:cs="Times New Roman"/>
          <w:sz w:val="22"/>
          <w:szCs w:val="22"/>
        </w:rPr>
        <w:t xml:space="preserve"> the auction system</w:t>
      </w:r>
      <w:r w:rsidR="001F5FF1">
        <w:rPr>
          <w:rFonts w:ascii="Times New Roman" w:eastAsiaTheme="minorHAnsi" w:hAnsi="Times New Roman" w:cs="Times New Roman"/>
          <w:sz w:val="22"/>
          <w:szCs w:val="22"/>
        </w:rPr>
        <w:t xml:space="preserve"> to provide</w:t>
      </w:r>
      <w:r w:rsidRPr="007C05EB">
        <w:rPr>
          <w:rFonts w:ascii="Times New Roman" w:eastAsiaTheme="minorHAnsi" w:hAnsi="Times New Roman" w:cs="Times New Roman"/>
          <w:sz w:val="22"/>
          <w:szCs w:val="22"/>
        </w:rPr>
        <w:t xml:space="preserve"> to each bidder who nominated the 5 MHz lot as a preferred lot</w:t>
      </w:r>
      <w:r w:rsidR="004755B3">
        <w:rPr>
          <w:rFonts w:ascii="Times New Roman" w:eastAsiaTheme="minorHAnsi" w:hAnsi="Times New Roman" w:cs="Times New Roman"/>
          <w:sz w:val="22"/>
          <w:szCs w:val="22"/>
        </w:rPr>
        <w:t xml:space="preserve"> the following information:</w:t>
      </w:r>
    </w:p>
    <w:p w14:paraId="5F182ED2" w14:textId="04FB63C3" w:rsidR="004755B3" w:rsidRDefault="003772A0" w:rsidP="004755B3">
      <w:pPr>
        <w:pStyle w:val="ACMABodyText"/>
        <w:numPr>
          <w:ilvl w:val="0"/>
          <w:numId w:val="26"/>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start time of the round</w:t>
      </w:r>
      <w:r w:rsidR="004755B3">
        <w:rPr>
          <w:rFonts w:ascii="Times New Roman" w:eastAsiaTheme="minorHAnsi" w:hAnsi="Times New Roman" w:cs="Times New Roman"/>
          <w:sz w:val="22"/>
          <w:szCs w:val="22"/>
        </w:rPr>
        <w:t>;</w:t>
      </w:r>
    </w:p>
    <w:p w14:paraId="7C982D25" w14:textId="1126C85A" w:rsidR="004755B3" w:rsidRDefault="003772A0" w:rsidP="004755B3">
      <w:pPr>
        <w:pStyle w:val="ACMABodyText"/>
        <w:numPr>
          <w:ilvl w:val="0"/>
          <w:numId w:val="26"/>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end time of the round</w:t>
      </w:r>
      <w:r w:rsidR="004755B3">
        <w:rPr>
          <w:rFonts w:ascii="Times New Roman" w:eastAsiaTheme="minorHAnsi" w:hAnsi="Times New Roman" w:cs="Times New Roman"/>
          <w:sz w:val="22"/>
          <w:szCs w:val="22"/>
        </w:rPr>
        <w:t>;</w:t>
      </w:r>
    </w:p>
    <w:p w14:paraId="7140FF5F" w14:textId="77777777" w:rsidR="004755B3" w:rsidRDefault="003772A0" w:rsidP="004755B3">
      <w:pPr>
        <w:pStyle w:val="ACMABodyText"/>
        <w:numPr>
          <w:ilvl w:val="0"/>
          <w:numId w:val="26"/>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 the specified price that will apply to the 5 MHz lot in the round; </w:t>
      </w:r>
    </w:p>
    <w:p w14:paraId="286E3F29" w14:textId="23A4B3DB" w:rsidR="004755B3" w:rsidRDefault="003772A0" w:rsidP="004755B3">
      <w:pPr>
        <w:pStyle w:val="ACMABodyText"/>
        <w:numPr>
          <w:ilvl w:val="0"/>
          <w:numId w:val="26"/>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for each round other than the first round, the specified price that applied to the 5 MHz lot in the previous round; </w:t>
      </w:r>
    </w:p>
    <w:p w14:paraId="63ADFF4F" w14:textId="77777777" w:rsidR="004755B3" w:rsidRDefault="003772A0" w:rsidP="004755B3">
      <w:pPr>
        <w:pStyle w:val="ACMABodyText"/>
        <w:numPr>
          <w:ilvl w:val="0"/>
          <w:numId w:val="26"/>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total number of bidders that have nominated the 5 MHz lot as a preferred lot;</w:t>
      </w:r>
    </w:p>
    <w:p w14:paraId="249BD67F" w14:textId="77777777" w:rsidR="004755B3" w:rsidRDefault="003772A0" w:rsidP="004755B3">
      <w:pPr>
        <w:pStyle w:val="ACMABodyText"/>
        <w:numPr>
          <w:ilvl w:val="0"/>
          <w:numId w:val="26"/>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number of bidders remaining in the auction for the 5 MHz lot after the end of the previous round</w:t>
      </w:r>
      <w:r w:rsidR="004755B3">
        <w:rPr>
          <w:rFonts w:ascii="Times New Roman" w:eastAsiaTheme="minorHAnsi" w:hAnsi="Times New Roman" w:cs="Times New Roman"/>
          <w:sz w:val="22"/>
          <w:szCs w:val="22"/>
        </w:rPr>
        <w:t>;</w:t>
      </w:r>
      <w:r w:rsidRPr="007C05EB">
        <w:rPr>
          <w:rFonts w:ascii="Times New Roman" w:eastAsiaTheme="minorHAnsi" w:hAnsi="Times New Roman" w:cs="Times New Roman"/>
          <w:sz w:val="22"/>
          <w:szCs w:val="22"/>
        </w:rPr>
        <w:t xml:space="preserve"> and </w:t>
      </w:r>
    </w:p>
    <w:p w14:paraId="6054AB50" w14:textId="09808F58" w:rsidR="003772A0" w:rsidRPr="007C05EB" w:rsidRDefault="003772A0" w:rsidP="004755B3">
      <w:pPr>
        <w:pStyle w:val="ACMABodyText"/>
        <w:numPr>
          <w:ilvl w:val="0"/>
          <w:numId w:val="26"/>
        </w:numPr>
        <w:rPr>
          <w:rFonts w:ascii="Times New Roman" w:eastAsiaTheme="minorHAnsi" w:hAnsi="Times New Roman" w:cs="Times New Roman"/>
          <w:sz w:val="22"/>
          <w:szCs w:val="22"/>
        </w:rPr>
      </w:pPr>
      <w:proofErr w:type="gramStart"/>
      <w:r w:rsidRPr="007C05EB">
        <w:rPr>
          <w:rFonts w:ascii="Times New Roman" w:eastAsiaTheme="minorHAnsi" w:hAnsi="Times New Roman" w:cs="Times New Roman"/>
          <w:sz w:val="22"/>
          <w:szCs w:val="22"/>
        </w:rPr>
        <w:t>any</w:t>
      </w:r>
      <w:proofErr w:type="gramEnd"/>
      <w:r w:rsidRPr="007C05EB">
        <w:rPr>
          <w:rFonts w:ascii="Times New Roman" w:eastAsiaTheme="minorHAnsi" w:hAnsi="Times New Roman" w:cs="Times New Roman"/>
          <w:sz w:val="22"/>
          <w:szCs w:val="22"/>
        </w:rPr>
        <w:t xml:space="preserve"> other information the ACMA considers necessary or convenient to conduct the auction.</w:t>
      </w:r>
    </w:p>
    <w:p w14:paraId="7A59CEC4" w14:textId="77777777" w:rsidR="001F5FF1" w:rsidRDefault="001F5FF1" w:rsidP="001F5FF1">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During a round, no bidder will know the amount of any other bidder’s bid, or whether any other bidder has made a bid.</w:t>
      </w:r>
    </w:p>
    <w:p w14:paraId="385B773A" w14:textId="5C577747" w:rsidR="00A47D81" w:rsidRDefault="003772A0" w:rsidP="003772A0">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After each round for bids on the 5 MHz lot, the auction manager must </w:t>
      </w:r>
      <w:r w:rsidR="001F5FF1">
        <w:rPr>
          <w:rFonts w:ascii="Times New Roman" w:eastAsiaTheme="minorHAnsi" w:hAnsi="Times New Roman" w:cs="Times New Roman"/>
          <w:sz w:val="22"/>
          <w:szCs w:val="22"/>
        </w:rPr>
        <w:t>use</w:t>
      </w:r>
      <w:r w:rsidRPr="007C05EB">
        <w:rPr>
          <w:rFonts w:ascii="Times New Roman" w:eastAsiaTheme="minorHAnsi" w:hAnsi="Times New Roman" w:cs="Times New Roman"/>
          <w:sz w:val="22"/>
          <w:szCs w:val="22"/>
        </w:rPr>
        <w:t xml:space="preserve"> the auction system</w:t>
      </w:r>
      <w:r w:rsidR="001F5FF1">
        <w:rPr>
          <w:rFonts w:ascii="Times New Roman" w:eastAsiaTheme="minorHAnsi" w:hAnsi="Times New Roman" w:cs="Times New Roman"/>
          <w:sz w:val="22"/>
          <w:szCs w:val="22"/>
        </w:rPr>
        <w:t xml:space="preserve"> to provide</w:t>
      </w:r>
      <w:r w:rsidRPr="007C05EB">
        <w:rPr>
          <w:rFonts w:ascii="Times New Roman" w:eastAsiaTheme="minorHAnsi" w:hAnsi="Times New Roman" w:cs="Times New Roman"/>
          <w:sz w:val="22"/>
          <w:szCs w:val="22"/>
        </w:rPr>
        <w:t xml:space="preserve"> to each bidder who nominated the 5 MHz lot as a preferred lot</w:t>
      </w:r>
      <w:r w:rsidR="00A47D81">
        <w:rPr>
          <w:rFonts w:ascii="Times New Roman" w:eastAsiaTheme="minorHAnsi" w:hAnsi="Times New Roman" w:cs="Times New Roman"/>
          <w:sz w:val="22"/>
          <w:szCs w:val="22"/>
        </w:rPr>
        <w:t xml:space="preserve"> the following information:</w:t>
      </w:r>
    </w:p>
    <w:p w14:paraId="3238791D" w14:textId="2287CFA3" w:rsidR="00A47D81" w:rsidRDefault="003772A0" w:rsidP="00A47D81">
      <w:pPr>
        <w:pStyle w:val="ACMABodyText"/>
        <w:numPr>
          <w:ilvl w:val="0"/>
          <w:numId w:val="27"/>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the bid made by the bidder during the round (if any); </w:t>
      </w:r>
    </w:p>
    <w:p w14:paraId="62B7B376" w14:textId="77777777" w:rsidR="00A47D81" w:rsidRDefault="003772A0" w:rsidP="00A47D81">
      <w:pPr>
        <w:pStyle w:val="ACMABodyText"/>
        <w:numPr>
          <w:ilvl w:val="0"/>
          <w:numId w:val="27"/>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for each round other than the final round for the 5 MHz lot– the number of bidders remaining in the auction for the lot after the round; </w:t>
      </w:r>
    </w:p>
    <w:p w14:paraId="2EDFC140" w14:textId="77777777" w:rsidR="00A47D81" w:rsidRDefault="003772A0" w:rsidP="00A47D81">
      <w:pPr>
        <w:pStyle w:val="ACMABodyText"/>
        <w:numPr>
          <w:ilvl w:val="0"/>
          <w:numId w:val="27"/>
        </w:numPr>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if, as a result of the round, the bidder is the winning bidder for the 5 MHz lot – the winning price for that lot;</w:t>
      </w:r>
      <w:r w:rsidR="00A47D81">
        <w:rPr>
          <w:rFonts w:ascii="Times New Roman" w:eastAsiaTheme="minorHAnsi" w:hAnsi="Times New Roman" w:cs="Times New Roman"/>
          <w:sz w:val="22"/>
          <w:szCs w:val="22"/>
        </w:rPr>
        <w:t xml:space="preserve"> and</w:t>
      </w:r>
    </w:p>
    <w:p w14:paraId="2B3D0F14" w14:textId="4F3568D2" w:rsidR="003772A0" w:rsidRPr="007C05EB" w:rsidRDefault="003772A0" w:rsidP="00A47D81">
      <w:pPr>
        <w:pStyle w:val="ACMABodyText"/>
        <w:numPr>
          <w:ilvl w:val="0"/>
          <w:numId w:val="27"/>
        </w:numPr>
        <w:rPr>
          <w:rFonts w:ascii="Times New Roman" w:eastAsiaTheme="minorHAnsi" w:hAnsi="Times New Roman" w:cs="Times New Roman"/>
          <w:sz w:val="22"/>
          <w:szCs w:val="22"/>
        </w:rPr>
      </w:pPr>
      <w:proofErr w:type="gramStart"/>
      <w:r w:rsidRPr="007C05EB">
        <w:rPr>
          <w:rFonts w:ascii="Times New Roman" w:eastAsiaTheme="minorHAnsi" w:hAnsi="Times New Roman" w:cs="Times New Roman"/>
          <w:sz w:val="22"/>
          <w:szCs w:val="22"/>
        </w:rPr>
        <w:lastRenderedPageBreak/>
        <w:t>any</w:t>
      </w:r>
      <w:proofErr w:type="gramEnd"/>
      <w:r w:rsidRPr="007C05EB">
        <w:rPr>
          <w:rFonts w:ascii="Times New Roman" w:eastAsiaTheme="minorHAnsi" w:hAnsi="Times New Roman" w:cs="Times New Roman"/>
          <w:sz w:val="22"/>
          <w:szCs w:val="22"/>
        </w:rPr>
        <w:t xml:space="preserve"> other information the ACMA considers necessary or convenient to conduct the auction.</w:t>
      </w:r>
    </w:p>
    <w:p w14:paraId="744DA4B9" w14:textId="31A6EC1A" w:rsidR="00603AB1" w:rsidRPr="007C05EB" w:rsidRDefault="00F060A2" w:rsidP="007C05EB">
      <w:pPr>
        <w:keepNext/>
        <w:spacing w:after="160" w:line="259" w:lineRule="auto"/>
        <w:rPr>
          <w:rFonts w:eastAsiaTheme="minorHAnsi"/>
          <w:b/>
          <w:sz w:val="22"/>
          <w:szCs w:val="22"/>
          <w:lang w:eastAsia="en-US"/>
        </w:rPr>
      </w:pPr>
      <w:r w:rsidRPr="007C05EB">
        <w:rPr>
          <w:rFonts w:eastAsiaTheme="minorHAnsi"/>
          <w:b/>
          <w:sz w:val="22"/>
          <w:szCs w:val="22"/>
          <w:lang w:eastAsia="en-US"/>
        </w:rPr>
        <w:t xml:space="preserve">Clause </w:t>
      </w:r>
      <w:r w:rsidR="00DB3355" w:rsidRPr="007C05EB">
        <w:rPr>
          <w:rFonts w:eastAsiaTheme="minorHAnsi"/>
          <w:b/>
          <w:sz w:val="22"/>
          <w:szCs w:val="22"/>
          <w:lang w:eastAsia="en-US"/>
        </w:rPr>
        <w:t>3</w:t>
      </w:r>
      <w:r w:rsidR="00693C1C" w:rsidRPr="007C05EB">
        <w:rPr>
          <w:rFonts w:eastAsiaTheme="minorHAnsi"/>
          <w:b/>
          <w:sz w:val="22"/>
          <w:szCs w:val="22"/>
          <w:lang w:eastAsia="en-US"/>
        </w:rPr>
        <w:tab/>
      </w:r>
      <w:r w:rsidR="00DB6571" w:rsidRPr="007C05EB">
        <w:rPr>
          <w:rFonts w:eastAsiaTheme="minorHAnsi"/>
          <w:b/>
          <w:sz w:val="22"/>
          <w:szCs w:val="22"/>
          <w:lang w:eastAsia="en-US"/>
        </w:rPr>
        <w:t>Recess days</w:t>
      </w:r>
    </w:p>
    <w:p w14:paraId="61B54730" w14:textId="1551FF4A" w:rsidR="00DB6571" w:rsidRPr="007C05EB" w:rsidRDefault="00603AB1" w:rsidP="00726EB3">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This </w:t>
      </w:r>
      <w:r w:rsidR="00236FA7" w:rsidRPr="007C05EB">
        <w:rPr>
          <w:rFonts w:ascii="Times New Roman" w:eastAsiaTheme="minorHAnsi" w:hAnsi="Times New Roman" w:cs="Times New Roman"/>
          <w:sz w:val="22"/>
          <w:szCs w:val="22"/>
        </w:rPr>
        <w:t>clause</w:t>
      </w:r>
      <w:r w:rsidRPr="007C05EB">
        <w:rPr>
          <w:rFonts w:ascii="Times New Roman" w:eastAsiaTheme="minorHAnsi" w:hAnsi="Times New Roman" w:cs="Times New Roman"/>
          <w:sz w:val="22"/>
          <w:szCs w:val="22"/>
        </w:rPr>
        <w:t xml:space="preserve"> </w:t>
      </w:r>
      <w:r w:rsidR="00A47D81">
        <w:rPr>
          <w:rFonts w:ascii="Times New Roman" w:eastAsiaTheme="minorHAnsi" w:hAnsi="Times New Roman" w:cs="Times New Roman"/>
          <w:sz w:val="22"/>
          <w:szCs w:val="22"/>
        </w:rPr>
        <w:t>provides</w:t>
      </w:r>
      <w:r w:rsidR="00A47D81" w:rsidRPr="007C05EB">
        <w:rPr>
          <w:rFonts w:ascii="Times New Roman" w:eastAsiaTheme="minorHAnsi" w:hAnsi="Times New Roman" w:cs="Times New Roman"/>
          <w:sz w:val="22"/>
          <w:szCs w:val="22"/>
        </w:rPr>
        <w:t xml:space="preserve"> </w:t>
      </w:r>
      <w:r w:rsidR="00DB6571" w:rsidRPr="007C05EB">
        <w:rPr>
          <w:rFonts w:ascii="Times New Roman" w:eastAsiaTheme="minorHAnsi" w:hAnsi="Times New Roman" w:cs="Times New Roman"/>
          <w:sz w:val="22"/>
          <w:szCs w:val="22"/>
        </w:rPr>
        <w:t xml:space="preserve">that the auction manager may declare a day to be a </w:t>
      </w:r>
      <w:r w:rsidR="00DB6571" w:rsidRPr="00DA1D31">
        <w:rPr>
          <w:rFonts w:ascii="Times New Roman" w:eastAsiaTheme="minorHAnsi" w:hAnsi="Times New Roman" w:cs="Times New Roman"/>
          <w:b/>
          <w:sz w:val="22"/>
          <w:szCs w:val="22"/>
        </w:rPr>
        <w:t>recess day</w:t>
      </w:r>
      <w:r w:rsidR="00DB6571" w:rsidRPr="007C05EB">
        <w:rPr>
          <w:rFonts w:ascii="Times New Roman" w:eastAsiaTheme="minorHAnsi" w:hAnsi="Times New Roman" w:cs="Times New Roman"/>
          <w:sz w:val="22"/>
          <w:szCs w:val="22"/>
        </w:rPr>
        <w:t xml:space="preserve"> (whether or not the day is a working day)</w:t>
      </w:r>
      <w:r w:rsidR="00F060A2" w:rsidRPr="007C05EB">
        <w:rPr>
          <w:rFonts w:ascii="Times New Roman" w:eastAsiaTheme="minorHAnsi" w:hAnsi="Times New Roman" w:cs="Times New Roman"/>
          <w:sz w:val="22"/>
          <w:szCs w:val="22"/>
        </w:rPr>
        <w:t xml:space="preserve">. </w:t>
      </w:r>
      <w:r w:rsidR="001F5FF1">
        <w:rPr>
          <w:rFonts w:ascii="Times New Roman" w:eastAsiaTheme="minorHAnsi" w:hAnsi="Times New Roman" w:cs="Times New Roman"/>
          <w:sz w:val="22"/>
          <w:szCs w:val="22"/>
        </w:rPr>
        <w:t xml:space="preserve"> </w:t>
      </w:r>
      <w:r w:rsidR="00F060A2" w:rsidRPr="007C05EB">
        <w:rPr>
          <w:rFonts w:ascii="Times New Roman" w:eastAsiaTheme="minorHAnsi" w:hAnsi="Times New Roman" w:cs="Times New Roman"/>
          <w:sz w:val="22"/>
          <w:szCs w:val="22"/>
        </w:rPr>
        <w:t xml:space="preserve">Before the auction manager declares a recess day, </w:t>
      </w:r>
      <w:r w:rsidR="003772A0" w:rsidRPr="007C05EB">
        <w:rPr>
          <w:rFonts w:ascii="Times New Roman" w:eastAsiaTheme="minorHAnsi" w:hAnsi="Times New Roman" w:cs="Times New Roman"/>
          <w:sz w:val="22"/>
          <w:szCs w:val="22"/>
        </w:rPr>
        <w:t xml:space="preserve">other than </w:t>
      </w:r>
      <w:r w:rsidR="00A47D81">
        <w:rPr>
          <w:rFonts w:ascii="Times New Roman" w:eastAsiaTheme="minorHAnsi" w:hAnsi="Times New Roman" w:cs="Times New Roman"/>
          <w:sz w:val="22"/>
          <w:szCs w:val="22"/>
        </w:rPr>
        <w:t>the recess day</w:t>
      </w:r>
      <w:r w:rsidR="00401FC5">
        <w:rPr>
          <w:rFonts w:ascii="Times New Roman" w:eastAsiaTheme="minorHAnsi" w:hAnsi="Times New Roman" w:cs="Times New Roman"/>
          <w:sz w:val="22"/>
          <w:szCs w:val="22"/>
        </w:rPr>
        <w:t>(s)</w:t>
      </w:r>
      <w:r w:rsidR="00A47D81">
        <w:rPr>
          <w:rFonts w:ascii="Times New Roman" w:eastAsiaTheme="minorHAnsi" w:hAnsi="Times New Roman" w:cs="Times New Roman"/>
          <w:sz w:val="22"/>
          <w:szCs w:val="22"/>
        </w:rPr>
        <w:t xml:space="preserve"> </w:t>
      </w:r>
      <w:r w:rsidR="003772A0" w:rsidRPr="007C05EB">
        <w:rPr>
          <w:rFonts w:ascii="Times New Roman" w:eastAsiaTheme="minorHAnsi" w:hAnsi="Times New Roman" w:cs="Times New Roman"/>
          <w:sz w:val="22"/>
          <w:szCs w:val="22"/>
        </w:rPr>
        <w:t>mentioned in paragraph 2(3</w:t>
      </w:r>
      <w:proofErr w:type="gramStart"/>
      <w:r w:rsidR="003772A0" w:rsidRPr="007C05EB">
        <w:rPr>
          <w:rFonts w:ascii="Times New Roman" w:eastAsiaTheme="minorHAnsi" w:hAnsi="Times New Roman" w:cs="Times New Roman"/>
          <w:sz w:val="22"/>
          <w:szCs w:val="22"/>
        </w:rPr>
        <w:t>)(</w:t>
      </w:r>
      <w:proofErr w:type="gramEnd"/>
      <w:r w:rsidR="003772A0" w:rsidRPr="007C05EB">
        <w:rPr>
          <w:rFonts w:ascii="Times New Roman" w:eastAsiaTheme="minorHAnsi" w:hAnsi="Times New Roman" w:cs="Times New Roman"/>
          <w:sz w:val="22"/>
          <w:szCs w:val="22"/>
        </w:rPr>
        <w:t xml:space="preserve">a) of the Schedule, the auction manger </w:t>
      </w:r>
      <w:r w:rsidR="00F060A2" w:rsidRPr="007C05EB">
        <w:rPr>
          <w:rFonts w:ascii="Times New Roman" w:eastAsiaTheme="minorHAnsi" w:hAnsi="Times New Roman" w:cs="Times New Roman"/>
          <w:sz w:val="22"/>
          <w:szCs w:val="22"/>
        </w:rPr>
        <w:t xml:space="preserve">must give bidders an opportunity to comment on the </w:t>
      </w:r>
      <w:r w:rsidR="00693C1C" w:rsidRPr="007C05EB">
        <w:rPr>
          <w:rFonts w:ascii="Times New Roman" w:eastAsiaTheme="minorHAnsi" w:hAnsi="Times New Roman" w:cs="Times New Roman"/>
          <w:sz w:val="22"/>
          <w:szCs w:val="22"/>
        </w:rPr>
        <w:t xml:space="preserve">proposed </w:t>
      </w:r>
      <w:r w:rsidR="00F060A2" w:rsidRPr="007C05EB">
        <w:rPr>
          <w:rFonts w:ascii="Times New Roman" w:eastAsiaTheme="minorHAnsi" w:hAnsi="Times New Roman" w:cs="Times New Roman"/>
          <w:sz w:val="22"/>
          <w:szCs w:val="22"/>
        </w:rPr>
        <w:t>declaration and take into account any comments received.</w:t>
      </w:r>
      <w:r w:rsidR="00A47D81">
        <w:rPr>
          <w:rFonts w:ascii="Times New Roman" w:eastAsiaTheme="minorHAnsi" w:hAnsi="Times New Roman" w:cs="Times New Roman"/>
          <w:sz w:val="22"/>
          <w:szCs w:val="22"/>
        </w:rPr>
        <w:t xml:space="preserve"> </w:t>
      </w:r>
      <w:r w:rsidR="00320172" w:rsidRPr="007C05EB">
        <w:rPr>
          <w:rFonts w:ascii="Times New Roman" w:eastAsiaTheme="minorHAnsi" w:hAnsi="Times New Roman" w:cs="Times New Roman"/>
          <w:sz w:val="22"/>
          <w:szCs w:val="22"/>
        </w:rPr>
        <w:t xml:space="preserve"> If the auction manager declares a recess day</w:t>
      </w:r>
      <w:r w:rsidR="003772A0" w:rsidRPr="007C05EB">
        <w:rPr>
          <w:rFonts w:ascii="Times New Roman" w:eastAsiaTheme="minorHAnsi" w:hAnsi="Times New Roman" w:cs="Times New Roman"/>
          <w:sz w:val="22"/>
          <w:szCs w:val="22"/>
        </w:rPr>
        <w:t xml:space="preserve"> the auction manager </w:t>
      </w:r>
      <w:r w:rsidR="00320172" w:rsidRPr="007C05EB">
        <w:rPr>
          <w:rFonts w:ascii="Times New Roman" w:eastAsiaTheme="minorHAnsi" w:hAnsi="Times New Roman" w:cs="Times New Roman"/>
          <w:sz w:val="22"/>
          <w:szCs w:val="22"/>
        </w:rPr>
        <w:t xml:space="preserve">must </w:t>
      </w:r>
      <w:r w:rsidR="00B535F0" w:rsidRPr="007C05EB">
        <w:rPr>
          <w:rFonts w:ascii="Times New Roman" w:eastAsiaTheme="minorHAnsi" w:hAnsi="Times New Roman" w:cs="Times New Roman"/>
          <w:sz w:val="22"/>
          <w:szCs w:val="22"/>
        </w:rPr>
        <w:t xml:space="preserve">inform </w:t>
      </w:r>
      <w:r w:rsidR="00320172" w:rsidRPr="007C05EB">
        <w:rPr>
          <w:rFonts w:ascii="Times New Roman" w:eastAsiaTheme="minorHAnsi" w:hAnsi="Times New Roman" w:cs="Times New Roman"/>
          <w:sz w:val="22"/>
          <w:szCs w:val="22"/>
        </w:rPr>
        <w:t>all bidders of this</w:t>
      </w:r>
      <w:r w:rsidR="00B535F0" w:rsidRPr="007C05EB">
        <w:rPr>
          <w:rFonts w:ascii="Times New Roman" w:eastAsiaTheme="minorHAnsi" w:hAnsi="Times New Roman" w:cs="Times New Roman"/>
          <w:sz w:val="22"/>
          <w:szCs w:val="22"/>
        </w:rPr>
        <w:t xml:space="preserve"> decision</w:t>
      </w:r>
      <w:r w:rsidR="00320172" w:rsidRPr="007C05EB">
        <w:rPr>
          <w:rFonts w:ascii="Times New Roman" w:eastAsiaTheme="minorHAnsi" w:hAnsi="Times New Roman" w:cs="Times New Roman"/>
          <w:sz w:val="22"/>
          <w:szCs w:val="22"/>
        </w:rPr>
        <w:t>.</w:t>
      </w:r>
      <w:r w:rsidR="00F060A2" w:rsidRPr="007C05EB">
        <w:rPr>
          <w:rFonts w:ascii="Times New Roman" w:eastAsiaTheme="minorHAnsi" w:hAnsi="Times New Roman" w:cs="Times New Roman"/>
          <w:sz w:val="22"/>
          <w:szCs w:val="22"/>
        </w:rPr>
        <w:t xml:space="preserve"> </w:t>
      </w:r>
    </w:p>
    <w:p w14:paraId="6AF803CB" w14:textId="0F24EEC0" w:rsidR="001C76E4" w:rsidRPr="007C05EB" w:rsidRDefault="001C76E4" w:rsidP="007C05EB">
      <w:pPr>
        <w:keepNext/>
        <w:spacing w:before="280" w:after="160" w:line="259" w:lineRule="auto"/>
        <w:rPr>
          <w:rFonts w:eastAsiaTheme="minorHAnsi"/>
          <w:b/>
          <w:lang w:eastAsia="en-US"/>
        </w:rPr>
      </w:pPr>
      <w:r w:rsidRPr="007C05EB">
        <w:rPr>
          <w:rFonts w:eastAsiaTheme="minorHAnsi"/>
          <w:b/>
          <w:lang w:eastAsia="en-US"/>
        </w:rPr>
        <w:t>Part 2</w:t>
      </w:r>
      <w:r w:rsidRPr="007C05EB">
        <w:rPr>
          <w:rFonts w:eastAsiaTheme="minorHAnsi"/>
          <w:b/>
          <w:lang w:eastAsia="en-US"/>
        </w:rPr>
        <w:tab/>
      </w:r>
      <w:r w:rsidR="00DA1D31">
        <w:rPr>
          <w:rFonts w:eastAsiaTheme="minorHAnsi"/>
          <w:b/>
          <w:lang w:eastAsia="en-US"/>
        </w:rPr>
        <w:tab/>
      </w:r>
      <w:r w:rsidRPr="007C05EB">
        <w:rPr>
          <w:rFonts w:eastAsiaTheme="minorHAnsi"/>
          <w:b/>
          <w:lang w:eastAsia="en-US"/>
        </w:rPr>
        <w:t xml:space="preserve">Bidding in the </w:t>
      </w:r>
      <w:r w:rsidR="00C80A9D" w:rsidRPr="007C05EB">
        <w:rPr>
          <w:rFonts w:eastAsiaTheme="minorHAnsi"/>
          <w:b/>
          <w:lang w:eastAsia="en-US"/>
        </w:rPr>
        <w:t>a</w:t>
      </w:r>
      <w:r w:rsidRPr="007C05EB">
        <w:rPr>
          <w:rFonts w:eastAsiaTheme="minorHAnsi"/>
          <w:b/>
          <w:lang w:eastAsia="en-US"/>
        </w:rPr>
        <w:t xml:space="preserve">uction </w:t>
      </w:r>
    </w:p>
    <w:p w14:paraId="7A25ACBD" w14:textId="4021E534" w:rsidR="00F53A7D" w:rsidRDefault="00874F10" w:rsidP="007C05EB">
      <w:pPr>
        <w:keepNext/>
        <w:spacing w:after="160" w:line="259" w:lineRule="auto"/>
        <w:rPr>
          <w:rStyle w:val="CharSectno"/>
          <w:rFonts w:cs="Arial"/>
          <w:sz w:val="20"/>
          <w:szCs w:val="20"/>
        </w:rPr>
      </w:pPr>
      <w:r w:rsidRPr="007C05EB">
        <w:rPr>
          <w:rFonts w:eastAsiaTheme="minorHAnsi"/>
          <w:b/>
          <w:sz w:val="22"/>
          <w:szCs w:val="22"/>
          <w:lang w:eastAsia="en-US"/>
        </w:rPr>
        <w:t>Clause</w:t>
      </w:r>
      <w:r w:rsidR="00DB3355" w:rsidRPr="007C05EB">
        <w:rPr>
          <w:rFonts w:eastAsiaTheme="minorHAnsi"/>
          <w:b/>
          <w:sz w:val="22"/>
          <w:szCs w:val="22"/>
          <w:lang w:eastAsia="en-US"/>
        </w:rPr>
        <w:t xml:space="preserve"> </w:t>
      </w:r>
      <w:r w:rsidR="000F0EA4" w:rsidRPr="007C05EB">
        <w:rPr>
          <w:rFonts w:eastAsiaTheme="minorHAnsi"/>
          <w:b/>
          <w:sz w:val="22"/>
          <w:szCs w:val="22"/>
          <w:lang w:eastAsia="en-US"/>
        </w:rPr>
        <w:t>4</w:t>
      </w:r>
      <w:r w:rsidR="00693C1C" w:rsidRPr="007C05EB">
        <w:rPr>
          <w:rFonts w:eastAsiaTheme="minorHAnsi"/>
          <w:b/>
          <w:sz w:val="22"/>
          <w:szCs w:val="22"/>
          <w:lang w:eastAsia="en-US"/>
        </w:rPr>
        <w:tab/>
      </w:r>
      <w:r w:rsidR="00F53A7D" w:rsidRPr="007C05EB">
        <w:rPr>
          <w:rFonts w:eastAsiaTheme="minorHAnsi"/>
          <w:b/>
          <w:sz w:val="22"/>
          <w:szCs w:val="22"/>
          <w:lang w:eastAsia="en-US"/>
        </w:rPr>
        <w:t xml:space="preserve">When bidder cannot make a </w:t>
      </w:r>
      <w:r w:rsidR="009410B8" w:rsidRPr="007C05EB">
        <w:rPr>
          <w:rFonts w:eastAsiaTheme="minorHAnsi"/>
          <w:b/>
          <w:sz w:val="22"/>
          <w:szCs w:val="22"/>
          <w:lang w:eastAsia="en-US"/>
        </w:rPr>
        <w:t>bid</w:t>
      </w:r>
      <w:r w:rsidR="00F53A7D" w:rsidRPr="007C05EB">
        <w:rPr>
          <w:rFonts w:eastAsiaTheme="minorHAnsi"/>
          <w:b/>
          <w:sz w:val="22"/>
          <w:szCs w:val="22"/>
          <w:lang w:eastAsia="en-US"/>
        </w:rPr>
        <w:t xml:space="preserve"> on a lot</w:t>
      </w:r>
    </w:p>
    <w:p w14:paraId="0461DA03" w14:textId="0094975A" w:rsidR="00A47D81" w:rsidRDefault="001F5FF1" w:rsidP="001517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The nature of the SCA methodology</w:t>
      </w:r>
      <w:r w:rsidR="00A47D81">
        <w:rPr>
          <w:rFonts w:ascii="Times New Roman" w:eastAsiaTheme="minorHAnsi" w:hAnsi="Times New Roman" w:cs="Times New Roman"/>
          <w:sz w:val="22"/>
          <w:szCs w:val="22"/>
        </w:rPr>
        <w:t xml:space="preserve"> adopted by the ACMA is such that bidders can make a continue bid or an exit bid.  As mentioned above, a continue bid in a round is a bid equal to or greater than the specified price for the lot for the round.  The specified price for a lot for a round is the sum of the specified price for the lot for the previous round (or the starting price, where the round is the first round) plus the specified price for the previous round multiplied by the bid increment percentage.  An exit bid in a round is a bid equal to or greater than the specified price for the lot for the previous round, but less than the specified price for the lot in </w:t>
      </w:r>
      <w:r w:rsidR="00401FC5">
        <w:rPr>
          <w:rFonts w:ascii="Times New Roman" w:eastAsiaTheme="minorHAnsi" w:hAnsi="Times New Roman" w:cs="Times New Roman"/>
          <w:sz w:val="22"/>
          <w:szCs w:val="22"/>
        </w:rPr>
        <w:t>that</w:t>
      </w:r>
      <w:r w:rsidR="00A47D81">
        <w:rPr>
          <w:rFonts w:ascii="Times New Roman" w:eastAsiaTheme="minorHAnsi" w:hAnsi="Times New Roman" w:cs="Times New Roman"/>
          <w:sz w:val="22"/>
          <w:szCs w:val="22"/>
        </w:rPr>
        <w:t xml:space="preserve"> round.</w:t>
      </w:r>
      <w:r w:rsidR="00DA1D31">
        <w:rPr>
          <w:rFonts w:ascii="Times New Roman" w:eastAsiaTheme="minorHAnsi" w:hAnsi="Times New Roman" w:cs="Times New Roman"/>
          <w:sz w:val="22"/>
          <w:szCs w:val="22"/>
        </w:rPr>
        <w:t xml:space="preserve">  </w:t>
      </w:r>
    </w:p>
    <w:p w14:paraId="10A8D19E" w14:textId="0F872452" w:rsidR="00A47D81" w:rsidRDefault="00A47D81" w:rsidP="001517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For example, consider a lot with starting price of $100, and a bid increment percentage of 10%.</w:t>
      </w:r>
    </w:p>
    <w:p w14:paraId="741317ED" w14:textId="77777777" w:rsidR="00A47D81" w:rsidRPr="00FC70A7" w:rsidRDefault="00A47D81" w:rsidP="00A47D81">
      <w:pPr>
        <w:pStyle w:val="ENotesText"/>
        <w:spacing w:before="60" w:line="240" w:lineRule="atLeas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34"/>
        <w:gridCol w:w="2128"/>
        <w:gridCol w:w="2326"/>
        <w:gridCol w:w="1815"/>
        <w:gridCol w:w="1811"/>
      </w:tblGrid>
      <w:tr w:rsidR="00A47D81" w:rsidRPr="00FC70A7" w14:paraId="043DB768" w14:textId="1E51EB8C" w:rsidTr="007D6A9A">
        <w:trPr>
          <w:cantSplit/>
          <w:tblHeader/>
        </w:trPr>
        <w:tc>
          <w:tcPr>
            <w:tcW w:w="615" w:type="pct"/>
            <w:tcBorders>
              <w:top w:val="single" w:sz="12" w:space="0" w:color="auto"/>
              <w:bottom w:val="single" w:sz="12" w:space="0" w:color="auto"/>
            </w:tcBorders>
            <w:shd w:val="clear" w:color="auto" w:fill="auto"/>
          </w:tcPr>
          <w:p w14:paraId="1B89E6F2" w14:textId="239A5BF7" w:rsidR="00A47D81" w:rsidRPr="007D6A9A" w:rsidRDefault="00A47D81" w:rsidP="009777AA">
            <w:pPr>
              <w:pStyle w:val="ENoteTableHeading"/>
              <w:rPr>
                <w:rFonts w:ascii="Times New Roman" w:hAnsi="Times New Roman"/>
                <w:b w:val="0"/>
                <w:i/>
                <w:sz w:val="22"/>
                <w:szCs w:val="22"/>
              </w:rPr>
            </w:pPr>
            <w:r w:rsidRPr="007D6A9A">
              <w:rPr>
                <w:rFonts w:ascii="Times New Roman" w:hAnsi="Times New Roman"/>
                <w:b w:val="0"/>
                <w:i/>
                <w:sz w:val="22"/>
                <w:szCs w:val="22"/>
              </w:rPr>
              <w:t>Round</w:t>
            </w:r>
          </w:p>
        </w:tc>
        <w:tc>
          <w:tcPr>
            <w:tcW w:w="1155" w:type="pct"/>
            <w:tcBorders>
              <w:top w:val="single" w:sz="12" w:space="0" w:color="auto"/>
              <w:bottom w:val="single" w:sz="12" w:space="0" w:color="auto"/>
            </w:tcBorders>
            <w:shd w:val="clear" w:color="auto" w:fill="auto"/>
          </w:tcPr>
          <w:p w14:paraId="146D9188" w14:textId="3B80B1FF" w:rsidR="00A47D81" w:rsidRPr="007D6A9A" w:rsidRDefault="00A47D81" w:rsidP="009777AA">
            <w:pPr>
              <w:pStyle w:val="ENoteTableHeading"/>
              <w:rPr>
                <w:rFonts w:ascii="Times New Roman" w:hAnsi="Times New Roman"/>
                <w:b w:val="0"/>
                <w:i/>
                <w:sz w:val="22"/>
                <w:szCs w:val="22"/>
              </w:rPr>
            </w:pPr>
            <w:r w:rsidRPr="007D6A9A">
              <w:rPr>
                <w:rFonts w:ascii="Times New Roman" w:hAnsi="Times New Roman"/>
                <w:b w:val="0"/>
                <w:i/>
                <w:sz w:val="22"/>
                <w:szCs w:val="22"/>
              </w:rPr>
              <w:t>Specified price for</w:t>
            </w:r>
            <w:r w:rsidR="00503F92">
              <w:rPr>
                <w:rFonts w:ascii="Times New Roman" w:hAnsi="Times New Roman"/>
                <w:b w:val="0"/>
                <w:i/>
                <w:sz w:val="22"/>
                <w:szCs w:val="22"/>
              </w:rPr>
              <w:t xml:space="preserve"> the</w:t>
            </w:r>
            <w:r w:rsidRPr="007D6A9A">
              <w:rPr>
                <w:rFonts w:ascii="Times New Roman" w:hAnsi="Times New Roman"/>
                <w:b w:val="0"/>
                <w:i/>
                <w:sz w:val="22"/>
                <w:szCs w:val="22"/>
              </w:rPr>
              <w:t xml:space="preserve"> previous round, or starting price for the first round</w:t>
            </w:r>
          </w:p>
        </w:tc>
        <w:tc>
          <w:tcPr>
            <w:tcW w:w="1262" w:type="pct"/>
            <w:tcBorders>
              <w:top w:val="single" w:sz="12" w:space="0" w:color="auto"/>
              <w:bottom w:val="single" w:sz="12" w:space="0" w:color="auto"/>
            </w:tcBorders>
            <w:shd w:val="clear" w:color="auto" w:fill="auto"/>
          </w:tcPr>
          <w:p w14:paraId="4A74CA0D" w14:textId="72E84510" w:rsidR="00A47D81" w:rsidRPr="007D6A9A" w:rsidRDefault="00A47D81" w:rsidP="009777AA">
            <w:pPr>
              <w:pStyle w:val="ENoteTableHeading"/>
              <w:rPr>
                <w:rFonts w:ascii="Times New Roman" w:hAnsi="Times New Roman"/>
                <w:b w:val="0"/>
                <w:i/>
                <w:sz w:val="22"/>
                <w:szCs w:val="22"/>
              </w:rPr>
            </w:pPr>
            <w:r w:rsidRPr="007D6A9A">
              <w:rPr>
                <w:rFonts w:ascii="Times New Roman" w:hAnsi="Times New Roman"/>
                <w:b w:val="0"/>
                <w:i/>
                <w:sz w:val="22"/>
                <w:szCs w:val="22"/>
              </w:rPr>
              <w:t>Specified price for the round</w:t>
            </w:r>
          </w:p>
        </w:tc>
        <w:tc>
          <w:tcPr>
            <w:tcW w:w="985" w:type="pct"/>
            <w:tcBorders>
              <w:top w:val="single" w:sz="12" w:space="0" w:color="auto"/>
              <w:bottom w:val="single" w:sz="12" w:space="0" w:color="auto"/>
            </w:tcBorders>
            <w:shd w:val="clear" w:color="auto" w:fill="auto"/>
          </w:tcPr>
          <w:p w14:paraId="7D781EAC" w14:textId="124246B3" w:rsidR="00A47D81" w:rsidRPr="007D6A9A" w:rsidRDefault="00A47D81" w:rsidP="009777AA">
            <w:pPr>
              <w:pStyle w:val="ENoteTableHeading"/>
              <w:rPr>
                <w:rFonts w:ascii="Times New Roman" w:hAnsi="Times New Roman"/>
                <w:b w:val="0"/>
                <w:i/>
                <w:sz w:val="22"/>
                <w:szCs w:val="22"/>
              </w:rPr>
            </w:pPr>
            <w:r w:rsidRPr="007D6A9A">
              <w:rPr>
                <w:rFonts w:ascii="Times New Roman" w:hAnsi="Times New Roman"/>
                <w:b w:val="0"/>
                <w:i/>
                <w:sz w:val="22"/>
                <w:szCs w:val="22"/>
              </w:rPr>
              <w:t>Exit bid for the round</w:t>
            </w:r>
          </w:p>
        </w:tc>
        <w:tc>
          <w:tcPr>
            <w:tcW w:w="983" w:type="pct"/>
            <w:tcBorders>
              <w:top w:val="single" w:sz="12" w:space="0" w:color="auto"/>
              <w:bottom w:val="single" w:sz="12" w:space="0" w:color="auto"/>
            </w:tcBorders>
          </w:tcPr>
          <w:p w14:paraId="47C60F5C" w14:textId="139EFBA0" w:rsidR="00A47D81" w:rsidRPr="007D6A9A" w:rsidRDefault="00A47D81" w:rsidP="009777AA">
            <w:pPr>
              <w:pStyle w:val="ENoteTableHeading"/>
              <w:rPr>
                <w:rFonts w:ascii="Times New Roman" w:hAnsi="Times New Roman"/>
                <w:b w:val="0"/>
                <w:i/>
                <w:sz w:val="22"/>
                <w:szCs w:val="22"/>
              </w:rPr>
            </w:pPr>
            <w:r w:rsidRPr="007D6A9A">
              <w:rPr>
                <w:rFonts w:ascii="Times New Roman" w:hAnsi="Times New Roman"/>
                <w:b w:val="0"/>
                <w:i/>
                <w:sz w:val="22"/>
                <w:szCs w:val="22"/>
              </w:rPr>
              <w:t>Continue bid for the round</w:t>
            </w:r>
          </w:p>
        </w:tc>
      </w:tr>
      <w:tr w:rsidR="00A47D81" w:rsidRPr="00FC70A7" w14:paraId="7AFBC154" w14:textId="14480A6D" w:rsidTr="007D6A9A">
        <w:trPr>
          <w:cantSplit/>
        </w:trPr>
        <w:tc>
          <w:tcPr>
            <w:tcW w:w="615" w:type="pct"/>
            <w:tcBorders>
              <w:top w:val="single" w:sz="12" w:space="0" w:color="auto"/>
              <w:bottom w:val="single" w:sz="4" w:space="0" w:color="auto"/>
            </w:tcBorders>
            <w:shd w:val="clear" w:color="auto" w:fill="auto"/>
          </w:tcPr>
          <w:p w14:paraId="4EB1BB44" w14:textId="4B1146A0" w:rsidR="00A47D81" w:rsidRPr="00A47D81" w:rsidRDefault="00A47D81" w:rsidP="009777AA">
            <w:pPr>
              <w:pStyle w:val="ENoteTableText"/>
              <w:rPr>
                <w:sz w:val="22"/>
                <w:szCs w:val="22"/>
              </w:rPr>
            </w:pPr>
            <w:r>
              <w:rPr>
                <w:sz w:val="22"/>
                <w:szCs w:val="22"/>
              </w:rPr>
              <w:t>1</w:t>
            </w:r>
          </w:p>
        </w:tc>
        <w:tc>
          <w:tcPr>
            <w:tcW w:w="1155" w:type="pct"/>
            <w:tcBorders>
              <w:top w:val="single" w:sz="12" w:space="0" w:color="auto"/>
              <w:bottom w:val="single" w:sz="4" w:space="0" w:color="auto"/>
            </w:tcBorders>
            <w:shd w:val="clear" w:color="auto" w:fill="auto"/>
          </w:tcPr>
          <w:p w14:paraId="6388BBD0" w14:textId="0E7866B3" w:rsidR="00A47D81" w:rsidRPr="00A47D81" w:rsidRDefault="00A47D81" w:rsidP="009777AA">
            <w:pPr>
              <w:pStyle w:val="ENoteTableText"/>
              <w:rPr>
                <w:sz w:val="22"/>
                <w:szCs w:val="22"/>
              </w:rPr>
            </w:pPr>
            <w:r>
              <w:rPr>
                <w:sz w:val="22"/>
                <w:szCs w:val="22"/>
              </w:rPr>
              <w:t>$100</w:t>
            </w:r>
          </w:p>
        </w:tc>
        <w:tc>
          <w:tcPr>
            <w:tcW w:w="1262" w:type="pct"/>
            <w:tcBorders>
              <w:top w:val="single" w:sz="12" w:space="0" w:color="auto"/>
              <w:bottom w:val="single" w:sz="4" w:space="0" w:color="auto"/>
            </w:tcBorders>
            <w:shd w:val="clear" w:color="auto" w:fill="auto"/>
          </w:tcPr>
          <w:p w14:paraId="36406C7D" w14:textId="77777777" w:rsidR="00A47D81" w:rsidRDefault="00A47D81" w:rsidP="009777AA">
            <w:pPr>
              <w:pStyle w:val="ENoteTableText"/>
              <w:rPr>
                <w:sz w:val="22"/>
                <w:szCs w:val="22"/>
              </w:rPr>
            </w:pPr>
            <w:r>
              <w:rPr>
                <w:sz w:val="22"/>
                <w:szCs w:val="22"/>
              </w:rPr>
              <w:t>$100 + 10% of $100</w:t>
            </w:r>
          </w:p>
          <w:p w14:paraId="0F9A088F" w14:textId="629F4EAE" w:rsidR="00A47D81" w:rsidRPr="00A47D81" w:rsidRDefault="00A47D81" w:rsidP="009777AA">
            <w:pPr>
              <w:pStyle w:val="ENoteTableText"/>
              <w:rPr>
                <w:sz w:val="22"/>
                <w:szCs w:val="22"/>
              </w:rPr>
            </w:pPr>
            <w:r>
              <w:rPr>
                <w:sz w:val="22"/>
                <w:szCs w:val="22"/>
              </w:rPr>
              <w:t>= $110</w:t>
            </w:r>
          </w:p>
        </w:tc>
        <w:tc>
          <w:tcPr>
            <w:tcW w:w="985" w:type="pct"/>
            <w:tcBorders>
              <w:top w:val="single" w:sz="12" w:space="0" w:color="auto"/>
              <w:bottom w:val="single" w:sz="4" w:space="0" w:color="auto"/>
            </w:tcBorders>
            <w:shd w:val="clear" w:color="auto" w:fill="auto"/>
          </w:tcPr>
          <w:p w14:paraId="2347224E" w14:textId="149A4201" w:rsidR="00A47D81" w:rsidRPr="00A47D81" w:rsidRDefault="00A47D81" w:rsidP="009777AA">
            <w:pPr>
              <w:pStyle w:val="ENoteTableText"/>
              <w:rPr>
                <w:sz w:val="22"/>
                <w:szCs w:val="22"/>
              </w:rPr>
            </w:pPr>
            <w:r>
              <w:rPr>
                <w:sz w:val="22"/>
                <w:szCs w:val="22"/>
              </w:rPr>
              <w:t>Equal to or greater than $100, but less than $110</w:t>
            </w:r>
          </w:p>
        </w:tc>
        <w:tc>
          <w:tcPr>
            <w:tcW w:w="983" w:type="pct"/>
            <w:tcBorders>
              <w:top w:val="single" w:sz="12" w:space="0" w:color="auto"/>
              <w:bottom w:val="single" w:sz="4" w:space="0" w:color="auto"/>
            </w:tcBorders>
          </w:tcPr>
          <w:p w14:paraId="2AC4AE72" w14:textId="7CE2DD34" w:rsidR="00A47D81" w:rsidRPr="00A47D81" w:rsidRDefault="00A47D81" w:rsidP="009777AA">
            <w:pPr>
              <w:pStyle w:val="ENoteTableText"/>
              <w:rPr>
                <w:sz w:val="22"/>
                <w:szCs w:val="22"/>
              </w:rPr>
            </w:pPr>
            <w:r>
              <w:rPr>
                <w:sz w:val="22"/>
                <w:szCs w:val="22"/>
              </w:rPr>
              <w:t>Equal to or greater than $110</w:t>
            </w:r>
          </w:p>
        </w:tc>
      </w:tr>
      <w:tr w:rsidR="00A47D81" w:rsidRPr="00FC70A7" w14:paraId="39420760" w14:textId="566523C1" w:rsidTr="007D6A9A">
        <w:trPr>
          <w:cantSplit/>
        </w:trPr>
        <w:tc>
          <w:tcPr>
            <w:tcW w:w="615" w:type="pct"/>
            <w:tcBorders>
              <w:top w:val="single" w:sz="4" w:space="0" w:color="auto"/>
              <w:bottom w:val="single" w:sz="4" w:space="0" w:color="auto"/>
            </w:tcBorders>
            <w:shd w:val="clear" w:color="auto" w:fill="auto"/>
          </w:tcPr>
          <w:p w14:paraId="2734C028" w14:textId="03759F64" w:rsidR="00A47D81" w:rsidRPr="00A47D81" w:rsidRDefault="007D6A9A" w:rsidP="009777AA">
            <w:pPr>
              <w:pStyle w:val="ENoteTableText"/>
              <w:rPr>
                <w:sz w:val="22"/>
                <w:szCs w:val="22"/>
              </w:rPr>
            </w:pPr>
            <w:r>
              <w:rPr>
                <w:sz w:val="22"/>
                <w:szCs w:val="22"/>
              </w:rPr>
              <w:t>2</w:t>
            </w:r>
          </w:p>
        </w:tc>
        <w:tc>
          <w:tcPr>
            <w:tcW w:w="1155" w:type="pct"/>
            <w:tcBorders>
              <w:top w:val="single" w:sz="4" w:space="0" w:color="auto"/>
              <w:bottom w:val="single" w:sz="4" w:space="0" w:color="auto"/>
            </w:tcBorders>
            <w:shd w:val="clear" w:color="auto" w:fill="auto"/>
          </w:tcPr>
          <w:p w14:paraId="2DBC9620" w14:textId="7FF6A8BA" w:rsidR="00A47D81" w:rsidRPr="00A47D81" w:rsidRDefault="007D6A9A" w:rsidP="009777AA">
            <w:pPr>
              <w:pStyle w:val="ENoteTableText"/>
              <w:rPr>
                <w:sz w:val="22"/>
                <w:szCs w:val="22"/>
              </w:rPr>
            </w:pPr>
            <w:r>
              <w:rPr>
                <w:sz w:val="22"/>
                <w:szCs w:val="22"/>
              </w:rPr>
              <w:t>$110</w:t>
            </w:r>
          </w:p>
        </w:tc>
        <w:tc>
          <w:tcPr>
            <w:tcW w:w="1262" w:type="pct"/>
            <w:tcBorders>
              <w:top w:val="single" w:sz="4" w:space="0" w:color="auto"/>
              <w:bottom w:val="single" w:sz="4" w:space="0" w:color="auto"/>
            </w:tcBorders>
            <w:shd w:val="clear" w:color="auto" w:fill="auto"/>
          </w:tcPr>
          <w:p w14:paraId="34B3D8CA" w14:textId="77777777" w:rsidR="00A47D81" w:rsidRDefault="007D6A9A" w:rsidP="009777AA">
            <w:pPr>
              <w:pStyle w:val="ENoteTableText"/>
              <w:rPr>
                <w:sz w:val="22"/>
                <w:szCs w:val="22"/>
              </w:rPr>
            </w:pPr>
            <w:r>
              <w:rPr>
                <w:sz w:val="22"/>
                <w:szCs w:val="22"/>
              </w:rPr>
              <w:t>$110 + 10% of $110</w:t>
            </w:r>
          </w:p>
          <w:p w14:paraId="36D80A10" w14:textId="2CECDB13" w:rsidR="007D6A9A" w:rsidRPr="00A47D81" w:rsidRDefault="007D6A9A" w:rsidP="009777AA">
            <w:pPr>
              <w:pStyle w:val="ENoteTableText"/>
              <w:rPr>
                <w:sz w:val="22"/>
                <w:szCs w:val="22"/>
              </w:rPr>
            </w:pPr>
            <w:r>
              <w:rPr>
                <w:sz w:val="22"/>
                <w:szCs w:val="22"/>
              </w:rPr>
              <w:t>= $121</w:t>
            </w:r>
          </w:p>
        </w:tc>
        <w:tc>
          <w:tcPr>
            <w:tcW w:w="985" w:type="pct"/>
            <w:tcBorders>
              <w:top w:val="single" w:sz="4" w:space="0" w:color="auto"/>
              <w:bottom w:val="single" w:sz="4" w:space="0" w:color="auto"/>
            </w:tcBorders>
            <w:shd w:val="clear" w:color="auto" w:fill="auto"/>
          </w:tcPr>
          <w:p w14:paraId="1906E9BF" w14:textId="159D33F5" w:rsidR="00A47D81" w:rsidRPr="00A47D81" w:rsidRDefault="007D6A9A" w:rsidP="009777AA">
            <w:pPr>
              <w:pStyle w:val="ENoteTableText"/>
              <w:rPr>
                <w:sz w:val="22"/>
                <w:szCs w:val="22"/>
              </w:rPr>
            </w:pPr>
            <w:r>
              <w:rPr>
                <w:sz w:val="22"/>
                <w:szCs w:val="22"/>
              </w:rPr>
              <w:t>Equal to or greater than $110, but less than $121</w:t>
            </w:r>
          </w:p>
        </w:tc>
        <w:tc>
          <w:tcPr>
            <w:tcW w:w="983" w:type="pct"/>
            <w:tcBorders>
              <w:top w:val="single" w:sz="4" w:space="0" w:color="auto"/>
              <w:bottom w:val="single" w:sz="4" w:space="0" w:color="auto"/>
            </w:tcBorders>
          </w:tcPr>
          <w:p w14:paraId="011982E0" w14:textId="4ADEFF7E" w:rsidR="00A47D81" w:rsidRPr="00A47D81" w:rsidRDefault="007D6A9A" w:rsidP="009777AA">
            <w:pPr>
              <w:pStyle w:val="ENoteTableText"/>
              <w:rPr>
                <w:sz w:val="22"/>
                <w:szCs w:val="22"/>
              </w:rPr>
            </w:pPr>
            <w:r>
              <w:rPr>
                <w:sz w:val="22"/>
                <w:szCs w:val="22"/>
              </w:rPr>
              <w:t>Equal to or greater than $121</w:t>
            </w:r>
          </w:p>
        </w:tc>
      </w:tr>
      <w:tr w:rsidR="00A47D81" w:rsidRPr="00FC70A7" w14:paraId="380DAC80" w14:textId="347457A4" w:rsidTr="007D6A9A">
        <w:trPr>
          <w:cantSplit/>
        </w:trPr>
        <w:tc>
          <w:tcPr>
            <w:tcW w:w="615" w:type="pct"/>
            <w:tcBorders>
              <w:bottom w:val="single" w:sz="12" w:space="0" w:color="auto"/>
            </w:tcBorders>
            <w:shd w:val="clear" w:color="auto" w:fill="auto"/>
          </w:tcPr>
          <w:p w14:paraId="309077F6" w14:textId="67FC552B" w:rsidR="00A47D81" w:rsidRPr="007D6A9A" w:rsidRDefault="007D6A9A" w:rsidP="009777AA">
            <w:pPr>
              <w:pStyle w:val="ENoteTableText"/>
              <w:rPr>
                <w:sz w:val="22"/>
                <w:szCs w:val="22"/>
              </w:rPr>
            </w:pPr>
            <w:r>
              <w:rPr>
                <w:sz w:val="22"/>
                <w:szCs w:val="22"/>
              </w:rPr>
              <w:t>3</w:t>
            </w:r>
          </w:p>
        </w:tc>
        <w:tc>
          <w:tcPr>
            <w:tcW w:w="1155" w:type="pct"/>
            <w:tcBorders>
              <w:bottom w:val="single" w:sz="12" w:space="0" w:color="auto"/>
            </w:tcBorders>
            <w:shd w:val="clear" w:color="auto" w:fill="auto"/>
          </w:tcPr>
          <w:p w14:paraId="3156F74D" w14:textId="565C4F00" w:rsidR="00A47D81" w:rsidRPr="007D6A9A" w:rsidRDefault="007D6A9A" w:rsidP="009777AA">
            <w:pPr>
              <w:pStyle w:val="ENoteTableText"/>
              <w:rPr>
                <w:sz w:val="22"/>
                <w:szCs w:val="22"/>
              </w:rPr>
            </w:pPr>
            <w:r>
              <w:rPr>
                <w:sz w:val="22"/>
                <w:szCs w:val="22"/>
              </w:rPr>
              <w:t>$121</w:t>
            </w:r>
          </w:p>
        </w:tc>
        <w:tc>
          <w:tcPr>
            <w:tcW w:w="1262" w:type="pct"/>
            <w:tcBorders>
              <w:bottom w:val="single" w:sz="12" w:space="0" w:color="auto"/>
            </w:tcBorders>
            <w:shd w:val="clear" w:color="auto" w:fill="auto"/>
          </w:tcPr>
          <w:p w14:paraId="2E4FA0EC" w14:textId="77777777" w:rsidR="00A47D81" w:rsidRDefault="007D6A9A" w:rsidP="009777AA">
            <w:pPr>
              <w:pStyle w:val="ENoteTableText"/>
              <w:rPr>
                <w:sz w:val="22"/>
                <w:szCs w:val="22"/>
              </w:rPr>
            </w:pPr>
            <w:r>
              <w:rPr>
                <w:sz w:val="22"/>
                <w:szCs w:val="22"/>
              </w:rPr>
              <w:t>$121 + 10% of $121</w:t>
            </w:r>
          </w:p>
          <w:p w14:paraId="705A2421" w14:textId="2664B762" w:rsidR="007D6A9A" w:rsidRPr="007D6A9A" w:rsidRDefault="007D6A9A" w:rsidP="009777AA">
            <w:pPr>
              <w:pStyle w:val="ENoteTableText"/>
              <w:rPr>
                <w:sz w:val="22"/>
                <w:szCs w:val="22"/>
              </w:rPr>
            </w:pPr>
            <w:r>
              <w:rPr>
                <w:sz w:val="22"/>
                <w:szCs w:val="22"/>
              </w:rPr>
              <w:t>= $133.10</w:t>
            </w:r>
          </w:p>
        </w:tc>
        <w:tc>
          <w:tcPr>
            <w:tcW w:w="985" w:type="pct"/>
            <w:tcBorders>
              <w:bottom w:val="single" w:sz="12" w:space="0" w:color="auto"/>
            </w:tcBorders>
            <w:shd w:val="clear" w:color="auto" w:fill="auto"/>
          </w:tcPr>
          <w:p w14:paraId="4D28FA0D" w14:textId="00DBEA25" w:rsidR="00A47D81" w:rsidRPr="007D6A9A" w:rsidRDefault="007D6A9A" w:rsidP="009777AA">
            <w:pPr>
              <w:pStyle w:val="ENoteTableText"/>
              <w:rPr>
                <w:sz w:val="22"/>
                <w:szCs w:val="22"/>
              </w:rPr>
            </w:pPr>
            <w:r>
              <w:rPr>
                <w:sz w:val="22"/>
                <w:szCs w:val="22"/>
              </w:rPr>
              <w:t>Equal to or greater than $121, but less than $133.10</w:t>
            </w:r>
          </w:p>
        </w:tc>
        <w:tc>
          <w:tcPr>
            <w:tcW w:w="983" w:type="pct"/>
            <w:tcBorders>
              <w:bottom w:val="single" w:sz="12" w:space="0" w:color="auto"/>
            </w:tcBorders>
          </w:tcPr>
          <w:p w14:paraId="6E52F801" w14:textId="0FB2421F" w:rsidR="00A47D81" w:rsidRPr="00A47D81" w:rsidRDefault="007D6A9A" w:rsidP="009777AA">
            <w:pPr>
              <w:pStyle w:val="ENoteTableText"/>
              <w:rPr>
                <w:sz w:val="22"/>
                <w:szCs w:val="22"/>
              </w:rPr>
            </w:pPr>
            <w:r>
              <w:rPr>
                <w:sz w:val="22"/>
                <w:szCs w:val="22"/>
              </w:rPr>
              <w:t>Equal to or greater than $133.10</w:t>
            </w:r>
          </w:p>
        </w:tc>
      </w:tr>
    </w:tbl>
    <w:p w14:paraId="4E8928B7" w14:textId="319E15E1" w:rsidR="00A47D81" w:rsidRDefault="007D6A9A" w:rsidP="001517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Note that specified prices in the auction will be rounded up to the next thousand</w:t>
      </w:r>
      <w:r w:rsidR="003727D1">
        <w:rPr>
          <w:rFonts w:ascii="Times New Roman" w:eastAsiaTheme="minorHAnsi" w:hAnsi="Times New Roman" w:cs="Times New Roman"/>
          <w:sz w:val="22"/>
          <w:szCs w:val="22"/>
        </w:rPr>
        <w:t>, and bids in the auction may only be in multiples of $1000</w:t>
      </w:r>
      <w:r>
        <w:rPr>
          <w:rFonts w:ascii="Times New Roman" w:eastAsiaTheme="minorHAnsi" w:hAnsi="Times New Roman" w:cs="Times New Roman"/>
          <w:sz w:val="22"/>
          <w:szCs w:val="22"/>
        </w:rPr>
        <w:t xml:space="preserve"> (see clause</w:t>
      </w:r>
      <w:r w:rsidR="00663EC2">
        <w:rPr>
          <w:rFonts w:ascii="Times New Roman" w:eastAsiaTheme="minorHAnsi" w:hAnsi="Times New Roman" w:cs="Times New Roman"/>
          <w:sz w:val="22"/>
          <w:szCs w:val="22"/>
        </w:rPr>
        <w:t>s</w:t>
      </w:r>
      <w:r>
        <w:rPr>
          <w:rFonts w:ascii="Times New Roman" w:eastAsiaTheme="minorHAnsi" w:hAnsi="Times New Roman" w:cs="Times New Roman"/>
          <w:sz w:val="22"/>
          <w:szCs w:val="22"/>
        </w:rPr>
        <w:t xml:space="preserve"> 5</w:t>
      </w:r>
      <w:r w:rsidR="00663EC2">
        <w:rPr>
          <w:rFonts w:ascii="Times New Roman" w:eastAsiaTheme="minorHAnsi" w:hAnsi="Times New Roman" w:cs="Times New Roman"/>
          <w:sz w:val="22"/>
          <w:szCs w:val="22"/>
        </w:rPr>
        <w:t xml:space="preserve"> and 9</w:t>
      </w:r>
      <w:r>
        <w:rPr>
          <w:rFonts w:ascii="Times New Roman" w:eastAsiaTheme="minorHAnsi" w:hAnsi="Times New Roman" w:cs="Times New Roman"/>
          <w:sz w:val="22"/>
          <w:szCs w:val="22"/>
        </w:rPr>
        <w:t>).</w:t>
      </w:r>
    </w:p>
    <w:p w14:paraId="0192881B" w14:textId="2C1ADE05" w:rsidR="008A6C8B" w:rsidRDefault="008A6C8B" w:rsidP="008A6C8B">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Any bid above the specified price </w:t>
      </w:r>
      <w:r w:rsidR="003727D1">
        <w:rPr>
          <w:rFonts w:ascii="Times New Roman" w:eastAsiaTheme="minorHAnsi" w:hAnsi="Times New Roman" w:cs="Times New Roman"/>
          <w:sz w:val="22"/>
          <w:szCs w:val="22"/>
        </w:rPr>
        <w:t>for</w:t>
      </w:r>
      <w:r>
        <w:rPr>
          <w:rFonts w:ascii="Times New Roman" w:eastAsiaTheme="minorHAnsi" w:hAnsi="Times New Roman" w:cs="Times New Roman"/>
          <w:sz w:val="22"/>
          <w:szCs w:val="22"/>
        </w:rPr>
        <w:t xml:space="preserve"> a round is a continue bid at an advance price.</w:t>
      </w:r>
    </w:p>
    <w:p w14:paraId="2D6C92DA" w14:textId="399510FD" w:rsidR="007D6A9A" w:rsidRDefault="007D6A9A" w:rsidP="001517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Clause 4 of Schedule 1 provides that</w:t>
      </w:r>
      <w:r w:rsidR="00CA70C9" w:rsidRPr="007C05EB">
        <w:rPr>
          <w:rFonts w:ascii="Times New Roman" w:eastAsiaTheme="minorHAnsi" w:hAnsi="Times New Roman" w:cs="Times New Roman"/>
          <w:sz w:val="22"/>
          <w:szCs w:val="22"/>
        </w:rPr>
        <w:t xml:space="preserve"> if</w:t>
      </w:r>
      <w:r w:rsidR="00151717" w:rsidRPr="007C05EB">
        <w:rPr>
          <w:rFonts w:ascii="Times New Roman" w:eastAsiaTheme="minorHAnsi" w:hAnsi="Times New Roman" w:cs="Times New Roman"/>
          <w:sz w:val="22"/>
          <w:szCs w:val="22"/>
        </w:rPr>
        <w:t>, in a round</w:t>
      </w:r>
      <w:r w:rsidR="008B753E" w:rsidRPr="007C05EB">
        <w:rPr>
          <w:rFonts w:ascii="Times New Roman" w:eastAsiaTheme="minorHAnsi" w:hAnsi="Times New Roman" w:cs="Times New Roman"/>
          <w:sz w:val="22"/>
          <w:szCs w:val="22"/>
        </w:rPr>
        <w:t>,</w:t>
      </w:r>
      <w:r w:rsidR="00151717" w:rsidRPr="007C05EB">
        <w:rPr>
          <w:rFonts w:ascii="Times New Roman" w:eastAsiaTheme="minorHAnsi" w:hAnsi="Times New Roman" w:cs="Times New Roman"/>
          <w:sz w:val="22"/>
          <w:szCs w:val="22"/>
        </w:rPr>
        <w:t xml:space="preserve"> either a bidder does not make a bid on the</w:t>
      </w:r>
      <w:r w:rsidR="00CA70C9" w:rsidRPr="007C05EB">
        <w:rPr>
          <w:rFonts w:ascii="Times New Roman" w:eastAsiaTheme="minorHAnsi" w:hAnsi="Times New Roman" w:cs="Times New Roman"/>
          <w:sz w:val="22"/>
          <w:szCs w:val="22"/>
        </w:rPr>
        <w:t xml:space="preserve"> relevant </w:t>
      </w:r>
      <w:r w:rsidR="00151717" w:rsidRPr="007C05EB">
        <w:rPr>
          <w:rFonts w:ascii="Times New Roman" w:eastAsiaTheme="minorHAnsi" w:hAnsi="Times New Roman" w:cs="Times New Roman"/>
          <w:sz w:val="22"/>
          <w:szCs w:val="22"/>
        </w:rPr>
        <w:t>lot; or a bidder is an exit bidder in the circumstances set out in clause 10</w:t>
      </w:r>
      <w:r>
        <w:rPr>
          <w:rFonts w:ascii="Times New Roman" w:eastAsiaTheme="minorHAnsi" w:hAnsi="Times New Roman" w:cs="Times New Roman"/>
          <w:sz w:val="22"/>
          <w:szCs w:val="22"/>
        </w:rPr>
        <w:t xml:space="preserve"> (that is, the bidder has made an exit bid),</w:t>
      </w:r>
      <w:r w:rsidR="00151717" w:rsidRPr="007C05EB">
        <w:rPr>
          <w:rFonts w:ascii="Times New Roman" w:eastAsiaTheme="minorHAnsi" w:hAnsi="Times New Roman" w:cs="Times New Roman"/>
          <w:sz w:val="22"/>
          <w:szCs w:val="22"/>
        </w:rPr>
        <w:t xml:space="preserve"> the bidder cannot make a bid on the </w:t>
      </w:r>
      <w:r w:rsidR="00CA70C9" w:rsidRPr="007C05EB">
        <w:rPr>
          <w:rFonts w:ascii="Times New Roman" w:eastAsiaTheme="minorHAnsi" w:hAnsi="Times New Roman" w:cs="Times New Roman"/>
          <w:sz w:val="22"/>
          <w:szCs w:val="22"/>
        </w:rPr>
        <w:t>relevant</w:t>
      </w:r>
      <w:r w:rsidR="00151717" w:rsidRPr="007C05EB">
        <w:rPr>
          <w:rFonts w:ascii="Times New Roman" w:eastAsiaTheme="minorHAnsi" w:hAnsi="Times New Roman" w:cs="Times New Roman"/>
          <w:sz w:val="22"/>
          <w:szCs w:val="22"/>
        </w:rPr>
        <w:t xml:space="preserve"> lot in any subsequent round </w:t>
      </w:r>
      <w:r>
        <w:rPr>
          <w:rFonts w:ascii="Times New Roman" w:eastAsiaTheme="minorHAnsi" w:hAnsi="Times New Roman" w:cs="Times New Roman"/>
          <w:sz w:val="22"/>
          <w:szCs w:val="22"/>
        </w:rPr>
        <w:t>for bids on that lot in</w:t>
      </w:r>
      <w:r w:rsidR="00151717" w:rsidRPr="007C05EB">
        <w:rPr>
          <w:rFonts w:ascii="Times New Roman" w:eastAsiaTheme="minorHAnsi" w:hAnsi="Times New Roman" w:cs="Times New Roman"/>
          <w:sz w:val="22"/>
          <w:szCs w:val="22"/>
        </w:rPr>
        <w:t xml:space="preserve"> the auction. </w:t>
      </w:r>
      <w:r>
        <w:rPr>
          <w:rFonts w:ascii="Times New Roman" w:eastAsiaTheme="minorHAnsi" w:hAnsi="Times New Roman" w:cs="Times New Roman"/>
          <w:sz w:val="22"/>
          <w:szCs w:val="22"/>
        </w:rPr>
        <w:t xml:space="preserve"> That is, if a bidder fails to make a bid on a lot in a round, or the bidder makes an exit bid on a lot in a round, the bidder may not make any further bids on that particular lot.</w:t>
      </w:r>
    </w:p>
    <w:p w14:paraId="39CC3E9B" w14:textId="41E4EC0E" w:rsidR="00473CDE" w:rsidRDefault="00473CDE" w:rsidP="001517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An exit bid may have been a continue bid in a previous round of the auction, in accordance with clause 8.</w:t>
      </w:r>
    </w:p>
    <w:p w14:paraId="4E2C8B98" w14:textId="450C0AD1" w:rsidR="007D6A9A" w:rsidRDefault="007D6A9A" w:rsidP="001517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In deciding whether a bidder has made a bid on a lot in a round, clause 8 might provide that a</w:t>
      </w:r>
      <w:r w:rsidR="00151717" w:rsidRPr="007C05EB">
        <w:rPr>
          <w:rFonts w:ascii="Times New Roman" w:eastAsiaTheme="minorHAnsi" w:hAnsi="Times New Roman" w:cs="Times New Roman"/>
          <w:sz w:val="22"/>
          <w:szCs w:val="22"/>
        </w:rPr>
        <w:t xml:space="preserve"> bidder is taken to make a bid</w:t>
      </w:r>
      <w:r w:rsidR="00D25996">
        <w:rPr>
          <w:rFonts w:ascii="Times New Roman" w:eastAsiaTheme="minorHAnsi" w:hAnsi="Times New Roman" w:cs="Times New Roman"/>
          <w:sz w:val="22"/>
          <w:szCs w:val="22"/>
        </w:rPr>
        <w:t xml:space="preserve"> in certain </w:t>
      </w:r>
      <w:r w:rsidR="005C338A">
        <w:rPr>
          <w:rFonts w:ascii="Times New Roman" w:eastAsiaTheme="minorHAnsi" w:hAnsi="Times New Roman" w:cs="Times New Roman"/>
          <w:sz w:val="22"/>
          <w:szCs w:val="22"/>
        </w:rPr>
        <w:t>circumstances (</w:t>
      </w:r>
      <w:r>
        <w:rPr>
          <w:rFonts w:ascii="Times New Roman" w:eastAsiaTheme="minorHAnsi" w:hAnsi="Times New Roman" w:cs="Times New Roman"/>
          <w:sz w:val="22"/>
          <w:szCs w:val="22"/>
        </w:rPr>
        <w:t>see below)</w:t>
      </w:r>
      <w:r w:rsidR="00151717" w:rsidRPr="007C05EB">
        <w:rPr>
          <w:rFonts w:ascii="Times New Roman" w:eastAsiaTheme="minorHAnsi" w:hAnsi="Times New Roman" w:cs="Times New Roman"/>
          <w:sz w:val="22"/>
          <w:szCs w:val="22"/>
        </w:rPr>
        <w:t>.</w:t>
      </w:r>
    </w:p>
    <w:p w14:paraId="571A9BAD" w14:textId="377C6FD2" w:rsidR="00151717" w:rsidRDefault="00442A8D" w:rsidP="00151717">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A</w:t>
      </w:r>
      <w:r w:rsidR="00151717" w:rsidRPr="007C05EB">
        <w:rPr>
          <w:rFonts w:ascii="Times New Roman" w:eastAsiaTheme="minorHAnsi" w:hAnsi="Times New Roman" w:cs="Times New Roman"/>
          <w:sz w:val="22"/>
          <w:szCs w:val="22"/>
        </w:rPr>
        <w:t xml:space="preserve">n exit bid made by the bidder may still be the final high bid for the </w:t>
      </w:r>
      <w:r w:rsidRPr="007C05EB">
        <w:rPr>
          <w:rFonts w:ascii="Times New Roman" w:eastAsiaTheme="minorHAnsi" w:hAnsi="Times New Roman" w:cs="Times New Roman"/>
          <w:sz w:val="22"/>
          <w:szCs w:val="22"/>
        </w:rPr>
        <w:t>relevant lot</w:t>
      </w:r>
      <w:r w:rsidR="001F5FF1">
        <w:rPr>
          <w:rFonts w:ascii="Times New Roman" w:eastAsiaTheme="minorHAnsi" w:hAnsi="Times New Roman" w:cs="Times New Roman"/>
          <w:sz w:val="22"/>
          <w:szCs w:val="22"/>
        </w:rPr>
        <w:t>, and in that case the bidder w</w:t>
      </w:r>
      <w:r w:rsidR="007D6A9A">
        <w:rPr>
          <w:rFonts w:ascii="Times New Roman" w:eastAsiaTheme="minorHAnsi" w:hAnsi="Times New Roman" w:cs="Times New Roman"/>
          <w:sz w:val="22"/>
          <w:szCs w:val="22"/>
        </w:rPr>
        <w:t>ould be the winning bidder for the lot (see below)</w:t>
      </w:r>
      <w:r w:rsidR="00151717" w:rsidRPr="007C05EB">
        <w:rPr>
          <w:rFonts w:ascii="Times New Roman" w:eastAsiaTheme="minorHAnsi" w:hAnsi="Times New Roman" w:cs="Times New Roman"/>
          <w:sz w:val="22"/>
          <w:szCs w:val="22"/>
        </w:rPr>
        <w:t>.</w:t>
      </w:r>
    </w:p>
    <w:p w14:paraId="126884D0" w14:textId="02EF4BD9" w:rsidR="00503F92" w:rsidRPr="007C05EB" w:rsidRDefault="00503F92" w:rsidP="00151717">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Clause 4 also provides for another circumstance in which a bidder is not permitted to make a bid.  If the bidder nominated both the 10 MHz lot and the 5 MHz lot as its preferred lots, and is the winning bidder for the 10 MHz lot, the winning bidder is not permitted to make a bid on the 5 MHz lot if winning both lots would cause the bidder to be allocated spectrum that exceeds the allocation limits.  Put another way, a bidder can nominate both lots, even if winning both lots would exceed the allocation limits, but will not be allowed to bid on the 5 MHz lot if it wins the 10 MHz lot.</w:t>
      </w:r>
    </w:p>
    <w:p w14:paraId="05D60A3F" w14:textId="1DC434DE" w:rsidR="00236FA7" w:rsidRPr="007C05EB" w:rsidRDefault="00D87D37" w:rsidP="007C05EB">
      <w:pPr>
        <w:keepNext/>
        <w:spacing w:after="160" w:line="259" w:lineRule="auto"/>
        <w:rPr>
          <w:rFonts w:eastAsiaTheme="minorHAnsi"/>
          <w:b/>
          <w:sz w:val="22"/>
          <w:szCs w:val="22"/>
          <w:lang w:eastAsia="en-US"/>
        </w:rPr>
      </w:pPr>
      <w:r w:rsidRPr="007C05EB">
        <w:rPr>
          <w:rFonts w:eastAsiaTheme="minorHAnsi"/>
          <w:b/>
          <w:sz w:val="22"/>
          <w:szCs w:val="22"/>
          <w:lang w:eastAsia="en-US"/>
        </w:rPr>
        <w:t xml:space="preserve">Clause </w:t>
      </w:r>
      <w:r w:rsidR="009E4074" w:rsidRPr="007C05EB">
        <w:rPr>
          <w:rFonts w:eastAsiaTheme="minorHAnsi"/>
          <w:b/>
          <w:sz w:val="22"/>
          <w:szCs w:val="22"/>
          <w:lang w:eastAsia="en-US"/>
        </w:rPr>
        <w:t>5</w:t>
      </w:r>
      <w:r w:rsidR="00693C1C" w:rsidRPr="007C05EB">
        <w:rPr>
          <w:rFonts w:eastAsiaTheme="minorHAnsi"/>
          <w:b/>
          <w:sz w:val="22"/>
          <w:szCs w:val="22"/>
          <w:lang w:eastAsia="en-US"/>
        </w:rPr>
        <w:tab/>
      </w:r>
      <w:r w:rsidR="00236FA7" w:rsidRPr="007C05EB">
        <w:rPr>
          <w:rFonts w:eastAsiaTheme="minorHAnsi"/>
          <w:b/>
          <w:sz w:val="22"/>
          <w:szCs w:val="22"/>
          <w:lang w:eastAsia="en-US"/>
        </w:rPr>
        <w:t xml:space="preserve">Starting price and </w:t>
      </w:r>
      <w:r w:rsidR="009E4074" w:rsidRPr="007C05EB">
        <w:rPr>
          <w:rFonts w:eastAsiaTheme="minorHAnsi"/>
          <w:b/>
          <w:sz w:val="22"/>
          <w:szCs w:val="22"/>
          <w:lang w:eastAsia="en-US"/>
        </w:rPr>
        <w:t>specified price</w:t>
      </w:r>
    </w:p>
    <w:p w14:paraId="12E2815D" w14:textId="024F3FAC" w:rsidR="007D6A9A" w:rsidRDefault="007D6A9A" w:rsidP="007C05EB">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This clause provides that a</w:t>
      </w:r>
      <w:r w:rsidR="00904BF1" w:rsidRPr="007C05EB">
        <w:rPr>
          <w:rFonts w:ascii="Times New Roman" w:eastAsiaTheme="minorHAnsi" w:hAnsi="Times New Roman" w:cs="Times New Roman"/>
          <w:sz w:val="22"/>
          <w:szCs w:val="22"/>
        </w:rPr>
        <w:t xml:space="preserve"> bid below the starting price on a lot</w:t>
      </w:r>
      <w:r w:rsidR="00CA70C9" w:rsidRPr="007C05EB">
        <w:rPr>
          <w:rFonts w:ascii="Times New Roman" w:eastAsiaTheme="minorHAnsi" w:hAnsi="Times New Roman" w:cs="Times New Roman"/>
          <w:sz w:val="22"/>
          <w:szCs w:val="22"/>
        </w:rPr>
        <w:t xml:space="preserve"> </w:t>
      </w:r>
      <w:r w:rsidR="00904BF1" w:rsidRPr="007C05EB">
        <w:rPr>
          <w:rFonts w:ascii="Times New Roman" w:eastAsiaTheme="minorHAnsi" w:hAnsi="Times New Roman" w:cs="Times New Roman"/>
          <w:sz w:val="22"/>
          <w:szCs w:val="22"/>
        </w:rPr>
        <w:t>will not be accepted</w:t>
      </w:r>
      <w:r w:rsidR="009E4074" w:rsidRPr="007C05EB">
        <w:rPr>
          <w:rFonts w:ascii="Times New Roman" w:eastAsiaTheme="minorHAnsi" w:hAnsi="Times New Roman" w:cs="Times New Roman"/>
          <w:sz w:val="22"/>
          <w:szCs w:val="22"/>
        </w:rPr>
        <w:t>.</w:t>
      </w:r>
    </w:p>
    <w:p w14:paraId="66E6E8EF" w14:textId="064F98A3" w:rsidR="007D6A9A" w:rsidRDefault="007D6A9A" w:rsidP="007C05EB">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This clause also provides for how the </w:t>
      </w:r>
      <w:r>
        <w:rPr>
          <w:rFonts w:ascii="Times New Roman" w:eastAsiaTheme="minorHAnsi" w:hAnsi="Times New Roman" w:cs="Times New Roman"/>
          <w:b/>
          <w:sz w:val="22"/>
          <w:szCs w:val="22"/>
        </w:rPr>
        <w:t xml:space="preserve">specified </w:t>
      </w:r>
      <w:r w:rsidRPr="007D6A9A">
        <w:rPr>
          <w:rFonts w:ascii="Times New Roman" w:eastAsiaTheme="minorHAnsi" w:hAnsi="Times New Roman" w:cs="Times New Roman"/>
          <w:b/>
          <w:sz w:val="22"/>
          <w:szCs w:val="22"/>
        </w:rPr>
        <w:t xml:space="preserve">price </w:t>
      </w:r>
      <w:r>
        <w:rPr>
          <w:rFonts w:ascii="Times New Roman" w:eastAsiaTheme="minorHAnsi" w:hAnsi="Times New Roman" w:cs="Times New Roman"/>
          <w:sz w:val="22"/>
          <w:szCs w:val="22"/>
        </w:rPr>
        <w:t xml:space="preserve">for each lot is to be calculated.  As mentioned above, the specified price for a lot in a round is the sum of the specified price for the lot for the previous round (or the starting price, where the round is the first round) plus the specified price for the previous round multiplied by the bid increment percentage, rounded up to the next thousand.  </w:t>
      </w:r>
    </w:p>
    <w:p w14:paraId="0239BF85" w14:textId="718272CE" w:rsidR="009A3F45" w:rsidRPr="00503F92" w:rsidRDefault="00660DFA" w:rsidP="00503F92">
      <w:pPr>
        <w:keepNext/>
        <w:spacing w:after="160" w:line="259" w:lineRule="auto"/>
        <w:rPr>
          <w:rFonts w:eastAsiaTheme="minorHAnsi"/>
          <w:b/>
          <w:sz w:val="22"/>
          <w:szCs w:val="22"/>
          <w:lang w:eastAsia="en-US"/>
        </w:rPr>
      </w:pPr>
      <w:r w:rsidRPr="00503F92">
        <w:rPr>
          <w:rFonts w:eastAsiaTheme="minorHAnsi"/>
          <w:b/>
          <w:sz w:val="22"/>
          <w:szCs w:val="22"/>
          <w:lang w:eastAsia="en-US"/>
        </w:rPr>
        <w:t xml:space="preserve">Clause </w:t>
      </w:r>
      <w:r w:rsidR="00B51B97" w:rsidRPr="00503F92">
        <w:rPr>
          <w:rFonts w:eastAsiaTheme="minorHAnsi"/>
          <w:b/>
          <w:sz w:val="22"/>
          <w:szCs w:val="22"/>
          <w:lang w:eastAsia="en-US"/>
        </w:rPr>
        <w:t>6</w:t>
      </w:r>
      <w:r w:rsidR="00087E8D" w:rsidRPr="00503F92">
        <w:rPr>
          <w:rFonts w:eastAsiaTheme="minorHAnsi"/>
          <w:b/>
          <w:sz w:val="22"/>
          <w:szCs w:val="22"/>
          <w:lang w:eastAsia="en-US"/>
        </w:rPr>
        <w:tab/>
      </w:r>
      <w:r w:rsidR="009A3F45" w:rsidRPr="00503F92">
        <w:rPr>
          <w:rFonts w:eastAsiaTheme="minorHAnsi"/>
          <w:b/>
          <w:sz w:val="22"/>
          <w:szCs w:val="22"/>
          <w:lang w:eastAsia="en-US"/>
        </w:rPr>
        <w:t>Changing bid increment percentage to vary specified prices</w:t>
      </w:r>
    </w:p>
    <w:p w14:paraId="58EDE6DE" w14:textId="167CA038" w:rsidR="00236FA7" w:rsidRPr="007C05EB" w:rsidRDefault="00F53A7D"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w:t>
      </w:r>
      <w:r w:rsidR="00A56D3E" w:rsidRPr="007C05EB">
        <w:rPr>
          <w:rFonts w:ascii="Times New Roman" w:eastAsiaTheme="minorHAnsi" w:hAnsi="Times New Roman" w:cs="Times New Roman"/>
          <w:sz w:val="22"/>
          <w:szCs w:val="22"/>
        </w:rPr>
        <w:t xml:space="preserve">is clause </w:t>
      </w:r>
      <w:r w:rsidR="00503F92">
        <w:rPr>
          <w:rFonts w:ascii="Times New Roman" w:eastAsiaTheme="minorHAnsi" w:hAnsi="Times New Roman" w:cs="Times New Roman"/>
          <w:sz w:val="22"/>
          <w:szCs w:val="22"/>
        </w:rPr>
        <w:t>provides</w:t>
      </w:r>
      <w:r w:rsidR="00A56D3E" w:rsidRPr="007C05EB">
        <w:rPr>
          <w:rFonts w:ascii="Times New Roman" w:eastAsiaTheme="minorHAnsi" w:hAnsi="Times New Roman" w:cs="Times New Roman"/>
          <w:sz w:val="22"/>
          <w:szCs w:val="22"/>
        </w:rPr>
        <w:t xml:space="preserve"> th</w:t>
      </w:r>
      <w:r w:rsidR="00C80A9D" w:rsidRPr="007C05EB">
        <w:rPr>
          <w:rFonts w:ascii="Times New Roman" w:eastAsiaTheme="minorHAnsi" w:hAnsi="Times New Roman" w:cs="Times New Roman"/>
          <w:sz w:val="22"/>
          <w:szCs w:val="22"/>
        </w:rPr>
        <w:t xml:space="preserve">at </w:t>
      </w:r>
      <w:r w:rsidR="00236FA7" w:rsidRPr="007C05EB">
        <w:rPr>
          <w:rFonts w:ascii="Times New Roman" w:eastAsiaTheme="minorHAnsi" w:hAnsi="Times New Roman" w:cs="Times New Roman"/>
          <w:sz w:val="22"/>
          <w:szCs w:val="22"/>
        </w:rPr>
        <w:t xml:space="preserve">the auction manager may, at any time during the auction, change the </w:t>
      </w:r>
      <w:r w:rsidR="00503F92">
        <w:rPr>
          <w:rFonts w:ascii="Times New Roman" w:eastAsiaTheme="minorHAnsi" w:hAnsi="Times New Roman" w:cs="Times New Roman"/>
          <w:sz w:val="22"/>
          <w:szCs w:val="22"/>
        </w:rPr>
        <w:t>bid increment percentage</w:t>
      </w:r>
      <w:r w:rsidR="00503F92" w:rsidRPr="007C05EB">
        <w:rPr>
          <w:rFonts w:ascii="Times New Roman" w:eastAsiaTheme="minorHAnsi" w:hAnsi="Times New Roman" w:cs="Times New Roman"/>
          <w:sz w:val="22"/>
          <w:szCs w:val="22"/>
        </w:rPr>
        <w:t xml:space="preserve"> </w:t>
      </w:r>
      <w:r w:rsidR="00236FA7" w:rsidRPr="007C05EB">
        <w:rPr>
          <w:rFonts w:ascii="Times New Roman" w:eastAsiaTheme="minorHAnsi" w:hAnsi="Times New Roman" w:cs="Times New Roman"/>
          <w:sz w:val="22"/>
          <w:szCs w:val="22"/>
        </w:rPr>
        <w:t xml:space="preserve">fixed under </w:t>
      </w:r>
      <w:r w:rsidR="00151C0B" w:rsidRPr="007C05EB">
        <w:rPr>
          <w:rFonts w:ascii="Times New Roman" w:eastAsiaTheme="minorHAnsi" w:hAnsi="Times New Roman" w:cs="Times New Roman"/>
          <w:sz w:val="22"/>
          <w:szCs w:val="22"/>
        </w:rPr>
        <w:t>section 3</w:t>
      </w:r>
      <w:r w:rsidR="00B51B97" w:rsidRPr="007C05EB">
        <w:rPr>
          <w:rFonts w:ascii="Times New Roman" w:eastAsiaTheme="minorHAnsi" w:hAnsi="Times New Roman" w:cs="Times New Roman"/>
          <w:sz w:val="22"/>
          <w:szCs w:val="22"/>
        </w:rPr>
        <w:t xml:space="preserve">6 </w:t>
      </w:r>
      <w:r w:rsidR="00B7538D" w:rsidRPr="007C05EB">
        <w:rPr>
          <w:rFonts w:ascii="Times New Roman" w:eastAsiaTheme="minorHAnsi" w:hAnsi="Times New Roman" w:cs="Times New Roman"/>
          <w:sz w:val="22"/>
          <w:szCs w:val="22"/>
        </w:rPr>
        <w:t>of the Determination</w:t>
      </w:r>
      <w:r w:rsidR="00503F92">
        <w:rPr>
          <w:rFonts w:ascii="Times New Roman" w:eastAsiaTheme="minorHAnsi" w:hAnsi="Times New Roman" w:cs="Times New Roman"/>
          <w:sz w:val="22"/>
          <w:szCs w:val="22"/>
        </w:rPr>
        <w:t>,</w:t>
      </w:r>
      <w:r w:rsidR="00B7538D" w:rsidRPr="007C05EB">
        <w:rPr>
          <w:rFonts w:ascii="Times New Roman" w:eastAsiaTheme="minorHAnsi" w:hAnsi="Times New Roman" w:cs="Times New Roman"/>
          <w:sz w:val="22"/>
          <w:szCs w:val="22"/>
        </w:rPr>
        <w:t xml:space="preserve"> </w:t>
      </w:r>
      <w:r w:rsidR="00236FA7" w:rsidRPr="007C05EB">
        <w:rPr>
          <w:rFonts w:ascii="Times New Roman" w:eastAsiaTheme="minorHAnsi" w:hAnsi="Times New Roman" w:cs="Times New Roman"/>
          <w:sz w:val="22"/>
          <w:szCs w:val="22"/>
        </w:rPr>
        <w:t xml:space="preserve">to vary the </w:t>
      </w:r>
      <w:r w:rsidR="00550DF9" w:rsidRPr="007C05EB">
        <w:rPr>
          <w:rFonts w:ascii="Times New Roman" w:eastAsiaTheme="minorHAnsi" w:hAnsi="Times New Roman" w:cs="Times New Roman"/>
          <w:sz w:val="22"/>
          <w:szCs w:val="22"/>
        </w:rPr>
        <w:t>specified price</w:t>
      </w:r>
      <w:r w:rsidR="00236FA7" w:rsidRPr="007C05EB">
        <w:rPr>
          <w:rFonts w:ascii="Times New Roman" w:eastAsiaTheme="minorHAnsi" w:hAnsi="Times New Roman" w:cs="Times New Roman"/>
          <w:sz w:val="22"/>
          <w:szCs w:val="22"/>
        </w:rPr>
        <w:t xml:space="preserve"> on a lot</w:t>
      </w:r>
      <w:r w:rsidR="00B51B97" w:rsidRPr="007C05EB">
        <w:rPr>
          <w:rFonts w:ascii="Times New Roman" w:eastAsiaTheme="minorHAnsi" w:hAnsi="Times New Roman" w:cs="Times New Roman"/>
          <w:sz w:val="22"/>
          <w:szCs w:val="22"/>
        </w:rPr>
        <w:t xml:space="preserve"> in </w:t>
      </w:r>
      <w:r w:rsidR="00503F92">
        <w:rPr>
          <w:rFonts w:ascii="Times New Roman" w:eastAsiaTheme="minorHAnsi" w:hAnsi="Times New Roman" w:cs="Times New Roman"/>
          <w:sz w:val="22"/>
          <w:szCs w:val="22"/>
        </w:rPr>
        <w:t>future</w:t>
      </w:r>
      <w:r w:rsidR="00B51B97" w:rsidRPr="007C05EB">
        <w:rPr>
          <w:rFonts w:ascii="Times New Roman" w:eastAsiaTheme="minorHAnsi" w:hAnsi="Times New Roman" w:cs="Times New Roman"/>
          <w:sz w:val="22"/>
          <w:szCs w:val="22"/>
        </w:rPr>
        <w:t xml:space="preserve"> round</w:t>
      </w:r>
      <w:r w:rsidR="00503F92">
        <w:rPr>
          <w:rFonts w:ascii="Times New Roman" w:eastAsiaTheme="minorHAnsi" w:hAnsi="Times New Roman" w:cs="Times New Roman"/>
          <w:sz w:val="22"/>
          <w:szCs w:val="22"/>
        </w:rPr>
        <w:t>s</w:t>
      </w:r>
      <w:r w:rsidR="00236FA7" w:rsidRPr="007C05EB">
        <w:rPr>
          <w:rFonts w:ascii="Times New Roman" w:eastAsiaTheme="minorHAnsi" w:hAnsi="Times New Roman" w:cs="Times New Roman"/>
          <w:sz w:val="22"/>
          <w:szCs w:val="22"/>
        </w:rPr>
        <w:t>.</w:t>
      </w:r>
      <w:r w:rsidR="00B55351" w:rsidRPr="007C05EB">
        <w:rPr>
          <w:rFonts w:ascii="Times New Roman" w:eastAsiaTheme="minorHAnsi" w:hAnsi="Times New Roman" w:cs="Times New Roman"/>
          <w:sz w:val="22"/>
          <w:szCs w:val="22"/>
        </w:rPr>
        <w:t xml:space="preserve"> </w:t>
      </w:r>
      <w:r w:rsidR="00503F92">
        <w:rPr>
          <w:rFonts w:ascii="Times New Roman" w:eastAsiaTheme="minorHAnsi" w:hAnsi="Times New Roman" w:cs="Times New Roman"/>
          <w:sz w:val="22"/>
          <w:szCs w:val="22"/>
        </w:rPr>
        <w:t xml:space="preserve"> </w:t>
      </w:r>
      <w:r w:rsidR="00B55351" w:rsidRPr="007C05EB">
        <w:rPr>
          <w:rFonts w:ascii="Times New Roman" w:eastAsiaTheme="minorHAnsi" w:hAnsi="Times New Roman" w:cs="Times New Roman"/>
          <w:sz w:val="22"/>
          <w:szCs w:val="22"/>
        </w:rPr>
        <w:t xml:space="preserve">During the auction, the auction manager may vary these amounts after consulting with bidders. </w:t>
      </w:r>
      <w:r w:rsidR="00503F92">
        <w:rPr>
          <w:rFonts w:ascii="Times New Roman" w:eastAsiaTheme="minorHAnsi" w:hAnsi="Times New Roman" w:cs="Times New Roman"/>
          <w:sz w:val="22"/>
          <w:szCs w:val="22"/>
        </w:rPr>
        <w:t xml:space="preserve"> </w:t>
      </w:r>
      <w:r w:rsidR="00B55351" w:rsidRPr="007C05EB">
        <w:rPr>
          <w:rFonts w:ascii="Times New Roman" w:eastAsiaTheme="minorHAnsi" w:hAnsi="Times New Roman" w:cs="Times New Roman"/>
          <w:sz w:val="22"/>
          <w:szCs w:val="22"/>
        </w:rPr>
        <w:t>Adjusting the level of the</w:t>
      </w:r>
      <w:r w:rsidR="005A04CF" w:rsidRPr="007C05EB">
        <w:rPr>
          <w:rFonts w:ascii="Times New Roman" w:eastAsiaTheme="minorHAnsi" w:hAnsi="Times New Roman" w:cs="Times New Roman"/>
          <w:sz w:val="22"/>
          <w:szCs w:val="22"/>
        </w:rPr>
        <w:t>se</w:t>
      </w:r>
      <w:r w:rsidR="00B55351" w:rsidRPr="007C05EB">
        <w:rPr>
          <w:rFonts w:ascii="Times New Roman" w:eastAsiaTheme="minorHAnsi" w:hAnsi="Times New Roman" w:cs="Times New Roman"/>
          <w:sz w:val="22"/>
          <w:szCs w:val="22"/>
        </w:rPr>
        <w:t xml:space="preserve"> bid increment</w:t>
      </w:r>
      <w:r w:rsidR="00B7538D" w:rsidRPr="007C05EB">
        <w:rPr>
          <w:rFonts w:ascii="Times New Roman" w:eastAsiaTheme="minorHAnsi" w:hAnsi="Times New Roman" w:cs="Times New Roman"/>
          <w:sz w:val="22"/>
          <w:szCs w:val="22"/>
        </w:rPr>
        <w:t>s</w:t>
      </w:r>
      <w:r w:rsidR="00B55351" w:rsidRPr="007C05EB">
        <w:rPr>
          <w:rFonts w:ascii="Times New Roman" w:eastAsiaTheme="minorHAnsi" w:hAnsi="Times New Roman" w:cs="Times New Roman"/>
          <w:sz w:val="22"/>
          <w:szCs w:val="22"/>
        </w:rPr>
        <w:t xml:space="preserve"> may be used to influence the speed at which the auction progresses</w:t>
      </w:r>
      <w:r w:rsidR="009A3F45" w:rsidRPr="007C05EB">
        <w:rPr>
          <w:rFonts w:ascii="Times New Roman" w:eastAsiaTheme="minorHAnsi" w:hAnsi="Times New Roman" w:cs="Times New Roman"/>
          <w:sz w:val="22"/>
          <w:szCs w:val="22"/>
        </w:rPr>
        <w:t>.</w:t>
      </w:r>
    </w:p>
    <w:p w14:paraId="4A51BEF3" w14:textId="32B6A230" w:rsidR="001F5FF1" w:rsidRPr="007C05EB" w:rsidRDefault="00236FA7" w:rsidP="007C05EB">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Before </w:t>
      </w:r>
      <w:r w:rsidR="00B51B97" w:rsidRPr="005C338A">
        <w:rPr>
          <w:rFonts w:ascii="Times New Roman" w:eastAsiaTheme="minorHAnsi" w:hAnsi="Times New Roman" w:cs="Times New Roman"/>
          <w:sz w:val="22"/>
          <w:szCs w:val="22"/>
        </w:rPr>
        <w:t>making any change</w:t>
      </w:r>
      <w:r w:rsidRPr="005C338A">
        <w:rPr>
          <w:rFonts w:ascii="Times New Roman" w:eastAsiaTheme="minorHAnsi" w:hAnsi="Times New Roman" w:cs="Times New Roman"/>
          <w:sz w:val="22"/>
          <w:szCs w:val="22"/>
        </w:rPr>
        <w:t>, the auction manager must</w:t>
      </w:r>
      <w:r w:rsidR="00A56D3E"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tell bidders of the proposed change</w:t>
      </w:r>
      <w:r w:rsidR="00A56D3E"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ask bidders for their comments on the proposal within the time (being not less than </w:t>
      </w:r>
      <w:r w:rsidR="001F5FF1" w:rsidRPr="005C338A">
        <w:rPr>
          <w:rFonts w:ascii="Times New Roman" w:eastAsiaTheme="minorHAnsi" w:hAnsi="Times New Roman" w:cs="Times New Roman"/>
          <w:sz w:val="22"/>
          <w:szCs w:val="22"/>
        </w:rPr>
        <w:t>one</w:t>
      </w:r>
      <w:r w:rsidRPr="005C338A">
        <w:rPr>
          <w:rFonts w:ascii="Times New Roman" w:eastAsiaTheme="minorHAnsi" w:hAnsi="Times New Roman" w:cs="Times New Roman"/>
          <w:sz w:val="22"/>
          <w:szCs w:val="22"/>
        </w:rPr>
        <w:t xml:space="preserve"> hour) set by the auction manager</w:t>
      </w:r>
      <w:r w:rsidR="005A04CF" w:rsidRPr="005C338A">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 xml:space="preserve"> and</w:t>
      </w:r>
      <w:r w:rsidR="00EA2350"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take into account any comments received on the proposal.</w:t>
      </w:r>
      <w:r w:rsidR="00EA2350" w:rsidRPr="005C338A">
        <w:rPr>
          <w:rFonts w:ascii="Times New Roman" w:eastAsiaTheme="minorHAnsi" w:hAnsi="Times New Roman" w:cs="Times New Roman"/>
          <w:sz w:val="22"/>
          <w:szCs w:val="22"/>
        </w:rPr>
        <w:t xml:space="preserve"> </w:t>
      </w:r>
      <w:r w:rsidR="003727D1">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The auction manager must notify all bidders of the change before the round when the change takes effect.</w:t>
      </w:r>
    </w:p>
    <w:p w14:paraId="714C8AFE" w14:textId="0B2CF454" w:rsidR="005E5EBD" w:rsidRPr="00503F92" w:rsidRDefault="00B51B97" w:rsidP="00503F92">
      <w:pPr>
        <w:keepNext/>
        <w:spacing w:after="160" w:line="259" w:lineRule="auto"/>
        <w:rPr>
          <w:rFonts w:eastAsiaTheme="minorHAnsi"/>
          <w:b/>
          <w:sz w:val="22"/>
          <w:szCs w:val="22"/>
          <w:lang w:eastAsia="en-US"/>
        </w:rPr>
      </w:pPr>
      <w:r w:rsidRPr="00503F92">
        <w:rPr>
          <w:rFonts w:eastAsiaTheme="minorHAnsi"/>
          <w:b/>
          <w:sz w:val="22"/>
          <w:szCs w:val="22"/>
          <w:lang w:eastAsia="en-US"/>
        </w:rPr>
        <w:t>C</w:t>
      </w:r>
      <w:r w:rsidR="005E5EBD" w:rsidRPr="00503F92">
        <w:rPr>
          <w:rFonts w:eastAsiaTheme="minorHAnsi"/>
          <w:b/>
          <w:sz w:val="22"/>
          <w:szCs w:val="22"/>
          <w:lang w:eastAsia="en-US"/>
        </w:rPr>
        <w:t>lause</w:t>
      </w:r>
      <w:r w:rsidRPr="00503F92">
        <w:rPr>
          <w:rFonts w:eastAsiaTheme="minorHAnsi"/>
          <w:b/>
          <w:sz w:val="22"/>
          <w:szCs w:val="22"/>
          <w:lang w:eastAsia="en-US"/>
        </w:rPr>
        <w:t xml:space="preserve"> 7</w:t>
      </w:r>
      <w:r w:rsidR="005E5EBD" w:rsidRPr="00503F92">
        <w:rPr>
          <w:rFonts w:eastAsiaTheme="minorHAnsi"/>
          <w:b/>
          <w:sz w:val="22"/>
          <w:szCs w:val="22"/>
          <w:lang w:eastAsia="en-US"/>
        </w:rPr>
        <w:tab/>
        <w:t xml:space="preserve">General rules about bidding </w:t>
      </w:r>
    </w:p>
    <w:p w14:paraId="7EB59C1A" w14:textId="113CF57C" w:rsidR="005E5EBD" w:rsidRPr="007C05EB" w:rsidRDefault="005E5EBD"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A bidder may bid on </w:t>
      </w:r>
      <w:r w:rsidR="00442A8D" w:rsidRPr="007C05EB">
        <w:rPr>
          <w:rFonts w:ascii="Times New Roman" w:eastAsiaTheme="minorHAnsi" w:hAnsi="Times New Roman" w:cs="Times New Roman"/>
          <w:sz w:val="22"/>
          <w:szCs w:val="22"/>
        </w:rPr>
        <w:t>either or both</w:t>
      </w:r>
      <w:r w:rsidRPr="007C05EB">
        <w:rPr>
          <w:rFonts w:ascii="Times New Roman" w:eastAsiaTheme="minorHAnsi" w:hAnsi="Times New Roman" w:cs="Times New Roman"/>
          <w:sz w:val="22"/>
          <w:szCs w:val="22"/>
        </w:rPr>
        <w:t xml:space="preserve"> lots</w:t>
      </w:r>
      <w:r w:rsidR="00503F92">
        <w:rPr>
          <w:rFonts w:ascii="Times New Roman" w:eastAsiaTheme="minorHAnsi" w:hAnsi="Times New Roman" w:cs="Times New Roman"/>
          <w:sz w:val="22"/>
          <w:szCs w:val="22"/>
        </w:rPr>
        <w:t>,</w:t>
      </w:r>
      <w:r w:rsidR="009A3F45"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subject to bidding only on the lots the bidder nominated in its preference nomination form</w:t>
      </w:r>
      <w:r w:rsidR="00503F92">
        <w:rPr>
          <w:rFonts w:ascii="Times New Roman" w:eastAsiaTheme="minorHAnsi" w:hAnsi="Times New Roman" w:cs="Times New Roman"/>
          <w:sz w:val="22"/>
          <w:szCs w:val="22"/>
        </w:rPr>
        <w:t>, and subject to whether the bidder has made an exit bid on a lot (which, as mentioned above, would prevent the bidder from making any future bids on the lot)</w:t>
      </w:r>
      <w:r w:rsidRPr="007C05EB">
        <w:rPr>
          <w:rFonts w:ascii="Times New Roman" w:eastAsiaTheme="minorHAnsi" w:hAnsi="Times New Roman" w:cs="Times New Roman"/>
          <w:sz w:val="22"/>
          <w:szCs w:val="22"/>
        </w:rPr>
        <w:t xml:space="preserve">. </w:t>
      </w:r>
      <w:r w:rsidR="00503F92">
        <w:rPr>
          <w:rFonts w:ascii="Times New Roman" w:eastAsiaTheme="minorHAnsi" w:hAnsi="Times New Roman" w:cs="Times New Roman"/>
          <w:sz w:val="22"/>
          <w:szCs w:val="22"/>
        </w:rPr>
        <w:t xml:space="preserve"> As mentioned above, certain bidders may be prevented from bidding on the 5 MHz lot if they have won the 10 MHz lot.</w:t>
      </w:r>
    </w:p>
    <w:p w14:paraId="18327BFF" w14:textId="7E150214" w:rsidR="005E5EBD" w:rsidRPr="007C05EB" w:rsidRDefault="005E5EBD"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A bid is taken to have been made when the bidder’s bid for a round of the auction has passed data validation checks that are performed by the auction system</w:t>
      </w:r>
      <w:r w:rsidR="00503F92">
        <w:rPr>
          <w:rFonts w:ascii="Times New Roman" w:eastAsiaTheme="minorHAnsi" w:hAnsi="Times New Roman" w:cs="Times New Roman"/>
          <w:sz w:val="22"/>
          <w:szCs w:val="22"/>
        </w:rPr>
        <w:t>,</w:t>
      </w:r>
      <w:r w:rsidR="003306D3" w:rsidRPr="007C05EB">
        <w:rPr>
          <w:rFonts w:ascii="Times New Roman" w:eastAsiaTheme="minorHAnsi" w:hAnsi="Times New Roman" w:cs="Times New Roman"/>
          <w:sz w:val="22"/>
          <w:szCs w:val="22"/>
        </w:rPr>
        <w:t xml:space="preserve"> subject to subsection 59(1)</w:t>
      </w:r>
      <w:r w:rsidR="00503F92">
        <w:rPr>
          <w:rFonts w:ascii="Times New Roman" w:eastAsiaTheme="minorHAnsi" w:hAnsi="Times New Roman" w:cs="Times New Roman"/>
          <w:sz w:val="22"/>
          <w:szCs w:val="22"/>
        </w:rPr>
        <w:t xml:space="preserve"> (which allows the auction manager to accept bids by a method other than the auction system)</w:t>
      </w:r>
      <w:r w:rsidRPr="007C05EB">
        <w:rPr>
          <w:rFonts w:ascii="Times New Roman" w:eastAsiaTheme="minorHAnsi" w:hAnsi="Times New Roman" w:cs="Times New Roman"/>
          <w:sz w:val="22"/>
          <w:szCs w:val="22"/>
        </w:rPr>
        <w:t>.</w:t>
      </w:r>
    </w:p>
    <w:p w14:paraId="47A64F5F" w14:textId="06FDACBC" w:rsidR="009A3F45" w:rsidRPr="007C05EB" w:rsidRDefault="009A3F45"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A bidder may change, delete or replace a </w:t>
      </w:r>
      <w:r w:rsidR="009410B8" w:rsidRPr="007C05EB">
        <w:rPr>
          <w:rFonts w:ascii="Times New Roman" w:eastAsiaTheme="minorHAnsi" w:hAnsi="Times New Roman" w:cs="Times New Roman"/>
          <w:sz w:val="22"/>
          <w:szCs w:val="22"/>
        </w:rPr>
        <w:t>bid</w:t>
      </w:r>
      <w:r w:rsidRPr="007C05EB">
        <w:rPr>
          <w:rFonts w:ascii="Times New Roman" w:eastAsiaTheme="minorHAnsi" w:hAnsi="Times New Roman" w:cs="Times New Roman"/>
          <w:sz w:val="22"/>
          <w:szCs w:val="22"/>
        </w:rPr>
        <w:t xml:space="preserve"> in the auction system as often as desired during a round.  The </w:t>
      </w:r>
      <w:r w:rsidR="009410B8" w:rsidRPr="007C05EB">
        <w:rPr>
          <w:rFonts w:ascii="Times New Roman" w:eastAsiaTheme="minorHAnsi" w:hAnsi="Times New Roman" w:cs="Times New Roman"/>
          <w:sz w:val="22"/>
          <w:szCs w:val="22"/>
        </w:rPr>
        <w:t>bid</w:t>
      </w:r>
      <w:r w:rsidRPr="007C05EB">
        <w:rPr>
          <w:rFonts w:ascii="Times New Roman" w:eastAsiaTheme="minorHAnsi" w:hAnsi="Times New Roman" w:cs="Times New Roman"/>
          <w:sz w:val="22"/>
          <w:szCs w:val="22"/>
        </w:rPr>
        <w:t xml:space="preserve"> that will be treated as binding for a bidder is the </w:t>
      </w:r>
      <w:r w:rsidR="009410B8" w:rsidRPr="007C05EB">
        <w:rPr>
          <w:rFonts w:ascii="Times New Roman" w:eastAsiaTheme="minorHAnsi" w:hAnsi="Times New Roman" w:cs="Times New Roman"/>
          <w:sz w:val="22"/>
          <w:szCs w:val="22"/>
        </w:rPr>
        <w:t>bid</w:t>
      </w:r>
      <w:r w:rsidRPr="007C05EB">
        <w:rPr>
          <w:rFonts w:ascii="Times New Roman" w:eastAsiaTheme="minorHAnsi" w:hAnsi="Times New Roman" w:cs="Times New Roman"/>
          <w:sz w:val="22"/>
          <w:szCs w:val="22"/>
        </w:rPr>
        <w:t xml:space="preserve"> in the auction system at the end time of a round</w:t>
      </w:r>
      <w:r w:rsidR="003306D3" w:rsidRPr="007C05EB">
        <w:rPr>
          <w:rFonts w:ascii="Times New Roman" w:eastAsiaTheme="minorHAnsi" w:hAnsi="Times New Roman" w:cs="Times New Roman"/>
          <w:sz w:val="22"/>
          <w:szCs w:val="22"/>
        </w:rPr>
        <w:t>.</w:t>
      </w:r>
      <w:r w:rsidR="00503F92">
        <w:rPr>
          <w:rFonts w:ascii="Times New Roman" w:eastAsiaTheme="minorHAnsi" w:hAnsi="Times New Roman" w:cs="Times New Roman"/>
          <w:sz w:val="22"/>
          <w:szCs w:val="22"/>
        </w:rPr>
        <w:t xml:space="preserve"> </w:t>
      </w:r>
      <w:r w:rsidR="003306D3" w:rsidRPr="007C05EB">
        <w:rPr>
          <w:rFonts w:ascii="Times New Roman" w:eastAsiaTheme="minorHAnsi" w:hAnsi="Times New Roman" w:cs="Times New Roman"/>
          <w:sz w:val="22"/>
          <w:szCs w:val="22"/>
        </w:rPr>
        <w:t xml:space="preserve"> A bidder is taken to make a bid in the circumstances specified in clause 8.</w:t>
      </w:r>
    </w:p>
    <w:p w14:paraId="2B01084A" w14:textId="6103C63E" w:rsidR="00D95030" w:rsidRPr="00503F92" w:rsidRDefault="00BC3EEB" w:rsidP="00503F92">
      <w:pPr>
        <w:keepNext/>
        <w:spacing w:after="160" w:line="259" w:lineRule="auto"/>
        <w:rPr>
          <w:rFonts w:eastAsiaTheme="minorHAnsi"/>
          <w:b/>
          <w:sz w:val="22"/>
          <w:szCs w:val="22"/>
          <w:lang w:eastAsia="en-US"/>
        </w:rPr>
      </w:pPr>
      <w:r w:rsidRPr="00503F92">
        <w:rPr>
          <w:rFonts w:eastAsiaTheme="minorHAnsi"/>
          <w:b/>
          <w:sz w:val="22"/>
          <w:szCs w:val="22"/>
          <w:lang w:eastAsia="en-US"/>
        </w:rPr>
        <w:lastRenderedPageBreak/>
        <w:t xml:space="preserve">Clause </w:t>
      </w:r>
      <w:r w:rsidR="00B51B97" w:rsidRPr="00503F92">
        <w:rPr>
          <w:rFonts w:eastAsiaTheme="minorHAnsi"/>
          <w:b/>
          <w:sz w:val="22"/>
          <w:szCs w:val="22"/>
          <w:lang w:eastAsia="en-US"/>
        </w:rPr>
        <w:t>8</w:t>
      </w:r>
      <w:r w:rsidR="00503F92">
        <w:rPr>
          <w:rFonts w:eastAsiaTheme="minorHAnsi"/>
          <w:b/>
          <w:sz w:val="22"/>
          <w:szCs w:val="22"/>
          <w:lang w:eastAsia="en-US"/>
        </w:rPr>
        <w:tab/>
      </w:r>
      <w:r w:rsidRPr="00503F92">
        <w:rPr>
          <w:rFonts w:eastAsiaTheme="minorHAnsi"/>
          <w:b/>
          <w:sz w:val="22"/>
          <w:szCs w:val="22"/>
          <w:lang w:eastAsia="en-US"/>
        </w:rPr>
        <w:t>C</w:t>
      </w:r>
      <w:r w:rsidR="003306D3" w:rsidRPr="00503F92">
        <w:rPr>
          <w:rFonts w:eastAsiaTheme="minorHAnsi"/>
          <w:b/>
          <w:sz w:val="22"/>
          <w:szCs w:val="22"/>
          <w:lang w:eastAsia="en-US"/>
        </w:rPr>
        <w:t>o</w:t>
      </w:r>
      <w:r w:rsidRPr="00503F92">
        <w:rPr>
          <w:rFonts w:eastAsiaTheme="minorHAnsi"/>
          <w:b/>
          <w:sz w:val="22"/>
          <w:szCs w:val="22"/>
          <w:lang w:eastAsia="en-US"/>
        </w:rPr>
        <w:t>ntinue bid made at greater than specified price</w:t>
      </w:r>
    </w:p>
    <w:p w14:paraId="70196A4A" w14:textId="6761ADB8" w:rsidR="006D61AA" w:rsidRPr="007C05EB" w:rsidRDefault="00503F92" w:rsidP="005D0E59">
      <w:pPr>
        <w:pStyle w:val="ACMABodyText"/>
        <w:keepLines/>
        <w:rPr>
          <w:rFonts w:ascii="Times New Roman" w:eastAsiaTheme="minorHAnsi" w:hAnsi="Times New Roman" w:cs="Times New Roman"/>
          <w:sz w:val="22"/>
          <w:szCs w:val="22"/>
        </w:rPr>
      </w:pPr>
      <w:r>
        <w:rPr>
          <w:rFonts w:ascii="Times New Roman" w:eastAsiaTheme="minorHAnsi" w:hAnsi="Times New Roman" w:cs="Times New Roman"/>
          <w:sz w:val="22"/>
          <w:szCs w:val="22"/>
        </w:rPr>
        <w:t>As mentioned above, b</w:t>
      </w:r>
      <w:r w:rsidR="006D61AA" w:rsidRPr="007C05EB">
        <w:rPr>
          <w:rFonts w:ascii="Times New Roman" w:eastAsiaTheme="minorHAnsi" w:hAnsi="Times New Roman" w:cs="Times New Roman"/>
          <w:sz w:val="22"/>
          <w:szCs w:val="22"/>
        </w:rPr>
        <w:t xml:space="preserve">idders are allowed to bid above the specified price </w:t>
      </w:r>
      <w:r w:rsidR="000535AC">
        <w:rPr>
          <w:rFonts w:ascii="Times New Roman" w:eastAsiaTheme="minorHAnsi" w:hAnsi="Times New Roman" w:cs="Times New Roman"/>
          <w:sz w:val="22"/>
          <w:szCs w:val="22"/>
        </w:rPr>
        <w:t xml:space="preserve">for the lot </w:t>
      </w:r>
      <w:r w:rsidR="006D61AA" w:rsidRPr="007C05EB">
        <w:rPr>
          <w:rFonts w:ascii="Times New Roman" w:eastAsiaTheme="minorHAnsi" w:hAnsi="Times New Roman" w:cs="Times New Roman"/>
          <w:sz w:val="22"/>
          <w:szCs w:val="22"/>
        </w:rPr>
        <w:t xml:space="preserve">in a round. </w:t>
      </w:r>
      <w:r>
        <w:rPr>
          <w:rFonts w:ascii="Times New Roman" w:eastAsiaTheme="minorHAnsi" w:hAnsi="Times New Roman" w:cs="Times New Roman"/>
          <w:sz w:val="22"/>
          <w:szCs w:val="22"/>
        </w:rPr>
        <w:t xml:space="preserve"> </w:t>
      </w:r>
      <w:r w:rsidR="006D61AA" w:rsidRPr="007C05EB">
        <w:rPr>
          <w:rFonts w:ascii="Times New Roman" w:eastAsiaTheme="minorHAnsi" w:hAnsi="Times New Roman" w:cs="Times New Roman"/>
          <w:sz w:val="22"/>
          <w:szCs w:val="22"/>
        </w:rPr>
        <w:t>A bidder may make a continue bid on a lot in a round of the auction (</w:t>
      </w:r>
      <w:r w:rsidR="006D61AA" w:rsidRPr="008A6C8B">
        <w:rPr>
          <w:rFonts w:ascii="Times New Roman" w:eastAsiaTheme="minorHAnsi" w:hAnsi="Times New Roman" w:cs="Times New Roman"/>
          <w:b/>
          <w:sz w:val="22"/>
          <w:szCs w:val="22"/>
        </w:rPr>
        <w:t>the relevant round</w:t>
      </w:r>
      <w:r w:rsidR="006D61AA" w:rsidRPr="007C05EB">
        <w:rPr>
          <w:rFonts w:ascii="Times New Roman" w:eastAsiaTheme="minorHAnsi" w:hAnsi="Times New Roman" w:cs="Times New Roman"/>
          <w:sz w:val="22"/>
          <w:szCs w:val="22"/>
        </w:rPr>
        <w:t>) that is for an amount (</w:t>
      </w:r>
      <w:r w:rsidR="006D61AA" w:rsidRPr="008A6C8B">
        <w:rPr>
          <w:rFonts w:ascii="Times New Roman" w:eastAsiaTheme="minorHAnsi" w:hAnsi="Times New Roman" w:cs="Times New Roman"/>
          <w:b/>
          <w:sz w:val="22"/>
          <w:szCs w:val="22"/>
        </w:rPr>
        <w:t>the advance price</w:t>
      </w:r>
      <w:r w:rsidR="006D61AA" w:rsidRPr="007C05EB">
        <w:rPr>
          <w:rFonts w:ascii="Times New Roman" w:eastAsiaTheme="minorHAnsi" w:hAnsi="Times New Roman" w:cs="Times New Roman"/>
          <w:sz w:val="22"/>
          <w:szCs w:val="22"/>
        </w:rPr>
        <w:t xml:space="preserve">) that is equal to or greater than the specified price for the lot in the relevant round. </w:t>
      </w:r>
      <w:r w:rsidR="001F5FF1">
        <w:rPr>
          <w:rFonts w:ascii="Times New Roman" w:eastAsiaTheme="minorHAnsi" w:hAnsi="Times New Roman" w:cs="Times New Roman"/>
          <w:sz w:val="22"/>
          <w:szCs w:val="22"/>
        </w:rPr>
        <w:t xml:space="preserve"> </w:t>
      </w:r>
      <w:r w:rsidR="006D61AA" w:rsidRPr="007C05EB">
        <w:rPr>
          <w:rFonts w:ascii="Times New Roman" w:eastAsiaTheme="minorHAnsi" w:hAnsi="Times New Roman" w:cs="Times New Roman"/>
          <w:sz w:val="22"/>
          <w:szCs w:val="22"/>
        </w:rPr>
        <w:t>This continue bid will constitute</w:t>
      </w:r>
      <w:r>
        <w:rPr>
          <w:rFonts w:ascii="Times New Roman" w:eastAsiaTheme="minorHAnsi" w:hAnsi="Times New Roman" w:cs="Times New Roman"/>
          <w:sz w:val="22"/>
          <w:szCs w:val="22"/>
        </w:rPr>
        <w:t xml:space="preserve">, </w:t>
      </w:r>
      <w:r w:rsidR="006D61AA" w:rsidRPr="007C05EB">
        <w:rPr>
          <w:rFonts w:ascii="Times New Roman" w:eastAsiaTheme="minorHAnsi" w:hAnsi="Times New Roman" w:cs="Times New Roman"/>
          <w:sz w:val="22"/>
          <w:szCs w:val="22"/>
        </w:rPr>
        <w:t>in any round after the relevant round where the advance price is greater than or equal to the specified price for the lot in that round</w:t>
      </w:r>
      <w:r>
        <w:rPr>
          <w:rFonts w:ascii="Times New Roman" w:eastAsiaTheme="minorHAnsi" w:hAnsi="Times New Roman" w:cs="Times New Roman"/>
          <w:sz w:val="22"/>
          <w:szCs w:val="22"/>
        </w:rPr>
        <w:t>,</w:t>
      </w:r>
      <w:r w:rsidR="006D61AA" w:rsidRPr="007C05EB">
        <w:rPr>
          <w:rFonts w:ascii="Times New Roman" w:eastAsiaTheme="minorHAnsi" w:hAnsi="Times New Roman" w:cs="Times New Roman"/>
          <w:sz w:val="22"/>
          <w:szCs w:val="22"/>
        </w:rPr>
        <w:t xml:space="preserve"> a continue bid made on that lot in that round.  This continue bid will also</w:t>
      </w:r>
      <w:r>
        <w:rPr>
          <w:rFonts w:ascii="Times New Roman" w:eastAsiaTheme="minorHAnsi" w:hAnsi="Times New Roman" w:cs="Times New Roman"/>
          <w:sz w:val="22"/>
          <w:szCs w:val="22"/>
        </w:rPr>
        <w:t>,</w:t>
      </w:r>
      <w:r w:rsidR="00C54A41" w:rsidRPr="007C05EB">
        <w:rPr>
          <w:rFonts w:ascii="Times New Roman" w:eastAsiaTheme="minorHAnsi" w:hAnsi="Times New Roman" w:cs="Times New Roman"/>
          <w:sz w:val="22"/>
          <w:szCs w:val="22"/>
        </w:rPr>
        <w:t xml:space="preserve"> </w:t>
      </w:r>
      <w:r w:rsidR="006D61AA" w:rsidRPr="007C05EB">
        <w:rPr>
          <w:rFonts w:ascii="Times New Roman" w:eastAsiaTheme="minorHAnsi" w:hAnsi="Times New Roman" w:cs="Times New Roman"/>
          <w:sz w:val="22"/>
          <w:szCs w:val="22"/>
        </w:rPr>
        <w:t>in the first round after the relevant round in which the advance price is less than the specified price for the lot in that round</w:t>
      </w:r>
      <w:r>
        <w:rPr>
          <w:rFonts w:ascii="Times New Roman" w:eastAsiaTheme="minorHAnsi" w:hAnsi="Times New Roman" w:cs="Times New Roman"/>
          <w:sz w:val="22"/>
          <w:szCs w:val="22"/>
        </w:rPr>
        <w:t>, constitute</w:t>
      </w:r>
      <w:r w:rsidR="006D61AA" w:rsidRPr="007C05EB">
        <w:rPr>
          <w:rFonts w:ascii="Times New Roman" w:eastAsiaTheme="minorHAnsi" w:hAnsi="Times New Roman" w:cs="Times New Roman"/>
          <w:sz w:val="22"/>
          <w:szCs w:val="22"/>
        </w:rPr>
        <w:t xml:space="preserve"> an exit bid made on that lot in that round.</w:t>
      </w:r>
    </w:p>
    <w:p w14:paraId="08C8F6DF" w14:textId="43803E09" w:rsidR="00503F92" w:rsidRDefault="00503F92" w:rsidP="00503F92">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For example, consider a lot with starting price of $100, and a bid increment percentage of 10%.  In the first round, a bidder makes a bid of $125 (</w:t>
      </w:r>
      <w:r w:rsidRPr="00503F92">
        <w:rPr>
          <w:rFonts w:ascii="Times New Roman" w:eastAsiaTheme="minorHAnsi" w:hAnsi="Times New Roman" w:cs="Times New Roman"/>
          <w:b/>
          <w:sz w:val="22"/>
          <w:szCs w:val="22"/>
        </w:rPr>
        <w:t>advance bid</w:t>
      </w:r>
      <w:r>
        <w:rPr>
          <w:rFonts w:ascii="Times New Roman" w:eastAsiaTheme="minorHAnsi" w:hAnsi="Times New Roman" w:cs="Times New Roman"/>
          <w:sz w:val="22"/>
          <w:szCs w:val="22"/>
        </w:rPr>
        <w:t>).</w:t>
      </w:r>
    </w:p>
    <w:p w14:paraId="20B37466" w14:textId="77777777" w:rsidR="00503F92" w:rsidRPr="00FC70A7" w:rsidRDefault="00503F92" w:rsidP="00503F92">
      <w:pPr>
        <w:pStyle w:val="ENotesText"/>
        <w:spacing w:before="60" w:line="240" w:lineRule="atLeas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33"/>
        <w:gridCol w:w="2128"/>
        <w:gridCol w:w="2326"/>
        <w:gridCol w:w="3627"/>
      </w:tblGrid>
      <w:tr w:rsidR="00503F92" w:rsidRPr="00FC70A7" w14:paraId="0EAFAFC6" w14:textId="77777777" w:rsidTr="00503F92">
        <w:trPr>
          <w:cantSplit/>
          <w:tblHeader/>
        </w:trPr>
        <w:tc>
          <w:tcPr>
            <w:tcW w:w="615" w:type="pct"/>
            <w:tcBorders>
              <w:top w:val="single" w:sz="12" w:space="0" w:color="auto"/>
              <w:bottom w:val="single" w:sz="12" w:space="0" w:color="auto"/>
            </w:tcBorders>
            <w:shd w:val="clear" w:color="auto" w:fill="auto"/>
          </w:tcPr>
          <w:p w14:paraId="1F85270D" w14:textId="77777777" w:rsidR="00503F92" w:rsidRPr="007D6A9A" w:rsidRDefault="00503F92" w:rsidP="009777AA">
            <w:pPr>
              <w:pStyle w:val="ENoteTableHeading"/>
              <w:rPr>
                <w:rFonts w:ascii="Times New Roman" w:hAnsi="Times New Roman"/>
                <w:b w:val="0"/>
                <w:i/>
                <w:sz w:val="22"/>
                <w:szCs w:val="22"/>
              </w:rPr>
            </w:pPr>
            <w:r w:rsidRPr="007D6A9A">
              <w:rPr>
                <w:rFonts w:ascii="Times New Roman" w:hAnsi="Times New Roman"/>
                <w:b w:val="0"/>
                <w:i/>
                <w:sz w:val="22"/>
                <w:szCs w:val="22"/>
              </w:rPr>
              <w:t>Round</w:t>
            </w:r>
          </w:p>
        </w:tc>
        <w:tc>
          <w:tcPr>
            <w:tcW w:w="1155" w:type="pct"/>
            <w:tcBorders>
              <w:top w:val="single" w:sz="12" w:space="0" w:color="auto"/>
              <w:bottom w:val="single" w:sz="12" w:space="0" w:color="auto"/>
            </w:tcBorders>
            <w:shd w:val="clear" w:color="auto" w:fill="auto"/>
          </w:tcPr>
          <w:p w14:paraId="5237E7D3" w14:textId="5C36C06B" w:rsidR="00503F92" w:rsidRPr="007D6A9A" w:rsidRDefault="00503F92" w:rsidP="00503F92">
            <w:pPr>
              <w:pStyle w:val="ENoteTableHeading"/>
              <w:rPr>
                <w:rFonts w:ascii="Times New Roman" w:hAnsi="Times New Roman"/>
                <w:b w:val="0"/>
                <w:i/>
                <w:sz w:val="22"/>
                <w:szCs w:val="22"/>
              </w:rPr>
            </w:pPr>
            <w:r w:rsidRPr="007D6A9A">
              <w:rPr>
                <w:rFonts w:ascii="Times New Roman" w:hAnsi="Times New Roman"/>
                <w:b w:val="0"/>
                <w:i/>
                <w:sz w:val="22"/>
                <w:szCs w:val="22"/>
              </w:rPr>
              <w:t>Specified price for</w:t>
            </w:r>
            <w:r>
              <w:rPr>
                <w:rFonts w:ascii="Times New Roman" w:hAnsi="Times New Roman"/>
                <w:b w:val="0"/>
                <w:i/>
                <w:sz w:val="22"/>
                <w:szCs w:val="22"/>
              </w:rPr>
              <w:t xml:space="preserve"> the previous round</w:t>
            </w:r>
            <w:r w:rsidRPr="007D6A9A">
              <w:rPr>
                <w:rFonts w:ascii="Times New Roman" w:hAnsi="Times New Roman"/>
                <w:b w:val="0"/>
                <w:i/>
                <w:sz w:val="22"/>
                <w:szCs w:val="22"/>
              </w:rPr>
              <w:t>, or starting price for the first round</w:t>
            </w:r>
          </w:p>
        </w:tc>
        <w:tc>
          <w:tcPr>
            <w:tcW w:w="1262" w:type="pct"/>
            <w:tcBorders>
              <w:top w:val="single" w:sz="12" w:space="0" w:color="auto"/>
              <w:bottom w:val="single" w:sz="12" w:space="0" w:color="auto"/>
            </w:tcBorders>
            <w:shd w:val="clear" w:color="auto" w:fill="auto"/>
          </w:tcPr>
          <w:p w14:paraId="45C57C25" w14:textId="77777777" w:rsidR="00503F92" w:rsidRPr="007D6A9A" w:rsidRDefault="00503F92" w:rsidP="009777AA">
            <w:pPr>
              <w:pStyle w:val="ENoteTableHeading"/>
              <w:rPr>
                <w:rFonts w:ascii="Times New Roman" w:hAnsi="Times New Roman"/>
                <w:b w:val="0"/>
                <w:i/>
                <w:sz w:val="22"/>
                <w:szCs w:val="22"/>
              </w:rPr>
            </w:pPr>
            <w:r w:rsidRPr="007D6A9A">
              <w:rPr>
                <w:rFonts w:ascii="Times New Roman" w:hAnsi="Times New Roman"/>
                <w:b w:val="0"/>
                <w:i/>
                <w:sz w:val="22"/>
                <w:szCs w:val="22"/>
              </w:rPr>
              <w:t>Specified price for the round</w:t>
            </w:r>
          </w:p>
        </w:tc>
        <w:tc>
          <w:tcPr>
            <w:tcW w:w="1968" w:type="pct"/>
            <w:tcBorders>
              <w:top w:val="single" w:sz="12" w:space="0" w:color="auto"/>
              <w:bottom w:val="single" w:sz="12" w:space="0" w:color="auto"/>
            </w:tcBorders>
            <w:shd w:val="clear" w:color="auto" w:fill="auto"/>
          </w:tcPr>
          <w:p w14:paraId="41C3C6D5" w14:textId="01534A33" w:rsidR="00503F92" w:rsidRPr="007D6A9A" w:rsidRDefault="00402977" w:rsidP="003727D1">
            <w:pPr>
              <w:pStyle w:val="ENoteTableHeading"/>
              <w:rPr>
                <w:rFonts w:ascii="Times New Roman" w:hAnsi="Times New Roman"/>
                <w:b w:val="0"/>
                <w:i/>
                <w:sz w:val="22"/>
                <w:szCs w:val="22"/>
              </w:rPr>
            </w:pPr>
            <w:proofErr w:type="gramStart"/>
            <w:r>
              <w:rPr>
                <w:rFonts w:ascii="Times New Roman" w:hAnsi="Times New Roman"/>
                <w:b w:val="0"/>
                <w:i/>
                <w:sz w:val="22"/>
                <w:szCs w:val="22"/>
              </w:rPr>
              <w:t xml:space="preserve">An </w:t>
            </w:r>
            <w:r w:rsidR="00503F92">
              <w:rPr>
                <w:rFonts w:ascii="Times New Roman" w:hAnsi="Times New Roman"/>
                <w:b w:val="0"/>
                <w:i/>
                <w:sz w:val="22"/>
                <w:szCs w:val="22"/>
              </w:rPr>
              <w:t xml:space="preserve"> advance</w:t>
            </w:r>
            <w:proofErr w:type="gramEnd"/>
            <w:r w:rsidR="00503F92">
              <w:rPr>
                <w:rFonts w:ascii="Times New Roman" w:hAnsi="Times New Roman"/>
                <w:b w:val="0"/>
                <w:i/>
                <w:sz w:val="22"/>
                <w:szCs w:val="22"/>
              </w:rPr>
              <w:t xml:space="preserve"> bid</w:t>
            </w:r>
            <w:r w:rsidR="001F5FF1">
              <w:rPr>
                <w:rFonts w:ascii="Times New Roman" w:hAnsi="Times New Roman"/>
                <w:b w:val="0"/>
                <w:i/>
                <w:sz w:val="22"/>
                <w:szCs w:val="22"/>
              </w:rPr>
              <w:t xml:space="preserve"> in the first round</w:t>
            </w:r>
            <w:r w:rsidR="00503F92">
              <w:rPr>
                <w:rFonts w:ascii="Times New Roman" w:hAnsi="Times New Roman"/>
                <w:b w:val="0"/>
                <w:i/>
                <w:sz w:val="22"/>
                <w:szCs w:val="22"/>
              </w:rPr>
              <w:t xml:space="preserve"> </w:t>
            </w:r>
            <w:r w:rsidR="001F5FF1">
              <w:rPr>
                <w:rFonts w:ascii="Times New Roman" w:hAnsi="Times New Roman"/>
                <w:b w:val="0"/>
                <w:i/>
                <w:sz w:val="22"/>
                <w:szCs w:val="22"/>
              </w:rPr>
              <w:t>of $125</w:t>
            </w:r>
            <w:r>
              <w:rPr>
                <w:rFonts w:ascii="Times New Roman" w:hAnsi="Times New Roman"/>
                <w:b w:val="0"/>
                <w:i/>
                <w:sz w:val="22"/>
                <w:szCs w:val="22"/>
              </w:rPr>
              <w:t xml:space="preserve"> </w:t>
            </w:r>
            <w:r w:rsidR="00503F92">
              <w:rPr>
                <w:rFonts w:ascii="Times New Roman" w:hAnsi="Times New Roman"/>
                <w:b w:val="0"/>
                <w:i/>
                <w:sz w:val="22"/>
                <w:szCs w:val="22"/>
              </w:rPr>
              <w:t>is taken to be…</w:t>
            </w:r>
          </w:p>
        </w:tc>
      </w:tr>
      <w:tr w:rsidR="00503F92" w:rsidRPr="00FC70A7" w14:paraId="5DD7168A" w14:textId="77777777" w:rsidTr="00503F92">
        <w:trPr>
          <w:cantSplit/>
        </w:trPr>
        <w:tc>
          <w:tcPr>
            <w:tcW w:w="615" w:type="pct"/>
            <w:tcBorders>
              <w:top w:val="single" w:sz="12" w:space="0" w:color="auto"/>
              <w:bottom w:val="single" w:sz="4" w:space="0" w:color="auto"/>
            </w:tcBorders>
            <w:shd w:val="clear" w:color="auto" w:fill="auto"/>
          </w:tcPr>
          <w:p w14:paraId="04F702F8" w14:textId="77777777" w:rsidR="00503F92" w:rsidRPr="00A47D81" w:rsidRDefault="00503F92" w:rsidP="009777AA">
            <w:pPr>
              <w:pStyle w:val="ENoteTableText"/>
              <w:rPr>
                <w:sz w:val="22"/>
                <w:szCs w:val="22"/>
              </w:rPr>
            </w:pPr>
            <w:r>
              <w:rPr>
                <w:sz w:val="22"/>
                <w:szCs w:val="22"/>
              </w:rPr>
              <w:t>1</w:t>
            </w:r>
          </w:p>
        </w:tc>
        <w:tc>
          <w:tcPr>
            <w:tcW w:w="1155" w:type="pct"/>
            <w:tcBorders>
              <w:top w:val="single" w:sz="12" w:space="0" w:color="auto"/>
              <w:bottom w:val="single" w:sz="4" w:space="0" w:color="auto"/>
            </w:tcBorders>
            <w:shd w:val="clear" w:color="auto" w:fill="auto"/>
          </w:tcPr>
          <w:p w14:paraId="133994E0" w14:textId="77777777" w:rsidR="00503F92" w:rsidRPr="00A47D81" w:rsidRDefault="00503F92" w:rsidP="009777AA">
            <w:pPr>
              <w:pStyle w:val="ENoteTableText"/>
              <w:rPr>
                <w:sz w:val="22"/>
                <w:szCs w:val="22"/>
              </w:rPr>
            </w:pPr>
            <w:r>
              <w:rPr>
                <w:sz w:val="22"/>
                <w:szCs w:val="22"/>
              </w:rPr>
              <w:t>$100</w:t>
            </w:r>
          </w:p>
        </w:tc>
        <w:tc>
          <w:tcPr>
            <w:tcW w:w="1262" w:type="pct"/>
            <w:tcBorders>
              <w:top w:val="single" w:sz="12" w:space="0" w:color="auto"/>
              <w:bottom w:val="single" w:sz="4" w:space="0" w:color="auto"/>
            </w:tcBorders>
            <w:shd w:val="clear" w:color="auto" w:fill="auto"/>
          </w:tcPr>
          <w:p w14:paraId="60FA7471" w14:textId="7FBBFE8E" w:rsidR="00503F92" w:rsidRPr="00A47D81" w:rsidRDefault="00503F92" w:rsidP="009777AA">
            <w:pPr>
              <w:pStyle w:val="ENoteTableText"/>
              <w:rPr>
                <w:sz w:val="22"/>
                <w:szCs w:val="22"/>
              </w:rPr>
            </w:pPr>
            <w:r>
              <w:rPr>
                <w:sz w:val="22"/>
                <w:szCs w:val="22"/>
              </w:rPr>
              <w:t>$110</w:t>
            </w:r>
          </w:p>
        </w:tc>
        <w:tc>
          <w:tcPr>
            <w:tcW w:w="1968" w:type="pct"/>
            <w:tcBorders>
              <w:top w:val="single" w:sz="12" w:space="0" w:color="auto"/>
              <w:bottom w:val="single" w:sz="4" w:space="0" w:color="auto"/>
            </w:tcBorders>
            <w:shd w:val="clear" w:color="auto" w:fill="auto"/>
          </w:tcPr>
          <w:p w14:paraId="7AF6819B" w14:textId="114B8644" w:rsidR="00503F92" w:rsidRPr="00A47D81" w:rsidRDefault="00503F92" w:rsidP="009777AA">
            <w:pPr>
              <w:pStyle w:val="ENoteTableText"/>
              <w:rPr>
                <w:sz w:val="22"/>
                <w:szCs w:val="22"/>
              </w:rPr>
            </w:pPr>
            <w:r>
              <w:rPr>
                <w:sz w:val="22"/>
                <w:szCs w:val="22"/>
              </w:rPr>
              <w:t>A continue bid, being greater than $110</w:t>
            </w:r>
          </w:p>
        </w:tc>
      </w:tr>
      <w:tr w:rsidR="00503F92" w:rsidRPr="00FC70A7" w14:paraId="6E81EFB9" w14:textId="77777777" w:rsidTr="00503F92">
        <w:trPr>
          <w:cantSplit/>
        </w:trPr>
        <w:tc>
          <w:tcPr>
            <w:tcW w:w="615" w:type="pct"/>
            <w:tcBorders>
              <w:top w:val="single" w:sz="4" w:space="0" w:color="auto"/>
              <w:bottom w:val="single" w:sz="4" w:space="0" w:color="auto"/>
            </w:tcBorders>
            <w:shd w:val="clear" w:color="auto" w:fill="auto"/>
          </w:tcPr>
          <w:p w14:paraId="1F888706" w14:textId="77777777" w:rsidR="00503F92" w:rsidRPr="00A47D81" w:rsidRDefault="00503F92" w:rsidP="009777AA">
            <w:pPr>
              <w:pStyle w:val="ENoteTableText"/>
              <w:rPr>
                <w:sz w:val="22"/>
                <w:szCs w:val="22"/>
              </w:rPr>
            </w:pPr>
            <w:r>
              <w:rPr>
                <w:sz w:val="22"/>
                <w:szCs w:val="22"/>
              </w:rPr>
              <w:t>2</w:t>
            </w:r>
          </w:p>
        </w:tc>
        <w:tc>
          <w:tcPr>
            <w:tcW w:w="1155" w:type="pct"/>
            <w:tcBorders>
              <w:top w:val="single" w:sz="4" w:space="0" w:color="auto"/>
              <w:bottom w:val="single" w:sz="4" w:space="0" w:color="auto"/>
            </w:tcBorders>
            <w:shd w:val="clear" w:color="auto" w:fill="auto"/>
          </w:tcPr>
          <w:p w14:paraId="53B0B151" w14:textId="77777777" w:rsidR="00503F92" w:rsidRPr="00A47D81" w:rsidRDefault="00503F92" w:rsidP="009777AA">
            <w:pPr>
              <w:pStyle w:val="ENoteTableText"/>
              <w:rPr>
                <w:sz w:val="22"/>
                <w:szCs w:val="22"/>
              </w:rPr>
            </w:pPr>
            <w:r>
              <w:rPr>
                <w:sz w:val="22"/>
                <w:szCs w:val="22"/>
              </w:rPr>
              <w:t>$110</w:t>
            </w:r>
          </w:p>
        </w:tc>
        <w:tc>
          <w:tcPr>
            <w:tcW w:w="1262" w:type="pct"/>
            <w:tcBorders>
              <w:top w:val="single" w:sz="4" w:space="0" w:color="auto"/>
              <w:bottom w:val="single" w:sz="4" w:space="0" w:color="auto"/>
            </w:tcBorders>
            <w:shd w:val="clear" w:color="auto" w:fill="auto"/>
          </w:tcPr>
          <w:p w14:paraId="62E9C44D" w14:textId="24ADEBAE" w:rsidR="00503F92" w:rsidRPr="00A47D81" w:rsidRDefault="00503F92" w:rsidP="009777AA">
            <w:pPr>
              <w:pStyle w:val="ENoteTableText"/>
              <w:rPr>
                <w:sz w:val="22"/>
                <w:szCs w:val="22"/>
              </w:rPr>
            </w:pPr>
            <w:r>
              <w:rPr>
                <w:sz w:val="22"/>
                <w:szCs w:val="22"/>
              </w:rPr>
              <w:t>$121</w:t>
            </w:r>
          </w:p>
        </w:tc>
        <w:tc>
          <w:tcPr>
            <w:tcW w:w="1968" w:type="pct"/>
            <w:tcBorders>
              <w:top w:val="single" w:sz="4" w:space="0" w:color="auto"/>
              <w:bottom w:val="single" w:sz="4" w:space="0" w:color="auto"/>
            </w:tcBorders>
            <w:shd w:val="clear" w:color="auto" w:fill="auto"/>
          </w:tcPr>
          <w:p w14:paraId="0EF88138" w14:textId="5135C81A" w:rsidR="00503F92" w:rsidRPr="00A47D81" w:rsidRDefault="00503F92" w:rsidP="009777AA">
            <w:pPr>
              <w:pStyle w:val="ENoteTableText"/>
              <w:rPr>
                <w:sz w:val="22"/>
                <w:szCs w:val="22"/>
              </w:rPr>
            </w:pPr>
            <w:r>
              <w:rPr>
                <w:sz w:val="22"/>
                <w:szCs w:val="22"/>
              </w:rPr>
              <w:t>A continue bid, being greater than $121</w:t>
            </w:r>
          </w:p>
        </w:tc>
      </w:tr>
      <w:tr w:rsidR="00503F92" w:rsidRPr="00FC70A7" w14:paraId="30C8A7AD" w14:textId="77777777" w:rsidTr="00503F92">
        <w:trPr>
          <w:cantSplit/>
        </w:trPr>
        <w:tc>
          <w:tcPr>
            <w:tcW w:w="615" w:type="pct"/>
            <w:tcBorders>
              <w:bottom w:val="single" w:sz="12" w:space="0" w:color="auto"/>
            </w:tcBorders>
            <w:shd w:val="clear" w:color="auto" w:fill="auto"/>
          </w:tcPr>
          <w:p w14:paraId="09D676C2" w14:textId="77777777" w:rsidR="00503F92" w:rsidRPr="007D6A9A" w:rsidRDefault="00503F92" w:rsidP="009777AA">
            <w:pPr>
              <w:pStyle w:val="ENoteTableText"/>
              <w:rPr>
                <w:sz w:val="22"/>
                <w:szCs w:val="22"/>
              </w:rPr>
            </w:pPr>
            <w:r>
              <w:rPr>
                <w:sz w:val="22"/>
                <w:szCs w:val="22"/>
              </w:rPr>
              <w:t>3</w:t>
            </w:r>
          </w:p>
        </w:tc>
        <w:tc>
          <w:tcPr>
            <w:tcW w:w="1155" w:type="pct"/>
            <w:tcBorders>
              <w:bottom w:val="single" w:sz="12" w:space="0" w:color="auto"/>
            </w:tcBorders>
            <w:shd w:val="clear" w:color="auto" w:fill="auto"/>
          </w:tcPr>
          <w:p w14:paraId="0396AF58" w14:textId="77777777" w:rsidR="00503F92" w:rsidRPr="007D6A9A" w:rsidRDefault="00503F92" w:rsidP="009777AA">
            <w:pPr>
              <w:pStyle w:val="ENoteTableText"/>
              <w:rPr>
                <w:sz w:val="22"/>
                <w:szCs w:val="22"/>
              </w:rPr>
            </w:pPr>
            <w:r>
              <w:rPr>
                <w:sz w:val="22"/>
                <w:szCs w:val="22"/>
              </w:rPr>
              <w:t>$121</w:t>
            </w:r>
          </w:p>
        </w:tc>
        <w:tc>
          <w:tcPr>
            <w:tcW w:w="1262" w:type="pct"/>
            <w:tcBorders>
              <w:bottom w:val="single" w:sz="12" w:space="0" w:color="auto"/>
            </w:tcBorders>
            <w:shd w:val="clear" w:color="auto" w:fill="auto"/>
          </w:tcPr>
          <w:p w14:paraId="6F014AD5" w14:textId="6DA5408B" w:rsidR="00503F92" w:rsidRPr="007D6A9A" w:rsidRDefault="00503F92" w:rsidP="00503F92">
            <w:pPr>
              <w:pStyle w:val="ENoteTableText"/>
              <w:rPr>
                <w:sz w:val="22"/>
                <w:szCs w:val="22"/>
              </w:rPr>
            </w:pPr>
            <w:r>
              <w:rPr>
                <w:sz w:val="22"/>
                <w:szCs w:val="22"/>
              </w:rPr>
              <w:t>$133.10</w:t>
            </w:r>
          </w:p>
        </w:tc>
        <w:tc>
          <w:tcPr>
            <w:tcW w:w="1968" w:type="pct"/>
            <w:tcBorders>
              <w:bottom w:val="single" w:sz="12" w:space="0" w:color="auto"/>
            </w:tcBorders>
            <w:shd w:val="clear" w:color="auto" w:fill="auto"/>
          </w:tcPr>
          <w:p w14:paraId="724734FC" w14:textId="77A1C7B4" w:rsidR="00503F92" w:rsidRPr="00A47D81" w:rsidRDefault="00503F92" w:rsidP="009777AA">
            <w:pPr>
              <w:pStyle w:val="ENoteTableText"/>
              <w:rPr>
                <w:sz w:val="22"/>
                <w:szCs w:val="22"/>
              </w:rPr>
            </w:pPr>
            <w:r>
              <w:rPr>
                <w:sz w:val="22"/>
                <w:szCs w:val="22"/>
              </w:rPr>
              <w:t>An exit bid, being greater than $121 but less than $133.10.</w:t>
            </w:r>
          </w:p>
        </w:tc>
      </w:tr>
    </w:tbl>
    <w:p w14:paraId="02E1358A" w14:textId="6F3627FD" w:rsidR="00C54A41" w:rsidRPr="007C05EB" w:rsidRDefault="00503F92" w:rsidP="007C05EB">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Note that specified prices in the auction will be rounded up to the next thousand</w:t>
      </w:r>
      <w:r w:rsidR="00663EC2">
        <w:rPr>
          <w:rFonts w:ascii="Times New Roman" w:eastAsiaTheme="minorHAnsi" w:hAnsi="Times New Roman" w:cs="Times New Roman"/>
          <w:sz w:val="22"/>
          <w:szCs w:val="22"/>
        </w:rPr>
        <w:t>, and bids in the auction may only be in multiples of $1000</w:t>
      </w:r>
      <w:r>
        <w:rPr>
          <w:rFonts w:ascii="Times New Roman" w:eastAsiaTheme="minorHAnsi" w:hAnsi="Times New Roman" w:cs="Times New Roman"/>
          <w:sz w:val="22"/>
          <w:szCs w:val="22"/>
        </w:rPr>
        <w:t xml:space="preserve"> (see clause</w:t>
      </w:r>
      <w:r w:rsidR="00663EC2">
        <w:rPr>
          <w:rFonts w:ascii="Times New Roman" w:eastAsiaTheme="minorHAnsi" w:hAnsi="Times New Roman" w:cs="Times New Roman"/>
          <w:sz w:val="22"/>
          <w:szCs w:val="22"/>
        </w:rPr>
        <w:t>s</w:t>
      </w:r>
      <w:r>
        <w:rPr>
          <w:rFonts w:ascii="Times New Roman" w:eastAsiaTheme="minorHAnsi" w:hAnsi="Times New Roman" w:cs="Times New Roman"/>
          <w:sz w:val="22"/>
          <w:szCs w:val="22"/>
        </w:rPr>
        <w:t xml:space="preserve"> 5</w:t>
      </w:r>
      <w:r w:rsidR="00663EC2">
        <w:rPr>
          <w:rFonts w:ascii="Times New Roman" w:eastAsiaTheme="minorHAnsi" w:hAnsi="Times New Roman" w:cs="Times New Roman"/>
          <w:sz w:val="22"/>
          <w:szCs w:val="22"/>
        </w:rPr>
        <w:t xml:space="preserve"> and 9</w:t>
      </w:r>
      <w:r>
        <w:rPr>
          <w:rFonts w:ascii="Times New Roman" w:eastAsiaTheme="minorHAnsi" w:hAnsi="Times New Roman" w:cs="Times New Roman"/>
          <w:sz w:val="22"/>
          <w:szCs w:val="22"/>
        </w:rPr>
        <w:t>).</w:t>
      </w:r>
    </w:p>
    <w:p w14:paraId="14CFA682" w14:textId="7352253F" w:rsidR="00C54A41" w:rsidRPr="007C05EB" w:rsidRDefault="00503F92" w:rsidP="007C05EB">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However, a bidder may, in any subsequent round</w:t>
      </w:r>
      <w:r w:rsidR="001F5FF1">
        <w:rPr>
          <w:rFonts w:ascii="Times New Roman" w:eastAsiaTheme="minorHAnsi" w:hAnsi="Times New Roman" w:cs="Times New Roman"/>
          <w:sz w:val="22"/>
          <w:szCs w:val="22"/>
        </w:rPr>
        <w:t xml:space="preserve"> after making the advance bid</w:t>
      </w:r>
      <w:r>
        <w:rPr>
          <w:rFonts w:ascii="Times New Roman" w:eastAsiaTheme="minorHAnsi" w:hAnsi="Times New Roman" w:cs="Times New Roman"/>
          <w:sz w:val="22"/>
          <w:szCs w:val="22"/>
        </w:rPr>
        <w:t>, make a contrary bid that takes the place of the bid deemed to be made.</w:t>
      </w:r>
    </w:p>
    <w:p w14:paraId="5A51E3F2" w14:textId="02FC8EBD" w:rsidR="00862BBD" w:rsidRPr="0079164F" w:rsidRDefault="00D814BD" w:rsidP="0079164F">
      <w:pPr>
        <w:keepNext/>
        <w:spacing w:after="160" w:line="259" w:lineRule="auto"/>
        <w:rPr>
          <w:rFonts w:eastAsiaTheme="minorHAnsi"/>
          <w:b/>
          <w:sz w:val="22"/>
          <w:szCs w:val="22"/>
          <w:lang w:eastAsia="en-US"/>
        </w:rPr>
      </w:pPr>
      <w:r w:rsidRPr="0079164F">
        <w:rPr>
          <w:rFonts w:eastAsiaTheme="minorHAnsi"/>
          <w:b/>
          <w:sz w:val="22"/>
          <w:szCs w:val="22"/>
          <w:lang w:eastAsia="en-US"/>
        </w:rPr>
        <w:t xml:space="preserve">Clause </w:t>
      </w:r>
      <w:r w:rsidR="006D61AA" w:rsidRPr="0079164F">
        <w:rPr>
          <w:rFonts w:eastAsiaTheme="minorHAnsi"/>
          <w:b/>
          <w:sz w:val="22"/>
          <w:szCs w:val="22"/>
          <w:lang w:eastAsia="en-US"/>
        </w:rPr>
        <w:t>9</w:t>
      </w:r>
      <w:r w:rsidR="00D95030" w:rsidRPr="0079164F">
        <w:rPr>
          <w:rFonts w:eastAsiaTheme="minorHAnsi"/>
          <w:b/>
          <w:sz w:val="22"/>
          <w:szCs w:val="22"/>
          <w:lang w:eastAsia="en-US"/>
        </w:rPr>
        <w:tab/>
      </w:r>
      <w:r w:rsidR="00442750" w:rsidRPr="0079164F">
        <w:rPr>
          <w:rFonts w:eastAsiaTheme="minorHAnsi"/>
          <w:b/>
          <w:sz w:val="22"/>
          <w:szCs w:val="22"/>
          <w:lang w:eastAsia="en-US"/>
        </w:rPr>
        <w:t xml:space="preserve">Validity of bids </w:t>
      </w:r>
    </w:p>
    <w:p w14:paraId="0481A726" w14:textId="0BA8F63F" w:rsidR="00862BBD" w:rsidRPr="007C05EB" w:rsidRDefault="003C4918" w:rsidP="00AB2867">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This clause </w:t>
      </w:r>
      <w:r w:rsidR="0079164F">
        <w:rPr>
          <w:rFonts w:ascii="Times New Roman" w:eastAsiaTheme="minorHAnsi" w:hAnsi="Times New Roman" w:cs="Times New Roman"/>
          <w:sz w:val="22"/>
          <w:szCs w:val="22"/>
        </w:rPr>
        <w:t xml:space="preserve">prescribes </w:t>
      </w:r>
      <w:r w:rsidRPr="007C05EB">
        <w:rPr>
          <w:rFonts w:ascii="Times New Roman" w:eastAsiaTheme="minorHAnsi" w:hAnsi="Times New Roman" w:cs="Times New Roman"/>
          <w:sz w:val="22"/>
          <w:szCs w:val="22"/>
        </w:rPr>
        <w:t xml:space="preserve">the </w:t>
      </w:r>
      <w:r w:rsidR="00347162" w:rsidRPr="007C05EB">
        <w:rPr>
          <w:rFonts w:ascii="Times New Roman" w:eastAsiaTheme="minorHAnsi" w:hAnsi="Times New Roman" w:cs="Times New Roman"/>
          <w:sz w:val="22"/>
          <w:szCs w:val="22"/>
        </w:rPr>
        <w:t>r</w:t>
      </w:r>
      <w:r w:rsidRPr="007C05EB">
        <w:rPr>
          <w:rFonts w:ascii="Times New Roman" w:eastAsiaTheme="minorHAnsi" w:hAnsi="Times New Roman" w:cs="Times New Roman"/>
          <w:sz w:val="22"/>
          <w:szCs w:val="22"/>
        </w:rPr>
        <w:t>equirements for a bid to be valid.</w:t>
      </w:r>
      <w:r w:rsidR="00634BC2" w:rsidRPr="007C05EB">
        <w:rPr>
          <w:rFonts w:ascii="Times New Roman" w:eastAsiaTheme="minorHAnsi" w:hAnsi="Times New Roman" w:cs="Times New Roman"/>
          <w:sz w:val="22"/>
          <w:szCs w:val="22"/>
        </w:rPr>
        <w:t xml:space="preserve"> </w:t>
      </w:r>
      <w:r w:rsidR="001F5FF1">
        <w:rPr>
          <w:rFonts w:ascii="Times New Roman" w:eastAsiaTheme="minorHAnsi" w:hAnsi="Times New Roman" w:cs="Times New Roman"/>
          <w:sz w:val="22"/>
          <w:szCs w:val="22"/>
        </w:rPr>
        <w:t xml:space="preserve"> </w:t>
      </w:r>
      <w:r w:rsidR="00634BC2" w:rsidRPr="007C05EB">
        <w:rPr>
          <w:rFonts w:ascii="Times New Roman" w:eastAsiaTheme="minorHAnsi" w:hAnsi="Times New Roman" w:cs="Times New Roman"/>
          <w:sz w:val="22"/>
          <w:szCs w:val="22"/>
        </w:rPr>
        <w:t>A</w:t>
      </w:r>
      <w:r w:rsidR="00AB2867" w:rsidRPr="007C05EB">
        <w:rPr>
          <w:rFonts w:ascii="Times New Roman" w:eastAsiaTheme="minorHAnsi" w:hAnsi="Times New Roman" w:cs="Times New Roman"/>
          <w:sz w:val="22"/>
          <w:szCs w:val="22"/>
        </w:rPr>
        <w:t xml:space="preserve"> </w:t>
      </w:r>
      <w:r w:rsidR="00862BBD" w:rsidRPr="007C05EB">
        <w:rPr>
          <w:rFonts w:ascii="Times New Roman" w:eastAsiaTheme="minorHAnsi" w:hAnsi="Times New Roman" w:cs="Times New Roman"/>
          <w:sz w:val="22"/>
          <w:szCs w:val="22"/>
        </w:rPr>
        <w:t>bid in a round is valid if</w:t>
      </w:r>
      <w:r w:rsidR="00813664" w:rsidRPr="007C05EB">
        <w:rPr>
          <w:rFonts w:ascii="Times New Roman" w:eastAsiaTheme="minorHAnsi" w:hAnsi="Times New Roman" w:cs="Times New Roman"/>
          <w:sz w:val="22"/>
          <w:szCs w:val="22"/>
        </w:rPr>
        <w:t xml:space="preserve"> for </w:t>
      </w:r>
      <w:r w:rsidR="00347162" w:rsidRPr="007C05EB">
        <w:rPr>
          <w:rFonts w:ascii="Times New Roman" w:eastAsiaTheme="minorHAnsi" w:hAnsi="Times New Roman" w:cs="Times New Roman"/>
          <w:sz w:val="22"/>
          <w:szCs w:val="22"/>
        </w:rPr>
        <w:t xml:space="preserve">the first round for </w:t>
      </w:r>
      <w:r w:rsidR="00813664" w:rsidRPr="007C05EB">
        <w:rPr>
          <w:rFonts w:ascii="Times New Roman" w:eastAsiaTheme="minorHAnsi" w:hAnsi="Times New Roman" w:cs="Times New Roman"/>
          <w:sz w:val="22"/>
          <w:szCs w:val="22"/>
        </w:rPr>
        <w:t xml:space="preserve">either the 10 MHz lot or 5 </w:t>
      </w:r>
      <w:r w:rsidR="00025BFE" w:rsidRPr="007C05EB">
        <w:rPr>
          <w:rFonts w:ascii="Times New Roman" w:eastAsiaTheme="minorHAnsi" w:hAnsi="Times New Roman" w:cs="Times New Roman"/>
          <w:sz w:val="22"/>
          <w:szCs w:val="22"/>
        </w:rPr>
        <w:t>MHz</w:t>
      </w:r>
      <w:r w:rsidR="00813664" w:rsidRPr="007C05EB">
        <w:rPr>
          <w:rFonts w:ascii="Times New Roman" w:eastAsiaTheme="minorHAnsi" w:hAnsi="Times New Roman" w:cs="Times New Roman"/>
          <w:sz w:val="22"/>
          <w:szCs w:val="22"/>
        </w:rPr>
        <w:t xml:space="preserve"> lot</w:t>
      </w:r>
      <w:r w:rsidR="00347162" w:rsidRPr="007C05EB">
        <w:rPr>
          <w:rFonts w:ascii="Times New Roman" w:eastAsiaTheme="minorHAnsi" w:hAnsi="Times New Roman" w:cs="Times New Roman"/>
          <w:sz w:val="22"/>
          <w:szCs w:val="22"/>
        </w:rPr>
        <w:t xml:space="preserve"> the bid is not less than the starting price for the relevant lot. </w:t>
      </w:r>
      <w:r w:rsidR="001F5FF1">
        <w:rPr>
          <w:rFonts w:ascii="Times New Roman" w:eastAsiaTheme="minorHAnsi" w:hAnsi="Times New Roman" w:cs="Times New Roman"/>
          <w:sz w:val="22"/>
          <w:szCs w:val="22"/>
        </w:rPr>
        <w:t xml:space="preserve"> </w:t>
      </w:r>
      <w:r w:rsidR="00347162" w:rsidRPr="007C05EB">
        <w:rPr>
          <w:rFonts w:ascii="Times New Roman" w:eastAsiaTheme="minorHAnsi" w:hAnsi="Times New Roman" w:cs="Times New Roman"/>
          <w:sz w:val="22"/>
          <w:szCs w:val="22"/>
        </w:rPr>
        <w:t>For rounds other than the first round, for either the 5MHz lot or 10 M</w:t>
      </w:r>
      <w:r w:rsidR="0079164F">
        <w:rPr>
          <w:rFonts w:ascii="Times New Roman" w:eastAsiaTheme="minorHAnsi" w:hAnsi="Times New Roman" w:cs="Times New Roman"/>
          <w:sz w:val="22"/>
          <w:szCs w:val="22"/>
        </w:rPr>
        <w:t>H</w:t>
      </w:r>
      <w:r w:rsidR="00347162" w:rsidRPr="007C05EB">
        <w:rPr>
          <w:rFonts w:ascii="Times New Roman" w:eastAsiaTheme="minorHAnsi" w:hAnsi="Times New Roman" w:cs="Times New Roman"/>
          <w:sz w:val="22"/>
          <w:szCs w:val="22"/>
        </w:rPr>
        <w:t xml:space="preserve">z lot, the bid </w:t>
      </w:r>
      <w:r w:rsidR="0079164F">
        <w:rPr>
          <w:rFonts w:ascii="Times New Roman" w:eastAsiaTheme="minorHAnsi" w:hAnsi="Times New Roman" w:cs="Times New Roman"/>
          <w:sz w:val="22"/>
          <w:szCs w:val="22"/>
        </w:rPr>
        <w:t xml:space="preserve">is valid if it </w:t>
      </w:r>
      <w:r w:rsidR="00347162" w:rsidRPr="007C05EB">
        <w:rPr>
          <w:rFonts w:ascii="Times New Roman" w:eastAsiaTheme="minorHAnsi" w:hAnsi="Times New Roman" w:cs="Times New Roman"/>
          <w:sz w:val="22"/>
          <w:szCs w:val="22"/>
        </w:rPr>
        <w:t xml:space="preserve">is not less </w:t>
      </w:r>
      <w:r w:rsidR="00634BC2" w:rsidRPr="007C05EB">
        <w:rPr>
          <w:rFonts w:ascii="Times New Roman" w:eastAsiaTheme="minorHAnsi" w:hAnsi="Times New Roman" w:cs="Times New Roman"/>
          <w:sz w:val="22"/>
          <w:szCs w:val="22"/>
        </w:rPr>
        <w:t xml:space="preserve">than the specified price </w:t>
      </w:r>
      <w:r w:rsidR="00347162" w:rsidRPr="007C05EB">
        <w:rPr>
          <w:rFonts w:ascii="Times New Roman" w:eastAsiaTheme="minorHAnsi" w:hAnsi="Times New Roman" w:cs="Times New Roman"/>
          <w:sz w:val="22"/>
          <w:szCs w:val="22"/>
        </w:rPr>
        <w:t xml:space="preserve">of the relevant lot </w:t>
      </w:r>
      <w:r w:rsidR="00634BC2" w:rsidRPr="007C05EB">
        <w:rPr>
          <w:rFonts w:ascii="Times New Roman" w:eastAsiaTheme="minorHAnsi" w:hAnsi="Times New Roman" w:cs="Times New Roman"/>
          <w:sz w:val="22"/>
          <w:szCs w:val="22"/>
        </w:rPr>
        <w:t xml:space="preserve">for the </w:t>
      </w:r>
      <w:r w:rsidR="00347162" w:rsidRPr="007C05EB">
        <w:rPr>
          <w:rFonts w:ascii="Times New Roman" w:eastAsiaTheme="minorHAnsi" w:hAnsi="Times New Roman" w:cs="Times New Roman"/>
          <w:sz w:val="22"/>
          <w:szCs w:val="22"/>
        </w:rPr>
        <w:t xml:space="preserve">previous </w:t>
      </w:r>
      <w:r w:rsidR="00634BC2" w:rsidRPr="007C05EB">
        <w:rPr>
          <w:rFonts w:ascii="Times New Roman" w:eastAsiaTheme="minorHAnsi" w:hAnsi="Times New Roman" w:cs="Times New Roman"/>
          <w:sz w:val="22"/>
          <w:szCs w:val="22"/>
        </w:rPr>
        <w:t>round</w:t>
      </w:r>
      <w:r w:rsidR="0079164F">
        <w:rPr>
          <w:rFonts w:ascii="Times New Roman" w:eastAsiaTheme="minorHAnsi" w:hAnsi="Times New Roman" w:cs="Times New Roman"/>
          <w:sz w:val="22"/>
          <w:szCs w:val="22"/>
        </w:rPr>
        <w:t xml:space="preserve"> (that is, the bid must be either an exit bid or a continue bid)</w:t>
      </w:r>
      <w:r w:rsidR="00347162" w:rsidRPr="007C05EB">
        <w:rPr>
          <w:rFonts w:ascii="Times New Roman" w:eastAsiaTheme="minorHAnsi" w:hAnsi="Times New Roman" w:cs="Times New Roman"/>
          <w:sz w:val="22"/>
          <w:szCs w:val="22"/>
        </w:rPr>
        <w:t xml:space="preserve">.  </w:t>
      </w:r>
      <w:r w:rsidR="00504ADC" w:rsidRPr="007C05EB">
        <w:rPr>
          <w:rFonts w:ascii="Times New Roman" w:eastAsiaTheme="minorHAnsi" w:hAnsi="Times New Roman" w:cs="Times New Roman"/>
          <w:sz w:val="22"/>
          <w:szCs w:val="22"/>
        </w:rPr>
        <w:t xml:space="preserve">A bid for a round </w:t>
      </w:r>
      <w:r w:rsidR="00347162" w:rsidRPr="007C05EB">
        <w:rPr>
          <w:rFonts w:ascii="Times New Roman" w:eastAsiaTheme="minorHAnsi" w:hAnsi="Times New Roman" w:cs="Times New Roman"/>
          <w:sz w:val="22"/>
          <w:szCs w:val="22"/>
        </w:rPr>
        <w:t xml:space="preserve">must be received by the auction system </w:t>
      </w:r>
      <w:r w:rsidR="00862BBD" w:rsidRPr="007C05EB">
        <w:rPr>
          <w:rFonts w:ascii="Times New Roman" w:eastAsiaTheme="minorHAnsi" w:hAnsi="Times New Roman" w:cs="Times New Roman"/>
          <w:sz w:val="22"/>
          <w:szCs w:val="22"/>
        </w:rPr>
        <w:t>between the start time and end time of the bidding period</w:t>
      </w:r>
      <w:r w:rsidR="00986EFE" w:rsidRPr="007C05EB">
        <w:rPr>
          <w:rFonts w:ascii="Times New Roman" w:eastAsiaTheme="minorHAnsi" w:hAnsi="Times New Roman" w:cs="Times New Roman"/>
          <w:sz w:val="22"/>
          <w:szCs w:val="22"/>
        </w:rPr>
        <w:t xml:space="preserve"> </w:t>
      </w:r>
      <w:r w:rsidR="003056BC" w:rsidRPr="007C05EB">
        <w:rPr>
          <w:rFonts w:ascii="Times New Roman" w:eastAsiaTheme="minorHAnsi" w:hAnsi="Times New Roman" w:cs="Times New Roman"/>
          <w:sz w:val="22"/>
          <w:szCs w:val="22"/>
        </w:rPr>
        <w:t xml:space="preserve">for the round </w:t>
      </w:r>
      <w:r w:rsidR="00986EFE" w:rsidRPr="007C05EB">
        <w:rPr>
          <w:rFonts w:ascii="Times New Roman" w:eastAsiaTheme="minorHAnsi" w:hAnsi="Times New Roman" w:cs="Times New Roman"/>
          <w:sz w:val="22"/>
          <w:szCs w:val="22"/>
        </w:rPr>
        <w:t xml:space="preserve">(subject to section </w:t>
      </w:r>
      <w:r w:rsidR="00347162" w:rsidRPr="007C05EB">
        <w:rPr>
          <w:rFonts w:ascii="Times New Roman" w:eastAsiaTheme="minorHAnsi" w:hAnsi="Times New Roman" w:cs="Times New Roman"/>
          <w:sz w:val="22"/>
          <w:szCs w:val="22"/>
        </w:rPr>
        <w:t>59</w:t>
      </w:r>
      <w:r w:rsidR="00986EFE" w:rsidRPr="007C05EB">
        <w:rPr>
          <w:rFonts w:ascii="Times New Roman" w:eastAsiaTheme="minorHAnsi" w:hAnsi="Times New Roman" w:cs="Times New Roman"/>
          <w:sz w:val="22"/>
          <w:szCs w:val="22"/>
        </w:rPr>
        <w:t xml:space="preserve"> of the Determination)</w:t>
      </w:r>
      <w:r w:rsidR="00347162" w:rsidRPr="007C05EB">
        <w:rPr>
          <w:rFonts w:ascii="Times New Roman" w:eastAsiaTheme="minorHAnsi" w:hAnsi="Times New Roman" w:cs="Times New Roman"/>
          <w:sz w:val="22"/>
          <w:szCs w:val="22"/>
        </w:rPr>
        <w:t>.</w:t>
      </w:r>
      <w:r w:rsidR="0043693D">
        <w:rPr>
          <w:rFonts w:ascii="Times New Roman" w:eastAsiaTheme="minorHAnsi" w:hAnsi="Times New Roman" w:cs="Times New Roman"/>
          <w:sz w:val="22"/>
          <w:szCs w:val="22"/>
        </w:rPr>
        <w:t xml:space="preserve">  </w:t>
      </w:r>
      <w:r w:rsidR="00FF2439">
        <w:rPr>
          <w:rFonts w:ascii="Times New Roman" w:eastAsiaTheme="minorHAnsi" w:hAnsi="Times New Roman" w:cs="Times New Roman"/>
          <w:sz w:val="22"/>
          <w:szCs w:val="22"/>
        </w:rPr>
        <w:t>A</w:t>
      </w:r>
      <w:r w:rsidR="0043693D">
        <w:rPr>
          <w:rFonts w:ascii="Times New Roman" w:eastAsiaTheme="minorHAnsi" w:hAnsi="Times New Roman" w:cs="Times New Roman"/>
          <w:sz w:val="22"/>
          <w:szCs w:val="22"/>
        </w:rPr>
        <w:t xml:space="preserve"> bi</w:t>
      </w:r>
      <w:r w:rsidR="00FF2439">
        <w:rPr>
          <w:rFonts w:ascii="Times New Roman" w:eastAsiaTheme="minorHAnsi" w:hAnsi="Times New Roman" w:cs="Times New Roman"/>
          <w:sz w:val="22"/>
          <w:szCs w:val="22"/>
        </w:rPr>
        <w:t>d</w:t>
      </w:r>
      <w:r w:rsidR="0043693D">
        <w:rPr>
          <w:rFonts w:ascii="Times New Roman" w:eastAsiaTheme="minorHAnsi" w:hAnsi="Times New Roman" w:cs="Times New Roman"/>
          <w:sz w:val="22"/>
          <w:szCs w:val="22"/>
        </w:rPr>
        <w:t xml:space="preserve"> must be a multiple of one thousand.</w:t>
      </w:r>
    </w:p>
    <w:p w14:paraId="2F98572F" w14:textId="477B164B" w:rsidR="00442750" w:rsidRPr="0079164F" w:rsidRDefault="006D61AA" w:rsidP="0079164F">
      <w:pPr>
        <w:keepNext/>
        <w:spacing w:after="160" w:line="259" w:lineRule="auto"/>
        <w:rPr>
          <w:rFonts w:eastAsiaTheme="minorHAnsi"/>
          <w:b/>
          <w:sz w:val="22"/>
          <w:szCs w:val="22"/>
          <w:lang w:eastAsia="en-US"/>
        </w:rPr>
      </w:pPr>
      <w:r w:rsidRPr="0079164F">
        <w:rPr>
          <w:rFonts w:eastAsiaTheme="minorHAnsi"/>
          <w:b/>
          <w:sz w:val="22"/>
          <w:szCs w:val="22"/>
          <w:lang w:eastAsia="en-US"/>
        </w:rPr>
        <w:t xml:space="preserve">Clause </w:t>
      </w:r>
      <w:r w:rsidR="00442750" w:rsidRPr="0079164F">
        <w:rPr>
          <w:rFonts w:eastAsiaTheme="minorHAnsi"/>
          <w:b/>
          <w:sz w:val="22"/>
          <w:szCs w:val="22"/>
          <w:lang w:eastAsia="en-US"/>
        </w:rPr>
        <w:t>10</w:t>
      </w:r>
      <w:r w:rsidR="00442750" w:rsidRPr="0079164F">
        <w:rPr>
          <w:rFonts w:eastAsiaTheme="minorHAnsi"/>
          <w:b/>
          <w:sz w:val="22"/>
          <w:szCs w:val="22"/>
          <w:lang w:eastAsia="en-US"/>
        </w:rPr>
        <w:tab/>
        <w:t>Exit bids – exclusion from further participation</w:t>
      </w:r>
    </w:p>
    <w:p w14:paraId="3EA85A4C" w14:textId="6AF1DE3A" w:rsidR="00AB2867" w:rsidRPr="007C05EB" w:rsidRDefault="00442750" w:rsidP="00444488">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If, in a round,</w:t>
      </w:r>
      <w:r w:rsidR="00AB2867"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a bidder makes an exit bid for a lot (</w:t>
      </w:r>
      <w:r w:rsidRPr="0079164F">
        <w:rPr>
          <w:rFonts w:ascii="Times New Roman" w:eastAsiaTheme="minorHAnsi" w:hAnsi="Times New Roman" w:cs="Times New Roman"/>
          <w:b/>
          <w:sz w:val="22"/>
          <w:szCs w:val="22"/>
        </w:rPr>
        <w:t>the exit bidder</w:t>
      </w:r>
      <w:r w:rsidRPr="007C05EB">
        <w:rPr>
          <w:rFonts w:ascii="Times New Roman" w:eastAsiaTheme="minorHAnsi" w:hAnsi="Times New Roman" w:cs="Times New Roman"/>
          <w:sz w:val="22"/>
          <w:szCs w:val="22"/>
        </w:rPr>
        <w:t>) and</w:t>
      </w:r>
      <w:r w:rsidR="00AB2867"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two or more bidders make a continue bid for the lot</w:t>
      </w:r>
      <w:r w:rsidR="00AB2867"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the exit bidder cannot make any bid on the lot in any subsequent round.</w:t>
      </w:r>
      <w:r w:rsidR="001F5FF1">
        <w:rPr>
          <w:rFonts w:ascii="Times New Roman" w:eastAsiaTheme="minorHAnsi" w:hAnsi="Times New Roman" w:cs="Times New Roman"/>
          <w:sz w:val="22"/>
          <w:szCs w:val="22"/>
        </w:rPr>
        <w:t xml:space="preserve"> </w:t>
      </w:r>
      <w:r w:rsidR="003F14E1" w:rsidRPr="007C05EB">
        <w:rPr>
          <w:rFonts w:ascii="Times New Roman" w:eastAsiaTheme="minorHAnsi" w:hAnsi="Times New Roman" w:cs="Times New Roman"/>
          <w:sz w:val="22"/>
          <w:szCs w:val="22"/>
        </w:rPr>
        <w:t xml:space="preserve"> This applies even if another bidder makes an exit bid on the lot in the same round.</w:t>
      </w:r>
    </w:p>
    <w:p w14:paraId="7CA36EE9" w14:textId="105E40FE" w:rsidR="00504ADC" w:rsidRPr="007C05EB" w:rsidRDefault="00442750" w:rsidP="007C05EB">
      <w:pPr>
        <w:keepNext/>
        <w:spacing w:before="280" w:after="160" w:line="259" w:lineRule="auto"/>
        <w:rPr>
          <w:rFonts w:eastAsiaTheme="minorHAnsi"/>
          <w:b/>
          <w:lang w:eastAsia="en-US"/>
        </w:rPr>
      </w:pPr>
      <w:r w:rsidRPr="007C05EB">
        <w:rPr>
          <w:rFonts w:eastAsiaTheme="minorHAnsi"/>
          <w:b/>
          <w:lang w:eastAsia="en-US"/>
        </w:rPr>
        <w:lastRenderedPageBreak/>
        <w:t>Part 3</w:t>
      </w:r>
      <w:r w:rsidRPr="007C05EB">
        <w:rPr>
          <w:rFonts w:eastAsiaTheme="minorHAnsi"/>
          <w:b/>
          <w:lang w:eastAsia="en-US"/>
        </w:rPr>
        <w:tab/>
      </w:r>
      <w:r w:rsidR="0079164F">
        <w:rPr>
          <w:rFonts w:eastAsiaTheme="minorHAnsi"/>
          <w:b/>
          <w:lang w:eastAsia="en-US"/>
        </w:rPr>
        <w:tab/>
      </w:r>
      <w:r w:rsidRPr="007C05EB">
        <w:rPr>
          <w:rFonts w:eastAsiaTheme="minorHAnsi"/>
          <w:b/>
          <w:lang w:eastAsia="en-US"/>
        </w:rPr>
        <w:t>Determining the winning bidder for a lot</w:t>
      </w:r>
    </w:p>
    <w:p w14:paraId="6862B85E" w14:textId="5BE74B95" w:rsidR="00442750" w:rsidRPr="0079164F" w:rsidRDefault="003F4992" w:rsidP="0079164F">
      <w:pPr>
        <w:keepNext/>
        <w:spacing w:after="160" w:line="259" w:lineRule="auto"/>
        <w:rPr>
          <w:rFonts w:eastAsiaTheme="minorHAnsi"/>
          <w:b/>
          <w:sz w:val="22"/>
          <w:szCs w:val="22"/>
          <w:lang w:eastAsia="en-US"/>
        </w:rPr>
      </w:pPr>
      <w:r w:rsidRPr="0079164F">
        <w:rPr>
          <w:rFonts w:eastAsiaTheme="minorHAnsi"/>
          <w:b/>
          <w:sz w:val="22"/>
          <w:szCs w:val="22"/>
          <w:lang w:eastAsia="en-US"/>
        </w:rPr>
        <w:t xml:space="preserve">Clause </w:t>
      </w:r>
      <w:r w:rsidR="00442750" w:rsidRPr="0079164F">
        <w:rPr>
          <w:rFonts w:eastAsiaTheme="minorHAnsi"/>
          <w:b/>
          <w:sz w:val="22"/>
          <w:szCs w:val="22"/>
          <w:lang w:eastAsia="en-US"/>
        </w:rPr>
        <w:t>11</w:t>
      </w:r>
      <w:r w:rsidR="0079164F">
        <w:rPr>
          <w:rFonts w:eastAsiaTheme="minorHAnsi"/>
          <w:b/>
          <w:sz w:val="22"/>
          <w:szCs w:val="22"/>
          <w:lang w:eastAsia="en-US"/>
        </w:rPr>
        <w:tab/>
      </w:r>
      <w:r w:rsidR="00442750" w:rsidRPr="0079164F">
        <w:rPr>
          <w:rFonts w:eastAsiaTheme="minorHAnsi"/>
          <w:b/>
          <w:sz w:val="22"/>
          <w:szCs w:val="22"/>
          <w:lang w:eastAsia="en-US"/>
        </w:rPr>
        <w:t xml:space="preserve">Final round for </w:t>
      </w:r>
      <w:r w:rsidR="003F14E1" w:rsidRPr="0079164F">
        <w:rPr>
          <w:rFonts w:eastAsiaTheme="minorHAnsi"/>
          <w:b/>
          <w:sz w:val="22"/>
          <w:szCs w:val="22"/>
          <w:lang w:eastAsia="en-US"/>
        </w:rPr>
        <w:t>bids on the 10 MHz lot and final round of the auction</w:t>
      </w:r>
    </w:p>
    <w:p w14:paraId="5E1FA19A" w14:textId="7E876756" w:rsidR="0079164F" w:rsidRDefault="0079164F" w:rsidP="007C05EB">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This section sets out the rules for determining when bidding on a lot ends, the identity of the winning bidder and the final high bid.</w:t>
      </w:r>
    </w:p>
    <w:p w14:paraId="7311F26B" w14:textId="123B19C4" w:rsidR="0079164F" w:rsidRDefault="00442750"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The </w:t>
      </w:r>
      <w:r w:rsidR="00F425C8" w:rsidRPr="007C05EB">
        <w:rPr>
          <w:rFonts w:ascii="Times New Roman" w:eastAsiaTheme="minorHAnsi" w:hAnsi="Times New Roman" w:cs="Times New Roman"/>
          <w:sz w:val="22"/>
          <w:szCs w:val="22"/>
        </w:rPr>
        <w:t xml:space="preserve">final </w:t>
      </w:r>
      <w:r w:rsidRPr="007C05EB">
        <w:rPr>
          <w:rFonts w:ascii="Times New Roman" w:eastAsiaTheme="minorHAnsi" w:hAnsi="Times New Roman" w:cs="Times New Roman"/>
          <w:sz w:val="22"/>
          <w:szCs w:val="22"/>
        </w:rPr>
        <w:t>round</w:t>
      </w:r>
      <w:r w:rsidR="00F425C8" w:rsidRPr="007C05EB">
        <w:rPr>
          <w:rFonts w:ascii="Times New Roman" w:eastAsiaTheme="minorHAnsi" w:hAnsi="Times New Roman" w:cs="Times New Roman"/>
          <w:sz w:val="22"/>
          <w:szCs w:val="22"/>
        </w:rPr>
        <w:t xml:space="preserve"> for bids on the 10 </w:t>
      </w:r>
      <w:r w:rsidR="0079164F" w:rsidRPr="007C05EB">
        <w:rPr>
          <w:rFonts w:ascii="Times New Roman" w:eastAsiaTheme="minorHAnsi" w:hAnsi="Times New Roman" w:cs="Times New Roman"/>
          <w:sz w:val="22"/>
          <w:szCs w:val="22"/>
        </w:rPr>
        <w:t>M</w:t>
      </w:r>
      <w:r w:rsidR="0079164F">
        <w:rPr>
          <w:rFonts w:ascii="Times New Roman" w:eastAsiaTheme="minorHAnsi" w:hAnsi="Times New Roman" w:cs="Times New Roman"/>
          <w:sz w:val="22"/>
          <w:szCs w:val="22"/>
        </w:rPr>
        <w:t>H</w:t>
      </w:r>
      <w:r w:rsidR="0079164F" w:rsidRPr="007C05EB">
        <w:rPr>
          <w:rFonts w:ascii="Times New Roman" w:eastAsiaTheme="minorHAnsi" w:hAnsi="Times New Roman" w:cs="Times New Roman"/>
          <w:sz w:val="22"/>
          <w:szCs w:val="22"/>
        </w:rPr>
        <w:t xml:space="preserve">z </w:t>
      </w:r>
      <w:r w:rsidR="00F425C8" w:rsidRPr="007C05EB">
        <w:rPr>
          <w:rFonts w:ascii="Times New Roman" w:eastAsiaTheme="minorHAnsi" w:hAnsi="Times New Roman" w:cs="Times New Roman"/>
          <w:sz w:val="22"/>
          <w:szCs w:val="22"/>
        </w:rPr>
        <w:t xml:space="preserve">lot is </w:t>
      </w:r>
      <w:r w:rsidRPr="007C05EB">
        <w:rPr>
          <w:rFonts w:ascii="Times New Roman" w:eastAsiaTheme="minorHAnsi" w:hAnsi="Times New Roman" w:cs="Times New Roman"/>
          <w:sz w:val="22"/>
          <w:szCs w:val="22"/>
        </w:rPr>
        <w:t xml:space="preserve">the first round where </w:t>
      </w:r>
      <w:r w:rsidR="00F425C8" w:rsidRPr="007C05EB">
        <w:rPr>
          <w:rFonts w:ascii="Times New Roman" w:eastAsiaTheme="minorHAnsi" w:hAnsi="Times New Roman" w:cs="Times New Roman"/>
          <w:sz w:val="22"/>
          <w:szCs w:val="22"/>
        </w:rPr>
        <w:t xml:space="preserve">there is </w:t>
      </w:r>
      <w:r w:rsidRPr="007C05EB">
        <w:rPr>
          <w:rFonts w:ascii="Times New Roman" w:eastAsiaTheme="minorHAnsi" w:hAnsi="Times New Roman" w:cs="Times New Roman"/>
          <w:sz w:val="22"/>
          <w:szCs w:val="22"/>
        </w:rPr>
        <w:t xml:space="preserve">one bid made for the </w:t>
      </w:r>
      <w:r w:rsidR="003F14E1" w:rsidRPr="007C05EB">
        <w:rPr>
          <w:rFonts w:ascii="Times New Roman" w:eastAsiaTheme="minorHAnsi" w:hAnsi="Times New Roman" w:cs="Times New Roman"/>
          <w:sz w:val="22"/>
          <w:szCs w:val="22"/>
        </w:rPr>
        <w:t xml:space="preserve">10 MHz </w:t>
      </w:r>
      <w:r w:rsidRPr="007C05EB">
        <w:rPr>
          <w:rFonts w:ascii="Times New Roman" w:eastAsiaTheme="minorHAnsi" w:hAnsi="Times New Roman" w:cs="Times New Roman"/>
          <w:sz w:val="22"/>
          <w:szCs w:val="22"/>
        </w:rPr>
        <w:t>lot</w:t>
      </w:r>
      <w:r w:rsidR="00F425C8" w:rsidRPr="007C05EB">
        <w:rPr>
          <w:rFonts w:ascii="Times New Roman" w:eastAsiaTheme="minorHAnsi" w:hAnsi="Times New Roman" w:cs="Times New Roman"/>
          <w:sz w:val="22"/>
          <w:szCs w:val="22"/>
        </w:rPr>
        <w:t xml:space="preserve">, or </w:t>
      </w:r>
      <w:r w:rsidRPr="007C05EB">
        <w:rPr>
          <w:rFonts w:ascii="Times New Roman" w:eastAsiaTheme="minorHAnsi" w:hAnsi="Times New Roman" w:cs="Times New Roman"/>
          <w:sz w:val="22"/>
          <w:szCs w:val="22"/>
        </w:rPr>
        <w:t xml:space="preserve">one or more exit bids, and no more than one continue bid, are made for the </w:t>
      </w:r>
      <w:r w:rsidR="003F14E1" w:rsidRPr="007C05EB">
        <w:rPr>
          <w:rFonts w:ascii="Times New Roman" w:eastAsiaTheme="minorHAnsi" w:hAnsi="Times New Roman" w:cs="Times New Roman"/>
          <w:sz w:val="22"/>
          <w:szCs w:val="22"/>
        </w:rPr>
        <w:t xml:space="preserve">10 MHz </w:t>
      </w:r>
      <w:r w:rsidRPr="007C05EB">
        <w:rPr>
          <w:rFonts w:ascii="Times New Roman" w:eastAsiaTheme="minorHAnsi" w:hAnsi="Times New Roman" w:cs="Times New Roman"/>
          <w:sz w:val="22"/>
          <w:szCs w:val="22"/>
        </w:rPr>
        <w:t>lot</w:t>
      </w:r>
      <w:r w:rsidR="00F425C8" w:rsidRPr="007C05EB">
        <w:rPr>
          <w:rFonts w:ascii="Times New Roman" w:eastAsiaTheme="minorHAnsi" w:hAnsi="Times New Roman" w:cs="Times New Roman"/>
          <w:sz w:val="22"/>
          <w:szCs w:val="22"/>
        </w:rPr>
        <w:t>, or n</w:t>
      </w:r>
      <w:r w:rsidRPr="007C05EB">
        <w:rPr>
          <w:rFonts w:ascii="Times New Roman" w:eastAsiaTheme="minorHAnsi" w:hAnsi="Times New Roman" w:cs="Times New Roman"/>
          <w:sz w:val="22"/>
          <w:szCs w:val="22"/>
        </w:rPr>
        <w:t>o bids are made for the</w:t>
      </w:r>
      <w:r w:rsidR="003F14E1" w:rsidRPr="007C05EB">
        <w:rPr>
          <w:rFonts w:ascii="Times New Roman" w:eastAsiaTheme="minorHAnsi" w:hAnsi="Times New Roman" w:cs="Times New Roman"/>
          <w:sz w:val="22"/>
          <w:szCs w:val="22"/>
        </w:rPr>
        <w:t xml:space="preserve"> 10 MHz </w:t>
      </w:r>
      <w:r w:rsidRPr="007C05EB">
        <w:rPr>
          <w:rFonts w:ascii="Times New Roman" w:eastAsiaTheme="minorHAnsi" w:hAnsi="Times New Roman" w:cs="Times New Roman"/>
          <w:sz w:val="22"/>
          <w:szCs w:val="22"/>
        </w:rPr>
        <w:t>lot.</w:t>
      </w:r>
      <w:r w:rsidR="00F425C8" w:rsidRPr="007C05EB">
        <w:rPr>
          <w:rFonts w:ascii="Times New Roman" w:eastAsiaTheme="minorHAnsi" w:hAnsi="Times New Roman" w:cs="Times New Roman"/>
          <w:sz w:val="22"/>
          <w:szCs w:val="22"/>
        </w:rPr>
        <w:t xml:space="preserve">  </w:t>
      </w:r>
      <w:r w:rsidR="00401FC5">
        <w:rPr>
          <w:rFonts w:ascii="Times New Roman" w:eastAsiaTheme="minorHAnsi" w:hAnsi="Times New Roman" w:cs="Times New Roman"/>
          <w:sz w:val="22"/>
          <w:szCs w:val="22"/>
        </w:rPr>
        <w:t>I</w:t>
      </w:r>
      <w:r w:rsidR="0079164F">
        <w:rPr>
          <w:rFonts w:ascii="Times New Roman" w:eastAsiaTheme="minorHAnsi" w:hAnsi="Times New Roman" w:cs="Times New Roman"/>
          <w:sz w:val="22"/>
          <w:szCs w:val="22"/>
        </w:rPr>
        <w:t>f two or more continue bids are made for the 10 MHz lot during a round, there will be at least one further round.</w:t>
      </w:r>
    </w:p>
    <w:p w14:paraId="6051C920" w14:textId="537D3D25" w:rsidR="00442750" w:rsidRPr="007C05EB" w:rsidRDefault="00F425C8"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The round after the final round for bids on the 10 MHz lot is the first round for bids on the 5 MHz lot.</w:t>
      </w:r>
    </w:p>
    <w:p w14:paraId="58736CE9" w14:textId="5158CB7C" w:rsidR="00F425C8" w:rsidRPr="007C05EB" w:rsidRDefault="00F425C8"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The final round of the auction is the first round where </w:t>
      </w:r>
      <w:r w:rsidR="003F4992" w:rsidRPr="007C05EB">
        <w:rPr>
          <w:rFonts w:ascii="Times New Roman" w:eastAsiaTheme="minorHAnsi" w:hAnsi="Times New Roman" w:cs="Times New Roman"/>
          <w:sz w:val="22"/>
          <w:szCs w:val="22"/>
        </w:rPr>
        <w:t>o</w:t>
      </w:r>
      <w:r w:rsidRPr="007C05EB">
        <w:rPr>
          <w:rFonts w:ascii="Times New Roman" w:eastAsiaTheme="minorHAnsi" w:hAnsi="Times New Roman" w:cs="Times New Roman"/>
          <w:sz w:val="22"/>
          <w:szCs w:val="22"/>
        </w:rPr>
        <w:t>ne bid is made for the 5 MHz lot</w:t>
      </w:r>
      <w:r w:rsidR="0079164F">
        <w:rPr>
          <w:rFonts w:ascii="Times New Roman" w:eastAsiaTheme="minorHAnsi" w:hAnsi="Times New Roman" w:cs="Times New Roman"/>
          <w:sz w:val="22"/>
          <w:szCs w:val="22"/>
        </w:rPr>
        <w:t>,</w:t>
      </w:r>
      <w:r w:rsidR="003F4992" w:rsidRPr="007C05EB">
        <w:rPr>
          <w:rFonts w:ascii="Times New Roman" w:eastAsiaTheme="minorHAnsi" w:hAnsi="Times New Roman" w:cs="Times New Roman"/>
          <w:sz w:val="22"/>
          <w:szCs w:val="22"/>
        </w:rPr>
        <w:t xml:space="preserve"> or </w:t>
      </w:r>
      <w:r w:rsidRPr="007C05EB">
        <w:rPr>
          <w:rFonts w:ascii="Times New Roman" w:eastAsiaTheme="minorHAnsi" w:hAnsi="Times New Roman" w:cs="Times New Roman"/>
          <w:sz w:val="22"/>
          <w:szCs w:val="22"/>
        </w:rPr>
        <w:t>one or more exit bids, and no more than one continue bid, are made for the 5 MHz lot</w:t>
      </w:r>
      <w:r w:rsidR="0079164F">
        <w:rPr>
          <w:rFonts w:ascii="Times New Roman" w:eastAsiaTheme="minorHAnsi" w:hAnsi="Times New Roman" w:cs="Times New Roman"/>
          <w:sz w:val="22"/>
          <w:szCs w:val="22"/>
        </w:rPr>
        <w:t>,</w:t>
      </w:r>
      <w:r w:rsidR="003F4992" w:rsidRPr="007C05EB">
        <w:rPr>
          <w:rFonts w:ascii="Times New Roman" w:eastAsiaTheme="minorHAnsi" w:hAnsi="Times New Roman" w:cs="Times New Roman"/>
          <w:sz w:val="22"/>
          <w:szCs w:val="22"/>
        </w:rPr>
        <w:t xml:space="preserve"> or</w:t>
      </w:r>
      <w:r w:rsidR="000B75BC"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 xml:space="preserve">no bids are made for the </w:t>
      </w:r>
      <w:r w:rsidR="003213FD" w:rsidRPr="007C05EB">
        <w:rPr>
          <w:rFonts w:ascii="Times New Roman" w:eastAsiaTheme="minorHAnsi" w:hAnsi="Times New Roman" w:cs="Times New Roman"/>
          <w:sz w:val="22"/>
          <w:szCs w:val="22"/>
        </w:rPr>
        <w:t>5</w:t>
      </w:r>
      <w:r w:rsidR="003213FD">
        <w:rPr>
          <w:rFonts w:ascii="Times New Roman" w:eastAsiaTheme="minorHAnsi" w:hAnsi="Times New Roman" w:cs="Times New Roman"/>
          <w:sz w:val="22"/>
          <w:szCs w:val="22"/>
        </w:rPr>
        <w:t> </w:t>
      </w:r>
      <w:r w:rsidRPr="007C05EB">
        <w:rPr>
          <w:rFonts w:ascii="Times New Roman" w:eastAsiaTheme="minorHAnsi" w:hAnsi="Times New Roman" w:cs="Times New Roman"/>
          <w:sz w:val="22"/>
          <w:szCs w:val="22"/>
        </w:rPr>
        <w:t>MHz lot.</w:t>
      </w:r>
      <w:r w:rsidR="0079164F">
        <w:rPr>
          <w:rFonts w:ascii="Times New Roman" w:eastAsiaTheme="minorHAnsi" w:hAnsi="Times New Roman" w:cs="Times New Roman"/>
          <w:sz w:val="22"/>
          <w:szCs w:val="22"/>
        </w:rPr>
        <w:t xml:space="preserve">  </w:t>
      </w:r>
      <w:r w:rsidR="00401FC5">
        <w:rPr>
          <w:rFonts w:ascii="Times New Roman" w:eastAsiaTheme="minorHAnsi" w:hAnsi="Times New Roman" w:cs="Times New Roman"/>
          <w:sz w:val="22"/>
          <w:szCs w:val="22"/>
        </w:rPr>
        <w:t>I</w:t>
      </w:r>
      <w:r w:rsidR="0079164F">
        <w:rPr>
          <w:rFonts w:ascii="Times New Roman" w:eastAsiaTheme="minorHAnsi" w:hAnsi="Times New Roman" w:cs="Times New Roman"/>
          <w:sz w:val="22"/>
          <w:szCs w:val="22"/>
        </w:rPr>
        <w:t>f two or more continue bids are made for the 5 MHz lot during a round, there will be at least one further round.</w:t>
      </w:r>
    </w:p>
    <w:p w14:paraId="62BC1ED6" w14:textId="266F9C98" w:rsidR="00771A4A" w:rsidRPr="007C05EB" w:rsidRDefault="00F82271"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w:t>
      </w:r>
      <w:r w:rsidR="00442750" w:rsidRPr="007C05EB">
        <w:rPr>
          <w:rFonts w:ascii="Times New Roman" w:eastAsiaTheme="minorHAnsi" w:hAnsi="Times New Roman" w:cs="Times New Roman"/>
          <w:sz w:val="22"/>
          <w:szCs w:val="22"/>
        </w:rPr>
        <w:t xml:space="preserve">he final high bid </w:t>
      </w:r>
      <w:r w:rsidRPr="007C05EB">
        <w:rPr>
          <w:rFonts w:ascii="Times New Roman" w:eastAsiaTheme="minorHAnsi" w:hAnsi="Times New Roman" w:cs="Times New Roman"/>
          <w:sz w:val="22"/>
          <w:szCs w:val="22"/>
        </w:rPr>
        <w:t xml:space="preserve">for the 10 </w:t>
      </w:r>
      <w:r w:rsidR="0079164F" w:rsidRPr="007C05EB">
        <w:rPr>
          <w:rFonts w:ascii="Times New Roman" w:eastAsiaTheme="minorHAnsi" w:hAnsi="Times New Roman" w:cs="Times New Roman"/>
          <w:sz w:val="22"/>
          <w:szCs w:val="22"/>
        </w:rPr>
        <w:t>M</w:t>
      </w:r>
      <w:r w:rsidR="0079164F">
        <w:rPr>
          <w:rFonts w:ascii="Times New Roman" w:eastAsiaTheme="minorHAnsi" w:hAnsi="Times New Roman" w:cs="Times New Roman"/>
          <w:sz w:val="22"/>
          <w:szCs w:val="22"/>
        </w:rPr>
        <w:t>H</w:t>
      </w:r>
      <w:r w:rsidR="0079164F" w:rsidRPr="007C05EB">
        <w:rPr>
          <w:rFonts w:ascii="Times New Roman" w:eastAsiaTheme="minorHAnsi" w:hAnsi="Times New Roman" w:cs="Times New Roman"/>
          <w:sz w:val="22"/>
          <w:szCs w:val="22"/>
        </w:rPr>
        <w:t xml:space="preserve">z </w:t>
      </w:r>
      <w:r w:rsidRPr="007C05EB">
        <w:rPr>
          <w:rFonts w:ascii="Times New Roman" w:eastAsiaTheme="minorHAnsi" w:hAnsi="Times New Roman" w:cs="Times New Roman"/>
          <w:sz w:val="22"/>
          <w:szCs w:val="22"/>
        </w:rPr>
        <w:t xml:space="preserve">lot </w:t>
      </w:r>
      <w:r w:rsidR="00442750" w:rsidRPr="007C05EB">
        <w:rPr>
          <w:rFonts w:ascii="Times New Roman" w:eastAsiaTheme="minorHAnsi" w:hAnsi="Times New Roman" w:cs="Times New Roman"/>
          <w:sz w:val="22"/>
          <w:szCs w:val="22"/>
        </w:rPr>
        <w:t>is</w:t>
      </w:r>
      <w:r w:rsidR="00771A4A" w:rsidRPr="007C05EB">
        <w:rPr>
          <w:rFonts w:ascii="Times New Roman" w:eastAsiaTheme="minorHAnsi" w:hAnsi="Times New Roman" w:cs="Times New Roman"/>
          <w:sz w:val="22"/>
          <w:szCs w:val="22"/>
        </w:rPr>
        <w:t xml:space="preserve"> </w:t>
      </w:r>
      <w:r w:rsidR="0079164F">
        <w:rPr>
          <w:rFonts w:ascii="Times New Roman" w:eastAsiaTheme="minorHAnsi" w:hAnsi="Times New Roman" w:cs="Times New Roman"/>
          <w:sz w:val="22"/>
          <w:szCs w:val="22"/>
        </w:rPr>
        <w:t>whichever of the following applies:</w:t>
      </w:r>
    </w:p>
    <w:p w14:paraId="71FBD299" w14:textId="5B67BE6F" w:rsidR="00771A4A" w:rsidRPr="007C05EB" w:rsidRDefault="0079164F" w:rsidP="007C05EB">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(a)</w:t>
      </w:r>
      <w:r>
        <w:rPr>
          <w:rFonts w:ascii="Times New Roman" w:eastAsiaTheme="minorHAnsi" w:hAnsi="Times New Roman" w:cs="Times New Roman"/>
          <w:sz w:val="22"/>
          <w:szCs w:val="22"/>
        </w:rPr>
        <w:tab/>
      </w:r>
      <w:proofErr w:type="gramStart"/>
      <w:r>
        <w:rPr>
          <w:rFonts w:ascii="Times New Roman" w:eastAsiaTheme="minorHAnsi" w:hAnsi="Times New Roman" w:cs="Times New Roman"/>
          <w:sz w:val="22"/>
          <w:szCs w:val="22"/>
        </w:rPr>
        <w:t>if</w:t>
      </w:r>
      <w:proofErr w:type="gramEnd"/>
      <w:r>
        <w:rPr>
          <w:rFonts w:ascii="Times New Roman" w:eastAsiaTheme="minorHAnsi" w:hAnsi="Times New Roman" w:cs="Times New Roman"/>
          <w:sz w:val="22"/>
          <w:szCs w:val="22"/>
        </w:rPr>
        <w:t xml:space="preserve"> </w:t>
      </w:r>
      <w:r w:rsidR="00442750" w:rsidRPr="007C05EB">
        <w:rPr>
          <w:rFonts w:ascii="Times New Roman" w:eastAsiaTheme="minorHAnsi" w:hAnsi="Times New Roman" w:cs="Times New Roman"/>
          <w:sz w:val="22"/>
          <w:szCs w:val="22"/>
        </w:rPr>
        <w:t>one bid was made on the lot in the final round for the lot – that bid</w:t>
      </w:r>
      <w:r>
        <w:rPr>
          <w:rFonts w:ascii="Times New Roman" w:eastAsiaTheme="minorHAnsi" w:hAnsi="Times New Roman" w:cs="Times New Roman"/>
          <w:sz w:val="22"/>
          <w:szCs w:val="22"/>
        </w:rPr>
        <w:t>;</w:t>
      </w:r>
      <w:r w:rsidR="00771A4A" w:rsidRPr="007C05EB">
        <w:rPr>
          <w:rFonts w:ascii="Times New Roman" w:eastAsiaTheme="minorHAnsi" w:hAnsi="Times New Roman" w:cs="Times New Roman"/>
          <w:sz w:val="22"/>
          <w:szCs w:val="22"/>
        </w:rPr>
        <w:t xml:space="preserve"> or</w:t>
      </w:r>
    </w:p>
    <w:p w14:paraId="7C9096F6" w14:textId="3701FDA6" w:rsidR="00771A4A" w:rsidRPr="007C05EB" w:rsidRDefault="0079164F" w:rsidP="007C05EB">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(b)</w:t>
      </w:r>
      <w:r>
        <w:rPr>
          <w:rFonts w:ascii="Times New Roman" w:eastAsiaTheme="minorHAnsi" w:hAnsi="Times New Roman" w:cs="Times New Roman"/>
          <w:sz w:val="22"/>
          <w:szCs w:val="22"/>
        </w:rPr>
        <w:tab/>
      </w:r>
      <w:proofErr w:type="gramStart"/>
      <w:r>
        <w:rPr>
          <w:rFonts w:ascii="Times New Roman" w:eastAsiaTheme="minorHAnsi" w:hAnsi="Times New Roman" w:cs="Times New Roman"/>
          <w:sz w:val="22"/>
          <w:szCs w:val="22"/>
        </w:rPr>
        <w:t>if</w:t>
      </w:r>
      <w:proofErr w:type="gramEnd"/>
      <w:r>
        <w:rPr>
          <w:rFonts w:ascii="Times New Roman" w:eastAsiaTheme="minorHAnsi" w:hAnsi="Times New Roman" w:cs="Times New Roman"/>
          <w:sz w:val="22"/>
          <w:szCs w:val="22"/>
        </w:rPr>
        <w:t xml:space="preserve"> </w:t>
      </w:r>
      <w:r w:rsidR="00442750" w:rsidRPr="007C05EB">
        <w:rPr>
          <w:rFonts w:ascii="Times New Roman" w:eastAsiaTheme="minorHAnsi" w:hAnsi="Times New Roman" w:cs="Times New Roman"/>
          <w:sz w:val="22"/>
          <w:szCs w:val="22"/>
        </w:rPr>
        <w:t>one continue bid was made on the lot in the final round for the lot – that continue bid</w:t>
      </w:r>
      <w:r>
        <w:rPr>
          <w:rFonts w:ascii="Times New Roman" w:eastAsiaTheme="minorHAnsi" w:hAnsi="Times New Roman" w:cs="Times New Roman"/>
          <w:sz w:val="22"/>
          <w:szCs w:val="22"/>
        </w:rPr>
        <w:t>;</w:t>
      </w:r>
      <w:r w:rsidR="00771A4A" w:rsidRPr="007C05EB">
        <w:rPr>
          <w:rFonts w:ascii="Times New Roman" w:eastAsiaTheme="minorHAnsi" w:hAnsi="Times New Roman" w:cs="Times New Roman"/>
          <w:sz w:val="22"/>
          <w:szCs w:val="22"/>
        </w:rPr>
        <w:t xml:space="preserve"> or</w:t>
      </w:r>
    </w:p>
    <w:p w14:paraId="243226FE" w14:textId="72EDF2AB" w:rsidR="00442750" w:rsidRPr="007C05EB" w:rsidRDefault="0079164F" w:rsidP="007C05EB">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(c)</w:t>
      </w:r>
      <w:r>
        <w:rPr>
          <w:rFonts w:ascii="Times New Roman" w:eastAsiaTheme="minorHAnsi" w:hAnsi="Times New Roman" w:cs="Times New Roman"/>
          <w:sz w:val="22"/>
          <w:szCs w:val="22"/>
        </w:rPr>
        <w:tab/>
      </w:r>
      <w:proofErr w:type="gramStart"/>
      <w:r w:rsidR="00442750" w:rsidRPr="007C05EB">
        <w:rPr>
          <w:rFonts w:ascii="Times New Roman" w:eastAsiaTheme="minorHAnsi" w:hAnsi="Times New Roman" w:cs="Times New Roman"/>
          <w:sz w:val="22"/>
          <w:szCs w:val="22"/>
        </w:rPr>
        <w:t>if</w:t>
      </w:r>
      <w:proofErr w:type="gramEnd"/>
      <w:r w:rsidR="00442750" w:rsidRPr="007C05EB">
        <w:rPr>
          <w:rFonts w:ascii="Times New Roman" w:eastAsiaTheme="minorHAnsi" w:hAnsi="Times New Roman" w:cs="Times New Roman"/>
          <w:sz w:val="22"/>
          <w:szCs w:val="22"/>
        </w:rPr>
        <w:t xml:space="preserve"> each of the following applies:</w:t>
      </w:r>
    </w:p>
    <w:p w14:paraId="330EB737" w14:textId="7DEF2646" w:rsidR="00442750" w:rsidRPr="007C05EB" w:rsidRDefault="00442750" w:rsidP="007C05EB">
      <w:pPr>
        <w:pStyle w:val="ACMABodyText"/>
        <w:tabs>
          <w:tab w:val="left" w:pos="1418"/>
        </w:tabs>
        <w:ind w:left="1418" w:hanging="709"/>
        <w:rPr>
          <w:rFonts w:ascii="Times New Roman" w:hAnsi="Times New Roman" w:cs="Times New Roman"/>
          <w:sz w:val="22"/>
          <w:szCs w:val="22"/>
        </w:rPr>
      </w:pPr>
      <w:r w:rsidRPr="007C05EB">
        <w:rPr>
          <w:rFonts w:ascii="Times New Roman" w:hAnsi="Times New Roman" w:cs="Times New Roman"/>
          <w:sz w:val="22"/>
          <w:szCs w:val="22"/>
        </w:rPr>
        <w:t>(</w:t>
      </w:r>
      <w:proofErr w:type="spellStart"/>
      <w:r w:rsidRPr="007C05EB">
        <w:rPr>
          <w:rFonts w:ascii="Times New Roman" w:hAnsi="Times New Roman" w:cs="Times New Roman"/>
          <w:sz w:val="22"/>
          <w:szCs w:val="22"/>
        </w:rPr>
        <w:t>i</w:t>
      </w:r>
      <w:proofErr w:type="spellEnd"/>
      <w:r w:rsidRPr="007C05EB">
        <w:rPr>
          <w:rFonts w:ascii="Times New Roman" w:hAnsi="Times New Roman" w:cs="Times New Roman"/>
          <w:sz w:val="22"/>
          <w:szCs w:val="22"/>
        </w:rPr>
        <w:t>)</w:t>
      </w:r>
      <w:r w:rsidRPr="007C05EB">
        <w:rPr>
          <w:rFonts w:ascii="Times New Roman" w:hAnsi="Times New Roman" w:cs="Times New Roman"/>
          <w:sz w:val="22"/>
          <w:szCs w:val="22"/>
        </w:rPr>
        <w:tab/>
      </w:r>
      <w:proofErr w:type="gramStart"/>
      <w:r w:rsidRPr="007C05EB">
        <w:rPr>
          <w:rFonts w:ascii="Times New Roman" w:hAnsi="Times New Roman" w:cs="Times New Roman"/>
          <w:sz w:val="22"/>
          <w:szCs w:val="22"/>
        </w:rPr>
        <w:t>no</w:t>
      </w:r>
      <w:proofErr w:type="gramEnd"/>
      <w:r w:rsidRPr="007C05EB">
        <w:rPr>
          <w:rFonts w:ascii="Times New Roman" w:hAnsi="Times New Roman" w:cs="Times New Roman"/>
          <w:sz w:val="22"/>
          <w:szCs w:val="22"/>
        </w:rPr>
        <w:t xml:space="preserve"> continue bid was made on the </w:t>
      </w:r>
      <w:r w:rsidR="00771A4A" w:rsidRPr="007C05EB">
        <w:rPr>
          <w:rFonts w:ascii="Times New Roman" w:hAnsi="Times New Roman" w:cs="Times New Roman"/>
          <w:sz w:val="22"/>
          <w:szCs w:val="22"/>
        </w:rPr>
        <w:t>l</w:t>
      </w:r>
      <w:r w:rsidRPr="007C05EB">
        <w:rPr>
          <w:rFonts w:ascii="Times New Roman" w:hAnsi="Times New Roman" w:cs="Times New Roman"/>
          <w:sz w:val="22"/>
          <w:szCs w:val="22"/>
        </w:rPr>
        <w:t>ot in the final round for</w:t>
      </w:r>
      <w:r w:rsidR="00771A4A" w:rsidRPr="007C05EB">
        <w:rPr>
          <w:rFonts w:ascii="Times New Roman" w:hAnsi="Times New Roman" w:cs="Times New Roman"/>
          <w:sz w:val="22"/>
          <w:szCs w:val="22"/>
        </w:rPr>
        <w:t xml:space="preserve"> bids on the </w:t>
      </w:r>
      <w:r w:rsidRPr="007C05EB">
        <w:rPr>
          <w:rFonts w:ascii="Times New Roman" w:hAnsi="Times New Roman" w:cs="Times New Roman"/>
          <w:sz w:val="22"/>
          <w:szCs w:val="22"/>
        </w:rPr>
        <w:t xml:space="preserve">lot; and </w:t>
      </w:r>
    </w:p>
    <w:p w14:paraId="569783C2" w14:textId="3625D905" w:rsidR="00442750" w:rsidRPr="007C05EB" w:rsidRDefault="00442750" w:rsidP="007C05EB">
      <w:pPr>
        <w:pStyle w:val="ACMABodyText"/>
        <w:tabs>
          <w:tab w:val="left" w:pos="1418"/>
        </w:tabs>
        <w:ind w:left="1418" w:hanging="709"/>
        <w:rPr>
          <w:rFonts w:ascii="Times New Roman" w:hAnsi="Times New Roman" w:cs="Times New Roman"/>
          <w:sz w:val="22"/>
          <w:szCs w:val="22"/>
        </w:rPr>
      </w:pPr>
      <w:r w:rsidRPr="007C05EB">
        <w:rPr>
          <w:rFonts w:ascii="Times New Roman" w:hAnsi="Times New Roman" w:cs="Times New Roman"/>
          <w:sz w:val="22"/>
          <w:szCs w:val="22"/>
        </w:rPr>
        <w:t>(ii)</w:t>
      </w:r>
      <w:r w:rsidRPr="007C05EB">
        <w:rPr>
          <w:rFonts w:ascii="Times New Roman" w:hAnsi="Times New Roman" w:cs="Times New Roman"/>
          <w:sz w:val="22"/>
          <w:szCs w:val="22"/>
        </w:rPr>
        <w:tab/>
      </w:r>
      <w:proofErr w:type="gramStart"/>
      <w:r w:rsidRPr="007C05EB">
        <w:rPr>
          <w:rFonts w:ascii="Times New Roman" w:hAnsi="Times New Roman" w:cs="Times New Roman"/>
          <w:sz w:val="22"/>
          <w:szCs w:val="22"/>
        </w:rPr>
        <w:t>two</w:t>
      </w:r>
      <w:proofErr w:type="gramEnd"/>
      <w:r w:rsidRPr="007C05EB">
        <w:rPr>
          <w:rFonts w:ascii="Times New Roman" w:hAnsi="Times New Roman" w:cs="Times New Roman"/>
          <w:sz w:val="22"/>
          <w:szCs w:val="22"/>
        </w:rPr>
        <w:t xml:space="preserve"> or more exit bids were made on the lot in the final round for the lot; and </w:t>
      </w:r>
    </w:p>
    <w:p w14:paraId="27152D0D" w14:textId="77777777" w:rsidR="00401FC5" w:rsidRDefault="00442750" w:rsidP="007C05EB">
      <w:pPr>
        <w:pStyle w:val="ACMABodyText"/>
        <w:tabs>
          <w:tab w:val="left" w:pos="1418"/>
        </w:tabs>
        <w:ind w:left="1418" w:hanging="709"/>
        <w:rPr>
          <w:rFonts w:ascii="Times New Roman" w:hAnsi="Times New Roman" w:cs="Times New Roman"/>
          <w:sz w:val="22"/>
          <w:szCs w:val="22"/>
        </w:rPr>
      </w:pPr>
      <w:r w:rsidRPr="007C05EB">
        <w:rPr>
          <w:rFonts w:ascii="Times New Roman" w:hAnsi="Times New Roman" w:cs="Times New Roman"/>
          <w:sz w:val="22"/>
          <w:szCs w:val="22"/>
        </w:rPr>
        <w:t>(iii)</w:t>
      </w:r>
      <w:r w:rsidRPr="007C05EB">
        <w:rPr>
          <w:rFonts w:ascii="Times New Roman" w:hAnsi="Times New Roman" w:cs="Times New Roman"/>
          <w:sz w:val="22"/>
          <w:szCs w:val="22"/>
        </w:rPr>
        <w:tab/>
      </w:r>
      <w:proofErr w:type="gramStart"/>
      <w:r w:rsidRPr="007C05EB">
        <w:rPr>
          <w:rFonts w:ascii="Times New Roman" w:hAnsi="Times New Roman" w:cs="Times New Roman"/>
          <w:sz w:val="22"/>
          <w:szCs w:val="22"/>
        </w:rPr>
        <w:t>one</w:t>
      </w:r>
      <w:proofErr w:type="gramEnd"/>
      <w:r w:rsidRPr="007C05EB">
        <w:rPr>
          <w:rFonts w:ascii="Times New Roman" w:hAnsi="Times New Roman" w:cs="Times New Roman"/>
          <w:sz w:val="22"/>
          <w:szCs w:val="22"/>
        </w:rPr>
        <w:t xml:space="preserve"> of those exit bids (</w:t>
      </w:r>
      <w:r w:rsidRPr="0079164F">
        <w:rPr>
          <w:rFonts w:ascii="Times New Roman" w:hAnsi="Times New Roman" w:cs="Times New Roman"/>
          <w:b/>
          <w:sz w:val="22"/>
          <w:szCs w:val="22"/>
        </w:rPr>
        <w:t>the high exit bid</w:t>
      </w:r>
      <w:r w:rsidRPr="007C05EB">
        <w:rPr>
          <w:rFonts w:ascii="Times New Roman" w:hAnsi="Times New Roman" w:cs="Times New Roman"/>
          <w:sz w:val="22"/>
          <w:szCs w:val="22"/>
        </w:rPr>
        <w:t>) was greater than each of the other exit bids</w:t>
      </w:r>
      <w:r w:rsidR="00401FC5">
        <w:rPr>
          <w:rFonts w:ascii="Times New Roman" w:hAnsi="Times New Roman" w:cs="Times New Roman"/>
          <w:sz w:val="22"/>
          <w:szCs w:val="22"/>
        </w:rPr>
        <w:t>;</w:t>
      </w:r>
    </w:p>
    <w:p w14:paraId="21267A7E" w14:textId="56833AC6" w:rsidR="00771A4A" w:rsidRPr="007C05EB" w:rsidRDefault="00401FC5" w:rsidP="005D0E59">
      <w:pPr>
        <w:pStyle w:val="ACMABodyText"/>
        <w:tabs>
          <w:tab w:val="left" w:pos="851"/>
        </w:tabs>
        <w:ind w:left="851" w:hanging="567"/>
        <w:rPr>
          <w:rFonts w:ascii="Times New Roman" w:hAnsi="Times New Roman" w:cs="Times New Roman"/>
          <w:sz w:val="22"/>
          <w:szCs w:val="22"/>
        </w:rPr>
      </w:pPr>
      <w:r>
        <w:rPr>
          <w:rFonts w:ascii="Times New Roman" w:hAnsi="Times New Roman" w:cs="Times New Roman"/>
          <w:sz w:val="22"/>
          <w:szCs w:val="22"/>
        </w:rPr>
        <w:tab/>
      </w:r>
      <w:r w:rsidR="00442750" w:rsidRPr="007C05EB">
        <w:rPr>
          <w:rFonts w:ascii="Times New Roman" w:hAnsi="Times New Roman" w:cs="Times New Roman"/>
          <w:sz w:val="22"/>
          <w:szCs w:val="22"/>
        </w:rPr>
        <w:t xml:space="preserve">– </w:t>
      </w:r>
      <w:proofErr w:type="gramStart"/>
      <w:r w:rsidR="00442750" w:rsidRPr="007C05EB">
        <w:rPr>
          <w:rFonts w:ascii="Times New Roman" w:hAnsi="Times New Roman" w:cs="Times New Roman"/>
          <w:sz w:val="22"/>
          <w:szCs w:val="22"/>
        </w:rPr>
        <w:t>the</w:t>
      </w:r>
      <w:proofErr w:type="gramEnd"/>
      <w:r w:rsidR="00442750" w:rsidRPr="007C05EB">
        <w:rPr>
          <w:rFonts w:ascii="Times New Roman" w:hAnsi="Times New Roman" w:cs="Times New Roman"/>
          <w:sz w:val="22"/>
          <w:szCs w:val="22"/>
        </w:rPr>
        <w:t xml:space="preserve"> high exit bid</w:t>
      </w:r>
      <w:r w:rsidR="00771A4A" w:rsidRPr="007C05EB">
        <w:rPr>
          <w:rFonts w:ascii="Times New Roman" w:hAnsi="Times New Roman" w:cs="Times New Roman"/>
          <w:sz w:val="22"/>
          <w:szCs w:val="22"/>
        </w:rPr>
        <w:t xml:space="preserve">. </w:t>
      </w:r>
    </w:p>
    <w:p w14:paraId="3C664871" w14:textId="60883777" w:rsidR="0079164F" w:rsidRDefault="0079164F" w:rsidP="0079164F">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That is, generally speaking, the highest bid made on the lot will be the final high bid for the lot.  However, i</w:t>
      </w:r>
      <w:r w:rsidR="000535AC">
        <w:rPr>
          <w:rFonts w:ascii="Times New Roman" w:eastAsiaTheme="minorHAnsi" w:hAnsi="Times New Roman" w:cs="Times New Roman"/>
          <w:sz w:val="22"/>
          <w:szCs w:val="22"/>
        </w:rPr>
        <w:t xml:space="preserve">n the circumstance where no continue bid is made on the lot in the final round and there are </w:t>
      </w:r>
      <w:r w:rsidR="00473CDE">
        <w:rPr>
          <w:rFonts w:ascii="Times New Roman" w:eastAsiaTheme="minorHAnsi" w:hAnsi="Times New Roman" w:cs="Times New Roman"/>
          <w:sz w:val="22"/>
          <w:szCs w:val="22"/>
        </w:rPr>
        <w:t>two</w:t>
      </w:r>
      <w:r w:rsidR="000535AC">
        <w:rPr>
          <w:rFonts w:ascii="Times New Roman" w:eastAsiaTheme="minorHAnsi" w:hAnsi="Times New Roman" w:cs="Times New Roman"/>
          <w:sz w:val="22"/>
          <w:szCs w:val="22"/>
        </w:rPr>
        <w:t xml:space="preserve"> or more exit bids that are equal,</w:t>
      </w:r>
      <w:r w:rsidR="00771A4A" w:rsidRPr="007C05EB">
        <w:rPr>
          <w:rFonts w:ascii="Times New Roman" w:eastAsiaTheme="minorHAnsi" w:hAnsi="Times New Roman" w:cs="Times New Roman"/>
          <w:sz w:val="22"/>
          <w:szCs w:val="22"/>
        </w:rPr>
        <w:t xml:space="preserve"> the final high bid </w:t>
      </w:r>
      <w:r w:rsidR="00F82271" w:rsidRPr="007C05EB">
        <w:rPr>
          <w:rFonts w:ascii="Times New Roman" w:eastAsiaTheme="minorHAnsi" w:hAnsi="Times New Roman" w:cs="Times New Roman"/>
          <w:sz w:val="22"/>
          <w:szCs w:val="22"/>
        </w:rPr>
        <w:t xml:space="preserve">for the 10 MHz lot </w:t>
      </w:r>
      <w:r w:rsidR="00771A4A" w:rsidRPr="007C05EB">
        <w:rPr>
          <w:rFonts w:ascii="Times New Roman" w:eastAsiaTheme="minorHAnsi" w:hAnsi="Times New Roman" w:cs="Times New Roman"/>
          <w:sz w:val="22"/>
          <w:szCs w:val="22"/>
        </w:rPr>
        <w:t xml:space="preserve">is worked out in accordance </w:t>
      </w:r>
      <w:r>
        <w:rPr>
          <w:rFonts w:ascii="Times New Roman" w:eastAsiaTheme="minorHAnsi" w:hAnsi="Times New Roman" w:cs="Times New Roman"/>
          <w:sz w:val="22"/>
          <w:szCs w:val="22"/>
        </w:rPr>
        <w:t>with c</w:t>
      </w:r>
      <w:r w:rsidR="00442750" w:rsidRPr="007C05EB">
        <w:rPr>
          <w:rFonts w:ascii="Times New Roman" w:eastAsiaTheme="minorHAnsi" w:hAnsi="Times New Roman" w:cs="Times New Roman"/>
          <w:sz w:val="22"/>
          <w:szCs w:val="22"/>
        </w:rPr>
        <w:t>lause 12</w:t>
      </w:r>
      <w:r w:rsidR="00771A4A" w:rsidRPr="007C05EB">
        <w:rPr>
          <w:rFonts w:ascii="Times New Roman" w:eastAsiaTheme="minorHAnsi" w:hAnsi="Times New Roman" w:cs="Times New Roman"/>
          <w:sz w:val="22"/>
          <w:szCs w:val="22"/>
        </w:rPr>
        <w:t>.</w:t>
      </w:r>
    </w:p>
    <w:p w14:paraId="7191B460" w14:textId="30B16D83" w:rsidR="00771A4A" w:rsidRPr="007C05EB" w:rsidRDefault="00F82271" w:rsidP="0079164F">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w:t>
      </w:r>
      <w:r w:rsidR="00771A4A" w:rsidRPr="007C05EB">
        <w:rPr>
          <w:rFonts w:ascii="Times New Roman" w:eastAsiaTheme="minorHAnsi" w:hAnsi="Times New Roman" w:cs="Times New Roman"/>
          <w:sz w:val="22"/>
          <w:szCs w:val="22"/>
        </w:rPr>
        <w:t xml:space="preserve">he final high bid </w:t>
      </w:r>
      <w:r w:rsidRPr="007C05EB">
        <w:rPr>
          <w:rFonts w:ascii="Times New Roman" w:eastAsiaTheme="minorHAnsi" w:hAnsi="Times New Roman" w:cs="Times New Roman"/>
          <w:sz w:val="22"/>
          <w:szCs w:val="22"/>
        </w:rPr>
        <w:t>for the 5 M</w:t>
      </w:r>
      <w:r w:rsidR="0079164F">
        <w:rPr>
          <w:rFonts w:ascii="Times New Roman" w:eastAsiaTheme="minorHAnsi" w:hAnsi="Times New Roman" w:cs="Times New Roman"/>
          <w:sz w:val="22"/>
          <w:szCs w:val="22"/>
        </w:rPr>
        <w:t>H</w:t>
      </w:r>
      <w:r w:rsidRPr="007C05EB">
        <w:rPr>
          <w:rFonts w:ascii="Times New Roman" w:eastAsiaTheme="minorHAnsi" w:hAnsi="Times New Roman" w:cs="Times New Roman"/>
          <w:sz w:val="22"/>
          <w:szCs w:val="22"/>
        </w:rPr>
        <w:t xml:space="preserve">z lot </w:t>
      </w:r>
      <w:r w:rsidR="00771A4A" w:rsidRPr="007C05EB">
        <w:rPr>
          <w:rFonts w:ascii="Times New Roman" w:eastAsiaTheme="minorHAnsi" w:hAnsi="Times New Roman" w:cs="Times New Roman"/>
          <w:sz w:val="22"/>
          <w:szCs w:val="22"/>
        </w:rPr>
        <w:t xml:space="preserve">is </w:t>
      </w:r>
      <w:r w:rsidR="0079164F">
        <w:rPr>
          <w:rFonts w:ascii="Times New Roman" w:eastAsiaTheme="minorHAnsi" w:hAnsi="Times New Roman" w:cs="Times New Roman"/>
          <w:sz w:val="22"/>
          <w:szCs w:val="22"/>
        </w:rPr>
        <w:t>whichever of the following applies:</w:t>
      </w:r>
    </w:p>
    <w:p w14:paraId="7DC1B58A" w14:textId="4F175F59" w:rsidR="00771A4A" w:rsidRPr="007C05EB" w:rsidRDefault="0079164F" w:rsidP="007C05EB">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(a)</w:t>
      </w:r>
      <w:r>
        <w:rPr>
          <w:rFonts w:ascii="Times New Roman" w:eastAsiaTheme="minorHAnsi" w:hAnsi="Times New Roman" w:cs="Times New Roman"/>
          <w:sz w:val="22"/>
          <w:szCs w:val="22"/>
        </w:rPr>
        <w:tab/>
      </w:r>
      <w:proofErr w:type="gramStart"/>
      <w:r>
        <w:rPr>
          <w:rFonts w:ascii="Times New Roman" w:eastAsiaTheme="minorHAnsi" w:hAnsi="Times New Roman" w:cs="Times New Roman"/>
          <w:sz w:val="22"/>
          <w:szCs w:val="22"/>
        </w:rPr>
        <w:t>if</w:t>
      </w:r>
      <w:proofErr w:type="gramEnd"/>
      <w:r>
        <w:rPr>
          <w:rFonts w:ascii="Times New Roman" w:eastAsiaTheme="minorHAnsi" w:hAnsi="Times New Roman" w:cs="Times New Roman"/>
          <w:sz w:val="22"/>
          <w:szCs w:val="22"/>
        </w:rPr>
        <w:t xml:space="preserve"> </w:t>
      </w:r>
      <w:r w:rsidR="00771A4A" w:rsidRPr="007C05EB">
        <w:rPr>
          <w:rFonts w:ascii="Times New Roman" w:eastAsiaTheme="minorHAnsi" w:hAnsi="Times New Roman" w:cs="Times New Roman"/>
          <w:sz w:val="22"/>
          <w:szCs w:val="22"/>
        </w:rPr>
        <w:t>one bid was made on the lot in the final round for the lot – that bid</w:t>
      </w:r>
      <w:r w:rsidR="00F82271" w:rsidRPr="007C05EB">
        <w:rPr>
          <w:rFonts w:ascii="Times New Roman" w:eastAsiaTheme="minorHAnsi" w:hAnsi="Times New Roman" w:cs="Times New Roman"/>
          <w:sz w:val="22"/>
          <w:szCs w:val="22"/>
        </w:rPr>
        <w:t>;</w:t>
      </w:r>
      <w:r w:rsidR="00771A4A" w:rsidRPr="007C05EB">
        <w:rPr>
          <w:rFonts w:ascii="Times New Roman" w:eastAsiaTheme="minorHAnsi" w:hAnsi="Times New Roman" w:cs="Times New Roman"/>
          <w:sz w:val="22"/>
          <w:szCs w:val="22"/>
        </w:rPr>
        <w:t xml:space="preserve"> or</w:t>
      </w:r>
    </w:p>
    <w:p w14:paraId="0B5E7A47" w14:textId="3ED48D5C" w:rsidR="00771A4A" w:rsidRPr="007C05EB" w:rsidRDefault="0079164F" w:rsidP="007C05EB">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(b)</w:t>
      </w:r>
      <w:r>
        <w:rPr>
          <w:rFonts w:ascii="Times New Roman" w:eastAsiaTheme="minorHAnsi" w:hAnsi="Times New Roman" w:cs="Times New Roman"/>
          <w:sz w:val="22"/>
          <w:szCs w:val="22"/>
        </w:rPr>
        <w:tab/>
      </w:r>
      <w:proofErr w:type="gramStart"/>
      <w:r>
        <w:rPr>
          <w:rFonts w:ascii="Times New Roman" w:eastAsiaTheme="minorHAnsi" w:hAnsi="Times New Roman" w:cs="Times New Roman"/>
          <w:sz w:val="22"/>
          <w:szCs w:val="22"/>
        </w:rPr>
        <w:t>if</w:t>
      </w:r>
      <w:proofErr w:type="gramEnd"/>
      <w:r>
        <w:rPr>
          <w:rFonts w:ascii="Times New Roman" w:eastAsiaTheme="minorHAnsi" w:hAnsi="Times New Roman" w:cs="Times New Roman"/>
          <w:sz w:val="22"/>
          <w:szCs w:val="22"/>
        </w:rPr>
        <w:t xml:space="preserve"> </w:t>
      </w:r>
      <w:r w:rsidR="00771A4A" w:rsidRPr="007C05EB">
        <w:rPr>
          <w:rFonts w:ascii="Times New Roman" w:eastAsiaTheme="minorHAnsi" w:hAnsi="Times New Roman" w:cs="Times New Roman"/>
          <w:sz w:val="22"/>
          <w:szCs w:val="22"/>
        </w:rPr>
        <w:t>one continue bid was made on the lot in the final round for the</w:t>
      </w:r>
      <w:r w:rsidR="00401FC5">
        <w:rPr>
          <w:rFonts w:ascii="Times New Roman" w:eastAsiaTheme="minorHAnsi" w:hAnsi="Times New Roman" w:cs="Times New Roman"/>
          <w:sz w:val="22"/>
          <w:szCs w:val="22"/>
        </w:rPr>
        <w:t xml:space="preserve"> lot </w:t>
      </w:r>
      <w:r w:rsidR="00771A4A" w:rsidRPr="007C05EB">
        <w:rPr>
          <w:rFonts w:ascii="Times New Roman" w:eastAsiaTheme="minorHAnsi" w:hAnsi="Times New Roman" w:cs="Times New Roman"/>
          <w:sz w:val="22"/>
          <w:szCs w:val="22"/>
        </w:rPr>
        <w:t>– that continue bid</w:t>
      </w:r>
      <w:r w:rsidR="00F82271" w:rsidRPr="007C05EB">
        <w:rPr>
          <w:rFonts w:ascii="Times New Roman" w:eastAsiaTheme="minorHAnsi" w:hAnsi="Times New Roman" w:cs="Times New Roman"/>
          <w:sz w:val="22"/>
          <w:szCs w:val="22"/>
        </w:rPr>
        <w:t>;</w:t>
      </w:r>
      <w:r w:rsidR="00771A4A" w:rsidRPr="007C05EB">
        <w:rPr>
          <w:rFonts w:ascii="Times New Roman" w:eastAsiaTheme="minorHAnsi" w:hAnsi="Times New Roman" w:cs="Times New Roman"/>
          <w:sz w:val="22"/>
          <w:szCs w:val="22"/>
        </w:rPr>
        <w:t xml:space="preserve"> or</w:t>
      </w:r>
    </w:p>
    <w:p w14:paraId="4285B51C" w14:textId="6ABB8DF1" w:rsidR="00771A4A" w:rsidRPr="007C05EB" w:rsidRDefault="0079164F" w:rsidP="007C05EB">
      <w:pPr>
        <w:pStyle w:val="ACMABodyText"/>
        <w:tabs>
          <w:tab w:val="left" w:pos="851"/>
        </w:tabs>
        <w:ind w:left="851" w:hanging="567"/>
        <w:rPr>
          <w:rFonts w:ascii="Times New Roman" w:eastAsiaTheme="minorHAnsi" w:hAnsi="Times New Roman" w:cs="Times New Roman"/>
          <w:sz w:val="22"/>
          <w:szCs w:val="22"/>
        </w:rPr>
      </w:pPr>
      <w:r>
        <w:rPr>
          <w:rFonts w:ascii="Times New Roman" w:eastAsiaTheme="minorHAnsi" w:hAnsi="Times New Roman" w:cs="Times New Roman"/>
          <w:sz w:val="22"/>
          <w:szCs w:val="22"/>
        </w:rPr>
        <w:t>(c)</w:t>
      </w:r>
      <w:r>
        <w:rPr>
          <w:rFonts w:ascii="Times New Roman" w:eastAsiaTheme="minorHAnsi" w:hAnsi="Times New Roman" w:cs="Times New Roman"/>
          <w:sz w:val="22"/>
          <w:szCs w:val="22"/>
        </w:rPr>
        <w:tab/>
      </w:r>
      <w:proofErr w:type="gramStart"/>
      <w:r w:rsidR="00771A4A" w:rsidRPr="007C05EB">
        <w:rPr>
          <w:rFonts w:ascii="Times New Roman" w:eastAsiaTheme="minorHAnsi" w:hAnsi="Times New Roman" w:cs="Times New Roman"/>
          <w:sz w:val="22"/>
          <w:szCs w:val="22"/>
        </w:rPr>
        <w:t>if</w:t>
      </w:r>
      <w:proofErr w:type="gramEnd"/>
      <w:r w:rsidR="00771A4A" w:rsidRPr="007C05EB">
        <w:rPr>
          <w:rFonts w:ascii="Times New Roman" w:eastAsiaTheme="minorHAnsi" w:hAnsi="Times New Roman" w:cs="Times New Roman"/>
          <w:sz w:val="22"/>
          <w:szCs w:val="22"/>
        </w:rPr>
        <w:t xml:space="preserve"> each of the following applies:</w:t>
      </w:r>
    </w:p>
    <w:p w14:paraId="1E81B94F" w14:textId="4FCB2E26" w:rsidR="00771A4A" w:rsidRPr="007C05EB" w:rsidRDefault="00771A4A" w:rsidP="007C05EB">
      <w:pPr>
        <w:pStyle w:val="ACMABodyText"/>
        <w:tabs>
          <w:tab w:val="left" w:pos="1418"/>
        </w:tabs>
        <w:ind w:left="1418" w:hanging="709"/>
        <w:rPr>
          <w:rFonts w:ascii="Times New Roman" w:hAnsi="Times New Roman" w:cs="Times New Roman"/>
          <w:sz w:val="22"/>
          <w:szCs w:val="22"/>
        </w:rPr>
      </w:pPr>
      <w:r w:rsidRPr="007C05EB">
        <w:rPr>
          <w:rFonts w:ascii="Times New Roman" w:hAnsi="Times New Roman" w:cs="Times New Roman"/>
          <w:sz w:val="22"/>
          <w:szCs w:val="22"/>
        </w:rPr>
        <w:t>(</w:t>
      </w:r>
      <w:proofErr w:type="spellStart"/>
      <w:r w:rsidRPr="007C05EB">
        <w:rPr>
          <w:rFonts w:ascii="Times New Roman" w:hAnsi="Times New Roman" w:cs="Times New Roman"/>
          <w:sz w:val="22"/>
          <w:szCs w:val="22"/>
        </w:rPr>
        <w:t>i</w:t>
      </w:r>
      <w:proofErr w:type="spellEnd"/>
      <w:r w:rsidRPr="007C05EB">
        <w:rPr>
          <w:rFonts w:ascii="Times New Roman" w:hAnsi="Times New Roman" w:cs="Times New Roman"/>
          <w:sz w:val="22"/>
          <w:szCs w:val="22"/>
        </w:rPr>
        <w:t>)</w:t>
      </w:r>
      <w:r w:rsidR="0079164F">
        <w:rPr>
          <w:rFonts w:ascii="Times New Roman" w:hAnsi="Times New Roman" w:cs="Times New Roman"/>
          <w:sz w:val="22"/>
          <w:szCs w:val="22"/>
        </w:rPr>
        <w:tab/>
      </w:r>
      <w:proofErr w:type="gramStart"/>
      <w:r w:rsidRPr="007C05EB">
        <w:rPr>
          <w:rFonts w:ascii="Times New Roman" w:hAnsi="Times New Roman" w:cs="Times New Roman"/>
          <w:sz w:val="22"/>
          <w:szCs w:val="22"/>
        </w:rPr>
        <w:t>no</w:t>
      </w:r>
      <w:proofErr w:type="gramEnd"/>
      <w:r w:rsidRPr="007C05EB">
        <w:rPr>
          <w:rFonts w:ascii="Times New Roman" w:hAnsi="Times New Roman" w:cs="Times New Roman"/>
          <w:sz w:val="22"/>
          <w:szCs w:val="22"/>
        </w:rPr>
        <w:t xml:space="preserve"> continue bid was made on the lot in the final round for bids on </w:t>
      </w:r>
      <w:r w:rsidR="0079164F">
        <w:rPr>
          <w:rFonts w:ascii="Times New Roman" w:hAnsi="Times New Roman" w:cs="Times New Roman"/>
          <w:sz w:val="22"/>
          <w:szCs w:val="22"/>
        </w:rPr>
        <w:t xml:space="preserve">the </w:t>
      </w:r>
      <w:r w:rsidRPr="007C05EB">
        <w:rPr>
          <w:rFonts w:ascii="Times New Roman" w:hAnsi="Times New Roman" w:cs="Times New Roman"/>
          <w:sz w:val="22"/>
          <w:szCs w:val="22"/>
        </w:rPr>
        <w:t xml:space="preserve">lot; and </w:t>
      </w:r>
    </w:p>
    <w:p w14:paraId="71AEBFC6" w14:textId="4B8B23B1" w:rsidR="00771A4A" w:rsidRPr="007C05EB" w:rsidRDefault="00771A4A" w:rsidP="007C05EB">
      <w:pPr>
        <w:pStyle w:val="ACMABodyText"/>
        <w:tabs>
          <w:tab w:val="left" w:pos="1418"/>
        </w:tabs>
        <w:ind w:left="1418" w:hanging="709"/>
        <w:rPr>
          <w:rFonts w:ascii="Times New Roman" w:hAnsi="Times New Roman" w:cs="Times New Roman"/>
          <w:sz w:val="22"/>
          <w:szCs w:val="22"/>
        </w:rPr>
      </w:pPr>
      <w:r w:rsidRPr="007C05EB">
        <w:rPr>
          <w:rFonts w:ascii="Times New Roman" w:hAnsi="Times New Roman" w:cs="Times New Roman"/>
          <w:sz w:val="22"/>
          <w:szCs w:val="22"/>
        </w:rPr>
        <w:t>(ii)</w:t>
      </w:r>
      <w:r w:rsidR="0079164F">
        <w:rPr>
          <w:rFonts w:ascii="Times New Roman" w:hAnsi="Times New Roman" w:cs="Times New Roman"/>
          <w:sz w:val="22"/>
          <w:szCs w:val="22"/>
        </w:rPr>
        <w:tab/>
      </w:r>
      <w:proofErr w:type="gramStart"/>
      <w:r w:rsidRPr="007C05EB">
        <w:rPr>
          <w:rFonts w:ascii="Times New Roman" w:hAnsi="Times New Roman" w:cs="Times New Roman"/>
          <w:sz w:val="22"/>
          <w:szCs w:val="22"/>
        </w:rPr>
        <w:t>two</w:t>
      </w:r>
      <w:proofErr w:type="gramEnd"/>
      <w:r w:rsidRPr="007C05EB">
        <w:rPr>
          <w:rFonts w:ascii="Times New Roman" w:hAnsi="Times New Roman" w:cs="Times New Roman"/>
          <w:sz w:val="22"/>
          <w:szCs w:val="22"/>
        </w:rPr>
        <w:t xml:space="preserve"> or more exit bids were made on the </w:t>
      </w:r>
      <w:r w:rsidR="0079164F">
        <w:rPr>
          <w:rFonts w:ascii="Times New Roman" w:hAnsi="Times New Roman" w:cs="Times New Roman"/>
          <w:sz w:val="22"/>
          <w:szCs w:val="22"/>
        </w:rPr>
        <w:t xml:space="preserve">lot </w:t>
      </w:r>
      <w:r w:rsidRPr="007C05EB">
        <w:rPr>
          <w:rFonts w:ascii="Times New Roman" w:hAnsi="Times New Roman" w:cs="Times New Roman"/>
          <w:sz w:val="22"/>
          <w:szCs w:val="22"/>
        </w:rPr>
        <w:t xml:space="preserve">in the final round for the lot; and </w:t>
      </w:r>
    </w:p>
    <w:p w14:paraId="2EF608F7" w14:textId="77777777" w:rsidR="00401FC5" w:rsidRDefault="00771A4A" w:rsidP="007C05EB">
      <w:pPr>
        <w:pStyle w:val="ACMABodyText"/>
        <w:tabs>
          <w:tab w:val="left" w:pos="1418"/>
        </w:tabs>
        <w:ind w:left="1418" w:hanging="709"/>
        <w:rPr>
          <w:rFonts w:ascii="Times New Roman" w:hAnsi="Times New Roman" w:cs="Times New Roman"/>
          <w:sz w:val="22"/>
          <w:szCs w:val="22"/>
        </w:rPr>
      </w:pPr>
      <w:r w:rsidRPr="007C05EB">
        <w:rPr>
          <w:rFonts w:ascii="Times New Roman" w:hAnsi="Times New Roman" w:cs="Times New Roman"/>
          <w:sz w:val="22"/>
          <w:szCs w:val="22"/>
        </w:rPr>
        <w:t>(iii)</w:t>
      </w:r>
      <w:r w:rsidR="0079164F">
        <w:rPr>
          <w:rFonts w:ascii="Times New Roman" w:hAnsi="Times New Roman" w:cs="Times New Roman"/>
          <w:sz w:val="22"/>
          <w:szCs w:val="22"/>
        </w:rPr>
        <w:tab/>
      </w:r>
      <w:proofErr w:type="gramStart"/>
      <w:r w:rsidRPr="007C05EB">
        <w:rPr>
          <w:rFonts w:ascii="Times New Roman" w:hAnsi="Times New Roman" w:cs="Times New Roman"/>
          <w:sz w:val="22"/>
          <w:szCs w:val="22"/>
        </w:rPr>
        <w:t>one</w:t>
      </w:r>
      <w:proofErr w:type="gramEnd"/>
      <w:r w:rsidRPr="007C05EB">
        <w:rPr>
          <w:rFonts w:ascii="Times New Roman" w:hAnsi="Times New Roman" w:cs="Times New Roman"/>
          <w:sz w:val="22"/>
          <w:szCs w:val="22"/>
        </w:rPr>
        <w:t xml:space="preserve"> of those exit bids (</w:t>
      </w:r>
      <w:r w:rsidRPr="00402977">
        <w:rPr>
          <w:rFonts w:ascii="Times New Roman" w:hAnsi="Times New Roman" w:cs="Times New Roman"/>
          <w:b/>
          <w:sz w:val="22"/>
          <w:szCs w:val="22"/>
        </w:rPr>
        <w:t>the high exit bid</w:t>
      </w:r>
      <w:r w:rsidRPr="007C05EB">
        <w:rPr>
          <w:rFonts w:ascii="Times New Roman" w:hAnsi="Times New Roman" w:cs="Times New Roman"/>
          <w:sz w:val="22"/>
          <w:szCs w:val="22"/>
        </w:rPr>
        <w:t>) was greater than each of the other exit bids</w:t>
      </w:r>
      <w:r w:rsidR="00401FC5">
        <w:rPr>
          <w:rFonts w:ascii="Times New Roman" w:hAnsi="Times New Roman" w:cs="Times New Roman"/>
          <w:sz w:val="22"/>
          <w:szCs w:val="22"/>
        </w:rPr>
        <w:t>;</w:t>
      </w:r>
    </w:p>
    <w:p w14:paraId="10F32F7C" w14:textId="64C4C6EA" w:rsidR="00771A4A" w:rsidRPr="007C05EB" w:rsidRDefault="00401FC5" w:rsidP="005D0E59">
      <w:pPr>
        <w:pStyle w:val="ACMABodyText"/>
        <w:tabs>
          <w:tab w:val="left" w:pos="851"/>
        </w:tabs>
        <w:ind w:left="851" w:hanging="567"/>
        <w:rPr>
          <w:rFonts w:ascii="Times New Roman" w:hAnsi="Times New Roman" w:cs="Times New Roman"/>
          <w:sz w:val="22"/>
          <w:szCs w:val="22"/>
        </w:rPr>
      </w:pPr>
      <w:r>
        <w:rPr>
          <w:rFonts w:ascii="Times New Roman" w:hAnsi="Times New Roman" w:cs="Times New Roman"/>
          <w:sz w:val="22"/>
          <w:szCs w:val="22"/>
        </w:rPr>
        <w:tab/>
      </w:r>
      <w:r w:rsidR="00025BFE" w:rsidRPr="007C05EB">
        <w:rPr>
          <w:rFonts w:ascii="Times New Roman" w:hAnsi="Times New Roman" w:cs="Times New Roman"/>
          <w:sz w:val="22"/>
          <w:szCs w:val="22"/>
        </w:rPr>
        <w:t>–</w:t>
      </w:r>
      <w:r w:rsidR="00025BFE">
        <w:rPr>
          <w:rFonts w:ascii="Times New Roman" w:hAnsi="Times New Roman" w:cs="Times New Roman"/>
          <w:sz w:val="22"/>
          <w:szCs w:val="22"/>
        </w:rPr>
        <w:t xml:space="preserve"> </w:t>
      </w:r>
      <w:proofErr w:type="gramStart"/>
      <w:r w:rsidR="00771A4A" w:rsidRPr="007C05EB">
        <w:rPr>
          <w:rFonts w:ascii="Times New Roman" w:hAnsi="Times New Roman" w:cs="Times New Roman"/>
          <w:sz w:val="22"/>
          <w:szCs w:val="22"/>
        </w:rPr>
        <w:t>the</w:t>
      </w:r>
      <w:proofErr w:type="gramEnd"/>
      <w:r w:rsidR="00771A4A" w:rsidRPr="007C05EB">
        <w:rPr>
          <w:rFonts w:ascii="Times New Roman" w:hAnsi="Times New Roman" w:cs="Times New Roman"/>
          <w:sz w:val="22"/>
          <w:szCs w:val="22"/>
        </w:rPr>
        <w:t xml:space="preserve"> high exit bid. </w:t>
      </w:r>
    </w:p>
    <w:p w14:paraId="5C7160D7" w14:textId="3B209EEA" w:rsidR="00771A4A" w:rsidRPr="007C05EB" w:rsidRDefault="0079164F" w:rsidP="007C05EB">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That is, generally speaking, the highest bid made on the lot will be the final high bid for the lot.  However, i</w:t>
      </w:r>
      <w:r w:rsidR="00771A4A" w:rsidRPr="007C05EB">
        <w:rPr>
          <w:rFonts w:ascii="Times New Roman" w:eastAsiaTheme="minorHAnsi" w:hAnsi="Times New Roman" w:cs="Times New Roman"/>
          <w:sz w:val="22"/>
          <w:szCs w:val="22"/>
        </w:rPr>
        <w:t xml:space="preserve">n </w:t>
      </w:r>
      <w:r w:rsidR="000535AC">
        <w:rPr>
          <w:rFonts w:ascii="Times New Roman" w:eastAsiaTheme="minorHAnsi" w:hAnsi="Times New Roman" w:cs="Times New Roman"/>
          <w:sz w:val="22"/>
          <w:szCs w:val="22"/>
        </w:rPr>
        <w:t xml:space="preserve">the circumstance where no continue bid is made on the lot in the final round and there are </w:t>
      </w:r>
      <w:r w:rsidR="00473CDE">
        <w:rPr>
          <w:rFonts w:ascii="Times New Roman" w:eastAsiaTheme="minorHAnsi" w:hAnsi="Times New Roman" w:cs="Times New Roman"/>
          <w:sz w:val="22"/>
          <w:szCs w:val="22"/>
        </w:rPr>
        <w:t>two</w:t>
      </w:r>
      <w:r w:rsidR="000535AC">
        <w:rPr>
          <w:rFonts w:ascii="Times New Roman" w:eastAsiaTheme="minorHAnsi" w:hAnsi="Times New Roman" w:cs="Times New Roman"/>
          <w:sz w:val="22"/>
          <w:szCs w:val="22"/>
        </w:rPr>
        <w:t xml:space="preserve"> or more exit bids that are equal</w:t>
      </w:r>
      <w:r w:rsidR="00771A4A" w:rsidRPr="007C05EB">
        <w:rPr>
          <w:rFonts w:ascii="Times New Roman" w:eastAsiaTheme="minorHAnsi" w:hAnsi="Times New Roman" w:cs="Times New Roman"/>
          <w:sz w:val="22"/>
          <w:szCs w:val="22"/>
        </w:rPr>
        <w:t xml:space="preserve">, the final high bid </w:t>
      </w:r>
      <w:r w:rsidR="00F82271" w:rsidRPr="007C05EB">
        <w:rPr>
          <w:rFonts w:ascii="Times New Roman" w:eastAsiaTheme="minorHAnsi" w:hAnsi="Times New Roman" w:cs="Times New Roman"/>
          <w:sz w:val="22"/>
          <w:szCs w:val="22"/>
        </w:rPr>
        <w:t xml:space="preserve">for the 5 MHz lot </w:t>
      </w:r>
      <w:r w:rsidR="00771A4A" w:rsidRPr="007C05EB">
        <w:rPr>
          <w:rFonts w:ascii="Times New Roman" w:eastAsiaTheme="minorHAnsi" w:hAnsi="Times New Roman" w:cs="Times New Roman"/>
          <w:sz w:val="22"/>
          <w:szCs w:val="22"/>
        </w:rPr>
        <w:t xml:space="preserve">is worked out in accordance </w:t>
      </w:r>
      <w:r w:rsidR="00467F85" w:rsidRPr="007C05EB">
        <w:rPr>
          <w:rFonts w:ascii="Times New Roman" w:eastAsiaTheme="minorHAnsi" w:hAnsi="Times New Roman" w:cs="Times New Roman"/>
          <w:sz w:val="22"/>
          <w:szCs w:val="22"/>
        </w:rPr>
        <w:t xml:space="preserve">with </w:t>
      </w:r>
      <w:r>
        <w:rPr>
          <w:rFonts w:ascii="Times New Roman" w:eastAsiaTheme="minorHAnsi" w:hAnsi="Times New Roman" w:cs="Times New Roman"/>
          <w:sz w:val="22"/>
          <w:szCs w:val="22"/>
        </w:rPr>
        <w:t>clause</w:t>
      </w:r>
      <w:r w:rsidR="003213FD">
        <w:rPr>
          <w:rFonts w:ascii="Times New Roman" w:eastAsiaTheme="minorHAnsi" w:hAnsi="Times New Roman" w:cs="Times New Roman"/>
          <w:sz w:val="22"/>
          <w:szCs w:val="22"/>
        </w:rPr>
        <w:t> </w:t>
      </w:r>
      <w:r>
        <w:rPr>
          <w:rFonts w:ascii="Times New Roman" w:eastAsiaTheme="minorHAnsi" w:hAnsi="Times New Roman" w:cs="Times New Roman"/>
          <w:sz w:val="22"/>
          <w:szCs w:val="22"/>
        </w:rPr>
        <w:t>1</w:t>
      </w:r>
      <w:r w:rsidR="009777AA">
        <w:rPr>
          <w:rFonts w:ascii="Times New Roman" w:eastAsiaTheme="minorHAnsi" w:hAnsi="Times New Roman" w:cs="Times New Roman"/>
          <w:sz w:val="22"/>
          <w:szCs w:val="22"/>
        </w:rPr>
        <w:t>3</w:t>
      </w:r>
      <w:r>
        <w:rPr>
          <w:rFonts w:ascii="Times New Roman" w:eastAsiaTheme="minorHAnsi" w:hAnsi="Times New Roman" w:cs="Times New Roman"/>
          <w:sz w:val="22"/>
          <w:szCs w:val="22"/>
        </w:rPr>
        <w:t>.</w:t>
      </w:r>
    </w:p>
    <w:p w14:paraId="221DE2F7" w14:textId="00CCD1DB" w:rsidR="00504ADC" w:rsidRPr="007C05EB" w:rsidRDefault="00504ADC"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lastRenderedPageBreak/>
        <w:t xml:space="preserve">An exit bid may have been a continue bid in a previous round of the auction, in accordance with </w:t>
      </w:r>
      <w:r w:rsidR="0079164F" w:rsidRPr="007C05EB">
        <w:rPr>
          <w:rFonts w:ascii="Times New Roman" w:eastAsiaTheme="minorHAnsi" w:hAnsi="Times New Roman" w:cs="Times New Roman"/>
          <w:sz w:val="22"/>
          <w:szCs w:val="22"/>
        </w:rPr>
        <w:t>clause</w:t>
      </w:r>
      <w:r w:rsidR="0079164F">
        <w:rPr>
          <w:rFonts w:ascii="Times New Roman" w:eastAsiaTheme="minorHAnsi" w:hAnsi="Times New Roman" w:cs="Times New Roman"/>
          <w:sz w:val="22"/>
          <w:szCs w:val="22"/>
        </w:rPr>
        <w:t> </w:t>
      </w:r>
      <w:r w:rsidRPr="007C05EB">
        <w:rPr>
          <w:rFonts w:ascii="Times New Roman" w:eastAsiaTheme="minorHAnsi" w:hAnsi="Times New Roman" w:cs="Times New Roman"/>
          <w:sz w:val="22"/>
          <w:szCs w:val="22"/>
        </w:rPr>
        <w:t>8.</w:t>
      </w:r>
      <w:r w:rsidR="00596879" w:rsidRPr="007C05EB">
        <w:rPr>
          <w:rFonts w:ascii="Times New Roman" w:eastAsiaTheme="minorHAnsi" w:hAnsi="Times New Roman" w:cs="Times New Roman"/>
          <w:sz w:val="22"/>
          <w:szCs w:val="22"/>
        </w:rPr>
        <w:t xml:space="preserve"> </w:t>
      </w:r>
    </w:p>
    <w:p w14:paraId="1BF2913A" w14:textId="4079BAED" w:rsidR="00442750" w:rsidRPr="007C05EB" w:rsidRDefault="00F82271"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S</w:t>
      </w:r>
      <w:r w:rsidR="00442750" w:rsidRPr="007C05EB">
        <w:rPr>
          <w:rFonts w:ascii="Times New Roman" w:eastAsiaTheme="minorHAnsi" w:hAnsi="Times New Roman" w:cs="Times New Roman"/>
          <w:sz w:val="22"/>
          <w:szCs w:val="22"/>
        </w:rPr>
        <w:t>ubject to subclause</w:t>
      </w:r>
      <w:r w:rsidR="009777AA">
        <w:rPr>
          <w:rFonts w:ascii="Times New Roman" w:eastAsiaTheme="minorHAnsi" w:hAnsi="Times New Roman" w:cs="Times New Roman"/>
          <w:sz w:val="22"/>
          <w:szCs w:val="22"/>
        </w:rPr>
        <w:t>s</w:t>
      </w:r>
      <w:r w:rsidR="00442750" w:rsidRPr="007C05EB">
        <w:rPr>
          <w:rFonts w:ascii="Times New Roman" w:eastAsiaTheme="minorHAnsi" w:hAnsi="Times New Roman" w:cs="Times New Roman"/>
          <w:sz w:val="22"/>
          <w:szCs w:val="22"/>
        </w:rPr>
        <w:t xml:space="preserve"> 12 (2)</w:t>
      </w:r>
      <w:r w:rsidRPr="007C05EB">
        <w:rPr>
          <w:rFonts w:ascii="Times New Roman" w:eastAsiaTheme="minorHAnsi" w:hAnsi="Times New Roman" w:cs="Times New Roman"/>
          <w:sz w:val="22"/>
          <w:szCs w:val="22"/>
        </w:rPr>
        <w:t xml:space="preserve"> and 13(2)</w:t>
      </w:r>
      <w:r w:rsidR="00442750" w:rsidRPr="007C05EB">
        <w:rPr>
          <w:rFonts w:ascii="Times New Roman" w:eastAsiaTheme="minorHAnsi" w:hAnsi="Times New Roman" w:cs="Times New Roman"/>
          <w:sz w:val="22"/>
          <w:szCs w:val="22"/>
        </w:rPr>
        <w:t>, the bidder who made the final high bid for a lot is the winning bidder for that lot.</w:t>
      </w:r>
      <w:r w:rsidRPr="007C05EB">
        <w:rPr>
          <w:rFonts w:ascii="Times New Roman" w:eastAsiaTheme="minorHAnsi" w:hAnsi="Times New Roman" w:cs="Times New Roman"/>
          <w:sz w:val="22"/>
          <w:szCs w:val="22"/>
        </w:rPr>
        <w:t xml:space="preserve"> </w:t>
      </w:r>
      <w:r w:rsidR="009777AA">
        <w:rPr>
          <w:rFonts w:ascii="Times New Roman" w:eastAsiaTheme="minorHAnsi" w:hAnsi="Times New Roman" w:cs="Times New Roman"/>
          <w:sz w:val="22"/>
          <w:szCs w:val="22"/>
        </w:rPr>
        <w:t xml:space="preserve"> </w:t>
      </w:r>
      <w:r w:rsidR="009777AA" w:rsidRPr="007C05EB">
        <w:rPr>
          <w:rFonts w:ascii="Times New Roman" w:eastAsiaTheme="minorHAnsi" w:hAnsi="Times New Roman" w:cs="Times New Roman"/>
          <w:sz w:val="22"/>
          <w:szCs w:val="22"/>
        </w:rPr>
        <w:t>However if there is no bid by any bidder in the first round, bidders are not considered to have entered an exit bid at the starting price</w:t>
      </w:r>
      <w:r w:rsidR="009777AA">
        <w:rPr>
          <w:rFonts w:ascii="Times New Roman" w:eastAsiaTheme="minorHAnsi" w:hAnsi="Times New Roman" w:cs="Times New Roman"/>
          <w:sz w:val="22"/>
          <w:szCs w:val="22"/>
        </w:rPr>
        <w:t xml:space="preserve">, and so there will be no final high bid in that case (and, therefore, </w:t>
      </w:r>
      <w:r w:rsidR="003213FD">
        <w:rPr>
          <w:rFonts w:ascii="Times New Roman" w:eastAsiaTheme="minorHAnsi" w:hAnsi="Times New Roman" w:cs="Times New Roman"/>
          <w:sz w:val="22"/>
          <w:szCs w:val="22"/>
        </w:rPr>
        <w:t xml:space="preserve">there is </w:t>
      </w:r>
      <w:r w:rsidR="009777AA">
        <w:rPr>
          <w:rFonts w:ascii="Times New Roman" w:eastAsiaTheme="minorHAnsi" w:hAnsi="Times New Roman" w:cs="Times New Roman"/>
          <w:sz w:val="22"/>
          <w:szCs w:val="22"/>
        </w:rPr>
        <w:t>no winning bidder)</w:t>
      </w:r>
      <w:r w:rsidR="009777AA" w:rsidRPr="007C05EB">
        <w:rPr>
          <w:rFonts w:ascii="Times New Roman" w:eastAsiaTheme="minorHAnsi" w:hAnsi="Times New Roman" w:cs="Times New Roman"/>
          <w:sz w:val="22"/>
          <w:szCs w:val="22"/>
        </w:rPr>
        <w:t>.</w:t>
      </w:r>
    </w:p>
    <w:p w14:paraId="43BA1FB5" w14:textId="646B883C" w:rsidR="00442750" w:rsidRPr="009777AA" w:rsidRDefault="0031751D" w:rsidP="009777AA">
      <w:pPr>
        <w:keepNext/>
        <w:spacing w:after="160" w:line="259" w:lineRule="auto"/>
        <w:rPr>
          <w:rFonts w:eastAsiaTheme="minorHAnsi"/>
          <w:b/>
          <w:sz w:val="22"/>
          <w:szCs w:val="22"/>
          <w:lang w:eastAsia="en-US"/>
        </w:rPr>
      </w:pPr>
      <w:r w:rsidRPr="009777AA">
        <w:rPr>
          <w:rFonts w:eastAsiaTheme="minorHAnsi"/>
          <w:b/>
          <w:sz w:val="22"/>
          <w:szCs w:val="22"/>
          <w:lang w:eastAsia="en-US"/>
        </w:rPr>
        <w:t xml:space="preserve">Clause </w:t>
      </w:r>
      <w:r w:rsidR="00442750" w:rsidRPr="009777AA">
        <w:rPr>
          <w:rFonts w:eastAsiaTheme="minorHAnsi"/>
          <w:b/>
          <w:sz w:val="22"/>
          <w:szCs w:val="22"/>
          <w:lang w:eastAsia="en-US"/>
        </w:rPr>
        <w:t>12</w:t>
      </w:r>
      <w:r w:rsidRPr="009777AA">
        <w:rPr>
          <w:rFonts w:eastAsiaTheme="minorHAnsi"/>
          <w:b/>
          <w:sz w:val="22"/>
          <w:szCs w:val="22"/>
          <w:lang w:eastAsia="en-US"/>
        </w:rPr>
        <w:tab/>
      </w:r>
      <w:r w:rsidR="00442750" w:rsidRPr="009777AA">
        <w:rPr>
          <w:rFonts w:eastAsiaTheme="minorHAnsi"/>
          <w:b/>
          <w:sz w:val="22"/>
          <w:szCs w:val="22"/>
          <w:lang w:eastAsia="en-US"/>
        </w:rPr>
        <w:t xml:space="preserve">Tiebreaker </w:t>
      </w:r>
      <w:r w:rsidR="00F82271" w:rsidRPr="009777AA">
        <w:rPr>
          <w:rFonts w:eastAsiaTheme="minorHAnsi"/>
          <w:b/>
          <w:sz w:val="22"/>
          <w:szCs w:val="22"/>
          <w:lang w:eastAsia="en-US"/>
        </w:rPr>
        <w:t>for 10 MHz lot</w:t>
      </w:r>
    </w:p>
    <w:p w14:paraId="448AF6BC" w14:textId="1C6EAF64" w:rsidR="00442750" w:rsidRPr="007C05EB" w:rsidRDefault="00442750"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This section applies in relation to</w:t>
      </w:r>
      <w:r w:rsidR="009777AA">
        <w:rPr>
          <w:rFonts w:ascii="Times New Roman" w:eastAsiaTheme="minorHAnsi" w:hAnsi="Times New Roman" w:cs="Times New Roman"/>
          <w:sz w:val="22"/>
          <w:szCs w:val="22"/>
        </w:rPr>
        <w:t xml:space="preserve"> the 10 MHz</w:t>
      </w:r>
      <w:r w:rsidRPr="007C05EB">
        <w:rPr>
          <w:rFonts w:ascii="Times New Roman" w:eastAsiaTheme="minorHAnsi" w:hAnsi="Times New Roman" w:cs="Times New Roman"/>
          <w:sz w:val="22"/>
          <w:szCs w:val="22"/>
        </w:rPr>
        <w:t xml:space="preserve"> lot if</w:t>
      </w:r>
      <w:r w:rsidR="009777AA">
        <w:rPr>
          <w:rFonts w:ascii="Times New Roman" w:eastAsiaTheme="minorHAnsi" w:hAnsi="Times New Roman" w:cs="Times New Roman"/>
          <w:sz w:val="22"/>
          <w:szCs w:val="22"/>
        </w:rPr>
        <w:t>,</w:t>
      </w:r>
      <w:r w:rsidR="00615102" w:rsidRPr="007C05EB">
        <w:rPr>
          <w:rFonts w:ascii="Times New Roman" w:eastAsiaTheme="minorHAnsi" w:hAnsi="Times New Roman" w:cs="Times New Roman"/>
          <w:sz w:val="22"/>
          <w:szCs w:val="22"/>
        </w:rPr>
        <w:t xml:space="preserve"> during the final round for </w:t>
      </w:r>
      <w:r w:rsidR="009777AA">
        <w:rPr>
          <w:rFonts w:ascii="Times New Roman" w:eastAsiaTheme="minorHAnsi" w:hAnsi="Times New Roman" w:cs="Times New Roman"/>
          <w:sz w:val="22"/>
          <w:szCs w:val="22"/>
        </w:rPr>
        <w:t xml:space="preserve">bids on </w:t>
      </w:r>
      <w:r w:rsidR="00615102" w:rsidRPr="007C05EB">
        <w:rPr>
          <w:rFonts w:ascii="Times New Roman" w:eastAsiaTheme="minorHAnsi" w:hAnsi="Times New Roman" w:cs="Times New Roman"/>
          <w:sz w:val="22"/>
          <w:szCs w:val="22"/>
        </w:rPr>
        <w:t>the 10 MHz lot</w:t>
      </w:r>
      <w:r w:rsidR="009777AA">
        <w:rPr>
          <w:rFonts w:ascii="Times New Roman" w:eastAsiaTheme="minorHAnsi" w:hAnsi="Times New Roman" w:cs="Times New Roman"/>
          <w:sz w:val="22"/>
          <w:szCs w:val="22"/>
        </w:rPr>
        <w:t>,</w:t>
      </w:r>
      <w:r w:rsidR="00615102" w:rsidRPr="007C05EB">
        <w:rPr>
          <w:rFonts w:ascii="Times New Roman" w:eastAsiaTheme="minorHAnsi" w:hAnsi="Times New Roman" w:cs="Times New Roman"/>
          <w:sz w:val="22"/>
          <w:szCs w:val="22"/>
        </w:rPr>
        <w:t xml:space="preserve"> n</w:t>
      </w:r>
      <w:r w:rsidRPr="007C05EB">
        <w:rPr>
          <w:rFonts w:ascii="Times New Roman" w:eastAsiaTheme="minorHAnsi" w:hAnsi="Times New Roman" w:cs="Times New Roman"/>
          <w:sz w:val="22"/>
          <w:szCs w:val="22"/>
        </w:rPr>
        <w:t xml:space="preserve">o continue bid was made on the </w:t>
      </w:r>
      <w:r w:rsidR="004857AA" w:rsidRPr="007C05EB">
        <w:rPr>
          <w:rFonts w:ascii="Times New Roman" w:eastAsiaTheme="minorHAnsi" w:hAnsi="Times New Roman" w:cs="Times New Roman"/>
          <w:sz w:val="22"/>
          <w:szCs w:val="22"/>
        </w:rPr>
        <w:t xml:space="preserve">10 MHz </w:t>
      </w:r>
      <w:r w:rsidRPr="007C05EB">
        <w:rPr>
          <w:rFonts w:ascii="Times New Roman" w:eastAsiaTheme="minorHAnsi" w:hAnsi="Times New Roman" w:cs="Times New Roman"/>
          <w:sz w:val="22"/>
          <w:szCs w:val="22"/>
        </w:rPr>
        <w:t>lot</w:t>
      </w:r>
      <w:r w:rsidR="009777AA">
        <w:rPr>
          <w:rFonts w:ascii="Times New Roman" w:eastAsiaTheme="minorHAnsi" w:hAnsi="Times New Roman" w:cs="Times New Roman"/>
          <w:sz w:val="22"/>
          <w:szCs w:val="22"/>
        </w:rPr>
        <w:t>,</w:t>
      </w:r>
      <w:r w:rsidR="00615102"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 xml:space="preserve">two or more exit bids were made on the </w:t>
      </w:r>
      <w:r w:rsidR="009777AA" w:rsidRPr="007C05EB">
        <w:rPr>
          <w:rFonts w:ascii="Times New Roman" w:eastAsiaTheme="minorHAnsi" w:hAnsi="Times New Roman" w:cs="Times New Roman"/>
          <w:sz w:val="22"/>
          <w:szCs w:val="22"/>
        </w:rPr>
        <w:t>10</w:t>
      </w:r>
      <w:r w:rsidR="009777AA">
        <w:rPr>
          <w:rFonts w:ascii="Times New Roman" w:eastAsiaTheme="minorHAnsi" w:hAnsi="Times New Roman" w:cs="Times New Roman"/>
          <w:sz w:val="22"/>
          <w:szCs w:val="22"/>
        </w:rPr>
        <w:t> </w:t>
      </w:r>
      <w:r w:rsidR="004857AA" w:rsidRPr="007C05EB">
        <w:rPr>
          <w:rFonts w:ascii="Times New Roman" w:eastAsiaTheme="minorHAnsi" w:hAnsi="Times New Roman" w:cs="Times New Roman"/>
          <w:sz w:val="22"/>
          <w:szCs w:val="22"/>
        </w:rPr>
        <w:t xml:space="preserve">MHz </w:t>
      </w:r>
      <w:r w:rsidRPr="007C05EB">
        <w:rPr>
          <w:rFonts w:ascii="Times New Roman" w:eastAsiaTheme="minorHAnsi" w:hAnsi="Times New Roman" w:cs="Times New Roman"/>
          <w:sz w:val="22"/>
          <w:szCs w:val="22"/>
        </w:rPr>
        <w:t>lot</w:t>
      </w:r>
      <w:r w:rsidR="009777AA">
        <w:rPr>
          <w:rFonts w:ascii="Times New Roman" w:eastAsiaTheme="minorHAnsi" w:hAnsi="Times New Roman" w:cs="Times New Roman"/>
          <w:sz w:val="22"/>
          <w:szCs w:val="22"/>
        </w:rPr>
        <w:t>,</w:t>
      </w:r>
      <w:r w:rsidRPr="007C05EB">
        <w:rPr>
          <w:rFonts w:ascii="Times New Roman" w:eastAsiaTheme="minorHAnsi" w:hAnsi="Times New Roman" w:cs="Times New Roman"/>
          <w:sz w:val="22"/>
          <w:szCs w:val="22"/>
        </w:rPr>
        <w:t xml:space="preserve"> and</w:t>
      </w:r>
      <w:r w:rsidR="00615102"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of those exit bids:</w:t>
      </w:r>
    </w:p>
    <w:p w14:paraId="222868EF" w14:textId="2CD2B90D" w:rsidR="00442750" w:rsidRPr="007C05EB" w:rsidRDefault="00442750"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w:t>
      </w:r>
      <w:r w:rsidR="009777AA">
        <w:rPr>
          <w:rFonts w:ascii="Times New Roman" w:eastAsiaTheme="minorHAnsi" w:hAnsi="Times New Roman" w:cs="Times New Roman"/>
          <w:sz w:val="22"/>
          <w:szCs w:val="22"/>
        </w:rPr>
        <w:t>a</w:t>
      </w:r>
      <w:r w:rsidRPr="007C05EB">
        <w:rPr>
          <w:rFonts w:ascii="Times New Roman" w:eastAsiaTheme="minorHAnsi" w:hAnsi="Times New Roman" w:cs="Times New Roman"/>
          <w:sz w:val="22"/>
          <w:szCs w:val="22"/>
        </w:rPr>
        <w:t>)</w:t>
      </w:r>
      <w:r w:rsidRPr="007C05EB">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two</w:t>
      </w:r>
      <w:proofErr w:type="gramEnd"/>
      <w:r w:rsidRPr="007C05EB">
        <w:rPr>
          <w:rFonts w:ascii="Times New Roman" w:eastAsiaTheme="minorHAnsi" w:hAnsi="Times New Roman" w:cs="Times New Roman"/>
          <w:sz w:val="22"/>
          <w:szCs w:val="22"/>
        </w:rPr>
        <w:t xml:space="preserve"> or more of those exit bids were equal (the </w:t>
      </w:r>
      <w:r w:rsidRPr="00432E1B">
        <w:rPr>
          <w:rFonts w:ascii="Times New Roman" w:eastAsiaTheme="minorHAnsi" w:hAnsi="Times New Roman" w:cs="Times New Roman"/>
          <w:b/>
          <w:sz w:val="22"/>
          <w:szCs w:val="22"/>
        </w:rPr>
        <w:t>tied exit bids</w:t>
      </w:r>
      <w:r w:rsidRPr="007C05EB">
        <w:rPr>
          <w:rFonts w:ascii="Times New Roman" w:eastAsiaTheme="minorHAnsi" w:hAnsi="Times New Roman" w:cs="Times New Roman"/>
          <w:sz w:val="22"/>
          <w:szCs w:val="22"/>
        </w:rPr>
        <w:t>); and</w:t>
      </w:r>
    </w:p>
    <w:p w14:paraId="034E5C1D" w14:textId="787A0A32" w:rsidR="00442750" w:rsidRPr="007C05EB" w:rsidRDefault="00442750"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w:t>
      </w:r>
      <w:r w:rsidR="009777AA">
        <w:rPr>
          <w:rFonts w:ascii="Times New Roman" w:eastAsiaTheme="minorHAnsi" w:hAnsi="Times New Roman" w:cs="Times New Roman"/>
          <w:sz w:val="22"/>
          <w:szCs w:val="22"/>
        </w:rPr>
        <w:t>b</w:t>
      </w:r>
      <w:r w:rsidRPr="007C05EB">
        <w:rPr>
          <w:rFonts w:ascii="Times New Roman" w:eastAsiaTheme="minorHAnsi" w:hAnsi="Times New Roman" w:cs="Times New Roman"/>
          <w:sz w:val="22"/>
          <w:szCs w:val="22"/>
        </w:rPr>
        <w:t>)</w:t>
      </w:r>
      <w:r w:rsidRPr="007C05EB">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the</w:t>
      </w:r>
      <w:proofErr w:type="gramEnd"/>
      <w:r w:rsidRPr="007C05EB">
        <w:rPr>
          <w:rFonts w:ascii="Times New Roman" w:eastAsiaTheme="minorHAnsi" w:hAnsi="Times New Roman" w:cs="Times New Roman"/>
          <w:sz w:val="22"/>
          <w:szCs w:val="22"/>
        </w:rPr>
        <w:t xml:space="preserve"> tied exit bids were greater than each other exit bid </w:t>
      </w:r>
      <w:r w:rsidR="00946170">
        <w:rPr>
          <w:rFonts w:ascii="Times New Roman" w:eastAsiaTheme="minorHAnsi" w:hAnsi="Times New Roman" w:cs="Times New Roman"/>
          <w:sz w:val="22"/>
          <w:szCs w:val="22"/>
        </w:rPr>
        <w:t>made in the final round</w:t>
      </w:r>
      <w:r w:rsidRPr="007C05EB">
        <w:rPr>
          <w:rFonts w:ascii="Times New Roman" w:eastAsiaTheme="minorHAnsi" w:hAnsi="Times New Roman" w:cs="Times New Roman"/>
          <w:sz w:val="22"/>
          <w:szCs w:val="22"/>
        </w:rPr>
        <w:t>.</w:t>
      </w:r>
    </w:p>
    <w:p w14:paraId="14F6C793" w14:textId="77777777" w:rsidR="00CF4464" w:rsidRDefault="00442750"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Where this section applies, the winning bidder for the </w:t>
      </w:r>
      <w:r w:rsidR="00C93A70" w:rsidRPr="007C05EB">
        <w:rPr>
          <w:rFonts w:ascii="Times New Roman" w:eastAsiaTheme="minorHAnsi" w:hAnsi="Times New Roman" w:cs="Times New Roman"/>
          <w:sz w:val="22"/>
          <w:szCs w:val="22"/>
        </w:rPr>
        <w:t xml:space="preserve">10 MHz </w:t>
      </w:r>
      <w:r w:rsidRPr="007C05EB">
        <w:rPr>
          <w:rFonts w:ascii="Times New Roman" w:eastAsiaTheme="minorHAnsi" w:hAnsi="Times New Roman" w:cs="Times New Roman"/>
          <w:sz w:val="22"/>
          <w:szCs w:val="22"/>
        </w:rPr>
        <w:t>lot will be selected from the bidders who made the tied exit bids by pseudorandom selection</w:t>
      </w:r>
      <w:r w:rsidR="009777AA">
        <w:rPr>
          <w:rFonts w:ascii="Times New Roman" w:eastAsiaTheme="minorHAnsi" w:hAnsi="Times New Roman" w:cs="Times New Roman"/>
          <w:sz w:val="22"/>
          <w:szCs w:val="22"/>
        </w:rPr>
        <w:t>,</w:t>
      </w:r>
      <w:r w:rsidR="00615102" w:rsidRPr="007C05EB">
        <w:rPr>
          <w:rFonts w:ascii="Times New Roman" w:eastAsiaTheme="minorHAnsi" w:hAnsi="Times New Roman" w:cs="Times New Roman"/>
          <w:sz w:val="22"/>
          <w:szCs w:val="22"/>
        </w:rPr>
        <w:t xml:space="preserve"> </w:t>
      </w:r>
      <w:r w:rsidR="0031751D" w:rsidRPr="007C05EB">
        <w:rPr>
          <w:rFonts w:ascii="Times New Roman" w:eastAsiaTheme="minorHAnsi" w:hAnsi="Times New Roman" w:cs="Times New Roman"/>
          <w:sz w:val="22"/>
          <w:szCs w:val="22"/>
        </w:rPr>
        <w:t>which must be conducted before the first round for bids on the 5 MHz lot.</w:t>
      </w:r>
      <w:r w:rsidR="000E07B9" w:rsidRPr="007C05EB">
        <w:rPr>
          <w:rFonts w:ascii="Times New Roman" w:eastAsiaTheme="minorHAnsi" w:hAnsi="Times New Roman" w:cs="Times New Roman"/>
          <w:sz w:val="22"/>
          <w:szCs w:val="22"/>
        </w:rPr>
        <w:t xml:space="preserve">  </w:t>
      </w:r>
    </w:p>
    <w:p w14:paraId="0F1F9544" w14:textId="5A531ADB" w:rsidR="00442750" w:rsidRPr="007C05EB" w:rsidRDefault="00442750"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For the purposes of paragraph 11(</w:t>
      </w:r>
      <w:r w:rsidR="0031751D" w:rsidRPr="007C05EB">
        <w:rPr>
          <w:rFonts w:ascii="Times New Roman" w:eastAsiaTheme="minorHAnsi" w:hAnsi="Times New Roman" w:cs="Times New Roman"/>
          <w:sz w:val="22"/>
          <w:szCs w:val="22"/>
        </w:rPr>
        <w:t>3</w:t>
      </w:r>
      <w:proofErr w:type="gramStart"/>
      <w:r w:rsidRPr="007C05EB">
        <w:rPr>
          <w:rFonts w:ascii="Times New Roman" w:eastAsiaTheme="minorHAnsi" w:hAnsi="Times New Roman" w:cs="Times New Roman"/>
          <w:sz w:val="22"/>
          <w:szCs w:val="22"/>
        </w:rPr>
        <w:t>)(</w:t>
      </w:r>
      <w:proofErr w:type="gramEnd"/>
      <w:r w:rsidRPr="007C05EB">
        <w:rPr>
          <w:rFonts w:ascii="Times New Roman" w:eastAsiaTheme="minorHAnsi" w:hAnsi="Times New Roman" w:cs="Times New Roman"/>
          <w:sz w:val="22"/>
          <w:szCs w:val="22"/>
        </w:rPr>
        <w:t xml:space="preserve">d) of this Schedule, the final high bid </w:t>
      </w:r>
      <w:r w:rsidR="0031751D" w:rsidRPr="007C05EB">
        <w:rPr>
          <w:rFonts w:ascii="Times New Roman" w:eastAsiaTheme="minorHAnsi" w:hAnsi="Times New Roman" w:cs="Times New Roman"/>
          <w:sz w:val="22"/>
          <w:szCs w:val="22"/>
        </w:rPr>
        <w:t xml:space="preserve">for the 10 MHz lot </w:t>
      </w:r>
      <w:r w:rsidRPr="007C05EB">
        <w:rPr>
          <w:rFonts w:ascii="Times New Roman" w:eastAsiaTheme="minorHAnsi" w:hAnsi="Times New Roman" w:cs="Times New Roman"/>
          <w:sz w:val="22"/>
          <w:szCs w:val="22"/>
        </w:rPr>
        <w:t>is the amount of the last bid made by the winning bidder</w:t>
      </w:r>
      <w:r w:rsidR="009777AA">
        <w:rPr>
          <w:rFonts w:ascii="Times New Roman" w:eastAsiaTheme="minorHAnsi" w:hAnsi="Times New Roman" w:cs="Times New Roman"/>
          <w:sz w:val="22"/>
          <w:szCs w:val="22"/>
        </w:rPr>
        <w:t xml:space="preserve"> (i.e., the amount of the tied exit bids)</w:t>
      </w:r>
      <w:r w:rsidRPr="007C05EB">
        <w:rPr>
          <w:rFonts w:ascii="Times New Roman" w:eastAsiaTheme="minorHAnsi" w:hAnsi="Times New Roman" w:cs="Times New Roman"/>
          <w:sz w:val="22"/>
          <w:szCs w:val="22"/>
        </w:rPr>
        <w:t>.</w:t>
      </w:r>
    </w:p>
    <w:p w14:paraId="1B85468C" w14:textId="34FE6AED" w:rsidR="0031751D" w:rsidRPr="009777AA" w:rsidRDefault="0031751D" w:rsidP="009777AA">
      <w:pPr>
        <w:keepNext/>
        <w:spacing w:after="160" w:line="259" w:lineRule="auto"/>
        <w:rPr>
          <w:rFonts w:eastAsiaTheme="minorHAnsi"/>
          <w:b/>
          <w:sz w:val="22"/>
          <w:szCs w:val="22"/>
          <w:lang w:eastAsia="en-US"/>
        </w:rPr>
      </w:pPr>
      <w:r w:rsidRPr="009777AA">
        <w:rPr>
          <w:rFonts w:eastAsiaTheme="minorHAnsi"/>
          <w:b/>
          <w:sz w:val="22"/>
          <w:szCs w:val="22"/>
          <w:lang w:eastAsia="en-US"/>
        </w:rPr>
        <w:t>Clause 13</w:t>
      </w:r>
      <w:r w:rsidRPr="009777AA">
        <w:rPr>
          <w:rFonts w:eastAsiaTheme="minorHAnsi"/>
          <w:b/>
          <w:sz w:val="22"/>
          <w:szCs w:val="22"/>
          <w:lang w:eastAsia="en-US"/>
        </w:rPr>
        <w:tab/>
        <w:t>Tiebreaker for 5 MHz lot</w:t>
      </w:r>
    </w:p>
    <w:p w14:paraId="0BCA0E55" w14:textId="34DEF1E4" w:rsidR="0031751D" w:rsidRPr="007C05EB" w:rsidRDefault="0031751D"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This section applies in relation to </w:t>
      </w:r>
      <w:r w:rsidR="009777AA">
        <w:rPr>
          <w:rFonts w:ascii="Times New Roman" w:eastAsiaTheme="minorHAnsi" w:hAnsi="Times New Roman" w:cs="Times New Roman"/>
          <w:sz w:val="22"/>
          <w:szCs w:val="22"/>
        </w:rPr>
        <w:t>the 5 MHz</w:t>
      </w:r>
      <w:r w:rsidRPr="007C05EB">
        <w:rPr>
          <w:rFonts w:ascii="Times New Roman" w:eastAsiaTheme="minorHAnsi" w:hAnsi="Times New Roman" w:cs="Times New Roman"/>
          <w:sz w:val="22"/>
          <w:szCs w:val="22"/>
        </w:rPr>
        <w:t xml:space="preserve"> lot if</w:t>
      </w:r>
      <w:r w:rsidR="00946170">
        <w:rPr>
          <w:rFonts w:ascii="Times New Roman" w:eastAsiaTheme="minorHAnsi" w:hAnsi="Times New Roman" w:cs="Times New Roman"/>
          <w:sz w:val="22"/>
          <w:szCs w:val="22"/>
        </w:rPr>
        <w:t>, during the final round for bids on the 5 MHz lot,</w:t>
      </w:r>
      <w:r w:rsidR="00615102"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no continue bid was made on the 5 MHz lot</w:t>
      </w:r>
      <w:r w:rsidR="001C5A2C">
        <w:rPr>
          <w:rFonts w:ascii="Times New Roman" w:eastAsiaTheme="minorHAnsi" w:hAnsi="Times New Roman" w:cs="Times New Roman"/>
          <w:sz w:val="22"/>
          <w:szCs w:val="22"/>
        </w:rPr>
        <w:t>,</w:t>
      </w:r>
      <w:r w:rsidR="009777AA">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two or more exit bids were made on the 5 MHz lot</w:t>
      </w:r>
      <w:r w:rsidR="009777AA">
        <w:rPr>
          <w:rFonts w:ascii="Times New Roman" w:eastAsiaTheme="minorHAnsi" w:hAnsi="Times New Roman" w:cs="Times New Roman"/>
          <w:sz w:val="22"/>
          <w:szCs w:val="22"/>
        </w:rPr>
        <w:t>,</w:t>
      </w:r>
      <w:r w:rsidRPr="007C05EB">
        <w:rPr>
          <w:rFonts w:ascii="Times New Roman" w:eastAsiaTheme="minorHAnsi" w:hAnsi="Times New Roman" w:cs="Times New Roman"/>
          <w:sz w:val="22"/>
          <w:szCs w:val="22"/>
        </w:rPr>
        <w:t xml:space="preserve"> and</w:t>
      </w:r>
      <w:r w:rsidR="00615102" w:rsidRPr="007C05EB">
        <w:rPr>
          <w:rFonts w:ascii="Times New Roman" w:eastAsiaTheme="minorHAnsi" w:hAnsi="Times New Roman" w:cs="Times New Roman"/>
          <w:sz w:val="22"/>
          <w:szCs w:val="22"/>
        </w:rPr>
        <w:t xml:space="preserve"> </w:t>
      </w:r>
      <w:r w:rsidRPr="007C05EB">
        <w:rPr>
          <w:rFonts w:ascii="Times New Roman" w:eastAsiaTheme="minorHAnsi" w:hAnsi="Times New Roman" w:cs="Times New Roman"/>
          <w:sz w:val="22"/>
          <w:szCs w:val="22"/>
        </w:rPr>
        <w:t>of those exit bids:</w:t>
      </w:r>
    </w:p>
    <w:p w14:paraId="61949CFB" w14:textId="71B2F901" w:rsidR="0031751D" w:rsidRPr="007C05EB" w:rsidRDefault="0031751D"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w:t>
      </w:r>
      <w:r w:rsidR="009777AA">
        <w:rPr>
          <w:rFonts w:ascii="Times New Roman" w:eastAsiaTheme="minorHAnsi" w:hAnsi="Times New Roman" w:cs="Times New Roman"/>
          <w:sz w:val="22"/>
          <w:szCs w:val="22"/>
        </w:rPr>
        <w:t>a</w:t>
      </w:r>
      <w:r w:rsidRPr="007C05EB">
        <w:rPr>
          <w:rFonts w:ascii="Times New Roman" w:eastAsiaTheme="minorHAnsi" w:hAnsi="Times New Roman" w:cs="Times New Roman"/>
          <w:sz w:val="22"/>
          <w:szCs w:val="22"/>
        </w:rPr>
        <w:t>)</w:t>
      </w:r>
      <w:r w:rsidR="009777AA">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two</w:t>
      </w:r>
      <w:proofErr w:type="gramEnd"/>
      <w:r w:rsidRPr="007C05EB">
        <w:rPr>
          <w:rFonts w:ascii="Times New Roman" w:eastAsiaTheme="minorHAnsi" w:hAnsi="Times New Roman" w:cs="Times New Roman"/>
          <w:sz w:val="22"/>
          <w:szCs w:val="22"/>
        </w:rPr>
        <w:t xml:space="preserve"> or more of those exit bids were equal (</w:t>
      </w:r>
      <w:r w:rsidRPr="00432E1B">
        <w:rPr>
          <w:rFonts w:ascii="Times New Roman" w:eastAsiaTheme="minorHAnsi" w:hAnsi="Times New Roman" w:cs="Times New Roman"/>
          <w:b/>
          <w:sz w:val="22"/>
          <w:szCs w:val="22"/>
        </w:rPr>
        <w:t>the tied exit bids</w:t>
      </w:r>
      <w:r w:rsidRPr="007C05EB">
        <w:rPr>
          <w:rFonts w:ascii="Times New Roman" w:eastAsiaTheme="minorHAnsi" w:hAnsi="Times New Roman" w:cs="Times New Roman"/>
          <w:sz w:val="22"/>
          <w:szCs w:val="22"/>
        </w:rPr>
        <w:t>); and</w:t>
      </w:r>
    </w:p>
    <w:p w14:paraId="1D573BAD" w14:textId="5C7E04D0" w:rsidR="0031751D" w:rsidRPr="007C05EB" w:rsidRDefault="0031751D"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w:t>
      </w:r>
      <w:r w:rsidR="009777AA">
        <w:rPr>
          <w:rFonts w:ascii="Times New Roman" w:eastAsiaTheme="minorHAnsi" w:hAnsi="Times New Roman" w:cs="Times New Roman"/>
          <w:sz w:val="22"/>
          <w:szCs w:val="22"/>
        </w:rPr>
        <w:t>b</w:t>
      </w:r>
      <w:r w:rsidRPr="007C05EB">
        <w:rPr>
          <w:rFonts w:ascii="Times New Roman" w:eastAsiaTheme="minorHAnsi" w:hAnsi="Times New Roman" w:cs="Times New Roman"/>
          <w:sz w:val="22"/>
          <w:szCs w:val="22"/>
        </w:rPr>
        <w:t>)</w:t>
      </w:r>
      <w:r w:rsidR="009777AA">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the</w:t>
      </w:r>
      <w:proofErr w:type="gramEnd"/>
      <w:r w:rsidRPr="007C05EB">
        <w:rPr>
          <w:rFonts w:ascii="Times New Roman" w:eastAsiaTheme="minorHAnsi" w:hAnsi="Times New Roman" w:cs="Times New Roman"/>
          <w:sz w:val="22"/>
          <w:szCs w:val="22"/>
        </w:rPr>
        <w:t xml:space="preserve"> tied exit bids were greater than each other exit bid </w:t>
      </w:r>
      <w:r w:rsidR="00473E0F">
        <w:rPr>
          <w:rFonts w:ascii="Times New Roman" w:eastAsiaTheme="minorHAnsi" w:hAnsi="Times New Roman" w:cs="Times New Roman"/>
          <w:sz w:val="22"/>
          <w:szCs w:val="22"/>
        </w:rPr>
        <w:t>made in the final round</w:t>
      </w:r>
      <w:r w:rsidRPr="007C05EB">
        <w:rPr>
          <w:rFonts w:ascii="Times New Roman" w:eastAsiaTheme="minorHAnsi" w:hAnsi="Times New Roman" w:cs="Times New Roman"/>
          <w:sz w:val="22"/>
          <w:szCs w:val="22"/>
        </w:rPr>
        <w:t>.</w:t>
      </w:r>
    </w:p>
    <w:p w14:paraId="3699244E" w14:textId="5EA22CEE" w:rsidR="0031751D" w:rsidRPr="007C05EB" w:rsidRDefault="0031751D"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Where this section applies, the winning bidder for the </w:t>
      </w:r>
      <w:r w:rsidR="009777AA">
        <w:rPr>
          <w:rFonts w:ascii="Times New Roman" w:eastAsiaTheme="minorHAnsi" w:hAnsi="Times New Roman" w:cs="Times New Roman"/>
          <w:sz w:val="22"/>
          <w:szCs w:val="22"/>
        </w:rPr>
        <w:t>5</w:t>
      </w:r>
      <w:r w:rsidRPr="007C05EB">
        <w:rPr>
          <w:rFonts w:ascii="Times New Roman" w:eastAsiaTheme="minorHAnsi" w:hAnsi="Times New Roman" w:cs="Times New Roman"/>
          <w:sz w:val="22"/>
          <w:szCs w:val="22"/>
        </w:rPr>
        <w:t xml:space="preserve"> MHz lot will be selected from the bidders who made the tied exit bids by pseudorandom selection. </w:t>
      </w:r>
    </w:p>
    <w:p w14:paraId="5F42AD6D" w14:textId="0EF22FAD" w:rsidR="0031751D" w:rsidRPr="007C05EB" w:rsidRDefault="0031751D"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For the purposes of paragraph 11(4</w:t>
      </w:r>
      <w:proofErr w:type="gramStart"/>
      <w:r w:rsidRPr="007C05EB">
        <w:rPr>
          <w:rFonts w:ascii="Times New Roman" w:eastAsiaTheme="minorHAnsi" w:hAnsi="Times New Roman" w:cs="Times New Roman"/>
          <w:sz w:val="22"/>
          <w:szCs w:val="22"/>
        </w:rPr>
        <w:t>)(</w:t>
      </w:r>
      <w:proofErr w:type="gramEnd"/>
      <w:r w:rsidRPr="007C05EB">
        <w:rPr>
          <w:rFonts w:ascii="Times New Roman" w:eastAsiaTheme="minorHAnsi" w:hAnsi="Times New Roman" w:cs="Times New Roman"/>
          <w:sz w:val="22"/>
          <w:szCs w:val="22"/>
        </w:rPr>
        <w:t>d) of this Schedule, the final high bid for the 5 MHz lot is the amount of the last bid made by the winning bidder</w:t>
      </w:r>
      <w:r w:rsidR="009777AA">
        <w:rPr>
          <w:rFonts w:ascii="Times New Roman" w:eastAsiaTheme="minorHAnsi" w:hAnsi="Times New Roman" w:cs="Times New Roman"/>
          <w:sz w:val="22"/>
          <w:szCs w:val="22"/>
        </w:rPr>
        <w:t xml:space="preserve"> (i.e., the amount of the tied exit bids)</w:t>
      </w:r>
      <w:r w:rsidRPr="007C05EB">
        <w:rPr>
          <w:rFonts w:ascii="Times New Roman" w:eastAsiaTheme="minorHAnsi" w:hAnsi="Times New Roman" w:cs="Times New Roman"/>
          <w:sz w:val="22"/>
          <w:szCs w:val="22"/>
        </w:rPr>
        <w:t>.</w:t>
      </w:r>
    </w:p>
    <w:p w14:paraId="03B7BC60" w14:textId="17492D0A" w:rsidR="000E07B9" w:rsidRPr="007C05EB" w:rsidRDefault="00DD6AF5" w:rsidP="007C05EB">
      <w:pPr>
        <w:keepNext/>
        <w:spacing w:before="280" w:after="160" w:line="259" w:lineRule="auto"/>
        <w:rPr>
          <w:rFonts w:eastAsiaTheme="minorHAnsi"/>
          <w:b/>
          <w:lang w:eastAsia="en-US"/>
        </w:rPr>
      </w:pPr>
      <w:r w:rsidRPr="007C05EB">
        <w:rPr>
          <w:rFonts w:eastAsiaTheme="minorHAnsi"/>
          <w:b/>
          <w:lang w:eastAsia="en-US"/>
        </w:rPr>
        <w:t>P</w:t>
      </w:r>
      <w:r w:rsidR="00236FA7" w:rsidRPr="007C05EB">
        <w:rPr>
          <w:rFonts w:eastAsiaTheme="minorHAnsi"/>
          <w:b/>
          <w:lang w:eastAsia="en-US"/>
        </w:rPr>
        <w:t>art </w:t>
      </w:r>
      <w:r w:rsidRPr="007C05EB">
        <w:rPr>
          <w:rFonts w:eastAsiaTheme="minorHAnsi"/>
          <w:b/>
          <w:lang w:eastAsia="en-US"/>
        </w:rPr>
        <w:t>4</w:t>
      </w:r>
      <w:r w:rsidR="009777AA">
        <w:rPr>
          <w:rFonts w:eastAsiaTheme="minorHAnsi"/>
          <w:b/>
          <w:lang w:eastAsia="en-US"/>
        </w:rPr>
        <w:tab/>
      </w:r>
      <w:r w:rsidR="00236FA7" w:rsidRPr="007C05EB">
        <w:rPr>
          <w:rFonts w:eastAsiaTheme="minorHAnsi"/>
          <w:b/>
          <w:lang w:eastAsia="en-US"/>
        </w:rPr>
        <w:tab/>
        <w:t>Bringing the auction to a close</w:t>
      </w:r>
      <w:r w:rsidR="000E07B9" w:rsidRPr="007C05EB">
        <w:rPr>
          <w:rFonts w:eastAsiaTheme="minorHAnsi"/>
          <w:b/>
          <w:lang w:eastAsia="en-US"/>
        </w:rPr>
        <w:t xml:space="preserve"> </w:t>
      </w:r>
    </w:p>
    <w:p w14:paraId="3A0AEA0B" w14:textId="3AC26606" w:rsidR="00236FA7" w:rsidRPr="009777AA" w:rsidRDefault="00660DFA" w:rsidP="009777AA">
      <w:pPr>
        <w:keepNext/>
        <w:spacing w:after="160" w:line="259" w:lineRule="auto"/>
        <w:rPr>
          <w:rFonts w:eastAsiaTheme="minorHAnsi"/>
          <w:b/>
          <w:sz w:val="22"/>
          <w:szCs w:val="22"/>
          <w:lang w:eastAsia="en-US"/>
        </w:rPr>
      </w:pPr>
      <w:r w:rsidRPr="009777AA">
        <w:rPr>
          <w:rFonts w:eastAsiaTheme="minorHAnsi"/>
          <w:b/>
          <w:sz w:val="22"/>
          <w:szCs w:val="22"/>
          <w:lang w:eastAsia="en-US"/>
        </w:rPr>
        <w:t>Clause 1</w:t>
      </w:r>
      <w:r w:rsidR="00615102" w:rsidRPr="009777AA">
        <w:rPr>
          <w:rFonts w:eastAsiaTheme="minorHAnsi"/>
          <w:b/>
          <w:sz w:val="22"/>
          <w:szCs w:val="22"/>
          <w:lang w:eastAsia="en-US"/>
        </w:rPr>
        <w:t>4</w:t>
      </w:r>
      <w:r w:rsidRPr="009777AA">
        <w:rPr>
          <w:rFonts w:eastAsiaTheme="minorHAnsi"/>
          <w:b/>
          <w:sz w:val="22"/>
          <w:szCs w:val="22"/>
          <w:lang w:eastAsia="en-US"/>
        </w:rPr>
        <w:tab/>
      </w:r>
      <w:r w:rsidR="00236FA7" w:rsidRPr="009777AA">
        <w:rPr>
          <w:rFonts w:eastAsiaTheme="minorHAnsi"/>
          <w:b/>
          <w:sz w:val="22"/>
          <w:szCs w:val="22"/>
          <w:lang w:eastAsia="en-US"/>
        </w:rPr>
        <w:t>Clos</w:t>
      </w:r>
      <w:r w:rsidR="00DD6AF5" w:rsidRPr="009777AA">
        <w:rPr>
          <w:rFonts w:eastAsiaTheme="minorHAnsi"/>
          <w:b/>
          <w:sz w:val="22"/>
          <w:szCs w:val="22"/>
          <w:lang w:eastAsia="en-US"/>
        </w:rPr>
        <w:t>e</w:t>
      </w:r>
      <w:r w:rsidR="00236FA7" w:rsidRPr="009777AA">
        <w:rPr>
          <w:rFonts w:eastAsiaTheme="minorHAnsi"/>
          <w:b/>
          <w:sz w:val="22"/>
          <w:szCs w:val="22"/>
          <w:lang w:eastAsia="en-US"/>
        </w:rPr>
        <w:t xml:space="preserve"> of </w:t>
      </w:r>
      <w:r w:rsidR="004D2C6E" w:rsidRPr="009777AA">
        <w:rPr>
          <w:rFonts w:eastAsiaTheme="minorHAnsi"/>
          <w:b/>
          <w:sz w:val="22"/>
          <w:szCs w:val="22"/>
          <w:lang w:eastAsia="en-US"/>
        </w:rPr>
        <w:t xml:space="preserve">the </w:t>
      </w:r>
      <w:r w:rsidR="00236FA7" w:rsidRPr="009777AA">
        <w:rPr>
          <w:rFonts w:eastAsiaTheme="minorHAnsi"/>
          <w:b/>
          <w:sz w:val="22"/>
          <w:szCs w:val="22"/>
          <w:lang w:eastAsia="en-US"/>
        </w:rPr>
        <w:t>auction</w:t>
      </w:r>
    </w:p>
    <w:p w14:paraId="05141C0B" w14:textId="34AD7412" w:rsidR="00DD6AF5" w:rsidRPr="007C05EB" w:rsidRDefault="00DD6AF5" w:rsidP="007C05EB">
      <w:pPr>
        <w:pStyle w:val="ACMABodyText"/>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 xml:space="preserve">The auction will close immediately after either:  </w:t>
      </w:r>
    </w:p>
    <w:p w14:paraId="4EA3800D" w14:textId="1D805448" w:rsidR="00DD6AF5" w:rsidRPr="007C05EB" w:rsidRDefault="00DD6AF5"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(a)</w:t>
      </w:r>
      <w:r w:rsidRPr="007C05EB">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if</w:t>
      </w:r>
      <w:proofErr w:type="gramEnd"/>
      <w:r w:rsidRPr="007C05EB">
        <w:rPr>
          <w:rFonts w:ascii="Times New Roman" w:eastAsiaTheme="minorHAnsi" w:hAnsi="Times New Roman" w:cs="Times New Roman"/>
          <w:sz w:val="22"/>
          <w:szCs w:val="22"/>
        </w:rPr>
        <w:t xml:space="preserve"> clause 13 applies in relation to the 5 MHz lot – the pseudorandom selection mentioned in subclause 13(2) occurs; or</w:t>
      </w:r>
    </w:p>
    <w:p w14:paraId="71744B96" w14:textId="5F2E2093" w:rsidR="00DD6AF5" w:rsidRPr="007C05EB" w:rsidRDefault="00DD6AF5" w:rsidP="007C05EB">
      <w:pPr>
        <w:pStyle w:val="ACMABodyText"/>
        <w:tabs>
          <w:tab w:val="left" w:pos="851"/>
        </w:tabs>
        <w:ind w:left="851" w:hanging="567"/>
        <w:rPr>
          <w:rFonts w:ascii="Times New Roman" w:eastAsiaTheme="minorHAnsi" w:hAnsi="Times New Roman" w:cs="Times New Roman"/>
          <w:sz w:val="22"/>
          <w:szCs w:val="22"/>
        </w:rPr>
      </w:pPr>
      <w:r w:rsidRPr="007C05EB">
        <w:rPr>
          <w:rFonts w:ascii="Times New Roman" w:eastAsiaTheme="minorHAnsi" w:hAnsi="Times New Roman" w:cs="Times New Roman"/>
          <w:sz w:val="22"/>
          <w:szCs w:val="22"/>
        </w:rPr>
        <w:t>(b)</w:t>
      </w:r>
      <w:r w:rsidRPr="007C05EB">
        <w:rPr>
          <w:rFonts w:ascii="Times New Roman" w:eastAsiaTheme="minorHAnsi" w:hAnsi="Times New Roman" w:cs="Times New Roman"/>
          <w:sz w:val="22"/>
          <w:szCs w:val="22"/>
        </w:rPr>
        <w:tab/>
      </w:r>
      <w:proofErr w:type="gramStart"/>
      <w:r w:rsidRPr="007C05EB">
        <w:rPr>
          <w:rFonts w:ascii="Times New Roman" w:eastAsiaTheme="minorHAnsi" w:hAnsi="Times New Roman" w:cs="Times New Roman"/>
          <w:sz w:val="22"/>
          <w:szCs w:val="22"/>
        </w:rPr>
        <w:t>in</w:t>
      </w:r>
      <w:proofErr w:type="gramEnd"/>
      <w:r w:rsidRPr="007C05EB">
        <w:rPr>
          <w:rFonts w:ascii="Times New Roman" w:eastAsiaTheme="minorHAnsi" w:hAnsi="Times New Roman" w:cs="Times New Roman"/>
          <w:sz w:val="22"/>
          <w:szCs w:val="22"/>
        </w:rPr>
        <w:t xml:space="preserve"> any other case – the final round of the auction.</w:t>
      </w:r>
    </w:p>
    <w:p w14:paraId="5FB98DCC" w14:textId="2A049054" w:rsidR="009777AA" w:rsidRDefault="00DD6AF5" w:rsidP="005D0E59">
      <w:pPr>
        <w:pStyle w:val="ACMABodyText"/>
        <w:rPr>
          <w:b/>
          <w:bCs/>
          <w:caps/>
          <w:sz w:val="22"/>
          <w:szCs w:val="26"/>
          <w:lang w:val="en-US"/>
        </w:rPr>
      </w:pPr>
      <w:r w:rsidRPr="007C05EB">
        <w:rPr>
          <w:rFonts w:ascii="Times New Roman" w:eastAsiaTheme="minorHAnsi" w:hAnsi="Times New Roman" w:cs="Times New Roman"/>
          <w:sz w:val="22"/>
          <w:szCs w:val="22"/>
        </w:rPr>
        <w:t xml:space="preserve">After the auction closes, the auction manager must tell each bidder, using the auction </w:t>
      </w:r>
      <w:proofErr w:type="gramStart"/>
      <w:r w:rsidRPr="007C05EB">
        <w:rPr>
          <w:rFonts w:ascii="Times New Roman" w:eastAsiaTheme="minorHAnsi" w:hAnsi="Times New Roman" w:cs="Times New Roman"/>
          <w:sz w:val="22"/>
          <w:szCs w:val="22"/>
        </w:rPr>
        <w:t>system, that</w:t>
      </w:r>
      <w:proofErr w:type="gramEnd"/>
      <w:r w:rsidRPr="007C05EB">
        <w:rPr>
          <w:rFonts w:ascii="Times New Roman" w:eastAsiaTheme="minorHAnsi" w:hAnsi="Times New Roman" w:cs="Times New Roman"/>
          <w:sz w:val="22"/>
          <w:szCs w:val="22"/>
        </w:rPr>
        <w:t xml:space="preserve"> the auction has closed.</w:t>
      </w:r>
    </w:p>
    <w:p w14:paraId="6CEFCDDC" w14:textId="6CFC83E8" w:rsidR="009E0BD8" w:rsidRPr="009777AA" w:rsidRDefault="009777AA" w:rsidP="009777AA">
      <w:pPr>
        <w:keepNext/>
        <w:spacing w:before="280" w:after="160" w:line="259" w:lineRule="auto"/>
        <w:rPr>
          <w:rFonts w:eastAsiaTheme="minorHAnsi"/>
          <w:b/>
          <w:sz w:val="22"/>
          <w:szCs w:val="22"/>
          <w:lang w:eastAsia="en-US"/>
        </w:rPr>
      </w:pPr>
      <w:r>
        <w:rPr>
          <w:rFonts w:eastAsiaTheme="minorHAnsi"/>
          <w:b/>
          <w:sz w:val="22"/>
          <w:szCs w:val="22"/>
          <w:lang w:eastAsia="en-US"/>
        </w:rPr>
        <w:lastRenderedPageBreak/>
        <w:t>SCHEDULE</w:t>
      </w:r>
      <w:r w:rsidRPr="009777AA">
        <w:rPr>
          <w:rFonts w:eastAsiaTheme="minorHAnsi"/>
          <w:b/>
          <w:sz w:val="22"/>
          <w:szCs w:val="22"/>
          <w:lang w:eastAsia="en-US"/>
        </w:rPr>
        <w:t xml:space="preserve"> </w:t>
      </w:r>
      <w:r w:rsidR="009E0BD8" w:rsidRPr="009777AA">
        <w:rPr>
          <w:rFonts w:eastAsiaTheme="minorHAnsi"/>
          <w:b/>
          <w:sz w:val="22"/>
          <w:szCs w:val="22"/>
          <w:lang w:eastAsia="en-US"/>
        </w:rPr>
        <w:t>2</w:t>
      </w:r>
      <w:r w:rsidR="009E0BD8" w:rsidRPr="009777AA">
        <w:rPr>
          <w:rFonts w:eastAsiaTheme="minorHAnsi"/>
          <w:b/>
          <w:sz w:val="22"/>
          <w:szCs w:val="22"/>
          <w:lang w:eastAsia="en-US"/>
        </w:rPr>
        <w:tab/>
      </w:r>
      <w:r>
        <w:rPr>
          <w:rFonts w:eastAsiaTheme="minorHAnsi"/>
          <w:b/>
          <w:sz w:val="22"/>
          <w:szCs w:val="22"/>
          <w:lang w:eastAsia="en-US"/>
        </w:rPr>
        <w:tab/>
        <w:t>PARTS OF THE SPECTRUM</w:t>
      </w:r>
    </w:p>
    <w:p w14:paraId="713EEB4E" w14:textId="2100C919" w:rsidR="00D420E5" w:rsidRPr="009777AA" w:rsidRDefault="00D420E5" w:rsidP="009777AA">
      <w:pPr>
        <w:keepNext/>
        <w:spacing w:before="280" w:after="160" w:line="259" w:lineRule="auto"/>
        <w:rPr>
          <w:rFonts w:eastAsiaTheme="minorHAnsi"/>
          <w:b/>
          <w:lang w:eastAsia="en-US"/>
        </w:rPr>
      </w:pPr>
      <w:r w:rsidRPr="009777AA">
        <w:rPr>
          <w:rFonts w:eastAsiaTheme="minorHAnsi"/>
          <w:b/>
          <w:lang w:eastAsia="en-US"/>
        </w:rPr>
        <w:t xml:space="preserve">Part 1 </w:t>
      </w:r>
      <w:r w:rsidR="007C1060">
        <w:rPr>
          <w:rFonts w:eastAsiaTheme="minorHAnsi"/>
          <w:b/>
          <w:lang w:eastAsia="en-US"/>
        </w:rPr>
        <w:t>– 700 MHz band and residual 700 MHz band</w:t>
      </w:r>
    </w:p>
    <w:p w14:paraId="39FADC83" w14:textId="362F95D4" w:rsidR="00DA240D" w:rsidRDefault="00D27F1B" w:rsidP="009777AA">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The </w:t>
      </w:r>
      <w:r w:rsidR="00DB7128" w:rsidRPr="005C338A">
        <w:rPr>
          <w:rFonts w:ascii="Times New Roman" w:eastAsiaTheme="minorHAnsi" w:hAnsi="Times New Roman" w:cs="Times New Roman"/>
          <w:sz w:val="22"/>
          <w:szCs w:val="22"/>
        </w:rPr>
        <w:t>‘</w:t>
      </w:r>
      <w:r w:rsidR="003D1B6D" w:rsidRPr="005C338A">
        <w:rPr>
          <w:rFonts w:ascii="Times New Roman" w:eastAsiaTheme="minorHAnsi" w:hAnsi="Times New Roman" w:cs="Times New Roman"/>
          <w:sz w:val="22"/>
          <w:szCs w:val="22"/>
        </w:rPr>
        <w:t>700</w:t>
      </w:r>
      <w:r w:rsidRPr="005C338A">
        <w:rPr>
          <w:rFonts w:ascii="Times New Roman" w:eastAsiaTheme="minorHAnsi" w:hAnsi="Times New Roman" w:cs="Times New Roman"/>
          <w:sz w:val="22"/>
          <w:szCs w:val="22"/>
        </w:rPr>
        <w:t xml:space="preserve"> MHz </w:t>
      </w:r>
      <w:r w:rsidR="00980054"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and</w:t>
      </w:r>
      <w:r w:rsidR="00DB7128" w:rsidRPr="005C338A">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 xml:space="preserve"> is defin</w:t>
      </w:r>
      <w:r w:rsidR="00DB7128" w:rsidRPr="005C338A">
        <w:rPr>
          <w:rFonts w:ascii="Times New Roman" w:eastAsiaTheme="minorHAnsi" w:hAnsi="Times New Roman" w:cs="Times New Roman"/>
          <w:sz w:val="22"/>
          <w:szCs w:val="22"/>
        </w:rPr>
        <w:t>e</w:t>
      </w:r>
      <w:r w:rsidRPr="005C338A">
        <w:rPr>
          <w:rFonts w:ascii="Times New Roman" w:eastAsiaTheme="minorHAnsi" w:hAnsi="Times New Roman" w:cs="Times New Roman"/>
          <w:sz w:val="22"/>
          <w:szCs w:val="22"/>
        </w:rPr>
        <w:t xml:space="preserve">d in </w:t>
      </w:r>
      <w:r w:rsidR="005D48D7" w:rsidRPr="005C338A">
        <w:rPr>
          <w:rFonts w:ascii="Times New Roman" w:eastAsiaTheme="minorHAnsi" w:hAnsi="Times New Roman" w:cs="Times New Roman"/>
          <w:sz w:val="22"/>
          <w:szCs w:val="22"/>
        </w:rPr>
        <w:t>sub</w:t>
      </w:r>
      <w:r w:rsidRPr="005C338A">
        <w:rPr>
          <w:rFonts w:ascii="Times New Roman" w:eastAsiaTheme="minorHAnsi" w:hAnsi="Times New Roman" w:cs="Times New Roman"/>
          <w:sz w:val="22"/>
          <w:szCs w:val="22"/>
        </w:rPr>
        <w:t>section 4</w:t>
      </w:r>
      <w:r w:rsidR="005D48D7" w:rsidRPr="005C338A">
        <w:rPr>
          <w:rFonts w:ascii="Times New Roman" w:eastAsiaTheme="minorHAnsi" w:hAnsi="Times New Roman" w:cs="Times New Roman"/>
          <w:sz w:val="22"/>
          <w:szCs w:val="22"/>
        </w:rPr>
        <w:t>(1)</w:t>
      </w:r>
      <w:r w:rsidRPr="005C338A">
        <w:rPr>
          <w:rFonts w:ascii="Times New Roman" w:eastAsiaTheme="minorHAnsi" w:hAnsi="Times New Roman" w:cs="Times New Roman"/>
          <w:sz w:val="22"/>
          <w:szCs w:val="22"/>
        </w:rPr>
        <w:t xml:space="preserve"> of the Determination by reference to Schedule 2. </w:t>
      </w:r>
      <w:r w:rsidR="009777AA" w:rsidRPr="005C338A">
        <w:rPr>
          <w:rFonts w:ascii="Times New Roman" w:eastAsiaTheme="minorHAnsi" w:hAnsi="Times New Roman" w:cs="Times New Roman"/>
          <w:sz w:val="22"/>
          <w:szCs w:val="22"/>
        </w:rPr>
        <w:t xml:space="preserve"> </w:t>
      </w:r>
      <w:r w:rsidRPr="005C338A">
        <w:rPr>
          <w:rFonts w:ascii="Times New Roman" w:eastAsiaTheme="minorHAnsi" w:hAnsi="Times New Roman" w:cs="Times New Roman"/>
          <w:sz w:val="22"/>
          <w:szCs w:val="22"/>
        </w:rPr>
        <w:t xml:space="preserve">This </w:t>
      </w:r>
      <w:r w:rsidR="00DB7128" w:rsidRPr="005C338A">
        <w:rPr>
          <w:rFonts w:ascii="Times New Roman" w:eastAsiaTheme="minorHAnsi" w:hAnsi="Times New Roman" w:cs="Times New Roman"/>
          <w:sz w:val="22"/>
          <w:szCs w:val="22"/>
        </w:rPr>
        <w:t>S</w:t>
      </w:r>
      <w:r w:rsidRPr="005C338A">
        <w:rPr>
          <w:rFonts w:ascii="Times New Roman" w:eastAsiaTheme="minorHAnsi" w:hAnsi="Times New Roman" w:cs="Times New Roman"/>
          <w:sz w:val="22"/>
          <w:szCs w:val="22"/>
        </w:rPr>
        <w:t xml:space="preserve">chedule sets out that the </w:t>
      </w:r>
      <w:r w:rsidR="009E0BD8" w:rsidRPr="005C338A">
        <w:rPr>
          <w:rFonts w:ascii="Times New Roman" w:eastAsiaTheme="minorHAnsi" w:hAnsi="Times New Roman" w:cs="Times New Roman"/>
          <w:sz w:val="22"/>
          <w:szCs w:val="22"/>
        </w:rPr>
        <w:t>parts of the spectrum in the</w:t>
      </w:r>
      <w:r w:rsidR="009777AA" w:rsidRPr="005C338A">
        <w:rPr>
          <w:rFonts w:ascii="Times New Roman" w:eastAsiaTheme="minorHAnsi" w:hAnsi="Times New Roman" w:cs="Times New Roman"/>
          <w:sz w:val="22"/>
          <w:szCs w:val="22"/>
        </w:rPr>
        <w:t xml:space="preserve"> </w:t>
      </w:r>
      <w:r w:rsidR="003D1B6D" w:rsidRPr="005C338A">
        <w:rPr>
          <w:rFonts w:ascii="Times New Roman" w:eastAsiaTheme="minorHAnsi" w:hAnsi="Times New Roman" w:cs="Times New Roman"/>
          <w:sz w:val="22"/>
          <w:szCs w:val="22"/>
        </w:rPr>
        <w:t>700</w:t>
      </w:r>
      <w:r w:rsidR="009E0BD8" w:rsidRPr="005C338A">
        <w:rPr>
          <w:rFonts w:ascii="Times New Roman" w:eastAsiaTheme="minorHAnsi" w:hAnsi="Times New Roman" w:cs="Times New Roman"/>
          <w:sz w:val="22"/>
          <w:szCs w:val="22"/>
        </w:rPr>
        <w:t xml:space="preserve"> MHz </w:t>
      </w:r>
      <w:r w:rsidR="009777AA" w:rsidRPr="005C338A">
        <w:rPr>
          <w:rFonts w:ascii="Times New Roman" w:eastAsiaTheme="minorHAnsi" w:hAnsi="Times New Roman" w:cs="Times New Roman"/>
          <w:sz w:val="22"/>
          <w:szCs w:val="22"/>
        </w:rPr>
        <w:t>b</w:t>
      </w:r>
      <w:r w:rsidR="009E0BD8" w:rsidRPr="005C338A">
        <w:rPr>
          <w:rFonts w:ascii="Times New Roman" w:eastAsiaTheme="minorHAnsi" w:hAnsi="Times New Roman" w:cs="Times New Roman"/>
          <w:sz w:val="22"/>
          <w:szCs w:val="22"/>
        </w:rPr>
        <w:t>and</w:t>
      </w:r>
      <w:r w:rsidR="00DB7128" w:rsidRPr="005C338A">
        <w:rPr>
          <w:rFonts w:ascii="Times New Roman" w:eastAsiaTheme="minorHAnsi" w:hAnsi="Times New Roman" w:cs="Times New Roman"/>
          <w:sz w:val="22"/>
          <w:szCs w:val="22"/>
        </w:rPr>
        <w:t xml:space="preserve"> for the purpose of this allocation</w:t>
      </w:r>
      <w:r w:rsidR="009E0BD8" w:rsidRPr="005C338A">
        <w:rPr>
          <w:rFonts w:ascii="Times New Roman" w:eastAsiaTheme="minorHAnsi" w:hAnsi="Times New Roman" w:cs="Times New Roman"/>
          <w:sz w:val="22"/>
          <w:szCs w:val="22"/>
        </w:rPr>
        <w:t xml:space="preserve"> </w:t>
      </w:r>
      <w:r w:rsidR="00025BFE" w:rsidRPr="005C338A">
        <w:rPr>
          <w:rFonts w:ascii="Times New Roman" w:eastAsiaTheme="minorHAnsi" w:hAnsi="Times New Roman" w:cs="Times New Roman"/>
          <w:sz w:val="22"/>
          <w:szCs w:val="22"/>
        </w:rPr>
        <w:t>are the</w:t>
      </w:r>
      <w:r w:rsidR="009777AA" w:rsidRPr="005C338A">
        <w:rPr>
          <w:rFonts w:ascii="Times New Roman" w:eastAsiaTheme="minorHAnsi" w:hAnsi="Times New Roman" w:cs="Times New Roman"/>
          <w:sz w:val="22"/>
          <w:szCs w:val="22"/>
        </w:rPr>
        <w:t xml:space="preserve"> </w:t>
      </w:r>
      <w:r w:rsidR="009E0BD8" w:rsidRPr="005C338A">
        <w:rPr>
          <w:rFonts w:ascii="Times New Roman" w:eastAsiaTheme="minorHAnsi" w:hAnsi="Times New Roman" w:cs="Times New Roman"/>
          <w:sz w:val="22"/>
          <w:szCs w:val="22"/>
        </w:rPr>
        <w:t xml:space="preserve">frequency ranges </w:t>
      </w:r>
      <w:r w:rsidR="00D420E5" w:rsidRPr="005C338A">
        <w:rPr>
          <w:rFonts w:ascii="Times New Roman" w:eastAsiaTheme="minorHAnsi" w:hAnsi="Times New Roman" w:cs="Times New Roman"/>
          <w:sz w:val="22"/>
          <w:szCs w:val="22"/>
        </w:rPr>
        <w:t>7</w:t>
      </w:r>
      <w:r w:rsidR="00DA240D">
        <w:rPr>
          <w:rFonts w:ascii="Times New Roman" w:eastAsiaTheme="minorHAnsi" w:hAnsi="Times New Roman" w:cs="Times New Roman"/>
          <w:sz w:val="22"/>
          <w:szCs w:val="22"/>
        </w:rPr>
        <w:t>0</w:t>
      </w:r>
      <w:r w:rsidR="00D420E5" w:rsidRPr="005C338A">
        <w:rPr>
          <w:rFonts w:ascii="Times New Roman" w:eastAsiaTheme="minorHAnsi" w:hAnsi="Times New Roman" w:cs="Times New Roman"/>
          <w:sz w:val="22"/>
          <w:szCs w:val="22"/>
        </w:rPr>
        <w:t>3</w:t>
      </w:r>
      <w:r w:rsidR="009777AA" w:rsidRPr="005C338A">
        <w:rPr>
          <w:rFonts w:ascii="Times New Roman" w:eastAsiaTheme="minorHAnsi" w:hAnsi="Times New Roman" w:cs="Times New Roman"/>
          <w:sz w:val="22"/>
          <w:szCs w:val="22"/>
        </w:rPr>
        <w:t xml:space="preserve"> to </w:t>
      </w:r>
      <w:r w:rsidR="00D420E5" w:rsidRPr="005C338A">
        <w:rPr>
          <w:rFonts w:ascii="Times New Roman" w:eastAsiaTheme="minorHAnsi" w:hAnsi="Times New Roman" w:cs="Times New Roman"/>
          <w:sz w:val="22"/>
          <w:szCs w:val="22"/>
        </w:rPr>
        <w:t xml:space="preserve">748 </w:t>
      </w:r>
      <w:r w:rsidR="00025BFE" w:rsidRPr="005C338A">
        <w:rPr>
          <w:rFonts w:ascii="Times New Roman" w:eastAsiaTheme="minorHAnsi" w:hAnsi="Times New Roman" w:cs="Times New Roman"/>
          <w:sz w:val="22"/>
          <w:szCs w:val="22"/>
        </w:rPr>
        <w:t>MHz and</w:t>
      </w:r>
      <w:r w:rsidR="00D420E5" w:rsidRPr="005C338A">
        <w:rPr>
          <w:rFonts w:ascii="Times New Roman" w:eastAsiaTheme="minorHAnsi" w:hAnsi="Times New Roman" w:cs="Times New Roman"/>
          <w:sz w:val="22"/>
          <w:szCs w:val="22"/>
        </w:rPr>
        <w:t xml:space="preserve"> 7</w:t>
      </w:r>
      <w:r w:rsidR="00DA240D">
        <w:rPr>
          <w:rFonts w:ascii="Times New Roman" w:eastAsiaTheme="minorHAnsi" w:hAnsi="Times New Roman" w:cs="Times New Roman"/>
          <w:sz w:val="22"/>
          <w:szCs w:val="22"/>
        </w:rPr>
        <w:t>5</w:t>
      </w:r>
      <w:r w:rsidR="00D420E5" w:rsidRPr="005C338A">
        <w:rPr>
          <w:rFonts w:ascii="Times New Roman" w:eastAsiaTheme="minorHAnsi" w:hAnsi="Times New Roman" w:cs="Times New Roman"/>
          <w:sz w:val="22"/>
          <w:szCs w:val="22"/>
        </w:rPr>
        <w:t>8</w:t>
      </w:r>
      <w:r w:rsidR="009777AA" w:rsidRPr="005C338A">
        <w:rPr>
          <w:rFonts w:ascii="Times New Roman" w:eastAsiaTheme="minorHAnsi" w:hAnsi="Times New Roman" w:cs="Times New Roman"/>
          <w:sz w:val="22"/>
          <w:szCs w:val="22"/>
        </w:rPr>
        <w:t xml:space="preserve"> to </w:t>
      </w:r>
      <w:r w:rsidR="00D420E5" w:rsidRPr="005C338A">
        <w:rPr>
          <w:rFonts w:ascii="Times New Roman" w:eastAsiaTheme="minorHAnsi" w:hAnsi="Times New Roman" w:cs="Times New Roman"/>
          <w:sz w:val="22"/>
          <w:szCs w:val="22"/>
        </w:rPr>
        <w:t>803 M</w:t>
      </w:r>
      <w:r w:rsidR="009777AA" w:rsidRPr="005C338A">
        <w:rPr>
          <w:rFonts w:ascii="Times New Roman" w:eastAsiaTheme="minorHAnsi" w:hAnsi="Times New Roman" w:cs="Times New Roman"/>
          <w:sz w:val="22"/>
          <w:szCs w:val="22"/>
        </w:rPr>
        <w:t>H</w:t>
      </w:r>
      <w:r w:rsidR="00D420E5" w:rsidRPr="005C338A">
        <w:rPr>
          <w:rFonts w:ascii="Times New Roman" w:eastAsiaTheme="minorHAnsi" w:hAnsi="Times New Roman" w:cs="Times New Roman"/>
          <w:sz w:val="22"/>
          <w:szCs w:val="22"/>
        </w:rPr>
        <w:t>z</w:t>
      </w:r>
      <w:r w:rsidR="0069780F" w:rsidRPr="005C338A">
        <w:rPr>
          <w:rFonts w:ascii="Times New Roman" w:eastAsiaTheme="minorHAnsi" w:hAnsi="Times New Roman" w:cs="Times New Roman"/>
          <w:sz w:val="22"/>
          <w:szCs w:val="22"/>
        </w:rPr>
        <w:t xml:space="preserve"> </w:t>
      </w:r>
      <w:r w:rsidR="009E0BD8" w:rsidRPr="005C338A">
        <w:rPr>
          <w:rFonts w:ascii="Times New Roman" w:eastAsiaTheme="minorHAnsi" w:hAnsi="Times New Roman" w:cs="Times New Roman"/>
          <w:sz w:val="22"/>
          <w:szCs w:val="22"/>
        </w:rPr>
        <w:t xml:space="preserve">in the </w:t>
      </w:r>
      <w:r w:rsidR="00DA240D">
        <w:rPr>
          <w:rFonts w:ascii="Times New Roman" w:eastAsiaTheme="minorHAnsi" w:hAnsi="Times New Roman" w:cs="Times New Roman"/>
          <w:sz w:val="22"/>
          <w:szCs w:val="22"/>
        </w:rPr>
        <w:t>designated</w:t>
      </w:r>
      <w:r w:rsidR="007C1060">
        <w:rPr>
          <w:rFonts w:ascii="Times New Roman" w:eastAsiaTheme="minorHAnsi" w:hAnsi="Times New Roman" w:cs="Times New Roman"/>
          <w:sz w:val="22"/>
          <w:szCs w:val="22"/>
        </w:rPr>
        <w:t xml:space="preserve"> area</w:t>
      </w:r>
      <w:r w:rsidR="00DA240D">
        <w:rPr>
          <w:rFonts w:ascii="Times New Roman" w:eastAsiaTheme="minorHAnsi" w:hAnsi="Times New Roman" w:cs="Times New Roman"/>
          <w:sz w:val="22"/>
          <w:szCs w:val="22"/>
        </w:rPr>
        <w:t>.</w:t>
      </w:r>
    </w:p>
    <w:p w14:paraId="1A856A1A" w14:textId="6E896501" w:rsidR="00DA240D" w:rsidRPr="00DA240D" w:rsidRDefault="00DA240D" w:rsidP="009777AA">
      <w:pPr>
        <w:pStyle w:val="ACMABodyText"/>
        <w:rPr>
          <w:rFonts w:ascii="Times New Roman" w:eastAsiaTheme="minorHAnsi" w:hAnsi="Times New Roman" w:cs="Times New Roman"/>
          <w:sz w:val="22"/>
          <w:szCs w:val="22"/>
        </w:rPr>
      </w:pPr>
      <w:r>
        <w:rPr>
          <w:rFonts w:ascii="Times New Roman" w:eastAsiaTheme="minorHAnsi" w:hAnsi="Times New Roman" w:cs="Times New Roman"/>
          <w:sz w:val="22"/>
          <w:szCs w:val="22"/>
        </w:rPr>
        <w:t>The ‘residual 700 MHz band’ is defined</w:t>
      </w:r>
      <w:r w:rsidRPr="00DA240D">
        <w:rPr>
          <w:rFonts w:ascii="Times New Roman" w:eastAsiaTheme="minorHAnsi" w:hAnsi="Times New Roman" w:cs="Times New Roman"/>
          <w:sz w:val="22"/>
          <w:szCs w:val="22"/>
        </w:rPr>
        <w:t xml:space="preserve"> </w:t>
      </w:r>
      <w:r w:rsidRPr="00643800">
        <w:rPr>
          <w:rFonts w:ascii="Times New Roman" w:eastAsiaTheme="minorHAnsi" w:hAnsi="Times New Roman" w:cs="Times New Roman"/>
          <w:sz w:val="22"/>
          <w:szCs w:val="22"/>
        </w:rPr>
        <w:t xml:space="preserve">in subsection 4(1) of the Determination by reference to Schedule 2.  This Schedule sets out that the parts of the spectrum in the </w:t>
      </w:r>
      <w:r>
        <w:rPr>
          <w:rFonts w:ascii="Times New Roman" w:eastAsiaTheme="minorHAnsi" w:hAnsi="Times New Roman" w:cs="Times New Roman"/>
          <w:sz w:val="22"/>
          <w:szCs w:val="22"/>
        </w:rPr>
        <w:t xml:space="preserve">residual </w:t>
      </w:r>
      <w:r w:rsidRPr="00643800">
        <w:rPr>
          <w:rFonts w:ascii="Times New Roman" w:eastAsiaTheme="minorHAnsi" w:hAnsi="Times New Roman" w:cs="Times New Roman"/>
          <w:sz w:val="22"/>
          <w:szCs w:val="22"/>
        </w:rPr>
        <w:t xml:space="preserve">700 MHz band for the purpose of this allocation are the frequency ranges 733 to 748 MHz and 788 to 803 MHz in the </w:t>
      </w:r>
      <w:r>
        <w:rPr>
          <w:rFonts w:ascii="Times New Roman" w:eastAsiaTheme="minorHAnsi" w:hAnsi="Times New Roman" w:cs="Times New Roman"/>
          <w:sz w:val="22"/>
          <w:szCs w:val="22"/>
        </w:rPr>
        <w:t>designated area.</w:t>
      </w:r>
    </w:p>
    <w:p w14:paraId="4AB7F8B6" w14:textId="0D635486" w:rsidR="00D420E5" w:rsidRPr="00DA240D" w:rsidRDefault="00D420E5" w:rsidP="009777AA">
      <w:pPr>
        <w:keepNext/>
        <w:spacing w:before="280" w:after="160" w:line="259" w:lineRule="auto"/>
        <w:rPr>
          <w:rFonts w:eastAsiaTheme="minorHAnsi"/>
          <w:b/>
          <w:lang w:eastAsia="en-US"/>
        </w:rPr>
      </w:pPr>
      <w:r w:rsidRPr="00DA240D">
        <w:rPr>
          <w:rFonts w:eastAsiaTheme="minorHAnsi"/>
          <w:b/>
          <w:lang w:eastAsia="en-US"/>
        </w:rPr>
        <w:t>Part 2</w:t>
      </w:r>
      <w:r w:rsidR="007C1060">
        <w:rPr>
          <w:rFonts w:eastAsiaTheme="minorHAnsi"/>
          <w:b/>
          <w:lang w:eastAsia="en-US"/>
        </w:rPr>
        <w:t xml:space="preserve"> – Lots</w:t>
      </w:r>
    </w:p>
    <w:p w14:paraId="2CA12ACA" w14:textId="0C21B1D2" w:rsidR="00D420E5" w:rsidRPr="005C338A" w:rsidRDefault="009777AA" w:rsidP="009777AA">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 xml:space="preserve">Part 2 of Schedule 2 defines the lots </w:t>
      </w:r>
      <w:r w:rsidR="00EA50D2" w:rsidRPr="005C338A">
        <w:rPr>
          <w:rFonts w:ascii="Times New Roman" w:eastAsiaTheme="minorHAnsi" w:hAnsi="Times New Roman" w:cs="Times New Roman"/>
          <w:sz w:val="22"/>
          <w:szCs w:val="22"/>
        </w:rPr>
        <w:t xml:space="preserve">within the 700 MHz band </w:t>
      </w:r>
      <w:r w:rsidRPr="005C338A">
        <w:rPr>
          <w:rFonts w:ascii="Times New Roman" w:eastAsiaTheme="minorHAnsi" w:hAnsi="Times New Roman" w:cs="Times New Roman"/>
          <w:sz w:val="22"/>
          <w:szCs w:val="22"/>
        </w:rPr>
        <w:t>to be allocated under th</w:t>
      </w:r>
      <w:r w:rsidR="007C1060">
        <w:rPr>
          <w:rFonts w:ascii="Times New Roman" w:eastAsiaTheme="minorHAnsi" w:hAnsi="Times New Roman" w:cs="Times New Roman"/>
          <w:sz w:val="22"/>
          <w:szCs w:val="22"/>
        </w:rPr>
        <w:t>e</w:t>
      </w:r>
      <w:r w:rsidRPr="005C338A">
        <w:rPr>
          <w:rFonts w:ascii="Times New Roman" w:eastAsiaTheme="minorHAnsi" w:hAnsi="Times New Roman" w:cs="Times New Roman"/>
          <w:sz w:val="22"/>
          <w:szCs w:val="22"/>
        </w:rPr>
        <w:t xml:space="preserve"> Determination.  </w:t>
      </w:r>
      <w:r w:rsidR="00D420E5" w:rsidRPr="005C338A">
        <w:rPr>
          <w:rFonts w:ascii="Times New Roman" w:eastAsiaTheme="minorHAnsi" w:hAnsi="Times New Roman" w:cs="Times New Roman"/>
          <w:sz w:val="22"/>
          <w:szCs w:val="22"/>
        </w:rPr>
        <w:t>The 10 MHz lot represents the following frequency ranges:</w:t>
      </w:r>
    </w:p>
    <w:p w14:paraId="3DF34294" w14:textId="2BC13257" w:rsidR="00D420E5" w:rsidRPr="005C338A" w:rsidRDefault="00D420E5" w:rsidP="009777AA">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ab/>
        <w:t>738 MHz to 748 MHz; and</w:t>
      </w:r>
    </w:p>
    <w:p w14:paraId="384DEE46" w14:textId="2DB4FF22" w:rsidR="00D420E5" w:rsidRPr="005C338A" w:rsidRDefault="00D420E5" w:rsidP="009777AA">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b/>
        <w:t>793 MHz to 803 MHz;</w:t>
      </w:r>
    </w:p>
    <w:p w14:paraId="20BACA59" w14:textId="2A433123" w:rsidR="00D420E5" w:rsidRPr="005C338A" w:rsidRDefault="00D420E5" w:rsidP="00C502C2">
      <w:pPr>
        <w:tabs>
          <w:tab w:val="left" w:pos="142"/>
        </w:tabs>
        <w:autoSpaceDE w:val="0"/>
        <w:autoSpaceDN w:val="0"/>
        <w:adjustRightInd w:val="0"/>
        <w:spacing w:before="180" w:line="260" w:lineRule="exact"/>
        <w:rPr>
          <w:rFonts w:eastAsiaTheme="minorHAnsi"/>
          <w:sz w:val="22"/>
          <w:szCs w:val="22"/>
          <w:lang w:eastAsia="en-US"/>
        </w:rPr>
      </w:pPr>
      <w:proofErr w:type="gramStart"/>
      <w:r w:rsidRPr="005C338A">
        <w:rPr>
          <w:rFonts w:eastAsiaTheme="minorHAnsi"/>
          <w:sz w:val="22"/>
          <w:szCs w:val="22"/>
          <w:lang w:eastAsia="en-US"/>
        </w:rPr>
        <w:t>in</w:t>
      </w:r>
      <w:proofErr w:type="gramEnd"/>
      <w:r w:rsidRPr="005C338A">
        <w:rPr>
          <w:rFonts w:eastAsiaTheme="minorHAnsi"/>
          <w:sz w:val="22"/>
          <w:szCs w:val="22"/>
          <w:lang w:eastAsia="en-US"/>
        </w:rPr>
        <w:t xml:space="preserve"> the </w:t>
      </w:r>
      <w:r w:rsidR="005C338A" w:rsidRPr="005C338A">
        <w:rPr>
          <w:rFonts w:eastAsiaTheme="minorHAnsi"/>
          <w:sz w:val="22"/>
          <w:szCs w:val="22"/>
          <w:lang w:eastAsia="en-US"/>
        </w:rPr>
        <w:t>designated</w:t>
      </w:r>
      <w:r w:rsidRPr="005C338A">
        <w:rPr>
          <w:rFonts w:eastAsiaTheme="minorHAnsi"/>
          <w:sz w:val="22"/>
          <w:szCs w:val="22"/>
          <w:lang w:eastAsia="en-US"/>
        </w:rPr>
        <w:t xml:space="preserve"> </w:t>
      </w:r>
      <w:r w:rsidR="0043693D" w:rsidRPr="005C338A">
        <w:rPr>
          <w:rFonts w:eastAsiaTheme="minorHAnsi"/>
          <w:sz w:val="22"/>
          <w:szCs w:val="22"/>
          <w:lang w:eastAsia="en-US"/>
        </w:rPr>
        <w:t>a</w:t>
      </w:r>
      <w:r w:rsidR="007E2473">
        <w:rPr>
          <w:rFonts w:eastAsiaTheme="minorHAnsi"/>
          <w:sz w:val="22"/>
          <w:szCs w:val="22"/>
          <w:lang w:eastAsia="en-US"/>
        </w:rPr>
        <w:t>rea.</w:t>
      </w:r>
    </w:p>
    <w:p w14:paraId="38F186C8" w14:textId="5F6E4443" w:rsidR="00D420E5" w:rsidRPr="005C338A" w:rsidRDefault="00C502C2" w:rsidP="009777AA">
      <w:pPr>
        <w:pStyle w:val="ACMABodyText"/>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The 5 MHz lot represents the following frequency range</w:t>
      </w:r>
      <w:r w:rsidR="009777AA" w:rsidRPr="005C338A">
        <w:rPr>
          <w:rFonts w:ascii="Times New Roman" w:eastAsiaTheme="minorHAnsi" w:hAnsi="Times New Roman" w:cs="Times New Roman"/>
          <w:sz w:val="22"/>
          <w:szCs w:val="22"/>
        </w:rPr>
        <w:t>s</w:t>
      </w:r>
      <w:r w:rsidR="00D420E5" w:rsidRPr="005C338A">
        <w:rPr>
          <w:rFonts w:ascii="Times New Roman" w:eastAsiaTheme="minorHAnsi" w:hAnsi="Times New Roman" w:cs="Times New Roman"/>
          <w:sz w:val="22"/>
          <w:szCs w:val="22"/>
        </w:rPr>
        <w:t>:</w:t>
      </w:r>
    </w:p>
    <w:p w14:paraId="24CC8751" w14:textId="243DB81A" w:rsidR="00D420E5" w:rsidRPr="005C338A" w:rsidRDefault="00D420E5" w:rsidP="009777AA">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ab/>
        <w:t>733 MHz to 738 MHz; and</w:t>
      </w:r>
    </w:p>
    <w:p w14:paraId="556FEE0A" w14:textId="6ECC774A" w:rsidR="00D420E5" w:rsidRPr="00DA240D" w:rsidRDefault="00D420E5" w:rsidP="009777AA">
      <w:pPr>
        <w:pStyle w:val="ACMABodyText"/>
        <w:tabs>
          <w:tab w:val="left" w:pos="851"/>
        </w:tabs>
        <w:ind w:left="851" w:hanging="567"/>
        <w:rPr>
          <w:rFonts w:ascii="Times New Roman" w:eastAsiaTheme="minorHAnsi" w:hAnsi="Times New Roman" w:cs="Times New Roman"/>
          <w:sz w:val="22"/>
          <w:szCs w:val="22"/>
        </w:rPr>
      </w:pPr>
      <w:r w:rsidRPr="005C338A">
        <w:rPr>
          <w:rFonts w:ascii="Times New Roman" w:eastAsiaTheme="minorHAnsi" w:hAnsi="Times New Roman" w:cs="Times New Roman"/>
          <w:sz w:val="22"/>
          <w:szCs w:val="22"/>
        </w:rPr>
        <w:t>(b)</w:t>
      </w:r>
      <w:r w:rsidRPr="005C338A">
        <w:rPr>
          <w:rFonts w:ascii="Times New Roman" w:eastAsiaTheme="minorHAnsi" w:hAnsi="Times New Roman" w:cs="Times New Roman"/>
          <w:sz w:val="22"/>
          <w:szCs w:val="22"/>
        </w:rPr>
        <w:tab/>
        <w:t>788 MHz to 793 MHz;</w:t>
      </w:r>
    </w:p>
    <w:p w14:paraId="41FDB069" w14:textId="78A95076" w:rsidR="000E07B9" w:rsidRDefault="00D420E5" w:rsidP="007E2473">
      <w:pPr>
        <w:pStyle w:val="ACMABodyText"/>
      </w:pPr>
      <w:proofErr w:type="gramStart"/>
      <w:r w:rsidRPr="005C338A">
        <w:rPr>
          <w:rFonts w:ascii="Times New Roman" w:eastAsiaTheme="minorHAnsi" w:hAnsi="Times New Roman" w:cs="Times New Roman"/>
          <w:sz w:val="22"/>
          <w:szCs w:val="22"/>
        </w:rPr>
        <w:t>in</w:t>
      </w:r>
      <w:proofErr w:type="gramEnd"/>
      <w:r w:rsidRPr="005C338A">
        <w:rPr>
          <w:rFonts w:ascii="Times New Roman" w:eastAsiaTheme="minorHAnsi" w:hAnsi="Times New Roman" w:cs="Times New Roman"/>
          <w:sz w:val="22"/>
          <w:szCs w:val="22"/>
        </w:rPr>
        <w:t xml:space="preserve"> the </w:t>
      </w:r>
      <w:r w:rsidR="0043693D" w:rsidRPr="005C338A">
        <w:rPr>
          <w:rFonts w:ascii="Times New Roman" w:eastAsiaTheme="minorHAnsi" w:hAnsi="Times New Roman" w:cs="Times New Roman"/>
          <w:sz w:val="22"/>
          <w:szCs w:val="22"/>
        </w:rPr>
        <w:t>designated</w:t>
      </w:r>
      <w:r w:rsidRPr="005C338A">
        <w:rPr>
          <w:rFonts w:ascii="Times New Roman" w:eastAsiaTheme="minorHAnsi" w:hAnsi="Times New Roman" w:cs="Times New Roman"/>
          <w:sz w:val="22"/>
          <w:szCs w:val="22"/>
        </w:rPr>
        <w:t xml:space="preserve"> </w:t>
      </w:r>
      <w:r w:rsidR="0043693D" w:rsidRPr="005C338A">
        <w:rPr>
          <w:rFonts w:ascii="Times New Roman" w:eastAsiaTheme="minorHAnsi" w:hAnsi="Times New Roman" w:cs="Times New Roman"/>
          <w:sz w:val="22"/>
          <w:szCs w:val="22"/>
        </w:rPr>
        <w:t>a</w:t>
      </w:r>
      <w:r w:rsidRPr="005C338A">
        <w:rPr>
          <w:rFonts w:ascii="Times New Roman" w:eastAsiaTheme="minorHAnsi" w:hAnsi="Times New Roman" w:cs="Times New Roman"/>
          <w:sz w:val="22"/>
          <w:szCs w:val="22"/>
        </w:rPr>
        <w:t>rea</w:t>
      </w:r>
      <w:r w:rsidR="007E2473">
        <w:rPr>
          <w:rFonts w:ascii="Times New Roman" w:eastAsiaTheme="minorHAnsi" w:hAnsi="Times New Roman" w:cs="Times New Roman"/>
          <w:sz w:val="22"/>
          <w:szCs w:val="22"/>
        </w:rPr>
        <w:t>.</w:t>
      </w:r>
      <w:r w:rsidRPr="005C338A">
        <w:rPr>
          <w:rFonts w:ascii="Times New Roman" w:eastAsiaTheme="minorHAnsi" w:hAnsi="Times New Roman" w:cs="Times New Roman"/>
          <w:sz w:val="22"/>
          <w:szCs w:val="22"/>
        </w:rPr>
        <w:t xml:space="preserve"> </w:t>
      </w:r>
    </w:p>
    <w:p w14:paraId="1D7DDB67" w14:textId="428C021A" w:rsidR="009E0BD8" w:rsidRPr="009777AA" w:rsidRDefault="009777AA" w:rsidP="009777AA">
      <w:pPr>
        <w:keepNext/>
        <w:spacing w:before="280" w:after="160" w:line="259" w:lineRule="auto"/>
        <w:rPr>
          <w:rFonts w:eastAsiaTheme="minorHAnsi"/>
          <w:b/>
          <w:sz w:val="22"/>
          <w:szCs w:val="22"/>
          <w:lang w:eastAsia="en-US"/>
        </w:rPr>
      </w:pPr>
      <w:r>
        <w:rPr>
          <w:rFonts w:eastAsiaTheme="minorHAnsi"/>
          <w:b/>
          <w:sz w:val="22"/>
          <w:szCs w:val="22"/>
          <w:lang w:eastAsia="en-US"/>
        </w:rPr>
        <w:t xml:space="preserve">SCHEDULE </w:t>
      </w:r>
      <w:r w:rsidR="009E0BD8" w:rsidRPr="009777AA">
        <w:rPr>
          <w:rFonts w:eastAsiaTheme="minorHAnsi"/>
          <w:b/>
          <w:sz w:val="22"/>
          <w:szCs w:val="22"/>
          <w:lang w:eastAsia="en-US"/>
        </w:rPr>
        <w:t>3</w:t>
      </w:r>
      <w:r w:rsidR="009E0BD8" w:rsidRPr="009777AA">
        <w:rPr>
          <w:rFonts w:eastAsiaTheme="minorHAnsi"/>
          <w:b/>
          <w:sz w:val="22"/>
          <w:szCs w:val="22"/>
          <w:lang w:eastAsia="en-US"/>
        </w:rPr>
        <w:tab/>
        <w:t xml:space="preserve"> </w:t>
      </w:r>
      <w:r w:rsidR="00AB3C77" w:rsidRPr="009777AA">
        <w:rPr>
          <w:rFonts w:eastAsiaTheme="minorHAnsi"/>
          <w:b/>
          <w:sz w:val="22"/>
          <w:szCs w:val="22"/>
          <w:lang w:eastAsia="en-US"/>
        </w:rPr>
        <w:tab/>
      </w:r>
      <w:r>
        <w:rPr>
          <w:rFonts w:eastAsiaTheme="minorHAnsi"/>
          <w:b/>
          <w:sz w:val="22"/>
          <w:szCs w:val="22"/>
          <w:lang w:eastAsia="en-US"/>
        </w:rPr>
        <w:t>ALLOCATION LIMITS</w:t>
      </w:r>
    </w:p>
    <w:p w14:paraId="52683752" w14:textId="0DF7B4A6" w:rsidR="0043693D" w:rsidRPr="005C338A" w:rsidRDefault="00D27F1B" w:rsidP="0043693D">
      <w:pPr>
        <w:pStyle w:val="notetext"/>
        <w:ind w:left="0" w:firstLine="0"/>
        <w:rPr>
          <w:rFonts w:eastAsiaTheme="minorHAnsi"/>
          <w:sz w:val="22"/>
          <w:szCs w:val="22"/>
          <w:lang w:eastAsia="en-US"/>
        </w:rPr>
      </w:pPr>
      <w:r w:rsidRPr="005C338A">
        <w:rPr>
          <w:rFonts w:eastAsiaTheme="minorHAnsi"/>
          <w:sz w:val="22"/>
          <w:szCs w:val="22"/>
          <w:lang w:eastAsia="en-US"/>
        </w:rPr>
        <w:t xml:space="preserve">Allocation limits are defined in section </w:t>
      </w:r>
      <w:r w:rsidR="00192F6D" w:rsidRPr="005C338A">
        <w:rPr>
          <w:rFonts w:eastAsiaTheme="minorHAnsi"/>
          <w:sz w:val="22"/>
          <w:szCs w:val="22"/>
          <w:lang w:eastAsia="en-US"/>
        </w:rPr>
        <w:t>10</w:t>
      </w:r>
      <w:r w:rsidRPr="005C338A">
        <w:rPr>
          <w:rFonts w:eastAsiaTheme="minorHAnsi"/>
          <w:sz w:val="22"/>
          <w:szCs w:val="22"/>
          <w:lang w:eastAsia="en-US"/>
        </w:rPr>
        <w:t xml:space="preserve"> of the Determination by reference to Schedule 3. </w:t>
      </w:r>
      <w:r w:rsidR="007E2473">
        <w:rPr>
          <w:rFonts w:eastAsiaTheme="minorHAnsi"/>
          <w:sz w:val="22"/>
          <w:szCs w:val="22"/>
          <w:lang w:eastAsia="en-US"/>
        </w:rPr>
        <w:t xml:space="preserve"> </w:t>
      </w:r>
      <w:r w:rsidRPr="005C338A">
        <w:rPr>
          <w:rFonts w:eastAsiaTheme="minorHAnsi"/>
          <w:sz w:val="22"/>
          <w:szCs w:val="22"/>
          <w:lang w:eastAsia="en-US"/>
        </w:rPr>
        <w:t xml:space="preserve">This </w:t>
      </w:r>
      <w:r w:rsidR="00DB7128" w:rsidRPr="005C338A">
        <w:rPr>
          <w:rFonts w:eastAsiaTheme="minorHAnsi"/>
          <w:sz w:val="22"/>
          <w:szCs w:val="22"/>
          <w:lang w:eastAsia="en-US"/>
        </w:rPr>
        <w:t>S</w:t>
      </w:r>
      <w:r w:rsidRPr="005C338A">
        <w:rPr>
          <w:rFonts w:eastAsiaTheme="minorHAnsi"/>
          <w:sz w:val="22"/>
          <w:szCs w:val="22"/>
          <w:lang w:eastAsia="en-US"/>
        </w:rPr>
        <w:t>chedule sets out that the allocation limit</w:t>
      </w:r>
      <w:r w:rsidR="004D6D12" w:rsidRPr="005C338A">
        <w:rPr>
          <w:rFonts w:eastAsiaTheme="minorHAnsi"/>
          <w:sz w:val="22"/>
          <w:szCs w:val="22"/>
          <w:lang w:eastAsia="en-US"/>
        </w:rPr>
        <w:t>s are</w:t>
      </w:r>
      <w:r w:rsidR="009E0BD8" w:rsidRPr="005C338A">
        <w:rPr>
          <w:rFonts w:eastAsiaTheme="minorHAnsi"/>
          <w:sz w:val="22"/>
          <w:szCs w:val="22"/>
          <w:lang w:eastAsia="en-US"/>
        </w:rPr>
        <w:t xml:space="preserve"> 2</w:t>
      </w:r>
      <w:r w:rsidR="00596879" w:rsidRPr="005C338A">
        <w:rPr>
          <w:rFonts w:eastAsiaTheme="minorHAnsi"/>
          <w:sz w:val="22"/>
          <w:szCs w:val="22"/>
          <w:lang w:eastAsia="en-US"/>
        </w:rPr>
        <w:t>0</w:t>
      </w:r>
      <w:r w:rsidR="009E0BD8" w:rsidRPr="005C338A">
        <w:rPr>
          <w:rFonts w:eastAsiaTheme="minorHAnsi"/>
          <w:sz w:val="22"/>
          <w:szCs w:val="22"/>
          <w:lang w:eastAsia="en-US"/>
        </w:rPr>
        <w:t xml:space="preserve"> MHz of spectrum in the geographic areas specified in </w:t>
      </w:r>
      <w:r w:rsidR="007E2473">
        <w:rPr>
          <w:rFonts w:eastAsiaTheme="minorHAnsi"/>
          <w:sz w:val="22"/>
          <w:szCs w:val="22"/>
          <w:lang w:eastAsia="en-US"/>
        </w:rPr>
        <w:t>the designated area</w:t>
      </w:r>
      <w:r w:rsidR="009E0BD8" w:rsidRPr="005C338A">
        <w:rPr>
          <w:rFonts w:eastAsiaTheme="minorHAnsi"/>
          <w:sz w:val="22"/>
          <w:szCs w:val="22"/>
          <w:lang w:eastAsia="en-US"/>
        </w:rPr>
        <w:t xml:space="preserve"> </w:t>
      </w:r>
      <w:r w:rsidR="00DB7128" w:rsidRPr="005C338A">
        <w:rPr>
          <w:rFonts w:eastAsiaTheme="minorHAnsi"/>
          <w:sz w:val="22"/>
          <w:szCs w:val="22"/>
          <w:lang w:eastAsia="en-US"/>
        </w:rPr>
        <w:t>in</w:t>
      </w:r>
      <w:r w:rsidR="009E0BD8" w:rsidRPr="005C338A">
        <w:rPr>
          <w:rFonts w:eastAsiaTheme="minorHAnsi"/>
          <w:sz w:val="22"/>
          <w:szCs w:val="22"/>
          <w:lang w:eastAsia="en-US"/>
        </w:rPr>
        <w:t xml:space="preserve"> </w:t>
      </w:r>
      <w:r w:rsidRPr="005C338A">
        <w:rPr>
          <w:rFonts w:eastAsiaTheme="minorHAnsi"/>
          <w:sz w:val="22"/>
          <w:szCs w:val="22"/>
          <w:lang w:eastAsia="en-US"/>
        </w:rPr>
        <w:t xml:space="preserve">each of </w:t>
      </w:r>
      <w:r w:rsidR="009E0BD8" w:rsidRPr="005C338A">
        <w:rPr>
          <w:rFonts w:eastAsiaTheme="minorHAnsi"/>
          <w:sz w:val="22"/>
          <w:szCs w:val="22"/>
          <w:lang w:eastAsia="en-US"/>
        </w:rPr>
        <w:t xml:space="preserve">the frequency ranges </w:t>
      </w:r>
      <w:r w:rsidR="00DA240D" w:rsidRPr="005C338A">
        <w:rPr>
          <w:rFonts w:eastAsiaTheme="minorHAnsi"/>
          <w:sz w:val="22"/>
          <w:szCs w:val="22"/>
          <w:lang w:eastAsia="en-US"/>
        </w:rPr>
        <w:t>703 </w:t>
      </w:r>
      <w:r w:rsidR="00C502C2" w:rsidRPr="005C338A">
        <w:rPr>
          <w:rFonts w:eastAsiaTheme="minorHAnsi"/>
          <w:sz w:val="22"/>
          <w:szCs w:val="22"/>
          <w:lang w:eastAsia="en-US"/>
        </w:rPr>
        <w:t>MHz to 748 MHz</w:t>
      </w:r>
      <w:r w:rsidR="009E0BD8" w:rsidRPr="005C338A">
        <w:rPr>
          <w:rFonts w:eastAsiaTheme="minorHAnsi"/>
          <w:sz w:val="22"/>
          <w:szCs w:val="22"/>
          <w:lang w:eastAsia="en-US"/>
        </w:rPr>
        <w:t xml:space="preserve"> and </w:t>
      </w:r>
      <w:r w:rsidR="00C502C2" w:rsidRPr="005C338A">
        <w:rPr>
          <w:rFonts w:eastAsiaTheme="minorHAnsi"/>
          <w:sz w:val="22"/>
          <w:szCs w:val="22"/>
          <w:lang w:eastAsia="en-US"/>
        </w:rPr>
        <w:t xml:space="preserve">758 MHz to 803 </w:t>
      </w:r>
      <w:proofErr w:type="spellStart"/>
      <w:r w:rsidR="009E0BD8" w:rsidRPr="005C338A">
        <w:rPr>
          <w:rFonts w:eastAsiaTheme="minorHAnsi"/>
          <w:sz w:val="22"/>
          <w:szCs w:val="22"/>
          <w:lang w:eastAsia="en-US"/>
        </w:rPr>
        <w:t>MHz</w:t>
      </w:r>
      <w:r w:rsidR="004D6D12" w:rsidRPr="005C338A">
        <w:rPr>
          <w:rFonts w:eastAsiaTheme="minorHAnsi"/>
          <w:sz w:val="22"/>
          <w:szCs w:val="22"/>
          <w:lang w:eastAsia="en-US"/>
        </w:rPr>
        <w:t>.</w:t>
      </w:r>
      <w:proofErr w:type="spellEnd"/>
      <w:r w:rsidRPr="005C338A">
        <w:rPr>
          <w:rFonts w:eastAsiaTheme="minorHAnsi"/>
          <w:sz w:val="22"/>
          <w:szCs w:val="22"/>
          <w:lang w:eastAsia="en-US"/>
        </w:rPr>
        <w:t xml:space="preserve"> </w:t>
      </w:r>
      <w:r w:rsidR="007E2473">
        <w:rPr>
          <w:rFonts w:eastAsiaTheme="minorHAnsi"/>
          <w:sz w:val="22"/>
          <w:szCs w:val="22"/>
          <w:lang w:eastAsia="en-US"/>
        </w:rPr>
        <w:t xml:space="preserve"> </w:t>
      </w:r>
      <w:r w:rsidR="007C1060">
        <w:rPr>
          <w:rFonts w:eastAsiaTheme="minorHAnsi"/>
          <w:sz w:val="22"/>
          <w:szCs w:val="22"/>
          <w:lang w:eastAsia="en-US"/>
        </w:rPr>
        <w:t>These are</w:t>
      </w:r>
      <w:r w:rsidRPr="005C338A">
        <w:rPr>
          <w:rFonts w:eastAsiaTheme="minorHAnsi"/>
          <w:sz w:val="22"/>
          <w:szCs w:val="22"/>
          <w:lang w:eastAsia="en-US"/>
        </w:rPr>
        <w:t xml:space="preserve"> </w:t>
      </w:r>
      <w:r w:rsidR="00192F6D" w:rsidRPr="005C338A">
        <w:rPr>
          <w:rFonts w:eastAsiaTheme="minorHAnsi"/>
          <w:sz w:val="22"/>
          <w:szCs w:val="22"/>
          <w:lang w:eastAsia="en-US"/>
        </w:rPr>
        <w:t>the limit</w:t>
      </w:r>
      <w:r w:rsidR="007C1060">
        <w:rPr>
          <w:rFonts w:eastAsiaTheme="minorHAnsi"/>
          <w:sz w:val="22"/>
          <w:szCs w:val="22"/>
          <w:lang w:eastAsia="en-US"/>
        </w:rPr>
        <w:t>s</w:t>
      </w:r>
      <w:r w:rsidR="00192F6D" w:rsidRPr="005C338A">
        <w:rPr>
          <w:rFonts w:eastAsiaTheme="minorHAnsi"/>
          <w:sz w:val="22"/>
          <w:szCs w:val="22"/>
          <w:lang w:eastAsia="en-US"/>
        </w:rPr>
        <w:t xml:space="preserve"> set out in</w:t>
      </w:r>
      <w:r w:rsidRPr="005C338A">
        <w:rPr>
          <w:rFonts w:eastAsiaTheme="minorHAnsi"/>
          <w:sz w:val="22"/>
          <w:szCs w:val="22"/>
          <w:lang w:eastAsia="en-US"/>
        </w:rPr>
        <w:t xml:space="preserve"> </w:t>
      </w:r>
      <w:r w:rsidR="00025BFE" w:rsidRPr="005C338A">
        <w:rPr>
          <w:rFonts w:eastAsiaTheme="minorHAnsi"/>
          <w:sz w:val="22"/>
          <w:szCs w:val="22"/>
          <w:lang w:eastAsia="en-US"/>
        </w:rPr>
        <w:t>the Residual</w:t>
      </w:r>
      <w:r w:rsidR="00192F6D" w:rsidRPr="005C338A">
        <w:rPr>
          <w:rFonts w:eastAsiaTheme="minorHAnsi"/>
          <w:sz w:val="22"/>
          <w:szCs w:val="22"/>
          <w:lang w:eastAsia="en-US"/>
        </w:rPr>
        <w:t xml:space="preserve"> 700 MHz Spectrum Direction</w:t>
      </w:r>
      <w:r w:rsidR="00EB617A">
        <w:rPr>
          <w:rFonts w:eastAsiaTheme="minorHAnsi"/>
          <w:sz w:val="22"/>
          <w:szCs w:val="22"/>
          <w:lang w:eastAsia="en-US"/>
        </w:rPr>
        <w:t>.</w:t>
      </w:r>
    </w:p>
    <w:p w14:paraId="4AFE617B" w14:textId="77777777" w:rsidR="00236FA7" w:rsidRPr="00AB3C77" w:rsidRDefault="00236FA7" w:rsidP="00236FA7">
      <w:pPr>
        <w:pStyle w:val="Note"/>
        <w:rPr>
          <w:rFonts w:ascii="Arial" w:hAnsi="Arial" w:cs="Arial"/>
          <w:szCs w:val="20"/>
        </w:rPr>
      </w:pPr>
      <w:bookmarkStart w:id="2" w:name="_GoBack"/>
      <w:bookmarkEnd w:id="2"/>
    </w:p>
    <w:sectPr w:rsidR="00236FA7" w:rsidRPr="00AB3C77" w:rsidSect="000E07B9">
      <w:pgSz w:w="11899" w:h="16838"/>
      <w:pgMar w:top="1134" w:right="1409"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39C7" w14:textId="77777777" w:rsidR="00BA65BA" w:rsidRDefault="00BA65BA">
      <w:r>
        <w:separator/>
      </w:r>
    </w:p>
  </w:endnote>
  <w:endnote w:type="continuationSeparator" w:id="0">
    <w:p w14:paraId="4129DF94" w14:textId="77777777" w:rsidR="00BA65BA" w:rsidRDefault="00BA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412BC2AF" w14:textId="77777777" w:rsidR="00BA65BA" w:rsidRDefault="00BA65BA" w:rsidP="006961A1">
        <w:pPr>
          <w:pStyle w:val="Footer"/>
          <w:pBdr>
            <w:top w:val="single" w:sz="4" w:space="1" w:color="auto"/>
          </w:pBdr>
          <w:jc w:val="center"/>
        </w:pPr>
      </w:p>
      <w:p w14:paraId="46D89043" w14:textId="3D001E2F" w:rsidR="00BA65BA" w:rsidRPr="00AD3414" w:rsidRDefault="00BA65BA" w:rsidP="006961A1">
        <w:pPr>
          <w:pStyle w:val="Footer"/>
          <w:jc w:val="center"/>
        </w:pPr>
        <w:r w:rsidRPr="00AD3414">
          <w:rPr>
            <w:i/>
          </w:rPr>
          <w:t>Explanatory Statement to the</w:t>
        </w:r>
        <w:r>
          <w:rPr>
            <w:i/>
          </w:rPr>
          <w:t xml:space="preserve"> </w:t>
        </w:r>
        <w:proofErr w:type="spellStart"/>
        <w:r>
          <w:rPr>
            <w:i/>
          </w:rPr>
          <w:t>Radiocommunications</w:t>
        </w:r>
        <w:proofErr w:type="spellEnd"/>
        <w:r>
          <w:rPr>
            <w:i/>
          </w:rPr>
          <w:t xml:space="preserve"> (Spectrum Licence Allocation – 700 MHz Band) Determination 2016</w:t>
        </w:r>
      </w:p>
      <w:p w14:paraId="7D232843" w14:textId="77777777" w:rsidR="00BA65BA" w:rsidRDefault="00BA65BA" w:rsidP="006961A1">
        <w:pPr>
          <w:pStyle w:val="Footer"/>
          <w:jc w:val="right"/>
        </w:pPr>
      </w:p>
      <w:p w14:paraId="48CC8EF2" w14:textId="77777777" w:rsidR="00BA65BA" w:rsidRPr="00AD3414" w:rsidRDefault="00BA65BA" w:rsidP="006961A1">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6816A2">
          <w:rPr>
            <w:i/>
            <w:noProof/>
          </w:rPr>
          <w:t>45</w:t>
        </w:r>
        <w:r w:rsidRPr="00A07A2F">
          <w:rPr>
            <w:i/>
            <w:noProof/>
          </w:rPr>
          <w:fldChar w:fldCharType="end"/>
        </w:r>
      </w:p>
    </w:sdtContent>
  </w:sdt>
  <w:p w14:paraId="033CF8F3" w14:textId="1B061AC6" w:rsidR="00BA65BA" w:rsidRDefault="00BA65BA" w:rsidP="001A2826">
    <w:pPr>
      <w:pStyle w:val="Footer"/>
      <w:tabs>
        <w:tab w:val="clear" w:pos="8640"/>
        <w:tab w:val="right" w:pos="8280"/>
      </w:tabs>
    </w:pPr>
    <w:r w:rsidDel="006961A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8E298" w14:textId="77777777" w:rsidR="00BA65BA" w:rsidRDefault="00BA65BA">
      <w:r>
        <w:separator/>
      </w:r>
    </w:p>
  </w:footnote>
  <w:footnote w:type="continuationSeparator" w:id="0">
    <w:p w14:paraId="72C8ECB4" w14:textId="77777777" w:rsidR="00BA65BA" w:rsidRDefault="00BA6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2D6B"/>
    <w:multiLevelType w:val="hybridMultilevel"/>
    <w:tmpl w:val="89866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D50C1E"/>
    <w:multiLevelType w:val="hybridMultilevel"/>
    <w:tmpl w:val="1D164BE6"/>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640EC1B4"/>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DE7FDB"/>
    <w:multiLevelType w:val="hybridMultilevel"/>
    <w:tmpl w:val="7AAA684A"/>
    <w:lvl w:ilvl="0" w:tplc="F57650E6">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3F7348"/>
    <w:multiLevelType w:val="hybridMultilevel"/>
    <w:tmpl w:val="CA3605D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5353F4"/>
    <w:multiLevelType w:val="hybridMultilevel"/>
    <w:tmpl w:val="FACE6378"/>
    <w:lvl w:ilvl="0" w:tplc="F57650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8745AD"/>
    <w:multiLevelType w:val="hybridMultilevel"/>
    <w:tmpl w:val="6C78C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B42AE5"/>
    <w:multiLevelType w:val="hybridMultilevel"/>
    <w:tmpl w:val="77F6952E"/>
    <w:lvl w:ilvl="0" w:tplc="44D64128">
      <w:start w:val="1"/>
      <w:numFmt w:val="bullet"/>
      <w:lvlText w:val="˃"/>
      <w:lvlJc w:val="left"/>
      <w:pPr>
        <w:ind w:left="780" w:hanging="360"/>
      </w:pPr>
      <w:rPr>
        <w:rFonts w:ascii="Arial" w:hAnsi="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6BF0E9E"/>
    <w:multiLevelType w:val="hybridMultilevel"/>
    <w:tmpl w:val="CBE25734"/>
    <w:lvl w:ilvl="0" w:tplc="44D64128">
      <w:start w:val="1"/>
      <w:numFmt w:val="bullet"/>
      <w:lvlText w:val="˃"/>
      <w:lvlJc w:val="left"/>
      <w:pPr>
        <w:ind w:left="780" w:hanging="360"/>
      </w:pPr>
      <w:rPr>
        <w:rFonts w:ascii="Arial" w:hAnsi="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BF125B"/>
    <w:multiLevelType w:val="hybridMultilevel"/>
    <w:tmpl w:val="B24808C2"/>
    <w:lvl w:ilvl="0" w:tplc="F57650E6">
      <w:start w:val="1"/>
      <w:numFmt w:val="lowerLetter"/>
      <w:lvlText w:val="(%1)"/>
      <w:lvlJc w:val="left"/>
      <w:pPr>
        <w:ind w:left="2160" w:hanging="72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9806AB5"/>
    <w:multiLevelType w:val="hybridMultilevel"/>
    <w:tmpl w:val="D4045842"/>
    <w:lvl w:ilvl="0" w:tplc="F57650E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C760D72"/>
    <w:multiLevelType w:val="hybridMultilevel"/>
    <w:tmpl w:val="29808978"/>
    <w:lvl w:ilvl="0" w:tplc="D8BADC02">
      <w:start w:val="1"/>
      <w:numFmt w:val="lowerLetter"/>
      <w:pStyle w:val="Numberedlist"/>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13408A8"/>
    <w:multiLevelType w:val="hybridMultilevel"/>
    <w:tmpl w:val="DFCE642C"/>
    <w:lvl w:ilvl="0" w:tplc="E9F63DD2">
      <w:start w:val="1"/>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45F0928"/>
    <w:multiLevelType w:val="hybridMultilevel"/>
    <w:tmpl w:val="A29840CC"/>
    <w:lvl w:ilvl="0" w:tplc="F57650E6">
      <w:start w:val="1"/>
      <w:numFmt w:val="lowerLetter"/>
      <w:lvlText w:val="(%1)"/>
      <w:lvlJc w:val="left"/>
      <w:pPr>
        <w:ind w:left="928" w:hanging="360"/>
      </w:pPr>
      <w:rPr>
        <w:rFonts w:cs="Times New Roman" w:hint="default"/>
      </w:rPr>
    </w:lvl>
    <w:lvl w:ilvl="1" w:tplc="0C090003">
      <w:start w:val="1"/>
      <w:numFmt w:val="bullet"/>
      <w:lvlText w:val="o"/>
      <w:lvlJc w:val="left"/>
      <w:pPr>
        <w:ind w:left="1648" w:hanging="360"/>
      </w:pPr>
      <w:rPr>
        <w:rFonts w:ascii="Courier New" w:hAnsi="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9">
    <w:nsid w:val="54A46834"/>
    <w:multiLevelType w:val="hybridMultilevel"/>
    <w:tmpl w:val="E1BC984C"/>
    <w:lvl w:ilvl="0" w:tplc="F57650E6">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6912FE5"/>
    <w:multiLevelType w:val="hybridMultilevel"/>
    <w:tmpl w:val="3F6A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8E4224"/>
    <w:multiLevelType w:val="hybridMultilevel"/>
    <w:tmpl w:val="429A6B14"/>
    <w:lvl w:ilvl="0" w:tplc="F57650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6A6E00"/>
    <w:multiLevelType w:val="hybridMultilevel"/>
    <w:tmpl w:val="98E0493C"/>
    <w:lvl w:ilvl="0" w:tplc="44D64128">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387650"/>
    <w:multiLevelType w:val="hybridMultilevel"/>
    <w:tmpl w:val="9BF8253A"/>
    <w:lvl w:ilvl="0" w:tplc="1A54526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nsid w:val="71D3075C"/>
    <w:multiLevelType w:val="hybridMultilevel"/>
    <w:tmpl w:val="29949654"/>
    <w:lvl w:ilvl="0" w:tplc="44D64128">
      <w:start w:val="1"/>
      <w:numFmt w:val="bullet"/>
      <w:lvlText w:val="˃"/>
      <w:lvlJc w:val="left"/>
      <w:pPr>
        <w:ind w:left="780" w:hanging="360"/>
      </w:pPr>
      <w:rPr>
        <w:rFonts w:ascii="Arial" w:hAnsi="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728A743A"/>
    <w:multiLevelType w:val="hybridMultilevel"/>
    <w:tmpl w:val="640A67C0"/>
    <w:lvl w:ilvl="0" w:tplc="A9162040">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4E09CA"/>
    <w:multiLevelType w:val="hybridMultilevel"/>
    <w:tmpl w:val="6B809FB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23"/>
  </w:num>
  <w:num w:numId="5">
    <w:abstractNumId w:val="26"/>
  </w:num>
  <w:num w:numId="6">
    <w:abstractNumId w:val="9"/>
  </w:num>
  <w:num w:numId="7">
    <w:abstractNumId w:val="18"/>
  </w:num>
  <w:num w:numId="8">
    <w:abstractNumId w:val="16"/>
  </w:num>
  <w:num w:numId="9">
    <w:abstractNumId w:val="0"/>
  </w:num>
  <w:num w:numId="10">
    <w:abstractNumId w:val="17"/>
  </w:num>
  <w:num w:numId="11">
    <w:abstractNumId w:val="6"/>
  </w:num>
  <w:num w:numId="12">
    <w:abstractNumId w:val="3"/>
  </w:num>
  <w:num w:numId="13">
    <w:abstractNumId w:val="15"/>
  </w:num>
  <w:num w:numId="14">
    <w:abstractNumId w:val="19"/>
  </w:num>
  <w:num w:numId="15">
    <w:abstractNumId w:val="14"/>
  </w:num>
  <w:num w:numId="16">
    <w:abstractNumId w:val="22"/>
  </w:num>
  <w:num w:numId="17">
    <w:abstractNumId w:val="20"/>
  </w:num>
  <w:num w:numId="18">
    <w:abstractNumId w:val="2"/>
  </w:num>
  <w:num w:numId="19">
    <w:abstractNumId w:val="21"/>
  </w:num>
  <w:num w:numId="20">
    <w:abstractNumId w:val="12"/>
  </w:num>
  <w:num w:numId="21">
    <w:abstractNumId w:val="27"/>
  </w:num>
  <w:num w:numId="22">
    <w:abstractNumId w:val="13"/>
  </w:num>
  <w:num w:numId="23">
    <w:abstractNumId w:val="24"/>
  </w:num>
  <w:num w:numId="24">
    <w:abstractNumId w:val="5"/>
  </w:num>
  <w:num w:numId="25">
    <w:abstractNumId w:val="25"/>
  </w:num>
  <w:num w:numId="26">
    <w:abstractNumId w:val="11"/>
  </w:num>
  <w:num w:numId="27">
    <w:abstractNumId w:val="10"/>
  </w:num>
  <w:num w:numId="28">
    <w:abstractNumId w:val="1"/>
  </w:num>
  <w:num w:numId="2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1C"/>
    <w:rsid w:val="000007FB"/>
    <w:rsid w:val="00001019"/>
    <w:rsid w:val="00001E51"/>
    <w:rsid w:val="00001FFD"/>
    <w:rsid w:val="0000209E"/>
    <w:rsid w:val="00002E1C"/>
    <w:rsid w:val="0000330D"/>
    <w:rsid w:val="00003DC9"/>
    <w:rsid w:val="00005798"/>
    <w:rsid w:val="00005826"/>
    <w:rsid w:val="00006346"/>
    <w:rsid w:val="00006B2D"/>
    <w:rsid w:val="00007B5C"/>
    <w:rsid w:val="00010142"/>
    <w:rsid w:val="00010604"/>
    <w:rsid w:val="00010A33"/>
    <w:rsid w:val="0001162B"/>
    <w:rsid w:val="000118C7"/>
    <w:rsid w:val="00012378"/>
    <w:rsid w:val="000125B4"/>
    <w:rsid w:val="00013432"/>
    <w:rsid w:val="00013A7E"/>
    <w:rsid w:val="00015002"/>
    <w:rsid w:val="00016096"/>
    <w:rsid w:val="00016601"/>
    <w:rsid w:val="0001666F"/>
    <w:rsid w:val="0001669F"/>
    <w:rsid w:val="00017035"/>
    <w:rsid w:val="00021ABF"/>
    <w:rsid w:val="00021C1D"/>
    <w:rsid w:val="00022C61"/>
    <w:rsid w:val="00022E5D"/>
    <w:rsid w:val="000238FA"/>
    <w:rsid w:val="00024F8F"/>
    <w:rsid w:val="000252F9"/>
    <w:rsid w:val="00025761"/>
    <w:rsid w:val="00025BFE"/>
    <w:rsid w:val="00026121"/>
    <w:rsid w:val="00027425"/>
    <w:rsid w:val="00027FDB"/>
    <w:rsid w:val="00030246"/>
    <w:rsid w:val="00030551"/>
    <w:rsid w:val="000312DE"/>
    <w:rsid w:val="00031A23"/>
    <w:rsid w:val="00031ABF"/>
    <w:rsid w:val="00031FF0"/>
    <w:rsid w:val="00032559"/>
    <w:rsid w:val="00032BFB"/>
    <w:rsid w:val="00032CA3"/>
    <w:rsid w:val="0003381C"/>
    <w:rsid w:val="0003395B"/>
    <w:rsid w:val="00034003"/>
    <w:rsid w:val="000341B0"/>
    <w:rsid w:val="000345D5"/>
    <w:rsid w:val="00034BB5"/>
    <w:rsid w:val="00034EE1"/>
    <w:rsid w:val="0003516C"/>
    <w:rsid w:val="0003615C"/>
    <w:rsid w:val="00036DEF"/>
    <w:rsid w:val="00040097"/>
    <w:rsid w:val="0004062C"/>
    <w:rsid w:val="000414E7"/>
    <w:rsid w:val="0004150D"/>
    <w:rsid w:val="000420C7"/>
    <w:rsid w:val="0004270C"/>
    <w:rsid w:val="00042BE1"/>
    <w:rsid w:val="00042D81"/>
    <w:rsid w:val="000433C9"/>
    <w:rsid w:val="00043E50"/>
    <w:rsid w:val="00044052"/>
    <w:rsid w:val="0004461A"/>
    <w:rsid w:val="00044E06"/>
    <w:rsid w:val="00045211"/>
    <w:rsid w:val="0004556D"/>
    <w:rsid w:val="000455C0"/>
    <w:rsid w:val="00047024"/>
    <w:rsid w:val="00050803"/>
    <w:rsid w:val="00050B60"/>
    <w:rsid w:val="00050F30"/>
    <w:rsid w:val="00051600"/>
    <w:rsid w:val="00051B43"/>
    <w:rsid w:val="00051C1D"/>
    <w:rsid w:val="00051EC1"/>
    <w:rsid w:val="00052DF7"/>
    <w:rsid w:val="00053291"/>
    <w:rsid w:val="00053438"/>
    <w:rsid w:val="000535AC"/>
    <w:rsid w:val="00053D62"/>
    <w:rsid w:val="0005535D"/>
    <w:rsid w:val="00055A2E"/>
    <w:rsid w:val="00056138"/>
    <w:rsid w:val="00056C6E"/>
    <w:rsid w:val="00057864"/>
    <w:rsid w:val="00060220"/>
    <w:rsid w:val="0006047A"/>
    <w:rsid w:val="00060599"/>
    <w:rsid w:val="00061930"/>
    <w:rsid w:val="000631B3"/>
    <w:rsid w:val="00063307"/>
    <w:rsid w:val="000634D7"/>
    <w:rsid w:val="0006490D"/>
    <w:rsid w:val="000651EA"/>
    <w:rsid w:val="0006559E"/>
    <w:rsid w:val="00065984"/>
    <w:rsid w:val="00067237"/>
    <w:rsid w:val="00067480"/>
    <w:rsid w:val="00067F57"/>
    <w:rsid w:val="00070364"/>
    <w:rsid w:val="000705A4"/>
    <w:rsid w:val="000706BD"/>
    <w:rsid w:val="00070785"/>
    <w:rsid w:val="000710CC"/>
    <w:rsid w:val="000731D9"/>
    <w:rsid w:val="000739C5"/>
    <w:rsid w:val="00073C2B"/>
    <w:rsid w:val="000744A5"/>
    <w:rsid w:val="00074FD7"/>
    <w:rsid w:val="0007547C"/>
    <w:rsid w:val="00075936"/>
    <w:rsid w:val="0007613D"/>
    <w:rsid w:val="00076A6D"/>
    <w:rsid w:val="000771C8"/>
    <w:rsid w:val="0007760B"/>
    <w:rsid w:val="00080274"/>
    <w:rsid w:val="00080E98"/>
    <w:rsid w:val="000816B6"/>
    <w:rsid w:val="00082476"/>
    <w:rsid w:val="000832FE"/>
    <w:rsid w:val="00083FE8"/>
    <w:rsid w:val="0008468E"/>
    <w:rsid w:val="000846F4"/>
    <w:rsid w:val="00084B2E"/>
    <w:rsid w:val="00085BFB"/>
    <w:rsid w:val="0008629C"/>
    <w:rsid w:val="00087E8D"/>
    <w:rsid w:val="00091940"/>
    <w:rsid w:val="00091BC2"/>
    <w:rsid w:val="00092089"/>
    <w:rsid w:val="000926D7"/>
    <w:rsid w:val="000938A8"/>
    <w:rsid w:val="00093DA0"/>
    <w:rsid w:val="00094966"/>
    <w:rsid w:val="00094B4A"/>
    <w:rsid w:val="00094B77"/>
    <w:rsid w:val="00094EC3"/>
    <w:rsid w:val="00094F32"/>
    <w:rsid w:val="00095BD9"/>
    <w:rsid w:val="00095DEA"/>
    <w:rsid w:val="00096586"/>
    <w:rsid w:val="00096BD0"/>
    <w:rsid w:val="00096E06"/>
    <w:rsid w:val="00096F26"/>
    <w:rsid w:val="000970ED"/>
    <w:rsid w:val="0009732C"/>
    <w:rsid w:val="000A036E"/>
    <w:rsid w:val="000A0FCA"/>
    <w:rsid w:val="000A193B"/>
    <w:rsid w:val="000A24DE"/>
    <w:rsid w:val="000A2665"/>
    <w:rsid w:val="000A2877"/>
    <w:rsid w:val="000A2BC5"/>
    <w:rsid w:val="000A2C54"/>
    <w:rsid w:val="000A3599"/>
    <w:rsid w:val="000A375C"/>
    <w:rsid w:val="000A3D4A"/>
    <w:rsid w:val="000A7238"/>
    <w:rsid w:val="000A7A16"/>
    <w:rsid w:val="000B1A12"/>
    <w:rsid w:val="000B1F20"/>
    <w:rsid w:val="000B301C"/>
    <w:rsid w:val="000B3229"/>
    <w:rsid w:val="000B4139"/>
    <w:rsid w:val="000B464A"/>
    <w:rsid w:val="000B6229"/>
    <w:rsid w:val="000B6267"/>
    <w:rsid w:val="000B66FA"/>
    <w:rsid w:val="000B68C7"/>
    <w:rsid w:val="000B6A25"/>
    <w:rsid w:val="000B7319"/>
    <w:rsid w:val="000B75BC"/>
    <w:rsid w:val="000C0DB4"/>
    <w:rsid w:val="000C224B"/>
    <w:rsid w:val="000C22D0"/>
    <w:rsid w:val="000C3224"/>
    <w:rsid w:val="000C38A3"/>
    <w:rsid w:val="000C3CA9"/>
    <w:rsid w:val="000C484F"/>
    <w:rsid w:val="000C4A4C"/>
    <w:rsid w:val="000C5646"/>
    <w:rsid w:val="000C5970"/>
    <w:rsid w:val="000C5B9B"/>
    <w:rsid w:val="000C6A63"/>
    <w:rsid w:val="000C74BF"/>
    <w:rsid w:val="000C7BD0"/>
    <w:rsid w:val="000D074C"/>
    <w:rsid w:val="000D093F"/>
    <w:rsid w:val="000D09BD"/>
    <w:rsid w:val="000D0C18"/>
    <w:rsid w:val="000D1CFE"/>
    <w:rsid w:val="000D22E3"/>
    <w:rsid w:val="000D2486"/>
    <w:rsid w:val="000D2606"/>
    <w:rsid w:val="000D312C"/>
    <w:rsid w:val="000D3A68"/>
    <w:rsid w:val="000D4EC1"/>
    <w:rsid w:val="000D5D3B"/>
    <w:rsid w:val="000D64DE"/>
    <w:rsid w:val="000D6A95"/>
    <w:rsid w:val="000D6F03"/>
    <w:rsid w:val="000D7282"/>
    <w:rsid w:val="000E07B9"/>
    <w:rsid w:val="000E1002"/>
    <w:rsid w:val="000E3BF9"/>
    <w:rsid w:val="000E476A"/>
    <w:rsid w:val="000E49A6"/>
    <w:rsid w:val="000E4F0E"/>
    <w:rsid w:val="000E5276"/>
    <w:rsid w:val="000E6F22"/>
    <w:rsid w:val="000F0924"/>
    <w:rsid w:val="000F0990"/>
    <w:rsid w:val="000F0C9F"/>
    <w:rsid w:val="000F0E2D"/>
    <w:rsid w:val="000F0EA4"/>
    <w:rsid w:val="000F1531"/>
    <w:rsid w:val="000F214C"/>
    <w:rsid w:val="000F2240"/>
    <w:rsid w:val="000F2936"/>
    <w:rsid w:val="000F29F3"/>
    <w:rsid w:val="000F2CA1"/>
    <w:rsid w:val="000F32FF"/>
    <w:rsid w:val="000F3B5A"/>
    <w:rsid w:val="000F4BAF"/>
    <w:rsid w:val="000F4EDF"/>
    <w:rsid w:val="000F4F70"/>
    <w:rsid w:val="000F55A9"/>
    <w:rsid w:val="000F5D6B"/>
    <w:rsid w:val="000F7445"/>
    <w:rsid w:val="000F7644"/>
    <w:rsid w:val="001003A6"/>
    <w:rsid w:val="00101263"/>
    <w:rsid w:val="00103129"/>
    <w:rsid w:val="00104F92"/>
    <w:rsid w:val="001068E4"/>
    <w:rsid w:val="00106A2D"/>
    <w:rsid w:val="00106E65"/>
    <w:rsid w:val="00106EA7"/>
    <w:rsid w:val="00107173"/>
    <w:rsid w:val="00107F56"/>
    <w:rsid w:val="001104C0"/>
    <w:rsid w:val="00110827"/>
    <w:rsid w:val="00110E74"/>
    <w:rsid w:val="0011133D"/>
    <w:rsid w:val="00111E4D"/>
    <w:rsid w:val="00112A7A"/>
    <w:rsid w:val="00114C7B"/>
    <w:rsid w:val="00115DB5"/>
    <w:rsid w:val="00115EAA"/>
    <w:rsid w:val="001167C3"/>
    <w:rsid w:val="001170EA"/>
    <w:rsid w:val="00120FD3"/>
    <w:rsid w:val="00121ECB"/>
    <w:rsid w:val="001247B4"/>
    <w:rsid w:val="001248E1"/>
    <w:rsid w:val="00124F67"/>
    <w:rsid w:val="00124FD8"/>
    <w:rsid w:val="0012543C"/>
    <w:rsid w:val="00125AA1"/>
    <w:rsid w:val="001260A1"/>
    <w:rsid w:val="00126CB3"/>
    <w:rsid w:val="00126F36"/>
    <w:rsid w:val="00127349"/>
    <w:rsid w:val="00127D25"/>
    <w:rsid w:val="00127FEC"/>
    <w:rsid w:val="00130EA9"/>
    <w:rsid w:val="001310A0"/>
    <w:rsid w:val="00131457"/>
    <w:rsid w:val="00131E7E"/>
    <w:rsid w:val="00132105"/>
    <w:rsid w:val="00132424"/>
    <w:rsid w:val="001343BD"/>
    <w:rsid w:val="001343F1"/>
    <w:rsid w:val="00134865"/>
    <w:rsid w:val="00134B10"/>
    <w:rsid w:val="00135025"/>
    <w:rsid w:val="00135056"/>
    <w:rsid w:val="00135091"/>
    <w:rsid w:val="00136183"/>
    <w:rsid w:val="001363D7"/>
    <w:rsid w:val="00136525"/>
    <w:rsid w:val="00136690"/>
    <w:rsid w:val="00136B2F"/>
    <w:rsid w:val="00137CC1"/>
    <w:rsid w:val="00137F71"/>
    <w:rsid w:val="00140CA9"/>
    <w:rsid w:val="00141156"/>
    <w:rsid w:val="00141273"/>
    <w:rsid w:val="0014129B"/>
    <w:rsid w:val="001415A8"/>
    <w:rsid w:val="00141AF1"/>
    <w:rsid w:val="00142A09"/>
    <w:rsid w:val="00142E41"/>
    <w:rsid w:val="00143889"/>
    <w:rsid w:val="00143C29"/>
    <w:rsid w:val="00143CC2"/>
    <w:rsid w:val="00143F73"/>
    <w:rsid w:val="00144BB7"/>
    <w:rsid w:val="00144DA3"/>
    <w:rsid w:val="00145701"/>
    <w:rsid w:val="00145841"/>
    <w:rsid w:val="00146576"/>
    <w:rsid w:val="00147D58"/>
    <w:rsid w:val="00147E35"/>
    <w:rsid w:val="00150D85"/>
    <w:rsid w:val="00151246"/>
    <w:rsid w:val="001516D4"/>
    <w:rsid w:val="00151717"/>
    <w:rsid w:val="00151C0B"/>
    <w:rsid w:val="00152372"/>
    <w:rsid w:val="001530C8"/>
    <w:rsid w:val="001530CB"/>
    <w:rsid w:val="00153593"/>
    <w:rsid w:val="001536D2"/>
    <w:rsid w:val="00153C71"/>
    <w:rsid w:val="0015423A"/>
    <w:rsid w:val="00154C30"/>
    <w:rsid w:val="00154F94"/>
    <w:rsid w:val="00155302"/>
    <w:rsid w:val="00155EBA"/>
    <w:rsid w:val="00155EDA"/>
    <w:rsid w:val="0015622E"/>
    <w:rsid w:val="0016007B"/>
    <w:rsid w:val="001609E1"/>
    <w:rsid w:val="00160BC4"/>
    <w:rsid w:val="001611C0"/>
    <w:rsid w:val="001617B9"/>
    <w:rsid w:val="00161895"/>
    <w:rsid w:val="001626C2"/>
    <w:rsid w:val="0016343F"/>
    <w:rsid w:val="0016453B"/>
    <w:rsid w:val="001645F2"/>
    <w:rsid w:val="00164839"/>
    <w:rsid w:val="001648AD"/>
    <w:rsid w:val="00164AAE"/>
    <w:rsid w:val="00165DC5"/>
    <w:rsid w:val="00166671"/>
    <w:rsid w:val="0016673C"/>
    <w:rsid w:val="00166CEE"/>
    <w:rsid w:val="00167898"/>
    <w:rsid w:val="00167F9F"/>
    <w:rsid w:val="00170C33"/>
    <w:rsid w:val="001712E6"/>
    <w:rsid w:val="001719D9"/>
    <w:rsid w:val="001725FD"/>
    <w:rsid w:val="00172817"/>
    <w:rsid w:val="00173E7A"/>
    <w:rsid w:val="0017427B"/>
    <w:rsid w:val="00174AEE"/>
    <w:rsid w:val="001754A3"/>
    <w:rsid w:val="001757FC"/>
    <w:rsid w:val="00176055"/>
    <w:rsid w:val="001760CB"/>
    <w:rsid w:val="00176328"/>
    <w:rsid w:val="00176ACA"/>
    <w:rsid w:val="00176E7C"/>
    <w:rsid w:val="00177BCE"/>
    <w:rsid w:val="00180916"/>
    <w:rsid w:val="0018095A"/>
    <w:rsid w:val="001810A4"/>
    <w:rsid w:val="00181108"/>
    <w:rsid w:val="001812BB"/>
    <w:rsid w:val="001816CF"/>
    <w:rsid w:val="0018189F"/>
    <w:rsid w:val="00181920"/>
    <w:rsid w:val="00183360"/>
    <w:rsid w:val="0018448B"/>
    <w:rsid w:val="00184804"/>
    <w:rsid w:val="00184E4F"/>
    <w:rsid w:val="00184E9B"/>
    <w:rsid w:val="00185B7E"/>
    <w:rsid w:val="00185BCB"/>
    <w:rsid w:val="0018615A"/>
    <w:rsid w:val="00187646"/>
    <w:rsid w:val="0018793F"/>
    <w:rsid w:val="00187ED3"/>
    <w:rsid w:val="00191287"/>
    <w:rsid w:val="001913BA"/>
    <w:rsid w:val="00191F86"/>
    <w:rsid w:val="00192D80"/>
    <w:rsid w:val="00192DAB"/>
    <w:rsid w:val="00192F6D"/>
    <w:rsid w:val="001932CA"/>
    <w:rsid w:val="00193DDE"/>
    <w:rsid w:val="00194092"/>
    <w:rsid w:val="0019427B"/>
    <w:rsid w:val="00194311"/>
    <w:rsid w:val="0019448F"/>
    <w:rsid w:val="001945C2"/>
    <w:rsid w:val="00195A56"/>
    <w:rsid w:val="00195FE7"/>
    <w:rsid w:val="00196805"/>
    <w:rsid w:val="00196D52"/>
    <w:rsid w:val="00197C86"/>
    <w:rsid w:val="00197D79"/>
    <w:rsid w:val="001A0462"/>
    <w:rsid w:val="001A0995"/>
    <w:rsid w:val="001A0B2A"/>
    <w:rsid w:val="001A0DC1"/>
    <w:rsid w:val="001A2826"/>
    <w:rsid w:val="001A312E"/>
    <w:rsid w:val="001A3159"/>
    <w:rsid w:val="001A3648"/>
    <w:rsid w:val="001A4ACC"/>
    <w:rsid w:val="001A4EC7"/>
    <w:rsid w:val="001A5F8F"/>
    <w:rsid w:val="001A64FC"/>
    <w:rsid w:val="001A7173"/>
    <w:rsid w:val="001B0CAD"/>
    <w:rsid w:val="001B1522"/>
    <w:rsid w:val="001B1EDE"/>
    <w:rsid w:val="001B2376"/>
    <w:rsid w:val="001B39D2"/>
    <w:rsid w:val="001B3C14"/>
    <w:rsid w:val="001B40C3"/>
    <w:rsid w:val="001B43ED"/>
    <w:rsid w:val="001B660B"/>
    <w:rsid w:val="001B6730"/>
    <w:rsid w:val="001B778D"/>
    <w:rsid w:val="001C0898"/>
    <w:rsid w:val="001C11B0"/>
    <w:rsid w:val="001C1311"/>
    <w:rsid w:val="001C1347"/>
    <w:rsid w:val="001C1498"/>
    <w:rsid w:val="001C1B46"/>
    <w:rsid w:val="001C1C85"/>
    <w:rsid w:val="001C1D13"/>
    <w:rsid w:val="001C1F4F"/>
    <w:rsid w:val="001C2E03"/>
    <w:rsid w:val="001C36A3"/>
    <w:rsid w:val="001C38F5"/>
    <w:rsid w:val="001C3E4C"/>
    <w:rsid w:val="001C4302"/>
    <w:rsid w:val="001C436B"/>
    <w:rsid w:val="001C460E"/>
    <w:rsid w:val="001C4DB4"/>
    <w:rsid w:val="001C5A2C"/>
    <w:rsid w:val="001C5D57"/>
    <w:rsid w:val="001C66C1"/>
    <w:rsid w:val="001C730F"/>
    <w:rsid w:val="001C76E4"/>
    <w:rsid w:val="001C7927"/>
    <w:rsid w:val="001C7F85"/>
    <w:rsid w:val="001D022F"/>
    <w:rsid w:val="001D03BF"/>
    <w:rsid w:val="001D0537"/>
    <w:rsid w:val="001D1BCF"/>
    <w:rsid w:val="001D3AAB"/>
    <w:rsid w:val="001D4432"/>
    <w:rsid w:val="001D44E9"/>
    <w:rsid w:val="001D4F97"/>
    <w:rsid w:val="001D551B"/>
    <w:rsid w:val="001D5553"/>
    <w:rsid w:val="001D61DC"/>
    <w:rsid w:val="001D6455"/>
    <w:rsid w:val="001D6510"/>
    <w:rsid w:val="001D7CBB"/>
    <w:rsid w:val="001E025F"/>
    <w:rsid w:val="001E176A"/>
    <w:rsid w:val="001E18FD"/>
    <w:rsid w:val="001E1E80"/>
    <w:rsid w:val="001E23B0"/>
    <w:rsid w:val="001E300C"/>
    <w:rsid w:val="001E3031"/>
    <w:rsid w:val="001E32C3"/>
    <w:rsid w:val="001E3D17"/>
    <w:rsid w:val="001E496F"/>
    <w:rsid w:val="001E4E92"/>
    <w:rsid w:val="001E501B"/>
    <w:rsid w:val="001E54A3"/>
    <w:rsid w:val="001E54E9"/>
    <w:rsid w:val="001E59A8"/>
    <w:rsid w:val="001E651E"/>
    <w:rsid w:val="001E6D46"/>
    <w:rsid w:val="001E71EC"/>
    <w:rsid w:val="001E7C5E"/>
    <w:rsid w:val="001F0755"/>
    <w:rsid w:val="001F0760"/>
    <w:rsid w:val="001F0F3C"/>
    <w:rsid w:val="001F1C3B"/>
    <w:rsid w:val="001F2989"/>
    <w:rsid w:val="001F299E"/>
    <w:rsid w:val="001F2AF6"/>
    <w:rsid w:val="001F3837"/>
    <w:rsid w:val="001F3DF3"/>
    <w:rsid w:val="001F4648"/>
    <w:rsid w:val="001F468B"/>
    <w:rsid w:val="001F4BB4"/>
    <w:rsid w:val="001F5236"/>
    <w:rsid w:val="001F5FF1"/>
    <w:rsid w:val="001F7C6F"/>
    <w:rsid w:val="00200217"/>
    <w:rsid w:val="00201836"/>
    <w:rsid w:val="00201BA3"/>
    <w:rsid w:val="0020238C"/>
    <w:rsid w:val="0020272A"/>
    <w:rsid w:val="0020319F"/>
    <w:rsid w:val="00203211"/>
    <w:rsid w:val="00203E75"/>
    <w:rsid w:val="0020433A"/>
    <w:rsid w:val="002048BF"/>
    <w:rsid w:val="00205B68"/>
    <w:rsid w:val="00205CD6"/>
    <w:rsid w:val="0020671B"/>
    <w:rsid w:val="0020792C"/>
    <w:rsid w:val="00210C92"/>
    <w:rsid w:val="00210E2A"/>
    <w:rsid w:val="002118BC"/>
    <w:rsid w:val="0021279F"/>
    <w:rsid w:val="0021283A"/>
    <w:rsid w:val="0021300A"/>
    <w:rsid w:val="0021312B"/>
    <w:rsid w:val="0021325B"/>
    <w:rsid w:val="0021475F"/>
    <w:rsid w:val="00214C1D"/>
    <w:rsid w:val="00214F45"/>
    <w:rsid w:val="00214FEF"/>
    <w:rsid w:val="0021556D"/>
    <w:rsid w:val="002155E3"/>
    <w:rsid w:val="00216124"/>
    <w:rsid w:val="0021741E"/>
    <w:rsid w:val="00220B0A"/>
    <w:rsid w:val="002215D5"/>
    <w:rsid w:val="00221B19"/>
    <w:rsid w:val="00224D73"/>
    <w:rsid w:val="002250B5"/>
    <w:rsid w:val="00225BEB"/>
    <w:rsid w:val="00226122"/>
    <w:rsid w:val="0022631D"/>
    <w:rsid w:val="002264A1"/>
    <w:rsid w:val="002273C3"/>
    <w:rsid w:val="00227759"/>
    <w:rsid w:val="00227D18"/>
    <w:rsid w:val="00230A25"/>
    <w:rsid w:val="00230C07"/>
    <w:rsid w:val="002312D0"/>
    <w:rsid w:val="00231517"/>
    <w:rsid w:val="00231523"/>
    <w:rsid w:val="00231B58"/>
    <w:rsid w:val="00231C1F"/>
    <w:rsid w:val="0023240D"/>
    <w:rsid w:val="0023269B"/>
    <w:rsid w:val="0023281A"/>
    <w:rsid w:val="00233B5F"/>
    <w:rsid w:val="00233F3E"/>
    <w:rsid w:val="002347AD"/>
    <w:rsid w:val="002350F3"/>
    <w:rsid w:val="00235227"/>
    <w:rsid w:val="00235BBB"/>
    <w:rsid w:val="00236FA7"/>
    <w:rsid w:val="00237653"/>
    <w:rsid w:val="00237DA6"/>
    <w:rsid w:val="002416D9"/>
    <w:rsid w:val="00241845"/>
    <w:rsid w:val="00241D59"/>
    <w:rsid w:val="00242330"/>
    <w:rsid w:val="00243929"/>
    <w:rsid w:val="00244441"/>
    <w:rsid w:val="0024596C"/>
    <w:rsid w:val="00245AEC"/>
    <w:rsid w:val="00245C80"/>
    <w:rsid w:val="002470AA"/>
    <w:rsid w:val="002508F0"/>
    <w:rsid w:val="00250A9E"/>
    <w:rsid w:val="002511E0"/>
    <w:rsid w:val="0025200A"/>
    <w:rsid w:val="00252C9F"/>
    <w:rsid w:val="002534AC"/>
    <w:rsid w:val="0025379E"/>
    <w:rsid w:val="00253F89"/>
    <w:rsid w:val="002548D6"/>
    <w:rsid w:val="00255818"/>
    <w:rsid w:val="00255DDD"/>
    <w:rsid w:val="002574AA"/>
    <w:rsid w:val="0025786D"/>
    <w:rsid w:val="00257F7C"/>
    <w:rsid w:val="00260432"/>
    <w:rsid w:val="00260890"/>
    <w:rsid w:val="002612DD"/>
    <w:rsid w:val="002613CB"/>
    <w:rsid w:val="002615D5"/>
    <w:rsid w:val="00263D9B"/>
    <w:rsid w:val="002645B6"/>
    <w:rsid w:val="002646D3"/>
    <w:rsid w:val="002647A2"/>
    <w:rsid w:val="00265349"/>
    <w:rsid w:val="00265524"/>
    <w:rsid w:val="002657F5"/>
    <w:rsid w:val="0026619B"/>
    <w:rsid w:val="00266DA4"/>
    <w:rsid w:val="00267632"/>
    <w:rsid w:val="002707B2"/>
    <w:rsid w:val="0027111E"/>
    <w:rsid w:val="00271C34"/>
    <w:rsid w:val="002722E2"/>
    <w:rsid w:val="00272950"/>
    <w:rsid w:val="00272B55"/>
    <w:rsid w:val="00272B6C"/>
    <w:rsid w:val="00273153"/>
    <w:rsid w:val="002745C6"/>
    <w:rsid w:val="00274D01"/>
    <w:rsid w:val="00274D1D"/>
    <w:rsid w:val="0027577E"/>
    <w:rsid w:val="002758DD"/>
    <w:rsid w:val="00276078"/>
    <w:rsid w:val="00276938"/>
    <w:rsid w:val="00276D0E"/>
    <w:rsid w:val="002772AB"/>
    <w:rsid w:val="002774C6"/>
    <w:rsid w:val="0027799E"/>
    <w:rsid w:val="002801CF"/>
    <w:rsid w:val="002805E0"/>
    <w:rsid w:val="0028087A"/>
    <w:rsid w:val="0028178D"/>
    <w:rsid w:val="00282066"/>
    <w:rsid w:val="00282B2C"/>
    <w:rsid w:val="00282B65"/>
    <w:rsid w:val="00282EA6"/>
    <w:rsid w:val="0028316A"/>
    <w:rsid w:val="00283520"/>
    <w:rsid w:val="00284374"/>
    <w:rsid w:val="002844A4"/>
    <w:rsid w:val="00284683"/>
    <w:rsid w:val="0028488F"/>
    <w:rsid w:val="00284FE2"/>
    <w:rsid w:val="002853AA"/>
    <w:rsid w:val="00285703"/>
    <w:rsid w:val="002858D8"/>
    <w:rsid w:val="00285BCD"/>
    <w:rsid w:val="002860AD"/>
    <w:rsid w:val="0028647E"/>
    <w:rsid w:val="00286FF6"/>
    <w:rsid w:val="00287532"/>
    <w:rsid w:val="002876E7"/>
    <w:rsid w:val="002906A3"/>
    <w:rsid w:val="00291B29"/>
    <w:rsid w:val="002938F2"/>
    <w:rsid w:val="00293C3C"/>
    <w:rsid w:val="002951F6"/>
    <w:rsid w:val="00295E67"/>
    <w:rsid w:val="00296234"/>
    <w:rsid w:val="00296624"/>
    <w:rsid w:val="002966DF"/>
    <w:rsid w:val="00296C9F"/>
    <w:rsid w:val="00297430"/>
    <w:rsid w:val="00297E6F"/>
    <w:rsid w:val="002A0A0E"/>
    <w:rsid w:val="002A192A"/>
    <w:rsid w:val="002A25F9"/>
    <w:rsid w:val="002A28F9"/>
    <w:rsid w:val="002A4EAA"/>
    <w:rsid w:val="002A5BA1"/>
    <w:rsid w:val="002A5CD2"/>
    <w:rsid w:val="002A643B"/>
    <w:rsid w:val="002A77BD"/>
    <w:rsid w:val="002B0A00"/>
    <w:rsid w:val="002B0B13"/>
    <w:rsid w:val="002B0CED"/>
    <w:rsid w:val="002B11AD"/>
    <w:rsid w:val="002B1C33"/>
    <w:rsid w:val="002B27A8"/>
    <w:rsid w:val="002B3109"/>
    <w:rsid w:val="002B5093"/>
    <w:rsid w:val="002B5367"/>
    <w:rsid w:val="002B6050"/>
    <w:rsid w:val="002B67D1"/>
    <w:rsid w:val="002B6EA0"/>
    <w:rsid w:val="002B72BC"/>
    <w:rsid w:val="002B780C"/>
    <w:rsid w:val="002C05F7"/>
    <w:rsid w:val="002C0E67"/>
    <w:rsid w:val="002C173F"/>
    <w:rsid w:val="002C18ED"/>
    <w:rsid w:val="002C2245"/>
    <w:rsid w:val="002C3783"/>
    <w:rsid w:val="002C38D7"/>
    <w:rsid w:val="002C3B16"/>
    <w:rsid w:val="002C3D1A"/>
    <w:rsid w:val="002C3FBC"/>
    <w:rsid w:val="002C41C6"/>
    <w:rsid w:val="002C5109"/>
    <w:rsid w:val="002C5D72"/>
    <w:rsid w:val="002C5D93"/>
    <w:rsid w:val="002C5E65"/>
    <w:rsid w:val="002C6D65"/>
    <w:rsid w:val="002C7198"/>
    <w:rsid w:val="002C782A"/>
    <w:rsid w:val="002C7E36"/>
    <w:rsid w:val="002D0357"/>
    <w:rsid w:val="002D0A4E"/>
    <w:rsid w:val="002D0B2C"/>
    <w:rsid w:val="002D0B77"/>
    <w:rsid w:val="002D1226"/>
    <w:rsid w:val="002D2383"/>
    <w:rsid w:val="002D23EA"/>
    <w:rsid w:val="002D24FB"/>
    <w:rsid w:val="002D3060"/>
    <w:rsid w:val="002D3857"/>
    <w:rsid w:val="002D3BE6"/>
    <w:rsid w:val="002D41D1"/>
    <w:rsid w:val="002D4EC3"/>
    <w:rsid w:val="002D4F97"/>
    <w:rsid w:val="002D5233"/>
    <w:rsid w:val="002D5902"/>
    <w:rsid w:val="002D5DCC"/>
    <w:rsid w:val="002D642A"/>
    <w:rsid w:val="002D65A0"/>
    <w:rsid w:val="002D6AC4"/>
    <w:rsid w:val="002D6F73"/>
    <w:rsid w:val="002D7075"/>
    <w:rsid w:val="002D7088"/>
    <w:rsid w:val="002D77C5"/>
    <w:rsid w:val="002E0DBC"/>
    <w:rsid w:val="002E100A"/>
    <w:rsid w:val="002E1037"/>
    <w:rsid w:val="002E127B"/>
    <w:rsid w:val="002E1D37"/>
    <w:rsid w:val="002E2285"/>
    <w:rsid w:val="002E2CEE"/>
    <w:rsid w:val="002E3A59"/>
    <w:rsid w:val="002E4313"/>
    <w:rsid w:val="002E46EE"/>
    <w:rsid w:val="002E6009"/>
    <w:rsid w:val="002E604D"/>
    <w:rsid w:val="002E647F"/>
    <w:rsid w:val="002E6BA8"/>
    <w:rsid w:val="002E6C20"/>
    <w:rsid w:val="002E76CC"/>
    <w:rsid w:val="002E797E"/>
    <w:rsid w:val="002E7CC3"/>
    <w:rsid w:val="002F03B5"/>
    <w:rsid w:val="002F0CFD"/>
    <w:rsid w:val="002F0D64"/>
    <w:rsid w:val="002F0D94"/>
    <w:rsid w:val="002F1254"/>
    <w:rsid w:val="002F25B3"/>
    <w:rsid w:val="002F2683"/>
    <w:rsid w:val="002F2A76"/>
    <w:rsid w:val="002F2F31"/>
    <w:rsid w:val="002F3373"/>
    <w:rsid w:val="002F36A0"/>
    <w:rsid w:val="002F3945"/>
    <w:rsid w:val="002F507C"/>
    <w:rsid w:val="002F51E7"/>
    <w:rsid w:val="002F57F7"/>
    <w:rsid w:val="002F632E"/>
    <w:rsid w:val="002F6C8F"/>
    <w:rsid w:val="002F718F"/>
    <w:rsid w:val="002F72C1"/>
    <w:rsid w:val="002F7725"/>
    <w:rsid w:val="002F789B"/>
    <w:rsid w:val="002F7CFB"/>
    <w:rsid w:val="002F7EFB"/>
    <w:rsid w:val="002F7F4C"/>
    <w:rsid w:val="002F7F6E"/>
    <w:rsid w:val="00300560"/>
    <w:rsid w:val="0030062F"/>
    <w:rsid w:val="003008F2"/>
    <w:rsid w:val="00300A35"/>
    <w:rsid w:val="003021C7"/>
    <w:rsid w:val="00302698"/>
    <w:rsid w:val="0030355E"/>
    <w:rsid w:val="00303BB2"/>
    <w:rsid w:val="003041A4"/>
    <w:rsid w:val="00304229"/>
    <w:rsid w:val="0030422E"/>
    <w:rsid w:val="00304595"/>
    <w:rsid w:val="003050DE"/>
    <w:rsid w:val="003056BC"/>
    <w:rsid w:val="00305CB3"/>
    <w:rsid w:val="003065C7"/>
    <w:rsid w:val="00307286"/>
    <w:rsid w:val="003076D5"/>
    <w:rsid w:val="00307C7F"/>
    <w:rsid w:val="003108D6"/>
    <w:rsid w:val="00311917"/>
    <w:rsid w:val="003126DF"/>
    <w:rsid w:val="00312A99"/>
    <w:rsid w:val="00313971"/>
    <w:rsid w:val="00313EC6"/>
    <w:rsid w:val="00313F7A"/>
    <w:rsid w:val="003149A5"/>
    <w:rsid w:val="00314C45"/>
    <w:rsid w:val="00314E4C"/>
    <w:rsid w:val="003154B0"/>
    <w:rsid w:val="003155B6"/>
    <w:rsid w:val="003159C2"/>
    <w:rsid w:val="00315A78"/>
    <w:rsid w:val="00315CBB"/>
    <w:rsid w:val="00315D42"/>
    <w:rsid w:val="00316035"/>
    <w:rsid w:val="0031726B"/>
    <w:rsid w:val="0031751D"/>
    <w:rsid w:val="00317D8D"/>
    <w:rsid w:val="00320172"/>
    <w:rsid w:val="003209D5"/>
    <w:rsid w:val="00320C94"/>
    <w:rsid w:val="00320DA9"/>
    <w:rsid w:val="003213FD"/>
    <w:rsid w:val="003214DB"/>
    <w:rsid w:val="0032195C"/>
    <w:rsid w:val="00321A60"/>
    <w:rsid w:val="0032212B"/>
    <w:rsid w:val="0032228E"/>
    <w:rsid w:val="00322627"/>
    <w:rsid w:val="00322AFE"/>
    <w:rsid w:val="00322BA5"/>
    <w:rsid w:val="00323388"/>
    <w:rsid w:val="003237B9"/>
    <w:rsid w:val="00323C03"/>
    <w:rsid w:val="00324777"/>
    <w:rsid w:val="003257B9"/>
    <w:rsid w:val="00326BA8"/>
    <w:rsid w:val="00330369"/>
    <w:rsid w:val="003306D3"/>
    <w:rsid w:val="00331396"/>
    <w:rsid w:val="003315FB"/>
    <w:rsid w:val="0033179B"/>
    <w:rsid w:val="003318B0"/>
    <w:rsid w:val="003331EC"/>
    <w:rsid w:val="00333609"/>
    <w:rsid w:val="003336BA"/>
    <w:rsid w:val="00336035"/>
    <w:rsid w:val="00336640"/>
    <w:rsid w:val="00336A11"/>
    <w:rsid w:val="00336F51"/>
    <w:rsid w:val="003409CA"/>
    <w:rsid w:val="00340B71"/>
    <w:rsid w:val="00340E8B"/>
    <w:rsid w:val="003410F2"/>
    <w:rsid w:val="00341C97"/>
    <w:rsid w:val="00342E12"/>
    <w:rsid w:val="0034372A"/>
    <w:rsid w:val="003438E9"/>
    <w:rsid w:val="003444B6"/>
    <w:rsid w:val="00346606"/>
    <w:rsid w:val="0034691B"/>
    <w:rsid w:val="00346ADA"/>
    <w:rsid w:val="00347162"/>
    <w:rsid w:val="00347650"/>
    <w:rsid w:val="003501BB"/>
    <w:rsid w:val="00351CB1"/>
    <w:rsid w:val="00351E7F"/>
    <w:rsid w:val="00351F16"/>
    <w:rsid w:val="00351F7E"/>
    <w:rsid w:val="0035246B"/>
    <w:rsid w:val="00353720"/>
    <w:rsid w:val="00354090"/>
    <w:rsid w:val="0035417C"/>
    <w:rsid w:val="00354454"/>
    <w:rsid w:val="00354D57"/>
    <w:rsid w:val="003578F6"/>
    <w:rsid w:val="00357E81"/>
    <w:rsid w:val="003600BA"/>
    <w:rsid w:val="0036029A"/>
    <w:rsid w:val="00360C5E"/>
    <w:rsid w:val="00360F22"/>
    <w:rsid w:val="003639C2"/>
    <w:rsid w:val="00363BFC"/>
    <w:rsid w:val="00364A2F"/>
    <w:rsid w:val="00364F95"/>
    <w:rsid w:val="00365496"/>
    <w:rsid w:val="00365E43"/>
    <w:rsid w:val="003664F4"/>
    <w:rsid w:val="00366727"/>
    <w:rsid w:val="00366CEF"/>
    <w:rsid w:val="003674AF"/>
    <w:rsid w:val="00367A5C"/>
    <w:rsid w:val="00367F5C"/>
    <w:rsid w:val="0037138C"/>
    <w:rsid w:val="00371F8D"/>
    <w:rsid w:val="0037204F"/>
    <w:rsid w:val="003723D6"/>
    <w:rsid w:val="003727D1"/>
    <w:rsid w:val="00372E72"/>
    <w:rsid w:val="00373158"/>
    <w:rsid w:val="00373184"/>
    <w:rsid w:val="003736CE"/>
    <w:rsid w:val="00373957"/>
    <w:rsid w:val="00373C12"/>
    <w:rsid w:val="003753C2"/>
    <w:rsid w:val="00375411"/>
    <w:rsid w:val="00375603"/>
    <w:rsid w:val="0037639B"/>
    <w:rsid w:val="0037651C"/>
    <w:rsid w:val="003765CC"/>
    <w:rsid w:val="00376910"/>
    <w:rsid w:val="00376987"/>
    <w:rsid w:val="003772A0"/>
    <w:rsid w:val="00381D73"/>
    <w:rsid w:val="00382475"/>
    <w:rsid w:val="00382940"/>
    <w:rsid w:val="00383351"/>
    <w:rsid w:val="00383DDD"/>
    <w:rsid w:val="003846F2"/>
    <w:rsid w:val="00384B7D"/>
    <w:rsid w:val="003859E0"/>
    <w:rsid w:val="00385BC7"/>
    <w:rsid w:val="00386A3C"/>
    <w:rsid w:val="00386C68"/>
    <w:rsid w:val="003877FC"/>
    <w:rsid w:val="00390451"/>
    <w:rsid w:val="0039148F"/>
    <w:rsid w:val="00391602"/>
    <w:rsid w:val="00391AE4"/>
    <w:rsid w:val="00391B60"/>
    <w:rsid w:val="00392147"/>
    <w:rsid w:val="0039253D"/>
    <w:rsid w:val="003933A8"/>
    <w:rsid w:val="0039343A"/>
    <w:rsid w:val="00393592"/>
    <w:rsid w:val="00393782"/>
    <w:rsid w:val="003939ED"/>
    <w:rsid w:val="00393E6E"/>
    <w:rsid w:val="00394929"/>
    <w:rsid w:val="00394B22"/>
    <w:rsid w:val="0039525A"/>
    <w:rsid w:val="00396044"/>
    <w:rsid w:val="0039628E"/>
    <w:rsid w:val="003967FF"/>
    <w:rsid w:val="00397638"/>
    <w:rsid w:val="003A0D8F"/>
    <w:rsid w:val="003A183F"/>
    <w:rsid w:val="003A1ED2"/>
    <w:rsid w:val="003A2A31"/>
    <w:rsid w:val="003A2B74"/>
    <w:rsid w:val="003A2DCE"/>
    <w:rsid w:val="003A2E84"/>
    <w:rsid w:val="003A4B60"/>
    <w:rsid w:val="003A5132"/>
    <w:rsid w:val="003A5B56"/>
    <w:rsid w:val="003A5D5B"/>
    <w:rsid w:val="003A623B"/>
    <w:rsid w:val="003A6992"/>
    <w:rsid w:val="003A75D7"/>
    <w:rsid w:val="003A7BFA"/>
    <w:rsid w:val="003A7E6F"/>
    <w:rsid w:val="003A7EE1"/>
    <w:rsid w:val="003B0904"/>
    <w:rsid w:val="003B0B67"/>
    <w:rsid w:val="003B200E"/>
    <w:rsid w:val="003B256F"/>
    <w:rsid w:val="003B294C"/>
    <w:rsid w:val="003B2C35"/>
    <w:rsid w:val="003B3795"/>
    <w:rsid w:val="003B3872"/>
    <w:rsid w:val="003B43A5"/>
    <w:rsid w:val="003B4879"/>
    <w:rsid w:val="003B4BAF"/>
    <w:rsid w:val="003B4D88"/>
    <w:rsid w:val="003B5342"/>
    <w:rsid w:val="003B5501"/>
    <w:rsid w:val="003B6D09"/>
    <w:rsid w:val="003B77AB"/>
    <w:rsid w:val="003B7AF6"/>
    <w:rsid w:val="003B7BAE"/>
    <w:rsid w:val="003B7C65"/>
    <w:rsid w:val="003C044C"/>
    <w:rsid w:val="003C1126"/>
    <w:rsid w:val="003C1E4C"/>
    <w:rsid w:val="003C2AC6"/>
    <w:rsid w:val="003C2BF4"/>
    <w:rsid w:val="003C3CAD"/>
    <w:rsid w:val="003C3DA3"/>
    <w:rsid w:val="003C4165"/>
    <w:rsid w:val="003C4237"/>
    <w:rsid w:val="003C4918"/>
    <w:rsid w:val="003C56E3"/>
    <w:rsid w:val="003C5C4F"/>
    <w:rsid w:val="003C618E"/>
    <w:rsid w:val="003C65A1"/>
    <w:rsid w:val="003C6A34"/>
    <w:rsid w:val="003C6D7D"/>
    <w:rsid w:val="003C7BD6"/>
    <w:rsid w:val="003C7CBB"/>
    <w:rsid w:val="003D08D9"/>
    <w:rsid w:val="003D0F34"/>
    <w:rsid w:val="003D0F7F"/>
    <w:rsid w:val="003D11B2"/>
    <w:rsid w:val="003D12F6"/>
    <w:rsid w:val="003D1748"/>
    <w:rsid w:val="003D18CC"/>
    <w:rsid w:val="003D1B00"/>
    <w:rsid w:val="003D1B6D"/>
    <w:rsid w:val="003D1D8C"/>
    <w:rsid w:val="003D1DE8"/>
    <w:rsid w:val="003D2B7E"/>
    <w:rsid w:val="003D2D7F"/>
    <w:rsid w:val="003D2FA4"/>
    <w:rsid w:val="003D3089"/>
    <w:rsid w:val="003D3377"/>
    <w:rsid w:val="003D3FEB"/>
    <w:rsid w:val="003D4124"/>
    <w:rsid w:val="003D48A0"/>
    <w:rsid w:val="003D4BE0"/>
    <w:rsid w:val="003D5246"/>
    <w:rsid w:val="003D6B7F"/>
    <w:rsid w:val="003D7E23"/>
    <w:rsid w:val="003E07EB"/>
    <w:rsid w:val="003E0B66"/>
    <w:rsid w:val="003E12E2"/>
    <w:rsid w:val="003E2452"/>
    <w:rsid w:val="003E381D"/>
    <w:rsid w:val="003E3B06"/>
    <w:rsid w:val="003E487E"/>
    <w:rsid w:val="003E48AB"/>
    <w:rsid w:val="003E4C5C"/>
    <w:rsid w:val="003E4E4F"/>
    <w:rsid w:val="003E5B26"/>
    <w:rsid w:val="003E6397"/>
    <w:rsid w:val="003F040C"/>
    <w:rsid w:val="003F057D"/>
    <w:rsid w:val="003F09A2"/>
    <w:rsid w:val="003F13DE"/>
    <w:rsid w:val="003F14E1"/>
    <w:rsid w:val="003F250C"/>
    <w:rsid w:val="003F3908"/>
    <w:rsid w:val="003F4040"/>
    <w:rsid w:val="003F438F"/>
    <w:rsid w:val="003F44D9"/>
    <w:rsid w:val="003F4992"/>
    <w:rsid w:val="003F5765"/>
    <w:rsid w:val="003F6B3A"/>
    <w:rsid w:val="003F6E5C"/>
    <w:rsid w:val="003F71B7"/>
    <w:rsid w:val="003F792A"/>
    <w:rsid w:val="003F7ED0"/>
    <w:rsid w:val="00400D58"/>
    <w:rsid w:val="004018C0"/>
    <w:rsid w:val="00401FC5"/>
    <w:rsid w:val="00402928"/>
    <w:rsid w:val="00402977"/>
    <w:rsid w:val="00402D9D"/>
    <w:rsid w:val="00403604"/>
    <w:rsid w:val="00403951"/>
    <w:rsid w:val="0040398F"/>
    <w:rsid w:val="00403AB5"/>
    <w:rsid w:val="0040411A"/>
    <w:rsid w:val="00404C15"/>
    <w:rsid w:val="00404F68"/>
    <w:rsid w:val="00404FDE"/>
    <w:rsid w:val="004052F4"/>
    <w:rsid w:val="00405E5F"/>
    <w:rsid w:val="00406499"/>
    <w:rsid w:val="0040661A"/>
    <w:rsid w:val="004066AB"/>
    <w:rsid w:val="00406C5D"/>
    <w:rsid w:val="00406D06"/>
    <w:rsid w:val="00406FC8"/>
    <w:rsid w:val="004071D5"/>
    <w:rsid w:val="00410A4C"/>
    <w:rsid w:val="00411040"/>
    <w:rsid w:val="0041153B"/>
    <w:rsid w:val="00412B80"/>
    <w:rsid w:val="0041312C"/>
    <w:rsid w:val="0041592E"/>
    <w:rsid w:val="00417FC4"/>
    <w:rsid w:val="00420013"/>
    <w:rsid w:val="0042035C"/>
    <w:rsid w:val="00420F47"/>
    <w:rsid w:val="004212C8"/>
    <w:rsid w:val="0042182F"/>
    <w:rsid w:val="00421847"/>
    <w:rsid w:val="00422281"/>
    <w:rsid w:val="004227BE"/>
    <w:rsid w:val="00422A46"/>
    <w:rsid w:val="00422D06"/>
    <w:rsid w:val="00422DDE"/>
    <w:rsid w:val="004231CF"/>
    <w:rsid w:val="00423701"/>
    <w:rsid w:val="004245CF"/>
    <w:rsid w:val="00424C50"/>
    <w:rsid w:val="0042524F"/>
    <w:rsid w:val="0042534D"/>
    <w:rsid w:val="00425459"/>
    <w:rsid w:val="00426BA1"/>
    <w:rsid w:val="004273D1"/>
    <w:rsid w:val="004278E7"/>
    <w:rsid w:val="0043035F"/>
    <w:rsid w:val="00430E64"/>
    <w:rsid w:val="00431089"/>
    <w:rsid w:val="0043115B"/>
    <w:rsid w:val="00432524"/>
    <w:rsid w:val="00432E1B"/>
    <w:rsid w:val="00433B5B"/>
    <w:rsid w:val="0043563E"/>
    <w:rsid w:val="00435D06"/>
    <w:rsid w:val="0043622F"/>
    <w:rsid w:val="00436588"/>
    <w:rsid w:val="0043693D"/>
    <w:rsid w:val="00436E23"/>
    <w:rsid w:val="0043774C"/>
    <w:rsid w:val="00437A33"/>
    <w:rsid w:val="0044063E"/>
    <w:rsid w:val="00440ED5"/>
    <w:rsid w:val="00441817"/>
    <w:rsid w:val="00441BDC"/>
    <w:rsid w:val="00441FBA"/>
    <w:rsid w:val="00442006"/>
    <w:rsid w:val="004424CE"/>
    <w:rsid w:val="00442557"/>
    <w:rsid w:val="00442750"/>
    <w:rsid w:val="00442A8D"/>
    <w:rsid w:val="00442D6F"/>
    <w:rsid w:val="00443BDD"/>
    <w:rsid w:val="00444488"/>
    <w:rsid w:val="00445808"/>
    <w:rsid w:val="00445837"/>
    <w:rsid w:val="00445871"/>
    <w:rsid w:val="00445974"/>
    <w:rsid w:val="004469CA"/>
    <w:rsid w:val="004476D5"/>
    <w:rsid w:val="00447D3E"/>
    <w:rsid w:val="00451AC3"/>
    <w:rsid w:val="00451D84"/>
    <w:rsid w:val="00452B38"/>
    <w:rsid w:val="00452EAE"/>
    <w:rsid w:val="0045339C"/>
    <w:rsid w:val="004537F1"/>
    <w:rsid w:val="00453EA1"/>
    <w:rsid w:val="004543B7"/>
    <w:rsid w:val="0045470C"/>
    <w:rsid w:val="00454C51"/>
    <w:rsid w:val="00455BCF"/>
    <w:rsid w:val="004569BB"/>
    <w:rsid w:val="004569EC"/>
    <w:rsid w:val="004577E4"/>
    <w:rsid w:val="004577F5"/>
    <w:rsid w:val="00460618"/>
    <w:rsid w:val="00460CEB"/>
    <w:rsid w:val="00461379"/>
    <w:rsid w:val="0046172A"/>
    <w:rsid w:val="0046211A"/>
    <w:rsid w:val="00462C0B"/>
    <w:rsid w:val="00462C39"/>
    <w:rsid w:val="00462E15"/>
    <w:rsid w:val="004643A2"/>
    <w:rsid w:val="0046473B"/>
    <w:rsid w:val="004649EA"/>
    <w:rsid w:val="004659EE"/>
    <w:rsid w:val="00466085"/>
    <w:rsid w:val="00466148"/>
    <w:rsid w:val="004661F6"/>
    <w:rsid w:val="00466BB8"/>
    <w:rsid w:val="00466E98"/>
    <w:rsid w:val="004676CC"/>
    <w:rsid w:val="00467B95"/>
    <w:rsid w:val="00467D98"/>
    <w:rsid w:val="00467F85"/>
    <w:rsid w:val="004705B2"/>
    <w:rsid w:val="00470C3C"/>
    <w:rsid w:val="004716B9"/>
    <w:rsid w:val="00472811"/>
    <w:rsid w:val="00472B0C"/>
    <w:rsid w:val="00473CDE"/>
    <w:rsid w:val="00473D3E"/>
    <w:rsid w:val="00473E0F"/>
    <w:rsid w:val="00474010"/>
    <w:rsid w:val="00474559"/>
    <w:rsid w:val="004746D5"/>
    <w:rsid w:val="0047517A"/>
    <w:rsid w:val="004755B3"/>
    <w:rsid w:val="00475634"/>
    <w:rsid w:val="00475CCE"/>
    <w:rsid w:val="00476646"/>
    <w:rsid w:val="00476BA2"/>
    <w:rsid w:val="00477311"/>
    <w:rsid w:val="00477D44"/>
    <w:rsid w:val="00480B41"/>
    <w:rsid w:val="004819F3"/>
    <w:rsid w:val="00481C6C"/>
    <w:rsid w:val="00481DE8"/>
    <w:rsid w:val="0048232F"/>
    <w:rsid w:val="00482A05"/>
    <w:rsid w:val="00482EF4"/>
    <w:rsid w:val="00484202"/>
    <w:rsid w:val="004854FA"/>
    <w:rsid w:val="004857AA"/>
    <w:rsid w:val="00485888"/>
    <w:rsid w:val="00485CF7"/>
    <w:rsid w:val="00486739"/>
    <w:rsid w:val="00486D8D"/>
    <w:rsid w:val="00487A88"/>
    <w:rsid w:val="00491FC9"/>
    <w:rsid w:val="0049218B"/>
    <w:rsid w:val="0049250E"/>
    <w:rsid w:val="004925BB"/>
    <w:rsid w:val="004928A3"/>
    <w:rsid w:val="00493148"/>
    <w:rsid w:val="004949CB"/>
    <w:rsid w:val="00494C4E"/>
    <w:rsid w:val="00496761"/>
    <w:rsid w:val="004969C7"/>
    <w:rsid w:val="004A03E3"/>
    <w:rsid w:val="004A0B47"/>
    <w:rsid w:val="004A0F5D"/>
    <w:rsid w:val="004A165D"/>
    <w:rsid w:val="004A2845"/>
    <w:rsid w:val="004A2FA9"/>
    <w:rsid w:val="004A4F5E"/>
    <w:rsid w:val="004A5241"/>
    <w:rsid w:val="004A5A1E"/>
    <w:rsid w:val="004A5E68"/>
    <w:rsid w:val="004A6CDA"/>
    <w:rsid w:val="004A732C"/>
    <w:rsid w:val="004A744F"/>
    <w:rsid w:val="004A7691"/>
    <w:rsid w:val="004B145B"/>
    <w:rsid w:val="004B18D0"/>
    <w:rsid w:val="004B1AB4"/>
    <w:rsid w:val="004B1BD8"/>
    <w:rsid w:val="004B2299"/>
    <w:rsid w:val="004B24F3"/>
    <w:rsid w:val="004B2715"/>
    <w:rsid w:val="004B2716"/>
    <w:rsid w:val="004B2FBD"/>
    <w:rsid w:val="004B308B"/>
    <w:rsid w:val="004B4652"/>
    <w:rsid w:val="004B498D"/>
    <w:rsid w:val="004B55F3"/>
    <w:rsid w:val="004B5788"/>
    <w:rsid w:val="004B5B18"/>
    <w:rsid w:val="004B5BB4"/>
    <w:rsid w:val="004B5EAF"/>
    <w:rsid w:val="004B6F37"/>
    <w:rsid w:val="004B7043"/>
    <w:rsid w:val="004B711E"/>
    <w:rsid w:val="004B731F"/>
    <w:rsid w:val="004B7482"/>
    <w:rsid w:val="004B75E5"/>
    <w:rsid w:val="004B762F"/>
    <w:rsid w:val="004B7CC4"/>
    <w:rsid w:val="004C0E33"/>
    <w:rsid w:val="004C1097"/>
    <w:rsid w:val="004C14E3"/>
    <w:rsid w:val="004C1DE5"/>
    <w:rsid w:val="004C25A2"/>
    <w:rsid w:val="004C33B4"/>
    <w:rsid w:val="004C372B"/>
    <w:rsid w:val="004C39C6"/>
    <w:rsid w:val="004C40B0"/>
    <w:rsid w:val="004C4119"/>
    <w:rsid w:val="004C51AF"/>
    <w:rsid w:val="004C5DB9"/>
    <w:rsid w:val="004C6CC5"/>
    <w:rsid w:val="004C77BB"/>
    <w:rsid w:val="004D0E0B"/>
    <w:rsid w:val="004D116A"/>
    <w:rsid w:val="004D13CF"/>
    <w:rsid w:val="004D2094"/>
    <w:rsid w:val="004D2C6E"/>
    <w:rsid w:val="004D3514"/>
    <w:rsid w:val="004D354C"/>
    <w:rsid w:val="004D3739"/>
    <w:rsid w:val="004D3F0C"/>
    <w:rsid w:val="004D4CDD"/>
    <w:rsid w:val="004D519B"/>
    <w:rsid w:val="004D580B"/>
    <w:rsid w:val="004D5FDD"/>
    <w:rsid w:val="004D6A08"/>
    <w:rsid w:val="004D6D12"/>
    <w:rsid w:val="004D7174"/>
    <w:rsid w:val="004D72E4"/>
    <w:rsid w:val="004E003B"/>
    <w:rsid w:val="004E0680"/>
    <w:rsid w:val="004E0B59"/>
    <w:rsid w:val="004E0EE1"/>
    <w:rsid w:val="004E1561"/>
    <w:rsid w:val="004E16AD"/>
    <w:rsid w:val="004E1D01"/>
    <w:rsid w:val="004E2675"/>
    <w:rsid w:val="004E2772"/>
    <w:rsid w:val="004E324C"/>
    <w:rsid w:val="004E3388"/>
    <w:rsid w:val="004E35BC"/>
    <w:rsid w:val="004E419F"/>
    <w:rsid w:val="004E475F"/>
    <w:rsid w:val="004E55AF"/>
    <w:rsid w:val="004E6483"/>
    <w:rsid w:val="004E66B6"/>
    <w:rsid w:val="004E6E13"/>
    <w:rsid w:val="004E75A0"/>
    <w:rsid w:val="004E7D06"/>
    <w:rsid w:val="004E7EFC"/>
    <w:rsid w:val="004F0848"/>
    <w:rsid w:val="004F0AED"/>
    <w:rsid w:val="004F1425"/>
    <w:rsid w:val="004F18DE"/>
    <w:rsid w:val="004F19C6"/>
    <w:rsid w:val="004F1DBD"/>
    <w:rsid w:val="004F1EF0"/>
    <w:rsid w:val="004F21F4"/>
    <w:rsid w:val="004F357B"/>
    <w:rsid w:val="004F3FA6"/>
    <w:rsid w:val="004F4B90"/>
    <w:rsid w:val="004F5134"/>
    <w:rsid w:val="004F5E2E"/>
    <w:rsid w:val="004F6100"/>
    <w:rsid w:val="004F7203"/>
    <w:rsid w:val="004F78A9"/>
    <w:rsid w:val="004F7BDF"/>
    <w:rsid w:val="005008FE"/>
    <w:rsid w:val="00501C88"/>
    <w:rsid w:val="00502E1A"/>
    <w:rsid w:val="00503108"/>
    <w:rsid w:val="00503129"/>
    <w:rsid w:val="00503C8D"/>
    <w:rsid w:val="00503D9C"/>
    <w:rsid w:val="00503F92"/>
    <w:rsid w:val="0050429F"/>
    <w:rsid w:val="005044D2"/>
    <w:rsid w:val="00504ADC"/>
    <w:rsid w:val="00504BA2"/>
    <w:rsid w:val="00505865"/>
    <w:rsid w:val="00506171"/>
    <w:rsid w:val="00506C14"/>
    <w:rsid w:val="00507F3B"/>
    <w:rsid w:val="00510C3C"/>
    <w:rsid w:val="005120DA"/>
    <w:rsid w:val="0051212D"/>
    <w:rsid w:val="005122BA"/>
    <w:rsid w:val="00512659"/>
    <w:rsid w:val="005126AA"/>
    <w:rsid w:val="00512C23"/>
    <w:rsid w:val="00513992"/>
    <w:rsid w:val="005146AC"/>
    <w:rsid w:val="00514AFB"/>
    <w:rsid w:val="0051512A"/>
    <w:rsid w:val="00515149"/>
    <w:rsid w:val="0051569A"/>
    <w:rsid w:val="00515CFA"/>
    <w:rsid w:val="00516308"/>
    <w:rsid w:val="00516322"/>
    <w:rsid w:val="00517241"/>
    <w:rsid w:val="00517BA3"/>
    <w:rsid w:val="0052031E"/>
    <w:rsid w:val="005203D5"/>
    <w:rsid w:val="005205AC"/>
    <w:rsid w:val="005205B0"/>
    <w:rsid w:val="0052114F"/>
    <w:rsid w:val="005211DE"/>
    <w:rsid w:val="0052357E"/>
    <w:rsid w:val="00523E85"/>
    <w:rsid w:val="00523EAE"/>
    <w:rsid w:val="00524677"/>
    <w:rsid w:val="00524F9A"/>
    <w:rsid w:val="00525092"/>
    <w:rsid w:val="00525481"/>
    <w:rsid w:val="0052551E"/>
    <w:rsid w:val="005255D9"/>
    <w:rsid w:val="0052599F"/>
    <w:rsid w:val="00525DE9"/>
    <w:rsid w:val="00526020"/>
    <w:rsid w:val="0052621E"/>
    <w:rsid w:val="00526A06"/>
    <w:rsid w:val="0053004D"/>
    <w:rsid w:val="005300DE"/>
    <w:rsid w:val="005302F1"/>
    <w:rsid w:val="00530B3C"/>
    <w:rsid w:val="00531AA7"/>
    <w:rsid w:val="005320EA"/>
    <w:rsid w:val="00532136"/>
    <w:rsid w:val="005322FF"/>
    <w:rsid w:val="00532453"/>
    <w:rsid w:val="0053362D"/>
    <w:rsid w:val="005338CA"/>
    <w:rsid w:val="00533CDE"/>
    <w:rsid w:val="0053408C"/>
    <w:rsid w:val="00534424"/>
    <w:rsid w:val="00534A50"/>
    <w:rsid w:val="00534D9C"/>
    <w:rsid w:val="005352A9"/>
    <w:rsid w:val="005353A7"/>
    <w:rsid w:val="0053567F"/>
    <w:rsid w:val="0053701B"/>
    <w:rsid w:val="00537536"/>
    <w:rsid w:val="00537D56"/>
    <w:rsid w:val="00541556"/>
    <w:rsid w:val="00541818"/>
    <w:rsid w:val="005431F3"/>
    <w:rsid w:val="005433BF"/>
    <w:rsid w:val="00543564"/>
    <w:rsid w:val="00544732"/>
    <w:rsid w:val="005451F3"/>
    <w:rsid w:val="005459E2"/>
    <w:rsid w:val="00546A27"/>
    <w:rsid w:val="00546BAC"/>
    <w:rsid w:val="0054745B"/>
    <w:rsid w:val="00547A5E"/>
    <w:rsid w:val="00547A82"/>
    <w:rsid w:val="00547B63"/>
    <w:rsid w:val="00550DF9"/>
    <w:rsid w:val="00550F5D"/>
    <w:rsid w:val="00551417"/>
    <w:rsid w:val="00551BA9"/>
    <w:rsid w:val="00552A3C"/>
    <w:rsid w:val="00552E3E"/>
    <w:rsid w:val="005532B0"/>
    <w:rsid w:val="0055378E"/>
    <w:rsid w:val="00553D25"/>
    <w:rsid w:val="005542D4"/>
    <w:rsid w:val="005554BD"/>
    <w:rsid w:val="00555FCF"/>
    <w:rsid w:val="005564F0"/>
    <w:rsid w:val="00556AC9"/>
    <w:rsid w:val="00557469"/>
    <w:rsid w:val="00557593"/>
    <w:rsid w:val="00557703"/>
    <w:rsid w:val="0055799F"/>
    <w:rsid w:val="00557F61"/>
    <w:rsid w:val="0056030F"/>
    <w:rsid w:val="00560557"/>
    <w:rsid w:val="00560B22"/>
    <w:rsid w:val="00560D85"/>
    <w:rsid w:val="005615A6"/>
    <w:rsid w:val="005615EA"/>
    <w:rsid w:val="00561BD0"/>
    <w:rsid w:val="00561BFD"/>
    <w:rsid w:val="00562256"/>
    <w:rsid w:val="005624AE"/>
    <w:rsid w:val="0056276A"/>
    <w:rsid w:val="00562897"/>
    <w:rsid w:val="0056321C"/>
    <w:rsid w:val="00563223"/>
    <w:rsid w:val="00563916"/>
    <w:rsid w:val="00564058"/>
    <w:rsid w:val="00564470"/>
    <w:rsid w:val="005645B2"/>
    <w:rsid w:val="00564806"/>
    <w:rsid w:val="00564B44"/>
    <w:rsid w:val="00564D97"/>
    <w:rsid w:val="00565781"/>
    <w:rsid w:val="0056775E"/>
    <w:rsid w:val="00570962"/>
    <w:rsid w:val="00570A7E"/>
    <w:rsid w:val="005711B9"/>
    <w:rsid w:val="00571A23"/>
    <w:rsid w:val="00571AEE"/>
    <w:rsid w:val="00571F85"/>
    <w:rsid w:val="00572681"/>
    <w:rsid w:val="00573B1B"/>
    <w:rsid w:val="00573B8A"/>
    <w:rsid w:val="0057413D"/>
    <w:rsid w:val="0057484A"/>
    <w:rsid w:val="005748DE"/>
    <w:rsid w:val="00575AF6"/>
    <w:rsid w:val="005761EF"/>
    <w:rsid w:val="00577507"/>
    <w:rsid w:val="00577D73"/>
    <w:rsid w:val="005807BD"/>
    <w:rsid w:val="00583DD1"/>
    <w:rsid w:val="005858DF"/>
    <w:rsid w:val="00586085"/>
    <w:rsid w:val="0058615E"/>
    <w:rsid w:val="00586672"/>
    <w:rsid w:val="00586756"/>
    <w:rsid w:val="00586A1D"/>
    <w:rsid w:val="00587222"/>
    <w:rsid w:val="005876BD"/>
    <w:rsid w:val="005879F6"/>
    <w:rsid w:val="005909EB"/>
    <w:rsid w:val="00590A82"/>
    <w:rsid w:val="00591CB7"/>
    <w:rsid w:val="00591D52"/>
    <w:rsid w:val="00591E91"/>
    <w:rsid w:val="00592C0C"/>
    <w:rsid w:val="00592E9D"/>
    <w:rsid w:val="00593442"/>
    <w:rsid w:val="0059391D"/>
    <w:rsid w:val="00594038"/>
    <w:rsid w:val="005944B4"/>
    <w:rsid w:val="0059462D"/>
    <w:rsid w:val="00594788"/>
    <w:rsid w:val="00594F21"/>
    <w:rsid w:val="00595048"/>
    <w:rsid w:val="00595D9B"/>
    <w:rsid w:val="00595FC1"/>
    <w:rsid w:val="00596367"/>
    <w:rsid w:val="00596814"/>
    <w:rsid w:val="00596879"/>
    <w:rsid w:val="00597AA4"/>
    <w:rsid w:val="00597E97"/>
    <w:rsid w:val="005A04CF"/>
    <w:rsid w:val="005A0A08"/>
    <w:rsid w:val="005A0B0B"/>
    <w:rsid w:val="005A1F11"/>
    <w:rsid w:val="005A2821"/>
    <w:rsid w:val="005A364B"/>
    <w:rsid w:val="005A398C"/>
    <w:rsid w:val="005A39AB"/>
    <w:rsid w:val="005A3B87"/>
    <w:rsid w:val="005A3BB7"/>
    <w:rsid w:val="005A3C1F"/>
    <w:rsid w:val="005A40A2"/>
    <w:rsid w:val="005A48B1"/>
    <w:rsid w:val="005A56D3"/>
    <w:rsid w:val="005A69DC"/>
    <w:rsid w:val="005A6C2B"/>
    <w:rsid w:val="005A75B4"/>
    <w:rsid w:val="005B037B"/>
    <w:rsid w:val="005B1EC3"/>
    <w:rsid w:val="005B1FA6"/>
    <w:rsid w:val="005B2276"/>
    <w:rsid w:val="005B292B"/>
    <w:rsid w:val="005B2B2E"/>
    <w:rsid w:val="005B3FC3"/>
    <w:rsid w:val="005B4B40"/>
    <w:rsid w:val="005B5052"/>
    <w:rsid w:val="005B530E"/>
    <w:rsid w:val="005B5420"/>
    <w:rsid w:val="005B6014"/>
    <w:rsid w:val="005B697C"/>
    <w:rsid w:val="005B7150"/>
    <w:rsid w:val="005B76FE"/>
    <w:rsid w:val="005B7B99"/>
    <w:rsid w:val="005B7C97"/>
    <w:rsid w:val="005C13D1"/>
    <w:rsid w:val="005C2D29"/>
    <w:rsid w:val="005C2F87"/>
    <w:rsid w:val="005C3273"/>
    <w:rsid w:val="005C3327"/>
    <w:rsid w:val="005C338A"/>
    <w:rsid w:val="005C355D"/>
    <w:rsid w:val="005C37D1"/>
    <w:rsid w:val="005C41C8"/>
    <w:rsid w:val="005C48A6"/>
    <w:rsid w:val="005C5276"/>
    <w:rsid w:val="005C5B07"/>
    <w:rsid w:val="005C6417"/>
    <w:rsid w:val="005C6732"/>
    <w:rsid w:val="005C6E15"/>
    <w:rsid w:val="005C747E"/>
    <w:rsid w:val="005C76BC"/>
    <w:rsid w:val="005C7BE9"/>
    <w:rsid w:val="005D00A9"/>
    <w:rsid w:val="005D0BA6"/>
    <w:rsid w:val="005D0E59"/>
    <w:rsid w:val="005D0FA4"/>
    <w:rsid w:val="005D116B"/>
    <w:rsid w:val="005D1BB4"/>
    <w:rsid w:val="005D2666"/>
    <w:rsid w:val="005D2932"/>
    <w:rsid w:val="005D3E91"/>
    <w:rsid w:val="005D48D7"/>
    <w:rsid w:val="005D5473"/>
    <w:rsid w:val="005D5EB0"/>
    <w:rsid w:val="005D6AEE"/>
    <w:rsid w:val="005D6EC9"/>
    <w:rsid w:val="005D7A0A"/>
    <w:rsid w:val="005D7CD3"/>
    <w:rsid w:val="005E03B8"/>
    <w:rsid w:val="005E1479"/>
    <w:rsid w:val="005E2489"/>
    <w:rsid w:val="005E2997"/>
    <w:rsid w:val="005E2EA0"/>
    <w:rsid w:val="005E2F0B"/>
    <w:rsid w:val="005E2F9B"/>
    <w:rsid w:val="005E36D2"/>
    <w:rsid w:val="005E377D"/>
    <w:rsid w:val="005E3A6D"/>
    <w:rsid w:val="005E3A8C"/>
    <w:rsid w:val="005E4314"/>
    <w:rsid w:val="005E55BB"/>
    <w:rsid w:val="005E5EBD"/>
    <w:rsid w:val="005E6583"/>
    <w:rsid w:val="005E6FD1"/>
    <w:rsid w:val="005E7D1B"/>
    <w:rsid w:val="005F09A8"/>
    <w:rsid w:val="005F184C"/>
    <w:rsid w:val="005F262C"/>
    <w:rsid w:val="005F47A2"/>
    <w:rsid w:val="005F48C0"/>
    <w:rsid w:val="005F5096"/>
    <w:rsid w:val="005F5A34"/>
    <w:rsid w:val="005F610E"/>
    <w:rsid w:val="005F6215"/>
    <w:rsid w:val="005F62D6"/>
    <w:rsid w:val="005F692D"/>
    <w:rsid w:val="006017AB"/>
    <w:rsid w:val="00602299"/>
    <w:rsid w:val="0060257E"/>
    <w:rsid w:val="00603430"/>
    <w:rsid w:val="006035FD"/>
    <w:rsid w:val="00603AB1"/>
    <w:rsid w:val="00605792"/>
    <w:rsid w:val="00605BA0"/>
    <w:rsid w:val="00605E2E"/>
    <w:rsid w:val="006065CD"/>
    <w:rsid w:val="0060697F"/>
    <w:rsid w:val="00606B4B"/>
    <w:rsid w:val="00606E0D"/>
    <w:rsid w:val="00607A5E"/>
    <w:rsid w:val="00607D28"/>
    <w:rsid w:val="00607F60"/>
    <w:rsid w:val="00607F99"/>
    <w:rsid w:val="006108F9"/>
    <w:rsid w:val="00610EBE"/>
    <w:rsid w:val="00610FC9"/>
    <w:rsid w:val="0061193C"/>
    <w:rsid w:val="00611C76"/>
    <w:rsid w:val="006123CA"/>
    <w:rsid w:val="00612944"/>
    <w:rsid w:val="0061308D"/>
    <w:rsid w:val="0061313C"/>
    <w:rsid w:val="00613F70"/>
    <w:rsid w:val="00615102"/>
    <w:rsid w:val="00615990"/>
    <w:rsid w:val="006165B2"/>
    <w:rsid w:val="00616756"/>
    <w:rsid w:val="006170A4"/>
    <w:rsid w:val="00617317"/>
    <w:rsid w:val="006200B8"/>
    <w:rsid w:val="0062098A"/>
    <w:rsid w:val="00622A55"/>
    <w:rsid w:val="00622EAC"/>
    <w:rsid w:val="006234B6"/>
    <w:rsid w:val="00623906"/>
    <w:rsid w:val="00624631"/>
    <w:rsid w:val="00624A19"/>
    <w:rsid w:val="006252BE"/>
    <w:rsid w:val="00625977"/>
    <w:rsid w:val="006265F3"/>
    <w:rsid w:val="00626D93"/>
    <w:rsid w:val="00627A51"/>
    <w:rsid w:val="0063137A"/>
    <w:rsid w:val="006313BB"/>
    <w:rsid w:val="0063316A"/>
    <w:rsid w:val="0063369E"/>
    <w:rsid w:val="006336AF"/>
    <w:rsid w:val="00633756"/>
    <w:rsid w:val="00633C97"/>
    <w:rsid w:val="00633DE5"/>
    <w:rsid w:val="00634815"/>
    <w:rsid w:val="00634BC2"/>
    <w:rsid w:val="00634BD2"/>
    <w:rsid w:val="00635C39"/>
    <w:rsid w:val="00636AC3"/>
    <w:rsid w:val="006371EE"/>
    <w:rsid w:val="00637CF9"/>
    <w:rsid w:val="00637DCE"/>
    <w:rsid w:val="006403D4"/>
    <w:rsid w:val="00640939"/>
    <w:rsid w:val="00641176"/>
    <w:rsid w:val="00641698"/>
    <w:rsid w:val="006418A1"/>
    <w:rsid w:val="0064260F"/>
    <w:rsid w:val="006428EF"/>
    <w:rsid w:val="00642BE5"/>
    <w:rsid w:val="00643846"/>
    <w:rsid w:val="00643BC5"/>
    <w:rsid w:val="00644348"/>
    <w:rsid w:val="00645038"/>
    <w:rsid w:val="0064515D"/>
    <w:rsid w:val="00645239"/>
    <w:rsid w:val="00646C8D"/>
    <w:rsid w:val="00646F53"/>
    <w:rsid w:val="00646F67"/>
    <w:rsid w:val="006479A6"/>
    <w:rsid w:val="00647AA2"/>
    <w:rsid w:val="00650B47"/>
    <w:rsid w:val="00651115"/>
    <w:rsid w:val="00651F9B"/>
    <w:rsid w:val="006520A8"/>
    <w:rsid w:val="006528DD"/>
    <w:rsid w:val="00652BFB"/>
    <w:rsid w:val="0065333D"/>
    <w:rsid w:val="00653F46"/>
    <w:rsid w:val="00654517"/>
    <w:rsid w:val="00654DC6"/>
    <w:rsid w:val="00655ACD"/>
    <w:rsid w:val="00657592"/>
    <w:rsid w:val="00660919"/>
    <w:rsid w:val="00660DFA"/>
    <w:rsid w:val="0066118F"/>
    <w:rsid w:val="00661784"/>
    <w:rsid w:val="00661D7C"/>
    <w:rsid w:val="00662BB5"/>
    <w:rsid w:val="00663822"/>
    <w:rsid w:val="00663EC2"/>
    <w:rsid w:val="0066416D"/>
    <w:rsid w:val="00664B1C"/>
    <w:rsid w:val="00664B57"/>
    <w:rsid w:val="006652A7"/>
    <w:rsid w:val="00665B9B"/>
    <w:rsid w:val="00665BC4"/>
    <w:rsid w:val="00666C21"/>
    <w:rsid w:val="00667534"/>
    <w:rsid w:val="00670654"/>
    <w:rsid w:val="0067259C"/>
    <w:rsid w:val="006760E3"/>
    <w:rsid w:val="0067647D"/>
    <w:rsid w:val="00680D70"/>
    <w:rsid w:val="00680F4E"/>
    <w:rsid w:val="006816A2"/>
    <w:rsid w:val="0068180F"/>
    <w:rsid w:val="00681CEA"/>
    <w:rsid w:val="006838A2"/>
    <w:rsid w:val="00683CD6"/>
    <w:rsid w:val="006864EC"/>
    <w:rsid w:val="00686D3D"/>
    <w:rsid w:val="006873FB"/>
    <w:rsid w:val="00687799"/>
    <w:rsid w:val="00687877"/>
    <w:rsid w:val="00687C4D"/>
    <w:rsid w:val="0069029C"/>
    <w:rsid w:val="00692191"/>
    <w:rsid w:val="00692252"/>
    <w:rsid w:val="00692E38"/>
    <w:rsid w:val="00693C1C"/>
    <w:rsid w:val="00693DB1"/>
    <w:rsid w:val="006945B7"/>
    <w:rsid w:val="00695DF5"/>
    <w:rsid w:val="00695E1E"/>
    <w:rsid w:val="006961A1"/>
    <w:rsid w:val="00696518"/>
    <w:rsid w:val="006965DF"/>
    <w:rsid w:val="00697694"/>
    <w:rsid w:val="0069780F"/>
    <w:rsid w:val="00697B04"/>
    <w:rsid w:val="006A05DC"/>
    <w:rsid w:val="006A0763"/>
    <w:rsid w:val="006A110D"/>
    <w:rsid w:val="006A2224"/>
    <w:rsid w:val="006A267A"/>
    <w:rsid w:val="006A283F"/>
    <w:rsid w:val="006A2D5E"/>
    <w:rsid w:val="006A39D1"/>
    <w:rsid w:val="006A4476"/>
    <w:rsid w:val="006A4521"/>
    <w:rsid w:val="006A4525"/>
    <w:rsid w:val="006A4960"/>
    <w:rsid w:val="006A5D89"/>
    <w:rsid w:val="006A5FFA"/>
    <w:rsid w:val="006A6407"/>
    <w:rsid w:val="006A6635"/>
    <w:rsid w:val="006A69AA"/>
    <w:rsid w:val="006A6F0C"/>
    <w:rsid w:val="006A7254"/>
    <w:rsid w:val="006A739C"/>
    <w:rsid w:val="006A78DC"/>
    <w:rsid w:val="006B003B"/>
    <w:rsid w:val="006B0B19"/>
    <w:rsid w:val="006B0F75"/>
    <w:rsid w:val="006B2052"/>
    <w:rsid w:val="006B22FD"/>
    <w:rsid w:val="006B2B8C"/>
    <w:rsid w:val="006B3F55"/>
    <w:rsid w:val="006B452F"/>
    <w:rsid w:val="006B4DFE"/>
    <w:rsid w:val="006B5088"/>
    <w:rsid w:val="006B50AC"/>
    <w:rsid w:val="006B5580"/>
    <w:rsid w:val="006B756B"/>
    <w:rsid w:val="006C016A"/>
    <w:rsid w:val="006C0180"/>
    <w:rsid w:val="006C0A6D"/>
    <w:rsid w:val="006C10D2"/>
    <w:rsid w:val="006C1191"/>
    <w:rsid w:val="006C14A8"/>
    <w:rsid w:val="006C1974"/>
    <w:rsid w:val="006C28A1"/>
    <w:rsid w:val="006C317A"/>
    <w:rsid w:val="006C352A"/>
    <w:rsid w:val="006C405B"/>
    <w:rsid w:val="006C49AC"/>
    <w:rsid w:val="006C4F32"/>
    <w:rsid w:val="006C5FA9"/>
    <w:rsid w:val="006C6336"/>
    <w:rsid w:val="006C6607"/>
    <w:rsid w:val="006C66E5"/>
    <w:rsid w:val="006C6815"/>
    <w:rsid w:val="006C6FBE"/>
    <w:rsid w:val="006C7585"/>
    <w:rsid w:val="006C7CF3"/>
    <w:rsid w:val="006D0185"/>
    <w:rsid w:val="006D0417"/>
    <w:rsid w:val="006D2668"/>
    <w:rsid w:val="006D2E83"/>
    <w:rsid w:val="006D388A"/>
    <w:rsid w:val="006D3D75"/>
    <w:rsid w:val="006D431C"/>
    <w:rsid w:val="006D43BF"/>
    <w:rsid w:val="006D4B03"/>
    <w:rsid w:val="006D5B34"/>
    <w:rsid w:val="006D5CF1"/>
    <w:rsid w:val="006D61AA"/>
    <w:rsid w:val="006D68FC"/>
    <w:rsid w:val="006D6B0E"/>
    <w:rsid w:val="006D79E2"/>
    <w:rsid w:val="006D7D6B"/>
    <w:rsid w:val="006D7D7E"/>
    <w:rsid w:val="006E03B1"/>
    <w:rsid w:val="006E04B6"/>
    <w:rsid w:val="006E0ACD"/>
    <w:rsid w:val="006E0BE9"/>
    <w:rsid w:val="006E128A"/>
    <w:rsid w:val="006E1346"/>
    <w:rsid w:val="006E140B"/>
    <w:rsid w:val="006E14C7"/>
    <w:rsid w:val="006E2017"/>
    <w:rsid w:val="006E345F"/>
    <w:rsid w:val="006E3840"/>
    <w:rsid w:val="006E3AA0"/>
    <w:rsid w:val="006E3B51"/>
    <w:rsid w:val="006E4AAB"/>
    <w:rsid w:val="006E51C6"/>
    <w:rsid w:val="006E5546"/>
    <w:rsid w:val="006E5596"/>
    <w:rsid w:val="006E5740"/>
    <w:rsid w:val="006E5D69"/>
    <w:rsid w:val="006E5E90"/>
    <w:rsid w:val="006E5EAC"/>
    <w:rsid w:val="006E6A17"/>
    <w:rsid w:val="006E6F23"/>
    <w:rsid w:val="006E7456"/>
    <w:rsid w:val="006F0655"/>
    <w:rsid w:val="006F119F"/>
    <w:rsid w:val="006F352A"/>
    <w:rsid w:val="006F3561"/>
    <w:rsid w:val="006F3D4D"/>
    <w:rsid w:val="006F4032"/>
    <w:rsid w:val="006F45D1"/>
    <w:rsid w:val="006F4A72"/>
    <w:rsid w:val="006F5DF1"/>
    <w:rsid w:val="006F6AC9"/>
    <w:rsid w:val="007007C7"/>
    <w:rsid w:val="00700C5F"/>
    <w:rsid w:val="007013A7"/>
    <w:rsid w:val="007018F8"/>
    <w:rsid w:val="00702296"/>
    <w:rsid w:val="00702392"/>
    <w:rsid w:val="00703841"/>
    <w:rsid w:val="00703C04"/>
    <w:rsid w:val="00704B51"/>
    <w:rsid w:val="00704EA7"/>
    <w:rsid w:val="007055DA"/>
    <w:rsid w:val="007069ED"/>
    <w:rsid w:val="00706D46"/>
    <w:rsid w:val="00707C13"/>
    <w:rsid w:val="00707CCA"/>
    <w:rsid w:val="007100F0"/>
    <w:rsid w:val="00710114"/>
    <w:rsid w:val="0071035B"/>
    <w:rsid w:val="00710DEB"/>
    <w:rsid w:val="00711259"/>
    <w:rsid w:val="00711AA4"/>
    <w:rsid w:val="00711DEA"/>
    <w:rsid w:val="00712051"/>
    <w:rsid w:val="00712208"/>
    <w:rsid w:val="00712271"/>
    <w:rsid w:val="0071487F"/>
    <w:rsid w:val="00715B45"/>
    <w:rsid w:val="00716000"/>
    <w:rsid w:val="007165C2"/>
    <w:rsid w:val="00716F1F"/>
    <w:rsid w:val="0071753A"/>
    <w:rsid w:val="00717A78"/>
    <w:rsid w:val="007207A7"/>
    <w:rsid w:val="00721B60"/>
    <w:rsid w:val="00722F41"/>
    <w:rsid w:val="00724312"/>
    <w:rsid w:val="0072457B"/>
    <w:rsid w:val="007255A5"/>
    <w:rsid w:val="00725DAC"/>
    <w:rsid w:val="00725EC1"/>
    <w:rsid w:val="0072677D"/>
    <w:rsid w:val="007267E5"/>
    <w:rsid w:val="007269F7"/>
    <w:rsid w:val="00726CD3"/>
    <w:rsid w:val="00726CFC"/>
    <w:rsid w:val="00726E8E"/>
    <w:rsid w:val="00726EB3"/>
    <w:rsid w:val="00726F26"/>
    <w:rsid w:val="0072762E"/>
    <w:rsid w:val="00727910"/>
    <w:rsid w:val="00727A14"/>
    <w:rsid w:val="00727AA7"/>
    <w:rsid w:val="00727CB6"/>
    <w:rsid w:val="00730A51"/>
    <w:rsid w:val="00731125"/>
    <w:rsid w:val="00731816"/>
    <w:rsid w:val="0073189F"/>
    <w:rsid w:val="0073198F"/>
    <w:rsid w:val="00731DDA"/>
    <w:rsid w:val="00732346"/>
    <w:rsid w:val="007324FB"/>
    <w:rsid w:val="007327AA"/>
    <w:rsid w:val="00732C51"/>
    <w:rsid w:val="0073463A"/>
    <w:rsid w:val="00734A84"/>
    <w:rsid w:val="007357EB"/>
    <w:rsid w:val="007358FE"/>
    <w:rsid w:val="007363F9"/>
    <w:rsid w:val="0073645E"/>
    <w:rsid w:val="0073658D"/>
    <w:rsid w:val="007368B3"/>
    <w:rsid w:val="00736C85"/>
    <w:rsid w:val="007371DF"/>
    <w:rsid w:val="00737F5D"/>
    <w:rsid w:val="00740322"/>
    <w:rsid w:val="007407DC"/>
    <w:rsid w:val="00741EA0"/>
    <w:rsid w:val="00741FDA"/>
    <w:rsid w:val="00742AF9"/>
    <w:rsid w:val="00742C49"/>
    <w:rsid w:val="00742EEF"/>
    <w:rsid w:val="007434F2"/>
    <w:rsid w:val="007437E9"/>
    <w:rsid w:val="007445B7"/>
    <w:rsid w:val="0074494F"/>
    <w:rsid w:val="00744C7D"/>
    <w:rsid w:val="00745434"/>
    <w:rsid w:val="00745BF8"/>
    <w:rsid w:val="007460DA"/>
    <w:rsid w:val="00747424"/>
    <w:rsid w:val="00747A8C"/>
    <w:rsid w:val="00747C4A"/>
    <w:rsid w:val="00747F97"/>
    <w:rsid w:val="00750110"/>
    <w:rsid w:val="00750412"/>
    <w:rsid w:val="00751092"/>
    <w:rsid w:val="00751AC3"/>
    <w:rsid w:val="007520B0"/>
    <w:rsid w:val="00752250"/>
    <w:rsid w:val="00752789"/>
    <w:rsid w:val="00752B72"/>
    <w:rsid w:val="0075347A"/>
    <w:rsid w:val="007535FA"/>
    <w:rsid w:val="0075447C"/>
    <w:rsid w:val="00754F35"/>
    <w:rsid w:val="00755811"/>
    <w:rsid w:val="007566BA"/>
    <w:rsid w:val="00756A22"/>
    <w:rsid w:val="00756AE4"/>
    <w:rsid w:val="00756E90"/>
    <w:rsid w:val="0075749C"/>
    <w:rsid w:val="00757682"/>
    <w:rsid w:val="00757AFD"/>
    <w:rsid w:val="00757C64"/>
    <w:rsid w:val="0076038C"/>
    <w:rsid w:val="00760592"/>
    <w:rsid w:val="00760A87"/>
    <w:rsid w:val="00760FDC"/>
    <w:rsid w:val="00761AC6"/>
    <w:rsid w:val="00761D5E"/>
    <w:rsid w:val="0076224F"/>
    <w:rsid w:val="00762468"/>
    <w:rsid w:val="0076291A"/>
    <w:rsid w:val="00762B63"/>
    <w:rsid w:val="00763185"/>
    <w:rsid w:val="0076327B"/>
    <w:rsid w:val="00763B4A"/>
    <w:rsid w:val="00766E38"/>
    <w:rsid w:val="00767E8E"/>
    <w:rsid w:val="0077067C"/>
    <w:rsid w:val="00771433"/>
    <w:rsid w:val="00771A4A"/>
    <w:rsid w:val="0077331D"/>
    <w:rsid w:val="0077376C"/>
    <w:rsid w:val="00774A75"/>
    <w:rsid w:val="00774B51"/>
    <w:rsid w:val="00775236"/>
    <w:rsid w:val="007752D5"/>
    <w:rsid w:val="007770EB"/>
    <w:rsid w:val="007812DA"/>
    <w:rsid w:val="00781FA5"/>
    <w:rsid w:val="0078328C"/>
    <w:rsid w:val="00783625"/>
    <w:rsid w:val="00783D59"/>
    <w:rsid w:val="00783EBD"/>
    <w:rsid w:val="00784BF1"/>
    <w:rsid w:val="00784C27"/>
    <w:rsid w:val="00786406"/>
    <w:rsid w:val="00786501"/>
    <w:rsid w:val="007879B5"/>
    <w:rsid w:val="00787E02"/>
    <w:rsid w:val="007905DD"/>
    <w:rsid w:val="00790DDF"/>
    <w:rsid w:val="00790F63"/>
    <w:rsid w:val="00790FC1"/>
    <w:rsid w:val="0079136E"/>
    <w:rsid w:val="0079164F"/>
    <w:rsid w:val="00791C62"/>
    <w:rsid w:val="00791E35"/>
    <w:rsid w:val="00792221"/>
    <w:rsid w:val="00794A44"/>
    <w:rsid w:val="007952E3"/>
    <w:rsid w:val="00795329"/>
    <w:rsid w:val="0079637B"/>
    <w:rsid w:val="00796EF2"/>
    <w:rsid w:val="007972A2"/>
    <w:rsid w:val="0079774A"/>
    <w:rsid w:val="007A023B"/>
    <w:rsid w:val="007A067C"/>
    <w:rsid w:val="007A0757"/>
    <w:rsid w:val="007A0E0F"/>
    <w:rsid w:val="007A1051"/>
    <w:rsid w:val="007A15FE"/>
    <w:rsid w:val="007A1A7E"/>
    <w:rsid w:val="007A1E28"/>
    <w:rsid w:val="007A2B72"/>
    <w:rsid w:val="007A3219"/>
    <w:rsid w:val="007A4334"/>
    <w:rsid w:val="007A4E9C"/>
    <w:rsid w:val="007A527F"/>
    <w:rsid w:val="007A7279"/>
    <w:rsid w:val="007A763C"/>
    <w:rsid w:val="007B0464"/>
    <w:rsid w:val="007B15B0"/>
    <w:rsid w:val="007B1BD6"/>
    <w:rsid w:val="007B1F81"/>
    <w:rsid w:val="007B25A2"/>
    <w:rsid w:val="007B2928"/>
    <w:rsid w:val="007B2D21"/>
    <w:rsid w:val="007B2FD0"/>
    <w:rsid w:val="007B3226"/>
    <w:rsid w:val="007B3439"/>
    <w:rsid w:val="007B3E12"/>
    <w:rsid w:val="007B3E23"/>
    <w:rsid w:val="007B4A3A"/>
    <w:rsid w:val="007B4B46"/>
    <w:rsid w:val="007B4B6A"/>
    <w:rsid w:val="007B5F38"/>
    <w:rsid w:val="007B65AC"/>
    <w:rsid w:val="007B6A1E"/>
    <w:rsid w:val="007B6E44"/>
    <w:rsid w:val="007C05EB"/>
    <w:rsid w:val="007C082A"/>
    <w:rsid w:val="007C1060"/>
    <w:rsid w:val="007C1109"/>
    <w:rsid w:val="007C1C89"/>
    <w:rsid w:val="007C1D0B"/>
    <w:rsid w:val="007C3F79"/>
    <w:rsid w:val="007C435D"/>
    <w:rsid w:val="007C43CA"/>
    <w:rsid w:val="007C4EEA"/>
    <w:rsid w:val="007C550D"/>
    <w:rsid w:val="007C58BF"/>
    <w:rsid w:val="007C5AA8"/>
    <w:rsid w:val="007C63D2"/>
    <w:rsid w:val="007C654B"/>
    <w:rsid w:val="007C681A"/>
    <w:rsid w:val="007C6E74"/>
    <w:rsid w:val="007C7254"/>
    <w:rsid w:val="007C741B"/>
    <w:rsid w:val="007C7CDF"/>
    <w:rsid w:val="007D0662"/>
    <w:rsid w:val="007D0B7E"/>
    <w:rsid w:val="007D1211"/>
    <w:rsid w:val="007D159A"/>
    <w:rsid w:val="007D32D8"/>
    <w:rsid w:val="007D3357"/>
    <w:rsid w:val="007D3DD3"/>
    <w:rsid w:val="007D3E69"/>
    <w:rsid w:val="007D53EA"/>
    <w:rsid w:val="007D5B78"/>
    <w:rsid w:val="007D5E64"/>
    <w:rsid w:val="007D6064"/>
    <w:rsid w:val="007D6A9A"/>
    <w:rsid w:val="007D7111"/>
    <w:rsid w:val="007D7CE4"/>
    <w:rsid w:val="007E17BD"/>
    <w:rsid w:val="007E219D"/>
    <w:rsid w:val="007E2473"/>
    <w:rsid w:val="007E36D0"/>
    <w:rsid w:val="007E4DF8"/>
    <w:rsid w:val="007E4FFF"/>
    <w:rsid w:val="007E5363"/>
    <w:rsid w:val="007E5A2F"/>
    <w:rsid w:val="007E5F86"/>
    <w:rsid w:val="007E613E"/>
    <w:rsid w:val="007E61C1"/>
    <w:rsid w:val="007E6FA1"/>
    <w:rsid w:val="007E72D8"/>
    <w:rsid w:val="007F00B1"/>
    <w:rsid w:val="007F1FF0"/>
    <w:rsid w:val="007F2122"/>
    <w:rsid w:val="007F2506"/>
    <w:rsid w:val="007F2A5C"/>
    <w:rsid w:val="007F2F85"/>
    <w:rsid w:val="007F33A2"/>
    <w:rsid w:val="007F363E"/>
    <w:rsid w:val="007F3EBF"/>
    <w:rsid w:val="007F404A"/>
    <w:rsid w:val="007F4664"/>
    <w:rsid w:val="007F4815"/>
    <w:rsid w:val="007F5149"/>
    <w:rsid w:val="007F5A30"/>
    <w:rsid w:val="007F5B8D"/>
    <w:rsid w:val="007F6729"/>
    <w:rsid w:val="007F6B71"/>
    <w:rsid w:val="007F6E7C"/>
    <w:rsid w:val="007F70B7"/>
    <w:rsid w:val="007F761A"/>
    <w:rsid w:val="007F7A76"/>
    <w:rsid w:val="008002D0"/>
    <w:rsid w:val="008007B4"/>
    <w:rsid w:val="0080102E"/>
    <w:rsid w:val="008019B7"/>
    <w:rsid w:val="00801AA5"/>
    <w:rsid w:val="00802187"/>
    <w:rsid w:val="0080483E"/>
    <w:rsid w:val="0080499C"/>
    <w:rsid w:val="008049C5"/>
    <w:rsid w:val="00804D8C"/>
    <w:rsid w:val="00805134"/>
    <w:rsid w:val="00806101"/>
    <w:rsid w:val="00806324"/>
    <w:rsid w:val="00806740"/>
    <w:rsid w:val="00806C1F"/>
    <w:rsid w:val="00806C33"/>
    <w:rsid w:val="00806CCE"/>
    <w:rsid w:val="00807161"/>
    <w:rsid w:val="00807ED5"/>
    <w:rsid w:val="0081063B"/>
    <w:rsid w:val="008112EA"/>
    <w:rsid w:val="00811544"/>
    <w:rsid w:val="00811968"/>
    <w:rsid w:val="00812829"/>
    <w:rsid w:val="00812DAD"/>
    <w:rsid w:val="00812ED8"/>
    <w:rsid w:val="00813322"/>
    <w:rsid w:val="00813557"/>
    <w:rsid w:val="00813664"/>
    <w:rsid w:val="0081387A"/>
    <w:rsid w:val="0081427A"/>
    <w:rsid w:val="008147CC"/>
    <w:rsid w:val="008153DB"/>
    <w:rsid w:val="0081559B"/>
    <w:rsid w:val="0081646A"/>
    <w:rsid w:val="00816964"/>
    <w:rsid w:val="008172A0"/>
    <w:rsid w:val="008172CB"/>
    <w:rsid w:val="00820A08"/>
    <w:rsid w:val="00821011"/>
    <w:rsid w:val="00821141"/>
    <w:rsid w:val="008212D9"/>
    <w:rsid w:val="00821ED5"/>
    <w:rsid w:val="00821F40"/>
    <w:rsid w:val="008224EA"/>
    <w:rsid w:val="0082257C"/>
    <w:rsid w:val="00822EE4"/>
    <w:rsid w:val="00823114"/>
    <w:rsid w:val="008232A2"/>
    <w:rsid w:val="00823B96"/>
    <w:rsid w:val="00824D5D"/>
    <w:rsid w:val="00824FED"/>
    <w:rsid w:val="008263A7"/>
    <w:rsid w:val="0082674D"/>
    <w:rsid w:val="008268F2"/>
    <w:rsid w:val="0082737D"/>
    <w:rsid w:val="00827845"/>
    <w:rsid w:val="008278E8"/>
    <w:rsid w:val="00830C54"/>
    <w:rsid w:val="00830FE2"/>
    <w:rsid w:val="008312B9"/>
    <w:rsid w:val="00831FAB"/>
    <w:rsid w:val="0083236A"/>
    <w:rsid w:val="00833A4C"/>
    <w:rsid w:val="00833C20"/>
    <w:rsid w:val="008344F2"/>
    <w:rsid w:val="00834600"/>
    <w:rsid w:val="00835776"/>
    <w:rsid w:val="008357E1"/>
    <w:rsid w:val="008370F2"/>
    <w:rsid w:val="00837280"/>
    <w:rsid w:val="008400B8"/>
    <w:rsid w:val="00840972"/>
    <w:rsid w:val="00840A61"/>
    <w:rsid w:val="008410CC"/>
    <w:rsid w:val="00841371"/>
    <w:rsid w:val="00841412"/>
    <w:rsid w:val="008416AD"/>
    <w:rsid w:val="0084225A"/>
    <w:rsid w:val="00842BC3"/>
    <w:rsid w:val="00843845"/>
    <w:rsid w:val="0084385E"/>
    <w:rsid w:val="00843E88"/>
    <w:rsid w:val="00844AA1"/>
    <w:rsid w:val="00844EFC"/>
    <w:rsid w:val="008457CF"/>
    <w:rsid w:val="00845A19"/>
    <w:rsid w:val="00846BD4"/>
    <w:rsid w:val="00846C20"/>
    <w:rsid w:val="00846EFF"/>
    <w:rsid w:val="00847EFD"/>
    <w:rsid w:val="008500D5"/>
    <w:rsid w:val="00851082"/>
    <w:rsid w:val="008535BB"/>
    <w:rsid w:val="00853902"/>
    <w:rsid w:val="00854BB8"/>
    <w:rsid w:val="00855144"/>
    <w:rsid w:val="008551EB"/>
    <w:rsid w:val="00855284"/>
    <w:rsid w:val="008563BF"/>
    <w:rsid w:val="00856BB6"/>
    <w:rsid w:val="00857279"/>
    <w:rsid w:val="008578F7"/>
    <w:rsid w:val="00857B62"/>
    <w:rsid w:val="0086016D"/>
    <w:rsid w:val="008614B6"/>
    <w:rsid w:val="00861FDF"/>
    <w:rsid w:val="0086230E"/>
    <w:rsid w:val="008623F5"/>
    <w:rsid w:val="0086273F"/>
    <w:rsid w:val="00862B0B"/>
    <w:rsid w:val="00862B9A"/>
    <w:rsid w:val="00862BBD"/>
    <w:rsid w:val="00862DD6"/>
    <w:rsid w:val="008630A3"/>
    <w:rsid w:val="0086380A"/>
    <w:rsid w:val="00863B7E"/>
    <w:rsid w:val="00863EE3"/>
    <w:rsid w:val="0086407D"/>
    <w:rsid w:val="008645E7"/>
    <w:rsid w:val="00864DE7"/>
    <w:rsid w:val="00865649"/>
    <w:rsid w:val="0086589F"/>
    <w:rsid w:val="00865D34"/>
    <w:rsid w:val="00865D73"/>
    <w:rsid w:val="00866765"/>
    <w:rsid w:val="00866D22"/>
    <w:rsid w:val="0086742E"/>
    <w:rsid w:val="00867850"/>
    <w:rsid w:val="00867A3A"/>
    <w:rsid w:val="00867ED6"/>
    <w:rsid w:val="00870803"/>
    <w:rsid w:val="00870AF2"/>
    <w:rsid w:val="00870F0A"/>
    <w:rsid w:val="008724FC"/>
    <w:rsid w:val="008727B7"/>
    <w:rsid w:val="00872B65"/>
    <w:rsid w:val="008744A5"/>
    <w:rsid w:val="00874AAE"/>
    <w:rsid w:val="00874EE6"/>
    <w:rsid w:val="00874F10"/>
    <w:rsid w:val="00875B05"/>
    <w:rsid w:val="00876400"/>
    <w:rsid w:val="00876946"/>
    <w:rsid w:val="00876C70"/>
    <w:rsid w:val="008779C2"/>
    <w:rsid w:val="0088005B"/>
    <w:rsid w:val="008817CF"/>
    <w:rsid w:val="0088238C"/>
    <w:rsid w:val="00882801"/>
    <w:rsid w:val="00884771"/>
    <w:rsid w:val="00884AEE"/>
    <w:rsid w:val="00885276"/>
    <w:rsid w:val="00885B6E"/>
    <w:rsid w:val="008871D7"/>
    <w:rsid w:val="008874CF"/>
    <w:rsid w:val="00887980"/>
    <w:rsid w:val="00887C21"/>
    <w:rsid w:val="00887EEB"/>
    <w:rsid w:val="008902FC"/>
    <w:rsid w:val="00890D00"/>
    <w:rsid w:val="00891705"/>
    <w:rsid w:val="00891CF4"/>
    <w:rsid w:val="008925B4"/>
    <w:rsid w:val="008930DB"/>
    <w:rsid w:val="00893632"/>
    <w:rsid w:val="00893E85"/>
    <w:rsid w:val="00894C9C"/>
    <w:rsid w:val="008960D5"/>
    <w:rsid w:val="00896360"/>
    <w:rsid w:val="00896541"/>
    <w:rsid w:val="00896F7B"/>
    <w:rsid w:val="00897945"/>
    <w:rsid w:val="008A02B1"/>
    <w:rsid w:val="008A2797"/>
    <w:rsid w:val="008A293C"/>
    <w:rsid w:val="008A3900"/>
    <w:rsid w:val="008A4258"/>
    <w:rsid w:val="008A6C8B"/>
    <w:rsid w:val="008A7C1C"/>
    <w:rsid w:val="008A7E35"/>
    <w:rsid w:val="008A7E8A"/>
    <w:rsid w:val="008B011C"/>
    <w:rsid w:val="008B0409"/>
    <w:rsid w:val="008B0F9B"/>
    <w:rsid w:val="008B11FD"/>
    <w:rsid w:val="008B1300"/>
    <w:rsid w:val="008B14A1"/>
    <w:rsid w:val="008B1682"/>
    <w:rsid w:val="008B1700"/>
    <w:rsid w:val="008B19DD"/>
    <w:rsid w:val="008B1CCA"/>
    <w:rsid w:val="008B2B7E"/>
    <w:rsid w:val="008B3163"/>
    <w:rsid w:val="008B4336"/>
    <w:rsid w:val="008B4418"/>
    <w:rsid w:val="008B4DF7"/>
    <w:rsid w:val="008B52A3"/>
    <w:rsid w:val="008B5DE4"/>
    <w:rsid w:val="008B5F82"/>
    <w:rsid w:val="008B753E"/>
    <w:rsid w:val="008C0B5C"/>
    <w:rsid w:val="008C0B71"/>
    <w:rsid w:val="008C1463"/>
    <w:rsid w:val="008C2C69"/>
    <w:rsid w:val="008C3965"/>
    <w:rsid w:val="008C438E"/>
    <w:rsid w:val="008C4B1C"/>
    <w:rsid w:val="008C4B83"/>
    <w:rsid w:val="008C4EB8"/>
    <w:rsid w:val="008C5093"/>
    <w:rsid w:val="008C571C"/>
    <w:rsid w:val="008C60D2"/>
    <w:rsid w:val="008D13C8"/>
    <w:rsid w:val="008D19F2"/>
    <w:rsid w:val="008D1D17"/>
    <w:rsid w:val="008D20C2"/>
    <w:rsid w:val="008D2325"/>
    <w:rsid w:val="008D26B0"/>
    <w:rsid w:val="008D303A"/>
    <w:rsid w:val="008D3A73"/>
    <w:rsid w:val="008D3F02"/>
    <w:rsid w:val="008D444D"/>
    <w:rsid w:val="008D4AB7"/>
    <w:rsid w:val="008D4D0B"/>
    <w:rsid w:val="008D5414"/>
    <w:rsid w:val="008D5BA7"/>
    <w:rsid w:val="008D5BF8"/>
    <w:rsid w:val="008D5CEE"/>
    <w:rsid w:val="008D77DD"/>
    <w:rsid w:val="008D7C05"/>
    <w:rsid w:val="008D7EC1"/>
    <w:rsid w:val="008E009D"/>
    <w:rsid w:val="008E08FB"/>
    <w:rsid w:val="008E11F5"/>
    <w:rsid w:val="008E1EB2"/>
    <w:rsid w:val="008E262F"/>
    <w:rsid w:val="008E2864"/>
    <w:rsid w:val="008E2969"/>
    <w:rsid w:val="008E30EE"/>
    <w:rsid w:val="008E34BF"/>
    <w:rsid w:val="008E37AA"/>
    <w:rsid w:val="008E43ED"/>
    <w:rsid w:val="008E46E7"/>
    <w:rsid w:val="008E4CE0"/>
    <w:rsid w:val="008E5CFE"/>
    <w:rsid w:val="008E605C"/>
    <w:rsid w:val="008E64DE"/>
    <w:rsid w:val="008E6D8E"/>
    <w:rsid w:val="008E707D"/>
    <w:rsid w:val="008E75FD"/>
    <w:rsid w:val="008F0CD0"/>
    <w:rsid w:val="008F1549"/>
    <w:rsid w:val="008F21F9"/>
    <w:rsid w:val="008F31F4"/>
    <w:rsid w:val="008F36FC"/>
    <w:rsid w:val="008F3CDC"/>
    <w:rsid w:val="008F3CDE"/>
    <w:rsid w:val="008F3E55"/>
    <w:rsid w:val="008F4738"/>
    <w:rsid w:val="008F4C5F"/>
    <w:rsid w:val="008F5254"/>
    <w:rsid w:val="008F52B1"/>
    <w:rsid w:val="008F534E"/>
    <w:rsid w:val="008F567F"/>
    <w:rsid w:val="008F69ED"/>
    <w:rsid w:val="00900564"/>
    <w:rsid w:val="00901D1A"/>
    <w:rsid w:val="00902244"/>
    <w:rsid w:val="009022A6"/>
    <w:rsid w:val="00902F9E"/>
    <w:rsid w:val="00903006"/>
    <w:rsid w:val="009032E3"/>
    <w:rsid w:val="00904BF1"/>
    <w:rsid w:val="00904ECC"/>
    <w:rsid w:val="0090591A"/>
    <w:rsid w:val="00905CD7"/>
    <w:rsid w:val="00906225"/>
    <w:rsid w:val="0090669D"/>
    <w:rsid w:val="00906AC3"/>
    <w:rsid w:val="00906B36"/>
    <w:rsid w:val="009077AD"/>
    <w:rsid w:val="00907F42"/>
    <w:rsid w:val="00910329"/>
    <w:rsid w:val="00910808"/>
    <w:rsid w:val="009108EB"/>
    <w:rsid w:val="009108FC"/>
    <w:rsid w:val="009109BA"/>
    <w:rsid w:val="00911718"/>
    <w:rsid w:val="00911781"/>
    <w:rsid w:val="00911826"/>
    <w:rsid w:val="0091196F"/>
    <w:rsid w:val="00911D15"/>
    <w:rsid w:val="00911DDF"/>
    <w:rsid w:val="009121D4"/>
    <w:rsid w:val="00912672"/>
    <w:rsid w:val="00912C8A"/>
    <w:rsid w:val="0091351E"/>
    <w:rsid w:val="009142F0"/>
    <w:rsid w:val="00914ADD"/>
    <w:rsid w:val="00914BBB"/>
    <w:rsid w:val="009157EF"/>
    <w:rsid w:val="0091668A"/>
    <w:rsid w:val="009168A1"/>
    <w:rsid w:val="009168CE"/>
    <w:rsid w:val="00916CDB"/>
    <w:rsid w:val="00917383"/>
    <w:rsid w:val="0091740A"/>
    <w:rsid w:val="00917D16"/>
    <w:rsid w:val="00920522"/>
    <w:rsid w:val="009212B7"/>
    <w:rsid w:val="00921301"/>
    <w:rsid w:val="0092153A"/>
    <w:rsid w:val="0092162F"/>
    <w:rsid w:val="00921BEF"/>
    <w:rsid w:val="00921C4A"/>
    <w:rsid w:val="00922AAD"/>
    <w:rsid w:val="00922AE6"/>
    <w:rsid w:val="00922DF1"/>
    <w:rsid w:val="0092387E"/>
    <w:rsid w:val="00923CBB"/>
    <w:rsid w:val="0092421F"/>
    <w:rsid w:val="00924554"/>
    <w:rsid w:val="00924568"/>
    <w:rsid w:val="0092464D"/>
    <w:rsid w:val="009249A9"/>
    <w:rsid w:val="00924DB7"/>
    <w:rsid w:val="00924F5F"/>
    <w:rsid w:val="0092561A"/>
    <w:rsid w:val="00925B22"/>
    <w:rsid w:val="00925B2D"/>
    <w:rsid w:val="00925D6B"/>
    <w:rsid w:val="00926073"/>
    <w:rsid w:val="00926800"/>
    <w:rsid w:val="0092683E"/>
    <w:rsid w:val="00926840"/>
    <w:rsid w:val="009268D8"/>
    <w:rsid w:val="00926934"/>
    <w:rsid w:val="009269E6"/>
    <w:rsid w:val="00926AB8"/>
    <w:rsid w:val="00927960"/>
    <w:rsid w:val="0093112E"/>
    <w:rsid w:val="009311BF"/>
    <w:rsid w:val="0093139C"/>
    <w:rsid w:val="00931539"/>
    <w:rsid w:val="00931D5E"/>
    <w:rsid w:val="00932F9C"/>
    <w:rsid w:val="00934DBB"/>
    <w:rsid w:val="00935D39"/>
    <w:rsid w:val="00935F38"/>
    <w:rsid w:val="0093616C"/>
    <w:rsid w:val="00936E6B"/>
    <w:rsid w:val="00937AD8"/>
    <w:rsid w:val="00937F02"/>
    <w:rsid w:val="00940479"/>
    <w:rsid w:val="009409FD"/>
    <w:rsid w:val="009410B8"/>
    <w:rsid w:val="00941D50"/>
    <w:rsid w:val="00942345"/>
    <w:rsid w:val="00942409"/>
    <w:rsid w:val="00942682"/>
    <w:rsid w:val="00942BFF"/>
    <w:rsid w:val="00943E0A"/>
    <w:rsid w:val="009443E4"/>
    <w:rsid w:val="00946170"/>
    <w:rsid w:val="009466CC"/>
    <w:rsid w:val="009469AB"/>
    <w:rsid w:val="009470AA"/>
    <w:rsid w:val="00947896"/>
    <w:rsid w:val="00947EDA"/>
    <w:rsid w:val="00950119"/>
    <w:rsid w:val="00950E01"/>
    <w:rsid w:val="00951739"/>
    <w:rsid w:val="00952153"/>
    <w:rsid w:val="0095218C"/>
    <w:rsid w:val="0095254C"/>
    <w:rsid w:val="00952A47"/>
    <w:rsid w:val="00952A6F"/>
    <w:rsid w:val="00952DC5"/>
    <w:rsid w:val="00952F84"/>
    <w:rsid w:val="00953752"/>
    <w:rsid w:val="009537FD"/>
    <w:rsid w:val="009542B0"/>
    <w:rsid w:val="0095497C"/>
    <w:rsid w:val="009558D5"/>
    <w:rsid w:val="00955DBF"/>
    <w:rsid w:val="009560F9"/>
    <w:rsid w:val="009564D7"/>
    <w:rsid w:val="00956D39"/>
    <w:rsid w:val="00956F57"/>
    <w:rsid w:val="0096008A"/>
    <w:rsid w:val="00960695"/>
    <w:rsid w:val="00960A5E"/>
    <w:rsid w:val="00960B4F"/>
    <w:rsid w:val="009611B8"/>
    <w:rsid w:val="009624C0"/>
    <w:rsid w:val="00963279"/>
    <w:rsid w:val="00963EA2"/>
    <w:rsid w:val="0096481D"/>
    <w:rsid w:val="00964C97"/>
    <w:rsid w:val="00964D15"/>
    <w:rsid w:val="00965CF6"/>
    <w:rsid w:val="009668F8"/>
    <w:rsid w:val="009675E1"/>
    <w:rsid w:val="00967B30"/>
    <w:rsid w:val="0097018E"/>
    <w:rsid w:val="00971146"/>
    <w:rsid w:val="00971BF8"/>
    <w:rsid w:val="00971C86"/>
    <w:rsid w:val="00972824"/>
    <w:rsid w:val="00972AB2"/>
    <w:rsid w:val="00973131"/>
    <w:rsid w:val="00973153"/>
    <w:rsid w:val="00973F76"/>
    <w:rsid w:val="009743C4"/>
    <w:rsid w:val="00974518"/>
    <w:rsid w:val="009747ED"/>
    <w:rsid w:val="0097641E"/>
    <w:rsid w:val="009777AA"/>
    <w:rsid w:val="00977A64"/>
    <w:rsid w:val="00980054"/>
    <w:rsid w:val="00980C53"/>
    <w:rsid w:val="00981140"/>
    <w:rsid w:val="00982085"/>
    <w:rsid w:val="00982244"/>
    <w:rsid w:val="00982AA4"/>
    <w:rsid w:val="00983761"/>
    <w:rsid w:val="00983C34"/>
    <w:rsid w:val="00983F53"/>
    <w:rsid w:val="009844B9"/>
    <w:rsid w:val="009847EF"/>
    <w:rsid w:val="00985678"/>
    <w:rsid w:val="0098592F"/>
    <w:rsid w:val="00985DDA"/>
    <w:rsid w:val="0098676A"/>
    <w:rsid w:val="00986ACC"/>
    <w:rsid w:val="00986EFE"/>
    <w:rsid w:val="00987073"/>
    <w:rsid w:val="009876CB"/>
    <w:rsid w:val="00987C42"/>
    <w:rsid w:val="009904FC"/>
    <w:rsid w:val="009906E2"/>
    <w:rsid w:val="0099186D"/>
    <w:rsid w:val="0099303F"/>
    <w:rsid w:val="00993532"/>
    <w:rsid w:val="00994E16"/>
    <w:rsid w:val="009950CF"/>
    <w:rsid w:val="00995C81"/>
    <w:rsid w:val="00996959"/>
    <w:rsid w:val="00996A57"/>
    <w:rsid w:val="00997222"/>
    <w:rsid w:val="00997689"/>
    <w:rsid w:val="00997A89"/>
    <w:rsid w:val="009A087F"/>
    <w:rsid w:val="009A0CA5"/>
    <w:rsid w:val="009A0FB5"/>
    <w:rsid w:val="009A1E95"/>
    <w:rsid w:val="009A1FA1"/>
    <w:rsid w:val="009A21DC"/>
    <w:rsid w:val="009A2A67"/>
    <w:rsid w:val="009A2AE4"/>
    <w:rsid w:val="009A31D1"/>
    <w:rsid w:val="009A3F45"/>
    <w:rsid w:val="009A51BF"/>
    <w:rsid w:val="009A5323"/>
    <w:rsid w:val="009A5788"/>
    <w:rsid w:val="009A58BB"/>
    <w:rsid w:val="009A603B"/>
    <w:rsid w:val="009A6048"/>
    <w:rsid w:val="009A6517"/>
    <w:rsid w:val="009A67B0"/>
    <w:rsid w:val="009A6881"/>
    <w:rsid w:val="009A74E5"/>
    <w:rsid w:val="009A78EA"/>
    <w:rsid w:val="009B12E3"/>
    <w:rsid w:val="009B359B"/>
    <w:rsid w:val="009B42D0"/>
    <w:rsid w:val="009B5319"/>
    <w:rsid w:val="009B57BB"/>
    <w:rsid w:val="009B582F"/>
    <w:rsid w:val="009B604C"/>
    <w:rsid w:val="009B6152"/>
    <w:rsid w:val="009B7086"/>
    <w:rsid w:val="009B784D"/>
    <w:rsid w:val="009C06AE"/>
    <w:rsid w:val="009C12B1"/>
    <w:rsid w:val="009C137F"/>
    <w:rsid w:val="009C209E"/>
    <w:rsid w:val="009C2BE5"/>
    <w:rsid w:val="009C2E87"/>
    <w:rsid w:val="009C3AD0"/>
    <w:rsid w:val="009C3D1F"/>
    <w:rsid w:val="009C4313"/>
    <w:rsid w:val="009C491C"/>
    <w:rsid w:val="009C4ACC"/>
    <w:rsid w:val="009C4E14"/>
    <w:rsid w:val="009C5D74"/>
    <w:rsid w:val="009C5FDA"/>
    <w:rsid w:val="009C6101"/>
    <w:rsid w:val="009C6857"/>
    <w:rsid w:val="009C6A15"/>
    <w:rsid w:val="009D00AF"/>
    <w:rsid w:val="009D0595"/>
    <w:rsid w:val="009D165A"/>
    <w:rsid w:val="009D1B4C"/>
    <w:rsid w:val="009D2142"/>
    <w:rsid w:val="009D31B5"/>
    <w:rsid w:val="009D38A8"/>
    <w:rsid w:val="009D4979"/>
    <w:rsid w:val="009D5453"/>
    <w:rsid w:val="009D572D"/>
    <w:rsid w:val="009D5C42"/>
    <w:rsid w:val="009D5FE5"/>
    <w:rsid w:val="009D73B3"/>
    <w:rsid w:val="009D7474"/>
    <w:rsid w:val="009D7587"/>
    <w:rsid w:val="009D76D8"/>
    <w:rsid w:val="009E0BD8"/>
    <w:rsid w:val="009E1CB6"/>
    <w:rsid w:val="009E214E"/>
    <w:rsid w:val="009E22E4"/>
    <w:rsid w:val="009E2BF2"/>
    <w:rsid w:val="009E37C3"/>
    <w:rsid w:val="009E4074"/>
    <w:rsid w:val="009E439E"/>
    <w:rsid w:val="009E43B6"/>
    <w:rsid w:val="009E685B"/>
    <w:rsid w:val="009E6D14"/>
    <w:rsid w:val="009E6E05"/>
    <w:rsid w:val="009E75CA"/>
    <w:rsid w:val="009F06E5"/>
    <w:rsid w:val="009F0EF4"/>
    <w:rsid w:val="009F0F5C"/>
    <w:rsid w:val="009F18B4"/>
    <w:rsid w:val="009F18E5"/>
    <w:rsid w:val="009F19E7"/>
    <w:rsid w:val="009F3F61"/>
    <w:rsid w:val="009F43E2"/>
    <w:rsid w:val="009F4CF1"/>
    <w:rsid w:val="009F5294"/>
    <w:rsid w:val="009F5733"/>
    <w:rsid w:val="009F5FC4"/>
    <w:rsid w:val="009F6014"/>
    <w:rsid w:val="009F65CD"/>
    <w:rsid w:val="00A00CE1"/>
    <w:rsid w:val="00A01605"/>
    <w:rsid w:val="00A01695"/>
    <w:rsid w:val="00A01EA4"/>
    <w:rsid w:val="00A02883"/>
    <w:rsid w:val="00A03202"/>
    <w:rsid w:val="00A0408A"/>
    <w:rsid w:val="00A051B9"/>
    <w:rsid w:val="00A0758A"/>
    <w:rsid w:val="00A07915"/>
    <w:rsid w:val="00A07B6C"/>
    <w:rsid w:val="00A07DAB"/>
    <w:rsid w:val="00A10934"/>
    <w:rsid w:val="00A10ED6"/>
    <w:rsid w:val="00A10FD6"/>
    <w:rsid w:val="00A11417"/>
    <w:rsid w:val="00A11F2E"/>
    <w:rsid w:val="00A12401"/>
    <w:rsid w:val="00A1254A"/>
    <w:rsid w:val="00A13344"/>
    <w:rsid w:val="00A13676"/>
    <w:rsid w:val="00A147DB"/>
    <w:rsid w:val="00A148FA"/>
    <w:rsid w:val="00A153C7"/>
    <w:rsid w:val="00A157B6"/>
    <w:rsid w:val="00A15DEB"/>
    <w:rsid w:val="00A16508"/>
    <w:rsid w:val="00A1719D"/>
    <w:rsid w:val="00A17882"/>
    <w:rsid w:val="00A17C57"/>
    <w:rsid w:val="00A17D70"/>
    <w:rsid w:val="00A204D5"/>
    <w:rsid w:val="00A206FF"/>
    <w:rsid w:val="00A209F9"/>
    <w:rsid w:val="00A20AB3"/>
    <w:rsid w:val="00A20D0C"/>
    <w:rsid w:val="00A20DAB"/>
    <w:rsid w:val="00A20EE5"/>
    <w:rsid w:val="00A21296"/>
    <w:rsid w:val="00A21751"/>
    <w:rsid w:val="00A217E0"/>
    <w:rsid w:val="00A21929"/>
    <w:rsid w:val="00A21A76"/>
    <w:rsid w:val="00A21D14"/>
    <w:rsid w:val="00A21F1D"/>
    <w:rsid w:val="00A230B2"/>
    <w:rsid w:val="00A244E5"/>
    <w:rsid w:val="00A2454E"/>
    <w:rsid w:val="00A245AD"/>
    <w:rsid w:val="00A24E90"/>
    <w:rsid w:val="00A2574C"/>
    <w:rsid w:val="00A25F8D"/>
    <w:rsid w:val="00A260ED"/>
    <w:rsid w:val="00A26381"/>
    <w:rsid w:val="00A2669F"/>
    <w:rsid w:val="00A26A12"/>
    <w:rsid w:val="00A27527"/>
    <w:rsid w:val="00A27610"/>
    <w:rsid w:val="00A2789B"/>
    <w:rsid w:val="00A313C1"/>
    <w:rsid w:val="00A31965"/>
    <w:rsid w:val="00A3291C"/>
    <w:rsid w:val="00A329C5"/>
    <w:rsid w:val="00A337C8"/>
    <w:rsid w:val="00A33B00"/>
    <w:rsid w:val="00A34FA4"/>
    <w:rsid w:val="00A3605F"/>
    <w:rsid w:val="00A37B54"/>
    <w:rsid w:val="00A37E52"/>
    <w:rsid w:val="00A40018"/>
    <w:rsid w:val="00A40FFE"/>
    <w:rsid w:val="00A41285"/>
    <w:rsid w:val="00A417D4"/>
    <w:rsid w:val="00A430BD"/>
    <w:rsid w:val="00A430C1"/>
    <w:rsid w:val="00A43407"/>
    <w:rsid w:val="00A437BC"/>
    <w:rsid w:val="00A43D11"/>
    <w:rsid w:val="00A44C9B"/>
    <w:rsid w:val="00A46570"/>
    <w:rsid w:val="00A468D7"/>
    <w:rsid w:val="00A46C4E"/>
    <w:rsid w:val="00A47B50"/>
    <w:rsid w:val="00A47D81"/>
    <w:rsid w:val="00A47F22"/>
    <w:rsid w:val="00A50430"/>
    <w:rsid w:val="00A50B8E"/>
    <w:rsid w:val="00A525C4"/>
    <w:rsid w:val="00A52685"/>
    <w:rsid w:val="00A5291F"/>
    <w:rsid w:val="00A52A56"/>
    <w:rsid w:val="00A52CFD"/>
    <w:rsid w:val="00A531F2"/>
    <w:rsid w:val="00A533BD"/>
    <w:rsid w:val="00A53C3B"/>
    <w:rsid w:val="00A53F23"/>
    <w:rsid w:val="00A541F0"/>
    <w:rsid w:val="00A5425F"/>
    <w:rsid w:val="00A547C4"/>
    <w:rsid w:val="00A54C4F"/>
    <w:rsid w:val="00A5548E"/>
    <w:rsid w:val="00A55716"/>
    <w:rsid w:val="00A55DDD"/>
    <w:rsid w:val="00A56B1A"/>
    <w:rsid w:val="00A56D3E"/>
    <w:rsid w:val="00A573AC"/>
    <w:rsid w:val="00A574BF"/>
    <w:rsid w:val="00A57808"/>
    <w:rsid w:val="00A5785E"/>
    <w:rsid w:val="00A57E19"/>
    <w:rsid w:val="00A57F2E"/>
    <w:rsid w:val="00A60223"/>
    <w:rsid w:val="00A605FE"/>
    <w:rsid w:val="00A60898"/>
    <w:rsid w:val="00A60C89"/>
    <w:rsid w:val="00A619D0"/>
    <w:rsid w:val="00A62806"/>
    <w:rsid w:val="00A62A69"/>
    <w:rsid w:val="00A62AC5"/>
    <w:rsid w:val="00A6364F"/>
    <w:rsid w:val="00A64018"/>
    <w:rsid w:val="00A65BAE"/>
    <w:rsid w:val="00A66285"/>
    <w:rsid w:val="00A66633"/>
    <w:rsid w:val="00A66C20"/>
    <w:rsid w:val="00A67A34"/>
    <w:rsid w:val="00A67C82"/>
    <w:rsid w:val="00A70638"/>
    <w:rsid w:val="00A70C05"/>
    <w:rsid w:val="00A70DFA"/>
    <w:rsid w:val="00A71688"/>
    <w:rsid w:val="00A72265"/>
    <w:rsid w:val="00A725C0"/>
    <w:rsid w:val="00A72B57"/>
    <w:rsid w:val="00A730A5"/>
    <w:rsid w:val="00A737E0"/>
    <w:rsid w:val="00A739ED"/>
    <w:rsid w:val="00A744ED"/>
    <w:rsid w:val="00A75624"/>
    <w:rsid w:val="00A76699"/>
    <w:rsid w:val="00A768F4"/>
    <w:rsid w:val="00A76AFA"/>
    <w:rsid w:val="00A80366"/>
    <w:rsid w:val="00A80990"/>
    <w:rsid w:val="00A81359"/>
    <w:rsid w:val="00A813A6"/>
    <w:rsid w:val="00A8155E"/>
    <w:rsid w:val="00A8219C"/>
    <w:rsid w:val="00A82B4F"/>
    <w:rsid w:val="00A82FBB"/>
    <w:rsid w:val="00A8304B"/>
    <w:rsid w:val="00A836DF"/>
    <w:rsid w:val="00A83CAA"/>
    <w:rsid w:val="00A84032"/>
    <w:rsid w:val="00A85081"/>
    <w:rsid w:val="00A85CB3"/>
    <w:rsid w:val="00A85EDC"/>
    <w:rsid w:val="00A86208"/>
    <w:rsid w:val="00A869DB"/>
    <w:rsid w:val="00A86B63"/>
    <w:rsid w:val="00A87122"/>
    <w:rsid w:val="00A87A6B"/>
    <w:rsid w:val="00A87C15"/>
    <w:rsid w:val="00A90B9F"/>
    <w:rsid w:val="00A90D8B"/>
    <w:rsid w:val="00A948BD"/>
    <w:rsid w:val="00A9492E"/>
    <w:rsid w:val="00A94B52"/>
    <w:rsid w:val="00A94F4E"/>
    <w:rsid w:val="00A951D4"/>
    <w:rsid w:val="00A958AE"/>
    <w:rsid w:val="00A95C00"/>
    <w:rsid w:val="00A96DDB"/>
    <w:rsid w:val="00A96E7E"/>
    <w:rsid w:val="00A97195"/>
    <w:rsid w:val="00A97C4A"/>
    <w:rsid w:val="00AA03FE"/>
    <w:rsid w:val="00AA140A"/>
    <w:rsid w:val="00AA19F3"/>
    <w:rsid w:val="00AA296B"/>
    <w:rsid w:val="00AA3059"/>
    <w:rsid w:val="00AA3710"/>
    <w:rsid w:val="00AA3C4A"/>
    <w:rsid w:val="00AA3D17"/>
    <w:rsid w:val="00AA6DFD"/>
    <w:rsid w:val="00AA7EC8"/>
    <w:rsid w:val="00AB04A7"/>
    <w:rsid w:val="00AB18F5"/>
    <w:rsid w:val="00AB1CDA"/>
    <w:rsid w:val="00AB1DAC"/>
    <w:rsid w:val="00AB1E22"/>
    <w:rsid w:val="00AB2745"/>
    <w:rsid w:val="00AB2840"/>
    <w:rsid w:val="00AB2867"/>
    <w:rsid w:val="00AB3165"/>
    <w:rsid w:val="00AB3C77"/>
    <w:rsid w:val="00AB40EF"/>
    <w:rsid w:val="00AB46C1"/>
    <w:rsid w:val="00AB5E8F"/>
    <w:rsid w:val="00AB6134"/>
    <w:rsid w:val="00AB6D54"/>
    <w:rsid w:val="00AB77F1"/>
    <w:rsid w:val="00AC0130"/>
    <w:rsid w:val="00AC08F8"/>
    <w:rsid w:val="00AC0AD6"/>
    <w:rsid w:val="00AC1682"/>
    <w:rsid w:val="00AC1A57"/>
    <w:rsid w:val="00AC28DB"/>
    <w:rsid w:val="00AC2D30"/>
    <w:rsid w:val="00AC2D4B"/>
    <w:rsid w:val="00AC390F"/>
    <w:rsid w:val="00AC4C6F"/>
    <w:rsid w:val="00AC4F4B"/>
    <w:rsid w:val="00AC544C"/>
    <w:rsid w:val="00AC5742"/>
    <w:rsid w:val="00AC5D05"/>
    <w:rsid w:val="00AC633D"/>
    <w:rsid w:val="00AC7315"/>
    <w:rsid w:val="00AD00C7"/>
    <w:rsid w:val="00AD14E5"/>
    <w:rsid w:val="00AD1BB1"/>
    <w:rsid w:val="00AD1BCA"/>
    <w:rsid w:val="00AD2639"/>
    <w:rsid w:val="00AD29A3"/>
    <w:rsid w:val="00AD2E3F"/>
    <w:rsid w:val="00AD2EE8"/>
    <w:rsid w:val="00AD3624"/>
    <w:rsid w:val="00AD5342"/>
    <w:rsid w:val="00AD558A"/>
    <w:rsid w:val="00AD6125"/>
    <w:rsid w:val="00AD61C1"/>
    <w:rsid w:val="00AD7138"/>
    <w:rsid w:val="00AD71D8"/>
    <w:rsid w:val="00AD7C08"/>
    <w:rsid w:val="00AE066E"/>
    <w:rsid w:val="00AE0729"/>
    <w:rsid w:val="00AE0958"/>
    <w:rsid w:val="00AE16BC"/>
    <w:rsid w:val="00AE2663"/>
    <w:rsid w:val="00AE3133"/>
    <w:rsid w:val="00AE3760"/>
    <w:rsid w:val="00AE37BB"/>
    <w:rsid w:val="00AE3FC6"/>
    <w:rsid w:val="00AE40C0"/>
    <w:rsid w:val="00AE437B"/>
    <w:rsid w:val="00AE4569"/>
    <w:rsid w:val="00AE467E"/>
    <w:rsid w:val="00AE4FF6"/>
    <w:rsid w:val="00AE5424"/>
    <w:rsid w:val="00AE5EDF"/>
    <w:rsid w:val="00AE62C4"/>
    <w:rsid w:val="00AE6AC9"/>
    <w:rsid w:val="00AF031C"/>
    <w:rsid w:val="00AF0732"/>
    <w:rsid w:val="00AF0CE1"/>
    <w:rsid w:val="00AF19BD"/>
    <w:rsid w:val="00AF1C8A"/>
    <w:rsid w:val="00AF2936"/>
    <w:rsid w:val="00AF2D9A"/>
    <w:rsid w:val="00AF2E93"/>
    <w:rsid w:val="00AF329A"/>
    <w:rsid w:val="00AF3898"/>
    <w:rsid w:val="00AF3F97"/>
    <w:rsid w:val="00AF41CA"/>
    <w:rsid w:val="00AF4D1B"/>
    <w:rsid w:val="00AF6895"/>
    <w:rsid w:val="00AF694C"/>
    <w:rsid w:val="00AF7162"/>
    <w:rsid w:val="00AF7221"/>
    <w:rsid w:val="00AF74AA"/>
    <w:rsid w:val="00B0078B"/>
    <w:rsid w:val="00B00AC5"/>
    <w:rsid w:val="00B00AEB"/>
    <w:rsid w:val="00B00F75"/>
    <w:rsid w:val="00B01904"/>
    <w:rsid w:val="00B01D34"/>
    <w:rsid w:val="00B024C8"/>
    <w:rsid w:val="00B03EA8"/>
    <w:rsid w:val="00B05AA7"/>
    <w:rsid w:val="00B063EE"/>
    <w:rsid w:val="00B07A2E"/>
    <w:rsid w:val="00B07F6C"/>
    <w:rsid w:val="00B105B4"/>
    <w:rsid w:val="00B108C3"/>
    <w:rsid w:val="00B110FA"/>
    <w:rsid w:val="00B11488"/>
    <w:rsid w:val="00B115EC"/>
    <w:rsid w:val="00B1179E"/>
    <w:rsid w:val="00B1191A"/>
    <w:rsid w:val="00B12790"/>
    <w:rsid w:val="00B12FB6"/>
    <w:rsid w:val="00B1319E"/>
    <w:rsid w:val="00B13454"/>
    <w:rsid w:val="00B1497B"/>
    <w:rsid w:val="00B14B44"/>
    <w:rsid w:val="00B1516D"/>
    <w:rsid w:val="00B1619E"/>
    <w:rsid w:val="00B175CF"/>
    <w:rsid w:val="00B17A89"/>
    <w:rsid w:val="00B17B77"/>
    <w:rsid w:val="00B20045"/>
    <w:rsid w:val="00B20453"/>
    <w:rsid w:val="00B207E4"/>
    <w:rsid w:val="00B20CCA"/>
    <w:rsid w:val="00B22943"/>
    <w:rsid w:val="00B23A22"/>
    <w:rsid w:val="00B245D6"/>
    <w:rsid w:val="00B24B27"/>
    <w:rsid w:val="00B2504E"/>
    <w:rsid w:val="00B25127"/>
    <w:rsid w:val="00B2598E"/>
    <w:rsid w:val="00B259FA"/>
    <w:rsid w:val="00B25ADD"/>
    <w:rsid w:val="00B25E4D"/>
    <w:rsid w:val="00B264BC"/>
    <w:rsid w:val="00B265B4"/>
    <w:rsid w:val="00B267C3"/>
    <w:rsid w:val="00B30DF9"/>
    <w:rsid w:val="00B320EF"/>
    <w:rsid w:val="00B3297B"/>
    <w:rsid w:val="00B32BC0"/>
    <w:rsid w:val="00B32DD2"/>
    <w:rsid w:val="00B33940"/>
    <w:rsid w:val="00B33987"/>
    <w:rsid w:val="00B343C5"/>
    <w:rsid w:val="00B345D3"/>
    <w:rsid w:val="00B3460C"/>
    <w:rsid w:val="00B34C2B"/>
    <w:rsid w:val="00B34EF9"/>
    <w:rsid w:val="00B35076"/>
    <w:rsid w:val="00B356CE"/>
    <w:rsid w:val="00B359F3"/>
    <w:rsid w:val="00B36141"/>
    <w:rsid w:val="00B366CD"/>
    <w:rsid w:val="00B3771D"/>
    <w:rsid w:val="00B40FE3"/>
    <w:rsid w:val="00B41546"/>
    <w:rsid w:val="00B42863"/>
    <w:rsid w:val="00B42DA0"/>
    <w:rsid w:val="00B42DCB"/>
    <w:rsid w:val="00B436CE"/>
    <w:rsid w:val="00B43A9B"/>
    <w:rsid w:val="00B446EB"/>
    <w:rsid w:val="00B452B3"/>
    <w:rsid w:val="00B45817"/>
    <w:rsid w:val="00B45DC8"/>
    <w:rsid w:val="00B460BD"/>
    <w:rsid w:val="00B4655C"/>
    <w:rsid w:val="00B46E02"/>
    <w:rsid w:val="00B46E59"/>
    <w:rsid w:val="00B473D9"/>
    <w:rsid w:val="00B5079A"/>
    <w:rsid w:val="00B5096A"/>
    <w:rsid w:val="00B50DE3"/>
    <w:rsid w:val="00B51B97"/>
    <w:rsid w:val="00B520AE"/>
    <w:rsid w:val="00B53146"/>
    <w:rsid w:val="00B532DD"/>
    <w:rsid w:val="00B535F0"/>
    <w:rsid w:val="00B54AAE"/>
    <w:rsid w:val="00B55351"/>
    <w:rsid w:val="00B55576"/>
    <w:rsid w:val="00B55C26"/>
    <w:rsid w:val="00B569EE"/>
    <w:rsid w:val="00B57635"/>
    <w:rsid w:val="00B576FB"/>
    <w:rsid w:val="00B60364"/>
    <w:rsid w:val="00B60A96"/>
    <w:rsid w:val="00B618F9"/>
    <w:rsid w:val="00B61A76"/>
    <w:rsid w:val="00B61BDB"/>
    <w:rsid w:val="00B629DC"/>
    <w:rsid w:val="00B62C49"/>
    <w:rsid w:val="00B62E59"/>
    <w:rsid w:val="00B63433"/>
    <w:rsid w:val="00B636AF"/>
    <w:rsid w:val="00B638D6"/>
    <w:rsid w:val="00B63903"/>
    <w:rsid w:val="00B643E0"/>
    <w:rsid w:val="00B66EF1"/>
    <w:rsid w:val="00B67A52"/>
    <w:rsid w:val="00B71205"/>
    <w:rsid w:val="00B71389"/>
    <w:rsid w:val="00B72EBB"/>
    <w:rsid w:val="00B73195"/>
    <w:rsid w:val="00B73947"/>
    <w:rsid w:val="00B739F2"/>
    <w:rsid w:val="00B73C44"/>
    <w:rsid w:val="00B74EF9"/>
    <w:rsid w:val="00B7538D"/>
    <w:rsid w:val="00B75E5F"/>
    <w:rsid w:val="00B76EA6"/>
    <w:rsid w:val="00B76EC1"/>
    <w:rsid w:val="00B80260"/>
    <w:rsid w:val="00B80FCD"/>
    <w:rsid w:val="00B81370"/>
    <w:rsid w:val="00B82448"/>
    <w:rsid w:val="00B836D7"/>
    <w:rsid w:val="00B8388C"/>
    <w:rsid w:val="00B839AC"/>
    <w:rsid w:val="00B839D3"/>
    <w:rsid w:val="00B83BE2"/>
    <w:rsid w:val="00B842CB"/>
    <w:rsid w:val="00B848DC"/>
    <w:rsid w:val="00B86B2F"/>
    <w:rsid w:val="00B87344"/>
    <w:rsid w:val="00B8750E"/>
    <w:rsid w:val="00B902B4"/>
    <w:rsid w:val="00B908DD"/>
    <w:rsid w:val="00B90E13"/>
    <w:rsid w:val="00B92287"/>
    <w:rsid w:val="00B92FAE"/>
    <w:rsid w:val="00B93CA8"/>
    <w:rsid w:val="00B93EE1"/>
    <w:rsid w:val="00B94A16"/>
    <w:rsid w:val="00B94EB6"/>
    <w:rsid w:val="00B95061"/>
    <w:rsid w:val="00B95CBB"/>
    <w:rsid w:val="00B95DEE"/>
    <w:rsid w:val="00B95EB8"/>
    <w:rsid w:val="00B97282"/>
    <w:rsid w:val="00B97570"/>
    <w:rsid w:val="00B97995"/>
    <w:rsid w:val="00B97D36"/>
    <w:rsid w:val="00BA10A3"/>
    <w:rsid w:val="00BA1834"/>
    <w:rsid w:val="00BA1C5A"/>
    <w:rsid w:val="00BA2074"/>
    <w:rsid w:val="00BA21F9"/>
    <w:rsid w:val="00BA2488"/>
    <w:rsid w:val="00BA2563"/>
    <w:rsid w:val="00BA2A0F"/>
    <w:rsid w:val="00BA4036"/>
    <w:rsid w:val="00BA4B1D"/>
    <w:rsid w:val="00BA55DA"/>
    <w:rsid w:val="00BA65BA"/>
    <w:rsid w:val="00BA6868"/>
    <w:rsid w:val="00BA69B9"/>
    <w:rsid w:val="00BA701E"/>
    <w:rsid w:val="00BA7AC0"/>
    <w:rsid w:val="00BB0142"/>
    <w:rsid w:val="00BB0322"/>
    <w:rsid w:val="00BB09BC"/>
    <w:rsid w:val="00BB0C77"/>
    <w:rsid w:val="00BB1573"/>
    <w:rsid w:val="00BB1590"/>
    <w:rsid w:val="00BB1B97"/>
    <w:rsid w:val="00BB1CD2"/>
    <w:rsid w:val="00BB28AF"/>
    <w:rsid w:val="00BB2EEB"/>
    <w:rsid w:val="00BB3104"/>
    <w:rsid w:val="00BB314C"/>
    <w:rsid w:val="00BB331A"/>
    <w:rsid w:val="00BB3DA5"/>
    <w:rsid w:val="00BB4148"/>
    <w:rsid w:val="00BB4AB5"/>
    <w:rsid w:val="00BB58F1"/>
    <w:rsid w:val="00BB5E93"/>
    <w:rsid w:val="00BB715F"/>
    <w:rsid w:val="00BB748E"/>
    <w:rsid w:val="00BC022A"/>
    <w:rsid w:val="00BC03F4"/>
    <w:rsid w:val="00BC10C5"/>
    <w:rsid w:val="00BC1AEF"/>
    <w:rsid w:val="00BC1D34"/>
    <w:rsid w:val="00BC1D38"/>
    <w:rsid w:val="00BC2012"/>
    <w:rsid w:val="00BC2151"/>
    <w:rsid w:val="00BC24A5"/>
    <w:rsid w:val="00BC2528"/>
    <w:rsid w:val="00BC36A8"/>
    <w:rsid w:val="00BC38F9"/>
    <w:rsid w:val="00BC3B08"/>
    <w:rsid w:val="00BC3BF8"/>
    <w:rsid w:val="00BC3D90"/>
    <w:rsid w:val="00BC3DFF"/>
    <w:rsid w:val="00BC3EEB"/>
    <w:rsid w:val="00BC4239"/>
    <w:rsid w:val="00BC4BD2"/>
    <w:rsid w:val="00BC4E75"/>
    <w:rsid w:val="00BC570E"/>
    <w:rsid w:val="00BC5A17"/>
    <w:rsid w:val="00BC6E46"/>
    <w:rsid w:val="00BC709A"/>
    <w:rsid w:val="00BC73E5"/>
    <w:rsid w:val="00BC79B6"/>
    <w:rsid w:val="00BC7C90"/>
    <w:rsid w:val="00BC7D36"/>
    <w:rsid w:val="00BC7E39"/>
    <w:rsid w:val="00BD107D"/>
    <w:rsid w:val="00BD1488"/>
    <w:rsid w:val="00BD1ADE"/>
    <w:rsid w:val="00BD1BBB"/>
    <w:rsid w:val="00BD1E74"/>
    <w:rsid w:val="00BD2590"/>
    <w:rsid w:val="00BD29E2"/>
    <w:rsid w:val="00BD31C5"/>
    <w:rsid w:val="00BD43CA"/>
    <w:rsid w:val="00BD4A23"/>
    <w:rsid w:val="00BD4C48"/>
    <w:rsid w:val="00BD4F74"/>
    <w:rsid w:val="00BD63C4"/>
    <w:rsid w:val="00BD6764"/>
    <w:rsid w:val="00BD6C94"/>
    <w:rsid w:val="00BD70AB"/>
    <w:rsid w:val="00BD722C"/>
    <w:rsid w:val="00BD76ED"/>
    <w:rsid w:val="00BD776A"/>
    <w:rsid w:val="00BD7C26"/>
    <w:rsid w:val="00BE1090"/>
    <w:rsid w:val="00BE1497"/>
    <w:rsid w:val="00BE17BE"/>
    <w:rsid w:val="00BE1F6D"/>
    <w:rsid w:val="00BE24DD"/>
    <w:rsid w:val="00BE2675"/>
    <w:rsid w:val="00BE26FA"/>
    <w:rsid w:val="00BE2D09"/>
    <w:rsid w:val="00BE36FD"/>
    <w:rsid w:val="00BE38BB"/>
    <w:rsid w:val="00BE39FF"/>
    <w:rsid w:val="00BE3E43"/>
    <w:rsid w:val="00BE4A32"/>
    <w:rsid w:val="00BE5FF4"/>
    <w:rsid w:val="00BE663E"/>
    <w:rsid w:val="00BE6F44"/>
    <w:rsid w:val="00BE7060"/>
    <w:rsid w:val="00BE7184"/>
    <w:rsid w:val="00BE71BC"/>
    <w:rsid w:val="00BE74D2"/>
    <w:rsid w:val="00BE78FA"/>
    <w:rsid w:val="00BF0308"/>
    <w:rsid w:val="00BF065C"/>
    <w:rsid w:val="00BF09F1"/>
    <w:rsid w:val="00BF1183"/>
    <w:rsid w:val="00BF17BF"/>
    <w:rsid w:val="00BF2251"/>
    <w:rsid w:val="00BF2372"/>
    <w:rsid w:val="00BF249A"/>
    <w:rsid w:val="00BF3167"/>
    <w:rsid w:val="00BF32AB"/>
    <w:rsid w:val="00BF378E"/>
    <w:rsid w:val="00BF38FA"/>
    <w:rsid w:val="00BF3B7E"/>
    <w:rsid w:val="00BF5728"/>
    <w:rsid w:val="00BF650A"/>
    <w:rsid w:val="00BF6BE4"/>
    <w:rsid w:val="00BF7716"/>
    <w:rsid w:val="00BF7D71"/>
    <w:rsid w:val="00BF7E49"/>
    <w:rsid w:val="00C00260"/>
    <w:rsid w:val="00C003D9"/>
    <w:rsid w:val="00C00E9B"/>
    <w:rsid w:val="00C03156"/>
    <w:rsid w:val="00C03E0A"/>
    <w:rsid w:val="00C03F34"/>
    <w:rsid w:val="00C03F5C"/>
    <w:rsid w:val="00C03FEE"/>
    <w:rsid w:val="00C0440B"/>
    <w:rsid w:val="00C04E18"/>
    <w:rsid w:val="00C04F62"/>
    <w:rsid w:val="00C058F0"/>
    <w:rsid w:val="00C07F6C"/>
    <w:rsid w:val="00C102BE"/>
    <w:rsid w:val="00C10664"/>
    <w:rsid w:val="00C10723"/>
    <w:rsid w:val="00C10FAF"/>
    <w:rsid w:val="00C1112C"/>
    <w:rsid w:val="00C111AB"/>
    <w:rsid w:val="00C115D4"/>
    <w:rsid w:val="00C11A4B"/>
    <w:rsid w:val="00C12813"/>
    <w:rsid w:val="00C12D32"/>
    <w:rsid w:val="00C12F8A"/>
    <w:rsid w:val="00C139A4"/>
    <w:rsid w:val="00C139D6"/>
    <w:rsid w:val="00C13A11"/>
    <w:rsid w:val="00C14BE0"/>
    <w:rsid w:val="00C14F2E"/>
    <w:rsid w:val="00C15050"/>
    <w:rsid w:val="00C15AC2"/>
    <w:rsid w:val="00C163DC"/>
    <w:rsid w:val="00C168E7"/>
    <w:rsid w:val="00C179EF"/>
    <w:rsid w:val="00C2073F"/>
    <w:rsid w:val="00C21B69"/>
    <w:rsid w:val="00C22588"/>
    <w:rsid w:val="00C2284A"/>
    <w:rsid w:val="00C22886"/>
    <w:rsid w:val="00C22E7C"/>
    <w:rsid w:val="00C24152"/>
    <w:rsid w:val="00C24706"/>
    <w:rsid w:val="00C248EB"/>
    <w:rsid w:val="00C24DF3"/>
    <w:rsid w:val="00C24E92"/>
    <w:rsid w:val="00C25211"/>
    <w:rsid w:val="00C25B4F"/>
    <w:rsid w:val="00C27736"/>
    <w:rsid w:val="00C27AD9"/>
    <w:rsid w:val="00C30226"/>
    <w:rsid w:val="00C30E4B"/>
    <w:rsid w:val="00C30E9D"/>
    <w:rsid w:val="00C3134E"/>
    <w:rsid w:val="00C3172C"/>
    <w:rsid w:val="00C318C4"/>
    <w:rsid w:val="00C31D51"/>
    <w:rsid w:val="00C32247"/>
    <w:rsid w:val="00C324DF"/>
    <w:rsid w:val="00C32CC9"/>
    <w:rsid w:val="00C341DC"/>
    <w:rsid w:val="00C35E80"/>
    <w:rsid w:val="00C3628D"/>
    <w:rsid w:val="00C37FFA"/>
    <w:rsid w:val="00C40687"/>
    <w:rsid w:val="00C40A6B"/>
    <w:rsid w:val="00C41273"/>
    <w:rsid w:val="00C41352"/>
    <w:rsid w:val="00C4202B"/>
    <w:rsid w:val="00C43D44"/>
    <w:rsid w:val="00C451A1"/>
    <w:rsid w:val="00C457C0"/>
    <w:rsid w:val="00C45DAD"/>
    <w:rsid w:val="00C45E13"/>
    <w:rsid w:val="00C4623D"/>
    <w:rsid w:val="00C46515"/>
    <w:rsid w:val="00C46A41"/>
    <w:rsid w:val="00C475B2"/>
    <w:rsid w:val="00C477C4"/>
    <w:rsid w:val="00C47D74"/>
    <w:rsid w:val="00C500EE"/>
    <w:rsid w:val="00C502C2"/>
    <w:rsid w:val="00C5147D"/>
    <w:rsid w:val="00C5188A"/>
    <w:rsid w:val="00C51E1B"/>
    <w:rsid w:val="00C52D7F"/>
    <w:rsid w:val="00C52FA5"/>
    <w:rsid w:val="00C531D3"/>
    <w:rsid w:val="00C544C8"/>
    <w:rsid w:val="00C54A16"/>
    <w:rsid w:val="00C54A41"/>
    <w:rsid w:val="00C54F88"/>
    <w:rsid w:val="00C557BB"/>
    <w:rsid w:val="00C55CF9"/>
    <w:rsid w:val="00C56EFC"/>
    <w:rsid w:val="00C57DE4"/>
    <w:rsid w:val="00C60D6B"/>
    <w:rsid w:val="00C61AE6"/>
    <w:rsid w:val="00C62700"/>
    <w:rsid w:val="00C62ACC"/>
    <w:rsid w:val="00C63684"/>
    <w:rsid w:val="00C6397B"/>
    <w:rsid w:val="00C63B87"/>
    <w:rsid w:val="00C64196"/>
    <w:rsid w:val="00C642EB"/>
    <w:rsid w:val="00C65057"/>
    <w:rsid w:val="00C658AC"/>
    <w:rsid w:val="00C65D17"/>
    <w:rsid w:val="00C66E01"/>
    <w:rsid w:val="00C66F6D"/>
    <w:rsid w:val="00C701DE"/>
    <w:rsid w:val="00C70CFD"/>
    <w:rsid w:val="00C70E12"/>
    <w:rsid w:val="00C7220F"/>
    <w:rsid w:val="00C7222D"/>
    <w:rsid w:val="00C72817"/>
    <w:rsid w:val="00C73762"/>
    <w:rsid w:val="00C73B40"/>
    <w:rsid w:val="00C74172"/>
    <w:rsid w:val="00C742DA"/>
    <w:rsid w:val="00C74678"/>
    <w:rsid w:val="00C746DC"/>
    <w:rsid w:val="00C76FE2"/>
    <w:rsid w:val="00C778DA"/>
    <w:rsid w:val="00C8008D"/>
    <w:rsid w:val="00C80A9D"/>
    <w:rsid w:val="00C80D9E"/>
    <w:rsid w:val="00C81474"/>
    <w:rsid w:val="00C81B37"/>
    <w:rsid w:val="00C828E8"/>
    <w:rsid w:val="00C83138"/>
    <w:rsid w:val="00C8313E"/>
    <w:rsid w:val="00C847B4"/>
    <w:rsid w:val="00C8575D"/>
    <w:rsid w:val="00C86697"/>
    <w:rsid w:val="00C867CF"/>
    <w:rsid w:val="00C874B5"/>
    <w:rsid w:val="00C9046A"/>
    <w:rsid w:val="00C904B4"/>
    <w:rsid w:val="00C9050D"/>
    <w:rsid w:val="00C908B5"/>
    <w:rsid w:val="00C90BA6"/>
    <w:rsid w:val="00C90CF8"/>
    <w:rsid w:val="00C90E43"/>
    <w:rsid w:val="00C913DD"/>
    <w:rsid w:val="00C91D23"/>
    <w:rsid w:val="00C9205A"/>
    <w:rsid w:val="00C92629"/>
    <w:rsid w:val="00C9287E"/>
    <w:rsid w:val="00C92B11"/>
    <w:rsid w:val="00C92D06"/>
    <w:rsid w:val="00C92F18"/>
    <w:rsid w:val="00C9335F"/>
    <w:rsid w:val="00C93A70"/>
    <w:rsid w:val="00C93DD9"/>
    <w:rsid w:val="00C942B6"/>
    <w:rsid w:val="00C94540"/>
    <w:rsid w:val="00C94B63"/>
    <w:rsid w:val="00C94FB5"/>
    <w:rsid w:val="00C95136"/>
    <w:rsid w:val="00C956C7"/>
    <w:rsid w:val="00C95897"/>
    <w:rsid w:val="00C95F32"/>
    <w:rsid w:val="00C96117"/>
    <w:rsid w:val="00C96DD1"/>
    <w:rsid w:val="00C97281"/>
    <w:rsid w:val="00C97544"/>
    <w:rsid w:val="00C9754A"/>
    <w:rsid w:val="00CA09C5"/>
    <w:rsid w:val="00CA14E4"/>
    <w:rsid w:val="00CA19B0"/>
    <w:rsid w:val="00CA1BD6"/>
    <w:rsid w:val="00CA3C02"/>
    <w:rsid w:val="00CA4440"/>
    <w:rsid w:val="00CA459A"/>
    <w:rsid w:val="00CA48E4"/>
    <w:rsid w:val="00CA4ED5"/>
    <w:rsid w:val="00CA4FE6"/>
    <w:rsid w:val="00CA5C4A"/>
    <w:rsid w:val="00CA5F4C"/>
    <w:rsid w:val="00CA6001"/>
    <w:rsid w:val="00CA6261"/>
    <w:rsid w:val="00CA6415"/>
    <w:rsid w:val="00CA70C9"/>
    <w:rsid w:val="00CA7B81"/>
    <w:rsid w:val="00CA7C09"/>
    <w:rsid w:val="00CB0DA9"/>
    <w:rsid w:val="00CB11AC"/>
    <w:rsid w:val="00CB13AB"/>
    <w:rsid w:val="00CB1603"/>
    <w:rsid w:val="00CB2425"/>
    <w:rsid w:val="00CB36E7"/>
    <w:rsid w:val="00CB3AC6"/>
    <w:rsid w:val="00CB4252"/>
    <w:rsid w:val="00CB4466"/>
    <w:rsid w:val="00CB57A8"/>
    <w:rsid w:val="00CB61CE"/>
    <w:rsid w:val="00CB6331"/>
    <w:rsid w:val="00CB6BB3"/>
    <w:rsid w:val="00CB7001"/>
    <w:rsid w:val="00CC017D"/>
    <w:rsid w:val="00CC04CD"/>
    <w:rsid w:val="00CC09F2"/>
    <w:rsid w:val="00CC161B"/>
    <w:rsid w:val="00CC1819"/>
    <w:rsid w:val="00CC19D5"/>
    <w:rsid w:val="00CC1CC7"/>
    <w:rsid w:val="00CC26F1"/>
    <w:rsid w:val="00CC30BD"/>
    <w:rsid w:val="00CC4C1A"/>
    <w:rsid w:val="00CC5437"/>
    <w:rsid w:val="00CC59E8"/>
    <w:rsid w:val="00CC5F81"/>
    <w:rsid w:val="00CC618C"/>
    <w:rsid w:val="00CC7621"/>
    <w:rsid w:val="00CD072E"/>
    <w:rsid w:val="00CD19E6"/>
    <w:rsid w:val="00CD2171"/>
    <w:rsid w:val="00CD319F"/>
    <w:rsid w:val="00CD3846"/>
    <w:rsid w:val="00CD3D60"/>
    <w:rsid w:val="00CD4045"/>
    <w:rsid w:val="00CD4A98"/>
    <w:rsid w:val="00CD52D8"/>
    <w:rsid w:val="00CD57FE"/>
    <w:rsid w:val="00CD70C2"/>
    <w:rsid w:val="00CD75D4"/>
    <w:rsid w:val="00CD7DE1"/>
    <w:rsid w:val="00CE0000"/>
    <w:rsid w:val="00CE2E14"/>
    <w:rsid w:val="00CE3284"/>
    <w:rsid w:val="00CE3D52"/>
    <w:rsid w:val="00CE7166"/>
    <w:rsid w:val="00CF1975"/>
    <w:rsid w:val="00CF1D83"/>
    <w:rsid w:val="00CF2429"/>
    <w:rsid w:val="00CF4464"/>
    <w:rsid w:val="00CF4EE6"/>
    <w:rsid w:val="00CF5D75"/>
    <w:rsid w:val="00CF6EB3"/>
    <w:rsid w:val="00CF73CE"/>
    <w:rsid w:val="00CF7506"/>
    <w:rsid w:val="00CF7916"/>
    <w:rsid w:val="00D00937"/>
    <w:rsid w:val="00D010DB"/>
    <w:rsid w:val="00D01863"/>
    <w:rsid w:val="00D019B0"/>
    <w:rsid w:val="00D019DC"/>
    <w:rsid w:val="00D01AEF"/>
    <w:rsid w:val="00D02856"/>
    <w:rsid w:val="00D029CE"/>
    <w:rsid w:val="00D02D74"/>
    <w:rsid w:val="00D03D6C"/>
    <w:rsid w:val="00D04304"/>
    <w:rsid w:val="00D04668"/>
    <w:rsid w:val="00D048AA"/>
    <w:rsid w:val="00D04A2E"/>
    <w:rsid w:val="00D05325"/>
    <w:rsid w:val="00D05775"/>
    <w:rsid w:val="00D059AA"/>
    <w:rsid w:val="00D068BA"/>
    <w:rsid w:val="00D068C7"/>
    <w:rsid w:val="00D07E7F"/>
    <w:rsid w:val="00D103F4"/>
    <w:rsid w:val="00D12306"/>
    <w:rsid w:val="00D12E21"/>
    <w:rsid w:val="00D1431E"/>
    <w:rsid w:val="00D1487E"/>
    <w:rsid w:val="00D14B23"/>
    <w:rsid w:val="00D15DEE"/>
    <w:rsid w:val="00D1677B"/>
    <w:rsid w:val="00D16B44"/>
    <w:rsid w:val="00D1718C"/>
    <w:rsid w:val="00D17960"/>
    <w:rsid w:val="00D202CE"/>
    <w:rsid w:val="00D206B8"/>
    <w:rsid w:val="00D208A5"/>
    <w:rsid w:val="00D20DBB"/>
    <w:rsid w:val="00D20FD7"/>
    <w:rsid w:val="00D2180D"/>
    <w:rsid w:val="00D21B17"/>
    <w:rsid w:val="00D21D2C"/>
    <w:rsid w:val="00D225E8"/>
    <w:rsid w:val="00D22D01"/>
    <w:rsid w:val="00D236AA"/>
    <w:rsid w:val="00D237A1"/>
    <w:rsid w:val="00D23F6F"/>
    <w:rsid w:val="00D25996"/>
    <w:rsid w:val="00D2661D"/>
    <w:rsid w:val="00D27054"/>
    <w:rsid w:val="00D2741B"/>
    <w:rsid w:val="00D274A9"/>
    <w:rsid w:val="00D27E5E"/>
    <w:rsid w:val="00D27F1B"/>
    <w:rsid w:val="00D30A11"/>
    <w:rsid w:val="00D30DB1"/>
    <w:rsid w:val="00D32742"/>
    <w:rsid w:val="00D33939"/>
    <w:rsid w:val="00D33C40"/>
    <w:rsid w:val="00D3400C"/>
    <w:rsid w:val="00D341B6"/>
    <w:rsid w:val="00D34510"/>
    <w:rsid w:val="00D34F0D"/>
    <w:rsid w:val="00D3613E"/>
    <w:rsid w:val="00D379EA"/>
    <w:rsid w:val="00D411C7"/>
    <w:rsid w:val="00D41506"/>
    <w:rsid w:val="00D420DF"/>
    <w:rsid w:val="00D420E5"/>
    <w:rsid w:val="00D424D9"/>
    <w:rsid w:val="00D42A95"/>
    <w:rsid w:val="00D42BD5"/>
    <w:rsid w:val="00D43B4A"/>
    <w:rsid w:val="00D43B4F"/>
    <w:rsid w:val="00D43DCE"/>
    <w:rsid w:val="00D4528A"/>
    <w:rsid w:val="00D470EF"/>
    <w:rsid w:val="00D47DD9"/>
    <w:rsid w:val="00D51417"/>
    <w:rsid w:val="00D5186C"/>
    <w:rsid w:val="00D529B4"/>
    <w:rsid w:val="00D553FA"/>
    <w:rsid w:val="00D55724"/>
    <w:rsid w:val="00D55815"/>
    <w:rsid w:val="00D5582A"/>
    <w:rsid w:val="00D55FFE"/>
    <w:rsid w:val="00D57045"/>
    <w:rsid w:val="00D6081C"/>
    <w:rsid w:val="00D60B18"/>
    <w:rsid w:val="00D60FB5"/>
    <w:rsid w:val="00D618E8"/>
    <w:rsid w:val="00D619C2"/>
    <w:rsid w:val="00D61BBF"/>
    <w:rsid w:val="00D63165"/>
    <w:rsid w:val="00D658DA"/>
    <w:rsid w:val="00D66029"/>
    <w:rsid w:val="00D67611"/>
    <w:rsid w:val="00D706A2"/>
    <w:rsid w:val="00D70F9C"/>
    <w:rsid w:val="00D71089"/>
    <w:rsid w:val="00D714F2"/>
    <w:rsid w:val="00D724CF"/>
    <w:rsid w:val="00D72679"/>
    <w:rsid w:val="00D734FE"/>
    <w:rsid w:val="00D73DE3"/>
    <w:rsid w:val="00D74EEF"/>
    <w:rsid w:val="00D75F97"/>
    <w:rsid w:val="00D76825"/>
    <w:rsid w:val="00D76F34"/>
    <w:rsid w:val="00D7739D"/>
    <w:rsid w:val="00D800DF"/>
    <w:rsid w:val="00D8042B"/>
    <w:rsid w:val="00D81143"/>
    <w:rsid w:val="00D813DC"/>
    <w:rsid w:val="00D814BD"/>
    <w:rsid w:val="00D81A06"/>
    <w:rsid w:val="00D81A21"/>
    <w:rsid w:val="00D81E77"/>
    <w:rsid w:val="00D81F0C"/>
    <w:rsid w:val="00D822D1"/>
    <w:rsid w:val="00D82E03"/>
    <w:rsid w:val="00D836F6"/>
    <w:rsid w:val="00D83986"/>
    <w:rsid w:val="00D83A7C"/>
    <w:rsid w:val="00D85916"/>
    <w:rsid w:val="00D86054"/>
    <w:rsid w:val="00D87006"/>
    <w:rsid w:val="00D87129"/>
    <w:rsid w:val="00D87D37"/>
    <w:rsid w:val="00D9036C"/>
    <w:rsid w:val="00D90D7C"/>
    <w:rsid w:val="00D919B9"/>
    <w:rsid w:val="00D91D65"/>
    <w:rsid w:val="00D91F9A"/>
    <w:rsid w:val="00D921A8"/>
    <w:rsid w:val="00D9246C"/>
    <w:rsid w:val="00D92770"/>
    <w:rsid w:val="00D930AE"/>
    <w:rsid w:val="00D9325E"/>
    <w:rsid w:val="00D93451"/>
    <w:rsid w:val="00D93C96"/>
    <w:rsid w:val="00D93E23"/>
    <w:rsid w:val="00D945ED"/>
    <w:rsid w:val="00D94AAC"/>
    <w:rsid w:val="00D95030"/>
    <w:rsid w:val="00D95137"/>
    <w:rsid w:val="00D95497"/>
    <w:rsid w:val="00D954A0"/>
    <w:rsid w:val="00D95FE3"/>
    <w:rsid w:val="00D9645A"/>
    <w:rsid w:val="00D96835"/>
    <w:rsid w:val="00D97312"/>
    <w:rsid w:val="00D9766E"/>
    <w:rsid w:val="00D97AC7"/>
    <w:rsid w:val="00D97CF5"/>
    <w:rsid w:val="00DA0354"/>
    <w:rsid w:val="00DA05D9"/>
    <w:rsid w:val="00DA14F1"/>
    <w:rsid w:val="00DA1D31"/>
    <w:rsid w:val="00DA240D"/>
    <w:rsid w:val="00DA2BD5"/>
    <w:rsid w:val="00DA2C3C"/>
    <w:rsid w:val="00DA302C"/>
    <w:rsid w:val="00DA4E92"/>
    <w:rsid w:val="00DA4EAE"/>
    <w:rsid w:val="00DA4FDC"/>
    <w:rsid w:val="00DA539B"/>
    <w:rsid w:val="00DA5DD0"/>
    <w:rsid w:val="00DA68C3"/>
    <w:rsid w:val="00DA6CAE"/>
    <w:rsid w:val="00DA6E7F"/>
    <w:rsid w:val="00DA6ECF"/>
    <w:rsid w:val="00DA7A82"/>
    <w:rsid w:val="00DB015B"/>
    <w:rsid w:val="00DB2849"/>
    <w:rsid w:val="00DB3355"/>
    <w:rsid w:val="00DB3DA8"/>
    <w:rsid w:val="00DB3F59"/>
    <w:rsid w:val="00DB401F"/>
    <w:rsid w:val="00DB47BD"/>
    <w:rsid w:val="00DB48A6"/>
    <w:rsid w:val="00DB4A8E"/>
    <w:rsid w:val="00DB5138"/>
    <w:rsid w:val="00DB5259"/>
    <w:rsid w:val="00DB54F7"/>
    <w:rsid w:val="00DB5A96"/>
    <w:rsid w:val="00DB64F8"/>
    <w:rsid w:val="00DB6571"/>
    <w:rsid w:val="00DB6DA6"/>
    <w:rsid w:val="00DB7128"/>
    <w:rsid w:val="00DB7281"/>
    <w:rsid w:val="00DC048E"/>
    <w:rsid w:val="00DC1150"/>
    <w:rsid w:val="00DC1389"/>
    <w:rsid w:val="00DC157B"/>
    <w:rsid w:val="00DC2891"/>
    <w:rsid w:val="00DC31CD"/>
    <w:rsid w:val="00DC463A"/>
    <w:rsid w:val="00DC4650"/>
    <w:rsid w:val="00DC535C"/>
    <w:rsid w:val="00DC56E6"/>
    <w:rsid w:val="00DC5C77"/>
    <w:rsid w:val="00DC61B8"/>
    <w:rsid w:val="00DC7307"/>
    <w:rsid w:val="00DC78E4"/>
    <w:rsid w:val="00DC7952"/>
    <w:rsid w:val="00DC7A9D"/>
    <w:rsid w:val="00DC7EF1"/>
    <w:rsid w:val="00DD00F3"/>
    <w:rsid w:val="00DD05B3"/>
    <w:rsid w:val="00DD05C1"/>
    <w:rsid w:val="00DD0CBD"/>
    <w:rsid w:val="00DD0D56"/>
    <w:rsid w:val="00DD1730"/>
    <w:rsid w:val="00DD31F4"/>
    <w:rsid w:val="00DD6222"/>
    <w:rsid w:val="00DD6AF5"/>
    <w:rsid w:val="00DD7507"/>
    <w:rsid w:val="00DD7602"/>
    <w:rsid w:val="00DD7651"/>
    <w:rsid w:val="00DD7E5B"/>
    <w:rsid w:val="00DE050F"/>
    <w:rsid w:val="00DE165C"/>
    <w:rsid w:val="00DE186A"/>
    <w:rsid w:val="00DE18C6"/>
    <w:rsid w:val="00DE4776"/>
    <w:rsid w:val="00DE54A2"/>
    <w:rsid w:val="00DE6ADD"/>
    <w:rsid w:val="00DE7F69"/>
    <w:rsid w:val="00DF00E2"/>
    <w:rsid w:val="00DF062C"/>
    <w:rsid w:val="00DF1D2E"/>
    <w:rsid w:val="00DF231E"/>
    <w:rsid w:val="00DF3470"/>
    <w:rsid w:val="00DF3E18"/>
    <w:rsid w:val="00DF456D"/>
    <w:rsid w:val="00DF46AB"/>
    <w:rsid w:val="00DF53DB"/>
    <w:rsid w:val="00DF5568"/>
    <w:rsid w:val="00DF5F14"/>
    <w:rsid w:val="00DF5FC9"/>
    <w:rsid w:val="00DF625F"/>
    <w:rsid w:val="00DF6DF6"/>
    <w:rsid w:val="00DF7CD8"/>
    <w:rsid w:val="00DF7D83"/>
    <w:rsid w:val="00E000EF"/>
    <w:rsid w:val="00E00419"/>
    <w:rsid w:val="00E005A1"/>
    <w:rsid w:val="00E00642"/>
    <w:rsid w:val="00E0066F"/>
    <w:rsid w:val="00E00EA7"/>
    <w:rsid w:val="00E00EE3"/>
    <w:rsid w:val="00E01021"/>
    <w:rsid w:val="00E014BE"/>
    <w:rsid w:val="00E014DE"/>
    <w:rsid w:val="00E01621"/>
    <w:rsid w:val="00E02626"/>
    <w:rsid w:val="00E0322F"/>
    <w:rsid w:val="00E03A51"/>
    <w:rsid w:val="00E03C78"/>
    <w:rsid w:val="00E03DBF"/>
    <w:rsid w:val="00E05127"/>
    <w:rsid w:val="00E062DE"/>
    <w:rsid w:val="00E070C0"/>
    <w:rsid w:val="00E07282"/>
    <w:rsid w:val="00E105FF"/>
    <w:rsid w:val="00E10B30"/>
    <w:rsid w:val="00E114BF"/>
    <w:rsid w:val="00E11632"/>
    <w:rsid w:val="00E11BB7"/>
    <w:rsid w:val="00E11E54"/>
    <w:rsid w:val="00E124C2"/>
    <w:rsid w:val="00E133DA"/>
    <w:rsid w:val="00E13AD9"/>
    <w:rsid w:val="00E13DF9"/>
    <w:rsid w:val="00E14109"/>
    <w:rsid w:val="00E1411A"/>
    <w:rsid w:val="00E14275"/>
    <w:rsid w:val="00E151A4"/>
    <w:rsid w:val="00E15302"/>
    <w:rsid w:val="00E15521"/>
    <w:rsid w:val="00E155EA"/>
    <w:rsid w:val="00E16733"/>
    <w:rsid w:val="00E17E1E"/>
    <w:rsid w:val="00E219AB"/>
    <w:rsid w:val="00E21B32"/>
    <w:rsid w:val="00E22627"/>
    <w:rsid w:val="00E230F2"/>
    <w:rsid w:val="00E23CF0"/>
    <w:rsid w:val="00E240A0"/>
    <w:rsid w:val="00E2468E"/>
    <w:rsid w:val="00E249C9"/>
    <w:rsid w:val="00E251EC"/>
    <w:rsid w:val="00E25645"/>
    <w:rsid w:val="00E256F7"/>
    <w:rsid w:val="00E259F4"/>
    <w:rsid w:val="00E26050"/>
    <w:rsid w:val="00E266CE"/>
    <w:rsid w:val="00E271E0"/>
    <w:rsid w:val="00E3122C"/>
    <w:rsid w:val="00E3122F"/>
    <w:rsid w:val="00E33255"/>
    <w:rsid w:val="00E33295"/>
    <w:rsid w:val="00E33D0A"/>
    <w:rsid w:val="00E34D8B"/>
    <w:rsid w:val="00E34E58"/>
    <w:rsid w:val="00E35175"/>
    <w:rsid w:val="00E351CC"/>
    <w:rsid w:val="00E3524D"/>
    <w:rsid w:val="00E36849"/>
    <w:rsid w:val="00E37D5B"/>
    <w:rsid w:val="00E404E8"/>
    <w:rsid w:val="00E41024"/>
    <w:rsid w:val="00E41296"/>
    <w:rsid w:val="00E42A8A"/>
    <w:rsid w:val="00E43687"/>
    <w:rsid w:val="00E43AAD"/>
    <w:rsid w:val="00E43D91"/>
    <w:rsid w:val="00E445D7"/>
    <w:rsid w:val="00E447E9"/>
    <w:rsid w:val="00E44DA3"/>
    <w:rsid w:val="00E44E97"/>
    <w:rsid w:val="00E45268"/>
    <w:rsid w:val="00E457BB"/>
    <w:rsid w:val="00E467AC"/>
    <w:rsid w:val="00E47559"/>
    <w:rsid w:val="00E47821"/>
    <w:rsid w:val="00E500EA"/>
    <w:rsid w:val="00E50B9E"/>
    <w:rsid w:val="00E51148"/>
    <w:rsid w:val="00E52123"/>
    <w:rsid w:val="00E5264A"/>
    <w:rsid w:val="00E5292E"/>
    <w:rsid w:val="00E52D6A"/>
    <w:rsid w:val="00E5340E"/>
    <w:rsid w:val="00E55A53"/>
    <w:rsid w:val="00E55F0E"/>
    <w:rsid w:val="00E56007"/>
    <w:rsid w:val="00E56078"/>
    <w:rsid w:val="00E5647C"/>
    <w:rsid w:val="00E56608"/>
    <w:rsid w:val="00E569BD"/>
    <w:rsid w:val="00E56F10"/>
    <w:rsid w:val="00E56FC2"/>
    <w:rsid w:val="00E57317"/>
    <w:rsid w:val="00E57A97"/>
    <w:rsid w:val="00E6195D"/>
    <w:rsid w:val="00E61A9E"/>
    <w:rsid w:val="00E61ADB"/>
    <w:rsid w:val="00E63074"/>
    <w:rsid w:val="00E63D8B"/>
    <w:rsid w:val="00E64F17"/>
    <w:rsid w:val="00E65B0D"/>
    <w:rsid w:val="00E6677A"/>
    <w:rsid w:val="00E6690F"/>
    <w:rsid w:val="00E66CE0"/>
    <w:rsid w:val="00E672D3"/>
    <w:rsid w:val="00E6754F"/>
    <w:rsid w:val="00E7009E"/>
    <w:rsid w:val="00E7066B"/>
    <w:rsid w:val="00E707D8"/>
    <w:rsid w:val="00E70985"/>
    <w:rsid w:val="00E709BA"/>
    <w:rsid w:val="00E7248E"/>
    <w:rsid w:val="00E729BC"/>
    <w:rsid w:val="00E72A93"/>
    <w:rsid w:val="00E72BFC"/>
    <w:rsid w:val="00E73C74"/>
    <w:rsid w:val="00E7512E"/>
    <w:rsid w:val="00E75C6D"/>
    <w:rsid w:val="00E75EFC"/>
    <w:rsid w:val="00E76C9C"/>
    <w:rsid w:val="00E7778C"/>
    <w:rsid w:val="00E800A2"/>
    <w:rsid w:val="00E80C24"/>
    <w:rsid w:val="00E828FC"/>
    <w:rsid w:val="00E84094"/>
    <w:rsid w:val="00E84244"/>
    <w:rsid w:val="00E84763"/>
    <w:rsid w:val="00E8571B"/>
    <w:rsid w:val="00E87002"/>
    <w:rsid w:val="00E870ED"/>
    <w:rsid w:val="00E871C9"/>
    <w:rsid w:val="00E87951"/>
    <w:rsid w:val="00E901F5"/>
    <w:rsid w:val="00E9041C"/>
    <w:rsid w:val="00E904BC"/>
    <w:rsid w:val="00E917B9"/>
    <w:rsid w:val="00E91F79"/>
    <w:rsid w:val="00E91FC5"/>
    <w:rsid w:val="00E92371"/>
    <w:rsid w:val="00E92CBD"/>
    <w:rsid w:val="00E9303F"/>
    <w:rsid w:val="00E9383B"/>
    <w:rsid w:val="00E93D47"/>
    <w:rsid w:val="00E9421B"/>
    <w:rsid w:val="00E94B65"/>
    <w:rsid w:val="00E959D4"/>
    <w:rsid w:val="00E95B94"/>
    <w:rsid w:val="00E96BE2"/>
    <w:rsid w:val="00E96E5A"/>
    <w:rsid w:val="00E9709E"/>
    <w:rsid w:val="00E972C8"/>
    <w:rsid w:val="00EA0113"/>
    <w:rsid w:val="00EA1236"/>
    <w:rsid w:val="00EA15FB"/>
    <w:rsid w:val="00EA2350"/>
    <w:rsid w:val="00EA263C"/>
    <w:rsid w:val="00EA2C3E"/>
    <w:rsid w:val="00EA2D9A"/>
    <w:rsid w:val="00EA2EF8"/>
    <w:rsid w:val="00EA3AFD"/>
    <w:rsid w:val="00EA42D1"/>
    <w:rsid w:val="00EA5075"/>
    <w:rsid w:val="00EA50D2"/>
    <w:rsid w:val="00EA5345"/>
    <w:rsid w:val="00EA601A"/>
    <w:rsid w:val="00EA646A"/>
    <w:rsid w:val="00EA64EA"/>
    <w:rsid w:val="00EA688D"/>
    <w:rsid w:val="00EA72F8"/>
    <w:rsid w:val="00EA7950"/>
    <w:rsid w:val="00EA7A51"/>
    <w:rsid w:val="00EA7FE8"/>
    <w:rsid w:val="00EB0713"/>
    <w:rsid w:val="00EB0741"/>
    <w:rsid w:val="00EB09DA"/>
    <w:rsid w:val="00EB1DDF"/>
    <w:rsid w:val="00EB1E5E"/>
    <w:rsid w:val="00EB1FB1"/>
    <w:rsid w:val="00EB2C70"/>
    <w:rsid w:val="00EB325F"/>
    <w:rsid w:val="00EB3587"/>
    <w:rsid w:val="00EB3687"/>
    <w:rsid w:val="00EB5189"/>
    <w:rsid w:val="00EB617A"/>
    <w:rsid w:val="00EB65A1"/>
    <w:rsid w:val="00EB6720"/>
    <w:rsid w:val="00EB6F18"/>
    <w:rsid w:val="00EB7A77"/>
    <w:rsid w:val="00EC08D5"/>
    <w:rsid w:val="00EC0AD6"/>
    <w:rsid w:val="00EC0CBA"/>
    <w:rsid w:val="00EC0E04"/>
    <w:rsid w:val="00EC188C"/>
    <w:rsid w:val="00EC228F"/>
    <w:rsid w:val="00EC304F"/>
    <w:rsid w:val="00EC3A33"/>
    <w:rsid w:val="00EC3D26"/>
    <w:rsid w:val="00EC5577"/>
    <w:rsid w:val="00EC558D"/>
    <w:rsid w:val="00EC6CCC"/>
    <w:rsid w:val="00EC6CD9"/>
    <w:rsid w:val="00EC730F"/>
    <w:rsid w:val="00ED0731"/>
    <w:rsid w:val="00ED098A"/>
    <w:rsid w:val="00ED09EF"/>
    <w:rsid w:val="00ED0A55"/>
    <w:rsid w:val="00ED0C4C"/>
    <w:rsid w:val="00ED0FFB"/>
    <w:rsid w:val="00ED1AFE"/>
    <w:rsid w:val="00ED2C15"/>
    <w:rsid w:val="00ED322D"/>
    <w:rsid w:val="00ED44CC"/>
    <w:rsid w:val="00ED5D9E"/>
    <w:rsid w:val="00ED7052"/>
    <w:rsid w:val="00ED7470"/>
    <w:rsid w:val="00ED77B0"/>
    <w:rsid w:val="00EE0950"/>
    <w:rsid w:val="00EE1C92"/>
    <w:rsid w:val="00EE1FDC"/>
    <w:rsid w:val="00EE233F"/>
    <w:rsid w:val="00EE2536"/>
    <w:rsid w:val="00EE28C9"/>
    <w:rsid w:val="00EE298E"/>
    <w:rsid w:val="00EE332F"/>
    <w:rsid w:val="00EE3424"/>
    <w:rsid w:val="00EE3A39"/>
    <w:rsid w:val="00EE465B"/>
    <w:rsid w:val="00EE56E8"/>
    <w:rsid w:val="00EE5D4D"/>
    <w:rsid w:val="00EE5D91"/>
    <w:rsid w:val="00EE611B"/>
    <w:rsid w:val="00EE6958"/>
    <w:rsid w:val="00EE73CF"/>
    <w:rsid w:val="00EE740D"/>
    <w:rsid w:val="00EF0134"/>
    <w:rsid w:val="00EF04F8"/>
    <w:rsid w:val="00EF0BE5"/>
    <w:rsid w:val="00EF1396"/>
    <w:rsid w:val="00EF158E"/>
    <w:rsid w:val="00EF192D"/>
    <w:rsid w:val="00EF1BCA"/>
    <w:rsid w:val="00EF1F8C"/>
    <w:rsid w:val="00EF2390"/>
    <w:rsid w:val="00EF2795"/>
    <w:rsid w:val="00EF3375"/>
    <w:rsid w:val="00EF39FA"/>
    <w:rsid w:val="00EF3B38"/>
    <w:rsid w:val="00EF5B0C"/>
    <w:rsid w:val="00EF5C26"/>
    <w:rsid w:val="00EF6265"/>
    <w:rsid w:val="00EF628F"/>
    <w:rsid w:val="00EF656D"/>
    <w:rsid w:val="00EF6D68"/>
    <w:rsid w:val="00EF7392"/>
    <w:rsid w:val="00EF7973"/>
    <w:rsid w:val="00F006BC"/>
    <w:rsid w:val="00F00840"/>
    <w:rsid w:val="00F00F0F"/>
    <w:rsid w:val="00F01599"/>
    <w:rsid w:val="00F016FA"/>
    <w:rsid w:val="00F01BC5"/>
    <w:rsid w:val="00F0216B"/>
    <w:rsid w:val="00F0316D"/>
    <w:rsid w:val="00F031A8"/>
    <w:rsid w:val="00F03F33"/>
    <w:rsid w:val="00F040D0"/>
    <w:rsid w:val="00F045D3"/>
    <w:rsid w:val="00F05082"/>
    <w:rsid w:val="00F05134"/>
    <w:rsid w:val="00F0514C"/>
    <w:rsid w:val="00F05452"/>
    <w:rsid w:val="00F060A2"/>
    <w:rsid w:val="00F06271"/>
    <w:rsid w:val="00F06ADC"/>
    <w:rsid w:val="00F07703"/>
    <w:rsid w:val="00F07DE2"/>
    <w:rsid w:val="00F10544"/>
    <w:rsid w:val="00F10991"/>
    <w:rsid w:val="00F1165F"/>
    <w:rsid w:val="00F12369"/>
    <w:rsid w:val="00F12C76"/>
    <w:rsid w:val="00F13105"/>
    <w:rsid w:val="00F147CD"/>
    <w:rsid w:val="00F14F63"/>
    <w:rsid w:val="00F15C94"/>
    <w:rsid w:val="00F164F5"/>
    <w:rsid w:val="00F165E1"/>
    <w:rsid w:val="00F17BFB"/>
    <w:rsid w:val="00F17E99"/>
    <w:rsid w:val="00F20379"/>
    <w:rsid w:val="00F21091"/>
    <w:rsid w:val="00F21ECB"/>
    <w:rsid w:val="00F22856"/>
    <w:rsid w:val="00F23C05"/>
    <w:rsid w:val="00F23EA6"/>
    <w:rsid w:val="00F2434F"/>
    <w:rsid w:val="00F24EF7"/>
    <w:rsid w:val="00F257C5"/>
    <w:rsid w:val="00F257E1"/>
    <w:rsid w:val="00F26BB3"/>
    <w:rsid w:val="00F270B5"/>
    <w:rsid w:val="00F275CE"/>
    <w:rsid w:val="00F27AB6"/>
    <w:rsid w:val="00F27D81"/>
    <w:rsid w:val="00F30F9E"/>
    <w:rsid w:val="00F31C88"/>
    <w:rsid w:val="00F3270A"/>
    <w:rsid w:val="00F3275E"/>
    <w:rsid w:val="00F32B36"/>
    <w:rsid w:val="00F32E8B"/>
    <w:rsid w:val="00F33608"/>
    <w:rsid w:val="00F33B49"/>
    <w:rsid w:val="00F34B0A"/>
    <w:rsid w:val="00F34F29"/>
    <w:rsid w:val="00F35DA0"/>
    <w:rsid w:val="00F360AC"/>
    <w:rsid w:val="00F369D8"/>
    <w:rsid w:val="00F36B24"/>
    <w:rsid w:val="00F36D12"/>
    <w:rsid w:val="00F373D3"/>
    <w:rsid w:val="00F37A40"/>
    <w:rsid w:val="00F4027B"/>
    <w:rsid w:val="00F40C52"/>
    <w:rsid w:val="00F410B2"/>
    <w:rsid w:val="00F4128A"/>
    <w:rsid w:val="00F4159B"/>
    <w:rsid w:val="00F41FDF"/>
    <w:rsid w:val="00F425C8"/>
    <w:rsid w:val="00F42794"/>
    <w:rsid w:val="00F42DCF"/>
    <w:rsid w:val="00F42E87"/>
    <w:rsid w:val="00F430F1"/>
    <w:rsid w:val="00F43258"/>
    <w:rsid w:val="00F4356B"/>
    <w:rsid w:val="00F43600"/>
    <w:rsid w:val="00F43625"/>
    <w:rsid w:val="00F45DB3"/>
    <w:rsid w:val="00F45F27"/>
    <w:rsid w:val="00F46012"/>
    <w:rsid w:val="00F466B1"/>
    <w:rsid w:val="00F466BF"/>
    <w:rsid w:val="00F46B29"/>
    <w:rsid w:val="00F472B8"/>
    <w:rsid w:val="00F47C6E"/>
    <w:rsid w:val="00F50DEF"/>
    <w:rsid w:val="00F518DB"/>
    <w:rsid w:val="00F519C3"/>
    <w:rsid w:val="00F5265B"/>
    <w:rsid w:val="00F527C5"/>
    <w:rsid w:val="00F52AD0"/>
    <w:rsid w:val="00F53A7D"/>
    <w:rsid w:val="00F53E54"/>
    <w:rsid w:val="00F54C8F"/>
    <w:rsid w:val="00F56144"/>
    <w:rsid w:val="00F56A21"/>
    <w:rsid w:val="00F57237"/>
    <w:rsid w:val="00F5753E"/>
    <w:rsid w:val="00F577B4"/>
    <w:rsid w:val="00F6036E"/>
    <w:rsid w:val="00F617CA"/>
    <w:rsid w:val="00F6270C"/>
    <w:rsid w:val="00F6271F"/>
    <w:rsid w:val="00F6275E"/>
    <w:rsid w:val="00F62B39"/>
    <w:rsid w:val="00F62CF4"/>
    <w:rsid w:val="00F63CCA"/>
    <w:rsid w:val="00F64183"/>
    <w:rsid w:val="00F648D9"/>
    <w:rsid w:val="00F6496C"/>
    <w:rsid w:val="00F64FFD"/>
    <w:rsid w:val="00F650F3"/>
    <w:rsid w:val="00F6525C"/>
    <w:rsid w:val="00F65A93"/>
    <w:rsid w:val="00F65FE1"/>
    <w:rsid w:val="00F66CC5"/>
    <w:rsid w:val="00F67614"/>
    <w:rsid w:val="00F701D0"/>
    <w:rsid w:val="00F70308"/>
    <w:rsid w:val="00F70611"/>
    <w:rsid w:val="00F70809"/>
    <w:rsid w:val="00F70C30"/>
    <w:rsid w:val="00F7384A"/>
    <w:rsid w:val="00F73D1C"/>
    <w:rsid w:val="00F73E79"/>
    <w:rsid w:val="00F73E7A"/>
    <w:rsid w:val="00F755A7"/>
    <w:rsid w:val="00F75AB3"/>
    <w:rsid w:val="00F75B59"/>
    <w:rsid w:val="00F76080"/>
    <w:rsid w:val="00F763AC"/>
    <w:rsid w:val="00F76979"/>
    <w:rsid w:val="00F770EC"/>
    <w:rsid w:val="00F774AD"/>
    <w:rsid w:val="00F77954"/>
    <w:rsid w:val="00F8009D"/>
    <w:rsid w:val="00F80312"/>
    <w:rsid w:val="00F80F17"/>
    <w:rsid w:val="00F82271"/>
    <w:rsid w:val="00F829DE"/>
    <w:rsid w:val="00F82E23"/>
    <w:rsid w:val="00F82EE0"/>
    <w:rsid w:val="00F831DF"/>
    <w:rsid w:val="00F8326E"/>
    <w:rsid w:val="00F832C0"/>
    <w:rsid w:val="00F8362A"/>
    <w:rsid w:val="00F83AB9"/>
    <w:rsid w:val="00F83AEA"/>
    <w:rsid w:val="00F83E35"/>
    <w:rsid w:val="00F859E9"/>
    <w:rsid w:val="00F85F57"/>
    <w:rsid w:val="00F86BA9"/>
    <w:rsid w:val="00F871AD"/>
    <w:rsid w:val="00F872C9"/>
    <w:rsid w:val="00F87830"/>
    <w:rsid w:val="00F87DAF"/>
    <w:rsid w:val="00F9063B"/>
    <w:rsid w:val="00F90CB9"/>
    <w:rsid w:val="00F90FD9"/>
    <w:rsid w:val="00F93233"/>
    <w:rsid w:val="00F9386C"/>
    <w:rsid w:val="00F93BDD"/>
    <w:rsid w:val="00F94B86"/>
    <w:rsid w:val="00F95563"/>
    <w:rsid w:val="00F956DE"/>
    <w:rsid w:val="00F95F43"/>
    <w:rsid w:val="00F96087"/>
    <w:rsid w:val="00F97783"/>
    <w:rsid w:val="00FA1300"/>
    <w:rsid w:val="00FA1349"/>
    <w:rsid w:val="00FA16A8"/>
    <w:rsid w:val="00FA24D0"/>
    <w:rsid w:val="00FA25D8"/>
    <w:rsid w:val="00FA28D0"/>
    <w:rsid w:val="00FA3170"/>
    <w:rsid w:val="00FA413A"/>
    <w:rsid w:val="00FA53AF"/>
    <w:rsid w:val="00FA66CA"/>
    <w:rsid w:val="00FA6A21"/>
    <w:rsid w:val="00FA6A46"/>
    <w:rsid w:val="00FA75B3"/>
    <w:rsid w:val="00FB01A3"/>
    <w:rsid w:val="00FB049E"/>
    <w:rsid w:val="00FB0E57"/>
    <w:rsid w:val="00FB1325"/>
    <w:rsid w:val="00FB15A1"/>
    <w:rsid w:val="00FB2697"/>
    <w:rsid w:val="00FB4487"/>
    <w:rsid w:val="00FB52E3"/>
    <w:rsid w:val="00FB5891"/>
    <w:rsid w:val="00FB7224"/>
    <w:rsid w:val="00FB7D18"/>
    <w:rsid w:val="00FB7E62"/>
    <w:rsid w:val="00FC01D5"/>
    <w:rsid w:val="00FC0E68"/>
    <w:rsid w:val="00FC1000"/>
    <w:rsid w:val="00FC1510"/>
    <w:rsid w:val="00FC16DD"/>
    <w:rsid w:val="00FC2907"/>
    <w:rsid w:val="00FC3B3E"/>
    <w:rsid w:val="00FC449E"/>
    <w:rsid w:val="00FC5EBB"/>
    <w:rsid w:val="00FC5F6A"/>
    <w:rsid w:val="00FC6172"/>
    <w:rsid w:val="00FC6364"/>
    <w:rsid w:val="00FC642A"/>
    <w:rsid w:val="00FC6644"/>
    <w:rsid w:val="00FC6FA5"/>
    <w:rsid w:val="00FC7BC1"/>
    <w:rsid w:val="00FC7D7B"/>
    <w:rsid w:val="00FD15C7"/>
    <w:rsid w:val="00FD1737"/>
    <w:rsid w:val="00FD2CA6"/>
    <w:rsid w:val="00FD3B52"/>
    <w:rsid w:val="00FD415F"/>
    <w:rsid w:val="00FD4B9A"/>
    <w:rsid w:val="00FD4C06"/>
    <w:rsid w:val="00FD4CFD"/>
    <w:rsid w:val="00FD4E04"/>
    <w:rsid w:val="00FD5110"/>
    <w:rsid w:val="00FD57BB"/>
    <w:rsid w:val="00FD6117"/>
    <w:rsid w:val="00FD7208"/>
    <w:rsid w:val="00FD79FE"/>
    <w:rsid w:val="00FD7B85"/>
    <w:rsid w:val="00FD7F7B"/>
    <w:rsid w:val="00FE0ED1"/>
    <w:rsid w:val="00FE1796"/>
    <w:rsid w:val="00FE24C3"/>
    <w:rsid w:val="00FE2D99"/>
    <w:rsid w:val="00FE3375"/>
    <w:rsid w:val="00FE3906"/>
    <w:rsid w:val="00FE3FF7"/>
    <w:rsid w:val="00FE5567"/>
    <w:rsid w:val="00FE55E0"/>
    <w:rsid w:val="00FE59FD"/>
    <w:rsid w:val="00FE5DB8"/>
    <w:rsid w:val="00FE7F54"/>
    <w:rsid w:val="00FF0F53"/>
    <w:rsid w:val="00FF2439"/>
    <w:rsid w:val="00FF2D60"/>
    <w:rsid w:val="00FF318B"/>
    <w:rsid w:val="00FF37BB"/>
    <w:rsid w:val="00FF4E35"/>
    <w:rsid w:val="00FF52A3"/>
    <w:rsid w:val="00FF562A"/>
    <w:rsid w:val="00FF56BA"/>
    <w:rsid w:val="00FF5DB6"/>
    <w:rsid w:val="00FF6479"/>
    <w:rsid w:val="00FF66B1"/>
    <w:rsid w:val="00FF68DB"/>
    <w:rsid w:val="00FF69EC"/>
    <w:rsid w:val="00FF7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1E19E70"/>
  <w15:docId w15:val="{761A5647-50CE-4CBF-90F9-0B4FC3F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BC"/>
    <w:rPr>
      <w:sz w:val="24"/>
      <w:szCs w:val="24"/>
    </w:rPr>
  </w:style>
  <w:style w:type="paragraph" w:styleId="Heading1">
    <w:name w:val="heading 1"/>
    <w:basedOn w:val="ACMAHeading1"/>
    <w:next w:val="ACMABodyText"/>
    <w:link w:val="Heading1Char"/>
    <w:uiPriority w:val="99"/>
    <w:qFormat/>
    <w:rsid w:val="003939ED"/>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241"/>
    <w:rPr>
      <w:rFonts w:ascii="Cambria" w:hAnsi="Cambria" w:cs="Times New Roman"/>
      <w:b/>
      <w:bCs/>
      <w:kern w:val="32"/>
      <w:sz w:val="32"/>
      <w:szCs w:val="32"/>
    </w:rPr>
  </w:style>
  <w:style w:type="paragraph" w:customStyle="1" w:styleId="ACMABodyText">
    <w:name w:val="ACMA Body Text"/>
    <w:uiPriority w:val="99"/>
    <w:rsid w:val="00181920"/>
    <w:pPr>
      <w:suppressAutoHyphens/>
      <w:spacing w:before="80" w:after="120" w:line="280" w:lineRule="atLeast"/>
    </w:pPr>
    <w:rPr>
      <w:rFonts w:ascii="Arial" w:hAnsi="Arial" w:cs="Arial"/>
      <w:lang w:eastAsia="en-US"/>
    </w:rPr>
  </w:style>
  <w:style w:type="paragraph" w:customStyle="1" w:styleId="ACMAHeading1">
    <w:name w:val="ACMA Heading 1"/>
    <w:next w:val="ACMABodyText"/>
    <w:uiPriority w:val="99"/>
    <w:rsid w:val="00C21B69"/>
    <w:pPr>
      <w:keepNext/>
      <w:suppressAutoHyphens/>
      <w:spacing w:before="320"/>
      <w:outlineLvl w:val="1"/>
    </w:pPr>
    <w:rPr>
      <w:rFonts w:ascii="Arial" w:hAnsi="Arial"/>
      <w:b/>
      <w:sz w:val="32"/>
      <w:szCs w:val="32"/>
      <w:lang w:val="en-US" w:eastAsia="en-US"/>
    </w:rPr>
  </w:style>
  <w:style w:type="paragraph" w:customStyle="1" w:styleId="ACMABulletLevel1">
    <w:name w:val="ACMA Bullet Level 1"/>
    <w:uiPriority w:val="99"/>
    <w:rsid w:val="00C21B69"/>
    <w:pPr>
      <w:tabs>
        <w:tab w:val="num" w:pos="1008"/>
      </w:tabs>
      <w:spacing w:after="120"/>
      <w:ind w:left="1008" w:hanging="360"/>
    </w:pPr>
    <w:rPr>
      <w:sz w:val="24"/>
      <w:lang w:eastAsia="en-US"/>
    </w:rPr>
  </w:style>
  <w:style w:type="paragraph" w:customStyle="1" w:styleId="ACMABulletLevel2">
    <w:name w:val="ACMA Bullet Level 2"/>
    <w:uiPriority w:val="99"/>
    <w:rsid w:val="00C21B69"/>
    <w:pPr>
      <w:numPr>
        <w:numId w:val="3"/>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uiPriority w:val="99"/>
    <w:rsid w:val="00C21B69"/>
    <w:pPr>
      <w:keepNext/>
      <w:suppressAutoHyphens/>
      <w:spacing w:before="2160" w:after="480"/>
      <w:outlineLvl w:val="0"/>
    </w:pPr>
    <w:rPr>
      <w:sz w:val="56"/>
      <w:szCs w:val="56"/>
      <w:lang w:eastAsia="en-US"/>
    </w:rPr>
  </w:style>
  <w:style w:type="paragraph" w:customStyle="1" w:styleId="ACMAConclusion">
    <w:name w:val="ACMA Conclusion"/>
    <w:uiPriority w:val="99"/>
    <w:rsid w:val="003939E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uiPriority w:val="99"/>
    <w:rsid w:val="00C21B69"/>
    <w:pPr>
      <w:spacing w:before="2160" w:after="480"/>
    </w:pPr>
    <w:rPr>
      <w:sz w:val="56"/>
      <w:szCs w:val="56"/>
      <w:lang w:val="en-US" w:eastAsia="en-US"/>
    </w:rPr>
  </w:style>
  <w:style w:type="paragraph" w:customStyle="1" w:styleId="ACMAFooterEven">
    <w:name w:val="ACMA Footer (Even)"/>
    <w:uiPriority w:val="99"/>
    <w:rsid w:val="00C21B69"/>
    <w:pPr>
      <w:pBdr>
        <w:top w:val="single" w:sz="2" w:space="4" w:color="auto"/>
      </w:pBdr>
      <w:tabs>
        <w:tab w:val="right" w:pos="8959"/>
      </w:tabs>
    </w:pPr>
    <w:rPr>
      <w:lang w:eastAsia="en-US"/>
    </w:rPr>
  </w:style>
  <w:style w:type="paragraph" w:customStyle="1" w:styleId="ACMAFooterOdd">
    <w:name w:val="ACMA Footer (Odd)"/>
    <w:uiPriority w:val="99"/>
    <w:rsid w:val="00C21B69"/>
    <w:pPr>
      <w:pBdr>
        <w:top w:val="single" w:sz="2" w:space="4" w:color="auto"/>
      </w:pBdr>
      <w:tabs>
        <w:tab w:val="right" w:pos="8959"/>
      </w:tabs>
    </w:pPr>
    <w:rPr>
      <w:lang w:eastAsia="en-US"/>
    </w:rPr>
  </w:style>
  <w:style w:type="paragraph" w:customStyle="1" w:styleId="ACMAFootnote">
    <w:name w:val="ACMA Footnote"/>
    <w:uiPriority w:val="99"/>
    <w:rsid w:val="003939ED"/>
    <w:pPr>
      <w:ind w:left="144" w:hanging="144"/>
    </w:pPr>
    <w:rPr>
      <w:sz w:val="16"/>
      <w:lang w:eastAsia="en-US"/>
    </w:rPr>
  </w:style>
  <w:style w:type="paragraph" w:customStyle="1" w:styleId="ACMAHeaderEven">
    <w:name w:val="ACMA Header (Even)"/>
    <w:uiPriority w:val="99"/>
    <w:rsid w:val="00C21B69"/>
    <w:rPr>
      <w:i/>
      <w:lang w:val="en-US" w:eastAsia="en-US"/>
    </w:rPr>
  </w:style>
  <w:style w:type="paragraph" w:customStyle="1" w:styleId="ACMAHeaderOdd">
    <w:name w:val="ACMA Header (Odd)"/>
    <w:uiPriority w:val="99"/>
    <w:rsid w:val="00C21B69"/>
    <w:pPr>
      <w:jc w:val="right"/>
    </w:pPr>
    <w:rPr>
      <w:i/>
      <w:lang w:val="en-US" w:eastAsia="en-US"/>
    </w:rPr>
  </w:style>
  <w:style w:type="paragraph" w:customStyle="1" w:styleId="ACMAHeading2">
    <w:name w:val="ACMA Heading 2"/>
    <w:next w:val="ACMABodyText"/>
    <w:uiPriority w:val="99"/>
    <w:rsid w:val="00C21B69"/>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uiPriority w:val="99"/>
    <w:rsid w:val="00B842CB"/>
    <w:pPr>
      <w:keepNext/>
      <w:tabs>
        <w:tab w:val="left" w:pos="1701"/>
      </w:tabs>
      <w:suppressAutoHyphens/>
      <w:spacing w:before="240"/>
      <w:outlineLvl w:val="3"/>
    </w:pPr>
    <w:rPr>
      <w:rFonts w:ascii="Arial" w:hAnsi="Arial" w:cs="Arial"/>
      <w:b/>
      <w:lang w:val="en-US" w:eastAsia="en-US"/>
    </w:rPr>
  </w:style>
  <w:style w:type="paragraph" w:customStyle="1" w:styleId="ACMAHeading4">
    <w:name w:val="ACMA Heading 4"/>
    <w:next w:val="ACMABodyText"/>
    <w:uiPriority w:val="99"/>
    <w:rsid w:val="00C21B69"/>
    <w:pPr>
      <w:keepNext/>
      <w:suppressAutoHyphens/>
      <w:spacing w:before="80"/>
      <w:outlineLvl w:val="4"/>
    </w:pPr>
    <w:rPr>
      <w:rFonts w:ascii="Arial" w:hAnsi="Arial"/>
      <w:b/>
      <w:i/>
      <w:lang w:eastAsia="en-US"/>
    </w:rPr>
  </w:style>
  <w:style w:type="paragraph" w:customStyle="1" w:styleId="ACMAletteredlist">
    <w:name w:val="ACMA lettered list"/>
    <w:uiPriority w:val="99"/>
    <w:rsid w:val="003939ED"/>
    <w:pPr>
      <w:numPr>
        <w:numId w:val="1"/>
      </w:numPr>
      <w:tabs>
        <w:tab w:val="clear" w:pos="360"/>
      </w:tabs>
      <w:spacing w:before="20" w:after="20"/>
    </w:pPr>
    <w:rPr>
      <w:sz w:val="24"/>
      <w:lang w:eastAsia="en-US"/>
    </w:rPr>
  </w:style>
  <w:style w:type="paragraph" w:customStyle="1" w:styleId="ACMANumberedList">
    <w:name w:val="ACMA Numbered List"/>
    <w:uiPriority w:val="99"/>
    <w:rsid w:val="003939ED"/>
    <w:pPr>
      <w:numPr>
        <w:numId w:val="2"/>
      </w:numPr>
      <w:tabs>
        <w:tab w:val="clear" w:pos="720"/>
      </w:tabs>
      <w:spacing w:before="20" w:after="20"/>
      <w:ind w:left="360"/>
    </w:pPr>
    <w:rPr>
      <w:sz w:val="24"/>
      <w:lang w:eastAsia="en-US"/>
    </w:rPr>
  </w:style>
  <w:style w:type="paragraph" w:customStyle="1" w:styleId="ACMAQuote">
    <w:name w:val="ACMA Quote"/>
    <w:uiPriority w:val="99"/>
    <w:rsid w:val="003939ED"/>
    <w:pPr>
      <w:spacing w:line="240" w:lineRule="atLeast"/>
      <w:ind w:left="562" w:right="562"/>
    </w:pPr>
    <w:rPr>
      <w:sz w:val="22"/>
      <w:lang w:eastAsia="en-US"/>
    </w:rPr>
  </w:style>
  <w:style w:type="paragraph" w:customStyle="1" w:styleId="ACMAReportDate">
    <w:name w:val="ACMA Report Date"/>
    <w:uiPriority w:val="99"/>
    <w:rsid w:val="00C21B69"/>
    <w:rPr>
      <w:lang w:eastAsia="en-US"/>
    </w:rPr>
  </w:style>
  <w:style w:type="paragraph" w:customStyle="1" w:styleId="ACMAReportImprint">
    <w:name w:val="ACMA Report Imprint"/>
    <w:uiPriority w:val="99"/>
    <w:rsid w:val="00C21B69"/>
    <w:pPr>
      <w:spacing w:after="80"/>
    </w:pPr>
    <w:rPr>
      <w:rFonts w:cs="Arial"/>
      <w:lang w:eastAsia="en-US"/>
    </w:rPr>
  </w:style>
  <w:style w:type="paragraph" w:customStyle="1" w:styleId="ACMAReportSubtitle">
    <w:name w:val="ACMA Report Subtitle"/>
    <w:uiPriority w:val="99"/>
    <w:rsid w:val="00C21B69"/>
    <w:pPr>
      <w:spacing w:before="1440"/>
    </w:pPr>
    <w:rPr>
      <w:sz w:val="36"/>
      <w:lang w:eastAsia="en-US"/>
    </w:rPr>
  </w:style>
  <w:style w:type="paragraph" w:customStyle="1" w:styleId="ACMAReportTitle">
    <w:name w:val="ACMA Report Title"/>
    <w:uiPriority w:val="99"/>
    <w:rsid w:val="00C21B69"/>
    <w:pPr>
      <w:spacing w:before="1980"/>
    </w:pPr>
    <w:rPr>
      <w:sz w:val="80"/>
      <w:lang w:eastAsia="en-US"/>
    </w:rPr>
  </w:style>
  <w:style w:type="paragraph" w:customStyle="1" w:styleId="ACMATableBullet">
    <w:name w:val="ACMA Table Bullet"/>
    <w:uiPriority w:val="99"/>
    <w:rsid w:val="00C21B69"/>
    <w:pPr>
      <w:tabs>
        <w:tab w:val="num" w:pos="1008"/>
      </w:tabs>
      <w:spacing w:before="40" w:after="40"/>
      <w:ind w:left="1008" w:hanging="360"/>
    </w:pPr>
    <w:rPr>
      <w:rFonts w:ascii="Arial" w:hAnsi="Arial"/>
      <w:lang w:eastAsia="en-US"/>
    </w:rPr>
  </w:style>
  <w:style w:type="paragraph" w:customStyle="1" w:styleId="ACMATableCaption">
    <w:name w:val="ACMA Table Caption"/>
    <w:uiPriority w:val="99"/>
    <w:rsid w:val="003939ED"/>
    <w:pPr>
      <w:spacing w:after="120"/>
    </w:pPr>
    <w:rPr>
      <w:rFonts w:ascii="Arial" w:hAnsi="Arial"/>
      <w:lang w:eastAsia="en-US"/>
    </w:rPr>
  </w:style>
  <w:style w:type="paragraph" w:customStyle="1" w:styleId="ACMATableHeading">
    <w:name w:val="ACMA Table Heading"/>
    <w:uiPriority w:val="99"/>
    <w:rsid w:val="003939ED"/>
    <w:pPr>
      <w:spacing w:before="40" w:after="40"/>
    </w:pPr>
    <w:rPr>
      <w:rFonts w:ascii="Arial" w:hAnsi="Arial"/>
      <w:b/>
      <w:lang w:eastAsia="en-US"/>
    </w:rPr>
  </w:style>
  <w:style w:type="paragraph" w:customStyle="1" w:styleId="ACMATableNumber">
    <w:name w:val="ACMA Table Number"/>
    <w:uiPriority w:val="99"/>
    <w:rsid w:val="003939ED"/>
    <w:pPr>
      <w:spacing w:before="160"/>
    </w:pPr>
    <w:rPr>
      <w:rFonts w:ascii="Arial" w:hAnsi="Arial"/>
      <w:b/>
      <w:lang w:eastAsia="en-US"/>
    </w:rPr>
  </w:style>
  <w:style w:type="paragraph" w:customStyle="1" w:styleId="ACMATableText">
    <w:name w:val="ACMA Table Text"/>
    <w:uiPriority w:val="99"/>
    <w:rsid w:val="003939ED"/>
    <w:pPr>
      <w:spacing w:before="40" w:after="40"/>
    </w:pPr>
    <w:rPr>
      <w:rFonts w:ascii="Arial" w:hAnsi="Arial"/>
      <w:lang w:eastAsia="en-US"/>
    </w:rPr>
  </w:style>
  <w:style w:type="paragraph" w:customStyle="1" w:styleId="LegislationLvl1">
    <w:name w:val="Legislation Lvl 1"/>
    <w:rsid w:val="003939ED"/>
    <w:pPr>
      <w:tabs>
        <w:tab w:val="num" w:pos="851"/>
      </w:tabs>
      <w:ind w:left="850" w:hanging="493"/>
    </w:pPr>
    <w:rPr>
      <w:bCs/>
      <w:sz w:val="22"/>
      <w:lang w:eastAsia="en-US"/>
    </w:rPr>
  </w:style>
  <w:style w:type="paragraph" w:customStyle="1" w:styleId="LegislationLvl2">
    <w:name w:val="Legislation Lvl 2"/>
    <w:rsid w:val="003939ED"/>
    <w:pPr>
      <w:tabs>
        <w:tab w:val="num" w:pos="1418"/>
      </w:tabs>
      <w:ind w:left="1418" w:hanging="567"/>
    </w:pPr>
    <w:rPr>
      <w:sz w:val="22"/>
      <w:lang w:eastAsia="en-US"/>
    </w:rPr>
  </w:style>
  <w:style w:type="paragraph" w:customStyle="1" w:styleId="LegislationLvl3">
    <w:name w:val="Legislation Lvl 3"/>
    <w:rsid w:val="003939ED"/>
    <w:pPr>
      <w:tabs>
        <w:tab w:val="num" w:pos="1985"/>
      </w:tabs>
      <w:ind w:left="1985" w:hanging="567"/>
    </w:pPr>
    <w:rPr>
      <w:sz w:val="22"/>
      <w:lang w:eastAsia="en-US"/>
    </w:rPr>
  </w:style>
  <w:style w:type="paragraph" w:customStyle="1" w:styleId="LegislationLvl4">
    <w:name w:val="Legislation Lvl 4"/>
    <w:rsid w:val="003939ED"/>
    <w:pPr>
      <w:tabs>
        <w:tab w:val="num" w:pos="2694"/>
      </w:tabs>
      <w:ind w:left="2694" w:hanging="426"/>
    </w:pPr>
    <w:rPr>
      <w:sz w:val="22"/>
      <w:lang w:eastAsia="en-US"/>
    </w:rPr>
  </w:style>
  <w:style w:type="paragraph" w:styleId="FootnoteText">
    <w:name w:val="footnote text"/>
    <w:aliases w:val="ACMA Footnote Text"/>
    <w:basedOn w:val="Normal"/>
    <w:link w:val="FootnoteTextChar"/>
    <w:uiPriority w:val="99"/>
    <w:rsid w:val="003939ED"/>
    <w:pPr>
      <w:tabs>
        <w:tab w:val="left" w:pos="284"/>
      </w:tabs>
      <w:ind w:left="288" w:hanging="288"/>
    </w:pPr>
    <w:rPr>
      <w:sz w:val="20"/>
      <w:szCs w:val="20"/>
      <w:lang w:eastAsia="en-US"/>
    </w:rPr>
  </w:style>
  <w:style w:type="character" w:customStyle="1" w:styleId="FootnoteTextChar">
    <w:name w:val="Footnote Text Char"/>
    <w:aliases w:val="ACMA Footnote Text Char"/>
    <w:basedOn w:val="DefaultParagraphFont"/>
    <w:link w:val="FootnoteText"/>
    <w:uiPriority w:val="99"/>
    <w:locked/>
    <w:rsid w:val="008400B8"/>
    <w:rPr>
      <w:rFonts w:cs="Times New Roman"/>
      <w:lang w:val="en-AU" w:eastAsia="en-US" w:bidi="ar-SA"/>
    </w:rPr>
  </w:style>
  <w:style w:type="paragraph" w:customStyle="1" w:styleId="Pre-NumberedLegisLvl1">
    <w:name w:val="Pre-Numbered Legis Lvl 1"/>
    <w:uiPriority w:val="99"/>
    <w:rsid w:val="003939ED"/>
    <w:pPr>
      <w:ind w:left="850" w:hanging="493"/>
    </w:pPr>
    <w:rPr>
      <w:sz w:val="22"/>
      <w:lang w:eastAsia="en-US"/>
    </w:rPr>
  </w:style>
  <w:style w:type="paragraph" w:customStyle="1" w:styleId="Pre-NumberedLegisLvl2">
    <w:name w:val="Pre-Numbered Legis Lvl 2"/>
    <w:uiPriority w:val="99"/>
    <w:rsid w:val="003939ED"/>
    <w:pPr>
      <w:ind w:left="1367" w:hanging="516"/>
    </w:pPr>
    <w:rPr>
      <w:sz w:val="22"/>
      <w:lang w:eastAsia="en-US"/>
    </w:rPr>
  </w:style>
  <w:style w:type="paragraph" w:customStyle="1" w:styleId="Pre-NumberedLegisLvl3">
    <w:name w:val="Pre-Numbered Legis Lvl 3"/>
    <w:uiPriority w:val="99"/>
    <w:rsid w:val="003939ED"/>
    <w:pPr>
      <w:ind w:left="1985" w:hanging="567"/>
    </w:pPr>
    <w:rPr>
      <w:sz w:val="22"/>
      <w:lang w:eastAsia="en-US"/>
    </w:rPr>
  </w:style>
  <w:style w:type="paragraph" w:customStyle="1" w:styleId="Pre-NumberedLegisLvl4">
    <w:name w:val="Pre-Numbered Legis Lvl 4"/>
    <w:uiPriority w:val="99"/>
    <w:rsid w:val="003939ED"/>
    <w:pPr>
      <w:ind w:left="2721" w:hanging="680"/>
    </w:pPr>
    <w:rPr>
      <w:sz w:val="22"/>
      <w:lang w:eastAsia="en-US"/>
    </w:rPr>
  </w:style>
  <w:style w:type="paragraph" w:styleId="TOC1">
    <w:name w:val="toc 1"/>
    <w:aliases w:val="ACMA 1"/>
    <w:basedOn w:val="Normal"/>
    <w:uiPriority w:val="99"/>
    <w:rsid w:val="00C21B69"/>
    <w:pPr>
      <w:spacing w:before="360"/>
    </w:pPr>
    <w:rPr>
      <w:rFonts w:ascii="Arial" w:hAnsi="Arial"/>
      <w:b/>
      <w:bCs/>
      <w:caps/>
      <w:sz w:val="20"/>
      <w:szCs w:val="28"/>
      <w:lang w:eastAsia="en-US"/>
    </w:rPr>
  </w:style>
  <w:style w:type="paragraph" w:styleId="TOC2">
    <w:name w:val="toc 2"/>
    <w:aliases w:val="ACMA 2"/>
    <w:basedOn w:val="Normal"/>
    <w:uiPriority w:val="99"/>
    <w:rsid w:val="00C21B69"/>
    <w:pPr>
      <w:spacing w:before="240"/>
    </w:pPr>
    <w:rPr>
      <w:bCs/>
      <w:sz w:val="22"/>
      <w:lang w:eastAsia="en-US"/>
    </w:rPr>
  </w:style>
  <w:style w:type="paragraph" w:styleId="TOC3">
    <w:name w:val="toc 3"/>
    <w:aliases w:val="ACMA 3"/>
    <w:basedOn w:val="Normal"/>
    <w:uiPriority w:val="99"/>
    <w:rsid w:val="00C21B69"/>
    <w:pPr>
      <w:ind w:left="198"/>
    </w:pPr>
    <w:rPr>
      <w:sz w:val="22"/>
      <w:lang w:eastAsia="en-US"/>
    </w:rPr>
  </w:style>
  <w:style w:type="character" w:styleId="Hyperlink">
    <w:name w:val="Hyperlink"/>
    <w:basedOn w:val="DefaultParagraphFont"/>
    <w:uiPriority w:val="99"/>
    <w:rsid w:val="003939ED"/>
    <w:rPr>
      <w:rFonts w:cs="Times New Roman"/>
      <w:color w:val="0000FF"/>
      <w:u w:val="single"/>
    </w:rPr>
  </w:style>
  <w:style w:type="table" w:styleId="TableGrid">
    <w:name w:val="Table Grid"/>
    <w:basedOn w:val="TableNormal"/>
    <w:uiPriority w:val="99"/>
    <w:rsid w:val="00C21B69"/>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uiPriority w:val="99"/>
    <w:rsid w:val="00C21B69"/>
    <w:pPr>
      <w:spacing w:before="480" w:after="420"/>
    </w:pPr>
  </w:style>
  <w:style w:type="paragraph" w:styleId="Footer">
    <w:name w:val="footer"/>
    <w:basedOn w:val="Normal"/>
    <w:link w:val="FooterChar"/>
    <w:uiPriority w:val="99"/>
    <w:rsid w:val="00C21B69"/>
    <w:pPr>
      <w:tabs>
        <w:tab w:val="center" w:pos="4320"/>
        <w:tab w:val="right" w:pos="8640"/>
      </w:tabs>
    </w:pPr>
  </w:style>
  <w:style w:type="character" w:customStyle="1" w:styleId="FooterChar">
    <w:name w:val="Footer Char"/>
    <w:basedOn w:val="DefaultParagraphFont"/>
    <w:link w:val="Footer"/>
    <w:uiPriority w:val="99"/>
    <w:locked/>
    <w:rsid w:val="00A64018"/>
    <w:rPr>
      <w:rFonts w:cs="Times New Roman"/>
      <w:sz w:val="24"/>
      <w:szCs w:val="24"/>
    </w:rPr>
  </w:style>
  <w:style w:type="character" w:styleId="PageNumber">
    <w:name w:val="page number"/>
    <w:basedOn w:val="DefaultParagraphFont"/>
    <w:uiPriority w:val="99"/>
    <w:rsid w:val="00C21B69"/>
    <w:rPr>
      <w:rFonts w:ascii="Times New Roman" w:hAnsi="Times New Roman" w:cs="Times New Roman"/>
      <w:sz w:val="20"/>
      <w:szCs w:val="20"/>
    </w:rPr>
  </w:style>
  <w:style w:type="character" w:styleId="FootnoteReference">
    <w:name w:val="footnote reference"/>
    <w:basedOn w:val="DefaultParagraphFont"/>
    <w:uiPriority w:val="99"/>
    <w:semiHidden/>
    <w:rsid w:val="00C21B69"/>
    <w:rPr>
      <w:rFonts w:cs="Times New Roman"/>
      <w:vertAlign w:val="superscript"/>
    </w:rPr>
  </w:style>
  <w:style w:type="character" w:styleId="CommentReference">
    <w:name w:val="annotation reference"/>
    <w:basedOn w:val="DefaultParagraphFont"/>
    <w:uiPriority w:val="99"/>
    <w:rsid w:val="009D73B3"/>
    <w:rPr>
      <w:rFonts w:cs="Times New Roman"/>
      <w:sz w:val="16"/>
      <w:szCs w:val="16"/>
    </w:rPr>
  </w:style>
  <w:style w:type="paragraph" w:styleId="CommentText">
    <w:name w:val="annotation text"/>
    <w:basedOn w:val="Normal"/>
    <w:link w:val="CommentTextChar"/>
    <w:uiPriority w:val="99"/>
    <w:rsid w:val="009D73B3"/>
    <w:rPr>
      <w:sz w:val="20"/>
      <w:szCs w:val="20"/>
    </w:rPr>
  </w:style>
  <w:style w:type="character" w:customStyle="1" w:styleId="CommentTextChar">
    <w:name w:val="Comment Text Char"/>
    <w:basedOn w:val="DefaultParagraphFont"/>
    <w:link w:val="CommentText"/>
    <w:uiPriority w:val="99"/>
    <w:locked/>
    <w:rsid w:val="002B6050"/>
    <w:rPr>
      <w:rFonts w:cs="Times New Roman"/>
    </w:rPr>
  </w:style>
  <w:style w:type="paragraph" w:styleId="CommentSubject">
    <w:name w:val="annotation subject"/>
    <w:basedOn w:val="CommentText"/>
    <w:next w:val="CommentText"/>
    <w:link w:val="CommentSubjectChar"/>
    <w:uiPriority w:val="99"/>
    <w:semiHidden/>
    <w:rsid w:val="009D73B3"/>
    <w:rPr>
      <w:b/>
      <w:bCs/>
    </w:rPr>
  </w:style>
  <w:style w:type="character" w:customStyle="1" w:styleId="CommentSubjectChar">
    <w:name w:val="Comment Subject Char"/>
    <w:basedOn w:val="CommentTextChar"/>
    <w:link w:val="CommentSubject"/>
    <w:uiPriority w:val="99"/>
    <w:semiHidden/>
    <w:locked/>
    <w:rsid w:val="00517241"/>
    <w:rPr>
      <w:rFonts w:cs="Times New Roman"/>
      <w:b/>
      <w:bCs/>
      <w:sz w:val="20"/>
      <w:szCs w:val="20"/>
    </w:rPr>
  </w:style>
  <w:style w:type="paragraph" w:styleId="BalloonText">
    <w:name w:val="Balloon Text"/>
    <w:basedOn w:val="Normal"/>
    <w:link w:val="BalloonTextChar"/>
    <w:uiPriority w:val="99"/>
    <w:semiHidden/>
    <w:rsid w:val="009D73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241"/>
    <w:rPr>
      <w:rFonts w:cs="Times New Roman"/>
      <w:sz w:val="2"/>
    </w:rPr>
  </w:style>
  <w:style w:type="paragraph" w:customStyle="1" w:styleId="WfxFaxNum">
    <w:name w:val="WfxFaxNum"/>
    <w:basedOn w:val="Normal"/>
    <w:uiPriority w:val="99"/>
    <w:rsid w:val="00042BE1"/>
    <w:rPr>
      <w:rFonts w:ascii="Arial" w:hAnsi="Arial"/>
      <w:szCs w:val="20"/>
      <w:lang w:eastAsia="en-US"/>
    </w:rPr>
  </w:style>
  <w:style w:type="paragraph" w:customStyle="1" w:styleId="RGPara">
    <w:name w:val="RGPara"/>
    <w:aliases w:val="Readers Guide Para"/>
    <w:basedOn w:val="Normal"/>
    <w:rsid w:val="00042BE1"/>
    <w:pPr>
      <w:spacing w:before="120" w:line="260" w:lineRule="exact"/>
      <w:jc w:val="both"/>
    </w:pPr>
    <w:rPr>
      <w:rFonts w:ascii="Times" w:hAnsi="Times"/>
      <w:szCs w:val="20"/>
      <w:lang w:eastAsia="en-US"/>
    </w:rPr>
  </w:style>
  <w:style w:type="paragraph" w:styleId="NormalWeb">
    <w:name w:val="Normal (Web)"/>
    <w:basedOn w:val="Normal"/>
    <w:uiPriority w:val="99"/>
    <w:rsid w:val="007F2F85"/>
    <w:pPr>
      <w:spacing w:before="100" w:beforeAutospacing="1" w:after="100" w:afterAutospacing="1"/>
    </w:pPr>
    <w:rPr>
      <w:rFonts w:ascii="Arial" w:hAnsi="Arial" w:cs="Arial"/>
      <w:color w:val="000000"/>
      <w:sz w:val="20"/>
      <w:szCs w:val="20"/>
    </w:rPr>
  </w:style>
  <w:style w:type="paragraph" w:customStyle="1" w:styleId="P1">
    <w:name w:val="P1"/>
    <w:aliases w:val="(a)"/>
    <w:basedOn w:val="Normal"/>
    <w:rsid w:val="00D63165"/>
    <w:pPr>
      <w:tabs>
        <w:tab w:val="right" w:pos="1191"/>
        <w:tab w:val="left" w:pos="1644"/>
      </w:tabs>
      <w:spacing w:before="60" w:line="260" w:lineRule="exact"/>
      <w:ind w:left="1418" w:hanging="1418"/>
      <w:jc w:val="both"/>
    </w:pPr>
    <w:rPr>
      <w:rFonts w:ascii="Times" w:hAnsi="Times"/>
      <w:szCs w:val="20"/>
      <w:lang w:eastAsia="en-US"/>
    </w:rPr>
  </w:style>
  <w:style w:type="paragraph" w:customStyle="1" w:styleId="R2">
    <w:name w:val="R2"/>
    <w:aliases w:val="(2)"/>
    <w:basedOn w:val="Normal"/>
    <w:rsid w:val="00165DC5"/>
    <w:pPr>
      <w:tabs>
        <w:tab w:val="right" w:pos="794"/>
        <w:tab w:val="left" w:pos="964"/>
      </w:tabs>
      <w:spacing w:before="180" w:line="260" w:lineRule="exact"/>
      <w:ind w:left="964" w:hanging="964"/>
      <w:jc w:val="both"/>
    </w:pPr>
    <w:rPr>
      <w:rFonts w:ascii="Times" w:hAnsi="Times"/>
      <w:szCs w:val="20"/>
      <w:lang w:eastAsia="en-US"/>
    </w:rPr>
  </w:style>
  <w:style w:type="paragraph" w:customStyle="1" w:styleId="P2">
    <w:name w:val="P2"/>
    <w:aliases w:val="(i)"/>
    <w:basedOn w:val="P1"/>
    <w:rsid w:val="00901D1A"/>
    <w:pPr>
      <w:tabs>
        <w:tab w:val="clear" w:pos="1191"/>
        <w:tab w:val="clear" w:pos="1644"/>
        <w:tab w:val="right" w:pos="1758"/>
        <w:tab w:val="left" w:pos="2155"/>
      </w:tabs>
      <w:ind w:left="1985" w:hanging="1985"/>
    </w:pPr>
  </w:style>
  <w:style w:type="character" w:customStyle="1" w:styleId="CharSectno">
    <w:name w:val="CharSectno"/>
    <w:basedOn w:val="DefaultParagraphFont"/>
    <w:qFormat/>
    <w:rsid w:val="0018189F"/>
    <w:rPr>
      <w:rFonts w:cs="Times New Roman"/>
    </w:rPr>
  </w:style>
  <w:style w:type="paragraph" w:customStyle="1" w:styleId="Hangingindent">
    <w:name w:val="Hanging indent"/>
    <w:uiPriority w:val="99"/>
    <w:rsid w:val="007F1FF0"/>
    <w:pPr>
      <w:tabs>
        <w:tab w:val="left" w:pos="584"/>
      </w:tabs>
      <w:spacing w:after="170"/>
      <w:ind w:left="567" w:hanging="567"/>
    </w:pPr>
    <w:rPr>
      <w:sz w:val="24"/>
      <w:lang w:val="en-US" w:eastAsia="en-US"/>
    </w:rPr>
  </w:style>
  <w:style w:type="paragraph" w:customStyle="1" w:styleId="BodyText1">
    <w:name w:val="Body Text1"/>
    <w:uiPriority w:val="99"/>
    <w:rsid w:val="007F1FF0"/>
    <w:pPr>
      <w:spacing w:after="170"/>
    </w:pPr>
    <w:rPr>
      <w:color w:val="000000"/>
      <w:sz w:val="24"/>
      <w:lang w:val="en-US" w:eastAsia="en-US"/>
    </w:rPr>
  </w:style>
  <w:style w:type="paragraph" w:styleId="ListBullet2">
    <w:name w:val="List Bullet 2"/>
    <w:basedOn w:val="Normal"/>
    <w:autoRedefine/>
    <w:uiPriority w:val="99"/>
    <w:rsid w:val="007F1FF0"/>
    <w:pPr>
      <w:tabs>
        <w:tab w:val="num" w:pos="643"/>
        <w:tab w:val="num" w:pos="1080"/>
      </w:tabs>
      <w:ind w:left="643" w:hanging="360"/>
    </w:pPr>
    <w:rPr>
      <w:sz w:val="20"/>
      <w:szCs w:val="20"/>
      <w:lang w:val="en-US" w:eastAsia="en-US"/>
    </w:rPr>
  </w:style>
  <w:style w:type="paragraph" w:customStyle="1" w:styleId="Headline">
    <w:name w:val="Headline"/>
    <w:uiPriority w:val="99"/>
    <w:rsid w:val="003C7BD6"/>
    <w:pPr>
      <w:spacing w:after="283"/>
    </w:pPr>
    <w:rPr>
      <w:rFonts w:ascii="Arial" w:hAnsi="Arial"/>
      <w:b/>
      <w:sz w:val="60"/>
      <w:lang w:val="en-US" w:eastAsia="en-US"/>
    </w:rPr>
  </w:style>
  <w:style w:type="paragraph" w:styleId="Header">
    <w:name w:val="header"/>
    <w:basedOn w:val="Normal"/>
    <w:link w:val="HeaderChar"/>
    <w:uiPriority w:val="99"/>
    <w:rsid w:val="00532136"/>
    <w:pPr>
      <w:tabs>
        <w:tab w:val="center" w:pos="4153"/>
        <w:tab w:val="right" w:pos="8306"/>
      </w:tabs>
    </w:pPr>
    <w:rPr>
      <w:szCs w:val="20"/>
      <w:lang w:val="en-GB"/>
    </w:rPr>
  </w:style>
  <w:style w:type="character" w:customStyle="1" w:styleId="HeaderChar">
    <w:name w:val="Header Char"/>
    <w:basedOn w:val="DefaultParagraphFont"/>
    <w:link w:val="Header"/>
    <w:uiPriority w:val="99"/>
    <w:locked/>
    <w:rsid w:val="00B97570"/>
    <w:rPr>
      <w:rFonts w:cs="Times New Roman"/>
      <w:sz w:val="24"/>
      <w:lang w:val="en-GB"/>
    </w:rPr>
  </w:style>
  <w:style w:type="paragraph" w:customStyle="1" w:styleId="Divisionheadinglevel">
    <w:name w:val="Division heading level"/>
    <w:basedOn w:val="ACMAHeading3"/>
    <w:uiPriority w:val="99"/>
    <w:rsid w:val="00E672D3"/>
    <w:rPr>
      <w:bCs/>
      <w:sz w:val="22"/>
    </w:rPr>
  </w:style>
  <w:style w:type="paragraph" w:customStyle="1" w:styleId="Partheadinglevel">
    <w:name w:val="Part heading level"/>
    <w:basedOn w:val="ACMAHeading2"/>
    <w:uiPriority w:val="99"/>
    <w:rsid w:val="00E672D3"/>
    <w:rPr>
      <w:bCs/>
      <w:sz w:val="22"/>
    </w:rPr>
  </w:style>
  <w:style w:type="character" w:customStyle="1" w:styleId="CABBackGroundChar1">
    <w:name w:val="CABBackGround Char1"/>
    <w:basedOn w:val="DefaultParagraphFont"/>
    <w:link w:val="CABBackGround"/>
    <w:uiPriority w:val="99"/>
    <w:locked/>
    <w:rsid w:val="008902FC"/>
    <w:rPr>
      <w:rFonts w:cs="Times New Roman"/>
      <w:sz w:val="24"/>
    </w:rPr>
  </w:style>
  <w:style w:type="paragraph" w:customStyle="1" w:styleId="CABBackGround">
    <w:name w:val="CABBackGround"/>
    <w:basedOn w:val="Normal"/>
    <w:link w:val="CABBackGroundChar1"/>
    <w:uiPriority w:val="99"/>
    <w:rsid w:val="008902FC"/>
    <w:pPr>
      <w:spacing w:line="360" w:lineRule="auto"/>
    </w:pPr>
    <w:rPr>
      <w:szCs w:val="20"/>
    </w:rPr>
  </w:style>
  <w:style w:type="paragraph" w:styleId="Revision">
    <w:name w:val="Revision"/>
    <w:hidden/>
    <w:uiPriority w:val="99"/>
    <w:semiHidden/>
    <w:rsid w:val="00F373D3"/>
    <w:rPr>
      <w:sz w:val="24"/>
      <w:szCs w:val="24"/>
    </w:rPr>
  </w:style>
  <w:style w:type="character" w:styleId="FollowedHyperlink">
    <w:name w:val="FollowedHyperlink"/>
    <w:basedOn w:val="DefaultParagraphFont"/>
    <w:uiPriority w:val="99"/>
    <w:rsid w:val="00F031A8"/>
    <w:rPr>
      <w:rFonts w:cs="Times New Roman"/>
      <w:color w:val="800080"/>
      <w:u w:val="single"/>
    </w:rPr>
  </w:style>
  <w:style w:type="character" w:styleId="Strong">
    <w:name w:val="Strong"/>
    <w:basedOn w:val="DefaultParagraphFont"/>
    <w:uiPriority w:val="99"/>
    <w:qFormat/>
    <w:rsid w:val="003F057D"/>
    <w:rPr>
      <w:rFonts w:cs="Times New Roman"/>
      <w:b/>
      <w:bCs/>
    </w:rPr>
  </w:style>
  <w:style w:type="paragraph" w:customStyle="1" w:styleId="definition">
    <w:name w:val="definition"/>
    <w:basedOn w:val="Normal"/>
    <w:rsid w:val="00260432"/>
    <w:pPr>
      <w:spacing w:before="80" w:line="260" w:lineRule="exact"/>
      <w:ind w:left="964"/>
      <w:jc w:val="both"/>
    </w:pPr>
  </w:style>
  <w:style w:type="paragraph" w:styleId="ListParagraph">
    <w:name w:val="List Paragraph"/>
    <w:basedOn w:val="Normal"/>
    <w:uiPriority w:val="34"/>
    <w:qFormat/>
    <w:rsid w:val="007C654B"/>
    <w:pPr>
      <w:spacing w:after="200" w:line="276" w:lineRule="auto"/>
      <w:ind w:left="720"/>
      <w:contextualSpacing/>
    </w:pPr>
    <w:rPr>
      <w:rFonts w:ascii="Calibri" w:hAnsi="Calibri"/>
      <w:sz w:val="22"/>
      <w:szCs w:val="22"/>
      <w:lang w:eastAsia="en-US"/>
    </w:rPr>
  </w:style>
  <w:style w:type="paragraph" w:styleId="ListBullet">
    <w:name w:val="List Bullet"/>
    <w:basedOn w:val="Normal"/>
    <w:uiPriority w:val="99"/>
    <w:semiHidden/>
    <w:rsid w:val="00742EEF"/>
    <w:pPr>
      <w:tabs>
        <w:tab w:val="num" w:pos="360"/>
      </w:tabs>
      <w:ind w:left="360" w:hanging="360"/>
      <w:contextualSpacing/>
    </w:pPr>
  </w:style>
  <w:style w:type="paragraph" w:customStyle="1" w:styleId="R1">
    <w:name w:val="R1"/>
    <w:aliases w:val="1. or 1.(1)"/>
    <w:basedOn w:val="Normal"/>
    <w:next w:val="Normal"/>
    <w:rsid w:val="00636AC3"/>
    <w:pPr>
      <w:keepLines/>
      <w:tabs>
        <w:tab w:val="right" w:pos="794"/>
      </w:tabs>
      <w:spacing w:before="120" w:line="260" w:lineRule="exact"/>
      <w:ind w:left="964" w:hanging="964"/>
      <w:jc w:val="both"/>
    </w:pPr>
  </w:style>
  <w:style w:type="paragraph" w:customStyle="1" w:styleId="Numberedlist">
    <w:name w:val="Numbered list"/>
    <w:basedOn w:val="Normal"/>
    <w:uiPriority w:val="99"/>
    <w:rsid w:val="00AB2840"/>
    <w:pPr>
      <w:numPr>
        <w:numId w:val="8"/>
      </w:numPr>
    </w:pPr>
  </w:style>
  <w:style w:type="paragraph" w:styleId="Title">
    <w:name w:val="Title"/>
    <w:basedOn w:val="Normal"/>
    <w:next w:val="Normal"/>
    <w:link w:val="TitleChar"/>
    <w:qFormat/>
    <w:locked/>
    <w:rsid w:val="00F1310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F13105"/>
    <w:rPr>
      <w:rFonts w:ascii="Cambria" w:hAnsi="Cambria" w:cs="Times New Roman"/>
      <w:b/>
      <w:bCs/>
      <w:kern w:val="28"/>
      <w:sz w:val="32"/>
      <w:szCs w:val="32"/>
    </w:rPr>
  </w:style>
  <w:style w:type="paragraph" w:styleId="Subtitle">
    <w:name w:val="Subtitle"/>
    <w:basedOn w:val="Normal"/>
    <w:next w:val="Normal"/>
    <w:link w:val="SubtitleChar"/>
    <w:uiPriority w:val="99"/>
    <w:qFormat/>
    <w:locked/>
    <w:rsid w:val="00F13105"/>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F13105"/>
    <w:rPr>
      <w:rFonts w:ascii="Cambria" w:hAnsi="Cambria" w:cs="Times New Roman"/>
      <w:sz w:val="24"/>
      <w:szCs w:val="24"/>
    </w:rPr>
  </w:style>
  <w:style w:type="character" w:styleId="Emphasis">
    <w:name w:val="Emphasis"/>
    <w:basedOn w:val="DefaultParagraphFont"/>
    <w:uiPriority w:val="99"/>
    <w:qFormat/>
    <w:locked/>
    <w:rsid w:val="00F13105"/>
    <w:rPr>
      <w:rFonts w:cs="Times New Roman"/>
      <w:i/>
      <w:iCs/>
    </w:rPr>
  </w:style>
  <w:style w:type="character" w:customStyle="1" w:styleId="legtitle1">
    <w:name w:val="legtitle1"/>
    <w:basedOn w:val="DefaultParagraphFont"/>
    <w:uiPriority w:val="99"/>
    <w:rsid w:val="00B36141"/>
    <w:rPr>
      <w:rFonts w:ascii="Arial" w:hAnsi="Arial" w:cs="Arial"/>
      <w:b/>
      <w:bCs/>
      <w:color w:val="10418E"/>
      <w:sz w:val="40"/>
      <w:szCs w:val="40"/>
    </w:rPr>
  </w:style>
  <w:style w:type="paragraph" w:styleId="BodyText3">
    <w:name w:val="Body Text 3"/>
    <w:basedOn w:val="Normal"/>
    <w:link w:val="BodyText3Char"/>
    <w:rsid w:val="00235BBB"/>
    <w:pPr>
      <w:spacing w:after="120"/>
    </w:pPr>
    <w:rPr>
      <w:sz w:val="16"/>
      <w:szCs w:val="16"/>
    </w:rPr>
  </w:style>
  <w:style w:type="character" w:customStyle="1" w:styleId="BodyText3Char">
    <w:name w:val="Body Text 3 Char"/>
    <w:basedOn w:val="DefaultParagraphFont"/>
    <w:link w:val="BodyText3"/>
    <w:rsid w:val="00235BBB"/>
    <w:rPr>
      <w:sz w:val="16"/>
      <w:szCs w:val="16"/>
    </w:rPr>
  </w:style>
  <w:style w:type="paragraph" w:customStyle="1" w:styleId="RGHead">
    <w:name w:val="RGHead"/>
    <w:basedOn w:val="Normal"/>
    <w:next w:val="Normal"/>
    <w:rsid w:val="00235BBB"/>
    <w:pPr>
      <w:keepNext/>
      <w:spacing w:before="360"/>
    </w:pPr>
    <w:rPr>
      <w:rFonts w:ascii="Arial" w:hAnsi="Arial"/>
      <w:b/>
      <w:sz w:val="32"/>
    </w:rPr>
  </w:style>
  <w:style w:type="paragraph" w:customStyle="1" w:styleId="HR">
    <w:name w:val="HR"/>
    <w:aliases w:val="Regulation Heading"/>
    <w:basedOn w:val="Normal"/>
    <w:next w:val="R1"/>
    <w:rsid w:val="006520A8"/>
    <w:pPr>
      <w:keepNext/>
      <w:spacing w:before="360"/>
      <w:ind w:left="964" w:hanging="964"/>
    </w:pPr>
    <w:rPr>
      <w:rFonts w:ascii="Arial" w:hAnsi="Arial"/>
      <w:b/>
    </w:rPr>
  </w:style>
  <w:style w:type="paragraph" w:customStyle="1" w:styleId="ZR1">
    <w:name w:val="ZR1"/>
    <w:basedOn w:val="R1"/>
    <w:rsid w:val="00C111AB"/>
    <w:pPr>
      <w:keepNext/>
    </w:pPr>
  </w:style>
  <w:style w:type="paragraph" w:customStyle="1" w:styleId="Boxpara">
    <w:name w:val="Box para"/>
    <w:basedOn w:val="Normal"/>
    <w:rsid w:val="00B60A96"/>
    <w:pPr>
      <w:spacing w:before="180"/>
      <w:ind w:left="176" w:right="176"/>
    </w:pPr>
    <w:rPr>
      <w:rFonts w:ascii="Arial" w:hAnsi="Arial"/>
      <w:sz w:val="20"/>
      <w:szCs w:val="20"/>
    </w:rPr>
  </w:style>
  <w:style w:type="character" w:customStyle="1" w:styleId="CharDivNo">
    <w:name w:val="CharDivNo"/>
    <w:basedOn w:val="DefaultParagraphFont"/>
    <w:rsid w:val="00236FA7"/>
  </w:style>
  <w:style w:type="character" w:customStyle="1" w:styleId="CharDivText">
    <w:name w:val="CharDivText"/>
    <w:basedOn w:val="DefaultParagraphFont"/>
    <w:rsid w:val="00236FA7"/>
  </w:style>
  <w:style w:type="paragraph" w:customStyle="1" w:styleId="ExampleBody">
    <w:name w:val="Example Body"/>
    <w:basedOn w:val="Normal"/>
    <w:rsid w:val="00236FA7"/>
    <w:pPr>
      <w:spacing w:before="60" w:line="220" w:lineRule="exact"/>
      <w:ind w:left="964"/>
      <w:jc w:val="both"/>
    </w:pPr>
    <w:rPr>
      <w:sz w:val="20"/>
    </w:rPr>
  </w:style>
  <w:style w:type="paragraph" w:customStyle="1" w:styleId="Formula">
    <w:name w:val="Formula"/>
    <w:basedOn w:val="Normal"/>
    <w:next w:val="Normal"/>
    <w:rsid w:val="00236FA7"/>
    <w:pPr>
      <w:spacing w:before="180" w:after="180"/>
      <w:jc w:val="center"/>
    </w:pPr>
  </w:style>
  <w:style w:type="paragraph" w:customStyle="1" w:styleId="HD">
    <w:name w:val="HD"/>
    <w:aliases w:val="Division Heading"/>
    <w:basedOn w:val="Normal"/>
    <w:next w:val="HR"/>
    <w:rsid w:val="00236FA7"/>
    <w:pPr>
      <w:keepNext/>
      <w:spacing w:before="360"/>
      <w:ind w:left="2410" w:hanging="2410"/>
    </w:pPr>
    <w:rPr>
      <w:rFonts w:ascii="Arial" w:hAnsi="Arial"/>
      <w:b/>
      <w:sz w:val="28"/>
    </w:rPr>
  </w:style>
  <w:style w:type="paragraph" w:customStyle="1" w:styleId="Note">
    <w:name w:val="Note"/>
    <w:basedOn w:val="Normal"/>
    <w:rsid w:val="00236FA7"/>
    <w:pPr>
      <w:spacing w:before="120" w:line="220" w:lineRule="exact"/>
      <w:ind w:left="964"/>
      <w:jc w:val="both"/>
    </w:pPr>
    <w:rPr>
      <w:sz w:val="20"/>
    </w:rPr>
  </w:style>
  <w:style w:type="paragraph" w:customStyle="1" w:styleId="Rc">
    <w:name w:val="Rc"/>
    <w:aliases w:val="Rn continued"/>
    <w:basedOn w:val="Normal"/>
    <w:next w:val="R2"/>
    <w:rsid w:val="00236FA7"/>
    <w:pPr>
      <w:spacing w:before="60" w:line="260" w:lineRule="exact"/>
      <w:ind w:left="964"/>
      <w:jc w:val="both"/>
    </w:pPr>
  </w:style>
  <w:style w:type="paragraph" w:customStyle="1" w:styleId="ZP1">
    <w:name w:val="ZP1"/>
    <w:basedOn w:val="P1"/>
    <w:rsid w:val="00236FA7"/>
    <w:pPr>
      <w:keepNext/>
      <w:tabs>
        <w:tab w:val="clear" w:pos="1644"/>
      </w:tabs>
    </w:pPr>
    <w:rPr>
      <w:rFonts w:ascii="Times New Roman" w:hAnsi="Times New Roman"/>
      <w:szCs w:val="24"/>
      <w:lang w:eastAsia="en-AU"/>
    </w:rPr>
  </w:style>
  <w:style w:type="paragraph" w:customStyle="1" w:styleId="ZR2">
    <w:name w:val="ZR2"/>
    <w:basedOn w:val="R2"/>
    <w:rsid w:val="00236FA7"/>
    <w:pPr>
      <w:keepNext/>
      <w:keepLines/>
      <w:tabs>
        <w:tab w:val="clear" w:pos="964"/>
      </w:tabs>
    </w:pPr>
    <w:rPr>
      <w:rFonts w:ascii="Times New Roman" w:hAnsi="Times New Roman"/>
      <w:szCs w:val="24"/>
      <w:lang w:eastAsia="en-AU"/>
    </w:rPr>
  </w:style>
  <w:style w:type="paragraph" w:customStyle="1" w:styleId="ZRcN">
    <w:name w:val="ZRcN"/>
    <w:basedOn w:val="Rc"/>
    <w:rsid w:val="00236FA7"/>
    <w:pPr>
      <w:keepNext/>
    </w:pPr>
  </w:style>
  <w:style w:type="paragraph" w:customStyle="1" w:styleId="HeaderBoldOdd">
    <w:name w:val="HeaderBoldOdd"/>
    <w:basedOn w:val="Normal"/>
    <w:rsid w:val="006A110D"/>
    <w:pPr>
      <w:spacing w:before="120" w:after="60"/>
      <w:jc w:val="right"/>
    </w:pPr>
    <w:rPr>
      <w:rFonts w:ascii="Arial" w:hAnsi="Arial"/>
      <w:b/>
      <w:sz w:val="20"/>
    </w:rPr>
  </w:style>
  <w:style w:type="paragraph" w:styleId="ListNumber5">
    <w:name w:val="List Number 5"/>
    <w:basedOn w:val="Normal"/>
    <w:rsid w:val="009E0BD8"/>
    <w:pPr>
      <w:tabs>
        <w:tab w:val="num" w:pos="1492"/>
      </w:tabs>
      <w:ind w:left="1492" w:hanging="360"/>
    </w:pPr>
  </w:style>
  <w:style w:type="paragraph" w:customStyle="1" w:styleId="Scheduletitle">
    <w:name w:val="Schedule title"/>
    <w:basedOn w:val="Normal"/>
    <w:next w:val="Normal"/>
    <w:rsid w:val="009E0BD8"/>
    <w:pPr>
      <w:keepNext/>
      <w:keepLines/>
      <w:spacing w:before="480"/>
      <w:ind w:left="2410" w:hanging="2410"/>
    </w:pPr>
    <w:rPr>
      <w:rFonts w:ascii="Arial" w:hAnsi="Arial"/>
      <w:b/>
      <w:sz w:val="32"/>
    </w:rPr>
  </w:style>
  <w:style w:type="paragraph" w:customStyle="1" w:styleId="Schedulereference">
    <w:name w:val="Schedule reference"/>
    <w:basedOn w:val="Normal"/>
    <w:next w:val="Normal"/>
    <w:rsid w:val="009E0BD8"/>
    <w:pPr>
      <w:keepNext/>
      <w:keepLines/>
      <w:spacing w:before="60" w:line="200" w:lineRule="exact"/>
      <w:ind w:left="2410"/>
    </w:pPr>
    <w:rPr>
      <w:rFonts w:ascii="Arial" w:hAnsi="Arial"/>
      <w:sz w:val="18"/>
    </w:rPr>
  </w:style>
  <w:style w:type="paragraph" w:customStyle="1" w:styleId="acmaheading20">
    <w:name w:val="acmaheading2"/>
    <w:basedOn w:val="Normal"/>
    <w:rsid w:val="009212B7"/>
    <w:pPr>
      <w:spacing w:before="100" w:beforeAutospacing="1" w:after="100" w:afterAutospacing="1"/>
    </w:pPr>
  </w:style>
  <w:style w:type="paragraph" w:customStyle="1" w:styleId="acmabodytext0">
    <w:name w:val="acmabodytext"/>
    <w:basedOn w:val="Normal"/>
    <w:rsid w:val="009212B7"/>
    <w:pPr>
      <w:spacing w:before="100" w:beforeAutospacing="1" w:after="100" w:afterAutospacing="1"/>
    </w:pPr>
  </w:style>
  <w:style w:type="paragraph" w:customStyle="1" w:styleId="p10">
    <w:name w:val="p1"/>
    <w:basedOn w:val="Normal"/>
    <w:rsid w:val="009212B7"/>
    <w:pPr>
      <w:spacing w:before="100" w:beforeAutospacing="1" w:after="100" w:afterAutospacing="1"/>
    </w:pPr>
  </w:style>
  <w:style w:type="paragraph" w:customStyle="1" w:styleId="acmaheading40">
    <w:name w:val="acmaheading4"/>
    <w:basedOn w:val="Normal"/>
    <w:rsid w:val="009212B7"/>
    <w:pPr>
      <w:spacing w:before="100" w:beforeAutospacing="1" w:after="100" w:afterAutospacing="1"/>
    </w:pPr>
  </w:style>
  <w:style w:type="paragraph" w:customStyle="1" w:styleId="numberedlist0">
    <w:name w:val="numberedlist"/>
    <w:basedOn w:val="Normal"/>
    <w:rsid w:val="009212B7"/>
    <w:pPr>
      <w:spacing w:before="100" w:beforeAutospacing="1" w:after="100" w:afterAutospacing="1"/>
    </w:pPr>
  </w:style>
  <w:style w:type="paragraph" w:customStyle="1" w:styleId="r10">
    <w:name w:val="r1"/>
    <w:basedOn w:val="Normal"/>
    <w:rsid w:val="009212B7"/>
    <w:pPr>
      <w:spacing w:before="100" w:beforeAutospacing="1" w:after="100" w:afterAutospacing="1"/>
    </w:pPr>
  </w:style>
  <w:style w:type="paragraph" w:customStyle="1" w:styleId="LabelBrief">
    <w:name w:val="Label Brief"/>
    <w:basedOn w:val="Normal"/>
    <w:rsid w:val="004D4CDD"/>
    <w:pPr>
      <w:spacing w:line="240" w:lineRule="atLeast"/>
    </w:pPr>
    <w:rPr>
      <w:rFonts w:ascii="Arial" w:eastAsiaTheme="minorHAnsi" w:hAnsi="Arial" w:cs="Arial"/>
      <w:color w:val="3C3C3D"/>
      <w:sz w:val="21"/>
      <w:szCs w:val="21"/>
      <w:lang w:eastAsia="en-US"/>
    </w:rPr>
  </w:style>
  <w:style w:type="paragraph" w:customStyle="1" w:styleId="ACMABodyText1">
    <w:name w:val="ACMA_BodyText"/>
    <w:qFormat/>
    <w:rsid w:val="00761AC6"/>
    <w:pPr>
      <w:suppressAutoHyphens/>
      <w:spacing w:after="240" w:line="240" w:lineRule="atLeast"/>
    </w:pPr>
    <w:rPr>
      <w:rFonts w:ascii="Arial" w:hAnsi="Arial"/>
      <w:snapToGrid w:val="0"/>
      <w:lang w:eastAsia="en-US"/>
    </w:rPr>
  </w:style>
  <w:style w:type="table" w:styleId="TableGrid2">
    <w:name w:val="Table Grid 2"/>
    <w:basedOn w:val="TableNormal"/>
    <w:rsid w:val="00726E8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Schedulepara">
    <w:name w:val="Schedule para"/>
    <w:basedOn w:val="Normal"/>
    <w:rsid w:val="00D814BD"/>
    <w:pPr>
      <w:spacing w:before="180" w:line="260" w:lineRule="exact"/>
      <w:ind w:left="964" w:hanging="964"/>
      <w:jc w:val="both"/>
    </w:pPr>
    <w:rPr>
      <w:rFonts w:eastAsiaTheme="minorHAnsi"/>
    </w:rPr>
  </w:style>
  <w:style w:type="paragraph" w:customStyle="1" w:styleId="acmaheading10">
    <w:name w:val="acmaheading1"/>
    <w:basedOn w:val="Normal"/>
    <w:rsid w:val="00716F1F"/>
    <w:pPr>
      <w:spacing w:before="100" w:beforeAutospacing="1" w:after="100" w:afterAutospacing="1"/>
    </w:pPr>
  </w:style>
  <w:style w:type="paragraph" w:customStyle="1" w:styleId="acmaheading30">
    <w:name w:val="acmaheading3"/>
    <w:basedOn w:val="Normal"/>
    <w:rsid w:val="00716F1F"/>
    <w:pPr>
      <w:spacing w:before="100" w:beforeAutospacing="1" w:after="100" w:afterAutospacing="1"/>
    </w:pPr>
  </w:style>
  <w:style w:type="paragraph" w:customStyle="1" w:styleId="subsection">
    <w:name w:val="subsection"/>
    <w:aliases w:val="ss"/>
    <w:basedOn w:val="Normal"/>
    <w:link w:val="subsectionChar"/>
    <w:rsid w:val="00D420E5"/>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D420E5"/>
    <w:rPr>
      <w:sz w:val="22"/>
    </w:rPr>
  </w:style>
  <w:style w:type="paragraph" w:customStyle="1" w:styleId="paragraph">
    <w:name w:val="paragraph"/>
    <w:aliases w:val="a"/>
    <w:basedOn w:val="Normal"/>
    <w:rsid w:val="00D420E5"/>
    <w:pPr>
      <w:tabs>
        <w:tab w:val="right" w:pos="1531"/>
      </w:tabs>
      <w:spacing w:before="40"/>
      <w:ind w:left="1644" w:hanging="1644"/>
    </w:pPr>
    <w:rPr>
      <w:sz w:val="22"/>
      <w:szCs w:val="20"/>
    </w:rPr>
  </w:style>
  <w:style w:type="paragraph" w:customStyle="1" w:styleId="notetext">
    <w:name w:val="note(text)"/>
    <w:aliases w:val="n"/>
    <w:basedOn w:val="Normal"/>
    <w:link w:val="notetextChar"/>
    <w:rsid w:val="00151717"/>
    <w:pPr>
      <w:spacing w:before="122"/>
      <w:ind w:left="1985" w:hanging="851"/>
    </w:pPr>
    <w:rPr>
      <w:sz w:val="18"/>
      <w:szCs w:val="20"/>
    </w:rPr>
  </w:style>
  <w:style w:type="character" w:customStyle="1" w:styleId="notetextChar">
    <w:name w:val="note(text) Char"/>
    <w:aliases w:val="n Char"/>
    <w:basedOn w:val="DefaultParagraphFont"/>
    <w:link w:val="notetext"/>
    <w:rsid w:val="00151717"/>
    <w:rPr>
      <w:sz w:val="18"/>
    </w:rPr>
  </w:style>
  <w:style w:type="paragraph" w:customStyle="1" w:styleId="paragraphsub">
    <w:name w:val="paragraph(sub)"/>
    <w:aliases w:val="aa"/>
    <w:basedOn w:val="Normal"/>
    <w:rsid w:val="00DD6AF5"/>
    <w:pPr>
      <w:tabs>
        <w:tab w:val="right" w:pos="1985"/>
      </w:tabs>
      <w:spacing w:before="40"/>
      <w:ind w:left="2098" w:hanging="2098"/>
    </w:pPr>
    <w:rPr>
      <w:sz w:val="22"/>
      <w:szCs w:val="20"/>
    </w:rPr>
  </w:style>
  <w:style w:type="paragraph" w:customStyle="1" w:styleId="ActHead5">
    <w:name w:val="ActHead 5"/>
    <w:aliases w:val="s"/>
    <w:basedOn w:val="Normal"/>
    <w:next w:val="subsection"/>
    <w:qFormat/>
    <w:rsid w:val="00E9421B"/>
    <w:pPr>
      <w:keepNext/>
      <w:keepLines/>
      <w:spacing w:before="280"/>
      <w:ind w:left="1134" w:hanging="1134"/>
      <w:outlineLvl w:val="4"/>
    </w:pPr>
    <w:rPr>
      <w:b/>
      <w:kern w:val="28"/>
      <w:szCs w:val="20"/>
    </w:rPr>
  </w:style>
  <w:style w:type="paragraph" w:customStyle="1" w:styleId="SOText">
    <w:name w:val="SO Text"/>
    <w:aliases w:val="sot"/>
    <w:link w:val="SOTextChar"/>
    <w:rsid w:val="006170A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170A4"/>
    <w:rPr>
      <w:rFonts w:eastAsiaTheme="minorHAnsi" w:cstheme="minorBidi"/>
      <w:sz w:val="22"/>
      <w:lang w:eastAsia="en-US"/>
    </w:rPr>
  </w:style>
  <w:style w:type="character" w:customStyle="1" w:styleId="CharPartText">
    <w:name w:val="CharPartText"/>
    <w:basedOn w:val="DefaultParagraphFont"/>
    <w:qFormat/>
    <w:rsid w:val="00E41296"/>
    <w:rPr>
      <w:sz w:val="32"/>
    </w:rPr>
  </w:style>
  <w:style w:type="paragraph" w:customStyle="1" w:styleId="Default">
    <w:name w:val="Default"/>
    <w:rsid w:val="00106EA7"/>
    <w:pPr>
      <w:autoSpaceDE w:val="0"/>
      <w:autoSpaceDN w:val="0"/>
      <w:adjustRightInd w:val="0"/>
    </w:pPr>
    <w:rPr>
      <w:rFonts w:eastAsiaTheme="minorHAnsi"/>
      <w:color w:val="000000"/>
      <w:sz w:val="24"/>
      <w:szCs w:val="24"/>
      <w:lang w:eastAsia="en-US"/>
    </w:rPr>
  </w:style>
  <w:style w:type="paragraph" w:customStyle="1" w:styleId="ENotesText">
    <w:name w:val="ENotesText"/>
    <w:aliases w:val="Ent"/>
    <w:basedOn w:val="Normal"/>
    <w:next w:val="Normal"/>
    <w:rsid w:val="00A47D81"/>
    <w:pPr>
      <w:spacing w:before="120" w:line="260" w:lineRule="atLeast"/>
    </w:pPr>
    <w:rPr>
      <w:sz w:val="22"/>
      <w:szCs w:val="20"/>
    </w:rPr>
  </w:style>
  <w:style w:type="paragraph" w:customStyle="1" w:styleId="ENoteTableHeading">
    <w:name w:val="ENoteTableHeading"/>
    <w:aliases w:val="enth"/>
    <w:basedOn w:val="Normal"/>
    <w:rsid w:val="00A47D81"/>
    <w:pPr>
      <w:keepNext/>
      <w:spacing w:before="60" w:line="240" w:lineRule="atLeast"/>
    </w:pPr>
    <w:rPr>
      <w:rFonts w:ascii="Arial" w:hAnsi="Arial"/>
      <w:b/>
      <w:sz w:val="16"/>
      <w:szCs w:val="20"/>
    </w:rPr>
  </w:style>
  <w:style w:type="paragraph" w:customStyle="1" w:styleId="ENoteTableText">
    <w:name w:val="ENoteTableText"/>
    <w:aliases w:val="entt"/>
    <w:basedOn w:val="Normal"/>
    <w:rsid w:val="00A47D81"/>
    <w:pPr>
      <w:spacing w:before="60" w:line="240" w:lineRule="atLeast"/>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888">
      <w:bodyDiv w:val="1"/>
      <w:marLeft w:val="0"/>
      <w:marRight w:val="0"/>
      <w:marTop w:val="0"/>
      <w:marBottom w:val="0"/>
      <w:divBdr>
        <w:top w:val="none" w:sz="0" w:space="0" w:color="auto"/>
        <w:left w:val="none" w:sz="0" w:space="0" w:color="auto"/>
        <w:bottom w:val="none" w:sz="0" w:space="0" w:color="auto"/>
        <w:right w:val="none" w:sz="0" w:space="0" w:color="auto"/>
      </w:divBdr>
    </w:div>
    <w:div w:id="43599379">
      <w:bodyDiv w:val="1"/>
      <w:marLeft w:val="0"/>
      <w:marRight w:val="0"/>
      <w:marTop w:val="0"/>
      <w:marBottom w:val="0"/>
      <w:divBdr>
        <w:top w:val="none" w:sz="0" w:space="0" w:color="auto"/>
        <w:left w:val="none" w:sz="0" w:space="0" w:color="auto"/>
        <w:bottom w:val="none" w:sz="0" w:space="0" w:color="auto"/>
        <w:right w:val="none" w:sz="0" w:space="0" w:color="auto"/>
      </w:divBdr>
    </w:div>
    <w:div w:id="151067072">
      <w:bodyDiv w:val="1"/>
      <w:marLeft w:val="0"/>
      <w:marRight w:val="0"/>
      <w:marTop w:val="0"/>
      <w:marBottom w:val="0"/>
      <w:divBdr>
        <w:top w:val="none" w:sz="0" w:space="0" w:color="auto"/>
        <w:left w:val="none" w:sz="0" w:space="0" w:color="auto"/>
        <w:bottom w:val="none" w:sz="0" w:space="0" w:color="auto"/>
        <w:right w:val="none" w:sz="0" w:space="0" w:color="auto"/>
      </w:divBdr>
    </w:div>
    <w:div w:id="167259709">
      <w:bodyDiv w:val="1"/>
      <w:marLeft w:val="0"/>
      <w:marRight w:val="0"/>
      <w:marTop w:val="0"/>
      <w:marBottom w:val="0"/>
      <w:divBdr>
        <w:top w:val="none" w:sz="0" w:space="0" w:color="auto"/>
        <w:left w:val="none" w:sz="0" w:space="0" w:color="auto"/>
        <w:bottom w:val="none" w:sz="0" w:space="0" w:color="auto"/>
        <w:right w:val="none" w:sz="0" w:space="0" w:color="auto"/>
      </w:divBdr>
      <w:divsChild>
        <w:div w:id="1396776048">
          <w:marLeft w:val="0"/>
          <w:marRight w:val="0"/>
          <w:marTop w:val="0"/>
          <w:marBottom w:val="0"/>
          <w:divBdr>
            <w:top w:val="none" w:sz="0" w:space="0" w:color="auto"/>
            <w:left w:val="none" w:sz="0" w:space="0" w:color="auto"/>
            <w:bottom w:val="none" w:sz="0" w:space="0" w:color="auto"/>
            <w:right w:val="none" w:sz="0" w:space="0" w:color="auto"/>
          </w:divBdr>
          <w:divsChild>
            <w:div w:id="1137722488">
              <w:marLeft w:val="0"/>
              <w:marRight w:val="0"/>
              <w:marTop w:val="0"/>
              <w:marBottom w:val="0"/>
              <w:divBdr>
                <w:top w:val="none" w:sz="0" w:space="0" w:color="auto"/>
                <w:left w:val="none" w:sz="0" w:space="0" w:color="auto"/>
                <w:bottom w:val="none" w:sz="0" w:space="0" w:color="auto"/>
                <w:right w:val="none" w:sz="0" w:space="0" w:color="auto"/>
              </w:divBdr>
              <w:divsChild>
                <w:div w:id="750665787">
                  <w:marLeft w:val="0"/>
                  <w:marRight w:val="0"/>
                  <w:marTop w:val="0"/>
                  <w:marBottom w:val="0"/>
                  <w:divBdr>
                    <w:top w:val="none" w:sz="0" w:space="0" w:color="auto"/>
                    <w:left w:val="none" w:sz="0" w:space="0" w:color="auto"/>
                    <w:bottom w:val="none" w:sz="0" w:space="0" w:color="auto"/>
                    <w:right w:val="none" w:sz="0" w:space="0" w:color="auto"/>
                  </w:divBdr>
                  <w:divsChild>
                    <w:div w:id="1257521471">
                      <w:marLeft w:val="0"/>
                      <w:marRight w:val="0"/>
                      <w:marTop w:val="0"/>
                      <w:marBottom w:val="0"/>
                      <w:divBdr>
                        <w:top w:val="none" w:sz="0" w:space="0" w:color="auto"/>
                        <w:left w:val="none" w:sz="0" w:space="0" w:color="auto"/>
                        <w:bottom w:val="none" w:sz="0" w:space="0" w:color="auto"/>
                        <w:right w:val="none" w:sz="0" w:space="0" w:color="auto"/>
                      </w:divBdr>
                      <w:divsChild>
                        <w:div w:id="816608833">
                          <w:marLeft w:val="0"/>
                          <w:marRight w:val="0"/>
                          <w:marTop w:val="0"/>
                          <w:marBottom w:val="0"/>
                          <w:divBdr>
                            <w:top w:val="none" w:sz="0" w:space="0" w:color="auto"/>
                            <w:left w:val="none" w:sz="0" w:space="0" w:color="auto"/>
                            <w:bottom w:val="none" w:sz="0" w:space="0" w:color="auto"/>
                            <w:right w:val="none" w:sz="0" w:space="0" w:color="auto"/>
                          </w:divBdr>
                          <w:divsChild>
                            <w:div w:id="1734768476">
                              <w:marLeft w:val="0"/>
                              <w:marRight w:val="0"/>
                              <w:marTop w:val="0"/>
                              <w:marBottom w:val="0"/>
                              <w:divBdr>
                                <w:top w:val="single" w:sz="6" w:space="0" w:color="828282"/>
                                <w:left w:val="single" w:sz="6" w:space="0" w:color="828282"/>
                                <w:bottom w:val="single" w:sz="6" w:space="0" w:color="828282"/>
                                <w:right w:val="single" w:sz="6" w:space="0" w:color="828282"/>
                              </w:divBdr>
                              <w:divsChild>
                                <w:div w:id="602109566">
                                  <w:marLeft w:val="0"/>
                                  <w:marRight w:val="0"/>
                                  <w:marTop w:val="0"/>
                                  <w:marBottom w:val="0"/>
                                  <w:divBdr>
                                    <w:top w:val="none" w:sz="0" w:space="0" w:color="auto"/>
                                    <w:left w:val="none" w:sz="0" w:space="0" w:color="auto"/>
                                    <w:bottom w:val="none" w:sz="0" w:space="0" w:color="auto"/>
                                    <w:right w:val="none" w:sz="0" w:space="0" w:color="auto"/>
                                  </w:divBdr>
                                  <w:divsChild>
                                    <w:div w:id="1885171567">
                                      <w:marLeft w:val="0"/>
                                      <w:marRight w:val="0"/>
                                      <w:marTop w:val="0"/>
                                      <w:marBottom w:val="0"/>
                                      <w:divBdr>
                                        <w:top w:val="none" w:sz="0" w:space="0" w:color="auto"/>
                                        <w:left w:val="none" w:sz="0" w:space="0" w:color="auto"/>
                                        <w:bottom w:val="none" w:sz="0" w:space="0" w:color="auto"/>
                                        <w:right w:val="none" w:sz="0" w:space="0" w:color="auto"/>
                                      </w:divBdr>
                                      <w:divsChild>
                                        <w:div w:id="1943370563">
                                          <w:marLeft w:val="0"/>
                                          <w:marRight w:val="0"/>
                                          <w:marTop w:val="0"/>
                                          <w:marBottom w:val="0"/>
                                          <w:divBdr>
                                            <w:top w:val="none" w:sz="0" w:space="0" w:color="auto"/>
                                            <w:left w:val="none" w:sz="0" w:space="0" w:color="auto"/>
                                            <w:bottom w:val="none" w:sz="0" w:space="0" w:color="auto"/>
                                            <w:right w:val="none" w:sz="0" w:space="0" w:color="auto"/>
                                          </w:divBdr>
                                          <w:divsChild>
                                            <w:div w:id="117067781">
                                              <w:marLeft w:val="0"/>
                                              <w:marRight w:val="0"/>
                                              <w:marTop w:val="0"/>
                                              <w:marBottom w:val="0"/>
                                              <w:divBdr>
                                                <w:top w:val="none" w:sz="0" w:space="0" w:color="auto"/>
                                                <w:left w:val="none" w:sz="0" w:space="0" w:color="auto"/>
                                                <w:bottom w:val="none" w:sz="0" w:space="0" w:color="auto"/>
                                                <w:right w:val="none" w:sz="0" w:space="0" w:color="auto"/>
                                              </w:divBdr>
                                              <w:divsChild>
                                                <w:div w:id="1370495695">
                                                  <w:marLeft w:val="0"/>
                                                  <w:marRight w:val="0"/>
                                                  <w:marTop w:val="0"/>
                                                  <w:marBottom w:val="0"/>
                                                  <w:divBdr>
                                                    <w:top w:val="none" w:sz="0" w:space="0" w:color="auto"/>
                                                    <w:left w:val="none" w:sz="0" w:space="0" w:color="auto"/>
                                                    <w:bottom w:val="none" w:sz="0" w:space="0" w:color="auto"/>
                                                    <w:right w:val="none" w:sz="0" w:space="0" w:color="auto"/>
                                                  </w:divBdr>
                                                  <w:divsChild>
                                                    <w:div w:id="5033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35675">
      <w:bodyDiv w:val="1"/>
      <w:marLeft w:val="0"/>
      <w:marRight w:val="0"/>
      <w:marTop w:val="0"/>
      <w:marBottom w:val="0"/>
      <w:divBdr>
        <w:top w:val="none" w:sz="0" w:space="0" w:color="auto"/>
        <w:left w:val="none" w:sz="0" w:space="0" w:color="auto"/>
        <w:bottom w:val="none" w:sz="0" w:space="0" w:color="auto"/>
        <w:right w:val="none" w:sz="0" w:space="0" w:color="auto"/>
      </w:divBdr>
      <w:divsChild>
        <w:div w:id="1303389470">
          <w:marLeft w:val="0"/>
          <w:marRight w:val="0"/>
          <w:marTop w:val="0"/>
          <w:marBottom w:val="0"/>
          <w:divBdr>
            <w:top w:val="none" w:sz="0" w:space="0" w:color="auto"/>
            <w:left w:val="none" w:sz="0" w:space="0" w:color="auto"/>
            <w:bottom w:val="none" w:sz="0" w:space="0" w:color="auto"/>
            <w:right w:val="none" w:sz="0" w:space="0" w:color="auto"/>
          </w:divBdr>
          <w:divsChild>
            <w:div w:id="765922403">
              <w:marLeft w:val="0"/>
              <w:marRight w:val="0"/>
              <w:marTop w:val="0"/>
              <w:marBottom w:val="0"/>
              <w:divBdr>
                <w:top w:val="none" w:sz="0" w:space="0" w:color="auto"/>
                <w:left w:val="none" w:sz="0" w:space="0" w:color="auto"/>
                <w:bottom w:val="none" w:sz="0" w:space="0" w:color="auto"/>
                <w:right w:val="none" w:sz="0" w:space="0" w:color="auto"/>
              </w:divBdr>
              <w:divsChild>
                <w:div w:id="1183590998">
                  <w:marLeft w:val="0"/>
                  <w:marRight w:val="0"/>
                  <w:marTop w:val="0"/>
                  <w:marBottom w:val="0"/>
                  <w:divBdr>
                    <w:top w:val="none" w:sz="0" w:space="0" w:color="auto"/>
                    <w:left w:val="none" w:sz="0" w:space="0" w:color="auto"/>
                    <w:bottom w:val="none" w:sz="0" w:space="0" w:color="auto"/>
                    <w:right w:val="none" w:sz="0" w:space="0" w:color="auto"/>
                  </w:divBdr>
                  <w:divsChild>
                    <w:div w:id="2040156411">
                      <w:marLeft w:val="0"/>
                      <w:marRight w:val="0"/>
                      <w:marTop w:val="0"/>
                      <w:marBottom w:val="0"/>
                      <w:divBdr>
                        <w:top w:val="none" w:sz="0" w:space="0" w:color="auto"/>
                        <w:left w:val="none" w:sz="0" w:space="0" w:color="auto"/>
                        <w:bottom w:val="none" w:sz="0" w:space="0" w:color="auto"/>
                        <w:right w:val="none" w:sz="0" w:space="0" w:color="auto"/>
                      </w:divBdr>
                      <w:divsChild>
                        <w:div w:id="504832489">
                          <w:marLeft w:val="0"/>
                          <w:marRight w:val="0"/>
                          <w:marTop w:val="0"/>
                          <w:marBottom w:val="0"/>
                          <w:divBdr>
                            <w:top w:val="none" w:sz="0" w:space="0" w:color="auto"/>
                            <w:left w:val="none" w:sz="0" w:space="0" w:color="auto"/>
                            <w:bottom w:val="none" w:sz="0" w:space="0" w:color="auto"/>
                            <w:right w:val="none" w:sz="0" w:space="0" w:color="auto"/>
                          </w:divBdr>
                          <w:divsChild>
                            <w:div w:id="1358627697">
                              <w:marLeft w:val="0"/>
                              <w:marRight w:val="0"/>
                              <w:marTop w:val="0"/>
                              <w:marBottom w:val="0"/>
                              <w:divBdr>
                                <w:top w:val="none" w:sz="0" w:space="0" w:color="auto"/>
                                <w:left w:val="none" w:sz="0" w:space="0" w:color="auto"/>
                                <w:bottom w:val="none" w:sz="0" w:space="0" w:color="auto"/>
                                <w:right w:val="none" w:sz="0" w:space="0" w:color="auto"/>
                              </w:divBdr>
                              <w:divsChild>
                                <w:div w:id="219026205">
                                  <w:marLeft w:val="0"/>
                                  <w:marRight w:val="0"/>
                                  <w:marTop w:val="0"/>
                                  <w:marBottom w:val="0"/>
                                  <w:divBdr>
                                    <w:top w:val="none" w:sz="0" w:space="0" w:color="auto"/>
                                    <w:left w:val="none" w:sz="0" w:space="0" w:color="auto"/>
                                    <w:bottom w:val="none" w:sz="0" w:space="0" w:color="auto"/>
                                    <w:right w:val="none" w:sz="0" w:space="0" w:color="auto"/>
                                  </w:divBdr>
                                  <w:divsChild>
                                    <w:div w:id="2120293882">
                                      <w:marLeft w:val="0"/>
                                      <w:marRight w:val="0"/>
                                      <w:marTop w:val="0"/>
                                      <w:marBottom w:val="0"/>
                                      <w:divBdr>
                                        <w:top w:val="none" w:sz="0" w:space="0" w:color="auto"/>
                                        <w:left w:val="none" w:sz="0" w:space="0" w:color="auto"/>
                                        <w:bottom w:val="none" w:sz="0" w:space="0" w:color="auto"/>
                                        <w:right w:val="none" w:sz="0" w:space="0" w:color="auto"/>
                                      </w:divBdr>
                                      <w:divsChild>
                                        <w:div w:id="123546700">
                                          <w:marLeft w:val="0"/>
                                          <w:marRight w:val="0"/>
                                          <w:marTop w:val="0"/>
                                          <w:marBottom w:val="0"/>
                                          <w:divBdr>
                                            <w:top w:val="none" w:sz="0" w:space="0" w:color="auto"/>
                                            <w:left w:val="none" w:sz="0" w:space="0" w:color="auto"/>
                                            <w:bottom w:val="none" w:sz="0" w:space="0" w:color="auto"/>
                                            <w:right w:val="none" w:sz="0" w:space="0" w:color="auto"/>
                                          </w:divBdr>
                                          <w:divsChild>
                                            <w:div w:id="1044600288">
                                              <w:marLeft w:val="0"/>
                                              <w:marRight w:val="0"/>
                                              <w:marTop w:val="0"/>
                                              <w:marBottom w:val="0"/>
                                              <w:divBdr>
                                                <w:top w:val="none" w:sz="0" w:space="0" w:color="auto"/>
                                                <w:left w:val="none" w:sz="0" w:space="0" w:color="auto"/>
                                                <w:bottom w:val="none" w:sz="0" w:space="0" w:color="auto"/>
                                                <w:right w:val="none" w:sz="0" w:space="0" w:color="auto"/>
                                              </w:divBdr>
                                              <w:divsChild>
                                                <w:div w:id="2059160179">
                                                  <w:marLeft w:val="0"/>
                                                  <w:marRight w:val="0"/>
                                                  <w:marTop w:val="0"/>
                                                  <w:marBottom w:val="0"/>
                                                  <w:divBdr>
                                                    <w:top w:val="none" w:sz="0" w:space="0" w:color="auto"/>
                                                    <w:left w:val="none" w:sz="0" w:space="0" w:color="auto"/>
                                                    <w:bottom w:val="none" w:sz="0" w:space="0" w:color="auto"/>
                                                    <w:right w:val="none" w:sz="0" w:space="0" w:color="auto"/>
                                                  </w:divBdr>
                                                  <w:divsChild>
                                                    <w:div w:id="578254102">
                                                      <w:marLeft w:val="0"/>
                                                      <w:marRight w:val="0"/>
                                                      <w:marTop w:val="0"/>
                                                      <w:marBottom w:val="0"/>
                                                      <w:divBdr>
                                                        <w:top w:val="none" w:sz="0" w:space="0" w:color="auto"/>
                                                        <w:left w:val="none" w:sz="0" w:space="0" w:color="auto"/>
                                                        <w:bottom w:val="none" w:sz="0" w:space="0" w:color="auto"/>
                                                        <w:right w:val="none" w:sz="0" w:space="0" w:color="auto"/>
                                                      </w:divBdr>
                                                      <w:divsChild>
                                                        <w:div w:id="674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2845583">
      <w:bodyDiv w:val="1"/>
      <w:marLeft w:val="0"/>
      <w:marRight w:val="0"/>
      <w:marTop w:val="0"/>
      <w:marBottom w:val="0"/>
      <w:divBdr>
        <w:top w:val="none" w:sz="0" w:space="0" w:color="auto"/>
        <w:left w:val="none" w:sz="0" w:space="0" w:color="auto"/>
        <w:bottom w:val="none" w:sz="0" w:space="0" w:color="auto"/>
        <w:right w:val="none" w:sz="0" w:space="0" w:color="auto"/>
      </w:divBdr>
    </w:div>
    <w:div w:id="680010316">
      <w:bodyDiv w:val="1"/>
      <w:marLeft w:val="0"/>
      <w:marRight w:val="0"/>
      <w:marTop w:val="0"/>
      <w:marBottom w:val="0"/>
      <w:divBdr>
        <w:top w:val="none" w:sz="0" w:space="0" w:color="auto"/>
        <w:left w:val="none" w:sz="0" w:space="0" w:color="auto"/>
        <w:bottom w:val="none" w:sz="0" w:space="0" w:color="auto"/>
        <w:right w:val="none" w:sz="0" w:space="0" w:color="auto"/>
      </w:divBdr>
    </w:div>
    <w:div w:id="809513235">
      <w:bodyDiv w:val="1"/>
      <w:marLeft w:val="0"/>
      <w:marRight w:val="0"/>
      <w:marTop w:val="0"/>
      <w:marBottom w:val="0"/>
      <w:divBdr>
        <w:top w:val="none" w:sz="0" w:space="0" w:color="auto"/>
        <w:left w:val="none" w:sz="0" w:space="0" w:color="auto"/>
        <w:bottom w:val="none" w:sz="0" w:space="0" w:color="auto"/>
        <w:right w:val="none" w:sz="0" w:space="0" w:color="auto"/>
      </w:divBdr>
    </w:div>
    <w:div w:id="825315404">
      <w:bodyDiv w:val="1"/>
      <w:marLeft w:val="0"/>
      <w:marRight w:val="0"/>
      <w:marTop w:val="0"/>
      <w:marBottom w:val="0"/>
      <w:divBdr>
        <w:top w:val="none" w:sz="0" w:space="0" w:color="auto"/>
        <w:left w:val="none" w:sz="0" w:space="0" w:color="auto"/>
        <w:bottom w:val="none" w:sz="0" w:space="0" w:color="auto"/>
        <w:right w:val="none" w:sz="0" w:space="0" w:color="auto"/>
      </w:divBdr>
    </w:div>
    <w:div w:id="1274172096">
      <w:bodyDiv w:val="1"/>
      <w:marLeft w:val="0"/>
      <w:marRight w:val="0"/>
      <w:marTop w:val="0"/>
      <w:marBottom w:val="0"/>
      <w:divBdr>
        <w:top w:val="none" w:sz="0" w:space="0" w:color="auto"/>
        <w:left w:val="none" w:sz="0" w:space="0" w:color="auto"/>
        <w:bottom w:val="none" w:sz="0" w:space="0" w:color="auto"/>
        <w:right w:val="none" w:sz="0" w:space="0" w:color="auto"/>
      </w:divBdr>
      <w:divsChild>
        <w:div w:id="220488426">
          <w:marLeft w:val="0"/>
          <w:marRight w:val="0"/>
          <w:marTop w:val="0"/>
          <w:marBottom w:val="0"/>
          <w:divBdr>
            <w:top w:val="none" w:sz="0" w:space="0" w:color="auto"/>
            <w:left w:val="none" w:sz="0" w:space="0" w:color="auto"/>
            <w:bottom w:val="none" w:sz="0" w:space="0" w:color="auto"/>
            <w:right w:val="none" w:sz="0" w:space="0" w:color="auto"/>
          </w:divBdr>
          <w:divsChild>
            <w:div w:id="1710296789">
              <w:marLeft w:val="0"/>
              <w:marRight w:val="0"/>
              <w:marTop w:val="0"/>
              <w:marBottom w:val="0"/>
              <w:divBdr>
                <w:top w:val="none" w:sz="0" w:space="0" w:color="auto"/>
                <w:left w:val="none" w:sz="0" w:space="0" w:color="auto"/>
                <w:bottom w:val="none" w:sz="0" w:space="0" w:color="auto"/>
                <w:right w:val="none" w:sz="0" w:space="0" w:color="auto"/>
              </w:divBdr>
              <w:divsChild>
                <w:div w:id="87118826">
                  <w:marLeft w:val="0"/>
                  <w:marRight w:val="0"/>
                  <w:marTop w:val="0"/>
                  <w:marBottom w:val="0"/>
                  <w:divBdr>
                    <w:top w:val="none" w:sz="0" w:space="0" w:color="auto"/>
                    <w:left w:val="none" w:sz="0" w:space="0" w:color="auto"/>
                    <w:bottom w:val="none" w:sz="0" w:space="0" w:color="auto"/>
                    <w:right w:val="none" w:sz="0" w:space="0" w:color="auto"/>
                  </w:divBdr>
                  <w:divsChild>
                    <w:div w:id="1729763490">
                      <w:marLeft w:val="0"/>
                      <w:marRight w:val="0"/>
                      <w:marTop w:val="0"/>
                      <w:marBottom w:val="0"/>
                      <w:divBdr>
                        <w:top w:val="none" w:sz="0" w:space="0" w:color="auto"/>
                        <w:left w:val="none" w:sz="0" w:space="0" w:color="auto"/>
                        <w:bottom w:val="none" w:sz="0" w:space="0" w:color="auto"/>
                        <w:right w:val="none" w:sz="0" w:space="0" w:color="auto"/>
                      </w:divBdr>
                      <w:divsChild>
                        <w:div w:id="1301307668">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66657">
      <w:bodyDiv w:val="1"/>
      <w:marLeft w:val="0"/>
      <w:marRight w:val="0"/>
      <w:marTop w:val="0"/>
      <w:marBottom w:val="0"/>
      <w:divBdr>
        <w:top w:val="none" w:sz="0" w:space="0" w:color="auto"/>
        <w:left w:val="none" w:sz="0" w:space="0" w:color="auto"/>
        <w:bottom w:val="none" w:sz="0" w:space="0" w:color="auto"/>
        <w:right w:val="none" w:sz="0" w:space="0" w:color="auto"/>
      </w:divBdr>
      <w:divsChild>
        <w:div w:id="1200779549">
          <w:marLeft w:val="360"/>
          <w:marRight w:val="0"/>
          <w:marTop w:val="360"/>
          <w:marBottom w:val="0"/>
          <w:divBdr>
            <w:top w:val="none" w:sz="0" w:space="0" w:color="auto"/>
            <w:left w:val="none" w:sz="0" w:space="0" w:color="auto"/>
            <w:bottom w:val="none" w:sz="0" w:space="0" w:color="auto"/>
            <w:right w:val="none" w:sz="0" w:space="0" w:color="auto"/>
          </w:divBdr>
        </w:div>
        <w:div w:id="112214962">
          <w:marLeft w:val="720"/>
          <w:marRight w:val="0"/>
          <w:marTop w:val="120"/>
          <w:marBottom w:val="0"/>
          <w:divBdr>
            <w:top w:val="none" w:sz="0" w:space="0" w:color="auto"/>
            <w:left w:val="none" w:sz="0" w:space="0" w:color="auto"/>
            <w:bottom w:val="none" w:sz="0" w:space="0" w:color="auto"/>
            <w:right w:val="none" w:sz="0" w:space="0" w:color="auto"/>
          </w:divBdr>
        </w:div>
        <w:div w:id="291404128">
          <w:marLeft w:val="720"/>
          <w:marRight w:val="0"/>
          <w:marTop w:val="120"/>
          <w:marBottom w:val="0"/>
          <w:divBdr>
            <w:top w:val="none" w:sz="0" w:space="0" w:color="auto"/>
            <w:left w:val="none" w:sz="0" w:space="0" w:color="auto"/>
            <w:bottom w:val="none" w:sz="0" w:space="0" w:color="auto"/>
            <w:right w:val="none" w:sz="0" w:space="0" w:color="auto"/>
          </w:divBdr>
        </w:div>
        <w:div w:id="504899390">
          <w:marLeft w:val="360"/>
          <w:marRight w:val="0"/>
          <w:marTop w:val="360"/>
          <w:marBottom w:val="0"/>
          <w:divBdr>
            <w:top w:val="none" w:sz="0" w:space="0" w:color="auto"/>
            <w:left w:val="none" w:sz="0" w:space="0" w:color="auto"/>
            <w:bottom w:val="none" w:sz="0" w:space="0" w:color="auto"/>
            <w:right w:val="none" w:sz="0" w:space="0" w:color="auto"/>
          </w:divBdr>
        </w:div>
        <w:div w:id="278416719">
          <w:marLeft w:val="360"/>
          <w:marRight w:val="0"/>
          <w:marTop w:val="360"/>
          <w:marBottom w:val="0"/>
          <w:divBdr>
            <w:top w:val="none" w:sz="0" w:space="0" w:color="auto"/>
            <w:left w:val="none" w:sz="0" w:space="0" w:color="auto"/>
            <w:bottom w:val="none" w:sz="0" w:space="0" w:color="auto"/>
            <w:right w:val="none" w:sz="0" w:space="0" w:color="auto"/>
          </w:divBdr>
        </w:div>
        <w:div w:id="1154494133">
          <w:marLeft w:val="720"/>
          <w:marRight w:val="0"/>
          <w:marTop w:val="120"/>
          <w:marBottom w:val="0"/>
          <w:divBdr>
            <w:top w:val="none" w:sz="0" w:space="0" w:color="auto"/>
            <w:left w:val="none" w:sz="0" w:space="0" w:color="auto"/>
            <w:bottom w:val="none" w:sz="0" w:space="0" w:color="auto"/>
            <w:right w:val="none" w:sz="0" w:space="0" w:color="auto"/>
          </w:divBdr>
        </w:div>
        <w:div w:id="1106001541">
          <w:marLeft w:val="720"/>
          <w:marRight w:val="0"/>
          <w:marTop w:val="120"/>
          <w:marBottom w:val="0"/>
          <w:divBdr>
            <w:top w:val="none" w:sz="0" w:space="0" w:color="auto"/>
            <w:left w:val="none" w:sz="0" w:space="0" w:color="auto"/>
            <w:bottom w:val="none" w:sz="0" w:space="0" w:color="auto"/>
            <w:right w:val="none" w:sz="0" w:space="0" w:color="auto"/>
          </w:divBdr>
        </w:div>
        <w:div w:id="1491601447">
          <w:marLeft w:val="360"/>
          <w:marRight w:val="0"/>
          <w:marTop w:val="360"/>
          <w:marBottom w:val="0"/>
          <w:divBdr>
            <w:top w:val="none" w:sz="0" w:space="0" w:color="auto"/>
            <w:left w:val="none" w:sz="0" w:space="0" w:color="auto"/>
            <w:bottom w:val="none" w:sz="0" w:space="0" w:color="auto"/>
            <w:right w:val="none" w:sz="0" w:space="0" w:color="auto"/>
          </w:divBdr>
        </w:div>
      </w:divsChild>
    </w:div>
    <w:div w:id="1442720201">
      <w:bodyDiv w:val="1"/>
      <w:marLeft w:val="0"/>
      <w:marRight w:val="0"/>
      <w:marTop w:val="0"/>
      <w:marBottom w:val="0"/>
      <w:divBdr>
        <w:top w:val="none" w:sz="0" w:space="0" w:color="auto"/>
        <w:left w:val="none" w:sz="0" w:space="0" w:color="auto"/>
        <w:bottom w:val="none" w:sz="0" w:space="0" w:color="auto"/>
        <w:right w:val="none" w:sz="0" w:space="0" w:color="auto"/>
      </w:divBdr>
    </w:div>
    <w:div w:id="1612320073">
      <w:marLeft w:val="0"/>
      <w:marRight w:val="0"/>
      <w:marTop w:val="0"/>
      <w:marBottom w:val="0"/>
      <w:divBdr>
        <w:top w:val="none" w:sz="0" w:space="0" w:color="auto"/>
        <w:left w:val="none" w:sz="0" w:space="0" w:color="auto"/>
        <w:bottom w:val="none" w:sz="0" w:space="0" w:color="auto"/>
        <w:right w:val="none" w:sz="0" w:space="0" w:color="auto"/>
      </w:divBdr>
    </w:div>
    <w:div w:id="1612320075">
      <w:marLeft w:val="0"/>
      <w:marRight w:val="0"/>
      <w:marTop w:val="0"/>
      <w:marBottom w:val="0"/>
      <w:divBdr>
        <w:top w:val="none" w:sz="0" w:space="0" w:color="auto"/>
        <w:left w:val="none" w:sz="0" w:space="0" w:color="auto"/>
        <w:bottom w:val="none" w:sz="0" w:space="0" w:color="auto"/>
        <w:right w:val="none" w:sz="0" w:space="0" w:color="auto"/>
      </w:divBdr>
    </w:div>
    <w:div w:id="1612320076">
      <w:marLeft w:val="0"/>
      <w:marRight w:val="0"/>
      <w:marTop w:val="0"/>
      <w:marBottom w:val="0"/>
      <w:divBdr>
        <w:top w:val="none" w:sz="0" w:space="0" w:color="auto"/>
        <w:left w:val="none" w:sz="0" w:space="0" w:color="auto"/>
        <w:bottom w:val="none" w:sz="0" w:space="0" w:color="auto"/>
        <w:right w:val="none" w:sz="0" w:space="0" w:color="auto"/>
      </w:divBdr>
    </w:div>
    <w:div w:id="1612320077">
      <w:marLeft w:val="0"/>
      <w:marRight w:val="0"/>
      <w:marTop w:val="0"/>
      <w:marBottom w:val="0"/>
      <w:divBdr>
        <w:top w:val="none" w:sz="0" w:space="0" w:color="auto"/>
        <w:left w:val="none" w:sz="0" w:space="0" w:color="auto"/>
        <w:bottom w:val="none" w:sz="0" w:space="0" w:color="auto"/>
        <w:right w:val="none" w:sz="0" w:space="0" w:color="auto"/>
      </w:divBdr>
    </w:div>
    <w:div w:id="1612320078">
      <w:marLeft w:val="0"/>
      <w:marRight w:val="0"/>
      <w:marTop w:val="0"/>
      <w:marBottom w:val="0"/>
      <w:divBdr>
        <w:top w:val="none" w:sz="0" w:space="0" w:color="auto"/>
        <w:left w:val="none" w:sz="0" w:space="0" w:color="auto"/>
        <w:bottom w:val="none" w:sz="0" w:space="0" w:color="auto"/>
        <w:right w:val="none" w:sz="0" w:space="0" w:color="auto"/>
      </w:divBdr>
    </w:div>
    <w:div w:id="1612320079">
      <w:marLeft w:val="0"/>
      <w:marRight w:val="0"/>
      <w:marTop w:val="0"/>
      <w:marBottom w:val="0"/>
      <w:divBdr>
        <w:top w:val="none" w:sz="0" w:space="0" w:color="auto"/>
        <w:left w:val="none" w:sz="0" w:space="0" w:color="auto"/>
        <w:bottom w:val="none" w:sz="0" w:space="0" w:color="auto"/>
        <w:right w:val="none" w:sz="0" w:space="0" w:color="auto"/>
      </w:divBdr>
    </w:div>
    <w:div w:id="1612320080">
      <w:marLeft w:val="0"/>
      <w:marRight w:val="0"/>
      <w:marTop w:val="0"/>
      <w:marBottom w:val="0"/>
      <w:divBdr>
        <w:top w:val="none" w:sz="0" w:space="0" w:color="auto"/>
        <w:left w:val="none" w:sz="0" w:space="0" w:color="auto"/>
        <w:bottom w:val="none" w:sz="0" w:space="0" w:color="auto"/>
        <w:right w:val="none" w:sz="0" w:space="0" w:color="auto"/>
      </w:divBdr>
    </w:div>
    <w:div w:id="1612320081">
      <w:marLeft w:val="0"/>
      <w:marRight w:val="0"/>
      <w:marTop w:val="0"/>
      <w:marBottom w:val="0"/>
      <w:divBdr>
        <w:top w:val="none" w:sz="0" w:space="0" w:color="auto"/>
        <w:left w:val="none" w:sz="0" w:space="0" w:color="auto"/>
        <w:bottom w:val="none" w:sz="0" w:space="0" w:color="auto"/>
        <w:right w:val="none" w:sz="0" w:space="0" w:color="auto"/>
      </w:divBdr>
    </w:div>
    <w:div w:id="1612320082">
      <w:marLeft w:val="0"/>
      <w:marRight w:val="0"/>
      <w:marTop w:val="0"/>
      <w:marBottom w:val="0"/>
      <w:divBdr>
        <w:top w:val="none" w:sz="0" w:space="0" w:color="auto"/>
        <w:left w:val="none" w:sz="0" w:space="0" w:color="auto"/>
        <w:bottom w:val="none" w:sz="0" w:space="0" w:color="auto"/>
        <w:right w:val="none" w:sz="0" w:space="0" w:color="auto"/>
      </w:divBdr>
    </w:div>
    <w:div w:id="1612320083">
      <w:marLeft w:val="0"/>
      <w:marRight w:val="0"/>
      <w:marTop w:val="0"/>
      <w:marBottom w:val="0"/>
      <w:divBdr>
        <w:top w:val="none" w:sz="0" w:space="0" w:color="auto"/>
        <w:left w:val="none" w:sz="0" w:space="0" w:color="auto"/>
        <w:bottom w:val="none" w:sz="0" w:space="0" w:color="auto"/>
        <w:right w:val="none" w:sz="0" w:space="0" w:color="auto"/>
      </w:divBdr>
    </w:div>
    <w:div w:id="1612320084">
      <w:marLeft w:val="0"/>
      <w:marRight w:val="0"/>
      <w:marTop w:val="0"/>
      <w:marBottom w:val="0"/>
      <w:divBdr>
        <w:top w:val="none" w:sz="0" w:space="0" w:color="auto"/>
        <w:left w:val="none" w:sz="0" w:space="0" w:color="auto"/>
        <w:bottom w:val="none" w:sz="0" w:space="0" w:color="auto"/>
        <w:right w:val="none" w:sz="0" w:space="0" w:color="auto"/>
      </w:divBdr>
    </w:div>
    <w:div w:id="1612320085">
      <w:marLeft w:val="0"/>
      <w:marRight w:val="0"/>
      <w:marTop w:val="0"/>
      <w:marBottom w:val="0"/>
      <w:divBdr>
        <w:top w:val="none" w:sz="0" w:space="0" w:color="auto"/>
        <w:left w:val="none" w:sz="0" w:space="0" w:color="auto"/>
        <w:bottom w:val="none" w:sz="0" w:space="0" w:color="auto"/>
        <w:right w:val="none" w:sz="0" w:space="0" w:color="auto"/>
      </w:divBdr>
    </w:div>
    <w:div w:id="1612320086">
      <w:marLeft w:val="0"/>
      <w:marRight w:val="0"/>
      <w:marTop w:val="0"/>
      <w:marBottom w:val="0"/>
      <w:divBdr>
        <w:top w:val="none" w:sz="0" w:space="0" w:color="auto"/>
        <w:left w:val="none" w:sz="0" w:space="0" w:color="auto"/>
        <w:bottom w:val="none" w:sz="0" w:space="0" w:color="auto"/>
        <w:right w:val="none" w:sz="0" w:space="0" w:color="auto"/>
      </w:divBdr>
    </w:div>
    <w:div w:id="1612320087">
      <w:marLeft w:val="0"/>
      <w:marRight w:val="0"/>
      <w:marTop w:val="0"/>
      <w:marBottom w:val="0"/>
      <w:divBdr>
        <w:top w:val="none" w:sz="0" w:space="0" w:color="auto"/>
        <w:left w:val="none" w:sz="0" w:space="0" w:color="auto"/>
        <w:bottom w:val="none" w:sz="0" w:space="0" w:color="auto"/>
        <w:right w:val="none" w:sz="0" w:space="0" w:color="auto"/>
      </w:divBdr>
    </w:div>
    <w:div w:id="1612320088">
      <w:marLeft w:val="0"/>
      <w:marRight w:val="0"/>
      <w:marTop w:val="0"/>
      <w:marBottom w:val="0"/>
      <w:divBdr>
        <w:top w:val="none" w:sz="0" w:space="0" w:color="auto"/>
        <w:left w:val="none" w:sz="0" w:space="0" w:color="auto"/>
        <w:bottom w:val="none" w:sz="0" w:space="0" w:color="auto"/>
        <w:right w:val="none" w:sz="0" w:space="0" w:color="auto"/>
      </w:divBdr>
    </w:div>
    <w:div w:id="1612320089">
      <w:marLeft w:val="0"/>
      <w:marRight w:val="0"/>
      <w:marTop w:val="0"/>
      <w:marBottom w:val="0"/>
      <w:divBdr>
        <w:top w:val="none" w:sz="0" w:space="0" w:color="auto"/>
        <w:left w:val="none" w:sz="0" w:space="0" w:color="auto"/>
        <w:bottom w:val="none" w:sz="0" w:space="0" w:color="auto"/>
        <w:right w:val="none" w:sz="0" w:space="0" w:color="auto"/>
      </w:divBdr>
    </w:div>
    <w:div w:id="1612320090">
      <w:marLeft w:val="0"/>
      <w:marRight w:val="0"/>
      <w:marTop w:val="0"/>
      <w:marBottom w:val="0"/>
      <w:divBdr>
        <w:top w:val="none" w:sz="0" w:space="0" w:color="auto"/>
        <w:left w:val="none" w:sz="0" w:space="0" w:color="auto"/>
        <w:bottom w:val="none" w:sz="0" w:space="0" w:color="auto"/>
        <w:right w:val="none" w:sz="0" w:space="0" w:color="auto"/>
      </w:divBdr>
    </w:div>
    <w:div w:id="1612320091">
      <w:marLeft w:val="0"/>
      <w:marRight w:val="0"/>
      <w:marTop w:val="0"/>
      <w:marBottom w:val="0"/>
      <w:divBdr>
        <w:top w:val="none" w:sz="0" w:space="0" w:color="auto"/>
        <w:left w:val="none" w:sz="0" w:space="0" w:color="auto"/>
        <w:bottom w:val="none" w:sz="0" w:space="0" w:color="auto"/>
        <w:right w:val="none" w:sz="0" w:space="0" w:color="auto"/>
      </w:divBdr>
      <w:divsChild>
        <w:div w:id="1612320074">
          <w:marLeft w:val="0"/>
          <w:marRight w:val="0"/>
          <w:marTop w:val="0"/>
          <w:marBottom w:val="0"/>
          <w:divBdr>
            <w:top w:val="none" w:sz="0" w:space="0" w:color="auto"/>
            <w:left w:val="none" w:sz="0" w:space="0" w:color="auto"/>
            <w:bottom w:val="none" w:sz="0" w:space="0" w:color="auto"/>
            <w:right w:val="none" w:sz="0" w:space="0" w:color="auto"/>
          </w:divBdr>
        </w:div>
        <w:div w:id="1612320099">
          <w:marLeft w:val="0"/>
          <w:marRight w:val="0"/>
          <w:marTop w:val="0"/>
          <w:marBottom w:val="0"/>
          <w:divBdr>
            <w:top w:val="none" w:sz="0" w:space="0" w:color="auto"/>
            <w:left w:val="none" w:sz="0" w:space="0" w:color="auto"/>
            <w:bottom w:val="none" w:sz="0" w:space="0" w:color="auto"/>
            <w:right w:val="none" w:sz="0" w:space="0" w:color="auto"/>
          </w:divBdr>
        </w:div>
      </w:divsChild>
    </w:div>
    <w:div w:id="1612320092">
      <w:marLeft w:val="0"/>
      <w:marRight w:val="0"/>
      <w:marTop w:val="0"/>
      <w:marBottom w:val="0"/>
      <w:divBdr>
        <w:top w:val="none" w:sz="0" w:space="0" w:color="auto"/>
        <w:left w:val="none" w:sz="0" w:space="0" w:color="auto"/>
        <w:bottom w:val="none" w:sz="0" w:space="0" w:color="auto"/>
        <w:right w:val="none" w:sz="0" w:space="0" w:color="auto"/>
      </w:divBdr>
    </w:div>
    <w:div w:id="1612320093">
      <w:marLeft w:val="0"/>
      <w:marRight w:val="0"/>
      <w:marTop w:val="0"/>
      <w:marBottom w:val="0"/>
      <w:divBdr>
        <w:top w:val="none" w:sz="0" w:space="0" w:color="auto"/>
        <w:left w:val="none" w:sz="0" w:space="0" w:color="auto"/>
        <w:bottom w:val="none" w:sz="0" w:space="0" w:color="auto"/>
        <w:right w:val="none" w:sz="0" w:space="0" w:color="auto"/>
      </w:divBdr>
    </w:div>
    <w:div w:id="1612320094">
      <w:marLeft w:val="0"/>
      <w:marRight w:val="0"/>
      <w:marTop w:val="0"/>
      <w:marBottom w:val="0"/>
      <w:divBdr>
        <w:top w:val="none" w:sz="0" w:space="0" w:color="auto"/>
        <w:left w:val="none" w:sz="0" w:space="0" w:color="auto"/>
        <w:bottom w:val="none" w:sz="0" w:space="0" w:color="auto"/>
        <w:right w:val="none" w:sz="0" w:space="0" w:color="auto"/>
      </w:divBdr>
    </w:div>
    <w:div w:id="1612320095">
      <w:marLeft w:val="0"/>
      <w:marRight w:val="0"/>
      <w:marTop w:val="0"/>
      <w:marBottom w:val="0"/>
      <w:divBdr>
        <w:top w:val="none" w:sz="0" w:space="0" w:color="auto"/>
        <w:left w:val="none" w:sz="0" w:space="0" w:color="auto"/>
        <w:bottom w:val="none" w:sz="0" w:space="0" w:color="auto"/>
        <w:right w:val="none" w:sz="0" w:space="0" w:color="auto"/>
      </w:divBdr>
    </w:div>
    <w:div w:id="1612320096">
      <w:marLeft w:val="0"/>
      <w:marRight w:val="0"/>
      <w:marTop w:val="0"/>
      <w:marBottom w:val="0"/>
      <w:divBdr>
        <w:top w:val="none" w:sz="0" w:space="0" w:color="auto"/>
        <w:left w:val="none" w:sz="0" w:space="0" w:color="auto"/>
        <w:bottom w:val="none" w:sz="0" w:space="0" w:color="auto"/>
        <w:right w:val="none" w:sz="0" w:space="0" w:color="auto"/>
      </w:divBdr>
    </w:div>
    <w:div w:id="1612320097">
      <w:marLeft w:val="0"/>
      <w:marRight w:val="0"/>
      <w:marTop w:val="0"/>
      <w:marBottom w:val="0"/>
      <w:divBdr>
        <w:top w:val="none" w:sz="0" w:space="0" w:color="auto"/>
        <w:left w:val="none" w:sz="0" w:space="0" w:color="auto"/>
        <w:bottom w:val="none" w:sz="0" w:space="0" w:color="auto"/>
        <w:right w:val="none" w:sz="0" w:space="0" w:color="auto"/>
      </w:divBdr>
    </w:div>
    <w:div w:id="1612320098">
      <w:marLeft w:val="0"/>
      <w:marRight w:val="0"/>
      <w:marTop w:val="0"/>
      <w:marBottom w:val="0"/>
      <w:divBdr>
        <w:top w:val="none" w:sz="0" w:space="0" w:color="auto"/>
        <w:left w:val="none" w:sz="0" w:space="0" w:color="auto"/>
        <w:bottom w:val="none" w:sz="0" w:space="0" w:color="auto"/>
        <w:right w:val="none" w:sz="0" w:space="0" w:color="auto"/>
      </w:divBdr>
    </w:div>
    <w:div w:id="1612320100">
      <w:marLeft w:val="0"/>
      <w:marRight w:val="0"/>
      <w:marTop w:val="0"/>
      <w:marBottom w:val="0"/>
      <w:divBdr>
        <w:top w:val="none" w:sz="0" w:space="0" w:color="auto"/>
        <w:left w:val="none" w:sz="0" w:space="0" w:color="auto"/>
        <w:bottom w:val="none" w:sz="0" w:space="0" w:color="auto"/>
        <w:right w:val="none" w:sz="0" w:space="0" w:color="auto"/>
      </w:divBdr>
    </w:div>
    <w:div w:id="1612320101">
      <w:marLeft w:val="0"/>
      <w:marRight w:val="0"/>
      <w:marTop w:val="0"/>
      <w:marBottom w:val="0"/>
      <w:divBdr>
        <w:top w:val="none" w:sz="0" w:space="0" w:color="auto"/>
        <w:left w:val="none" w:sz="0" w:space="0" w:color="auto"/>
        <w:bottom w:val="none" w:sz="0" w:space="0" w:color="auto"/>
        <w:right w:val="none" w:sz="0" w:space="0" w:color="auto"/>
      </w:divBdr>
    </w:div>
    <w:div w:id="1612320102">
      <w:marLeft w:val="0"/>
      <w:marRight w:val="0"/>
      <w:marTop w:val="0"/>
      <w:marBottom w:val="0"/>
      <w:divBdr>
        <w:top w:val="none" w:sz="0" w:space="0" w:color="auto"/>
        <w:left w:val="none" w:sz="0" w:space="0" w:color="auto"/>
        <w:bottom w:val="none" w:sz="0" w:space="0" w:color="auto"/>
        <w:right w:val="none" w:sz="0" w:space="0" w:color="auto"/>
      </w:divBdr>
    </w:div>
    <w:div w:id="1612320103">
      <w:marLeft w:val="0"/>
      <w:marRight w:val="0"/>
      <w:marTop w:val="0"/>
      <w:marBottom w:val="0"/>
      <w:divBdr>
        <w:top w:val="none" w:sz="0" w:space="0" w:color="auto"/>
        <w:left w:val="none" w:sz="0" w:space="0" w:color="auto"/>
        <w:bottom w:val="none" w:sz="0" w:space="0" w:color="auto"/>
        <w:right w:val="none" w:sz="0" w:space="0" w:color="auto"/>
      </w:divBdr>
    </w:div>
    <w:div w:id="1612320104">
      <w:marLeft w:val="0"/>
      <w:marRight w:val="0"/>
      <w:marTop w:val="0"/>
      <w:marBottom w:val="0"/>
      <w:divBdr>
        <w:top w:val="none" w:sz="0" w:space="0" w:color="auto"/>
        <w:left w:val="none" w:sz="0" w:space="0" w:color="auto"/>
        <w:bottom w:val="none" w:sz="0" w:space="0" w:color="auto"/>
        <w:right w:val="none" w:sz="0" w:space="0" w:color="auto"/>
      </w:divBdr>
    </w:div>
    <w:div w:id="1612320105">
      <w:marLeft w:val="0"/>
      <w:marRight w:val="0"/>
      <w:marTop w:val="0"/>
      <w:marBottom w:val="0"/>
      <w:divBdr>
        <w:top w:val="none" w:sz="0" w:space="0" w:color="auto"/>
        <w:left w:val="none" w:sz="0" w:space="0" w:color="auto"/>
        <w:bottom w:val="none" w:sz="0" w:space="0" w:color="auto"/>
        <w:right w:val="none" w:sz="0" w:space="0" w:color="auto"/>
      </w:divBdr>
    </w:div>
    <w:div w:id="1612320106">
      <w:marLeft w:val="0"/>
      <w:marRight w:val="0"/>
      <w:marTop w:val="0"/>
      <w:marBottom w:val="0"/>
      <w:divBdr>
        <w:top w:val="none" w:sz="0" w:space="0" w:color="auto"/>
        <w:left w:val="none" w:sz="0" w:space="0" w:color="auto"/>
        <w:bottom w:val="none" w:sz="0" w:space="0" w:color="auto"/>
        <w:right w:val="none" w:sz="0" w:space="0" w:color="auto"/>
      </w:divBdr>
    </w:div>
    <w:div w:id="1612320107">
      <w:marLeft w:val="0"/>
      <w:marRight w:val="0"/>
      <w:marTop w:val="0"/>
      <w:marBottom w:val="0"/>
      <w:divBdr>
        <w:top w:val="none" w:sz="0" w:space="0" w:color="auto"/>
        <w:left w:val="none" w:sz="0" w:space="0" w:color="auto"/>
        <w:bottom w:val="none" w:sz="0" w:space="0" w:color="auto"/>
        <w:right w:val="none" w:sz="0" w:space="0" w:color="auto"/>
      </w:divBdr>
    </w:div>
    <w:div w:id="1612320108">
      <w:marLeft w:val="0"/>
      <w:marRight w:val="0"/>
      <w:marTop w:val="0"/>
      <w:marBottom w:val="0"/>
      <w:divBdr>
        <w:top w:val="none" w:sz="0" w:space="0" w:color="auto"/>
        <w:left w:val="none" w:sz="0" w:space="0" w:color="auto"/>
        <w:bottom w:val="none" w:sz="0" w:space="0" w:color="auto"/>
        <w:right w:val="none" w:sz="0" w:space="0" w:color="auto"/>
      </w:divBdr>
    </w:div>
    <w:div w:id="1612320109">
      <w:marLeft w:val="0"/>
      <w:marRight w:val="0"/>
      <w:marTop w:val="0"/>
      <w:marBottom w:val="0"/>
      <w:divBdr>
        <w:top w:val="none" w:sz="0" w:space="0" w:color="auto"/>
        <w:left w:val="none" w:sz="0" w:space="0" w:color="auto"/>
        <w:bottom w:val="none" w:sz="0" w:space="0" w:color="auto"/>
        <w:right w:val="none" w:sz="0" w:space="0" w:color="auto"/>
      </w:divBdr>
    </w:div>
    <w:div w:id="1612320110">
      <w:marLeft w:val="0"/>
      <w:marRight w:val="0"/>
      <w:marTop w:val="0"/>
      <w:marBottom w:val="0"/>
      <w:divBdr>
        <w:top w:val="none" w:sz="0" w:space="0" w:color="auto"/>
        <w:left w:val="none" w:sz="0" w:space="0" w:color="auto"/>
        <w:bottom w:val="none" w:sz="0" w:space="0" w:color="auto"/>
        <w:right w:val="none" w:sz="0" w:space="0" w:color="auto"/>
      </w:divBdr>
    </w:div>
    <w:div w:id="1612320111">
      <w:marLeft w:val="0"/>
      <w:marRight w:val="0"/>
      <w:marTop w:val="0"/>
      <w:marBottom w:val="0"/>
      <w:divBdr>
        <w:top w:val="none" w:sz="0" w:space="0" w:color="auto"/>
        <w:left w:val="none" w:sz="0" w:space="0" w:color="auto"/>
        <w:bottom w:val="none" w:sz="0" w:space="0" w:color="auto"/>
        <w:right w:val="none" w:sz="0" w:space="0" w:color="auto"/>
      </w:divBdr>
    </w:div>
    <w:div w:id="1612320113">
      <w:marLeft w:val="0"/>
      <w:marRight w:val="0"/>
      <w:marTop w:val="0"/>
      <w:marBottom w:val="0"/>
      <w:divBdr>
        <w:top w:val="none" w:sz="0" w:space="0" w:color="auto"/>
        <w:left w:val="none" w:sz="0" w:space="0" w:color="auto"/>
        <w:bottom w:val="none" w:sz="0" w:space="0" w:color="auto"/>
        <w:right w:val="none" w:sz="0" w:space="0" w:color="auto"/>
      </w:divBdr>
    </w:div>
    <w:div w:id="1612320114">
      <w:marLeft w:val="0"/>
      <w:marRight w:val="0"/>
      <w:marTop w:val="0"/>
      <w:marBottom w:val="0"/>
      <w:divBdr>
        <w:top w:val="none" w:sz="0" w:space="0" w:color="auto"/>
        <w:left w:val="none" w:sz="0" w:space="0" w:color="auto"/>
        <w:bottom w:val="none" w:sz="0" w:space="0" w:color="auto"/>
        <w:right w:val="none" w:sz="0" w:space="0" w:color="auto"/>
      </w:divBdr>
    </w:div>
    <w:div w:id="1612320116">
      <w:marLeft w:val="0"/>
      <w:marRight w:val="0"/>
      <w:marTop w:val="0"/>
      <w:marBottom w:val="0"/>
      <w:divBdr>
        <w:top w:val="none" w:sz="0" w:space="0" w:color="auto"/>
        <w:left w:val="none" w:sz="0" w:space="0" w:color="auto"/>
        <w:bottom w:val="none" w:sz="0" w:space="0" w:color="auto"/>
        <w:right w:val="none" w:sz="0" w:space="0" w:color="auto"/>
      </w:divBdr>
    </w:div>
    <w:div w:id="1612320117">
      <w:marLeft w:val="0"/>
      <w:marRight w:val="0"/>
      <w:marTop w:val="0"/>
      <w:marBottom w:val="0"/>
      <w:divBdr>
        <w:top w:val="none" w:sz="0" w:space="0" w:color="auto"/>
        <w:left w:val="none" w:sz="0" w:space="0" w:color="auto"/>
        <w:bottom w:val="none" w:sz="0" w:space="0" w:color="auto"/>
        <w:right w:val="none" w:sz="0" w:space="0" w:color="auto"/>
      </w:divBdr>
      <w:divsChild>
        <w:div w:id="1612320121">
          <w:marLeft w:val="0"/>
          <w:marRight w:val="0"/>
          <w:marTop w:val="0"/>
          <w:marBottom w:val="0"/>
          <w:divBdr>
            <w:top w:val="none" w:sz="0" w:space="0" w:color="auto"/>
            <w:left w:val="none" w:sz="0" w:space="0" w:color="auto"/>
            <w:bottom w:val="none" w:sz="0" w:space="0" w:color="auto"/>
            <w:right w:val="none" w:sz="0" w:space="0" w:color="auto"/>
          </w:divBdr>
          <w:divsChild>
            <w:div w:id="1612320118">
              <w:marLeft w:val="0"/>
              <w:marRight w:val="0"/>
              <w:marTop w:val="0"/>
              <w:marBottom w:val="0"/>
              <w:divBdr>
                <w:top w:val="none" w:sz="0" w:space="0" w:color="auto"/>
                <w:left w:val="none" w:sz="0" w:space="0" w:color="auto"/>
                <w:bottom w:val="none" w:sz="0" w:space="0" w:color="auto"/>
                <w:right w:val="none" w:sz="0" w:space="0" w:color="auto"/>
              </w:divBdr>
              <w:divsChild>
                <w:div w:id="1612320115">
                  <w:marLeft w:val="0"/>
                  <w:marRight w:val="0"/>
                  <w:marTop w:val="0"/>
                  <w:marBottom w:val="0"/>
                  <w:divBdr>
                    <w:top w:val="none" w:sz="0" w:space="0" w:color="auto"/>
                    <w:left w:val="none" w:sz="0" w:space="0" w:color="auto"/>
                    <w:bottom w:val="none" w:sz="0" w:space="0" w:color="auto"/>
                    <w:right w:val="none" w:sz="0" w:space="0" w:color="auto"/>
                  </w:divBdr>
                  <w:divsChild>
                    <w:div w:id="1612320120">
                      <w:marLeft w:val="0"/>
                      <w:marRight w:val="0"/>
                      <w:marTop w:val="0"/>
                      <w:marBottom w:val="0"/>
                      <w:divBdr>
                        <w:top w:val="none" w:sz="0" w:space="0" w:color="auto"/>
                        <w:left w:val="none" w:sz="0" w:space="0" w:color="auto"/>
                        <w:bottom w:val="none" w:sz="0" w:space="0" w:color="auto"/>
                        <w:right w:val="none" w:sz="0" w:space="0" w:color="auto"/>
                      </w:divBdr>
                      <w:divsChild>
                        <w:div w:id="1612320119">
                          <w:marLeft w:val="0"/>
                          <w:marRight w:val="0"/>
                          <w:marTop w:val="0"/>
                          <w:marBottom w:val="0"/>
                          <w:divBdr>
                            <w:top w:val="none" w:sz="0" w:space="0" w:color="auto"/>
                            <w:left w:val="none" w:sz="0" w:space="0" w:color="auto"/>
                            <w:bottom w:val="none" w:sz="0" w:space="0" w:color="auto"/>
                            <w:right w:val="none" w:sz="0" w:space="0" w:color="auto"/>
                          </w:divBdr>
                          <w:divsChild>
                            <w:div w:id="16123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69529">
      <w:bodyDiv w:val="1"/>
      <w:marLeft w:val="0"/>
      <w:marRight w:val="0"/>
      <w:marTop w:val="0"/>
      <w:marBottom w:val="0"/>
      <w:divBdr>
        <w:top w:val="none" w:sz="0" w:space="0" w:color="auto"/>
        <w:left w:val="none" w:sz="0" w:space="0" w:color="auto"/>
        <w:bottom w:val="none" w:sz="0" w:space="0" w:color="auto"/>
        <w:right w:val="none" w:sz="0" w:space="0" w:color="auto"/>
      </w:divBdr>
    </w:div>
    <w:div w:id="1797261272">
      <w:bodyDiv w:val="1"/>
      <w:marLeft w:val="0"/>
      <w:marRight w:val="0"/>
      <w:marTop w:val="0"/>
      <w:marBottom w:val="0"/>
      <w:divBdr>
        <w:top w:val="none" w:sz="0" w:space="0" w:color="auto"/>
        <w:left w:val="none" w:sz="0" w:space="0" w:color="auto"/>
        <w:bottom w:val="none" w:sz="0" w:space="0" w:color="auto"/>
        <w:right w:val="none" w:sz="0" w:space="0" w:color="auto"/>
      </w:divBdr>
      <w:divsChild>
        <w:div w:id="500780070">
          <w:marLeft w:val="0"/>
          <w:marRight w:val="0"/>
          <w:marTop w:val="0"/>
          <w:marBottom w:val="0"/>
          <w:divBdr>
            <w:top w:val="none" w:sz="0" w:space="0" w:color="auto"/>
            <w:left w:val="none" w:sz="0" w:space="0" w:color="auto"/>
            <w:bottom w:val="none" w:sz="0" w:space="0" w:color="auto"/>
            <w:right w:val="none" w:sz="0" w:space="0" w:color="auto"/>
          </w:divBdr>
          <w:divsChild>
            <w:div w:id="1970239871">
              <w:marLeft w:val="0"/>
              <w:marRight w:val="0"/>
              <w:marTop w:val="0"/>
              <w:marBottom w:val="0"/>
              <w:divBdr>
                <w:top w:val="none" w:sz="0" w:space="0" w:color="auto"/>
                <w:left w:val="none" w:sz="0" w:space="0" w:color="auto"/>
                <w:bottom w:val="none" w:sz="0" w:space="0" w:color="auto"/>
                <w:right w:val="none" w:sz="0" w:space="0" w:color="auto"/>
              </w:divBdr>
              <w:divsChild>
                <w:div w:id="1170173943">
                  <w:marLeft w:val="0"/>
                  <w:marRight w:val="0"/>
                  <w:marTop w:val="0"/>
                  <w:marBottom w:val="0"/>
                  <w:divBdr>
                    <w:top w:val="none" w:sz="0" w:space="0" w:color="auto"/>
                    <w:left w:val="none" w:sz="0" w:space="0" w:color="auto"/>
                    <w:bottom w:val="none" w:sz="0" w:space="0" w:color="auto"/>
                    <w:right w:val="none" w:sz="0" w:space="0" w:color="auto"/>
                  </w:divBdr>
                  <w:divsChild>
                    <w:div w:id="2005933150">
                      <w:marLeft w:val="0"/>
                      <w:marRight w:val="0"/>
                      <w:marTop w:val="0"/>
                      <w:marBottom w:val="0"/>
                      <w:divBdr>
                        <w:top w:val="none" w:sz="0" w:space="0" w:color="auto"/>
                        <w:left w:val="none" w:sz="0" w:space="0" w:color="auto"/>
                        <w:bottom w:val="none" w:sz="0" w:space="0" w:color="auto"/>
                        <w:right w:val="none" w:sz="0" w:space="0" w:color="auto"/>
                      </w:divBdr>
                      <w:divsChild>
                        <w:div w:id="163305626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78357">
      <w:bodyDiv w:val="1"/>
      <w:marLeft w:val="0"/>
      <w:marRight w:val="0"/>
      <w:marTop w:val="0"/>
      <w:marBottom w:val="0"/>
      <w:divBdr>
        <w:top w:val="none" w:sz="0" w:space="0" w:color="auto"/>
        <w:left w:val="none" w:sz="0" w:space="0" w:color="auto"/>
        <w:bottom w:val="none" w:sz="0" w:space="0" w:color="auto"/>
        <w:right w:val="none" w:sz="0" w:space="0" w:color="auto"/>
      </w:divBdr>
    </w:div>
    <w:div w:id="2086292774">
      <w:bodyDiv w:val="1"/>
      <w:marLeft w:val="0"/>
      <w:marRight w:val="0"/>
      <w:marTop w:val="0"/>
      <w:marBottom w:val="0"/>
      <w:divBdr>
        <w:top w:val="none" w:sz="0" w:space="0" w:color="auto"/>
        <w:left w:val="none" w:sz="0" w:space="0" w:color="auto"/>
        <w:bottom w:val="none" w:sz="0" w:space="0" w:color="auto"/>
        <w:right w:val="none" w:sz="0" w:space="0" w:color="auto"/>
      </w:divBdr>
      <w:divsChild>
        <w:div w:id="401874189">
          <w:marLeft w:val="0"/>
          <w:marRight w:val="0"/>
          <w:marTop w:val="0"/>
          <w:marBottom w:val="0"/>
          <w:divBdr>
            <w:top w:val="none" w:sz="0" w:space="0" w:color="auto"/>
            <w:left w:val="none" w:sz="0" w:space="0" w:color="auto"/>
            <w:bottom w:val="none" w:sz="0" w:space="0" w:color="auto"/>
            <w:right w:val="none" w:sz="0" w:space="0" w:color="auto"/>
          </w:divBdr>
          <w:divsChild>
            <w:div w:id="623119381">
              <w:marLeft w:val="0"/>
              <w:marRight w:val="0"/>
              <w:marTop w:val="0"/>
              <w:marBottom w:val="0"/>
              <w:divBdr>
                <w:top w:val="none" w:sz="0" w:space="0" w:color="auto"/>
                <w:left w:val="none" w:sz="0" w:space="0" w:color="auto"/>
                <w:bottom w:val="none" w:sz="0" w:space="0" w:color="auto"/>
                <w:right w:val="none" w:sz="0" w:space="0" w:color="auto"/>
              </w:divBdr>
              <w:divsChild>
                <w:div w:id="1321081899">
                  <w:marLeft w:val="0"/>
                  <w:marRight w:val="0"/>
                  <w:marTop w:val="0"/>
                  <w:marBottom w:val="0"/>
                  <w:divBdr>
                    <w:top w:val="none" w:sz="0" w:space="0" w:color="auto"/>
                    <w:left w:val="none" w:sz="0" w:space="0" w:color="auto"/>
                    <w:bottom w:val="none" w:sz="0" w:space="0" w:color="auto"/>
                    <w:right w:val="none" w:sz="0" w:space="0" w:color="auto"/>
                  </w:divBdr>
                  <w:divsChild>
                    <w:div w:id="1156651696">
                      <w:marLeft w:val="0"/>
                      <w:marRight w:val="0"/>
                      <w:marTop w:val="0"/>
                      <w:marBottom w:val="0"/>
                      <w:divBdr>
                        <w:top w:val="none" w:sz="0" w:space="0" w:color="auto"/>
                        <w:left w:val="none" w:sz="0" w:space="0" w:color="auto"/>
                        <w:bottom w:val="none" w:sz="0" w:space="0" w:color="auto"/>
                        <w:right w:val="none" w:sz="0" w:space="0" w:color="auto"/>
                      </w:divBdr>
                      <w:divsChild>
                        <w:div w:id="355274278">
                          <w:marLeft w:val="0"/>
                          <w:marRight w:val="0"/>
                          <w:marTop w:val="0"/>
                          <w:marBottom w:val="0"/>
                          <w:divBdr>
                            <w:top w:val="none" w:sz="0" w:space="0" w:color="auto"/>
                            <w:left w:val="none" w:sz="0" w:space="0" w:color="auto"/>
                            <w:bottom w:val="none" w:sz="0" w:space="0" w:color="auto"/>
                            <w:right w:val="none" w:sz="0" w:space="0" w:color="auto"/>
                          </w:divBdr>
                          <w:divsChild>
                            <w:div w:id="1036588117">
                              <w:marLeft w:val="0"/>
                              <w:marRight w:val="0"/>
                              <w:marTop w:val="0"/>
                              <w:marBottom w:val="0"/>
                              <w:divBdr>
                                <w:top w:val="none" w:sz="0" w:space="0" w:color="auto"/>
                                <w:left w:val="none" w:sz="0" w:space="0" w:color="auto"/>
                                <w:bottom w:val="none" w:sz="0" w:space="0" w:color="auto"/>
                                <w:right w:val="none" w:sz="0" w:space="0" w:color="auto"/>
                              </w:divBdr>
                              <w:divsChild>
                                <w:div w:id="1954827461">
                                  <w:marLeft w:val="0"/>
                                  <w:marRight w:val="0"/>
                                  <w:marTop w:val="0"/>
                                  <w:marBottom w:val="0"/>
                                  <w:divBdr>
                                    <w:top w:val="none" w:sz="0" w:space="0" w:color="auto"/>
                                    <w:left w:val="none" w:sz="0" w:space="0" w:color="auto"/>
                                    <w:bottom w:val="none" w:sz="0" w:space="0" w:color="auto"/>
                                    <w:right w:val="none" w:sz="0" w:space="0" w:color="auto"/>
                                  </w:divBdr>
                                  <w:divsChild>
                                    <w:div w:id="181632485">
                                      <w:marLeft w:val="0"/>
                                      <w:marRight w:val="0"/>
                                      <w:marTop w:val="0"/>
                                      <w:marBottom w:val="0"/>
                                      <w:divBdr>
                                        <w:top w:val="none" w:sz="0" w:space="0" w:color="auto"/>
                                        <w:left w:val="none" w:sz="0" w:space="0" w:color="auto"/>
                                        <w:bottom w:val="none" w:sz="0" w:space="0" w:color="auto"/>
                                        <w:right w:val="none" w:sz="0" w:space="0" w:color="auto"/>
                                      </w:divBdr>
                                      <w:divsChild>
                                        <w:div w:id="801075341">
                                          <w:marLeft w:val="0"/>
                                          <w:marRight w:val="0"/>
                                          <w:marTop w:val="0"/>
                                          <w:marBottom w:val="0"/>
                                          <w:divBdr>
                                            <w:top w:val="none" w:sz="0" w:space="0" w:color="auto"/>
                                            <w:left w:val="none" w:sz="0" w:space="0" w:color="auto"/>
                                            <w:bottom w:val="none" w:sz="0" w:space="0" w:color="auto"/>
                                            <w:right w:val="none" w:sz="0" w:space="0" w:color="auto"/>
                                          </w:divBdr>
                                          <w:divsChild>
                                            <w:div w:id="29842383">
                                              <w:marLeft w:val="0"/>
                                              <w:marRight w:val="0"/>
                                              <w:marTop w:val="0"/>
                                              <w:marBottom w:val="0"/>
                                              <w:divBdr>
                                                <w:top w:val="none" w:sz="0" w:space="0" w:color="auto"/>
                                                <w:left w:val="none" w:sz="0" w:space="0" w:color="auto"/>
                                                <w:bottom w:val="none" w:sz="0" w:space="0" w:color="auto"/>
                                                <w:right w:val="none" w:sz="0" w:space="0" w:color="auto"/>
                                              </w:divBdr>
                                              <w:divsChild>
                                                <w:div w:id="978848345">
                                                  <w:marLeft w:val="0"/>
                                                  <w:marRight w:val="0"/>
                                                  <w:marTop w:val="0"/>
                                                  <w:marBottom w:val="0"/>
                                                  <w:divBdr>
                                                    <w:top w:val="none" w:sz="0" w:space="0" w:color="auto"/>
                                                    <w:left w:val="none" w:sz="0" w:space="0" w:color="auto"/>
                                                    <w:bottom w:val="none" w:sz="0" w:space="0" w:color="auto"/>
                                                    <w:right w:val="none" w:sz="0" w:space="0" w:color="auto"/>
                                                  </w:divBdr>
                                                  <w:divsChild>
                                                    <w:div w:id="1206680109">
                                                      <w:marLeft w:val="0"/>
                                                      <w:marRight w:val="0"/>
                                                      <w:marTop w:val="0"/>
                                                      <w:marBottom w:val="0"/>
                                                      <w:divBdr>
                                                        <w:top w:val="none" w:sz="0" w:space="0" w:color="auto"/>
                                                        <w:left w:val="none" w:sz="0" w:space="0" w:color="auto"/>
                                                        <w:bottom w:val="none" w:sz="0" w:space="0" w:color="auto"/>
                                                        <w:right w:val="none" w:sz="0" w:space="0" w:color="auto"/>
                                                      </w:divBdr>
                                                      <w:divsChild>
                                                        <w:div w:id="16756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yperlink" Target="http://acma.gov.au/theACMA/700-mhz-spectrum-unsold-lots-auction" TargetMode="External"/><Relationship Id="rId2" Type="http://schemas.openxmlformats.org/officeDocument/2006/relationships/customXml" Target="../customXml/item2.xml"/><Relationship Id="rId16" Type="http://schemas.openxmlformats.org/officeDocument/2006/relationships/hyperlink" Target="http://acma.gov.au/theACMA/700-mhz-spectrum-unsold-lots-au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theACMA/700-mhz-spectrum-unsold-lots-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KNAH4PPFC442-2982-6209</_dlc_DocId>
    <_dlc_DocIdUrl xmlns="6db8f3c6-01a1-4322-b043-a3b2a190f7a8">
      <Url>http://collaboration/organisation/CID/RPB/RLPS/lib/_layouts/DocIdRedir.aspx?ID=KNAH4PPFC442-2982-6209</Url>
      <Description>KNAH4PPFC442-2982-6209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B249543DA164F83827B4AF73A2CE1" ma:contentTypeVersion="0" ma:contentTypeDescription="Create a new document." ma:contentTypeScope="" ma:versionID="e9d476c701fec824fd88386788eaae56">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F53B-D661-4BE6-BD87-09C9F52FBE86}">
  <ds:schemaRefs>
    <ds:schemaRef ds:uri="http://schemas.microsoft.com/sharepoint/v3/contenttype/forms"/>
  </ds:schemaRefs>
</ds:datastoreItem>
</file>

<file path=customXml/itemProps2.xml><?xml version="1.0" encoding="utf-8"?>
<ds:datastoreItem xmlns:ds="http://schemas.openxmlformats.org/officeDocument/2006/customXml" ds:itemID="{E5B58614-B451-4423-BCFE-54E4DCB13F69}">
  <ds:schemaRefs>
    <ds:schemaRef ds:uri="http://schemas.microsoft.com/sharepoint/events"/>
  </ds:schemaRefs>
</ds:datastoreItem>
</file>

<file path=customXml/itemProps3.xml><?xml version="1.0" encoding="utf-8"?>
<ds:datastoreItem xmlns:ds="http://schemas.openxmlformats.org/officeDocument/2006/customXml" ds:itemID="{1644DA91-9665-4856-AC97-127F8D2D3D6E}">
  <ds:schemaRef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6db8f3c6-01a1-4322-b043-a3b2a190f7a8"/>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672DE88-2248-48F7-A625-26487867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847820-0D98-4E7C-9D3A-588868F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23967</Words>
  <Characters>117472</Characters>
  <Application>Microsoft Office Word</Application>
  <DocSecurity>0</DocSecurity>
  <Lines>978</Lines>
  <Paragraphs>282</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141157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subject/>
  <dc:creator>showe</dc:creator>
  <cp:keywords/>
  <dc:description/>
  <cp:lastModifiedBy>Patrick Belton</cp:lastModifiedBy>
  <cp:revision>4</cp:revision>
  <cp:lastPrinted>2015-08-24T03:11:00Z</cp:lastPrinted>
  <dcterms:created xsi:type="dcterms:W3CDTF">2016-12-14T21:45:00Z</dcterms:created>
  <dcterms:modified xsi:type="dcterms:W3CDTF">2016-12-14T21:49:00Z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oFAAXzy6TWd89pgTCkOBvX4APqjmVQuOpAR2903i3LwIan+bh7TLCHLM7SHVvkjLLxI2M/BN99RI3QXy+cBuzKtJe1uc6I9nFN7cVNjcPCTLWmQICRMM8yZ4v7vDp65kAnFODNMVlYDk3kk/xcFu0OmgbtUX9LBTwN6ccp4En9EqwbOvxUz4+ypB4ePdV0IMMzVrzAiesoLtcky2996nwmq1BTw1BDBvFimaB+7vrOTET3/4A9GQggW50</vt:lpwstr>
  </property>
  <property fmtid="{D5CDD505-2E9C-101B-9397-08002B2CF9AE}" pid="3" name="RESPONSE_SENDER_NAME">
    <vt:lpwstr>sAAAE34RQVAK31k/J1MzZIF3w9rFG/n6WbOIo+NkNSP7esA=</vt:lpwstr>
  </property>
  <property fmtid="{D5CDD505-2E9C-101B-9397-08002B2CF9AE}" pid="4" name="EMAIL_OWNER_ADDRESS">
    <vt:lpwstr>ABAAJXrvhtoYpC6Avsn/wSOSV0DEHKT2vQPZBhTvS3PPYP6CXSFsOGuKv9gH8egcXTLV</vt:lpwstr>
  </property>
  <property fmtid="{D5CDD505-2E9C-101B-9397-08002B2CF9AE}" pid="5" name="MAIL_MSG_ID2">
    <vt:lpwstr>GGeydQdprmGoe/5AyZMFQ9RF3oJLczIbJpyqUhxIT0Ntg47lNZ8uT245+vjm0SrlSdIR+iBTbQ99nTodu2hmXaF7wTBoFRAQEZ9AhwMpSkW</vt:lpwstr>
  </property>
  <property fmtid="{D5CDD505-2E9C-101B-9397-08002B2CF9AE}" pid="6" name="ContentTypeId">
    <vt:lpwstr>0x010100BEDB249543DA164F83827B4AF73A2CE1</vt:lpwstr>
  </property>
  <property fmtid="{D5CDD505-2E9C-101B-9397-08002B2CF9AE}" pid="7" name="_dlc_DocIdItemGuid">
    <vt:lpwstr>749fc7a0-2940-44c5-a6fc-996f47e1ac26</vt:lpwstr>
  </property>
</Properties>
</file>