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5B8" w:rsidRDefault="000575B8" w:rsidP="000575B8">
      <w:pPr>
        <w:pStyle w:val="Default"/>
        <w:jc w:val="center"/>
        <w:rPr>
          <w:b/>
          <w:bCs/>
          <w:sz w:val="30"/>
          <w:szCs w:val="30"/>
        </w:rPr>
      </w:pPr>
      <w:r w:rsidRPr="00A1445D">
        <w:rPr>
          <w:b/>
          <w:bCs/>
          <w:sz w:val="30"/>
          <w:szCs w:val="30"/>
        </w:rPr>
        <w:t>EXPLANATORY STATEMENT</w:t>
      </w:r>
    </w:p>
    <w:p w:rsidR="000575B8" w:rsidRDefault="000575B8" w:rsidP="006A0CE0">
      <w:pPr>
        <w:pStyle w:val="Default"/>
        <w:jc w:val="center"/>
        <w:rPr>
          <w:b/>
          <w:bCs/>
          <w:caps/>
          <w:sz w:val="30"/>
          <w:szCs w:val="30"/>
        </w:rPr>
      </w:pPr>
    </w:p>
    <w:p w:rsidR="006A0CE0" w:rsidRPr="006A0CE0" w:rsidRDefault="006A0CE0" w:rsidP="006A0CE0">
      <w:pPr>
        <w:pStyle w:val="Default"/>
        <w:jc w:val="center"/>
        <w:rPr>
          <w:b/>
          <w:bCs/>
          <w:caps/>
          <w:sz w:val="30"/>
          <w:szCs w:val="30"/>
        </w:rPr>
      </w:pPr>
      <w:r w:rsidRPr="006A0CE0">
        <w:rPr>
          <w:b/>
          <w:bCs/>
          <w:caps/>
          <w:sz w:val="30"/>
          <w:szCs w:val="30"/>
        </w:rPr>
        <w:t xml:space="preserve">ASIC </w:t>
      </w:r>
      <w:r w:rsidR="009C5015">
        <w:rPr>
          <w:b/>
          <w:bCs/>
          <w:caps/>
          <w:sz w:val="30"/>
          <w:szCs w:val="30"/>
        </w:rPr>
        <w:t>SUPERANNUATION</w:t>
      </w:r>
      <w:r w:rsidR="009C5015" w:rsidRPr="006A0CE0">
        <w:rPr>
          <w:b/>
          <w:bCs/>
          <w:caps/>
          <w:sz w:val="30"/>
          <w:szCs w:val="30"/>
        </w:rPr>
        <w:t xml:space="preserve"> </w:t>
      </w:r>
      <w:r w:rsidRPr="009C5015">
        <w:rPr>
          <w:b/>
          <w:bCs/>
          <w:caps/>
          <w:sz w:val="30"/>
          <w:szCs w:val="30"/>
        </w:rPr>
        <w:t>(Amendment)</w:t>
      </w:r>
      <w:r w:rsidRPr="006A0CE0">
        <w:rPr>
          <w:b/>
          <w:bCs/>
          <w:caps/>
          <w:sz w:val="30"/>
          <w:szCs w:val="30"/>
        </w:rPr>
        <w:t xml:space="preserve"> Instrument 201</w:t>
      </w:r>
      <w:r w:rsidR="00927135">
        <w:rPr>
          <w:b/>
          <w:bCs/>
          <w:caps/>
          <w:sz w:val="30"/>
          <w:szCs w:val="30"/>
        </w:rPr>
        <w:t>6</w:t>
      </w:r>
      <w:r w:rsidR="00FA01EB">
        <w:rPr>
          <w:b/>
          <w:bCs/>
          <w:caps/>
          <w:sz w:val="30"/>
          <w:szCs w:val="30"/>
        </w:rPr>
        <w:t>/</w:t>
      </w:r>
      <w:r w:rsidR="009A5C97">
        <w:rPr>
          <w:b/>
          <w:bCs/>
          <w:caps/>
          <w:sz w:val="30"/>
          <w:szCs w:val="30"/>
        </w:rPr>
        <w:t>1232</w:t>
      </w:r>
    </w:p>
    <w:p w:rsidR="00F24504" w:rsidRPr="00A1445D" w:rsidRDefault="00F24504" w:rsidP="00F24504">
      <w:pPr>
        <w:pStyle w:val="Default"/>
        <w:rPr>
          <w:sz w:val="30"/>
          <w:szCs w:val="30"/>
        </w:rPr>
      </w:pPr>
    </w:p>
    <w:p w:rsidR="00F24504" w:rsidRPr="00A1445D" w:rsidRDefault="00F24504" w:rsidP="000575B8">
      <w:pPr>
        <w:pStyle w:val="Default"/>
        <w:jc w:val="center"/>
      </w:pPr>
      <w:r w:rsidRPr="00A1445D">
        <w:t>Prepared by the Australian Securities and Investments Commission</w:t>
      </w:r>
    </w:p>
    <w:p w:rsidR="00F24504" w:rsidRPr="00A1445D" w:rsidRDefault="00F24504" w:rsidP="000575B8">
      <w:pPr>
        <w:pStyle w:val="Default"/>
        <w:jc w:val="center"/>
      </w:pPr>
    </w:p>
    <w:p w:rsidR="00F24504" w:rsidRPr="00A1445D" w:rsidRDefault="00F24504" w:rsidP="000575B8">
      <w:pPr>
        <w:pStyle w:val="Default"/>
        <w:jc w:val="center"/>
        <w:rPr>
          <w:i/>
        </w:rPr>
      </w:pPr>
      <w:r w:rsidRPr="00A1445D">
        <w:rPr>
          <w:i/>
        </w:rPr>
        <w:t>Superannuation Industry (Supervision) Act 1993</w:t>
      </w:r>
    </w:p>
    <w:p w:rsidR="00F24504" w:rsidRPr="00A1445D" w:rsidRDefault="00F24504" w:rsidP="00F24504">
      <w:pPr>
        <w:pStyle w:val="Default"/>
        <w:rPr>
          <w:iCs/>
        </w:rPr>
      </w:pPr>
    </w:p>
    <w:p w:rsidR="00F24504" w:rsidRPr="00A1445D" w:rsidRDefault="00F24504" w:rsidP="00F24504">
      <w:pPr>
        <w:pStyle w:val="Default"/>
      </w:pPr>
      <w:r w:rsidRPr="00A1445D">
        <w:t>The Australian Securities and Investments Commission (</w:t>
      </w:r>
      <w:r w:rsidRPr="00A1445D">
        <w:rPr>
          <w:b/>
          <w:bCs/>
          <w:i/>
          <w:iCs/>
        </w:rPr>
        <w:t>ASIC</w:t>
      </w:r>
      <w:r w:rsidR="00CB25A5">
        <w:t>)</w:t>
      </w:r>
      <w:r w:rsidR="006A0CE0">
        <w:t xml:space="preserve"> </w:t>
      </w:r>
      <w:r w:rsidR="00CB25A5">
        <w:t xml:space="preserve">makes </w:t>
      </w:r>
      <w:r w:rsidR="006A0CE0" w:rsidRPr="009C5015">
        <w:rPr>
          <w:i/>
        </w:rPr>
        <w:t xml:space="preserve">ASIC </w:t>
      </w:r>
      <w:r w:rsidR="009C5015" w:rsidRPr="009C5015">
        <w:rPr>
          <w:i/>
        </w:rPr>
        <w:t xml:space="preserve">Superannuation </w:t>
      </w:r>
      <w:r w:rsidR="00FA01EB">
        <w:rPr>
          <w:i/>
        </w:rPr>
        <w:t>(Amendment</w:t>
      </w:r>
      <w:r w:rsidR="006A0CE0" w:rsidRPr="009C5015">
        <w:rPr>
          <w:i/>
        </w:rPr>
        <w:t>) Instrument 201</w:t>
      </w:r>
      <w:r w:rsidR="00927135">
        <w:rPr>
          <w:i/>
        </w:rPr>
        <w:t>6</w:t>
      </w:r>
      <w:r w:rsidR="00FA01EB">
        <w:rPr>
          <w:i/>
        </w:rPr>
        <w:t>/</w:t>
      </w:r>
      <w:r w:rsidR="005573D6">
        <w:rPr>
          <w:i/>
        </w:rPr>
        <w:t>1232</w:t>
      </w:r>
      <w:r w:rsidR="000575B8">
        <w:t xml:space="preserve"> (the </w:t>
      </w:r>
      <w:r w:rsidR="000575B8" w:rsidRPr="000575B8">
        <w:rPr>
          <w:b/>
          <w:i/>
        </w:rPr>
        <w:t>Instrument</w:t>
      </w:r>
      <w:r w:rsidR="000575B8">
        <w:t>)</w:t>
      </w:r>
      <w:r w:rsidRPr="00A1445D">
        <w:t xml:space="preserve"> under </w:t>
      </w:r>
      <w:r w:rsidR="00C053AB">
        <w:rPr>
          <w:bCs/>
        </w:rPr>
        <w:t>section</w:t>
      </w:r>
      <w:r w:rsidR="00C053AB" w:rsidRPr="00A1445D">
        <w:rPr>
          <w:bCs/>
        </w:rPr>
        <w:t xml:space="preserve"> </w:t>
      </w:r>
      <w:r w:rsidR="00CB25A5">
        <w:rPr>
          <w:bCs/>
        </w:rPr>
        <w:t>335</w:t>
      </w:r>
      <w:r w:rsidRPr="00A1445D">
        <w:rPr>
          <w:b/>
          <w:bCs/>
        </w:rPr>
        <w:t xml:space="preserve"> </w:t>
      </w:r>
      <w:r w:rsidRPr="00A1445D">
        <w:t xml:space="preserve">of the </w:t>
      </w:r>
      <w:r w:rsidRPr="00A1445D">
        <w:rPr>
          <w:bCs/>
          <w:i/>
          <w:iCs/>
        </w:rPr>
        <w:t xml:space="preserve">Superannuation Industry (Supervision) Act 1993 </w:t>
      </w:r>
      <w:r w:rsidRPr="00A1445D">
        <w:t xml:space="preserve">(the </w:t>
      </w:r>
      <w:r w:rsidR="000575B8" w:rsidRPr="000575B8">
        <w:rPr>
          <w:b/>
          <w:i/>
        </w:rPr>
        <w:t>SIS</w:t>
      </w:r>
      <w:r w:rsidR="000575B8">
        <w:t xml:space="preserve"> </w:t>
      </w:r>
      <w:r w:rsidRPr="00A1445D">
        <w:rPr>
          <w:b/>
          <w:bCs/>
          <w:i/>
          <w:iCs/>
        </w:rPr>
        <w:t>Act</w:t>
      </w:r>
      <w:r w:rsidRPr="00A1445D">
        <w:t xml:space="preserve">). </w:t>
      </w:r>
    </w:p>
    <w:p w:rsidR="000575B8" w:rsidRPr="005E4F6D" w:rsidRDefault="000575B8" w:rsidP="000575B8">
      <w:pPr>
        <w:spacing w:before="100" w:beforeAutospacing="1" w:after="100" w:afterAutospacing="1"/>
        <w:jc w:val="both"/>
        <w:rPr>
          <w:lang w:eastAsia="en-AU"/>
        </w:rPr>
      </w:pPr>
      <w:r w:rsidRPr="005E4F6D">
        <w:rPr>
          <w:lang w:eastAsia="en-AU"/>
        </w:rPr>
        <w:t xml:space="preserve">Subsection </w:t>
      </w:r>
      <w:r>
        <w:rPr>
          <w:lang w:eastAsia="en-AU"/>
        </w:rPr>
        <w:t>328</w:t>
      </w:r>
      <w:r w:rsidRPr="005E4F6D">
        <w:rPr>
          <w:lang w:eastAsia="en-AU"/>
        </w:rPr>
        <w:t>(1)</w:t>
      </w:r>
      <w:r w:rsidRPr="005E4F6D">
        <w:rPr>
          <w:b/>
          <w:bCs/>
          <w:lang w:eastAsia="en-AU"/>
        </w:rPr>
        <w:t xml:space="preserve"> </w:t>
      </w:r>
      <w:r w:rsidRPr="006C2760">
        <w:rPr>
          <w:bCs/>
          <w:lang w:eastAsia="en-AU"/>
        </w:rPr>
        <w:t>of the SIS Act</w:t>
      </w:r>
      <w:r>
        <w:rPr>
          <w:b/>
          <w:bCs/>
          <w:lang w:eastAsia="en-AU"/>
        </w:rPr>
        <w:t xml:space="preserve"> </w:t>
      </w:r>
      <w:r w:rsidRPr="005E4F6D">
        <w:rPr>
          <w:lang w:eastAsia="en-AU"/>
        </w:rPr>
        <w:t xml:space="preserve">provides that ASIC may, in writing, </w:t>
      </w:r>
      <w:r>
        <w:rPr>
          <w:lang w:eastAsia="en-AU"/>
        </w:rPr>
        <w:t>exempt from compliance with any or all of the</w:t>
      </w:r>
      <w:r w:rsidRPr="005E4F6D">
        <w:rPr>
          <w:lang w:eastAsia="en-AU"/>
        </w:rPr>
        <w:t xml:space="preserve"> modifiable provision</w:t>
      </w:r>
      <w:r>
        <w:rPr>
          <w:lang w:eastAsia="en-AU"/>
        </w:rPr>
        <w:t>s</w:t>
      </w:r>
      <w:r w:rsidRPr="005E4F6D">
        <w:rPr>
          <w:lang w:eastAsia="en-AU"/>
        </w:rPr>
        <w:t xml:space="preserve"> a particular person or a class of persons or a particular group of individual trustees or a class of groups of individual trustees. The modifiable provisions include a provision of Part 2B of the </w:t>
      </w:r>
      <w:r>
        <w:rPr>
          <w:lang w:eastAsia="en-AU"/>
        </w:rPr>
        <w:t xml:space="preserve">SIS </w:t>
      </w:r>
      <w:r w:rsidR="00181E53">
        <w:rPr>
          <w:lang w:eastAsia="en-AU"/>
        </w:rPr>
        <w:t>Act</w:t>
      </w:r>
      <w:r w:rsidRPr="005E4F6D">
        <w:rPr>
          <w:lang w:eastAsia="en-AU"/>
        </w:rPr>
        <w:t>.</w:t>
      </w:r>
      <w:r>
        <w:rPr>
          <w:lang w:eastAsia="en-AU"/>
        </w:rPr>
        <w:t xml:space="preserve"> By section 335, ASIC </w:t>
      </w:r>
      <w:r w:rsidRPr="00C93E53">
        <w:rPr>
          <w:lang w:eastAsia="en-AU"/>
        </w:rPr>
        <w:t xml:space="preserve">may, in writing, vary or revoke </w:t>
      </w:r>
      <w:r>
        <w:rPr>
          <w:lang w:eastAsia="en-AU"/>
        </w:rPr>
        <w:t>an exemption</w:t>
      </w:r>
      <w:r w:rsidRPr="00C93E53">
        <w:rPr>
          <w:lang w:eastAsia="en-AU"/>
        </w:rPr>
        <w:t xml:space="preserve"> under </w:t>
      </w:r>
      <w:r>
        <w:rPr>
          <w:lang w:eastAsia="en-AU"/>
        </w:rPr>
        <w:t>subsection 328(1)</w:t>
      </w:r>
      <w:r w:rsidRPr="00C93E53">
        <w:rPr>
          <w:lang w:eastAsia="en-AU"/>
        </w:rPr>
        <w:t>.</w:t>
      </w:r>
    </w:p>
    <w:p w:rsidR="00F24504" w:rsidRPr="00A1445D" w:rsidRDefault="00F24504" w:rsidP="00F24504">
      <w:pPr>
        <w:pStyle w:val="Default"/>
        <w:numPr>
          <w:ilvl w:val="0"/>
          <w:numId w:val="2"/>
        </w:numPr>
        <w:rPr>
          <w:b/>
          <w:bCs/>
        </w:rPr>
      </w:pPr>
      <w:r w:rsidRPr="00A1445D">
        <w:rPr>
          <w:b/>
          <w:bCs/>
        </w:rPr>
        <w:t xml:space="preserve">Background </w:t>
      </w:r>
    </w:p>
    <w:p w:rsidR="00F24504" w:rsidRPr="00A1445D" w:rsidRDefault="00F24504" w:rsidP="00F24504">
      <w:pPr>
        <w:pStyle w:val="Default"/>
      </w:pPr>
    </w:p>
    <w:p w:rsidR="001A5FB3" w:rsidRDefault="001A5FB3" w:rsidP="00F24504">
      <w:pPr>
        <w:pStyle w:val="Default"/>
      </w:pPr>
      <w:r w:rsidRPr="005E4F6D">
        <w:t>To promote systemic transparency</w:t>
      </w:r>
      <w:r>
        <w:t xml:space="preserve">, </w:t>
      </w:r>
      <w:r w:rsidR="0068246E">
        <w:t>s</w:t>
      </w:r>
      <w:r w:rsidR="000B3E31">
        <w:t>ubs</w:t>
      </w:r>
      <w:r w:rsidR="0068246E">
        <w:t xml:space="preserve">ection </w:t>
      </w:r>
      <w:proofErr w:type="gramStart"/>
      <w:r w:rsidR="0068246E">
        <w:t>29QC</w:t>
      </w:r>
      <w:r w:rsidR="000B3E31">
        <w:t>(</w:t>
      </w:r>
      <w:proofErr w:type="gramEnd"/>
      <w:r w:rsidR="000B3E31">
        <w:t>1)</w:t>
      </w:r>
      <w:r w:rsidR="0068246E">
        <w:t xml:space="preserve"> of </w:t>
      </w:r>
      <w:r w:rsidR="00EB7A6B">
        <w:t xml:space="preserve">the </w:t>
      </w:r>
      <w:r>
        <w:t xml:space="preserve">SIS </w:t>
      </w:r>
      <w:r w:rsidR="00EB7A6B">
        <w:t>Act</w:t>
      </w:r>
      <w:r>
        <w:t xml:space="preserve"> requires </w:t>
      </w:r>
      <w:r w:rsidR="0068246E">
        <w:t>a R</w:t>
      </w:r>
      <w:r w:rsidR="00B564F0">
        <w:t xml:space="preserve">egistrable </w:t>
      </w:r>
      <w:r w:rsidR="0068246E">
        <w:t>S</w:t>
      </w:r>
      <w:r w:rsidR="00B564F0">
        <w:t xml:space="preserve">uperannuation </w:t>
      </w:r>
      <w:r w:rsidR="0068246E">
        <w:t>E</w:t>
      </w:r>
      <w:r w:rsidR="00B564F0">
        <w:t>ntity (</w:t>
      </w:r>
      <w:r w:rsidR="00B564F0" w:rsidRPr="00B564F0">
        <w:rPr>
          <w:b/>
          <w:i/>
        </w:rPr>
        <w:t>RSE</w:t>
      </w:r>
      <w:r w:rsidR="00B564F0">
        <w:t>)</w:t>
      </w:r>
      <w:r w:rsidR="0068246E">
        <w:t xml:space="preserve"> licensee</w:t>
      </w:r>
      <w:r>
        <w:t xml:space="preserve"> </w:t>
      </w:r>
      <w:r w:rsidR="00D20FAB">
        <w:t xml:space="preserve">to </w:t>
      </w:r>
      <w:r w:rsidR="002271F3">
        <w:t xml:space="preserve">ensure that, where it is required to give information to APRA under a reporting standard that requires the information to be calculated in a particular way, </w:t>
      </w:r>
      <w:r w:rsidR="000B3E31">
        <w:t xml:space="preserve">and </w:t>
      </w:r>
      <w:r w:rsidR="002271F3">
        <w:t xml:space="preserve">where </w:t>
      </w:r>
      <w:r>
        <w:t xml:space="preserve">the </w:t>
      </w:r>
      <w:r w:rsidR="002271F3">
        <w:t xml:space="preserve">same or equivalent </w:t>
      </w:r>
      <w:r>
        <w:t xml:space="preserve">information </w:t>
      </w:r>
      <w:r w:rsidR="002271F3">
        <w:t xml:space="preserve">is </w:t>
      </w:r>
      <w:r>
        <w:t xml:space="preserve">given to </w:t>
      </w:r>
      <w:r w:rsidR="002271F3">
        <w:t xml:space="preserve">other </w:t>
      </w:r>
      <w:r>
        <w:t>persons</w:t>
      </w:r>
      <w:r w:rsidR="000B3E31">
        <w:t>, th</w:t>
      </w:r>
      <w:bookmarkStart w:id="0" w:name="_GoBack"/>
      <w:bookmarkEnd w:id="0"/>
      <w:r w:rsidR="000B3E31">
        <w:t xml:space="preserve">e information given to the other person </w:t>
      </w:r>
      <w:r>
        <w:t>is calculated in the same way as the information given to APRA.</w:t>
      </w:r>
    </w:p>
    <w:p w:rsidR="001A5FB3" w:rsidRDefault="001A5FB3" w:rsidP="00F24504">
      <w:pPr>
        <w:pStyle w:val="Default"/>
      </w:pPr>
    </w:p>
    <w:p w:rsidR="0091662D" w:rsidRDefault="000B3E31" w:rsidP="00F24504">
      <w:pPr>
        <w:pStyle w:val="Default"/>
      </w:pPr>
      <w:r>
        <w:t>The requirement</w:t>
      </w:r>
      <w:r w:rsidR="0091662D">
        <w:t xml:space="preserve"> </w:t>
      </w:r>
      <w:r>
        <w:t xml:space="preserve">under </w:t>
      </w:r>
      <w:r w:rsidR="0091662D">
        <w:t xml:space="preserve">subsection </w:t>
      </w:r>
      <w:proofErr w:type="gramStart"/>
      <w:r w:rsidR="0091662D">
        <w:t>29QC(</w:t>
      </w:r>
      <w:proofErr w:type="gramEnd"/>
      <w:r w:rsidR="0091662D">
        <w:t xml:space="preserve">1) for RSE licensees </w:t>
      </w:r>
      <w:r>
        <w:t>to provide consistent information</w:t>
      </w:r>
      <w:r w:rsidR="0091662D">
        <w:t xml:space="preserve"> </w:t>
      </w:r>
      <w:r w:rsidR="0091662D" w:rsidRPr="005E4F6D">
        <w:t>commence</w:t>
      </w:r>
      <w:r w:rsidR="0091662D">
        <w:t>d</w:t>
      </w:r>
      <w:r w:rsidR="0091662D" w:rsidRPr="005E4F6D">
        <w:t xml:space="preserve"> on 1 July 2013</w:t>
      </w:r>
      <w:r w:rsidR="0091662D">
        <w:t>. However,</w:t>
      </w:r>
      <w:r w:rsidR="0091662D" w:rsidRPr="0091662D">
        <w:t xml:space="preserve"> </w:t>
      </w:r>
      <w:r w:rsidR="0091662D">
        <w:t>ASIC Class Order</w:t>
      </w:r>
      <w:r w:rsidR="0091662D" w:rsidRPr="005E4F6D">
        <w:t xml:space="preserve"> [CO 14/</w:t>
      </w:r>
      <w:r w:rsidR="0091662D">
        <w:t>541] exempt</w:t>
      </w:r>
      <w:r w:rsidR="00EC090B">
        <w:t>ed</w:t>
      </w:r>
      <w:r w:rsidR="0091662D">
        <w:t xml:space="preserve"> RSE licensees from compliance with the requirement in subsection </w:t>
      </w:r>
      <w:proofErr w:type="gramStart"/>
      <w:r w:rsidR="0091662D">
        <w:t>29QC(</w:t>
      </w:r>
      <w:proofErr w:type="gramEnd"/>
      <w:r w:rsidR="0091662D">
        <w:t>1) until 1 July 2015.</w:t>
      </w:r>
    </w:p>
    <w:p w:rsidR="0091662D" w:rsidRDefault="0091662D" w:rsidP="00F24504">
      <w:pPr>
        <w:pStyle w:val="Default"/>
      </w:pPr>
    </w:p>
    <w:p w:rsidR="002271F3" w:rsidRDefault="00181E53">
      <w:pPr>
        <w:pStyle w:val="Default"/>
      </w:pPr>
      <w:r>
        <w:t>The exemption in [CO 14/541] was granted as ASIC considered that further time was required to consult with industry on the application of s</w:t>
      </w:r>
      <w:r w:rsidR="00674EEE">
        <w:t>ubs</w:t>
      </w:r>
      <w:r>
        <w:t>ection 29QC</w:t>
      </w:r>
      <w:r w:rsidR="00674EEE">
        <w:t>(1)</w:t>
      </w:r>
      <w:r w:rsidRPr="00181E53" w:rsidDel="002271F3">
        <w:t xml:space="preserve"> </w:t>
      </w:r>
      <w:r w:rsidR="00EB7A6B">
        <w:t>to ensure that disclosure requirements appropriately align</w:t>
      </w:r>
      <w:r w:rsidR="00CB25A5">
        <w:t>ed</w:t>
      </w:r>
      <w:r w:rsidR="00EB7A6B">
        <w:t xml:space="preserve"> with APRA's reporting </w:t>
      </w:r>
      <w:r>
        <w:t>standards</w:t>
      </w:r>
      <w:r w:rsidR="00EB7A6B">
        <w:t>.</w:t>
      </w:r>
      <w:r w:rsidR="00CB25A5">
        <w:t xml:space="preserve"> </w:t>
      </w:r>
    </w:p>
    <w:p w:rsidR="002271F3" w:rsidRDefault="002271F3" w:rsidP="00F24504">
      <w:pPr>
        <w:pStyle w:val="Default"/>
      </w:pPr>
    </w:p>
    <w:p w:rsidR="00CE545E" w:rsidRDefault="00CE545E" w:rsidP="00CE545E">
      <w:pPr>
        <w:pStyle w:val="Default"/>
      </w:pPr>
      <w:r>
        <w:t>I</w:t>
      </w:r>
      <w:r w:rsidRPr="00321D6A">
        <w:t>n December 2014</w:t>
      </w:r>
      <w:r>
        <w:t xml:space="preserve">, ASIC released </w:t>
      </w:r>
      <w:r w:rsidRPr="00321D6A">
        <w:t xml:space="preserve">Consultation Paper 227 </w:t>
      </w:r>
      <w:r w:rsidRPr="00321D6A">
        <w:rPr>
          <w:i/>
          <w:iCs/>
        </w:rPr>
        <w:t xml:space="preserve">Disclosure and reporting requirements for superannuation trustees: s29QC </w:t>
      </w:r>
      <w:r w:rsidRPr="00321D6A">
        <w:t>(</w:t>
      </w:r>
      <w:r w:rsidRPr="00321D6A">
        <w:rPr>
          <w:b/>
          <w:bCs/>
        </w:rPr>
        <w:t>CP 227</w:t>
      </w:r>
      <w:r w:rsidRPr="00321D6A">
        <w:t>).  In CP 227</w:t>
      </w:r>
      <w:r>
        <w:t>,</w:t>
      </w:r>
      <w:r w:rsidRPr="00321D6A">
        <w:t xml:space="preserve"> </w:t>
      </w:r>
      <w:r>
        <w:t>ASIC</w:t>
      </w:r>
      <w:r w:rsidRPr="00321D6A">
        <w:t xml:space="preserve"> sought feedback on options proposed for dealing with the uncertainty about how to achieve consistency between the disclosure requirements </w:t>
      </w:r>
      <w:r>
        <w:t>under subsection 29QC(1)</w:t>
      </w:r>
      <w:r w:rsidRPr="00321D6A">
        <w:t xml:space="preserve"> and the data that is required to be reported under APRA's reporting standards. CP 227 raised issues around the treatment of investment objectives</w:t>
      </w:r>
      <w:r>
        <w:t xml:space="preserve">, </w:t>
      </w:r>
      <w:r w:rsidRPr="00321D6A">
        <w:t>return targets</w:t>
      </w:r>
      <w:r>
        <w:t xml:space="preserve"> and</w:t>
      </w:r>
      <w:r w:rsidRPr="00321D6A">
        <w:t xml:space="preserve"> the treatment of asset allocation information.</w:t>
      </w:r>
      <w:r>
        <w:t xml:space="preserve"> Industry were generally supportive of</w:t>
      </w:r>
      <w:r w:rsidRPr="00321D6A">
        <w:t xml:space="preserve"> applying s</w:t>
      </w:r>
      <w:r>
        <w:t xml:space="preserve">ection </w:t>
      </w:r>
      <w:r w:rsidRPr="00321D6A">
        <w:t>29QC to performance information, although there was some debate about how performance should be measured in terms of net returns and net investment returns.</w:t>
      </w:r>
    </w:p>
    <w:p w:rsidR="00CE545E" w:rsidRDefault="00CE545E" w:rsidP="00CE545E">
      <w:pPr>
        <w:pStyle w:val="Default"/>
      </w:pPr>
    </w:p>
    <w:p w:rsidR="00B61640" w:rsidRDefault="00CE545E" w:rsidP="00CE545E">
      <w:pPr>
        <w:pStyle w:val="Default"/>
      </w:pPr>
      <w:r>
        <w:lastRenderedPageBreak/>
        <w:t>Further, on 28 April 2015</w:t>
      </w:r>
      <w:r w:rsidR="00414718">
        <w:t>,</w:t>
      </w:r>
      <w:r>
        <w:t xml:space="preserve"> APRA released </w:t>
      </w:r>
      <w:r w:rsidRPr="00321D6A">
        <w:t>amended superannuation reporting stan</w:t>
      </w:r>
      <w:r>
        <w:t xml:space="preserve">dards for </w:t>
      </w:r>
      <w:r w:rsidRPr="003402DF">
        <w:t>industry consultat</w:t>
      </w:r>
      <w:r>
        <w:t>ion and ASIC, through ASIC Superannuation (Amendment) Instrument 2015/396 extended the exemption from the requirements of s29QC(1) until 1 January 2016 to allow provide industry further time to consider and respond to APRA's revised reporting standards.</w:t>
      </w:r>
    </w:p>
    <w:p w:rsidR="007E2797" w:rsidRDefault="007E2797" w:rsidP="00CE545E">
      <w:pPr>
        <w:pStyle w:val="Default"/>
      </w:pPr>
    </w:p>
    <w:p w:rsidR="007E2797" w:rsidRDefault="007E2797" w:rsidP="00CE545E">
      <w:pPr>
        <w:pStyle w:val="Default"/>
      </w:pPr>
      <w:r>
        <w:t xml:space="preserve">In conjunction with this work, on 29 November 2016, ASIC extended </w:t>
      </w:r>
      <w:r w:rsidRPr="007E2797">
        <w:t>the transition period</w:t>
      </w:r>
      <w:r>
        <w:t xml:space="preserve"> to 30 September 2017</w:t>
      </w:r>
      <w:r w:rsidRPr="007E2797">
        <w:t xml:space="preserve"> for trustees of superannuation funds and responsible entities of managed funds and other managed investment schemes to comply with updated fee and cost disclosure requirements in relation to product disclosure statements.</w:t>
      </w:r>
    </w:p>
    <w:p w:rsidR="00CE545E" w:rsidRDefault="00CE545E" w:rsidP="00CE545E">
      <w:pPr>
        <w:pStyle w:val="Default"/>
      </w:pPr>
    </w:p>
    <w:p w:rsidR="00CE545E" w:rsidRDefault="006B45CD" w:rsidP="00CE545E">
      <w:pPr>
        <w:pStyle w:val="Default"/>
      </w:pPr>
      <w:r>
        <w:t xml:space="preserve">Further, </w:t>
      </w:r>
      <w:r w:rsidR="00FB5F23">
        <w:t xml:space="preserve">following a public consultation in December 2015 to January 2016, </w:t>
      </w:r>
      <w:r>
        <w:t xml:space="preserve">new requirements for Choice product dashboards </w:t>
      </w:r>
      <w:r w:rsidR="00FB5F23">
        <w:t>w</w:t>
      </w:r>
      <w:r w:rsidR="00A60075">
        <w:t>ere</w:t>
      </w:r>
      <w:r>
        <w:t xml:space="preserve"> set out by the Government in the Superannuation Legislation Amendment (T</w:t>
      </w:r>
      <w:r w:rsidR="00D523D4">
        <w:t xml:space="preserve">ransparency Measures) Bill 2016.  </w:t>
      </w:r>
      <w:r>
        <w:t xml:space="preserve">This Bill, which was pending in Parliament, lapsed when Parliament was prorogued in April 2016. </w:t>
      </w:r>
    </w:p>
    <w:p w:rsidR="00D523D4" w:rsidRDefault="00D523D4" w:rsidP="00CE545E">
      <w:pPr>
        <w:pStyle w:val="Default"/>
      </w:pPr>
    </w:p>
    <w:p w:rsidR="00D523D4" w:rsidRDefault="00D523D4" w:rsidP="00CE545E">
      <w:pPr>
        <w:pStyle w:val="Default"/>
      </w:pPr>
      <w:r>
        <w:t xml:space="preserve">Consequently, </w:t>
      </w:r>
      <w:r w:rsidR="00CA74D2">
        <w:t xml:space="preserve">at this point in time, </w:t>
      </w:r>
      <w:r>
        <w:t>ASIC considers that a further delay until 1 January 2019 will provide time for the</w:t>
      </w:r>
      <w:r w:rsidR="00FA539B">
        <w:t xml:space="preserve"> Choice product </w:t>
      </w:r>
      <w:r>
        <w:t>dashboard requirements to be settled, which may be beneficial in settling the policy position for the application of s29QC.</w:t>
      </w:r>
    </w:p>
    <w:p w:rsidR="00CE545E" w:rsidRDefault="00CE545E" w:rsidP="00CE545E">
      <w:pPr>
        <w:pStyle w:val="Default"/>
      </w:pPr>
    </w:p>
    <w:p w:rsidR="00F24504" w:rsidRPr="00A1445D" w:rsidRDefault="00F24504" w:rsidP="00F24504">
      <w:pPr>
        <w:pStyle w:val="Default"/>
        <w:numPr>
          <w:ilvl w:val="0"/>
          <w:numId w:val="2"/>
        </w:numPr>
        <w:rPr>
          <w:b/>
          <w:bCs/>
        </w:rPr>
      </w:pPr>
      <w:r w:rsidRPr="00A1445D">
        <w:rPr>
          <w:b/>
          <w:bCs/>
        </w:rPr>
        <w:t xml:space="preserve">Purpose of the </w:t>
      </w:r>
      <w:r w:rsidR="004A100D">
        <w:rPr>
          <w:b/>
          <w:bCs/>
        </w:rPr>
        <w:t>Instrument</w:t>
      </w:r>
      <w:r w:rsidRPr="00A1445D">
        <w:rPr>
          <w:b/>
          <w:bCs/>
        </w:rPr>
        <w:t xml:space="preserve"> </w:t>
      </w:r>
    </w:p>
    <w:p w:rsidR="00F24504" w:rsidRPr="00A1445D" w:rsidRDefault="00F24504" w:rsidP="00F24504">
      <w:pPr>
        <w:pStyle w:val="Default"/>
      </w:pPr>
    </w:p>
    <w:p w:rsidR="00F3263E" w:rsidRPr="00401D5F" w:rsidRDefault="00F24504" w:rsidP="00F24504">
      <w:pPr>
        <w:pStyle w:val="Default"/>
      </w:pPr>
      <w:r w:rsidRPr="00401D5F">
        <w:t xml:space="preserve">The purpose of the </w:t>
      </w:r>
      <w:r w:rsidR="004A100D" w:rsidRPr="00401D5F">
        <w:t>Instrument</w:t>
      </w:r>
      <w:r w:rsidRPr="00401D5F">
        <w:t xml:space="preserve"> is to</w:t>
      </w:r>
      <w:r w:rsidR="00637B25">
        <w:t xml:space="preserve"> further</w:t>
      </w:r>
      <w:r w:rsidR="004A100D" w:rsidRPr="00401D5F">
        <w:t xml:space="preserve"> </w:t>
      </w:r>
      <w:r w:rsidR="00F3263E" w:rsidRPr="00401D5F">
        <w:t>extend the exemption for RSE licensees in [CO 14/541] from</w:t>
      </w:r>
      <w:r w:rsidR="004A100D" w:rsidRPr="00401D5F">
        <w:t xml:space="preserve"> the disclosure requirement </w:t>
      </w:r>
      <w:r w:rsidR="00F3263E" w:rsidRPr="00401D5F">
        <w:t>in</w:t>
      </w:r>
      <w:r w:rsidR="004A100D" w:rsidRPr="00401D5F">
        <w:t xml:space="preserve"> </w:t>
      </w:r>
      <w:r w:rsidR="00F3263E" w:rsidRPr="00401D5F">
        <w:t>sub</w:t>
      </w:r>
      <w:r w:rsidR="004A100D" w:rsidRPr="00401D5F">
        <w:t xml:space="preserve">section </w:t>
      </w:r>
      <w:proofErr w:type="gramStart"/>
      <w:r w:rsidR="004A100D" w:rsidRPr="00401D5F">
        <w:t>29QC</w:t>
      </w:r>
      <w:r w:rsidR="00F3263E" w:rsidRPr="00401D5F">
        <w:t>(</w:t>
      </w:r>
      <w:proofErr w:type="gramEnd"/>
      <w:r w:rsidR="00645179" w:rsidRPr="00401D5F">
        <w:t>1</w:t>
      </w:r>
      <w:r w:rsidR="00F3263E" w:rsidRPr="00401D5F">
        <w:t>)</w:t>
      </w:r>
      <w:r w:rsidR="004A100D" w:rsidRPr="00401D5F">
        <w:t xml:space="preserve"> of the SIS Act</w:t>
      </w:r>
      <w:r w:rsidR="00A476F6">
        <w:t xml:space="preserve"> until 1 </w:t>
      </w:r>
      <w:r w:rsidR="00927135">
        <w:t>January 2019</w:t>
      </w:r>
      <w:r w:rsidR="004A100D" w:rsidRPr="00401D5F">
        <w:t xml:space="preserve">.  </w:t>
      </w:r>
    </w:p>
    <w:p w:rsidR="00F3263E" w:rsidRDefault="00F3263E" w:rsidP="00F24504">
      <w:pPr>
        <w:pStyle w:val="Default"/>
      </w:pPr>
    </w:p>
    <w:p w:rsidR="00F9071D" w:rsidRDefault="00A476F6" w:rsidP="00F24504">
      <w:pPr>
        <w:pStyle w:val="Default"/>
      </w:pPr>
      <w:r>
        <w:t xml:space="preserve">This will </w:t>
      </w:r>
      <w:r w:rsidR="00F9071D">
        <w:t>defer</w:t>
      </w:r>
      <w:r>
        <w:t xml:space="preserve"> the commencement of the subsection 29QC(1) disclosure obligations </w:t>
      </w:r>
      <w:r w:rsidR="00637B25">
        <w:t xml:space="preserve">to a time ASIC currently </w:t>
      </w:r>
      <w:r w:rsidR="00842A4D">
        <w:t>anticipate</w:t>
      </w:r>
      <w:r w:rsidR="00637B25">
        <w:t>s</w:t>
      </w:r>
      <w:r w:rsidR="00842A4D">
        <w:t xml:space="preserve"> </w:t>
      </w:r>
      <w:r w:rsidR="00F9071D">
        <w:t>will allow for the requirements for the Choice product dashboards to be developed and settled, as well as for industry to properly consider any new requirements to be introduced in this area.</w:t>
      </w:r>
    </w:p>
    <w:p w:rsidR="00F9071D" w:rsidRDefault="00F9071D" w:rsidP="00F24504">
      <w:pPr>
        <w:pStyle w:val="Default"/>
      </w:pPr>
    </w:p>
    <w:p w:rsidR="00F24504" w:rsidRPr="00401D5F" w:rsidRDefault="00F24504" w:rsidP="00F24504">
      <w:pPr>
        <w:pStyle w:val="Default"/>
        <w:numPr>
          <w:ilvl w:val="0"/>
          <w:numId w:val="2"/>
        </w:numPr>
        <w:rPr>
          <w:b/>
          <w:bCs/>
        </w:rPr>
      </w:pPr>
      <w:r w:rsidRPr="00401D5F">
        <w:rPr>
          <w:b/>
          <w:bCs/>
        </w:rPr>
        <w:t xml:space="preserve">Operation of the </w:t>
      </w:r>
      <w:r w:rsidR="004A100D" w:rsidRPr="00401D5F">
        <w:rPr>
          <w:b/>
          <w:bCs/>
        </w:rPr>
        <w:t>Instrument</w:t>
      </w:r>
      <w:r w:rsidRPr="00401D5F">
        <w:rPr>
          <w:b/>
          <w:bCs/>
        </w:rPr>
        <w:t xml:space="preserve"> </w:t>
      </w:r>
    </w:p>
    <w:p w:rsidR="00F24504" w:rsidRPr="00401D5F" w:rsidRDefault="00F24504" w:rsidP="00F24504">
      <w:pPr>
        <w:pStyle w:val="Default"/>
      </w:pPr>
    </w:p>
    <w:p w:rsidR="00790AAB" w:rsidRDefault="00F24504" w:rsidP="00790AAB">
      <w:pPr>
        <w:pStyle w:val="Default"/>
      </w:pPr>
      <w:r w:rsidRPr="00401D5F">
        <w:t xml:space="preserve">The </w:t>
      </w:r>
      <w:r w:rsidR="00EB45D7" w:rsidRPr="00401D5F">
        <w:t>Instrument amends [CO 14/541</w:t>
      </w:r>
      <w:r w:rsidR="00637B25">
        <w:t>]</w:t>
      </w:r>
      <w:r w:rsidR="00EC090B">
        <w:t xml:space="preserve"> </w:t>
      </w:r>
      <w:r w:rsidR="007A6F3F" w:rsidRPr="00401D5F">
        <w:t xml:space="preserve">so that the </w:t>
      </w:r>
      <w:r w:rsidRPr="00401D5F">
        <w:t>exempti</w:t>
      </w:r>
      <w:r w:rsidR="007A6F3F" w:rsidRPr="00401D5F">
        <w:t>on for</w:t>
      </w:r>
      <w:r w:rsidRPr="00401D5F">
        <w:t xml:space="preserve"> RSE licensees from th</w:t>
      </w:r>
      <w:r w:rsidR="00790AAB" w:rsidRPr="00401D5F">
        <w:t xml:space="preserve">e requirement in subsection </w:t>
      </w:r>
      <w:proofErr w:type="gramStart"/>
      <w:r w:rsidR="00790AAB" w:rsidRPr="00401D5F">
        <w:t>29QC</w:t>
      </w:r>
      <w:r w:rsidRPr="00401D5F">
        <w:t>(</w:t>
      </w:r>
      <w:proofErr w:type="gramEnd"/>
      <w:r w:rsidRPr="00401D5F">
        <w:t xml:space="preserve">1) of the </w:t>
      </w:r>
      <w:r w:rsidR="007A6F3F" w:rsidRPr="00401D5F">
        <w:t xml:space="preserve">SIS </w:t>
      </w:r>
      <w:r w:rsidRPr="00401D5F">
        <w:t xml:space="preserve">Act </w:t>
      </w:r>
      <w:r w:rsidR="007A6F3F" w:rsidRPr="00401D5F">
        <w:t xml:space="preserve">continues until 1 </w:t>
      </w:r>
      <w:r w:rsidR="00842A4D">
        <w:t>January</w:t>
      </w:r>
      <w:r w:rsidR="00CF2643">
        <w:t xml:space="preserve"> 201</w:t>
      </w:r>
      <w:r w:rsidR="00842A4D">
        <w:t>9</w:t>
      </w:r>
      <w:r w:rsidR="007A6F3F">
        <w:t>.</w:t>
      </w:r>
    </w:p>
    <w:p w:rsidR="00114928" w:rsidRDefault="00114928" w:rsidP="00790AAB">
      <w:pPr>
        <w:pStyle w:val="Default"/>
      </w:pPr>
    </w:p>
    <w:p w:rsidR="00F24504" w:rsidRPr="00A1445D" w:rsidRDefault="00F24504" w:rsidP="00F24504">
      <w:pPr>
        <w:pStyle w:val="Default"/>
        <w:numPr>
          <w:ilvl w:val="0"/>
          <w:numId w:val="2"/>
        </w:numPr>
        <w:rPr>
          <w:b/>
          <w:bCs/>
        </w:rPr>
      </w:pPr>
      <w:r w:rsidRPr="00A1445D">
        <w:rPr>
          <w:b/>
          <w:bCs/>
        </w:rPr>
        <w:t xml:space="preserve">Consultation </w:t>
      </w:r>
    </w:p>
    <w:p w:rsidR="00F24504" w:rsidRPr="00A1445D" w:rsidRDefault="00F24504" w:rsidP="00F24504">
      <w:pPr>
        <w:pStyle w:val="Default"/>
      </w:pPr>
    </w:p>
    <w:p w:rsidR="00853A9B" w:rsidRPr="00853A9B" w:rsidRDefault="00305D26" w:rsidP="00F24504">
      <w:pPr>
        <w:pStyle w:val="Default"/>
      </w:pPr>
      <w:r w:rsidRPr="00853A9B">
        <w:t xml:space="preserve">ASIC has </w:t>
      </w:r>
      <w:r w:rsidR="00853A9B" w:rsidRPr="00853A9B">
        <w:t xml:space="preserve">previously </w:t>
      </w:r>
      <w:r w:rsidRPr="00853A9B">
        <w:t>engaged extensively with industry by</w:t>
      </w:r>
      <w:r w:rsidR="002A3CB7">
        <w:t xml:space="preserve"> way of roundtables and CP 227, and </w:t>
      </w:r>
      <w:r w:rsidR="00842A4D">
        <w:t>has sought</w:t>
      </w:r>
      <w:r w:rsidR="00853A9B" w:rsidRPr="00853A9B">
        <w:t xml:space="preserve"> feedback in respect of </w:t>
      </w:r>
      <w:r w:rsidR="005A04D5">
        <w:t xml:space="preserve">two versions of </w:t>
      </w:r>
      <w:r w:rsidR="00853A9B" w:rsidRPr="00853A9B">
        <w:t xml:space="preserve">a draft instrument to </w:t>
      </w:r>
      <w:r w:rsidR="002C6D77">
        <w:t>modify the application of s29QC (most recently in October</w:t>
      </w:r>
      <w:r w:rsidR="00637B25">
        <w:t>–November</w:t>
      </w:r>
      <w:r w:rsidR="002C6D77">
        <w:t xml:space="preserve"> 2016).</w:t>
      </w:r>
    </w:p>
    <w:p w:rsidR="00853A9B" w:rsidRPr="00853A9B" w:rsidRDefault="00853A9B" w:rsidP="00F24504">
      <w:pPr>
        <w:pStyle w:val="Default"/>
      </w:pPr>
    </w:p>
    <w:p w:rsidR="002C6D77" w:rsidRDefault="00305D26" w:rsidP="00F24504">
      <w:pPr>
        <w:pStyle w:val="Default"/>
      </w:pPr>
      <w:r w:rsidRPr="00853A9B">
        <w:t>Th</w:t>
      </w:r>
      <w:r w:rsidR="00EC090B">
        <w:t xml:space="preserve">e s29QC consultation process </w:t>
      </w:r>
      <w:r w:rsidRPr="00853A9B">
        <w:t>ha</w:t>
      </w:r>
      <w:r w:rsidR="00EF26D2">
        <w:t>s</w:t>
      </w:r>
      <w:r w:rsidRPr="00853A9B">
        <w:t xml:space="preserve"> highlighted that industry participants remain concerned with their ability to meet the requirements of section 29QC in light of the ongoing uncertainty </w:t>
      </w:r>
      <w:r w:rsidR="009A3DAE" w:rsidRPr="00853A9B">
        <w:t>concerning</w:t>
      </w:r>
      <w:r w:rsidRPr="00853A9B">
        <w:t xml:space="preserve"> its operation.</w:t>
      </w:r>
      <w:r w:rsidR="00712117" w:rsidRPr="00853A9B">
        <w:t xml:space="preserve"> </w:t>
      </w:r>
      <w:r w:rsidR="002C6D77">
        <w:t xml:space="preserve">Industry will benefit from </w:t>
      </w:r>
      <w:r w:rsidR="00F2241B">
        <w:t>any</w:t>
      </w:r>
      <w:r w:rsidR="002C6D77">
        <w:t xml:space="preserve"> synergies that arise out of </w:t>
      </w:r>
      <w:r w:rsidR="002C6D77" w:rsidRPr="00853A9B">
        <w:t>aligning</w:t>
      </w:r>
      <w:r w:rsidR="002C6D77">
        <w:t xml:space="preserve"> s29QC with the requirements for both the MySuper and Choice product dashboards.</w:t>
      </w:r>
    </w:p>
    <w:p w:rsidR="002C6D77" w:rsidRDefault="002C6D77" w:rsidP="00F24504">
      <w:pPr>
        <w:pStyle w:val="Default"/>
      </w:pPr>
    </w:p>
    <w:p w:rsidR="00FF15F4" w:rsidRDefault="00FF15F4" w:rsidP="00F24504">
      <w:pPr>
        <w:pStyle w:val="Default"/>
      </w:pPr>
    </w:p>
    <w:p w:rsidR="00F0110F" w:rsidRDefault="00F0110F" w:rsidP="00F24504">
      <w:pPr>
        <w:pStyle w:val="Default"/>
      </w:pPr>
    </w:p>
    <w:p w:rsidR="00712117" w:rsidRDefault="00712117" w:rsidP="00F24504">
      <w:pPr>
        <w:pStyle w:val="Default"/>
      </w:pPr>
    </w:p>
    <w:p w:rsidR="00712117" w:rsidRDefault="00712117" w:rsidP="00F24504">
      <w:pPr>
        <w:pStyle w:val="Default"/>
      </w:pPr>
      <w:r w:rsidRPr="005E4F6D">
        <w:rPr>
          <w:noProof/>
        </w:rPr>
        <mc:AlternateContent>
          <mc:Choice Requires="wps">
            <w:drawing>
              <wp:anchor distT="0" distB="0" distL="114300" distR="114300" simplePos="0" relativeHeight="251659264" behindDoc="0" locked="0" layoutInCell="1" allowOverlap="1" wp14:anchorId="668E2B2A" wp14:editId="771ACA50">
                <wp:simplePos x="0" y="0"/>
                <wp:positionH relativeFrom="column">
                  <wp:posOffset>-145473</wp:posOffset>
                </wp:positionH>
                <wp:positionV relativeFrom="paragraph">
                  <wp:posOffset>-130629</wp:posOffset>
                </wp:positionV>
                <wp:extent cx="5727700" cy="7255824"/>
                <wp:effectExtent l="38100" t="38100" r="44450" b="406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7255824"/>
                        </a:xfrm>
                        <a:prstGeom prst="rect">
                          <a:avLst/>
                        </a:prstGeom>
                        <a:solidFill>
                          <a:srgbClr val="FFFFFF"/>
                        </a:solidFill>
                        <a:ln w="76200" cmpd="tri">
                          <a:solidFill>
                            <a:srgbClr val="000000"/>
                          </a:solidFill>
                          <a:miter lim="800000"/>
                          <a:headEnd/>
                          <a:tailEnd/>
                        </a:ln>
                      </wps:spPr>
                      <wps:txbx>
                        <w:txbxContent>
                          <w:p w:rsidR="00712117" w:rsidRPr="004820BF" w:rsidRDefault="00712117" w:rsidP="00712117">
                            <w:pPr>
                              <w:spacing w:before="360" w:after="120"/>
                              <w:jc w:val="center"/>
                              <w:rPr>
                                <w:b/>
                              </w:rPr>
                            </w:pPr>
                            <w:r w:rsidRPr="004820BF">
                              <w:rPr>
                                <w:b/>
                              </w:rPr>
                              <w:t>Statement of Compatibility with Human Rights</w:t>
                            </w:r>
                          </w:p>
                          <w:p w:rsidR="00712117" w:rsidRPr="004820BF" w:rsidRDefault="00712117" w:rsidP="00712117">
                            <w:pPr>
                              <w:spacing w:before="120" w:after="120"/>
                              <w:jc w:val="center"/>
                            </w:pPr>
                            <w:r w:rsidRPr="004820BF">
                              <w:rPr>
                                <w:i/>
                              </w:rPr>
                              <w:t>Prepared in accordance with Part 3 of the Human Rights (Parliamentary Scrutiny) Act 2011</w:t>
                            </w:r>
                          </w:p>
                          <w:p w:rsidR="00712117" w:rsidRPr="000609FD" w:rsidRDefault="00712117" w:rsidP="00712117">
                            <w:pPr>
                              <w:spacing w:before="120" w:after="120"/>
                              <w:jc w:val="center"/>
                              <w:rPr>
                                <w:b/>
                              </w:rPr>
                            </w:pPr>
                            <w:r w:rsidRPr="004820BF">
                              <w:rPr>
                                <w:b/>
                              </w:rPr>
                              <w:t>ASIC</w:t>
                            </w:r>
                            <w:r w:rsidR="006A0CE0" w:rsidRPr="006A0CE0">
                              <w:rPr>
                                <w:color w:val="000000"/>
                                <w:lang w:eastAsia="en-AU"/>
                              </w:rPr>
                              <w:t xml:space="preserve"> </w:t>
                            </w:r>
                            <w:r w:rsidR="000609FD" w:rsidRPr="000609FD">
                              <w:rPr>
                                <w:b/>
                              </w:rPr>
                              <w:t xml:space="preserve">Superannuation </w:t>
                            </w:r>
                            <w:r w:rsidR="00FA01EB">
                              <w:rPr>
                                <w:b/>
                              </w:rPr>
                              <w:t>(Amendment</w:t>
                            </w:r>
                            <w:r w:rsidR="00110E82">
                              <w:rPr>
                                <w:b/>
                              </w:rPr>
                              <w:t>) Instrument 2016</w:t>
                            </w:r>
                            <w:r w:rsidR="00FA01EB">
                              <w:rPr>
                                <w:b/>
                              </w:rPr>
                              <w:t>/</w:t>
                            </w:r>
                            <w:r w:rsidR="003F49A6">
                              <w:rPr>
                                <w:b/>
                              </w:rPr>
                              <w:t>1232</w:t>
                            </w:r>
                            <w:r w:rsidRPr="000609FD">
                              <w:rPr>
                                <w:b/>
                              </w:rPr>
                              <w:t xml:space="preserve"> </w:t>
                            </w:r>
                          </w:p>
                          <w:p w:rsidR="00712117" w:rsidRPr="000609FD" w:rsidRDefault="000609FD" w:rsidP="00712117">
                            <w:pPr>
                              <w:spacing w:before="120" w:after="120"/>
                              <w:jc w:val="center"/>
                            </w:pPr>
                            <w:r w:rsidRPr="000609FD">
                              <w:rPr>
                                <w:color w:val="000000"/>
                                <w:lang w:eastAsia="en-AU"/>
                              </w:rPr>
                              <w:t>The Instrument</w:t>
                            </w:r>
                            <w:r w:rsidR="00712117" w:rsidRPr="000609FD">
                              <w:t xml:space="preserve"> is compatible with the human rights and freedoms recognised or declared in the international instruments listed in section 3 of the </w:t>
                            </w:r>
                            <w:r w:rsidR="00712117" w:rsidRPr="000609FD">
                              <w:rPr>
                                <w:i/>
                              </w:rPr>
                              <w:t>Human Rights (Parliamentary Scrutiny) Act 2011</w:t>
                            </w:r>
                            <w:r w:rsidR="00712117" w:rsidRPr="000609FD">
                              <w:t>.</w:t>
                            </w:r>
                          </w:p>
                          <w:p w:rsidR="00712117" w:rsidRPr="000609FD" w:rsidRDefault="00712117" w:rsidP="00712117">
                            <w:pPr>
                              <w:spacing w:before="120" w:after="120"/>
                              <w:jc w:val="both"/>
                              <w:rPr>
                                <w:b/>
                              </w:rPr>
                            </w:pPr>
                            <w:r w:rsidRPr="000609FD">
                              <w:rPr>
                                <w:b/>
                              </w:rPr>
                              <w:t>Overview</w:t>
                            </w:r>
                          </w:p>
                          <w:p w:rsidR="00712117" w:rsidRPr="004820BF" w:rsidRDefault="006A0CE0" w:rsidP="00712117">
                            <w:pPr>
                              <w:spacing w:before="100" w:beforeAutospacing="1" w:after="100" w:afterAutospacing="1"/>
                              <w:jc w:val="both"/>
                            </w:pPr>
                            <w:r w:rsidRPr="00CF2643">
                              <w:rPr>
                                <w:color w:val="000000"/>
                                <w:lang w:eastAsia="en-AU"/>
                              </w:rPr>
                              <w:t xml:space="preserve">ASIC </w:t>
                            </w:r>
                            <w:r w:rsidR="000609FD" w:rsidRPr="00CF2643">
                              <w:rPr>
                                <w:color w:val="000000"/>
                                <w:lang w:eastAsia="en-AU"/>
                              </w:rPr>
                              <w:t xml:space="preserve">Superannuation </w:t>
                            </w:r>
                            <w:r w:rsidRPr="00CF2643">
                              <w:rPr>
                                <w:color w:val="000000"/>
                                <w:lang w:eastAsia="en-AU"/>
                              </w:rPr>
                              <w:t>(</w:t>
                            </w:r>
                            <w:r w:rsidR="000C3B9D" w:rsidRPr="00CF2643">
                              <w:rPr>
                                <w:color w:val="000000"/>
                                <w:lang w:eastAsia="en-AU"/>
                              </w:rPr>
                              <w:t>Am</w:t>
                            </w:r>
                            <w:r w:rsidR="00FA01EB" w:rsidRPr="00CF2643">
                              <w:rPr>
                                <w:color w:val="000000"/>
                                <w:lang w:eastAsia="en-AU"/>
                              </w:rPr>
                              <w:t>endment</w:t>
                            </w:r>
                            <w:r w:rsidR="00110E82">
                              <w:rPr>
                                <w:color w:val="000000"/>
                                <w:lang w:eastAsia="en-AU"/>
                              </w:rPr>
                              <w:t>) Instrument 2016</w:t>
                            </w:r>
                            <w:r w:rsidR="00FA01EB" w:rsidRPr="00CF2643">
                              <w:rPr>
                                <w:color w:val="000000"/>
                                <w:lang w:eastAsia="en-AU"/>
                              </w:rPr>
                              <w:t>/</w:t>
                            </w:r>
                            <w:r w:rsidR="003F49A6">
                              <w:rPr>
                                <w:color w:val="000000"/>
                                <w:lang w:eastAsia="en-AU"/>
                              </w:rPr>
                              <w:t>1232</w:t>
                            </w:r>
                            <w:r w:rsidR="00F9683B">
                              <w:rPr>
                                <w:color w:val="000000"/>
                                <w:lang w:eastAsia="en-AU"/>
                              </w:rPr>
                              <w:t xml:space="preserve"> </w:t>
                            </w:r>
                            <w:r>
                              <w:t>a</w:t>
                            </w:r>
                            <w:r w:rsidR="00712117">
                              <w:t>mends ASIC Class Order</w:t>
                            </w:r>
                            <w:r w:rsidR="00712117" w:rsidRPr="004820BF">
                              <w:t xml:space="preserve"> [1</w:t>
                            </w:r>
                            <w:r w:rsidR="00712117">
                              <w:t>4/</w:t>
                            </w:r>
                            <w:r w:rsidR="00712117" w:rsidRPr="004820BF">
                              <w:t>54</w:t>
                            </w:r>
                            <w:r w:rsidR="00712117">
                              <w:t>1</w:t>
                            </w:r>
                            <w:r w:rsidR="00712117" w:rsidRPr="004820BF">
                              <w:t>]</w:t>
                            </w:r>
                            <w:r w:rsidR="00D57E66">
                              <w:t>.</w:t>
                            </w:r>
                          </w:p>
                          <w:p w:rsidR="00D57E66" w:rsidRDefault="00712117" w:rsidP="00D57E66">
                            <w:pPr>
                              <w:spacing w:before="100" w:beforeAutospacing="1" w:after="100" w:afterAutospacing="1"/>
                              <w:jc w:val="both"/>
                            </w:pPr>
                            <w:r w:rsidRPr="00DD0710">
                              <w:t>Class Order [CO 14/5</w:t>
                            </w:r>
                            <w:r>
                              <w:t>41</w:t>
                            </w:r>
                            <w:r w:rsidRPr="00DD0710">
                              <w:t>] relates to</w:t>
                            </w:r>
                            <w:r w:rsidR="00D25B84">
                              <w:t xml:space="preserve"> </w:t>
                            </w:r>
                            <w:r w:rsidR="00D57E66">
                              <w:t>sub</w:t>
                            </w:r>
                            <w:r w:rsidRPr="00712117">
                              <w:t>section 29QC</w:t>
                            </w:r>
                            <w:r w:rsidR="00D57E66">
                              <w:t>(1)</w:t>
                            </w:r>
                            <w:r w:rsidRPr="00712117">
                              <w:t xml:space="preserve"> of the </w:t>
                            </w:r>
                            <w:r w:rsidRPr="00712117">
                              <w:rPr>
                                <w:i/>
                              </w:rPr>
                              <w:t>Superannuation Industry (Supervision) Act 1993</w:t>
                            </w:r>
                            <w:r w:rsidRPr="00712117">
                              <w:t xml:space="preserve"> (the </w:t>
                            </w:r>
                            <w:r w:rsidR="00214F77">
                              <w:t xml:space="preserve">SIS </w:t>
                            </w:r>
                            <w:r w:rsidRPr="00712117">
                              <w:t>Act).  S</w:t>
                            </w:r>
                            <w:r w:rsidR="00D57E66">
                              <w:t>ubs</w:t>
                            </w:r>
                            <w:r w:rsidRPr="00712117">
                              <w:t>ection 29QC</w:t>
                            </w:r>
                            <w:r w:rsidR="00D57E66">
                              <w:t>(1)</w:t>
                            </w:r>
                            <w:r w:rsidRPr="00712117">
                              <w:t xml:space="preserve"> imposes an obligation on an RSE licensee to </w:t>
                            </w:r>
                            <w:r w:rsidR="00D57E66">
                              <w:t>ensure that, where it is required to give information to APRA under a reporting standard that requires the information to be calculated in a particular way, and where the same or equivalent information is given to other persons, the information given to the other person is calculated in the same way as the information given to APRA.</w:t>
                            </w:r>
                          </w:p>
                          <w:p w:rsidR="00F22071" w:rsidRDefault="00712117" w:rsidP="00D57E66">
                            <w:pPr>
                              <w:spacing w:before="100" w:beforeAutospacing="1" w:after="100" w:afterAutospacing="1"/>
                              <w:jc w:val="both"/>
                            </w:pPr>
                            <w:r w:rsidRPr="00DD0710">
                              <w:t xml:space="preserve">The </w:t>
                            </w:r>
                            <w:r w:rsidR="006A0CE0" w:rsidRPr="006A0CE0">
                              <w:rPr>
                                <w:color w:val="000000"/>
                                <w:lang w:eastAsia="en-AU"/>
                              </w:rPr>
                              <w:t xml:space="preserve">Instrument </w:t>
                            </w:r>
                            <w:r w:rsidR="00D57E66">
                              <w:rPr>
                                <w:color w:val="000000"/>
                                <w:lang w:eastAsia="en-AU"/>
                              </w:rPr>
                              <w:t>amends</w:t>
                            </w:r>
                            <w:r w:rsidRPr="00DD0710">
                              <w:t xml:space="preserve"> Class Order [CO 14/5</w:t>
                            </w:r>
                            <w:r w:rsidR="005024E8">
                              <w:t>41]</w:t>
                            </w:r>
                            <w:r w:rsidR="00CF2643">
                              <w:t>,</w:t>
                            </w:r>
                            <w:r w:rsidR="00CF2643" w:rsidRPr="00CF2643">
                              <w:t xml:space="preserve"> </w:t>
                            </w:r>
                            <w:r w:rsidR="00CF2643">
                              <w:t>as previously amended by ASIC Superannuation (Amendment) Instrument</w:t>
                            </w:r>
                            <w:r w:rsidR="00110E82">
                              <w:t>s</w:t>
                            </w:r>
                            <w:r w:rsidR="00CF2643">
                              <w:t xml:space="preserve"> 2015/396</w:t>
                            </w:r>
                            <w:r w:rsidR="00110E82">
                              <w:t xml:space="preserve"> and</w:t>
                            </w:r>
                            <w:r w:rsidR="0074407C">
                              <w:t xml:space="preserve"> 2015/1098</w:t>
                            </w:r>
                            <w:r w:rsidR="00CF2643">
                              <w:t>,</w:t>
                            </w:r>
                            <w:r w:rsidR="00CF2643" w:rsidRPr="00401D5F">
                              <w:t xml:space="preserve"> </w:t>
                            </w:r>
                            <w:r w:rsidR="00F22071">
                              <w:t>so that the</w:t>
                            </w:r>
                            <w:r w:rsidR="005024E8">
                              <w:t xml:space="preserve"> exempti</w:t>
                            </w:r>
                            <w:r w:rsidR="00F22071">
                              <w:t>on for</w:t>
                            </w:r>
                            <w:r w:rsidR="005024E8">
                              <w:t xml:space="preserve"> RSE licensees </w:t>
                            </w:r>
                            <w:r w:rsidR="00F22071" w:rsidRPr="00A1445D">
                              <w:t>from th</w:t>
                            </w:r>
                            <w:r w:rsidR="00F22071">
                              <w:t xml:space="preserve">e requirement in subsection </w:t>
                            </w:r>
                            <w:proofErr w:type="gramStart"/>
                            <w:r w:rsidR="00F22071">
                              <w:t>29QC</w:t>
                            </w:r>
                            <w:r w:rsidR="00F22071" w:rsidRPr="00A1445D">
                              <w:t>(</w:t>
                            </w:r>
                            <w:proofErr w:type="gramEnd"/>
                            <w:r w:rsidR="00F22071" w:rsidRPr="00A1445D">
                              <w:t xml:space="preserve">1) of the </w:t>
                            </w:r>
                            <w:r w:rsidR="00F22071">
                              <w:t xml:space="preserve">SIS </w:t>
                            </w:r>
                            <w:r w:rsidR="00F22071" w:rsidRPr="00A1445D">
                              <w:t xml:space="preserve">Act </w:t>
                            </w:r>
                            <w:r w:rsidR="00F22071">
                              <w:t xml:space="preserve">continues </w:t>
                            </w:r>
                            <w:r w:rsidR="005024E8" w:rsidRPr="00FF15F4">
                              <w:t xml:space="preserve">until </w:t>
                            </w:r>
                            <w:r w:rsidR="0074407C">
                              <w:t>1 January 2019</w:t>
                            </w:r>
                            <w:r w:rsidR="005024E8">
                              <w:t xml:space="preserve">. </w:t>
                            </w:r>
                          </w:p>
                          <w:p w:rsidR="005024E8" w:rsidRPr="00247F54" w:rsidRDefault="005024E8" w:rsidP="005024E8">
                            <w:pPr>
                              <w:spacing w:before="120" w:after="120"/>
                              <w:rPr>
                                <w:b/>
                              </w:rPr>
                            </w:pPr>
                            <w:r w:rsidRPr="00247F54">
                              <w:rPr>
                                <w:b/>
                              </w:rPr>
                              <w:t>Human rights implications</w:t>
                            </w:r>
                          </w:p>
                          <w:p w:rsidR="005024E8" w:rsidRPr="00247F54" w:rsidRDefault="005024E8" w:rsidP="00CF2643">
                            <w:pPr>
                              <w:spacing w:before="120" w:after="100" w:afterAutospacing="1"/>
                            </w:pPr>
                            <w:r w:rsidRPr="00247F54">
                              <w:t xml:space="preserve">This </w:t>
                            </w:r>
                            <w:r>
                              <w:t>l</w:t>
                            </w:r>
                            <w:r w:rsidRPr="00247F54">
                              <w:t xml:space="preserve">egislative </w:t>
                            </w:r>
                            <w:r>
                              <w:t>i</w:t>
                            </w:r>
                            <w:r w:rsidRPr="00247F54">
                              <w:t>nstrument does not engage any of the applicable rights or freedoms.</w:t>
                            </w:r>
                          </w:p>
                          <w:p w:rsidR="005024E8" w:rsidRPr="00247F54" w:rsidRDefault="005024E8" w:rsidP="005024E8">
                            <w:pPr>
                              <w:spacing w:before="120" w:after="120"/>
                              <w:rPr>
                                <w:b/>
                              </w:rPr>
                            </w:pPr>
                            <w:r w:rsidRPr="00247F54">
                              <w:rPr>
                                <w:b/>
                              </w:rPr>
                              <w:t>Conclusion</w:t>
                            </w:r>
                          </w:p>
                          <w:p w:rsidR="005024E8" w:rsidRPr="00247F54" w:rsidRDefault="005024E8" w:rsidP="005024E8">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45pt;margin-top:-10.3pt;width:451pt;height:57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" strokeweight="6pt">
                <v:stroke linestyle="thickBetweenThin"/>
                <v:textbox inset="5mm,,5mm">
                  <w:txbxContent>
                    <w:p w:rsidR="00712117" w:rsidRPr="004820BF" w:rsidRDefault="00712117" w:rsidP="00712117">
                      <w:pPr>
                        <w:spacing w:before="360" w:after="120"/>
                        <w:jc w:val="center"/>
                        <w:rPr>
                          <w:b/>
                        </w:rPr>
                      </w:pPr>
                      <w:r w:rsidRPr="004820BF">
                        <w:rPr>
                          <w:b/>
                        </w:rPr>
                        <w:t>Statement of Compatibility with Human Rights</w:t>
                      </w:r>
                    </w:p>
                    <w:p w:rsidR="00712117" w:rsidRPr="004820BF" w:rsidRDefault="00712117" w:rsidP="00712117">
                      <w:pPr>
                        <w:spacing w:before="120" w:after="120"/>
                        <w:jc w:val="center"/>
                      </w:pPr>
                      <w:r w:rsidRPr="004820BF">
                        <w:rPr>
                          <w:i/>
                        </w:rPr>
                        <w:t>Prepared in accordance with Part 3 of the Human Rights (Parliamentary Scrutiny) Act 2011</w:t>
                      </w:r>
                    </w:p>
                    <w:p w:rsidR="00712117" w:rsidRPr="000609FD" w:rsidRDefault="00712117" w:rsidP="00712117">
                      <w:pPr>
                        <w:spacing w:before="120" w:after="120"/>
                        <w:jc w:val="center"/>
                        <w:rPr>
                          <w:b/>
                        </w:rPr>
                      </w:pPr>
                      <w:r w:rsidRPr="004820BF">
                        <w:rPr>
                          <w:b/>
                        </w:rPr>
                        <w:t>ASIC</w:t>
                      </w:r>
                      <w:r w:rsidR="006A0CE0" w:rsidRPr="006A0CE0">
                        <w:rPr>
                          <w:color w:val="000000"/>
                          <w:lang w:eastAsia="en-AU"/>
                        </w:rPr>
                        <w:t xml:space="preserve"> </w:t>
                      </w:r>
                      <w:r w:rsidR="000609FD" w:rsidRPr="000609FD">
                        <w:rPr>
                          <w:b/>
                        </w:rPr>
                        <w:t xml:space="preserve">Superannuation </w:t>
                      </w:r>
                      <w:r w:rsidR="00FA01EB">
                        <w:rPr>
                          <w:b/>
                        </w:rPr>
                        <w:t>(Amendment</w:t>
                      </w:r>
                      <w:r w:rsidR="00110E82">
                        <w:rPr>
                          <w:b/>
                        </w:rPr>
                        <w:t>) Instrument 2016</w:t>
                      </w:r>
                      <w:r w:rsidR="00FA01EB">
                        <w:rPr>
                          <w:b/>
                        </w:rPr>
                        <w:t>/</w:t>
                      </w:r>
                      <w:r w:rsidR="003F49A6">
                        <w:rPr>
                          <w:b/>
                        </w:rPr>
                        <w:t>1232</w:t>
                      </w:r>
                      <w:r w:rsidRPr="000609FD">
                        <w:rPr>
                          <w:b/>
                        </w:rPr>
                        <w:t xml:space="preserve"> </w:t>
                      </w:r>
                    </w:p>
                    <w:p w:rsidR="00712117" w:rsidRPr="000609FD" w:rsidRDefault="000609FD" w:rsidP="00712117">
                      <w:pPr>
                        <w:spacing w:before="120" w:after="120"/>
                        <w:jc w:val="center"/>
                      </w:pPr>
                      <w:r w:rsidRPr="000609FD">
                        <w:rPr>
                          <w:color w:val="000000"/>
                          <w:lang w:eastAsia="en-AU"/>
                        </w:rPr>
                        <w:t>The Instrument</w:t>
                      </w:r>
                      <w:r w:rsidR="00712117" w:rsidRPr="000609FD">
                        <w:t xml:space="preserve"> is compatible with the human rights and freedoms recognised or declared in the international instruments listed in section 3 of the </w:t>
                      </w:r>
                      <w:r w:rsidR="00712117" w:rsidRPr="000609FD">
                        <w:rPr>
                          <w:i/>
                        </w:rPr>
                        <w:t>Human Rights (Parliamentary Scrutiny) Act 2011</w:t>
                      </w:r>
                      <w:r w:rsidR="00712117" w:rsidRPr="000609FD">
                        <w:t>.</w:t>
                      </w:r>
                    </w:p>
                    <w:p w:rsidR="00712117" w:rsidRPr="000609FD" w:rsidRDefault="00712117" w:rsidP="00712117">
                      <w:pPr>
                        <w:spacing w:before="120" w:after="120"/>
                        <w:jc w:val="both"/>
                        <w:rPr>
                          <w:b/>
                        </w:rPr>
                      </w:pPr>
                      <w:r w:rsidRPr="000609FD">
                        <w:rPr>
                          <w:b/>
                        </w:rPr>
                        <w:t>Overview</w:t>
                      </w:r>
                    </w:p>
                    <w:p w:rsidR="00712117" w:rsidRPr="004820BF" w:rsidRDefault="006A0CE0" w:rsidP="00712117">
                      <w:pPr>
                        <w:spacing w:before="100" w:beforeAutospacing="1" w:after="100" w:afterAutospacing="1"/>
                        <w:jc w:val="both"/>
                      </w:pPr>
                      <w:r w:rsidRPr="00CF2643">
                        <w:rPr>
                          <w:color w:val="000000"/>
                          <w:lang w:eastAsia="en-AU"/>
                        </w:rPr>
                        <w:t xml:space="preserve">ASIC </w:t>
                      </w:r>
                      <w:r w:rsidR="000609FD" w:rsidRPr="00CF2643">
                        <w:rPr>
                          <w:color w:val="000000"/>
                          <w:lang w:eastAsia="en-AU"/>
                        </w:rPr>
                        <w:t xml:space="preserve">Superannuation </w:t>
                      </w:r>
                      <w:r w:rsidRPr="00CF2643">
                        <w:rPr>
                          <w:color w:val="000000"/>
                          <w:lang w:eastAsia="en-AU"/>
                        </w:rPr>
                        <w:t>(</w:t>
                      </w:r>
                      <w:r w:rsidR="000C3B9D" w:rsidRPr="00CF2643">
                        <w:rPr>
                          <w:color w:val="000000"/>
                          <w:lang w:eastAsia="en-AU"/>
                        </w:rPr>
                        <w:t>Am</w:t>
                      </w:r>
                      <w:r w:rsidR="00FA01EB" w:rsidRPr="00CF2643">
                        <w:rPr>
                          <w:color w:val="000000"/>
                          <w:lang w:eastAsia="en-AU"/>
                        </w:rPr>
                        <w:t>endment</w:t>
                      </w:r>
                      <w:r w:rsidR="00110E82">
                        <w:rPr>
                          <w:color w:val="000000"/>
                          <w:lang w:eastAsia="en-AU"/>
                        </w:rPr>
                        <w:t>) Instrument 2016</w:t>
                      </w:r>
                      <w:r w:rsidR="00FA01EB" w:rsidRPr="00CF2643">
                        <w:rPr>
                          <w:color w:val="000000"/>
                          <w:lang w:eastAsia="en-AU"/>
                        </w:rPr>
                        <w:t>/</w:t>
                      </w:r>
                      <w:r w:rsidR="003F49A6">
                        <w:rPr>
                          <w:color w:val="000000"/>
                          <w:lang w:eastAsia="en-AU"/>
                        </w:rPr>
                        <w:t>1232</w:t>
                      </w:r>
                      <w:bookmarkStart w:id="1" w:name="_GoBack"/>
                      <w:bookmarkEnd w:id="1"/>
                      <w:r w:rsidR="00F9683B">
                        <w:rPr>
                          <w:color w:val="000000"/>
                          <w:lang w:eastAsia="en-AU"/>
                        </w:rPr>
                        <w:t xml:space="preserve"> </w:t>
                      </w:r>
                      <w:r>
                        <w:t>a</w:t>
                      </w:r>
                      <w:r w:rsidR="00712117">
                        <w:t>mends ASIC Class Order</w:t>
                      </w:r>
                      <w:r w:rsidR="00712117" w:rsidRPr="004820BF">
                        <w:t xml:space="preserve"> [1</w:t>
                      </w:r>
                      <w:r w:rsidR="00712117">
                        <w:t>4/</w:t>
                      </w:r>
                      <w:r w:rsidR="00712117" w:rsidRPr="004820BF">
                        <w:t>54</w:t>
                      </w:r>
                      <w:r w:rsidR="00712117">
                        <w:t>1</w:t>
                      </w:r>
                      <w:r w:rsidR="00712117" w:rsidRPr="004820BF">
                        <w:t>]</w:t>
                      </w:r>
                      <w:r w:rsidR="00D57E66">
                        <w:t>.</w:t>
                      </w:r>
                    </w:p>
                    <w:p w:rsidR="00D57E66" w:rsidRDefault="00712117" w:rsidP="00D57E66">
                      <w:pPr>
                        <w:spacing w:before="100" w:beforeAutospacing="1" w:after="100" w:afterAutospacing="1"/>
                        <w:jc w:val="both"/>
                      </w:pPr>
                      <w:r w:rsidRPr="00DD0710">
                        <w:t>Class Order [CO 14/5</w:t>
                      </w:r>
                      <w:r>
                        <w:t>41</w:t>
                      </w:r>
                      <w:r w:rsidRPr="00DD0710">
                        <w:t>] relates to</w:t>
                      </w:r>
                      <w:r w:rsidR="00D25B84">
                        <w:t xml:space="preserve"> </w:t>
                      </w:r>
                      <w:r w:rsidR="00D57E66">
                        <w:t>sub</w:t>
                      </w:r>
                      <w:r w:rsidRPr="00712117">
                        <w:t>section 29QC</w:t>
                      </w:r>
                      <w:r w:rsidR="00D57E66">
                        <w:t>(1)</w:t>
                      </w:r>
                      <w:r w:rsidRPr="00712117">
                        <w:t xml:space="preserve"> of the </w:t>
                      </w:r>
                      <w:r w:rsidRPr="00712117">
                        <w:rPr>
                          <w:i/>
                        </w:rPr>
                        <w:t>Superannuation Industry (Supervision) Act 1993</w:t>
                      </w:r>
                      <w:r w:rsidRPr="00712117">
                        <w:t xml:space="preserve"> (the </w:t>
                      </w:r>
                      <w:r w:rsidR="00214F77">
                        <w:t xml:space="preserve">SIS </w:t>
                      </w:r>
                      <w:r w:rsidRPr="00712117">
                        <w:t>Act).  S</w:t>
                      </w:r>
                      <w:r w:rsidR="00D57E66">
                        <w:t>ubs</w:t>
                      </w:r>
                      <w:r w:rsidRPr="00712117">
                        <w:t>ection 29QC</w:t>
                      </w:r>
                      <w:r w:rsidR="00D57E66">
                        <w:t>(1)</w:t>
                      </w:r>
                      <w:r w:rsidRPr="00712117">
                        <w:t xml:space="preserve"> imposes an obligation on an RSE licensee to </w:t>
                      </w:r>
                      <w:r w:rsidR="00D57E66">
                        <w:t>ensure that, where it is required to give information to APRA under a reporting standard that requires the information to be calculated in a particular way, and where the same or equivalent information is given to other persons, the information given to the other person is calculated in the same way as the information given to APRA.</w:t>
                      </w:r>
                    </w:p>
                    <w:p w:rsidR="00F22071" w:rsidRDefault="00712117" w:rsidP="00D57E66">
                      <w:pPr>
                        <w:spacing w:before="100" w:beforeAutospacing="1" w:after="100" w:afterAutospacing="1"/>
                        <w:jc w:val="both"/>
                      </w:pPr>
                      <w:r w:rsidRPr="00DD0710">
                        <w:t xml:space="preserve">The </w:t>
                      </w:r>
                      <w:r w:rsidR="006A0CE0" w:rsidRPr="006A0CE0">
                        <w:rPr>
                          <w:color w:val="000000"/>
                          <w:lang w:eastAsia="en-AU"/>
                        </w:rPr>
                        <w:t xml:space="preserve">Instrument </w:t>
                      </w:r>
                      <w:r w:rsidR="00D57E66">
                        <w:rPr>
                          <w:color w:val="000000"/>
                          <w:lang w:eastAsia="en-AU"/>
                        </w:rPr>
                        <w:t>amends</w:t>
                      </w:r>
                      <w:r w:rsidRPr="00DD0710">
                        <w:t xml:space="preserve"> Class Order [CO 14/5</w:t>
                      </w:r>
                      <w:r w:rsidR="005024E8">
                        <w:t>41]</w:t>
                      </w:r>
                      <w:r w:rsidR="00CF2643">
                        <w:t>,</w:t>
                      </w:r>
                      <w:r w:rsidR="00CF2643" w:rsidRPr="00CF2643">
                        <w:t xml:space="preserve"> </w:t>
                      </w:r>
                      <w:r w:rsidR="00CF2643">
                        <w:t>as previously amended by ASIC Superannuation (Amendment) Instrument</w:t>
                      </w:r>
                      <w:r w:rsidR="00110E82">
                        <w:t>s</w:t>
                      </w:r>
                      <w:r w:rsidR="00CF2643">
                        <w:t xml:space="preserve"> 2015/396</w:t>
                      </w:r>
                      <w:r w:rsidR="00110E82">
                        <w:t xml:space="preserve"> and</w:t>
                      </w:r>
                      <w:r w:rsidR="0074407C">
                        <w:t xml:space="preserve"> 2015/1098</w:t>
                      </w:r>
                      <w:r w:rsidR="00CF2643">
                        <w:t>,</w:t>
                      </w:r>
                      <w:r w:rsidR="00CF2643" w:rsidRPr="00401D5F">
                        <w:t xml:space="preserve"> </w:t>
                      </w:r>
                      <w:r w:rsidR="00F22071">
                        <w:t>so that the</w:t>
                      </w:r>
                      <w:r w:rsidR="005024E8">
                        <w:t xml:space="preserve"> exempti</w:t>
                      </w:r>
                      <w:r w:rsidR="00F22071">
                        <w:t>on for</w:t>
                      </w:r>
                      <w:r w:rsidR="005024E8">
                        <w:t xml:space="preserve"> RSE licensees </w:t>
                      </w:r>
                      <w:r w:rsidR="00F22071" w:rsidRPr="00A1445D">
                        <w:t>from th</w:t>
                      </w:r>
                      <w:r w:rsidR="00F22071">
                        <w:t xml:space="preserve">e requirement in subsection </w:t>
                      </w:r>
                      <w:proofErr w:type="gramStart"/>
                      <w:r w:rsidR="00F22071">
                        <w:t>29QC</w:t>
                      </w:r>
                      <w:r w:rsidR="00F22071" w:rsidRPr="00A1445D">
                        <w:t>(</w:t>
                      </w:r>
                      <w:proofErr w:type="gramEnd"/>
                      <w:r w:rsidR="00F22071" w:rsidRPr="00A1445D">
                        <w:t xml:space="preserve">1) of the </w:t>
                      </w:r>
                      <w:r w:rsidR="00F22071">
                        <w:t xml:space="preserve">SIS </w:t>
                      </w:r>
                      <w:r w:rsidR="00F22071" w:rsidRPr="00A1445D">
                        <w:t xml:space="preserve">Act </w:t>
                      </w:r>
                      <w:r w:rsidR="00F22071">
                        <w:t xml:space="preserve">continues </w:t>
                      </w:r>
                      <w:r w:rsidR="005024E8" w:rsidRPr="00FF15F4">
                        <w:t xml:space="preserve">until </w:t>
                      </w:r>
                      <w:r w:rsidR="0074407C">
                        <w:t>1 January 2019</w:t>
                      </w:r>
                      <w:r w:rsidR="005024E8">
                        <w:t xml:space="preserve">. </w:t>
                      </w:r>
                    </w:p>
                    <w:p w:rsidR="005024E8" w:rsidRPr="00247F54" w:rsidRDefault="005024E8" w:rsidP="005024E8">
                      <w:pPr>
                        <w:spacing w:before="120" w:after="120"/>
                        <w:rPr>
                          <w:b/>
                        </w:rPr>
                      </w:pPr>
                      <w:r w:rsidRPr="00247F54">
                        <w:rPr>
                          <w:b/>
                        </w:rPr>
                        <w:t>Human rights implications</w:t>
                      </w:r>
                    </w:p>
                    <w:p w:rsidR="005024E8" w:rsidRPr="00247F54" w:rsidRDefault="005024E8" w:rsidP="00CF2643">
                      <w:pPr>
                        <w:spacing w:before="120" w:after="100" w:afterAutospacing="1"/>
                      </w:pPr>
                      <w:r w:rsidRPr="00247F54">
                        <w:t xml:space="preserve">This </w:t>
                      </w:r>
                      <w:r>
                        <w:t>l</w:t>
                      </w:r>
                      <w:r w:rsidRPr="00247F54">
                        <w:t xml:space="preserve">egislative </w:t>
                      </w:r>
                      <w:r>
                        <w:t>i</w:t>
                      </w:r>
                      <w:r w:rsidRPr="00247F54">
                        <w:t>nstrument does not engage any of the applicable rights or freedoms.</w:t>
                      </w:r>
                    </w:p>
                    <w:p w:rsidR="005024E8" w:rsidRPr="00247F54" w:rsidRDefault="005024E8" w:rsidP="005024E8">
                      <w:pPr>
                        <w:spacing w:before="120" w:after="120"/>
                        <w:rPr>
                          <w:b/>
                        </w:rPr>
                      </w:pPr>
                      <w:r w:rsidRPr="00247F54">
                        <w:rPr>
                          <w:b/>
                        </w:rPr>
                        <w:t>Conclusion</w:t>
                      </w:r>
                    </w:p>
                    <w:p w:rsidR="005024E8" w:rsidRPr="00247F54" w:rsidRDefault="005024E8" w:rsidP="005024E8">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txbxContent>
                </v:textbox>
              </v:rect>
            </w:pict>
          </mc:Fallback>
        </mc:AlternateContent>
      </w:r>
    </w:p>
    <w:p w:rsidR="00EC090B" w:rsidRDefault="00EC090B" w:rsidP="00F24504">
      <w:pPr>
        <w:pStyle w:val="Default"/>
      </w:pPr>
    </w:p>
    <w:p w:rsidR="00EC090B" w:rsidRPr="00A1445D" w:rsidRDefault="00EC090B" w:rsidP="00F24504">
      <w:pPr>
        <w:pStyle w:val="Default"/>
      </w:pPr>
    </w:p>
    <w:sectPr w:rsidR="00EC090B" w:rsidRPr="00A1445D" w:rsidSect="0041017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07C" w:rsidRDefault="005B207C" w:rsidP="00DF04D3">
      <w:r>
        <w:separator/>
      </w:r>
    </w:p>
  </w:endnote>
  <w:endnote w:type="continuationSeparator" w:id="0">
    <w:p w:rsidR="005B207C" w:rsidRDefault="005B207C" w:rsidP="00DF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C4" w:rsidRDefault="000E49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C4" w:rsidRDefault="000E49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C4" w:rsidRDefault="000E4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07C" w:rsidRDefault="005B207C" w:rsidP="00DF04D3">
      <w:r>
        <w:separator/>
      </w:r>
    </w:p>
  </w:footnote>
  <w:footnote w:type="continuationSeparator" w:id="0">
    <w:p w:rsidR="005B207C" w:rsidRDefault="005B207C" w:rsidP="00DF0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C4" w:rsidRDefault="000E4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C4" w:rsidRDefault="000E49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C4" w:rsidRDefault="000E49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4BB1"/>
    <w:multiLevelType w:val="hybridMultilevel"/>
    <w:tmpl w:val="FC72407A"/>
    <w:lvl w:ilvl="0" w:tplc="6F36CF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202557"/>
    <w:multiLevelType w:val="hybridMultilevel"/>
    <w:tmpl w:val="8618DC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A779F9"/>
    <w:multiLevelType w:val="hybridMultilevel"/>
    <w:tmpl w:val="24A66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57172EB"/>
    <w:multiLevelType w:val="hybridMultilevel"/>
    <w:tmpl w:val="24A66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7324479"/>
    <w:multiLevelType w:val="hybridMultilevel"/>
    <w:tmpl w:val="2E0008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D2456A2"/>
    <w:multiLevelType w:val="hybridMultilevel"/>
    <w:tmpl w:val="24A66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49310E4"/>
    <w:multiLevelType w:val="hybridMultilevel"/>
    <w:tmpl w:val="24A660F0"/>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nsid w:val="4AAE3490"/>
    <w:multiLevelType w:val="hybridMultilevel"/>
    <w:tmpl w:val="FC72407A"/>
    <w:lvl w:ilvl="0" w:tplc="6F36CF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07E483E"/>
    <w:multiLevelType w:val="hybridMultilevel"/>
    <w:tmpl w:val="24A660F0"/>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
    <w:nsid w:val="5B5A5FBC"/>
    <w:multiLevelType w:val="multilevel"/>
    <w:tmpl w:val="C07CFE3A"/>
    <w:lvl w:ilvl="0">
      <w:start w:val="1"/>
      <w:numFmt w:val="decimal"/>
      <w:pStyle w:val="RPG-BodyTextNumbered"/>
      <w:lvlText w:val="%1"/>
      <w:lvlJc w:val="left"/>
      <w:pPr>
        <w:tabs>
          <w:tab w:val="num" w:pos="851"/>
        </w:tabs>
        <w:ind w:left="851" w:hanging="426"/>
      </w:pPr>
      <w:rPr>
        <w:rFonts w:hint="default"/>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CD65266"/>
    <w:multiLevelType w:val="hybridMultilevel"/>
    <w:tmpl w:val="24A66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9"/>
  </w:num>
  <w:num w:numId="17">
    <w:abstractNumId w:val="9"/>
  </w:num>
  <w:num w:numId="18">
    <w:abstractNumId w:val="9"/>
  </w:num>
  <w:num w:numId="19">
    <w:abstractNumId w:val="9"/>
  </w:num>
  <w:num w:numId="20">
    <w:abstractNumId w:val="8"/>
  </w:num>
  <w:num w:numId="21">
    <w:abstractNumId w:val="6"/>
  </w:num>
  <w:num w:numId="22">
    <w:abstractNumId w:val="9"/>
  </w:num>
  <w:num w:numId="23">
    <w:abstractNumId w:val="9"/>
  </w:num>
  <w:num w:numId="24">
    <w:abstractNumId w:val="5"/>
  </w:num>
  <w:num w:numId="25">
    <w:abstractNumId w:val="10"/>
  </w:num>
  <w:num w:numId="26">
    <w:abstractNumId w:val="3"/>
  </w:num>
  <w:num w:numId="27">
    <w:abstractNumId w:val="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4D3"/>
    <w:rsid w:val="00002EB8"/>
    <w:rsid w:val="0001231E"/>
    <w:rsid w:val="00027B59"/>
    <w:rsid w:val="000379D4"/>
    <w:rsid w:val="000575B8"/>
    <w:rsid w:val="000609FD"/>
    <w:rsid w:val="00062D9B"/>
    <w:rsid w:val="00063BBB"/>
    <w:rsid w:val="000A5889"/>
    <w:rsid w:val="000B3E31"/>
    <w:rsid w:val="000B5578"/>
    <w:rsid w:val="000C3B9D"/>
    <w:rsid w:val="000D4170"/>
    <w:rsid w:val="000D5AE3"/>
    <w:rsid w:val="000E4358"/>
    <w:rsid w:val="000E49C4"/>
    <w:rsid w:val="001000CF"/>
    <w:rsid w:val="00110E82"/>
    <w:rsid w:val="00114928"/>
    <w:rsid w:val="0012686B"/>
    <w:rsid w:val="00136BBE"/>
    <w:rsid w:val="0014153D"/>
    <w:rsid w:val="00153361"/>
    <w:rsid w:val="0015379C"/>
    <w:rsid w:val="00157155"/>
    <w:rsid w:val="00160A1D"/>
    <w:rsid w:val="00181E53"/>
    <w:rsid w:val="001968F2"/>
    <w:rsid w:val="001A5FB3"/>
    <w:rsid w:val="001B1093"/>
    <w:rsid w:val="001C5DE3"/>
    <w:rsid w:val="001E32E3"/>
    <w:rsid w:val="001F3784"/>
    <w:rsid w:val="00214F77"/>
    <w:rsid w:val="002271F3"/>
    <w:rsid w:val="002508D7"/>
    <w:rsid w:val="00280F32"/>
    <w:rsid w:val="002946BA"/>
    <w:rsid w:val="002A1564"/>
    <w:rsid w:val="002A3CB7"/>
    <w:rsid w:val="002A3E0E"/>
    <w:rsid w:val="002A5864"/>
    <w:rsid w:val="002C6D77"/>
    <w:rsid w:val="002D0106"/>
    <w:rsid w:val="002D547F"/>
    <w:rsid w:val="002F0D68"/>
    <w:rsid w:val="0030277F"/>
    <w:rsid w:val="00305D26"/>
    <w:rsid w:val="00317557"/>
    <w:rsid w:val="00321D6A"/>
    <w:rsid w:val="0032241A"/>
    <w:rsid w:val="00330BC3"/>
    <w:rsid w:val="003358ED"/>
    <w:rsid w:val="003402DF"/>
    <w:rsid w:val="0036327A"/>
    <w:rsid w:val="00367284"/>
    <w:rsid w:val="00371833"/>
    <w:rsid w:val="003950D2"/>
    <w:rsid w:val="003A06AF"/>
    <w:rsid w:val="003A0CAF"/>
    <w:rsid w:val="003B5CA5"/>
    <w:rsid w:val="003F49A6"/>
    <w:rsid w:val="00401D5F"/>
    <w:rsid w:val="004024FE"/>
    <w:rsid w:val="0041017B"/>
    <w:rsid w:val="004108CF"/>
    <w:rsid w:val="00414718"/>
    <w:rsid w:val="0042189D"/>
    <w:rsid w:val="004749B4"/>
    <w:rsid w:val="00486AAC"/>
    <w:rsid w:val="00490022"/>
    <w:rsid w:val="004A100D"/>
    <w:rsid w:val="004A361D"/>
    <w:rsid w:val="004B1310"/>
    <w:rsid w:val="004C29D0"/>
    <w:rsid w:val="004E22E3"/>
    <w:rsid w:val="005024E8"/>
    <w:rsid w:val="005333F1"/>
    <w:rsid w:val="00541DF3"/>
    <w:rsid w:val="005556E5"/>
    <w:rsid w:val="005573D6"/>
    <w:rsid w:val="0058498F"/>
    <w:rsid w:val="005A04D5"/>
    <w:rsid w:val="005A7247"/>
    <w:rsid w:val="005B207C"/>
    <w:rsid w:val="005C3C2A"/>
    <w:rsid w:val="005F33F1"/>
    <w:rsid w:val="0060456B"/>
    <w:rsid w:val="0063466A"/>
    <w:rsid w:val="00637B25"/>
    <w:rsid w:val="00645179"/>
    <w:rsid w:val="00674EEE"/>
    <w:rsid w:val="0068246E"/>
    <w:rsid w:val="006A0CE0"/>
    <w:rsid w:val="006B45CD"/>
    <w:rsid w:val="006B7F66"/>
    <w:rsid w:val="006C0F76"/>
    <w:rsid w:val="00712117"/>
    <w:rsid w:val="0074407C"/>
    <w:rsid w:val="00750B0F"/>
    <w:rsid w:val="00774A36"/>
    <w:rsid w:val="00790AAB"/>
    <w:rsid w:val="007A39D8"/>
    <w:rsid w:val="007A6F3F"/>
    <w:rsid w:val="007A7185"/>
    <w:rsid w:val="007C260A"/>
    <w:rsid w:val="007E2797"/>
    <w:rsid w:val="007E4F1F"/>
    <w:rsid w:val="007F79BA"/>
    <w:rsid w:val="00842A4D"/>
    <w:rsid w:val="00853A9B"/>
    <w:rsid w:val="00855CB3"/>
    <w:rsid w:val="008723AF"/>
    <w:rsid w:val="00872CFD"/>
    <w:rsid w:val="008924B6"/>
    <w:rsid w:val="008A2955"/>
    <w:rsid w:val="008A3899"/>
    <w:rsid w:val="008C5887"/>
    <w:rsid w:val="008D58D9"/>
    <w:rsid w:val="008E0FEB"/>
    <w:rsid w:val="008F097D"/>
    <w:rsid w:val="008F5DB1"/>
    <w:rsid w:val="00900ED7"/>
    <w:rsid w:val="00910B72"/>
    <w:rsid w:val="00913341"/>
    <w:rsid w:val="0091662D"/>
    <w:rsid w:val="00916FB0"/>
    <w:rsid w:val="00927135"/>
    <w:rsid w:val="0095318F"/>
    <w:rsid w:val="009844BF"/>
    <w:rsid w:val="00997C23"/>
    <w:rsid w:val="009A1A82"/>
    <w:rsid w:val="009A240E"/>
    <w:rsid w:val="009A2FC0"/>
    <w:rsid w:val="009A3DAE"/>
    <w:rsid w:val="009A5C97"/>
    <w:rsid w:val="009B04E6"/>
    <w:rsid w:val="009B2B23"/>
    <w:rsid w:val="009C4E5B"/>
    <w:rsid w:val="009C5015"/>
    <w:rsid w:val="009E7212"/>
    <w:rsid w:val="00A1445D"/>
    <w:rsid w:val="00A317A2"/>
    <w:rsid w:val="00A476F6"/>
    <w:rsid w:val="00A53247"/>
    <w:rsid w:val="00A60075"/>
    <w:rsid w:val="00A6178D"/>
    <w:rsid w:val="00A7074C"/>
    <w:rsid w:val="00AC7D7E"/>
    <w:rsid w:val="00AD2922"/>
    <w:rsid w:val="00AD2C95"/>
    <w:rsid w:val="00AF769C"/>
    <w:rsid w:val="00B540A7"/>
    <w:rsid w:val="00B564F0"/>
    <w:rsid w:val="00B61640"/>
    <w:rsid w:val="00B95239"/>
    <w:rsid w:val="00BA34F7"/>
    <w:rsid w:val="00BD2ECF"/>
    <w:rsid w:val="00C046AA"/>
    <w:rsid w:val="00C053AB"/>
    <w:rsid w:val="00C209FC"/>
    <w:rsid w:val="00C451B1"/>
    <w:rsid w:val="00C534C0"/>
    <w:rsid w:val="00C54F5B"/>
    <w:rsid w:val="00C85EE9"/>
    <w:rsid w:val="00C935CF"/>
    <w:rsid w:val="00CA74D2"/>
    <w:rsid w:val="00CB25A5"/>
    <w:rsid w:val="00CE1391"/>
    <w:rsid w:val="00CE545E"/>
    <w:rsid w:val="00CF2643"/>
    <w:rsid w:val="00CF7B37"/>
    <w:rsid w:val="00D20FAB"/>
    <w:rsid w:val="00D23F99"/>
    <w:rsid w:val="00D25B84"/>
    <w:rsid w:val="00D515AF"/>
    <w:rsid w:val="00D523D4"/>
    <w:rsid w:val="00D57E66"/>
    <w:rsid w:val="00D73814"/>
    <w:rsid w:val="00D92F3B"/>
    <w:rsid w:val="00D9434D"/>
    <w:rsid w:val="00DB7DEC"/>
    <w:rsid w:val="00DD44A3"/>
    <w:rsid w:val="00DD78EB"/>
    <w:rsid w:val="00DE6888"/>
    <w:rsid w:val="00DE6F0E"/>
    <w:rsid w:val="00DF04D3"/>
    <w:rsid w:val="00E30160"/>
    <w:rsid w:val="00E3239B"/>
    <w:rsid w:val="00EB45D7"/>
    <w:rsid w:val="00EB7A6B"/>
    <w:rsid w:val="00EC090B"/>
    <w:rsid w:val="00ED0F1B"/>
    <w:rsid w:val="00ED6F06"/>
    <w:rsid w:val="00EF26D2"/>
    <w:rsid w:val="00F0110F"/>
    <w:rsid w:val="00F16B5F"/>
    <w:rsid w:val="00F1769A"/>
    <w:rsid w:val="00F22071"/>
    <w:rsid w:val="00F2241B"/>
    <w:rsid w:val="00F24504"/>
    <w:rsid w:val="00F27229"/>
    <w:rsid w:val="00F3263E"/>
    <w:rsid w:val="00F42C96"/>
    <w:rsid w:val="00F7550F"/>
    <w:rsid w:val="00F7571C"/>
    <w:rsid w:val="00F80FD6"/>
    <w:rsid w:val="00F8236E"/>
    <w:rsid w:val="00F87109"/>
    <w:rsid w:val="00F9071D"/>
    <w:rsid w:val="00F9683B"/>
    <w:rsid w:val="00FA01EB"/>
    <w:rsid w:val="00FA539B"/>
    <w:rsid w:val="00FB5F23"/>
    <w:rsid w:val="00FC2FEB"/>
    <w:rsid w:val="00FD52EB"/>
    <w:rsid w:val="00FD5CBE"/>
    <w:rsid w:val="00FF15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7B"/>
    <w:rPr>
      <w:sz w:val="24"/>
      <w:szCs w:val="24"/>
      <w:lang w:eastAsia="en-US"/>
    </w:rPr>
  </w:style>
  <w:style w:type="paragraph" w:styleId="Heading1">
    <w:name w:val="heading 1"/>
    <w:aliases w:val="h1,header 1"/>
    <w:next w:val="CommentText"/>
    <w:link w:val="Heading1Char"/>
    <w:qFormat/>
    <w:rsid w:val="00C209FC"/>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017B"/>
    <w:pPr>
      <w:tabs>
        <w:tab w:val="center" w:pos="4153"/>
        <w:tab w:val="right" w:pos="8306"/>
      </w:tabs>
    </w:pPr>
  </w:style>
  <w:style w:type="paragraph" w:styleId="Footer">
    <w:name w:val="footer"/>
    <w:basedOn w:val="Normal"/>
    <w:semiHidden/>
    <w:rsid w:val="0041017B"/>
    <w:pPr>
      <w:tabs>
        <w:tab w:val="center" w:pos="4153"/>
        <w:tab w:val="right" w:pos="8306"/>
      </w:tabs>
    </w:pPr>
  </w:style>
  <w:style w:type="paragraph" w:customStyle="1" w:styleId="Default">
    <w:name w:val="Default"/>
    <w:rsid w:val="00AF769C"/>
    <w:pPr>
      <w:autoSpaceDE w:val="0"/>
      <w:autoSpaceDN w:val="0"/>
      <w:adjustRightInd w:val="0"/>
    </w:pPr>
    <w:rPr>
      <w:color w:val="000000"/>
      <w:sz w:val="24"/>
      <w:szCs w:val="24"/>
    </w:rPr>
  </w:style>
  <w:style w:type="paragraph" w:customStyle="1" w:styleId="RPG-BodyTextNumbered">
    <w:name w:val="RPG - Body Text (Numbered)"/>
    <w:basedOn w:val="Normal"/>
    <w:link w:val="RPG-BodyTextNumberedChar"/>
    <w:qFormat/>
    <w:rsid w:val="0012686B"/>
    <w:pPr>
      <w:numPr>
        <w:numId w:val="3"/>
      </w:numPr>
      <w:spacing w:before="200"/>
    </w:pPr>
    <w:rPr>
      <w:rFonts w:eastAsia="Calibri"/>
      <w:sz w:val="22"/>
      <w:szCs w:val="22"/>
    </w:rPr>
  </w:style>
  <w:style w:type="paragraph" w:customStyle="1" w:styleId="RPG-SublistLevel1">
    <w:name w:val="RPG - Sublist Level 1"/>
    <w:basedOn w:val="RPG-BodyTextNumbered"/>
    <w:qFormat/>
    <w:rsid w:val="0012686B"/>
    <w:pPr>
      <w:numPr>
        <w:ilvl w:val="1"/>
      </w:numPr>
      <w:spacing w:before="120"/>
    </w:pPr>
  </w:style>
  <w:style w:type="paragraph" w:customStyle="1" w:styleId="RPG-SublistLevel2">
    <w:name w:val="RPG - Sublist Level 2"/>
    <w:basedOn w:val="RPG-SublistLevel1"/>
    <w:qFormat/>
    <w:rsid w:val="0012686B"/>
    <w:pPr>
      <w:numPr>
        <w:ilvl w:val="2"/>
      </w:numPr>
    </w:pPr>
  </w:style>
  <w:style w:type="character" w:customStyle="1" w:styleId="RPG-BodyTextNumberedChar">
    <w:name w:val="RPG - Body Text (Numbered) Char"/>
    <w:basedOn w:val="DefaultParagraphFont"/>
    <w:link w:val="RPG-BodyTextNumbered"/>
    <w:rsid w:val="00490022"/>
    <w:rPr>
      <w:rFonts w:eastAsia="Calibri" w:cs="Times New Roman"/>
      <w:sz w:val="22"/>
      <w:szCs w:val="22"/>
      <w:lang w:eastAsia="en-US"/>
    </w:rPr>
  </w:style>
  <w:style w:type="character" w:styleId="CommentReference">
    <w:name w:val="annotation reference"/>
    <w:basedOn w:val="DefaultParagraphFont"/>
    <w:uiPriority w:val="99"/>
    <w:semiHidden/>
    <w:unhideWhenUsed/>
    <w:rsid w:val="002D547F"/>
    <w:rPr>
      <w:sz w:val="16"/>
      <w:szCs w:val="16"/>
    </w:rPr>
  </w:style>
  <w:style w:type="paragraph" w:styleId="CommentText">
    <w:name w:val="annotation text"/>
    <w:basedOn w:val="Normal"/>
    <w:link w:val="CommentTextChar"/>
    <w:uiPriority w:val="99"/>
    <w:semiHidden/>
    <w:unhideWhenUsed/>
    <w:rsid w:val="002D547F"/>
    <w:rPr>
      <w:sz w:val="20"/>
      <w:szCs w:val="20"/>
    </w:rPr>
  </w:style>
  <w:style w:type="character" w:customStyle="1" w:styleId="CommentTextChar">
    <w:name w:val="Comment Text Char"/>
    <w:basedOn w:val="DefaultParagraphFont"/>
    <w:link w:val="CommentText"/>
    <w:uiPriority w:val="99"/>
    <w:semiHidden/>
    <w:rsid w:val="002D547F"/>
    <w:rPr>
      <w:lang w:eastAsia="en-US"/>
    </w:rPr>
  </w:style>
  <w:style w:type="paragraph" w:styleId="CommentSubject">
    <w:name w:val="annotation subject"/>
    <w:basedOn w:val="CommentText"/>
    <w:next w:val="CommentText"/>
    <w:link w:val="CommentSubjectChar"/>
    <w:uiPriority w:val="99"/>
    <w:semiHidden/>
    <w:unhideWhenUsed/>
    <w:rsid w:val="002D547F"/>
    <w:rPr>
      <w:b/>
      <w:bCs/>
    </w:rPr>
  </w:style>
  <w:style w:type="character" w:customStyle="1" w:styleId="CommentSubjectChar">
    <w:name w:val="Comment Subject Char"/>
    <w:basedOn w:val="CommentTextChar"/>
    <w:link w:val="CommentSubject"/>
    <w:uiPriority w:val="99"/>
    <w:semiHidden/>
    <w:rsid w:val="002D547F"/>
    <w:rPr>
      <w:b/>
      <w:bCs/>
      <w:lang w:eastAsia="en-US"/>
    </w:rPr>
  </w:style>
  <w:style w:type="paragraph" w:styleId="BalloonText">
    <w:name w:val="Balloon Text"/>
    <w:basedOn w:val="Normal"/>
    <w:link w:val="BalloonTextChar"/>
    <w:uiPriority w:val="99"/>
    <w:semiHidden/>
    <w:unhideWhenUsed/>
    <w:rsid w:val="002D547F"/>
    <w:rPr>
      <w:rFonts w:ascii="Tahoma" w:hAnsi="Tahoma" w:cs="Tahoma"/>
      <w:sz w:val="16"/>
      <w:szCs w:val="16"/>
    </w:rPr>
  </w:style>
  <w:style w:type="character" w:customStyle="1" w:styleId="BalloonTextChar">
    <w:name w:val="Balloon Text Char"/>
    <w:basedOn w:val="DefaultParagraphFont"/>
    <w:link w:val="BalloonText"/>
    <w:uiPriority w:val="99"/>
    <w:semiHidden/>
    <w:rsid w:val="002D547F"/>
    <w:rPr>
      <w:rFonts w:ascii="Tahoma" w:hAnsi="Tahoma" w:cs="Tahoma"/>
      <w:sz w:val="16"/>
      <w:szCs w:val="16"/>
      <w:lang w:eastAsia="en-US"/>
    </w:rPr>
  </w:style>
  <w:style w:type="paragraph" w:styleId="ListParagraph">
    <w:name w:val="List Paragraph"/>
    <w:basedOn w:val="Normal"/>
    <w:uiPriority w:val="34"/>
    <w:qFormat/>
    <w:rsid w:val="001A5FB3"/>
    <w:pPr>
      <w:ind w:left="720"/>
      <w:contextualSpacing/>
    </w:pPr>
  </w:style>
  <w:style w:type="paragraph" w:styleId="Revision">
    <w:name w:val="Revision"/>
    <w:hidden/>
    <w:uiPriority w:val="99"/>
    <w:semiHidden/>
    <w:rsid w:val="000B3E31"/>
    <w:rPr>
      <w:sz w:val="24"/>
      <w:szCs w:val="24"/>
      <w:lang w:eastAsia="en-US"/>
    </w:rPr>
  </w:style>
  <w:style w:type="character" w:styleId="Emphasis">
    <w:name w:val="Emphasis"/>
    <w:basedOn w:val="DefaultParagraphFont"/>
    <w:uiPriority w:val="20"/>
    <w:qFormat/>
    <w:rsid w:val="00872CFD"/>
    <w:rPr>
      <w:i/>
      <w:iCs/>
    </w:rPr>
  </w:style>
  <w:style w:type="character" w:customStyle="1" w:styleId="Heading1Char">
    <w:name w:val="Heading 1 Char"/>
    <w:aliases w:val="h1 Char,header 1 Char"/>
    <w:basedOn w:val="DefaultParagraphFont"/>
    <w:link w:val="Heading1"/>
    <w:rsid w:val="00C209FC"/>
    <w:rPr>
      <w:rFonts w:ascii="Arial" w:hAnsi="Arial"/>
      <w:b/>
      <w:kern w:val="28"/>
      <w:sz w:val="40"/>
    </w:rPr>
  </w:style>
  <w:style w:type="character" w:customStyle="1" w:styleId="HeaderChar">
    <w:name w:val="Header Char"/>
    <w:basedOn w:val="DefaultParagraphFont"/>
    <w:link w:val="Header"/>
    <w:uiPriority w:val="99"/>
    <w:rsid w:val="00CE545E"/>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7B"/>
    <w:rPr>
      <w:sz w:val="24"/>
      <w:szCs w:val="24"/>
      <w:lang w:eastAsia="en-US"/>
    </w:rPr>
  </w:style>
  <w:style w:type="paragraph" w:styleId="Heading1">
    <w:name w:val="heading 1"/>
    <w:aliases w:val="h1,header 1"/>
    <w:next w:val="CommentText"/>
    <w:link w:val="Heading1Char"/>
    <w:qFormat/>
    <w:rsid w:val="00C209FC"/>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017B"/>
    <w:pPr>
      <w:tabs>
        <w:tab w:val="center" w:pos="4153"/>
        <w:tab w:val="right" w:pos="8306"/>
      </w:tabs>
    </w:pPr>
  </w:style>
  <w:style w:type="paragraph" w:styleId="Footer">
    <w:name w:val="footer"/>
    <w:basedOn w:val="Normal"/>
    <w:semiHidden/>
    <w:rsid w:val="0041017B"/>
    <w:pPr>
      <w:tabs>
        <w:tab w:val="center" w:pos="4153"/>
        <w:tab w:val="right" w:pos="8306"/>
      </w:tabs>
    </w:pPr>
  </w:style>
  <w:style w:type="paragraph" w:customStyle="1" w:styleId="Default">
    <w:name w:val="Default"/>
    <w:rsid w:val="00AF769C"/>
    <w:pPr>
      <w:autoSpaceDE w:val="0"/>
      <w:autoSpaceDN w:val="0"/>
      <w:adjustRightInd w:val="0"/>
    </w:pPr>
    <w:rPr>
      <w:color w:val="000000"/>
      <w:sz w:val="24"/>
      <w:szCs w:val="24"/>
    </w:rPr>
  </w:style>
  <w:style w:type="paragraph" w:customStyle="1" w:styleId="RPG-BodyTextNumbered">
    <w:name w:val="RPG - Body Text (Numbered)"/>
    <w:basedOn w:val="Normal"/>
    <w:link w:val="RPG-BodyTextNumberedChar"/>
    <w:qFormat/>
    <w:rsid w:val="0012686B"/>
    <w:pPr>
      <w:numPr>
        <w:numId w:val="3"/>
      </w:numPr>
      <w:spacing w:before="200"/>
    </w:pPr>
    <w:rPr>
      <w:rFonts w:eastAsia="Calibri"/>
      <w:sz w:val="22"/>
      <w:szCs w:val="22"/>
    </w:rPr>
  </w:style>
  <w:style w:type="paragraph" w:customStyle="1" w:styleId="RPG-SublistLevel1">
    <w:name w:val="RPG - Sublist Level 1"/>
    <w:basedOn w:val="RPG-BodyTextNumbered"/>
    <w:qFormat/>
    <w:rsid w:val="0012686B"/>
    <w:pPr>
      <w:numPr>
        <w:ilvl w:val="1"/>
      </w:numPr>
      <w:spacing w:before="120"/>
    </w:pPr>
  </w:style>
  <w:style w:type="paragraph" w:customStyle="1" w:styleId="RPG-SublistLevel2">
    <w:name w:val="RPG - Sublist Level 2"/>
    <w:basedOn w:val="RPG-SublistLevel1"/>
    <w:qFormat/>
    <w:rsid w:val="0012686B"/>
    <w:pPr>
      <w:numPr>
        <w:ilvl w:val="2"/>
      </w:numPr>
    </w:pPr>
  </w:style>
  <w:style w:type="character" w:customStyle="1" w:styleId="RPG-BodyTextNumberedChar">
    <w:name w:val="RPG - Body Text (Numbered) Char"/>
    <w:basedOn w:val="DefaultParagraphFont"/>
    <w:link w:val="RPG-BodyTextNumbered"/>
    <w:rsid w:val="00490022"/>
    <w:rPr>
      <w:rFonts w:eastAsia="Calibri" w:cs="Times New Roman"/>
      <w:sz w:val="22"/>
      <w:szCs w:val="22"/>
      <w:lang w:eastAsia="en-US"/>
    </w:rPr>
  </w:style>
  <w:style w:type="character" w:styleId="CommentReference">
    <w:name w:val="annotation reference"/>
    <w:basedOn w:val="DefaultParagraphFont"/>
    <w:uiPriority w:val="99"/>
    <w:semiHidden/>
    <w:unhideWhenUsed/>
    <w:rsid w:val="002D547F"/>
    <w:rPr>
      <w:sz w:val="16"/>
      <w:szCs w:val="16"/>
    </w:rPr>
  </w:style>
  <w:style w:type="paragraph" w:styleId="CommentText">
    <w:name w:val="annotation text"/>
    <w:basedOn w:val="Normal"/>
    <w:link w:val="CommentTextChar"/>
    <w:uiPriority w:val="99"/>
    <w:semiHidden/>
    <w:unhideWhenUsed/>
    <w:rsid w:val="002D547F"/>
    <w:rPr>
      <w:sz w:val="20"/>
      <w:szCs w:val="20"/>
    </w:rPr>
  </w:style>
  <w:style w:type="character" w:customStyle="1" w:styleId="CommentTextChar">
    <w:name w:val="Comment Text Char"/>
    <w:basedOn w:val="DefaultParagraphFont"/>
    <w:link w:val="CommentText"/>
    <w:uiPriority w:val="99"/>
    <w:semiHidden/>
    <w:rsid w:val="002D547F"/>
    <w:rPr>
      <w:lang w:eastAsia="en-US"/>
    </w:rPr>
  </w:style>
  <w:style w:type="paragraph" w:styleId="CommentSubject">
    <w:name w:val="annotation subject"/>
    <w:basedOn w:val="CommentText"/>
    <w:next w:val="CommentText"/>
    <w:link w:val="CommentSubjectChar"/>
    <w:uiPriority w:val="99"/>
    <w:semiHidden/>
    <w:unhideWhenUsed/>
    <w:rsid w:val="002D547F"/>
    <w:rPr>
      <w:b/>
      <w:bCs/>
    </w:rPr>
  </w:style>
  <w:style w:type="character" w:customStyle="1" w:styleId="CommentSubjectChar">
    <w:name w:val="Comment Subject Char"/>
    <w:basedOn w:val="CommentTextChar"/>
    <w:link w:val="CommentSubject"/>
    <w:uiPriority w:val="99"/>
    <w:semiHidden/>
    <w:rsid w:val="002D547F"/>
    <w:rPr>
      <w:b/>
      <w:bCs/>
      <w:lang w:eastAsia="en-US"/>
    </w:rPr>
  </w:style>
  <w:style w:type="paragraph" w:styleId="BalloonText">
    <w:name w:val="Balloon Text"/>
    <w:basedOn w:val="Normal"/>
    <w:link w:val="BalloonTextChar"/>
    <w:uiPriority w:val="99"/>
    <w:semiHidden/>
    <w:unhideWhenUsed/>
    <w:rsid w:val="002D547F"/>
    <w:rPr>
      <w:rFonts w:ascii="Tahoma" w:hAnsi="Tahoma" w:cs="Tahoma"/>
      <w:sz w:val="16"/>
      <w:szCs w:val="16"/>
    </w:rPr>
  </w:style>
  <w:style w:type="character" w:customStyle="1" w:styleId="BalloonTextChar">
    <w:name w:val="Balloon Text Char"/>
    <w:basedOn w:val="DefaultParagraphFont"/>
    <w:link w:val="BalloonText"/>
    <w:uiPriority w:val="99"/>
    <w:semiHidden/>
    <w:rsid w:val="002D547F"/>
    <w:rPr>
      <w:rFonts w:ascii="Tahoma" w:hAnsi="Tahoma" w:cs="Tahoma"/>
      <w:sz w:val="16"/>
      <w:szCs w:val="16"/>
      <w:lang w:eastAsia="en-US"/>
    </w:rPr>
  </w:style>
  <w:style w:type="paragraph" w:styleId="ListParagraph">
    <w:name w:val="List Paragraph"/>
    <w:basedOn w:val="Normal"/>
    <w:uiPriority w:val="34"/>
    <w:qFormat/>
    <w:rsid w:val="001A5FB3"/>
    <w:pPr>
      <w:ind w:left="720"/>
      <w:contextualSpacing/>
    </w:pPr>
  </w:style>
  <w:style w:type="paragraph" w:styleId="Revision">
    <w:name w:val="Revision"/>
    <w:hidden/>
    <w:uiPriority w:val="99"/>
    <w:semiHidden/>
    <w:rsid w:val="000B3E31"/>
    <w:rPr>
      <w:sz w:val="24"/>
      <w:szCs w:val="24"/>
      <w:lang w:eastAsia="en-US"/>
    </w:rPr>
  </w:style>
  <w:style w:type="character" w:styleId="Emphasis">
    <w:name w:val="Emphasis"/>
    <w:basedOn w:val="DefaultParagraphFont"/>
    <w:uiPriority w:val="20"/>
    <w:qFormat/>
    <w:rsid w:val="00872CFD"/>
    <w:rPr>
      <w:i/>
      <w:iCs/>
    </w:rPr>
  </w:style>
  <w:style w:type="character" w:customStyle="1" w:styleId="Heading1Char">
    <w:name w:val="Heading 1 Char"/>
    <w:aliases w:val="h1 Char,header 1 Char"/>
    <w:basedOn w:val="DefaultParagraphFont"/>
    <w:link w:val="Heading1"/>
    <w:rsid w:val="00C209FC"/>
    <w:rPr>
      <w:rFonts w:ascii="Arial" w:hAnsi="Arial"/>
      <w:b/>
      <w:kern w:val="28"/>
      <w:sz w:val="40"/>
    </w:rPr>
  </w:style>
  <w:style w:type="character" w:customStyle="1" w:styleId="HeaderChar">
    <w:name w:val="Header Char"/>
    <w:basedOn w:val="DefaultParagraphFont"/>
    <w:link w:val="Header"/>
    <w:uiPriority w:val="99"/>
    <w:rsid w:val="00CE545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779</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 Chan</dc:creator>
  <cp:lastModifiedBy>angus.chan</cp:lastModifiedBy>
  <cp:revision>6</cp:revision>
  <cp:lastPrinted>2015-10-30T04:47:00Z</cp:lastPrinted>
  <dcterms:created xsi:type="dcterms:W3CDTF">2016-12-14T23:32:00Z</dcterms:created>
  <dcterms:modified xsi:type="dcterms:W3CDTF">2016-12-15T01:15:00Z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B1077826</vt:lpwstr>
  </property>
  <property fmtid="{D5CDD505-2E9C-101B-9397-08002B2CF9AE}" pid="4" name="Objective-Title">
    <vt:lpwstr>ASIC Superannuation (Amendment) Instrument 2015/1098 - Explanatory Statement</vt:lpwstr>
  </property>
  <property fmtid="{D5CDD505-2E9C-101B-9397-08002B2CF9AE}" pid="5" name="Objective-Comment">
    <vt:lpwstr>
    </vt:lpwstr>
  </property>
  <property fmtid="{D5CDD505-2E9C-101B-9397-08002B2CF9AE}" pid="6" name="Objective-CreationStamp">
    <vt:filetime>2015-10-30T03:08:00Z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2015-12-08T05:09:53Z</vt:filetime>
  </property>
  <property fmtid="{D5CDD505-2E9C-101B-9397-08002B2CF9AE}" pid="11" name="Objective-Owner">
    <vt:lpwstr>James Champion</vt:lpwstr>
  </property>
  <property fmtid="{D5CDD505-2E9C-101B-9397-08002B2CF9AE}" pid="12" name="Objective-Path">
    <vt:lpwstr>BCS:ASIC:STRATEGIC MANAGEMENT:Business Improvement Projects:Project Management:Stronger Super Reform Project:Project Products:Transparency:SIS s29QC Consultation Paper:Instrument - s29QC Deferral:</vt:lpwstr>
  </property>
  <property fmtid="{D5CDD505-2E9C-101B-9397-08002B2CF9AE}" pid="13" name="Objective-Parent">
    <vt:lpwstr>Instrument - s29QC Deferral</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i4>6</vt:i4>
  </property>
  <property fmtid="{D5CDD505-2E9C-101B-9397-08002B2CF9AE}" pid="17" name="Objective-VersionComment">
    <vt:lpwstr>
    </vt:lpwstr>
  </property>
  <property fmtid="{D5CDD505-2E9C-101B-9397-08002B2CF9AE}" pid="18" name="Objective-FileNumber">
    <vt:lpwstr>2010 - 005047</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