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F89" w:rsidRPr="00802909" w:rsidRDefault="00E96980" w:rsidP="005C4EB7">
      <w:pPr>
        <w:jc w:val="center"/>
        <w:rPr>
          <w:rFonts w:ascii="Arial" w:hAnsi="Arial" w:cs="Arial"/>
          <w:b/>
          <w:sz w:val="28"/>
          <w:szCs w:val="28"/>
        </w:rPr>
      </w:pPr>
      <w:r w:rsidRPr="00802909">
        <w:rPr>
          <w:rFonts w:ascii="Arial" w:hAnsi="Arial" w:cs="Arial"/>
          <w:b/>
          <w:szCs w:val="24"/>
        </w:rPr>
        <w:t xml:space="preserve"> </w:t>
      </w:r>
      <w:r w:rsidR="005C4EB7" w:rsidRPr="00802909">
        <w:rPr>
          <w:rFonts w:ascii="Arial" w:hAnsi="Arial" w:cs="Arial"/>
          <w:b/>
          <w:sz w:val="28"/>
          <w:szCs w:val="28"/>
        </w:rPr>
        <w:t>EXPLANATORY STATEMENT</w:t>
      </w:r>
    </w:p>
    <w:p w:rsidR="00646F89" w:rsidRPr="00802909" w:rsidRDefault="005C4EB7" w:rsidP="005C4EB7">
      <w:pPr>
        <w:pStyle w:val="BodyText"/>
        <w:tabs>
          <w:tab w:val="center" w:pos="4873"/>
        </w:tabs>
        <w:rPr>
          <w:rFonts w:ascii="Arial" w:hAnsi="Arial" w:cs="Arial"/>
          <w:sz w:val="22"/>
          <w:szCs w:val="22"/>
        </w:rPr>
      </w:pPr>
      <w:r w:rsidRPr="00802909">
        <w:rPr>
          <w:rFonts w:ascii="Arial" w:hAnsi="Arial" w:cs="Arial"/>
          <w:sz w:val="22"/>
          <w:szCs w:val="22"/>
        </w:rPr>
        <w:tab/>
      </w:r>
      <w:r w:rsidR="00F818CD" w:rsidRPr="00802909">
        <w:rPr>
          <w:rFonts w:ascii="Arial" w:hAnsi="Arial" w:cs="Arial"/>
          <w:sz w:val="22"/>
          <w:szCs w:val="22"/>
        </w:rPr>
        <w:t xml:space="preserve">Approved </w:t>
      </w:r>
      <w:r w:rsidR="00646F89" w:rsidRPr="00802909">
        <w:rPr>
          <w:rFonts w:ascii="Arial" w:hAnsi="Arial" w:cs="Arial"/>
          <w:sz w:val="22"/>
          <w:szCs w:val="22"/>
        </w:rPr>
        <w:t>by the Australian Communications and Media Authority</w:t>
      </w:r>
    </w:p>
    <w:p w:rsidR="00906A8A" w:rsidRPr="00802909" w:rsidRDefault="00906A8A" w:rsidP="00646F89">
      <w:pPr>
        <w:pStyle w:val="BodyText"/>
        <w:jc w:val="center"/>
        <w:rPr>
          <w:rFonts w:ascii="Arial" w:hAnsi="Arial" w:cs="Arial"/>
          <w:i/>
          <w:sz w:val="22"/>
          <w:szCs w:val="22"/>
        </w:rPr>
      </w:pPr>
      <w:r w:rsidRPr="00802909">
        <w:rPr>
          <w:rFonts w:ascii="Arial" w:hAnsi="Arial" w:cs="Arial"/>
          <w:i/>
          <w:sz w:val="22"/>
          <w:szCs w:val="22"/>
        </w:rPr>
        <w:t>Radiocommunications Act 1992</w:t>
      </w:r>
    </w:p>
    <w:p w:rsidR="00646F89" w:rsidRPr="00802909" w:rsidRDefault="00646F89" w:rsidP="00390836">
      <w:pPr>
        <w:pStyle w:val="BodyText"/>
        <w:tabs>
          <w:tab w:val="left" w:pos="735"/>
          <w:tab w:val="center" w:pos="4873"/>
        </w:tabs>
        <w:rPr>
          <w:rFonts w:ascii="Arial" w:hAnsi="Arial" w:cs="Arial"/>
          <w:b/>
          <w:i/>
          <w:sz w:val="22"/>
          <w:szCs w:val="22"/>
        </w:rPr>
      </w:pPr>
      <w:r w:rsidRPr="00802909">
        <w:rPr>
          <w:rFonts w:ascii="Arial" w:hAnsi="Arial" w:cs="Arial"/>
          <w:b/>
          <w:i/>
          <w:sz w:val="22"/>
          <w:szCs w:val="22"/>
        </w:rPr>
        <w:t>Radiocommunications (</w:t>
      </w:r>
      <w:r w:rsidR="00A12BBC" w:rsidRPr="00802909">
        <w:rPr>
          <w:rFonts w:ascii="Arial" w:hAnsi="Arial" w:cs="Arial"/>
          <w:b/>
          <w:i/>
          <w:sz w:val="22"/>
          <w:szCs w:val="22"/>
        </w:rPr>
        <w:t>Emergency Locating Devices</w:t>
      </w:r>
      <w:r w:rsidRPr="00802909">
        <w:rPr>
          <w:rFonts w:ascii="Arial" w:hAnsi="Arial" w:cs="Arial"/>
          <w:b/>
          <w:i/>
          <w:sz w:val="22"/>
          <w:szCs w:val="22"/>
        </w:rPr>
        <w:t xml:space="preserve">) </w:t>
      </w:r>
      <w:r w:rsidR="00A12BBC" w:rsidRPr="00802909">
        <w:rPr>
          <w:rFonts w:ascii="Arial" w:hAnsi="Arial" w:cs="Arial"/>
          <w:b/>
          <w:i/>
          <w:sz w:val="22"/>
          <w:szCs w:val="22"/>
        </w:rPr>
        <w:t>Class Licence</w:t>
      </w:r>
      <w:r w:rsidR="000D38ED" w:rsidRPr="00802909">
        <w:rPr>
          <w:rFonts w:ascii="Arial" w:hAnsi="Arial" w:cs="Arial"/>
          <w:b/>
          <w:i/>
          <w:sz w:val="22"/>
          <w:szCs w:val="22"/>
        </w:rPr>
        <w:t xml:space="preserve"> </w:t>
      </w:r>
      <w:r w:rsidR="0070127B" w:rsidRPr="00802909">
        <w:rPr>
          <w:rFonts w:ascii="Arial" w:hAnsi="Arial" w:cs="Arial"/>
          <w:b/>
          <w:i/>
          <w:sz w:val="22"/>
          <w:szCs w:val="22"/>
        </w:rPr>
        <w:t xml:space="preserve">Amendment </w:t>
      </w:r>
      <w:r w:rsidR="00043744" w:rsidRPr="00802909">
        <w:rPr>
          <w:rFonts w:ascii="Arial" w:hAnsi="Arial" w:cs="Arial"/>
          <w:b/>
          <w:i/>
          <w:sz w:val="22"/>
          <w:szCs w:val="22"/>
        </w:rPr>
        <w:t>201</w:t>
      </w:r>
      <w:r w:rsidR="007E36F8" w:rsidRPr="00802909">
        <w:rPr>
          <w:rFonts w:ascii="Arial" w:hAnsi="Arial" w:cs="Arial"/>
          <w:b/>
          <w:i/>
          <w:sz w:val="22"/>
          <w:szCs w:val="22"/>
        </w:rPr>
        <w:t>6</w:t>
      </w:r>
      <w:r w:rsidR="0070127B" w:rsidRPr="00802909">
        <w:rPr>
          <w:rFonts w:ascii="Arial" w:hAnsi="Arial" w:cs="Arial"/>
          <w:b/>
          <w:i/>
          <w:sz w:val="22"/>
          <w:szCs w:val="22"/>
        </w:rPr>
        <w:t xml:space="preserve"> (No.1)</w:t>
      </w:r>
    </w:p>
    <w:p w:rsidR="00646F89" w:rsidRPr="00802909" w:rsidRDefault="00646F89" w:rsidP="00646F89">
      <w:pPr>
        <w:pStyle w:val="BodyText"/>
        <w:rPr>
          <w:rFonts w:ascii="Arial" w:hAnsi="Arial" w:cs="Arial"/>
          <w:b/>
          <w:sz w:val="20"/>
        </w:rPr>
      </w:pPr>
    </w:p>
    <w:p w:rsidR="005C4EB7" w:rsidRPr="00802909" w:rsidRDefault="005C4EB7" w:rsidP="005C4EB7">
      <w:pPr>
        <w:spacing w:before="280"/>
        <w:rPr>
          <w:rFonts w:ascii="Arial" w:hAnsi="Arial" w:cs="Arial"/>
          <w:b/>
        </w:rPr>
      </w:pPr>
      <w:r w:rsidRPr="00802909">
        <w:rPr>
          <w:rFonts w:ascii="Arial" w:hAnsi="Arial" w:cs="Arial"/>
          <w:b/>
        </w:rPr>
        <w:t>Authority</w:t>
      </w:r>
    </w:p>
    <w:p w:rsidR="005C4EB7" w:rsidRPr="00802909" w:rsidRDefault="005C4EB7" w:rsidP="005C4EB7">
      <w:pPr>
        <w:rPr>
          <w:rFonts w:ascii="Arial" w:hAnsi="Arial" w:cs="Arial"/>
        </w:rPr>
      </w:pPr>
      <w:r w:rsidRPr="00802909">
        <w:rPr>
          <w:rFonts w:ascii="Arial" w:hAnsi="Arial" w:cs="Arial"/>
        </w:rPr>
        <w:t>The Australian Communications and Media Authority (</w:t>
      </w:r>
      <w:r w:rsidRPr="00802909">
        <w:rPr>
          <w:rFonts w:ascii="Arial" w:hAnsi="Arial" w:cs="Arial"/>
          <w:b/>
        </w:rPr>
        <w:t>the ACMA</w:t>
      </w:r>
      <w:r w:rsidRPr="00802909">
        <w:rPr>
          <w:rFonts w:ascii="Arial" w:hAnsi="Arial" w:cs="Arial"/>
        </w:rPr>
        <w:t xml:space="preserve">) </w:t>
      </w:r>
      <w:r w:rsidR="00D11D32" w:rsidRPr="00802909">
        <w:rPr>
          <w:rFonts w:ascii="Arial" w:hAnsi="Arial" w:cs="Arial"/>
        </w:rPr>
        <w:t xml:space="preserve">has </w:t>
      </w:r>
      <w:r w:rsidRPr="00802909">
        <w:rPr>
          <w:rFonts w:ascii="Arial" w:hAnsi="Arial" w:cs="Arial"/>
        </w:rPr>
        <w:t>ma</w:t>
      </w:r>
      <w:r w:rsidR="00D11D32" w:rsidRPr="00802909">
        <w:rPr>
          <w:rFonts w:ascii="Arial" w:hAnsi="Arial" w:cs="Arial"/>
        </w:rPr>
        <w:t>d</w:t>
      </w:r>
      <w:r w:rsidRPr="00802909">
        <w:rPr>
          <w:rFonts w:ascii="Arial" w:hAnsi="Arial" w:cs="Arial"/>
        </w:rPr>
        <w:t xml:space="preserve">e the </w:t>
      </w:r>
      <w:r w:rsidRPr="00802909">
        <w:rPr>
          <w:rFonts w:ascii="Arial" w:hAnsi="Arial" w:cs="Arial"/>
          <w:i/>
        </w:rPr>
        <w:t>Radiocommunications (Emergency Locating Devices) Class Licence</w:t>
      </w:r>
      <w:r w:rsidR="0070127B" w:rsidRPr="00802909">
        <w:rPr>
          <w:rFonts w:ascii="Arial" w:hAnsi="Arial" w:cs="Arial"/>
          <w:i/>
        </w:rPr>
        <w:t xml:space="preserve"> Amendment</w:t>
      </w:r>
      <w:r w:rsidRPr="00802909">
        <w:rPr>
          <w:rFonts w:ascii="Arial" w:hAnsi="Arial" w:cs="Arial"/>
          <w:i/>
        </w:rPr>
        <w:t xml:space="preserve"> 2016 </w:t>
      </w:r>
      <w:r w:rsidR="0070127B" w:rsidRPr="00802909">
        <w:rPr>
          <w:rFonts w:ascii="Arial" w:hAnsi="Arial" w:cs="Arial"/>
          <w:i/>
        </w:rPr>
        <w:t xml:space="preserve">(No. 1) </w:t>
      </w:r>
      <w:r w:rsidRPr="00802909">
        <w:rPr>
          <w:rFonts w:ascii="Arial" w:hAnsi="Arial" w:cs="Arial"/>
        </w:rPr>
        <w:t>(</w:t>
      </w:r>
      <w:r w:rsidRPr="00802909">
        <w:rPr>
          <w:rFonts w:ascii="Arial" w:hAnsi="Arial" w:cs="Arial"/>
          <w:b/>
        </w:rPr>
        <w:t>the instrument</w:t>
      </w:r>
      <w:r w:rsidRPr="00802909">
        <w:rPr>
          <w:rFonts w:ascii="Arial" w:hAnsi="Arial" w:cs="Arial"/>
        </w:rPr>
        <w:t xml:space="preserve">) under subsection 132(1) of the </w:t>
      </w:r>
      <w:r w:rsidRPr="00802909">
        <w:rPr>
          <w:rFonts w:ascii="Arial" w:hAnsi="Arial" w:cs="Arial"/>
          <w:i/>
        </w:rPr>
        <w:t xml:space="preserve">Radiocommunications Act </w:t>
      </w:r>
      <w:r w:rsidRPr="00802909">
        <w:rPr>
          <w:rFonts w:ascii="Arial" w:hAnsi="Arial" w:cs="Arial"/>
        </w:rPr>
        <w:t>(</w:t>
      </w:r>
      <w:r w:rsidRPr="00802909">
        <w:rPr>
          <w:rFonts w:ascii="Arial" w:hAnsi="Arial" w:cs="Arial"/>
          <w:b/>
        </w:rPr>
        <w:t>the Act</w:t>
      </w:r>
      <w:r w:rsidRPr="00802909">
        <w:rPr>
          <w:rFonts w:ascii="Arial" w:hAnsi="Arial" w:cs="Arial"/>
        </w:rPr>
        <w:t xml:space="preserve">) and subsection 33(3) of the </w:t>
      </w:r>
      <w:r w:rsidRPr="00802909">
        <w:rPr>
          <w:rFonts w:ascii="Arial" w:hAnsi="Arial" w:cs="Arial"/>
          <w:i/>
        </w:rPr>
        <w:t xml:space="preserve">Acts Interpretation Act 1901 </w:t>
      </w:r>
      <w:r w:rsidRPr="00802909">
        <w:rPr>
          <w:rFonts w:ascii="Arial" w:hAnsi="Arial" w:cs="Arial"/>
        </w:rPr>
        <w:t>(</w:t>
      </w:r>
      <w:r w:rsidRPr="00802909">
        <w:rPr>
          <w:rFonts w:ascii="Arial" w:hAnsi="Arial" w:cs="Arial"/>
          <w:b/>
        </w:rPr>
        <w:t>the AIA)</w:t>
      </w:r>
      <w:r w:rsidRPr="00802909">
        <w:rPr>
          <w:rFonts w:ascii="Arial" w:hAnsi="Arial" w:cs="Arial"/>
        </w:rPr>
        <w:t>.</w:t>
      </w:r>
    </w:p>
    <w:p w:rsidR="005C4EB7" w:rsidRPr="00802909" w:rsidRDefault="00743E71" w:rsidP="005C4EB7">
      <w:pPr>
        <w:pStyle w:val="BodyText"/>
        <w:spacing w:line="276" w:lineRule="auto"/>
        <w:rPr>
          <w:rFonts w:ascii="Arial" w:hAnsi="Arial" w:cs="Arial"/>
          <w:sz w:val="22"/>
          <w:szCs w:val="22"/>
        </w:rPr>
      </w:pPr>
      <w:r w:rsidRPr="00802909">
        <w:rPr>
          <w:rFonts w:ascii="Arial" w:hAnsi="Arial" w:cs="Arial"/>
          <w:sz w:val="22"/>
          <w:szCs w:val="22"/>
        </w:rPr>
        <w:t>Subs</w:t>
      </w:r>
      <w:r w:rsidR="005C4EB7" w:rsidRPr="00802909">
        <w:rPr>
          <w:rFonts w:ascii="Arial" w:hAnsi="Arial" w:cs="Arial"/>
          <w:sz w:val="22"/>
          <w:szCs w:val="22"/>
        </w:rPr>
        <w:t>ection 132</w:t>
      </w:r>
      <w:r w:rsidRPr="00802909">
        <w:rPr>
          <w:rFonts w:ascii="Arial" w:hAnsi="Arial" w:cs="Arial"/>
          <w:sz w:val="22"/>
          <w:szCs w:val="22"/>
        </w:rPr>
        <w:t>(1)</w:t>
      </w:r>
      <w:r w:rsidR="005C4EB7" w:rsidRPr="00802909">
        <w:rPr>
          <w:rFonts w:ascii="Arial" w:hAnsi="Arial" w:cs="Arial"/>
          <w:sz w:val="22"/>
          <w:szCs w:val="22"/>
        </w:rPr>
        <w:t xml:space="preserve"> of the Act provides that the ACMA may, </w:t>
      </w:r>
      <w:r w:rsidR="002C01EA" w:rsidRPr="00802909">
        <w:rPr>
          <w:rFonts w:ascii="Arial" w:hAnsi="Arial" w:cs="Arial"/>
          <w:sz w:val="22"/>
          <w:szCs w:val="22"/>
        </w:rPr>
        <w:t>by legislative instrument</w:t>
      </w:r>
      <w:r w:rsidR="005C4EB7" w:rsidRPr="00802909">
        <w:rPr>
          <w:rFonts w:ascii="Arial" w:hAnsi="Arial" w:cs="Arial"/>
          <w:sz w:val="22"/>
          <w:szCs w:val="22"/>
        </w:rPr>
        <w:t xml:space="preserve">, issue </w:t>
      </w:r>
      <w:r w:rsidR="00E74858" w:rsidRPr="00802909">
        <w:rPr>
          <w:rFonts w:ascii="Arial" w:hAnsi="Arial" w:cs="Arial"/>
          <w:sz w:val="22"/>
          <w:szCs w:val="22"/>
        </w:rPr>
        <w:t>c</w:t>
      </w:r>
      <w:r w:rsidR="00D11D32" w:rsidRPr="00802909">
        <w:rPr>
          <w:rFonts w:ascii="Arial" w:hAnsi="Arial" w:cs="Arial"/>
          <w:sz w:val="22"/>
          <w:szCs w:val="22"/>
        </w:rPr>
        <w:t xml:space="preserve">lass </w:t>
      </w:r>
      <w:r w:rsidR="00E74858" w:rsidRPr="00802909">
        <w:rPr>
          <w:rFonts w:ascii="Arial" w:hAnsi="Arial" w:cs="Arial"/>
          <w:sz w:val="22"/>
          <w:szCs w:val="22"/>
        </w:rPr>
        <w:t>l</w:t>
      </w:r>
      <w:r w:rsidR="00D11D32" w:rsidRPr="00802909">
        <w:rPr>
          <w:rFonts w:ascii="Arial" w:hAnsi="Arial" w:cs="Arial"/>
          <w:sz w:val="22"/>
          <w:szCs w:val="22"/>
        </w:rPr>
        <w:t>icence</w:t>
      </w:r>
      <w:r w:rsidR="005C4EB7" w:rsidRPr="00802909">
        <w:rPr>
          <w:rFonts w:ascii="Arial" w:hAnsi="Arial" w:cs="Arial"/>
          <w:sz w:val="22"/>
          <w:szCs w:val="22"/>
        </w:rPr>
        <w:t xml:space="preserve">s. </w:t>
      </w:r>
    </w:p>
    <w:p w:rsidR="005C4EB7" w:rsidRPr="00802909" w:rsidRDefault="005C4EB7" w:rsidP="005C4EB7">
      <w:pPr>
        <w:rPr>
          <w:rFonts w:ascii="Arial" w:hAnsi="Arial" w:cs="Arial"/>
        </w:rPr>
      </w:pPr>
      <w:r w:rsidRPr="00802909">
        <w:rPr>
          <w:rFonts w:ascii="Arial" w:hAnsi="Arial" w:cs="Arial"/>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rsidR="00646F89" w:rsidRPr="00802909" w:rsidRDefault="00082C61" w:rsidP="00646F89">
      <w:pPr>
        <w:pStyle w:val="BodyText"/>
        <w:rPr>
          <w:rFonts w:ascii="Arial" w:hAnsi="Arial" w:cs="Arial"/>
          <w:b/>
          <w:sz w:val="22"/>
          <w:szCs w:val="22"/>
        </w:rPr>
      </w:pPr>
      <w:r w:rsidRPr="00802909">
        <w:rPr>
          <w:rFonts w:ascii="Arial" w:hAnsi="Arial" w:cs="Arial"/>
          <w:b/>
          <w:sz w:val="22"/>
          <w:szCs w:val="22"/>
        </w:rPr>
        <w:t>Purpose</w:t>
      </w:r>
      <w:r w:rsidR="00743E71" w:rsidRPr="00802909">
        <w:rPr>
          <w:rFonts w:ascii="Arial" w:hAnsi="Arial" w:cs="Arial"/>
          <w:b/>
          <w:sz w:val="22"/>
          <w:szCs w:val="22"/>
        </w:rPr>
        <w:t xml:space="preserve"> and operation of the instrument</w:t>
      </w:r>
    </w:p>
    <w:p w:rsidR="0070127B" w:rsidRPr="00802909" w:rsidRDefault="00646F89" w:rsidP="00043744">
      <w:pPr>
        <w:pStyle w:val="BodyText"/>
        <w:spacing w:line="276" w:lineRule="auto"/>
        <w:rPr>
          <w:rFonts w:ascii="Arial" w:hAnsi="Arial" w:cs="Arial"/>
          <w:sz w:val="22"/>
          <w:szCs w:val="22"/>
        </w:rPr>
      </w:pPr>
      <w:r w:rsidRPr="00802909">
        <w:rPr>
          <w:rFonts w:ascii="Arial" w:hAnsi="Arial" w:cs="Arial"/>
          <w:sz w:val="22"/>
          <w:szCs w:val="22"/>
        </w:rPr>
        <w:t xml:space="preserve">The </w:t>
      </w:r>
      <w:r w:rsidR="00743E71" w:rsidRPr="00802909">
        <w:rPr>
          <w:rFonts w:ascii="Arial" w:hAnsi="Arial" w:cs="Arial"/>
          <w:sz w:val="22"/>
          <w:szCs w:val="22"/>
        </w:rPr>
        <w:t>instrument</w:t>
      </w:r>
      <w:r w:rsidR="00043744" w:rsidRPr="00802909">
        <w:rPr>
          <w:rFonts w:ascii="Arial" w:hAnsi="Arial" w:cs="Arial"/>
          <w:sz w:val="22"/>
          <w:szCs w:val="22"/>
        </w:rPr>
        <w:t xml:space="preserve"> </w:t>
      </w:r>
      <w:r w:rsidR="0070127B" w:rsidRPr="00802909">
        <w:rPr>
          <w:rFonts w:ascii="Arial" w:hAnsi="Arial" w:cs="Arial"/>
          <w:sz w:val="22"/>
          <w:szCs w:val="22"/>
        </w:rPr>
        <w:t xml:space="preserve">amends the </w:t>
      </w:r>
      <w:r w:rsidR="0070127B" w:rsidRPr="00802909">
        <w:rPr>
          <w:rFonts w:ascii="Arial" w:hAnsi="Arial" w:cs="Arial"/>
          <w:i/>
          <w:sz w:val="22"/>
          <w:szCs w:val="22"/>
        </w:rPr>
        <w:t xml:space="preserve">Radiocommunications (Emergency Locating Devices) Class Licence 2016 </w:t>
      </w:r>
      <w:r w:rsidR="00505E56" w:rsidRPr="00802909">
        <w:rPr>
          <w:rFonts w:ascii="Arial" w:hAnsi="Arial" w:cs="Arial"/>
          <w:sz w:val="22"/>
          <w:szCs w:val="22"/>
        </w:rPr>
        <w:t>(</w:t>
      </w:r>
      <w:r w:rsidR="00505E56" w:rsidRPr="00802909">
        <w:rPr>
          <w:rFonts w:ascii="Arial" w:hAnsi="Arial" w:cs="Arial"/>
          <w:b/>
          <w:sz w:val="22"/>
          <w:szCs w:val="22"/>
        </w:rPr>
        <w:t>the Class Licence</w:t>
      </w:r>
      <w:r w:rsidR="00505E56" w:rsidRPr="00802909">
        <w:rPr>
          <w:rFonts w:ascii="Arial" w:hAnsi="Arial" w:cs="Arial"/>
          <w:sz w:val="22"/>
          <w:szCs w:val="22"/>
        </w:rPr>
        <w:t xml:space="preserve">) </w:t>
      </w:r>
      <w:r w:rsidR="0070127B" w:rsidRPr="00802909">
        <w:rPr>
          <w:rFonts w:ascii="Arial" w:hAnsi="Arial" w:cs="Arial"/>
          <w:sz w:val="22"/>
          <w:szCs w:val="22"/>
        </w:rPr>
        <w:t xml:space="preserve">by making it clear </w:t>
      </w:r>
      <w:r w:rsidR="00E74858" w:rsidRPr="00802909">
        <w:rPr>
          <w:rFonts w:ascii="Arial" w:hAnsi="Arial" w:cs="Arial"/>
          <w:sz w:val="22"/>
          <w:szCs w:val="22"/>
        </w:rPr>
        <w:t xml:space="preserve">that a particular document that has been incorporated by reference </w:t>
      </w:r>
      <w:r w:rsidR="00505E56" w:rsidRPr="00802909">
        <w:rPr>
          <w:rFonts w:ascii="Arial" w:hAnsi="Arial" w:cs="Arial"/>
          <w:sz w:val="22"/>
          <w:szCs w:val="22"/>
        </w:rPr>
        <w:t xml:space="preserve">into the Class Licence </w:t>
      </w:r>
      <w:r w:rsidR="00E74858" w:rsidRPr="00802909">
        <w:rPr>
          <w:rFonts w:ascii="Arial" w:hAnsi="Arial" w:cs="Arial"/>
          <w:sz w:val="22"/>
          <w:szCs w:val="22"/>
        </w:rPr>
        <w:t xml:space="preserve">has been incorporated </w:t>
      </w:r>
      <w:r w:rsidR="00505E56" w:rsidRPr="00802909">
        <w:rPr>
          <w:rFonts w:ascii="Arial" w:hAnsi="Arial" w:cs="Arial"/>
          <w:sz w:val="22"/>
          <w:szCs w:val="22"/>
        </w:rPr>
        <w:t xml:space="preserve">as in force from time to time.  </w:t>
      </w:r>
      <w:r w:rsidR="005D1C11" w:rsidRPr="00802909">
        <w:rPr>
          <w:rFonts w:ascii="Arial" w:hAnsi="Arial" w:cs="Arial"/>
          <w:sz w:val="22"/>
          <w:szCs w:val="22"/>
        </w:rPr>
        <w:t xml:space="preserve">The document in question is the </w:t>
      </w:r>
      <w:r w:rsidR="005D1C11" w:rsidRPr="00802909">
        <w:rPr>
          <w:rFonts w:ascii="Arial" w:hAnsi="Arial" w:cs="Arial"/>
          <w:i/>
          <w:sz w:val="22"/>
          <w:szCs w:val="22"/>
        </w:rPr>
        <w:t xml:space="preserve">Radio Regulations Articles </w:t>
      </w:r>
      <w:r w:rsidR="005D1C11" w:rsidRPr="00802909">
        <w:rPr>
          <w:rFonts w:ascii="Arial" w:hAnsi="Arial" w:cs="Arial"/>
          <w:sz w:val="22"/>
          <w:szCs w:val="22"/>
        </w:rPr>
        <w:t>made by</w:t>
      </w:r>
      <w:r w:rsidR="005D1C11" w:rsidRPr="00802909">
        <w:rPr>
          <w:rFonts w:ascii="Arial" w:hAnsi="Arial" w:cs="Arial"/>
          <w:i/>
          <w:sz w:val="22"/>
          <w:szCs w:val="22"/>
        </w:rPr>
        <w:t xml:space="preserve"> </w:t>
      </w:r>
      <w:r w:rsidR="0070127B" w:rsidRPr="00802909">
        <w:rPr>
          <w:rFonts w:ascii="Arial" w:hAnsi="Arial" w:cs="Arial"/>
          <w:sz w:val="22"/>
          <w:szCs w:val="22"/>
        </w:rPr>
        <w:t>the International Telecommunication Union</w:t>
      </w:r>
      <w:r w:rsidR="005D1C11" w:rsidRPr="00802909">
        <w:rPr>
          <w:rFonts w:ascii="Arial" w:hAnsi="Arial" w:cs="Arial"/>
          <w:sz w:val="22"/>
          <w:szCs w:val="22"/>
        </w:rPr>
        <w:t xml:space="preserve"> (</w:t>
      </w:r>
      <w:r w:rsidR="005D1C11" w:rsidRPr="00802909">
        <w:rPr>
          <w:rFonts w:ascii="Arial" w:hAnsi="Arial" w:cs="Arial"/>
          <w:b/>
          <w:sz w:val="22"/>
          <w:szCs w:val="22"/>
        </w:rPr>
        <w:t>ITU</w:t>
      </w:r>
      <w:r w:rsidR="005D1C11" w:rsidRPr="00802909">
        <w:rPr>
          <w:rFonts w:ascii="Arial" w:hAnsi="Arial" w:cs="Arial"/>
          <w:sz w:val="22"/>
          <w:szCs w:val="22"/>
        </w:rPr>
        <w:t xml:space="preserve">).  </w:t>
      </w:r>
      <w:r w:rsidR="0070127B" w:rsidRPr="00802909">
        <w:rPr>
          <w:rFonts w:ascii="Arial" w:hAnsi="Arial" w:cs="Arial"/>
          <w:sz w:val="22"/>
          <w:szCs w:val="22"/>
        </w:rPr>
        <w:t xml:space="preserve"> The </w:t>
      </w:r>
      <w:r w:rsidR="0070127B" w:rsidRPr="00802909">
        <w:rPr>
          <w:rFonts w:ascii="Arial" w:hAnsi="Arial" w:cs="Arial"/>
          <w:i/>
          <w:sz w:val="22"/>
          <w:szCs w:val="22"/>
        </w:rPr>
        <w:t>Radio Regulations Articles</w:t>
      </w:r>
      <w:r w:rsidR="00A12BBC" w:rsidRPr="00802909">
        <w:rPr>
          <w:rFonts w:ascii="Arial" w:hAnsi="Arial" w:cs="Arial"/>
          <w:sz w:val="22"/>
          <w:szCs w:val="22"/>
        </w:rPr>
        <w:t xml:space="preserve"> </w:t>
      </w:r>
      <w:r w:rsidR="0070127B" w:rsidRPr="00802909">
        <w:rPr>
          <w:rFonts w:ascii="Arial" w:hAnsi="Arial" w:cs="Arial"/>
          <w:sz w:val="22"/>
          <w:szCs w:val="22"/>
        </w:rPr>
        <w:t>are referenced for the purpose of defining the term ‘radar’</w:t>
      </w:r>
      <w:r w:rsidR="005D1C11" w:rsidRPr="00802909">
        <w:rPr>
          <w:rFonts w:ascii="Arial" w:hAnsi="Arial" w:cs="Arial"/>
          <w:sz w:val="22"/>
          <w:szCs w:val="22"/>
        </w:rPr>
        <w:t xml:space="preserve"> in subsection 5(1) of the Class Licence</w:t>
      </w:r>
      <w:r w:rsidR="00A93D95" w:rsidRPr="00802909">
        <w:rPr>
          <w:rFonts w:ascii="Arial" w:hAnsi="Arial" w:cs="Arial"/>
          <w:sz w:val="22"/>
          <w:szCs w:val="22"/>
        </w:rPr>
        <w:t>.</w:t>
      </w:r>
    </w:p>
    <w:p w:rsidR="005D1C11" w:rsidRPr="00802909" w:rsidRDefault="005D1C11" w:rsidP="00043744">
      <w:pPr>
        <w:pStyle w:val="BodyText"/>
        <w:spacing w:line="276" w:lineRule="auto"/>
        <w:rPr>
          <w:rFonts w:ascii="Arial" w:hAnsi="Arial" w:cs="Arial"/>
          <w:i/>
          <w:sz w:val="22"/>
          <w:szCs w:val="22"/>
        </w:rPr>
      </w:pPr>
      <w:r w:rsidRPr="00802909">
        <w:rPr>
          <w:rFonts w:ascii="Arial" w:hAnsi="Arial" w:cs="Arial"/>
          <w:sz w:val="22"/>
          <w:szCs w:val="22"/>
        </w:rPr>
        <w:t>The instrument also adds a note under th</w:t>
      </w:r>
      <w:r w:rsidR="008522D6" w:rsidRPr="00802909">
        <w:rPr>
          <w:rFonts w:ascii="Arial" w:hAnsi="Arial" w:cs="Arial"/>
          <w:sz w:val="22"/>
          <w:szCs w:val="22"/>
        </w:rPr>
        <w:t>e</w:t>
      </w:r>
      <w:r w:rsidRPr="00802909">
        <w:rPr>
          <w:rFonts w:ascii="Arial" w:hAnsi="Arial" w:cs="Arial"/>
          <w:sz w:val="22"/>
          <w:szCs w:val="22"/>
        </w:rPr>
        <w:t xml:space="preserve"> definition of ‘radar’ to indicate that the </w:t>
      </w:r>
      <w:r w:rsidRPr="00802909">
        <w:rPr>
          <w:rFonts w:ascii="Arial" w:hAnsi="Arial" w:cs="Arial"/>
          <w:i/>
          <w:sz w:val="22"/>
          <w:szCs w:val="22"/>
        </w:rPr>
        <w:t xml:space="preserve">Radio Regulations Articles </w:t>
      </w:r>
      <w:r w:rsidRPr="00802909">
        <w:rPr>
          <w:rFonts w:ascii="Arial" w:hAnsi="Arial" w:cs="Arial"/>
          <w:sz w:val="22"/>
          <w:szCs w:val="22"/>
        </w:rPr>
        <w:t xml:space="preserve">may be accessed at </w:t>
      </w:r>
      <w:hyperlink r:id="rId12" w:history="1">
        <w:r w:rsidRPr="00802909">
          <w:rPr>
            <w:rStyle w:val="Hyperlink"/>
            <w:rFonts w:ascii="Arial" w:hAnsi="Arial" w:cs="Arial"/>
            <w:sz w:val="22"/>
            <w:szCs w:val="22"/>
          </w:rPr>
          <w:t>www.itu.int</w:t>
        </w:r>
      </w:hyperlink>
      <w:r w:rsidRPr="00802909">
        <w:rPr>
          <w:rFonts w:ascii="Arial" w:hAnsi="Arial" w:cs="Arial"/>
          <w:sz w:val="22"/>
          <w:szCs w:val="22"/>
        </w:rPr>
        <w:t>, being the website address of the ITU.</w:t>
      </w:r>
      <w:r w:rsidRPr="00802909">
        <w:rPr>
          <w:rFonts w:ascii="Arial" w:hAnsi="Arial" w:cs="Arial"/>
          <w:i/>
          <w:sz w:val="22"/>
          <w:szCs w:val="22"/>
        </w:rPr>
        <w:t xml:space="preserve"> </w:t>
      </w:r>
    </w:p>
    <w:p w:rsidR="006C2879" w:rsidRPr="00802909" w:rsidRDefault="006C2879" w:rsidP="006C2879">
      <w:pPr>
        <w:rPr>
          <w:rFonts w:ascii="Arial" w:hAnsi="Arial" w:cs="Arial"/>
        </w:rPr>
      </w:pPr>
      <w:r w:rsidRPr="00802909">
        <w:rPr>
          <w:rFonts w:ascii="Arial" w:hAnsi="Arial" w:cs="Arial"/>
        </w:rPr>
        <w:t xml:space="preserve">A provision-by-provision description of the instrument is set out in </w:t>
      </w:r>
      <w:r w:rsidRPr="00802909">
        <w:rPr>
          <w:rFonts w:ascii="Arial" w:hAnsi="Arial" w:cs="Arial"/>
          <w:b/>
        </w:rPr>
        <w:t>Attachment A</w:t>
      </w:r>
      <w:r w:rsidRPr="00802909">
        <w:rPr>
          <w:rFonts w:ascii="Arial" w:hAnsi="Arial" w:cs="Arial"/>
        </w:rPr>
        <w:t>.</w:t>
      </w:r>
    </w:p>
    <w:p w:rsidR="006C2879" w:rsidRPr="00802909" w:rsidRDefault="006C2879" w:rsidP="006C2879">
      <w:pPr>
        <w:rPr>
          <w:rFonts w:ascii="Arial" w:hAnsi="Arial" w:cs="Arial"/>
        </w:rPr>
      </w:pPr>
      <w:r w:rsidRPr="00802909">
        <w:rPr>
          <w:rFonts w:ascii="Arial" w:hAnsi="Arial" w:cs="Arial"/>
        </w:rPr>
        <w:t xml:space="preserve">The instrument is a legislative instrument for the purposes of the </w:t>
      </w:r>
      <w:r w:rsidR="008522D6" w:rsidRPr="00802909">
        <w:rPr>
          <w:rFonts w:ascii="Arial" w:hAnsi="Arial" w:cs="Arial"/>
          <w:i/>
        </w:rPr>
        <w:t xml:space="preserve">Legislation Act 2003 </w:t>
      </w:r>
      <w:r w:rsidR="00A93D95" w:rsidRPr="00802909">
        <w:rPr>
          <w:rFonts w:ascii="Arial" w:hAnsi="Arial" w:cs="Arial"/>
        </w:rPr>
        <w:t>(</w:t>
      </w:r>
      <w:r w:rsidR="00A93D95" w:rsidRPr="00802909">
        <w:rPr>
          <w:rFonts w:ascii="Arial" w:hAnsi="Arial" w:cs="Arial"/>
          <w:b/>
        </w:rPr>
        <w:t>LA</w:t>
      </w:r>
      <w:r w:rsidR="00A93D95" w:rsidRPr="00802909">
        <w:rPr>
          <w:rFonts w:ascii="Arial" w:hAnsi="Arial" w:cs="Arial"/>
        </w:rPr>
        <w:t>)</w:t>
      </w:r>
      <w:r w:rsidRPr="00802909">
        <w:rPr>
          <w:rFonts w:ascii="Arial" w:hAnsi="Arial" w:cs="Arial"/>
        </w:rPr>
        <w:t>.</w:t>
      </w:r>
    </w:p>
    <w:p w:rsidR="006C2879" w:rsidRPr="00802909" w:rsidRDefault="006C2879" w:rsidP="00E77539">
      <w:pPr>
        <w:keepNext/>
        <w:rPr>
          <w:rFonts w:ascii="Arial" w:hAnsi="Arial" w:cs="Arial"/>
          <w:b/>
        </w:rPr>
      </w:pPr>
      <w:r w:rsidRPr="00802909">
        <w:rPr>
          <w:rFonts w:ascii="Arial" w:hAnsi="Arial" w:cs="Arial"/>
          <w:b/>
        </w:rPr>
        <w:t>Document incorporated by reference</w:t>
      </w:r>
    </w:p>
    <w:p w:rsidR="00073B16" w:rsidRPr="00802909" w:rsidRDefault="006C2879" w:rsidP="00A93D95">
      <w:pPr>
        <w:keepNext/>
        <w:rPr>
          <w:rFonts w:ascii="Arial" w:eastAsia="Calibri" w:hAnsi="Arial" w:cs="Arial"/>
          <w:color w:val="1F497D"/>
        </w:rPr>
      </w:pPr>
      <w:r w:rsidRPr="00802909">
        <w:rPr>
          <w:rFonts w:ascii="Arial" w:hAnsi="Arial" w:cs="Arial"/>
        </w:rPr>
        <w:t xml:space="preserve">The </w:t>
      </w:r>
      <w:r w:rsidR="0070127B" w:rsidRPr="00802909">
        <w:rPr>
          <w:rFonts w:ascii="Arial" w:hAnsi="Arial" w:cs="Arial"/>
          <w:i/>
        </w:rPr>
        <w:t>Radio Regulations Articles</w:t>
      </w:r>
      <w:r w:rsidR="0070127B" w:rsidRPr="00802909">
        <w:rPr>
          <w:rFonts w:ascii="Arial" w:hAnsi="Arial" w:cs="Arial"/>
        </w:rPr>
        <w:t>, published by the I</w:t>
      </w:r>
      <w:r w:rsidR="008522D6" w:rsidRPr="00802909">
        <w:rPr>
          <w:rFonts w:ascii="Arial" w:hAnsi="Arial" w:cs="Arial"/>
        </w:rPr>
        <w:t>TU</w:t>
      </w:r>
      <w:r w:rsidR="00CB4887" w:rsidRPr="00802909">
        <w:rPr>
          <w:rFonts w:ascii="Arial" w:hAnsi="Arial" w:cs="Arial"/>
        </w:rPr>
        <w:t>, and as in force from time</w:t>
      </w:r>
      <w:r w:rsidR="00391358">
        <w:rPr>
          <w:rFonts w:ascii="Arial" w:hAnsi="Arial" w:cs="Arial"/>
        </w:rPr>
        <w:t>,</w:t>
      </w:r>
      <w:r w:rsidR="00CB4887" w:rsidRPr="00802909">
        <w:rPr>
          <w:rFonts w:ascii="Arial" w:hAnsi="Arial" w:cs="Arial"/>
        </w:rPr>
        <w:t xml:space="preserve"> to time</w:t>
      </w:r>
      <w:r w:rsidR="0070127B" w:rsidRPr="00802909">
        <w:rPr>
          <w:rFonts w:ascii="Arial" w:hAnsi="Arial" w:cs="Arial"/>
        </w:rPr>
        <w:t xml:space="preserve"> </w:t>
      </w:r>
      <w:r w:rsidRPr="00802909">
        <w:rPr>
          <w:rFonts w:ascii="Arial" w:hAnsi="Arial" w:cs="Arial"/>
        </w:rPr>
        <w:t>are incorporated by reference</w:t>
      </w:r>
      <w:r w:rsidR="00B1507A" w:rsidRPr="00802909">
        <w:rPr>
          <w:rFonts w:ascii="Arial" w:hAnsi="Arial" w:cs="Arial"/>
        </w:rPr>
        <w:t xml:space="preserve"> </w:t>
      </w:r>
      <w:r w:rsidRPr="00802909">
        <w:rPr>
          <w:rFonts w:ascii="Arial" w:hAnsi="Arial" w:cs="Arial"/>
        </w:rPr>
        <w:t xml:space="preserve">in the </w:t>
      </w:r>
      <w:r w:rsidR="00E86898" w:rsidRPr="00802909">
        <w:rPr>
          <w:rFonts w:ascii="Arial" w:hAnsi="Arial" w:cs="Arial"/>
        </w:rPr>
        <w:t>instrument</w:t>
      </w:r>
      <w:r w:rsidR="00A93D95" w:rsidRPr="00802909">
        <w:rPr>
          <w:rFonts w:ascii="Arial" w:hAnsi="Arial" w:cs="Arial"/>
        </w:rPr>
        <w:t xml:space="preserve">. </w:t>
      </w:r>
      <w:r w:rsidR="00073B16" w:rsidRPr="00802909">
        <w:rPr>
          <w:rFonts w:ascii="Arial" w:eastAsia="Calibri" w:hAnsi="Arial" w:cs="Arial"/>
          <w:snapToGrid w:val="0"/>
          <w:lang w:val="en-US"/>
        </w:rPr>
        <w:t xml:space="preserve">The </w:t>
      </w:r>
      <w:r w:rsidR="00073B16" w:rsidRPr="00802909">
        <w:rPr>
          <w:rFonts w:ascii="Arial" w:eastAsia="Calibri" w:hAnsi="Arial" w:cs="Arial"/>
          <w:i/>
          <w:snapToGrid w:val="0"/>
          <w:lang w:val="en-US"/>
        </w:rPr>
        <w:t>Radio Regulations Articles</w:t>
      </w:r>
      <w:r w:rsidR="00073B16" w:rsidRPr="00802909">
        <w:rPr>
          <w:rFonts w:ascii="Arial" w:eastAsia="Calibri" w:hAnsi="Arial" w:cs="Arial"/>
          <w:snapToGrid w:val="0"/>
          <w:lang w:val="en-US"/>
        </w:rPr>
        <w:t xml:space="preserve"> can be found on the ITU’s website at </w:t>
      </w:r>
      <w:hyperlink r:id="rId13" w:history="1">
        <w:r w:rsidR="00073B16" w:rsidRPr="00802909">
          <w:rPr>
            <w:rFonts w:ascii="Arial" w:eastAsia="Calibri" w:hAnsi="Arial" w:cs="Arial"/>
            <w:snapToGrid w:val="0"/>
            <w:color w:val="0000FF"/>
            <w:u w:val="single"/>
            <w:lang w:val="en-US"/>
          </w:rPr>
          <w:t>www.itu.int</w:t>
        </w:r>
      </w:hyperlink>
      <w:r w:rsidR="00073B16" w:rsidRPr="00802909">
        <w:rPr>
          <w:rFonts w:ascii="Arial" w:eastAsia="Calibri" w:hAnsi="Arial" w:cs="Arial"/>
          <w:snapToGrid w:val="0"/>
          <w:lang w:val="en-US"/>
        </w:rPr>
        <w:t xml:space="preserve">. </w:t>
      </w:r>
    </w:p>
    <w:p w:rsidR="006C2879" w:rsidRPr="00802909" w:rsidRDefault="006C2879" w:rsidP="006C2879">
      <w:pPr>
        <w:rPr>
          <w:rFonts w:ascii="Arial" w:hAnsi="Arial" w:cs="Arial"/>
          <w:b/>
        </w:rPr>
      </w:pPr>
      <w:r w:rsidRPr="00802909">
        <w:rPr>
          <w:rFonts w:ascii="Arial" w:hAnsi="Arial" w:cs="Arial"/>
          <w:b/>
        </w:rPr>
        <w:t xml:space="preserve">Consultation </w:t>
      </w:r>
    </w:p>
    <w:p w:rsidR="006C2879" w:rsidRPr="00802909" w:rsidRDefault="006C2879" w:rsidP="006C2879">
      <w:pPr>
        <w:rPr>
          <w:rFonts w:ascii="Arial" w:hAnsi="Arial" w:cs="Arial"/>
        </w:rPr>
      </w:pPr>
      <w:r w:rsidRPr="00802909">
        <w:rPr>
          <w:rFonts w:ascii="Arial" w:hAnsi="Arial" w:cs="Arial"/>
        </w:rPr>
        <w:t xml:space="preserve">Before </w:t>
      </w:r>
      <w:r w:rsidR="005A4E5C" w:rsidRPr="00802909">
        <w:rPr>
          <w:rFonts w:ascii="Arial" w:hAnsi="Arial" w:cs="Arial"/>
        </w:rPr>
        <w:t xml:space="preserve">making the </w:t>
      </w:r>
      <w:r w:rsidRPr="00802909">
        <w:rPr>
          <w:rFonts w:ascii="Arial" w:hAnsi="Arial" w:cs="Arial"/>
        </w:rPr>
        <w:t xml:space="preserve">instrument the ACMA </w:t>
      </w:r>
      <w:r w:rsidR="0070127B" w:rsidRPr="00802909">
        <w:rPr>
          <w:rFonts w:ascii="Arial" w:hAnsi="Arial" w:cs="Arial"/>
        </w:rPr>
        <w:t>formed the view that</w:t>
      </w:r>
      <w:r w:rsidR="00CB4887" w:rsidRPr="00802909">
        <w:rPr>
          <w:rFonts w:ascii="Arial" w:hAnsi="Arial" w:cs="Arial"/>
        </w:rPr>
        <w:t>,</w:t>
      </w:r>
      <w:r w:rsidR="0070127B" w:rsidRPr="00802909">
        <w:rPr>
          <w:rFonts w:ascii="Arial" w:hAnsi="Arial" w:cs="Arial"/>
        </w:rPr>
        <w:t xml:space="preserve"> given the minor </w:t>
      </w:r>
      <w:r w:rsidR="008522D6" w:rsidRPr="00802909">
        <w:rPr>
          <w:rFonts w:ascii="Arial" w:hAnsi="Arial" w:cs="Arial"/>
        </w:rPr>
        <w:t xml:space="preserve">and machinery </w:t>
      </w:r>
      <w:r w:rsidR="0070127B" w:rsidRPr="00802909">
        <w:rPr>
          <w:rFonts w:ascii="Arial" w:hAnsi="Arial" w:cs="Arial"/>
        </w:rPr>
        <w:t>nature of the amendment</w:t>
      </w:r>
      <w:r w:rsidR="00CB4887" w:rsidRPr="00802909">
        <w:rPr>
          <w:rFonts w:ascii="Arial" w:hAnsi="Arial" w:cs="Arial"/>
        </w:rPr>
        <w:t>,</w:t>
      </w:r>
      <w:r w:rsidRPr="00802909">
        <w:rPr>
          <w:rFonts w:ascii="Arial" w:hAnsi="Arial" w:cs="Arial"/>
        </w:rPr>
        <w:t xml:space="preserve"> consultation was </w:t>
      </w:r>
      <w:r w:rsidR="0070127B" w:rsidRPr="00802909">
        <w:rPr>
          <w:rFonts w:ascii="Arial" w:hAnsi="Arial" w:cs="Arial"/>
        </w:rPr>
        <w:t xml:space="preserve">not </w:t>
      </w:r>
      <w:r w:rsidRPr="00802909">
        <w:rPr>
          <w:rFonts w:ascii="Arial" w:hAnsi="Arial" w:cs="Arial"/>
        </w:rPr>
        <w:t>appropriate</w:t>
      </w:r>
      <w:r w:rsidR="00C13BB7" w:rsidRPr="00802909">
        <w:rPr>
          <w:rFonts w:ascii="Arial" w:hAnsi="Arial" w:cs="Arial"/>
        </w:rPr>
        <w:t>.</w:t>
      </w:r>
      <w:r w:rsidRPr="00802909">
        <w:rPr>
          <w:rFonts w:ascii="Arial" w:hAnsi="Arial" w:cs="Arial"/>
        </w:rPr>
        <w:t xml:space="preserve"> </w:t>
      </w:r>
      <w:r w:rsidR="0070127B" w:rsidRPr="00802909">
        <w:rPr>
          <w:rFonts w:ascii="Arial" w:hAnsi="Arial" w:cs="Arial"/>
        </w:rPr>
        <w:t xml:space="preserve">The </w:t>
      </w:r>
      <w:r w:rsidR="008522D6" w:rsidRPr="00802909">
        <w:rPr>
          <w:rFonts w:ascii="Arial" w:hAnsi="Arial" w:cs="Arial"/>
        </w:rPr>
        <w:t>i</w:t>
      </w:r>
      <w:r w:rsidR="0070127B" w:rsidRPr="00802909">
        <w:rPr>
          <w:rFonts w:ascii="Arial" w:hAnsi="Arial" w:cs="Arial"/>
        </w:rPr>
        <w:t xml:space="preserve">nstrument does not amend any of the substantive obligations contained in the </w:t>
      </w:r>
      <w:r w:rsidR="008522D6" w:rsidRPr="00802909">
        <w:rPr>
          <w:rFonts w:ascii="Arial" w:hAnsi="Arial" w:cs="Arial"/>
        </w:rPr>
        <w:t>Class Licence</w:t>
      </w:r>
      <w:r w:rsidR="0070127B" w:rsidRPr="00802909">
        <w:rPr>
          <w:rFonts w:ascii="Arial" w:hAnsi="Arial" w:cs="Arial"/>
        </w:rPr>
        <w:t xml:space="preserve">. </w:t>
      </w:r>
    </w:p>
    <w:p w:rsidR="006C2879" w:rsidRPr="00802909" w:rsidRDefault="006C2879" w:rsidP="006C2879">
      <w:pPr>
        <w:rPr>
          <w:rFonts w:ascii="Arial" w:hAnsi="Arial" w:cs="Arial"/>
        </w:rPr>
      </w:pPr>
      <w:r w:rsidRPr="00802909">
        <w:rPr>
          <w:rFonts w:ascii="Arial" w:hAnsi="Arial" w:cs="Arial"/>
        </w:rPr>
        <w:lastRenderedPageBreak/>
        <w:t xml:space="preserve">From 4 May </w:t>
      </w:r>
      <w:r w:rsidR="008522D6" w:rsidRPr="00802909">
        <w:rPr>
          <w:rFonts w:ascii="Arial" w:hAnsi="Arial" w:cs="Arial"/>
        </w:rPr>
        <w:t xml:space="preserve">2016 </w:t>
      </w:r>
      <w:r w:rsidRPr="00802909">
        <w:rPr>
          <w:rFonts w:ascii="Arial" w:hAnsi="Arial" w:cs="Arial"/>
        </w:rPr>
        <w:t xml:space="preserve">to 10 July 2016 the ACMA conducted public consultation on the making of the </w:t>
      </w:r>
      <w:r w:rsidR="008522D6" w:rsidRPr="00802909">
        <w:rPr>
          <w:rFonts w:ascii="Arial" w:hAnsi="Arial" w:cs="Arial"/>
        </w:rPr>
        <w:t>Class Licence itself</w:t>
      </w:r>
      <w:r w:rsidRPr="00802909">
        <w:rPr>
          <w:rFonts w:ascii="Arial" w:hAnsi="Arial" w:cs="Arial"/>
        </w:rPr>
        <w:t xml:space="preserve">. The ACMA published a draft version of the instrument and a consultation paper on its website, and </w:t>
      </w:r>
      <w:r w:rsidR="00391358">
        <w:rPr>
          <w:rFonts w:ascii="Arial" w:hAnsi="Arial" w:cs="Arial"/>
        </w:rPr>
        <w:t>notified</w:t>
      </w:r>
      <w:r w:rsidRPr="00802909">
        <w:rPr>
          <w:rFonts w:ascii="Arial" w:hAnsi="Arial" w:cs="Arial"/>
        </w:rPr>
        <w:t xml:space="preserve"> maritime and emergency services bodies </w:t>
      </w:r>
      <w:r w:rsidR="00391358">
        <w:rPr>
          <w:rFonts w:ascii="Arial" w:hAnsi="Arial" w:cs="Arial"/>
        </w:rPr>
        <w:t>about</w:t>
      </w:r>
      <w:r w:rsidRPr="00802909">
        <w:rPr>
          <w:rFonts w:ascii="Arial" w:hAnsi="Arial" w:cs="Arial"/>
        </w:rPr>
        <w:t xml:space="preserve"> the consultation. </w:t>
      </w:r>
    </w:p>
    <w:p w:rsidR="006C2879" w:rsidRPr="00802909" w:rsidRDefault="006C2879" w:rsidP="006C2879">
      <w:pPr>
        <w:keepNext/>
        <w:keepLines/>
        <w:rPr>
          <w:rFonts w:ascii="Arial" w:hAnsi="Arial" w:cs="Arial"/>
          <w:b/>
        </w:rPr>
      </w:pPr>
      <w:r w:rsidRPr="00802909">
        <w:rPr>
          <w:rFonts w:ascii="Arial" w:hAnsi="Arial" w:cs="Arial"/>
          <w:b/>
        </w:rPr>
        <w:t>Regulatory impact assessment</w:t>
      </w:r>
    </w:p>
    <w:p w:rsidR="00A9384B" w:rsidRPr="00A9384B" w:rsidRDefault="00A9384B" w:rsidP="00A9384B">
      <w:pPr>
        <w:rPr>
          <w:rFonts w:ascii="Arial" w:hAnsi="Arial" w:cs="Arial"/>
        </w:rPr>
      </w:pPr>
      <w:r w:rsidRPr="00A9384B">
        <w:rPr>
          <w:rFonts w:ascii="Arial" w:hAnsi="Arial" w:cs="Arial"/>
        </w:rPr>
        <w:t>The ACMA considered whether a regulatory impact analysis process was required</w:t>
      </w:r>
      <w:r>
        <w:rPr>
          <w:rFonts w:ascii="Arial" w:hAnsi="Arial" w:cs="Arial"/>
        </w:rPr>
        <w:t>.</w:t>
      </w:r>
      <w:r w:rsidRPr="00A9384B">
        <w:rPr>
          <w:rFonts w:ascii="Arial" w:hAnsi="Arial" w:cs="Arial"/>
        </w:rPr>
        <w:t xml:space="preserve"> The Office of Best Practice Regulation </w:t>
      </w:r>
      <w:r>
        <w:rPr>
          <w:rFonts w:ascii="Arial" w:hAnsi="Arial" w:cs="Arial"/>
        </w:rPr>
        <w:t>(OBPR) advised</w:t>
      </w:r>
      <w:r w:rsidRPr="00A9384B">
        <w:rPr>
          <w:rFonts w:ascii="Arial" w:hAnsi="Arial" w:cs="Arial"/>
        </w:rPr>
        <w:t xml:space="preserve"> that this proposal is not likely to result in regulatory impacts</w:t>
      </w:r>
      <w:r>
        <w:rPr>
          <w:rFonts w:ascii="Arial" w:hAnsi="Arial" w:cs="Arial"/>
        </w:rPr>
        <w:t xml:space="preserve"> as t</w:t>
      </w:r>
      <w:r w:rsidRPr="00A9384B">
        <w:rPr>
          <w:rFonts w:ascii="Arial" w:hAnsi="Arial" w:cs="Arial"/>
        </w:rPr>
        <w:t>he changes being made are to assist with clarification of the instrument and do not alter the operation of the class licence.</w:t>
      </w:r>
      <w:r>
        <w:rPr>
          <w:rFonts w:ascii="Arial" w:hAnsi="Arial" w:cs="Arial"/>
        </w:rPr>
        <w:t xml:space="preserve"> No</w:t>
      </w:r>
      <w:r w:rsidRPr="00A9384B">
        <w:rPr>
          <w:rFonts w:ascii="Arial" w:hAnsi="Arial" w:cs="Arial"/>
        </w:rPr>
        <w:t xml:space="preserve"> regulatory impact </w:t>
      </w:r>
      <w:r>
        <w:rPr>
          <w:rFonts w:ascii="Arial" w:hAnsi="Arial" w:cs="Arial"/>
        </w:rPr>
        <w:t>statement</w:t>
      </w:r>
      <w:r w:rsidRPr="00A9384B">
        <w:rPr>
          <w:rFonts w:ascii="Arial" w:hAnsi="Arial" w:cs="Arial"/>
        </w:rPr>
        <w:t xml:space="preserve"> is required. (OBPR reference</w:t>
      </w:r>
      <w:r>
        <w:rPr>
          <w:rFonts w:ascii="Arial" w:hAnsi="Arial" w:cs="Arial"/>
        </w:rPr>
        <w:t xml:space="preserve"> 21607</w:t>
      </w:r>
      <w:r w:rsidRPr="00A9384B">
        <w:rPr>
          <w:rFonts w:ascii="Arial" w:hAnsi="Arial" w:cs="Arial"/>
        </w:rPr>
        <w:t xml:space="preserve">). </w:t>
      </w:r>
    </w:p>
    <w:p w:rsidR="0094671B" w:rsidRPr="00802909" w:rsidRDefault="0094671B" w:rsidP="0094671B">
      <w:pPr>
        <w:rPr>
          <w:rFonts w:ascii="Arial" w:hAnsi="Arial" w:cs="Arial"/>
          <w:b/>
        </w:rPr>
      </w:pPr>
      <w:r w:rsidRPr="00802909">
        <w:rPr>
          <w:rFonts w:ascii="Arial" w:hAnsi="Arial" w:cs="Arial"/>
          <w:b/>
        </w:rPr>
        <w:t>Statement of compatibility with human rights</w:t>
      </w:r>
    </w:p>
    <w:p w:rsidR="0094671B" w:rsidRPr="00802909" w:rsidRDefault="0094671B" w:rsidP="0094671B">
      <w:pPr>
        <w:rPr>
          <w:rFonts w:ascii="Arial" w:hAnsi="Arial" w:cs="Arial"/>
        </w:rPr>
      </w:pPr>
      <w:r w:rsidRPr="00802909">
        <w:rPr>
          <w:rFonts w:ascii="Arial" w:hAnsi="Arial" w:cs="Arial"/>
        </w:rPr>
        <w:t xml:space="preserve">Subsection 9(1) of the </w:t>
      </w:r>
      <w:r w:rsidRPr="00802909">
        <w:rPr>
          <w:rFonts w:ascii="Arial" w:hAnsi="Arial" w:cs="Arial"/>
          <w:i/>
        </w:rPr>
        <w:t>Human Rights (Parliamentary Scrutiny) Act 2011</w:t>
      </w:r>
      <w:r w:rsidRPr="00802909">
        <w:rPr>
          <w:rFonts w:ascii="Arial" w:hAnsi="Arial" w:cs="Arial"/>
        </w:rPr>
        <w:t xml:space="preserve"> requires the rule-maker in relation to a legislative instrument to which section 42 (disallowance) of the LA applies to cause a statement of compatibility to be prepared in respect of that legislative instrument.  </w:t>
      </w:r>
    </w:p>
    <w:p w:rsidR="0094671B" w:rsidRPr="00802909" w:rsidRDefault="0094671B" w:rsidP="0094671B">
      <w:pPr>
        <w:rPr>
          <w:rFonts w:ascii="Arial" w:hAnsi="Arial" w:cs="Arial"/>
        </w:rPr>
      </w:pPr>
      <w:r w:rsidRPr="00802909">
        <w:rPr>
          <w:rFonts w:ascii="Arial" w:hAnsi="Arial" w:cs="Arial"/>
        </w:rPr>
        <w:t>Th</w:t>
      </w:r>
      <w:r w:rsidR="00391358">
        <w:rPr>
          <w:rFonts w:ascii="Arial" w:hAnsi="Arial" w:cs="Arial"/>
        </w:rPr>
        <w:t>e</w:t>
      </w:r>
      <w:bookmarkStart w:id="0" w:name="_GoBack"/>
      <w:bookmarkEnd w:id="0"/>
      <w:r w:rsidRPr="00802909">
        <w:rPr>
          <w:rFonts w:ascii="Arial" w:hAnsi="Arial" w:cs="Arial"/>
        </w:rPr>
        <w:t xml:space="preserve"> statement of compatibility set out below has been prepared to meet that requirement.</w:t>
      </w:r>
    </w:p>
    <w:p w:rsidR="00432FCC" w:rsidRPr="00802909" w:rsidRDefault="00432FCC" w:rsidP="00432FCC">
      <w:pPr>
        <w:rPr>
          <w:rFonts w:ascii="Arial" w:hAnsi="Arial" w:cs="Arial"/>
        </w:rPr>
      </w:pPr>
      <w:r w:rsidRPr="00802909">
        <w:rPr>
          <w:rFonts w:ascii="Arial" w:hAnsi="Arial" w:cs="Arial"/>
        </w:rPr>
        <w:t>The ACMA has assessed whether the instrument is compatible with human rights, being the rights and freedoms recognised or declared by the international instruments listed in subsection 3(1) of the</w:t>
      </w:r>
      <w:r w:rsidRPr="00802909">
        <w:rPr>
          <w:rFonts w:ascii="Arial" w:hAnsi="Arial" w:cs="Arial"/>
          <w:i/>
        </w:rPr>
        <w:t xml:space="preserve"> Human Rights (Parliamentary Scrutiny) Act 2011 </w:t>
      </w:r>
      <w:r w:rsidRPr="00802909">
        <w:rPr>
          <w:rFonts w:ascii="Arial" w:hAnsi="Arial" w:cs="Arial"/>
        </w:rPr>
        <w:t xml:space="preserve">as they apply to Australia. </w:t>
      </w:r>
    </w:p>
    <w:p w:rsidR="00432FCC" w:rsidRPr="00802909" w:rsidRDefault="00432FCC" w:rsidP="00432FCC">
      <w:pPr>
        <w:rPr>
          <w:rFonts w:ascii="Arial" w:hAnsi="Arial" w:cs="Arial"/>
        </w:rPr>
      </w:pPr>
      <w:r w:rsidRPr="00802909">
        <w:rPr>
          <w:rFonts w:ascii="Arial" w:hAnsi="Arial" w:cs="Arial"/>
        </w:rPr>
        <w:t xml:space="preserve">Having considered the likely impact of the instrument and the nature of the applicable rights and freedoms, the ACMA has formed the view that the instrument does not engage any of those rights or freedoms.  </w:t>
      </w:r>
    </w:p>
    <w:p w:rsidR="00432FCC" w:rsidRPr="00802909" w:rsidRDefault="00432FCC" w:rsidP="00432FCC">
      <w:pPr>
        <w:rPr>
          <w:rFonts w:ascii="Arial" w:hAnsi="Arial" w:cs="Arial"/>
        </w:rPr>
      </w:pPr>
      <w:r w:rsidRPr="00802909">
        <w:rPr>
          <w:rFonts w:ascii="Arial" w:hAnsi="Arial" w:cs="Arial"/>
        </w:rPr>
        <w:t>The instrument is compatible with human rights as it does not raise any human rights issues.</w:t>
      </w:r>
      <w:r w:rsidR="00C13BB7" w:rsidRPr="00802909">
        <w:rPr>
          <w:rFonts w:ascii="Arial" w:hAnsi="Arial" w:cs="Arial"/>
        </w:rPr>
        <w:t xml:space="preserve"> </w:t>
      </w:r>
    </w:p>
    <w:p w:rsidR="005D618A" w:rsidRPr="00802909" w:rsidRDefault="005D618A">
      <w:pPr>
        <w:rPr>
          <w:rFonts w:ascii="Arial" w:hAnsi="Arial" w:cs="Arial"/>
          <w:b/>
        </w:rPr>
      </w:pPr>
    </w:p>
    <w:p w:rsidR="005D618A" w:rsidRPr="00802909" w:rsidRDefault="005D618A">
      <w:pPr>
        <w:rPr>
          <w:rFonts w:ascii="Arial" w:hAnsi="Arial" w:cs="Arial"/>
          <w:b/>
        </w:rPr>
      </w:pPr>
      <w:r w:rsidRPr="00802909">
        <w:rPr>
          <w:rFonts w:ascii="Arial" w:hAnsi="Arial" w:cs="Arial"/>
          <w:b/>
        </w:rPr>
        <w:br w:type="page"/>
      </w:r>
    </w:p>
    <w:p w:rsidR="007B1D2C" w:rsidRPr="00802909" w:rsidRDefault="005D618A" w:rsidP="007B1D2C">
      <w:pPr>
        <w:jc w:val="right"/>
        <w:rPr>
          <w:rFonts w:ascii="Arial" w:hAnsi="Arial" w:cs="Arial"/>
          <w:b/>
          <w:sz w:val="28"/>
          <w:szCs w:val="28"/>
        </w:rPr>
      </w:pPr>
      <w:r w:rsidRPr="00802909">
        <w:rPr>
          <w:rFonts w:ascii="Arial" w:hAnsi="Arial" w:cs="Arial"/>
          <w:b/>
          <w:sz w:val="28"/>
          <w:szCs w:val="28"/>
        </w:rPr>
        <w:lastRenderedPageBreak/>
        <w:t>A</w:t>
      </w:r>
      <w:r w:rsidR="00432FCC" w:rsidRPr="00802909">
        <w:rPr>
          <w:rFonts w:ascii="Arial" w:hAnsi="Arial" w:cs="Arial"/>
          <w:b/>
          <w:sz w:val="28"/>
          <w:szCs w:val="28"/>
        </w:rPr>
        <w:t>ttachment</w:t>
      </w:r>
      <w:r w:rsidRPr="00802909">
        <w:rPr>
          <w:rFonts w:ascii="Arial" w:hAnsi="Arial" w:cs="Arial"/>
          <w:b/>
          <w:sz w:val="28"/>
          <w:szCs w:val="28"/>
        </w:rPr>
        <w:t xml:space="preserve"> A</w:t>
      </w:r>
    </w:p>
    <w:p w:rsidR="00432FCC" w:rsidRPr="00802909" w:rsidRDefault="00432FCC" w:rsidP="00432FCC">
      <w:pPr>
        <w:jc w:val="center"/>
        <w:rPr>
          <w:rFonts w:ascii="Arial" w:hAnsi="Arial" w:cs="Arial"/>
          <w:b/>
          <w:sz w:val="28"/>
          <w:szCs w:val="28"/>
        </w:rPr>
      </w:pPr>
      <w:r w:rsidRPr="00802909">
        <w:rPr>
          <w:rFonts w:ascii="Arial" w:hAnsi="Arial" w:cs="Arial"/>
          <w:b/>
          <w:sz w:val="28"/>
          <w:szCs w:val="28"/>
        </w:rPr>
        <w:t xml:space="preserve">Notes to the </w:t>
      </w:r>
      <w:r w:rsidRPr="00802909">
        <w:rPr>
          <w:rFonts w:ascii="Arial" w:hAnsi="Arial" w:cs="Arial"/>
          <w:b/>
          <w:i/>
          <w:sz w:val="28"/>
          <w:szCs w:val="28"/>
        </w:rPr>
        <w:t xml:space="preserve">Radiocommunications (Emergency Locating Devices) Class Licence </w:t>
      </w:r>
      <w:r w:rsidR="00937B44" w:rsidRPr="00802909">
        <w:rPr>
          <w:rFonts w:ascii="Arial" w:hAnsi="Arial" w:cs="Arial"/>
          <w:b/>
          <w:i/>
          <w:sz w:val="28"/>
          <w:szCs w:val="28"/>
        </w:rPr>
        <w:t xml:space="preserve">Amendment </w:t>
      </w:r>
      <w:r w:rsidRPr="00802909">
        <w:rPr>
          <w:rFonts w:ascii="Arial" w:hAnsi="Arial" w:cs="Arial"/>
          <w:b/>
          <w:i/>
          <w:sz w:val="28"/>
          <w:szCs w:val="28"/>
        </w:rPr>
        <w:t>2016</w:t>
      </w:r>
      <w:r w:rsidR="00937B44" w:rsidRPr="00802909">
        <w:rPr>
          <w:rFonts w:ascii="Arial" w:hAnsi="Arial" w:cs="Arial"/>
          <w:b/>
          <w:i/>
          <w:sz w:val="28"/>
          <w:szCs w:val="28"/>
        </w:rPr>
        <w:t xml:space="preserve"> (No. 1)</w:t>
      </w:r>
    </w:p>
    <w:p w:rsidR="00D026B2" w:rsidRPr="00802909" w:rsidRDefault="0066046F" w:rsidP="00D026B2">
      <w:pPr>
        <w:rPr>
          <w:rFonts w:ascii="Arial" w:hAnsi="Arial" w:cs="Arial"/>
          <w:b/>
        </w:rPr>
      </w:pPr>
      <w:r w:rsidRPr="00802909">
        <w:rPr>
          <w:rFonts w:ascii="Arial" w:hAnsi="Arial" w:cs="Arial"/>
          <w:b/>
        </w:rPr>
        <w:t>Section 1</w:t>
      </w:r>
      <w:r w:rsidRPr="00802909">
        <w:rPr>
          <w:rFonts w:ascii="Arial" w:hAnsi="Arial" w:cs="Arial"/>
          <w:b/>
        </w:rPr>
        <w:tab/>
        <w:t>Name</w:t>
      </w:r>
    </w:p>
    <w:p w:rsidR="00D026B2" w:rsidRPr="00802909" w:rsidRDefault="00D026B2" w:rsidP="00D026B2">
      <w:pPr>
        <w:rPr>
          <w:rFonts w:ascii="Arial" w:hAnsi="Arial" w:cs="Arial"/>
          <w:i/>
        </w:rPr>
      </w:pPr>
      <w:r w:rsidRPr="00802909">
        <w:rPr>
          <w:rFonts w:ascii="Arial" w:eastAsia="Times New Roman" w:hAnsi="Arial" w:cs="Arial"/>
          <w:color w:val="000000"/>
          <w:lang w:eastAsia="en-AU"/>
        </w:rPr>
        <w:t>Section 1 provides for the citation of the</w:t>
      </w:r>
      <w:r w:rsidR="00C443FB" w:rsidRPr="00802909">
        <w:rPr>
          <w:rFonts w:ascii="Arial" w:eastAsia="Times New Roman" w:hAnsi="Arial" w:cs="Arial"/>
          <w:color w:val="000000"/>
          <w:lang w:eastAsia="en-AU"/>
        </w:rPr>
        <w:t xml:space="preserve"> </w:t>
      </w:r>
      <w:r w:rsidR="00E86898" w:rsidRPr="00802909">
        <w:rPr>
          <w:rFonts w:ascii="Arial" w:eastAsia="Times New Roman" w:hAnsi="Arial" w:cs="Arial"/>
          <w:color w:val="000000"/>
          <w:lang w:eastAsia="en-AU"/>
        </w:rPr>
        <w:t>instrument</w:t>
      </w:r>
      <w:r w:rsidR="00F20F37" w:rsidRPr="00802909">
        <w:rPr>
          <w:rFonts w:ascii="Arial" w:eastAsia="Times New Roman" w:hAnsi="Arial" w:cs="Arial"/>
          <w:color w:val="000000"/>
          <w:lang w:eastAsia="en-AU"/>
        </w:rPr>
        <w:t xml:space="preserve"> </w:t>
      </w:r>
      <w:r w:rsidRPr="00802909">
        <w:rPr>
          <w:rFonts w:ascii="Arial" w:eastAsia="Times New Roman" w:hAnsi="Arial" w:cs="Arial"/>
          <w:color w:val="000000"/>
          <w:lang w:eastAsia="en-AU"/>
        </w:rPr>
        <w:t xml:space="preserve">as the </w:t>
      </w:r>
      <w:r w:rsidRPr="00802909">
        <w:rPr>
          <w:rFonts w:ascii="Arial" w:eastAsia="Times New Roman" w:hAnsi="Arial" w:cs="Arial"/>
          <w:i/>
          <w:color w:val="000000"/>
          <w:lang w:eastAsia="en-AU"/>
        </w:rPr>
        <w:t>Radiocommunications (</w:t>
      </w:r>
      <w:r w:rsidR="00F20F37" w:rsidRPr="00802909">
        <w:rPr>
          <w:rFonts w:ascii="Arial" w:eastAsia="Times New Roman" w:hAnsi="Arial" w:cs="Arial"/>
          <w:i/>
          <w:color w:val="000000"/>
          <w:lang w:eastAsia="en-AU"/>
        </w:rPr>
        <w:t>Emergency Locating Devices) Class Licence</w:t>
      </w:r>
      <w:r w:rsidR="00937B44" w:rsidRPr="00802909">
        <w:rPr>
          <w:rFonts w:ascii="Arial" w:eastAsia="Times New Roman" w:hAnsi="Arial" w:cs="Arial"/>
          <w:i/>
          <w:color w:val="000000"/>
          <w:lang w:eastAsia="en-AU"/>
        </w:rPr>
        <w:t xml:space="preserve"> Amendment</w:t>
      </w:r>
      <w:r w:rsidR="00F20F37" w:rsidRPr="00802909">
        <w:rPr>
          <w:rFonts w:ascii="Arial" w:eastAsia="Times New Roman" w:hAnsi="Arial" w:cs="Arial"/>
          <w:i/>
          <w:color w:val="000000"/>
          <w:lang w:eastAsia="en-AU"/>
        </w:rPr>
        <w:t xml:space="preserve"> 2016</w:t>
      </w:r>
      <w:r w:rsidR="00937B44" w:rsidRPr="00802909">
        <w:rPr>
          <w:rFonts w:ascii="Arial" w:eastAsia="Times New Roman" w:hAnsi="Arial" w:cs="Arial"/>
          <w:i/>
          <w:color w:val="000000"/>
          <w:lang w:eastAsia="en-AU"/>
        </w:rPr>
        <w:t xml:space="preserve"> (No. 1)</w:t>
      </w:r>
      <w:r w:rsidR="00F20F37" w:rsidRPr="00802909">
        <w:rPr>
          <w:rFonts w:ascii="Arial" w:eastAsia="Times New Roman" w:hAnsi="Arial" w:cs="Arial"/>
          <w:i/>
          <w:color w:val="000000"/>
          <w:lang w:eastAsia="en-AU"/>
        </w:rPr>
        <w:t>.</w:t>
      </w:r>
    </w:p>
    <w:p w:rsidR="00D026B2" w:rsidRPr="00802909" w:rsidRDefault="00D026B2" w:rsidP="00D026B2">
      <w:pPr>
        <w:rPr>
          <w:rFonts w:ascii="Arial" w:hAnsi="Arial" w:cs="Arial"/>
          <w:b/>
        </w:rPr>
      </w:pPr>
      <w:r w:rsidRPr="00802909">
        <w:rPr>
          <w:rFonts w:ascii="Arial" w:hAnsi="Arial" w:cs="Arial"/>
          <w:b/>
        </w:rPr>
        <w:t>Section 2</w:t>
      </w:r>
      <w:r w:rsidRPr="00802909">
        <w:rPr>
          <w:rFonts w:ascii="Arial" w:hAnsi="Arial" w:cs="Arial"/>
          <w:b/>
        </w:rPr>
        <w:tab/>
        <w:t>Commencement</w:t>
      </w:r>
    </w:p>
    <w:p w:rsidR="00D026B2" w:rsidRPr="00802909" w:rsidRDefault="00D026B2" w:rsidP="00D026B2">
      <w:pPr>
        <w:rPr>
          <w:rFonts w:ascii="Arial" w:hAnsi="Arial" w:cs="Arial"/>
        </w:rPr>
      </w:pPr>
      <w:r w:rsidRPr="00802909">
        <w:rPr>
          <w:rFonts w:ascii="Arial" w:hAnsi="Arial" w:cs="Arial"/>
        </w:rPr>
        <w:t>The</w:t>
      </w:r>
      <w:r w:rsidR="00C443FB" w:rsidRPr="00802909">
        <w:rPr>
          <w:rFonts w:ascii="Arial" w:hAnsi="Arial" w:cs="Arial"/>
        </w:rPr>
        <w:t xml:space="preserve"> </w:t>
      </w:r>
      <w:r w:rsidR="00E86898" w:rsidRPr="00802909">
        <w:rPr>
          <w:rFonts w:ascii="Arial" w:hAnsi="Arial" w:cs="Arial"/>
        </w:rPr>
        <w:t>instrument</w:t>
      </w:r>
      <w:r w:rsidRPr="00802909">
        <w:rPr>
          <w:rFonts w:ascii="Arial" w:hAnsi="Arial" w:cs="Arial"/>
        </w:rPr>
        <w:t xml:space="preserve"> </w:t>
      </w:r>
      <w:r w:rsidR="00F20F37" w:rsidRPr="00802909">
        <w:rPr>
          <w:rFonts w:ascii="Arial" w:hAnsi="Arial" w:cs="Arial"/>
        </w:rPr>
        <w:t xml:space="preserve">commences on </w:t>
      </w:r>
      <w:r w:rsidR="0064570D" w:rsidRPr="00802909">
        <w:rPr>
          <w:rFonts w:ascii="Arial" w:hAnsi="Arial" w:cs="Arial"/>
        </w:rPr>
        <w:t>the day after it is registered.</w:t>
      </w:r>
    </w:p>
    <w:p w:rsidR="00F859E8" w:rsidRPr="00802909" w:rsidRDefault="00F859E8" w:rsidP="00F859E8">
      <w:pPr>
        <w:rPr>
          <w:rFonts w:ascii="Arial" w:hAnsi="Arial" w:cs="Arial"/>
          <w:b/>
        </w:rPr>
      </w:pPr>
      <w:r w:rsidRPr="00802909">
        <w:rPr>
          <w:rFonts w:ascii="Arial" w:hAnsi="Arial" w:cs="Arial"/>
          <w:b/>
        </w:rPr>
        <w:t>Section 3</w:t>
      </w:r>
      <w:r w:rsidRPr="00802909">
        <w:rPr>
          <w:rFonts w:ascii="Arial" w:hAnsi="Arial" w:cs="Arial"/>
          <w:b/>
        </w:rPr>
        <w:tab/>
      </w:r>
      <w:r w:rsidR="00937B44" w:rsidRPr="00802909">
        <w:rPr>
          <w:rFonts w:ascii="Arial" w:hAnsi="Arial" w:cs="Arial"/>
          <w:b/>
        </w:rPr>
        <w:t>Authority</w:t>
      </w:r>
    </w:p>
    <w:p w:rsidR="00F859E8" w:rsidRPr="00802909" w:rsidRDefault="00F20F37" w:rsidP="00D026B2">
      <w:pPr>
        <w:rPr>
          <w:rFonts w:ascii="Arial" w:hAnsi="Arial" w:cs="Arial"/>
        </w:rPr>
      </w:pPr>
      <w:r w:rsidRPr="00802909">
        <w:rPr>
          <w:rFonts w:ascii="Arial" w:hAnsi="Arial" w:cs="Arial"/>
        </w:rPr>
        <w:t xml:space="preserve">Section 3 </w:t>
      </w:r>
      <w:r w:rsidR="00937B44" w:rsidRPr="00802909">
        <w:rPr>
          <w:rFonts w:ascii="Arial" w:hAnsi="Arial" w:cs="Arial"/>
        </w:rPr>
        <w:t>provides that the instrument is made unde</w:t>
      </w:r>
      <w:r w:rsidR="00B1507A" w:rsidRPr="00802909">
        <w:rPr>
          <w:rFonts w:ascii="Arial" w:hAnsi="Arial" w:cs="Arial"/>
        </w:rPr>
        <w:t>r</w:t>
      </w:r>
      <w:r w:rsidR="00937B44" w:rsidRPr="00802909">
        <w:rPr>
          <w:rFonts w:ascii="Arial" w:hAnsi="Arial" w:cs="Arial"/>
        </w:rPr>
        <w:t xml:space="preserve"> subsection 132(1) of the </w:t>
      </w:r>
      <w:r w:rsidR="00937B44" w:rsidRPr="00802909">
        <w:rPr>
          <w:rFonts w:ascii="Arial" w:hAnsi="Arial" w:cs="Arial"/>
          <w:i/>
        </w:rPr>
        <w:t>Radiocommunications Act 1992</w:t>
      </w:r>
      <w:r w:rsidR="00937B44" w:rsidRPr="00802909">
        <w:rPr>
          <w:rFonts w:ascii="Arial" w:hAnsi="Arial" w:cs="Arial"/>
        </w:rPr>
        <w:t xml:space="preserve">. </w:t>
      </w:r>
    </w:p>
    <w:p w:rsidR="00D026B2" w:rsidRPr="00802909" w:rsidRDefault="00F859E8" w:rsidP="00D026B2">
      <w:pPr>
        <w:rPr>
          <w:rFonts w:ascii="Arial" w:hAnsi="Arial" w:cs="Arial"/>
          <w:b/>
        </w:rPr>
      </w:pPr>
      <w:r w:rsidRPr="00802909">
        <w:rPr>
          <w:rFonts w:ascii="Arial" w:hAnsi="Arial" w:cs="Arial"/>
          <w:b/>
        </w:rPr>
        <w:t>Section 4</w:t>
      </w:r>
      <w:r w:rsidR="00D026B2" w:rsidRPr="00802909">
        <w:rPr>
          <w:rFonts w:ascii="Arial" w:hAnsi="Arial" w:cs="Arial"/>
          <w:b/>
        </w:rPr>
        <w:tab/>
      </w:r>
      <w:r w:rsidR="00937B44" w:rsidRPr="00802909">
        <w:rPr>
          <w:rFonts w:ascii="Arial" w:hAnsi="Arial" w:cs="Arial"/>
          <w:b/>
        </w:rPr>
        <w:t>Amendment</w:t>
      </w:r>
    </w:p>
    <w:p w:rsidR="00D026B2" w:rsidRPr="00802909" w:rsidRDefault="00F20F37" w:rsidP="00D026B2">
      <w:pPr>
        <w:rPr>
          <w:rFonts w:ascii="Arial" w:eastAsia="Times New Roman" w:hAnsi="Arial" w:cs="Arial"/>
          <w:color w:val="000000"/>
          <w:lang w:eastAsia="en-AU"/>
        </w:rPr>
      </w:pPr>
      <w:r w:rsidRPr="00802909">
        <w:rPr>
          <w:rFonts w:ascii="Arial" w:hAnsi="Arial" w:cs="Arial"/>
        </w:rPr>
        <w:t xml:space="preserve">Section 4 </w:t>
      </w:r>
      <w:r w:rsidR="00A9384B">
        <w:rPr>
          <w:rFonts w:ascii="Arial" w:hAnsi="Arial" w:cs="Arial"/>
        </w:rPr>
        <w:t>has the effect</w:t>
      </w:r>
      <w:r w:rsidRPr="00802909">
        <w:rPr>
          <w:rFonts w:ascii="Arial" w:hAnsi="Arial" w:cs="Arial"/>
        </w:rPr>
        <w:t xml:space="preserve"> that the </w:t>
      </w:r>
      <w:r w:rsidR="00937B44" w:rsidRPr="00802909">
        <w:rPr>
          <w:rFonts w:ascii="Arial" w:hAnsi="Arial" w:cs="Arial"/>
        </w:rPr>
        <w:t>instrument specified in Schedule 1 is amended as set out in Item 1 of that Schedule.</w:t>
      </w:r>
    </w:p>
    <w:p w:rsidR="00D026B2" w:rsidRPr="00802909" w:rsidRDefault="00937B44" w:rsidP="00D026B2">
      <w:pPr>
        <w:ind w:left="1440" w:hanging="1440"/>
        <w:rPr>
          <w:rFonts w:ascii="Arial" w:hAnsi="Arial" w:cs="Arial"/>
          <w:b/>
        </w:rPr>
      </w:pPr>
      <w:r w:rsidRPr="00802909">
        <w:rPr>
          <w:rFonts w:ascii="Arial" w:hAnsi="Arial" w:cs="Arial"/>
          <w:b/>
        </w:rPr>
        <w:t>Schedule 1</w:t>
      </w:r>
      <w:r w:rsidR="00D026B2" w:rsidRPr="00802909">
        <w:rPr>
          <w:rFonts w:ascii="Arial" w:hAnsi="Arial" w:cs="Arial"/>
          <w:b/>
        </w:rPr>
        <w:tab/>
      </w:r>
      <w:r w:rsidR="00A9384B">
        <w:rPr>
          <w:rFonts w:ascii="Arial" w:hAnsi="Arial" w:cs="Arial"/>
          <w:b/>
        </w:rPr>
        <w:t>Amendment</w:t>
      </w:r>
    </w:p>
    <w:p w:rsidR="00937B44" w:rsidRPr="00802909" w:rsidRDefault="00F20F37" w:rsidP="00937B44">
      <w:pPr>
        <w:rPr>
          <w:rFonts w:ascii="Arial" w:hAnsi="Arial" w:cs="Arial"/>
          <w:bCs/>
          <w:iCs/>
        </w:rPr>
      </w:pPr>
      <w:r w:rsidRPr="00802909">
        <w:rPr>
          <w:rFonts w:ascii="Arial" w:hAnsi="Arial" w:cs="Arial"/>
        </w:rPr>
        <w:t>S</w:t>
      </w:r>
      <w:r w:rsidR="00937B44" w:rsidRPr="00802909">
        <w:rPr>
          <w:rFonts w:ascii="Arial" w:hAnsi="Arial" w:cs="Arial"/>
        </w:rPr>
        <w:t xml:space="preserve">chedule 1 </w:t>
      </w:r>
      <w:r w:rsidR="00CB4887" w:rsidRPr="00802909">
        <w:rPr>
          <w:rFonts w:ascii="Arial" w:hAnsi="Arial" w:cs="Arial"/>
        </w:rPr>
        <w:t>amends subsection 5(1) of</w:t>
      </w:r>
      <w:r w:rsidR="00937B44" w:rsidRPr="00802909">
        <w:rPr>
          <w:rFonts w:ascii="Arial" w:hAnsi="Arial" w:cs="Arial"/>
        </w:rPr>
        <w:t xml:space="preserve"> the </w:t>
      </w:r>
      <w:bookmarkStart w:id="1" w:name="_Toc438623396"/>
      <w:r w:rsidR="00937B44" w:rsidRPr="00802909">
        <w:rPr>
          <w:rFonts w:ascii="Arial" w:hAnsi="Arial" w:cs="Arial"/>
          <w:i/>
          <w:iCs/>
        </w:rPr>
        <w:t>Radiocommunications (Emergency Locating Devices) Class Licence 2016</w:t>
      </w:r>
      <w:r w:rsidR="00937B44" w:rsidRPr="00802909" w:rsidDel="002C5330">
        <w:rPr>
          <w:rFonts w:ascii="Arial" w:hAnsi="Arial" w:cs="Arial"/>
          <w:i/>
        </w:rPr>
        <w:t xml:space="preserve"> </w:t>
      </w:r>
      <w:bookmarkEnd w:id="1"/>
      <w:r w:rsidR="00937B44" w:rsidRPr="00802909">
        <w:rPr>
          <w:rFonts w:ascii="Arial" w:hAnsi="Arial" w:cs="Arial"/>
          <w:i/>
        </w:rPr>
        <w:t>(</w:t>
      </w:r>
      <w:r w:rsidR="00937B44" w:rsidRPr="00802909">
        <w:rPr>
          <w:rFonts w:ascii="Arial" w:hAnsi="Arial" w:cs="Arial"/>
          <w:bCs/>
          <w:i/>
          <w:iCs/>
        </w:rPr>
        <w:t>F2016L01399)</w:t>
      </w:r>
      <w:r w:rsidR="00937B44" w:rsidRPr="00802909">
        <w:rPr>
          <w:rFonts w:ascii="Arial" w:hAnsi="Arial" w:cs="Arial"/>
          <w:bCs/>
          <w:iCs/>
        </w:rPr>
        <w:t xml:space="preserve"> by substituting </w:t>
      </w:r>
      <w:r w:rsidR="00CB4887" w:rsidRPr="00802909">
        <w:rPr>
          <w:rFonts w:ascii="Arial" w:hAnsi="Arial" w:cs="Arial"/>
          <w:bCs/>
          <w:iCs/>
        </w:rPr>
        <w:t xml:space="preserve">a new </w:t>
      </w:r>
      <w:r w:rsidR="00937B44" w:rsidRPr="00802909">
        <w:rPr>
          <w:rFonts w:ascii="Arial" w:hAnsi="Arial" w:cs="Arial"/>
          <w:bCs/>
          <w:iCs/>
        </w:rPr>
        <w:t xml:space="preserve">definition of ‘radar’ </w:t>
      </w:r>
      <w:r w:rsidR="00CB4887" w:rsidRPr="00802909">
        <w:rPr>
          <w:rFonts w:ascii="Arial" w:hAnsi="Arial" w:cs="Arial"/>
          <w:bCs/>
          <w:iCs/>
        </w:rPr>
        <w:t xml:space="preserve">in that </w:t>
      </w:r>
      <w:r w:rsidR="00937B44" w:rsidRPr="00802909">
        <w:rPr>
          <w:rFonts w:ascii="Arial" w:hAnsi="Arial" w:cs="Arial"/>
          <w:bCs/>
          <w:iCs/>
        </w:rPr>
        <w:t xml:space="preserve"> subsection. </w:t>
      </w:r>
      <w:r w:rsidR="00CB4887" w:rsidRPr="00802909">
        <w:rPr>
          <w:rFonts w:ascii="Arial" w:hAnsi="Arial" w:cs="Arial"/>
          <w:bCs/>
          <w:iCs/>
        </w:rPr>
        <w:t xml:space="preserve"> The new definition differs from the previous definition only by it being made clearer th</w:t>
      </w:r>
      <w:r w:rsidR="00C13BB7" w:rsidRPr="00802909">
        <w:rPr>
          <w:rFonts w:ascii="Arial" w:hAnsi="Arial" w:cs="Arial"/>
          <w:bCs/>
          <w:iCs/>
        </w:rPr>
        <w:t>at a document being incorprora</w:t>
      </w:r>
      <w:r w:rsidR="00CB4887" w:rsidRPr="00802909">
        <w:rPr>
          <w:rFonts w:ascii="Arial" w:hAnsi="Arial" w:cs="Arial"/>
          <w:bCs/>
          <w:iCs/>
        </w:rPr>
        <w:t>ted by reference is incorporated as it is in force from time to time, and by insertion of a note to indicate where that document may be obtained.</w:t>
      </w:r>
    </w:p>
    <w:p w:rsidR="00937B44" w:rsidRPr="00802909" w:rsidRDefault="00937B44" w:rsidP="00937B44">
      <w:pPr>
        <w:rPr>
          <w:rFonts w:ascii="Arial" w:hAnsi="Arial" w:cs="Arial"/>
          <w:bCs/>
          <w:iCs/>
        </w:rPr>
      </w:pPr>
    </w:p>
    <w:p w:rsidR="0091214F" w:rsidRPr="00802909" w:rsidRDefault="0091214F" w:rsidP="00E91529">
      <w:pPr>
        <w:tabs>
          <w:tab w:val="left" w:pos="1418"/>
        </w:tabs>
        <w:rPr>
          <w:rFonts w:ascii="Arial" w:hAnsi="Arial" w:cs="Arial"/>
          <w:b/>
        </w:rPr>
      </w:pPr>
    </w:p>
    <w:sectPr w:rsidR="0091214F" w:rsidRPr="00802909" w:rsidSect="00E374FB">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A5C" w:rsidRDefault="00360A5C" w:rsidP="00646F89">
      <w:pPr>
        <w:spacing w:after="0" w:line="240" w:lineRule="auto"/>
      </w:pPr>
      <w:r>
        <w:separator/>
      </w:r>
    </w:p>
  </w:endnote>
  <w:endnote w:type="continuationSeparator" w:id="0">
    <w:p w:rsidR="00360A5C" w:rsidRDefault="00360A5C" w:rsidP="00646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A5C" w:rsidRDefault="00360A5C" w:rsidP="00646F89">
      <w:pPr>
        <w:spacing w:after="0" w:line="240" w:lineRule="auto"/>
      </w:pPr>
      <w:r>
        <w:separator/>
      </w:r>
    </w:p>
  </w:footnote>
  <w:footnote w:type="continuationSeparator" w:id="0">
    <w:p w:rsidR="00360A5C" w:rsidRDefault="00360A5C" w:rsidP="00646F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83B2B"/>
    <w:multiLevelType w:val="hybridMultilevel"/>
    <w:tmpl w:val="263A0AC6"/>
    <w:lvl w:ilvl="0" w:tplc="73A862E2">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3A69C8"/>
    <w:multiLevelType w:val="hybridMultilevel"/>
    <w:tmpl w:val="A254F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5E61819"/>
    <w:multiLevelType w:val="hybridMultilevel"/>
    <w:tmpl w:val="5DC22E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6E54839"/>
    <w:multiLevelType w:val="hybridMultilevel"/>
    <w:tmpl w:val="E44A81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5123DBA"/>
    <w:multiLevelType w:val="hybridMultilevel"/>
    <w:tmpl w:val="8E4222C0"/>
    <w:lvl w:ilvl="0" w:tplc="E69A520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5815188"/>
    <w:multiLevelType w:val="hybridMultilevel"/>
    <w:tmpl w:val="07CA3F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AA03E1E"/>
    <w:multiLevelType w:val="hybridMultilevel"/>
    <w:tmpl w:val="A19EC1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C222E29"/>
    <w:multiLevelType w:val="hybridMultilevel"/>
    <w:tmpl w:val="433E1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30F60F6"/>
    <w:multiLevelType w:val="hybridMultilevel"/>
    <w:tmpl w:val="F7B69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539000FC"/>
    <w:multiLevelType w:val="hybridMultilevel"/>
    <w:tmpl w:val="F1CE0884"/>
    <w:lvl w:ilvl="0" w:tplc="73A862E2">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549A6C3E"/>
    <w:multiLevelType w:val="hybridMultilevel"/>
    <w:tmpl w:val="A872A4D6"/>
    <w:lvl w:ilvl="0" w:tplc="73A862E2">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6751D02"/>
    <w:multiLevelType w:val="hybridMultilevel"/>
    <w:tmpl w:val="F9A01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86B2DD3"/>
    <w:multiLevelType w:val="hybridMultilevel"/>
    <w:tmpl w:val="67C438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7EAF5649"/>
    <w:multiLevelType w:val="hybridMultilevel"/>
    <w:tmpl w:val="F7E249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4"/>
  </w:num>
  <w:num w:numId="4">
    <w:abstractNumId w:val="7"/>
  </w:num>
  <w:num w:numId="5">
    <w:abstractNumId w:val="9"/>
  </w:num>
  <w:num w:numId="6">
    <w:abstractNumId w:val="10"/>
  </w:num>
  <w:num w:numId="7">
    <w:abstractNumId w:val="0"/>
  </w:num>
  <w:num w:numId="8">
    <w:abstractNumId w:val="5"/>
  </w:num>
  <w:num w:numId="9">
    <w:abstractNumId w:val="2"/>
  </w:num>
  <w:num w:numId="10">
    <w:abstractNumId w:val="8"/>
  </w:num>
  <w:num w:numId="11">
    <w:abstractNumId w:val="6"/>
  </w:num>
  <w:num w:numId="12">
    <w:abstractNumId w:val="1"/>
  </w:num>
  <w:num w:numId="13">
    <w:abstractNumId w:val="1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141"/>
    <w:rsid w:val="00001C7D"/>
    <w:rsid w:val="000031DE"/>
    <w:rsid w:val="00005D6C"/>
    <w:rsid w:val="00014BBF"/>
    <w:rsid w:val="00015110"/>
    <w:rsid w:val="00022CCD"/>
    <w:rsid w:val="00034B13"/>
    <w:rsid w:val="000352A7"/>
    <w:rsid w:val="000412B0"/>
    <w:rsid w:val="000423E8"/>
    <w:rsid w:val="00043075"/>
    <w:rsid w:val="00043744"/>
    <w:rsid w:val="00051E45"/>
    <w:rsid w:val="000532AF"/>
    <w:rsid w:val="00053890"/>
    <w:rsid w:val="00054D0F"/>
    <w:rsid w:val="00056A9B"/>
    <w:rsid w:val="000600FC"/>
    <w:rsid w:val="00067778"/>
    <w:rsid w:val="00070B9B"/>
    <w:rsid w:val="00071E86"/>
    <w:rsid w:val="0007279F"/>
    <w:rsid w:val="00073B16"/>
    <w:rsid w:val="000755D8"/>
    <w:rsid w:val="00075C71"/>
    <w:rsid w:val="000813A9"/>
    <w:rsid w:val="00082C61"/>
    <w:rsid w:val="0008377B"/>
    <w:rsid w:val="00083DEE"/>
    <w:rsid w:val="00085536"/>
    <w:rsid w:val="000911D2"/>
    <w:rsid w:val="00094987"/>
    <w:rsid w:val="00096E85"/>
    <w:rsid w:val="000A0EC2"/>
    <w:rsid w:val="000A1017"/>
    <w:rsid w:val="000A48C9"/>
    <w:rsid w:val="000A4D50"/>
    <w:rsid w:val="000A583E"/>
    <w:rsid w:val="000B30C4"/>
    <w:rsid w:val="000B478F"/>
    <w:rsid w:val="000B500B"/>
    <w:rsid w:val="000C038C"/>
    <w:rsid w:val="000C1509"/>
    <w:rsid w:val="000D38ED"/>
    <w:rsid w:val="000D7E2A"/>
    <w:rsid w:val="000E5D68"/>
    <w:rsid w:val="000E7C40"/>
    <w:rsid w:val="000F259C"/>
    <w:rsid w:val="001014A0"/>
    <w:rsid w:val="001047F3"/>
    <w:rsid w:val="00105971"/>
    <w:rsid w:val="00111E66"/>
    <w:rsid w:val="00115058"/>
    <w:rsid w:val="00116A84"/>
    <w:rsid w:val="00116EE6"/>
    <w:rsid w:val="00117D15"/>
    <w:rsid w:val="001214A7"/>
    <w:rsid w:val="00121BCF"/>
    <w:rsid w:val="00124164"/>
    <w:rsid w:val="001258B0"/>
    <w:rsid w:val="00126B31"/>
    <w:rsid w:val="00133804"/>
    <w:rsid w:val="00135A87"/>
    <w:rsid w:val="00136A16"/>
    <w:rsid w:val="001447F9"/>
    <w:rsid w:val="00154D8A"/>
    <w:rsid w:val="001578C0"/>
    <w:rsid w:val="0016430A"/>
    <w:rsid w:val="00165B09"/>
    <w:rsid w:val="00170526"/>
    <w:rsid w:val="001719B6"/>
    <w:rsid w:val="001810AA"/>
    <w:rsid w:val="00184440"/>
    <w:rsid w:val="001848A0"/>
    <w:rsid w:val="001A2857"/>
    <w:rsid w:val="001A6CE2"/>
    <w:rsid w:val="001A74E5"/>
    <w:rsid w:val="001C33E5"/>
    <w:rsid w:val="001D2CA8"/>
    <w:rsid w:val="001E0D29"/>
    <w:rsid w:val="001F0C6A"/>
    <w:rsid w:val="001F4C1F"/>
    <w:rsid w:val="001F55A0"/>
    <w:rsid w:val="00203B84"/>
    <w:rsid w:val="0022082E"/>
    <w:rsid w:val="002213B9"/>
    <w:rsid w:val="00223AC2"/>
    <w:rsid w:val="00225480"/>
    <w:rsid w:val="002326F3"/>
    <w:rsid w:val="002379FC"/>
    <w:rsid w:val="00242BE5"/>
    <w:rsid w:val="002444B4"/>
    <w:rsid w:val="00245D5E"/>
    <w:rsid w:val="00250DEC"/>
    <w:rsid w:val="002524AD"/>
    <w:rsid w:val="00254505"/>
    <w:rsid w:val="00257FB8"/>
    <w:rsid w:val="00260CA8"/>
    <w:rsid w:val="00275655"/>
    <w:rsid w:val="00281DF2"/>
    <w:rsid w:val="002848B6"/>
    <w:rsid w:val="00287CC7"/>
    <w:rsid w:val="00294405"/>
    <w:rsid w:val="002964E2"/>
    <w:rsid w:val="002A5E93"/>
    <w:rsid w:val="002A7D45"/>
    <w:rsid w:val="002B0D9A"/>
    <w:rsid w:val="002B321F"/>
    <w:rsid w:val="002B3E7A"/>
    <w:rsid w:val="002B4C5B"/>
    <w:rsid w:val="002B7B06"/>
    <w:rsid w:val="002B7F54"/>
    <w:rsid w:val="002C01EA"/>
    <w:rsid w:val="002C5DE4"/>
    <w:rsid w:val="002D09EB"/>
    <w:rsid w:val="002D0A2C"/>
    <w:rsid w:val="002D0FDE"/>
    <w:rsid w:val="002D422C"/>
    <w:rsid w:val="002D427A"/>
    <w:rsid w:val="002D5B8B"/>
    <w:rsid w:val="002D6787"/>
    <w:rsid w:val="002D6D97"/>
    <w:rsid w:val="002E25B2"/>
    <w:rsid w:val="002E308B"/>
    <w:rsid w:val="002E6088"/>
    <w:rsid w:val="002E6A6A"/>
    <w:rsid w:val="002E7690"/>
    <w:rsid w:val="002F215E"/>
    <w:rsid w:val="00305433"/>
    <w:rsid w:val="0031021D"/>
    <w:rsid w:val="00321C46"/>
    <w:rsid w:val="003237D1"/>
    <w:rsid w:val="00326552"/>
    <w:rsid w:val="0032685C"/>
    <w:rsid w:val="00330DEF"/>
    <w:rsid w:val="00335E8A"/>
    <w:rsid w:val="00337D0C"/>
    <w:rsid w:val="00350DA9"/>
    <w:rsid w:val="00352218"/>
    <w:rsid w:val="00355559"/>
    <w:rsid w:val="0035594F"/>
    <w:rsid w:val="00357A21"/>
    <w:rsid w:val="00360A5C"/>
    <w:rsid w:val="003648E2"/>
    <w:rsid w:val="00365E13"/>
    <w:rsid w:val="003670D5"/>
    <w:rsid w:val="003703B2"/>
    <w:rsid w:val="0037111F"/>
    <w:rsid w:val="00371665"/>
    <w:rsid w:val="00371966"/>
    <w:rsid w:val="003801B5"/>
    <w:rsid w:val="00390836"/>
    <w:rsid w:val="00391358"/>
    <w:rsid w:val="003916E6"/>
    <w:rsid w:val="00394231"/>
    <w:rsid w:val="003A1404"/>
    <w:rsid w:val="003A3141"/>
    <w:rsid w:val="003A3F31"/>
    <w:rsid w:val="003B013B"/>
    <w:rsid w:val="003B1D71"/>
    <w:rsid w:val="003B2B40"/>
    <w:rsid w:val="003B6E54"/>
    <w:rsid w:val="003B7EDA"/>
    <w:rsid w:val="003C1478"/>
    <w:rsid w:val="003C23A7"/>
    <w:rsid w:val="003C3E4D"/>
    <w:rsid w:val="003C4A63"/>
    <w:rsid w:val="003C67BC"/>
    <w:rsid w:val="003D0A3A"/>
    <w:rsid w:val="003D2643"/>
    <w:rsid w:val="003D369E"/>
    <w:rsid w:val="003F1D43"/>
    <w:rsid w:val="003F3604"/>
    <w:rsid w:val="003F5673"/>
    <w:rsid w:val="003F74B4"/>
    <w:rsid w:val="00404710"/>
    <w:rsid w:val="0041035A"/>
    <w:rsid w:val="0041083F"/>
    <w:rsid w:val="00412406"/>
    <w:rsid w:val="0041301D"/>
    <w:rsid w:val="00416B24"/>
    <w:rsid w:val="0042626E"/>
    <w:rsid w:val="004309B8"/>
    <w:rsid w:val="00431E78"/>
    <w:rsid w:val="00432FCC"/>
    <w:rsid w:val="004361A1"/>
    <w:rsid w:val="0043696B"/>
    <w:rsid w:val="00442FD8"/>
    <w:rsid w:val="0045212E"/>
    <w:rsid w:val="00452B89"/>
    <w:rsid w:val="00455D8F"/>
    <w:rsid w:val="00456C25"/>
    <w:rsid w:val="00457036"/>
    <w:rsid w:val="0045758A"/>
    <w:rsid w:val="004603CD"/>
    <w:rsid w:val="004614EB"/>
    <w:rsid w:val="00464F72"/>
    <w:rsid w:val="004675A0"/>
    <w:rsid w:val="004710EE"/>
    <w:rsid w:val="0047308D"/>
    <w:rsid w:val="00477B03"/>
    <w:rsid w:val="00477FAF"/>
    <w:rsid w:val="0048485A"/>
    <w:rsid w:val="00486188"/>
    <w:rsid w:val="00487E75"/>
    <w:rsid w:val="00491E7F"/>
    <w:rsid w:val="00494FB6"/>
    <w:rsid w:val="00496ED4"/>
    <w:rsid w:val="004A2C1B"/>
    <w:rsid w:val="004A2F9A"/>
    <w:rsid w:val="004A38B1"/>
    <w:rsid w:val="004A513C"/>
    <w:rsid w:val="004B0F90"/>
    <w:rsid w:val="004B2B50"/>
    <w:rsid w:val="004B6829"/>
    <w:rsid w:val="004C00DA"/>
    <w:rsid w:val="004C6425"/>
    <w:rsid w:val="004D2345"/>
    <w:rsid w:val="004E1062"/>
    <w:rsid w:val="00505E56"/>
    <w:rsid w:val="0050698E"/>
    <w:rsid w:val="005138EA"/>
    <w:rsid w:val="005218F7"/>
    <w:rsid w:val="0052284F"/>
    <w:rsid w:val="00523F66"/>
    <w:rsid w:val="00526704"/>
    <w:rsid w:val="0052764D"/>
    <w:rsid w:val="00527E90"/>
    <w:rsid w:val="00530212"/>
    <w:rsid w:val="00531BEB"/>
    <w:rsid w:val="00542B23"/>
    <w:rsid w:val="00553611"/>
    <w:rsid w:val="005540D9"/>
    <w:rsid w:val="005541C5"/>
    <w:rsid w:val="005663FD"/>
    <w:rsid w:val="00567F3E"/>
    <w:rsid w:val="00572E94"/>
    <w:rsid w:val="0057602A"/>
    <w:rsid w:val="00581CBF"/>
    <w:rsid w:val="005856C7"/>
    <w:rsid w:val="005955AD"/>
    <w:rsid w:val="005A37DF"/>
    <w:rsid w:val="005A4E5C"/>
    <w:rsid w:val="005A5A9C"/>
    <w:rsid w:val="005A76FB"/>
    <w:rsid w:val="005B1625"/>
    <w:rsid w:val="005C10CF"/>
    <w:rsid w:val="005C2D32"/>
    <w:rsid w:val="005C4EB7"/>
    <w:rsid w:val="005C51A2"/>
    <w:rsid w:val="005C5815"/>
    <w:rsid w:val="005D1C11"/>
    <w:rsid w:val="005D618A"/>
    <w:rsid w:val="005E251E"/>
    <w:rsid w:val="005E6200"/>
    <w:rsid w:val="005F526E"/>
    <w:rsid w:val="005F7DD3"/>
    <w:rsid w:val="006032D6"/>
    <w:rsid w:val="00607CE3"/>
    <w:rsid w:val="0061032F"/>
    <w:rsid w:val="006106C2"/>
    <w:rsid w:val="00612069"/>
    <w:rsid w:val="0061391D"/>
    <w:rsid w:val="00613C3F"/>
    <w:rsid w:val="00616664"/>
    <w:rsid w:val="0062214B"/>
    <w:rsid w:val="0062606E"/>
    <w:rsid w:val="00631DC1"/>
    <w:rsid w:val="006354DF"/>
    <w:rsid w:val="00635DE0"/>
    <w:rsid w:val="006378E9"/>
    <w:rsid w:val="0064055D"/>
    <w:rsid w:val="006413A7"/>
    <w:rsid w:val="00642E28"/>
    <w:rsid w:val="00645177"/>
    <w:rsid w:val="0064570D"/>
    <w:rsid w:val="00646F89"/>
    <w:rsid w:val="00647B5F"/>
    <w:rsid w:val="00650845"/>
    <w:rsid w:val="00651392"/>
    <w:rsid w:val="00652581"/>
    <w:rsid w:val="006569B2"/>
    <w:rsid w:val="0066046F"/>
    <w:rsid w:val="00660DA8"/>
    <w:rsid w:val="0066574F"/>
    <w:rsid w:val="00677791"/>
    <w:rsid w:val="00686845"/>
    <w:rsid w:val="00692343"/>
    <w:rsid w:val="00692B34"/>
    <w:rsid w:val="006A2759"/>
    <w:rsid w:val="006A5CAC"/>
    <w:rsid w:val="006B289F"/>
    <w:rsid w:val="006B36DF"/>
    <w:rsid w:val="006B7120"/>
    <w:rsid w:val="006B73C0"/>
    <w:rsid w:val="006C2879"/>
    <w:rsid w:val="006D6529"/>
    <w:rsid w:val="006E575B"/>
    <w:rsid w:val="006F0EE7"/>
    <w:rsid w:val="006F4D39"/>
    <w:rsid w:val="006F708C"/>
    <w:rsid w:val="00700218"/>
    <w:rsid w:val="0070127B"/>
    <w:rsid w:val="007039FC"/>
    <w:rsid w:val="00703B85"/>
    <w:rsid w:val="007044B8"/>
    <w:rsid w:val="0070605E"/>
    <w:rsid w:val="00722328"/>
    <w:rsid w:val="007247C1"/>
    <w:rsid w:val="0072654B"/>
    <w:rsid w:val="007277B4"/>
    <w:rsid w:val="00734E15"/>
    <w:rsid w:val="00734FEC"/>
    <w:rsid w:val="00740BE7"/>
    <w:rsid w:val="00743E71"/>
    <w:rsid w:val="00744E05"/>
    <w:rsid w:val="00771EE5"/>
    <w:rsid w:val="007731AD"/>
    <w:rsid w:val="00773F54"/>
    <w:rsid w:val="00773FCB"/>
    <w:rsid w:val="00775B04"/>
    <w:rsid w:val="00781084"/>
    <w:rsid w:val="007842C0"/>
    <w:rsid w:val="0078585F"/>
    <w:rsid w:val="0078589B"/>
    <w:rsid w:val="00790E98"/>
    <w:rsid w:val="007918CE"/>
    <w:rsid w:val="00792C4C"/>
    <w:rsid w:val="00793B51"/>
    <w:rsid w:val="007975C8"/>
    <w:rsid w:val="007A18CB"/>
    <w:rsid w:val="007A4AB5"/>
    <w:rsid w:val="007A57F9"/>
    <w:rsid w:val="007B1D2C"/>
    <w:rsid w:val="007C2F09"/>
    <w:rsid w:val="007C3203"/>
    <w:rsid w:val="007C483E"/>
    <w:rsid w:val="007D67E7"/>
    <w:rsid w:val="007E2CD6"/>
    <w:rsid w:val="007E36F8"/>
    <w:rsid w:val="007E67F4"/>
    <w:rsid w:val="007F0EC0"/>
    <w:rsid w:val="007F405B"/>
    <w:rsid w:val="007F587F"/>
    <w:rsid w:val="00802909"/>
    <w:rsid w:val="00803829"/>
    <w:rsid w:val="0080540C"/>
    <w:rsid w:val="00810245"/>
    <w:rsid w:val="0081058A"/>
    <w:rsid w:val="00814EA4"/>
    <w:rsid w:val="00815903"/>
    <w:rsid w:val="00835538"/>
    <w:rsid w:val="00836392"/>
    <w:rsid w:val="008434A2"/>
    <w:rsid w:val="00844A6A"/>
    <w:rsid w:val="00844F27"/>
    <w:rsid w:val="0085204E"/>
    <w:rsid w:val="008522D6"/>
    <w:rsid w:val="00852473"/>
    <w:rsid w:val="008526DD"/>
    <w:rsid w:val="00856B46"/>
    <w:rsid w:val="00857CEB"/>
    <w:rsid w:val="0086129B"/>
    <w:rsid w:val="008614FB"/>
    <w:rsid w:val="00861527"/>
    <w:rsid w:val="00862FF4"/>
    <w:rsid w:val="00863766"/>
    <w:rsid w:val="00867BAC"/>
    <w:rsid w:val="00871923"/>
    <w:rsid w:val="00875425"/>
    <w:rsid w:val="00875B37"/>
    <w:rsid w:val="00877D6E"/>
    <w:rsid w:val="008813D4"/>
    <w:rsid w:val="00883109"/>
    <w:rsid w:val="00886983"/>
    <w:rsid w:val="008B6469"/>
    <w:rsid w:val="008B692F"/>
    <w:rsid w:val="008B69B6"/>
    <w:rsid w:val="008C5BF6"/>
    <w:rsid w:val="008D3F07"/>
    <w:rsid w:val="008E0063"/>
    <w:rsid w:val="008E1C6A"/>
    <w:rsid w:val="008E47A0"/>
    <w:rsid w:val="008F0021"/>
    <w:rsid w:val="008F055D"/>
    <w:rsid w:val="008F08D2"/>
    <w:rsid w:val="008F158F"/>
    <w:rsid w:val="008F1858"/>
    <w:rsid w:val="0090071B"/>
    <w:rsid w:val="00901F9A"/>
    <w:rsid w:val="009036AE"/>
    <w:rsid w:val="00906A8A"/>
    <w:rsid w:val="0091214F"/>
    <w:rsid w:val="009130AA"/>
    <w:rsid w:val="0092776B"/>
    <w:rsid w:val="0093404D"/>
    <w:rsid w:val="009377CA"/>
    <w:rsid w:val="00937B44"/>
    <w:rsid w:val="0094431D"/>
    <w:rsid w:val="0094671B"/>
    <w:rsid w:val="00954936"/>
    <w:rsid w:val="0095753D"/>
    <w:rsid w:val="00960363"/>
    <w:rsid w:val="00961341"/>
    <w:rsid w:val="00963C62"/>
    <w:rsid w:val="00964C14"/>
    <w:rsid w:val="00967151"/>
    <w:rsid w:val="00967EF4"/>
    <w:rsid w:val="009719A5"/>
    <w:rsid w:val="00976678"/>
    <w:rsid w:val="009770CF"/>
    <w:rsid w:val="00981D0A"/>
    <w:rsid w:val="00982995"/>
    <w:rsid w:val="0099303B"/>
    <w:rsid w:val="009B4BBE"/>
    <w:rsid w:val="009C0C73"/>
    <w:rsid w:val="009C404D"/>
    <w:rsid w:val="009C4D56"/>
    <w:rsid w:val="009C7C6F"/>
    <w:rsid w:val="009D036F"/>
    <w:rsid w:val="009D21FE"/>
    <w:rsid w:val="009D5F82"/>
    <w:rsid w:val="009D74FB"/>
    <w:rsid w:val="009E2988"/>
    <w:rsid w:val="009F3A1B"/>
    <w:rsid w:val="009F5F5A"/>
    <w:rsid w:val="009F7DD4"/>
    <w:rsid w:val="00A00780"/>
    <w:rsid w:val="00A076C5"/>
    <w:rsid w:val="00A07708"/>
    <w:rsid w:val="00A121FA"/>
    <w:rsid w:val="00A12BBC"/>
    <w:rsid w:val="00A171A5"/>
    <w:rsid w:val="00A21A48"/>
    <w:rsid w:val="00A258BC"/>
    <w:rsid w:val="00A53C5A"/>
    <w:rsid w:val="00A54886"/>
    <w:rsid w:val="00A576A9"/>
    <w:rsid w:val="00A60E82"/>
    <w:rsid w:val="00A61CDE"/>
    <w:rsid w:val="00A636AA"/>
    <w:rsid w:val="00A6376E"/>
    <w:rsid w:val="00A63F25"/>
    <w:rsid w:val="00A65A87"/>
    <w:rsid w:val="00A67B89"/>
    <w:rsid w:val="00A67DC6"/>
    <w:rsid w:val="00A82181"/>
    <w:rsid w:val="00A826E5"/>
    <w:rsid w:val="00A867AC"/>
    <w:rsid w:val="00A90142"/>
    <w:rsid w:val="00A912CB"/>
    <w:rsid w:val="00A9384B"/>
    <w:rsid w:val="00A93D95"/>
    <w:rsid w:val="00A95564"/>
    <w:rsid w:val="00AA3AB8"/>
    <w:rsid w:val="00AA4651"/>
    <w:rsid w:val="00AB20BF"/>
    <w:rsid w:val="00AB7DFA"/>
    <w:rsid w:val="00AC14F1"/>
    <w:rsid w:val="00AC175D"/>
    <w:rsid w:val="00AC3D87"/>
    <w:rsid w:val="00AC597E"/>
    <w:rsid w:val="00AD6A5F"/>
    <w:rsid w:val="00AE566E"/>
    <w:rsid w:val="00AF4752"/>
    <w:rsid w:val="00AF494A"/>
    <w:rsid w:val="00AF5583"/>
    <w:rsid w:val="00B00A7B"/>
    <w:rsid w:val="00B1507A"/>
    <w:rsid w:val="00B314FE"/>
    <w:rsid w:val="00B34756"/>
    <w:rsid w:val="00B350F5"/>
    <w:rsid w:val="00B35A5A"/>
    <w:rsid w:val="00B36959"/>
    <w:rsid w:val="00B37C97"/>
    <w:rsid w:val="00B41DBA"/>
    <w:rsid w:val="00B439B4"/>
    <w:rsid w:val="00B514AB"/>
    <w:rsid w:val="00B52289"/>
    <w:rsid w:val="00B5251A"/>
    <w:rsid w:val="00B55EBF"/>
    <w:rsid w:val="00B5613B"/>
    <w:rsid w:val="00B6057B"/>
    <w:rsid w:val="00B60E29"/>
    <w:rsid w:val="00B623EA"/>
    <w:rsid w:val="00B63DDF"/>
    <w:rsid w:val="00B672C0"/>
    <w:rsid w:val="00B67941"/>
    <w:rsid w:val="00B75F65"/>
    <w:rsid w:val="00B80461"/>
    <w:rsid w:val="00B805C9"/>
    <w:rsid w:val="00B83433"/>
    <w:rsid w:val="00B877E9"/>
    <w:rsid w:val="00B911B0"/>
    <w:rsid w:val="00BA100A"/>
    <w:rsid w:val="00BA14C5"/>
    <w:rsid w:val="00BA60C2"/>
    <w:rsid w:val="00BA66DC"/>
    <w:rsid w:val="00BA7115"/>
    <w:rsid w:val="00BB075F"/>
    <w:rsid w:val="00BB218E"/>
    <w:rsid w:val="00BB26DB"/>
    <w:rsid w:val="00BD3537"/>
    <w:rsid w:val="00BD7E34"/>
    <w:rsid w:val="00BE05FB"/>
    <w:rsid w:val="00BE5634"/>
    <w:rsid w:val="00BF12F0"/>
    <w:rsid w:val="00BF1E1B"/>
    <w:rsid w:val="00BF267A"/>
    <w:rsid w:val="00BF3C83"/>
    <w:rsid w:val="00C03248"/>
    <w:rsid w:val="00C06C61"/>
    <w:rsid w:val="00C07809"/>
    <w:rsid w:val="00C07A72"/>
    <w:rsid w:val="00C113DC"/>
    <w:rsid w:val="00C12CDE"/>
    <w:rsid w:val="00C13BB7"/>
    <w:rsid w:val="00C20498"/>
    <w:rsid w:val="00C224FE"/>
    <w:rsid w:val="00C23FF4"/>
    <w:rsid w:val="00C258B5"/>
    <w:rsid w:val="00C309A1"/>
    <w:rsid w:val="00C32B43"/>
    <w:rsid w:val="00C3338B"/>
    <w:rsid w:val="00C36944"/>
    <w:rsid w:val="00C37125"/>
    <w:rsid w:val="00C42CEB"/>
    <w:rsid w:val="00C443FB"/>
    <w:rsid w:val="00C45D7F"/>
    <w:rsid w:val="00C476DB"/>
    <w:rsid w:val="00C573F4"/>
    <w:rsid w:val="00C624E0"/>
    <w:rsid w:val="00C6556E"/>
    <w:rsid w:val="00C67F9F"/>
    <w:rsid w:val="00C7226D"/>
    <w:rsid w:val="00C75ECF"/>
    <w:rsid w:val="00C802D9"/>
    <w:rsid w:val="00C80A6F"/>
    <w:rsid w:val="00C82355"/>
    <w:rsid w:val="00C85CBD"/>
    <w:rsid w:val="00C85CDD"/>
    <w:rsid w:val="00C87221"/>
    <w:rsid w:val="00C91BA5"/>
    <w:rsid w:val="00C92556"/>
    <w:rsid w:val="00C950AC"/>
    <w:rsid w:val="00C951F0"/>
    <w:rsid w:val="00C96245"/>
    <w:rsid w:val="00CA76A7"/>
    <w:rsid w:val="00CB10B7"/>
    <w:rsid w:val="00CB37DD"/>
    <w:rsid w:val="00CB4887"/>
    <w:rsid w:val="00CB4D89"/>
    <w:rsid w:val="00CB4E3C"/>
    <w:rsid w:val="00CC37C8"/>
    <w:rsid w:val="00CC633E"/>
    <w:rsid w:val="00CD2CEC"/>
    <w:rsid w:val="00CD401C"/>
    <w:rsid w:val="00CD42D8"/>
    <w:rsid w:val="00CE1DD4"/>
    <w:rsid w:val="00CE3C88"/>
    <w:rsid w:val="00CE5729"/>
    <w:rsid w:val="00CE5B12"/>
    <w:rsid w:val="00CE6DF1"/>
    <w:rsid w:val="00CE7150"/>
    <w:rsid w:val="00CF1D03"/>
    <w:rsid w:val="00CF23F1"/>
    <w:rsid w:val="00D0034C"/>
    <w:rsid w:val="00D0256E"/>
    <w:rsid w:val="00D026B2"/>
    <w:rsid w:val="00D103D8"/>
    <w:rsid w:val="00D110E5"/>
    <w:rsid w:val="00D11D32"/>
    <w:rsid w:val="00D12999"/>
    <w:rsid w:val="00D2213D"/>
    <w:rsid w:val="00D227CF"/>
    <w:rsid w:val="00D23512"/>
    <w:rsid w:val="00D23B6A"/>
    <w:rsid w:val="00D2743D"/>
    <w:rsid w:val="00D31E22"/>
    <w:rsid w:val="00D3465E"/>
    <w:rsid w:val="00D355C4"/>
    <w:rsid w:val="00D421B7"/>
    <w:rsid w:val="00D47931"/>
    <w:rsid w:val="00D51F6A"/>
    <w:rsid w:val="00D53468"/>
    <w:rsid w:val="00D546FD"/>
    <w:rsid w:val="00D56859"/>
    <w:rsid w:val="00D57B6F"/>
    <w:rsid w:val="00D7414C"/>
    <w:rsid w:val="00D83C4A"/>
    <w:rsid w:val="00D8691B"/>
    <w:rsid w:val="00D86D46"/>
    <w:rsid w:val="00D92B61"/>
    <w:rsid w:val="00D92CC2"/>
    <w:rsid w:val="00DA12C2"/>
    <w:rsid w:val="00DA21B1"/>
    <w:rsid w:val="00DA6DBB"/>
    <w:rsid w:val="00DA7EAC"/>
    <w:rsid w:val="00DB2509"/>
    <w:rsid w:val="00DB5695"/>
    <w:rsid w:val="00DC37ED"/>
    <w:rsid w:val="00DC6B8A"/>
    <w:rsid w:val="00DC72C3"/>
    <w:rsid w:val="00DD1851"/>
    <w:rsid w:val="00DD6E53"/>
    <w:rsid w:val="00DD7146"/>
    <w:rsid w:val="00DE176F"/>
    <w:rsid w:val="00DE5B35"/>
    <w:rsid w:val="00DE613F"/>
    <w:rsid w:val="00DE6F5E"/>
    <w:rsid w:val="00DE7C0C"/>
    <w:rsid w:val="00DF1149"/>
    <w:rsid w:val="00DF340B"/>
    <w:rsid w:val="00DF4BF8"/>
    <w:rsid w:val="00E01199"/>
    <w:rsid w:val="00E02352"/>
    <w:rsid w:val="00E03BD7"/>
    <w:rsid w:val="00E053DB"/>
    <w:rsid w:val="00E108C0"/>
    <w:rsid w:val="00E20067"/>
    <w:rsid w:val="00E2053C"/>
    <w:rsid w:val="00E25CC5"/>
    <w:rsid w:val="00E3635F"/>
    <w:rsid w:val="00E374FB"/>
    <w:rsid w:val="00E44AFA"/>
    <w:rsid w:val="00E648D1"/>
    <w:rsid w:val="00E66FD4"/>
    <w:rsid w:val="00E67DC9"/>
    <w:rsid w:val="00E74858"/>
    <w:rsid w:val="00E75071"/>
    <w:rsid w:val="00E77539"/>
    <w:rsid w:val="00E815EB"/>
    <w:rsid w:val="00E82A82"/>
    <w:rsid w:val="00E85122"/>
    <w:rsid w:val="00E85B47"/>
    <w:rsid w:val="00E86898"/>
    <w:rsid w:val="00E91529"/>
    <w:rsid w:val="00E92D18"/>
    <w:rsid w:val="00E93D50"/>
    <w:rsid w:val="00E956B3"/>
    <w:rsid w:val="00E96980"/>
    <w:rsid w:val="00EA53BB"/>
    <w:rsid w:val="00EA5D5E"/>
    <w:rsid w:val="00EB1963"/>
    <w:rsid w:val="00EB46BB"/>
    <w:rsid w:val="00EB637F"/>
    <w:rsid w:val="00EC0DBA"/>
    <w:rsid w:val="00EC2221"/>
    <w:rsid w:val="00EC4A02"/>
    <w:rsid w:val="00EC65FB"/>
    <w:rsid w:val="00ED1F5A"/>
    <w:rsid w:val="00ED34F4"/>
    <w:rsid w:val="00ED40B2"/>
    <w:rsid w:val="00EE12D0"/>
    <w:rsid w:val="00EE5696"/>
    <w:rsid w:val="00EF1E09"/>
    <w:rsid w:val="00EF33E8"/>
    <w:rsid w:val="00EF5A89"/>
    <w:rsid w:val="00EF5D30"/>
    <w:rsid w:val="00EF650F"/>
    <w:rsid w:val="00F01873"/>
    <w:rsid w:val="00F025DD"/>
    <w:rsid w:val="00F030CC"/>
    <w:rsid w:val="00F04860"/>
    <w:rsid w:val="00F10C00"/>
    <w:rsid w:val="00F13703"/>
    <w:rsid w:val="00F150AC"/>
    <w:rsid w:val="00F1536C"/>
    <w:rsid w:val="00F16E57"/>
    <w:rsid w:val="00F2071D"/>
    <w:rsid w:val="00F20F37"/>
    <w:rsid w:val="00F21236"/>
    <w:rsid w:val="00F226F2"/>
    <w:rsid w:val="00F25746"/>
    <w:rsid w:val="00F31699"/>
    <w:rsid w:val="00F36DEA"/>
    <w:rsid w:val="00F4332A"/>
    <w:rsid w:val="00F435ED"/>
    <w:rsid w:val="00F50220"/>
    <w:rsid w:val="00F60AF3"/>
    <w:rsid w:val="00F61407"/>
    <w:rsid w:val="00F77F69"/>
    <w:rsid w:val="00F8181F"/>
    <w:rsid w:val="00F818CD"/>
    <w:rsid w:val="00F837EF"/>
    <w:rsid w:val="00F83AC5"/>
    <w:rsid w:val="00F859E8"/>
    <w:rsid w:val="00F966E9"/>
    <w:rsid w:val="00F96ED2"/>
    <w:rsid w:val="00FA1B70"/>
    <w:rsid w:val="00FB0D93"/>
    <w:rsid w:val="00FB1032"/>
    <w:rsid w:val="00FB2B2A"/>
    <w:rsid w:val="00FC3478"/>
    <w:rsid w:val="00FD0206"/>
    <w:rsid w:val="00FD1F45"/>
    <w:rsid w:val="00FD376D"/>
    <w:rsid w:val="00FE6992"/>
    <w:rsid w:val="00FE7CE5"/>
    <w:rsid w:val="00FF2BA4"/>
    <w:rsid w:val="00FF352E"/>
    <w:rsid w:val="00FF39D5"/>
    <w:rsid w:val="00FF3F02"/>
    <w:rsid w:val="00FF4B4C"/>
    <w:rsid w:val="00FF616C"/>
    <w:rsid w:val="00FF67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ED3468-2FFA-45EA-A63D-13A16105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F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46F89"/>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uiPriority w:val="99"/>
    <w:rsid w:val="00646F89"/>
    <w:rPr>
      <w:rFonts w:ascii="Times New Roman" w:eastAsia="Times New Roman" w:hAnsi="Times New Roman" w:cs="Times New Roman"/>
      <w:sz w:val="24"/>
      <w:szCs w:val="20"/>
      <w:lang w:eastAsia="en-AU"/>
    </w:rPr>
  </w:style>
  <w:style w:type="paragraph" w:styleId="FootnoteText">
    <w:name w:val="footnote text"/>
    <w:aliases w:val="ACMA Footnote Text"/>
    <w:basedOn w:val="Normal"/>
    <w:link w:val="FootnoteTextChar"/>
    <w:unhideWhenUsed/>
    <w:rsid w:val="00646F89"/>
    <w:pPr>
      <w:spacing w:after="0" w:line="240" w:lineRule="auto"/>
    </w:pPr>
    <w:rPr>
      <w:sz w:val="20"/>
      <w:szCs w:val="20"/>
    </w:rPr>
  </w:style>
  <w:style w:type="character" w:customStyle="1" w:styleId="FootnoteTextChar">
    <w:name w:val="Footnote Text Char"/>
    <w:aliases w:val="ACMA Footnote Text Char"/>
    <w:basedOn w:val="DefaultParagraphFont"/>
    <w:link w:val="FootnoteText"/>
    <w:rsid w:val="00646F89"/>
    <w:rPr>
      <w:sz w:val="20"/>
      <w:szCs w:val="20"/>
    </w:rPr>
  </w:style>
  <w:style w:type="character" w:styleId="FootnoteReference">
    <w:name w:val="footnote reference"/>
    <w:basedOn w:val="DefaultParagraphFont"/>
    <w:semiHidden/>
    <w:unhideWhenUsed/>
    <w:rsid w:val="00646F89"/>
    <w:rPr>
      <w:vertAlign w:val="superscript"/>
    </w:rPr>
  </w:style>
  <w:style w:type="paragraph" w:styleId="ListParagraph">
    <w:name w:val="List Paragraph"/>
    <w:basedOn w:val="Normal"/>
    <w:uiPriority w:val="34"/>
    <w:qFormat/>
    <w:rsid w:val="00BA7115"/>
    <w:pPr>
      <w:ind w:left="720"/>
      <w:contextualSpacing/>
    </w:pPr>
  </w:style>
  <w:style w:type="character" w:styleId="CommentReference">
    <w:name w:val="annotation reference"/>
    <w:basedOn w:val="DefaultParagraphFont"/>
    <w:uiPriority w:val="99"/>
    <w:unhideWhenUsed/>
    <w:rsid w:val="007731AD"/>
    <w:rPr>
      <w:sz w:val="16"/>
      <w:szCs w:val="16"/>
    </w:rPr>
  </w:style>
  <w:style w:type="paragraph" w:styleId="CommentText">
    <w:name w:val="annotation text"/>
    <w:basedOn w:val="Normal"/>
    <w:link w:val="CommentTextChar"/>
    <w:uiPriority w:val="99"/>
    <w:unhideWhenUsed/>
    <w:rsid w:val="007731AD"/>
    <w:pPr>
      <w:spacing w:line="240" w:lineRule="auto"/>
    </w:pPr>
    <w:rPr>
      <w:sz w:val="20"/>
      <w:szCs w:val="20"/>
    </w:rPr>
  </w:style>
  <w:style w:type="character" w:customStyle="1" w:styleId="CommentTextChar">
    <w:name w:val="Comment Text Char"/>
    <w:basedOn w:val="DefaultParagraphFont"/>
    <w:link w:val="CommentText"/>
    <w:uiPriority w:val="99"/>
    <w:rsid w:val="007731AD"/>
    <w:rPr>
      <w:sz w:val="20"/>
      <w:szCs w:val="20"/>
    </w:rPr>
  </w:style>
  <w:style w:type="paragraph" w:styleId="CommentSubject">
    <w:name w:val="annotation subject"/>
    <w:basedOn w:val="CommentText"/>
    <w:next w:val="CommentText"/>
    <w:link w:val="CommentSubjectChar"/>
    <w:uiPriority w:val="99"/>
    <w:semiHidden/>
    <w:unhideWhenUsed/>
    <w:rsid w:val="007731AD"/>
    <w:rPr>
      <w:b/>
      <w:bCs/>
    </w:rPr>
  </w:style>
  <w:style w:type="character" w:customStyle="1" w:styleId="CommentSubjectChar">
    <w:name w:val="Comment Subject Char"/>
    <w:basedOn w:val="CommentTextChar"/>
    <w:link w:val="CommentSubject"/>
    <w:uiPriority w:val="99"/>
    <w:semiHidden/>
    <w:rsid w:val="007731AD"/>
    <w:rPr>
      <w:b/>
      <w:bCs/>
      <w:sz w:val="20"/>
      <w:szCs w:val="20"/>
    </w:rPr>
  </w:style>
  <w:style w:type="paragraph" w:styleId="BalloonText">
    <w:name w:val="Balloon Text"/>
    <w:basedOn w:val="Normal"/>
    <w:link w:val="BalloonTextChar"/>
    <w:uiPriority w:val="99"/>
    <w:semiHidden/>
    <w:unhideWhenUsed/>
    <w:rsid w:val="00773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1AD"/>
    <w:rPr>
      <w:rFonts w:ascii="Tahoma" w:hAnsi="Tahoma" w:cs="Tahoma"/>
      <w:sz w:val="16"/>
      <w:szCs w:val="16"/>
    </w:rPr>
  </w:style>
  <w:style w:type="character" w:styleId="Hyperlink">
    <w:name w:val="Hyperlink"/>
    <w:basedOn w:val="DefaultParagraphFont"/>
    <w:uiPriority w:val="99"/>
    <w:unhideWhenUsed/>
    <w:rsid w:val="003C23A7"/>
    <w:rPr>
      <w:color w:val="0000FF" w:themeColor="hyperlink"/>
      <w:u w:val="single"/>
    </w:rPr>
  </w:style>
  <w:style w:type="character" w:styleId="FollowedHyperlink">
    <w:name w:val="FollowedHyperlink"/>
    <w:basedOn w:val="DefaultParagraphFont"/>
    <w:uiPriority w:val="99"/>
    <w:semiHidden/>
    <w:unhideWhenUsed/>
    <w:rsid w:val="00AC3D87"/>
    <w:rPr>
      <w:color w:val="800080" w:themeColor="followedHyperlink"/>
      <w:u w:val="single"/>
    </w:rPr>
  </w:style>
  <w:style w:type="paragraph" w:styleId="PlainText">
    <w:name w:val="Plain Text"/>
    <w:basedOn w:val="Normal"/>
    <w:link w:val="PlainTextChar"/>
    <w:uiPriority w:val="99"/>
    <w:unhideWhenUsed/>
    <w:rsid w:val="0061032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1032F"/>
    <w:rPr>
      <w:rFonts w:ascii="Calibri" w:hAnsi="Calibri"/>
      <w:szCs w:val="21"/>
    </w:rPr>
  </w:style>
  <w:style w:type="paragraph" w:customStyle="1" w:styleId="Default">
    <w:name w:val="Default"/>
    <w:rsid w:val="00432FC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32F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FCC"/>
  </w:style>
  <w:style w:type="paragraph" w:styleId="Footer">
    <w:name w:val="footer"/>
    <w:basedOn w:val="Normal"/>
    <w:link w:val="FooterChar"/>
    <w:uiPriority w:val="99"/>
    <w:unhideWhenUsed/>
    <w:rsid w:val="00432F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857194">
      <w:bodyDiv w:val="1"/>
      <w:marLeft w:val="0"/>
      <w:marRight w:val="0"/>
      <w:marTop w:val="0"/>
      <w:marBottom w:val="0"/>
      <w:divBdr>
        <w:top w:val="none" w:sz="0" w:space="0" w:color="auto"/>
        <w:left w:val="none" w:sz="0" w:space="0" w:color="auto"/>
        <w:bottom w:val="none" w:sz="0" w:space="0" w:color="auto"/>
        <w:right w:val="none" w:sz="0" w:space="0" w:color="auto"/>
      </w:divBdr>
    </w:div>
    <w:div w:id="1715764955">
      <w:bodyDiv w:val="1"/>
      <w:marLeft w:val="0"/>
      <w:marRight w:val="0"/>
      <w:marTop w:val="0"/>
      <w:marBottom w:val="0"/>
      <w:divBdr>
        <w:top w:val="none" w:sz="0" w:space="0" w:color="auto"/>
        <w:left w:val="none" w:sz="0" w:space="0" w:color="auto"/>
        <w:bottom w:val="none" w:sz="0" w:space="0" w:color="auto"/>
        <w:right w:val="none" w:sz="0" w:space="0" w:color="auto"/>
      </w:divBdr>
    </w:div>
    <w:div w:id="1876654875">
      <w:bodyDiv w:val="1"/>
      <w:marLeft w:val="0"/>
      <w:marRight w:val="0"/>
      <w:marTop w:val="0"/>
      <w:marBottom w:val="0"/>
      <w:divBdr>
        <w:top w:val="none" w:sz="0" w:space="0" w:color="auto"/>
        <w:left w:val="none" w:sz="0" w:space="0" w:color="auto"/>
        <w:bottom w:val="none" w:sz="0" w:space="0" w:color="auto"/>
        <w:right w:val="none" w:sz="0" w:space="0" w:color="auto"/>
      </w:divBdr>
    </w:div>
    <w:div w:id="207396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tu.i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KNAH4PPFC442-2596-410</_dlc_DocId>
    <_dlc_DocIdUrl xmlns="6db8f3c6-01a1-4322-b043-a3b2a190f7a8">
      <Url>http://collaboration/organisation/CID/RPB/RLPS/lib/_layouts/DocIdRedir.aspx?ID=KNAH4PPFC442-2596-410</Url>
      <Description>KNAH4PPFC442-2596-410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7F6700E72D8C244BB4A9479B32C0DD1" ma:contentTypeVersion="0" ma:contentTypeDescription="Create a new document." ma:contentTypeScope="" ma:versionID="9ec5da8a6c9a492cfcd5e85756ab22c7">
  <xsd:schema xmlns:xsd="http://www.w3.org/2001/XMLSchema" xmlns:xs="http://www.w3.org/2001/XMLSchema" xmlns:p="http://schemas.microsoft.com/office/2006/metadata/properties" xmlns:ns2="6db8f3c6-01a1-4322-b043-a3b2a190f7a8" targetNamespace="http://schemas.microsoft.com/office/2006/metadata/properties" ma:root="true" ma:fieldsID="08fd8ed56bc4c63e248c838960af90a7"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F1D956-AFF8-4319-AB2E-11390D3B7F53}">
  <ds:schemaRefs>
    <ds:schemaRef ds:uri="http://schemas.openxmlformats.org/package/2006/metadata/core-properties"/>
    <ds:schemaRef ds:uri="http://schemas.microsoft.com/office/2006/documentManagement/types"/>
    <ds:schemaRef ds:uri="http://purl.org/dc/elements/1.1/"/>
    <ds:schemaRef ds:uri="http://purl.org/dc/dcmitype/"/>
    <ds:schemaRef ds:uri="http://purl.org/dc/terms/"/>
    <ds:schemaRef ds:uri="http://www.w3.org/XML/1998/namespace"/>
    <ds:schemaRef ds:uri="http://schemas.microsoft.com/office/infopath/2007/PartnerControls"/>
    <ds:schemaRef ds:uri="6db8f3c6-01a1-4322-b043-a3b2a190f7a8"/>
    <ds:schemaRef ds:uri="http://schemas.microsoft.com/office/2006/metadata/properties"/>
  </ds:schemaRefs>
</ds:datastoreItem>
</file>

<file path=customXml/itemProps2.xml><?xml version="1.0" encoding="utf-8"?>
<ds:datastoreItem xmlns:ds="http://schemas.openxmlformats.org/officeDocument/2006/customXml" ds:itemID="{BC162DFF-B5D9-4252-BF18-AC1C3EE74E37}">
  <ds:schemaRefs>
    <ds:schemaRef ds:uri="http://schemas.microsoft.com/sharepoint/v3/contenttype/forms"/>
  </ds:schemaRefs>
</ds:datastoreItem>
</file>

<file path=customXml/itemProps3.xml><?xml version="1.0" encoding="utf-8"?>
<ds:datastoreItem xmlns:ds="http://schemas.openxmlformats.org/officeDocument/2006/customXml" ds:itemID="{5C3DE26C-2C21-4901-AE6D-2A0ABB526D3B}">
  <ds:schemaRefs>
    <ds:schemaRef ds:uri="http://schemas.microsoft.com/sharepoint/events"/>
  </ds:schemaRefs>
</ds:datastoreItem>
</file>

<file path=customXml/itemProps4.xml><?xml version="1.0" encoding="utf-8"?>
<ds:datastoreItem xmlns:ds="http://schemas.openxmlformats.org/officeDocument/2006/customXml" ds:itemID="{E71E7D91-44F5-40CC-B754-BACAECC4F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25B0FA-A86A-4606-BE67-A03470915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RPulford</dc:creator>
  <cp:lastModifiedBy>Stephen A Jones (VIC)</cp:lastModifiedBy>
  <cp:revision>7</cp:revision>
  <cp:lastPrinted>2016-08-12T07:17:00Z</cp:lastPrinted>
  <dcterms:created xsi:type="dcterms:W3CDTF">2016-12-06T01:17:00Z</dcterms:created>
  <dcterms:modified xsi:type="dcterms:W3CDTF">2016-12-14T23:05:00Z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46a22ded-2c06-4fae-ade1-32022dcea1e2</vt:lpwstr>
  </property>
  <property fmtid="{D5CDD505-2E9C-101B-9397-08002B2CF9AE}" pid="3" name="ContentTypeId">
    <vt:lpwstr>0x010100E7F6700E72D8C244BB4A9479B32C0DD1</vt:lpwstr>
  </property>
  <property fmtid="{D5CDD505-2E9C-101B-9397-08002B2CF9AE}" pid="4" name="RecordPoint_SubmissionDate">
    <vt:lpwstr/>
  </property>
  <property fmtid="{D5CDD505-2E9C-101B-9397-08002B2CF9AE}" pid="5" name="RecordPoint_ActiveItemListId">
    <vt:lpwstr>{aa02821a-f0b7-4f59-9c9d-33ae55ea486f}</vt:lpwstr>
  </property>
  <property fmtid="{D5CDD505-2E9C-101B-9397-08002B2CF9AE}" pid="6" name="RecordPoint_ActiveItemMoved">
    <vt:lpwstr/>
  </property>
  <property fmtid="{D5CDD505-2E9C-101B-9397-08002B2CF9AE}" pid="7" name="RecordPoint_SubmissionCompleted">
    <vt:lpwstr>2014-10-10T09:33:25.7721663+11:00</vt:lpwstr>
  </property>
  <property fmtid="{D5CDD505-2E9C-101B-9397-08002B2CF9AE}" pid="8" name="RecordPoint_ActiveItemUniqueId">
    <vt:lpwstr>{3cb4abc3-b75b-4a12-8eef-ae48a45ab70b}</vt:lpwstr>
  </property>
  <property fmtid="{D5CDD505-2E9C-101B-9397-08002B2CF9AE}" pid="9" name="RecordPoint_RecordFormat">
    <vt:lpwstr/>
  </property>
  <property fmtid="{D5CDD505-2E9C-101B-9397-08002B2CF9AE}" pid="10" name="RecordPoint_ActiveItemWebId">
    <vt:lpwstr>{e61cc4da-a431-400f-9f48-bf2ba12a7e9a}</vt:lpwstr>
  </property>
  <property fmtid="{D5CDD505-2E9C-101B-9397-08002B2CF9AE}" pid="11" name="RecordPoint_WorkflowType">
    <vt:lpwstr>ActiveSubmitStub</vt:lpwstr>
  </property>
  <property fmtid="{D5CDD505-2E9C-101B-9397-08002B2CF9AE}" pid="12" name="RecordPoint_ActiveItemSiteId">
    <vt:lpwstr>{7ba5f3c1-1ab9-4cc3-a7c0-334d2b0aec73}</vt:lpwstr>
  </property>
</Properties>
</file>