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130CE" w14:textId="77777777" w:rsidR="00715914" w:rsidRPr="005F1388" w:rsidRDefault="00DA186E" w:rsidP="00715914">
      <w:pPr>
        <w:rPr>
          <w:sz w:val="28"/>
        </w:rPr>
      </w:pPr>
      <w:r>
        <w:rPr>
          <w:noProof/>
          <w:lang w:eastAsia="en-AU"/>
        </w:rPr>
        <w:drawing>
          <wp:inline distT="0" distB="0" distL="0" distR="0" wp14:anchorId="301FCE73" wp14:editId="4F3FD7D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70A3856" w14:textId="77777777" w:rsidR="00715914" w:rsidRPr="00E500D4" w:rsidRDefault="00715914" w:rsidP="00715914">
      <w:pPr>
        <w:rPr>
          <w:sz w:val="19"/>
        </w:rPr>
      </w:pPr>
    </w:p>
    <w:p w14:paraId="4E200B7D" w14:textId="28699467" w:rsidR="00715914" w:rsidRPr="00E500D4" w:rsidRDefault="008B3F4B" w:rsidP="00715914">
      <w:pPr>
        <w:pStyle w:val="ShortT"/>
      </w:pPr>
      <w:r>
        <w:t>Indigen</w:t>
      </w:r>
      <w:r w:rsidRPr="008B3F4B">
        <w:t xml:space="preserve">ous </w:t>
      </w:r>
      <w:r w:rsidR="0058074D" w:rsidRPr="00234629">
        <w:t>Student</w:t>
      </w:r>
      <w:r w:rsidRPr="00234629">
        <w:t xml:space="preserve"> </w:t>
      </w:r>
      <w:r w:rsidRPr="008B3F4B">
        <w:t>Assistance Grants</w:t>
      </w:r>
      <w:r w:rsidR="00120693">
        <w:t xml:space="preserve"> </w:t>
      </w:r>
      <w:r w:rsidR="001B2C0A">
        <w:t>Guidelines</w:t>
      </w:r>
      <w:r w:rsidR="0038049F" w:rsidRPr="008B3F4B">
        <w:t xml:space="preserve"> </w:t>
      </w:r>
      <w:r w:rsidR="008369C3">
        <w:t>2017</w:t>
      </w:r>
    </w:p>
    <w:p w14:paraId="3E65A8DB" w14:textId="77777777" w:rsidR="001F6CD4" w:rsidRDefault="001F6CD4" w:rsidP="00715914"/>
    <w:p w14:paraId="5D0BA95B" w14:textId="77777777" w:rsidR="001F6CD4" w:rsidRDefault="001F6CD4" w:rsidP="00715914"/>
    <w:p w14:paraId="236CF30F" w14:textId="77777777" w:rsidR="001F6CD4" w:rsidRDefault="001F6CD4" w:rsidP="00715914"/>
    <w:p w14:paraId="25B5489D" w14:textId="77777777" w:rsidR="00A75FE9" w:rsidRPr="00DA182D" w:rsidRDefault="00A75FE9" w:rsidP="00A75FE9">
      <w:pPr>
        <w:pStyle w:val="SignCoverPageStart"/>
        <w:spacing w:before="240"/>
        <w:rPr>
          <w:szCs w:val="22"/>
        </w:rPr>
      </w:pPr>
      <w:r w:rsidRPr="00DA182D">
        <w:rPr>
          <w:szCs w:val="22"/>
        </w:rPr>
        <w:t xml:space="preserve">I, </w:t>
      </w:r>
      <w:r w:rsidR="008B3F4B">
        <w:rPr>
          <w:szCs w:val="22"/>
        </w:rPr>
        <w:t>Nigel Scullion</w:t>
      </w:r>
      <w:r w:rsidRPr="00DA182D">
        <w:rPr>
          <w:szCs w:val="22"/>
        </w:rPr>
        <w:t xml:space="preserve">, </w:t>
      </w:r>
      <w:r w:rsidR="008B3F4B">
        <w:rPr>
          <w:szCs w:val="22"/>
        </w:rPr>
        <w:t>Minister for Indigenous Affairs</w:t>
      </w:r>
      <w:r w:rsidRPr="00DA182D">
        <w:rPr>
          <w:szCs w:val="22"/>
        </w:rPr>
        <w:t xml:space="preserve">, </w:t>
      </w:r>
      <w:r w:rsidR="00BB1533">
        <w:rPr>
          <w:szCs w:val="22"/>
        </w:rPr>
        <w:t>make the following</w:t>
      </w:r>
      <w:r w:rsidR="004C4E59">
        <w:rPr>
          <w:szCs w:val="22"/>
        </w:rPr>
        <w:t xml:space="preserve"> </w:t>
      </w:r>
      <w:r w:rsidR="008B3F4B">
        <w:rPr>
          <w:szCs w:val="22"/>
        </w:rPr>
        <w:t>instrument</w:t>
      </w:r>
      <w:r w:rsidRPr="00DA182D">
        <w:rPr>
          <w:szCs w:val="22"/>
        </w:rPr>
        <w:t>.</w:t>
      </w:r>
    </w:p>
    <w:p w14:paraId="36AF716C" w14:textId="0004F0FB" w:rsidR="00A75FE9" w:rsidRPr="00001A63" w:rsidRDefault="00A75FE9" w:rsidP="00A75FE9">
      <w:pPr>
        <w:keepNext/>
        <w:spacing w:before="300" w:line="240" w:lineRule="atLeast"/>
        <w:ind w:right="397"/>
        <w:jc w:val="both"/>
        <w:rPr>
          <w:szCs w:val="22"/>
        </w:rPr>
      </w:pPr>
      <w:r>
        <w:rPr>
          <w:szCs w:val="22"/>
        </w:rPr>
        <w:t>Dated</w:t>
      </w:r>
      <w:r w:rsidRPr="00001A63">
        <w:rPr>
          <w:szCs w:val="22"/>
        </w:rPr>
        <w:tab/>
      </w:r>
      <w:r w:rsidR="0025436E">
        <w:rPr>
          <w:szCs w:val="22"/>
        </w:rPr>
        <w:t>03/01/2017</w:t>
      </w:r>
      <w:r w:rsidRPr="00001A63">
        <w:rPr>
          <w:szCs w:val="22"/>
        </w:rPr>
        <w:tab/>
      </w:r>
      <w:r>
        <w:rPr>
          <w:szCs w:val="22"/>
        </w:rPr>
        <w:tab/>
      </w:r>
      <w:r w:rsidRPr="00001A63">
        <w:rPr>
          <w:szCs w:val="22"/>
        </w:rPr>
        <w:tab/>
      </w:r>
    </w:p>
    <w:p w14:paraId="039F1388" w14:textId="616DBF4F" w:rsidR="00A75FE9" w:rsidRDefault="008B3F4B" w:rsidP="00A75FE9">
      <w:pPr>
        <w:keepNext/>
        <w:tabs>
          <w:tab w:val="left" w:pos="3402"/>
        </w:tabs>
        <w:spacing w:before="1440" w:line="300" w:lineRule="atLeast"/>
        <w:ind w:right="397"/>
        <w:rPr>
          <w:b/>
          <w:szCs w:val="22"/>
        </w:rPr>
      </w:pPr>
      <w:r>
        <w:rPr>
          <w:szCs w:val="22"/>
        </w:rPr>
        <w:t>Nigel Scullion</w:t>
      </w:r>
      <w:r w:rsidR="00A75FE9" w:rsidRPr="00A75FE9">
        <w:rPr>
          <w:szCs w:val="22"/>
        </w:rPr>
        <w:t xml:space="preserve"> </w:t>
      </w:r>
    </w:p>
    <w:p w14:paraId="08BCECFA" w14:textId="77777777" w:rsidR="00A75FE9" w:rsidRPr="008E0027" w:rsidRDefault="008B3F4B" w:rsidP="00A75FE9">
      <w:pPr>
        <w:pStyle w:val="SignCoverPageEnd"/>
        <w:rPr>
          <w:sz w:val="22"/>
        </w:rPr>
      </w:pPr>
      <w:r>
        <w:rPr>
          <w:sz w:val="22"/>
        </w:rPr>
        <w:t>Minister for Indigenous Affairs</w:t>
      </w:r>
    </w:p>
    <w:p w14:paraId="52DBD882" w14:textId="77777777" w:rsidR="007050A2" w:rsidRDefault="007050A2" w:rsidP="00715914"/>
    <w:p w14:paraId="570DDB13" w14:textId="77777777" w:rsidR="00F6696E" w:rsidRDefault="00F6696E" w:rsidP="00715914"/>
    <w:p w14:paraId="499A5EAA" w14:textId="77777777" w:rsidR="00F6696E" w:rsidRDefault="00F6696E" w:rsidP="00F6696E"/>
    <w:p w14:paraId="2B285344" w14:textId="77777777" w:rsidR="00F6696E" w:rsidRDefault="00F6696E" w:rsidP="00F6696E">
      <w:pPr>
        <w:sectPr w:rsidR="00F6696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450F2AF3" w14:textId="77777777" w:rsidR="007500C8" w:rsidRDefault="00715914" w:rsidP="00715914">
      <w:pPr>
        <w:outlineLvl w:val="0"/>
        <w:rPr>
          <w:sz w:val="36"/>
        </w:rPr>
      </w:pPr>
      <w:r w:rsidRPr="007A1328">
        <w:rPr>
          <w:sz w:val="36"/>
        </w:rPr>
        <w:lastRenderedPageBreak/>
        <w:t>Contents</w:t>
      </w:r>
    </w:p>
    <w:p w14:paraId="5E458FDF" w14:textId="4DE4011C" w:rsidR="0074322F" w:rsidRDefault="00B418CB">
      <w:pPr>
        <w:pStyle w:val="TOC3"/>
        <w:rPr>
          <w:rFonts w:asciiTheme="minorHAnsi" w:eastAsiaTheme="minorEastAsia" w:hAnsiTheme="minorHAnsi" w:cstheme="minorBidi"/>
          <w:b w:val="0"/>
          <w:noProof/>
          <w:kern w:val="0"/>
          <w:szCs w:val="22"/>
        </w:rPr>
      </w:pPr>
      <w:r>
        <w:fldChar w:fldCharType="begin"/>
      </w:r>
      <w:r>
        <w:instrText xml:space="preserve"> TOC \o "1-9" </w:instrText>
      </w:r>
      <w:r>
        <w:fldChar w:fldCharType="separate"/>
      </w:r>
      <w:r w:rsidR="0074322F">
        <w:rPr>
          <w:noProof/>
        </w:rPr>
        <w:t>Part 1—Preliminary</w:t>
      </w:r>
      <w:r w:rsidR="0074322F">
        <w:rPr>
          <w:noProof/>
        </w:rPr>
        <w:tab/>
      </w:r>
      <w:r w:rsidR="0074322F">
        <w:rPr>
          <w:noProof/>
        </w:rPr>
        <w:fldChar w:fldCharType="begin"/>
      </w:r>
      <w:r w:rsidR="0074322F">
        <w:rPr>
          <w:noProof/>
        </w:rPr>
        <w:instrText xml:space="preserve"> PAGEREF _Toc469918073 \h </w:instrText>
      </w:r>
      <w:r w:rsidR="0074322F">
        <w:rPr>
          <w:noProof/>
        </w:rPr>
      </w:r>
      <w:r w:rsidR="0074322F">
        <w:rPr>
          <w:noProof/>
        </w:rPr>
        <w:fldChar w:fldCharType="separate"/>
      </w:r>
      <w:r w:rsidR="0008275D">
        <w:rPr>
          <w:noProof/>
        </w:rPr>
        <w:t>1</w:t>
      </w:r>
      <w:r w:rsidR="0074322F">
        <w:rPr>
          <w:noProof/>
        </w:rPr>
        <w:fldChar w:fldCharType="end"/>
      </w:r>
    </w:p>
    <w:p w14:paraId="2DAD3EAC" w14:textId="36B0E844" w:rsidR="0074322F" w:rsidRDefault="0074322F">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_Toc469918074 \h </w:instrText>
      </w:r>
      <w:r>
        <w:rPr>
          <w:noProof/>
        </w:rPr>
      </w:r>
      <w:r>
        <w:rPr>
          <w:noProof/>
        </w:rPr>
        <w:fldChar w:fldCharType="separate"/>
      </w:r>
      <w:r w:rsidR="0008275D">
        <w:rPr>
          <w:noProof/>
        </w:rPr>
        <w:t>1</w:t>
      </w:r>
      <w:r>
        <w:rPr>
          <w:noProof/>
        </w:rPr>
        <w:fldChar w:fldCharType="end"/>
      </w:r>
    </w:p>
    <w:p w14:paraId="6A4A0C19" w14:textId="031EC52E" w:rsidR="0074322F" w:rsidRDefault="0074322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_Toc469918075 \h </w:instrText>
      </w:r>
      <w:r>
        <w:rPr>
          <w:noProof/>
        </w:rPr>
      </w:r>
      <w:r>
        <w:rPr>
          <w:noProof/>
        </w:rPr>
        <w:fldChar w:fldCharType="separate"/>
      </w:r>
      <w:r w:rsidR="0008275D">
        <w:rPr>
          <w:noProof/>
        </w:rPr>
        <w:t>1</w:t>
      </w:r>
      <w:r>
        <w:rPr>
          <w:noProof/>
        </w:rPr>
        <w:fldChar w:fldCharType="end"/>
      </w:r>
    </w:p>
    <w:p w14:paraId="35BEFD17" w14:textId="7E8A118D" w:rsidR="0074322F" w:rsidRDefault="0074322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_Toc469918076 \h </w:instrText>
      </w:r>
      <w:r>
        <w:rPr>
          <w:noProof/>
        </w:rPr>
      </w:r>
      <w:r>
        <w:rPr>
          <w:noProof/>
        </w:rPr>
        <w:fldChar w:fldCharType="separate"/>
      </w:r>
      <w:r w:rsidR="0008275D">
        <w:rPr>
          <w:noProof/>
        </w:rPr>
        <w:t>1</w:t>
      </w:r>
      <w:r>
        <w:rPr>
          <w:noProof/>
        </w:rPr>
        <w:fldChar w:fldCharType="end"/>
      </w:r>
    </w:p>
    <w:p w14:paraId="7B00254E" w14:textId="7C16231B" w:rsidR="0074322F" w:rsidRDefault="0074322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_Toc469918077 \h </w:instrText>
      </w:r>
      <w:r>
        <w:rPr>
          <w:noProof/>
        </w:rPr>
      </w:r>
      <w:r>
        <w:rPr>
          <w:noProof/>
        </w:rPr>
        <w:fldChar w:fldCharType="separate"/>
      </w:r>
      <w:r w:rsidR="0008275D">
        <w:rPr>
          <w:noProof/>
        </w:rPr>
        <w:t>1</w:t>
      </w:r>
      <w:r>
        <w:rPr>
          <w:noProof/>
        </w:rPr>
        <w:fldChar w:fldCharType="end"/>
      </w:r>
    </w:p>
    <w:p w14:paraId="4FA42C41" w14:textId="5795DA90" w:rsidR="0074322F" w:rsidRDefault="0074322F">
      <w:pPr>
        <w:pStyle w:val="TOC3"/>
        <w:rPr>
          <w:rFonts w:asciiTheme="minorHAnsi" w:eastAsiaTheme="minorEastAsia" w:hAnsiTheme="minorHAnsi" w:cstheme="minorBidi"/>
          <w:b w:val="0"/>
          <w:noProof/>
          <w:kern w:val="0"/>
          <w:szCs w:val="22"/>
        </w:rPr>
      </w:pPr>
      <w:r>
        <w:rPr>
          <w:noProof/>
        </w:rPr>
        <w:t>Part 2—ISSP grants</w:t>
      </w:r>
      <w:r>
        <w:rPr>
          <w:noProof/>
        </w:rPr>
        <w:tab/>
      </w:r>
      <w:r>
        <w:rPr>
          <w:noProof/>
        </w:rPr>
        <w:fldChar w:fldCharType="begin"/>
      </w:r>
      <w:r>
        <w:rPr>
          <w:noProof/>
        </w:rPr>
        <w:instrText xml:space="preserve"> PAGEREF _Toc469918078 \h </w:instrText>
      </w:r>
      <w:r>
        <w:rPr>
          <w:noProof/>
        </w:rPr>
      </w:r>
      <w:r>
        <w:rPr>
          <w:noProof/>
        </w:rPr>
        <w:fldChar w:fldCharType="separate"/>
      </w:r>
      <w:r w:rsidR="0008275D">
        <w:rPr>
          <w:noProof/>
        </w:rPr>
        <w:t>4</w:t>
      </w:r>
      <w:r>
        <w:rPr>
          <w:noProof/>
        </w:rPr>
        <w:fldChar w:fldCharType="end"/>
      </w:r>
    </w:p>
    <w:p w14:paraId="68428A75" w14:textId="1E6ED642" w:rsidR="0074322F" w:rsidRDefault="0074322F">
      <w:pPr>
        <w:pStyle w:val="TOC5"/>
        <w:rPr>
          <w:rFonts w:asciiTheme="minorHAnsi" w:eastAsiaTheme="minorEastAsia" w:hAnsiTheme="minorHAnsi" w:cstheme="minorBidi"/>
          <w:noProof/>
          <w:kern w:val="0"/>
          <w:sz w:val="22"/>
          <w:szCs w:val="22"/>
        </w:rPr>
      </w:pPr>
      <w:r>
        <w:rPr>
          <w:noProof/>
        </w:rPr>
        <w:t>5  Description of ISSP grants</w:t>
      </w:r>
      <w:r>
        <w:rPr>
          <w:noProof/>
        </w:rPr>
        <w:tab/>
      </w:r>
      <w:r>
        <w:rPr>
          <w:noProof/>
        </w:rPr>
        <w:fldChar w:fldCharType="begin"/>
      </w:r>
      <w:r>
        <w:rPr>
          <w:noProof/>
        </w:rPr>
        <w:instrText xml:space="preserve"> PAGEREF _Toc469918079 \h </w:instrText>
      </w:r>
      <w:r>
        <w:rPr>
          <w:noProof/>
        </w:rPr>
      </w:r>
      <w:r>
        <w:rPr>
          <w:noProof/>
        </w:rPr>
        <w:fldChar w:fldCharType="separate"/>
      </w:r>
      <w:r w:rsidR="0008275D">
        <w:rPr>
          <w:noProof/>
        </w:rPr>
        <w:t>4</w:t>
      </w:r>
      <w:r>
        <w:rPr>
          <w:noProof/>
        </w:rPr>
        <w:fldChar w:fldCharType="end"/>
      </w:r>
    </w:p>
    <w:p w14:paraId="5BC6AA55" w14:textId="317BC0E6" w:rsidR="0074322F" w:rsidRDefault="0074322F">
      <w:pPr>
        <w:pStyle w:val="TOC5"/>
        <w:rPr>
          <w:rFonts w:asciiTheme="minorHAnsi" w:eastAsiaTheme="minorEastAsia" w:hAnsiTheme="minorHAnsi" w:cstheme="minorBidi"/>
          <w:noProof/>
          <w:kern w:val="0"/>
          <w:sz w:val="22"/>
          <w:szCs w:val="22"/>
        </w:rPr>
      </w:pPr>
      <w:r>
        <w:rPr>
          <w:noProof/>
        </w:rPr>
        <w:t>6  Amount to be spent on ISSP grants</w:t>
      </w:r>
      <w:r>
        <w:rPr>
          <w:noProof/>
        </w:rPr>
        <w:tab/>
      </w:r>
      <w:r>
        <w:rPr>
          <w:noProof/>
        </w:rPr>
        <w:fldChar w:fldCharType="begin"/>
      </w:r>
      <w:r>
        <w:rPr>
          <w:noProof/>
        </w:rPr>
        <w:instrText xml:space="preserve"> PAGEREF _Toc469918080 \h </w:instrText>
      </w:r>
      <w:r>
        <w:rPr>
          <w:noProof/>
        </w:rPr>
      </w:r>
      <w:r>
        <w:rPr>
          <w:noProof/>
        </w:rPr>
        <w:fldChar w:fldCharType="separate"/>
      </w:r>
      <w:r w:rsidR="0008275D">
        <w:rPr>
          <w:noProof/>
        </w:rPr>
        <w:t>4</w:t>
      </w:r>
      <w:r>
        <w:rPr>
          <w:noProof/>
        </w:rPr>
        <w:fldChar w:fldCharType="end"/>
      </w:r>
    </w:p>
    <w:p w14:paraId="6F815412" w14:textId="750BC617" w:rsidR="0074322F" w:rsidRDefault="0074322F">
      <w:pPr>
        <w:pStyle w:val="TOC5"/>
        <w:rPr>
          <w:rFonts w:asciiTheme="minorHAnsi" w:eastAsiaTheme="minorEastAsia" w:hAnsiTheme="minorHAnsi" w:cstheme="minorBidi"/>
          <w:noProof/>
          <w:kern w:val="0"/>
          <w:sz w:val="22"/>
          <w:szCs w:val="22"/>
        </w:rPr>
      </w:pPr>
      <w:r>
        <w:rPr>
          <w:noProof/>
        </w:rPr>
        <w:t>7  ISSP grant amounts</w:t>
      </w:r>
      <w:r>
        <w:rPr>
          <w:noProof/>
        </w:rPr>
        <w:tab/>
      </w:r>
      <w:r>
        <w:rPr>
          <w:noProof/>
        </w:rPr>
        <w:fldChar w:fldCharType="begin"/>
      </w:r>
      <w:r>
        <w:rPr>
          <w:noProof/>
        </w:rPr>
        <w:instrText xml:space="preserve"> PAGEREF _Toc469918081 \h </w:instrText>
      </w:r>
      <w:r>
        <w:rPr>
          <w:noProof/>
        </w:rPr>
      </w:r>
      <w:r>
        <w:rPr>
          <w:noProof/>
        </w:rPr>
        <w:fldChar w:fldCharType="separate"/>
      </w:r>
      <w:r w:rsidR="0008275D">
        <w:rPr>
          <w:noProof/>
        </w:rPr>
        <w:t>4</w:t>
      </w:r>
      <w:r>
        <w:rPr>
          <w:noProof/>
        </w:rPr>
        <w:fldChar w:fldCharType="end"/>
      </w:r>
    </w:p>
    <w:p w14:paraId="4F832488" w14:textId="2F9440CE" w:rsidR="0074322F" w:rsidRDefault="0074322F">
      <w:pPr>
        <w:pStyle w:val="TOC5"/>
        <w:rPr>
          <w:rFonts w:asciiTheme="minorHAnsi" w:eastAsiaTheme="minorEastAsia" w:hAnsiTheme="minorHAnsi" w:cstheme="minorBidi"/>
          <w:noProof/>
          <w:kern w:val="0"/>
          <w:sz w:val="22"/>
          <w:szCs w:val="22"/>
        </w:rPr>
      </w:pPr>
      <w:r>
        <w:rPr>
          <w:noProof/>
        </w:rPr>
        <w:t>8  Payment of ISSP grants</w:t>
      </w:r>
      <w:r>
        <w:rPr>
          <w:noProof/>
        </w:rPr>
        <w:tab/>
      </w:r>
      <w:r>
        <w:rPr>
          <w:noProof/>
        </w:rPr>
        <w:fldChar w:fldCharType="begin"/>
      </w:r>
      <w:r>
        <w:rPr>
          <w:noProof/>
        </w:rPr>
        <w:instrText xml:space="preserve"> PAGEREF _Toc469918082 \h </w:instrText>
      </w:r>
      <w:r>
        <w:rPr>
          <w:noProof/>
        </w:rPr>
      </w:r>
      <w:r>
        <w:rPr>
          <w:noProof/>
        </w:rPr>
        <w:fldChar w:fldCharType="separate"/>
      </w:r>
      <w:r w:rsidR="0008275D">
        <w:rPr>
          <w:noProof/>
        </w:rPr>
        <w:t>5</w:t>
      </w:r>
      <w:r>
        <w:rPr>
          <w:noProof/>
        </w:rPr>
        <w:fldChar w:fldCharType="end"/>
      </w:r>
    </w:p>
    <w:p w14:paraId="751D681E" w14:textId="04190C61" w:rsidR="0074322F" w:rsidRDefault="0074322F">
      <w:pPr>
        <w:pStyle w:val="TOC5"/>
        <w:rPr>
          <w:rFonts w:asciiTheme="minorHAnsi" w:eastAsiaTheme="minorEastAsia" w:hAnsiTheme="minorHAnsi" w:cstheme="minorBidi"/>
          <w:noProof/>
          <w:kern w:val="0"/>
          <w:sz w:val="22"/>
          <w:szCs w:val="22"/>
        </w:rPr>
      </w:pPr>
      <w:r>
        <w:rPr>
          <w:noProof/>
        </w:rPr>
        <w:t>9  Taxes</w:t>
      </w:r>
      <w:r>
        <w:rPr>
          <w:noProof/>
        </w:rPr>
        <w:tab/>
      </w:r>
      <w:r>
        <w:rPr>
          <w:noProof/>
        </w:rPr>
        <w:fldChar w:fldCharType="begin"/>
      </w:r>
      <w:r>
        <w:rPr>
          <w:noProof/>
        </w:rPr>
        <w:instrText xml:space="preserve"> PAGEREF _Toc469918083 \h </w:instrText>
      </w:r>
      <w:r>
        <w:rPr>
          <w:noProof/>
        </w:rPr>
      </w:r>
      <w:r>
        <w:rPr>
          <w:noProof/>
        </w:rPr>
        <w:fldChar w:fldCharType="separate"/>
      </w:r>
      <w:r w:rsidR="0008275D">
        <w:rPr>
          <w:noProof/>
        </w:rPr>
        <w:t>5</w:t>
      </w:r>
      <w:r>
        <w:rPr>
          <w:noProof/>
        </w:rPr>
        <w:fldChar w:fldCharType="end"/>
      </w:r>
    </w:p>
    <w:p w14:paraId="04304AA0" w14:textId="294D4CB7" w:rsidR="0074322F" w:rsidRDefault="0074322F">
      <w:pPr>
        <w:pStyle w:val="TOC3"/>
        <w:rPr>
          <w:rFonts w:asciiTheme="minorHAnsi" w:eastAsiaTheme="minorEastAsia" w:hAnsiTheme="minorHAnsi" w:cstheme="minorBidi"/>
          <w:b w:val="0"/>
          <w:noProof/>
          <w:kern w:val="0"/>
          <w:szCs w:val="22"/>
        </w:rPr>
      </w:pPr>
      <w:r>
        <w:rPr>
          <w:noProof/>
        </w:rPr>
        <w:t>Part 3—Eligibility to receive ISSP grants</w:t>
      </w:r>
      <w:r>
        <w:rPr>
          <w:noProof/>
        </w:rPr>
        <w:tab/>
      </w:r>
      <w:r>
        <w:rPr>
          <w:noProof/>
        </w:rPr>
        <w:fldChar w:fldCharType="begin"/>
      </w:r>
      <w:r>
        <w:rPr>
          <w:noProof/>
        </w:rPr>
        <w:instrText xml:space="preserve"> PAGEREF _Toc469918084 \h </w:instrText>
      </w:r>
      <w:r>
        <w:rPr>
          <w:noProof/>
        </w:rPr>
      </w:r>
      <w:r>
        <w:rPr>
          <w:noProof/>
        </w:rPr>
        <w:fldChar w:fldCharType="separate"/>
      </w:r>
      <w:r w:rsidR="0008275D">
        <w:rPr>
          <w:noProof/>
        </w:rPr>
        <w:t>5</w:t>
      </w:r>
      <w:r>
        <w:rPr>
          <w:noProof/>
        </w:rPr>
        <w:fldChar w:fldCharType="end"/>
      </w:r>
    </w:p>
    <w:p w14:paraId="4BAB9C30" w14:textId="21030DFB" w:rsidR="0074322F" w:rsidRDefault="0074322F">
      <w:pPr>
        <w:pStyle w:val="TOC5"/>
        <w:rPr>
          <w:rFonts w:asciiTheme="minorHAnsi" w:eastAsiaTheme="minorEastAsia" w:hAnsiTheme="minorHAnsi" w:cstheme="minorBidi"/>
          <w:noProof/>
          <w:kern w:val="0"/>
          <w:sz w:val="22"/>
          <w:szCs w:val="22"/>
        </w:rPr>
      </w:pPr>
      <w:r>
        <w:rPr>
          <w:noProof/>
        </w:rPr>
        <w:t>10  Extra conditions of eligibility</w:t>
      </w:r>
      <w:r>
        <w:rPr>
          <w:noProof/>
        </w:rPr>
        <w:tab/>
      </w:r>
      <w:r>
        <w:rPr>
          <w:noProof/>
        </w:rPr>
        <w:fldChar w:fldCharType="begin"/>
      </w:r>
      <w:r>
        <w:rPr>
          <w:noProof/>
        </w:rPr>
        <w:instrText xml:space="preserve"> PAGEREF _Toc469918085 \h </w:instrText>
      </w:r>
      <w:r>
        <w:rPr>
          <w:noProof/>
        </w:rPr>
      </w:r>
      <w:r>
        <w:rPr>
          <w:noProof/>
        </w:rPr>
        <w:fldChar w:fldCharType="separate"/>
      </w:r>
      <w:r w:rsidR="0008275D">
        <w:rPr>
          <w:noProof/>
        </w:rPr>
        <w:t>5</w:t>
      </w:r>
      <w:r>
        <w:rPr>
          <w:noProof/>
        </w:rPr>
        <w:fldChar w:fldCharType="end"/>
      </w:r>
    </w:p>
    <w:p w14:paraId="1193C2E5" w14:textId="52E6CE98" w:rsidR="0074322F" w:rsidRDefault="0074322F">
      <w:pPr>
        <w:pStyle w:val="TOC5"/>
        <w:rPr>
          <w:rFonts w:asciiTheme="minorHAnsi" w:eastAsiaTheme="minorEastAsia" w:hAnsiTheme="minorHAnsi" w:cstheme="minorBidi"/>
          <w:noProof/>
          <w:kern w:val="0"/>
          <w:sz w:val="22"/>
          <w:szCs w:val="22"/>
        </w:rPr>
      </w:pPr>
      <w:r>
        <w:rPr>
          <w:noProof/>
        </w:rPr>
        <w:t>11  Indigenous Governance Mechanism</w:t>
      </w:r>
      <w:r>
        <w:rPr>
          <w:noProof/>
        </w:rPr>
        <w:tab/>
      </w:r>
      <w:r>
        <w:rPr>
          <w:noProof/>
        </w:rPr>
        <w:fldChar w:fldCharType="begin"/>
      </w:r>
      <w:r>
        <w:rPr>
          <w:noProof/>
        </w:rPr>
        <w:instrText xml:space="preserve"> PAGEREF _Toc469918086 \h </w:instrText>
      </w:r>
      <w:r>
        <w:rPr>
          <w:noProof/>
        </w:rPr>
      </w:r>
      <w:r>
        <w:rPr>
          <w:noProof/>
        </w:rPr>
        <w:fldChar w:fldCharType="separate"/>
      </w:r>
      <w:r w:rsidR="0008275D">
        <w:rPr>
          <w:noProof/>
        </w:rPr>
        <w:t>6</w:t>
      </w:r>
      <w:r>
        <w:rPr>
          <w:noProof/>
        </w:rPr>
        <w:fldChar w:fldCharType="end"/>
      </w:r>
    </w:p>
    <w:p w14:paraId="6CA87C6B" w14:textId="6EC17CCD" w:rsidR="0074322F" w:rsidRDefault="0074322F">
      <w:pPr>
        <w:pStyle w:val="TOC5"/>
        <w:rPr>
          <w:rFonts w:asciiTheme="minorHAnsi" w:eastAsiaTheme="minorEastAsia" w:hAnsiTheme="minorHAnsi" w:cstheme="minorBidi"/>
          <w:noProof/>
          <w:kern w:val="0"/>
          <w:sz w:val="22"/>
          <w:szCs w:val="22"/>
        </w:rPr>
      </w:pPr>
      <w:r>
        <w:rPr>
          <w:noProof/>
        </w:rPr>
        <w:t>12  Indigenous Workforce Strategy</w:t>
      </w:r>
      <w:r>
        <w:rPr>
          <w:noProof/>
        </w:rPr>
        <w:tab/>
      </w:r>
      <w:r>
        <w:rPr>
          <w:noProof/>
        </w:rPr>
        <w:fldChar w:fldCharType="begin"/>
      </w:r>
      <w:r>
        <w:rPr>
          <w:noProof/>
        </w:rPr>
        <w:instrText xml:space="preserve"> PAGEREF _Toc469918087 \h </w:instrText>
      </w:r>
      <w:r>
        <w:rPr>
          <w:noProof/>
        </w:rPr>
      </w:r>
      <w:r>
        <w:rPr>
          <w:noProof/>
        </w:rPr>
        <w:fldChar w:fldCharType="separate"/>
      </w:r>
      <w:r w:rsidR="0008275D">
        <w:rPr>
          <w:noProof/>
        </w:rPr>
        <w:t>6</w:t>
      </w:r>
      <w:r>
        <w:rPr>
          <w:noProof/>
        </w:rPr>
        <w:fldChar w:fldCharType="end"/>
      </w:r>
    </w:p>
    <w:p w14:paraId="16B9FBAD" w14:textId="48EEBCAE" w:rsidR="0074322F" w:rsidRDefault="0074322F">
      <w:pPr>
        <w:pStyle w:val="TOC5"/>
        <w:rPr>
          <w:rFonts w:asciiTheme="minorHAnsi" w:eastAsiaTheme="minorEastAsia" w:hAnsiTheme="minorHAnsi" w:cstheme="minorBidi"/>
          <w:noProof/>
          <w:kern w:val="0"/>
          <w:sz w:val="22"/>
          <w:szCs w:val="22"/>
        </w:rPr>
      </w:pPr>
      <w:r>
        <w:rPr>
          <w:noProof/>
        </w:rPr>
        <w:t>13  Indigenous Education Strategy</w:t>
      </w:r>
      <w:r>
        <w:rPr>
          <w:noProof/>
        </w:rPr>
        <w:tab/>
      </w:r>
      <w:r>
        <w:rPr>
          <w:noProof/>
        </w:rPr>
        <w:fldChar w:fldCharType="begin"/>
      </w:r>
      <w:r>
        <w:rPr>
          <w:noProof/>
        </w:rPr>
        <w:instrText xml:space="preserve"> PAGEREF _Toc469918088 \h </w:instrText>
      </w:r>
      <w:r>
        <w:rPr>
          <w:noProof/>
        </w:rPr>
      </w:r>
      <w:r>
        <w:rPr>
          <w:noProof/>
        </w:rPr>
        <w:fldChar w:fldCharType="separate"/>
      </w:r>
      <w:r w:rsidR="0008275D">
        <w:rPr>
          <w:noProof/>
        </w:rPr>
        <w:t>7</w:t>
      </w:r>
      <w:r>
        <w:rPr>
          <w:noProof/>
        </w:rPr>
        <w:fldChar w:fldCharType="end"/>
      </w:r>
    </w:p>
    <w:p w14:paraId="77F8D76A" w14:textId="0AC6350F" w:rsidR="0074322F" w:rsidRDefault="0074322F">
      <w:pPr>
        <w:pStyle w:val="TOC3"/>
        <w:rPr>
          <w:rFonts w:asciiTheme="minorHAnsi" w:eastAsiaTheme="minorEastAsia" w:hAnsiTheme="minorHAnsi" w:cstheme="minorBidi"/>
          <w:b w:val="0"/>
          <w:noProof/>
          <w:kern w:val="0"/>
          <w:szCs w:val="22"/>
        </w:rPr>
      </w:pPr>
      <w:r>
        <w:rPr>
          <w:noProof/>
        </w:rPr>
        <w:t>Part 4—ISSP grant conditions (use and reporting)</w:t>
      </w:r>
      <w:r>
        <w:rPr>
          <w:noProof/>
        </w:rPr>
        <w:tab/>
      </w:r>
      <w:r>
        <w:rPr>
          <w:noProof/>
        </w:rPr>
        <w:fldChar w:fldCharType="begin"/>
      </w:r>
      <w:r>
        <w:rPr>
          <w:noProof/>
        </w:rPr>
        <w:instrText xml:space="preserve"> PAGEREF _Toc469918089 \h </w:instrText>
      </w:r>
      <w:r>
        <w:rPr>
          <w:noProof/>
        </w:rPr>
      </w:r>
      <w:r>
        <w:rPr>
          <w:noProof/>
        </w:rPr>
        <w:fldChar w:fldCharType="separate"/>
      </w:r>
      <w:r w:rsidR="0008275D">
        <w:rPr>
          <w:noProof/>
        </w:rPr>
        <w:t>7</w:t>
      </w:r>
      <w:r>
        <w:rPr>
          <w:noProof/>
        </w:rPr>
        <w:fldChar w:fldCharType="end"/>
      </w:r>
    </w:p>
    <w:p w14:paraId="206CE6DC" w14:textId="7C2889D4" w:rsidR="0074322F" w:rsidRDefault="0074322F">
      <w:pPr>
        <w:pStyle w:val="TOC5"/>
        <w:rPr>
          <w:rFonts w:asciiTheme="minorHAnsi" w:eastAsiaTheme="minorEastAsia" w:hAnsiTheme="minorHAnsi" w:cstheme="minorBidi"/>
          <w:noProof/>
          <w:kern w:val="0"/>
          <w:sz w:val="22"/>
          <w:szCs w:val="22"/>
        </w:rPr>
      </w:pPr>
      <w:r>
        <w:rPr>
          <w:noProof/>
        </w:rPr>
        <w:t>14  Using ISSP grants</w:t>
      </w:r>
      <w:r>
        <w:rPr>
          <w:noProof/>
        </w:rPr>
        <w:tab/>
      </w:r>
      <w:r>
        <w:rPr>
          <w:noProof/>
        </w:rPr>
        <w:fldChar w:fldCharType="begin"/>
      </w:r>
      <w:r>
        <w:rPr>
          <w:noProof/>
        </w:rPr>
        <w:instrText xml:space="preserve"> PAGEREF _Toc469918090 \h </w:instrText>
      </w:r>
      <w:r>
        <w:rPr>
          <w:noProof/>
        </w:rPr>
      </w:r>
      <w:r>
        <w:rPr>
          <w:noProof/>
        </w:rPr>
        <w:fldChar w:fldCharType="separate"/>
      </w:r>
      <w:r w:rsidR="0008275D">
        <w:rPr>
          <w:noProof/>
        </w:rPr>
        <w:t>7</w:t>
      </w:r>
      <w:r>
        <w:rPr>
          <w:noProof/>
        </w:rPr>
        <w:fldChar w:fldCharType="end"/>
      </w:r>
    </w:p>
    <w:p w14:paraId="0CE14863" w14:textId="3EA3A2B2" w:rsidR="0074322F" w:rsidRDefault="0074322F">
      <w:pPr>
        <w:pStyle w:val="TOC5"/>
        <w:rPr>
          <w:rFonts w:asciiTheme="minorHAnsi" w:eastAsiaTheme="minorEastAsia" w:hAnsiTheme="minorHAnsi" w:cstheme="minorBidi"/>
          <w:noProof/>
          <w:kern w:val="0"/>
          <w:sz w:val="22"/>
          <w:szCs w:val="22"/>
        </w:rPr>
      </w:pPr>
      <w:r>
        <w:rPr>
          <w:noProof/>
        </w:rPr>
        <w:t>15  Excluded use</w:t>
      </w:r>
      <w:r>
        <w:rPr>
          <w:noProof/>
        </w:rPr>
        <w:tab/>
      </w:r>
      <w:r>
        <w:rPr>
          <w:noProof/>
        </w:rPr>
        <w:fldChar w:fldCharType="begin"/>
      </w:r>
      <w:r>
        <w:rPr>
          <w:noProof/>
        </w:rPr>
        <w:instrText xml:space="preserve"> PAGEREF _Toc469918091 \h </w:instrText>
      </w:r>
      <w:r>
        <w:rPr>
          <w:noProof/>
        </w:rPr>
      </w:r>
      <w:r>
        <w:rPr>
          <w:noProof/>
        </w:rPr>
        <w:fldChar w:fldCharType="separate"/>
      </w:r>
      <w:r w:rsidR="0008275D">
        <w:rPr>
          <w:noProof/>
        </w:rPr>
        <w:t>8</w:t>
      </w:r>
      <w:r>
        <w:rPr>
          <w:noProof/>
        </w:rPr>
        <w:fldChar w:fldCharType="end"/>
      </w:r>
    </w:p>
    <w:p w14:paraId="39A2B5DD" w14:textId="315467F5" w:rsidR="0074322F" w:rsidRDefault="0074322F">
      <w:pPr>
        <w:pStyle w:val="TOC5"/>
        <w:rPr>
          <w:rFonts w:asciiTheme="minorHAnsi" w:eastAsiaTheme="minorEastAsia" w:hAnsiTheme="minorHAnsi" w:cstheme="minorBidi"/>
          <w:noProof/>
          <w:kern w:val="0"/>
          <w:sz w:val="22"/>
          <w:szCs w:val="22"/>
        </w:rPr>
      </w:pPr>
      <w:r>
        <w:rPr>
          <w:noProof/>
        </w:rPr>
        <w:t>16  Assets</w:t>
      </w:r>
      <w:r>
        <w:rPr>
          <w:noProof/>
        </w:rPr>
        <w:tab/>
      </w:r>
      <w:r>
        <w:rPr>
          <w:noProof/>
        </w:rPr>
        <w:fldChar w:fldCharType="begin"/>
      </w:r>
      <w:r>
        <w:rPr>
          <w:noProof/>
        </w:rPr>
        <w:instrText xml:space="preserve"> PAGEREF _Toc469918092 \h </w:instrText>
      </w:r>
      <w:r>
        <w:rPr>
          <w:noProof/>
        </w:rPr>
      </w:r>
      <w:r>
        <w:rPr>
          <w:noProof/>
        </w:rPr>
        <w:fldChar w:fldCharType="separate"/>
      </w:r>
      <w:r w:rsidR="0008275D">
        <w:rPr>
          <w:noProof/>
        </w:rPr>
        <w:t>9</w:t>
      </w:r>
      <w:r>
        <w:rPr>
          <w:noProof/>
        </w:rPr>
        <w:fldChar w:fldCharType="end"/>
      </w:r>
    </w:p>
    <w:p w14:paraId="3227A618" w14:textId="3CD873E4" w:rsidR="0074322F" w:rsidRDefault="0074322F">
      <w:pPr>
        <w:pStyle w:val="TOC5"/>
        <w:rPr>
          <w:rFonts w:asciiTheme="minorHAnsi" w:eastAsiaTheme="minorEastAsia" w:hAnsiTheme="minorHAnsi" w:cstheme="minorBidi"/>
          <w:noProof/>
          <w:kern w:val="0"/>
          <w:sz w:val="22"/>
          <w:szCs w:val="22"/>
        </w:rPr>
      </w:pPr>
      <w:r>
        <w:rPr>
          <w:noProof/>
        </w:rPr>
        <w:t>17  Reporting</w:t>
      </w:r>
      <w:r>
        <w:rPr>
          <w:noProof/>
        </w:rPr>
        <w:tab/>
      </w:r>
      <w:r>
        <w:rPr>
          <w:noProof/>
        </w:rPr>
        <w:fldChar w:fldCharType="begin"/>
      </w:r>
      <w:r>
        <w:rPr>
          <w:noProof/>
        </w:rPr>
        <w:instrText xml:space="preserve"> PAGEREF _Toc469918093 \h </w:instrText>
      </w:r>
      <w:r>
        <w:rPr>
          <w:noProof/>
        </w:rPr>
      </w:r>
      <w:r>
        <w:rPr>
          <w:noProof/>
        </w:rPr>
        <w:fldChar w:fldCharType="separate"/>
      </w:r>
      <w:r w:rsidR="0008275D">
        <w:rPr>
          <w:noProof/>
        </w:rPr>
        <w:t>10</w:t>
      </w:r>
      <w:r>
        <w:rPr>
          <w:noProof/>
        </w:rPr>
        <w:fldChar w:fldCharType="end"/>
      </w:r>
    </w:p>
    <w:p w14:paraId="361BB326" w14:textId="539E2875" w:rsidR="0074322F" w:rsidRDefault="0074322F">
      <w:pPr>
        <w:pStyle w:val="TOC5"/>
        <w:rPr>
          <w:rFonts w:asciiTheme="minorHAnsi" w:eastAsiaTheme="minorEastAsia" w:hAnsiTheme="minorHAnsi" w:cstheme="minorBidi"/>
          <w:noProof/>
          <w:kern w:val="0"/>
          <w:sz w:val="22"/>
          <w:szCs w:val="22"/>
        </w:rPr>
      </w:pPr>
      <w:r>
        <w:rPr>
          <w:noProof/>
        </w:rPr>
        <w:t>18  Access to premises and records</w:t>
      </w:r>
      <w:r>
        <w:rPr>
          <w:noProof/>
        </w:rPr>
        <w:tab/>
      </w:r>
      <w:r>
        <w:rPr>
          <w:noProof/>
        </w:rPr>
        <w:fldChar w:fldCharType="begin"/>
      </w:r>
      <w:r>
        <w:rPr>
          <w:noProof/>
        </w:rPr>
        <w:instrText xml:space="preserve"> PAGEREF _Toc469918094 \h </w:instrText>
      </w:r>
      <w:r>
        <w:rPr>
          <w:noProof/>
        </w:rPr>
      </w:r>
      <w:r>
        <w:rPr>
          <w:noProof/>
        </w:rPr>
        <w:fldChar w:fldCharType="separate"/>
      </w:r>
      <w:r w:rsidR="0008275D">
        <w:rPr>
          <w:noProof/>
        </w:rPr>
        <w:t>10</w:t>
      </w:r>
      <w:r>
        <w:rPr>
          <w:noProof/>
        </w:rPr>
        <w:fldChar w:fldCharType="end"/>
      </w:r>
    </w:p>
    <w:p w14:paraId="5FB476C5" w14:textId="3E1C78D6" w:rsidR="0074322F" w:rsidRDefault="0074322F">
      <w:pPr>
        <w:pStyle w:val="TOC3"/>
        <w:rPr>
          <w:rFonts w:asciiTheme="minorHAnsi" w:eastAsiaTheme="minorEastAsia" w:hAnsiTheme="minorHAnsi" w:cstheme="minorBidi"/>
          <w:b w:val="0"/>
          <w:noProof/>
          <w:kern w:val="0"/>
          <w:szCs w:val="22"/>
        </w:rPr>
      </w:pPr>
      <w:r>
        <w:rPr>
          <w:noProof/>
        </w:rPr>
        <w:t>Part 5—ISSP grant conditions (scholarships)</w:t>
      </w:r>
      <w:r>
        <w:rPr>
          <w:noProof/>
        </w:rPr>
        <w:tab/>
      </w:r>
      <w:r>
        <w:rPr>
          <w:noProof/>
        </w:rPr>
        <w:fldChar w:fldCharType="begin"/>
      </w:r>
      <w:r>
        <w:rPr>
          <w:noProof/>
        </w:rPr>
        <w:instrText xml:space="preserve"> PAGEREF _Toc469918095 \h </w:instrText>
      </w:r>
      <w:r>
        <w:rPr>
          <w:noProof/>
        </w:rPr>
      </w:r>
      <w:r>
        <w:rPr>
          <w:noProof/>
        </w:rPr>
        <w:fldChar w:fldCharType="separate"/>
      </w:r>
      <w:r w:rsidR="0008275D">
        <w:rPr>
          <w:noProof/>
        </w:rPr>
        <w:t>11</w:t>
      </w:r>
      <w:r>
        <w:rPr>
          <w:noProof/>
        </w:rPr>
        <w:fldChar w:fldCharType="end"/>
      </w:r>
    </w:p>
    <w:p w14:paraId="293D45B9" w14:textId="7307224D" w:rsidR="0074322F" w:rsidRDefault="0074322F">
      <w:pPr>
        <w:pStyle w:val="TOC5"/>
        <w:rPr>
          <w:rFonts w:asciiTheme="minorHAnsi" w:eastAsiaTheme="minorEastAsia" w:hAnsiTheme="minorHAnsi" w:cstheme="minorBidi"/>
          <w:noProof/>
          <w:kern w:val="0"/>
          <w:sz w:val="22"/>
          <w:szCs w:val="22"/>
        </w:rPr>
      </w:pPr>
      <w:r>
        <w:rPr>
          <w:noProof/>
        </w:rPr>
        <w:t>19  Using ISSP grants for scholarships</w:t>
      </w:r>
      <w:r>
        <w:rPr>
          <w:noProof/>
        </w:rPr>
        <w:tab/>
      </w:r>
      <w:r>
        <w:rPr>
          <w:noProof/>
        </w:rPr>
        <w:fldChar w:fldCharType="begin"/>
      </w:r>
      <w:r>
        <w:rPr>
          <w:noProof/>
        </w:rPr>
        <w:instrText xml:space="preserve"> PAGEREF _Toc469918096 \h </w:instrText>
      </w:r>
      <w:r>
        <w:rPr>
          <w:noProof/>
        </w:rPr>
      </w:r>
      <w:r>
        <w:rPr>
          <w:noProof/>
        </w:rPr>
        <w:fldChar w:fldCharType="separate"/>
      </w:r>
      <w:r w:rsidR="0008275D">
        <w:rPr>
          <w:noProof/>
        </w:rPr>
        <w:t>11</w:t>
      </w:r>
      <w:r>
        <w:rPr>
          <w:noProof/>
        </w:rPr>
        <w:fldChar w:fldCharType="end"/>
      </w:r>
    </w:p>
    <w:p w14:paraId="2EA8A219" w14:textId="0AFC5AC9" w:rsidR="0074322F" w:rsidRDefault="0074322F">
      <w:pPr>
        <w:pStyle w:val="TOC5"/>
        <w:rPr>
          <w:rFonts w:asciiTheme="minorHAnsi" w:eastAsiaTheme="minorEastAsia" w:hAnsiTheme="minorHAnsi" w:cstheme="minorBidi"/>
          <w:noProof/>
          <w:kern w:val="0"/>
          <w:sz w:val="22"/>
          <w:szCs w:val="22"/>
        </w:rPr>
      </w:pPr>
      <w:r>
        <w:rPr>
          <w:noProof/>
        </w:rPr>
        <w:t>20  Indigenous Commonwealth Scholarships</w:t>
      </w:r>
      <w:r>
        <w:rPr>
          <w:noProof/>
        </w:rPr>
        <w:tab/>
      </w:r>
      <w:r>
        <w:rPr>
          <w:noProof/>
        </w:rPr>
        <w:fldChar w:fldCharType="begin"/>
      </w:r>
      <w:r>
        <w:rPr>
          <w:noProof/>
        </w:rPr>
        <w:instrText xml:space="preserve"> PAGEREF _Toc469918097 \h </w:instrText>
      </w:r>
      <w:r>
        <w:rPr>
          <w:noProof/>
        </w:rPr>
      </w:r>
      <w:r>
        <w:rPr>
          <w:noProof/>
        </w:rPr>
        <w:fldChar w:fldCharType="separate"/>
      </w:r>
      <w:r w:rsidR="0008275D">
        <w:rPr>
          <w:noProof/>
        </w:rPr>
        <w:t>11</w:t>
      </w:r>
      <w:r>
        <w:rPr>
          <w:noProof/>
        </w:rPr>
        <w:fldChar w:fldCharType="end"/>
      </w:r>
    </w:p>
    <w:p w14:paraId="165F7566" w14:textId="6BF2B0D6" w:rsidR="0074322F" w:rsidRDefault="0074322F">
      <w:pPr>
        <w:pStyle w:val="TOC5"/>
        <w:rPr>
          <w:rFonts w:asciiTheme="minorHAnsi" w:eastAsiaTheme="minorEastAsia" w:hAnsiTheme="minorHAnsi" w:cstheme="minorBidi"/>
          <w:noProof/>
          <w:kern w:val="0"/>
          <w:sz w:val="22"/>
          <w:szCs w:val="22"/>
        </w:rPr>
      </w:pPr>
      <w:r>
        <w:rPr>
          <w:noProof/>
        </w:rPr>
        <w:t>21  Offering Indigenous Commonwealth Scholarships</w:t>
      </w:r>
      <w:r>
        <w:rPr>
          <w:noProof/>
        </w:rPr>
        <w:tab/>
      </w:r>
      <w:r>
        <w:rPr>
          <w:noProof/>
        </w:rPr>
        <w:fldChar w:fldCharType="begin"/>
      </w:r>
      <w:r>
        <w:rPr>
          <w:noProof/>
        </w:rPr>
        <w:instrText xml:space="preserve"> PAGEREF _Toc469918098 \h </w:instrText>
      </w:r>
      <w:r>
        <w:rPr>
          <w:noProof/>
        </w:rPr>
      </w:r>
      <w:r>
        <w:rPr>
          <w:noProof/>
        </w:rPr>
        <w:fldChar w:fldCharType="separate"/>
      </w:r>
      <w:r w:rsidR="0008275D">
        <w:rPr>
          <w:noProof/>
        </w:rPr>
        <w:t>11</w:t>
      </w:r>
      <w:r>
        <w:rPr>
          <w:noProof/>
        </w:rPr>
        <w:fldChar w:fldCharType="end"/>
      </w:r>
    </w:p>
    <w:p w14:paraId="67277523" w14:textId="68253793" w:rsidR="0074322F" w:rsidRDefault="0074322F">
      <w:pPr>
        <w:pStyle w:val="TOC5"/>
        <w:rPr>
          <w:rFonts w:asciiTheme="minorHAnsi" w:eastAsiaTheme="minorEastAsia" w:hAnsiTheme="minorHAnsi" w:cstheme="minorBidi"/>
          <w:noProof/>
          <w:kern w:val="0"/>
          <w:sz w:val="22"/>
          <w:szCs w:val="22"/>
        </w:rPr>
      </w:pPr>
      <w:r>
        <w:rPr>
          <w:noProof/>
        </w:rPr>
        <w:t>22  Awarding Indigenous Commonwealth Scholarships</w:t>
      </w:r>
      <w:r>
        <w:rPr>
          <w:noProof/>
        </w:rPr>
        <w:tab/>
      </w:r>
      <w:r>
        <w:rPr>
          <w:noProof/>
        </w:rPr>
        <w:fldChar w:fldCharType="begin"/>
      </w:r>
      <w:r>
        <w:rPr>
          <w:noProof/>
        </w:rPr>
        <w:instrText xml:space="preserve"> PAGEREF _Toc469918099 \h </w:instrText>
      </w:r>
      <w:r>
        <w:rPr>
          <w:noProof/>
        </w:rPr>
      </w:r>
      <w:r>
        <w:rPr>
          <w:noProof/>
        </w:rPr>
        <w:fldChar w:fldCharType="separate"/>
      </w:r>
      <w:r w:rsidR="0008275D">
        <w:rPr>
          <w:noProof/>
        </w:rPr>
        <w:t>12</w:t>
      </w:r>
      <w:r>
        <w:rPr>
          <w:noProof/>
        </w:rPr>
        <w:fldChar w:fldCharType="end"/>
      </w:r>
    </w:p>
    <w:p w14:paraId="6FC5AA8F" w14:textId="6D6DD783" w:rsidR="0074322F" w:rsidRDefault="0074322F">
      <w:pPr>
        <w:pStyle w:val="TOC5"/>
        <w:rPr>
          <w:rFonts w:asciiTheme="minorHAnsi" w:eastAsiaTheme="minorEastAsia" w:hAnsiTheme="minorHAnsi" w:cstheme="minorBidi"/>
          <w:noProof/>
          <w:kern w:val="0"/>
          <w:sz w:val="22"/>
          <w:szCs w:val="22"/>
        </w:rPr>
      </w:pPr>
      <w:r>
        <w:rPr>
          <w:noProof/>
        </w:rPr>
        <w:t>23  Monitoring use of Indigenous Commonwealth Scholarships</w:t>
      </w:r>
      <w:r>
        <w:rPr>
          <w:noProof/>
        </w:rPr>
        <w:tab/>
      </w:r>
      <w:r>
        <w:rPr>
          <w:noProof/>
        </w:rPr>
        <w:fldChar w:fldCharType="begin"/>
      </w:r>
      <w:r>
        <w:rPr>
          <w:noProof/>
        </w:rPr>
        <w:instrText xml:space="preserve"> PAGEREF _Toc469918100 \h </w:instrText>
      </w:r>
      <w:r>
        <w:rPr>
          <w:noProof/>
        </w:rPr>
      </w:r>
      <w:r>
        <w:rPr>
          <w:noProof/>
        </w:rPr>
        <w:fldChar w:fldCharType="separate"/>
      </w:r>
      <w:r w:rsidR="0008275D">
        <w:rPr>
          <w:noProof/>
        </w:rPr>
        <w:t>12</w:t>
      </w:r>
      <w:r>
        <w:rPr>
          <w:noProof/>
        </w:rPr>
        <w:fldChar w:fldCharType="end"/>
      </w:r>
    </w:p>
    <w:p w14:paraId="0D2D30E7" w14:textId="34E842EA" w:rsidR="0074322F" w:rsidRDefault="0074322F">
      <w:pPr>
        <w:pStyle w:val="TOC5"/>
        <w:rPr>
          <w:rFonts w:asciiTheme="minorHAnsi" w:eastAsiaTheme="minorEastAsia" w:hAnsiTheme="minorHAnsi" w:cstheme="minorBidi"/>
          <w:noProof/>
          <w:kern w:val="0"/>
          <w:sz w:val="22"/>
          <w:szCs w:val="22"/>
        </w:rPr>
      </w:pPr>
      <w:r>
        <w:rPr>
          <w:noProof/>
        </w:rPr>
        <w:t>24  Interaction with other forms of assistance</w:t>
      </w:r>
      <w:r>
        <w:rPr>
          <w:noProof/>
        </w:rPr>
        <w:tab/>
      </w:r>
      <w:r>
        <w:rPr>
          <w:noProof/>
        </w:rPr>
        <w:fldChar w:fldCharType="begin"/>
      </w:r>
      <w:r>
        <w:rPr>
          <w:noProof/>
        </w:rPr>
        <w:instrText xml:space="preserve"> PAGEREF _Toc469918101 \h </w:instrText>
      </w:r>
      <w:r>
        <w:rPr>
          <w:noProof/>
        </w:rPr>
      </w:r>
      <w:r>
        <w:rPr>
          <w:noProof/>
        </w:rPr>
        <w:fldChar w:fldCharType="separate"/>
      </w:r>
      <w:r w:rsidR="0008275D">
        <w:rPr>
          <w:noProof/>
        </w:rPr>
        <w:t>13</w:t>
      </w:r>
      <w:r>
        <w:rPr>
          <w:noProof/>
        </w:rPr>
        <w:fldChar w:fldCharType="end"/>
      </w:r>
    </w:p>
    <w:p w14:paraId="19B9D8A0" w14:textId="58A0D36D" w:rsidR="0074322F" w:rsidRDefault="0074322F">
      <w:pPr>
        <w:pStyle w:val="TOC5"/>
        <w:rPr>
          <w:rFonts w:asciiTheme="minorHAnsi" w:eastAsiaTheme="minorEastAsia" w:hAnsiTheme="minorHAnsi" w:cstheme="minorBidi"/>
          <w:noProof/>
          <w:kern w:val="0"/>
          <w:sz w:val="22"/>
          <w:szCs w:val="22"/>
        </w:rPr>
      </w:pPr>
      <w:r>
        <w:rPr>
          <w:noProof/>
        </w:rPr>
        <w:t>25  Notices to Commonwealth Departments</w:t>
      </w:r>
      <w:r>
        <w:rPr>
          <w:noProof/>
        </w:rPr>
        <w:tab/>
      </w:r>
      <w:r>
        <w:rPr>
          <w:noProof/>
        </w:rPr>
        <w:fldChar w:fldCharType="begin"/>
      </w:r>
      <w:r>
        <w:rPr>
          <w:noProof/>
        </w:rPr>
        <w:instrText xml:space="preserve"> PAGEREF _Toc469918102 \h </w:instrText>
      </w:r>
      <w:r>
        <w:rPr>
          <w:noProof/>
        </w:rPr>
      </w:r>
      <w:r>
        <w:rPr>
          <w:noProof/>
        </w:rPr>
        <w:fldChar w:fldCharType="separate"/>
      </w:r>
      <w:r w:rsidR="0008275D">
        <w:rPr>
          <w:noProof/>
        </w:rPr>
        <w:t>13</w:t>
      </w:r>
      <w:r>
        <w:rPr>
          <w:noProof/>
        </w:rPr>
        <w:fldChar w:fldCharType="end"/>
      </w:r>
    </w:p>
    <w:p w14:paraId="09B82947" w14:textId="0B0B9DDA" w:rsidR="0074322F" w:rsidRDefault="0074322F">
      <w:pPr>
        <w:pStyle w:val="TOC5"/>
        <w:rPr>
          <w:rFonts w:asciiTheme="minorHAnsi" w:eastAsiaTheme="minorEastAsia" w:hAnsiTheme="minorHAnsi" w:cstheme="minorBidi"/>
          <w:noProof/>
          <w:kern w:val="0"/>
          <w:sz w:val="22"/>
          <w:szCs w:val="22"/>
        </w:rPr>
      </w:pPr>
      <w:r>
        <w:rPr>
          <w:noProof/>
        </w:rPr>
        <w:t>26  Termination of Indigenous Commonwealth Scholarships</w:t>
      </w:r>
      <w:r>
        <w:rPr>
          <w:noProof/>
        </w:rPr>
        <w:tab/>
      </w:r>
      <w:r>
        <w:rPr>
          <w:noProof/>
        </w:rPr>
        <w:fldChar w:fldCharType="begin"/>
      </w:r>
      <w:r>
        <w:rPr>
          <w:noProof/>
        </w:rPr>
        <w:instrText xml:space="preserve"> PAGEREF _Toc469918103 \h </w:instrText>
      </w:r>
      <w:r>
        <w:rPr>
          <w:noProof/>
        </w:rPr>
      </w:r>
      <w:r>
        <w:rPr>
          <w:noProof/>
        </w:rPr>
        <w:fldChar w:fldCharType="separate"/>
      </w:r>
      <w:r w:rsidR="0008275D">
        <w:rPr>
          <w:noProof/>
        </w:rPr>
        <w:t>13</w:t>
      </w:r>
      <w:r>
        <w:rPr>
          <w:noProof/>
        </w:rPr>
        <w:fldChar w:fldCharType="end"/>
      </w:r>
    </w:p>
    <w:p w14:paraId="79143047" w14:textId="186C255C" w:rsidR="0074322F" w:rsidRDefault="0074322F">
      <w:pPr>
        <w:pStyle w:val="TOC5"/>
        <w:rPr>
          <w:rFonts w:asciiTheme="minorHAnsi" w:eastAsiaTheme="minorEastAsia" w:hAnsiTheme="minorHAnsi" w:cstheme="minorBidi"/>
          <w:noProof/>
          <w:kern w:val="0"/>
          <w:sz w:val="22"/>
          <w:szCs w:val="22"/>
        </w:rPr>
      </w:pPr>
      <w:r>
        <w:rPr>
          <w:noProof/>
        </w:rPr>
        <w:t>27  Recovery of Indigenous Commonwealth Scholarship amounts</w:t>
      </w:r>
      <w:r>
        <w:rPr>
          <w:noProof/>
        </w:rPr>
        <w:tab/>
      </w:r>
      <w:r>
        <w:rPr>
          <w:noProof/>
        </w:rPr>
        <w:fldChar w:fldCharType="begin"/>
      </w:r>
      <w:r>
        <w:rPr>
          <w:noProof/>
        </w:rPr>
        <w:instrText xml:space="preserve"> PAGEREF _Toc469918104 \h </w:instrText>
      </w:r>
      <w:r>
        <w:rPr>
          <w:noProof/>
        </w:rPr>
      </w:r>
      <w:r>
        <w:rPr>
          <w:noProof/>
        </w:rPr>
        <w:fldChar w:fldCharType="separate"/>
      </w:r>
      <w:r w:rsidR="0008275D">
        <w:rPr>
          <w:noProof/>
        </w:rPr>
        <w:t>14</w:t>
      </w:r>
      <w:r>
        <w:rPr>
          <w:noProof/>
        </w:rPr>
        <w:fldChar w:fldCharType="end"/>
      </w:r>
    </w:p>
    <w:p w14:paraId="168D096F" w14:textId="005F4E84" w:rsidR="0074322F" w:rsidRDefault="0074322F">
      <w:pPr>
        <w:pStyle w:val="TOC5"/>
        <w:rPr>
          <w:rFonts w:asciiTheme="minorHAnsi" w:eastAsiaTheme="minorEastAsia" w:hAnsiTheme="minorHAnsi" w:cstheme="minorBidi"/>
          <w:noProof/>
          <w:kern w:val="0"/>
          <w:sz w:val="22"/>
          <w:szCs w:val="22"/>
        </w:rPr>
      </w:pPr>
      <w:r>
        <w:rPr>
          <w:noProof/>
        </w:rPr>
        <w:t>28  Transitional arrangements for Indigenous Commonwealth Scholarships</w:t>
      </w:r>
      <w:r>
        <w:rPr>
          <w:noProof/>
        </w:rPr>
        <w:tab/>
      </w:r>
      <w:r>
        <w:rPr>
          <w:noProof/>
        </w:rPr>
        <w:fldChar w:fldCharType="begin"/>
      </w:r>
      <w:r>
        <w:rPr>
          <w:noProof/>
        </w:rPr>
        <w:instrText xml:space="preserve"> PAGEREF _Toc469918105 \h </w:instrText>
      </w:r>
      <w:r>
        <w:rPr>
          <w:noProof/>
        </w:rPr>
      </w:r>
      <w:r>
        <w:rPr>
          <w:noProof/>
        </w:rPr>
        <w:fldChar w:fldCharType="separate"/>
      </w:r>
      <w:r w:rsidR="0008275D">
        <w:rPr>
          <w:noProof/>
        </w:rPr>
        <w:t>15</w:t>
      </w:r>
      <w:r>
        <w:rPr>
          <w:noProof/>
        </w:rPr>
        <w:fldChar w:fldCharType="end"/>
      </w:r>
    </w:p>
    <w:p w14:paraId="3BAFA1B2" w14:textId="22B2CDD5" w:rsidR="0074322F" w:rsidRDefault="0074322F">
      <w:pPr>
        <w:pStyle w:val="TOC3"/>
        <w:rPr>
          <w:rFonts w:asciiTheme="minorHAnsi" w:eastAsiaTheme="minorEastAsia" w:hAnsiTheme="minorHAnsi" w:cstheme="minorBidi"/>
          <w:b w:val="0"/>
          <w:noProof/>
          <w:kern w:val="0"/>
          <w:szCs w:val="22"/>
        </w:rPr>
      </w:pPr>
      <w:r>
        <w:rPr>
          <w:noProof/>
        </w:rPr>
        <w:t>Part 6—ISSP grant conditions (other support and activities)</w:t>
      </w:r>
      <w:r>
        <w:rPr>
          <w:noProof/>
        </w:rPr>
        <w:tab/>
      </w:r>
      <w:r>
        <w:rPr>
          <w:noProof/>
        </w:rPr>
        <w:fldChar w:fldCharType="begin"/>
      </w:r>
      <w:r>
        <w:rPr>
          <w:noProof/>
        </w:rPr>
        <w:instrText xml:space="preserve"> PAGEREF _Toc469918106 \h </w:instrText>
      </w:r>
      <w:r>
        <w:rPr>
          <w:noProof/>
        </w:rPr>
      </w:r>
      <w:r>
        <w:rPr>
          <w:noProof/>
        </w:rPr>
        <w:fldChar w:fldCharType="separate"/>
      </w:r>
      <w:r w:rsidR="0008275D">
        <w:rPr>
          <w:noProof/>
        </w:rPr>
        <w:t>16</w:t>
      </w:r>
      <w:r>
        <w:rPr>
          <w:noProof/>
        </w:rPr>
        <w:fldChar w:fldCharType="end"/>
      </w:r>
    </w:p>
    <w:p w14:paraId="5BDAF03F" w14:textId="50C32DFE" w:rsidR="0074322F" w:rsidRDefault="0074322F">
      <w:pPr>
        <w:pStyle w:val="TOC5"/>
        <w:rPr>
          <w:rFonts w:asciiTheme="minorHAnsi" w:eastAsiaTheme="minorEastAsia" w:hAnsiTheme="minorHAnsi" w:cstheme="minorBidi"/>
          <w:noProof/>
          <w:kern w:val="0"/>
          <w:sz w:val="22"/>
          <w:szCs w:val="22"/>
        </w:rPr>
      </w:pPr>
      <w:r>
        <w:rPr>
          <w:noProof/>
        </w:rPr>
        <w:t>29  Using ISSP grants for academic support</w:t>
      </w:r>
      <w:r>
        <w:rPr>
          <w:noProof/>
        </w:rPr>
        <w:tab/>
      </w:r>
      <w:r>
        <w:rPr>
          <w:noProof/>
        </w:rPr>
        <w:fldChar w:fldCharType="begin"/>
      </w:r>
      <w:r>
        <w:rPr>
          <w:noProof/>
        </w:rPr>
        <w:instrText xml:space="preserve"> PAGEREF _Toc469918107 \h </w:instrText>
      </w:r>
      <w:r>
        <w:rPr>
          <w:noProof/>
        </w:rPr>
      </w:r>
      <w:r>
        <w:rPr>
          <w:noProof/>
        </w:rPr>
        <w:fldChar w:fldCharType="separate"/>
      </w:r>
      <w:r w:rsidR="0008275D">
        <w:rPr>
          <w:noProof/>
        </w:rPr>
        <w:t>16</w:t>
      </w:r>
      <w:r>
        <w:rPr>
          <w:noProof/>
        </w:rPr>
        <w:fldChar w:fldCharType="end"/>
      </w:r>
    </w:p>
    <w:p w14:paraId="793F7EC5" w14:textId="1F4DA683" w:rsidR="0074322F" w:rsidRDefault="0074322F">
      <w:pPr>
        <w:pStyle w:val="TOC5"/>
        <w:rPr>
          <w:rFonts w:asciiTheme="minorHAnsi" w:eastAsiaTheme="minorEastAsia" w:hAnsiTheme="minorHAnsi" w:cstheme="minorBidi"/>
          <w:noProof/>
          <w:kern w:val="0"/>
          <w:sz w:val="22"/>
          <w:szCs w:val="22"/>
        </w:rPr>
      </w:pPr>
      <w:r>
        <w:rPr>
          <w:noProof/>
        </w:rPr>
        <w:t>30  Using ISSP grants for pastoral care etc</w:t>
      </w:r>
      <w:r>
        <w:rPr>
          <w:noProof/>
        </w:rPr>
        <w:tab/>
      </w:r>
      <w:r>
        <w:rPr>
          <w:noProof/>
        </w:rPr>
        <w:fldChar w:fldCharType="begin"/>
      </w:r>
      <w:r>
        <w:rPr>
          <w:noProof/>
        </w:rPr>
        <w:instrText xml:space="preserve"> PAGEREF _Toc469918108 \h </w:instrText>
      </w:r>
      <w:r>
        <w:rPr>
          <w:noProof/>
        </w:rPr>
      </w:r>
      <w:r>
        <w:rPr>
          <w:noProof/>
        </w:rPr>
        <w:fldChar w:fldCharType="separate"/>
      </w:r>
      <w:r w:rsidR="0008275D">
        <w:rPr>
          <w:noProof/>
        </w:rPr>
        <w:t>16</w:t>
      </w:r>
      <w:r>
        <w:rPr>
          <w:noProof/>
        </w:rPr>
        <w:fldChar w:fldCharType="end"/>
      </w:r>
    </w:p>
    <w:p w14:paraId="13EF3C43" w14:textId="06363ABA" w:rsidR="0074322F" w:rsidRDefault="0074322F">
      <w:pPr>
        <w:pStyle w:val="TOC5"/>
        <w:rPr>
          <w:rFonts w:asciiTheme="minorHAnsi" w:eastAsiaTheme="minorEastAsia" w:hAnsiTheme="minorHAnsi" w:cstheme="minorBidi"/>
          <w:noProof/>
          <w:kern w:val="0"/>
          <w:sz w:val="22"/>
          <w:szCs w:val="22"/>
        </w:rPr>
      </w:pPr>
      <w:r>
        <w:rPr>
          <w:noProof/>
        </w:rPr>
        <w:t>31  Using ISSP grants for cultural competency strategies</w:t>
      </w:r>
      <w:r>
        <w:rPr>
          <w:noProof/>
        </w:rPr>
        <w:tab/>
      </w:r>
      <w:r>
        <w:rPr>
          <w:noProof/>
        </w:rPr>
        <w:fldChar w:fldCharType="begin"/>
      </w:r>
      <w:r>
        <w:rPr>
          <w:noProof/>
        </w:rPr>
        <w:instrText xml:space="preserve"> PAGEREF _Toc469918109 \h </w:instrText>
      </w:r>
      <w:r>
        <w:rPr>
          <w:noProof/>
        </w:rPr>
      </w:r>
      <w:r>
        <w:rPr>
          <w:noProof/>
        </w:rPr>
        <w:fldChar w:fldCharType="separate"/>
      </w:r>
      <w:r w:rsidR="0008275D">
        <w:rPr>
          <w:noProof/>
        </w:rPr>
        <w:t>17</w:t>
      </w:r>
      <w:r>
        <w:rPr>
          <w:noProof/>
        </w:rPr>
        <w:fldChar w:fldCharType="end"/>
      </w:r>
    </w:p>
    <w:p w14:paraId="5BE79102" w14:textId="2FAD0764" w:rsidR="0074322F" w:rsidRDefault="0074322F">
      <w:pPr>
        <w:pStyle w:val="TOC5"/>
        <w:rPr>
          <w:rFonts w:asciiTheme="minorHAnsi" w:eastAsiaTheme="minorEastAsia" w:hAnsiTheme="minorHAnsi" w:cstheme="minorBidi"/>
          <w:noProof/>
          <w:kern w:val="0"/>
          <w:sz w:val="22"/>
          <w:szCs w:val="22"/>
        </w:rPr>
      </w:pPr>
      <w:r>
        <w:rPr>
          <w:noProof/>
        </w:rPr>
        <w:t>32  Using ISSP grants for engagement activities</w:t>
      </w:r>
      <w:r>
        <w:rPr>
          <w:noProof/>
        </w:rPr>
        <w:tab/>
      </w:r>
      <w:r>
        <w:rPr>
          <w:noProof/>
        </w:rPr>
        <w:fldChar w:fldCharType="begin"/>
      </w:r>
      <w:r>
        <w:rPr>
          <w:noProof/>
        </w:rPr>
        <w:instrText xml:space="preserve"> PAGEREF _Toc469918110 \h </w:instrText>
      </w:r>
      <w:r>
        <w:rPr>
          <w:noProof/>
        </w:rPr>
      </w:r>
      <w:r>
        <w:rPr>
          <w:noProof/>
        </w:rPr>
        <w:fldChar w:fldCharType="separate"/>
      </w:r>
      <w:r w:rsidR="0008275D">
        <w:rPr>
          <w:noProof/>
        </w:rPr>
        <w:t>17</w:t>
      </w:r>
      <w:r>
        <w:rPr>
          <w:noProof/>
        </w:rPr>
        <w:fldChar w:fldCharType="end"/>
      </w:r>
    </w:p>
    <w:p w14:paraId="5DB2DC2E" w14:textId="77CC3066" w:rsidR="0074322F" w:rsidRDefault="0074322F">
      <w:pPr>
        <w:pStyle w:val="TOC5"/>
        <w:rPr>
          <w:rFonts w:asciiTheme="minorHAnsi" w:eastAsiaTheme="minorEastAsia" w:hAnsiTheme="minorHAnsi" w:cstheme="minorBidi"/>
          <w:noProof/>
          <w:kern w:val="0"/>
          <w:sz w:val="22"/>
          <w:szCs w:val="22"/>
        </w:rPr>
      </w:pPr>
      <w:r>
        <w:rPr>
          <w:noProof/>
        </w:rPr>
        <w:t>33  Paying a person to provide support</w:t>
      </w:r>
      <w:r>
        <w:rPr>
          <w:noProof/>
        </w:rPr>
        <w:tab/>
      </w:r>
      <w:r>
        <w:rPr>
          <w:noProof/>
        </w:rPr>
        <w:fldChar w:fldCharType="begin"/>
      </w:r>
      <w:r>
        <w:rPr>
          <w:noProof/>
        </w:rPr>
        <w:instrText xml:space="preserve"> PAGEREF _Toc469918111 \h </w:instrText>
      </w:r>
      <w:r>
        <w:rPr>
          <w:noProof/>
        </w:rPr>
      </w:r>
      <w:r>
        <w:rPr>
          <w:noProof/>
        </w:rPr>
        <w:fldChar w:fldCharType="separate"/>
      </w:r>
      <w:r w:rsidR="0008275D">
        <w:rPr>
          <w:noProof/>
        </w:rPr>
        <w:t>17</w:t>
      </w:r>
      <w:r>
        <w:rPr>
          <w:noProof/>
        </w:rPr>
        <w:fldChar w:fldCharType="end"/>
      </w:r>
    </w:p>
    <w:p w14:paraId="31B5C47A" w14:textId="45AA2E16" w:rsidR="0074322F" w:rsidRDefault="0074322F">
      <w:pPr>
        <w:pStyle w:val="TOC5"/>
        <w:rPr>
          <w:rFonts w:asciiTheme="minorHAnsi" w:eastAsiaTheme="minorEastAsia" w:hAnsiTheme="minorHAnsi" w:cstheme="minorBidi"/>
          <w:noProof/>
          <w:kern w:val="0"/>
          <w:sz w:val="22"/>
          <w:szCs w:val="22"/>
        </w:rPr>
      </w:pPr>
      <w:r>
        <w:rPr>
          <w:noProof/>
        </w:rPr>
        <w:t>34  Transitional arrangements for support</w:t>
      </w:r>
      <w:r>
        <w:rPr>
          <w:noProof/>
        </w:rPr>
        <w:tab/>
      </w:r>
      <w:r>
        <w:rPr>
          <w:noProof/>
        </w:rPr>
        <w:fldChar w:fldCharType="begin"/>
      </w:r>
      <w:r>
        <w:rPr>
          <w:noProof/>
        </w:rPr>
        <w:instrText xml:space="preserve"> PAGEREF _Toc469918112 \h </w:instrText>
      </w:r>
      <w:r>
        <w:rPr>
          <w:noProof/>
        </w:rPr>
      </w:r>
      <w:r>
        <w:rPr>
          <w:noProof/>
        </w:rPr>
        <w:fldChar w:fldCharType="separate"/>
      </w:r>
      <w:r w:rsidR="0008275D">
        <w:rPr>
          <w:noProof/>
        </w:rPr>
        <w:t>17</w:t>
      </w:r>
      <w:r>
        <w:rPr>
          <w:noProof/>
        </w:rPr>
        <w:fldChar w:fldCharType="end"/>
      </w:r>
    </w:p>
    <w:p w14:paraId="253F4826" w14:textId="7DE88E60" w:rsidR="0074322F" w:rsidRDefault="0074322F">
      <w:pPr>
        <w:pStyle w:val="TOC3"/>
        <w:rPr>
          <w:rFonts w:asciiTheme="minorHAnsi" w:eastAsiaTheme="minorEastAsia" w:hAnsiTheme="minorHAnsi" w:cstheme="minorBidi"/>
          <w:b w:val="0"/>
          <w:noProof/>
          <w:kern w:val="0"/>
          <w:szCs w:val="22"/>
        </w:rPr>
      </w:pPr>
      <w:r>
        <w:rPr>
          <w:noProof/>
        </w:rPr>
        <w:t>Part 7—ISSP grant conditions (miscellaneous)</w:t>
      </w:r>
      <w:r>
        <w:rPr>
          <w:noProof/>
        </w:rPr>
        <w:tab/>
      </w:r>
      <w:r>
        <w:rPr>
          <w:noProof/>
        </w:rPr>
        <w:fldChar w:fldCharType="begin"/>
      </w:r>
      <w:r>
        <w:rPr>
          <w:noProof/>
        </w:rPr>
        <w:instrText xml:space="preserve"> PAGEREF _Toc469918113 \h </w:instrText>
      </w:r>
      <w:r>
        <w:rPr>
          <w:noProof/>
        </w:rPr>
      </w:r>
      <w:r>
        <w:rPr>
          <w:noProof/>
        </w:rPr>
        <w:fldChar w:fldCharType="separate"/>
      </w:r>
      <w:r w:rsidR="0008275D">
        <w:rPr>
          <w:noProof/>
        </w:rPr>
        <w:t>18</w:t>
      </w:r>
      <w:r>
        <w:rPr>
          <w:noProof/>
        </w:rPr>
        <w:fldChar w:fldCharType="end"/>
      </w:r>
    </w:p>
    <w:p w14:paraId="07BFACC1" w14:textId="02AF4B31" w:rsidR="0074322F" w:rsidRDefault="0074322F">
      <w:pPr>
        <w:pStyle w:val="TOC5"/>
        <w:rPr>
          <w:rFonts w:asciiTheme="minorHAnsi" w:eastAsiaTheme="minorEastAsia" w:hAnsiTheme="minorHAnsi" w:cstheme="minorBidi"/>
          <w:noProof/>
          <w:kern w:val="0"/>
          <w:sz w:val="22"/>
          <w:szCs w:val="22"/>
        </w:rPr>
      </w:pPr>
      <w:r>
        <w:rPr>
          <w:noProof/>
        </w:rPr>
        <w:t>35  Conflicts of interest</w:t>
      </w:r>
      <w:r>
        <w:rPr>
          <w:noProof/>
        </w:rPr>
        <w:tab/>
      </w:r>
      <w:r>
        <w:rPr>
          <w:noProof/>
        </w:rPr>
        <w:fldChar w:fldCharType="begin"/>
      </w:r>
      <w:r>
        <w:rPr>
          <w:noProof/>
        </w:rPr>
        <w:instrText xml:space="preserve"> PAGEREF _Toc469918114 \h </w:instrText>
      </w:r>
      <w:r>
        <w:rPr>
          <w:noProof/>
        </w:rPr>
      </w:r>
      <w:r>
        <w:rPr>
          <w:noProof/>
        </w:rPr>
        <w:fldChar w:fldCharType="separate"/>
      </w:r>
      <w:r w:rsidR="0008275D">
        <w:rPr>
          <w:noProof/>
        </w:rPr>
        <w:t>18</w:t>
      </w:r>
      <w:r>
        <w:rPr>
          <w:noProof/>
        </w:rPr>
        <w:fldChar w:fldCharType="end"/>
      </w:r>
    </w:p>
    <w:p w14:paraId="5F531E82" w14:textId="62F19AC5" w:rsidR="0074322F" w:rsidRDefault="0074322F">
      <w:pPr>
        <w:pStyle w:val="TOC5"/>
        <w:rPr>
          <w:rFonts w:asciiTheme="minorHAnsi" w:eastAsiaTheme="minorEastAsia" w:hAnsiTheme="minorHAnsi" w:cstheme="minorBidi"/>
          <w:noProof/>
          <w:kern w:val="0"/>
          <w:sz w:val="22"/>
          <w:szCs w:val="22"/>
        </w:rPr>
      </w:pPr>
      <w:r>
        <w:rPr>
          <w:noProof/>
        </w:rPr>
        <w:t>36  Grievances and complaints</w:t>
      </w:r>
      <w:r>
        <w:rPr>
          <w:noProof/>
        </w:rPr>
        <w:tab/>
      </w:r>
      <w:r>
        <w:rPr>
          <w:noProof/>
        </w:rPr>
        <w:fldChar w:fldCharType="begin"/>
      </w:r>
      <w:r>
        <w:rPr>
          <w:noProof/>
        </w:rPr>
        <w:instrText xml:space="preserve"> PAGEREF _Toc469918115 \h </w:instrText>
      </w:r>
      <w:r>
        <w:rPr>
          <w:noProof/>
        </w:rPr>
      </w:r>
      <w:r>
        <w:rPr>
          <w:noProof/>
        </w:rPr>
        <w:fldChar w:fldCharType="separate"/>
      </w:r>
      <w:r w:rsidR="0008275D">
        <w:rPr>
          <w:noProof/>
        </w:rPr>
        <w:t>18</w:t>
      </w:r>
      <w:r>
        <w:rPr>
          <w:noProof/>
        </w:rPr>
        <w:fldChar w:fldCharType="end"/>
      </w:r>
    </w:p>
    <w:p w14:paraId="12C65C7D" w14:textId="3D4017EE" w:rsidR="0074322F" w:rsidRDefault="0074322F">
      <w:pPr>
        <w:pStyle w:val="TOC5"/>
        <w:rPr>
          <w:rFonts w:asciiTheme="minorHAnsi" w:eastAsiaTheme="minorEastAsia" w:hAnsiTheme="minorHAnsi" w:cstheme="minorBidi"/>
          <w:noProof/>
          <w:kern w:val="0"/>
          <w:sz w:val="22"/>
          <w:szCs w:val="22"/>
        </w:rPr>
      </w:pPr>
      <w:r>
        <w:rPr>
          <w:noProof/>
        </w:rPr>
        <w:t>37  Policies and processes for using an ISSP grant</w:t>
      </w:r>
      <w:r>
        <w:rPr>
          <w:noProof/>
        </w:rPr>
        <w:tab/>
      </w:r>
      <w:r>
        <w:rPr>
          <w:noProof/>
        </w:rPr>
        <w:fldChar w:fldCharType="begin"/>
      </w:r>
      <w:r>
        <w:rPr>
          <w:noProof/>
        </w:rPr>
        <w:instrText xml:space="preserve"> PAGEREF _Toc469918116 \h </w:instrText>
      </w:r>
      <w:r>
        <w:rPr>
          <w:noProof/>
        </w:rPr>
      </w:r>
      <w:r>
        <w:rPr>
          <w:noProof/>
        </w:rPr>
        <w:fldChar w:fldCharType="separate"/>
      </w:r>
      <w:r w:rsidR="0008275D">
        <w:rPr>
          <w:noProof/>
        </w:rPr>
        <w:t>18</w:t>
      </w:r>
      <w:r>
        <w:rPr>
          <w:noProof/>
        </w:rPr>
        <w:fldChar w:fldCharType="end"/>
      </w:r>
    </w:p>
    <w:p w14:paraId="5ED6D32B" w14:textId="3EF9B187" w:rsidR="0074322F" w:rsidRDefault="0074322F">
      <w:pPr>
        <w:pStyle w:val="TOC6"/>
        <w:rPr>
          <w:rFonts w:asciiTheme="minorHAnsi" w:eastAsiaTheme="minorEastAsia" w:hAnsiTheme="minorHAnsi" w:cstheme="minorBidi"/>
          <w:b w:val="0"/>
          <w:noProof/>
          <w:kern w:val="0"/>
          <w:sz w:val="22"/>
          <w:szCs w:val="22"/>
        </w:rPr>
      </w:pPr>
      <w:r>
        <w:rPr>
          <w:noProof/>
        </w:rPr>
        <w:t>Schedule 1—Method for determining ISSP grant amounts</w:t>
      </w:r>
      <w:r>
        <w:rPr>
          <w:noProof/>
        </w:rPr>
        <w:tab/>
      </w:r>
      <w:r>
        <w:rPr>
          <w:noProof/>
        </w:rPr>
        <w:fldChar w:fldCharType="begin"/>
      </w:r>
      <w:r>
        <w:rPr>
          <w:noProof/>
        </w:rPr>
        <w:instrText xml:space="preserve"> PAGEREF _Toc469918117 \h </w:instrText>
      </w:r>
      <w:r>
        <w:rPr>
          <w:noProof/>
        </w:rPr>
      </w:r>
      <w:r>
        <w:rPr>
          <w:noProof/>
        </w:rPr>
        <w:fldChar w:fldCharType="separate"/>
      </w:r>
      <w:r w:rsidR="0008275D">
        <w:rPr>
          <w:noProof/>
        </w:rPr>
        <w:t>20</w:t>
      </w:r>
      <w:r>
        <w:rPr>
          <w:noProof/>
        </w:rPr>
        <w:fldChar w:fldCharType="end"/>
      </w:r>
    </w:p>
    <w:p w14:paraId="7659EA2B" w14:textId="5837585B" w:rsidR="00F6696E" w:rsidRDefault="00B418CB" w:rsidP="00234629">
      <w:pPr>
        <w:pStyle w:val="TOC5"/>
        <w:sectPr w:rsidR="00F6696E" w:rsidSect="001E3430">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r>
        <w:fldChar w:fldCharType="end"/>
      </w:r>
    </w:p>
    <w:p w14:paraId="40AED9F7" w14:textId="1BED3918" w:rsidR="009813BA" w:rsidRPr="00351537" w:rsidRDefault="009813BA" w:rsidP="009813BA">
      <w:pPr>
        <w:pStyle w:val="ActHead3"/>
      </w:pPr>
      <w:bookmarkStart w:id="0" w:name="_Toc449623775"/>
      <w:bookmarkStart w:id="1" w:name="_Toc467246507"/>
      <w:bookmarkStart w:id="2" w:name="_Toc468194420"/>
      <w:bookmarkStart w:id="3" w:name="_Toc468285018"/>
      <w:bookmarkStart w:id="4" w:name="_Toc468364303"/>
      <w:bookmarkStart w:id="5" w:name="_Toc469060350"/>
      <w:bookmarkStart w:id="6" w:name="_Toc469172040"/>
      <w:bookmarkStart w:id="7" w:name="_Toc469918073"/>
      <w:r>
        <w:rPr>
          <w:rStyle w:val="CharDivNo"/>
        </w:rPr>
        <w:lastRenderedPageBreak/>
        <w:t>Part 1</w:t>
      </w:r>
      <w:r w:rsidRPr="00351537">
        <w:t>—</w:t>
      </w:r>
      <w:bookmarkEnd w:id="0"/>
      <w:r>
        <w:rPr>
          <w:rStyle w:val="CharDivText"/>
        </w:rPr>
        <w:t>Preliminary</w:t>
      </w:r>
      <w:bookmarkEnd w:id="1"/>
      <w:bookmarkEnd w:id="2"/>
      <w:bookmarkEnd w:id="3"/>
      <w:bookmarkEnd w:id="4"/>
      <w:bookmarkEnd w:id="5"/>
      <w:bookmarkEnd w:id="6"/>
      <w:bookmarkEnd w:id="7"/>
    </w:p>
    <w:p w14:paraId="72796014" w14:textId="77777777" w:rsidR="00A75FE9" w:rsidRPr="009C2562" w:rsidRDefault="00A75FE9" w:rsidP="00A75FE9">
      <w:pPr>
        <w:pStyle w:val="ActHead5"/>
      </w:pPr>
      <w:bookmarkStart w:id="8" w:name="_Toc467246508"/>
      <w:bookmarkStart w:id="9" w:name="_Toc468194421"/>
      <w:bookmarkStart w:id="10" w:name="_Toc468285019"/>
      <w:bookmarkStart w:id="11" w:name="_Toc468364304"/>
      <w:bookmarkStart w:id="12" w:name="_Toc469060351"/>
      <w:bookmarkStart w:id="13" w:name="_Toc469172041"/>
      <w:bookmarkStart w:id="14" w:name="_Toc469918074"/>
      <w:r w:rsidRPr="009C2562">
        <w:rPr>
          <w:rStyle w:val="CharSectno"/>
        </w:rPr>
        <w:t>1</w:t>
      </w:r>
      <w:r w:rsidRPr="009C2562">
        <w:t xml:space="preserve">  Name</w:t>
      </w:r>
      <w:bookmarkEnd w:id="8"/>
      <w:bookmarkEnd w:id="9"/>
      <w:bookmarkEnd w:id="10"/>
      <w:bookmarkEnd w:id="11"/>
      <w:bookmarkEnd w:id="12"/>
      <w:bookmarkEnd w:id="13"/>
      <w:bookmarkEnd w:id="14"/>
    </w:p>
    <w:p w14:paraId="3567C971" w14:textId="4095EC10" w:rsidR="00A75FE9" w:rsidRDefault="00A75FE9" w:rsidP="00A75FE9">
      <w:pPr>
        <w:pStyle w:val="subsection"/>
      </w:pPr>
      <w:r w:rsidRPr="009C2562">
        <w:tab/>
      </w:r>
      <w:r w:rsidRPr="009C2562">
        <w:tab/>
        <w:t xml:space="preserve">This </w:t>
      </w:r>
      <w:r w:rsidR="004C4E59">
        <w:t xml:space="preserve">instrument </w:t>
      </w:r>
      <w:r w:rsidR="008B3F4B">
        <w:t xml:space="preserve">is the </w:t>
      </w:r>
      <w:bookmarkStart w:id="15" w:name="_GoBack"/>
      <w:r w:rsidR="003C2D1B">
        <w:rPr>
          <w:i/>
        </w:rPr>
        <w:t>Indigenous Student Assistance Grants Guidelines</w:t>
      </w:r>
      <w:r w:rsidR="008B3F4B">
        <w:rPr>
          <w:i/>
        </w:rPr>
        <w:t xml:space="preserve"> </w:t>
      </w:r>
      <w:r w:rsidR="008369C3">
        <w:rPr>
          <w:i/>
        </w:rPr>
        <w:t>2017</w:t>
      </w:r>
      <w:bookmarkEnd w:id="15"/>
      <w:r w:rsidRPr="009C2562">
        <w:t>.</w:t>
      </w:r>
    </w:p>
    <w:p w14:paraId="69A7B65C" w14:textId="77777777" w:rsidR="00A75FE9" w:rsidRDefault="00A75FE9" w:rsidP="00A75FE9">
      <w:pPr>
        <w:pStyle w:val="ActHead5"/>
      </w:pPr>
      <w:bookmarkStart w:id="16" w:name="_Toc467246509"/>
      <w:bookmarkStart w:id="17" w:name="_Toc468194422"/>
      <w:bookmarkStart w:id="18" w:name="_Toc468285020"/>
      <w:bookmarkStart w:id="19" w:name="_Toc468364305"/>
      <w:bookmarkStart w:id="20" w:name="_Toc469060352"/>
      <w:bookmarkStart w:id="21" w:name="_Toc469172042"/>
      <w:bookmarkStart w:id="22" w:name="_Toc469918075"/>
      <w:r w:rsidRPr="009C2562">
        <w:rPr>
          <w:rStyle w:val="CharSectno"/>
        </w:rPr>
        <w:t>2</w:t>
      </w:r>
      <w:r w:rsidRPr="009C2562">
        <w:t xml:space="preserve">  Commencement</w:t>
      </w:r>
      <w:bookmarkEnd w:id="16"/>
      <w:bookmarkEnd w:id="17"/>
      <w:bookmarkEnd w:id="18"/>
      <w:bookmarkEnd w:id="19"/>
      <w:bookmarkEnd w:id="20"/>
      <w:bookmarkEnd w:id="21"/>
      <w:bookmarkEnd w:id="22"/>
    </w:p>
    <w:p w14:paraId="620BDE1B" w14:textId="4D1151EA" w:rsidR="008B3F4B" w:rsidRPr="00E74967" w:rsidRDefault="008B3F4B" w:rsidP="008B3F4B">
      <w:pPr>
        <w:pStyle w:val="subsection"/>
      </w:pPr>
      <w:r w:rsidRPr="00E74967">
        <w:tab/>
        <w:t>(1)</w:t>
      </w:r>
      <w:r w:rsidRPr="00E74967">
        <w:tab/>
        <w:t xml:space="preserve">Each provision of </w:t>
      </w:r>
      <w:r w:rsidR="002A6EC2">
        <w:t>th</w:t>
      </w:r>
      <w:r w:rsidR="009C4025">
        <w:t>ese Guidelines</w:t>
      </w:r>
      <w:r w:rsidRPr="00E74967">
        <w:t xml:space="preserve"> specified in column 1 of the table commences, or is taken to have commenced, in accordance with column 2 of the table. Any other statement in column 2 has effect according to its terms.</w:t>
      </w:r>
    </w:p>
    <w:p w14:paraId="7C54A738" w14:textId="77777777" w:rsidR="008B3F4B" w:rsidRDefault="008B3F4B" w:rsidP="008B3F4B">
      <w:pPr>
        <w:pStyle w:val="subsection"/>
        <w:ind w:left="1515" w:firstLine="0"/>
      </w:pPr>
    </w:p>
    <w:tbl>
      <w:tblPr>
        <w:tblW w:w="0" w:type="auto"/>
        <w:tblInd w:w="107" w:type="dxa"/>
        <w:tblCellMar>
          <w:left w:w="0" w:type="dxa"/>
          <w:right w:w="0" w:type="dxa"/>
        </w:tblCellMar>
        <w:tblLook w:val="04A0" w:firstRow="1" w:lastRow="0" w:firstColumn="1" w:lastColumn="0" w:noHBand="0" w:noVBand="1"/>
      </w:tblPr>
      <w:tblGrid>
        <w:gridCol w:w="2268"/>
        <w:gridCol w:w="3402"/>
        <w:gridCol w:w="2694"/>
      </w:tblGrid>
      <w:tr w:rsidR="008B3F4B" w:rsidRPr="004111FE" w14:paraId="5361F81F" w14:textId="77777777" w:rsidTr="00AA76A0">
        <w:trPr>
          <w:tblHeader/>
        </w:trPr>
        <w:tc>
          <w:tcPr>
            <w:tcW w:w="8364"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56A00162" w14:textId="77777777" w:rsidR="008B3F4B" w:rsidRPr="004111FE" w:rsidRDefault="008B3F4B" w:rsidP="00AA76A0">
            <w:pPr>
              <w:spacing w:before="100" w:beforeAutospacing="1" w:after="100" w:afterAutospacing="1" w:line="240" w:lineRule="auto"/>
              <w:rPr>
                <w:rFonts w:ascii="Helvetica Neue" w:eastAsia="Times New Roman" w:hAnsi="Helvetica Neue" w:cs="Times New Roman"/>
                <w:b/>
                <w:bCs/>
                <w:sz w:val="20"/>
                <w:lang w:eastAsia="en-AU"/>
              </w:rPr>
            </w:pPr>
            <w:r w:rsidRPr="004111FE">
              <w:rPr>
                <w:rFonts w:ascii="Helvetica Neue" w:eastAsia="Times New Roman" w:hAnsi="Helvetica Neue" w:cs="Times New Roman"/>
                <w:b/>
                <w:bCs/>
                <w:sz w:val="20"/>
                <w:lang w:eastAsia="en-AU"/>
              </w:rPr>
              <w:t>Commencement information</w:t>
            </w:r>
          </w:p>
        </w:tc>
      </w:tr>
      <w:tr w:rsidR="008B3F4B" w:rsidRPr="004111FE" w14:paraId="51E252E8" w14:textId="77777777" w:rsidTr="00AA76A0">
        <w:trPr>
          <w:tblHeader/>
        </w:trPr>
        <w:tc>
          <w:tcPr>
            <w:tcW w:w="2268" w:type="dxa"/>
            <w:tcBorders>
              <w:top w:val="nil"/>
              <w:left w:val="nil"/>
              <w:bottom w:val="single" w:sz="8" w:space="0" w:color="auto"/>
              <w:right w:val="nil"/>
            </w:tcBorders>
            <w:tcMar>
              <w:top w:w="0" w:type="dxa"/>
              <w:left w:w="107" w:type="dxa"/>
              <w:bottom w:w="0" w:type="dxa"/>
              <w:right w:w="107" w:type="dxa"/>
            </w:tcMar>
            <w:hideMark/>
          </w:tcPr>
          <w:p w14:paraId="7078B033" w14:textId="77777777" w:rsidR="008B3F4B" w:rsidRPr="004111FE" w:rsidRDefault="008B3F4B" w:rsidP="00AA76A0">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1</w:t>
            </w:r>
          </w:p>
        </w:tc>
        <w:tc>
          <w:tcPr>
            <w:tcW w:w="3402" w:type="dxa"/>
            <w:tcBorders>
              <w:top w:val="nil"/>
              <w:left w:val="nil"/>
              <w:bottom w:val="single" w:sz="8" w:space="0" w:color="auto"/>
              <w:right w:val="nil"/>
            </w:tcBorders>
            <w:tcMar>
              <w:top w:w="0" w:type="dxa"/>
              <w:left w:w="107" w:type="dxa"/>
              <w:bottom w:w="0" w:type="dxa"/>
              <w:right w:w="107" w:type="dxa"/>
            </w:tcMar>
            <w:hideMark/>
          </w:tcPr>
          <w:p w14:paraId="610C86CB" w14:textId="77777777" w:rsidR="008B3F4B" w:rsidRPr="004111FE" w:rsidRDefault="008B3F4B" w:rsidP="00AA76A0">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2</w:t>
            </w:r>
          </w:p>
        </w:tc>
        <w:tc>
          <w:tcPr>
            <w:tcW w:w="2694" w:type="dxa"/>
            <w:tcBorders>
              <w:top w:val="nil"/>
              <w:left w:val="nil"/>
              <w:bottom w:val="single" w:sz="8" w:space="0" w:color="auto"/>
              <w:right w:val="nil"/>
            </w:tcBorders>
            <w:tcMar>
              <w:top w:w="0" w:type="dxa"/>
              <w:left w:w="107" w:type="dxa"/>
              <w:bottom w:w="0" w:type="dxa"/>
              <w:right w:w="107" w:type="dxa"/>
            </w:tcMar>
            <w:hideMark/>
          </w:tcPr>
          <w:p w14:paraId="389BF3BC" w14:textId="77777777" w:rsidR="008B3F4B" w:rsidRPr="004111FE" w:rsidRDefault="008B3F4B" w:rsidP="00AA76A0">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3</w:t>
            </w:r>
          </w:p>
        </w:tc>
      </w:tr>
      <w:tr w:rsidR="008B3F4B" w:rsidRPr="004111FE" w14:paraId="0364E46E" w14:textId="77777777" w:rsidTr="00AA76A0">
        <w:trPr>
          <w:tblHeader/>
        </w:trPr>
        <w:tc>
          <w:tcPr>
            <w:tcW w:w="2268" w:type="dxa"/>
            <w:tcBorders>
              <w:top w:val="nil"/>
              <w:left w:val="nil"/>
              <w:bottom w:val="single" w:sz="12" w:space="0" w:color="auto"/>
              <w:right w:val="nil"/>
            </w:tcBorders>
            <w:tcMar>
              <w:top w:w="0" w:type="dxa"/>
              <w:left w:w="107" w:type="dxa"/>
              <w:bottom w:w="0" w:type="dxa"/>
              <w:right w:w="107" w:type="dxa"/>
            </w:tcMar>
            <w:hideMark/>
          </w:tcPr>
          <w:p w14:paraId="72935F6D" w14:textId="77777777" w:rsidR="008B3F4B" w:rsidRPr="004111FE" w:rsidRDefault="008B3F4B" w:rsidP="00AA76A0">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Provisions</w:t>
            </w:r>
          </w:p>
        </w:tc>
        <w:tc>
          <w:tcPr>
            <w:tcW w:w="3402" w:type="dxa"/>
            <w:tcBorders>
              <w:top w:val="nil"/>
              <w:left w:val="nil"/>
              <w:bottom w:val="single" w:sz="12" w:space="0" w:color="auto"/>
              <w:right w:val="nil"/>
            </w:tcBorders>
            <w:tcMar>
              <w:top w:w="0" w:type="dxa"/>
              <w:left w:w="107" w:type="dxa"/>
              <w:bottom w:w="0" w:type="dxa"/>
              <w:right w:w="107" w:type="dxa"/>
            </w:tcMar>
            <w:hideMark/>
          </w:tcPr>
          <w:p w14:paraId="1AC0CDF0" w14:textId="77777777" w:rsidR="008B3F4B" w:rsidRPr="004111FE" w:rsidRDefault="008B3F4B" w:rsidP="00AA76A0">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Commencement</w:t>
            </w:r>
          </w:p>
        </w:tc>
        <w:tc>
          <w:tcPr>
            <w:tcW w:w="2694" w:type="dxa"/>
            <w:tcBorders>
              <w:top w:val="nil"/>
              <w:left w:val="nil"/>
              <w:bottom w:val="single" w:sz="12" w:space="0" w:color="auto"/>
              <w:right w:val="nil"/>
            </w:tcBorders>
            <w:tcMar>
              <w:top w:w="0" w:type="dxa"/>
              <w:left w:w="107" w:type="dxa"/>
              <w:bottom w:w="0" w:type="dxa"/>
              <w:right w:w="107" w:type="dxa"/>
            </w:tcMar>
            <w:hideMark/>
          </w:tcPr>
          <w:p w14:paraId="71A9350B" w14:textId="77777777" w:rsidR="008B3F4B" w:rsidRPr="004111FE" w:rsidRDefault="008B3F4B" w:rsidP="00AA76A0">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Date/Details</w:t>
            </w:r>
          </w:p>
        </w:tc>
      </w:tr>
      <w:tr w:rsidR="008B3F4B" w:rsidRPr="004111FE" w14:paraId="57F41416" w14:textId="77777777" w:rsidTr="00AA76A0">
        <w:tc>
          <w:tcPr>
            <w:tcW w:w="2268" w:type="dxa"/>
            <w:tcBorders>
              <w:top w:val="nil"/>
              <w:left w:val="nil"/>
              <w:bottom w:val="single" w:sz="12" w:space="0" w:color="auto"/>
              <w:right w:val="nil"/>
            </w:tcBorders>
            <w:tcMar>
              <w:top w:w="0" w:type="dxa"/>
              <w:left w:w="107" w:type="dxa"/>
              <w:bottom w:w="0" w:type="dxa"/>
              <w:right w:w="107" w:type="dxa"/>
            </w:tcMar>
            <w:hideMark/>
          </w:tcPr>
          <w:p w14:paraId="509C0622" w14:textId="2C806EDA" w:rsidR="008B3F4B" w:rsidRPr="004111FE" w:rsidRDefault="008B3F4B" w:rsidP="009C4025">
            <w:pPr>
              <w:spacing w:before="100" w:beforeAutospacing="1" w:after="100" w:afterAutospacing="1" w:line="240" w:lineRule="auto"/>
              <w:ind w:left="35" w:hanging="35"/>
              <w:rPr>
                <w:rFonts w:ascii="Helvetica Neue" w:eastAsia="Times New Roman" w:hAnsi="Helvetica Neue" w:cs="Times New Roman"/>
                <w:sz w:val="19"/>
                <w:szCs w:val="19"/>
                <w:lang w:eastAsia="en-AU"/>
              </w:rPr>
            </w:pPr>
            <w:r w:rsidRPr="004111FE">
              <w:rPr>
                <w:rFonts w:ascii="Helvetica Neue" w:eastAsia="Times New Roman" w:hAnsi="Helvetica Neue" w:cs="Times New Roman"/>
                <w:sz w:val="20"/>
                <w:lang w:eastAsia="en-AU"/>
              </w:rPr>
              <w:t xml:space="preserve">1.  The whole of </w:t>
            </w:r>
            <w:r w:rsidR="009C4025">
              <w:rPr>
                <w:rFonts w:ascii="Helvetica Neue" w:eastAsia="Times New Roman" w:hAnsi="Helvetica Neue" w:cs="Times New Roman"/>
                <w:sz w:val="20"/>
                <w:lang w:eastAsia="en-AU"/>
              </w:rPr>
              <w:t>these Guidelines</w:t>
            </w:r>
          </w:p>
        </w:tc>
        <w:tc>
          <w:tcPr>
            <w:tcW w:w="3402" w:type="dxa"/>
            <w:tcBorders>
              <w:top w:val="nil"/>
              <w:left w:val="nil"/>
              <w:bottom w:val="single" w:sz="12" w:space="0" w:color="auto"/>
              <w:right w:val="nil"/>
            </w:tcBorders>
            <w:tcMar>
              <w:top w:w="0" w:type="dxa"/>
              <w:left w:w="107" w:type="dxa"/>
              <w:bottom w:w="0" w:type="dxa"/>
              <w:right w:w="107" w:type="dxa"/>
            </w:tcMar>
            <w:hideMark/>
          </w:tcPr>
          <w:p w14:paraId="0CA42CB5" w14:textId="16598DA5" w:rsidR="008B3F4B" w:rsidRPr="004111FE" w:rsidRDefault="008B3F4B" w:rsidP="00435266">
            <w:pPr>
              <w:spacing w:before="100" w:beforeAutospacing="1" w:after="100" w:afterAutospacing="1" w:line="240" w:lineRule="auto"/>
              <w:ind w:left="35" w:hanging="35"/>
              <w:rPr>
                <w:rFonts w:ascii="Helvetica Neue" w:eastAsia="Times New Roman" w:hAnsi="Helvetica Neue" w:cs="Times New Roman"/>
                <w:sz w:val="19"/>
                <w:szCs w:val="19"/>
                <w:lang w:eastAsia="en-AU"/>
              </w:rPr>
            </w:pPr>
            <w:r w:rsidRPr="004111FE">
              <w:rPr>
                <w:rFonts w:ascii="Helvetica Neue" w:eastAsia="Times New Roman" w:hAnsi="Helvetica Neue" w:cs="Times New Roman"/>
                <w:sz w:val="20"/>
                <w:lang w:eastAsia="en-AU"/>
              </w:rPr>
              <w:t>Th</w:t>
            </w:r>
            <w:r w:rsidR="009C4025">
              <w:rPr>
                <w:rFonts w:ascii="Helvetica Neue" w:eastAsia="Times New Roman" w:hAnsi="Helvetica Neue" w:cs="Times New Roman"/>
                <w:sz w:val="20"/>
                <w:lang w:eastAsia="en-AU"/>
              </w:rPr>
              <w:t xml:space="preserve">ese Guidelines </w:t>
            </w:r>
            <w:r w:rsidRPr="004111FE">
              <w:rPr>
                <w:rFonts w:ascii="Helvetica Neue" w:eastAsia="Times New Roman" w:hAnsi="Helvetica Neue" w:cs="Times New Roman"/>
                <w:sz w:val="20"/>
                <w:lang w:eastAsia="en-AU"/>
              </w:rPr>
              <w:t xml:space="preserve">commence the </w:t>
            </w:r>
            <w:r w:rsidR="00435266">
              <w:rPr>
                <w:rFonts w:ascii="Helvetica Neue" w:eastAsia="Times New Roman" w:hAnsi="Helvetica Neue" w:cs="Times New Roman"/>
                <w:sz w:val="20"/>
                <w:lang w:eastAsia="en-AU"/>
              </w:rPr>
              <w:t>day after these Guidelines are registered.</w:t>
            </w:r>
            <w:r w:rsidRPr="004111FE">
              <w:rPr>
                <w:rFonts w:ascii="Helvetica Neue" w:eastAsia="Times New Roman" w:hAnsi="Helvetica Neue" w:cs="Times New Roman"/>
                <w:sz w:val="20"/>
                <w:lang w:eastAsia="en-AU"/>
              </w:rPr>
              <w:t xml:space="preserve"> </w:t>
            </w:r>
          </w:p>
        </w:tc>
        <w:tc>
          <w:tcPr>
            <w:tcW w:w="2694" w:type="dxa"/>
            <w:tcBorders>
              <w:top w:val="nil"/>
              <w:left w:val="nil"/>
              <w:bottom w:val="single" w:sz="12" w:space="0" w:color="auto"/>
              <w:right w:val="nil"/>
            </w:tcBorders>
            <w:tcMar>
              <w:top w:w="0" w:type="dxa"/>
              <w:left w:w="107" w:type="dxa"/>
              <w:bottom w:w="0" w:type="dxa"/>
              <w:right w:w="107" w:type="dxa"/>
            </w:tcMar>
            <w:hideMark/>
          </w:tcPr>
          <w:p w14:paraId="1153D3E1" w14:textId="35FBB2D8" w:rsidR="008B3F4B" w:rsidRPr="004111FE" w:rsidRDefault="00D201B1" w:rsidP="00AA76A0">
            <w:pPr>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11 January 2017</w:t>
            </w:r>
          </w:p>
        </w:tc>
      </w:tr>
    </w:tbl>
    <w:p w14:paraId="49B3766B" w14:textId="049BA586" w:rsidR="008B3F4B" w:rsidRPr="00234629" w:rsidRDefault="003726D6" w:rsidP="00234629">
      <w:pPr>
        <w:pStyle w:val="notetext"/>
      </w:pPr>
      <w:r w:rsidRPr="009C2562">
        <w:t>Note:</w:t>
      </w:r>
      <w:r w:rsidRPr="009C2562">
        <w:tab/>
      </w:r>
      <w:r w:rsidR="008B3F4B" w:rsidRPr="004111FE">
        <w:rPr>
          <w:rFonts w:ascii="Helvetica Neue" w:hAnsi="Helvetica Neue"/>
          <w:szCs w:val="18"/>
        </w:rPr>
        <w:t xml:space="preserve">This table relates only to the provisions of </w:t>
      </w:r>
      <w:r w:rsidR="009C4025">
        <w:rPr>
          <w:rFonts w:ascii="Helvetica Neue" w:hAnsi="Helvetica Neue"/>
          <w:szCs w:val="18"/>
        </w:rPr>
        <w:t>these Guidelines</w:t>
      </w:r>
      <w:r w:rsidR="008B3F4B" w:rsidRPr="004111FE">
        <w:rPr>
          <w:rFonts w:ascii="Helvetica Neue" w:hAnsi="Helvetica Neue"/>
          <w:szCs w:val="18"/>
        </w:rPr>
        <w:t xml:space="preserve"> as originally made. It will not be amended to deal with any later amendments of </w:t>
      </w:r>
      <w:r w:rsidR="009C4025">
        <w:rPr>
          <w:rFonts w:ascii="Helvetica Neue" w:hAnsi="Helvetica Neue"/>
          <w:szCs w:val="18"/>
        </w:rPr>
        <w:t>these Guidelines</w:t>
      </w:r>
      <w:r w:rsidR="008B3F4B" w:rsidRPr="004111FE">
        <w:rPr>
          <w:rFonts w:ascii="Helvetica Neue" w:hAnsi="Helvetica Neue"/>
          <w:szCs w:val="18"/>
        </w:rPr>
        <w:t>.</w:t>
      </w:r>
    </w:p>
    <w:p w14:paraId="04D2CC54" w14:textId="505230F8" w:rsidR="008B3F4B" w:rsidRPr="00E74967" w:rsidRDefault="008B3F4B" w:rsidP="008B3F4B">
      <w:pPr>
        <w:pStyle w:val="subsection"/>
        <w:jc w:val="both"/>
      </w:pPr>
      <w:r w:rsidRPr="00E74967">
        <w:tab/>
        <w:t>(2)</w:t>
      </w:r>
      <w:r w:rsidRPr="00E74967">
        <w:tab/>
        <w:t xml:space="preserve">Any information in column 3 of the table is not part of this </w:t>
      </w:r>
      <w:r w:rsidR="009C4025">
        <w:t>these Guidelines</w:t>
      </w:r>
      <w:r w:rsidRPr="00E74967">
        <w:t xml:space="preserve">. Information may be inserted in this column, or information in it may be edited, in any published version of </w:t>
      </w:r>
      <w:r w:rsidR="009C4025">
        <w:t>these Guidelines</w:t>
      </w:r>
      <w:r w:rsidRPr="00E74967">
        <w:t>.</w:t>
      </w:r>
    </w:p>
    <w:p w14:paraId="25F563BF" w14:textId="77777777" w:rsidR="00A75FE9" w:rsidRPr="009C2562" w:rsidRDefault="00A75FE9" w:rsidP="00A75FE9">
      <w:pPr>
        <w:pStyle w:val="ActHead5"/>
      </w:pPr>
      <w:bookmarkStart w:id="23" w:name="_Toc467246510"/>
      <w:bookmarkStart w:id="24" w:name="_Toc468194423"/>
      <w:bookmarkStart w:id="25" w:name="_Toc468285021"/>
      <w:bookmarkStart w:id="26" w:name="_Toc468364306"/>
      <w:bookmarkStart w:id="27" w:name="_Toc469060353"/>
      <w:bookmarkStart w:id="28" w:name="_Toc469172043"/>
      <w:bookmarkStart w:id="29" w:name="_Toc469918076"/>
      <w:r w:rsidRPr="009C2562">
        <w:rPr>
          <w:rStyle w:val="CharSectno"/>
        </w:rPr>
        <w:t>3</w:t>
      </w:r>
      <w:r w:rsidRPr="009C2562">
        <w:t xml:space="preserve">  Authority</w:t>
      </w:r>
      <w:bookmarkEnd w:id="23"/>
      <w:bookmarkEnd w:id="24"/>
      <w:bookmarkEnd w:id="25"/>
      <w:bookmarkEnd w:id="26"/>
      <w:bookmarkEnd w:id="27"/>
      <w:bookmarkEnd w:id="28"/>
      <w:bookmarkEnd w:id="29"/>
    </w:p>
    <w:p w14:paraId="520056D3" w14:textId="69228827" w:rsidR="00A75FE9" w:rsidRPr="009C2562" w:rsidRDefault="00A75FE9" w:rsidP="008B3F4B">
      <w:pPr>
        <w:pStyle w:val="subsection"/>
      </w:pPr>
      <w:r w:rsidRPr="009C2562">
        <w:tab/>
      </w:r>
      <w:r w:rsidRPr="009C2562">
        <w:tab/>
      </w:r>
      <w:r w:rsidR="002A6EC2">
        <w:t>These Guidelines are</w:t>
      </w:r>
      <w:r w:rsidR="008B3F4B" w:rsidRPr="009C2562">
        <w:t xml:space="preserve"> made under </w:t>
      </w:r>
      <w:r w:rsidR="008B3F4B">
        <w:t xml:space="preserve">section 238-10 of the </w:t>
      </w:r>
      <w:r w:rsidR="000C7B8C">
        <w:t>Act</w:t>
      </w:r>
      <w:r w:rsidR="008B3F4B">
        <w:t xml:space="preserve"> for the purposes of Part</w:t>
      </w:r>
      <w:r w:rsidR="000C7B8C">
        <w:t> </w:t>
      </w:r>
      <w:r w:rsidR="008B3F4B">
        <w:t>2-2A</w:t>
      </w:r>
      <w:r w:rsidR="000C7B8C">
        <w:t xml:space="preserve"> of the Act</w:t>
      </w:r>
      <w:r w:rsidR="008B3F4B">
        <w:t>.</w:t>
      </w:r>
    </w:p>
    <w:p w14:paraId="720FBE95" w14:textId="77777777" w:rsidR="00A75FE9" w:rsidRPr="009C2562" w:rsidRDefault="00A75FE9" w:rsidP="00A75FE9">
      <w:pPr>
        <w:pStyle w:val="ActHead5"/>
      </w:pPr>
      <w:bookmarkStart w:id="30" w:name="_Toc467246511"/>
      <w:bookmarkStart w:id="31" w:name="_Toc468194424"/>
      <w:bookmarkStart w:id="32" w:name="_Toc468285022"/>
      <w:bookmarkStart w:id="33" w:name="_Toc468364307"/>
      <w:bookmarkStart w:id="34" w:name="_Toc469060354"/>
      <w:bookmarkStart w:id="35" w:name="_Toc469172044"/>
      <w:bookmarkStart w:id="36" w:name="_Toc469918077"/>
      <w:r w:rsidRPr="009C2562">
        <w:rPr>
          <w:rStyle w:val="CharSectno"/>
        </w:rPr>
        <w:t>4</w:t>
      </w:r>
      <w:r w:rsidRPr="009C2562">
        <w:t xml:space="preserve">  Definitions</w:t>
      </w:r>
      <w:bookmarkEnd w:id="30"/>
      <w:bookmarkEnd w:id="31"/>
      <w:bookmarkEnd w:id="32"/>
      <w:bookmarkEnd w:id="33"/>
      <w:bookmarkEnd w:id="34"/>
      <w:bookmarkEnd w:id="35"/>
      <w:bookmarkEnd w:id="36"/>
    </w:p>
    <w:p w14:paraId="610F437A" w14:textId="102B126F" w:rsidR="00A75FE9" w:rsidRPr="009C2562" w:rsidRDefault="00A75FE9" w:rsidP="00A75FE9">
      <w:pPr>
        <w:pStyle w:val="notetext"/>
      </w:pPr>
      <w:r w:rsidRPr="009C2562">
        <w:t>Note:</w:t>
      </w:r>
      <w:r w:rsidRPr="009C2562">
        <w:tab/>
        <w:t>A number of expressions used in th</w:t>
      </w:r>
      <w:r w:rsidR="00025BD9">
        <w:t>ese Guidelines</w:t>
      </w:r>
      <w:r w:rsidRPr="009C2562">
        <w:t xml:space="preserve"> are defined in </w:t>
      </w:r>
      <w:r w:rsidR="00025BD9">
        <w:t>Schedule 1</w:t>
      </w:r>
      <w:r w:rsidR="000B35EB">
        <w:t xml:space="preserve"> of the Act</w:t>
      </w:r>
      <w:r w:rsidRPr="009C2562">
        <w:t>, including the following:</w:t>
      </w:r>
    </w:p>
    <w:p w14:paraId="12C7035D" w14:textId="20C0B9B6" w:rsidR="00D97471" w:rsidRDefault="00025BD9" w:rsidP="00025BD9">
      <w:pPr>
        <w:pStyle w:val="notepara"/>
      </w:pPr>
      <w:r w:rsidRPr="009C2562">
        <w:t>(</w:t>
      </w:r>
      <w:r w:rsidR="000F4216">
        <w:t>a</w:t>
      </w:r>
      <w:r w:rsidRPr="009C2562">
        <w:t>)</w:t>
      </w:r>
      <w:r w:rsidR="00D97471">
        <w:t xml:space="preserve"> </w:t>
      </w:r>
      <w:r w:rsidR="00D97471">
        <w:tab/>
      </w:r>
      <w:r w:rsidR="00D97471" w:rsidRPr="00B45DFD">
        <w:t>annual financial reporting period</w:t>
      </w:r>
      <w:r w:rsidR="00D97471">
        <w:t>;</w:t>
      </w:r>
    </w:p>
    <w:p w14:paraId="27904194" w14:textId="4AB309E1" w:rsidR="00025BD9" w:rsidRPr="009C2562" w:rsidRDefault="00025BD9" w:rsidP="00025BD9">
      <w:pPr>
        <w:pStyle w:val="notepara"/>
      </w:pPr>
      <w:r w:rsidRPr="009C2562">
        <w:t>(</w:t>
      </w:r>
      <w:r w:rsidR="00D97471">
        <w:t>b</w:t>
      </w:r>
      <w:r w:rsidRPr="009C2562">
        <w:t>)</w:t>
      </w:r>
      <w:r w:rsidRPr="009C2562">
        <w:tab/>
      </w:r>
      <w:r>
        <w:t>course of study</w:t>
      </w:r>
      <w:r w:rsidRPr="009C2562">
        <w:t>;</w:t>
      </w:r>
    </w:p>
    <w:p w14:paraId="50A7C009" w14:textId="3A248C43" w:rsidR="00025BD9" w:rsidRPr="009C2562" w:rsidRDefault="00025BD9" w:rsidP="00025BD9">
      <w:pPr>
        <w:pStyle w:val="notepara"/>
      </w:pPr>
      <w:r>
        <w:t>(</w:t>
      </w:r>
      <w:r w:rsidR="00D97471">
        <w:t>c</w:t>
      </w:r>
      <w:r w:rsidRPr="009C2562">
        <w:t>)</w:t>
      </w:r>
      <w:r w:rsidRPr="009C2562">
        <w:tab/>
      </w:r>
      <w:r w:rsidR="00DC3BFD">
        <w:t>EFTSL</w:t>
      </w:r>
      <w:r w:rsidR="00DC3BFD" w:rsidRPr="009C2562">
        <w:t>;</w:t>
      </w:r>
      <w:r w:rsidR="00DC3BFD" w:rsidDel="00DC3BFD">
        <w:t xml:space="preserve"> </w:t>
      </w:r>
    </w:p>
    <w:p w14:paraId="4E7EF342" w14:textId="2725AF19" w:rsidR="00025BD9" w:rsidRPr="009C2562" w:rsidRDefault="00025BD9" w:rsidP="00025BD9">
      <w:pPr>
        <w:pStyle w:val="notepara"/>
      </w:pPr>
      <w:r>
        <w:t>(</w:t>
      </w:r>
      <w:r w:rsidR="00D97471">
        <w:t>d</w:t>
      </w:r>
      <w:r w:rsidRPr="009C2562">
        <w:t>)</w:t>
      </w:r>
      <w:r w:rsidRPr="009C2562">
        <w:tab/>
      </w:r>
      <w:r w:rsidR="00DC3BFD">
        <w:t>enabling course</w:t>
      </w:r>
      <w:r w:rsidR="00DC3BFD" w:rsidRPr="009C2562">
        <w:t>;</w:t>
      </w:r>
    </w:p>
    <w:p w14:paraId="6567D366" w14:textId="02F617ED" w:rsidR="003C54FD" w:rsidRPr="009C2562" w:rsidRDefault="00A75FE9" w:rsidP="003C54FD">
      <w:pPr>
        <w:pStyle w:val="notepara"/>
      </w:pPr>
      <w:r w:rsidRPr="009C2562">
        <w:t>(</w:t>
      </w:r>
      <w:r w:rsidR="00D97471">
        <w:t>e</w:t>
      </w:r>
      <w:r w:rsidRPr="009C2562">
        <w:t>)</w:t>
      </w:r>
      <w:r w:rsidRPr="009C2562">
        <w:tab/>
      </w:r>
      <w:r w:rsidR="00DC3BFD">
        <w:t>enrolled;</w:t>
      </w:r>
    </w:p>
    <w:p w14:paraId="630259D8" w14:textId="05BBD7FB" w:rsidR="00A75FE9" w:rsidRPr="009C2562" w:rsidRDefault="00A75FE9" w:rsidP="003C073E">
      <w:pPr>
        <w:pStyle w:val="notepara"/>
      </w:pPr>
      <w:r w:rsidRPr="009C2562">
        <w:t>(</w:t>
      </w:r>
      <w:r w:rsidR="00D97471">
        <w:t>f</w:t>
      </w:r>
      <w:r w:rsidRPr="009C2562">
        <w:t>)</w:t>
      </w:r>
      <w:r w:rsidRPr="009C2562">
        <w:tab/>
      </w:r>
      <w:r w:rsidR="001F2F57">
        <w:t>higher education award</w:t>
      </w:r>
      <w:r w:rsidRPr="009C2562">
        <w:t>;</w:t>
      </w:r>
    </w:p>
    <w:p w14:paraId="0D1FD1B4" w14:textId="12596FC9" w:rsidR="00A75FE9" w:rsidRDefault="00A75FE9" w:rsidP="00A75FE9">
      <w:pPr>
        <w:pStyle w:val="notepara"/>
      </w:pPr>
      <w:r w:rsidRPr="009C2562">
        <w:t>(</w:t>
      </w:r>
      <w:r w:rsidR="00D97471">
        <w:t>g</w:t>
      </w:r>
      <w:r w:rsidRPr="009C2562">
        <w:t>)</w:t>
      </w:r>
      <w:r w:rsidRPr="009C2562">
        <w:tab/>
      </w:r>
      <w:r w:rsidR="00AB7222">
        <w:t>higher education provider</w:t>
      </w:r>
      <w:r w:rsidR="00025BD9">
        <w:t>;</w:t>
      </w:r>
    </w:p>
    <w:p w14:paraId="60B48986" w14:textId="0C221CF5" w:rsidR="00025BD9" w:rsidRDefault="00025BD9" w:rsidP="00025BD9">
      <w:pPr>
        <w:pStyle w:val="notepara"/>
      </w:pPr>
      <w:r>
        <w:t>(</w:t>
      </w:r>
      <w:r w:rsidR="00D97471">
        <w:t>h</w:t>
      </w:r>
      <w:r w:rsidRPr="009C2562">
        <w:t>)</w:t>
      </w:r>
      <w:r w:rsidRPr="009C2562">
        <w:tab/>
      </w:r>
      <w:r w:rsidR="0058074D" w:rsidRPr="00234629">
        <w:t>student</w:t>
      </w:r>
      <w:r w:rsidR="00A03E7E">
        <w:t>;</w:t>
      </w:r>
    </w:p>
    <w:p w14:paraId="7D9652DB" w14:textId="4BDAF14C" w:rsidR="00CC58A2" w:rsidRPr="009C2562" w:rsidRDefault="00CC58A2" w:rsidP="00025BD9">
      <w:pPr>
        <w:pStyle w:val="notepara"/>
      </w:pPr>
      <w:r>
        <w:t>(i</w:t>
      </w:r>
      <w:r w:rsidRPr="009C2562">
        <w:t>)</w:t>
      </w:r>
      <w:r w:rsidRPr="009C2562">
        <w:tab/>
      </w:r>
      <w:r>
        <w:t>Table A provider;</w:t>
      </w:r>
    </w:p>
    <w:p w14:paraId="7DEA3DE6" w14:textId="70AA8870" w:rsidR="00CC58A2" w:rsidRDefault="00CC58A2" w:rsidP="008567B7">
      <w:pPr>
        <w:pStyle w:val="notepara"/>
      </w:pPr>
      <w:r>
        <w:t>(j</w:t>
      </w:r>
      <w:r w:rsidRPr="009C2562">
        <w:t>)</w:t>
      </w:r>
      <w:r w:rsidRPr="009C2562">
        <w:tab/>
      </w:r>
      <w:r>
        <w:t>Table B provider;</w:t>
      </w:r>
    </w:p>
    <w:p w14:paraId="1459FF60" w14:textId="6BB8990D" w:rsidR="00513B01" w:rsidRDefault="000F4216" w:rsidP="008567B7">
      <w:pPr>
        <w:pStyle w:val="notepara"/>
      </w:pPr>
      <w:r>
        <w:t>(</w:t>
      </w:r>
      <w:r w:rsidR="00CC58A2">
        <w:t>k</w:t>
      </w:r>
      <w:r w:rsidR="008567B7" w:rsidRPr="009C2562">
        <w:t>)</w:t>
      </w:r>
      <w:r w:rsidR="008567B7" w:rsidRPr="009C2562">
        <w:tab/>
      </w:r>
      <w:r w:rsidR="008567B7">
        <w:t>unit of study</w:t>
      </w:r>
      <w:r w:rsidR="00513B01">
        <w:t>;</w:t>
      </w:r>
    </w:p>
    <w:p w14:paraId="26FE6B26" w14:textId="290B1C78" w:rsidR="008567B7" w:rsidRPr="009C2562" w:rsidRDefault="00513B01" w:rsidP="008567B7">
      <w:pPr>
        <w:pStyle w:val="notepara"/>
      </w:pPr>
      <w:r>
        <w:t>(</w:t>
      </w:r>
      <w:r w:rsidR="00CC58A2">
        <w:t>l</w:t>
      </w:r>
      <w:r w:rsidRPr="009C2562">
        <w:t>)</w:t>
      </w:r>
      <w:r w:rsidRPr="009C2562">
        <w:tab/>
      </w:r>
      <w:r>
        <w:t>VET course of study.</w:t>
      </w:r>
    </w:p>
    <w:p w14:paraId="320F937E" w14:textId="0E835049" w:rsidR="00025BD9" w:rsidRPr="009C2562" w:rsidRDefault="00025BD9" w:rsidP="00025BD9">
      <w:pPr>
        <w:pStyle w:val="notetext"/>
      </w:pPr>
      <w:r w:rsidRPr="009C2562">
        <w:tab/>
      </w:r>
      <w:r>
        <w:t xml:space="preserve">These expressions are identified in </w:t>
      </w:r>
      <w:r w:rsidRPr="00686DBB">
        <w:rPr>
          <w:i/>
        </w:rPr>
        <w:t>italics</w:t>
      </w:r>
      <w:r>
        <w:t xml:space="preserve"> in these Guidelines. </w:t>
      </w:r>
    </w:p>
    <w:p w14:paraId="01427D42" w14:textId="77777777" w:rsidR="00025BD9" w:rsidRPr="009C2562" w:rsidRDefault="00025BD9" w:rsidP="00A75FE9">
      <w:pPr>
        <w:pStyle w:val="notepara"/>
      </w:pPr>
    </w:p>
    <w:p w14:paraId="18BCAD33" w14:textId="36007E58" w:rsidR="00A75FE9" w:rsidRPr="009C2562" w:rsidRDefault="00A75FE9" w:rsidP="00234629">
      <w:pPr>
        <w:pStyle w:val="subsection"/>
        <w:keepNext/>
        <w:keepLines/>
      </w:pPr>
      <w:r w:rsidRPr="009C2562">
        <w:tab/>
      </w:r>
      <w:r w:rsidRPr="009C2562">
        <w:tab/>
        <w:t xml:space="preserve">In </w:t>
      </w:r>
      <w:r w:rsidR="002A6EC2">
        <w:t>these Guidelines</w:t>
      </w:r>
      <w:r w:rsidRPr="009C2562">
        <w:t>:</w:t>
      </w:r>
    </w:p>
    <w:p w14:paraId="194D49F5" w14:textId="0E3A587E" w:rsidR="00A75FE9" w:rsidRPr="009C2562" w:rsidRDefault="00A75FE9" w:rsidP="00234629">
      <w:pPr>
        <w:pStyle w:val="Definition"/>
        <w:keepNext/>
        <w:keepLines/>
      </w:pPr>
      <w:r w:rsidRPr="009C2562">
        <w:rPr>
          <w:b/>
          <w:i/>
        </w:rPr>
        <w:t>Act</w:t>
      </w:r>
      <w:r w:rsidRPr="009C2562">
        <w:t xml:space="preserve"> means the </w:t>
      </w:r>
      <w:r w:rsidR="00B5347B">
        <w:rPr>
          <w:i/>
        </w:rPr>
        <w:t>Higher Education Support Act 2003</w:t>
      </w:r>
      <w:r>
        <w:t>.</w:t>
      </w:r>
    </w:p>
    <w:p w14:paraId="77530CCA" w14:textId="3BE873A1" w:rsidR="003D6D32" w:rsidRDefault="004965FD" w:rsidP="00540BC5">
      <w:pPr>
        <w:pStyle w:val="Definition"/>
      </w:pPr>
      <w:r w:rsidRPr="00BF1AA1">
        <w:rPr>
          <w:b/>
          <w:i/>
        </w:rPr>
        <w:t xml:space="preserve">administering officer </w:t>
      </w:r>
      <w:r w:rsidRPr="00BF1AA1">
        <w:t>means a</w:t>
      </w:r>
      <w:r w:rsidR="00AC197B" w:rsidRPr="00BF1AA1">
        <w:t xml:space="preserve">n </w:t>
      </w:r>
      <w:r w:rsidRPr="00530261">
        <w:t>em</w:t>
      </w:r>
      <w:r w:rsidRPr="00932C4A">
        <w:t xml:space="preserve">ployee in the Department </w:t>
      </w:r>
      <w:r w:rsidR="004C4040">
        <w:t xml:space="preserve">administered by the Minister </w:t>
      </w:r>
      <w:r w:rsidRPr="00932C4A">
        <w:t xml:space="preserve">administering </w:t>
      </w:r>
      <w:r w:rsidR="004C4040">
        <w:t>Part 2-2A of the Act</w:t>
      </w:r>
      <w:r w:rsidRPr="00932C4A">
        <w:t>.</w:t>
      </w:r>
      <w:r>
        <w:t xml:space="preserve"> </w:t>
      </w:r>
    </w:p>
    <w:p w14:paraId="451AF9F8" w14:textId="48CD3FE8" w:rsidR="00A75FE9" w:rsidRDefault="00750C3A" w:rsidP="00A75FE9">
      <w:pPr>
        <w:pStyle w:val="Definition"/>
      </w:pPr>
      <w:r>
        <w:rPr>
          <w:b/>
          <w:i/>
        </w:rPr>
        <w:t>asset</w:t>
      </w:r>
      <w:r w:rsidR="00A75FE9">
        <w:rPr>
          <w:b/>
          <w:i/>
        </w:rPr>
        <w:t xml:space="preserve"> </w:t>
      </w:r>
      <w:r w:rsidR="00A75FE9" w:rsidRPr="009C2562">
        <w:t>means</w:t>
      </w:r>
      <w:r w:rsidR="00A75FE9">
        <w:t xml:space="preserve"> </w:t>
      </w:r>
      <w:r>
        <w:t xml:space="preserve">any item of real or personal property that has a value or acquisition cost of $5,000 (excluding GST) or more, and is either: </w:t>
      </w:r>
    </w:p>
    <w:p w14:paraId="7AB91D93" w14:textId="0A2D85B0" w:rsidR="00750C3A" w:rsidRDefault="00750C3A" w:rsidP="00750C3A">
      <w:pPr>
        <w:pStyle w:val="paragraph"/>
      </w:pPr>
      <w:r w:rsidRPr="00BE3917">
        <w:tab/>
        <w:t>(a)</w:t>
      </w:r>
      <w:r w:rsidRPr="00BE3917">
        <w:tab/>
      </w:r>
      <w:r>
        <w:t>leased, purchased or created (all or part) using an ISSP grant; or</w:t>
      </w:r>
    </w:p>
    <w:p w14:paraId="2B6DD6AE" w14:textId="01C45AEF" w:rsidR="00750C3A" w:rsidRDefault="00750C3A" w:rsidP="00234629">
      <w:pPr>
        <w:pStyle w:val="paragraph"/>
      </w:pPr>
      <w:r>
        <w:tab/>
        <w:t>(b</w:t>
      </w:r>
      <w:r w:rsidRPr="00BE3917">
        <w:t>)</w:t>
      </w:r>
      <w:r w:rsidRPr="00BE3917">
        <w:tab/>
      </w:r>
      <w:r>
        <w:t xml:space="preserve">transferred to the </w:t>
      </w:r>
      <w:r w:rsidRPr="003C073E">
        <w:rPr>
          <w:i/>
        </w:rPr>
        <w:t>higher education provider</w:t>
      </w:r>
      <w:r>
        <w:t xml:space="preserve"> for the purpose of delivering an activity </w:t>
      </w:r>
      <w:r w:rsidR="001F003A">
        <w:t>specified in</w:t>
      </w:r>
      <w:r>
        <w:t xml:space="preserve"> these Guidelines. </w:t>
      </w:r>
    </w:p>
    <w:p w14:paraId="540229AE" w14:textId="63D33F61" w:rsidR="001048DE" w:rsidRDefault="001048DE">
      <w:pPr>
        <w:pStyle w:val="Definition"/>
        <w:rPr>
          <w:b/>
          <w:i/>
        </w:rPr>
      </w:pPr>
      <w:r>
        <w:rPr>
          <w:b/>
          <w:i/>
        </w:rPr>
        <w:t xml:space="preserve">earlier Indigenous Commonwealth Accommodation Scholarship </w:t>
      </w:r>
      <w:r>
        <w:t xml:space="preserve">means an Indigenous Commonwealth Accommodation Scholarship described in paragraph 2.1.1(3) of the </w:t>
      </w:r>
      <w:r>
        <w:rPr>
          <w:i/>
        </w:rPr>
        <w:t>Commonwealth Scholarships Guidelines (Education) 2010</w:t>
      </w:r>
      <w:r>
        <w:t xml:space="preserve">. </w:t>
      </w:r>
    </w:p>
    <w:p w14:paraId="01EEF2B7" w14:textId="0A910CD2" w:rsidR="001048DE" w:rsidRDefault="001048DE">
      <w:pPr>
        <w:pStyle w:val="Definition"/>
        <w:rPr>
          <w:b/>
          <w:i/>
        </w:rPr>
      </w:pPr>
      <w:r>
        <w:rPr>
          <w:b/>
          <w:i/>
        </w:rPr>
        <w:t xml:space="preserve">earlier Indigenous Commonwealth Education Costs Scholarship </w:t>
      </w:r>
      <w:r>
        <w:t xml:space="preserve">means an Indigenous Commonwealth Education Costs Scholarship described in paragraph 2.1.1(2) of the </w:t>
      </w:r>
      <w:r>
        <w:rPr>
          <w:i/>
        </w:rPr>
        <w:t>Commonwealth Scholarships Guidelines (Education) 2010</w:t>
      </w:r>
      <w:r>
        <w:t xml:space="preserve">. </w:t>
      </w:r>
    </w:p>
    <w:p w14:paraId="228573F8" w14:textId="20772F83" w:rsidR="001048DE" w:rsidRDefault="001048DE">
      <w:pPr>
        <w:pStyle w:val="Definition"/>
        <w:rPr>
          <w:b/>
          <w:i/>
        </w:rPr>
      </w:pPr>
      <w:r>
        <w:rPr>
          <w:b/>
          <w:i/>
        </w:rPr>
        <w:t xml:space="preserve">earlier Indigenous Commonwealth Scholarship </w:t>
      </w:r>
      <w:r>
        <w:t xml:space="preserve">means an earlier Indigenous Commonwealth Accommodation Scholarship or an earlier Indigenous Commonwealth Education Costs Scholarship. </w:t>
      </w:r>
    </w:p>
    <w:p w14:paraId="3DF991CD" w14:textId="77777777" w:rsidR="004E0414" w:rsidRDefault="004E0414" w:rsidP="004E0414">
      <w:pPr>
        <w:pStyle w:val="Definition"/>
        <w:rPr>
          <w:b/>
          <w:i/>
        </w:rPr>
      </w:pPr>
      <w:r>
        <w:rPr>
          <w:b/>
          <w:i/>
        </w:rPr>
        <w:t>Education Department</w:t>
      </w:r>
      <w:r>
        <w:rPr>
          <w:b/>
        </w:rPr>
        <w:t xml:space="preserve"> </w:t>
      </w:r>
      <w:r>
        <w:t xml:space="preserve">means the Department administered by the Minister administering the </w:t>
      </w:r>
      <w:r>
        <w:rPr>
          <w:i/>
        </w:rPr>
        <w:t>Higher Education Funding Act 1988</w:t>
      </w:r>
      <w:r>
        <w:t>.</w:t>
      </w:r>
    </w:p>
    <w:p w14:paraId="61EA9ADA" w14:textId="4BFBC5FE" w:rsidR="00362A7E" w:rsidRDefault="00362A7E" w:rsidP="00234629">
      <w:pPr>
        <w:pStyle w:val="Definition"/>
        <w:rPr>
          <w:b/>
          <w:i/>
        </w:rPr>
      </w:pPr>
      <w:r>
        <w:rPr>
          <w:b/>
          <w:i/>
        </w:rPr>
        <w:t xml:space="preserve">eligible higher education provider </w:t>
      </w:r>
      <w:r>
        <w:t xml:space="preserve">means a </w:t>
      </w:r>
      <w:r>
        <w:rPr>
          <w:i/>
        </w:rPr>
        <w:t>higher education provider</w:t>
      </w:r>
      <w:r>
        <w:t xml:space="preserve"> that meets the </w:t>
      </w:r>
      <w:r w:rsidR="00667E99">
        <w:t xml:space="preserve">requirements of section 38-10 of the Act and </w:t>
      </w:r>
      <w:r w:rsidR="002F2B40">
        <w:t xml:space="preserve">section </w:t>
      </w:r>
      <w:r w:rsidR="00DC3BFD">
        <w:t>10</w:t>
      </w:r>
      <w:r>
        <w:t xml:space="preserve"> of these Guidelines. </w:t>
      </w:r>
    </w:p>
    <w:p w14:paraId="268A77B6" w14:textId="35267C7B" w:rsidR="00AB7222" w:rsidRDefault="00AB7222" w:rsidP="00A75FE9">
      <w:pPr>
        <w:pStyle w:val="Definition"/>
      </w:pPr>
      <w:r>
        <w:rPr>
          <w:b/>
          <w:i/>
        </w:rPr>
        <w:t xml:space="preserve">grant </w:t>
      </w:r>
      <w:r w:rsidR="00A75FE9" w:rsidRPr="009C2562">
        <w:t>means</w:t>
      </w:r>
      <w:r>
        <w:t>:</w:t>
      </w:r>
    </w:p>
    <w:p w14:paraId="187A4D68" w14:textId="140E10BD" w:rsidR="006E6301" w:rsidRDefault="00AB7222" w:rsidP="00AB7222">
      <w:pPr>
        <w:pStyle w:val="paragraph"/>
      </w:pPr>
      <w:r w:rsidRPr="00BE3917">
        <w:tab/>
        <w:t>(a)</w:t>
      </w:r>
      <w:r w:rsidRPr="00BE3917">
        <w:tab/>
      </w:r>
      <w:r>
        <w:t>the money or any part of it payable by the Commonwealth to a</w:t>
      </w:r>
      <w:r w:rsidR="008D1226">
        <w:t xml:space="preserve"> </w:t>
      </w:r>
      <w:r>
        <w:t>higher education provider under section 38-35 of the Act; and</w:t>
      </w:r>
    </w:p>
    <w:p w14:paraId="0E5C74D7" w14:textId="226F9A9A" w:rsidR="00AB7222" w:rsidRDefault="006E6301" w:rsidP="00AB7222">
      <w:pPr>
        <w:pStyle w:val="paragraph"/>
      </w:pPr>
      <w:r>
        <w:tab/>
        <w:t>(b</w:t>
      </w:r>
      <w:r w:rsidRPr="00BE3917">
        <w:t>)</w:t>
      </w:r>
      <w:r w:rsidRPr="00BE3917">
        <w:tab/>
      </w:r>
      <w:r w:rsidR="00AB7222">
        <w:t>any interest earned on a grant.</w:t>
      </w:r>
    </w:p>
    <w:p w14:paraId="1DC76B49" w14:textId="12D1D206" w:rsidR="00AB7222" w:rsidRPr="009C2562" w:rsidRDefault="00AB7222" w:rsidP="00AB7222">
      <w:pPr>
        <w:pStyle w:val="Definition"/>
      </w:pPr>
      <w:r>
        <w:rPr>
          <w:b/>
          <w:i/>
        </w:rPr>
        <w:t>grant year</w:t>
      </w:r>
      <w:r w:rsidRPr="009C2562">
        <w:t xml:space="preserve"> means the </w:t>
      </w:r>
      <w:r w:rsidR="00535F05">
        <w:t xml:space="preserve">calendar </w:t>
      </w:r>
      <w:r>
        <w:t>year in respect of which a grant is paid under section 38-35 of the Act.</w:t>
      </w:r>
    </w:p>
    <w:p w14:paraId="516FB192" w14:textId="72C447EB" w:rsidR="00210CA5" w:rsidRDefault="00210CA5" w:rsidP="00234629">
      <w:pPr>
        <w:pStyle w:val="Definition"/>
        <w:rPr>
          <w:b/>
          <w:i/>
        </w:rPr>
      </w:pPr>
      <w:r>
        <w:rPr>
          <w:b/>
          <w:i/>
        </w:rPr>
        <w:t xml:space="preserve">GST </w:t>
      </w:r>
      <w:r>
        <w:t xml:space="preserve">has the same meaning as in the </w:t>
      </w:r>
      <w:r w:rsidRPr="00E95BBB">
        <w:rPr>
          <w:i/>
        </w:rPr>
        <w:t>A New Tax System (Goods and Services Tax) Act 1999</w:t>
      </w:r>
      <w:r>
        <w:t xml:space="preserve"> (</w:t>
      </w:r>
      <w:proofErr w:type="spellStart"/>
      <w:r>
        <w:t>Cth</w:t>
      </w:r>
      <w:proofErr w:type="spellEnd"/>
      <w:r>
        <w:t>)</w:t>
      </w:r>
      <w:r>
        <w:rPr>
          <w:i/>
        </w:rPr>
        <w:t>.</w:t>
      </w:r>
    </w:p>
    <w:p w14:paraId="03D5DD4D" w14:textId="68D86A37" w:rsidR="00414655" w:rsidRPr="00414655" w:rsidRDefault="00414655" w:rsidP="00234629">
      <w:pPr>
        <w:pStyle w:val="Definition"/>
        <w:rPr>
          <w:b/>
          <w:i/>
        </w:rPr>
      </w:pPr>
      <w:r w:rsidRPr="000B4FC4">
        <w:rPr>
          <w:b/>
          <w:i/>
        </w:rPr>
        <w:t>Higher Education Information Management System</w:t>
      </w:r>
      <w:r>
        <w:t xml:space="preserve"> means the electronic information system for higher education maintained by the </w:t>
      </w:r>
      <w:r w:rsidR="00C769E3">
        <w:t>Education Department</w:t>
      </w:r>
      <w:r>
        <w:t xml:space="preserve">. </w:t>
      </w:r>
    </w:p>
    <w:p w14:paraId="42FB849B" w14:textId="2E8ACEB4" w:rsidR="00B50F7D" w:rsidRDefault="00B50F7D" w:rsidP="00234629">
      <w:pPr>
        <w:pStyle w:val="Definition"/>
        <w:rPr>
          <w:b/>
          <w:i/>
        </w:rPr>
      </w:pPr>
      <w:r>
        <w:rPr>
          <w:b/>
          <w:i/>
        </w:rPr>
        <w:t xml:space="preserve">Human Services Department </w:t>
      </w:r>
      <w:r>
        <w:t xml:space="preserve">means the </w:t>
      </w:r>
      <w:r w:rsidR="00C769E3">
        <w:t xml:space="preserve">Department administered by the Minister administering the </w:t>
      </w:r>
      <w:r w:rsidR="00C769E3">
        <w:rPr>
          <w:i/>
        </w:rPr>
        <w:t>Human Services (Centrelink) Act 1997</w:t>
      </w:r>
      <w:r>
        <w:t xml:space="preserve">. </w:t>
      </w:r>
    </w:p>
    <w:p w14:paraId="257B7AF8" w14:textId="1672F484" w:rsidR="00025BD9" w:rsidRPr="00234629" w:rsidRDefault="00025BD9" w:rsidP="00234629">
      <w:pPr>
        <w:pStyle w:val="Definition"/>
      </w:pPr>
      <w:r>
        <w:rPr>
          <w:b/>
          <w:i/>
        </w:rPr>
        <w:t>Indigenous Commonwealth Accommodation Scholarship</w:t>
      </w:r>
      <w:r>
        <w:rPr>
          <w:b/>
        </w:rPr>
        <w:t xml:space="preserve"> </w:t>
      </w:r>
      <w:r>
        <w:t xml:space="preserve">means a scholarship described in </w:t>
      </w:r>
      <w:r w:rsidR="002F2B40">
        <w:t xml:space="preserve">paragraph </w:t>
      </w:r>
      <w:r w:rsidR="002A6EC2">
        <w:t>20</w:t>
      </w:r>
      <w:r>
        <w:t>(</w:t>
      </w:r>
      <w:r w:rsidR="005E1765">
        <w:t>b</w:t>
      </w:r>
      <w:r>
        <w:t xml:space="preserve">) of these Guidelines. </w:t>
      </w:r>
    </w:p>
    <w:p w14:paraId="54D2DACE" w14:textId="531B389B" w:rsidR="00CE5CAE" w:rsidRPr="00C257B0" w:rsidRDefault="00CE5CAE" w:rsidP="00CE5CAE">
      <w:pPr>
        <w:pStyle w:val="Definition"/>
      </w:pPr>
      <w:r>
        <w:rPr>
          <w:b/>
          <w:i/>
        </w:rPr>
        <w:t>Indigenous Commonwealth Education Costs Scholarship</w:t>
      </w:r>
      <w:r>
        <w:rPr>
          <w:b/>
        </w:rPr>
        <w:t xml:space="preserve"> </w:t>
      </w:r>
      <w:r>
        <w:t xml:space="preserve">means a scholarship described in </w:t>
      </w:r>
      <w:r w:rsidR="002F2B40">
        <w:t>paragraph</w:t>
      </w:r>
      <w:r>
        <w:t xml:space="preserve"> </w:t>
      </w:r>
      <w:r w:rsidR="002A6EC2">
        <w:t>20</w:t>
      </w:r>
      <w:r>
        <w:t>(</w:t>
      </w:r>
      <w:r w:rsidR="005E1765">
        <w:t>a</w:t>
      </w:r>
      <w:r>
        <w:t xml:space="preserve">) of these Guidelines. </w:t>
      </w:r>
    </w:p>
    <w:p w14:paraId="2979300C" w14:textId="5657652E" w:rsidR="00CE5CAE" w:rsidRDefault="00CE5CAE" w:rsidP="00CE5CAE">
      <w:pPr>
        <w:pStyle w:val="Definition"/>
      </w:pPr>
      <w:r>
        <w:rPr>
          <w:b/>
          <w:i/>
        </w:rPr>
        <w:t>Indigenous Commonwealth Reward Scholarship</w:t>
      </w:r>
      <w:r>
        <w:rPr>
          <w:b/>
        </w:rPr>
        <w:t xml:space="preserve"> </w:t>
      </w:r>
      <w:r>
        <w:t xml:space="preserve">means a scholarship described in </w:t>
      </w:r>
      <w:r w:rsidR="002F2B40">
        <w:t xml:space="preserve">paragraph </w:t>
      </w:r>
      <w:r w:rsidR="002A6EC2">
        <w:t>20</w:t>
      </w:r>
      <w:r>
        <w:t xml:space="preserve">(c) of these Guidelines. </w:t>
      </w:r>
    </w:p>
    <w:p w14:paraId="226D98EF" w14:textId="2DE79986" w:rsidR="00EC3269" w:rsidRPr="00C257B0" w:rsidRDefault="00EC3269" w:rsidP="00EC3269">
      <w:pPr>
        <w:pStyle w:val="Definition"/>
      </w:pPr>
      <w:r>
        <w:rPr>
          <w:b/>
          <w:i/>
        </w:rPr>
        <w:t>Indigenous Commonwealth Scholarship</w:t>
      </w:r>
      <w:r>
        <w:rPr>
          <w:b/>
        </w:rPr>
        <w:t xml:space="preserve"> </w:t>
      </w:r>
      <w:r>
        <w:t xml:space="preserve">means: </w:t>
      </w:r>
    </w:p>
    <w:p w14:paraId="334F1E04" w14:textId="6B571C2B" w:rsidR="00EC3269" w:rsidRDefault="00EC3269" w:rsidP="00EC3269">
      <w:pPr>
        <w:pStyle w:val="paragraph"/>
      </w:pPr>
      <w:r w:rsidRPr="00BE3917">
        <w:tab/>
        <w:t>(a)</w:t>
      </w:r>
      <w:r w:rsidRPr="00BE3917">
        <w:tab/>
      </w:r>
      <w:r>
        <w:t>an Indigenous Commonwealth Accommodation Scholarship; or</w:t>
      </w:r>
    </w:p>
    <w:p w14:paraId="19C485A0" w14:textId="77777777" w:rsidR="00EC3269" w:rsidRDefault="00EC3269" w:rsidP="00EC3269">
      <w:pPr>
        <w:pStyle w:val="paragraph"/>
      </w:pPr>
      <w:r>
        <w:tab/>
        <w:t>(b</w:t>
      </w:r>
      <w:r w:rsidRPr="00BE3917">
        <w:t>)</w:t>
      </w:r>
      <w:r w:rsidRPr="00BE3917">
        <w:tab/>
      </w:r>
      <w:r>
        <w:t>an Indigenous Commonwealth Education Costs Scholarship; or</w:t>
      </w:r>
    </w:p>
    <w:p w14:paraId="324C2410" w14:textId="03D599AB" w:rsidR="005F61C8" w:rsidRDefault="00EC3269" w:rsidP="00EC3269">
      <w:pPr>
        <w:pStyle w:val="paragraph"/>
      </w:pPr>
      <w:r>
        <w:tab/>
        <w:t>(c</w:t>
      </w:r>
      <w:r w:rsidRPr="00BE3917">
        <w:t>)</w:t>
      </w:r>
      <w:r w:rsidRPr="00BE3917">
        <w:tab/>
      </w:r>
      <w:r>
        <w:t>an Indigenous Commonwealth Reward Scholarship</w:t>
      </w:r>
      <w:r w:rsidR="005F61C8">
        <w:t>,</w:t>
      </w:r>
    </w:p>
    <w:p w14:paraId="76892C53" w14:textId="03D84996" w:rsidR="00EC3269" w:rsidRDefault="005F61C8" w:rsidP="000B4FC4">
      <w:pPr>
        <w:pStyle w:val="Definition"/>
      </w:pPr>
      <w:r>
        <w:t xml:space="preserve">and includes a </w:t>
      </w:r>
      <w:r w:rsidR="004D35B2">
        <w:t>preserved</w:t>
      </w:r>
      <w:r>
        <w:t xml:space="preserve"> Indigenous Commonwealth Scholarship. </w:t>
      </w:r>
    </w:p>
    <w:p w14:paraId="0F209B14" w14:textId="12E1F805" w:rsidR="00DD57EE" w:rsidRPr="00C257B0" w:rsidRDefault="00DD57EE" w:rsidP="00DD57EE">
      <w:pPr>
        <w:pStyle w:val="Definition"/>
      </w:pPr>
      <w:r>
        <w:rPr>
          <w:b/>
          <w:i/>
        </w:rPr>
        <w:t>Indigenous Education Strategy</w:t>
      </w:r>
      <w:r>
        <w:rPr>
          <w:b/>
        </w:rPr>
        <w:t xml:space="preserve"> </w:t>
      </w:r>
      <w:r>
        <w:t xml:space="preserve">means a strategy of a </w:t>
      </w:r>
      <w:r w:rsidRPr="003C073E">
        <w:rPr>
          <w:i/>
        </w:rPr>
        <w:t>higher education provider</w:t>
      </w:r>
      <w:r>
        <w:t xml:space="preserve"> that meets the requirements of section </w:t>
      </w:r>
      <w:r w:rsidR="00050C0A">
        <w:t>1</w:t>
      </w:r>
      <w:r w:rsidR="005028C5">
        <w:t>3</w:t>
      </w:r>
      <w:r>
        <w:t xml:space="preserve"> of these Guidelines. </w:t>
      </w:r>
    </w:p>
    <w:p w14:paraId="51953814" w14:textId="01F49B08" w:rsidR="00DD57EE" w:rsidRPr="00C257B0" w:rsidRDefault="00DD57EE" w:rsidP="00DD57EE">
      <w:pPr>
        <w:pStyle w:val="Definition"/>
      </w:pPr>
      <w:r>
        <w:rPr>
          <w:b/>
          <w:i/>
        </w:rPr>
        <w:t>Indigenous Governance Mechanism</w:t>
      </w:r>
      <w:r>
        <w:rPr>
          <w:b/>
        </w:rPr>
        <w:t xml:space="preserve"> </w:t>
      </w:r>
      <w:r>
        <w:t xml:space="preserve">means a mechanism established by a </w:t>
      </w:r>
      <w:r w:rsidRPr="003C073E">
        <w:rPr>
          <w:i/>
        </w:rPr>
        <w:t>higher education provider</w:t>
      </w:r>
      <w:r>
        <w:t xml:space="preserve"> that meets the requirements of section </w:t>
      </w:r>
      <w:r w:rsidR="005028C5">
        <w:t>11</w:t>
      </w:r>
      <w:r>
        <w:t xml:space="preserve"> of these Guidelines. </w:t>
      </w:r>
    </w:p>
    <w:p w14:paraId="00D5E141" w14:textId="0A160CE2" w:rsidR="00D01D59" w:rsidRDefault="00D01D59" w:rsidP="00DD57EE">
      <w:pPr>
        <w:pStyle w:val="Definition"/>
        <w:rPr>
          <w:b/>
          <w:i/>
        </w:rPr>
      </w:pPr>
      <w:r>
        <w:rPr>
          <w:b/>
          <w:i/>
        </w:rPr>
        <w:t>Indigenous Support Program</w:t>
      </w:r>
      <w:r>
        <w:rPr>
          <w:b/>
        </w:rPr>
        <w:t xml:space="preserve"> </w:t>
      </w:r>
      <w:r w:rsidR="003748BF">
        <w:t xml:space="preserve">means the </w:t>
      </w:r>
      <w:r>
        <w:t xml:space="preserve">program </w:t>
      </w:r>
      <w:r w:rsidR="003748BF">
        <w:t xml:space="preserve">by that name </w:t>
      </w:r>
      <w:r>
        <w:t xml:space="preserve">provided for under the </w:t>
      </w:r>
      <w:r>
        <w:rPr>
          <w:i/>
        </w:rPr>
        <w:t>Other Grants Guidelines (Education) 2012</w:t>
      </w:r>
      <w:r>
        <w:t>.</w:t>
      </w:r>
    </w:p>
    <w:p w14:paraId="60577CA6" w14:textId="4F47646A" w:rsidR="00DD57EE" w:rsidRPr="00C257B0" w:rsidRDefault="00DD57EE" w:rsidP="00DD57EE">
      <w:pPr>
        <w:pStyle w:val="Definition"/>
      </w:pPr>
      <w:r>
        <w:rPr>
          <w:b/>
          <w:i/>
        </w:rPr>
        <w:t>Indigenous Workforce Strategy</w:t>
      </w:r>
      <w:r>
        <w:rPr>
          <w:b/>
        </w:rPr>
        <w:t xml:space="preserve"> </w:t>
      </w:r>
      <w:r>
        <w:t xml:space="preserve">means a strategy of a </w:t>
      </w:r>
      <w:r w:rsidRPr="003C073E">
        <w:rPr>
          <w:i/>
        </w:rPr>
        <w:t>higher education provider</w:t>
      </w:r>
      <w:r>
        <w:t xml:space="preserve"> that meets the requirements of section </w:t>
      </w:r>
      <w:r w:rsidR="00B3433E">
        <w:t>1</w:t>
      </w:r>
      <w:r w:rsidR="005028C5">
        <w:t>2</w:t>
      </w:r>
      <w:r>
        <w:t xml:space="preserve"> of these Guidelines. </w:t>
      </w:r>
    </w:p>
    <w:p w14:paraId="475FC18A" w14:textId="6C75F17F" w:rsidR="00AB7222" w:rsidRPr="009C2562" w:rsidRDefault="00AB7222" w:rsidP="00AB7222">
      <w:pPr>
        <w:pStyle w:val="Definition"/>
      </w:pPr>
      <w:r>
        <w:rPr>
          <w:b/>
          <w:i/>
        </w:rPr>
        <w:t>ISSP</w:t>
      </w:r>
      <w:r w:rsidRPr="009C2562">
        <w:t xml:space="preserve"> means the </w:t>
      </w:r>
      <w:r>
        <w:t xml:space="preserve">Indigenous </w:t>
      </w:r>
      <w:r w:rsidR="0058074D" w:rsidRPr="00686DBB">
        <w:t>Student</w:t>
      </w:r>
      <w:r w:rsidRPr="003C2D1B">
        <w:t xml:space="preserve"> </w:t>
      </w:r>
      <w:r>
        <w:t>Success Programme.</w:t>
      </w:r>
    </w:p>
    <w:p w14:paraId="51584616" w14:textId="018D3B1F" w:rsidR="00AB7222" w:rsidRDefault="00AB7222" w:rsidP="00AB7222">
      <w:pPr>
        <w:pStyle w:val="Definition"/>
      </w:pPr>
      <w:r>
        <w:rPr>
          <w:b/>
          <w:i/>
        </w:rPr>
        <w:t>ISSP</w:t>
      </w:r>
      <w:r w:rsidRPr="009C2562">
        <w:t xml:space="preserve"> </w:t>
      </w:r>
      <w:r>
        <w:rPr>
          <w:b/>
          <w:i/>
        </w:rPr>
        <w:t xml:space="preserve">grant </w:t>
      </w:r>
      <w:r w:rsidRPr="009C2562">
        <w:t xml:space="preserve">means </w:t>
      </w:r>
      <w:r>
        <w:t>a grant provided for under section 5 of these Guidelines.</w:t>
      </w:r>
    </w:p>
    <w:p w14:paraId="4BA7D777" w14:textId="0F3980D2" w:rsidR="008325A3" w:rsidRDefault="008325A3" w:rsidP="004D35B2">
      <w:pPr>
        <w:pStyle w:val="Definition"/>
        <w:rPr>
          <w:b/>
          <w:i/>
        </w:rPr>
      </w:pPr>
      <w:r>
        <w:rPr>
          <w:b/>
          <w:i/>
        </w:rPr>
        <w:t xml:space="preserve">ISSP grant amount </w:t>
      </w:r>
      <w:r>
        <w:t>means the amount of an ISSP grant to be paid to an eligible higher education provider as determined</w:t>
      </w:r>
      <w:r w:rsidR="008650A6">
        <w:t>,</w:t>
      </w:r>
      <w:r>
        <w:t xml:space="preserve"> </w:t>
      </w:r>
      <w:r w:rsidR="008650A6">
        <w:t xml:space="preserve">and notified to providers, </w:t>
      </w:r>
      <w:r>
        <w:t>under section</w:t>
      </w:r>
      <w:r w:rsidR="008650A6">
        <w:t> </w:t>
      </w:r>
      <w:r>
        <w:t xml:space="preserve">7 of these Guidelines. </w:t>
      </w:r>
    </w:p>
    <w:p w14:paraId="693F67A0" w14:textId="736F3F32" w:rsidR="004D35B2" w:rsidRDefault="004D35B2" w:rsidP="004D35B2">
      <w:pPr>
        <w:pStyle w:val="Definition"/>
        <w:rPr>
          <w:b/>
          <w:i/>
        </w:rPr>
      </w:pPr>
      <w:r>
        <w:rPr>
          <w:b/>
          <w:i/>
        </w:rPr>
        <w:t xml:space="preserve">preserved Indigenous Commonwealth Accommodation Scholarship </w:t>
      </w:r>
      <w:r>
        <w:t xml:space="preserve">means an Indigenous Commonwealth Scholarship </w:t>
      </w:r>
      <w:r w:rsidR="0013715C">
        <w:t xml:space="preserve">that assists with relocation costs, accommodation costs, or relocation and accommodation costs </w:t>
      </w:r>
      <w:r w:rsidR="00734AF8">
        <w:t xml:space="preserve">that is </w:t>
      </w:r>
      <w:r w:rsidR="00FC0410">
        <w:t xml:space="preserve">offered </w:t>
      </w:r>
      <w:r w:rsidR="00EE0AF7">
        <w:t>under subsection </w:t>
      </w:r>
      <w:r w:rsidR="00734AF8">
        <w:t xml:space="preserve">28(2) of these Guidelines and </w:t>
      </w:r>
      <w:r>
        <w:t>awarded under subsection 2</w:t>
      </w:r>
      <w:r w:rsidR="005028C5">
        <w:t>8</w:t>
      </w:r>
      <w:r>
        <w:t>(</w:t>
      </w:r>
      <w:r w:rsidR="00734AF8">
        <w:t>5</w:t>
      </w:r>
      <w:r>
        <w:t xml:space="preserve">) of these Guidelines. </w:t>
      </w:r>
    </w:p>
    <w:p w14:paraId="407748B4" w14:textId="529A772F" w:rsidR="004D35B2" w:rsidRDefault="004D35B2" w:rsidP="004D35B2">
      <w:pPr>
        <w:pStyle w:val="Definition"/>
        <w:rPr>
          <w:b/>
          <w:i/>
        </w:rPr>
      </w:pPr>
      <w:r>
        <w:rPr>
          <w:b/>
          <w:i/>
        </w:rPr>
        <w:t xml:space="preserve">preserved Indigenous Commonwealth Education Costs Scholarship </w:t>
      </w:r>
      <w:r>
        <w:t xml:space="preserve">means an Indigenous Commonwealth Scholarship </w:t>
      </w:r>
      <w:r w:rsidR="0013715C">
        <w:t xml:space="preserve">that assists with education costs </w:t>
      </w:r>
      <w:r w:rsidR="00734AF8">
        <w:t xml:space="preserve">that is </w:t>
      </w:r>
      <w:r w:rsidR="00FC0410">
        <w:t xml:space="preserve">offered </w:t>
      </w:r>
      <w:r w:rsidR="00734AF8">
        <w:t>under subsection 28(2) of these Guidelines and</w:t>
      </w:r>
      <w:r w:rsidR="00FC0410">
        <w:t xml:space="preserve"> </w:t>
      </w:r>
      <w:r>
        <w:t>awarded under subsection</w:t>
      </w:r>
      <w:r w:rsidR="00EE0AF7">
        <w:t> </w:t>
      </w:r>
      <w:r>
        <w:t>2</w:t>
      </w:r>
      <w:r w:rsidR="005028C5">
        <w:t>8</w:t>
      </w:r>
      <w:r>
        <w:t>(</w:t>
      </w:r>
      <w:r w:rsidR="00734AF8">
        <w:t>5</w:t>
      </w:r>
      <w:r>
        <w:t xml:space="preserve">) of these Guidelines. </w:t>
      </w:r>
    </w:p>
    <w:p w14:paraId="3B2D0A97" w14:textId="77777777" w:rsidR="004D35B2" w:rsidRDefault="004D35B2" w:rsidP="004D35B2">
      <w:pPr>
        <w:pStyle w:val="Definition"/>
        <w:rPr>
          <w:b/>
          <w:i/>
        </w:rPr>
      </w:pPr>
      <w:r>
        <w:rPr>
          <w:b/>
          <w:i/>
        </w:rPr>
        <w:t xml:space="preserve">preserved Indigenous Commonwealth Scholarship </w:t>
      </w:r>
      <w:r>
        <w:t xml:space="preserve">means a preserved Indigenous Commonwealth Accommodation Scholarship or a preserved Indigenous Commonwealth Education Costs Scholarship. </w:t>
      </w:r>
    </w:p>
    <w:p w14:paraId="1CDA7ADA" w14:textId="2F0B3250" w:rsidR="00904340" w:rsidRPr="00BF1AA1" w:rsidRDefault="00904340" w:rsidP="00904340">
      <w:pPr>
        <w:pStyle w:val="Definition"/>
      </w:pPr>
      <w:r w:rsidRPr="00BF1AA1">
        <w:rPr>
          <w:b/>
          <w:i/>
        </w:rPr>
        <w:t xml:space="preserve">regional area </w:t>
      </w:r>
      <w:r w:rsidRPr="00BF1AA1">
        <w:t>means an area classified as Inner Regional Australia or Outer Regional Australia in the Australian Statistical Geography Standard</w:t>
      </w:r>
      <w:r w:rsidR="00E016E3">
        <w:t xml:space="preserve"> that is</w:t>
      </w:r>
      <w:r w:rsidRPr="00BF1AA1">
        <w:t xml:space="preserve"> </w:t>
      </w:r>
      <w:r w:rsidR="00FB585B">
        <w:t xml:space="preserve">referred to in the item for Regional and Remote in the glossary to </w:t>
      </w:r>
      <w:r w:rsidR="006E6301" w:rsidRPr="00BF1AA1">
        <w:t xml:space="preserve">the Higher Education </w:t>
      </w:r>
      <w:r w:rsidR="00BF1AA1" w:rsidRPr="000B4FC4">
        <w:t xml:space="preserve">Information </w:t>
      </w:r>
      <w:r w:rsidR="006E6301" w:rsidRPr="00BF1AA1">
        <w:t>Management System</w:t>
      </w:r>
      <w:r w:rsidRPr="00BF1AA1">
        <w:t>.</w:t>
      </w:r>
    </w:p>
    <w:p w14:paraId="7F55AE0E" w14:textId="28692371" w:rsidR="00A0351B" w:rsidRPr="00BF1AA1" w:rsidRDefault="00A0351B" w:rsidP="00093F20">
      <w:pPr>
        <w:pStyle w:val="Definition"/>
        <w:keepNext/>
        <w:keepLines/>
      </w:pPr>
      <w:r w:rsidRPr="00BF1AA1">
        <w:rPr>
          <w:b/>
          <w:i/>
        </w:rPr>
        <w:t xml:space="preserve">remote area </w:t>
      </w:r>
      <w:r w:rsidRPr="00BF1AA1">
        <w:t>means</w:t>
      </w:r>
      <w:r w:rsidR="00904340" w:rsidRPr="00BF1AA1">
        <w:t xml:space="preserve"> an area classified as Remote Australia or Very Remote Australia in the Australian Statistical Geography Standard </w:t>
      </w:r>
      <w:r w:rsidR="00E016E3">
        <w:t xml:space="preserve">that is </w:t>
      </w:r>
      <w:r w:rsidR="00FB585B">
        <w:t xml:space="preserve">referred to in the item for Regional and Remote in the glossary to </w:t>
      </w:r>
      <w:r w:rsidR="006E6301" w:rsidRPr="00BF1AA1">
        <w:t>the Higher Education Information Management System</w:t>
      </w:r>
      <w:r w:rsidR="00904340" w:rsidRPr="00BF1AA1">
        <w:t>.</w:t>
      </w:r>
    </w:p>
    <w:p w14:paraId="3B5C85B6" w14:textId="063B6AF6" w:rsidR="00BF1F17" w:rsidRPr="009E4564" w:rsidRDefault="008567B7">
      <w:pPr>
        <w:pStyle w:val="Definition"/>
      </w:pPr>
      <w:r w:rsidRPr="00530261">
        <w:rPr>
          <w:b/>
          <w:i/>
        </w:rPr>
        <w:t>stud</w:t>
      </w:r>
      <w:r w:rsidRPr="00932C4A">
        <w:rPr>
          <w:b/>
          <w:i/>
        </w:rPr>
        <w:t>y period</w:t>
      </w:r>
      <w:r w:rsidRPr="00932C4A">
        <w:t xml:space="preserve"> means a period over which at least one </w:t>
      </w:r>
      <w:r w:rsidRPr="00234629">
        <w:rPr>
          <w:i/>
        </w:rPr>
        <w:t>unit of study</w:t>
      </w:r>
      <w:r>
        <w:t xml:space="preserve"> that is a requirement of a </w:t>
      </w:r>
      <w:r w:rsidRPr="00234629">
        <w:rPr>
          <w:i/>
        </w:rPr>
        <w:t>course of study</w:t>
      </w:r>
      <w:r>
        <w:t xml:space="preserve"> is undertaken by a </w:t>
      </w:r>
      <w:r w:rsidR="0058074D" w:rsidRPr="0058074D">
        <w:rPr>
          <w:i/>
        </w:rPr>
        <w:t>student</w:t>
      </w:r>
      <w:r>
        <w:t xml:space="preserve">. </w:t>
      </w:r>
    </w:p>
    <w:p w14:paraId="46EA4198" w14:textId="44E7A739" w:rsidR="009813BA" w:rsidRPr="00351537" w:rsidRDefault="009813BA" w:rsidP="009813BA">
      <w:pPr>
        <w:pStyle w:val="ActHead3"/>
      </w:pPr>
      <w:bookmarkStart w:id="37" w:name="_Toc467246512"/>
      <w:bookmarkStart w:id="38" w:name="_Toc468194425"/>
      <w:bookmarkStart w:id="39" w:name="_Toc468285023"/>
      <w:bookmarkStart w:id="40" w:name="_Toc468364308"/>
      <w:bookmarkStart w:id="41" w:name="_Toc469060355"/>
      <w:bookmarkStart w:id="42" w:name="_Toc469172045"/>
      <w:bookmarkStart w:id="43" w:name="_Toc469918078"/>
      <w:r>
        <w:rPr>
          <w:rStyle w:val="CharDivNo"/>
        </w:rPr>
        <w:t>Part 2</w:t>
      </w:r>
      <w:r w:rsidRPr="00351537">
        <w:t>—</w:t>
      </w:r>
      <w:r>
        <w:rPr>
          <w:rStyle w:val="CharDivText"/>
        </w:rPr>
        <w:t>ISSP grants</w:t>
      </w:r>
      <w:bookmarkEnd w:id="37"/>
      <w:bookmarkEnd w:id="38"/>
      <w:bookmarkEnd w:id="39"/>
      <w:bookmarkEnd w:id="40"/>
      <w:bookmarkEnd w:id="41"/>
      <w:bookmarkEnd w:id="42"/>
      <w:bookmarkEnd w:id="43"/>
    </w:p>
    <w:p w14:paraId="5C058251" w14:textId="422D33FD" w:rsidR="009813BA" w:rsidRPr="005A65D5" w:rsidRDefault="00B5347B" w:rsidP="009813BA">
      <w:pPr>
        <w:pStyle w:val="ActHead5"/>
      </w:pPr>
      <w:bookmarkStart w:id="44" w:name="_Toc467246513"/>
      <w:bookmarkStart w:id="45" w:name="_Toc468194426"/>
      <w:bookmarkStart w:id="46" w:name="_Toc468285024"/>
      <w:bookmarkStart w:id="47" w:name="_Toc468364309"/>
      <w:bookmarkStart w:id="48" w:name="_Toc469060356"/>
      <w:bookmarkStart w:id="49" w:name="_Toc469172046"/>
      <w:bookmarkStart w:id="50" w:name="_Toc469918079"/>
      <w:r>
        <w:t>5</w:t>
      </w:r>
      <w:r w:rsidR="009813BA" w:rsidRPr="005A65D5">
        <w:t xml:space="preserve">  </w:t>
      </w:r>
      <w:r w:rsidR="009813BA">
        <w:t>Description of ISSP grants</w:t>
      </w:r>
      <w:bookmarkEnd w:id="44"/>
      <w:bookmarkEnd w:id="45"/>
      <w:bookmarkEnd w:id="46"/>
      <w:bookmarkEnd w:id="47"/>
      <w:bookmarkEnd w:id="48"/>
      <w:bookmarkEnd w:id="49"/>
      <w:bookmarkEnd w:id="50"/>
    </w:p>
    <w:p w14:paraId="5846B76D" w14:textId="0988A669" w:rsidR="00B5347B" w:rsidRDefault="009813BA">
      <w:pPr>
        <w:pStyle w:val="subsection"/>
        <w:rPr>
          <w:bCs/>
        </w:rPr>
      </w:pPr>
      <w:r>
        <w:tab/>
      </w:r>
      <w:r w:rsidRPr="00BE3917">
        <w:tab/>
      </w:r>
      <w:r>
        <w:rPr>
          <w:bCs/>
        </w:rPr>
        <w:t xml:space="preserve">ISSP grants are grants to </w:t>
      </w:r>
      <w:r w:rsidRPr="00B825DF">
        <w:t>eligible higher education providers</w:t>
      </w:r>
      <w:r>
        <w:rPr>
          <w:bCs/>
        </w:rPr>
        <w:t xml:space="preserve"> </w:t>
      </w:r>
      <w:r w:rsidR="002A6EC2">
        <w:rPr>
          <w:bCs/>
        </w:rPr>
        <w:t xml:space="preserve">to </w:t>
      </w:r>
      <w:r>
        <w:rPr>
          <w:bCs/>
        </w:rPr>
        <w:t>use for any or all of the activities specified in these Guidelines.</w:t>
      </w:r>
    </w:p>
    <w:p w14:paraId="71AC3033" w14:textId="2067D039" w:rsidR="00207521" w:rsidRPr="005A65D5" w:rsidRDefault="00207521" w:rsidP="00207521">
      <w:pPr>
        <w:pStyle w:val="ActHead5"/>
      </w:pPr>
      <w:bookmarkStart w:id="51" w:name="_Toc469060357"/>
      <w:bookmarkStart w:id="52" w:name="_Toc469172047"/>
      <w:bookmarkStart w:id="53" w:name="_Toc469918080"/>
      <w:bookmarkStart w:id="54" w:name="_Toc467246514"/>
      <w:bookmarkStart w:id="55" w:name="_Toc468194427"/>
      <w:bookmarkStart w:id="56" w:name="_Toc468285025"/>
      <w:bookmarkStart w:id="57" w:name="_Toc468364310"/>
      <w:r>
        <w:t>6</w:t>
      </w:r>
      <w:r w:rsidRPr="005A65D5">
        <w:t xml:space="preserve">  </w:t>
      </w:r>
      <w:r>
        <w:t>Amount to be spent on ISSP grants</w:t>
      </w:r>
      <w:bookmarkEnd w:id="51"/>
      <w:bookmarkEnd w:id="52"/>
      <w:bookmarkEnd w:id="53"/>
    </w:p>
    <w:p w14:paraId="75C204C4" w14:textId="2D480A13" w:rsidR="00207521" w:rsidRDefault="00207521" w:rsidP="00207521">
      <w:pPr>
        <w:pStyle w:val="subsection"/>
      </w:pPr>
      <w:r>
        <w:tab/>
      </w:r>
      <w:r>
        <w:tab/>
        <w:t xml:space="preserve">The amount that will be spent on ISSP grants in a particular grant year will be an amount that is </w:t>
      </w:r>
      <w:r w:rsidR="0042286B">
        <w:t>the difference between:</w:t>
      </w:r>
      <w:r>
        <w:t xml:space="preserve">  </w:t>
      </w:r>
    </w:p>
    <w:p w14:paraId="2F22504F" w14:textId="2D09D614" w:rsidR="0042286B" w:rsidRPr="009E5804" w:rsidRDefault="0042286B" w:rsidP="0042286B">
      <w:pPr>
        <w:pStyle w:val="paragraph"/>
      </w:pPr>
      <w:r w:rsidRPr="009E5804">
        <w:tab/>
        <w:t>(a)</w:t>
      </w:r>
      <w:r w:rsidRPr="009E5804">
        <w:tab/>
      </w:r>
      <w:r w:rsidR="00F6041A">
        <w:t>maximum</w:t>
      </w:r>
      <w:r w:rsidRPr="009E5804">
        <w:t xml:space="preserve"> payments </w:t>
      </w:r>
      <w:r w:rsidR="00F6041A">
        <w:t xml:space="preserve">for grants under Part 2-2A </w:t>
      </w:r>
      <w:r w:rsidR="006A4693">
        <w:t xml:space="preserve">of the Act </w:t>
      </w:r>
      <w:r w:rsidR="00F6041A">
        <w:t xml:space="preserve">in respect of that year as </w:t>
      </w:r>
      <w:r w:rsidRPr="009E5804">
        <w:t>determined by the Minister under section 38-45 of the Act; and</w:t>
      </w:r>
    </w:p>
    <w:p w14:paraId="71FEFF25" w14:textId="0BC26AAD" w:rsidR="0042286B" w:rsidRDefault="0042286B" w:rsidP="0042286B">
      <w:pPr>
        <w:pStyle w:val="paragraph"/>
      </w:pPr>
      <w:r>
        <w:tab/>
        <w:t>(b</w:t>
      </w:r>
      <w:r w:rsidRPr="009E5804">
        <w:t>)</w:t>
      </w:r>
      <w:r w:rsidRPr="009E5804">
        <w:tab/>
      </w:r>
      <w:r>
        <w:t>the total</w:t>
      </w:r>
      <w:r w:rsidRPr="009E5804">
        <w:t xml:space="preserve"> </w:t>
      </w:r>
      <w:r>
        <w:t>amount</w:t>
      </w:r>
      <w:r w:rsidRPr="009E5804">
        <w:t xml:space="preserve"> for grants approved by the Minister under subsection 38</w:t>
      </w:r>
      <w:r w:rsidRPr="009E5804">
        <w:noBreakHyphen/>
        <w:t xml:space="preserve">20 of the Act in respect of that year. </w:t>
      </w:r>
    </w:p>
    <w:p w14:paraId="44DBDE44" w14:textId="33E34C7E" w:rsidR="00507237" w:rsidRPr="005A65D5" w:rsidRDefault="003A177D" w:rsidP="00507237">
      <w:pPr>
        <w:pStyle w:val="ActHead5"/>
      </w:pPr>
      <w:bookmarkStart w:id="58" w:name="_Toc468194428"/>
      <w:bookmarkStart w:id="59" w:name="_Toc468285026"/>
      <w:bookmarkStart w:id="60" w:name="_Toc468364311"/>
      <w:bookmarkStart w:id="61" w:name="_Toc469060358"/>
      <w:bookmarkStart w:id="62" w:name="_Toc469172048"/>
      <w:bookmarkStart w:id="63" w:name="_Toc469918081"/>
      <w:bookmarkEnd w:id="54"/>
      <w:bookmarkEnd w:id="55"/>
      <w:bookmarkEnd w:id="56"/>
      <w:bookmarkEnd w:id="57"/>
      <w:r>
        <w:t>7</w:t>
      </w:r>
      <w:r w:rsidR="00507237" w:rsidRPr="005A65D5">
        <w:t xml:space="preserve">  </w:t>
      </w:r>
      <w:r w:rsidR="00507237">
        <w:t>ISSP grant amount</w:t>
      </w:r>
      <w:r>
        <w:t>s</w:t>
      </w:r>
      <w:bookmarkEnd w:id="58"/>
      <w:bookmarkEnd w:id="59"/>
      <w:bookmarkEnd w:id="60"/>
      <w:bookmarkEnd w:id="61"/>
      <w:bookmarkEnd w:id="62"/>
      <w:bookmarkEnd w:id="63"/>
    </w:p>
    <w:p w14:paraId="5E9D1973" w14:textId="1E7E7F31" w:rsidR="006A4693" w:rsidRDefault="00507237" w:rsidP="00507237">
      <w:pPr>
        <w:pStyle w:val="subsection"/>
      </w:pPr>
      <w:r>
        <w:tab/>
        <w:t>(1)</w:t>
      </w:r>
      <w:r>
        <w:tab/>
      </w:r>
      <w:r w:rsidR="00286FA3">
        <w:t>Subject to subsection (3), t</w:t>
      </w:r>
      <w:r>
        <w:t xml:space="preserve">he amount of an ISSP grant to be paid to an eligible higher education provider </w:t>
      </w:r>
      <w:r w:rsidR="009B2F09">
        <w:t xml:space="preserve">in a grant year </w:t>
      </w:r>
      <w:r>
        <w:t xml:space="preserve">will be an amount </w:t>
      </w:r>
      <w:r w:rsidR="006A4693">
        <w:t xml:space="preserve">that is: </w:t>
      </w:r>
    </w:p>
    <w:p w14:paraId="515F7037" w14:textId="0AB6A50F" w:rsidR="00507237" w:rsidRDefault="006A4693" w:rsidP="00B45DFD">
      <w:pPr>
        <w:pStyle w:val="paragraph"/>
      </w:pPr>
      <w:r>
        <w:tab/>
        <w:t>(a</w:t>
      </w:r>
      <w:r w:rsidRPr="009E5804">
        <w:t>)</w:t>
      </w:r>
      <w:r w:rsidRPr="009E5804">
        <w:tab/>
      </w:r>
      <w:r w:rsidR="003A177D">
        <w:t>determined</w:t>
      </w:r>
      <w:r w:rsidR="00507237">
        <w:t xml:space="preserve"> </w:t>
      </w:r>
      <w:r>
        <w:t xml:space="preserve">before the start of the grant year </w:t>
      </w:r>
      <w:r w:rsidR="003A177D">
        <w:t>in accordance with the method in Schedule 1</w:t>
      </w:r>
      <w:r>
        <w:t xml:space="preserve"> of these Guidelines; and</w:t>
      </w:r>
      <w:r w:rsidR="003A177D">
        <w:t xml:space="preserve"> </w:t>
      </w:r>
      <w:r w:rsidR="00507237">
        <w:t xml:space="preserve"> </w:t>
      </w:r>
    </w:p>
    <w:p w14:paraId="55A705A0" w14:textId="5E6826B7" w:rsidR="006A4693" w:rsidRDefault="006A4693" w:rsidP="006A4693">
      <w:pPr>
        <w:pStyle w:val="paragraph"/>
      </w:pPr>
      <w:r>
        <w:tab/>
        <w:t>(b</w:t>
      </w:r>
      <w:r w:rsidRPr="009E5804">
        <w:t>)</w:t>
      </w:r>
      <w:r w:rsidRPr="009E5804">
        <w:tab/>
      </w:r>
      <w:r>
        <w:t xml:space="preserve">adjusted </w:t>
      </w:r>
      <w:r w:rsidR="00615042">
        <w:t xml:space="preserve">after the last business day in April </w:t>
      </w:r>
      <w:r w:rsidR="001300EC">
        <w:t>of</w:t>
      </w:r>
      <w:r>
        <w:t xml:space="preserve"> the grant year in accordance with the method in Schedule 1 of these Guidelines.  </w:t>
      </w:r>
    </w:p>
    <w:p w14:paraId="4F6B154A" w14:textId="60BEA15D" w:rsidR="00D03956" w:rsidRDefault="006A4693" w:rsidP="006A4693">
      <w:pPr>
        <w:pStyle w:val="subsection"/>
      </w:pPr>
      <w:r>
        <w:tab/>
        <w:t>(2)</w:t>
      </w:r>
      <w:r>
        <w:tab/>
        <w:t>An administering officer must give</w:t>
      </w:r>
      <w:r w:rsidR="00303A7C">
        <w:t xml:space="preserve"> the </w:t>
      </w:r>
      <w:r>
        <w:t>notice</w:t>
      </w:r>
      <w:r w:rsidR="00303A7C">
        <w:t>s</w:t>
      </w:r>
      <w:r>
        <w:t xml:space="preserve"> </w:t>
      </w:r>
      <w:r w:rsidR="00BC7879">
        <w:t xml:space="preserve">specified in column 2 of the table </w:t>
      </w:r>
      <w:r>
        <w:t xml:space="preserve">in writing </w:t>
      </w:r>
      <w:r w:rsidR="00D03956">
        <w:t>to an eligible higher education provider</w:t>
      </w:r>
      <w:r w:rsidR="00303A7C">
        <w:t xml:space="preserve"> by the date, or in the timeframe, specified</w:t>
      </w:r>
      <w:r w:rsidR="00BC7879">
        <w:t xml:space="preserve"> in column 3 of the table.</w:t>
      </w:r>
      <w:r w:rsidR="00D03956">
        <w:t xml:space="preserve"> </w:t>
      </w:r>
    </w:p>
    <w:p w14:paraId="0C4158C3" w14:textId="77777777" w:rsidR="009C0229" w:rsidRDefault="009C0229" w:rsidP="006A4693">
      <w:pPr>
        <w:pStyle w:val="subsection"/>
      </w:pPr>
    </w:p>
    <w:tbl>
      <w:tblPr>
        <w:tblW w:w="0" w:type="auto"/>
        <w:tblInd w:w="107" w:type="dxa"/>
        <w:tblCellMar>
          <w:left w:w="0" w:type="dxa"/>
          <w:right w:w="0" w:type="dxa"/>
        </w:tblCellMar>
        <w:tblLook w:val="04A0" w:firstRow="1" w:lastRow="0" w:firstColumn="1" w:lastColumn="0" w:noHBand="0" w:noVBand="1"/>
      </w:tblPr>
      <w:tblGrid>
        <w:gridCol w:w="1105"/>
        <w:gridCol w:w="3891"/>
        <w:gridCol w:w="3210"/>
      </w:tblGrid>
      <w:tr w:rsidR="009C0229" w:rsidRPr="004111FE" w14:paraId="33BDCE8F" w14:textId="77777777" w:rsidTr="006D6352">
        <w:trPr>
          <w:tblHeader/>
        </w:trPr>
        <w:tc>
          <w:tcPr>
            <w:tcW w:w="8206"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08EE2994" w14:textId="6DE8A28C" w:rsidR="009C0229" w:rsidRPr="004111FE" w:rsidRDefault="009C0229" w:rsidP="009C0229">
            <w:pPr>
              <w:keepNext/>
              <w:keepLines/>
              <w:spacing w:before="100" w:beforeAutospacing="1" w:after="100" w:afterAutospacing="1" w:line="240" w:lineRule="auto"/>
              <w:rPr>
                <w:rFonts w:ascii="Helvetica Neue" w:eastAsia="Times New Roman" w:hAnsi="Helvetica Neue" w:cs="Times New Roman"/>
                <w:b/>
                <w:bCs/>
                <w:sz w:val="20"/>
                <w:lang w:eastAsia="en-AU"/>
              </w:rPr>
            </w:pPr>
            <w:r>
              <w:rPr>
                <w:rFonts w:ascii="Helvetica Neue" w:eastAsia="Times New Roman" w:hAnsi="Helvetica Neue" w:cs="Times New Roman"/>
                <w:b/>
                <w:bCs/>
                <w:sz w:val="20"/>
                <w:lang w:eastAsia="en-AU"/>
              </w:rPr>
              <w:t>Notice of ISSP grant amounts</w:t>
            </w:r>
          </w:p>
        </w:tc>
      </w:tr>
      <w:tr w:rsidR="009C0229" w:rsidRPr="004111FE" w14:paraId="4F837B59" w14:textId="77777777" w:rsidTr="009C0229">
        <w:trPr>
          <w:tblHeader/>
        </w:trPr>
        <w:tc>
          <w:tcPr>
            <w:tcW w:w="1105" w:type="dxa"/>
            <w:tcBorders>
              <w:top w:val="nil"/>
              <w:left w:val="nil"/>
              <w:bottom w:val="single" w:sz="8" w:space="0" w:color="auto"/>
              <w:right w:val="nil"/>
            </w:tcBorders>
            <w:tcMar>
              <w:top w:w="0" w:type="dxa"/>
              <w:left w:w="107" w:type="dxa"/>
              <w:bottom w:w="0" w:type="dxa"/>
              <w:right w:w="107" w:type="dxa"/>
            </w:tcMar>
            <w:hideMark/>
          </w:tcPr>
          <w:p w14:paraId="13AA1BD8" w14:textId="77777777" w:rsidR="009C0229" w:rsidRPr="004111FE" w:rsidRDefault="009C0229" w:rsidP="006D6352">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1</w:t>
            </w:r>
          </w:p>
        </w:tc>
        <w:tc>
          <w:tcPr>
            <w:tcW w:w="3891" w:type="dxa"/>
            <w:tcBorders>
              <w:top w:val="nil"/>
              <w:left w:val="nil"/>
              <w:bottom w:val="single" w:sz="8" w:space="0" w:color="auto"/>
              <w:right w:val="nil"/>
            </w:tcBorders>
            <w:tcMar>
              <w:top w:w="0" w:type="dxa"/>
              <w:left w:w="107" w:type="dxa"/>
              <w:bottom w:w="0" w:type="dxa"/>
              <w:right w:w="107" w:type="dxa"/>
            </w:tcMar>
            <w:hideMark/>
          </w:tcPr>
          <w:p w14:paraId="7FFAE36A" w14:textId="77777777" w:rsidR="009C0229" w:rsidRPr="004111FE" w:rsidRDefault="009C0229" w:rsidP="006D6352">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2</w:t>
            </w:r>
          </w:p>
        </w:tc>
        <w:tc>
          <w:tcPr>
            <w:tcW w:w="3210" w:type="dxa"/>
            <w:tcBorders>
              <w:top w:val="nil"/>
              <w:left w:val="nil"/>
              <w:bottom w:val="single" w:sz="8" w:space="0" w:color="auto"/>
              <w:right w:val="nil"/>
            </w:tcBorders>
            <w:tcMar>
              <w:top w:w="0" w:type="dxa"/>
              <w:left w:w="107" w:type="dxa"/>
              <w:bottom w:w="0" w:type="dxa"/>
              <w:right w:w="107" w:type="dxa"/>
            </w:tcMar>
            <w:hideMark/>
          </w:tcPr>
          <w:p w14:paraId="56F35151" w14:textId="77777777" w:rsidR="009C0229" w:rsidRPr="004111FE" w:rsidRDefault="009C0229" w:rsidP="006D6352">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3</w:t>
            </w:r>
          </w:p>
        </w:tc>
      </w:tr>
      <w:tr w:rsidR="009C0229" w:rsidRPr="004111FE" w14:paraId="1C1F535A" w14:textId="77777777" w:rsidTr="009C0229">
        <w:trPr>
          <w:tblHeader/>
        </w:trPr>
        <w:tc>
          <w:tcPr>
            <w:tcW w:w="1105" w:type="dxa"/>
            <w:tcBorders>
              <w:top w:val="nil"/>
              <w:left w:val="nil"/>
              <w:bottom w:val="single" w:sz="12" w:space="0" w:color="auto"/>
              <w:right w:val="nil"/>
            </w:tcBorders>
            <w:tcMar>
              <w:top w:w="0" w:type="dxa"/>
              <w:left w:w="107" w:type="dxa"/>
              <w:bottom w:w="0" w:type="dxa"/>
              <w:right w:w="107" w:type="dxa"/>
            </w:tcMar>
            <w:hideMark/>
          </w:tcPr>
          <w:p w14:paraId="021FE6E5" w14:textId="77777777" w:rsidR="009C0229" w:rsidRPr="004111FE" w:rsidRDefault="009C0229" w:rsidP="006D6352">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Item</w:t>
            </w:r>
          </w:p>
        </w:tc>
        <w:tc>
          <w:tcPr>
            <w:tcW w:w="3891" w:type="dxa"/>
            <w:tcBorders>
              <w:top w:val="nil"/>
              <w:left w:val="nil"/>
              <w:bottom w:val="single" w:sz="12" w:space="0" w:color="auto"/>
              <w:right w:val="nil"/>
            </w:tcBorders>
            <w:tcMar>
              <w:top w:w="0" w:type="dxa"/>
              <w:left w:w="107" w:type="dxa"/>
              <w:bottom w:w="0" w:type="dxa"/>
              <w:right w:w="107" w:type="dxa"/>
            </w:tcMar>
            <w:hideMark/>
          </w:tcPr>
          <w:p w14:paraId="1CE97F57" w14:textId="74DA7E81" w:rsidR="009C0229" w:rsidRPr="004111FE" w:rsidRDefault="009C0229" w:rsidP="006D6352">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Notice</w:t>
            </w:r>
          </w:p>
        </w:tc>
        <w:tc>
          <w:tcPr>
            <w:tcW w:w="3210" w:type="dxa"/>
            <w:tcBorders>
              <w:top w:val="nil"/>
              <w:left w:val="nil"/>
              <w:bottom w:val="single" w:sz="12" w:space="0" w:color="auto"/>
              <w:right w:val="nil"/>
            </w:tcBorders>
            <w:tcMar>
              <w:top w:w="0" w:type="dxa"/>
              <w:left w:w="107" w:type="dxa"/>
              <w:bottom w:w="0" w:type="dxa"/>
              <w:right w:w="107" w:type="dxa"/>
            </w:tcMar>
            <w:hideMark/>
          </w:tcPr>
          <w:p w14:paraId="44C6DD29" w14:textId="77777777" w:rsidR="009C0229" w:rsidRPr="00234629" w:rsidRDefault="009C0229" w:rsidP="006D6352">
            <w:pPr>
              <w:keepNext/>
              <w:keepLines/>
              <w:spacing w:before="100" w:beforeAutospacing="1" w:after="100" w:afterAutospacing="1" w:line="240" w:lineRule="auto"/>
              <w:rPr>
                <w:rFonts w:ascii="Helvetica Neue" w:eastAsia="Times New Roman" w:hAnsi="Helvetica Neue" w:cs="Times New Roman"/>
                <w:b/>
                <w:sz w:val="19"/>
                <w:szCs w:val="19"/>
                <w:lang w:eastAsia="en-AU"/>
              </w:rPr>
            </w:pPr>
            <w:r w:rsidRPr="00234629">
              <w:rPr>
                <w:rFonts w:ascii="Helvetica Neue" w:eastAsia="Times New Roman" w:hAnsi="Helvetica Neue" w:cs="Times New Roman"/>
                <w:b/>
                <w:sz w:val="19"/>
                <w:szCs w:val="19"/>
                <w:lang w:eastAsia="en-AU"/>
              </w:rPr>
              <w:t>Date</w:t>
            </w:r>
          </w:p>
        </w:tc>
      </w:tr>
      <w:tr w:rsidR="009C0229" w:rsidRPr="004111FE" w14:paraId="249CE974" w14:textId="77777777" w:rsidTr="009C0229">
        <w:tc>
          <w:tcPr>
            <w:tcW w:w="1105" w:type="dxa"/>
            <w:tcBorders>
              <w:top w:val="single" w:sz="8" w:space="0" w:color="auto"/>
              <w:left w:val="nil"/>
              <w:bottom w:val="single" w:sz="8" w:space="0" w:color="auto"/>
              <w:right w:val="nil"/>
            </w:tcBorders>
            <w:tcMar>
              <w:top w:w="0" w:type="dxa"/>
              <w:left w:w="107" w:type="dxa"/>
              <w:bottom w:w="0" w:type="dxa"/>
              <w:right w:w="107" w:type="dxa"/>
            </w:tcMar>
          </w:tcPr>
          <w:p w14:paraId="78CD54EC" w14:textId="77777777" w:rsidR="009C0229" w:rsidRPr="004111FE" w:rsidRDefault="009C0229" w:rsidP="006D6352">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1. </w:t>
            </w:r>
          </w:p>
        </w:tc>
        <w:tc>
          <w:tcPr>
            <w:tcW w:w="3891" w:type="dxa"/>
            <w:tcBorders>
              <w:top w:val="single" w:sz="8" w:space="0" w:color="auto"/>
              <w:left w:val="nil"/>
              <w:bottom w:val="single" w:sz="8" w:space="0" w:color="auto"/>
              <w:right w:val="nil"/>
            </w:tcBorders>
            <w:tcMar>
              <w:top w:w="0" w:type="dxa"/>
              <w:left w:w="107" w:type="dxa"/>
              <w:bottom w:w="0" w:type="dxa"/>
              <w:right w:w="107" w:type="dxa"/>
            </w:tcMar>
          </w:tcPr>
          <w:p w14:paraId="783FC888" w14:textId="135BE65E" w:rsidR="009C0229" w:rsidRDefault="009C0229" w:rsidP="006D6352">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Notice of ISSP grant amount as determined before the start of the grant year</w:t>
            </w:r>
          </w:p>
        </w:tc>
        <w:tc>
          <w:tcPr>
            <w:tcW w:w="3210" w:type="dxa"/>
            <w:tcBorders>
              <w:top w:val="single" w:sz="8" w:space="0" w:color="auto"/>
              <w:left w:val="nil"/>
              <w:bottom w:val="single" w:sz="8" w:space="0" w:color="auto"/>
              <w:right w:val="nil"/>
            </w:tcBorders>
            <w:tcMar>
              <w:top w:w="0" w:type="dxa"/>
              <w:left w:w="107" w:type="dxa"/>
              <w:bottom w:w="0" w:type="dxa"/>
              <w:right w:w="107" w:type="dxa"/>
            </w:tcMar>
          </w:tcPr>
          <w:p w14:paraId="41FD11B3" w14:textId="7EBCE271" w:rsidR="009C0229" w:rsidRPr="004111FE" w:rsidRDefault="009C0229" w:rsidP="006D6352">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24 December of the previous grant year</w:t>
            </w:r>
          </w:p>
        </w:tc>
      </w:tr>
      <w:tr w:rsidR="009C0229" w:rsidRPr="004111FE" w14:paraId="7D797BB0" w14:textId="77777777" w:rsidTr="009C0229">
        <w:tc>
          <w:tcPr>
            <w:tcW w:w="1105" w:type="dxa"/>
            <w:tcBorders>
              <w:top w:val="single" w:sz="8" w:space="0" w:color="auto"/>
              <w:left w:val="nil"/>
              <w:bottom w:val="single" w:sz="12" w:space="0" w:color="auto"/>
              <w:right w:val="nil"/>
            </w:tcBorders>
            <w:tcMar>
              <w:top w:w="0" w:type="dxa"/>
              <w:left w:w="107" w:type="dxa"/>
              <w:bottom w:w="0" w:type="dxa"/>
              <w:right w:w="107" w:type="dxa"/>
            </w:tcMar>
          </w:tcPr>
          <w:p w14:paraId="32B4D06C" w14:textId="77777777" w:rsidR="009C0229" w:rsidRDefault="009C0229" w:rsidP="006D6352">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2.</w:t>
            </w:r>
          </w:p>
        </w:tc>
        <w:tc>
          <w:tcPr>
            <w:tcW w:w="3891" w:type="dxa"/>
            <w:tcBorders>
              <w:top w:val="single" w:sz="8" w:space="0" w:color="auto"/>
              <w:left w:val="nil"/>
              <w:bottom w:val="single" w:sz="12" w:space="0" w:color="auto"/>
              <w:right w:val="nil"/>
            </w:tcBorders>
            <w:tcMar>
              <w:top w:w="0" w:type="dxa"/>
              <w:left w:w="107" w:type="dxa"/>
              <w:bottom w:w="0" w:type="dxa"/>
              <w:right w:w="107" w:type="dxa"/>
            </w:tcMar>
          </w:tcPr>
          <w:p w14:paraId="5DAC8B6F" w14:textId="5FB52084" w:rsidR="009C0229" w:rsidRDefault="009C0229" w:rsidP="006D6352">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Notice of ISSP grant amount as adjusted during the grant year</w:t>
            </w:r>
          </w:p>
        </w:tc>
        <w:tc>
          <w:tcPr>
            <w:tcW w:w="3210" w:type="dxa"/>
            <w:tcBorders>
              <w:top w:val="single" w:sz="8" w:space="0" w:color="auto"/>
              <w:left w:val="nil"/>
              <w:bottom w:val="single" w:sz="12" w:space="0" w:color="auto"/>
              <w:right w:val="nil"/>
            </w:tcBorders>
            <w:tcMar>
              <w:top w:w="0" w:type="dxa"/>
              <w:left w:w="107" w:type="dxa"/>
              <w:bottom w:w="0" w:type="dxa"/>
              <w:right w:w="107" w:type="dxa"/>
            </w:tcMar>
          </w:tcPr>
          <w:p w14:paraId="3F6E171D" w14:textId="601633FF" w:rsidR="009C0229" w:rsidRPr="004111FE" w:rsidRDefault="009C0229" w:rsidP="006D6352">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20 business days after the adjustment is calculated</w:t>
            </w:r>
          </w:p>
        </w:tc>
      </w:tr>
    </w:tbl>
    <w:p w14:paraId="228B9A9F" w14:textId="54E9AA1B" w:rsidR="00286FA3" w:rsidRDefault="00286FA3" w:rsidP="00286FA3">
      <w:pPr>
        <w:pStyle w:val="subsection"/>
      </w:pPr>
      <w:r>
        <w:tab/>
        <w:t>(3)</w:t>
      </w:r>
      <w:r>
        <w:tab/>
        <w:t>For the 2017 grant year, the amount of an ISSP gran</w:t>
      </w:r>
      <w:r w:rsidR="006D53BB">
        <w:t>t</w:t>
      </w:r>
      <w:r>
        <w:t xml:space="preserve"> to be paid to an eligible higher education provider in the grant year will be an amount </w:t>
      </w:r>
      <w:r w:rsidR="003D04F5">
        <w:t>that is</w:t>
      </w:r>
      <w:r>
        <w:t xml:space="preserve">: </w:t>
      </w:r>
    </w:p>
    <w:p w14:paraId="60B78081" w14:textId="16C9D617" w:rsidR="00286FA3" w:rsidRDefault="00286FA3" w:rsidP="00286FA3">
      <w:pPr>
        <w:pStyle w:val="paragraph"/>
      </w:pPr>
      <w:r>
        <w:tab/>
        <w:t>(a</w:t>
      </w:r>
      <w:r w:rsidRPr="009E5804">
        <w:t>)</w:t>
      </w:r>
      <w:r w:rsidRPr="009E5804">
        <w:tab/>
      </w:r>
      <w:r w:rsidR="003D04F5">
        <w:t xml:space="preserve">determined after the start of the grant year </w:t>
      </w:r>
      <w:r w:rsidR="008325A3">
        <w:t xml:space="preserve">but before the last business day in April of the grant year </w:t>
      </w:r>
      <w:r w:rsidR="003D04F5">
        <w:t>in accordance with the method in Schedule 1 of these Guidelines</w:t>
      </w:r>
      <w:r>
        <w:t>; and</w:t>
      </w:r>
    </w:p>
    <w:p w14:paraId="1CC9D0C7" w14:textId="145D491F" w:rsidR="00D03956" w:rsidRDefault="00286FA3" w:rsidP="003D04F5">
      <w:pPr>
        <w:pStyle w:val="paragraph"/>
      </w:pPr>
      <w:r>
        <w:tab/>
        <w:t>(b</w:t>
      </w:r>
      <w:r w:rsidRPr="009E5804">
        <w:t>)</w:t>
      </w:r>
      <w:r w:rsidRPr="009E5804">
        <w:tab/>
      </w:r>
      <w:r w:rsidR="003D04F5">
        <w:t>adjusted after the last business day in April of the grant year in accordance with the method in Schedule 1 of these Guidelines</w:t>
      </w:r>
      <w:r>
        <w:t xml:space="preserve">.    </w:t>
      </w:r>
    </w:p>
    <w:p w14:paraId="6D5AE7B0" w14:textId="20A2EB49" w:rsidR="004619B0" w:rsidRPr="005A65D5" w:rsidRDefault="004619B0" w:rsidP="004619B0">
      <w:pPr>
        <w:pStyle w:val="ActHead5"/>
      </w:pPr>
      <w:bookmarkStart w:id="64" w:name="_Toc469060359"/>
      <w:bookmarkStart w:id="65" w:name="_Toc469172049"/>
      <w:bookmarkStart w:id="66" w:name="_Toc469918082"/>
      <w:r>
        <w:t>8</w:t>
      </w:r>
      <w:r w:rsidRPr="005A65D5">
        <w:t xml:space="preserve">  </w:t>
      </w:r>
      <w:r>
        <w:t>Payment of ISSP grants</w:t>
      </w:r>
      <w:bookmarkEnd w:id="64"/>
      <w:bookmarkEnd w:id="65"/>
      <w:bookmarkEnd w:id="66"/>
    </w:p>
    <w:p w14:paraId="53774C1D" w14:textId="5A64ADE2" w:rsidR="004619B0" w:rsidRDefault="004619B0" w:rsidP="004619B0">
      <w:pPr>
        <w:pStyle w:val="subsection"/>
      </w:pPr>
      <w:r>
        <w:tab/>
      </w:r>
      <w:r>
        <w:tab/>
        <w:t xml:space="preserve">For an ISSP grant to be payable under section 38-35 of the Act, the Minister must be satisfied that </w:t>
      </w:r>
      <w:r w:rsidR="002A6EC2">
        <w:t xml:space="preserve">a </w:t>
      </w:r>
      <w:r w:rsidRPr="003C073E">
        <w:rPr>
          <w:i/>
        </w:rPr>
        <w:t>higher education provider</w:t>
      </w:r>
      <w:r>
        <w:t xml:space="preserve"> meets the requirements of these Guidelines.  </w:t>
      </w:r>
    </w:p>
    <w:p w14:paraId="5B7929D9" w14:textId="12A5A510" w:rsidR="00B673C7" w:rsidRDefault="004619B0" w:rsidP="00B45DFD">
      <w:pPr>
        <w:pStyle w:val="notetext"/>
      </w:pPr>
      <w:r w:rsidRPr="009C2562">
        <w:t>Note:</w:t>
      </w:r>
      <w:r w:rsidRPr="009C2562">
        <w:tab/>
      </w:r>
      <w:r>
        <w:t xml:space="preserve">Section 164-5 of the Act provides that grant amounts will be paid in such a way as the Minister determines, and at such times as the Secretary determines. </w:t>
      </w:r>
      <w:bookmarkStart w:id="67" w:name="_Toc467246515"/>
      <w:bookmarkStart w:id="68" w:name="_Toc468194429"/>
      <w:bookmarkStart w:id="69" w:name="_Toc468285027"/>
      <w:bookmarkStart w:id="70" w:name="_Toc468364312"/>
    </w:p>
    <w:p w14:paraId="6A50624F" w14:textId="7788E3D7" w:rsidR="00D911CF" w:rsidRPr="009C2562" w:rsidRDefault="00105F02" w:rsidP="00D911CF">
      <w:pPr>
        <w:pStyle w:val="ActHead5"/>
      </w:pPr>
      <w:bookmarkStart w:id="71" w:name="_Toc469172050"/>
      <w:bookmarkStart w:id="72" w:name="_Toc469918083"/>
      <w:r>
        <w:t>9</w:t>
      </w:r>
      <w:r w:rsidR="00D911CF" w:rsidRPr="009C2562">
        <w:t xml:space="preserve">  </w:t>
      </w:r>
      <w:r>
        <w:t>Tax</w:t>
      </w:r>
      <w:r w:rsidR="00003C87">
        <w:t>es</w:t>
      </w:r>
      <w:bookmarkEnd w:id="71"/>
      <w:bookmarkEnd w:id="72"/>
    </w:p>
    <w:p w14:paraId="3E286AEF" w14:textId="498B9058" w:rsidR="00B673C7" w:rsidRDefault="008477BB" w:rsidP="00B673C7">
      <w:pPr>
        <w:pStyle w:val="subsection"/>
      </w:pPr>
      <w:r>
        <w:tab/>
        <w:t>(1)</w:t>
      </w:r>
      <w:r>
        <w:tab/>
        <w:t>Subject to</w:t>
      </w:r>
      <w:r w:rsidR="00427F0C">
        <w:t xml:space="preserve"> subsections (2) and (3), a</w:t>
      </w:r>
      <w:r w:rsidR="00B673C7">
        <w:t xml:space="preserve"> </w:t>
      </w:r>
      <w:r w:rsidR="00B673C7">
        <w:rPr>
          <w:i/>
        </w:rPr>
        <w:t xml:space="preserve">higher education provider </w:t>
      </w:r>
      <w:r w:rsidR="00B673C7">
        <w:t xml:space="preserve">that receives an ISSP grant must pay all taxes, duties and government charges levied in Australia or overseas in connection with the ISSP grant.   </w:t>
      </w:r>
    </w:p>
    <w:p w14:paraId="7E2DC6D9" w14:textId="3EDB0F21" w:rsidR="00945BC0" w:rsidRDefault="00210CA5" w:rsidP="00B673C7">
      <w:pPr>
        <w:pStyle w:val="subsection"/>
      </w:pPr>
      <w:r>
        <w:tab/>
        <w:t>(2)</w:t>
      </w:r>
      <w:r>
        <w:tab/>
        <w:t xml:space="preserve">If </w:t>
      </w:r>
      <w:r w:rsidRPr="00945BC0">
        <w:t>a</w:t>
      </w:r>
      <w:r w:rsidR="00B673C7" w:rsidRPr="00B45DFD">
        <w:rPr>
          <w:i/>
        </w:rPr>
        <w:t xml:space="preserve"> higher education provider</w:t>
      </w:r>
      <w:r w:rsidR="00B673C7">
        <w:t xml:space="preserve"> </w:t>
      </w:r>
      <w:r>
        <w:t>is registered for GST</w:t>
      </w:r>
      <w:r w:rsidR="00B673C7">
        <w:t xml:space="preserve">, </w:t>
      </w:r>
      <w:r w:rsidR="00945BC0">
        <w:t xml:space="preserve">an amount to cover the provider’s GST obligations in relation to the use of an ISSP grant must be provided in addition to the provider’s ISSP grant amount. </w:t>
      </w:r>
    </w:p>
    <w:p w14:paraId="23555453" w14:textId="7297326A" w:rsidR="00210CA5" w:rsidRDefault="00945BC0">
      <w:pPr>
        <w:pStyle w:val="subsection"/>
      </w:pPr>
      <w:r>
        <w:tab/>
        <w:t>(3)</w:t>
      </w:r>
      <w:r>
        <w:tab/>
        <w:t xml:space="preserve">A </w:t>
      </w:r>
      <w:r>
        <w:rPr>
          <w:i/>
        </w:rPr>
        <w:t xml:space="preserve">higher education provider </w:t>
      </w:r>
      <w:r>
        <w:t xml:space="preserve">that </w:t>
      </w:r>
      <w:r w:rsidR="007A28BC">
        <w:t xml:space="preserve">is registered for GST when it </w:t>
      </w:r>
      <w:r>
        <w:t>receives an ISSP grant must notify an administering officer if it ceases to be registered for GST</w:t>
      </w:r>
      <w:r w:rsidR="004D35C0">
        <w:t xml:space="preserve"> </w:t>
      </w:r>
      <w:r w:rsidR="00AB2F11">
        <w:t>in</w:t>
      </w:r>
      <w:r w:rsidR="004D35C0">
        <w:t xml:space="preserve"> the grant year</w:t>
      </w:r>
      <w:r>
        <w:t xml:space="preserve">. </w:t>
      </w:r>
    </w:p>
    <w:p w14:paraId="196C4299" w14:textId="4DBED37C" w:rsidR="00B5347B" w:rsidRPr="00351537" w:rsidRDefault="00B5347B" w:rsidP="00B5347B">
      <w:pPr>
        <w:pStyle w:val="ActHead3"/>
      </w:pPr>
      <w:bookmarkStart w:id="73" w:name="_Toc469060360"/>
      <w:bookmarkStart w:id="74" w:name="_Toc469172051"/>
      <w:bookmarkStart w:id="75" w:name="_Toc469918084"/>
      <w:r>
        <w:rPr>
          <w:rStyle w:val="CharDivNo"/>
        </w:rPr>
        <w:t>Part 3</w:t>
      </w:r>
      <w:r w:rsidRPr="00351537">
        <w:t>—</w:t>
      </w:r>
      <w:r>
        <w:rPr>
          <w:rStyle w:val="CharDivText"/>
        </w:rPr>
        <w:t>Eligibility to receive ISSP grants</w:t>
      </w:r>
      <w:bookmarkEnd w:id="67"/>
      <w:bookmarkEnd w:id="68"/>
      <w:bookmarkEnd w:id="69"/>
      <w:bookmarkEnd w:id="70"/>
      <w:bookmarkEnd w:id="73"/>
      <w:bookmarkEnd w:id="74"/>
      <w:bookmarkEnd w:id="75"/>
    </w:p>
    <w:p w14:paraId="6943AC97" w14:textId="2D76104F" w:rsidR="00B5347B" w:rsidRPr="005A65D5" w:rsidRDefault="00FF0EC0" w:rsidP="00B5347B">
      <w:pPr>
        <w:pStyle w:val="ActHead5"/>
      </w:pPr>
      <w:bookmarkStart w:id="76" w:name="_Toc467246516"/>
      <w:bookmarkStart w:id="77" w:name="_Toc468194430"/>
      <w:bookmarkStart w:id="78" w:name="_Toc468285028"/>
      <w:bookmarkStart w:id="79" w:name="_Toc468364313"/>
      <w:bookmarkStart w:id="80" w:name="_Toc469060361"/>
      <w:bookmarkStart w:id="81" w:name="_Toc469172052"/>
      <w:bookmarkStart w:id="82" w:name="_Toc469918085"/>
      <w:r>
        <w:t>10</w:t>
      </w:r>
      <w:r w:rsidR="00B5347B" w:rsidRPr="005A65D5">
        <w:t xml:space="preserve">  </w:t>
      </w:r>
      <w:r w:rsidR="00B5347B">
        <w:t>Extra conditions of eligibility</w:t>
      </w:r>
      <w:bookmarkEnd w:id="76"/>
      <w:bookmarkEnd w:id="77"/>
      <w:bookmarkEnd w:id="78"/>
      <w:bookmarkEnd w:id="79"/>
      <w:bookmarkEnd w:id="80"/>
      <w:bookmarkEnd w:id="81"/>
      <w:bookmarkEnd w:id="82"/>
    </w:p>
    <w:p w14:paraId="66903D62" w14:textId="255C6DA9" w:rsidR="00B5347B" w:rsidRDefault="000807D3" w:rsidP="00B5347B">
      <w:pPr>
        <w:pStyle w:val="subsection"/>
      </w:pPr>
      <w:r>
        <w:tab/>
        <w:t>(1)</w:t>
      </w:r>
      <w:r>
        <w:tab/>
      </w:r>
      <w:r w:rsidR="00B5347B">
        <w:t xml:space="preserve">In addition to the conditions of eligibility in section 38-10 of the Act, a </w:t>
      </w:r>
      <w:r w:rsidR="00EB69FA">
        <w:rPr>
          <w:i/>
        </w:rPr>
        <w:t xml:space="preserve">Table A provider </w:t>
      </w:r>
      <w:r w:rsidR="00EB69FA">
        <w:t xml:space="preserve">or a </w:t>
      </w:r>
      <w:r w:rsidR="00EB69FA">
        <w:rPr>
          <w:i/>
        </w:rPr>
        <w:t>Table B provider</w:t>
      </w:r>
      <w:r w:rsidR="00B5347B">
        <w:t xml:space="preserve"> must satisfy the following extra conditions to be eligible for an ISSP grant</w:t>
      </w:r>
      <w:r w:rsidR="00245C29">
        <w:t>:</w:t>
      </w:r>
      <w:r w:rsidR="00B5347B">
        <w:t xml:space="preserve"> </w:t>
      </w:r>
    </w:p>
    <w:p w14:paraId="0C2B7CB2" w14:textId="2C2FB55B" w:rsidR="003C54FD" w:rsidRDefault="00B5347B" w:rsidP="003C54FD">
      <w:pPr>
        <w:pStyle w:val="paragraph"/>
      </w:pPr>
      <w:r w:rsidRPr="00BE3917">
        <w:tab/>
        <w:t>(a)</w:t>
      </w:r>
      <w:r w:rsidRPr="00BE3917">
        <w:tab/>
      </w:r>
      <w:r w:rsidR="003C54FD">
        <w:t xml:space="preserve">the provider has an </w:t>
      </w:r>
      <w:r w:rsidR="003C54FD" w:rsidRPr="003C54FD">
        <w:rPr>
          <w:i/>
        </w:rPr>
        <w:t>EFTSL</w:t>
      </w:r>
      <w:r w:rsidR="003C54FD">
        <w:t xml:space="preserve"> of at least five </w:t>
      </w:r>
      <w:r w:rsidR="00847103">
        <w:t>Indigenous</w:t>
      </w:r>
      <w:r w:rsidR="002A60ED">
        <w:t xml:space="preserve"> students;</w:t>
      </w:r>
      <w:r w:rsidR="003C54FD">
        <w:t xml:space="preserve"> </w:t>
      </w:r>
    </w:p>
    <w:p w14:paraId="468FC3D3" w14:textId="02011EC8" w:rsidR="00B5347B" w:rsidRDefault="00B5347B" w:rsidP="00B5347B">
      <w:pPr>
        <w:pStyle w:val="paragraph"/>
      </w:pPr>
      <w:r w:rsidRPr="00BE3917">
        <w:tab/>
        <w:t>(</w:t>
      </w:r>
      <w:r w:rsidR="003C54FD">
        <w:t>b</w:t>
      </w:r>
      <w:r w:rsidRPr="00BE3917">
        <w:t>)</w:t>
      </w:r>
      <w:r w:rsidRPr="00BE3917">
        <w:tab/>
      </w:r>
      <w:r w:rsidR="003C54FD">
        <w:t>t</w:t>
      </w:r>
      <w:r>
        <w:t xml:space="preserve">he provider can demonstrate it has access to funding other than </w:t>
      </w:r>
      <w:r w:rsidR="00261EBB">
        <w:t>ISSP grants</w:t>
      </w:r>
      <w:r>
        <w:t xml:space="preserve"> that it </w:t>
      </w:r>
      <w:r w:rsidR="002552F3">
        <w:t xml:space="preserve">intends to </w:t>
      </w:r>
      <w:r>
        <w:t>use to:</w:t>
      </w:r>
    </w:p>
    <w:p w14:paraId="14584CB9" w14:textId="79BCA86F" w:rsidR="00B5347B" w:rsidRPr="00AA76A0" w:rsidRDefault="00B5347B" w:rsidP="00B5347B">
      <w:pPr>
        <w:pStyle w:val="paragraphsub"/>
      </w:pPr>
      <w:r w:rsidRPr="00AA76A0">
        <w:tab/>
        <w:t>(i)</w:t>
      </w:r>
      <w:r w:rsidRPr="00AA76A0">
        <w:tab/>
        <w:t xml:space="preserve">assist </w:t>
      </w:r>
      <w:r w:rsidR="00847103">
        <w:t>Indigenous</w:t>
      </w:r>
      <w:r w:rsidR="00A567A1" w:rsidRPr="00A567A1">
        <w:t xml:space="preserve"> </w:t>
      </w:r>
      <w:r w:rsidR="0058074D" w:rsidRPr="0065646F">
        <w:t>student</w:t>
      </w:r>
      <w:r w:rsidRPr="00A567A1">
        <w:t>s</w:t>
      </w:r>
      <w:r w:rsidRPr="00AA76A0">
        <w:t xml:space="preserve"> to undertake higher education; </w:t>
      </w:r>
      <w:r w:rsidR="008E0703">
        <w:t>and</w:t>
      </w:r>
    </w:p>
    <w:p w14:paraId="00A75020" w14:textId="00760A64" w:rsidR="002552F3" w:rsidRDefault="00B5347B" w:rsidP="00B5347B">
      <w:pPr>
        <w:pStyle w:val="paragraphsub"/>
      </w:pPr>
      <w:r w:rsidRPr="00AA76A0">
        <w:tab/>
        <w:t>(ii)</w:t>
      </w:r>
      <w:r w:rsidRPr="00AA76A0">
        <w:tab/>
        <w:t xml:space="preserve">increase the number of </w:t>
      </w:r>
      <w:r w:rsidR="00847103">
        <w:t>Indigenous</w:t>
      </w:r>
      <w:r w:rsidR="00A567A1">
        <w:t xml:space="preserve"> students</w:t>
      </w:r>
      <w:r w:rsidRPr="00AA76A0">
        <w:t xml:space="preserve"> enrolling in, progressing in and completing courses leading to </w:t>
      </w:r>
      <w:r w:rsidR="001F2F57">
        <w:t xml:space="preserve">a </w:t>
      </w:r>
      <w:r w:rsidRPr="00234629">
        <w:rPr>
          <w:i/>
        </w:rPr>
        <w:t>higher education award</w:t>
      </w:r>
      <w:r w:rsidR="002552F3">
        <w:t xml:space="preserve">; </w:t>
      </w:r>
      <w:r w:rsidR="008E0703">
        <w:t>and</w:t>
      </w:r>
    </w:p>
    <w:p w14:paraId="1A840B3C" w14:textId="0890681B" w:rsidR="00B5347B" w:rsidRPr="00AA76A0" w:rsidRDefault="002552F3" w:rsidP="00B5347B">
      <w:pPr>
        <w:pStyle w:val="paragraphsub"/>
      </w:pPr>
      <w:r w:rsidRPr="00AA76A0">
        <w:tab/>
        <w:t>(ii</w:t>
      </w:r>
      <w:r>
        <w:t>i</w:t>
      </w:r>
      <w:r w:rsidRPr="00AA76A0">
        <w:t>)</w:t>
      </w:r>
      <w:r w:rsidRPr="00AA76A0">
        <w:tab/>
        <w:t xml:space="preserve">increase the number of </w:t>
      </w:r>
      <w:r w:rsidR="00847103">
        <w:t>Indigenous</w:t>
      </w:r>
      <w:r w:rsidR="00A567A1">
        <w:t xml:space="preserve"> students</w:t>
      </w:r>
      <w:r w:rsidRPr="00AA76A0">
        <w:t xml:space="preserve"> </w:t>
      </w:r>
      <w:r>
        <w:t>participating in a higher education environment</w:t>
      </w:r>
      <w:r w:rsidR="002A60ED">
        <w:t>;</w:t>
      </w:r>
      <w:r w:rsidR="00B5347B" w:rsidRPr="00AA76A0">
        <w:t xml:space="preserve"> </w:t>
      </w:r>
    </w:p>
    <w:p w14:paraId="2CD3A18F" w14:textId="43EE2645" w:rsidR="00B5347B" w:rsidRDefault="00B5347B" w:rsidP="00B5347B">
      <w:pPr>
        <w:pStyle w:val="paragraph"/>
      </w:pPr>
      <w:r>
        <w:tab/>
      </w:r>
      <w:r w:rsidRPr="00530261">
        <w:t>(</w:t>
      </w:r>
      <w:r w:rsidR="008133F3" w:rsidRPr="00530261">
        <w:t>c</w:t>
      </w:r>
      <w:r w:rsidRPr="00932C4A">
        <w:t>)</w:t>
      </w:r>
      <w:r w:rsidRPr="00932C4A">
        <w:tab/>
      </w:r>
      <w:r w:rsidR="003C54FD" w:rsidRPr="00932C4A">
        <w:t>t</w:t>
      </w:r>
      <w:r w:rsidRPr="00932C4A">
        <w:t>he provider has</w:t>
      </w:r>
      <w:r w:rsidR="00FD30C2" w:rsidRPr="00932C4A">
        <w:t xml:space="preserve"> the following arrangements in place or </w:t>
      </w:r>
      <w:r w:rsidR="000A041C" w:rsidRPr="000B4FC4">
        <w:t xml:space="preserve">the </w:t>
      </w:r>
      <w:r w:rsidR="007174C9">
        <w:t xml:space="preserve">provider has notified an administering officer within 30 days of </w:t>
      </w:r>
      <w:r w:rsidR="00323011">
        <w:t>failing</w:t>
      </w:r>
      <w:r w:rsidR="007174C9">
        <w:t xml:space="preserve"> to </w:t>
      </w:r>
      <w:r w:rsidR="00323011">
        <w:t>have</w:t>
      </w:r>
      <w:r w:rsidR="007174C9">
        <w:t xml:space="preserve"> the following arrangements </w:t>
      </w:r>
      <w:r w:rsidR="00323011">
        <w:t xml:space="preserve">in place </w:t>
      </w:r>
      <w:r w:rsidR="007174C9">
        <w:t xml:space="preserve">and the </w:t>
      </w:r>
      <w:r w:rsidR="000A041C" w:rsidRPr="000B4FC4">
        <w:t xml:space="preserve">administering officer has agreed a process for the provider to establish </w:t>
      </w:r>
      <w:r w:rsidR="00FD30C2" w:rsidRPr="00530261">
        <w:t>the following arrangements</w:t>
      </w:r>
      <w:r w:rsidRPr="00530261">
        <w:t>:</w:t>
      </w:r>
    </w:p>
    <w:p w14:paraId="4DE9C5E9" w14:textId="78179297" w:rsidR="00B5347B" w:rsidRPr="00AA76A0" w:rsidRDefault="00B5347B" w:rsidP="00B5347B">
      <w:pPr>
        <w:pStyle w:val="paragraphsub"/>
      </w:pPr>
      <w:r w:rsidRPr="00AA76A0">
        <w:tab/>
        <w:t>(i)</w:t>
      </w:r>
      <w:r w:rsidRPr="00AA76A0">
        <w:tab/>
      </w:r>
      <w:r w:rsidR="003C54FD">
        <w:t>a</w:t>
      </w:r>
      <w:r>
        <w:t>n Indigenous Governance Mechanism that meets the requirements of these Guidelines</w:t>
      </w:r>
      <w:r w:rsidRPr="00AA76A0">
        <w:t xml:space="preserve">; </w:t>
      </w:r>
    </w:p>
    <w:p w14:paraId="1C5A691E" w14:textId="3B5FB540" w:rsidR="00B5347B" w:rsidRDefault="00B5347B" w:rsidP="00B5347B">
      <w:pPr>
        <w:pStyle w:val="paragraphsub"/>
      </w:pPr>
      <w:r w:rsidRPr="00AA76A0">
        <w:tab/>
        <w:t>(ii)</w:t>
      </w:r>
      <w:r w:rsidRPr="00AA76A0">
        <w:tab/>
      </w:r>
      <w:r w:rsidR="003C54FD">
        <w:t>a</w:t>
      </w:r>
      <w:r>
        <w:t>n Indigenous Workforce Strategy that meets the requirements of these Guidelines and is publicly available; and</w:t>
      </w:r>
    </w:p>
    <w:p w14:paraId="537F65D6" w14:textId="61B91E9B" w:rsidR="00B5347B" w:rsidRDefault="00B5347B" w:rsidP="00B5347B">
      <w:pPr>
        <w:pStyle w:val="paragraphsub"/>
      </w:pPr>
      <w:r w:rsidRPr="00AA76A0">
        <w:tab/>
        <w:t>(ii</w:t>
      </w:r>
      <w:r>
        <w:t>i</w:t>
      </w:r>
      <w:r w:rsidRPr="00AA76A0">
        <w:t>)</w:t>
      </w:r>
      <w:r w:rsidRPr="00AA76A0">
        <w:tab/>
      </w:r>
      <w:r w:rsidR="003C54FD">
        <w:t>a</w:t>
      </w:r>
      <w:r>
        <w:t xml:space="preserve">n Indigenous Education Strategy that meets the requirements of these Guidelines and is publicly available. </w:t>
      </w:r>
    </w:p>
    <w:p w14:paraId="7C04EBFA" w14:textId="05868757" w:rsidR="002E476E" w:rsidRDefault="000807D3">
      <w:pPr>
        <w:pStyle w:val="subsection"/>
      </w:pPr>
      <w:r>
        <w:tab/>
        <w:t>(2)</w:t>
      </w:r>
      <w:r>
        <w:tab/>
        <w:t xml:space="preserve">A </w:t>
      </w:r>
      <w:r w:rsidR="00CC58A2">
        <w:rPr>
          <w:i/>
        </w:rPr>
        <w:t xml:space="preserve">Table A provider </w:t>
      </w:r>
      <w:r w:rsidR="00CC58A2">
        <w:t xml:space="preserve">or a </w:t>
      </w:r>
      <w:r w:rsidR="00CC58A2">
        <w:rPr>
          <w:i/>
        </w:rPr>
        <w:t>Table B provider</w:t>
      </w:r>
      <w:r>
        <w:t xml:space="preserve"> must provide evidence that it complies with the conditions in </w:t>
      </w:r>
      <w:r w:rsidR="00AB490F">
        <w:t xml:space="preserve">subsection (1) </w:t>
      </w:r>
      <w:r>
        <w:t xml:space="preserve">within 10 business days of a request by an </w:t>
      </w:r>
      <w:r w:rsidR="00C75305">
        <w:t xml:space="preserve">administering </w:t>
      </w:r>
      <w:r>
        <w:t xml:space="preserve">officer. </w:t>
      </w:r>
    </w:p>
    <w:p w14:paraId="593ADABA" w14:textId="1502CFC4" w:rsidR="000807D3" w:rsidRPr="005A65D5" w:rsidRDefault="00FF0EC0" w:rsidP="000807D3">
      <w:pPr>
        <w:pStyle w:val="ActHead5"/>
      </w:pPr>
      <w:bookmarkStart w:id="83" w:name="_Toc467246517"/>
      <w:bookmarkStart w:id="84" w:name="_Toc468194431"/>
      <w:bookmarkStart w:id="85" w:name="_Toc468285029"/>
      <w:bookmarkStart w:id="86" w:name="_Toc468364314"/>
      <w:bookmarkStart w:id="87" w:name="_Toc469060362"/>
      <w:bookmarkStart w:id="88" w:name="_Toc469172053"/>
      <w:bookmarkStart w:id="89" w:name="_Toc469918086"/>
      <w:r>
        <w:t>11</w:t>
      </w:r>
      <w:r w:rsidR="000807D3" w:rsidRPr="005A65D5">
        <w:t xml:space="preserve">  </w:t>
      </w:r>
      <w:r w:rsidR="000807D3">
        <w:t>Indigenous Governance Mechanism</w:t>
      </w:r>
      <w:bookmarkEnd w:id="83"/>
      <w:bookmarkEnd w:id="84"/>
      <w:bookmarkEnd w:id="85"/>
      <w:bookmarkEnd w:id="86"/>
      <w:bookmarkEnd w:id="87"/>
      <w:bookmarkEnd w:id="88"/>
      <w:bookmarkEnd w:id="89"/>
    </w:p>
    <w:p w14:paraId="1C07DC26" w14:textId="27E9420C" w:rsidR="00B5347B" w:rsidRDefault="00B5347B" w:rsidP="00B5347B">
      <w:pPr>
        <w:pStyle w:val="subsection"/>
      </w:pPr>
      <w:r>
        <w:tab/>
      </w:r>
      <w:r>
        <w:tab/>
        <w:t xml:space="preserve">To meet the requirements of these Guidelines, the Indigenous Governance Mechanism of a </w:t>
      </w:r>
      <w:r w:rsidR="00E276AC">
        <w:rPr>
          <w:i/>
        </w:rPr>
        <w:t xml:space="preserve">Table A provider </w:t>
      </w:r>
      <w:r w:rsidR="00E276AC">
        <w:t xml:space="preserve">or a </w:t>
      </w:r>
      <w:r w:rsidR="00E276AC">
        <w:rPr>
          <w:i/>
        </w:rPr>
        <w:t>Table B provider</w:t>
      </w:r>
      <w:r>
        <w:t xml:space="preserve"> must:</w:t>
      </w:r>
    </w:p>
    <w:p w14:paraId="7495679B" w14:textId="17E67B8E" w:rsidR="00B5347B" w:rsidRDefault="00B5347B" w:rsidP="00B5347B">
      <w:pPr>
        <w:pStyle w:val="paragraph"/>
      </w:pPr>
      <w:r w:rsidRPr="00BE3917">
        <w:tab/>
        <w:t>(a)</w:t>
      </w:r>
      <w:r w:rsidRPr="00BE3917">
        <w:tab/>
      </w:r>
      <w:r>
        <w:t>consist of:</w:t>
      </w:r>
    </w:p>
    <w:p w14:paraId="22B4A24B" w14:textId="3A978C28" w:rsidR="00B5347B" w:rsidRPr="00AA76A0" w:rsidRDefault="00B5347B" w:rsidP="00B5347B">
      <w:pPr>
        <w:pStyle w:val="paragraphsub"/>
      </w:pPr>
      <w:r w:rsidRPr="00AA76A0">
        <w:tab/>
        <w:t>(i)</w:t>
      </w:r>
      <w:r w:rsidRPr="00AA76A0">
        <w:tab/>
      </w:r>
      <w:r>
        <w:t>a</w:t>
      </w:r>
      <w:r w:rsidR="002A60ED">
        <w:t>n</w:t>
      </w:r>
      <w:r>
        <w:t xml:space="preserve"> </w:t>
      </w:r>
      <w:r w:rsidR="0004434D">
        <w:t xml:space="preserve">appropriately qualified </w:t>
      </w:r>
      <w:r w:rsidR="00C61F00">
        <w:t xml:space="preserve">senior </w:t>
      </w:r>
      <w:r w:rsidR="00CD407C">
        <w:t xml:space="preserve">academic </w:t>
      </w:r>
      <w:r w:rsidR="004F2246">
        <w:t>employee</w:t>
      </w:r>
      <w:r>
        <w:t xml:space="preserve"> of the provider</w:t>
      </w:r>
      <w:r w:rsidR="00362C90">
        <w:t xml:space="preserve"> who is an </w:t>
      </w:r>
      <w:r w:rsidR="00362C90" w:rsidRPr="0065646F">
        <w:t>Indigenous person</w:t>
      </w:r>
      <w:r>
        <w:t>; or</w:t>
      </w:r>
    </w:p>
    <w:p w14:paraId="06C2C9D4" w14:textId="2835F3D4" w:rsidR="00B5347B" w:rsidRDefault="00B5347B" w:rsidP="00B5347B">
      <w:pPr>
        <w:pStyle w:val="paragraphsub"/>
      </w:pPr>
      <w:r w:rsidRPr="00AA76A0">
        <w:tab/>
        <w:t>(ii)</w:t>
      </w:r>
      <w:r w:rsidRPr="00AA76A0">
        <w:tab/>
      </w:r>
      <w:r>
        <w:t>a</w:t>
      </w:r>
      <w:r w:rsidR="0004434D">
        <w:t>n</w:t>
      </w:r>
      <w:r>
        <w:t xml:space="preserve"> </w:t>
      </w:r>
      <w:r w:rsidR="0004434D">
        <w:t xml:space="preserve">appropriately qualified </w:t>
      </w:r>
      <w:r w:rsidR="006D1FF9">
        <w:t>senior</w:t>
      </w:r>
      <w:r>
        <w:t xml:space="preserve"> </w:t>
      </w:r>
      <w:r w:rsidR="00CD407C">
        <w:t xml:space="preserve">executive </w:t>
      </w:r>
      <w:r w:rsidR="004F2246">
        <w:t>employee</w:t>
      </w:r>
      <w:r>
        <w:t xml:space="preserve"> of the provider</w:t>
      </w:r>
      <w:r w:rsidR="00362C90">
        <w:t xml:space="preserve"> who is an </w:t>
      </w:r>
      <w:r w:rsidR="00362C90" w:rsidRPr="0065646F">
        <w:t>Indigenous person</w:t>
      </w:r>
      <w:r>
        <w:t>; or</w:t>
      </w:r>
    </w:p>
    <w:p w14:paraId="79C56E6D" w14:textId="6D154D64" w:rsidR="00B5347B" w:rsidRDefault="00B5347B" w:rsidP="00B5347B">
      <w:pPr>
        <w:pStyle w:val="paragraphsub"/>
      </w:pPr>
      <w:r w:rsidRPr="00AA76A0">
        <w:tab/>
        <w:t>(ii</w:t>
      </w:r>
      <w:r>
        <w:t>i</w:t>
      </w:r>
      <w:r w:rsidRPr="00AA76A0">
        <w:t>)</w:t>
      </w:r>
      <w:r w:rsidRPr="00AA76A0">
        <w:tab/>
      </w:r>
      <w:r>
        <w:t xml:space="preserve">a committee constituted by a majority of </w:t>
      </w:r>
      <w:r w:rsidRPr="00733A02">
        <w:t>Indigenous persons</w:t>
      </w:r>
      <w:r w:rsidR="0004434D">
        <w:t>, each of whom has skills and experience relevant to the role</w:t>
      </w:r>
      <w:r w:rsidR="00C61F00">
        <w:t>; and</w:t>
      </w:r>
      <w:r>
        <w:t xml:space="preserve"> </w:t>
      </w:r>
    </w:p>
    <w:p w14:paraId="262A5671" w14:textId="235BBD99" w:rsidR="00B5347B" w:rsidRDefault="00B5347B" w:rsidP="00B5347B">
      <w:pPr>
        <w:pStyle w:val="paragraph"/>
      </w:pPr>
      <w:r>
        <w:tab/>
        <w:t>(b</w:t>
      </w:r>
      <w:r w:rsidRPr="00BE3917">
        <w:t>)</w:t>
      </w:r>
      <w:r w:rsidRPr="00BE3917">
        <w:tab/>
      </w:r>
      <w:r>
        <w:t>have responsibility for advising on, reviewing</w:t>
      </w:r>
      <w:r w:rsidR="008A46A0">
        <w:t>,</w:t>
      </w:r>
      <w:r>
        <w:t xml:space="preserve"> making recommendations about</w:t>
      </w:r>
      <w:r w:rsidR="008A46A0">
        <w:t>, and monitoring</w:t>
      </w:r>
      <w:r>
        <w:t xml:space="preserve"> the use of </w:t>
      </w:r>
      <w:r w:rsidR="002A60ED">
        <w:t>ISSP grants</w:t>
      </w:r>
      <w:r>
        <w:t>; and</w:t>
      </w:r>
    </w:p>
    <w:p w14:paraId="4142F6DB" w14:textId="0FD58186" w:rsidR="00B5347B" w:rsidRDefault="00B5347B" w:rsidP="00B5347B">
      <w:pPr>
        <w:pStyle w:val="paragraph"/>
      </w:pPr>
      <w:r>
        <w:tab/>
        <w:t>(c</w:t>
      </w:r>
      <w:r w:rsidRPr="00BE3917">
        <w:t>)</w:t>
      </w:r>
      <w:r w:rsidRPr="00BE3917">
        <w:tab/>
      </w:r>
      <w:r>
        <w:t>have authority within the governance structure of the provider; and</w:t>
      </w:r>
    </w:p>
    <w:p w14:paraId="4105062D" w14:textId="36ED0538" w:rsidR="00B5347B" w:rsidRDefault="00E7646A">
      <w:pPr>
        <w:pStyle w:val="paragraph"/>
      </w:pPr>
      <w:r>
        <w:tab/>
        <w:t>(d</w:t>
      </w:r>
      <w:r w:rsidRPr="00BE3917">
        <w:t>)</w:t>
      </w:r>
      <w:r w:rsidRPr="00BE3917">
        <w:tab/>
      </w:r>
      <w:r w:rsidR="00B5347B">
        <w:t xml:space="preserve">have </w:t>
      </w:r>
      <w:r>
        <w:t>a charter that outlines</w:t>
      </w:r>
      <w:r w:rsidR="00B5347B">
        <w:t xml:space="preserve">: </w:t>
      </w:r>
    </w:p>
    <w:p w14:paraId="78CAC549" w14:textId="0341C0F9" w:rsidR="00B5347B" w:rsidRPr="00AA76A0" w:rsidRDefault="00B5347B" w:rsidP="00B5347B">
      <w:pPr>
        <w:pStyle w:val="paragraphsub"/>
      </w:pPr>
      <w:r w:rsidRPr="00AA76A0">
        <w:tab/>
        <w:t>(i)</w:t>
      </w:r>
      <w:r w:rsidRPr="00AA76A0">
        <w:tab/>
      </w:r>
      <w:r w:rsidR="002552F3">
        <w:t>criteria for appointment</w:t>
      </w:r>
      <w:r>
        <w:t>; and</w:t>
      </w:r>
    </w:p>
    <w:p w14:paraId="15FF72AA" w14:textId="1BFA3E86" w:rsidR="00B5347B" w:rsidRDefault="00B5347B" w:rsidP="00B5347B">
      <w:pPr>
        <w:pStyle w:val="paragraphsub"/>
      </w:pPr>
      <w:r w:rsidRPr="00AA76A0">
        <w:tab/>
        <w:t>(ii)</w:t>
      </w:r>
      <w:r w:rsidRPr="00AA76A0">
        <w:tab/>
      </w:r>
      <w:r w:rsidR="002552F3">
        <w:t>role</w:t>
      </w:r>
      <w:r w:rsidR="008A46A0">
        <w:t>s</w:t>
      </w:r>
      <w:r w:rsidR="002552F3">
        <w:t xml:space="preserve"> and responsibilities</w:t>
      </w:r>
      <w:r>
        <w:t>; and</w:t>
      </w:r>
    </w:p>
    <w:p w14:paraId="03DEA207" w14:textId="413364C0" w:rsidR="00B5347B" w:rsidRDefault="00B5347B" w:rsidP="00B5347B">
      <w:pPr>
        <w:pStyle w:val="paragraphsub"/>
      </w:pPr>
      <w:r w:rsidRPr="00AA76A0">
        <w:tab/>
        <w:t>(</w:t>
      </w:r>
      <w:r>
        <w:t>i</w:t>
      </w:r>
      <w:r w:rsidRPr="00AA76A0">
        <w:t>ii)</w:t>
      </w:r>
      <w:r w:rsidRPr="00AA76A0">
        <w:tab/>
      </w:r>
      <w:r w:rsidR="002552F3">
        <w:t>decision-making</w:t>
      </w:r>
      <w:r>
        <w:t xml:space="preserve"> processes.  </w:t>
      </w:r>
    </w:p>
    <w:p w14:paraId="285B6905" w14:textId="62E8A8CB" w:rsidR="000807D3" w:rsidRPr="005A65D5" w:rsidRDefault="00B320E9" w:rsidP="000807D3">
      <w:pPr>
        <w:pStyle w:val="ActHead5"/>
      </w:pPr>
      <w:bookmarkStart w:id="90" w:name="_Toc467246518"/>
      <w:bookmarkStart w:id="91" w:name="_Toc468194432"/>
      <w:bookmarkStart w:id="92" w:name="_Toc468285030"/>
      <w:bookmarkStart w:id="93" w:name="_Toc468364315"/>
      <w:bookmarkStart w:id="94" w:name="_Toc469060363"/>
      <w:bookmarkStart w:id="95" w:name="_Toc469172054"/>
      <w:bookmarkStart w:id="96" w:name="_Toc469918087"/>
      <w:r>
        <w:t>1</w:t>
      </w:r>
      <w:r w:rsidR="00FF0EC0">
        <w:t>2</w:t>
      </w:r>
      <w:r w:rsidR="000807D3" w:rsidRPr="005A65D5">
        <w:t xml:space="preserve">  </w:t>
      </w:r>
      <w:r w:rsidR="000807D3">
        <w:t>Indigenous Workforce Strategy</w:t>
      </w:r>
      <w:bookmarkEnd w:id="90"/>
      <w:bookmarkEnd w:id="91"/>
      <w:bookmarkEnd w:id="92"/>
      <w:bookmarkEnd w:id="93"/>
      <w:bookmarkEnd w:id="94"/>
      <w:bookmarkEnd w:id="95"/>
      <w:bookmarkEnd w:id="96"/>
    </w:p>
    <w:p w14:paraId="3EA0273D" w14:textId="21641066" w:rsidR="00B5347B" w:rsidRDefault="00B5347B" w:rsidP="008D1126">
      <w:pPr>
        <w:pStyle w:val="subsection"/>
      </w:pPr>
      <w:r>
        <w:tab/>
      </w:r>
      <w:r>
        <w:tab/>
        <w:t xml:space="preserve">To meet the requirements of these Guidelines, the Indigenous Workforce Strategy of a </w:t>
      </w:r>
      <w:r w:rsidR="00E276AC">
        <w:rPr>
          <w:i/>
        </w:rPr>
        <w:t xml:space="preserve">Table A provider </w:t>
      </w:r>
      <w:r w:rsidR="00E276AC">
        <w:t xml:space="preserve">or a </w:t>
      </w:r>
      <w:r w:rsidR="00E276AC">
        <w:rPr>
          <w:i/>
        </w:rPr>
        <w:t>Table B provider</w:t>
      </w:r>
      <w:r>
        <w:t xml:space="preserve"> must:</w:t>
      </w:r>
    </w:p>
    <w:p w14:paraId="2AADBF05" w14:textId="0FDC19F9" w:rsidR="00984852" w:rsidRDefault="00B5347B" w:rsidP="00984852">
      <w:pPr>
        <w:pStyle w:val="paragraph"/>
      </w:pPr>
      <w:r w:rsidRPr="00BE3917">
        <w:tab/>
        <w:t>(a)</w:t>
      </w:r>
      <w:r w:rsidRPr="00BE3917">
        <w:tab/>
      </w:r>
      <w:r>
        <w:t xml:space="preserve">include </w:t>
      </w:r>
      <w:r w:rsidR="002A60ED">
        <w:t>k</w:t>
      </w:r>
      <w:r>
        <w:t xml:space="preserve">ey </w:t>
      </w:r>
      <w:r w:rsidR="002A60ED">
        <w:t>p</w:t>
      </w:r>
      <w:r>
        <w:t xml:space="preserve">erformance </w:t>
      </w:r>
      <w:r w:rsidR="002A60ED">
        <w:t>i</w:t>
      </w:r>
      <w:r>
        <w:t>ndicators</w:t>
      </w:r>
      <w:r w:rsidR="00984852">
        <w:t xml:space="preserve">; </w:t>
      </w:r>
      <w:r w:rsidR="00892D08">
        <w:t>and</w:t>
      </w:r>
    </w:p>
    <w:p w14:paraId="6B03DF18" w14:textId="77777777" w:rsidR="008A46A0" w:rsidRDefault="00B5347B" w:rsidP="00B5347B">
      <w:pPr>
        <w:pStyle w:val="paragraph"/>
      </w:pPr>
      <w:r>
        <w:tab/>
        <w:t>(b</w:t>
      </w:r>
      <w:r w:rsidRPr="00BE3917">
        <w:t>)</w:t>
      </w:r>
      <w:r w:rsidRPr="00BE3917">
        <w:tab/>
      </w:r>
      <w:r>
        <w:t xml:space="preserve">prioritise </w:t>
      </w:r>
      <w:r w:rsidR="008A46A0">
        <w:t xml:space="preserve">the following matters: </w:t>
      </w:r>
    </w:p>
    <w:p w14:paraId="15EDE74C" w14:textId="2C17D64B" w:rsidR="008A46A0" w:rsidRDefault="008A46A0" w:rsidP="00686DBB">
      <w:pPr>
        <w:pStyle w:val="paragraphsub"/>
      </w:pPr>
      <w:r w:rsidRPr="00AA76A0">
        <w:tab/>
        <w:t>(i)</w:t>
      </w:r>
      <w:r w:rsidRPr="00AA76A0">
        <w:tab/>
      </w:r>
      <w:r w:rsidR="00B5347B">
        <w:t xml:space="preserve">increasing the number of academic </w:t>
      </w:r>
      <w:r w:rsidR="00A470BE">
        <w:t xml:space="preserve">employees </w:t>
      </w:r>
      <w:r w:rsidR="00B5347B">
        <w:t>engaged by the provider</w:t>
      </w:r>
      <w:r w:rsidR="00362C90">
        <w:t xml:space="preserve"> who are </w:t>
      </w:r>
      <w:r w:rsidR="00362C90" w:rsidRPr="00257126">
        <w:t>Indigenous persons</w:t>
      </w:r>
      <w:r w:rsidR="00B5347B">
        <w:t>; and</w:t>
      </w:r>
    </w:p>
    <w:p w14:paraId="421C8D21" w14:textId="2984C713" w:rsidR="008A46A0" w:rsidRPr="00AA76A0" w:rsidRDefault="008A46A0" w:rsidP="008A46A0">
      <w:pPr>
        <w:pStyle w:val="paragraphsub"/>
      </w:pPr>
      <w:r w:rsidRPr="00AA76A0">
        <w:tab/>
        <w:t>(i</w:t>
      </w:r>
      <w:r>
        <w:t>i</w:t>
      </w:r>
      <w:r w:rsidRPr="00AA76A0">
        <w:t>)</w:t>
      </w:r>
      <w:r w:rsidRPr="00AA76A0">
        <w:tab/>
      </w:r>
      <w:r>
        <w:t xml:space="preserve">the professional development and career advancement of academic </w:t>
      </w:r>
      <w:r w:rsidR="00A470BE">
        <w:t xml:space="preserve">employees </w:t>
      </w:r>
      <w:r>
        <w:t>engaged by the provider</w:t>
      </w:r>
      <w:r w:rsidR="00362C90">
        <w:t xml:space="preserve"> who are </w:t>
      </w:r>
      <w:r w:rsidR="00362C90" w:rsidRPr="0065646F">
        <w:t>Indigenous persons</w:t>
      </w:r>
      <w:r>
        <w:t xml:space="preserve">; and </w:t>
      </w:r>
    </w:p>
    <w:p w14:paraId="20800216" w14:textId="27B66A44" w:rsidR="00892D08" w:rsidRDefault="00984852" w:rsidP="00984852">
      <w:pPr>
        <w:pStyle w:val="paragraph"/>
      </w:pPr>
      <w:r>
        <w:tab/>
        <w:t>(c</w:t>
      </w:r>
      <w:r w:rsidRPr="00BE3917">
        <w:t>)</w:t>
      </w:r>
      <w:r w:rsidRPr="00BE3917">
        <w:tab/>
      </w:r>
      <w:r>
        <w:t xml:space="preserve">for the 2018 grant year and subsequent grant years, include a plan agreed by an administering officer </w:t>
      </w:r>
      <w:r w:rsidR="00DD49C0">
        <w:t xml:space="preserve">in writing </w:t>
      </w:r>
      <w:r>
        <w:t>that</w:t>
      </w:r>
      <w:r w:rsidR="00892D08">
        <w:t>:</w:t>
      </w:r>
    </w:p>
    <w:p w14:paraId="5E324CBD" w14:textId="77777777" w:rsidR="00892D08" w:rsidRDefault="00892D08" w:rsidP="00892D08">
      <w:pPr>
        <w:pStyle w:val="paragraphsub"/>
      </w:pPr>
      <w:r w:rsidRPr="00AA76A0">
        <w:tab/>
        <w:t>(i)</w:t>
      </w:r>
      <w:r w:rsidRPr="00AA76A0">
        <w:tab/>
      </w:r>
      <w:r w:rsidR="00984852">
        <w:t>increases the number of employees engaged by the provider who are Indigenous persons to at least 3 per cent of all employees of the provider</w:t>
      </w:r>
      <w:r>
        <w:t>; and</w:t>
      </w:r>
    </w:p>
    <w:p w14:paraId="71D09447" w14:textId="5123C218" w:rsidR="00892D08" w:rsidRDefault="00892D08" w:rsidP="00892D08">
      <w:pPr>
        <w:pStyle w:val="paragraphsub"/>
      </w:pPr>
      <w:r w:rsidRPr="00AA76A0">
        <w:tab/>
      </w:r>
      <w:r>
        <w:t>(</w:t>
      </w:r>
      <w:r w:rsidRPr="00E276AC">
        <w:t>ii)</w:t>
      </w:r>
      <w:r w:rsidRPr="00E276AC">
        <w:tab/>
      </w:r>
      <w:r w:rsidR="00B3419F">
        <w:t xml:space="preserve">provides for </w:t>
      </w:r>
      <w:r w:rsidRPr="00E276AC">
        <w:t>the employment of at least one Indigenous person as a senior executive employee at the level of Pro Vice-Chancellor or Deputy Vice</w:t>
      </w:r>
      <w:r w:rsidRPr="00E276AC">
        <w:noBreakHyphen/>
      </w:r>
      <w:r>
        <w:t>Chancellor, or equivalent level.</w:t>
      </w:r>
    </w:p>
    <w:p w14:paraId="7A9FA6DD" w14:textId="1F356361" w:rsidR="00984852" w:rsidRDefault="00984852" w:rsidP="00892D08">
      <w:pPr>
        <w:pStyle w:val="paragraphsub"/>
      </w:pPr>
      <w:r>
        <w:t xml:space="preserve"> </w:t>
      </w:r>
    </w:p>
    <w:p w14:paraId="7EBC9564" w14:textId="65D5F6D9" w:rsidR="000807D3" w:rsidRPr="005A65D5" w:rsidRDefault="000807D3" w:rsidP="000807D3">
      <w:pPr>
        <w:pStyle w:val="ActHead5"/>
      </w:pPr>
      <w:bookmarkStart w:id="97" w:name="_Toc467246519"/>
      <w:bookmarkStart w:id="98" w:name="_Toc468194433"/>
      <w:bookmarkStart w:id="99" w:name="_Toc468285031"/>
      <w:bookmarkStart w:id="100" w:name="_Toc468364316"/>
      <w:bookmarkStart w:id="101" w:name="_Toc469060364"/>
      <w:bookmarkStart w:id="102" w:name="_Toc469172055"/>
      <w:bookmarkStart w:id="103" w:name="_Toc469918088"/>
      <w:r>
        <w:t>1</w:t>
      </w:r>
      <w:r w:rsidR="00FF0EC0">
        <w:t>3</w:t>
      </w:r>
      <w:r w:rsidRPr="005A65D5">
        <w:t xml:space="preserve">  </w:t>
      </w:r>
      <w:r>
        <w:t>Indigenous Education Strategy</w:t>
      </w:r>
      <w:bookmarkEnd w:id="97"/>
      <w:bookmarkEnd w:id="98"/>
      <w:bookmarkEnd w:id="99"/>
      <w:bookmarkEnd w:id="100"/>
      <w:bookmarkEnd w:id="101"/>
      <w:bookmarkEnd w:id="102"/>
      <w:bookmarkEnd w:id="103"/>
    </w:p>
    <w:p w14:paraId="4EAF5E41" w14:textId="2CA1FF1D" w:rsidR="00B5347B" w:rsidRPr="00F84139" w:rsidRDefault="00B5347B" w:rsidP="00B5347B">
      <w:pPr>
        <w:pStyle w:val="subsection"/>
      </w:pPr>
      <w:r>
        <w:tab/>
      </w:r>
      <w:r>
        <w:tab/>
        <w:t xml:space="preserve">To meet the requirements of these Guidelines, the Indigenous Education Strategy of a </w:t>
      </w:r>
      <w:r w:rsidR="00E276AC">
        <w:rPr>
          <w:i/>
        </w:rPr>
        <w:t xml:space="preserve">Table A provider </w:t>
      </w:r>
      <w:r w:rsidR="00E276AC">
        <w:t xml:space="preserve">or a </w:t>
      </w:r>
      <w:r w:rsidR="00E276AC">
        <w:rPr>
          <w:i/>
        </w:rPr>
        <w:t>Table B provider</w:t>
      </w:r>
      <w:r>
        <w:t xml:space="preserve"> must:</w:t>
      </w:r>
    </w:p>
    <w:p w14:paraId="38BFC40C" w14:textId="6CACF266" w:rsidR="00B5347B" w:rsidRDefault="00B5347B" w:rsidP="00B5347B">
      <w:pPr>
        <w:pStyle w:val="paragraph"/>
      </w:pPr>
      <w:r w:rsidRPr="00BE3917">
        <w:tab/>
        <w:t>(a)</w:t>
      </w:r>
      <w:r w:rsidRPr="00BE3917">
        <w:tab/>
      </w:r>
      <w:r>
        <w:t xml:space="preserve">include </w:t>
      </w:r>
      <w:r w:rsidR="002A60ED">
        <w:t>k</w:t>
      </w:r>
      <w:r>
        <w:t xml:space="preserve">ey </w:t>
      </w:r>
      <w:r w:rsidR="002A60ED">
        <w:t>p</w:t>
      </w:r>
      <w:r>
        <w:t xml:space="preserve">erformance </w:t>
      </w:r>
      <w:r w:rsidR="002A60ED">
        <w:t>i</w:t>
      </w:r>
      <w:r>
        <w:t>ndicators; and</w:t>
      </w:r>
    </w:p>
    <w:p w14:paraId="2FD0D16F" w14:textId="621282DE" w:rsidR="00B5347B" w:rsidRDefault="00B5347B" w:rsidP="00B5347B">
      <w:pPr>
        <w:pStyle w:val="paragraph"/>
      </w:pPr>
      <w:r>
        <w:tab/>
        <w:t>(b</w:t>
      </w:r>
      <w:r w:rsidRPr="00BE3917">
        <w:t>)</w:t>
      </w:r>
      <w:r w:rsidRPr="00BE3917">
        <w:tab/>
      </w:r>
      <w:r>
        <w:t xml:space="preserve">prioritise increasing the number of Indigenous </w:t>
      </w:r>
      <w:r w:rsidR="001F1399">
        <w:t xml:space="preserve">students </w:t>
      </w:r>
      <w:r>
        <w:t xml:space="preserve">enrolling in, progressing in and completing courses leading to </w:t>
      </w:r>
      <w:r w:rsidRPr="00234629">
        <w:rPr>
          <w:i/>
        </w:rPr>
        <w:t>higher education awards</w:t>
      </w:r>
      <w:r>
        <w:t>; and</w:t>
      </w:r>
    </w:p>
    <w:p w14:paraId="78FF5754" w14:textId="1CBCAE6F" w:rsidR="00B5347B" w:rsidRDefault="00B5347B" w:rsidP="00B5347B">
      <w:pPr>
        <w:pStyle w:val="paragraph"/>
      </w:pPr>
      <w:r>
        <w:tab/>
        <w:t>(c</w:t>
      </w:r>
      <w:r w:rsidRPr="00BE3917">
        <w:t>)</w:t>
      </w:r>
      <w:r w:rsidRPr="00BE3917">
        <w:tab/>
      </w:r>
      <w:r>
        <w:t>facilitate, monitor and improve upon the inclusion of Indigenous knowledge in curricula, graduate attributes</w:t>
      </w:r>
      <w:r w:rsidR="00F272F8">
        <w:t>,</w:t>
      </w:r>
      <w:r>
        <w:t xml:space="preserve"> and teaching practices</w:t>
      </w:r>
      <w:r w:rsidR="003527DB">
        <w:t>; and</w:t>
      </w:r>
      <w:r>
        <w:t xml:space="preserve">  </w:t>
      </w:r>
    </w:p>
    <w:p w14:paraId="0A434595" w14:textId="7B335A82" w:rsidR="00476FE6" w:rsidRDefault="00FD6A78" w:rsidP="00686DBB">
      <w:pPr>
        <w:pStyle w:val="paragraph"/>
      </w:pPr>
      <w:r>
        <w:tab/>
        <w:t>(d</w:t>
      </w:r>
      <w:r w:rsidRPr="00BE3917">
        <w:t>)</w:t>
      </w:r>
      <w:r w:rsidRPr="00BE3917">
        <w:tab/>
      </w:r>
      <w:r w:rsidR="00476FE6">
        <w:t xml:space="preserve">include activities for </w:t>
      </w:r>
      <w:r w:rsidR="00476FE6">
        <w:rPr>
          <w:i/>
        </w:rPr>
        <w:t>students</w:t>
      </w:r>
      <w:r w:rsidR="00476FE6">
        <w:t xml:space="preserve"> and </w:t>
      </w:r>
      <w:r w:rsidR="00A470BE">
        <w:t xml:space="preserve">employees </w:t>
      </w:r>
      <w:r w:rsidR="00CA2860">
        <w:t xml:space="preserve">of the provider </w:t>
      </w:r>
      <w:r w:rsidR="00476FE6">
        <w:t xml:space="preserve">that promote cultural competency in Indigenous cultures, traditions and histories and the diversity of circumstances of Indigenous people in Australia. </w:t>
      </w:r>
    </w:p>
    <w:p w14:paraId="3E943F78" w14:textId="7C242196" w:rsidR="000807D3" w:rsidRPr="00351537" w:rsidRDefault="000807D3" w:rsidP="000807D3">
      <w:pPr>
        <w:pStyle w:val="ActHead3"/>
      </w:pPr>
      <w:bookmarkStart w:id="104" w:name="_Toc467246527"/>
      <w:bookmarkStart w:id="105" w:name="_Toc468194434"/>
      <w:bookmarkStart w:id="106" w:name="_Toc468285032"/>
      <w:bookmarkStart w:id="107" w:name="_Toc468364317"/>
      <w:bookmarkStart w:id="108" w:name="_Toc469060365"/>
      <w:bookmarkStart w:id="109" w:name="_Toc469172056"/>
      <w:bookmarkStart w:id="110" w:name="_Toc469918089"/>
      <w:r>
        <w:rPr>
          <w:rStyle w:val="CharDivNo"/>
        </w:rPr>
        <w:t xml:space="preserve">Part </w:t>
      </w:r>
      <w:r w:rsidR="00EB69FA">
        <w:rPr>
          <w:rStyle w:val="CharDivNo"/>
        </w:rPr>
        <w:t>4</w:t>
      </w:r>
      <w:r w:rsidRPr="00351537">
        <w:t>—</w:t>
      </w:r>
      <w:r>
        <w:rPr>
          <w:rStyle w:val="CharDivText"/>
        </w:rPr>
        <w:t>ISSP grant conditions (</w:t>
      </w:r>
      <w:r w:rsidR="000602FE">
        <w:rPr>
          <w:rStyle w:val="CharDivText"/>
        </w:rPr>
        <w:t>use and reporting</w:t>
      </w:r>
      <w:r>
        <w:rPr>
          <w:rStyle w:val="CharDivText"/>
        </w:rPr>
        <w:t>)</w:t>
      </w:r>
      <w:bookmarkEnd w:id="104"/>
      <w:bookmarkEnd w:id="105"/>
      <w:bookmarkEnd w:id="106"/>
      <w:bookmarkEnd w:id="107"/>
      <w:bookmarkEnd w:id="108"/>
      <w:bookmarkEnd w:id="109"/>
      <w:bookmarkEnd w:id="110"/>
    </w:p>
    <w:p w14:paraId="5853A52D" w14:textId="11297B25" w:rsidR="000807D3" w:rsidRPr="005A65D5" w:rsidRDefault="000807D3" w:rsidP="000807D3">
      <w:pPr>
        <w:pStyle w:val="ActHead5"/>
      </w:pPr>
      <w:bookmarkStart w:id="111" w:name="_Toc467246528"/>
      <w:bookmarkStart w:id="112" w:name="_Toc468194435"/>
      <w:bookmarkStart w:id="113" w:name="_Toc468285033"/>
      <w:bookmarkStart w:id="114" w:name="_Toc468364318"/>
      <w:bookmarkStart w:id="115" w:name="_Toc469060366"/>
      <w:bookmarkStart w:id="116" w:name="_Toc469172057"/>
      <w:bookmarkStart w:id="117" w:name="_Toc469918090"/>
      <w:r>
        <w:t>1</w:t>
      </w:r>
      <w:r w:rsidR="00FF0EC0">
        <w:t>4</w:t>
      </w:r>
      <w:r w:rsidRPr="005A65D5">
        <w:t xml:space="preserve">  </w:t>
      </w:r>
      <w:r w:rsidR="002342EC">
        <w:t>Using</w:t>
      </w:r>
      <w:r>
        <w:t xml:space="preserve"> ISSP grants</w:t>
      </w:r>
      <w:bookmarkEnd w:id="111"/>
      <w:bookmarkEnd w:id="112"/>
      <w:bookmarkEnd w:id="113"/>
      <w:bookmarkEnd w:id="114"/>
      <w:bookmarkEnd w:id="115"/>
      <w:bookmarkEnd w:id="116"/>
      <w:bookmarkEnd w:id="117"/>
    </w:p>
    <w:p w14:paraId="6C2033D4" w14:textId="5DFD1B02" w:rsidR="00050AB3" w:rsidRDefault="00AE3B41" w:rsidP="00AE3B41">
      <w:pPr>
        <w:pStyle w:val="subsection"/>
        <w:rPr>
          <w:bCs/>
        </w:rPr>
      </w:pPr>
      <w:r w:rsidRPr="00AE3B41">
        <w:tab/>
      </w:r>
      <w:r w:rsidR="005F1223">
        <w:t>(1)</w:t>
      </w:r>
      <w:r w:rsidRPr="00AE3B41">
        <w:tab/>
      </w:r>
      <w:r w:rsidR="00050AB3">
        <w:t>A</w:t>
      </w:r>
      <w:r>
        <w:rPr>
          <w:bCs/>
        </w:rPr>
        <w:t xml:space="preserve"> </w:t>
      </w:r>
      <w:r w:rsidRPr="003C073E">
        <w:rPr>
          <w:bCs/>
          <w:i/>
        </w:rPr>
        <w:t>higher education provider</w:t>
      </w:r>
      <w:r>
        <w:rPr>
          <w:bCs/>
        </w:rPr>
        <w:t xml:space="preserve"> that receives</w:t>
      </w:r>
      <w:r w:rsidR="00B7271A">
        <w:rPr>
          <w:bCs/>
        </w:rPr>
        <w:t xml:space="preserve"> an ISSP grant must use the</w:t>
      </w:r>
      <w:r>
        <w:rPr>
          <w:bCs/>
        </w:rPr>
        <w:t xml:space="preserve"> grant</w:t>
      </w:r>
      <w:r w:rsidR="00050AB3">
        <w:rPr>
          <w:bCs/>
        </w:rPr>
        <w:t>:</w:t>
      </w:r>
      <w:r>
        <w:rPr>
          <w:bCs/>
        </w:rPr>
        <w:t xml:space="preserve"> </w:t>
      </w:r>
    </w:p>
    <w:p w14:paraId="5F2AC2C0" w14:textId="4CD277ED" w:rsidR="00794DE5" w:rsidRDefault="00794DE5" w:rsidP="00050AB3">
      <w:pPr>
        <w:pStyle w:val="paragraph"/>
        <w:keepNext/>
        <w:keepLines/>
      </w:pPr>
      <w:r>
        <w:tab/>
        <w:t>(a</w:t>
      </w:r>
      <w:r w:rsidRPr="00AE3B41">
        <w:t>)</w:t>
      </w:r>
      <w:r w:rsidRPr="00AE3B41">
        <w:tab/>
      </w:r>
      <w:r>
        <w:t>to administer and deliver any or all of the activities specified in these Guidelines, including any activities the provider is required to deliver under these Guidelines; and</w:t>
      </w:r>
    </w:p>
    <w:p w14:paraId="42CC251C" w14:textId="3DBEDFEE" w:rsidR="00050AB3" w:rsidRDefault="00050AB3" w:rsidP="00050AB3">
      <w:pPr>
        <w:pStyle w:val="paragraph"/>
        <w:keepNext/>
        <w:keepLines/>
      </w:pPr>
      <w:r w:rsidRPr="00AE3B41">
        <w:tab/>
        <w:t>(</w:t>
      </w:r>
      <w:r w:rsidR="00794DE5">
        <w:t>b</w:t>
      </w:r>
      <w:r w:rsidRPr="00AE3B41">
        <w:t>)</w:t>
      </w:r>
      <w:r w:rsidRPr="00AE3B41">
        <w:tab/>
      </w:r>
      <w:r>
        <w:t>in the grant year</w:t>
      </w:r>
      <w:r w:rsidR="00B7271A">
        <w:t>, unless the Secretary has made a determination under subsection 38-40 of the Act in relation to the provider</w:t>
      </w:r>
      <w:r>
        <w:t>; and</w:t>
      </w:r>
    </w:p>
    <w:p w14:paraId="1D996F3B" w14:textId="25E2ED40" w:rsidR="00A61926" w:rsidRDefault="00314B0F" w:rsidP="00050AB3">
      <w:pPr>
        <w:pStyle w:val="paragraph"/>
        <w:keepNext/>
        <w:keepLines/>
        <w:rPr>
          <w:bCs/>
        </w:rPr>
      </w:pPr>
      <w:r>
        <w:tab/>
      </w:r>
      <w:r w:rsidRPr="002659AB">
        <w:t>(</w:t>
      </w:r>
      <w:r w:rsidR="00794DE5" w:rsidRPr="002659AB">
        <w:t>c</w:t>
      </w:r>
      <w:r w:rsidRPr="002659AB">
        <w:t>)</w:t>
      </w:r>
      <w:r w:rsidRPr="002659AB">
        <w:tab/>
        <w:t xml:space="preserve">to supplement </w:t>
      </w:r>
      <w:r w:rsidR="007F6D35" w:rsidRPr="00B45DFD">
        <w:rPr>
          <w:bCs/>
        </w:rPr>
        <w:t xml:space="preserve">at least some of the </w:t>
      </w:r>
      <w:r w:rsidRPr="002659AB">
        <w:t xml:space="preserve">activities of the provider </w:t>
      </w:r>
      <w:r w:rsidR="00853F1D" w:rsidRPr="002659AB">
        <w:t xml:space="preserve">established using a grant paid to the provider under </w:t>
      </w:r>
      <w:r w:rsidR="0025248E" w:rsidRPr="002659AB">
        <w:t>other Parts</w:t>
      </w:r>
      <w:r w:rsidR="00853F1D" w:rsidRPr="002659AB">
        <w:t xml:space="preserve"> of the Act</w:t>
      </w:r>
      <w:r w:rsidR="00DA7F38" w:rsidRPr="002659AB">
        <w:t>.</w:t>
      </w:r>
    </w:p>
    <w:p w14:paraId="274E962B" w14:textId="1A501C57" w:rsidR="00794DE5" w:rsidRPr="0009053E" w:rsidRDefault="005E3DB9" w:rsidP="000B4FC4">
      <w:pPr>
        <w:pStyle w:val="notetext"/>
      </w:pPr>
      <w:r w:rsidRPr="00C05EBD">
        <w:t xml:space="preserve">Note: </w:t>
      </w:r>
      <w:r w:rsidRPr="00C05EBD">
        <w:tab/>
      </w:r>
      <w:r w:rsidR="00503ED8">
        <w:t xml:space="preserve">A </w:t>
      </w:r>
      <w:r w:rsidR="00503ED8">
        <w:rPr>
          <w:i/>
        </w:rPr>
        <w:t xml:space="preserve">higher education </w:t>
      </w:r>
      <w:r w:rsidR="00794DE5">
        <w:rPr>
          <w:i/>
        </w:rPr>
        <w:t xml:space="preserve">provider </w:t>
      </w:r>
      <w:r w:rsidR="00794DE5">
        <w:t xml:space="preserve">may be required to use an ISSP grant to award scholarships to Indigenous students and to provide certain support for Indigenous students: see sections </w:t>
      </w:r>
      <w:r w:rsidR="002A6EC2">
        <w:t>28(</w:t>
      </w:r>
      <w:r w:rsidR="00F00118">
        <w:t>5</w:t>
      </w:r>
      <w:r w:rsidR="002A6EC2">
        <w:t xml:space="preserve">) </w:t>
      </w:r>
      <w:r w:rsidR="00794DE5">
        <w:t xml:space="preserve">and </w:t>
      </w:r>
      <w:r w:rsidR="002A6EC2">
        <w:t>34</w:t>
      </w:r>
      <w:r w:rsidR="00794DE5">
        <w:t xml:space="preserve"> of these Guidelines. </w:t>
      </w:r>
    </w:p>
    <w:p w14:paraId="3F559C2B" w14:textId="1F9F6769" w:rsidR="00794DE5" w:rsidRDefault="00794DE5" w:rsidP="000B4FC4">
      <w:pPr>
        <w:pStyle w:val="notetext"/>
      </w:pPr>
      <w:r w:rsidRPr="00C05EBD">
        <w:t xml:space="preserve"> </w:t>
      </w:r>
      <w:r w:rsidRPr="00C05EBD">
        <w:tab/>
      </w:r>
      <w:r w:rsidR="00503ED8">
        <w:t xml:space="preserve">A </w:t>
      </w:r>
      <w:r w:rsidR="00503ED8">
        <w:rPr>
          <w:i/>
        </w:rPr>
        <w:t>higher education provider’</w:t>
      </w:r>
      <w:r w:rsidR="00245C29">
        <w:rPr>
          <w:i/>
        </w:rPr>
        <w:t xml:space="preserve">s </w:t>
      </w:r>
      <w:r w:rsidR="00503ED8">
        <w:t xml:space="preserve">approval </w:t>
      </w:r>
      <w:r w:rsidR="00D67144">
        <w:t xml:space="preserve">may be revoked if the provider fails to comply with, relevantly, the Act and any Guidelines made under section 238-10 of the Act that apply to the provider: see sections 19-65 and 22-15 of the Act. </w:t>
      </w:r>
    </w:p>
    <w:p w14:paraId="35D06723" w14:textId="0C1135D0" w:rsidR="006E6301" w:rsidRDefault="00794DE5" w:rsidP="000B4FC4">
      <w:pPr>
        <w:pStyle w:val="notetext"/>
      </w:pPr>
      <w:r w:rsidRPr="00C05EBD">
        <w:t xml:space="preserve"> </w:t>
      </w:r>
      <w:r w:rsidRPr="00C05EBD">
        <w:tab/>
      </w:r>
      <w:r w:rsidR="006E6301">
        <w:t xml:space="preserve">The Act </w:t>
      </w:r>
      <w:r w:rsidR="00D67144">
        <w:t>stipulates</w:t>
      </w:r>
      <w:r w:rsidR="006E6301">
        <w:t xml:space="preserve"> rules for the treatment of unspent grant amounts, reduction and repayment of </w:t>
      </w:r>
      <w:r w:rsidR="00BC6CA2">
        <w:t>grants</w:t>
      </w:r>
      <w:r w:rsidR="006E6301">
        <w:t xml:space="preserve">, and overpayment. Specifically: </w:t>
      </w:r>
    </w:p>
    <w:p w14:paraId="28894957" w14:textId="7F65F375" w:rsidR="006E6301" w:rsidRPr="009C2562" w:rsidRDefault="006E6301" w:rsidP="006E6301">
      <w:pPr>
        <w:pStyle w:val="notepara"/>
      </w:pPr>
      <w:r w:rsidRPr="009C2562">
        <w:t>(</w:t>
      </w:r>
      <w:r>
        <w:t>a</w:t>
      </w:r>
      <w:r w:rsidRPr="009C2562">
        <w:t>)</w:t>
      </w:r>
      <w:r w:rsidRPr="009C2562">
        <w:tab/>
      </w:r>
      <w:r>
        <w:t>section 38-40 of the Act enables the Secretary to rollover unspent grant amounts</w:t>
      </w:r>
      <w:r w:rsidR="00D67144">
        <w:t xml:space="preserve"> paid under Part 2-2A of the Act</w:t>
      </w:r>
      <w:r>
        <w:t xml:space="preserve"> to the next year</w:t>
      </w:r>
      <w:r w:rsidRPr="009C2562">
        <w:t>;</w:t>
      </w:r>
    </w:p>
    <w:p w14:paraId="35CF63BA" w14:textId="2C85F0D6" w:rsidR="006E6301" w:rsidRDefault="006E6301" w:rsidP="006E6301">
      <w:pPr>
        <w:pStyle w:val="notepara"/>
      </w:pPr>
      <w:r>
        <w:t>(b</w:t>
      </w:r>
      <w:r w:rsidRPr="009C2562">
        <w:t>)</w:t>
      </w:r>
      <w:r w:rsidRPr="009C2562">
        <w:tab/>
      </w:r>
      <w:r>
        <w:t xml:space="preserve">Part 2-5 of the Act provides that a </w:t>
      </w:r>
      <w:r>
        <w:rPr>
          <w:i/>
        </w:rPr>
        <w:t>higher education provider</w:t>
      </w:r>
      <w:r>
        <w:t xml:space="preserve"> may have their grants reduced, or be required to repay a grant, for breaches of conditions of grants</w:t>
      </w:r>
      <w:r w:rsidR="00D67144">
        <w:t>, including grants</w:t>
      </w:r>
      <w:r>
        <w:t xml:space="preserve"> under Part 2-2A</w:t>
      </w:r>
      <w:r w:rsidR="008A7BA3">
        <w:t xml:space="preserve"> of the Act</w:t>
      </w:r>
      <w:r w:rsidRPr="009C2562">
        <w:t>;</w:t>
      </w:r>
    </w:p>
    <w:p w14:paraId="13ADD6D8" w14:textId="2EF5877E" w:rsidR="00B72097" w:rsidRDefault="006E6301">
      <w:pPr>
        <w:pStyle w:val="notepara"/>
      </w:pPr>
      <w:r>
        <w:t>(c</w:t>
      </w:r>
      <w:r w:rsidRPr="009C2562">
        <w:t>)</w:t>
      </w:r>
      <w:r w:rsidR="00AF032A" w:rsidRPr="00C05EBD">
        <w:tab/>
      </w:r>
      <w:r w:rsidR="00AF032A">
        <w:t xml:space="preserve">Section 164-15 of the Act provides that an overpayment of an amount made to a </w:t>
      </w:r>
      <w:r w:rsidR="00AF032A">
        <w:rPr>
          <w:i/>
        </w:rPr>
        <w:t>higher education provider</w:t>
      </w:r>
      <w:r w:rsidR="00AF032A">
        <w:t xml:space="preserve"> may be deducted from a future </w:t>
      </w:r>
      <w:r w:rsidR="002A0FAE">
        <w:t>amount payable</w:t>
      </w:r>
      <w:r w:rsidR="00AF032A">
        <w:t xml:space="preserve"> or recovered as a debt due to the Commonwealth. </w:t>
      </w:r>
    </w:p>
    <w:p w14:paraId="4CD1C296" w14:textId="65213A35" w:rsidR="008901BE" w:rsidRDefault="008901BE" w:rsidP="0065646F">
      <w:pPr>
        <w:pStyle w:val="subsection"/>
      </w:pPr>
      <w:r w:rsidRPr="00AE3B41">
        <w:tab/>
      </w:r>
      <w:r>
        <w:t>(2)</w:t>
      </w:r>
      <w:r w:rsidRPr="00AE3B41">
        <w:tab/>
      </w:r>
      <w:r w:rsidR="00D8053E">
        <w:t>A</w:t>
      </w:r>
      <w:r w:rsidR="00733A02">
        <w:t xml:space="preserve"> </w:t>
      </w:r>
      <w:r w:rsidR="00D8053E" w:rsidRPr="000B4FC4">
        <w:rPr>
          <w:i/>
        </w:rPr>
        <w:t xml:space="preserve">higher </w:t>
      </w:r>
      <w:r w:rsidR="00D8053E" w:rsidRPr="00507237">
        <w:rPr>
          <w:i/>
        </w:rPr>
        <w:t>education</w:t>
      </w:r>
      <w:r w:rsidR="00362A7E" w:rsidRPr="003C073E">
        <w:rPr>
          <w:i/>
        </w:rPr>
        <w:t xml:space="preserve"> provider</w:t>
      </w:r>
      <w:r w:rsidR="00D8053E">
        <w:t xml:space="preserve"> must hold all unspent ISSP grant money in an account that meets the following criteria:   </w:t>
      </w:r>
    </w:p>
    <w:p w14:paraId="0123ACA6" w14:textId="2F18B6E6" w:rsidR="00D8053E" w:rsidRDefault="008901BE" w:rsidP="0065646F">
      <w:pPr>
        <w:pStyle w:val="paragraph"/>
        <w:keepNext/>
        <w:keepLines/>
      </w:pPr>
      <w:r>
        <w:tab/>
        <w:t>(a</w:t>
      </w:r>
      <w:r w:rsidRPr="00AE3B41">
        <w:t>)</w:t>
      </w:r>
      <w:r w:rsidRPr="00AE3B41">
        <w:tab/>
      </w:r>
      <w:r w:rsidR="00D8053E">
        <w:t xml:space="preserve">the account is with a deposit-taking institution authorised under the </w:t>
      </w:r>
      <w:r w:rsidR="00D8053E">
        <w:rPr>
          <w:i/>
        </w:rPr>
        <w:t xml:space="preserve">Banking Act 1959 </w:t>
      </w:r>
      <w:r w:rsidR="00D8053E">
        <w:t>(</w:t>
      </w:r>
      <w:proofErr w:type="spellStart"/>
      <w:r w:rsidR="00D8053E">
        <w:t>Cth</w:t>
      </w:r>
      <w:proofErr w:type="spellEnd"/>
      <w:r w:rsidR="00D8053E">
        <w:t>) to carry on business in Australia; and</w:t>
      </w:r>
    </w:p>
    <w:p w14:paraId="709B43A7" w14:textId="08F6C134" w:rsidR="00D8053E" w:rsidRDefault="008901BE" w:rsidP="0065646F">
      <w:pPr>
        <w:pStyle w:val="paragraph"/>
        <w:keepNext/>
        <w:keepLines/>
      </w:pPr>
      <w:r>
        <w:tab/>
        <w:t>(b</w:t>
      </w:r>
      <w:r w:rsidRPr="00AE3B41">
        <w:t>)</w:t>
      </w:r>
      <w:r w:rsidRPr="00AE3B41">
        <w:tab/>
      </w:r>
      <w:r w:rsidR="00D8053E">
        <w:t xml:space="preserve">the account is in the name of the </w:t>
      </w:r>
      <w:r w:rsidR="00C2261D">
        <w:t>p</w:t>
      </w:r>
      <w:r w:rsidR="00D8053E">
        <w:t>rovider; and</w:t>
      </w:r>
    </w:p>
    <w:p w14:paraId="3F16F1FD" w14:textId="1732754C" w:rsidR="00D8053E" w:rsidRPr="00D8053E" w:rsidRDefault="00BA0BCF" w:rsidP="00B45DFD">
      <w:pPr>
        <w:pStyle w:val="paragraph"/>
        <w:keepNext/>
        <w:keepLines/>
      </w:pPr>
      <w:r>
        <w:tab/>
        <w:t>(c</w:t>
      </w:r>
      <w:r w:rsidRPr="00AE3B41">
        <w:t>)</w:t>
      </w:r>
      <w:r w:rsidRPr="00AE3B41">
        <w:tab/>
      </w:r>
      <w:r w:rsidR="00D8053E">
        <w:t>the account is wholly controlled by the</w:t>
      </w:r>
      <w:r w:rsidR="00362A7E">
        <w:t xml:space="preserve"> </w:t>
      </w:r>
      <w:r w:rsidR="00D8053E">
        <w:t xml:space="preserve">provider. </w:t>
      </w:r>
    </w:p>
    <w:p w14:paraId="71B0B29F" w14:textId="72657F71" w:rsidR="00D8053E" w:rsidRDefault="00D8053E" w:rsidP="00D8053E">
      <w:pPr>
        <w:pStyle w:val="subsection"/>
      </w:pPr>
      <w:r>
        <w:tab/>
        <w:t>(3</w:t>
      </w:r>
      <w:r w:rsidRPr="00AE3B41">
        <w:t>)</w:t>
      </w:r>
      <w:r w:rsidRPr="00AE3B41">
        <w:tab/>
      </w:r>
      <w:r>
        <w:t>A</w:t>
      </w:r>
      <w:r w:rsidR="00362A7E">
        <w:t xml:space="preserve"> </w:t>
      </w:r>
      <w:r w:rsidRPr="003C073E">
        <w:rPr>
          <w:i/>
        </w:rPr>
        <w:t xml:space="preserve">higher education </w:t>
      </w:r>
      <w:r w:rsidR="00C2261D" w:rsidRPr="003C073E">
        <w:rPr>
          <w:i/>
        </w:rPr>
        <w:t>provider</w:t>
      </w:r>
      <w:r w:rsidR="00C2261D">
        <w:t xml:space="preserve"> </w:t>
      </w:r>
      <w:r>
        <w:t xml:space="preserve">must manage its account and financial records so that all receipts and expenditure of an ISSP grant are clearly identifiable and ascertainable at all times. </w:t>
      </w:r>
    </w:p>
    <w:p w14:paraId="7F48488E" w14:textId="05CAA833" w:rsidR="00293A1A" w:rsidRPr="005A65D5" w:rsidRDefault="00293A1A" w:rsidP="00293A1A">
      <w:pPr>
        <w:pStyle w:val="ActHead5"/>
      </w:pPr>
      <w:bookmarkStart w:id="118" w:name="_Toc467246529"/>
      <w:bookmarkStart w:id="119" w:name="_Toc468194436"/>
      <w:bookmarkStart w:id="120" w:name="_Toc468285034"/>
      <w:bookmarkStart w:id="121" w:name="_Toc468364319"/>
      <w:bookmarkStart w:id="122" w:name="_Toc469060367"/>
      <w:bookmarkStart w:id="123" w:name="_Toc469172058"/>
      <w:bookmarkStart w:id="124" w:name="_Toc469918091"/>
      <w:r>
        <w:t>1</w:t>
      </w:r>
      <w:r w:rsidR="00FF0EC0">
        <w:t>5</w:t>
      </w:r>
      <w:r w:rsidRPr="005A65D5">
        <w:t xml:space="preserve">  </w:t>
      </w:r>
      <w:r>
        <w:t>Excluded use</w:t>
      </w:r>
      <w:bookmarkEnd w:id="118"/>
      <w:bookmarkEnd w:id="119"/>
      <w:bookmarkEnd w:id="120"/>
      <w:bookmarkEnd w:id="121"/>
      <w:bookmarkEnd w:id="122"/>
      <w:bookmarkEnd w:id="123"/>
      <w:bookmarkEnd w:id="124"/>
    </w:p>
    <w:p w14:paraId="13147B1B" w14:textId="5FC61F5F" w:rsidR="00293A1A" w:rsidRDefault="00ED7F60" w:rsidP="00293A1A">
      <w:pPr>
        <w:pStyle w:val="subsection"/>
      </w:pPr>
      <w:r>
        <w:tab/>
      </w:r>
      <w:r w:rsidR="00293A1A" w:rsidRPr="00BA2D11">
        <w:tab/>
      </w:r>
      <w:r w:rsidR="00293A1A">
        <w:t xml:space="preserve">A </w:t>
      </w:r>
      <w:r w:rsidR="00293A1A" w:rsidRPr="003C073E">
        <w:rPr>
          <w:i/>
        </w:rPr>
        <w:t>higher education provider</w:t>
      </w:r>
      <w:r w:rsidR="00293A1A">
        <w:t xml:space="preserve"> must not use an ISSP grant for any of the following purposes: </w:t>
      </w:r>
    </w:p>
    <w:p w14:paraId="0924A5C1" w14:textId="7587B2E2" w:rsidR="00513B01" w:rsidRPr="00932C4A" w:rsidRDefault="00293A1A">
      <w:pPr>
        <w:pStyle w:val="paragraph"/>
      </w:pPr>
      <w:r>
        <w:tab/>
      </w:r>
      <w:r w:rsidRPr="00530261">
        <w:t>(a)</w:t>
      </w:r>
      <w:r w:rsidRPr="00530261">
        <w:tab/>
        <w:t xml:space="preserve">administering any aspect of the provider’s business other than delivery of activities </w:t>
      </w:r>
      <w:r w:rsidR="00C2261D" w:rsidRPr="00932C4A">
        <w:t>specified</w:t>
      </w:r>
      <w:r w:rsidRPr="00932C4A">
        <w:t xml:space="preserve"> in these Guidelines</w:t>
      </w:r>
      <w:r w:rsidR="00513B01" w:rsidRPr="00932C4A">
        <w:t>, except in the following circumstances:</w:t>
      </w:r>
    </w:p>
    <w:p w14:paraId="7B86325B" w14:textId="1491DB6F" w:rsidR="00265D5D" w:rsidRPr="000A041C" w:rsidRDefault="00265D5D">
      <w:pPr>
        <w:pStyle w:val="paragraphsub"/>
      </w:pPr>
      <w:r w:rsidRPr="000A041C">
        <w:tab/>
        <w:t>(i)</w:t>
      </w:r>
      <w:r w:rsidRPr="000A041C">
        <w:tab/>
        <w:t xml:space="preserve">the business activity is the delivery of a </w:t>
      </w:r>
      <w:r w:rsidRPr="000A041C">
        <w:rPr>
          <w:i/>
        </w:rPr>
        <w:t>unit of study</w:t>
      </w:r>
      <w:r w:rsidRPr="000A041C">
        <w:t xml:space="preserve"> about Indigenous </w:t>
      </w:r>
      <w:r w:rsidR="00530735" w:rsidRPr="000A041C">
        <w:t>societies and cultures</w:t>
      </w:r>
      <w:r w:rsidRPr="000A041C">
        <w:t>; and</w:t>
      </w:r>
    </w:p>
    <w:p w14:paraId="2D4E83C7" w14:textId="0CC03312" w:rsidR="009871E8" w:rsidRPr="000A041C" w:rsidRDefault="009871E8">
      <w:pPr>
        <w:pStyle w:val="paragraphsub"/>
      </w:pPr>
      <w:r w:rsidRPr="000A041C">
        <w:tab/>
        <w:t>(</w:t>
      </w:r>
      <w:r w:rsidR="000B272B" w:rsidRPr="000A041C">
        <w:t>i</w:t>
      </w:r>
      <w:r w:rsidRPr="000A041C">
        <w:t>i)</w:t>
      </w:r>
      <w:r w:rsidRPr="000A041C">
        <w:tab/>
        <w:t xml:space="preserve">in the year before these Guidelines commenced, the provider </w:t>
      </w:r>
      <w:r w:rsidR="00265D5D" w:rsidRPr="000A041C">
        <w:t xml:space="preserve">used a grant </w:t>
      </w:r>
      <w:r w:rsidRPr="000A041C">
        <w:t xml:space="preserve">received under the Indigenous Support Program </w:t>
      </w:r>
      <w:r w:rsidR="00265D5D" w:rsidRPr="000A041C">
        <w:t xml:space="preserve">to deliver the same </w:t>
      </w:r>
      <w:r w:rsidR="000B272B" w:rsidRPr="000A041C">
        <w:t xml:space="preserve">business </w:t>
      </w:r>
      <w:r w:rsidR="00265D5D" w:rsidRPr="000A041C">
        <w:t>activity</w:t>
      </w:r>
      <w:r w:rsidRPr="000A041C">
        <w:t>; and</w:t>
      </w:r>
    </w:p>
    <w:p w14:paraId="13C376AE" w14:textId="55D418A9" w:rsidR="00293A1A" w:rsidRDefault="00265D5D" w:rsidP="000B4FC4">
      <w:pPr>
        <w:pStyle w:val="paragraphsub"/>
      </w:pPr>
      <w:r w:rsidRPr="000A041C">
        <w:tab/>
        <w:t>(ii</w:t>
      </w:r>
      <w:r w:rsidR="000B272B" w:rsidRPr="000A041C">
        <w:t>i</w:t>
      </w:r>
      <w:r w:rsidRPr="000A041C">
        <w:t>)</w:t>
      </w:r>
      <w:r w:rsidRPr="000A041C">
        <w:tab/>
        <w:t>an administering officer has approved a transition plan prepared by the provider committing the provider to cease using an ISSP grant to deliver th</w:t>
      </w:r>
      <w:r w:rsidR="000B272B" w:rsidRPr="000A041C">
        <w:t>at business</w:t>
      </w:r>
      <w:r w:rsidRPr="000A041C">
        <w:t xml:space="preserve"> activity by the end of an agreed period of </w:t>
      </w:r>
      <w:r w:rsidR="00133F17" w:rsidRPr="000A041C">
        <w:t>time;</w:t>
      </w:r>
      <w:r w:rsidRPr="000A041C">
        <w:t xml:space="preserve">  </w:t>
      </w:r>
    </w:p>
    <w:p w14:paraId="4CACA9B5" w14:textId="4473FA21" w:rsidR="00293A1A" w:rsidRDefault="00293A1A" w:rsidP="00293A1A">
      <w:pPr>
        <w:pStyle w:val="paragraph"/>
      </w:pPr>
      <w:r>
        <w:tab/>
      </w:r>
      <w:r w:rsidRPr="00530261">
        <w:t>(b)</w:t>
      </w:r>
      <w:r w:rsidRPr="00530261">
        <w:tab/>
        <w:t xml:space="preserve">duplicating </w:t>
      </w:r>
      <w:r w:rsidR="007F6B17" w:rsidRPr="00530261">
        <w:t>an amount</w:t>
      </w:r>
      <w:r w:rsidRPr="00932C4A">
        <w:t xml:space="preserve"> obtained </w:t>
      </w:r>
      <w:r w:rsidR="007F6B17" w:rsidRPr="00932C4A">
        <w:t>by the provider or paid to</w:t>
      </w:r>
      <w:r w:rsidR="0016321C">
        <w:t xml:space="preserve"> an</w:t>
      </w:r>
      <w:r w:rsidR="007F6B17" w:rsidRPr="00932C4A">
        <w:t xml:space="preserve"> </w:t>
      </w:r>
      <w:r w:rsidR="00131503" w:rsidRPr="000B4FC4">
        <w:t>Indigenous student</w:t>
      </w:r>
      <w:r w:rsidR="00131503" w:rsidRPr="00932C4A">
        <w:t xml:space="preserve"> </w:t>
      </w:r>
      <w:r w:rsidRPr="00932C4A">
        <w:t xml:space="preserve">from other Commonwealth sources; </w:t>
      </w:r>
    </w:p>
    <w:p w14:paraId="7540D6E4" w14:textId="71F73FC5" w:rsidR="00815D49" w:rsidRPr="000F5604" w:rsidRDefault="00293A1A" w:rsidP="00D6041F">
      <w:pPr>
        <w:pStyle w:val="paragraph"/>
      </w:pPr>
      <w:r>
        <w:tab/>
      </w:r>
      <w:r w:rsidRPr="00A03281">
        <w:t>(</w:t>
      </w:r>
      <w:r w:rsidR="00616DE5">
        <w:t>c</w:t>
      </w:r>
      <w:r w:rsidRPr="00A03281">
        <w:t>)</w:t>
      </w:r>
      <w:r w:rsidRPr="00A03281">
        <w:tab/>
      </w:r>
      <w:r w:rsidR="00815D49" w:rsidRPr="00A03281">
        <w:t>providing incentives</w:t>
      </w:r>
      <w:r w:rsidR="00815D49" w:rsidRPr="000F5604">
        <w:t xml:space="preserve"> to a</w:t>
      </w:r>
      <w:r w:rsidR="004F2246">
        <w:t>n employee</w:t>
      </w:r>
      <w:r w:rsidR="00FA19D9" w:rsidRPr="000F5604">
        <w:t xml:space="preserve">, unless the activity is </w:t>
      </w:r>
      <w:r w:rsidR="00847103">
        <w:t>specified in</w:t>
      </w:r>
      <w:r w:rsidR="00FA19D9" w:rsidRPr="000F5604">
        <w:t xml:space="preserve"> these Guidelines</w:t>
      </w:r>
      <w:r w:rsidR="00815D49" w:rsidRPr="000F5604">
        <w:t>;</w:t>
      </w:r>
    </w:p>
    <w:p w14:paraId="7D4F4B6A" w14:textId="04604111" w:rsidR="00A22DD2" w:rsidRDefault="00815D49" w:rsidP="00C137EF">
      <w:pPr>
        <w:pStyle w:val="paragraph"/>
      </w:pPr>
      <w:r w:rsidRPr="009303DF">
        <w:tab/>
        <w:t>(</w:t>
      </w:r>
      <w:r w:rsidR="00616DE5">
        <w:t>d</w:t>
      </w:r>
      <w:r w:rsidRPr="009303DF">
        <w:t>)</w:t>
      </w:r>
      <w:r w:rsidRPr="009303DF">
        <w:tab/>
      </w:r>
      <w:r w:rsidR="00C137EF" w:rsidRPr="00B45DFD">
        <w:t>funding corporate or administrative savings or dividends</w:t>
      </w:r>
      <w:r w:rsidR="008E1C6E" w:rsidRPr="00B45DFD">
        <w:t xml:space="preserve">; </w:t>
      </w:r>
    </w:p>
    <w:p w14:paraId="1569DE05" w14:textId="7BACDCF3" w:rsidR="00865143" w:rsidRPr="003C073E" w:rsidRDefault="00616DE5" w:rsidP="00865143">
      <w:pPr>
        <w:pStyle w:val="paragraph"/>
      </w:pPr>
      <w:r>
        <w:tab/>
        <w:t>(e</w:t>
      </w:r>
      <w:r w:rsidR="00865143" w:rsidRPr="00A57435">
        <w:t>)</w:t>
      </w:r>
      <w:r w:rsidR="00865143" w:rsidRPr="00A57435">
        <w:tab/>
      </w:r>
      <w:r w:rsidR="00865143">
        <w:t>discharg</w:t>
      </w:r>
      <w:r w:rsidR="00E673CF">
        <w:t>ing</w:t>
      </w:r>
      <w:r w:rsidR="00865143">
        <w:t xml:space="preserve"> any financial or other obligation of an Indigenous student, unless the student is in </w:t>
      </w:r>
      <w:r w:rsidR="00865143" w:rsidRPr="000F5604">
        <w:t>receipt of an Indigenous Commonwealth Education Costs Scholarship and the student makes a request in writing for an amount of the scholarship to be used to pay a loan</w:t>
      </w:r>
      <w:r w:rsidR="00865143" w:rsidRPr="003C073E">
        <w:t>,</w:t>
      </w:r>
      <w:r w:rsidR="00865143" w:rsidRPr="00A03281">
        <w:t xml:space="preserve"> </w:t>
      </w:r>
      <w:r w:rsidR="00865143" w:rsidRPr="003C073E">
        <w:t xml:space="preserve">owed by the student, </w:t>
      </w:r>
      <w:r w:rsidR="00865143" w:rsidRPr="00A03281">
        <w:t>that has an education purpose</w:t>
      </w:r>
      <w:r w:rsidR="00865143" w:rsidRPr="003C073E">
        <w:t>;</w:t>
      </w:r>
    </w:p>
    <w:p w14:paraId="1F0597CB" w14:textId="31A543D3" w:rsidR="00D6041F" w:rsidRPr="00B72D0F" w:rsidRDefault="00D6041F" w:rsidP="00D6041F">
      <w:pPr>
        <w:pStyle w:val="paragraph"/>
      </w:pPr>
      <w:r>
        <w:t xml:space="preserve"> </w:t>
      </w:r>
      <w:r w:rsidR="003B04C3">
        <w:tab/>
      </w:r>
      <w:r w:rsidR="003B04C3" w:rsidRPr="00B72D0F">
        <w:t>(</w:t>
      </w:r>
      <w:r w:rsidR="00616DE5" w:rsidRPr="00B45DFD">
        <w:t>f</w:t>
      </w:r>
      <w:r w:rsidR="003B04C3" w:rsidRPr="00B72D0F">
        <w:t>)</w:t>
      </w:r>
      <w:r w:rsidR="003B04C3" w:rsidRPr="00B72D0F">
        <w:tab/>
        <w:t xml:space="preserve">providing </w:t>
      </w:r>
      <w:r w:rsidR="007A325A" w:rsidRPr="00B72D0F">
        <w:t>assistance</w:t>
      </w:r>
      <w:r w:rsidR="007A325A" w:rsidRPr="00B72D0F">
        <w:rPr>
          <w:i/>
        </w:rPr>
        <w:t xml:space="preserve"> </w:t>
      </w:r>
      <w:r w:rsidR="007A325A" w:rsidRPr="00B72D0F">
        <w:t xml:space="preserve">to </w:t>
      </w:r>
      <w:r w:rsidR="00743D47" w:rsidRPr="00B72D0F">
        <w:t>a</w:t>
      </w:r>
      <w:r w:rsidR="008E70DD" w:rsidRPr="00B72D0F">
        <w:t>n Indigenous</w:t>
      </w:r>
      <w:r w:rsidR="00743D47" w:rsidRPr="00B72D0F">
        <w:t xml:space="preserve"> </w:t>
      </w:r>
      <w:r w:rsidR="007A325A" w:rsidRPr="00B72D0F">
        <w:t xml:space="preserve">student </w:t>
      </w:r>
      <w:r w:rsidR="007A325A" w:rsidRPr="00B45DFD">
        <w:rPr>
          <w:i/>
        </w:rPr>
        <w:t>enrolled</w:t>
      </w:r>
      <w:r w:rsidR="007A325A" w:rsidRPr="00B72D0F">
        <w:t xml:space="preserve"> in</w:t>
      </w:r>
      <w:r w:rsidR="00743D47" w:rsidRPr="00B72D0F">
        <w:t xml:space="preserve"> a</w:t>
      </w:r>
      <w:r w:rsidR="007A325A" w:rsidRPr="00B72D0F">
        <w:t xml:space="preserve"> </w:t>
      </w:r>
      <w:r w:rsidR="002560CB" w:rsidRPr="00B72D0F">
        <w:rPr>
          <w:i/>
        </w:rPr>
        <w:t>VET</w:t>
      </w:r>
      <w:r w:rsidR="002560CB" w:rsidRPr="00B72D0F">
        <w:t xml:space="preserve"> </w:t>
      </w:r>
      <w:r w:rsidR="007A325A" w:rsidRPr="00B72D0F">
        <w:rPr>
          <w:i/>
        </w:rPr>
        <w:t>course of study</w:t>
      </w:r>
      <w:r w:rsidR="007A325A" w:rsidRPr="00B72D0F">
        <w:t>, unless</w:t>
      </w:r>
      <w:r w:rsidR="00E86A7C" w:rsidRPr="00B72D0F">
        <w:t>:</w:t>
      </w:r>
    </w:p>
    <w:p w14:paraId="1B1B6EE9" w14:textId="620A2E8F" w:rsidR="00E86A7C" w:rsidRPr="00B72D0F" w:rsidRDefault="000F5604" w:rsidP="00A03281">
      <w:pPr>
        <w:pStyle w:val="paragraphsub"/>
      </w:pPr>
      <w:r w:rsidRPr="00B72D0F">
        <w:tab/>
        <w:t>(i)</w:t>
      </w:r>
      <w:r w:rsidRPr="00B72D0F">
        <w:tab/>
      </w:r>
      <w:r w:rsidR="00E86A7C" w:rsidRPr="00B72D0F">
        <w:t>th</w:t>
      </w:r>
      <w:r w:rsidR="008E70DD" w:rsidRPr="00B72D0F">
        <w:t>e</w:t>
      </w:r>
      <w:r w:rsidR="00E86A7C" w:rsidRPr="00B72D0F">
        <w:t xml:space="preserve"> </w:t>
      </w:r>
      <w:r w:rsidR="00D16948" w:rsidRPr="00B72D0F">
        <w:rPr>
          <w:i/>
        </w:rPr>
        <w:t xml:space="preserve">VET </w:t>
      </w:r>
      <w:r w:rsidR="00E86A7C" w:rsidRPr="00B45DFD">
        <w:rPr>
          <w:i/>
        </w:rPr>
        <w:t>course of study</w:t>
      </w:r>
      <w:r w:rsidR="00E86A7C" w:rsidRPr="00B72D0F">
        <w:t xml:space="preserve"> is an </w:t>
      </w:r>
      <w:r w:rsidR="00E86A7C" w:rsidRPr="00B72D0F">
        <w:rPr>
          <w:i/>
        </w:rPr>
        <w:t>enabling course</w:t>
      </w:r>
      <w:r w:rsidR="00E86A7C" w:rsidRPr="00B72D0F">
        <w:t>; and</w:t>
      </w:r>
    </w:p>
    <w:p w14:paraId="4561A85B" w14:textId="17588AB6" w:rsidR="000F5604" w:rsidRDefault="000F5604" w:rsidP="00D16948">
      <w:pPr>
        <w:pStyle w:val="paragraphsub"/>
      </w:pPr>
      <w:r w:rsidRPr="00B72D0F">
        <w:tab/>
        <w:t>(ii)</w:t>
      </w:r>
      <w:r w:rsidRPr="00B72D0F">
        <w:tab/>
        <w:t>the provider is otherwise unable to provide assistance to the student</w:t>
      </w:r>
      <w:r w:rsidR="00D16948" w:rsidRPr="00B72D0F">
        <w:t xml:space="preserve"> or </w:t>
      </w:r>
      <w:r w:rsidRPr="00B72D0F">
        <w:t xml:space="preserve">the assistance </w:t>
      </w:r>
      <w:r w:rsidR="00D16948" w:rsidRPr="00B72D0F">
        <w:t xml:space="preserve">provides information on the </w:t>
      </w:r>
      <w:r w:rsidR="00B72D0F" w:rsidRPr="00B45DFD">
        <w:t xml:space="preserve">provider’s </w:t>
      </w:r>
      <w:r w:rsidR="00D16948" w:rsidRPr="00B72D0F">
        <w:t xml:space="preserve">services or </w:t>
      </w:r>
      <w:r w:rsidR="002F5E75" w:rsidRPr="00B45DFD">
        <w:t xml:space="preserve">on </w:t>
      </w:r>
      <w:r w:rsidR="00D16948" w:rsidRPr="00B72D0F">
        <w:t xml:space="preserve">undertaking a </w:t>
      </w:r>
      <w:r w:rsidR="00D16948" w:rsidRPr="00B72D0F">
        <w:rPr>
          <w:i/>
        </w:rPr>
        <w:t>course of study</w:t>
      </w:r>
      <w:r w:rsidRPr="00B72D0F">
        <w:t xml:space="preserve">; </w:t>
      </w:r>
    </w:p>
    <w:p w14:paraId="7DF735AE" w14:textId="7C2D8C35" w:rsidR="00BC3F33" w:rsidRDefault="00293A1A" w:rsidP="00BC3F33">
      <w:pPr>
        <w:pStyle w:val="paragraph"/>
      </w:pPr>
      <w:r>
        <w:tab/>
        <w:t>(</w:t>
      </w:r>
      <w:r w:rsidR="00616DE5">
        <w:t>g</w:t>
      </w:r>
      <w:r w:rsidRPr="00A57435">
        <w:t>)</w:t>
      </w:r>
      <w:r w:rsidRPr="00A57435">
        <w:tab/>
      </w:r>
      <w:r>
        <w:t xml:space="preserve">paying for </w:t>
      </w:r>
      <w:r w:rsidR="00BC3F33">
        <w:t>the following</w:t>
      </w:r>
      <w:r w:rsidR="007F6B17">
        <w:t xml:space="preserve"> things</w:t>
      </w:r>
      <w:r w:rsidR="00BC3F33">
        <w:t xml:space="preserve">:  </w:t>
      </w:r>
    </w:p>
    <w:p w14:paraId="3F9AD326" w14:textId="36C420FC" w:rsidR="00BC3F33" w:rsidRDefault="00BC3F33" w:rsidP="00BC3F33">
      <w:pPr>
        <w:pStyle w:val="paragraphsub"/>
      </w:pPr>
      <w:r>
        <w:tab/>
        <w:t>(i</w:t>
      </w:r>
      <w:r w:rsidRPr="00AA76A0">
        <w:t>)</w:t>
      </w:r>
      <w:r w:rsidRPr="00AA76A0">
        <w:tab/>
      </w:r>
      <w:r>
        <w:t>business or first class travel for a</w:t>
      </w:r>
      <w:r w:rsidR="004F2246">
        <w:t>n employee</w:t>
      </w:r>
      <w:r>
        <w:t xml:space="preserve"> </w:t>
      </w:r>
      <w:r w:rsidR="007170A0">
        <w:t xml:space="preserve">involved in delivering activities specified in these Guidelines </w:t>
      </w:r>
      <w:r>
        <w:t>or a</w:t>
      </w:r>
      <w:r w:rsidR="007C3CF7">
        <w:t>n Indigenous</w:t>
      </w:r>
      <w:r w:rsidR="004C2976">
        <w:t xml:space="preserve"> </w:t>
      </w:r>
      <w:r w:rsidRPr="000B4FC4">
        <w:t>student</w:t>
      </w:r>
      <w:r>
        <w:t xml:space="preserve">, unless </w:t>
      </w:r>
      <w:r w:rsidR="00B35695">
        <w:t xml:space="preserve">the </w:t>
      </w:r>
      <w:r w:rsidR="004F2246">
        <w:t>employee</w:t>
      </w:r>
      <w:r w:rsidR="00B35695">
        <w:t xml:space="preserve"> or </w:t>
      </w:r>
      <w:r w:rsidR="00E322C8">
        <w:t xml:space="preserve">the </w:t>
      </w:r>
      <w:r w:rsidR="00B35695" w:rsidRPr="008E70DD">
        <w:t>student</w:t>
      </w:r>
      <w:r w:rsidR="00B35695" w:rsidRPr="003C073E">
        <w:rPr>
          <w:i/>
        </w:rPr>
        <w:t xml:space="preserve"> </w:t>
      </w:r>
      <w:r w:rsidR="00815D49">
        <w:t xml:space="preserve">provides evidence </w:t>
      </w:r>
      <w:r w:rsidR="007170A0">
        <w:t xml:space="preserve">to the provider </w:t>
      </w:r>
      <w:r w:rsidR="00815D49">
        <w:t>that he or she has</w:t>
      </w:r>
      <w:r w:rsidR="00B35695">
        <w:t xml:space="preserve"> a </w:t>
      </w:r>
      <w:r>
        <w:t xml:space="preserve">medical condition </w:t>
      </w:r>
      <w:r w:rsidR="00B35695">
        <w:t>that necessitates business or first class travel</w:t>
      </w:r>
      <w:r>
        <w:t xml:space="preserve">; </w:t>
      </w:r>
    </w:p>
    <w:p w14:paraId="51A4A37F" w14:textId="7F4A8C95" w:rsidR="000602FE" w:rsidRDefault="00BC3F33" w:rsidP="00D42D3B">
      <w:pPr>
        <w:pStyle w:val="paragraphsub"/>
        <w:keepNext/>
        <w:keepLines/>
      </w:pPr>
      <w:r>
        <w:tab/>
        <w:t>(ii</w:t>
      </w:r>
      <w:r w:rsidRPr="00AA76A0">
        <w:t>)</w:t>
      </w:r>
      <w:r w:rsidRPr="00AA76A0">
        <w:tab/>
      </w:r>
      <w:r>
        <w:t>international travel for a</w:t>
      </w:r>
      <w:r w:rsidR="009303DF">
        <w:t>n</w:t>
      </w:r>
      <w:r>
        <w:t xml:space="preserve"> </w:t>
      </w:r>
      <w:r w:rsidR="004F2246">
        <w:t>employee</w:t>
      </w:r>
      <w:r w:rsidR="00DC4DC6">
        <w:t xml:space="preserve"> or a</w:t>
      </w:r>
      <w:r w:rsidR="007C3CF7">
        <w:t>n Indigenous</w:t>
      </w:r>
      <w:r w:rsidR="008E70DD">
        <w:t xml:space="preserve"> </w:t>
      </w:r>
      <w:r w:rsidR="008E70DD" w:rsidRPr="007C3CF7">
        <w:t>student</w:t>
      </w:r>
      <w:r>
        <w:t>, unless</w:t>
      </w:r>
      <w:r w:rsidR="00DC4DC6">
        <w:t xml:space="preserve">, in the case of </w:t>
      </w:r>
      <w:r w:rsidR="004C2976">
        <w:t>a</w:t>
      </w:r>
      <w:r w:rsidR="005A2C86">
        <w:t>n Indigenous</w:t>
      </w:r>
      <w:r w:rsidR="004C2976">
        <w:t xml:space="preserve"> </w:t>
      </w:r>
      <w:r w:rsidR="00DC4DC6" w:rsidRPr="008E70DD">
        <w:t>student</w:t>
      </w:r>
      <w:r w:rsidR="00DC4DC6">
        <w:t xml:space="preserve">, </w:t>
      </w:r>
      <w:r>
        <w:t xml:space="preserve">the travel is a requirement of the </w:t>
      </w:r>
      <w:r w:rsidR="007F6B17" w:rsidRPr="00C2261D">
        <w:t>student’s</w:t>
      </w:r>
      <w:r w:rsidR="007F6B17">
        <w:t xml:space="preserve"> </w:t>
      </w:r>
      <w:r w:rsidRPr="00B22D83">
        <w:rPr>
          <w:i/>
        </w:rPr>
        <w:t>course of study</w:t>
      </w:r>
      <w:r>
        <w:t xml:space="preserve"> and the </w:t>
      </w:r>
      <w:r w:rsidRPr="008E70DD">
        <w:t>student</w:t>
      </w:r>
      <w:r>
        <w:t xml:space="preserve"> is unable to cover</w:t>
      </w:r>
      <w:r w:rsidR="00DC4DC6">
        <w:t>, or otherwise obtain financial assistance to cover,</w:t>
      </w:r>
      <w:r>
        <w:t xml:space="preserve"> the costs</w:t>
      </w:r>
      <w:r w:rsidR="00DC4DC6">
        <w:t xml:space="preserve"> of the travel</w:t>
      </w:r>
      <w:r w:rsidR="009C4025">
        <w:t>.</w:t>
      </w:r>
    </w:p>
    <w:p w14:paraId="4F91BDF9" w14:textId="4C1FE854" w:rsidR="000602FE" w:rsidRPr="005A65D5" w:rsidRDefault="00DE41A4" w:rsidP="000602FE">
      <w:pPr>
        <w:pStyle w:val="ActHead5"/>
      </w:pPr>
      <w:bookmarkStart w:id="125" w:name="_Toc467246531"/>
      <w:bookmarkStart w:id="126" w:name="_Toc468194437"/>
      <w:bookmarkStart w:id="127" w:name="_Toc468285035"/>
      <w:bookmarkStart w:id="128" w:name="_Toc468364320"/>
      <w:bookmarkStart w:id="129" w:name="_Toc469060368"/>
      <w:bookmarkStart w:id="130" w:name="_Toc469172059"/>
      <w:bookmarkStart w:id="131" w:name="_Toc469918092"/>
      <w:r>
        <w:t>1</w:t>
      </w:r>
      <w:r w:rsidR="00FF0EC0">
        <w:t>6</w:t>
      </w:r>
      <w:r w:rsidR="000602FE" w:rsidRPr="005A65D5">
        <w:t xml:space="preserve">  </w:t>
      </w:r>
      <w:r w:rsidR="000602FE">
        <w:t>Assets</w:t>
      </w:r>
      <w:bookmarkEnd w:id="125"/>
      <w:bookmarkEnd w:id="126"/>
      <w:bookmarkEnd w:id="127"/>
      <w:bookmarkEnd w:id="128"/>
      <w:bookmarkEnd w:id="129"/>
      <w:bookmarkEnd w:id="130"/>
      <w:bookmarkEnd w:id="131"/>
    </w:p>
    <w:p w14:paraId="2531E62E" w14:textId="50A03A4A" w:rsidR="000602FE" w:rsidRPr="00BE3917" w:rsidRDefault="000602FE" w:rsidP="000602FE">
      <w:pPr>
        <w:pStyle w:val="subsection"/>
      </w:pPr>
      <w:r w:rsidRPr="00BE3917">
        <w:tab/>
        <w:t>(1)</w:t>
      </w:r>
      <w:r w:rsidRPr="00BE3917">
        <w:tab/>
      </w:r>
      <w:r>
        <w:rPr>
          <w:bCs/>
        </w:rPr>
        <w:t xml:space="preserve">A </w:t>
      </w:r>
      <w:r w:rsidRPr="003C073E">
        <w:rPr>
          <w:bCs/>
          <w:i/>
        </w:rPr>
        <w:t>higher education provider</w:t>
      </w:r>
      <w:r>
        <w:rPr>
          <w:bCs/>
        </w:rPr>
        <w:t xml:space="preserve"> must not use an ISSP grant to purchase an asset unless </w:t>
      </w:r>
      <w:r w:rsidR="002F5E75">
        <w:rPr>
          <w:bCs/>
        </w:rPr>
        <w:t xml:space="preserve">an </w:t>
      </w:r>
      <w:r w:rsidR="002F5E75" w:rsidRPr="000A2DCA">
        <w:t>administering officer</w:t>
      </w:r>
      <w:r>
        <w:rPr>
          <w:bCs/>
        </w:rPr>
        <w:t xml:space="preserve"> approves the purchase in writing. </w:t>
      </w:r>
    </w:p>
    <w:p w14:paraId="06583BB2" w14:textId="3D76396B" w:rsidR="000602FE" w:rsidRDefault="000602FE" w:rsidP="000602FE">
      <w:pPr>
        <w:pStyle w:val="subsection"/>
      </w:pPr>
      <w:r>
        <w:tab/>
        <w:t>(2</w:t>
      </w:r>
      <w:r w:rsidRPr="00BE3917">
        <w:t>)</w:t>
      </w:r>
      <w:r w:rsidRPr="00BE3917">
        <w:tab/>
      </w:r>
      <w:r>
        <w:rPr>
          <w:bCs/>
        </w:rPr>
        <w:t xml:space="preserve">If a </w:t>
      </w:r>
      <w:r w:rsidRPr="003C073E">
        <w:rPr>
          <w:bCs/>
          <w:i/>
        </w:rPr>
        <w:t>higher education provider</w:t>
      </w:r>
      <w:r>
        <w:rPr>
          <w:bCs/>
        </w:rPr>
        <w:t xml:space="preserve"> uses an ISSP grant to purchase an asset, the provider must: </w:t>
      </w:r>
    </w:p>
    <w:p w14:paraId="01F6CBFF" w14:textId="77777777" w:rsidR="000602FE" w:rsidRDefault="000602FE" w:rsidP="000602FE">
      <w:pPr>
        <w:pStyle w:val="paragraph"/>
      </w:pPr>
      <w:r w:rsidRPr="00BE3917">
        <w:tab/>
        <w:t>(a)</w:t>
      </w:r>
      <w:r w:rsidRPr="00BE3917">
        <w:tab/>
      </w:r>
      <w:r w:rsidRPr="00C257B0">
        <w:t xml:space="preserve">use the asset for the </w:t>
      </w:r>
      <w:r>
        <w:t>activities specified in these Guidelines; and</w:t>
      </w:r>
    </w:p>
    <w:p w14:paraId="73FCAF2E" w14:textId="7B858593" w:rsidR="000602FE" w:rsidRDefault="000602FE" w:rsidP="000602FE">
      <w:pPr>
        <w:pStyle w:val="paragraph"/>
      </w:pPr>
      <w:r>
        <w:tab/>
        <w:t>(b</w:t>
      </w:r>
      <w:r w:rsidRPr="00BE3917">
        <w:t>)</w:t>
      </w:r>
      <w:r w:rsidRPr="00BE3917">
        <w:tab/>
      </w:r>
      <w:r>
        <w:t>protect and maintain the asset; and</w:t>
      </w:r>
    </w:p>
    <w:p w14:paraId="3FD964BC" w14:textId="77777777" w:rsidR="000602FE" w:rsidRDefault="000602FE" w:rsidP="000602FE">
      <w:pPr>
        <w:pStyle w:val="paragraph"/>
      </w:pPr>
      <w:r>
        <w:tab/>
        <w:t>(c</w:t>
      </w:r>
      <w:r w:rsidRPr="00BE3917">
        <w:t>)</w:t>
      </w:r>
      <w:r w:rsidRPr="00BE3917">
        <w:tab/>
      </w:r>
      <w:r>
        <w:t>maintain insurance for the asset for the full value of the asset.</w:t>
      </w:r>
    </w:p>
    <w:p w14:paraId="11FA55CB" w14:textId="2DB0964D" w:rsidR="000602FE" w:rsidRDefault="000602FE" w:rsidP="000B4FC4">
      <w:pPr>
        <w:pStyle w:val="subsection"/>
        <w:keepNext/>
        <w:keepLines/>
        <w:rPr>
          <w:bCs/>
        </w:rPr>
      </w:pPr>
      <w:r>
        <w:tab/>
      </w:r>
      <w:r w:rsidRPr="00530261">
        <w:t>(3)</w:t>
      </w:r>
      <w:r w:rsidRPr="00530261">
        <w:tab/>
      </w:r>
      <w:r w:rsidRPr="00932C4A">
        <w:rPr>
          <w:bCs/>
        </w:rPr>
        <w:t xml:space="preserve">If a </w:t>
      </w:r>
      <w:r w:rsidRPr="00932C4A">
        <w:rPr>
          <w:bCs/>
          <w:i/>
        </w:rPr>
        <w:t>higher education provider</w:t>
      </w:r>
      <w:r>
        <w:t xml:space="preserve"> uses an ISSP grant to purchase an asset, the provider must not sell or dispose of the asset without the prior written consent of an </w:t>
      </w:r>
      <w:r w:rsidR="00607AB1">
        <w:t>administering officer</w:t>
      </w:r>
      <w:r w:rsidR="00BC6CA2">
        <w:t xml:space="preserve"> u</w:t>
      </w:r>
      <w:r w:rsidR="00BC6CA2" w:rsidRPr="00574424">
        <w:t>nless the asset has an adjustable value of less than $5000</w:t>
      </w:r>
      <w:r w:rsidRPr="00574424">
        <w:t xml:space="preserve">. </w:t>
      </w:r>
    </w:p>
    <w:p w14:paraId="342D91B7" w14:textId="46753107" w:rsidR="00E37132" w:rsidRDefault="000602FE" w:rsidP="000602FE">
      <w:pPr>
        <w:pStyle w:val="subsection"/>
        <w:rPr>
          <w:bCs/>
        </w:rPr>
      </w:pPr>
      <w:r>
        <w:tab/>
        <w:t>(4</w:t>
      </w:r>
      <w:r w:rsidRPr="00BE3917">
        <w:t>)</w:t>
      </w:r>
      <w:r w:rsidRPr="00BE3917">
        <w:tab/>
      </w:r>
      <w:r>
        <w:rPr>
          <w:bCs/>
        </w:rPr>
        <w:t xml:space="preserve">If a </w:t>
      </w:r>
      <w:r w:rsidRPr="003C073E">
        <w:rPr>
          <w:bCs/>
          <w:i/>
        </w:rPr>
        <w:t>higher education provider</w:t>
      </w:r>
      <w:r>
        <w:rPr>
          <w:bCs/>
        </w:rPr>
        <w:t xml:space="preserve"> sells or disposes of an asset purchased using an ISSP grant, the provider must</w:t>
      </w:r>
      <w:r w:rsidR="00E37132">
        <w:rPr>
          <w:bCs/>
        </w:rPr>
        <w:t>:</w:t>
      </w:r>
    </w:p>
    <w:p w14:paraId="5850B9F0" w14:textId="091E663D" w:rsidR="009E4564" w:rsidRDefault="009E4564" w:rsidP="00B45DFD">
      <w:pPr>
        <w:pStyle w:val="paragraph"/>
        <w:rPr>
          <w:bCs/>
        </w:rPr>
      </w:pPr>
      <w:r w:rsidRPr="00E07209">
        <w:tab/>
        <w:t>(a)</w:t>
      </w:r>
      <w:r w:rsidRPr="00E07209">
        <w:tab/>
      </w:r>
      <w:r w:rsidR="000602FE">
        <w:rPr>
          <w:bCs/>
        </w:rPr>
        <w:t>use the proceeds of the sale or disposal for activities specified in these Guideline</w:t>
      </w:r>
      <w:r w:rsidR="002A6EC2">
        <w:rPr>
          <w:bCs/>
        </w:rPr>
        <w:t>s</w:t>
      </w:r>
      <w:r w:rsidR="00E37132">
        <w:rPr>
          <w:bCs/>
        </w:rPr>
        <w:t>; and</w:t>
      </w:r>
    </w:p>
    <w:p w14:paraId="4BBA09E3" w14:textId="40D8A7E1" w:rsidR="000602FE" w:rsidRDefault="009E4564" w:rsidP="00B45DFD">
      <w:pPr>
        <w:pStyle w:val="paragraph"/>
        <w:rPr>
          <w:bCs/>
        </w:rPr>
      </w:pPr>
      <w:r>
        <w:tab/>
        <w:t>(b</w:t>
      </w:r>
      <w:r w:rsidRPr="00E07209">
        <w:t>)</w:t>
      </w:r>
      <w:r w:rsidRPr="00E07209">
        <w:tab/>
      </w:r>
      <w:r w:rsidR="00E37132">
        <w:rPr>
          <w:bCs/>
        </w:rPr>
        <w:t xml:space="preserve">notify </w:t>
      </w:r>
      <w:r>
        <w:rPr>
          <w:bCs/>
        </w:rPr>
        <w:t>the Minister</w:t>
      </w:r>
      <w:r w:rsidR="00E37132">
        <w:rPr>
          <w:bCs/>
        </w:rPr>
        <w:t xml:space="preserve"> of the amount or value of the proceeds of any sale or disposal of the asset in a statement accompanying the report</w:t>
      </w:r>
      <w:r>
        <w:rPr>
          <w:bCs/>
        </w:rPr>
        <w:t>s</w:t>
      </w:r>
      <w:r w:rsidR="00E37132">
        <w:rPr>
          <w:bCs/>
        </w:rPr>
        <w:t xml:space="preserve"> required under </w:t>
      </w:r>
      <w:r w:rsidR="00DD5575">
        <w:rPr>
          <w:bCs/>
        </w:rPr>
        <w:t>subsection 1</w:t>
      </w:r>
      <w:r w:rsidR="00FF0EC0">
        <w:rPr>
          <w:bCs/>
        </w:rPr>
        <w:t>7</w:t>
      </w:r>
      <w:r w:rsidR="00DD5575">
        <w:rPr>
          <w:bCs/>
        </w:rPr>
        <w:t xml:space="preserve">(1) of these Guidelines. </w:t>
      </w:r>
    </w:p>
    <w:p w14:paraId="3B1A2BB2" w14:textId="0A731757" w:rsidR="000602FE" w:rsidRPr="00E07209" w:rsidRDefault="000602FE" w:rsidP="000602FE">
      <w:pPr>
        <w:pStyle w:val="subsection"/>
      </w:pPr>
      <w:r>
        <w:tab/>
      </w:r>
      <w:r w:rsidRPr="00E07209">
        <w:t>(5)</w:t>
      </w:r>
      <w:r w:rsidRPr="00E07209">
        <w:tab/>
      </w:r>
      <w:r w:rsidR="009E4564" w:rsidRPr="00B45DFD">
        <w:rPr>
          <w:bCs/>
          <w:i/>
        </w:rPr>
        <w:t>A</w:t>
      </w:r>
      <w:r w:rsidR="009E4564">
        <w:rPr>
          <w:bCs/>
        </w:rPr>
        <w:t xml:space="preserve"> </w:t>
      </w:r>
      <w:r w:rsidR="009E4564">
        <w:rPr>
          <w:bCs/>
          <w:i/>
        </w:rPr>
        <w:t>higher education</w:t>
      </w:r>
      <w:r w:rsidR="000D2D3A" w:rsidRPr="00D01D59">
        <w:t xml:space="preserve"> provider</w:t>
      </w:r>
      <w:r w:rsidRPr="00D01D59">
        <w:t xml:space="preserve"> </w:t>
      </w:r>
      <w:r w:rsidRPr="00E07209">
        <w:t>must</w:t>
      </w:r>
      <w:r w:rsidR="0025248E" w:rsidRPr="00E07209">
        <w:t xml:space="preserve"> maintain a register of all assets purchased </w:t>
      </w:r>
      <w:r w:rsidR="006751AA" w:rsidRPr="00E07209">
        <w:t>using</w:t>
      </w:r>
      <w:r w:rsidR="0025248E" w:rsidRPr="00E07209">
        <w:t xml:space="preserve"> </w:t>
      </w:r>
      <w:r w:rsidR="009E4564">
        <w:t>an</w:t>
      </w:r>
      <w:r w:rsidR="00165D57">
        <w:t xml:space="preserve"> ISSP</w:t>
      </w:r>
      <w:r w:rsidR="000D2D3A" w:rsidRPr="00E07209">
        <w:t xml:space="preserve"> </w:t>
      </w:r>
      <w:r w:rsidR="0025248E" w:rsidRPr="00E07209">
        <w:t>grant</w:t>
      </w:r>
      <w:r w:rsidR="00165D57">
        <w:t xml:space="preserve"> that remain within the provider’s possession</w:t>
      </w:r>
      <w:r w:rsidR="0025248E" w:rsidRPr="00E07209">
        <w:t>, which must include for each asset</w:t>
      </w:r>
      <w:r w:rsidRPr="00E07209">
        <w:t>:</w:t>
      </w:r>
    </w:p>
    <w:p w14:paraId="256B2EDF" w14:textId="4EC4B34E" w:rsidR="000602FE" w:rsidRPr="00E07209" w:rsidRDefault="000602FE" w:rsidP="0065646F">
      <w:pPr>
        <w:pStyle w:val="paragraph"/>
      </w:pPr>
      <w:r w:rsidRPr="00E07209">
        <w:tab/>
        <w:t>(a)</w:t>
      </w:r>
      <w:r w:rsidRPr="00E07209">
        <w:tab/>
        <w:t xml:space="preserve">a description of the asset, including the serial number and the location of the asset; </w:t>
      </w:r>
      <w:r w:rsidR="0025248E" w:rsidRPr="00E07209">
        <w:t>and</w:t>
      </w:r>
    </w:p>
    <w:p w14:paraId="1BF1F2E9" w14:textId="6B1FA34E" w:rsidR="000602FE" w:rsidRPr="00E07209" w:rsidRDefault="0025248E" w:rsidP="0065646F">
      <w:pPr>
        <w:pStyle w:val="paragraph"/>
      </w:pPr>
      <w:r w:rsidRPr="00E07209">
        <w:tab/>
        <w:t>(b)</w:t>
      </w:r>
      <w:r w:rsidRPr="00E07209">
        <w:tab/>
      </w:r>
      <w:r w:rsidR="000602FE" w:rsidRPr="00E07209">
        <w:t xml:space="preserve">the purchase, lease, or acquisition price of the asset; </w:t>
      </w:r>
      <w:r w:rsidRPr="00E07209">
        <w:t>and</w:t>
      </w:r>
    </w:p>
    <w:p w14:paraId="2C009C94" w14:textId="79710A8C" w:rsidR="000602FE" w:rsidRPr="00E07209" w:rsidRDefault="0025248E" w:rsidP="0065646F">
      <w:pPr>
        <w:pStyle w:val="paragraph"/>
      </w:pPr>
      <w:r w:rsidRPr="00E07209">
        <w:tab/>
        <w:t>(c)</w:t>
      </w:r>
      <w:r w:rsidRPr="00E07209">
        <w:tab/>
      </w:r>
      <w:r w:rsidR="000602FE" w:rsidRPr="00E07209">
        <w:t xml:space="preserve">the amount of the ISSP grant used to purchase, lease or otherwise acquire the asset; </w:t>
      </w:r>
      <w:r w:rsidR="007B2742" w:rsidRPr="00E07209">
        <w:t>and</w:t>
      </w:r>
    </w:p>
    <w:p w14:paraId="09F63C5E" w14:textId="7C5309EB" w:rsidR="000602FE" w:rsidRPr="00E07209" w:rsidRDefault="0025248E" w:rsidP="0065646F">
      <w:pPr>
        <w:pStyle w:val="paragraph"/>
      </w:pPr>
      <w:r w:rsidRPr="00E07209">
        <w:tab/>
        <w:t>(d)</w:t>
      </w:r>
      <w:r w:rsidRPr="00E07209">
        <w:tab/>
      </w:r>
      <w:r w:rsidR="000602FE" w:rsidRPr="00E07209">
        <w:t>whether the asset is owned, leased or acquired</w:t>
      </w:r>
      <w:r w:rsidR="007B2742" w:rsidRPr="00E07209">
        <w:t>; and</w:t>
      </w:r>
      <w:r w:rsidR="000602FE" w:rsidRPr="00E07209">
        <w:t xml:space="preserve"> </w:t>
      </w:r>
    </w:p>
    <w:p w14:paraId="4676A390" w14:textId="18B067BF" w:rsidR="000602FE" w:rsidRDefault="0025248E" w:rsidP="0065646F">
      <w:pPr>
        <w:pStyle w:val="paragraph"/>
      </w:pPr>
      <w:r w:rsidRPr="00E07209">
        <w:tab/>
        <w:t>(</w:t>
      </w:r>
      <w:r w:rsidR="00E37132" w:rsidRPr="00B45DFD">
        <w:t>e</w:t>
      </w:r>
      <w:r w:rsidRPr="00E07209">
        <w:t>)</w:t>
      </w:r>
      <w:r w:rsidRPr="00E07209">
        <w:tab/>
      </w:r>
      <w:r w:rsidR="000602FE" w:rsidRPr="00E07209">
        <w:t>the adjustable value of the asset</w:t>
      </w:r>
      <w:r w:rsidRPr="00E07209">
        <w:t>.</w:t>
      </w:r>
      <w:r w:rsidR="000602FE">
        <w:t xml:space="preserve"> </w:t>
      </w:r>
    </w:p>
    <w:p w14:paraId="080FA4D7" w14:textId="395F5691" w:rsidR="00C32223" w:rsidRDefault="000602FE" w:rsidP="000602FE">
      <w:pPr>
        <w:pStyle w:val="subsection"/>
      </w:pPr>
      <w:r w:rsidRPr="0065646F">
        <w:tab/>
        <w:t>(</w:t>
      </w:r>
      <w:r w:rsidR="00FC3974">
        <w:t>6</w:t>
      </w:r>
      <w:r w:rsidRPr="0065646F">
        <w:t>)</w:t>
      </w:r>
      <w:r w:rsidRPr="0065646F">
        <w:tab/>
      </w:r>
      <w:r w:rsidR="00C32223">
        <w:t xml:space="preserve">At the end of a grant year, an administering officer may direct a </w:t>
      </w:r>
      <w:r w:rsidR="00C32223">
        <w:rPr>
          <w:i/>
        </w:rPr>
        <w:t xml:space="preserve">higher education provider </w:t>
      </w:r>
      <w:r w:rsidR="00C32223">
        <w:t>that used an ISSP grant to purchase an asset in the grant year to deal with the asset in a particular way, including but not limited to, direct</w:t>
      </w:r>
      <w:r w:rsidR="002A6EC2">
        <w:t>ing</w:t>
      </w:r>
      <w:r w:rsidR="00C32223">
        <w:t xml:space="preserve"> the provider to:</w:t>
      </w:r>
    </w:p>
    <w:p w14:paraId="5AA16872" w14:textId="0E5BF29A" w:rsidR="00C32223" w:rsidRPr="00E07209" w:rsidRDefault="000602FE" w:rsidP="00C32223">
      <w:pPr>
        <w:pStyle w:val="paragraph"/>
      </w:pPr>
      <w:r w:rsidRPr="00932C4A">
        <w:rPr>
          <w:bCs/>
        </w:rPr>
        <w:t xml:space="preserve"> </w:t>
      </w:r>
      <w:r w:rsidR="00C32223">
        <w:tab/>
        <w:t>(a</w:t>
      </w:r>
      <w:r w:rsidR="00C32223" w:rsidRPr="00E07209">
        <w:t>)</w:t>
      </w:r>
      <w:r w:rsidR="00C32223" w:rsidRPr="00E07209">
        <w:tab/>
      </w:r>
      <w:r w:rsidR="00C32223">
        <w:t>sel</w:t>
      </w:r>
      <w:r w:rsidR="002A6EC2">
        <w:t>l</w:t>
      </w:r>
      <w:r w:rsidR="00C32223">
        <w:t xml:space="preserve"> the asset and returning the full sale amount to the Commonwealth; or</w:t>
      </w:r>
    </w:p>
    <w:p w14:paraId="16F0172A" w14:textId="7876ABE0" w:rsidR="000602FE" w:rsidRDefault="00C32223" w:rsidP="00B45DFD">
      <w:pPr>
        <w:pStyle w:val="paragraph"/>
      </w:pPr>
      <w:r w:rsidRPr="00E07209">
        <w:tab/>
        <w:t>(</w:t>
      </w:r>
      <w:r>
        <w:t>b</w:t>
      </w:r>
      <w:r w:rsidRPr="00E07209">
        <w:t>)</w:t>
      </w:r>
      <w:r w:rsidRPr="00E07209">
        <w:tab/>
      </w:r>
      <w:r>
        <w:t xml:space="preserve">transfer the asset to the Commonwealth or its nominee.  </w:t>
      </w:r>
    </w:p>
    <w:p w14:paraId="1ACC6253" w14:textId="1785C98B" w:rsidR="00FC3974" w:rsidRPr="00FC3974" w:rsidRDefault="00FC3974">
      <w:pPr>
        <w:pStyle w:val="subsection"/>
      </w:pPr>
      <w:r>
        <w:tab/>
        <w:t>(7</w:t>
      </w:r>
      <w:r w:rsidRPr="0065646F">
        <w:t>)</w:t>
      </w:r>
      <w:r w:rsidRPr="0065646F">
        <w:tab/>
        <w:t xml:space="preserve">A </w:t>
      </w:r>
      <w:r w:rsidRPr="003C073E">
        <w:rPr>
          <w:i/>
        </w:rPr>
        <w:t>higher education provider</w:t>
      </w:r>
      <w:r w:rsidRPr="0065646F">
        <w:t xml:space="preserve"> must provide evidence that it has complied with the conditions in this section within 10 business days of a request by an </w:t>
      </w:r>
      <w:r w:rsidRPr="00530261">
        <w:t>administering officer.</w:t>
      </w:r>
      <w:r w:rsidRPr="00932C4A">
        <w:rPr>
          <w:bCs/>
        </w:rPr>
        <w:t xml:space="preserve"> </w:t>
      </w:r>
    </w:p>
    <w:p w14:paraId="1858062C" w14:textId="0FED7ACB" w:rsidR="006B14F3" w:rsidRDefault="006B14F3" w:rsidP="006B14F3">
      <w:pPr>
        <w:pStyle w:val="subsection"/>
        <w:rPr>
          <w:bCs/>
        </w:rPr>
      </w:pPr>
      <w:bookmarkStart w:id="132" w:name="_Toc467246532"/>
      <w:r>
        <w:tab/>
      </w:r>
      <w:r w:rsidRPr="00574424">
        <w:t>(</w:t>
      </w:r>
      <w:r w:rsidR="00C32223">
        <w:t>8</w:t>
      </w:r>
      <w:r w:rsidRPr="00574424">
        <w:t>)</w:t>
      </w:r>
      <w:r w:rsidRPr="00574424">
        <w:tab/>
        <w:t xml:space="preserve">In this section, </w:t>
      </w:r>
      <w:r w:rsidRPr="00574424">
        <w:rPr>
          <w:b/>
          <w:i/>
        </w:rPr>
        <w:t>adjustable value</w:t>
      </w:r>
      <w:r w:rsidRPr="00574424">
        <w:t xml:space="preserve"> means the cost of an asset less its decline in value determined in accordance with the Australian Taxation Office Guide to Depreciating Assets 2014. </w:t>
      </w:r>
    </w:p>
    <w:p w14:paraId="57D94B2C" w14:textId="248C689B" w:rsidR="00A25CFA" w:rsidRPr="005A65D5" w:rsidRDefault="00DE41A4" w:rsidP="00174CD9">
      <w:pPr>
        <w:pStyle w:val="ActHead5"/>
      </w:pPr>
      <w:bookmarkStart w:id="133" w:name="_Toc468194438"/>
      <w:bookmarkStart w:id="134" w:name="_Toc468285036"/>
      <w:bookmarkStart w:id="135" w:name="_Toc468364321"/>
      <w:bookmarkStart w:id="136" w:name="_Toc469060369"/>
      <w:bookmarkStart w:id="137" w:name="_Toc469172060"/>
      <w:bookmarkStart w:id="138" w:name="_Toc469918093"/>
      <w:r w:rsidRPr="009E4564">
        <w:t>1</w:t>
      </w:r>
      <w:r w:rsidR="00FF0EC0">
        <w:t>7</w:t>
      </w:r>
      <w:r w:rsidR="00A25CFA" w:rsidRPr="009E4564">
        <w:t xml:space="preserve">  Reporting</w:t>
      </w:r>
      <w:bookmarkEnd w:id="132"/>
      <w:bookmarkEnd w:id="133"/>
      <w:bookmarkEnd w:id="134"/>
      <w:bookmarkEnd w:id="135"/>
      <w:bookmarkEnd w:id="136"/>
      <w:bookmarkEnd w:id="137"/>
      <w:bookmarkEnd w:id="138"/>
    </w:p>
    <w:p w14:paraId="4625AFD9" w14:textId="7BAC9779" w:rsidR="00A25CFA" w:rsidRDefault="00A25CFA" w:rsidP="00584960">
      <w:pPr>
        <w:pStyle w:val="subsection"/>
        <w:keepNext/>
        <w:keepLines/>
        <w:rPr>
          <w:bCs/>
        </w:rPr>
      </w:pPr>
      <w:r w:rsidRPr="00BE3917">
        <w:tab/>
        <w:t>(1)</w:t>
      </w:r>
      <w:r w:rsidRPr="00BE3917">
        <w:tab/>
      </w:r>
      <w:r>
        <w:rPr>
          <w:bCs/>
        </w:rPr>
        <w:t xml:space="preserve">A </w:t>
      </w:r>
      <w:r w:rsidRPr="003C073E">
        <w:rPr>
          <w:bCs/>
          <w:i/>
        </w:rPr>
        <w:t>higher education provider</w:t>
      </w:r>
      <w:r>
        <w:rPr>
          <w:bCs/>
        </w:rPr>
        <w:t xml:space="preserve"> that receives an ISSP grant must </w:t>
      </w:r>
      <w:r w:rsidR="00DE41A4">
        <w:rPr>
          <w:bCs/>
        </w:rPr>
        <w:t xml:space="preserve">give </w:t>
      </w:r>
      <w:r>
        <w:rPr>
          <w:bCs/>
        </w:rPr>
        <w:t xml:space="preserve">the reports specified in column 2 of the table for activities </w:t>
      </w:r>
      <w:r w:rsidR="002A6EC2">
        <w:rPr>
          <w:bCs/>
        </w:rPr>
        <w:t xml:space="preserve">delivered </w:t>
      </w:r>
      <w:r>
        <w:rPr>
          <w:bCs/>
        </w:rPr>
        <w:t xml:space="preserve">using the </w:t>
      </w:r>
      <w:r w:rsidR="000C00DD">
        <w:rPr>
          <w:bCs/>
        </w:rPr>
        <w:t xml:space="preserve">ISSP </w:t>
      </w:r>
      <w:r>
        <w:rPr>
          <w:bCs/>
        </w:rPr>
        <w:t xml:space="preserve">grant in </w:t>
      </w:r>
      <w:r w:rsidR="006D6D94">
        <w:rPr>
          <w:bCs/>
        </w:rPr>
        <w:t xml:space="preserve">the </w:t>
      </w:r>
      <w:r>
        <w:rPr>
          <w:bCs/>
        </w:rPr>
        <w:t>grant year</w:t>
      </w:r>
      <w:r w:rsidR="006D6D94" w:rsidRPr="006D6D94">
        <w:rPr>
          <w:bCs/>
        </w:rPr>
        <w:t xml:space="preserve"> </w:t>
      </w:r>
      <w:r w:rsidR="00DE41A4">
        <w:rPr>
          <w:bCs/>
        </w:rPr>
        <w:t xml:space="preserve">to the Minister </w:t>
      </w:r>
      <w:r w:rsidR="006D6D94">
        <w:rPr>
          <w:bCs/>
        </w:rPr>
        <w:t>by the day specified in column 3 of the table</w:t>
      </w:r>
      <w:r>
        <w:rPr>
          <w:bCs/>
        </w:rPr>
        <w:t xml:space="preserve">. </w:t>
      </w:r>
    </w:p>
    <w:p w14:paraId="1EF72709" w14:textId="3E431D81" w:rsidR="00A25CFA" w:rsidRDefault="00A25CFA" w:rsidP="00234629">
      <w:pPr>
        <w:pStyle w:val="subsection"/>
        <w:keepNext/>
        <w:keepLines/>
      </w:pPr>
    </w:p>
    <w:tbl>
      <w:tblPr>
        <w:tblW w:w="0" w:type="auto"/>
        <w:tblInd w:w="107" w:type="dxa"/>
        <w:tblCellMar>
          <w:left w:w="0" w:type="dxa"/>
          <w:right w:w="0" w:type="dxa"/>
        </w:tblCellMar>
        <w:tblLook w:val="04A0" w:firstRow="1" w:lastRow="0" w:firstColumn="1" w:lastColumn="0" w:noHBand="0" w:noVBand="1"/>
      </w:tblPr>
      <w:tblGrid>
        <w:gridCol w:w="1105"/>
        <w:gridCol w:w="3041"/>
        <w:gridCol w:w="4060"/>
      </w:tblGrid>
      <w:tr w:rsidR="00A25CFA" w:rsidRPr="004111FE" w14:paraId="5C5A997C" w14:textId="77777777" w:rsidTr="00234629">
        <w:trPr>
          <w:tblHeader/>
        </w:trPr>
        <w:tc>
          <w:tcPr>
            <w:tcW w:w="8206"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6AB27C62" w14:textId="5101E9C2" w:rsidR="00A25CFA" w:rsidRPr="004111FE" w:rsidRDefault="00A25CFA" w:rsidP="00234629">
            <w:pPr>
              <w:keepNext/>
              <w:keepLines/>
              <w:spacing w:before="100" w:beforeAutospacing="1" w:after="100" w:afterAutospacing="1" w:line="240" w:lineRule="auto"/>
              <w:rPr>
                <w:rFonts w:ascii="Helvetica Neue" w:eastAsia="Times New Roman" w:hAnsi="Helvetica Neue" w:cs="Times New Roman"/>
                <w:b/>
                <w:bCs/>
                <w:sz w:val="20"/>
                <w:lang w:eastAsia="en-AU"/>
              </w:rPr>
            </w:pPr>
            <w:r>
              <w:rPr>
                <w:rFonts w:ascii="Helvetica Neue" w:eastAsia="Times New Roman" w:hAnsi="Helvetica Neue" w:cs="Times New Roman"/>
                <w:b/>
                <w:bCs/>
                <w:sz w:val="20"/>
                <w:lang w:eastAsia="en-AU"/>
              </w:rPr>
              <w:t>Reporting</w:t>
            </w:r>
          </w:p>
        </w:tc>
      </w:tr>
      <w:tr w:rsidR="00A25CFA" w:rsidRPr="004111FE" w14:paraId="5CF634E0" w14:textId="77777777" w:rsidTr="00B45DFD">
        <w:trPr>
          <w:tblHeader/>
        </w:trPr>
        <w:tc>
          <w:tcPr>
            <w:tcW w:w="1105" w:type="dxa"/>
            <w:tcBorders>
              <w:top w:val="nil"/>
              <w:left w:val="nil"/>
              <w:bottom w:val="single" w:sz="8" w:space="0" w:color="auto"/>
              <w:right w:val="nil"/>
            </w:tcBorders>
            <w:tcMar>
              <w:top w:w="0" w:type="dxa"/>
              <w:left w:w="107" w:type="dxa"/>
              <w:bottom w:w="0" w:type="dxa"/>
              <w:right w:w="107" w:type="dxa"/>
            </w:tcMar>
            <w:hideMark/>
          </w:tcPr>
          <w:p w14:paraId="1ABF1ABE" w14:textId="77777777" w:rsidR="00A25CFA" w:rsidRPr="004111FE" w:rsidRDefault="00A25CFA" w:rsidP="00234629">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1</w:t>
            </w:r>
          </w:p>
        </w:tc>
        <w:tc>
          <w:tcPr>
            <w:tcW w:w="3041" w:type="dxa"/>
            <w:tcBorders>
              <w:top w:val="nil"/>
              <w:left w:val="nil"/>
              <w:bottom w:val="single" w:sz="8" w:space="0" w:color="auto"/>
              <w:right w:val="nil"/>
            </w:tcBorders>
            <w:tcMar>
              <w:top w:w="0" w:type="dxa"/>
              <w:left w:w="107" w:type="dxa"/>
              <w:bottom w:w="0" w:type="dxa"/>
              <w:right w:w="107" w:type="dxa"/>
            </w:tcMar>
            <w:hideMark/>
          </w:tcPr>
          <w:p w14:paraId="3071A5B2" w14:textId="77777777" w:rsidR="00A25CFA" w:rsidRPr="004111FE" w:rsidRDefault="00A25CFA" w:rsidP="00234629">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2</w:t>
            </w:r>
          </w:p>
        </w:tc>
        <w:tc>
          <w:tcPr>
            <w:tcW w:w="4060" w:type="dxa"/>
            <w:tcBorders>
              <w:top w:val="nil"/>
              <w:left w:val="nil"/>
              <w:bottom w:val="single" w:sz="8" w:space="0" w:color="auto"/>
              <w:right w:val="nil"/>
            </w:tcBorders>
            <w:tcMar>
              <w:top w:w="0" w:type="dxa"/>
              <w:left w:w="107" w:type="dxa"/>
              <w:bottom w:w="0" w:type="dxa"/>
              <w:right w:w="107" w:type="dxa"/>
            </w:tcMar>
            <w:hideMark/>
          </w:tcPr>
          <w:p w14:paraId="12EE59C2" w14:textId="77777777" w:rsidR="00A25CFA" w:rsidRPr="004111FE" w:rsidRDefault="00A25CFA" w:rsidP="00234629">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3</w:t>
            </w:r>
          </w:p>
        </w:tc>
      </w:tr>
      <w:tr w:rsidR="00A25CFA" w:rsidRPr="004111FE" w14:paraId="37FE7185" w14:textId="77777777" w:rsidTr="00B45DFD">
        <w:trPr>
          <w:tblHeader/>
        </w:trPr>
        <w:tc>
          <w:tcPr>
            <w:tcW w:w="1105" w:type="dxa"/>
            <w:tcBorders>
              <w:top w:val="nil"/>
              <w:left w:val="nil"/>
              <w:bottom w:val="single" w:sz="12" w:space="0" w:color="auto"/>
              <w:right w:val="nil"/>
            </w:tcBorders>
            <w:tcMar>
              <w:top w:w="0" w:type="dxa"/>
              <w:left w:w="107" w:type="dxa"/>
              <w:bottom w:w="0" w:type="dxa"/>
              <w:right w:w="107" w:type="dxa"/>
            </w:tcMar>
            <w:hideMark/>
          </w:tcPr>
          <w:p w14:paraId="6C576790" w14:textId="7E78EDA6" w:rsidR="00A25CFA" w:rsidRPr="004111FE" w:rsidRDefault="00A25CFA" w:rsidP="00234629">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Item</w:t>
            </w:r>
          </w:p>
        </w:tc>
        <w:tc>
          <w:tcPr>
            <w:tcW w:w="3041" w:type="dxa"/>
            <w:tcBorders>
              <w:top w:val="nil"/>
              <w:left w:val="nil"/>
              <w:bottom w:val="single" w:sz="12" w:space="0" w:color="auto"/>
              <w:right w:val="nil"/>
            </w:tcBorders>
            <w:tcMar>
              <w:top w:w="0" w:type="dxa"/>
              <w:left w:w="107" w:type="dxa"/>
              <w:bottom w:w="0" w:type="dxa"/>
              <w:right w:w="107" w:type="dxa"/>
            </w:tcMar>
            <w:hideMark/>
          </w:tcPr>
          <w:p w14:paraId="702CF89E" w14:textId="45B7A038" w:rsidR="00A25CFA" w:rsidRPr="004111FE" w:rsidRDefault="00A25CFA" w:rsidP="00234629">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Report</w:t>
            </w:r>
          </w:p>
        </w:tc>
        <w:tc>
          <w:tcPr>
            <w:tcW w:w="4060" w:type="dxa"/>
            <w:tcBorders>
              <w:top w:val="nil"/>
              <w:left w:val="nil"/>
              <w:bottom w:val="single" w:sz="12" w:space="0" w:color="auto"/>
              <w:right w:val="nil"/>
            </w:tcBorders>
            <w:tcMar>
              <w:top w:w="0" w:type="dxa"/>
              <w:left w:w="107" w:type="dxa"/>
              <w:bottom w:w="0" w:type="dxa"/>
              <w:right w:w="107" w:type="dxa"/>
            </w:tcMar>
            <w:hideMark/>
          </w:tcPr>
          <w:p w14:paraId="084AC89A" w14:textId="55A77F38" w:rsidR="00A25CFA" w:rsidRPr="00234629" w:rsidRDefault="00A25CFA" w:rsidP="00234629">
            <w:pPr>
              <w:keepNext/>
              <w:keepLines/>
              <w:spacing w:before="100" w:beforeAutospacing="1" w:after="100" w:afterAutospacing="1" w:line="240" w:lineRule="auto"/>
              <w:rPr>
                <w:rFonts w:ascii="Helvetica Neue" w:eastAsia="Times New Roman" w:hAnsi="Helvetica Neue" w:cs="Times New Roman"/>
                <w:b/>
                <w:sz w:val="19"/>
                <w:szCs w:val="19"/>
                <w:lang w:eastAsia="en-AU"/>
              </w:rPr>
            </w:pPr>
            <w:r w:rsidRPr="00234629">
              <w:rPr>
                <w:rFonts w:ascii="Helvetica Neue" w:eastAsia="Times New Roman" w:hAnsi="Helvetica Neue" w:cs="Times New Roman"/>
                <w:b/>
                <w:sz w:val="19"/>
                <w:szCs w:val="19"/>
                <w:lang w:eastAsia="en-AU"/>
              </w:rPr>
              <w:t>Date</w:t>
            </w:r>
          </w:p>
        </w:tc>
      </w:tr>
      <w:tr w:rsidR="00A25CFA" w:rsidRPr="004111FE" w14:paraId="73BD077D" w14:textId="77777777" w:rsidTr="00B45DFD">
        <w:tc>
          <w:tcPr>
            <w:tcW w:w="1105" w:type="dxa"/>
            <w:tcBorders>
              <w:top w:val="single" w:sz="8" w:space="0" w:color="auto"/>
              <w:left w:val="nil"/>
              <w:bottom w:val="single" w:sz="8" w:space="0" w:color="auto"/>
              <w:right w:val="nil"/>
            </w:tcBorders>
            <w:tcMar>
              <w:top w:w="0" w:type="dxa"/>
              <w:left w:w="107" w:type="dxa"/>
              <w:bottom w:w="0" w:type="dxa"/>
              <w:right w:w="107" w:type="dxa"/>
            </w:tcMar>
          </w:tcPr>
          <w:p w14:paraId="527958B8" w14:textId="3995D841" w:rsidR="00A25CFA" w:rsidRPr="004111FE" w:rsidRDefault="00A470BE" w:rsidP="00234629">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1</w:t>
            </w:r>
            <w:r w:rsidR="00A36FBE">
              <w:rPr>
                <w:rFonts w:ascii="Helvetica Neue" w:eastAsia="Times New Roman" w:hAnsi="Helvetica Neue" w:cs="Times New Roman"/>
                <w:sz w:val="20"/>
                <w:lang w:eastAsia="en-AU"/>
              </w:rPr>
              <w:t>.</w:t>
            </w:r>
            <w:r w:rsidR="00A25CFA">
              <w:rPr>
                <w:rFonts w:ascii="Helvetica Neue" w:eastAsia="Times New Roman" w:hAnsi="Helvetica Neue" w:cs="Times New Roman"/>
                <w:sz w:val="20"/>
                <w:lang w:eastAsia="en-AU"/>
              </w:rPr>
              <w:t xml:space="preserve"> </w:t>
            </w:r>
          </w:p>
        </w:tc>
        <w:tc>
          <w:tcPr>
            <w:tcW w:w="3041" w:type="dxa"/>
            <w:tcBorders>
              <w:top w:val="single" w:sz="8" w:space="0" w:color="auto"/>
              <w:left w:val="nil"/>
              <w:bottom w:val="single" w:sz="8" w:space="0" w:color="auto"/>
              <w:right w:val="nil"/>
            </w:tcBorders>
            <w:tcMar>
              <w:top w:w="0" w:type="dxa"/>
              <w:left w:w="107" w:type="dxa"/>
              <w:bottom w:w="0" w:type="dxa"/>
              <w:right w:w="107" w:type="dxa"/>
            </w:tcMar>
          </w:tcPr>
          <w:p w14:paraId="144D5AF2" w14:textId="771712F9" w:rsidR="00A25CFA" w:rsidRDefault="00A25CFA" w:rsidP="00234629">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Acquittals</w:t>
            </w:r>
            <w:r w:rsidR="00E86762">
              <w:rPr>
                <w:rFonts w:ascii="Helvetica Neue" w:eastAsia="Times New Roman" w:hAnsi="Helvetica Neue" w:cs="Times New Roman"/>
                <w:sz w:val="20"/>
                <w:lang w:eastAsia="en-AU"/>
              </w:rPr>
              <w:t xml:space="preserve"> report</w:t>
            </w:r>
          </w:p>
        </w:tc>
        <w:tc>
          <w:tcPr>
            <w:tcW w:w="4060" w:type="dxa"/>
            <w:tcBorders>
              <w:top w:val="single" w:sz="8" w:space="0" w:color="auto"/>
              <w:left w:val="nil"/>
              <w:bottom w:val="single" w:sz="8" w:space="0" w:color="auto"/>
              <w:right w:val="nil"/>
            </w:tcBorders>
            <w:tcMar>
              <w:top w:w="0" w:type="dxa"/>
              <w:left w:w="107" w:type="dxa"/>
              <w:bottom w:w="0" w:type="dxa"/>
              <w:right w:w="107" w:type="dxa"/>
            </w:tcMar>
          </w:tcPr>
          <w:p w14:paraId="76A6B00E" w14:textId="31F0CE04" w:rsidR="00A25CFA" w:rsidRPr="004111FE" w:rsidRDefault="00A25CFA" w:rsidP="00234629">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Last business day of April of the next grant year</w:t>
            </w:r>
            <w:r w:rsidR="00245C29">
              <w:rPr>
                <w:rFonts w:ascii="Helvetica Neue" w:eastAsia="Times New Roman" w:hAnsi="Helvetica Neue" w:cs="Times New Roman"/>
                <w:sz w:val="19"/>
                <w:szCs w:val="19"/>
                <w:lang w:eastAsia="en-AU"/>
              </w:rPr>
              <w:t>.</w:t>
            </w:r>
          </w:p>
        </w:tc>
      </w:tr>
      <w:tr w:rsidR="00A25CFA" w:rsidRPr="004111FE" w14:paraId="2424A7D0" w14:textId="77777777" w:rsidTr="00B45DFD">
        <w:tc>
          <w:tcPr>
            <w:tcW w:w="1105" w:type="dxa"/>
            <w:tcBorders>
              <w:top w:val="single" w:sz="8" w:space="0" w:color="auto"/>
              <w:left w:val="nil"/>
              <w:bottom w:val="single" w:sz="12" w:space="0" w:color="auto"/>
              <w:right w:val="nil"/>
            </w:tcBorders>
            <w:tcMar>
              <w:top w:w="0" w:type="dxa"/>
              <w:left w:w="107" w:type="dxa"/>
              <w:bottom w:w="0" w:type="dxa"/>
              <w:right w:w="107" w:type="dxa"/>
            </w:tcMar>
          </w:tcPr>
          <w:p w14:paraId="0664AA58" w14:textId="4495F634" w:rsidR="00A25CFA" w:rsidRDefault="00A470BE" w:rsidP="00234629">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2</w:t>
            </w:r>
            <w:r w:rsidR="00A36FBE">
              <w:rPr>
                <w:rFonts w:ascii="Helvetica Neue" w:eastAsia="Times New Roman" w:hAnsi="Helvetica Neue" w:cs="Times New Roman"/>
                <w:sz w:val="20"/>
                <w:lang w:eastAsia="en-AU"/>
              </w:rPr>
              <w:t>.</w:t>
            </w:r>
          </w:p>
        </w:tc>
        <w:tc>
          <w:tcPr>
            <w:tcW w:w="3041" w:type="dxa"/>
            <w:tcBorders>
              <w:top w:val="single" w:sz="8" w:space="0" w:color="auto"/>
              <w:left w:val="nil"/>
              <w:bottom w:val="single" w:sz="12" w:space="0" w:color="auto"/>
              <w:right w:val="nil"/>
            </w:tcBorders>
            <w:tcMar>
              <w:top w:w="0" w:type="dxa"/>
              <w:left w:w="107" w:type="dxa"/>
              <w:bottom w:w="0" w:type="dxa"/>
              <w:right w:w="107" w:type="dxa"/>
            </w:tcMar>
          </w:tcPr>
          <w:p w14:paraId="5EE7B2DB" w14:textId="7D552B3F" w:rsidR="00A25CFA" w:rsidRDefault="00A25CFA" w:rsidP="00234629">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Performance </w:t>
            </w:r>
            <w:r w:rsidR="009E5792">
              <w:rPr>
                <w:rFonts w:ascii="Helvetica Neue" w:eastAsia="Times New Roman" w:hAnsi="Helvetica Neue" w:cs="Times New Roman"/>
                <w:sz w:val="20"/>
                <w:lang w:eastAsia="en-AU"/>
              </w:rPr>
              <w:t>report</w:t>
            </w:r>
          </w:p>
        </w:tc>
        <w:tc>
          <w:tcPr>
            <w:tcW w:w="4060" w:type="dxa"/>
            <w:tcBorders>
              <w:top w:val="single" w:sz="8" w:space="0" w:color="auto"/>
              <w:left w:val="nil"/>
              <w:bottom w:val="single" w:sz="12" w:space="0" w:color="auto"/>
              <w:right w:val="nil"/>
            </w:tcBorders>
            <w:tcMar>
              <w:top w:w="0" w:type="dxa"/>
              <w:left w:w="107" w:type="dxa"/>
              <w:bottom w:w="0" w:type="dxa"/>
              <w:right w:w="107" w:type="dxa"/>
            </w:tcMar>
          </w:tcPr>
          <w:p w14:paraId="79C560EF" w14:textId="6440AFD4" w:rsidR="00A25CFA" w:rsidRPr="004111FE" w:rsidRDefault="00A25CFA" w:rsidP="00234629">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Last business day of April of the next grant year</w:t>
            </w:r>
            <w:r w:rsidR="00245C29">
              <w:rPr>
                <w:rFonts w:ascii="Helvetica Neue" w:eastAsia="Times New Roman" w:hAnsi="Helvetica Neue" w:cs="Times New Roman"/>
                <w:sz w:val="19"/>
                <w:szCs w:val="19"/>
                <w:lang w:eastAsia="en-AU"/>
              </w:rPr>
              <w:t>.</w:t>
            </w:r>
          </w:p>
        </w:tc>
      </w:tr>
    </w:tbl>
    <w:p w14:paraId="4FC47389" w14:textId="4812F265" w:rsidR="00A470BE" w:rsidRDefault="00A470BE" w:rsidP="00A470BE">
      <w:pPr>
        <w:pStyle w:val="notetext"/>
      </w:pPr>
      <w:r w:rsidRPr="009C2562">
        <w:t>Note:</w:t>
      </w:r>
      <w:r w:rsidRPr="009C2562">
        <w:tab/>
      </w:r>
      <w:r w:rsidR="009E482C">
        <w:t xml:space="preserve">In addition to the reports specified in column 2 </w:t>
      </w:r>
      <w:r w:rsidR="00D97471">
        <w:t xml:space="preserve">of </w:t>
      </w:r>
      <w:r w:rsidR="009E482C">
        <w:t xml:space="preserve">the table in subsection (1), </w:t>
      </w:r>
      <w:r w:rsidR="00C5023B">
        <w:t>paragraph</w:t>
      </w:r>
      <w:r w:rsidR="00950744">
        <w:t> </w:t>
      </w:r>
      <w:r>
        <w:t>19-10</w:t>
      </w:r>
      <w:r w:rsidR="009E482C">
        <w:t>(1)</w:t>
      </w:r>
      <w:r w:rsidR="00C5023B">
        <w:t>(a)</w:t>
      </w:r>
      <w:r>
        <w:t xml:space="preserve"> </w:t>
      </w:r>
      <w:r w:rsidR="005E0156">
        <w:t xml:space="preserve">of the Act </w:t>
      </w:r>
      <w:r>
        <w:t>provides that</w:t>
      </w:r>
      <w:r w:rsidR="00C2798B">
        <w:t xml:space="preserve"> </w:t>
      </w:r>
      <w:r w:rsidR="009E482C">
        <w:t xml:space="preserve">a </w:t>
      </w:r>
      <w:r w:rsidR="009E482C">
        <w:rPr>
          <w:i/>
        </w:rPr>
        <w:t xml:space="preserve">higher education provider </w:t>
      </w:r>
      <w:r w:rsidR="009E482C">
        <w:t xml:space="preserve">must give to the Minister a financial statement for each </w:t>
      </w:r>
      <w:r w:rsidR="009E482C">
        <w:rPr>
          <w:i/>
        </w:rPr>
        <w:t xml:space="preserve">annual financial reporting period </w:t>
      </w:r>
      <w:r w:rsidR="009E482C">
        <w:t xml:space="preserve">for the provider in which </w:t>
      </w:r>
      <w:r w:rsidR="00D97471">
        <w:t>the provider receives assistance under Chapter 2 of the Act.</w:t>
      </w:r>
      <w:r>
        <w:t xml:space="preserve"> </w:t>
      </w:r>
    </w:p>
    <w:p w14:paraId="1CE0E19B" w14:textId="273BFAC3" w:rsidR="00DF3574" w:rsidRDefault="000C00DD" w:rsidP="00234629">
      <w:pPr>
        <w:pStyle w:val="subsection"/>
        <w:rPr>
          <w:bCs/>
        </w:rPr>
      </w:pPr>
      <w:r>
        <w:tab/>
        <w:t>(</w:t>
      </w:r>
      <w:r w:rsidR="00DE41A4">
        <w:t>2</w:t>
      </w:r>
      <w:r w:rsidRPr="00BE3917">
        <w:t>)</w:t>
      </w:r>
      <w:r w:rsidRPr="00BE3917">
        <w:tab/>
      </w:r>
      <w:r>
        <w:rPr>
          <w:bCs/>
        </w:rPr>
        <w:t>The</w:t>
      </w:r>
      <w:r w:rsidR="00A6613C">
        <w:rPr>
          <w:bCs/>
        </w:rPr>
        <w:t xml:space="preserve"> reports a </w:t>
      </w:r>
      <w:r w:rsidRPr="003C073E">
        <w:rPr>
          <w:bCs/>
          <w:i/>
        </w:rPr>
        <w:t>higher education provider</w:t>
      </w:r>
      <w:r>
        <w:rPr>
          <w:bCs/>
        </w:rPr>
        <w:t xml:space="preserve"> </w:t>
      </w:r>
      <w:r w:rsidR="00663319">
        <w:rPr>
          <w:bCs/>
        </w:rPr>
        <w:t>is</w:t>
      </w:r>
      <w:r>
        <w:rPr>
          <w:bCs/>
        </w:rPr>
        <w:t xml:space="preserve"> required to </w:t>
      </w:r>
      <w:r w:rsidR="002454B2">
        <w:rPr>
          <w:bCs/>
        </w:rPr>
        <w:t xml:space="preserve">give </w:t>
      </w:r>
      <w:r>
        <w:rPr>
          <w:bCs/>
        </w:rPr>
        <w:t xml:space="preserve">under subsection (1) must </w:t>
      </w:r>
      <w:r w:rsidR="003626E1">
        <w:rPr>
          <w:bCs/>
        </w:rPr>
        <w:t>meet</w:t>
      </w:r>
      <w:r w:rsidR="00DF3574">
        <w:rPr>
          <w:bCs/>
        </w:rPr>
        <w:t xml:space="preserve"> the following requirements:</w:t>
      </w:r>
    </w:p>
    <w:p w14:paraId="69586EEA" w14:textId="3E549489" w:rsidR="00DF3574" w:rsidRDefault="00DF3574" w:rsidP="00B45DFD">
      <w:pPr>
        <w:pStyle w:val="paragraph"/>
        <w:rPr>
          <w:bCs/>
        </w:rPr>
      </w:pPr>
      <w:r w:rsidRPr="00DF3574">
        <w:tab/>
        <w:t>(</w:t>
      </w:r>
      <w:r>
        <w:t>a</w:t>
      </w:r>
      <w:r w:rsidRPr="00B45DFD">
        <w:t>)</w:t>
      </w:r>
      <w:r w:rsidRPr="00B45DFD">
        <w:tab/>
      </w:r>
      <w:r w:rsidR="00EE39D5">
        <w:t xml:space="preserve">the reports must </w:t>
      </w:r>
      <w:r w:rsidR="000C00DD">
        <w:rPr>
          <w:bCs/>
        </w:rPr>
        <w:t xml:space="preserve">be prepared in a form, and contain the information, specified by an </w:t>
      </w:r>
      <w:r w:rsidR="00607AB1">
        <w:rPr>
          <w:bCs/>
        </w:rPr>
        <w:t xml:space="preserve">administering </w:t>
      </w:r>
      <w:r w:rsidR="000C00DD">
        <w:rPr>
          <w:bCs/>
        </w:rPr>
        <w:t>officer in writing</w:t>
      </w:r>
      <w:r>
        <w:rPr>
          <w:bCs/>
        </w:rPr>
        <w:t>; and</w:t>
      </w:r>
    </w:p>
    <w:p w14:paraId="556A3951" w14:textId="35DB5FED" w:rsidR="000602FE" w:rsidRDefault="00DF3574" w:rsidP="00B45DFD">
      <w:pPr>
        <w:pStyle w:val="paragraph"/>
        <w:rPr>
          <w:bCs/>
        </w:rPr>
      </w:pPr>
      <w:r w:rsidRPr="00DF3574">
        <w:tab/>
      </w:r>
      <w:r w:rsidRPr="003626E1">
        <w:t>(b)</w:t>
      </w:r>
      <w:r w:rsidRPr="003626E1">
        <w:tab/>
      </w:r>
      <w:r w:rsidR="00EE39D5" w:rsidRPr="003626E1">
        <w:t xml:space="preserve">the reports must </w:t>
      </w:r>
      <w:r w:rsidR="0084392B" w:rsidRPr="003626E1">
        <w:t>include a statement authorised by the provider’s Indigenous Governance Mechanism</w:t>
      </w:r>
      <w:r w:rsidR="0084392B" w:rsidRPr="003626E1">
        <w:rPr>
          <w:bCs/>
        </w:rPr>
        <w:t>.</w:t>
      </w:r>
      <w:r w:rsidR="0084392B" w:rsidRPr="003626E1">
        <w:t xml:space="preserve"> </w:t>
      </w:r>
      <w:r w:rsidRPr="003626E1">
        <w:t xml:space="preserve"> </w:t>
      </w:r>
    </w:p>
    <w:p w14:paraId="34E0FD7E" w14:textId="4649A2FB" w:rsidR="006D43B1" w:rsidRPr="00567A72" w:rsidRDefault="006D43B1" w:rsidP="006D43B1">
      <w:pPr>
        <w:pStyle w:val="subsection"/>
        <w:keepNext/>
        <w:keepLines/>
      </w:pPr>
      <w:r>
        <w:tab/>
        <w:t>(</w:t>
      </w:r>
      <w:r w:rsidR="00DE41A4">
        <w:t>3</w:t>
      </w:r>
      <w:r w:rsidRPr="00BE3917">
        <w:t>)</w:t>
      </w:r>
      <w:r w:rsidRPr="00BE3917">
        <w:tab/>
      </w:r>
      <w:r>
        <w:rPr>
          <w:bCs/>
        </w:rPr>
        <w:t xml:space="preserve">An </w:t>
      </w:r>
      <w:r>
        <w:t>administering officer</w:t>
      </w:r>
      <w:r>
        <w:rPr>
          <w:bCs/>
        </w:rPr>
        <w:t xml:space="preserve"> may request a revised report if the </w:t>
      </w:r>
      <w:r>
        <w:t>administering officer</w:t>
      </w:r>
      <w:r w:rsidRPr="0065646F" w:rsidDel="00AC197B">
        <w:rPr>
          <w:highlight w:val="yellow"/>
        </w:rPr>
        <w:t xml:space="preserve"> </w:t>
      </w:r>
      <w:r>
        <w:rPr>
          <w:bCs/>
        </w:rPr>
        <w:t xml:space="preserve">reasonably considers that the form or content of a report is unsatisfactory. </w:t>
      </w:r>
    </w:p>
    <w:p w14:paraId="36699CAC" w14:textId="11FE5D3D" w:rsidR="006D43B1" w:rsidRPr="00C05EBD" w:rsidRDefault="006D43B1" w:rsidP="006D43B1">
      <w:pPr>
        <w:pStyle w:val="subsection"/>
      </w:pPr>
      <w:r>
        <w:tab/>
        <w:t>(</w:t>
      </w:r>
      <w:r w:rsidR="00DE41A4">
        <w:t>4</w:t>
      </w:r>
      <w:r w:rsidRPr="00C05EBD">
        <w:t>)</w:t>
      </w:r>
      <w:r w:rsidRPr="00C05EBD">
        <w:tab/>
      </w:r>
      <w:r w:rsidRPr="00C05EBD">
        <w:rPr>
          <w:bCs/>
        </w:rPr>
        <w:t xml:space="preserve">An </w:t>
      </w:r>
      <w:r w:rsidRPr="00C05EBD">
        <w:t>administering officer</w:t>
      </w:r>
      <w:r w:rsidRPr="00C05EBD" w:rsidDel="00AC197B">
        <w:t xml:space="preserve"> </w:t>
      </w:r>
      <w:r w:rsidRPr="00C05EBD">
        <w:rPr>
          <w:bCs/>
        </w:rPr>
        <w:t xml:space="preserve">may request any additional information or reports about the use of an ISSP grant by a </w:t>
      </w:r>
      <w:r w:rsidRPr="00C05EBD">
        <w:rPr>
          <w:bCs/>
          <w:i/>
        </w:rPr>
        <w:t>higher education provider</w:t>
      </w:r>
      <w:r w:rsidRPr="00C05EBD">
        <w:rPr>
          <w:bCs/>
        </w:rPr>
        <w:t xml:space="preserve">. </w:t>
      </w:r>
    </w:p>
    <w:p w14:paraId="6CD213F8" w14:textId="664BAFC5" w:rsidR="006D43B1" w:rsidRPr="003C073E" w:rsidRDefault="006D43B1">
      <w:pPr>
        <w:pStyle w:val="subsection"/>
      </w:pPr>
      <w:r>
        <w:tab/>
        <w:t>(</w:t>
      </w:r>
      <w:r w:rsidR="00DE41A4">
        <w:t>5</w:t>
      </w:r>
      <w:r w:rsidRPr="00C05EBD">
        <w:t>)</w:t>
      </w:r>
      <w:r w:rsidRPr="00C05EBD">
        <w:tab/>
      </w:r>
      <w:r w:rsidRPr="00C05EBD">
        <w:rPr>
          <w:bCs/>
        </w:rPr>
        <w:t xml:space="preserve">A </w:t>
      </w:r>
      <w:r w:rsidRPr="00C05EBD">
        <w:rPr>
          <w:bCs/>
          <w:i/>
        </w:rPr>
        <w:t>higher education provider</w:t>
      </w:r>
      <w:r w:rsidRPr="00C05EBD">
        <w:rPr>
          <w:bCs/>
        </w:rPr>
        <w:t xml:space="preserve"> must comply with a reasona</w:t>
      </w:r>
      <w:r w:rsidR="002F2B40">
        <w:rPr>
          <w:bCs/>
        </w:rPr>
        <w:t>ble request under subsections (3) or (4</w:t>
      </w:r>
      <w:r w:rsidRPr="00C05EBD">
        <w:rPr>
          <w:bCs/>
        </w:rPr>
        <w:t>) within 10 business days</w:t>
      </w:r>
      <w:r w:rsidR="00F6626B">
        <w:rPr>
          <w:bCs/>
        </w:rPr>
        <w:t xml:space="preserve"> of the request</w:t>
      </w:r>
      <w:r w:rsidRPr="00C05EBD">
        <w:rPr>
          <w:bCs/>
        </w:rPr>
        <w:t xml:space="preserve">, or a longer period specified by an </w:t>
      </w:r>
      <w:r w:rsidRPr="00C05EBD">
        <w:t>administering officer</w:t>
      </w:r>
      <w:r w:rsidRPr="00C05EBD" w:rsidDel="00AC197B">
        <w:t xml:space="preserve"> </w:t>
      </w:r>
      <w:r w:rsidRPr="00C05EBD">
        <w:rPr>
          <w:bCs/>
        </w:rPr>
        <w:t xml:space="preserve">in writing.  </w:t>
      </w:r>
    </w:p>
    <w:p w14:paraId="230CE109" w14:textId="3BFBD686" w:rsidR="000602FE" w:rsidRDefault="00BF049F" w:rsidP="000602FE">
      <w:pPr>
        <w:pStyle w:val="ActHead5"/>
      </w:pPr>
      <w:bookmarkStart w:id="139" w:name="_Toc467246533"/>
      <w:bookmarkStart w:id="140" w:name="_Toc468194439"/>
      <w:bookmarkStart w:id="141" w:name="_Toc468285037"/>
      <w:bookmarkStart w:id="142" w:name="_Toc468364322"/>
      <w:bookmarkStart w:id="143" w:name="_Toc469060370"/>
      <w:bookmarkStart w:id="144" w:name="_Toc469172061"/>
      <w:bookmarkStart w:id="145" w:name="_Toc469918094"/>
      <w:r>
        <w:t>1</w:t>
      </w:r>
      <w:r w:rsidR="00FF0EC0">
        <w:t>8</w:t>
      </w:r>
      <w:r w:rsidR="000602FE" w:rsidRPr="005A65D5">
        <w:t xml:space="preserve">  </w:t>
      </w:r>
      <w:r w:rsidR="00407CBE">
        <w:t>Access to premises and records</w:t>
      </w:r>
      <w:bookmarkEnd w:id="139"/>
      <w:bookmarkEnd w:id="140"/>
      <w:bookmarkEnd w:id="141"/>
      <w:bookmarkEnd w:id="142"/>
      <w:bookmarkEnd w:id="143"/>
      <w:bookmarkEnd w:id="144"/>
      <w:bookmarkEnd w:id="145"/>
    </w:p>
    <w:p w14:paraId="4021CA1F" w14:textId="75D8A14D" w:rsidR="000602FE" w:rsidRDefault="000602FE" w:rsidP="000602FE">
      <w:pPr>
        <w:pStyle w:val="subsection"/>
        <w:rPr>
          <w:lang w:val="en-US"/>
        </w:rPr>
      </w:pPr>
      <w:r w:rsidRPr="00AE3B41">
        <w:tab/>
        <w:t>(1)</w:t>
      </w:r>
      <w:r w:rsidRPr="00AE3B41">
        <w:tab/>
      </w:r>
      <w:r w:rsidR="00407CBE">
        <w:rPr>
          <w:lang w:val="en-US"/>
        </w:rPr>
        <w:t xml:space="preserve">An administering officer may, in writing, request access to the premises or records of a </w:t>
      </w:r>
      <w:r w:rsidR="00407CBE" w:rsidRPr="003C073E">
        <w:rPr>
          <w:i/>
          <w:lang w:val="en-US"/>
        </w:rPr>
        <w:t>higher education provider</w:t>
      </w:r>
      <w:r w:rsidR="00407CBE">
        <w:rPr>
          <w:lang w:val="en-US"/>
        </w:rPr>
        <w:t xml:space="preserve"> for the purpose of determining whether the provider is using an ISSP grant in accordance with the Act </w:t>
      </w:r>
      <w:r w:rsidR="00AD2424">
        <w:rPr>
          <w:lang w:val="en-US"/>
        </w:rPr>
        <w:t xml:space="preserve">and </w:t>
      </w:r>
      <w:r w:rsidR="00407CBE">
        <w:rPr>
          <w:lang w:val="en-US"/>
        </w:rPr>
        <w:t xml:space="preserve">the Guidelines. </w:t>
      </w:r>
      <w:r w:rsidRPr="001861A7">
        <w:rPr>
          <w:lang w:val="en-US"/>
        </w:rPr>
        <w:t xml:space="preserve"> </w:t>
      </w:r>
    </w:p>
    <w:p w14:paraId="4D8F33F9" w14:textId="197CE2CC" w:rsidR="00F54AF2" w:rsidRDefault="000602FE" w:rsidP="000602FE">
      <w:pPr>
        <w:pStyle w:val="subsection"/>
        <w:rPr>
          <w:bCs/>
        </w:rPr>
      </w:pPr>
      <w:r>
        <w:tab/>
        <w:t>(</w:t>
      </w:r>
      <w:r w:rsidR="00F54AF2">
        <w:t>2</w:t>
      </w:r>
      <w:r w:rsidRPr="00AE3B41">
        <w:t>)</w:t>
      </w:r>
      <w:r w:rsidRPr="00AE3B41">
        <w:tab/>
      </w:r>
      <w:r w:rsidR="00407CBE">
        <w:rPr>
          <w:bCs/>
        </w:rPr>
        <w:t xml:space="preserve">A </w:t>
      </w:r>
      <w:r w:rsidR="00407CBE" w:rsidRPr="003C073E">
        <w:rPr>
          <w:bCs/>
          <w:i/>
        </w:rPr>
        <w:t>higher education provider</w:t>
      </w:r>
      <w:r w:rsidR="00407CBE">
        <w:rPr>
          <w:bCs/>
        </w:rPr>
        <w:t xml:space="preserve"> must not unreasonably withhold consent to a request under subsection (1)</w:t>
      </w:r>
      <w:r w:rsidR="00B97F08">
        <w:rPr>
          <w:bCs/>
        </w:rPr>
        <w:t>.</w:t>
      </w:r>
      <w:r w:rsidRPr="00AE3B41">
        <w:rPr>
          <w:bCs/>
        </w:rPr>
        <w:t xml:space="preserve"> </w:t>
      </w:r>
    </w:p>
    <w:p w14:paraId="349FD138" w14:textId="2B142A9D" w:rsidR="000602FE" w:rsidRPr="003C073E" w:rsidRDefault="00F54AF2">
      <w:pPr>
        <w:pStyle w:val="subsection"/>
      </w:pPr>
      <w:r>
        <w:tab/>
        <w:t>(3</w:t>
      </w:r>
      <w:r w:rsidRPr="00AE3B41">
        <w:t>)</w:t>
      </w:r>
      <w:r w:rsidRPr="00AE3B41">
        <w:tab/>
      </w:r>
      <w:r>
        <w:rPr>
          <w:lang w:val="en-US"/>
        </w:rPr>
        <w:t xml:space="preserve">A </w:t>
      </w:r>
      <w:r w:rsidRPr="00C05EBD">
        <w:rPr>
          <w:i/>
          <w:lang w:val="en-US"/>
        </w:rPr>
        <w:t>higher education provider</w:t>
      </w:r>
      <w:r>
        <w:rPr>
          <w:lang w:val="en-US"/>
        </w:rPr>
        <w:t xml:space="preserve"> </w:t>
      </w:r>
      <w:r w:rsidR="00DE2123">
        <w:rPr>
          <w:lang w:val="en-US"/>
        </w:rPr>
        <w:t xml:space="preserve">that receives a request under subsection (1) </w:t>
      </w:r>
      <w:r>
        <w:rPr>
          <w:lang w:val="en-US"/>
        </w:rPr>
        <w:t xml:space="preserve">must provide </w:t>
      </w:r>
      <w:r w:rsidR="00DE2123">
        <w:rPr>
          <w:lang w:val="en-US"/>
        </w:rPr>
        <w:t xml:space="preserve">the </w:t>
      </w:r>
      <w:r>
        <w:rPr>
          <w:lang w:val="en-US"/>
        </w:rPr>
        <w:t xml:space="preserve">administering officer with such assistance as is necessary and reasonable for determining whether the provider is using an ISSP grant in accordance with the Act </w:t>
      </w:r>
      <w:r w:rsidR="00AD2424">
        <w:rPr>
          <w:lang w:val="en-US"/>
        </w:rPr>
        <w:t xml:space="preserve">and </w:t>
      </w:r>
      <w:r>
        <w:rPr>
          <w:lang w:val="en-US"/>
        </w:rPr>
        <w:t xml:space="preserve">the Guidelines. </w:t>
      </w:r>
    </w:p>
    <w:p w14:paraId="699EC605" w14:textId="47619AD6" w:rsidR="00387A9A" w:rsidRPr="00351537" w:rsidRDefault="0058074D" w:rsidP="00234629">
      <w:pPr>
        <w:pStyle w:val="ActHead3"/>
        <w:ind w:left="0" w:firstLine="0"/>
      </w:pPr>
      <w:bookmarkStart w:id="146" w:name="_Toc467246535"/>
      <w:bookmarkStart w:id="147" w:name="_Toc468194440"/>
      <w:bookmarkStart w:id="148" w:name="_Toc468285038"/>
      <w:bookmarkStart w:id="149" w:name="_Toc468364323"/>
      <w:bookmarkStart w:id="150" w:name="_Toc469060371"/>
      <w:bookmarkStart w:id="151" w:name="_Toc469172062"/>
      <w:bookmarkStart w:id="152" w:name="_Toc469918095"/>
      <w:r>
        <w:rPr>
          <w:rStyle w:val="CharDivNo"/>
        </w:rPr>
        <w:t xml:space="preserve">Part </w:t>
      </w:r>
      <w:r w:rsidR="000550E1">
        <w:rPr>
          <w:rStyle w:val="CharDivNo"/>
        </w:rPr>
        <w:t>5</w:t>
      </w:r>
      <w:r w:rsidR="00387A9A" w:rsidRPr="00351537">
        <w:t>—</w:t>
      </w:r>
      <w:r w:rsidR="00387A9A">
        <w:rPr>
          <w:rStyle w:val="CharDivText"/>
        </w:rPr>
        <w:t>ISSP grant conditions (scholarships)</w:t>
      </w:r>
      <w:bookmarkEnd w:id="146"/>
      <w:bookmarkEnd w:id="147"/>
      <w:bookmarkEnd w:id="148"/>
      <w:bookmarkEnd w:id="149"/>
      <w:bookmarkEnd w:id="150"/>
      <w:bookmarkEnd w:id="151"/>
      <w:bookmarkEnd w:id="152"/>
    </w:p>
    <w:p w14:paraId="0B1F98F8" w14:textId="067DDA83" w:rsidR="00387A9A" w:rsidRPr="005A65D5" w:rsidRDefault="00AB4A13" w:rsidP="00387A9A">
      <w:pPr>
        <w:pStyle w:val="ActHead5"/>
      </w:pPr>
      <w:bookmarkStart w:id="153" w:name="_Toc467246536"/>
      <w:bookmarkStart w:id="154" w:name="_Toc468194441"/>
      <w:bookmarkStart w:id="155" w:name="_Toc468285039"/>
      <w:bookmarkStart w:id="156" w:name="_Toc468364324"/>
      <w:bookmarkStart w:id="157" w:name="_Toc469060372"/>
      <w:bookmarkStart w:id="158" w:name="_Toc469172063"/>
      <w:bookmarkStart w:id="159" w:name="_Toc469918096"/>
      <w:r>
        <w:t>1</w:t>
      </w:r>
      <w:r w:rsidR="00FF0EC0">
        <w:t>9</w:t>
      </w:r>
      <w:r w:rsidR="00387A9A" w:rsidRPr="005A65D5">
        <w:t xml:space="preserve">  </w:t>
      </w:r>
      <w:r w:rsidR="00387A9A">
        <w:t>Using ISSP grants for scholarships</w:t>
      </w:r>
      <w:bookmarkEnd w:id="153"/>
      <w:bookmarkEnd w:id="154"/>
      <w:bookmarkEnd w:id="155"/>
      <w:bookmarkEnd w:id="156"/>
      <w:bookmarkEnd w:id="157"/>
      <w:bookmarkEnd w:id="158"/>
      <w:bookmarkEnd w:id="159"/>
    </w:p>
    <w:p w14:paraId="69D89FE7" w14:textId="2A7B88BE" w:rsidR="00BA2D11" w:rsidRPr="00BA2D11" w:rsidRDefault="00BA2D11">
      <w:pPr>
        <w:pStyle w:val="subsection"/>
      </w:pPr>
      <w:r w:rsidRPr="00BA2D11">
        <w:tab/>
      </w:r>
      <w:r w:rsidRPr="00BA2D11">
        <w:tab/>
      </w:r>
      <w:r>
        <w:t xml:space="preserve">Subject to these Guidelines and the Act, a </w:t>
      </w:r>
      <w:r w:rsidRPr="003C073E">
        <w:rPr>
          <w:i/>
        </w:rPr>
        <w:t>higher education provider</w:t>
      </w:r>
      <w:r>
        <w:t xml:space="preserve"> may use an ISSP grant to award the Indigenous Commonwealth Scholarships described in </w:t>
      </w:r>
      <w:r w:rsidR="00156B1B">
        <w:t xml:space="preserve">section </w:t>
      </w:r>
      <w:r w:rsidR="00FF0EC0">
        <w:t>20</w:t>
      </w:r>
      <w:r w:rsidR="00B93089">
        <w:t xml:space="preserve"> </w:t>
      </w:r>
      <w:r w:rsidR="00156B1B">
        <w:t xml:space="preserve">of these Guidelines </w:t>
      </w:r>
      <w:r>
        <w:t xml:space="preserve">to </w:t>
      </w:r>
      <w:r w:rsidR="00246EDC">
        <w:t>Indigenous</w:t>
      </w:r>
      <w:r w:rsidR="00246EDC" w:rsidRPr="003C2D1B">
        <w:t xml:space="preserve"> </w:t>
      </w:r>
      <w:r w:rsidR="003C2D1B" w:rsidRPr="003C2D1B">
        <w:t>student</w:t>
      </w:r>
      <w:r>
        <w:t>s</w:t>
      </w:r>
      <w:r w:rsidR="005F37B5">
        <w:t xml:space="preserve"> who are </w:t>
      </w:r>
      <w:r w:rsidR="005F37B5" w:rsidRPr="000B4FC4">
        <w:rPr>
          <w:i/>
        </w:rPr>
        <w:t>enrolled</w:t>
      </w:r>
      <w:r w:rsidR="005F37B5">
        <w:t xml:space="preserve"> in a </w:t>
      </w:r>
      <w:r w:rsidR="005F37B5" w:rsidRPr="000B4FC4">
        <w:rPr>
          <w:i/>
        </w:rPr>
        <w:t>course of study</w:t>
      </w:r>
      <w:r w:rsidR="002A6EC2">
        <w:rPr>
          <w:i/>
        </w:rPr>
        <w:t xml:space="preserve"> </w:t>
      </w:r>
      <w:r w:rsidR="002A6EC2">
        <w:t>with the provider</w:t>
      </w:r>
      <w:r w:rsidRPr="00BA2D11">
        <w:t>.</w:t>
      </w:r>
      <w:r w:rsidRPr="00BA2D11">
        <w:tab/>
      </w:r>
      <w:r w:rsidRPr="00EE3D5D">
        <w:tab/>
      </w:r>
    </w:p>
    <w:p w14:paraId="2C803C90" w14:textId="769AAA49" w:rsidR="00387A9A" w:rsidRPr="005A65D5" w:rsidRDefault="00FF0EC0" w:rsidP="00387A9A">
      <w:pPr>
        <w:pStyle w:val="ActHead5"/>
      </w:pPr>
      <w:bookmarkStart w:id="160" w:name="_Toc467246537"/>
      <w:bookmarkStart w:id="161" w:name="_Toc468194442"/>
      <w:bookmarkStart w:id="162" w:name="_Toc468285040"/>
      <w:bookmarkStart w:id="163" w:name="_Toc468364325"/>
      <w:bookmarkStart w:id="164" w:name="_Toc469060373"/>
      <w:bookmarkStart w:id="165" w:name="_Toc469172064"/>
      <w:bookmarkStart w:id="166" w:name="_Toc469918097"/>
      <w:r>
        <w:t>20</w:t>
      </w:r>
      <w:r w:rsidR="00387A9A" w:rsidRPr="005A65D5">
        <w:t xml:space="preserve">  </w:t>
      </w:r>
      <w:r w:rsidR="00387A9A">
        <w:t>Indigenous Commonwealth Scholarships</w:t>
      </w:r>
      <w:bookmarkEnd w:id="160"/>
      <w:bookmarkEnd w:id="161"/>
      <w:bookmarkEnd w:id="162"/>
      <w:bookmarkEnd w:id="163"/>
      <w:bookmarkEnd w:id="164"/>
      <w:bookmarkEnd w:id="165"/>
      <w:bookmarkEnd w:id="166"/>
    </w:p>
    <w:p w14:paraId="63B99061" w14:textId="5226228A" w:rsidR="00BA2D11" w:rsidRPr="00BA2D11" w:rsidRDefault="00BA2D11" w:rsidP="00BA2D11">
      <w:pPr>
        <w:pStyle w:val="subsection"/>
      </w:pPr>
      <w:r>
        <w:tab/>
      </w:r>
      <w:r w:rsidRPr="00BA2D11">
        <w:tab/>
        <w:t>Th</w:t>
      </w:r>
      <w:r>
        <w:t>e Indigenous Commonwealth Scholarships that may be awarded using an ISSP grant are</w:t>
      </w:r>
      <w:r w:rsidR="00437F1D">
        <w:t>:</w:t>
      </w:r>
    </w:p>
    <w:p w14:paraId="448DEBB5" w14:textId="748A317F" w:rsidR="00BA2D11" w:rsidRPr="00260E33" w:rsidRDefault="00BA2D11" w:rsidP="00BA2D11">
      <w:pPr>
        <w:pStyle w:val="paragraph"/>
      </w:pPr>
      <w:r w:rsidRPr="00BA2D11">
        <w:tab/>
        <w:t>(a)</w:t>
      </w:r>
      <w:r w:rsidRPr="00BA2D11">
        <w:tab/>
      </w:r>
      <w:r>
        <w:t xml:space="preserve">scholarships that assist with education costs </w:t>
      </w:r>
      <w:r>
        <w:rPr>
          <w:b/>
          <w:i/>
        </w:rPr>
        <w:t>(Indigenous Commonwealth Education Costs Scholarships)</w:t>
      </w:r>
      <w:r w:rsidR="00260E33">
        <w:t xml:space="preserve">; </w:t>
      </w:r>
    </w:p>
    <w:p w14:paraId="13986230" w14:textId="4479E4AF" w:rsidR="00BA2D11" w:rsidRDefault="00BA2D11" w:rsidP="00BA2D11">
      <w:pPr>
        <w:pStyle w:val="paragraph"/>
      </w:pPr>
      <w:r w:rsidRPr="00BA2D11">
        <w:tab/>
        <w:t>(b)</w:t>
      </w:r>
      <w:r w:rsidRPr="00BA2D11">
        <w:tab/>
      </w:r>
      <w:r>
        <w:t xml:space="preserve">scholarships that assist with </w:t>
      </w:r>
      <w:r w:rsidRPr="0025248E">
        <w:t xml:space="preserve">relocation </w:t>
      </w:r>
      <w:r w:rsidR="00F369F5" w:rsidRPr="0025248E">
        <w:t>costs, accommodation costs</w:t>
      </w:r>
      <w:r w:rsidR="00245C29">
        <w:t>,</w:t>
      </w:r>
      <w:r w:rsidRPr="0025248E">
        <w:t xml:space="preserve"> </w:t>
      </w:r>
      <w:r w:rsidR="00F369F5" w:rsidRPr="0025248E">
        <w:t xml:space="preserve">or relocation </w:t>
      </w:r>
      <w:r w:rsidRPr="0025248E">
        <w:t>and accommodation costs</w:t>
      </w:r>
      <w:r>
        <w:t xml:space="preserve"> </w:t>
      </w:r>
      <w:r>
        <w:rPr>
          <w:b/>
          <w:i/>
        </w:rPr>
        <w:t>(Indigenous Commonwealth Accommodation Scholarships)</w:t>
      </w:r>
      <w:r w:rsidR="00260E33">
        <w:t xml:space="preserve">; </w:t>
      </w:r>
    </w:p>
    <w:p w14:paraId="51DC7652" w14:textId="6F1DB45E" w:rsidR="00BA2D11" w:rsidRPr="00BA2D11" w:rsidRDefault="00BA2D11" w:rsidP="00BA2D11">
      <w:pPr>
        <w:pStyle w:val="paragraph"/>
      </w:pPr>
      <w:r>
        <w:tab/>
        <w:t>(c</w:t>
      </w:r>
      <w:r w:rsidRPr="00BA2D11">
        <w:t>)</w:t>
      </w:r>
      <w:r w:rsidRPr="00BA2D11">
        <w:tab/>
      </w:r>
      <w:r>
        <w:t xml:space="preserve">scholarships </w:t>
      </w:r>
      <w:r>
        <w:rPr>
          <w:b/>
          <w:i/>
        </w:rPr>
        <w:t>(Indigenous Commonwealth Reward Scholarships)</w:t>
      </w:r>
      <w:r>
        <w:t xml:space="preserve"> that</w:t>
      </w:r>
    </w:p>
    <w:p w14:paraId="322F3208" w14:textId="480F3E33" w:rsidR="002B148B" w:rsidRDefault="00BA2D11">
      <w:pPr>
        <w:pStyle w:val="paragraphsub"/>
      </w:pPr>
      <w:r w:rsidRPr="00AA76A0">
        <w:tab/>
        <w:t>(i)</w:t>
      </w:r>
      <w:r w:rsidRPr="00AA76A0">
        <w:tab/>
      </w:r>
      <w:r w:rsidR="00246EDC">
        <w:t xml:space="preserve">involve </w:t>
      </w:r>
      <w:r w:rsidR="00D07D77">
        <w:t xml:space="preserve">a </w:t>
      </w:r>
      <w:r>
        <w:t>payment that is unlikely to be repeated</w:t>
      </w:r>
      <w:r w:rsidR="002B148B">
        <w:t>; and</w:t>
      </w:r>
    </w:p>
    <w:p w14:paraId="489BECFD" w14:textId="77DDF9C9" w:rsidR="008869CC" w:rsidRDefault="002B148B" w:rsidP="002B148B">
      <w:pPr>
        <w:pStyle w:val="paragraphsub"/>
      </w:pPr>
      <w:r w:rsidRPr="00AA76A0">
        <w:tab/>
        <w:t>(i</w:t>
      </w:r>
      <w:r>
        <w:t>i</w:t>
      </w:r>
      <w:r w:rsidRPr="00AA76A0">
        <w:t>)</w:t>
      </w:r>
      <w:r w:rsidRPr="00AA76A0">
        <w:tab/>
      </w:r>
      <w:r>
        <w:t>are</w:t>
      </w:r>
      <w:r w:rsidR="008869CC">
        <w:t xml:space="preserve"> not intended to </w:t>
      </w:r>
      <w:r w:rsidR="00D07D77">
        <w:t xml:space="preserve">duplicate or supplement the purpose for which an Indigenous Commonwealth Education Costs Scholarship or an Indigenous Commonwealth Accommodation Scholarship </w:t>
      </w:r>
      <w:r w:rsidR="004244E3">
        <w:t>is</w:t>
      </w:r>
      <w:r w:rsidR="00D07D77">
        <w:t xml:space="preserve"> provided</w:t>
      </w:r>
      <w:r w:rsidR="008869CC">
        <w:t xml:space="preserve">; and   </w:t>
      </w:r>
    </w:p>
    <w:p w14:paraId="6C9A622F" w14:textId="430FE3C8" w:rsidR="00BA2D11" w:rsidRDefault="00246EDC" w:rsidP="008869CC">
      <w:pPr>
        <w:pStyle w:val="paragraphsub"/>
      </w:pPr>
      <w:r>
        <w:tab/>
        <w:t>(ii</w:t>
      </w:r>
      <w:r w:rsidR="002B148B">
        <w:t>i</w:t>
      </w:r>
      <w:r w:rsidR="008869CC" w:rsidRPr="00AA76A0">
        <w:t>)</w:t>
      </w:r>
      <w:r w:rsidR="008869CC" w:rsidRPr="00AA76A0">
        <w:tab/>
      </w:r>
      <w:r w:rsidR="00BA2D11">
        <w:t xml:space="preserve">a recipient would not have </w:t>
      </w:r>
      <w:r w:rsidR="00DE094A">
        <w:t xml:space="preserve">reasonably </w:t>
      </w:r>
      <w:r w:rsidR="00BA2D11">
        <w:t>expected, or necessarily anticipated, receiving</w:t>
      </w:r>
      <w:r w:rsidR="008869CC">
        <w:t>.</w:t>
      </w:r>
      <w:r w:rsidR="00BA2D11">
        <w:t xml:space="preserve"> </w:t>
      </w:r>
    </w:p>
    <w:p w14:paraId="0C5E3F55" w14:textId="2683ACA8" w:rsidR="00BD2CA1" w:rsidRPr="005A65D5" w:rsidRDefault="00FF0EC0" w:rsidP="00BD2CA1">
      <w:pPr>
        <w:pStyle w:val="ActHead5"/>
      </w:pPr>
      <w:bookmarkStart w:id="167" w:name="_Toc468194443"/>
      <w:bookmarkStart w:id="168" w:name="_Toc468285041"/>
      <w:bookmarkStart w:id="169" w:name="_Toc468364326"/>
      <w:bookmarkStart w:id="170" w:name="_Toc469060374"/>
      <w:bookmarkStart w:id="171" w:name="_Toc469172065"/>
      <w:bookmarkStart w:id="172" w:name="_Toc469918098"/>
      <w:bookmarkStart w:id="173" w:name="_Toc467246538"/>
      <w:r>
        <w:t>21</w:t>
      </w:r>
      <w:r w:rsidR="00BD2CA1" w:rsidRPr="005A65D5">
        <w:t xml:space="preserve">  </w:t>
      </w:r>
      <w:r w:rsidR="00BD2CA1">
        <w:t>Offering Indigenous Commonwealth Scholarships</w:t>
      </w:r>
      <w:bookmarkEnd w:id="167"/>
      <w:bookmarkEnd w:id="168"/>
      <w:bookmarkEnd w:id="169"/>
      <w:bookmarkEnd w:id="170"/>
      <w:bookmarkEnd w:id="171"/>
      <w:bookmarkEnd w:id="172"/>
    </w:p>
    <w:p w14:paraId="5AFE0706" w14:textId="0BA19F03" w:rsidR="005658B2" w:rsidRDefault="005658B2" w:rsidP="00D75EA8">
      <w:pPr>
        <w:pStyle w:val="subsection"/>
      </w:pPr>
      <w:r w:rsidRPr="00BA2D11">
        <w:tab/>
        <w:t>(</w:t>
      </w:r>
      <w:r w:rsidR="00A87F72">
        <w:t>1</w:t>
      </w:r>
      <w:r w:rsidRPr="00BA2D11">
        <w:t>)</w:t>
      </w:r>
      <w:r w:rsidRPr="00BA2D11">
        <w:tab/>
      </w:r>
      <w:r w:rsidRPr="00EE3D5D">
        <w:t xml:space="preserve">A </w:t>
      </w:r>
      <w:r w:rsidRPr="003C073E">
        <w:rPr>
          <w:i/>
        </w:rPr>
        <w:t>higher education provider</w:t>
      </w:r>
      <w:r w:rsidRPr="00EE3D5D">
        <w:t xml:space="preserve"> that </w:t>
      </w:r>
      <w:r>
        <w:t>offers</w:t>
      </w:r>
      <w:r w:rsidRPr="00EE3D5D">
        <w:t xml:space="preserve"> an Indigenous </w:t>
      </w:r>
      <w:r>
        <w:t>Commonwealth</w:t>
      </w:r>
      <w:r w:rsidRPr="00EE3D5D">
        <w:t xml:space="preserve"> Scholarship </w:t>
      </w:r>
      <w:r w:rsidR="00A46DE2">
        <w:t>to an Indigenous</w:t>
      </w:r>
      <w:r>
        <w:t xml:space="preserve"> student </w:t>
      </w:r>
      <w:r w:rsidRPr="00EE3D5D">
        <w:t>must determine the value, purpose</w:t>
      </w:r>
      <w:r>
        <w:t>,</w:t>
      </w:r>
      <w:r w:rsidRPr="00EE3D5D">
        <w:t xml:space="preserve"> duration </w:t>
      </w:r>
      <w:r>
        <w:t xml:space="preserve">and other conditions </w:t>
      </w:r>
      <w:r w:rsidRPr="00EE3D5D">
        <w:t>of the scholarship.</w:t>
      </w:r>
    </w:p>
    <w:p w14:paraId="52A97CE1" w14:textId="778E172F" w:rsidR="005658B2" w:rsidRDefault="005658B2" w:rsidP="005658B2">
      <w:pPr>
        <w:pStyle w:val="subsection"/>
      </w:pPr>
      <w:r>
        <w:tab/>
        <w:t>(</w:t>
      </w:r>
      <w:r w:rsidR="00A87F72">
        <w:t>2</w:t>
      </w:r>
      <w:r w:rsidRPr="00BA2D11">
        <w:t>)</w:t>
      </w:r>
      <w:r w:rsidRPr="00BA2D11">
        <w:tab/>
      </w:r>
      <w:r w:rsidRPr="00530261">
        <w:t xml:space="preserve">When making an offer of an Indigenous Commonwealth Scholarship </w:t>
      </w:r>
      <w:r w:rsidRPr="00932C4A">
        <w:t xml:space="preserve">to an </w:t>
      </w:r>
      <w:r w:rsidR="00A46DE2">
        <w:t>Indigenous</w:t>
      </w:r>
      <w:r>
        <w:t xml:space="preserve"> </w:t>
      </w:r>
      <w:r w:rsidRPr="0037637A">
        <w:t>student</w:t>
      </w:r>
      <w:r>
        <w:t xml:space="preserve">, a </w:t>
      </w:r>
      <w:r w:rsidRPr="003C073E">
        <w:rPr>
          <w:i/>
        </w:rPr>
        <w:t>higher education provider</w:t>
      </w:r>
      <w:r>
        <w:t xml:space="preserve"> must inform the </w:t>
      </w:r>
      <w:r w:rsidRPr="0037637A">
        <w:t>student</w:t>
      </w:r>
      <w:r>
        <w:t xml:space="preserve"> that if the </w:t>
      </w:r>
      <w:r w:rsidR="005F7C1A">
        <w:t xml:space="preserve">student accepts the </w:t>
      </w:r>
      <w:r>
        <w:t>offer</w:t>
      </w:r>
      <w:r w:rsidR="000C12D1">
        <w:t xml:space="preserve"> the student</w:t>
      </w:r>
      <w:r w:rsidR="002600AF">
        <w:t xml:space="preserve"> may</w:t>
      </w:r>
      <w:r w:rsidR="000C12D1">
        <w:t xml:space="preserve">: </w:t>
      </w:r>
      <w:r>
        <w:t xml:space="preserve"> </w:t>
      </w:r>
    </w:p>
    <w:p w14:paraId="4B289A21" w14:textId="542CC997" w:rsidR="005658B2" w:rsidRDefault="005658B2">
      <w:pPr>
        <w:pStyle w:val="paragraph"/>
      </w:pPr>
      <w:r>
        <w:tab/>
        <w:t>(a</w:t>
      </w:r>
      <w:r w:rsidRPr="00BA2D11">
        <w:t>)</w:t>
      </w:r>
      <w:r w:rsidRPr="00BA2D11">
        <w:tab/>
      </w:r>
      <w:r>
        <w:t>be required to inform</w:t>
      </w:r>
      <w:r w:rsidR="005B5DF3">
        <w:t xml:space="preserve"> any of</w:t>
      </w:r>
      <w:r>
        <w:t xml:space="preserve"> </w:t>
      </w:r>
      <w:r w:rsidRPr="00B50F7D">
        <w:t xml:space="preserve">the </w:t>
      </w:r>
      <w:r w:rsidR="001E7B7A">
        <w:t>following persons of the receipt of the scholarship, depending on his or her personal circumstances:</w:t>
      </w:r>
      <w:r w:rsidR="001E7B7A" w:rsidRPr="0065646F">
        <w:t xml:space="preserve"> </w:t>
      </w:r>
    </w:p>
    <w:p w14:paraId="3AAF2BDB" w14:textId="67D4D19E" w:rsidR="001E7B7A" w:rsidRDefault="001E7B7A" w:rsidP="001E7B7A">
      <w:pPr>
        <w:pStyle w:val="paragraphsub"/>
      </w:pPr>
      <w:r w:rsidRPr="00AA76A0">
        <w:tab/>
        <w:t>(i)</w:t>
      </w:r>
      <w:r w:rsidRPr="00AA76A0">
        <w:tab/>
      </w:r>
      <w:r w:rsidR="00364C41">
        <w:t xml:space="preserve">an employee of the </w:t>
      </w:r>
      <w:r>
        <w:t xml:space="preserve">Human Services Department; </w:t>
      </w:r>
    </w:p>
    <w:p w14:paraId="6D149B6F" w14:textId="609708E3" w:rsidR="003748BF" w:rsidRDefault="001E7B7A" w:rsidP="001E7B7A">
      <w:pPr>
        <w:pStyle w:val="paragraphsub"/>
      </w:pPr>
      <w:r w:rsidRPr="00AA76A0">
        <w:tab/>
        <w:t>(i</w:t>
      </w:r>
      <w:r>
        <w:t>i</w:t>
      </w:r>
      <w:r w:rsidRPr="00AA76A0">
        <w:t>)</w:t>
      </w:r>
      <w:r w:rsidRPr="00AA76A0">
        <w:tab/>
      </w:r>
      <w:r w:rsidR="00364C41">
        <w:t xml:space="preserve">an employee of the </w:t>
      </w:r>
      <w:r w:rsidR="003748BF">
        <w:t xml:space="preserve">Department administered by the Minister administering the </w:t>
      </w:r>
      <w:r w:rsidR="003748BF">
        <w:rPr>
          <w:i/>
        </w:rPr>
        <w:t>Veterans’ Entitlement</w:t>
      </w:r>
      <w:r w:rsidR="00DD49C0">
        <w:rPr>
          <w:i/>
        </w:rPr>
        <w:t>s</w:t>
      </w:r>
      <w:r w:rsidR="003748BF">
        <w:rPr>
          <w:i/>
        </w:rPr>
        <w:t xml:space="preserve"> Act 1986</w:t>
      </w:r>
      <w:r>
        <w:t>;</w:t>
      </w:r>
    </w:p>
    <w:p w14:paraId="5CB2DA48" w14:textId="07AC98C9" w:rsidR="001E7B7A" w:rsidRDefault="003748BF" w:rsidP="001E7B7A">
      <w:pPr>
        <w:pStyle w:val="paragraphsub"/>
      </w:pPr>
      <w:r w:rsidRPr="00AA76A0">
        <w:tab/>
        <w:t>(i</w:t>
      </w:r>
      <w:r>
        <w:t>ii</w:t>
      </w:r>
      <w:r w:rsidRPr="00AA76A0">
        <w:t>)</w:t>
      </w:r>
      <w:r w:rsidRPr="00AA76A0">
        <w:tab/>
      </w:r>
      <w:r>
        <w:t xml:space="preserve">an employee of the Department administered by the Minister administering section 258 of the </w:t>
      </w:r>
      <w:r w:rsidRPr="00B45DFD">
        <w:rPr>
          <w:rFonts w:ascii="Helvetica Neue" w:hAnsi="Helvetica Neue"/>
          <w:i/>
        </w:rPr>
        <w:t>Military Rehabilitation and Compensation Act 2004</w:t>
      </w:r>
      <w:r>
        <w:rPr>
          <w:rFonts w:ascii="Helvetica Neue" w:hAnsi="Helvetica Neue"/>
        </w:rPr>
        <w:t xml:space="preserve">; </w:t>
      </w:r>
      <w:r w:rsidR="001E7B7A">
        <w:t>and</w:t>
      </w:r>
    </w:p>
    <w:p w14:paraId="72198154" w14:textId="2FB5E6FF" w:rsidR="005F7C1A" w:rsidRDefault="005F7C1A">
      <w:pPr>
        <w:pStyle w:val="paragraph"/>
      </w:pPr>
      <w:r>
        <w:tab/>
        <w:t>(</w:t>
      </w:r>
      <w:r w:rsidR="000C12D1">
        <w:t>b</w:t>
      </w:r>
      <w:r w:rsidRPr="00AA76A0">
        <w:t>)</w:t>
      </w:r>
      <w:r w:rsidRPr="00AA76A0">
        <w:tab/>
      </w:r>
      <w:r>
        <w:t xml:space="preserve">not </w:t>
      </w:r>
      <w:r w:rsidRPr="00530261">
        <w:t xml:space="preserve">qualify for </w:t>
      </w:r>
      <w:r w:rsidR="008F024B">
        <w:t xml:space="preserve">certain </w:t>
      </w:r>
      <w:r w:rsidRPr="00530261">
        <w:t xml:space="preserve">other forms of Commonwealth </w:t>
      </w:r>
      <w:r w:rsidRPr="00932C4A">
        <w:t>assistance</w:t>
      </w:r>
      <w:r w:rsidR="00574424">
        <w:t>.</w:t>
      </w:r>
      <w:r>
        <w:t xml:space="preserve"> </w:t>
      </w:r>
    </w:p>
    <w:p w14:paraId="586E5D97" w14:textId="6CD1D2F1" w:rsidR="009618FF" w:rsidRPr="000B4FC4" w:rsidRDefault="009618FF" w:rsidP="009618FF">
      <w:pPr>
        <w:pStyle w:val="subsection"/>
        <w:rPr>
          <w:lang w:val="en-US"/>
        </w:rPr>
      </w:pPr>
      <w:r>
        <w:tab/>
        <w:t>(</w:t>
      </w:r>
      <w:r w:rsidR="00A87F72">
        <w:t>3</w:t>
      </w:r>
      <w:r w:rsidRPr="000B4FC4">
        <w:t>)</w:t>
      </w:r>
      <w:r w:rsidRPr="000B4FC4">
        <w:tab/>
      </w:r>
      <w:r w:rsidRPr="000B4FC4">
        <w:rPr>
          <w:lang w:val="en-US"/>
        </w:rPr>
        <w:t xml:space="preserve">For the 2017 and 2018 grant years, the amount of an ISSP grant a </w:t>
      </w:r>
      <w:r w:rsidRPr="000B4FC4">
        <w:rPr>
          <w:i/>
          <w:lang w:val="en-US"/>
        </w:rPr>
        <w:t>higher education provider</w:t>
      </w:r>
      <w:r w:rsidRPr="000B4FC4">
        <w:rPr>
          <w:lang w:val="en-US"/>
        </w:rPr>
        <w:t xml:space="preserve"> must use to offer Indigenous Commonwealth Scholarships to Indigenous students from remote areas and regional areas must be:</w:t>
      </w:r>
    </w:p>
    <w:p w14:paraId="61FC7D1C" w14:textId="2254AE28" w:rsidR="0087005A" w:rsidRDefault="009618FF" w:rsidP="009618FF">
      <w:pPr>
        <w:pStyle w:val="paragraph"/>
      </w:pPr>
      <w:r w:rsidRPr="000B4FC4">
        <w:tab/>
        <w:t>(a)</w:t>
      </w:r>
      <w:r w:rsidRPr="000B4FC4">
        <w:tab/>
        <w:t xml:space="preserve">for </w:t>
      </w:r>
      <w:r w:rsidR="00BE6618">
        <w:t>the 2017 grant year – at least 9</w:t>
      </w:r>
      <w:r w:rsidRPr="000B4FC4">
        <w:t xml:space="preserve">5 per cent of the total value of earlier Indigenous Commonwealth Scholarships that the provider </w:t>
      </w:r>
      <w:r w:rsidR="005F4D2C">
        <w:t>awarded</w:t>
      </w:r>
      <w:r w:rsidR="005F4D2C" w:rsidRPr="000B4FC4">
        <w:t xml:space="preserve"> </w:t>
      </w:r>
      <w:r w:rsidRPr="000B4FC4">
        <w:t>to</w:t>
      </w:r>
      <w:r w:rsidR="0087005A">
        <w:t xml:space="preserve"> the following Indigenous students in the 2016 </w:t>
      </w:r>
      <w:r w:rsidR="00174CD9">
        <w:t>calendar</w:t>
      </w:r>
      <w:r w:rsidR="0087005A">
        <w:t xml:space="preserve"> year</w:t>
      </w:r>
      <w:r w:rsidR="008F79F9">
        <w:t>, unless otherwise agreed by the Minister in writing</w:t>
      </w:r>
      <w:r w:rsidR="0087005A">
        <w:t xml:space="preserve">: </w:t>
      </w:r>
    </w:p>
    <w:p w14:paraId="1D0941A3" w14:textId="187DDD5E" w:rsidR="009618FF" w:rsidRDefault="0087005A" w:rsidP="00584960">
      <w:pPr>
        <w:pStyle w:val="paragraphsub"/>
      </w:pPr>
      <w:r w:rsidRPr="00AA76A0">
        <w:tab/>
        <w:t>(i)</w:t>
      </w:r>
      <w:r w:rsidRPr="00AA76A0">
        <w:tab/>
      </w:r>
      <w:r w:rsidR="009618FF" w:rsidRPr="000B4FC4">
        <w:t xml:space="preserve">Indigenous students from remote </w:t>
      </w:r>
      <w:r w:rsidR="00574424">
        <w:t xml:space="preserve">areas </w:t>
      </w:r>
      <w:r w:rsidR="009618FF" w:rsidRPr="000B4FC4">
        <w:t xml:space="preserve">and regional areas; </w:t>
      </w:r>
      <w:r w:rsidR="00065461">
        <w:t>and</w:t>
      </w:r>
      <w:r w:rsidR="009618FF" w:rsidRPr="000B4FC4">
        <w:t xml:space="preserve"> </w:t>
      </w:r>
    </w:p>
    <w:p w14:paraId="5A4397DC" w14:textId="0ADB36D8" w:rsidR="00BE6618" w:rsidRPr="00BE6618" w:rsidRDefault="0087005A" w:rsidP="00867ADE">
      <w:pPr>
        <w:pStyle w:val="paragraphsub"/>
      </w:pPr>
      <w:r w:rsidRPr="00AA76A0">
        <w:tab/>
        <w:t>(i</w:t>
      </w:r>
      <w:r>
        <w:t>i</w:t>
      </w:r>
      <w:r w:rsidRPr="00AA76A0">
        <w:t>)</w:t>
      </w:r>
      <w:r w:rsidRPr="00AA76A0">
        <w:tab/>
      </w:r>
      <w:r w:rsidRPr="000B4FC4">
        <w:t xml:space="preserve">Indigenous students </w:t>
      </w:r>
      <w:r>
        <w:t xml:space="preserve">who met the </w:t>
      </w:r>
      <w:r w:rsidR="00065461">
        <w:t>additional eligibility</w:t>
      </w:r>
      <w:r>
        <w:t xml:space="preserve"> requirements specified in paragraph 2.10.</w:t>
      </w:r>
      <w:r w:rsidR="00065461">
        <w:t>1</w:t>
      </w:r>
      <w:r>
        <w:t xml:space="preserve">5 of the </w:t>
      </w:r>
      <w:r>
        <w:rPr>
          <w:i/>
        </w:rPr>
        <w:t>Commonwealth Scholarships Guidelines (Education) 2010</w:t>
      </w:r>
      <w:r w:rsidR="00435266">
        <w:t>;</w:t>
      </w:r>
    </w:p>
    <w:p w14:paraId="560FA341" w14:textId="25A9FC3D" w:rsidR="004D716A" w:rsidRDefault="009618FF" w:rsidP="00B45DFD">
      <w:pPr>
        <w:pStyle w:val="paragraph"/>
        <w:keepNext/>
        <w:keepLines/>
      </w:pPr>
      <w:r w:rsidRPr="000B4FC4">
        <w:tab/>
        <w:t>(b)</w:t>
      </w:r>
      <w:r w:rsidRPr="000B4FC4">
        <w:tab/>
        <w:t xml:space="preserve">for </w:t>
      </w:r>
      <w:r w:rsidR="00BE6618">
        <w:t>the 2018 grant year – at least 9</w:t>
      </w:r>
      <w:r w:rsidRPr="000B4FC4">
        <w:t xml:space="preserve">5 per cent of the total value of Indigenous Commonwealth Scholarships that the provider </w:t>
      </w:r>
      <w:r w:rsidR="005F4D2C">
        <w:t>awarded</w:t>
      </w:r>
      <w:r w:rsidR="005F4D2C" w:rsidRPr="000B4FC4">
        <w:t xml:space="preserve"> </w:t>
      </w:r>
      <w:r w:rsidRPr="000B4FC4">
        <w:t xml:space="preserve">to Indigenous students from remote </w:t>
      </w:r>
      <w:r w:rsidR="00574424">
        <w:t xml:space="preserve">areas </w:t>
      </w:r>
      <w:r w:rsidRPr="000B4FC4">
        <w:t>and region</w:t>
      </w:r>
      <w:r w:rsidR="00BE6618">
        <w:t xml:space="preserve">al areas in the 2017 grant year, unless otherwise agreed by the Minister in writing. </w:t>
      </w:r>
    </w:p>
    <w:p w14:paraId="2A0CCB5F" w14:textId="689DA32B" w:rsidR="003E7ED6" w:rsidRPr="005A65D5" w:rsidRDefault="00AB4A13" w:rsidP="003E7ED6">
      <w:pPr>
        <w:pStyle w:val="ActHead5"/>
      </w:pPr>
      <w:bookmarkStart w:id="174" w:name="_Toc468194444"/>
      <w:bookmarkStart w:id="175" w:name="_Toc468285042"/>
      <w:bookmarkStart w:id="176" w:name="_Toc468364327"/>
      <w:bookmarkStart w:id="177" w:name="_Toc469060375"/>
      <w:bookmarkStart w:id="178" w:name="_Toc469172066"/>
      <w:bookmarkStart w:id="179" w:name="_Toc469918099"/>
      <w:r>
        <w:t>2</w:t>
      </w:r>
      <w:r w:rsidR="00FF0EC0">
        <w:t>2</w:t>
      </w:r>
      <w:r w:rsidR="003E7ED6" w:rsidRPr="005A65D5">
        <w:t xml:space="preserve">  </w:t>
      </w:r>
      <w:r w:rsidR="003E7ED6">
        <w:t>Awarding Indigenous Commonwealth Scholarships</w:t>
      </w:r>
      <w:bookmarkEnd w:id="173"/>
      <w:bookmarkEnd w:id="174"/>
      <w:bookmarkEnd w:id="175"/>
      <w:bookmarkEnd w:id="176"/>
      <w:bookmarkEnd w:id="177"/>
      <w:bookmarkEnd w:id="178"/>
      <w:bookmarkEnd w:id="179"/>
    </w:p>
    <w:p w14:paraId="2FF02FE3" w14:textId="709857C5" w:rsidR="00892490" w:rsidRDefault="00BA2D11" w:rsidP="00BA2D11">
      <w:pPr>
        <w:pStyle w:val="subsection"/>
      </w:pPr>
      <w:r w:rsidRPr="00BA2D11">
        <w:tab/>
        <w:t>(1)</w:t>
      </w:r>
      <w:r w:rsidRPr="00BA2D11">
        <w:tab/>
      </w:r>
      <w:r w:rsidR="006E36F4">
        <w:t>In awarding</w:t>
      </w:r>
      <w:r w:rsidR="00FB035E">
        <w:t xml:space="preserve"> an Indigenous Commonwealth Scholarship</w:t>
      </w:r>
      <w:r w:rsidR="006E36F4">
        <w:t xml:space="preserve">, a </w:t>
      </w:r>
      <w:r w:rsidR="006E36F4" w:rsidRPr="003C073E">
        <w:rPr>
          <w:i/>
        </w:rPr>
        <w:t>higher education provider</w:t>
      </w:r>
      <w:r w:rsidR="006E36F4">
        <w:t xml:space="preserve"> must give priority to</w:t>
      </w:r>
      <w:r w:rsidR="00FB035E">
        <w:t>:</w:t>
      </w:r>
      <w:r w:rsidR="00892490">
        <w:t xml:space="preserve"> </w:t>
      </w:r>
    </w:p>
    <w:p w14:paraId="4BB2D405" w14:textId="3558EE31" w:rsidR="00BA2D11" w:rsidRPr="00BA2D11" w:rsidRDefault="00BA2D11" w:rsidP="00BA2D11">
      <w:pPr>
        <w:pStyle w:val="paragraph"/>
      </w:pPr>
      <w:r w:rsidRPr="00BA2D11">
        <w:tab/>
        <w:t>(a)</w:t>
      </w:r>
      <w:r w:rsidRPr="00BA2D11">
        <w:tab/>
      </w:r>
      <w:r w:rsidR="00A46DE2">
        <w:t>Indigenous</w:t>
      </w:r>
      <w:r w:rsidR="00A46DE2" w:rsidRPr="003C2D1B">
        <w:t xml:space="preserve"> </w:t>
      </w:r>
      <w:r w:rsidR="003C2D1B" w:rsidRPr="003C2D1B">
        <w:t>student</w:t>
      </w:r>
      <w:r>
        <w:t xml:space="preserve">s from remote </w:t>
      </w:r>
      <w:r w:rsidR="000C41E3">
        <w:t xml:space="preserve">areas </w:t>
      </w:r>
      <w:r>
        <w:t>or regional areas; and</w:t>
      </w:r>
    </w:p>
    <w:p w14:paraId="58433E5F" w14:textId="3FF6BD54" w:rsidR="00CF7E73" w:rsidRDefault="00BA2D11" w:rsidP="006E36F4">
      <w:pPr>
        <w:pStyle w:val="paragraph"/>
      </w:pPr>
      <w:r w:rsidRPr="00BA2D11">
        <w:tab/>
      </w:r>
      <w:r w:rsidRPr="00CE6F2E">
        <w:t>(b)</w:t>
      </w:r>
      <w:r w:rsidRPr="00CE6F2E">
        <w:tab/>
      </w:r>
      <w:r w:rsidR="00A46DE2" w:rsidRPr="00CE6F2E">
        <w:t xml:space="preserve">Indigenous </w:t>
      </w:r>
      <w:r w:rsidR="003C2D1B" w:rsidRPr="00CE6F2E">
        <w:t>student</w:t>
      </w:r>
      <w:r w:rsidRPr="00CE6F2E">
        <w:t xml:space="preserve">s </w:t>
      </w:r>
      <w:r w:rsidR="00A46DE2" w:rsidRPr="00CE6F2E">
        <w:t xml:space="preserve">who </w:t>
      </w:r>
      <w:r w:rsidR="00DD4A1F" w:rsidRPr="00CE6F2E">
        <w:t>are</w:t>
      </w:r>
      <w:r w:rsidR="00816364" w:rsidRPr="00CE6F2E">
        <w:t xml:space="preserve"> </w:t>
      </w:r>
      <w:r w:rsidR="00EB5201" w:rsidRPr="00CE6F2E">
        <w:t>financially disadvantaged</w:t>
      </w:r>
      <w:r w:rsidR="00CF7E73" w:rsidRPr="00CE6F2E">
        <w:t>.</w:t>
      </w:r>
    </w:p>
    <w:p w14:paraId="659CCB2B" w14:textId="4E25B6D3" w:rsidR="00892490" w:rsidRPr="00BA2D11" w:rsidRDefault="00892490" w:rsidP="00892490">
      <w:pPr>
        <w:pStyle w:val="subsection"/>
      </w:pPr>
      <w:r>
        <w:tab/>
        <w:t>(2</w:t>
      </w:r>
      <w:r w:rsidRPr="00BA2D11">
        <w:t>)</w:t>
      </w:r>
      <w:r w:rsidRPr="00BA2D11">
        <w:tab/>
      </w:r>
      <w:r w:rsidR="00FB035E">
        <w:t xml:space="preserve">If a </w:t>
      </w:r>
      <w:r w:rsidR="00FB035E" w:rsidRPr="003C073E">
        <w:rPr>
          <w:i/>
        </w:rPr>
        <w:t>higher education provider</w:t>
      </w:r>
      <w:r w:rsidR="00FB035E">
        <w:t xml:space="preserve"> awards an Indigenous Commonwealth Scholarship to an </w:t>
      </w:r>
      <w:r w:rsidR="00A46DE2">
        <w:t>Indigenous</w:t>
      </w:r>
      <w:r w:rsidR="00A46DE2" w:rsidRPr="003C2D1B">
        <w:t xml:space="preserve"> </w:t>
      </w:r>
      <w:r w:rsidR="003C2D1B" w:rsidRPr="003C2D1B">
        <w:t>student</w:t>
      </w:r>
      <w:r w:rsidR="00FB035E">
        <w:t xml:space="preserve"> </w:t>
      </w:r>
      <w:r w:rsidR="0026295F">
        <w:t>who</w:t>
      </w:r>
      <w:r w:rsidR="007838C7">
        <w:t xml:space="preserve"> </w:t>
      </w:r>
      <w:r w:rsidR="0026295F">
        <w:t>is not</w:t>
      </w:r>
      <w:r w:rsidR="007838C7">
        <w:t xml:space="preserve"> </w:t>
      </w:r>
      <w:r w:rsidR="002119CF">
        <w:t>described</w:t>
      </w:r>
      <w:r w:rsidR="007838C7">
        <w:t xml:space="preserve"> in subsection (1)</w:t>
      </w:r>
      <w:r w:rsidR="0026295F">
        <w:t>, the provide</w:t>
      </w:r>
      <w:r w:rsidR="005F63E1">
        <w:t>r</w:t>
      </w:r>
      <w:r w:rsidR="0026295F">
        <w:t xml:space="preserve"> must</w:t>
      </w:r>
      <w:r w:rsidR="00FB035E">
        <w:t xml:space="preserve">: </w:t>
      </w:r>
      <w:r>
        <w:t xml:space="preserve"> </w:t>
      </w:r>
    </w:p>
    <w:p w14:paraId="663B7644" w14:textId="5C7905D4" w:rsidR="00FB035E" w:rsidRPr="00BA2D11" w:rsidRDefault="00FB035E" w:rsidP="00FB035E">
      <w:pPr>
        <w:pStyle w:val="paragraph"/>
      </w:pPr>
      <w:r w:rsidRPr="00BA2D11">
        <w:tab/>
        <w:t>(a)</w:t>
      </w:r>
      <w:r w:rsidRPr="00BA2D11">
        <w:tab/>
      </w:r>
      <w:r>
        <w:t xml:space="preserve">document the reasons for the award of the scholarship on the </w:t>
      </w:r>
      <w:r w:rsidR="0058074D" w:rsidRPr="003C073E">
        <w:t>student</w:t>
      </w:r>
      <w:r>
        <w:t>’s file; and</w:t>
      </w:r>
    </w:p>
    <w:p w14:paraId="123503E5" w14:textId="0141F14E" w:rsidR="00FB035E" w:rsidRDefault="00FB035E" w:rsidP="00FB035E">
      <w:pPr>
        <w:pStyle w:val="paragraph"/>
      </w:pPr>
      <w:r w:rsidRPr="00BA2D11">
        <w:tab/>
        <w:t>(b)</w:t>
      </w:r>
      <w:r w:rsidRPr="00BA2D11">
        <w:tab/>
      </w:r>
      <w:r>
        <w:t xml:space="preserve">if requested by an </w:t>
      </w:r>
      <w:r w:rsidR="00607AB1">
        <w:t xml:space="preserve">administering </w:t>
      </w:r>
      <w:r>
        <w:t xml:space="preserve">officer, provide a copy of the reasons to the officer within 10 business days of the receipt of the request. </w:t>
      </w:r>
    </w:p>
    <w:p w14:paraId="2746736C" w14:textId="0FD86730" w:rsidR="00FB035E" w:rsidRDefault="00FB035E" w:rsidP="00FB035E">
      <w:pPr>
        <w:pStyle w:val="subsection"/>
      </w:pPr>
      <w:r>
        <w:tab/>
        <w:t>(3</w:t>
      </w:r>
      <w:r w:rsidRPr="00BA2D11">
        <w:t>)</w:t>
      </w:r>
      <w:r w:rsidRPr="00BA2D11">
        <w:tab/>
      </w:r>
      <w:r>
        <w:t xml:space="preserve">A </w:t>
      </w:r>
      <w:r w:rsidRPr="003C073E">
        <w:rPr>
          <w:i/>
        </w:rPr>
        <w:t>higher education provider</w:t>
      </w:r>
      <w:r>
        <w:t xml:space="preserve"> </w:t>
      </w:r>
      <w:r w:rsidR="00260E33">
        <w:t>may award an Indi</w:t>
      </w:r>
      <w:r w:rsidR="00414448">
        <w:t>genous Commonwealth Scholarship</w:t>
      </w:r>
      <w:r w:rsidR="00260E33">
        <w:t xml:space="preserve"> as any of the following</w:t>
      </w:r>
      <w:r w:rsidR="00A1274A">
        <w:t xml:space="preserve"> payments</w:t>
      </w:r>
      <w:r w:rsidR="00260E33">
        <w:t xml:space="preserve">: </w:t>
      </w:r>
    </w:p>
    <w:p w14:paraId="29B6BE26" w14:textId="63CBCBDE" w:rsidR="00260E33" w:rsidRPr="00BA2D11" w:rsidRDefault="00260E33" w:rsidP="00260E33">
      <w:pPr>
        <w:pStyle w:val="paragraph"/>
      </w:pPr>
      <w:r w:rsidRPr="00BA2D11">
        <w:tab/>
        <w:t>(a)</w:t>
      </w:r>
      <w:r w:rsidRPr="00BA2D11">
        <w:tab/>
      </w:r>
      <w:r>
        <w:t xml:space="preserve">a payment to the </w:t>
      </w:r>
      <w:r w:rsidR="00A46DE2">
        <w:t>Indigenous</w:t>
      </w:r>
      <w:r w:rsidR="00A46DE2" w:rsidRPr="003C2D1B">
        <w:t xml:space="preserve"> </w:t>
      </w:r>
      <w:r w:rsidR="003C2D1B" w:rsidRPr="003C2D1B">
        <w:t>student</w:t>
      </w:r>
      <w:r>
        <w:t xml:space="preserve"> in the form of money or valuable consideration </w:t>
      </w:r>
      <w:r>
        <w:rPr>
          <w:b/>
          <w:i/>
        </w:rPr>
        <w:t>(direct payment)</w:t>
      </w:r>
      <w:r>
        <w:t xml:space="preserve">; </w:t>
      </w:r>
    </w:p>
    <w:p w14:paraId="62A97ADD" w14:textId="17E3AD33" w:rsidR="00260E33" w:rsidRDefault="00260E33" w:rsidP="00260E33">
      <w:pPr>
        <w:pStyle w:val="paragraph"/>
      </w:pPr>
      <w:r w:rsidRPr="00BA2D11">
        <w:tab/>
        <w:t>(b)</w:t>
      </w:r>
      <w:r w:rsidRPr="00BA2D11">
        <w:tab/>
      </w:r>
      <w:r>
        <w:t xml:space="preserve">a payment on behalf of the </w:t>
      </w:r>
      <w:r w:rsidR="00A46DE2">
        <w:t>Indigenous</w:t>
      </w:r>
      <w:r w:rsidR="00A46DE2" w:rsidRPr="003C2D1B">
        <w:t xml:space="preserve"> </w:t>
      </w:r>
      <w:r w:rsidR="003C2D1B" w:rsidRPr="003C2D1B">
        <w:t>student</w:t>
      </w:r>
      <w:r>
        <w:t xml:space="preserve"> to enable the </w:t>
      </w:r>
      <w:r w:rsidR="0058074D" w:rsidRPr="003C073E">
        <w:t>student</w:t>
      </w:r>
      <w:r>
        <w:t xml:space="preserve"> to </w:t>
      </w:r>
      <w:r w:rsidR="00A82E1F">
        <w:t>undertake</w:t>
      </w:r>
      <w:r>
        <w:t xml:space="preserve"> or complete a </w:t>
      </w:r>
      <w:r w:rsidR="000D2D3A">
        <w:rPr>
          <w:i/>
        </w:rPr>
        <w:t>course of study</w:t>
      </w:r>
      <w:r>
        <w:t xml:space="preserve"> </w:t>
      </w:r>
      <w:r>
        <w:rPr>
          <w:b/>
          <w:i/>
        </w:rPr>
        <w:t>(indirect payment)</w:t>
      </w:r>
      <w:r>
        <w:t xml:space="preserve">;  </w:t>
      </w:r>
    </w:p>
    <w:p w14:paraId="2A473321" w14:textId="1EE70B7B" w:rsidR="005F4D2C" w:rsidRDefault="005F4D2C" w:rsidP="005F4D2C">
      <w:pPr>
        <w:pStyle w:val="paragraph"/>
      </w:pPr>
      <w:r>
        <w:tab/>
        <w:t>(c</w:t>
      </w:r>
      <w:r w:rsidRPr="00BA2D11">
        <w:t>)</w:t>
      </w:r>
      <w:r w:rsidRPr="00BA2D11">
        <w:tab/>
      </w:r>
      <w:r w:rsidR="00260E33">
        <w:t xml:space="preserve">a combination of a direct and indirect payment. </w:t>
      </w:r>
      <w:r w:rsidR="00F00C2E">
        <w:tab/>
      </w:r>
    </w:p>
    <w:p w14:paraId="403AFE46" w14:textId="45BF9D82" w:rsidR="00A44F2C" w:rsidRDefault="00B12D1A" w:rsidP="000B4FC4">
      <w:pPr>
        <w:pStyle w:val="subsection"/>
      </w:pPr>
      <w:r>
        <w:tab/>
        <w:t>(4</w:t>
      </w:r>
      <w:r w:rsidRPr="00BA2D11">
        <w:t>)</w:t>
      </w:r>
      <w:r w:rsidRPr="00BA2D11">
        <w:tab/>
      </w:r>
      <w:r>
        <w:t xml:space="preserve">A </w:t>
      </w:r>
      <w:r w:rsidR="003D2C55" w:rsidRPr="003C073E">
        <w:rPr>
          <w:i/>
        </w:rPr>
        <w:t>higher education provider</w:t>
      </w:r>
      <w:r w:rsidR="003D2C55">
        <w:t xml:space="preserve"> must not award an Indigenous Commonwealth Scholarship to a</w:t>
      </w:r>
      <w:r w:rsidR="00A46DE2">
        <w:t>n Indigenous</w:t>
      </w:r>
      <w:r w:rsidR="003D2C55">
        <w:t xml:space="preserve"> </w:t>
      </w:r>
      <w:r w:rsidR="0058074D" w:rsidRPr="003C073E">
        <w:t>student</w:t>
      </w:r>
      <w:r w:rsidR="003D2C55">
        <w:t xml:space="preserve"> unless the </w:t>
      </w:r>
      <w:r w:rsidR="0058074D" w:rsidRPr="003C073E">
        <w:t>student</w:t>
      </w:r>
      <w:r w:rsidR="003D2C55" w:rsidRPr="00A46DE2">
        <w:t xml:space="preserve"> </w:t>
      </w:r>
      <w:r w:rsidR="003D2C55">
        <w:t>accepts in writing the conditions of the scholarship</w:t>
      </w:r>
      <w:r w:rsidR="00BD7B23">
        <w:t xml:space="preserve"> as determined by the provider</w:t>
      </w:r>
      <w:r w:rsidR="003D2C55">
        <w:t>.</w:t>
      </w:r>
      <w:bookmarkStart w:id="180" w:name="_Toc467246539"/>
      <w:r w:rsidR="00A44F2C">
        <w:t xml:space="preserve"> </w:t>
      </w:r>
    </w:p>
    <w:p w14:paraId="62590FB7" w14:textId="60FA10AC" w:rsidR="00A44F2C" w:rsidRPr="00530261" w:rsidRDefault="00A54139" w:rsidP="00A44F2C">
      <w:pPr>
        <w:pStyle w:val="ActHead5"/>
      </w:pPr>
      <w:bookmarkStart w:id="181" w:name="_Toc468194445"/>
      <w:bookmarkStart w:id="182" w:name="_Toc468285043"/>
      <w:bookmarkStart w:id="183" w:name="_Toc468364328"/>
      <w:bookmarkStart w:id="184" w:name="_Toc469060376"/>
      <w:bookmarkStart w:id="185" w:name="_Toc469172067"/>
      <w:bookmarkStart w:id="186" w:name="_Toc469918100"/>
      <w:r>
        <w:t>2</w:t>
      </w:r>
      <w:r w:rsidR="00FF0EC0">
        <w:t>3</w:t>
      </w:r>
      <w:r w:rsidR="00A44F2C" w:rsidRPr="00530261">
        <w:t xml:space="preserve">  Monitoring use of Indigenous Commonwealth Scholarships</w:t>
      </w:r>
      <w:bookmarkEnd w:id="181"/>
      <w:bookmarkEnd w:id="182"/>
      <w:bookmarkEnd w:id="183"/>
      <w:bookmarkEnd w:id="184"/>
      <w:bookmarkEnd w:id="185"/>
      <w:bookmarkEnd w:id="186"/>
    </w:p>
    <w:p w14:paraId="0DBCD01A" w14:textId="77777777" w:rsidR="00A44F2C" w:rsidRDefault="00A44F2C" w:rsidP="00A44F2C">
      <w:pPr>
        <w:pStyle w:val="subsection"/>
      </w:pPr>
      <w:r w:rsidRPr="00530261">
        <w:tab/>
      </w:r>
      <w:r w:rsidRPr="00530261">
        <w:tab/>
        <w:t xml:space="preserve">A </w:t>
      </w:r>
      <w:r w:rsidRPr="000B4FC4">
        <w:rPr>
          <w:i/>
        </w:rPr>
        <w:t>higher education provider</w:t>
      </w:r>
      <w:r w:rsidRPr="00530261">
        <w:t xml:space="preserve"> must take all reasonable steps to ensure that the recipient of an Indigenous Commonwealth Scholarship </w:t>
      </w:r>
      <w:r w:rsidRPr="00C3725A">
        <w:t xml:space="preserve">complies with the conditions of the scholarship, including </w:t>
      </w:r>
      <w:r w:rsidRPr="006C2B12">
        <w:t xml:space="preserve">using the scholarship for its intended purpose.  </w:t>
      </w:r>
    </w:p>
    <w:p w14:paraId="0F2ACFE4" w14:textId="745E897F" w:rsidR="00DB2391" w:rsidRDefault="00A54139" w:rsidP="00234629">
      <w:pPr>
        <w:pStyle w:val="ActHead5"/>
      </w:pPr>
      <w:bookmarkStart w:id="187" w:name="_Toc468194446"/>
      <w:bookmarkStart w:id="188" w:name="_Toc468285044"/>
      <w:bookmarkStart w:id="189" w:name="_Toc468364329"/>
      <w:bookmarkStart w:id="190" w:name="_Toc469060377"/>
      <w:bookmarkStart w:id="191" w:name="_Toc469172068"/>
      <w:bookmarkStart w:id="192" w:name="_Toc469918101"/>
      <w:r>
        <w:t>2</w:t>
      </w:r>
      <w:r w:rsidR="00FF0EC0">
        <w:t>4</w:t>
      </w:r>
      <w:r w:rsidR="003E7ED6" w:rsidRPr="003E326F">
        <w:t xml:space="preserve">  Interaction with other forms of assistance</w:t>
      </w:r>
      <w:bookmarkEnd w:id="180"/>
      <w:bookmarkEnd w:id="187"/>
      <w:bookmarkEnd w:id="188"/>
      <w:bookmarkEnd w:id="189"/>
      <w:bookmarkEnd w:id="190"/>
      <w:bookmarkEnd w:id="191"/>
      <w:bookmarkEnd w:id="192"/>
    </w:p>
    <w:p w14:paraId="78761619" w14:textId="618D6BBE" w:rsidR="00DB2391" w:rsidRDefault="00DB2391" w:rsidP="00DB2391">
      <w:pPr>
        <w:pStyle w:val="subsection"/>
      </w:pPr>
      <w:r w:rsidRPr="00BA2D11">
        <w:tab/>
        <w:t>(1)</w:t>
      </w:r>
      <w:r w:rsidRPr="00BA2D11">
        <w:tab/>
      </w:r>
      <w:r w:rsidR="00C83410">
        <w:t>Subject to sub</w:t>
      </w:r>
      <w:r w:rsidR="003E7ED6">
        <w:t>section</w:t>
      </w:r>
      <w:r w:rsidR="00C83410">
        <w:t xml:space="preserve"> (2), a</w:t>
      </w:r>
      <w:r>
        <w:t xml:space="preserve"> </w:t>
      </w:r>
      <w:r w:rsidRPr="003C073E">
        <w:rPr>
          <w:i/>
        </w:rPr>
        <w:t>higher education provider</w:t>
      </w:r>
      <w:r>
        <w:t xml:space="preserve"> may award an Indigenous Commonwealth Scholarship to an </w:t>
      </w:r>
      <w:r w:rsidR="00A46DE2">
        <w:t>Indigenous</w:t>
      </w:r>
      <w:r w:rsidR="00A46DE2" w:rsidRPr="003C2D1B">
        <w:t xml:space="preserve"> </w:t>
      </w:r>
      <w:r w:rsidR="003C2D1B" w:rsidRPr="003C2D1B">
        <w:t>student</w:t>
      </w:r>
      <w:r>
        <w:t xml:space="preserve"> already in receipt of assistance.  </w:t>
      </w:r>
    </w:p>
    <w:p w14:paraId="6DCFDFB0" w14:textId="609BB469" w:rsidR="00414448" w:rsidRDefault="00DB2391" w:rsidP="00DB2391">
      <w:pPr>
        <w:pStyle w:val="subsection"/>
        <w:rPr>
          <w:rFonts w:eastAsiaTheme="minorHAnsi" w:cstheme="minorBidi"/>
          <w:lang w:eastAsia="en-US"/>
        </w:rPr>
      </w:pPr>
      <w:r>
        <w:tab/>
        <w:t>(2</w:t>
      </w:r>
      <w:r w:rsidRPr="00BA2D11">
        <w:t>)</w:t>
      </w:r>
      <w:r w:rsidRPr="00BA2D11">
        <w:tab/>
      </w:r>
      <w:r w:rsidR="00C83410">
        <w:t xml:space="preserve">A </w:t>
      </w:r>
      <w:r w:rsidR="00C83410" w:rsidRPr="003C073E">
        <w:rPr>
          <w:i/>
        </w:rPr>
        <w:t xml:space="preserve">higher education </w:t>
      </w:r>
      <w:r w:rsidR="0011691A" w:rsidRPr="003C073E">
        <w:rPr>
          <w:i/>
        </w:rPr>
        <w:t>provider</w:t>
      </w:r>
      <w:r w:rsidR="0011691A">
        <w:t xml:space="preserve"> </w:t>
      </w:r>
      <w:r w:rsidR="00C83410">
        <w:t xml:space="preserve">must </w:t>
      </w:r>
      <w:r w:rsidR="00B55C0E">
        <w:t xml:space="preserve">take all reasonable steps to avoid </w:t>
      </w:r>
      <w:r w:rsidR="00C83410">
        <w:t>award</w:t>
      </w:r>
      <w:r w:rsidR="00B55C0E">
        <w:t>ing</w:t>
      </w:r>
      <w:r w:rsidR="00C83410">
        <w:t xml:space="preserve"> an Indigenous Commonwealth Scholarship to a</w:t>
      </w:r>
      <w:r w:rsidR="00DB0EBB">
        <w:t>n</w:t>
      </w:r>
      <w:r w:rsidR="00415FFD">
        <w:t xml:space="preserve"> Indigenous</w:t>
      </w:r>
      <w:r w:rsidR="00C83410">
        <w:t xml:space="preserve"> </w:t>
      </w:r>
      <w:r w:rsidR="0058074D" w:rsidRPr="0037637A">
        <w:t>student</w:t>
      </w:r>
      <w:r w:rsidR="00C83410">
        <w:t xml:space="preserve"> </w:t>
      </w:r>
      <w:r w:rsidR="00B55C0E">
        <w:t xml:space="preserve">where </w:t>
      </w:r>
      <w:r w:rsidR="00C83410">
        <w:t xml:space="preserve">the award of the scholarship would result in the </w:t>
      </w:r>
      <w:r w:rsidR="0058074D" w:rsidRPr="0037637A">
        <w:t>student</w:t>
      </w:r>
      <w:r w:rsidR="00C83410">
        <w:t xml:space="preserve"> receiving assistance </w:t>
      </w:r>
      <w:r w:rsidR="005F7C1A">
        <w:t xml:space="preserve">concurrently </w:t>
      </w:r>
      <w:r w:rsidR="00C83410">
        <w:t xml:space="preserve">from two or more </w:t>
      </w:r>
      <w:r w:rsidR="00736041" w:rsidRPr="00320DF1">
        <w:t>Commonwealth</w:t>
      </w:r>
      <w:r w:rsidR="00736041">
        <w:t xml:space="preserve"> </w:t>
      </w:r>
      <w:r w:rsidR="00C83410">
        <w:t xml:space="preserve">sources for the same purpose. </w:t>
      </w:r>
    </w:p>
    <w:p w14:paraId="6FC1DAD7" w14:textId="305E4918" w:rsidR="00C83410" w:rsidDel="004D716A" w:rsidRDefault="00C83410" w:rsidP="00C83410">
      <w:pPr>
        <w:pStyle w:val="notetext"/>
      </w:pPr>
      <w:r w:rsidRPr="009C2562" w:rsidDel="004D716A">
        <w:t>Note:</w:t>
      </w:r>
      <w:r w:rsidRPr="009C2562" w:rsidDel="004D716A">
        <w:tab/>
      </w:r>
      <w:r w:rsidDel="004D716A">
        <w:t xml:space="preserve">A person in receipt of an Indigenous Commonwealth Education Costs Scholarship or an Indigenous Commonwealth Accommodation Scholarship will not qualify for </w:t>
      </w:r>
      <w:r w:rsidR="00182EDA">
        <w:t xml:space="preserve">assistance intended for the same or similar purpose </w:t>
      </w:r>
      <w:r w:rsidDel="004D716A">
        <w:t xml:space="preserve">under the </w:t>
      </w:r>
      <w:r w:rsidDel="004D716A">
        <w:rPr>
          <w:i/>
        </w:rPr>
        <w:t>Social Security Act 1991</w:t>
      </w:r>
      <w:r w:rsidDel="004D716A">
        <w:t xml:space="preserve">, the </w:t>
      </w:r>
      <w:r w:rsidR="00182EDA">
        <w:t xml:space="preserve">ABSTUDY Scheme and the </w:t>
      </w:r>
      <w:r w:rsidR="0058074D" w:rsidRPr="0058074D" w:rsidDel="004D716A">
        <w:rPr>
          <w:i/>
        </w:rPr>
        <w:t>Student</w:t>
      </w:r>
      <w:r w:rsidDel="004D716A">
        <w:rPr>
          <w:i/>
        </w:rPr>
        <w:t xml:space="preserve"> Assistance Act 1973</w:t>
      </w:r>
      <w:r w:rsidDel="004D716A">
        <w:t xml:space="preserve">, the </w:t>
      </w:r>
      <w:r w:rsidDel="004D716A">
        <w:rPr>
          <w:i/>
        </w:rPr>
        <w:t>Veterans’ Children Education Scheme</w:t>
      </w:r>
      <w:r w:rsidR="00E32501">
        <w:rPr>
          <w:i/>
        </w:rPr>
        <w:t>,</w:t>
      </w:r>
      <w:r w:rsidDel="004D716A">
        <w:t xml:space="preserve"> or the </w:t>
      </w:r>
      <w:r w:rsidDel="004D716A">
        <w:rPr>
          <w:i/>
        </w:rPr>
        <w:t xml:space="preserve">Military Rehabilitation and Compensation </w:t>
      </w:r>
      <w:r w:rsidR="00AB204D">
        <w:rPr>
          <w:i/>
        </w:rPr>
        <w:t xml:space="preserve">Act </w:t>
      </w:r>
      <w:r w:rsidDel="004D716A">
        <w:rPr>
          <w:i/>
        </w:rPr>
        <w:t>Education and Training Scheme</w:t>
      </w:r>
      <w:r w:rsidR="00AB204D">
        <w:rPr>
          <w:i/>
        </w:rPr>
        <w:t xml:space="preserve"> 2004</w:t>
      </w:r>
      <w:r w:rsidDel="004D716A">
        <w:t xml:space="preserve">.   </w:t>
      </w:r>
    </w:p>
    <w:p w14:paraId="11D98906" w14:textId="5BEC52FC" w:rsidR="00D751C1" w:rsidRDefault="00A54139">
      <w:pPr>
        <w:pStyle w:val="ActHead5"/>
      </w:pPr>
      <w:bookmarkStart w:id="193" w:name="_Toc467246540"/>
      <w:bookmarkStart w:id="194" w:name="_Toc468194447"/>
      <w:bookmarkStart w:id="195" w:name="_Toc468285045"/>
      <w:bookmarkStart w:id="196" w:name="_Toc468364330"/>
      <w:bookmarkStart w:id="197" w:name="_Toc469060378"/>
      <w:bookmarkStart w:id="198" w:name="_Toc469172069"/>
      <w:bookmarkStart w:id="199" w:name="_Toc469918102"/>
      <w:r>
        <w:t>2</w:t>
      </w:r>
      <w:r w:rsidR="00FF0EC0">
        <w:t>5</w:t>
      </w:r>
      <w:r w:rsidR="003E7ED6" w:rsidRPr="005A65D5">
        <w:t xml:space="preserve">  </w:t>
      </w:r>
      <w:r w:rsidR="003E7ED6">
        <w:t>Notice</w:t>
      </w:r>
      <w:r w:rsidR="00364C41">
        <w:t>s</w:t>
      </w:r>
      <w:r w:rsidR="003E7ED6">
        <w:t xml:space="preserve"> to </w:t>
      </w:r>
      <w:r w:rsidR="00364C41">
        <w:t>Commonwealth</w:t>
      </w:r>
      <w:r w:rsidR="00B50F7D" w:rsidRPr="0083138C">
        <w:t xml:space="preserve"> Department</w:t>
      </w:r>
      <w:bookmarkEnd w:id="193"/>
      <w:bookmarkEnd w:id="194"/>
      <w:bookmarkEnd w:id="195"/>
      <w:bookmarkEnd w:id="196"/>
      <w:r w:rsidR="00364C41">
        <w:t>s</w:t>
      </w:r>
      <w:bookmarkEnd w:id="197"/>
      <w:bookmarkEnd w:id="198"/>
      <w:bookmarkEnd w:id="199"/>
    </w:p>
    <w:p w14:paraId="424B9CB8" w14:textId="4F206393" w:rsidR="00364C41" w:rsidRDefault="00F01242" w:rsidP="00B45DFD">
      <w:pPr>
        <w:pStyle w:val="subsection"/>
        <w:keepNext/>
        <w:keepLines/>
      </w:pPr>
      <w:r>
        <w:tab/>
        <w:t>(1</w:t>
      </w:r>
      <w:r w:rsidRPr="00BA2D11">
        <w:t>)</w:t>
      </w:r>
      <w:r w:rsidRPr="00BA2D11">
        <w:tab/>
      </w:r>
      <w:r w:rsidR="00C83410">
        <w:t xml:space="preserve">A </w:t>
      </w:r>
      <w:r w:rsidR="00C83410" w:rsidRPr="003C073E">
        <w:rPr>
          <w:i/>
        </w:rPr>
        <w:t>higher education provider</w:t>
      </w:r>
      <w:r w:rsidR="00C83410">
        <w:t xml:space="preserve"> must notify</w:t>
      </w:r>
      <w:r w:rsidR="002600AF">
        <w:t xml:space="preserve"> </w:t>
      </w:r>
      <w:r w:rsidR="00B50F7D">
        <w:t xml:space="preserve">the </w:t>
      </w:r>
      <w:r>
        <w:t xml:space="preserve">following </w:t>
      </w:r>
      <w:r w:rsidR="00364C41">
        <w:t>persons</w:t>
      </w:r>
      <w:r w:rsidR="00C83410">
        <w:t xml:space="preserve"> of the award of an Indigenous Commonwealth Education Costs Scholarship or an Indigenous Commonwealth Accommodation Scholarship to a</w:t>
      </w:r>
      <w:r w:rsidR="00415FFD">
        <w:t>n Indigenous</w:t>
      </w:r>
      <w:r w:rsidR="00C83410">
        <w:t xml:space="preserve"> </w:t>
      </w:r>
      <w:r w:rsidR="00F023CD">
        <w:t xml:space="preserve">student </w:t>
      </w:r>
      <w:r w:rsidR="00E818B0">
        <w:t xml:space="preserve">in a semester or trimester, </w:t>
      </w:r>
      <w:r w:rsidR="00C83410">
        <w:t xml:space="preserve">and the </w:t>
      </w:r>
      <w:r w:rsidR="00D751C1">
        <w:t xml:space="preserve">amount or value of the </w:t>
      </w:r>
      <w:r w:rsidR="00C83410">
        <w:t>scholarship</w:t>
      </w:r>
      <w:r>
        <w:t>, by the day specified under subsection (</w:t>
      </w:r>
      <w:r w:rsidR="004861B5">
        <w:t>2</w:t>
      </w:r>
      <w:r>
        <w:t>):</w:t>
      </w:r>
    </w:p>
    <w:p w14:paraId="090B966F" w14:textId="2898DD1D" w:rsidR="00A647C0" w:rsidRDefault="00C83410" w:rsidP="00A647C0">
      <w:pPr>
        <w:pStyle w:val="paragraph"/>
      </w:pPr>
      <w:r>
        <w:t xml:space="preserve"> </w:t>
      </w:r>
      <w:r w:rsidR="00A647C0" w:rsidRPr="00BA2D11">
        <w:tab/>
        <w:t>(a)</w:t>
      </w:r>
      <w:r w:rsidR="00A647C0" w:rsidRPr="00BA2D11">
        <w:tab/>
      </w:r>
      <w:r w:rsidR="00A647C0">
        <w:t xml:space="preserve">an employee of the Human Services Department; </w:t>
      </w:r>
    </w:p>
    <w:p w14:paraId="166F36EF" w14:textId="4E949146" w:rsidR="005B5DF3" w:rsidRDefault="005B5DF3" w:rsidP="00B45DFD">
      <w:pPr>
        <w:pStyle w:val="paragraph"/>
      </w:pPr>
      <w:r>
        <w:tab/>
        <w:t>(b</w:t>
      </w:r>
      <w:r w:rsidRPr="00BA2D11">
        <w:t>)</w:t>
      </w:r>
      <w:r w:rsidRPr="00BA2D11">
        <w:tab/>
      </w:r>
      <w:r>
        <w:t xml:space="preserve">an employee of the Department administered by the Minister administering the </w:t>
      </w:r>
      <w:r>
        <w:rPr>
          <w:i/>
        </w:rPr>
        <w:t>Veterans’ Entitlement</w:t>
      </w:r>
      <w:r w:rsidR="009A3CA4">
        <w:rPr>
          <w:i/>
        </w:rPr>
        <w:t>s</w:t>
      </w:r>
      <w:r>
        <w:rPr>
          <w:i/>
        </w:rPr>
        <w:t xml:space="preserve"> Act 1986</w:t>
      </w:r>
      <w:r>
        <w:t>;</w:t>
      </w:r>
    </w:p>
    <w:p w14:paraId="3123F0AE" w14:textId="11523468" w:rsidR="00A647C0" w:rsidRPr="00BA2D11" w:rsidRDefault="005B5DF3" w:rsidP="005B5DF3">
      <w:pPr>
        <w:pStyle w:val="paragraph"/>
      </w:pPr>
      <w:r>
        <w:tab/>
        <w:t>(c</w:t>
      </w:r>
      <w:r w:rsidRPr="00AA76A0">
        <w:t>)</w:t>
      </w:r>
      <w:r w:rsidRPr="00AA76A0">
        <w:tab/>
      </w:r>
      <w:r>
        <w:t xml:space="preserve">an employee of the Department administered by the Minister administering section 258 of the </w:t>
      </w:r>
      <w:r w:rsidRPr="00B44C68">
        <w:rPr>
          <w:rFonts w:ascii="Helvetica Neue" w:hAnsi="Helvetica Neue"/>
          <w:i/>
        </w:rPr>
        <w:t>Military Rehabilitation and Compensation Act 2004</w:t>
      </w:r>
      <w:r w:rsidR="00A647C0">
        <w:t>.</w:t>
      </w:r>
    </w:p>
    <w:p w14:paraId="453042F6" w14:textId="4BC4AB52" w:rsidR="00875F82" w:rsidRDefault="00C83410" w:rsidP="000B4FC4">
      <w:pPr>
        <w:pStyle w:val="subsection"/>
      </w:pPr>
      <w:r>
        <w:tab/>
      </w:r>
      <w:r w:rsidR="00D751C1">
        <w:t>(</w:t>
      </w:r>
      <w:r w:rsidR="00B04354">
        <w:t>2</w:t>
      </w:r>
      <w:r w:rsidRPr="00BA2D11">
        <w:t>)</w:t>
      </w:r>
      <w:r w:rsidRPr="00BA2D11">
        <w:tab/>
      </w:r>
      <w:r w:rsidR="005150A8">
        <w:t>For each semester or trimester, a</w:t>
      </w:r>
      <w:r w:rsidR="00E818B0">
        <w:t xml:space="preserve">n administering officer must specify in writing the last day for a </w:t>
      </w:r>
      <w:r w:rsidR="00E818B0" w:rsidRPr="000B4FC4">
        <w:rPr>
          <w:i/>
        </w:rPr>
        <w:t>higher education provider</w:t>
      </w:r>
      <w:r w:rsidR="00E818B0">
        <w:t xml:space="preserve"> to notify</w:t>
      </w:r>
      <w:r w:rsidR="004861B5">
        <w:t xml:space="preserve"> </w:t>
      </w:r>
      <w:r w:rsidR="00E818B0">
        <w:t xml:space="preserve">the </w:t>
      </w:r>
      <w:r w:rsidR="006F16CF">
        <w:t xml:space="preserve">persons specified </w:t>
      </w:r>
      <w:r w:rsidR="00E818B0">
        <w:t>under subsection (</w:t>
      </w:r>
      <w:r w:rsidR="004861B5">
        <w:t>1</w:t>
      </w:r>
      <w:r w:rsidR="00E818B0">
        <w:t>)</w:t>
      </w:r>
      <w:r w:rsidR="00875F82">
        <w:t>.</w:t>
      </w:r>
    </w:p>
    <w:p w14:paraId="1DB470C8" w14:textId="721FA047" w:rsidR="00BA2D11" w:rsidRDefault="00D751C1" w:rsidP="00C83410">
      <w:pPr>
        <w:pStyle w:val="subsection"/>
      </w:pPr>
      <w:r>
        <w:t xml:space="preserve">  </w:t>
      </w:r>
      <w:r>
        <w:tab/>
        <w:t>(</w:t>
      </w:r>
      <w:r w:rsidR="00B04354">
        <w:t>3</w:t>
      </w:r>
      <w:r w:rsidR="00C83410" w:rsidRPr="00BA2D11">
        <w:t>)</w:t>
      </w:r>
      <w:r w:rsidR="00C83410" w:rsidRPr="00BA2D11">
        <w:tab/>
      </w:r>
      <w:r w:rsidR="00C83410">
        <w:t xml:space="preserve">If a </w:t>
      </w:r>
      <w:r w:rsidR="00C83410" w:rsidRPr="003C073E">
        <w:rPr>
          <w:i/>
        </w:rPr>
        <w:t>higher education provider</w:t>
      </w:r>
      <w:r w:rsidR="00C83410">
        <w:t xml:space="preserve"> awards an </w:t>
      </w:r>
      <w:r w:rsidR="00D56B62">
        <w:t>Indigenous Commonwealth Education Costs Scholarship or an Indigenous Commonwealth Accommodation Scholarship</w:t>
      </w:r>
      <w:r w:rsidR="00C83410">
        <w:t xml:space="preserve"> for study in a semester </w:t>
      </w:r>
      <w:r w:rsidR="00334FC9">
        <w:t xml:space="preserve">or trimester </w:t>
      </w:r>
      <w:r w:rsidR="00C83410">
        <w:t xml:space="preserve">after </w:t>
      </w:r>
      <w:r>
        <w:t>the day</w:t>
      </w:r>
      <w:r w:rsidR="006F16CF">
        <w:t xml:space="preserve"> specified under subsection (</w:t>
      </w:r>
      <w:r w:rsidR="002A6EC2">
        <w:t>2</w:t>
      </w:r>
      <w:r w:rsidR="006F16CF">
        <w:t>)</w:t>
      </w:r>
      <w:r w:rsidR="00D56B62">
        <w:t xml:space="preserve">, the provider must notify </w:t>
      </w:r>
      <w:r w:rsidR="00B50F7D">
        <w:t xml:space="preserve">the </w:t>
      </w:r>
      <w:r w:rsidR="006F16CF">
        <w:t>persons specified under subsection (</w:t>
      </w:r>
      <w:r w:rsidR="002A6EC2">
        <w:t>1</w:t>
      </w:r>
      <w:r w:rsidR="006F16CF">
        <w:t>)</w:t>
      </w:r>
      <w:r w:rsidR="00B50F7D" w:rsidRPr="0083138C">
        <w:t xml:space="preserve"> </w:t>
      </w:r>
      <w:r w:rsidR="00D56B62">
        <w:t xml:space="preserve">of the award of the scholarship and </w:t>
      </w:r>
      <w:r>
        <w:t xml:space="preserve">amount or value of </w:t>
      </w:r>
      <w:r w:rsidR="00D56B62">
        <w:t xml:space="preserve">the scholarship </w:t>
      </w:r>
      <w:r w:rsidR="00D56B62" w:rsidRPr="00CE6F2E">
        <w:t>as soon as possible.</w:t>
      </w:r>
      <w:r w:rsidR="00D56B62">
        <w:t xml:space="preserve"> </w:t>
      </w:r>
    </w:p>
    <w:p w14:paraId="44691CE9" w14:textId="4B78B3EF" w:rsidR="00057867" w:rsidRPr="005A65D5" w:rsidRDefault="0016745C" w:rsidP="00057867">
      <w:pPr>
        <w:pStyle w:val="ActHead5"/>
      </w:pPr>
      <w:bookmarkStart w:id="200" w:name="_Toc467246541"/>
      <w:bookmarkStart w:id="201" w:name="_Toc468194448"/>
      <w:bookmarkStart w:id="202" w:name="_Toc468285046"/>
      <w:bookmarkStart w:id="203" w:name="_Toc468364331"/>
      <w:bookmarkStart w:id="204" w:name="_Toc469060379"/>
      <w:bookmarkStart w:id="205" w:name="_Toc469172070"/>
      <w:bookmarkStart w:id="206" w:name="_Toc469918103"/>
      <w:r>
        <w:t>2</w:t>
      </w:r>
      <w:r w:rsidR="00FF0EC0">
        <w:t>6</w:t>
      </w:r>
      <w:r w:rsidR="00057867" w:rsidRPr="005A65D5">
        <w:t xml:space="preserve">  </w:t>
      </w:r>
      <w:r w:rsidR="00057867">
        <w:t>Termination of Indigenous Commonwealth Scholarship</w:t>
      </w:r>
      <w:bookmarkEnd w:id="200"/>
      <w:r w:rsidR="002F533B">
        <w:t>s</w:t>
      </w:r>
      <w:bookmarkEnd w:id="201"/>
      <w:bookmarkEnd w:id="202"/>
      <w:bookmarkEnd w:id="203"/>
      <w:bookmarkEnd w:id="204"/>
      <w:bookmarkEnd w:id="205"/>
      <w:bookmarkEnd w:id="206"/>
    </w:p>
    <w:p w14:paraId="19E2EC5C" w14:textId="2906E548" w:rsidR="00A57435" w:rsidRDefault="00A57435" w:rsidP="00A57435">
      <w:pPr>
        <w:pStyle w:val="subsection"/>
      </w:pPr>
      <w:r w:rsidRPr="002D6586">
        <w:tab/>
        <w:t>(1)</w:t>
      </w:r>
      <w:r w:rsidRPr="002D6586">
        <w:tab/>
        <w:t xml:space="preserve">A </w:t>
      </w:r>
      <w:r w:rsidRPr="002D6586">
        <w:rPr>
          <w:i/>
        </w:rPr>
        <w:t>higher education provider</w:t>
      </w:r>
      <w:r w:rsidRPr="002D6586">
        <w:t xml:space="preserve"> must terminate an Indigenous Commonwealth Scholarship if the</w:t>
      </w:r>
      <w:r w:rsidR="003D2C55" w:rsidRPr="002D6586">
        <w:t xml:space="preserve"> scholarship</w:t>
      </w:r>
      <w:r w:rsidRPr="002D6586">
        <w:t xml:space="preserve"> recipient ceases to be </w:t>
      </w:r>
      <w:r w:rsidR="0055317A" w:rsidRPr="002D6586">
        <w:rPr>
          <w:i/>
        </w:rPr>
        <w:t>enrolled</w:t>
      </w:r>
      <w:r w:rsidR="0055317A" w:rsidRPr="002D6586">
        <w:t xml:space="preserve"> in a </w:t>
      </w:r>
      <w:r w:rsidR="0055317A" w:rsidRPr="002D6586">
        <w:rPr>
          <w:i/>
        </w:rPr>
        <w:t>course of study</w:t>
      </w:r>
      <w:r w:rsidR="002D6586" w:rsidRPr="00B45DFD">
        <w:t xml:space="preserve"> with the provider</w:t>
      </w:r>
      <w:r w:rsidRPr="002D6586">
        <w:t>.</w:t>
      </w:r>
    </w:p>
    <w:p w14:paraId="3192499C" w14:textId="1BF20AB9" w:rsidR="00A57435" w:rsidRDefault="00A57435" w:rsidP="00A57435">
      <w:pPr>
        <w:pStyle w:val="subsection"/>
      </w:pPr>
      <w:r>
        <w:t xml:space="preserve"> </w:t>
      </w:r>
      <w:r>
        <w:tab/>
        <w:t>(2</w:t>
      </w:r>
      <w:r w:rsidRPr="00BA2D11">
        <w:t>)</w:t>
      </w:r>
      <w:r w:rsidRPr="00BA2D11">
        <w:tab/>
      </w:r>
      <w:r>
        <w:t xml:space="preserve">A </w:t>
      </w:r>
      <w:r w:rsidRPr="003C073E">
        <w:rPr>
          <w:i/>
        </w:rPr>
        <w:t>higher education provider</w:t>
      </w:r>
      <w:r>
        <w:t xml:space="preserve"> may terminate an Indigenous Commonwealth Scholarship if the</w:t>
      </w:r>
      <w:r w:rsidR="003D2C55">
        <w:t xml:space="preserve"> scholarship</w:t>
      </w:r>
      <w:r>
        <w:t xml:space="preserve"> recipient fails to comply with a condition of the scholarship.</w:t>
      </w:r>
    </w:p>
    <w:p w14:paraId="45F0322D" w14:textId="2309184A" w:rsidR="00293A1A" w:rsidRPr="005A65D5" w:rsidRDefault="006B14F3" w:rsidP="00293A1A">
      <w:pPr>
        <w:pStyle w:val="ActHead5"/>
      </w:pPr>
      <w:bookmarkStart w:id="207" w:name="_Toc467246543"/>
      <w:bookmarkStart w:id="208" w:name="_Toc468194450"/>
      <w:bookmarkStart w:id="209" w:name="_Toc468285048"/>
      <w:bookmarkStart w:id="210" w:name="_Toc468364333"/>
      <w:bookmarkStart w:id="211" w:name="_Toc469060380"/>
      <w:bookmarkStart w:id="212" w:name="_Toc469172071"/>
      <w:bookmarkStart w:id="213" w:name="_Toc469918104"/>
      <w:r>
        <w:t>2</w:t>
      </w:r>
      <w:r w:rsidR="00FF0EC0">
        <w:t>7</w:t>
      </w:r>
      <w:r w:rsidR="00293A1A" w:rsidRPr="005A65D5">
        <w:t xml:space="preserve">  </w:t>
      </w:r>
      <w:r w:rsidR="00293A1A">
        <w:t xml:space="preserve">Recovery of </w:t>
      </w:r>
      <w:r w:rsidR="002F533B">
        <w:t>Indigenous Commonwealth S</w:t>
      </w:r>
      <w:r w:rsidR="00293A1A">
        <w:t>cholarship amounts</w:t>
      </w:r>
      <w:bookmarkEnd w:id="207"/>
      <w:bookmarkEnd w:id="208"/>
      <w:bookmarkEnd w:id="209"/>
      <w:bookmarkEnd w:id="210"/>
      <w:bookmarkEnd w:id="211"/>
      <w:bookmarkEnd w:id="212"/>
      <w:bookmarkEnd w:id="213"/>
    </w:p>
    <w:p w14:paraId="6BCC2678" w14:textId="6CE7D0BE" w:rsidR="00293A1A" w:rsidRDefault="00293A1A" w:rsidP="00293A1A">
      <w:pPr>
        <w:pStyle w:val="subsection"/>
      </w:pPr>
      <w:r>
        <w:tab/>
        <w:t>(1</w:t>
      </w:r>
      <w:r w:rsidRPr="00BA2D11">
        <w:t>)</w:t>
      </w:r>
      <w:r w:rsidRPr="00BA2D11">
        <w:tab/>
      </w:r>
      <w:r w:rsidR="0094690E">
        <w:t>Subject to subsection (</w:t>
      </w:r>
      <w:r w:rsidR="007E0FDE">
        <w:t>2</w:t>
      </w:r>
      <w:r w:rsidR="0094690E">
        <w:t>), a</w:t>
      </w:r>
      <w:r>
        <w:t xml:space="preserve"> </w:t>
      </w:r>
      <w:r w:rsidRPr="003C073E">
        <w:rPr>
          <w:i/>
        </w:rPr>
        <w:t>higher education provider</w:t>
      </w:r>
      <w:r>
        <w:t xml:space="preserve"> must take steps to recover an amount</w:t>
      </w:r>
      <w:r w:rsidR="006461BE">
        <w:t xml:space="preserve"> of an Indigenous Commonwealth S</w:t>
      </w:r>
      <w:r>
        <w:t>cholarship that has not been exhausted if:</w:t>
      </w:r>
    </w:p>
    <w:p w14:paraId="11ECC5FA" w14:textId="4254B802" w:rsidR="00293A1A" w:rsidRDefault="00293A1A" w:rsidP="00293A1A">
      <w:pPr>
        <w:pStyle w:val="paragraph"/>
      </w:pPr>
      <w:r>
        <w:tab/>
        <w:t>(a</w:t>
      </w:r>
      <w:r w:rsidRPr="00BA2D11">
        <w:t>)</w:t>
      </w:r>
      <w:r w:rsidRPr="00BA2D11">
        <w:tab/>
      </w:r>
      <w:r>
        <w:t xml:space="preserve">a </w:t>
      </w:r>
      <w:r w:rsidRPr="003C073E">
        <w:rPr>
          <w:i/>
        </w:rPr>
        <w:t>higher education provider</w:t>
      </w:r>
      <w:r>
        <w:t xml:space="preserve"> terminates </w:t>
      </w:r>
      <w:r w:rsidR="006461BE">
        <w:t>the scholarship</w:t>
      </w:r>
      <w:r>
        <w:t xml:space="preserve"> under section </w:t>
      </w:r>
      <w:r w:rsidR="006B14F3">
        <w:t>2</w:t>
      </w:r>
      <w:r w:rsidR="007170A0">
        <w:t>6</w:t>
      </w:r>
      <w:r w:rsidR="006B14F3">
        <w:t xml:space="preserve"> </w:t>
      </w:r>
      <w:r>
        <w:t>of these Guidelines; or</w:t>
      </w:r>
    </w:p>
    <w:p w14:paraId="4373CF60" w14:textId="1424F1AC" w:rsidR="00293A1A" w:rsidRDefault="00293A1A" w:rsidP="00293A1A">
      <w:pPr>
        <w:pStyle w:val="paragraph"/>
      </w:pPr>
      <w:r>
        <w:tab/>
        <w:t>(b</w:t>
      </w:r>
      <w:r w:rsidRPr="00BA2D11">
        <w:t>)</w:t>
      </w:r>
      <w:r w:rsidRPr="00BA2D11">
        <w:tab/>
      </w:r>
      <w:r>
        <w:t xml:space="preserve">if </w:t>
      </w:r>
      <w:r w:rsidR="006461BE">
        <w:t>the</w:t>
      </w:r>
      <w:r>
        <w:t xml:space="preserve"> scholarship recipient transfers his or her course of study from the provider to a different </w:t>
      </w:r>
      <w:r w:rsidRPr="003C073E">
        <w:rPr>
          <w:i/>
        </w:rPr>
        <w:t>higher education provider</w:t>
      </w:r>
      <w:r>
        <w:t>.</w:t>
      </w:r>
    </w:p>
    <w:p w14:paraId="2293AECC" w14:textId="050274FC" w:rsidR="00293A1A" w:rsidRDefault="00293A1A" w:rsidP="00293A1A">
      <w:pPr>
        <w:pStyle w:val="subsection"/>
      </w:pPr>
      <w:r>
        <w:tab/>
        <w:t>(</w:t>
      </w:r>
      <w:r w:rsidR="00E57CAF">
        <w:t>2</w:t>
      </w:r>
      <w:r w:rsidRPr="00BA2D11">
        <w:t>)</w:t>
      </w:r>
      <w:r w:rsidRPr="00BA2D11">
        <w:tab/>
      </w:r>
      <w:r>
        <w:t xml:space="preserve">If a </w:t>
      </w:r>
      <w:r w:rsidRPr="003C073E">
        <w:rPr>
          <w:i/>
        </w:rPr>
        <w:t>higher education provider</w:t>
      </w:r>
      <w:r>
        <w:t xml:space="preserve"> determines that the recipient </w:t>
      </w:r>
      <w:r w:rsidR="006461BE">
        <w:t xml:space="preserve">of an Indigenous Commonwealth Scholarship </w:t>
      </w:r>
      <w:r>
        <w:t>had valid reasons for the circumstances resulting in termination</w:t>
      </w:r>
      <w:r w:rsidR="0094690E">
        <w:t xml:space="preserve"> or transfer</w:t>
      </w:r>
      <w:r>
        <w:t>,</w:t>
      </w:r>
      <w:r w:rsidR="00166FEE">
        <w:t xml:space="preserve"> or the recipient would suffer severe financial hardship as a result of recovery under subsection (1),</w:t>
      </w:r>
      <w:r>
        <w:t xml:space="preserve"> the provider may:  </w:t>
      </w:r>
    </w:p>
    <w:p w14:paraId="16A58867" w14:textId="2CF72F81" w:rsidR="00293A1A" w:rsidRDefault="00293A1A" w:rsidP="00293A1A">
      <w:pPr>
        <w:pStyle w:val="paragraph"/>
      </w:pPr>
      <w:r>
        <w:tab/>
        <w:t>(a</w:t>
      </w:r>
      <w:r w:rsidRPr="00BA2D11">
        <w:t>)</w:t>
      </w:r>
      <w:r w:rsidRPr="00BA2D11">
        <w:tab/>
      </w:r>
      <w:r>
        <w:t xml:space="preserve">elect not to recover a </w:t>
      </w:r>
      <w:r w:rsidRPr="00293A1A">
        <w:t xml:space="preserve">scholarship </w:t>
      </w:r>
      <w:r w:rsidR="00C74899">
        <w:t>amount</w:t>
      </w:r>
      <w:r w:rsidRPr="00293A1A">
        <w:t xml:space="preserve"> that has not been </w:t>
      </w:r>
      <w:r>
        <w:t xml:space="preserve">exhausted; or  </w:t>
      </w:r>
    </w:p>
    <w:p w14:paraId="3FCC74EC" w14:textId="21E62A40" w:rsidR="002D515B" w:rsidRPr="00BA2D11" w:rsidRDefault="00293A1A" w:rsidP="002D515B">
      <w:pPr>
        <w:pStyle w:val="paragraph"/>
      </w:pPr>
      <w:r>
        <w:tab/>
        <w:t>(b</w:t>
      </w:r>
      <w:r w:rsidRPr="00BA2D11">
        <w:t>)</w:t>
      </w:r>
      <w:r w:rsidRPr="00BA2D11">
        <w:tab/>
      </w:r>
      <w:r>
        <w:t xml:space="preserve">accept the return of an amount that is less than the total of the scholarship </w:t>
      </w:r>
      <w:r w:rsidR="00C74899">
        <w:t xml:space="preserve">amount </w:t>
      </w:r>
      <w:r w:rsidRPr="00293A1A">
        <w:t xml:space="preserve">that has not been </w:t>
      </w:r>
      <w:r>
        <w:t xml:space="preserve">exhausted.   </w:t>
      </w:r>
    </w:p>
    <w:p w14:paraId="15F30EF4" w14:textId="45F6F755" w:rsidR="00293A1A" w:rsidRDefault="00293A1A" w:rsidP="00293A1A">
      <w:pPr>
        <w:pStyle w:val="subsection"/>
      </w:pPr>
      <w:r>
        <w:tab/>
        <w:t>(</w:t>
      </w:r>
      <w:r w:rsidR="00607DD3">
        <w:t>3</w:t>
      </w:r>
      <w:r w:rsidRPr="00BA2D11">
        <w:t>)</w:t>
      </w:r>
      <w:r w:rsidRPr="00BA2D11">
        <w:tab/>
      </w:r>
      <w:r>
        <w:t>For the purposes of subsection</w:t>
      </w:r>
      <w:r w:rsidR="00F000F1">
        <w:t xml:space="preserve"> (</w:t>
      </w:r>
      <w:r w:rsidR="00607DD3">
        <w:t>2</w:t>
      </w:r>
      <w:r w:rsidR="002D515B">
        <w:t>)</w:t>
      </w:r>
      <w:r>
        <w:t xml:space="preserve">, valid reasons include, but are not limited to:  </w:t>
      </w:r>
    </w:p>
    <w:p w14:paraId="28916834" w14:textId="0F1A0178" w:rsidR="00293A1A" w:rsidRDefault="00293A1A" w:rsidP="00293A1A">
      <w:pPr>
        <w:pStyle w:val="paragraph"/>
      </w:pPr>
      <w:r>
        <w:tab/>
      </w:r>
      <w:r w:rsidRPr="00A57435">
        <w:t>(a)</w:t>
      </w:r>
      <w:r w:rsidRPr="00A57435">
        <w:tab/>
      </w:r>
      <w:r>
        <w:t xml:space="preserve">the scholarship recipient develops an illness or injury that prevents the recipient continuing with the </w:t>
      </w:r>
      <w:r>
        <w:rPr>
          <w:i/>
        </w:rPr>
        <w:t>course of study</w:t>
      </w:r>
      <w:r>
        <w:t xml:space="preserve"> for which the scholarship was awarded; </w:t>
      </w:r>
    </w:p>
    <w:p w14:paraId="6D576A41" w14:textId="720F14A6" w:rsidR="00293A1A" w:rsidRPr="00A57435" w:rsidRDefault="00293A1A" w:rsidP="00293A1A">
      <w:pPr>
        <w:pStyle w:val="paragraph"/>
      </w:pPr>
      <w:r w:rsidRPr="00A57435">
        <w:tab/>
        <w:t>(b)</w:t>
      </w:r>
      <w:r w:rsidRPr="00A57435">
        <w:tab/>
      </w:r>
      <w:r>
        <w:t xml:space="preserve">the scholarship recipient is required to provide care or support for </w:t>
      </w:r>
      <w:r w:rsidR="00245C29">
        <w:t xml:space="preserve">a </w:t>
      </w:r>
      <w:r>
        <w:t>member of the recipient’s</w:t>
      </w:r>
      <w:r w:rsidR="0029585B">
        <w:t xml:space="preserve"> immediate</w:t>
      </w:r>
      <w:r>
        <w:t xml:space="preserve"> family or household because of a</w:t>
      </w:r>
      <w:r w:rsidR="0029585B">
        <w:t>n</w:t>
      </w:r>
      <w:r>
        <w:t xml:space="preserve"> illness or injury of that member or an unexpected emergency affecting that member</w:t>
      </w:r>
      <w:r w:rsidRPr="00A57435">
        <w:t xml:space="preserve">;    </w:t>
      </w:r>
    </w:p>
    <w:p w14:paraId="4D9437DF" w14:textId="77777777" w:rsidR="00293A1A" w:rsidRDefault="00293A1A" w:rsidP="00293A1A">
      <w:pPr>
        <w:pStyle w:val="paragraph"/>
      </w:pPr>
      <w:r w:rsidRPr="00A57435">
        <w:tab/>
        <w:t>(c)</w:t>
      </w:r>
      <w:r w:rsidRPr="00A57435">
        <w:tab/>
      </w:r>
      <w:r>
        <w:t xml:space="preserve">a member of the scholarship recipient’s immediate family or household contracts or develops an illness or injury that poses a serious threat to that member’s life; </w:t>
      </w:r>
    </w:p>
    <w:p w14:paraId="66E8335F" w14:textId="77777777" w:rsidR="000D2D3A" w:rsidRDefault="00293A1A" w:rsidP="007A1A7F">
      <w:pPr>
        <w:pStyle w:val="paragraph"/>
      </w:pPr>
      <w:r>
        <w:tab/>
        <w:t>(d</w:t>
      </w:r>
      <w:r w:rsidRPr="00A57435">
        <w:t>)</w:t>
      </w:r>
      <w:r w:rsidRPr="00A57435">
        <w:tab/>
      </w:r>
      <w:r>
        <w:t>death of a member of the scholarship recipient’s immediate family or household</w:t>
      </w:r>
      <w:r w:rsidR="00D01515">
        <w:t>.</w:t>
      </w:r>
    </w:p>
    <w:p w14:paraId="0D4ED671" w14:textId="2E7B5577" w:rsidR="000D2D3A" w:rsidRPr="00607DD3" w:rsidRDefault="000D2D3A" w:rsidP="00B45DFD">
      <w:pPr>
        <w:pStyle w:val="subsection"/>
      </w:pPr>
      <w:r>
        <w:tab/>
      </w:r>
      <w:r w:rsidRPr="00D01D59">
        <w:t>(</w:t>
      </w:r>
      <w:r w:rsidR="00607DD3" w:rsidRPr="00B45DFD">
        <w:t>4</w:t>
      </w:r>
      <w:r w:rsidRPr="00607DD3">
        <w:t>)</w:t>
      </w:r>
      <w:r w:rsidRPr="00607DD3">
        <w:tab/>
        <w:t xml:space="preserve">If a </w:t>
      </w:r>
      <w:r w:rsidRPr="00607DD3">
        <w:rPr>
          <w:i/>
        </w:rPr>
        <w:t>higher education provider</w:t>
      </w:r>
      <w:r w:rsidRPr="00607DD3">
        <w:t xml:space="preserve"> elects not to recover a scholarship amount that has not been exhausted or accepts the return of an amount that is less than the total of the scholarship amount that has not been exhausted, the provider must: </w:t>
      </w:r>
    </w:p>
    <w:p w14:paraId="245C0485" w14:textId="3987F5A6" w:rsidR="000D2D3A" w:rsidRPr="00607DD3" w:rsidRDefault="000D2D3A" w:rsidP="000D2D3A">
      <w:pPr>
        <w:pStyle w:val="paragraph"/>
      </w:pPr>
      <w:r w:rsidRPr="00607DD3">
        <w:tab/>
        <w:t>(a)</w:t>
      </w:r>
      <w:r w:rsidRPr="00607DD3">
        <w:tab/>
        <w:t xml:space="preserve">document the reasons why the </w:t>
      </w:r>
      <w:r w:rsidR="006956F0" w:rsidRPr="00607DD3">
        <w:t>whole amount was not recovered</w:t>
      </w:r>
      <w:r w:rsidRPr="00607DD3">
        <w:t xml:space="preserve"> on the student’s file; and</w:t>
      </w:r>
    </w:p>
    <w:p w14:paraId="51F30E32" w14:textId="4C8A8B0D" w:rsidR="00C12237" w:rsidRDefault="000D2D3A" w:rsidP="006956F0">
      <w:pPr>
        <w:pStyle w:val="paragraph"/>
      </w:pPr>
      <w:r w:rsidRPr="00607DD3">
        <w:tab/>
        <w:t>(b)</w:t>
      </w:r>
      <w:r w:rsidRPr="00607DD3">
        <w:tab/>
        <w:t>if requested by an administering officer, provide a copy of the reasons to the officer within 10 business days of the receipt of the request.</w:t>
      </w:r>
      <w:r>
        <w:t xml:space="preserve"> </w:t>
      </w:r>
    </w:p>
    <w:p w14:paraId="4F8F2885" w14:textId="34F15D43" w:rsidR="007A1A7F" w:rsidRDefault="007A1A7F" w:rsidP="00CD25D7">
      <w:pPr>
        <w:pStyle w:val="subsection"/>
      </w:pPr>
      <w:bookmarkStart w:id="214" w:name="_Toc467246544"/>
      <w:bookmarkStart w:id="215" w:name="_Toc468194451"/>
      <w:bookmarkStart w:id="216" w:name="_Toc468285049"/>
      <w:bookmarkStart w:id="217" w:name="_Toc468364334"/>
      <w:r>
        <w:tab/>
        <w:t>(</w:t>
      </w:r>
      <w:r w:rsidR="00607DD3">
        <w:t>5</w:t>
      </w:r>
      <w:r w:rsidRPr="00BA2D11">
        <w:t>)</w:t>
      </w:r>
      <w:r w:rsidRPr="00BA2D11">
        <w:tab/>
      </w:r>
      <w:r w:rsidR="00CD25D7">
        <w:t xml:space="preserve">Subject to the Act and these Guidelines, a </w:t>
      </w:r>
      <w:r w:rsidR="00CD25D7" w:rsidRPr="00CD25D7">
        <w:rPr>
          <w:i/>
        </w:rPr>
        <w:t>higher education provider</w:t>
      </w:r>
      <w:r w:rsidR="00CD25D7">
        <w:t xml:space="preserve"> that recovers an amount of an Indigenous Commonwealth Scholar</w:t>
      </w:r>
      <w:r w:rsidR="00FF0EC0">
        <w:t xml:space="preserve">ship </w:t>
      </w:r>
      <w:r w:rsidR="00AF087A">
        <w:t>other than a preserved Indigenous Commonwealth Scholarship</w:t>
      </w:r>
      <w:r w:rsidR="00CD25D7">
        <w:t xml:space="preserve"> may use the amount recovered for any or all of the activities specified in these Guidelines.  </w:t>
      </w:r>
    </w:p>
    <w:p w14:paraId="74A1EDD9" w14:textId="4A72B029" w:rsidR="00D46851" w:rsidRDefault="000D2D3A" w:rsidP="00D46851">
      <w:pPr>
        <w:pStyle w:val="subsection"/>
      </w:pPr>
      <w:r>
        <w:tab/>
        <w:t>(</w:t>
      </w:r>
      <w:r w:rsidR="00FF0EC0">
        <w:t>6</w:t>
      </w:r>
      <w:r w:rsidR="00D46851" w:rsidRPr="00BA2D11">
        <w:t>)</w:t>
      </w:r>
      <w:r w:rsidR="00D46851" w:rsidRPr="00BA2D11">
        <w:tab/>
      </w:r>
      <w:r w:rsidR="00D46851">
        <w:t xml:space="preserve">A </w:t>
      </w:r>
      <w:r w:rsidR="00D46851" w:rsidRPr="00CD25D7">
        <w:rPr>
          <w:i/>
        </w:rPr>
        <w:t>higher education provider</w:t>
      </w:r>
      <w:r w:rsidR="00D46851">
        <w:t xml:space="preserve"> that recovers an amount of a preserved Indigenous Commonwealth Scholarship awarded under subsection 2</w:t>
      </w:r>
      <w:r w:rsidR="00FF0EC0">
        <w:t>8</w:t>
      </w:r>
      <w:r w:rsidR="00D46851">
        <w:t>(</w:t>
      </w:r>
      <w:r w:rsidR="00FF0EC0">
        <w:t>4</w:t>
      </w:r>
      <w:r w:rsidR="00D46851">
        <w:t xml:space="preserve">) of these Guidelines must not use the amount for any </w:t>
      </w:r>
      <w:r w:rsidR="009C7986">
        <w:t>subsequent</w:t>
      </w:r>
      <w:r w:rsidR="00455C93">
        <w:t xml:space="preserve"> activity</w:t>
      </w:r>
      <w:r w:rsidR="00D46851">
        <w:t xml:space="preserve">.  </w:t>
      </w:r>
    </w:p>
    <w:p w14:paraId="209BB7D6" w14:textId="2B24AC81" w:rsidR="00DC18BD" w:rsidDel="004D716A" w:rsidRDefault="00DC18BD" w:rsidP="00DC18BD">
      <w:pPr>
        <w:pStyle w:val="notetext"/>
      </w:pPr>
      <w:r w:rsidRPr="009C2562" w:rsidDel="004D716A">
        <w:t>Note:</w:t>
      </w:r>
      <w:r w:rsidRPr="009C2562" w:rsidDel="004D716A">
        <w:tab/>
      </w:r>
      <w:r>
        <w:t>Under section 164-15 of the Act, the Commonwealth may deduct an overpayment of an amount made to a higher education provider from any amount that is payable or to be paid to the provider, or recover the overpayment as a debt due to the Commonwealth</w:t>
      </w:r>
      <w:r w:rsidDel="004D716A">
        <w:t xml:space="preserve">.   </w:t>
      </w:r>
    </w:p>
    <w:p w14:paraId="43B8DC7E" w14:textId="2A93ADDB" w:rsidR="008A5654" w:rsidRPr="005A65D5" w:rsidRDefault="00AB4A13" w:rsidP="000B4FC4">
      <w:pPr>
        <w:pStyle w:val="ActHead5"/>
        <w:ind w:left="0" w:firstLine="0"/>
      </w:pPr>
      <w:bookmarkStart w:id="218" w:name="_Toc469060381"/>
      <w:bookmarkStart w:id="219" w:name="_Toc469172072"/>
      <w:bookmarkStart w:id="220" w:name="_Toc469918105"/>
      <w:r>
        <w:t>2</w:t>
      </w:r>
      <w:r w:rsidR="00FF0EC0">
        <w:t>8</w:t>
      </w:r>
      <w:r w:rsidR="008A5654" w:rsidRPr="005A65D5">
        <w:t xml:space="preserve">  </w:t>
      </w:r>
      <w:r w:rsidR="008A5654">
        <w:t xml:space="preserve">Transitional </w:t>
      </w:r>
      <w:r w:rsidR="00CE5912">
        <w:t>arrangements</w:t>
      </w:r>
      <w:r w:rsidR="0058074D">
        <w:t xml:space="preserve"> for </w:t>
      </w:r>
      <w:bookmarkEnd w:id="214"/>
      <w:r w:rsidR="002F533B">
        <w:t>Indigenous Commonwealth S</w:t>
      </w:r>
      <w:r w:rsidR="0058074D">
        <w:t>cholarships</w:t>
      </w:r>
      <w:bookmarkEnd w:id="215"/>
      <w:bookmarkEnd w:id="216"/>
      <w:bookmarkEnd w:id="217"/>
      <w:bookmarkEnd w:id="218"/>
      <w:bookmarkEnd w:id="219"/>
      <w:bookmarkEnd w:id="220"/>
    </w:p>
    <w:p w14:paraId="7FF79FEE" w14:textId="69D6B474" w:rsidR="006D6352" w:rsidRDefault="006D6352" w:rsidP="006D6352">
      <w:pPr>
        <w:pStyle w:val="subsection"/>
        <w:keepNext/>
        <w:keepLines/>
      </w:pPr>
      <w:r>
        <w:tab/>
        <w:t>(1</w:t>
      </w:r>
      <w:r w:rsidRPr="00BA2D11">
        <w:t>)</w:t>
      </w:r>
      <w:r w:rsidRPr="00BA2D11">
        <w:tab/>
      </w:r>
      <w:r>
        <w:t xml:space="preserve">A </w:t>
      </w:r>
      <w:r w:rsidRPr="003C073E">
        <w:rPr>
          <w:i/>
        </w:rPr>
        <w:t>higher education provider</w:t>
      </w:r>
      <w:r>
        <w:t xml:space="preserve"> must offer</w:t>
      </w:r>
      <w:r w:rsidDel="009E6F28">
        <w:t xml:space="preserve"> </w:t>
      </w:r>
      <w:r>
        <w:t>an Indigenous Commonwealth Scholarship other than a preserved Indigenous Commonwealth Scholarship</w:t>
      </w:r>
      <w:r>
        <w:rPr>
          <w:b/>
          <w:i/>
        </w:rPr>
        <w:t xml:space="preserve"> </w:t>
      </w:r>
      <w:r>
        <w:t xml:space="preserve">to an Indigenous student if, in the year before the commencement of these Guidelines, the </w:t>
      </w:r>
      <w:r w:rsidRPr="003C073E">
        <w:t>student</w:t>
      </w:r>
      <w:r>
        <w:t xml:space="preserve"> satisfies the following criteria:  </w:t>
      </w:r>
    </w:p>
    <w:p w14:paraId="59BF78E7" w14:textId="77777777" w:rsidR="006D6352" w:rsidRPr="00A57435" w:rsidRDefault="006D6352" w:rsidP="006D6352">
      <w:pPr>
        <w:pStyle w:val="paragraph"/>
      </w:pPr>
      <w:r>
        <w:tab/>
      </w:r>
      <w:r w:rsidRPr="00A57435">
        <w:t>(a)</w:t>
      </w:r>
      <w:r w:rsidRPr="00A57435">
        <w:tab/>
      </w:r>
      <w:r>
        <w:t xml:space="preserve">the </w:t>
      </w:r>
      <w:r w:rsidRPr="003C073E">
        <w:t>student</w:t>
      </w:r>
      <w:r>
        <w:t xml:space="preserve"> received an </w:t>
      </w:r>
      <w:r w:rsidRPr="0065646F">
        <w:t xml:space="preserve">earlier </w:t>
      </w:r>
      <w:r>
        <w:t>Indigenous Commonwealth S</w:t>
      </w:r>
      <w:r w:rsidRPr="0065646F">
        <w:t>cholarship</w:t>
      </w:r>
      <w:r>
        <w:t xml:space="preserve"> for an </w:t>
      </w:r>
      <w:r>
        <w:rPr>
          <w:i/>
        </w:rPr>
        <w:t xml:space="preserve">enabling course </w:t>
      </w:r>
      <w:r>
        <w:t>that was awarded by the provider; and</w:t>
      </w:r>
    </w:p>
    <w:p w14:paraId="218E111C" w14:textId="77777777" w:rsidR="006D6352" w:rsidRDefault="006D6352" w:rsidP="006D6352">
      <w:pPr>
        <w:pStyle w:val="paragraph"/>
      </w:pPr>
      <w:r w:rsidRPr="00A57435">
        <w:tab/>
        <w:t>(b)</w:t>
      </w:r>
      <w:r w:rsidRPr="00A57435">
        <w:tab/>
      </w:r>
      <w:r>
        <w:t xml:space="preserve">the student successfully completed the </w:t>
      </w:r>
      <w:r>
        <w:rPr>
          <w:i/>
        </w:rPr>
        <w:t>enabling course</w:t>
      </w:r>
      <w:r>
        <w:t>.</w:t>
      </w:r>
      <w:r w:rsidRPr="00A57435">
        <w:t xml:space="preserve">    </w:t>
      </w:r>
    </w:p>
    <w:p w14:paraId="611E8023" w14:textId="2BC21077" w:rsidR="00025F1E" w:rsidRDefault="00025F1E" w:rsidP="000B4FC4">
      <w:pPr>
        <w:pStyle w:val="subsection"/>
        <w:keepNext/>
        <w:keepLines/>
      </w:pPr>
      <w:r>
        <w:tab/>
        <w:t>(</w:t>
      </w:r>
      <w:r w:rsidR="00AB546F">
        <w:t>2</w:t>
      </w:r>
      <w:r w:rsidRPr="00BA2D11">
        <w:t>)</w:t>
      </w:r>
      <w:r w:rsidRPr="00BA2D11">
        <w:tab/>
      </w:r>
      <w:r w:rsidR="00301834">
        <w:t xml:space="preserve">Subject to these Guidelines, a </w:t>
      </w:r>
      <w:r w:rsidR="00301834" w:rsidRPr="003C073E">
        <w:rPr>
          <w:i/>
        </w:rPr>
        <w:t>higher education provider</w:t>
      </w:r>
      <w:r w:rsidR="00301834">
        <w:t xml:space="preserve"> must </w:t>
      </w:r>
      <w:r w:rsidR="00321935">
        <w:t>offer</w:t>
      </w:r>
      <w:r w:rsidR="00321935" w:rsidDel="009E6F28">
        <w:t xml:space="preserve"> </w:t>
      </w:r>
      <w:r w:rsidR="00301834">
        <w:t>a</w:t>
      </w:r>
      <w:r w:rsidR="00EC3FA3">
        <w:t xml:space="preserve"> preserved</w:t>
      </w:r>
      <w:r w:rsidR="00301834">
        <w:t xml:space="preserve"> Indigenous Commonwealth Scholarship</w:t>
      </w:r>
      <w:r w:rsidR="00F25A36">
        <w:rPr>
          <w:b/>
          <w:i/>
        </w:rPr>
        <w:t xml:space="preserve"> </w:t>
      </w:r>
      <w:r w:rsidR="00301834">
        <w:t>to a</w:t>
      </w:r>
      <w:r w:rsidR="00E25373">
        <w:t>n Indigenous student</w:t>
      </w:r>
      <w:r w:rsidR="00301834">
        <w:t xml:space="preserve"> if, before the commencement of these Guidelines, the </w:t>
      </w:r>
      <w:r w:rsidR="0058074D" w:rsidRPr="003C073E">
        <w:t>student</w:t>
      </w:r>
      <w:r w:rsidR="00301834">
        <w:t xml:space="preserve"> satisfie</w:t>
      </w:r>
      <w:r w:rsidR="002A6EC2">
        <w:t>d</w:t>
      </w:r>
      <w:r w:rsidR="00301834">
        <w:t xml:space="preserve"> the following criteria: </w:t>
      </w:r>
      <w:r>
        <w:t xml:space="preserve"> </w:t>
      </w:r>
    </w:p>
    <w:p w14:paraId="482BA652" w14:textId="42CDB26B" w:rsidR="00301834" w:rsidRPr="00A57435" w:rsidRDefault="00301834" w:rsidP="00301834">
      <w:pPr>
        <w:pStyle w:val="paragraph"/>
      </w:pPr>
      <w:r>
        <w:tab/>
      </w:r>
      <w:r w:rsidRPr="00A57435">
        <w:t>(a)</w:t>
      </w:r>
      <w:r w:rsidRPr="00A57435">
        <w:tab/>
      </w:r>
      <w:r>
        <w:t xml:space="preserve">the </w:t>
      </w:r>
      <w:r w:rsidR="0058074D" w:rsidRPr="003C073E">
        <w:t>student</w:t>
      </w:r>
      <w:r>
        <w:t xml:space="preserve"> was in receipt of</w:t>
      </w:r>
      <w:r w:rsidR="00AD697C">
        <w:t xml:space="preserve"> </w:t>
      </w:r>
      <w:r>
        <w:t xml:space="preserve">an </w:t>
      </w:r>
      <w:r w:rsidRPr="0065646F">
        <w:t xml:space="preserve">earlier </w:t>
      </w:r>
      <w:r w:rsidR="00C23FD8">
        <w:t>Indigenous Commonwealth S</w:t>
      </w:r>
      <w:r w:rsidRPr="0065646F">
        <w:t>cholarship</w:t>
      </w:r>
      <w:r w:rsidR="00AB708B">
        <w:t xml:space="preserve"> </w:t>
      </w:r>
      <w:r w:rsidR="002A6EC2">
        <w:t xml:space="preserve">that was awarded by the provider </w:t>
      </w:r>
      <w:r w:rsidR="00714A3B">
        <w:t xml:space="preserve">for a </w:t>
      </w:r>
      <w:r w:rsidR="00714A3B">
        <w:rPr>
          <w:i/>
        </w:rPr>
        <w:t>higher education award</w:t>
      </w:r>
      <w:r>
        <w:t>; and</w:t>
      </w:r>
    </w:p>
    <w:p w14:paraId="4D987FA4" w14:textId="62A8509C" w:rsidR="00301834" w:rsidRDefault="00301834" w:rsidP="00301834">
      <w:pPr>
        <w:pStyle w:val="paragraph"/>
      </w:pPr>
      <w:r w:rsidRPr="00A57435">
        <w:tab/>
        <w:t>(b)</w:t>
      </w:r>
      <w:r w:rsidRPr="00A57435">
        <w:tab/>
      </w:r>
      <w:r>
        <w:t xml:space="preserve">the </w:t>
      </w:r>
      <w:r w:rsidR="0058074D" w:rsidRPr="003C073E">
        <w:t>student</w:t>
      </w:r>
      <w:r>
        <w:t xml:space="preserve"> was </w:t>
      </w:r>
      <w:r w:rsidRPr="00234629">
        <w:rPr>
          <w:i/>
        </w:rPr>
        <w:t>enrolled</w:t>
      </w:r>
      <w:r w:rsidR="00143F18">
        <w:rPr>
          <w:i/>
        </w:rPr>
        <w:t xml:space="preserve"> </w:t>
      </w:r>
      <w:r w:rsidR="00143F18">
        <w:t>in</w:t>
      </w:r>
      <w:r w:rsidR="00BB6C29">
        <w:rPr>
          <w:i/>
        </w:rPr>
        <w:t xml:space="preserve">, </w:t>
      </w:r>
      <w:r w:rsidR="00BB6C29">
        <w:t xml:space="preserve">or was on </w:t>
      </w:r>
      <w:r w:rsidR="00587D99">
        <w:t>approved</w:t>
      </w:r>
      <w:r w:rsidR="00BB6C29">
        <w:t xml:space="preserve"> </w:t>
      </w:r>
      <w:r w:rsidR="00F248DF">
        <w:t>leave</w:t>
      </w:r>
      <w:r w:rsidR="00143F18">
        <w:t xml:space="preserve"> from</w:t>
      </w:r>
      <w:r w:rsidR="00BB6C29">
        <w:t>,</w:t>
      </w:r>
      <w:r>
        <w:t xml:space="preserve"> the </w:t>
      </w:r>
      <w:r w:rsidRPr="00234629">
        <w:rPr>
          <w:i/>
        </w:rPr>
        <w:t>course of study</w:t>
      </w:r>
      <w:r>
        <w:t xml:space="preserve"> for which the </w:t>
      </w:r>
      <w:r w:rsidR="0058074D" w:rsidRPr="003C073E">
        <w:t>student</w:t>
      </w:r>
      <w:r>
        <w:t xml:space="preserve"> received the scholarship</w:t>
      </w:r>
      <w:r w:rsidRPr="00A57435">
        <w:t>;</w:t>
      </w:r>
      <w:r w:rsidR="001F601C">
        <w:t xml:space="preserve"> and</w:t>
      </w:r>
      <w:r w:rsidRPr="00A57435">
        <w:t xml:space="preserve">    </w:t>
      </w:r>
    </w:p>
    <w:p w14:paraId="0A0C9D56" w14:textId="0218185A" w:rsidR="001F601C" w:rsidRPr="00A57435" w:rsidRDefault="00301834" w:rsidP="00301834">
      <w:pPr>
        <w:pStyle w:val="paragraph"/>
      </w:pPr>
      <w:r>
        <w:tab/>
      </w:r>
      <w:r w:rsidRPr="00607DD3">
        <w:t>(c)</w:t>
      </w:r>
      <w:r w:rsidRPr="00607DD3">
        <w:tab/>
        <w:t xml:space="preserve">the </w:t>
      </w:r>
      <w:r w:rsidR="0058074D" w:rsidRPr="00607DD3">
        <w:t>student</w:t>
      </w:r>
      <w:r w:rsidRPr="00607DD3">
        <w:t xml:space="preserve"> had </w:t>
      </w:r>
      <w:r w:rsidR="005C0301" w:rsidRPr="00607DD3">
        <w:t xml:space="preserve">been </w:t>
      </w:r>
      <w:r w:rsidR="005C0301" w:rsidRPr="00607DD3">
        <w:rPr>
          <w:i/>
        </w:rPr>
        <w:t>enrolled</w:t>
      </w:r>
      <w:r w:rsidR="005C0301" w:rsidRPr="00607DD3">
        <w:t xml:space="preserve"> in the </w:t>
      </w:r>
      <w:r w:rsidR="005C0301" w:rsidRPr="00607DD3">
        <w:rPr>
          <w:i/>
        </w:rPr>
        <w:t xml:space="preserve">course of study </w:t>
      </w:r>
      <w:r w:rsidR="005C0301" w:rsidRPr="00607DD3">
        <w:t>for</w:t>
      </w:r>
      <w:r w:rsidR="004D5C4B" w:rsidRPr="00607DD3">
        <w:t xml:space="preserve"> </w:t>
      </w:r>
      <w:r w:rsidRPr="00607DD3">
        <w:t xml:space="preserve">no more than </w:t>
      </w:r>
      <w:r w:rsidR="006956F0" w:rsidRPr="00607DD3">
        <w:t xml:space="preserve">seven </w:t>
      </w:r>
      <w:r w:rsidRPr="00607DD3">
        <w:t xml:space="preserve">study </w:t>
      </w:r>
      <w:r w:rsidR="00BB6C29" w:rsidRPr="00607DD3">
        <w:t xml:space="preserve">periods </w:t>
      </w:r>
      <w:r w:rsidRPr="00607DD3">
        <w:t xml:space="preserve">in the </w:t>
      </w:r>
      <w:r w:rsidRPr="00607DD3">
        <w:rPr>
          <w:i/>
        </w:rPr>
        <w:t>course of study</w:t>
      </w:r>
      <w:r w:rsidRPr="00607DD3">
        <w:t xml:space="preserve"> for which the </w:t>
      </w:r>
      <w:r w:rsidR="0058074D" w:rsidRPr="00607DD3">
        <w:t>student</w:t>
      </w:r>
      <w:r w:rsidRPr="00607DD3">
        <w:t xml:space="preserve"> received the scholarship.</w:t>
      </w:r>
      <w:r>
        <w:t xml:space="preserve"> </w:t>
      </w:r>
    </w:p>
    <w:p w14:paraId="1406EC6E" w14:textId="2A67894A" w:rsidR="00CD4506" w:rsidRPr="00A57435" w:rsidRDefault="00423A22" w:rsidP="00B45DFD">
      <w:pPr>
        <w:pStyle w:val="subsection"/>
      </w:pPr>
      <w:r>
        <w:tab/>
        <w:t>(</w:t>
      </w:r>
      <w:r w:rsidR="00A87F72">
        <w:t>3</w:t>
      </w:r>
      <w:r w:rsidRPr="00BA2D11">
        <w:t>)</w:t>
      </w:r>
      <w:r w:rsidRPr="00BA2D11">
        <w:tab/>
      </w:r>
      <w:r>
        <w:rPr>
          <w:lang w:val="en-US"/>
        </w:rPr>
        <w:t xml:space="preserve">The </w:t>
      </w:r>
      <w:r w:rsidR="004D35B2">
        <w:rPr>
          <w:lang w:val="en-US"/>
        </w:rPr>
        <w:t>preserved</w:t>
      </w:r>
      <w:r w:rsidR="00C23FD8">
        <w:rPr>
          <w:lang w:val="en-US"/>
        </w:rPr>
        <w:t xml:space="preserve"> </w:t>
      </w:r>
      <w:r>
        <w:rPr>
          <w:lang w:val="en-US"/>
        </w:rPr>
        <w:t xml:space="preserve">Indigenous Commonwealth Scholarship that a </w:t>
      </w:r>
      <w:r w:rsidRPr="003C073E">
        <w:rPr>
          <w:i/>
          <w:lang w:val="en-US"/>
        </w:rPr>
        <w:t>higher education provider</w:t>
      </w:r>
      <w:r>
        <w:rPr>
          <w:lang w:val="en-US"/>
        </w:rPr>
        <w:t xml:space="preserve"> </w:t>
      </w:r>
      <w:r w:rsidRPr="0065646F">
        <w:t xml:space="preserve">must </w:t>
      </w:r>
      <w:r w:rsidR="00BB6C29" w:rsidRPr="0065646F">
        <w:t xml:space="preserve">offer </w:t>
      </w:r>
      <w:r w:rsidRPr="0065646F">
        <w:t>to a</w:t>
      </w:r>
      <w:r w:rsidR="00E25373">
        <w:t>n Indigenous</w:t>
      </w:r>
      <w:r w:rsidRPr="0065646F">
        <w:t xml:space="preserve"> </w:t>
      </w:r>
      <w:r w:rsidR="0058074D" w:rsidRPr="0065646F">
        <w:t>student</w:t>
      </w:r>
      <w:r w:rsidRPr="0065646F">
        <w:t xml:space="preserve"> under subsection (</w:t>
      </w:r>
      <w:r w:rsidR="00A87F72">
        <w:t>2</w:t>
      </w:r>
      <w:r w:rsidRPr="0065646F">
        <w:t>) must</w:t>
      </w:r>
      <w:r w:rsidR="000C34C6">
        <w:t xml:space="preserve"> be </w:t>
      </w:r>
      <w:r w:rsidR="000C34C6">
        <w:rPr>
          <w:lang w:val="en-US"/>
        </w:rPr>
        <w:t>for the same general purpose</w:t>
      </w:r>
      <w:r w:rsidR="005B13F5">
        <w:rPr>
          <w:lang w:val="en-US"/>
        </w:rPr>
        <w:t>,</w:t>
      </w:r>
      <w:r w:rsidR="00CD4506">
        <w:rPr>
          <w:lang w:val="en-US"/>
        </w:rPr>
        <w:t xml:space="preserve"> and </w:t>
      </w:r>
      <w:r w:rsidR="00CD4506" w:rsidRPr="00A22B93">
        <w:rPr>
          <w:lang w:val="en-US"/>
        </w:rPr>
        <w:t>equivalent value</w:t>
      </w:r>
      <w:r w:rsidR="00CD4506">
        <w:rPr>
          <w:lang w:val="en-US"/>
        </w:rPr>
        <w:t xml:space="preserve"> to,</w:t>
      </w:r>
      <w:r w:rsidR="000C34C6">
        <w:rPr>
          <w:lang w:val="en-US"/>
        </w:rPr>
        <w:t xml:space="preserve"> the earlier scholarship</w:t>
      </w:r>
      <w:r w:rsidR="00714A3B">
        <w:rPr>
          <w:lang w:val="en-US"/>
        </w:rPr>
        <w:t>.</w:t>
      </w:r>
    </w:p>
    <w:p w14:paraId="576216CF" w14:textId="01821376" w:rsidR="00463F42" w:rsidRDefault="00301834" w:rsidP="0065646F">
      <w:pPr>
        <w:pStyle w:val="subsection"/>
      </w:pPr>
      <w:r>
        <w:tab/>
        <w:t>(</w:t>
      </w:r>
      <w:r w:rsidR="00A87F72">
        <w:t>4</w:t>
      </w:r>
      <w:r w:rsidRPr="00BA2D11">
        <w:t>)</w:t>
      </w:r>
      <w:r w:rsidRPr="00BA2D11">
        <w:tab/>
      </w:r>
      <w:r>
        <w:t xml:space="preserve">A </w:t>
      </w:r>
      <w:r w:rsidRPr="003C073E">
        <w:rPr>
          <w:i/>
        </w:rPr>
        <w:t>higher education provider</w:t>
      </w:r>
      <w:r>
        <w:t xml:space="preserve"> that </w:t>
      </w:r>
      <w:r w:rsidR="002D0F3F">
        <w:t xml:space="preserve">offers </w:t>
      </w:r>
      <w:r>
        <w:t>a</w:t>
      </w:r>
      <w:r w:rsidR="00C23FD8">
        <w:t xml:space="preserve"> </w:t>
      </w:r>
      <w:r w:rsidR="004D35B2">
        <w:t>preserved</w:t>
      </w:r>
      <w:r>
        <w:t xml:space="preserve"> Indigenous Commonwealth Scholarship under </w:t>
      </w:r>
      <w:r w:rsidR="00AB490F">
        <w:t>subsection (</w:t>
      </w:r>
      <w:r w:rsidR="00A87F72">
        <w:t>2</w:t>
      </w:r>
      <w:r w:rsidR="00AB490F">
        <w:t>)</w:t>
      </w:r>
      <w:r w:rsidR="00463F42">
        <w:t xml:space="preserve"> must offer the scholarship </w:t>
      </w:r>
      <w:r w:rsidR="00614C6C">
        <w:t xml:space="preserve">only </w:t>
      </w:r>
      <w:r w:rsidR="00463F42">
        <w:t xml:space="preserve">on the following conditions: </w:t>
      </w:r>
      <w:r w:rsidR="00AB490F">
        <w:t xml:space="preserve"> </w:t>
      </w:r>
    </w:p>
    <w:p w14:paraId="44E5EA31" w14:textId="267AB251" w:rsidR="00463F42" w:rsidRDefault="00463F42" w:rsidP="0065646F">
      <w:pPr>
        <w:pStyle w:val="paragraph"/>
      </w:pPr>
      <w:r>
        <w:tab/>
        <w:t>(a</w:t>
      </w:r>
      <w:r w:rsidRPr="00A57435">
        <w:t>)</w:t>
      </w:r>
      <w:r w:rsidRPr="00A57435">
        <w:tab/>
      </w:r>
      <w:r>
        <w:t xml:space="preserve">subject to </w:t>
      </w:r>
      <w:r w:rsidR="00B566B2">
        <w:t>paragraphs (b) and (c)</w:t>
      </w:r>
      <w:r>
        <w:t xml:space="preserve">, the scholarship has the same conditions as the earlier </w:t>
      </w:r>
      <w:r w:rsidR="00C23FD8">
        <w:t>Indigenous Commonwealth S</w:t>
      </w:r>
      <w:r>
        <w:t>cholarship; and</w:t>
      </w:r>
    </w:p>
    <w:p w14:paraId="17E090BC" w14:textId="6176AA77" w:rsidR="00463F42" w:rsidRDefault="00463F42" w:rsidP="0065646F">
      <w:pPr>
        <w:pStyle w:val="paragraph"/>
      </w:pPr>
      <w:r>
        <w:tab/>
        <w:t>(b</w:t>
      </w:r>
      <w:r w:rsidRPr="00A57435">
        <w:t>)</w:t>
      </w:r>
      <w:r w:rsidRPr="00A57435">
        <w:tab/>
      </w:r>
      <w:r>
        <w:t xml:space="preserve">the scholarship is available for the study periods </w:t>
      </w:r>
      <w:r>
        <w:rPr>
          <w:b/>
          <w:i/>
        </w:rPr>
        <w:t xml:space="preserve">(remaining study periods) </w:t>
      </w:r>
      <w:r>
        <w:t xml:space="preserve">that the scholarship recipient had not used under the earlier </w:t>
      </w:r>
      <w:r w:rsidR="00C23FD8">
        <w:t>Indigenous Commonwealth</w:t>
      </w:r>
      <w:r w:rsidR="00245C29">
        <w:t xml:space="preserve"> </w:t>
      </w:r>
      <w:r w:rsidR="009E4853">
        <w:t>S</w:t>
      </w:r>
      <w:r>
        <w:t>cholarship; and</w:t>
      </w:r>
    </w:p>
    <w:p w14:paraId="6C860B3C" w14:textId="3B3C1E38" w:rsidR="00714A3B" w:rsidRDefault="00376BCB" w:rsidP="00376BCB">
      <w:pPr>
        <w:pStyle w:val="paragraph"/>
      </w:pPr>
      <w:r>
        <w:tab/>
        <w:t>(c</w:t>
      </w:r>
      <w:r w:rsidRPr="00A57435">
        <w:t>)</w:t>
      </w:r>
      <w:r w:rsidRPr="00A57435">
        <w:tab/>
      </w:r>
      <w:r w:rsidR="00714A3B">
        <w:t>any scholarship amount</w:t>
      </w:r>
      <w:r w:rsidR="00F952F5">
        <w:t xml:space="preserve"> that remains to be utilised</w:t>
      </w:r>
      <w:r w:rsidR="00714A3B">
        <w:t xml:space="preserve"> is to be forfeited if</w:t>
      </w:r>
      <w:r w:rsidR="00F952F5">
        <w:t xml:space="preserve"> the scholarship recipient</w:t>
      </w:r>
      <w:r w:rsidR="00714A3B">
        <w:t>:</w:t>
      </w:r>
    </w:p>
    <w:p w14:paraId="22000BE8" w14:textId="5052BC88" w:rsidR="00714A3B" w:rsidRDefault="00714A3B" w:rsidP="00714A3B">
      <w:pPr>
        <w:pStyle w:val="paragraphsub"/>
      </w:pPr>
      <w:r>
        <w:tab/>
        <w:t>(i</w:t>
      </w:r>
      <w:r w:rsidRPr="00AA76A0">
        <w:t>)</w:t>
      </w:r>
      <w:r w:rsidRPr="00AA76A0">
        <w:tab/>
      </w:r>
      <w:r w:rsidR="00F952F5">
        <w:t xml:space="preserve">defers his or her </w:t>
      </w:r>
      <w:r w:rsidR="00F952F5" w:rsidRPr="008325A3">
        <w:rPr>
          <w:i/>
        </w:rPr>
        <w:t>course of study</w:t>
      </w:r>
      <w:r w:rsidR="00F952F5">
        <w:t xml:space="preserve"> for more than two study periods; or</w:t>
      </w:r>
    </w:p>
    <w:p w14:paraId="76D57508" w14:textId="2F113587" w:rsidR="00714A3B" w:rsidRDefault="00714A3B" w:rsidP="00714A3B">
      <w:pPr>
        <w:pStyle w:val="paragraphsub"/>
      </w:pPr>
      <w:r>
        <w:tab/>
        <w:t>(ii</w:t>
      </w:r>
      <w:r w:rsidRPr="00AA76A0">
        <w:t>)</w:t>
      </w:r>
      <w:r w:rsidRPr="00AA76A0">
        <w:tab/>
      </w:r>
      <w:r w:rsidR="00F952F5">
        <w:t xml:space="preserve">fails to use the remaining study periods by 30 June 2021. </w:t>
      </w:r>
      <w:r>
        <w:t xml:space="preserve"> </w:t>
      </w:r>
    </w:p>
    <w:p w14:paraId="03F882A4" w14:textId="5392F5BC" w:rsidR="007B6118" w:rsidRDefault="00254AB6">
      <w:pPr>
        <w:pStyle w:val="subsection"/>
      </w:pPr>
      <w:r>
        <w:tab/>
        <w:t>(</w:t>
      </w:r>
      <w:r w:rsidR="00A87F72">
        <w:t>5</w:t>
      </w:r>
      <w:r w:rsidRPr="00BA2D11">
        <w:t>)</w:t>
      </w:r>
      <w:r w:rsidRPr="00BA2D11">
        <w:tab/>
      </w:r>
      <w:r w:rsidR="005E52ED">
        <w:t xml:space="preserve">A </w:t>
      </w:r>
      <w:r w:rsidR="005E52ED" w:rsidRPr="003C073E">
        <w:rPr>
          <w:i/>
        </w:rPr>
        <w:t>higher education provider</w:t>
      </w:r>
      <w:r w:rsidR="005E52ED">
        <w:t xml:space="preserve"> that offers a</w:t>
      </w:r>
      <w:r w:rsidR="00A87F72">
        <w:t xml:space="preserve">n </w:t>
      </w:r>
      <w:r w:rsidR="005E52ED">
        <w:t>Indigenous Commonwealth Scholarship to a</w:t>
      </w:r>
      <w:r w:rsidR="002547BE">
        <w:t>n Indigenous</w:t>
      </w:r>
      <w:r w:rsidR="00A87F72">
        <w:t xml:space="preserve"> student under subsection (1) or </w:t>
      </w:r>
      <w:r w:rsidR="001A2AEE">
        <w:t xml:space="preserve">a </w:t>
      </w:r>
      <w:r w:rsidR="00A87F72">
        <w:t>preserved Indigenous Commonwealth Scholarship to an Indigenous student under subsection (2</w:t>
      </w:r>
      <w:r w:rsidR="005E52ED">
        <w:t xml:space="preserve">) must award </w:t>
      </w:r>
      <w:r w:rsidR="00D333F0">
        <w:t>the scholarship to the student if the student accepts the offer in writing.</w:t>
      </w:r>
    </w:p>
    <w:p w14:paraId="6F827ABF" w14:textId="132E5CF8" w:rsidR="006956F0" w:rsidRDefault="00BD666A" w:rsidP="00584960">
      <w:pPr>
        <w:pStyle w:val="subsection"/>
        <w:keepNext/>
        <w:keepLines/>
      </w:pPr>
      <w:r>
        <w:tab/>
      </w:r>
      <w:r w:rsidRPr="00EC3981">
        <w:t>(</w:t>
      </w:r>
      <w:r w:rsidR="00A87F72">
        <w:t>6</w:t>
      </w:r>
      <w:r w:rsidRPr="00EC3981">
        <w:t>)</w:t>
      </w:r>
      <w:r w:rsidRPr="00EC3981">
        <w:tab/>
      </w:r>
      <w:r w:rsidR="003E3A66" w:rsidRPr="00EC3981">
        <w:t xml:space="preserve">A </w:t>
      </w:r>
      <w:r w:rsidR="003E3A66" w:rsidRPr="00EC3981">
        <w:rPr>
          <w:i/>
        </w:rPr>
        <w:t>higher education provider</w:t>
      </w:r>
      <w:r w:rsidR="003E3A66" w:rsidRPr="00EC3981">
        <w:t xml:space="preserve"> must notify an administering officer </w:t>
      </w:r>
      <w:r w:rsidR="008403B9">
        <w:t xml:space="preserve">in writing </w:t>
      </w:r>
      <w:r w:rsidR="003E3A66" w:rsidRPr="00EC3981">
        <w:t xml:space="preserve">of </w:t>
      </w:r>
      <w:r w:rsidR="006956F0" w:rsidRPr="00EC3981">
        <w:t xml:space="preserve">the matters </w:t>
      </w:r>
      <w:r w:rsidR="00A87F72">
        <w:t xml:space="preserve">specified in column 2 of the table </w:t>
      </w:r>
      <w:r w:rsidR="001E4F48">
        <w:t xml:space="preserve">in respect of the expected award of preserved Indigenous Commonwealth Scholarships </w:t>
      </w:r>
      <w:r w:rsidR="006956F0" w:rsidRPr="00EC3981">
        <w:t xml:space="preserve">by the </w:t>
      </w:r>
      <w:r w:rsidR="007800FC" w:rsidRPr="00B45DFD">
        <w:t>da</w:t>
      </w:r>
      <w:r w:rsidR="00A87F72">
        <w:t xml:space="preserve">y specified in column 2 of the table. </w:t>
      </w:r>
    </w:p>
    <w:p w14:paraId="40927174" w14:textId="77777777" w:rsidR="008403B9" w:rsidRDefault="008403B9" w:rsidP="003E3A66">
      <w:pPr>
        <w:pStyle w:val="subsection"/>
      </w:pPr>
    </w:p>
    <w:tbl>
      <w:tblPr>
        <w:tblW w:w="0" w:type="auto"/>
        <w:tblInd w:w="107" w:type="dxa"/>
        <w:tblCellMar>
          <w:left w:w="0" w:type="dxa"/>
          <w:right w:w="0" w:type="dxa"/>
        </w:tblCellMar>
        <w:tblLook w:val="04A0" w:firstRow="1" w:lastRow="0" w:firstColumn="1" w:lastColumn="0" w:noHBand="0" w:noVBand="1"/>
      </w:tblPr>
      <w:tblGrid>
        <w:gridCol w:w="1105"/>
        <w:gridCol w:w="4317"/>
        <w:gridCol w:w="2784"/>
      </w:tblGrid>
      <w:tr w:rsidR="008403B9" w:rsidRPr="004111FE" w14:paraId="7E4CCC07" w14:textId="77777777" w:rsidTr="00BF3A5E">
        <w:trPr>
          <w:tblHeader/>
        </w:trPr>
        <w:tc>
          <w:tcPr>
            <w:tcW w:w="8206"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3D72F5CF" w14:textId="437FEA47" w:rsidR="008403B9" w:rsidRPr="004111FE" w:rsidRDefault="008403B9" w:rsidP="008403B9">
            <w:pPr>
              <w:keepNext/>
              <w:keepLines/>
              <w:spacing w:before="100" w:beforeAutospacing="1" w:after="100" w:afterAutospacing="1" w:line="240" w:lineRule="auto"/>
              <w:rPr>
                <w:rFonts w:ascii="Helvetica Neue" w:eastAsia="Times New Roman" w:hAnsi="Helvetica Neue" w:cs="Times New Roman"/>
                <w:b/>
                <w:bCs/>
                <w:sz w:val="20"/>
                <w:lang w:eastAsia="en-AU"/>
              </w:rPr>
            </w:pPr>
            <w:r>
              <w:rPr>
                <w:rFonts w:ascii="Helvetica Neue" w:eastAsia="Times New Roman" w:hAnsi="Helvetica Neue" w:cs="Times New Roman"/>
                <w:b/>
                <w:bCs/>
                <w:sz w:val="20"/>
                <w:lang w:eastAsia="en-AU"/>
              </w:rPr>
              <w:t>Notice of expected award of preserved Indigenous Commonwealth Scholarships</w:t>
            </w:r>
          </w:p>
        </w:tc>
      </w:tr>
      <w:tr w:rsidR="008403B9" w:rsidRPr="004111FE" w14:paraId="2601073C" w14:textId="77777777" w:rsidTr="00BF3A5E">
        <w:trPr>
          <w:tblHeader/>
        </w:trPr>
        <w:tc>
          <w:tcPr>
            <w:tcW w:w="1105" w:type="dxa"/>
            <w:tcBorders>
              <w:top w:val="nil"/>
              <w:left w:val="nil"/>
              <w:bottom w:val="single" w:sz="8" w:space="0" w:color="auto"/>
              <w:right w:val="nil"/>
            </w:tcBorders>
            <w:tcMar>
              <w:top w:w="0" w:type="dxa"/>
              <w:left w:w="107" w:type="dxa"/>
              <w:bottom w:w="0" w:type="dxa"/>
              <w:right w:w="107" w:type="dxa"/>
            </w:tcMar>
            <w:hideMark/>
          </w:tcPr>
          <w:p w14:paraId="633C33D5" w14:textId="77777777" w:rsidR="008403B9" w:rsidRPr="004111FE" w:rsidRDefault="008403B9" w:rsidP="00BF3A5E">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1</w:t>
            </w:r>
          </w:p>
        </w:tc>
        <w:tc>
          <w:tcPr>
            <w:tcW w:w="4317" w:type="dxa"/>
            <w:tcBorders>
              <w:top w:val="nil"/>
              <w:left w:val="nil"/>
              <w:bottom w:val="single" w:sz="8" w:space="0" w:color="auto"/>
              <w:right w:val="nil"/>
            </w:tcBorders>
            <w:tcMar>
              <w:top w:w="0" w:type="dxa"/>
              <w:left w:w="107" w:type="dxa"/>
              <w:bottom w:w="0" w:type="dxa"/>
              <w:right w:w="107" w:type="dxa"/>
            </w:tcMar>
            <w:hideMark/>
          </w:tcPr>
          <w:p w14:paraId="179D65FF" w14:textId="77777777" w:rsidR="008403B9" w:rsidRPr="004111FE" w:rsidRDefault="008403B9" w:rsidP="00BF3A5E">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2</w:t>
            </w:r>
          </w:p>
        </w:tc>
        <w:tc>
          <w:tcPr>
            <w:tcW w:w="2784" w:type="dxa"/>
            <w:tcBorders>
              <w:top w:val="nil"/>
              <w:left w:val="nil"/>
              <w:bottom w:val="single" w:sz="8" w:space="0" w:color="auto"/>
              <w:right w:val="nil"/>
            </w:tcBorders>
            <w:tcMar>
              <w:top w:w="0" w:type="dxa"/>
              <w:left w:w="107" w:type="dxa"/>
              <w:bottom w:w="0" w:type="dxa"/>
              <w:right w:w="107" w:type="dxa"/>
            </w:tcMar>
            <w:hideMark/>
          </w:tcPr>
          <w:p w14:paraId="0C5EA588" w14:textId="77777777" w:rsidR="008403B9" w:rsidRPr="004111FE" w:rsidRDefault="008403B9" w:rsidP="00BF3A5E">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3</w:t>
            </w:r>
          </w:p>
        </w:tc>
      </w:tr>
      <w:tr w:rsidR="008403B9" w:rsidRPr="004111FE" w14:paraId="65172EFF" w14:textId="77777777" w:rsidTr="00BF3A5E">
        <w:trPr>
          <w:tblHeader/>
        </w:trPr>
        <w:tc>
          <w:tcPr>
            <w:tcW w:w="1105" w:type="dxa"/>
            <w:tcBorders>
              <w:top w:val="nil"/>
              <w:left w:val="nil"/>
              <w:bottom w:val="single" w:sz="12" w:space="0" w:color="auto"/>
              <w:right w:val="nil"/>
            </w:tcBorders>
            <w:tcMar>
              <w:top w:w="0" w:type="dxa"/>
              <w:left w:w="107" w:type="dxa"/>
              <w:bottom w:w="0" w:type="dxa"/>
              <w:right w:w="107" w:type="dxa"/>
            </w:tcMar>
            <w:hideMark/>
          </w:tcPr>
          <w:p w14:paraId="107F3E73" w14:textId="77777777" w:rsidR="008403B9" w:rsidRPr="004111FE" w:rsidRDefault="008403B9" w:rsidP="00BF3A5E">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Item</w:t>
            </w:r>
          </w:p>
        </w:tc>
        <w:tc>
          <w:tcPr>
            <w:tcW w:w="4317" w:type="dxa"/>
            <w:tcBorders>
              <w:top w:val="nil"/>
              <w:left w:val="nil"/>
              <w:bottom w:val="single" w:sz="12" w:space="0" w:color="auto"/>
              <w:right w:val="nil"/>
            </w:tcBorders>
            <w:tcMar>
              <w:top w:w="0" w:type="dxa"/>
              <w:left w:w="107" w:type="dxa"/>
              <w:bottom w:w="0" w:type="dxa"/>
              <w:right w:w="107" w:type="dxa"/>
            </w:tcMar>
            <w:hideMark/>
          </w:tcPr>
          <w:p w14:paraId="7C8B7759" w14:textId="77777777" w:rsidR="008403B9" w:rsidRPr="004111FE" w:rsidRDefault="008403B9" w:rsidP="00BF3A5E">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Notice</w:t>
            </w:r>
          </w:p>
        </w:tc>
        <w:tc>
          <w:tcPr>
            <w:tcW w:w="2784" w:type="dxa"/>
            <w:tcBorders>
              <w:top w:val="nil"/>
              <w:left w:val="nil"/>
              <w:bottom w:val="single" w:sz="12" w:space="0" w:color="auto"/>
              <w:right w:val="nil"/>
            </w:tcBorders>
            <w:tcMar>
              <w:top w:w="0" w:type="dxa"/>
              <w:left w:w="107" w:type="dxa"/>
              <w:bottom w:w="0" w:type="dxa"/>
              <w:right w:w="107" w:type="dxa"/>
            </w:tcMar>
            <w:hideMark/>
          </w:tcPr>
          <w:p w14:paraId="0D6E8CAB" w14:textId="77777777" w:rsidR="008403B9" w:rsidRPr="00234629" w:rsidRDefault="008403B9" w:rsidP="00BF3A5E">
            <w:pPr>
              <w:keepNext/>
              <w:keepLines/>
              <w:spacing w:before="100" w:beforeAutospacing="1" w:after="100" w:afterAutospacing="1" w:line="240" w:lineRule="auto"/>
              <w:rPr>
                <w:rFonts w:ascii="Helvetica Neue" w:eastAsia="Times New Roman" w:hAnsi="Helvetica Neue" w:cs="Times New Roman"/>
                <w:b/>
                <w:sz w:val="19"/>
                <w:szCs w:val="19"/>
                <w:lang w:eastAsia="en-AU"/>
              </w:rPr>
            </w:pPr>
            <w:r w:rsidRPr="00234629">
              <w:rPr>
                <w:rFonts w:ascii="Helvetica Neue" w:eastAsia="Times New Roman" w:hAnsi="Helvetica Neue" w:cs="Times New Roman"/>
                <w:b/>
                <w:sz w:val="19"/>
                <w:szCs w:val="19"/>
                <w:lang w:eastAsia="en-AU"/>
              </w:rPr>
              <w:t>Date</w:t>
            </w:r>
          </w:p>
        </w:tc>
      </w:tr>
      <w:tr w:rsidR="008403B9" w:rsidRPr="004111FE" w14:paraId="5F01FEA8" w14:textId="77777777" w:rsidTr="00BF3A5E">
        <w:tc>
          <w:tcPr>
            <w:tcW w:w="1105" w:type="dxa"/>
            <w:tcBorders>
              <w:top w:val="single" w:sz="8" w:space="0" w:color="auto"/>
              <w:left w:val="nil"/>
              <w:bottom w:val="single" w:sz="8" w:space="0" w:color="auto"/>
              <w:right w:val="nil"/>
            </w:tcBorders>
            <w:tcMar>
              <w:top w:w="0" w:type="dxa"/>
              <w:left w:w="107" w:type="dxa"/>
              <w:bottom w:w="0" w:type="dxa"/>
              <w:right w:w="107" w:type="dxa"/>
            </w:tcMar>
          </w:tcPr>
          <w:p w14:paraId="4572D34A" w14:textId="77777777" w:rsidR="008403B9" w:rsidRPr="004111FE" w:rsidRDefault="008403B9" w:rsidP="00BF3A5E">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1. </w:t>
            </w:r>
          </w:p>
        </w:tc>
        <w:tc>
          <w:tcPr>
            <w:tcW w:w="4317" w:type="dxa"/>
            <w:tcBorders>
              <w:top w:val="single" w:sz="8" w:space="0" w:color="auto"/>
              <w:left w:val="nil"/>
              <w:bottom w:val="single" w:sz="8" w:space="0" w:color="auto"/>
              <w:right w:val="nil"/>
            </w:tcBorders>
            <w:tcMar>
              <w:top w:w="0" w:type="dxa"/>
              <w:left w:w="107" w:type="dxa"/>
              <w:bottom w:w="0" w:type="dxa"/>
              <w:right w:w="107" w:type="dxa"/>
            </w:tcMar>
          </w:tcPr>
          <w:p w14:paraId="612091E0" w14:textId="6353B54D" w:rsidR="008403B9" w:rsidRDefault="008403B9" w:rsidP="00BF3A5E">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Notice of the amount of any potential ISSP grant the provider expects to use to award preserved Indigenous Commonwealth Scholarships in the grant year</w:t>
            </w:r>
          </w:p>
        </w:tc>
        <w:tc>
          <w:tcPr>
            <w:tcW w:w="2784" w:type="dxa"/>
            <w:tcBorders>
              <w:top w:val="single" w:sz="8" w:space="0" w:color="auto"/>
              <w:left w:val="nil"/>
              <w:bottom w:val="single" w:sz="8" w:space="0" w:color="auto"/>
              <w:right w:val="nil"/>
            </w:tcBorders>
            <w:tcMar>
              <w:top w:w="0" w:type="dxa"/>
              <w:left w:w="107" w:type="dxa"/>
              <w:bottom w:w="0" w:type="dxa"/>
              <w:right w:w="107" w:type="dxa"/>
            </w:tcMar>
          </w:tcPr>
          <w:p w14:paraId="39892FF8" w14:textId="2531974A" w:rsidR="008403B9" w:rsidRPr="004111FE" w:rsidRDefault="008403B9" w:rsidP="00BF3A5E">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Last business day of October of the preceding grant year</w:t>
            </w:r>
          </w:p>
        </w:tc>
      </w:tr>
      <w:tr w:rsidR="008403B9" w:rsidRPr="004111FE" w14:paraId="62129D43" w14:textId="77777777" w:rsidTr="00BF3A5E">
        <w:tc>
          <w:tcPr>
            <w:tcW w:w="1105" w:type="dxa"/>
            <w:tcBorders>
              <w:top w:val="single" w:sz="8" w:space="0" w:color="auto"/>
              <w:left w:val="nil"/>
              <w:bottom w:val="single" w:sz="12" w:space="0" w:color="auto"/>
              <w:right w:val="nil"/>
            </w:tcBorders>
            <w:tcMar>
              <w:top w:w="0" w:type="dxa"/>
              <w:left w:w="107" w:type="dxa"/>
              <w:bottom w:w="0" w:type="dxa"/>
              <w:right w:w="107" w:type="dxa"/>
            </w:tcMar>
          </w:tcPr>
          <w:p w14:paraId="6A934A65" w14:textId="77777777" w:rsidR="008403B9" w:rsidRDefault="008403B9" w:rsidP="00BF3A5E">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2.</w:t>
            </w:r>
          </w:p>
        </w:tc>
        <w:tc>
          <w:tcPr>
            <w:tcW w:w="4317" w:type="dxa"/>
            <w:tcBorders>
              <w:top w:val="single" w:sz="8" w:space="0" w:color="auto"/>
              <w:left w:val="nil"/>
              <w:bottom w:val="single" w:sz="12" w:space="0" w:color="auto"/>
              <w:right w:val="nil"/>
            </w:tcBorders>
            <w:tcMar>
              <w:top w:w="0" w:type="dxa"/>
              <w:left w:w="107" w:type="dxa"/>
              <w:bottom w:w="0" w:type="dxa"/>
              <w:right w:w="107" w:type="dxa"/>
            </w:tcMar>
          </w:tcPr>
          <w:p w14:paraId="2F99FCF4" w14:textId="5EA27A03" w:rsidR="008403B9" w:rsidRDefault="008403B9" w:rsidP="00BF3A5E">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Notice of the amount of an ISSP grant the provider expects to use to award preserved Indigenous Commonwealth Scholarships in the grant year</w:t>
            </w:r>
          </w:p>
        </w:tc>
        <w:tc>
          <w:tcPr>
            <w:tcW w:w="2784" w:type="dxa"/>
            <w:tcBorders>
              <w:top w:val="single" w:sz="8" w:space="0" w:color="auto"/>
              <w:left w:val="nil"/>
              <w:bottom w:val="single" w:sz="12" w:space="0" w:color="auto"/>
              <w:right w:val="nil"/>
            </w:tcBorders>
            <w:tcMar>
              <w:top w:w="0" w:type="dxa"/>
              <w:left w:w="107" w:type="dxa"/>
              <w:bottom w:w="0" w:type="dxa"/>
              <w:right w:w="107" w:type="dxa"/>
            </w:tcMar>
          </w:tcPr>
          <w:p w14:paraId="4189E492" w14:textId="5CD4F907" w:rsidR="008403B9" w:rsidRPr="004111FE" w:rsidRDefault="008403B9" w:rsidP="00BF3A5E">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Last business day of April of the grant year</w:t>
            </w:r>
          </w:p>
        </w:tc>
      </w:tr>
    </w:tbl>
    <w:p w14:paraId="2C418432" w14:textId="5B289EC8" w:rsidR="00D40E09" w:rsidRDefault="00D40E09" w:rsidP="00D40E09">
      <w:pPr>
        <w:pStyle w:val="subsection"/>
      </w:pPr>
      <w:r>
        <w:tab/>
        <w:t>(</w:t>
      </w:r>
      <w:r w:rsidR="00AB546F">
        <w:t>7</w:t>
      </w:r>
      <w:r w:rsidRPr="00BA2D11">
        <w:t>)</w:t>
      </w:r>
      <w:r w:rsidRPr="00BA2D11">
        <w:tab/>
      </w:r>
      <w:r>
        <w:t xml:space="preserve">Subsection (1) </w:t>
      </w:r>
      <w:r w:rsidR="00DF3896">
        <w:t xml:space="preserve">and subsection (2) </w:t>
      </w:r>
      <w:r>
        <w:t xml:space="preserve">do not apply if an </w:t>
      </w:r>
      <w:r w:rsidR="00607AB1">
        <w:t xml:space="preserve">administering </w:t>
      </w:r>
      <w:r>
        <w:t xml:space="preserve">officer has agreed in writing that the </w:t>
      </w:r>
      <w:r w:rsidRPr="003C073E">
        <w:rPr>
          <w:i/>
        </w:rPr>
        <w:t>higher education provider</w:t>
      </w:r>
      <w:r>
        <w:t xml:space="preserve"> is no longer required to </w:t>
      </w:r>
      <w:r w:rsidR="00C0040D">
        <w:t>offer a preserved Indigenous Commonwealth Scholarship</w:t>
      </w:r>
      <w:r w:rsidR="002A6EC2">
        <w:t>s</w:t>
      </w:r>
      <w:r>
        <w:t xml:space="preserve">.  </w:t>
      </w:r>
    </w:p>
    <w:p w14:paraId="6D2FD6AC" w14:textId="471389EB" w:rsidR="00701C18" w:rsidRPr="00C257B0" w:rsidRDefault="00701C18">
      <w:pPr>
        <w:pStyle w:val="subsection"/>
      </w:pPr>
      <w:r>
        <w:tab/>
        <w:t>(</w:t>
      </w:r>
      <w:r w:rsidR="00AB546F">
        <w:t>8</w:t>
      </w:r>
      <w:r w:rsidRPr="00BA2D11">
        <w:t>)</w:t>
      </w:r>
      <w:r w:rsidRPr="00BA2D11">
        <w:tab/>
      </w:r>
      <w:r>
        <w:t xml:space="preserve">In this section, </w:t>
      </w:r>
      <w:r>
        <w:rPr>
          <w:b/>
          <w:i/>
        </w:rPr>
        <w:t xml:space="preserve">equivalent value </w:t>
      </w:r>
      <w:r>
        <w:t>means</w:t>
      </w:r>
      <w:r w:rsidR="00A22B93">
        <w:t>, in respect of a preserved Indigenous Commonwealth Scholarship,</w:t>
      </w:r>
      <w:r>
        <w:t xml:space="preserve"> the amount or value of </w:t>
      </w:r>
      <w:r w:rsidR="00A22B93">
        <w:t xml:space="preserve">the </w:t>
      </w:r>
      <w:r>
        <w:t xml:space="preserve">preserved Indigenous Commonwealth </w:t>
      </w:r>
      <w:r w:rsidR="00195844">
        <w:t xml:space="preserve">Scholarship </w:t>
      </w:r>
      <w:r>
        <w:t xml:space="preserve">in the 2016 </w:t>
      </w:r>
      <w:r w:rsidR="00174CD9">
        <w:t xml:space="preserve">calendar </w:t>
      </w:r>
      <w:r>
        <w:t xml:space="preserve">year indexed using the method of indexation in Part 5-6 of the Act.  </w:t>
      </w:r>
    </w:p>
    <w:p w14:paraId="297B1D12" w14:textId="31520292" w:rsidR="001860FE" w:rsidRPr="00351537" w:rsidRDefault="001860FE" w:rsidP="001860FE">
      <w:pPr>
        <w:pStyle w:val="ActHead3"/>
      </w:pPr>
      <w:bookmarkStart w:id="221" w:name="_Toc467246545"/>
      <w:bookmarkStart w:id="222" w:name="_Toc468194452"/>
      <w:bookmarkStart w:id="223" w:name="_Toc468285050"/>
      <w:bookmarkStart w:id="224" w:name="_Toc468364335"/>
      <w:bookmarkStart w:id="225" w:name="_Toc469060382"/>
      <w:bookmarkStart w:id="226" w:name="_Toc469172073"/>
      <w:bookmarkStart w:id="227" w:name="_Toc469918106"/>
      <w:r>
        <w:rPr>
          <w:rStyle w:val="CharDivNo"/>
        </w:rPr>
        <w:t xml:space="preserve">Part </w:t>
      </w:r>
      <w:r w:rsidR="000550E1">
        <w:rPr>
          <w:rStyle w:val="CharDivNo"/>
        </w:rPr>
        <w:t>6</w:t>
      </w:r>
      <w:r w:rsidRPr="00351537">
        <w:t>—</w:t>
      </w:r>
      <w:r>
        <w:rPr>
          <w:rStyle w:val="CharDivText"/>
        </w:rPr>
        <w:t>ISSP grant conditions (</w:t>
      </w:r>
      <w:r w:rsidR="001B2980">
        <w:rPr>
          <w:rStyle w:val="CharDivText"/>
        </w:rPr>
        <w:t>other support</w:t>
      </w:r>
      <w:r w:rsidR="0005187B">
        <w:rPr>
          <w:rStyle w:val="CharDivText"/>
        </w:rPr>
        <w:t xml:space="preserve"> and activities</w:t>
      </w:r>
      <w:r>
        <w:rPr>
          <w:rStyle w:val="CharDivText"/>
        </w:rPr>
        <w:t>)</w:t>
      </w:r>
      <w:bookmarkEnd w:id="221"/>
      <w:bookmarkEnd w:id="222"/>
      <w:bookmarkEnd w:id="223"/>
      <w:bookmarkEnd w:id="224"/>
      <w:bookmarkEnd w:id="225"/>
      <w:bookmarkEnd w:id="226"/>
      <w:bookmarkEnd w:id="227"/>
    </w:p>
    <w:p w14:paraId="236CDC34" w14:textId="32396CDD" w:rsidR="000A7581" w:rsidRDefault="006B14F3" w:rsidP="00234629">
      <w:pPr>
        <w:pStyle w:val="ActHead5"/>
        <w:ind w:left="0" w:firstLine="0"/>
      </w:pPr>
      <w:bookmarkStart w:id="228" w:name="_Toc467246546"/>
      <w:bookmarkStart w:id="229" w:name="_Toc468194453"/>
      <w:bookmarkStart w:id="230" w:name="_Toc468285051"/>
      <w:bookmarkStart w:id="231" w:name="_Toc468364336"/>
      <w:bookmarkStart w:id="232" w:name="_Toc469060383"/>
      <w:bookmarkStart w:id="233" w:name="_Toc469172074"/>
      <w:bookmarkStart w:id="234" w:name="_Toc469918107"/>
      <w:r>
        <w:t>2</w:t>
      </w:r>
      <w:r w:rsidR="00AF087A">
        <w:t>9</w:t>
      </w:r>
      <w:r w:rsidR="000A7581" w:rsidRPr="005A65D5">
        <w:t xml:space="preserve">  </w:t>
      </w:r>
      <w:r w:rsidR="009F19EF">
        <w:t>Using ISSP grants for a</w:t>
      </w:r>
      <w:r w:rsidR="000A7581">
        <w:t>cademic support</w:t>
      </w:r>
      <w:bookmarkEnd w:id="228"/>
      <w:bookmarkEnd w:id="229"/>
      <w:bookmarkEnd w:id="230"/>
      <w:bookmarkEnd w:id="231"/>
      <w:bookmarkEnd w:id="232"/>
      <w:bookmarkEnd w:id="233"/>
      <w:bookmarkEnd w:id="234"/>
    </w:p>
    <w:p w14:paraId="22487A2E" w14:textId="3215D26E" w:rsidR="000A7581" w:rsidRDefault="000A7581" w:rsidP="000A7581">
      <w:pPr>
        <w:pStyle w:val="subsection"/>
      </w:pPr>
      <w:r>
        <w:tab/>
        <w:t>(1</w:t>
      </w:r>
      <w:r w:rsidRPr="00BA2D11">
        <w:t>)</w:t>
      </w:r>
      <w:r w:rsidRPr="00BA2D11">
        <w:tab/>
      </w:r>
      <w:r>
        <w:t>Subject to subsection (</w:t>
      </w:r>
      <w:r w:rsidR="00050C0A">
        <w:t>2</w:t>
      </w:r>
      <w:r>
        <w:t xml:space="preserve">), a </w:t>
      </w:r>
      <w:r w:rsidRPr="003C073E">
        <w:rPr>
          <w:i/>
          <w:szCs w:val="22"/>
        </w:rPr>
        <w:t>higher education provider</w:t>
      </w:r>
      <w:r w:rsidRPr="00130632">
        <w:rPr>
          <w:szCs w:val="22"/>
        </w:rPr>
        <w:t xml:space="preserve"> may use an ISSP grant </w:t>
      </w:r>
      <w:r>
        <w:rPr>
          <w:szCs w:val="22"/>
        </w:rPr>
        <w:t xml:space="preserve">to provide </w:t>
      </w:r>
      <w:r w:rsidRPr="00130632">
        <w:t>academic support</w:t>
      </w:r>
      <w:r>
        <w:t>, including supplementary tuition</w:t>
      </w:r>
      <w:r w:rsidDel="001F77D0">
        <w:t xml:space="preserve">, to an </w:t>
      </w:r>
      <w:r w:rsidR="005A5C47" w:rsidDel="001F77D0">
        <w:t>Indigenous</w:t>
      </w:r>
      <w:r w:rsidR="005A5C47" w:rsidRPr="003C2D1B" w:rsidDel="001F77D0">
        <w:t xml:space="preserve"> </w:t>
      </w:r>
      <w:r w:rsidR="003C2D1B" w:rsidRPr="003C2D1B" w:rsidDel="001F77D0">
        <w:t>student</w:t>
      </w:r>
      <w:r>
        <w:t>.</w:t>
      </w:r>
    </w:p>
    <w:p w14:paraId="5183EE88" w14:textId="6A2D8935" w:rsidR="000A7581" w:rsidRPr="0047162F" w:rsidRDefault="000A7581" w:rsidP="000A7581">
      <w:pPr>
        <w:pStyle w:val="subsection"/>
      </w:pPr>
      <w:r>
        <w:tab/>
        <w:t>(2</w:t>
      </w:r>
      <w:r w:rsidRPr="00BA2D11">
        <w:t>)</w:t>
      </w:r>
      <w:r w:rsidRPr="00BA2D11">
        <w:tab/>
      </w:r>
      <w:r>
        <w:t xml:space="preserve">In using an ISSP grant to provide </w:t>
      </w:r>
      <w:r w:rsidRPr="0047162F">
        <w:t xml:space="preserve">academic support, a </w:t>
      </w:r>
      <w:r w:rsidRPr="003C073E">
        <w:rPr>
          <w:i/>
        </w:rPr>
        <w:t>higher education provider</w:t>
      </w:r>
      <w:r w:rsidRPr="0047162F">
        <w:t xml:space="preserve"> must give priority to </w:t>
      </w:r>
      <w:r w:rsidR="005A5C47">
        <w:t>Indigenous students</w:t>
      </w:r>
      <w:r w:rsidRPr="0047162F">
        <w:t xml:space="preserve"> who, in the </w:t>
      </w:r>
      <w:r w:rsidRPr="00686DBB">
        <w:t>provider’s</w:t>
      </w:r>
      <w:r w:rsidRPr="0047162F">
        <w:t xml:space="preserve"> opinion, are at risk of</w:t>
      </w:r>
      <w:r>
        <w:t xml:space="preserve"> the following:</w:t>
      </w:r>
      <w:r w:rsidRPr="0047162F">
        <w:t xml:space="preserve"> </w:t>
      </w:r>
    </w:p>
    <w:p w14:paraId="4D62BD9C" w14:textId="54576951" w:rsidR="000A7581" w:rsidRPr="00C257B0" w:rsidRDefault="000A7581" w:rsidP="000A7581">
      <w:pPr>
        <w:pStyle w:val="paragraph"/>
      </w:pPr>
      <w:r>
        <w:tab/>
      </w:r>
      <w:r w:rsidRPr="00A57435">
        <w:t>(a)</w:t>
      </w:r>
      <w:r w:rsidRPr="00A57435">
        <w:tab/>
      </w:r>
      <w:r w:rsidRPr="00C257B0">
        <w:t xml:space="preserve">failing a </w:t>
      </w:r>
      <w:r w:rsidRPr="00234629">
        <w:rPr>
          <w:i/>
        </w:rPr>
        <w:t>course of study</w:t>
      </w:r>
      <w:r w:rsidRPr="00C257B0">
        <w:t xml:space="preserve">, or an element of </w:t>
      </w:r>
      <w:r w:rsidR="000E2237">
        <w:t>the</w:t>
      </w:r>
      <w:r w:rsidR="000E2237" w:rsidRPr="00C257B0">
        <w:t xml:space="preserve"> </w:t>
      </w:r>
      <w:r w:rsidRPr="00C257B0">
        <w:t>course;</w:t>
      </w:r>
      <w:r w:rsidRPr="00C257B0" w:rsidDel="004918E9">
        <w:t xml:space="preserve"> </w:t>
      </w:r>
      <w:r w:rsidRPr="00C257B0">
        <w:t xml:space="preserve">or </w:t>
      </w:r>
    </w:p>
    <w:p w14:paraId="6010DA38" w14:textId="6FF59B8E" w:rsidR="000A7581" w:rsidRPr="0047162F" w:rsidRDefault="000A7581" w:rsidP="000A7581">
      <w:pPr>
        <w:pStyle w:val="paragraph"/>
      </w:pPr>
      <w:r>
        <w:tab/>
        <w:t>(b</w:t>
      </w:r>
      <w:r w:rsidRPr="00A57435">
        <w:t>)</w:t>
      </w:r>
      <w:r w:rsidRPr="00A57435">
        <w:tab/>
      </w:r>
      <w:r>
        <w:t xml:space="preserve">not completing a </w:t>
      </w:r>
      <w:r w:rsidRPr="00234629">
        <w:rPr>
          <w:i/>
        </w:rPr>
        <w:t>course of study</w:t>
      </w:r>
      <w:r w:rsidR="00EA6860">
        <w:rPr>
          <w:i/>
        </w:rPr>
        <w:t xml:space="preserve"> </w:t>
      </w:r>
      <w:r w:rsidR="00EA6860">
        <w:t>to a required level</w:t>
      </w:r>
      <w:r>
        <w:t>.</w:t>
      </w:r>
    </w:p>
    <w:p w14:paraId="461F89E2" w14:textId="60121B3F" w:rsidR="000A7581" w:rsidRDefault="00AF087A" w:rsidP="000A7581">
      <w:pPr>
        <w:pStyle w:val="ActHead5"/>
      </w:pPr>
      <w:bookmarkStart w:id="235" w:name="_Toc467246547"/>
      <w:bookmarkStart w:id="236" w:name="_Toc468194454"/>
      <w:bookmarkStart w:id="237" w:name="_Toc468285052"/>
      <w:bookmarkStart w:id="238" w:name="_Toc468364337"/>
      <w:bookmarkStart w:id="239" w:name="_Toc469060384"/>
      <w:bookmarkStart w:id="240" w:name="_Toc469172075"/>
      <w:bookmarkStart w:id="241" w:name="_Toc469918108"/>
      <w:r>
        <w:t>30</w:t>
      </w:r>
      <w:r w:rsidR="000A7581" w:rsidRPr="005A65D5">
        <w:t xml:space="preserve">  </w:t>
      </w:r>
      <w:r w:rsidR="009F19EF">
        <w:t>Using ISSP grants for p</w:t>
      </w:r>
      <w:r w:rsidR="000A7581">
        <w:t>astoral care</w:t>
      </w:r>
      <w:r w:rsidR="001B2980">
        <w:t xml:space="preserve"> etc</w:t>
      </w:r>
      <w:bookmarkEnd w:id="235"/>
      <w:bookmarkEnd w:id="236"/>
      <w:bookmarkEnd w:id="237"/>
      <w:bookmarkEnd w:id="238"/>
      <w:bookmarkEnd w:id="239"/>
      <w:bookmarkEnd w:id="240"/>
      <w:bookmarkEnd w:id="241"/>
    </w:p>
    <w:p w14:paraId="42F973F3" w14:textId="5D5BFC77" w:rsidR="000A7581" w:rsidRDefault="000A7581" w:rsidP="000A7581">
      <w:pPr>
        <w:pStyle w:val="subsection"/>
      </w:pPr>
      <w:r>
        <w:tab/>
      </w:r>
      <w:r w:rsidRPr="00BA2D11">
        <w:tab/>
      </w:r>
      <w:r w:rsidRPr="00130632">
        <w:t xml:space="preserve">A </w:t>
      </w:r>
      <w:r w:rsidRPr="003C073E">
        <w:rPr>
          <w:i/>
        </w:rPr>
        <w:t>higher education provider</w:t>
      </w:r>
      <w:r w:rsidRPr="001B2980">
        <w:t xml:space="preserve"> </w:t>
      </w:r>
      <w:r w:rsidRPr="00130632">
        <w:t xml:space="preserve">may use an ISSP grant to provide pastoral care </w:t>
      </w:r>
      <w:r>
        <w:t xml:space="preserve">and other support activities </w:t>
      </w:r>
      <w:r w:rsidRPr="00130632">
        <w:t>to an</w:t>
      </w:r>
      <w:r w:rsidRPr="00686DBB">
        <w:rPr>
          <w:i/>
        </w:rPr>
        <w:t xml:space="preserve"> </w:t>
      </w:r>
      <w:r w:rsidR="005A5C47">
        <w:t>Indigenous</w:t>
      </w:r>
      <w:r w:rsidR="005A5C47" w:rsidRPr="003C2D1B">
        <w:t xml:space="preserve"> </w:t>
      </w:r>
      <w:r w:rsidR="003C2D1B" w:rsidRPr="003C2D1B">
        <w:t>student</w:t>
      </w:r>
      <w:r>
        <w:t>, including</w:t>
      </w:r>
      <w:r w:rsidR="000E2237">
        <w:t>,</w:t>
      </w:r>
      <w:r w:rsidR="0052659C">
        <w:t xml:space="preserve"> but not limited to</w:t>
      </w:r>
      <w:r>
        <w:t xml:space="preserve">: </w:t>
      </w:r>
    </w:p>
    <w:p w14:paraId="76E20ABD" w14:textId="776573CF" w:rsidR="000A7581" w:rsidRDefault="000A7581" w:rsidP="000A7581">
      <w:pPr>
        <w:pStyle w:val="paragraph"/>
      </w:pPr>
      <w:r>
        <w:tab/>
      </w:r>
      <w:r w:rsidRPr="00A57435">
        <w:t>(a)</w:t>
      </w:r>
      <w:r w:rsidRPr="00A57435">
        <w:tab/>
      </w:r>
      <w:r>
        <w:t xml:space="preserve">maintaining </w:t>
      </w:r>
      <w:r w:rsidR="002A6EC2">
        <w:t xml:space="preserve">a </w:t>
      </w:r>
      <w:r>
        <w:t xml:space="preserve">safe cultural space on the premises of the provider for </w:t>
      </w:r>
      <w:r w:rsidR="005A5C47">
        <w:t>Indigenous</w:t>
      </w:r>
      <w:r w:rsidR="005A5C47" w:rsidRPr="003C2D1B">
        <w:t xml:space="preserve"> </w:t>
      </w:r>
      <w:r w:rsidR="003C2D1B" w:rsidRPr="003C2D1B">
        <w:t>student</w:t>
      </w:r>
      <w:r>
        <w:t xml:space="preserve">s to learn and study; </w:t>
      </w:r>
    </w:p>
    <w:p w14:paraId="58C2F037" w14:textId="539EE6EB" w:rsidR="000A7581" w:rsidRDefault="000A7581" w:rsidP="000A7581">
      <w:pPr>
        <w:pStyle w:val="paragraph"/>
      </w:pPr>
      <w:r>
        <w:tab/>
        <w:t>(b</w:t>
      </w:r>
      <w:r w:rsidRPr="00A57435">
        <w:t>)</w:t>
      </w:r>
      <w:r w:rsidRPr="00A57435">
        <w:tab/>
      </w:r>
      <w:r>
        <w:t xml:space="preserve">providing support services for </w:t>
      </w:r>
      <w:r w:rsidR="005A5C47">
        <w:t>Indigenous</w:t>
      </w:r>
      <w:r w:rsidR="005A5C47" w:rsidRPr="003C2D1B">
        <w:t xml:space="preserve"> </w:t>
      </w:r>
      <w:r w:rsidR="003C2D1B" w:rsidRPr="003C2D1B">
        <w:t>student</w:t>
      </w:r>
      <w:r>
        <w:t xml:space="preserve">s that are in addition to support services available to </w:t>
      </w:r>
      <w:r w:rsidR="0058074D" w:rsidRPr="0058074D">
        <w:rPr>
          <w:i/>
        </w:rPr>
        <w:t>student</w:t>
      </w:r>
      <w:r w:rsidRPr="00686DBB">
        <w:t>s</w:t>
      </w:r>
      <w:r w:rsidR="00D740F9">
        <w:t>;</w:t>
      </w:r>
    </w:p>
    <w:p w14:paraId="0ED11ED0" w14:textId="120DAA74" w:rsidR="00D740F9" w:rsidRDefault="00D740F9" w:rsidP="000B4FC4">
      <w:pPr>
        <w:pStyle w:val="paragraph"/>
      </w:pPr>
      <w:bookmarkStart w:id="242" w:name="_Toc467246548"/>
      <w:r>
        <w:tab/>
      </w:r>
      <w:r w:rsidRPr="00530261">
        <w:t>(c)</w:t>
      </w:r>
      <w:r w:rsidRPr="00530261">
        <w:tab/>
        <w:t>providing advocacy and referral services to assist Indigenous students access</w:t>
      </w:r>
      <w:r>
        <w:t xml:space="preserve"> and benefit from support services available to </w:t>
      </w:r>
      <w:r>
        <w:rPr>
          <w:i/>
        </w:rPr>
        <w:t>students</w:t>
      </w:r>
      <w:r>
        <w:t xml:space="preserve">. </w:t>
      </w:r>
    </w:p>
    <w:p w14:paraId="49865C0D" w14:textId="31AC2C3C" w:rsidR="000A7581" w:rsidRDefault="00A54139" w:rsidP="005F4F52">
      <w:pPr>
        <w:pStyle w:val="ActHead5"/>
      </w:pPr>
      <w:bookmarkStart w:id="243" w:name="_Toc468194455"/>
      <w:bookmarkStart w:id="244" w:name="_Toc468285053"/>
      <w:bookmarkStart w:id="245" w:name="_Toc468364338"/>
      <w:bookmarkStart w:id="246" w:name="_Toc469060385"/>
      <w:bookmarkStart w:id="247" w:name="_Toc469172076"/>
      <w:bookmarkStart w:id="248" w:name="_Toc469918109"/>
      <w:r>
        <w:t>3</w:t>
      </w:r>
      <w:r w:rsidR="00AF087A">
        <w:t>1</w:t>
      </w:r>
      <w:r w:rsidR="000A7581" w:rsidRPr="005A65D5">
        <w:t xml:space="preserve">  </w:t>
      </w:r>
      <w:r w:rsidR="009F19EF">
        <w:t xml:space="preserve">Using ISSP grants for </w:t>
      </w:r>
      <w:r w:rsidR="00445917">
        <w:t>c</w:t>
      </w:r>
      <w:r w:rsidR="000A7581">
        <w:t>ultural competency strategies</w:t>
      </w:r>
      <w:bookmarkEnd w:id="242"/>
      <w:bookmarkEnd w:id="243"/>
      <w:bookmarkEnd w:id="244"/>
      <w:bookmarkEnd w:id="245"/>
      <w:bookmarkEnd w:id="246"/>
      <w:bookmarkEnd w:id="247"/>
      <w:bookmarkEnd w:id="248"/>
    </w:p>
    <w:p w14:paraId="2874D678" w14:textId="5DBA0BB0" w:rsidR="007749C1" w:rsidRDefault="000A7581" w:rsidP="00B45DFD">
      <w:pPr>
        <w:pStyle w:val="subsection"/>
        <w:keepNext/>
        <w:keepLines/>
      </w:pPr>
      <w:r>
        <w:tab/>
      </w:r>
      <w:r>
        <w:tab/>
        <w:t xml:space="preserve">A </w:t>
      </w:r>
      <w:r w:rsidRPr="003C073E">
        <w:rPr>
          <w:i/>
        </w:rPr>
        <w:t>higher education provider</w:t>
      </w:r>
      <w:r>
        <w:t xml:space="preserve"> may use an ISSP grant to implement strategies</w:t>
      </w:r>
      <w:r w:rsidR="00A2367E">
        <w:t xml:space="preserve"> </w:t>
      </w:r>
      <w:r w:rsidR="007749C1">
        <w:t xml:space="preserve">to </w:t>
      </w:r>
      <w:r>
        <w:t>foster a culturally-safe learning environment</w:t>
      </w:r>
      <w:r w:rsidR="007749C1">
        <w:t xml:space="preserve"> for </w:t>
      </w:r>
      <w:r w:rsidR="00A470BE" w:rsidRPr="00B45DFD">
        <w:t>Indigenous students</w:t>
      </w:r>
      <w:r w:rsidR="00A470BE">
        <w:rPr>
          <w:i/>
        </w:rPr>
        <w:t xml:space="preserve"> </w:t>
      </w:r>
      <w:r w:rsidR="007749C1">
        <w:t xml:space="preserve">and </w:t>
      </w:r>
      <w:r w:rsidR="00A470BE">
        <w:t xml:space="preserve">employees </w:t>
      </w:r>
      <w:r w:rsidR="007749C1">
        <w:t>of the provider</w:t>
      </w:r>
      <w:r w:rsidR="00947A29">
        <w:t xml:space="preserve"> who are Indigenous persons</w:t>
      </w:r>
      <w:r w:rsidR="00A2367E">
        <w:t>.</w:t>
      </w:r>
    </w:p>
    <w:p w14:paraId="10FE5AC6" w14:textId="0E3079A1" w:rsidR="00E016E3" w:rsidRDefault="00E016E3" w:rsidP="00B45DFD">
      <w:pPr>
        <w:pStyle w:val="ActHead5"/>
        <w:ind w:left="0" w:firstLine="0"/>
      </w:pPr>
      <w:bookmarkStart w:id="249" w:name="_Toc468364339"/>
      <w:bookmarkStart w:id="250" w:name="_Toc469060386"/>
      <w:bookmarkStart w:id="251" w:name="_Toc469172077"/>
      <w:bookmarkStart w:id="252" w:name="_Toc469918110"/>
      <w:r>
        <w:t>3</w:t>
      </w:r>
      <w:r w:rsidR="00AF087A">
        <w:t>2</w:t>
      </w:r>
      <w:r w:rsidRPr="005A65D5">
        <w:t xml:space="preserve">  </w:t>
      </w:r>
      <w:r>
        <w:t xml:space="preserve">Using ISSP grants for </w:t>
      </w:r>
      <w:r w:rsidR="0009053E">
        <w:t>engagement activities</w:t>
      </w:r>
      <w:bookmarkEnd w:id="249"/>
      <w:bookmarkEnd w:id="250"/>
      <w:bookmarkEnd w:id="251"/>
      <w:bookmarkEnd w:id="252"/>
    </w:p>
    <w:p w14:paraId="3FF23899" w14:textId="2D4D82E1" w:rsidR="008E5AD7" w:rsidRDefault="00E016E3" w:rsidP="00E016E3">
      <w:pPr>
        <w:pStyle w:val="subsection"/>
        <w:keepNext/>
        <w:keepLines/>
      </w:pPr>
      <w:r w:rsidRPr="008E5AD7">
        <w:tab/>
      </w:r>
      <w:r w:rsidRPr="008E5AD7">
        <w:tab/>
        <w:t xml:space="preserve">A </w:t>
      </w:r>
      <w:r w:rsidRPr="008E5AD7">
        <w:rPr>
          <w:i/>
        </w:rPr>
        <w:t>higher education provider</w:t>
      </w:r>
      <w:r w:rsidRPr="008E5AD7">
        <w:t xml:space="preserve"> may use an ISSP grant </w:t>
      </w:r>
      <w:r w:rsidR="00733014">
        <w:t xml:space="preserve">for the following </w:t>
      </w:r>
      <w:r w:rsidR="00952655">
        <w:t xml:space="preserve">engagement </w:t>
      </w:r>
      <w:r w:rsidR="00733014">
        <w:t>activities</w:t>
      </w:r>
      <w:r w:rsidR="008E5AD7">
        <w:t>:</w:t>
      </w:r>
    </w:p>
    <w:p w14:paraId="078BC4E0" w14:textId="23F32317" w:rsidR="008E5AD7" w:rsidRDefault="008E5AD7" w:rsidP="000B4FC4">
      <w:pPr>
        <w:pStyle w:val="paragraph"/>
      </w:pPr>
      <w:r>
        <w:tab/>
        <w:t>(a</w:t>
      </w:r>
      <w:r w:rsidRPr="00A57435">
        <w:t>)</w:t>
      </w:r>
      <w:r w:rsidRPr="00A57435">
        <w:tab/>
      </w:r>
      <w:r w:rsidR="00733014">
        <w:t xml:space="preserve">activities to </w:t>
      </w:r>
      <w:r>
        <w:t xml:space="preserve">engage and prepare Indigenous students to enrol in a </w:t>
      </w:r>
      <w:r w:rsidRPr="000B4FC4">
        <w:rPr>
          <w:i/>
        </w:rPr>
        <w:t>course of study</w:t>
      </w:r>
      <w:r>
        <w:t xml:space="preserve">, including providing orientation </w:t>
      </w:r>
      <w:r w:rsidR="001947E2">
        <w:t xml:space="preserve">activities, </w:t>
      </w:r>
      <w:r>
        <w:t xml:space="preserve">strategies for </w:t>
      </w:r>
      <w:r w:rsidR="001947E2">
        <w:t xml:space="preserve">transition to higher education, and ancillary support </w:t>
      </w:r>
      <w:r>
        <w:t xml:space="preserve">for </w:t>
      </w:r>
      <w:r w:rsidR="00733014">
        <w:t>the following persons</w:t>
      </w:r>
      <w:r>
        <w:t xml:space="preserve">: </w:t>
      </w:r>
    </w:p>
    <w:p w14:paraId="41189303" w14:textId="2CA2C482" w:rsidR="00733014" w:rsidRDefault="00733014" w:rsidP="00733014">
      <w:pPr>
        <w:pStyle w:val="paragraphsub"/>
      </w:pPr>
      <w:r>
        <w:tab/>
        <w:t>(i</w:t>
      </w:r>
      <w:r w:rsidRPr="00AA76A0">
        <w:t>)</w:t>
      </w:r>
      <w:r w:rsidRPr="00AA76A0">
        <w:tab/>
      </w:r>
      <w:r>
        <w:t xml:space="preserve">school students; </w:t>
      </w:r>
    </w:p>
    <w:p w14:paraId="64998C8B" w14:textId="77777777" w:rsidR="00733014" w:rsidRDefault="00733014" w:rsidP="00733014">
      <w:pPr>
        <w:pStyle w:val="paragraphsub"/>
      </w:pPr>
      <w:r>
        <w:tab/>
        <w:t>(ii</w:t>
      </w:r>
      <w:r w:rsidRPr="00AA76A0">
        <w:t>)</w:t>
      </w:r>
      <w:r w:rsidRPr="00AA76A0">
        <w:tab/>
      </w:r>
      <w:r>
        <w:t xml:space="preserve">persons undertaking training activities; </w:t>
      </w:r>
    </w:p>
    <w:p w14:paraId="171B7CF4" w14:textId="455F3960" w:rsidR="00733014" w:rsidRDefault="00733014" w:rsidP="00733014">
      <w:pPr>
        <w:pStyle w:val="paragraphsub"/>
      </w:pPr>
      <w:r>
        <w:tab/>
        <w:t>(iii</w:t>
      </w:r>
      <w:r w:rsidRPr="00AA76A0">
        <w:t>)</w:t>
      </w:r>
      <w:r w:rsidRPr="00AA76A0">
        <w:tab/>
      </w:r>
      <w:r>
        <w:t xml:space="preserve">persons </w:t>
      </w:r>
      <w:r w:rsidR="00BA5C80">
        <w:t>proposing</w:t>
      </w:r>
      <w:r>
        <w:t xml:space="preserve"> mature-aged </w:t>
      </w:r>
      <w:r w:rsidR="00947A29">
        <w:t xml:space="preserve">or other </w:t>
      </w:r>
      <w:r>
        <w:t xml:space="preserve">enrolment in a </w:t>
      </w:r>
      <w:r>
        <w:rPr>
          <w:i/>
        </w:rPr>
        <w:t>course of study</w:t>
      </w:r>
      <w:r w:rsidR="002A6EC2">
        <w:t>;</w:t>
      </w:r>
      <w:r>
        <w:t xml:space="preserve">  </w:t>
      </w:r>
    </w:p>
    <w:p w14:paraId="175301E3" w14:textId="256ABC50" w:rsidR="00733014" w:rsidRDefault="00733014" w:rsidP="00733014">
      <w:pPr>
        <w:pStyle w:val="paragraph"/>
      </w:pPr>
      <w:r>
        <w:tab/>
        <w:t>(b</w:t>
      </w:r>
      <w:r w:rsidRPr="00A57435">
        <w:t>)</w:t>
      </w:r>
      <w:r w:rsidRPr="00A57435">
        <w:tab/>
      </w:r>
      <w:r>
        <w:t xml:space="preserve">activities to engage </w:t>
      </w:r>
      <w:r w:rsidR="00957170">
        <w:t xml:space="preserve">an </w:t>
      </w:r>
      <w:r>
        <w:t xml:space="preserve">Indigenous </w:t>
      </w:r>
      <w:r w:rsidR="00957170">
        <w:t>student</w:t>
      </w:r>
      <w:r>
        <w:t xml:space="preserve"> who </w:t>
      </w:r>
      <w:r w:rsidR="00957170">
        <w:t>has withdrawn his or her enrolment</w:t>
      </w:r>
      <w:r w:rsidR="0009053E">
        <w:t xml:space="preserve"> in a </w:t>
      </w:r>
      <w:r w:rsidR="0009053E">
        <w:rPr>
          <w:i/>
        </w:rPr>
        <w:t>course of study</w:t>
      </w:r>
      <w:r w:rsidR="0009053E">
        <w:t xml:space="preserve">. </w:t>
      </w:r>
    </w:p>
    <w:p w14:paraId="68DBC452" w14:textId="74B6DC71" w:rsidR="00C76DB8" w:rsidRDefault="006B14F3" w:rsidP="00C76DB8">
      <w:pPr>
        <w:pStyle w:val="ActHead5"/>
      </w:pPr>
      <w:bookmarkStart w:id="253" w:name="_Toc467246549"/>
      <w:bookmarkStart w:id="254" w:name="_Toc468194456"/>
      <w:bookmarkStart w:id="255" w:name="_Toc468285054"/>
      <w:bookmarkStart w:id="256" w:name="_Toc468364340"/>
      <w:bookmarkStart w:id="257" w:name="_Toc469060387"/>
      <w:bookmarkStart w:id="258" w:name="_Toc469172078"/>
      <w:bookmarkStart w:id="259" w:name="_Toc469918111"/>
      <w:r>
        <w:t>3</w:t>
      </w:r>
      <w:r w:rsidR="00AF087A">
        <w:t>3</w:t>
      </w:r>
      <w:r w:rsidR="00C76DB8" w:rsidRPr="005A65D5">
        <w:t xml:space="preserve">  </w:t>
      </w:r>
      <w:r w:rsidR="001B2980">
        <w:t>P</w:t>
      </w:r>
      <w:r w:rsidR="00C76DB8">
        <w:t>ay</w:t>
      </w:r>
      <w:r w:rsidR="001B2980">
        <w:t>ing</w:t>
      </w:r>
      <w:r w:rsidR="00C76DB8">
        <w:t xml:space="preserve"> a person</w:t>
      </w:r>
      <w:r w:rsidR="001B2980">
        <w:t xml:space="preserve"> to provide support</w:t>
      </w:r>
      <w:bookmarkEnd w:id="253"/>
      <w:bookmarkEnd w:id="254"/>
      <w:bookmarkEnd w:id="255"/>
      <w:bookmarkEnd w:id="256"/>
      <w:bookmarkEnd w:id="257"/>
      <w:bookmarkEnd w:id="258"/>
      <w:bookmarkEnd w:id="259"/>
    </w:p>
    <w:p w14:paraId="520778D2" w14:textId="77777777" w:rsidR="00C76DB8" w:rsidRPr="00095606" w:rsidRDefault="00C76DB8" w:rsidP="00C76DB8">
      <w:pPr>
        <w:pStyle w:val="subsection"/>
      </w:pPr>
      <w:r>
        <w:tab/>
        <w:t>(1)</w:t>
      </w:r>
      <w:r w:rsidRPr="00BA2D11">
        <w:tab/>
      </w:r>
      <w:r>
        <w:t xml:space="preserve">Subject to subsection (2), a </w:t>
      </w:r>
      <w:r w:rsidRPr="003C073E">
        <w:rPr>
          <w:i/>
        </w:rPr>
        <w:t>higher education provider</w:t>
      </w:r>
      <w:r>
        <w:t xml:space="preserve"> may use an ISSP grant to pay a person or organisation to deliver activities under this Part.  </w:t>
      </w:r>
      <w:r w:rsidRPr="00095606">
        <w:t xml:space="preserve"> </w:t>
      </w:r>
    </w:p>
    <w:p w14:paraId="03B2F3DF" w14:textId="6064F4B6" w:rsidR="00C76DB8" w:rsidRPr="00095606" w:rsidRDefault="00C76DB8" w:rsidP="00C76DB8">
      <w:pPr>
        <w:pStyle w:val="subsection"/>
      </w:pPr>
      <w:r>
        <w:tab/>
        <w:t>(2)</w:t>
      </w:r>
      <w:r w:rsidRPr="00BA2D11">
        <w:tab/>
      </w:r>
      <w:r>
        <w:t>A</w:t>
      </w:r>
      <w:r w:rsidRPr="00095606">
        <w:t xml:space="preserve"> </w:t>
      </w:r>
      <w:r w:rsidRPr="003C073E">
        <w:rPr>
          <w:i/>
        </w:rPr>
        <w:t>higher education provider</w:t>
      </w:r>
      <w:r w:rsidRPr="00095606">
        <w:t xml:space="preserve"> must </w:t>
      </w:r>
      <w:r>
        <w:t xml:space="preserve">not </w:t>
      </w:r>
      <w:r w:rsidRPr="00095606">
        <w:t xml:space="preserve">use an ISSP grant </w:t>
      </w:r>
      <w:r>
        <w:t xml:space="preserve">to pay a person or </w:t>
      </w:r>
      <w:r w:rsidR="001B2980">
        <w:t>organisation</w:t>
      </w:r>
      <w:r>
        <w:t xml:space="preserve"> unless the provider is satisfied that the person, or the person employed by the </w:t>
      </w:r>
      <w:r w:rsidR="001B2980">
        <w:t>organisation</w:t>
      </w:r>
      <w:r>
        <w:t xml:space="preserve"> to deliver the activities: </w:t>
      </w:r>
      <w:r w:rsidRPr="00095606">
        <w:t xml:space="preserve"> </w:t>
      </w:r>
    </w:p>
    <w:p w14:paraId="034274DA" w14:textId="77777777" w:rsidR="00C76DB8" w:rsidRDefault="00C76DB8" w:rsidP="00C76DB8">
      <w:pPr>
        <w:pStyle w:val="paragraph"/>
      </w:pPr>
      <w:r>
        <w:tab/>
        <w:t>(a</w:t>
      </w:r>
      <w:r w:rsidRPr="00A57435">
        <w:t>)</w:t>
      </w:r>
      <w:r w:rsidRPr="00A57435">
        <w:tab/>
      </w:r>
      <w:r>
        <w:t>has skills and knowledge in relation to matters of relevance to Indigenous persons; and</w:t>
      </w:r>
    </w:p>
    <w:p w14:paraId="27898392" w14:textId="35584B0B" w:rsidR="00C76DB8" w:rsidRDefault="00C76DB8" w:rsidP="00C76DB8">
      <w:pPr>
        <w:pStyle w:val="paragraph"/>
      </w:pPr>
      <w:r>
        <w:tab/>
        <w:t>(b</w:t>
      </w:r>
      <w:r w:rsidRPr="00A57435">
        <w:t>)</w:t>
      </w:r>
      <w:r w:rsidRPr="00A57435">
        <w:tab/>
      </w:r>
      <w:r>
        <w:t xml:space="preserve">has skills necessary to work with Indigenous persons to deliver quality higher education to </w:t>
      </w:r>
      <w:r w:rsidR="00765568">
        <w:t>Indigenous</w:t>
      </w:r>
      <w:r w:rsidR="00765568" w:rsidRPr="003C2D1B">
        <w:t xml:space="preserve"> </w:t>
      </w:r>
      <w:r w:rsidR="003C2D1B" w:rsidRPr="003C2D1B">
        <w:t>student</w:t>
      </w:r>
      <w:r>
        <w:t>s; and</w:t>
      </w:r>
    </w:p>
    <w:p w14:paraId="6189509B" w14:textId="77777777" w:rsidR="00C76DB8" w:rsidRDefault="00C76DB8" w:rsidP="00C76DB8">
      <w:pPr>
        <w:pStyle w:val="paragraph"/>
      </w:pPr>
      <w:r>
        <w:tab/>
        <w:t>(c</w:t>
      </w:r>
      <w:r w:rsidRPr="00A57435">
        <w:t>)</w:t>
      </w:r>
      <w:r w:rsidRPr="00A57435">
        <w:tab/>
      </w:r>
      <w:r>
        <w:t>is an appropriate person to provide the activities; and</w:t>
      </w:r>
    </w:p>
    <w:p w14:paraId="5BED1CF0" w14:textId="037FF9D5" w:rsidR="00C76DB8" w:rsidRPr="00AA76A0" w:rsidRDefault="00C76DB8" w:rsidP="000B4FC4">
      <w:pPr>
        <w:pStyle w:val="paragraph"/>
      </w:pPr>
      <w:r>
        <w:t xml:space="preserve"> </w:t>
      </w:r>
      <w:r>
        <w:tab/>
        <w:t>(d</w:t>
      </w:r>
      <w:r w:rsidRPr="00A57435">
        <w:t>)</w:t>
      </w:r>
      <w:r w:rsidRPr="00A57435">
        <w:tab/>
      </w:r>
      <w:r>
        <w:t xml:space="preserve">in relation to providing support to </w:t>
      </w:r>
      <w:r w:rsidR="00765568">
        <w:t>Indigenous</w:t>
      </w:r>
      <w:r w:rsidR="00765568" w:rsidRPr="00686DBB">
        <w:t xml:space="preserve"> </w:t>
      </w:r>
      <w:r w:rsidR="003C2D1B" w:rsidRPr="00686DBB">
        <w:t>student</w:t>
      </w:r>
      <w:r w:rsidRPr="00686DBB">
        <w:t>s</w:t>
      </w:r>
      <w:r>
        <w:t xml:space="preserve"> under section </w:t>
      </w:r>
      <w:r w:rsidR="00E515BB">
        <w:t>2</w:t>
      </w:r>
      <w:r w:rsidR="00AF087A">
        <w:t>9</w:t>
      </w:r>
      <w:r w:rsidR="00E515BB">
        <w:t xml:space="preserve"> </w:t>
      </w:r>
      <w:r>
        <w:t>of the</w:t>
      </w:r>
      <w:r w:rsidR="00050C0A">
        <w:t>se</w:t>
      </w:r>
      <w:r>
        <w:t xml:space="preserve"> Guidelines, </w:t>
      </w:r>
      <w:r w:rsidR="00E515BB">
        <w:t xml:space="preserve">is </w:t>
      </w:r>
      <w:r>
        <w:t>not</w:t>
      </w:r>
      <w:r w:rsidR="00FE3CF3">
        <w:t xml:space="preserve"> undertaking</w:t>
      </w:r>
      <w:r>
        <w:t xml:space="preserve"> a </w:t>
      </w:r>
      <w:r w:rsidR="00FE3CF3">
        <w:rPr>
          <w:i/>
        </w:rPr>
        <w:t>unit of study</w:t>
      </w:r>
      <w:r>
        <w:t xml:space="preserve"> </w:t>
      </w:r>
      <w:r w:rsidR="00FE3CF3">
        <w:t>that the student is also undertaking</w:t>
      </w:r>
      <w:r>
        <w:t xml:space="preserve">. </w:t>
      </w:r>
    </w:p>
    <w:p w14:paraId="5BBD6F29" w14:textId="77777777" w:rsidR="00C76DB8" w:rsidRDefault="00C76DB8" w:rsidP="00C76DB8">
      <w:pPr>
        <w:pStyle w:val="subsection"/>
      </w:pPr>
      <w:r>
        <w:tab/>
        <w:t>(3)</w:t>
      </w:r>
      <w:r w:rsidRPr="00BA2D11">
        <w:tab/>
      </w:r>
      <w:r>
        <w:t xml:space="preserve">In recruiting a person to deliver activities under this Part, a </w:t>
      </w:r>
      <w:r w:rsidRPr="003C073E">
        <w:rPr>
          <w:i/>
        </w:rPr>
        <w:t>higher education provider</w:t>
      </w:r>
      <w:r>
        <w:t xml:space="preserve"> must give priority to Indigenous persons. </w:t>
      </w:r>
    </w:p>
    <w:p w14:paraId="0D5E5209" w14:textId="1C29EB3B" w:rsidR="00C76DB8" w:rsidRDefault="00C76DB8" w:rsidP="00C76DB8">
      <w:pPr>
        <w:pStyle w:val="subsection"/>
      </w:pPr>
      <w:r>
        <w:tab/>
      </w:r>
      <w:r w:rsidRPr="00530261">
        <w:t>(4)</w:t>
      </w:r>
      <w:r w:rsidRPr="00BA2D11">
        <w:tab/>
      </w:r>
      <w:r w:rsidR="001B2980">
        <w:t>In procuring an organisation</w:t>
      </w:r>
      <w:r>
        <w:t xml:space="preserve"> to deliver activities under this Part, a </w:t>
      </w:r>
      <w:r w:rsidRPr="003C073E">
        <w:rPr>
          <w:i/>
        </w:rPr>
        <w:t xml:space="preserve">higher </w:t>
      </w:r>
      <w:r w:rsidRPr="00530261">
        <w:rPr>
          <w:i/>
        </w:rPr>
        <w:t>educatio</w:t>
      </w:r>
      <w:r w:rsidRPr="003C073E">
        <w:rPr>
          <w:i/>
        </w:rPr>
        <w:t>n provider</w:t>
      </w:r>
      <w:r>
        <w:t xml:space="preserve"> must give priority to </w:t>
      </w:r>
      <w:r w:rsidR="001B2980">
        <w:t>organisations</w:t>
      </w:r>
      <w:r>
        <w:t xml:space="preserve"> that employ, or provide training opportunities for, Indigenous persons. </w:t>
      </w:r>
    </w:p>
    <w:p w14:paraId="4C7B6D26" w14:textId="5FA00F22" w:rsidR="00237897" w:rsidRPr="00234629" w:rsidRDefault="00AB4A13" w:rsidP="00237897">
      <w:pPr>
        <w:pStyle w:val="ActHead5"/>
      </w:pPr>
      <w:bookmarkStart w:id="260" w:name="_Toc467246550"/>
      <w:bookmarkStart w:id="261" w:name="_Toc468194457"/>
      <w:bookmarkStart w:id="262" w:name="_Toc468285055"/>
      <w:bookmarkStart w:id="263" w:name="_Toc468364341"/>
      <w:bookmarkStart w:id="264" w:name="_Toc469060388"/>
      <w:bookmarkStart w:id="265" w:name="_Toc469172079"/>
      <w:bookmarkStart w:id="266" w:name="_Toc469918112"/>
      <w:r>
        <w:t>3</w:t>
      </w:r>
      <w:r w:rsidR="00AF087A">
        <w:t>4</w:t>
      </w:r>
      <w:r w:rsidR="00237897" w:rsidRPr="00234629">
        <w:t xml:space="preserve">  T</w:t>
      </w:r>
      <w:r w:rsidR="00237897">
        <w:t xml:space="preserve">ransitional </w:t>
      </w:r>
      <w:r w:rsidR="00A137E7">
        <w:t xml:space="preserve">arrangements </w:t>
      </w:r>
      <w:r w:rsidR="0058074D">
        <w:t>for support</w:t>
      </w:r>
      <w:bookmarkEnd w:id="260"/>
      <w:bookmarkEnd w:id="261"/>
      <w:bookmarkEnd w:id="262"/>
      <w:bookmarkEnd w:id="263"/>
      <w:bookmarkEnd w:id="264"/>
      <w:bookmarkEnd w:id="265"/>
      <w:bookmarkEnd w:id="266"/>
    </w:p>
    <w:p w14:paraId="0166BB0F" w14:textId="717F352D" w:rsidR="00DE4ED4" w:rsidRDefault="00DE4ED4" w:rsidP="00D40E09">
      <w:pPr>
        <w:pStyle w:val="subsection"/>
      </w:pPr>
      <w:r>
        <w:tab/>
        <w:t>(1</w:t>
      </w:r>
      <w:r w:rsidRPr="00BA2D11">
        <w:t>)</w:t>
      </w:r>
      <w:r w:rsidRPr="00BA2D11">
        <w:tab/>
      </w:r>
      <w:r>
        <w:t xml:space="preserve">If, in the year before the commencement of these Guidelines, a </w:t>
      </w:r>
      <w:r>
        <w:rPr>
          <w:i/>
        </w:rPr>
        <w:t xml:space="preserve">higher education provider </w:t>
      </w:r>
      <w:r>
        <w:t xml:space="preserve">used a grant from the Commonwealth to provide support to Indigenous students, the provider must: </w:t>
      </w:r>
    </w:p>
    <w:p w14:paraId="243AB74E" w14:textId="1A717261" w:rsidR="00DE4ED4" w:rsidRDefault="00DE4ED4" w:rsidP="00DE4ED4">
      <w:pPr>
        <w:pStyle w:val="paragraph"/>
      </w:pPr>
      <w:r>
        <w:tab/>
        <w:t>(a</w:t>
      </w:r>
      <w:r w:rsidRPr="00A57435">
        <w:t>)</w:t>
      </w:r>
      <w:r w:rsidRPr="00A57435">
        <w:tab/>
      </w:r>
      <w:r w:rsidR="00B51622">
        <w:t>if the grant was made under the Children and Schooling Programme of the Indigenous Advancement Strategy for supplementary tutorial assistance for Indigenous students – use an ISSP grant to offer support under section 2</w:t>
      </w:r>
      <w:r w:rsidR="00AF087A">
        <w:t>9</w:t>
      </w:r>
      <w:r w:rsidR="00B51622">
        <w:t xml:space="preserve"> of these Guidelines; </w:t>
      </w:r>
    </w:p>
    <w:p w14:paraId="59023CB9" w14:textId="4C2F5B3F" w:rsidR="00DE4ED4" w:rsidRDefault="00B51622">
      <w:pPr>
        <w:pStyle w:val="paragraph"/>
      </w:pPr>
      <w:r>
        <w:tab/>
        <w:t>(b</w:t>
      </w:r>
      <w:r w:rsidRPr="00A57435">
        <w:t>)</w:t>
      </w:r>
      <w:r w:rsidRPr="00A57435">
        <w:tab/>
      </w:r>
      <w:r>
        <w:t xml:space="preserve">if the grant was made under the Indigenous Support Program for pastoral care and other support activities for Indigenous students – use an ISSP grant to offer support under section </w:t>
      </w:r>
      <w:r w:rsidR="00AF087A">
        <w:t>30</w:t>
      </w:r>
      <w:r>
        <w:t xml:space="preserve"> of these Guidelines</w:t>
      </w:r>
      <w:r w:rsidR="002A6EC2">
        <w:t>.</w:t>
      </w:r>
      <w:r>
        <w:t xml:space="preserve"> </w:t>
      </w:r>
    </w:p>
    <w:p w14:paraId="7D9370B3" w14:textId="238C50BE" w:rsidR="00D40E09" w:rsidRDefault="00D40E09" w:rsidP="00D40E09">
      <w:pPr>
        <w:pStyle w:val="subsection"/>
      </w:pPr>
      <w:r>
        <w:tab/>
        <w:t>(</w:t>
      </w:r>
      <w:r w:rsidR="005E107F">
        <w:t>2</w:t>
      </w:r>
      <w:r w:rsidRPr="00BA2D11">
        <w:t>)</w:t>
      </w:r>
      <w:r w:rsidRPr="00BA2D11">
        <w:tab/>
      </w:r>
      <w:r>
        <w:t xml:space="preserve">Subsection (1) does not apply if an </w:t>
      </w:r>
      <w:r w:rsidR="00607AB1">
        <w:t xml:space="preserve">administering </w:t>
      </w:r>
      <w:r>
        <w:t xml:space="preserve">officer has agreed in writing that the </w:t>
      </w:r>
      <w:r w:rsidRPr="003C073E">
        <w:rPr>
          <w:i/>
        </w:rPr>
        <w:t>higher education provider</w:t>
      </w:r>
      <w:r>
        <w:t xml:space="preserve"> is no longer required to provide </w:t>
      </w:r>
      <w:r w:rsidR="005E107F">
        <w:t>th</w:t>
      </w:r>
      <w:r w:rsidR="007F7797">
        <w:t>at</w:t>
      </w:r>
      <w:r w:rsidR="005E107F">
        <w:t xml:space="preserve"> </w:t>
      </w:r>
      <w:r>
        <w:t xml:space="preserve">support.  </w:t>
      </w:r>
    </w:p>
    <w:p w14:paraId="500AC686" w14:textId="0FBE7BE5" w:rsidR="000602FE" w:rsidRPr="00351537" w:rsidRDefault="000602FE" w:rsidP="000602FE">
      <w:pPr>
        <w:pStyle w:val="ActHead3"/>
      </w:pPr>
      <w:bookmarkStart w:id="267" w:name="_Toc467246551"/>
      <w:bookmarkStart w:id="268" w:name="_Toc468194458"/>
      <w:bookmarkStart w:id="269" w:name="_Toc468285056"/>
      <w:bookmarkStart w:id="270" w:name="_Toc468364342"/>
      <w:bookmarkStart w:id="271" w:name="_Toc469060389"/>
      <w:bookmarkStart w:id="272" w:name="_Toc469172080"/>
      <w:bookmarkStart w:id="273" w:name="_Toc469918113"/>
      <w:r>
        <w:rPr>
          <w:rStyle w:val="CharDivNo"/>
        </w:rPr>
        <w:t xml:space="preserve">Part </w:t>
      </w:r>
      <w:r w:rsidR="000550E1">
        <w:rPr>
          <w:rStyle w:val="CharDivNo"/>
        </w:rPr>
        <w:t>7</w:t>
      </w:r>
      <w:r w:rsidRPr="00351537">
        <w:t>—</w:t>
      </w:r>
      <w:r>
        <w:rPr>
          <w:rStyle w:val="CharDivText"/>
        </w:rPr>
        <w:t>ISSP grant conditions (miscellaneous)</w:t>
      </w:r>
      <w:bookmarkEnd w:id="267"/>
      <w:bookmarkEnd w:id="268"/>
      <w:bookmarkEnd w:id="269"/>
      <w:bookmarkEnd w:id="270"/>
      <w:bookmarkEnd w:id="271"/>
      <w:bookmarkEnd w:id="272"/>
      <w:bookmarkEnd w:id="273"/>
    </w:p>
    <w:p w14:paraId="44054BF9" w14:textId="19A3BCA9" w:rsidR="000924C4" w:rsidRPr="00B22D83" w:rsidRDefault="00AB4A13" w:rsidP="000924C4">
      <w:pPr>
        <w:pStyle w:val="ActHead5"/>
      </w:pPr>
      <w:bookmarkStart w:id="274" w:name="_Toc467246552"/>
      <w:bookmarkStart w:id="275" w:name="_Toc468194459"/>
      <w:bookmarkStart w:id="276" w:name="_Toc468285057"/>
      <w:bookmarkStart w:id="277" w:name="_Toc468364343"/>
      <w:bookmarkStart w:id="278" w:name="_Toc469060390"/>
      <w:bookmarkStart w:id="279" w:name="_Toc469172081"/>
      <w:bookmarkStart w:id="280" w:name="_Toc469918114"/>
      <w:r>
        <w:t>3</w:t>
      </w:r>
      <w:r w:rsidR="00613005">
        <w:t>5</w:t>
      </w:r>
      <w:r w:rsidR="0052659C" w:rsidRPr="00B22D83">
        <w:t xml:space="preserve">  </w:t>
      </w:r>
      <w:r w:rsidR="000924C4" w:rsidRPr="00B22D83">
        <w:t>Conflicts of interest</w:t>
      </w:r>
      <w:bookmarkEnd w:id="274"/>
      <w:bookmarkEnd w:id="275"/>
      <w:bookmarkEnd w:id="276"/>
      <w:bookmarkEnd w:id="277"/>
      <w:bookmarkEnd w:id="278"/>
      <w:bookmarkEnd w:id="279"/>
      <w:bookmarkEnd w:id="280"/>
    </w:p>
    <w:p w14:paraId="1A4059A3" w14:textId="77777777" w:rsidR="000924C4" w:rsidRDefault="000924C4" w:rsidP="000924C4">
      <w:pPr>
        <w:pStyle w:val="subsection"/>
        <w:keepNext/>
        <w:keepLines/>
      </w:pPr>
      <w:r w:rsidRPr="00B22D83">
        <w:tab/>
      </w:r>
      <w:r w:rsidRPr="00B22D83">
        <w:tab/>
        <w:t xml:space="preserve">A </w:t>
      </w:r>
      <w:r w:rsidRPr="003C073E">
        <w:rPr>
          <w:i/>
        </w:rPr>
        <w:t>higher education provider</w:t>
      </w:r>
      <w:r w:rsidRPr="00B22D83">
        <w:t xml:space="preserve"> </w:t>
      </w:r>
      <w:r>
        <w:t>that receives an ISSP grant must:</w:t>
      </w:r>
    </w:p>
    <w:p w14:paraId="31BB9550" w14:textId="437BDD69" w:rsidR="000924C4" w:rsidRDefault="000924C4" w:rsidP="000924C4">
      <w:pPr>
        <w:pStyle w:val="paragraph"/>
        <w:keepNext/>
        <w:keepLines/>
      </w:pPr>
      <w:r>
        <w:tab/>
        <w:t>(a</w:t>
      </w:r>
      <w:r w:rsidRPr="00AE3B41">
        <w:t>)</w:t>
      </w:r>
      <w:r w:rsidRPr="00AE3B41">
        <w:tab/>
      </w:r>
      <w:r>
        <w:t xml:space="preserve">maintain a framework for identifying all potential and actual conflicts </w:t>
      </w:r>
      <w:r w:rsidR="00BA5C80">
        <w:t xml:space="preserve">of interest </w:t>
      </w:r>
      <w:r>
        <w:t>arising from the provider’s use of the grant; and</w:t>
      </w:r>
    </w:p>
    <w:p w14:paraId="045BE267" w14:textId="08AEAE9E" w:rsidR="000924C4" w:rsidRDefault="000924C4" w:rsidP="000924C4">
      <w:pPr>
        <w:pStyle w:val="paragraph"/>
        <w:keepNext/>
        <w:keepLines/>
      </w:pPr>
      <w:r>
        <w:tab/>
        <w:t>(b</w:t>
      </w:r>
      <w:r w:rsidRPr="00AE3B41">
        <w:t>)</w:t>
      </w:r>
      <w:r w:rsidRPr="00AE3B41">
        <w:tab/>
      </w:r>
      <w:r>
        <w:t xml:space="preserve">take all reasonably practicable actions to ensure that all potential and actual conflicts </w:t>
      </w:r>
      <w:r w:rsidR="00BA5C80">
        <w:t xml:space="preserve">of interest </w:t>
      </w:r>
      <w:r>
        <w:t>are avoided or prudently managed; and</w:t>
      </w:r>
    </w:p>
    <w:p w14:paraId="54092FB5" w14:textId="3736890A" w:rsidR="000924C4" w:rsidRDefault="000924C4" w:rsidP="000924C4">
      <w:pPr>
        <w:pStyle w:val="paragraph"/>
        <w:keepNext/>
        <w:keepLines/>
      </w:pPr>
      <w:r>
        <w:tab/>
        <w:t>(c</w:t>
      </w:r>
      <w:r w:rsidRPr="00AE3B41">
        <w:t>)</w:t>
      </w:r>
      <w:r w:rsidRPr="00AE3B41">
        <w:tab/>
      </w:r>
      <w:r>
        <w:t xml:space="preserve">keep a conflict of interest register that includes the action taken to </w:t>
      </w:r>
      <w:r w:rsidR="005D6E90">
        <w:t>manage</w:t>
      </w:r>
      <w:r>
        <w:t xml:space="preserve"> a conflict and the outcome of that action; and </w:t>
      </w:r>
    </w:p>
    <w:p w14:paraId="7F78059F" w14:textId="01A5E7B3" w:rsidR="000924C4" w:rsidRDefault="000924C4" w:rsidP="000924C4">
      <w:pPr>
        <w:pStyle w:val="paragraph"/>
        <w:keepNext/>
        <w:keepLines/>
      </w:pPr>
      <w:r>
        <w:tab/>
        <w:t>(d</w:t>
      </w:r>
      <w:r w:rsidRPr="00AE3B41">
        <w:t>)</w:t>
      </w:r>
      <w:r w:rsidRPr="00AE3B41">
        <w:tab/>
      </w:r>
      <w:r>
        <w:t xml:space="preserve">if requested by an administering officer, provide a copy of the register required by paragraph (c) </w:t>
      </w:r>
      <w:r w:rsidR="000E2237">
        <w:t>of this section</w:t>
      </w:r>
      <w:r>
        <w:t xml:space="preserve"> to the officer within 10 business days of the receipt of the request.  </w:t>
      </w:r>
    </w:p>
    <w:p w14:paraId="7E070059" w14:textId="39896946" w:rsidR="000602FE" w:rsidRPr="005A65D5" w:rsidRDefault="006B14F3" w:rsidP="000602FE">
      <w:pPr>
        <w:pStyle w:val="ActHead5"/>
      </w:pPr>
      <w:bookmarkStart w:id="281" w:name="_Toc467246553"/>
      <w:bookmarkStart w:id="282" w:name="_Toc468194460"/>
      <w:bookmarkStart w:id="283" w:name="_Toc468285058"/>
      <w:bookmarkStart w:id="284" w:name="_Toc468364344"/>
      <w:bookmarkStart w:id="285" w:name="_Toc469060391"/>
      <w:bookmarkStart w:id="286" w:name="_Toc469172082"/>
      <w:bookmarkStart w:id="287" w:name="_Toc469918115"/>
      <w:r>
        <w:t>3</w:t>
      </w:r>
      <w:r w:rsidR="00613005">
        <w:t>6</w:t>
      </w:r>
      <w:r w:rsidR="000602FE" w:rsidRPr="005A65D5">
        <w:t xml:space="preserve">  </w:t>
      </w:r>
      <w:r w:rsidR="00511BBD">
        <w:t>Grievances and c</w:t>
      </w:r>
      <w:r w:rsidR="000602FE">
        <w:t>omplaints</w:t>
      </w:r>
      <w:bookmarkEnd w:id="281"/>
      <w:bookmarkEnd w:id="282"/>
      <w:bookmarkEnd w:id="283"/>
      <w:bookmarkEnd w:id="284"/>
      <w:bookmarkEnd w:id="285"/>
      <w:bookmarkEnd w:id="286"/>
      <w:bookmarkEnd w:id="287"/>
    </w:p>
    <w:p w14:paraId="6DA55AF4" w14:textId="11DFA4E5" w:rsidR="000602FE" w:rsidRDefault="000602FE" w:rsidP="000602FE">
      <w:pPr>
        <w:pStyle w:val="subsection"/>
      </w:pPr>
      <w:r>
        <w:tab/>
      </w:r>
      <w:r>
        <w:tab/>
        <w:t xml:space="preserve">A </w:t>
      </w:r>
      <w:r w:rsidRPr="003C073E">
        <w:rPr>
          <w:i/>
        </w:rPr>
        <w:t>higher education provider</w:t>
      </w:r>
      <w:r>
        <w:t xml:space="preserve"> must make information publicly available that advises </w:t>
      </w:r>
      <w:r w:rsidR="00D95767">
        <w:t>employees</w:t>
      </w:r>
      <w:r w:rsidR="000E2237">
        <w:t xml:space="preserve"> </w:t>
      </w:r>
      <w:r>
        <w:t xml:space="preserve">of the provider </w:t>
      </w:r>
      <w:r w:rsidR="00D95767">
        <w:t xml:space="preserve">and Indigenous students </w:t>
      </w:r>
      <w:r>
        <w:t xml:space="preserve">of the procedures for </w:t>
      </w:r>
      <w:r w:rsidR="00511BBD">
        <w:t xml:space="preserve">dealing with grievances and </w:t>
      </w:r>
      <w:r>
        <w:t>making complaint</w:t>
      </w:r>
      <w:r w:rsidR="00511BBD">
        <w:t>s</w:t>
      </w:r>
      <w:r>
        <w:t xml:space="preserve"> about the use of an ISSP grant by the provider.  </w:t>
      </w:r>
    </w:p>
    <w:p w14:paraId="7B9F2FF5" w14:textId="0FBEEEC8" w:rsidR="000602FE" w:rsidRDefault="000602FE" w:rsidP="000602FE">
      <w:pPr>
        <w:pStyle w:val="notetext"/>
        <w:keepNext/>
        <w:keepLines/>
      </w:pPr>
      <w:r w:rsidRPr="009C2562">
        <w:t>Note:</w:t>
      </w:r>
      <w:r w:rsidRPr="009C2562">
        <w:tab/>
      </w:r>
      <w:r>
        <w:t xml:space="preserve">Paragraph 2.4 of the Higher Education </w:t>
      </w:r>
      <w:r w:rsidR="000802B6">
        <w:t xml:space="preserve">Threshold </w:t>
      </w:r>
      <w:r>
        <w:t xml:space="preserve">Standards Framework provided for in the </w:t>
      </w:r>
      <w:r>
        <w:rPr>
          <w:i/>
        </w:rPr>
        <w:t>Higher Education Standards Framework (Threshold Standards) 2015</w:t>
      </w:r>
      <w:r>
        <w:t xml:space="preserve"> sets out threshold standards for </w:t>
      </w:r>
      <w:r w:rsidR="007867D3">
        <w:t>mechanisms</w:t>
      </w:r>
      <w:r w:rsidR="00C56B5E">
        <w:t>,</w:t>
      </w:r>
      <w:r w:rsidR="007867D3">
        <w:t xml:space="preserve"> allowing a person</w:t>
      </w:r>
      <w:r w:rsidR="0010724A">
        <w:t xml:space="preserve"> to</w:t>
      </w:r>
      <w:r w:rsidR="007867D3">
        <w:t xml:space="preserve"> resolve </w:t>
      </w:r>
      <w:r>
        <w:t>grievances and complaints</w:t>
      </w:r>
      <w:r w:rsidR="00C56B5E">
        <w:t>,</w:t>
      </w:r>
      <w:r>
        <w:t xml:space="preserve"> that a higher education </w:t>
      </w:r>
      <w:r w:rsidR="00765568">
        <w:t xml:space="preserve">provider </w:t>
      </w:r>
      <w:r>
        <w:t xml:space="preserve">is required to meet in order to be registered by the Tertiary Education Quality Standards Agency to operate in Australia under section 21 of the </w:t>
      </w:r>
      <w:r>
        <w:rPr>
          <w:i/>
        </w:rPr>
        <w:t>Tertiary Education Quality and Standards Agency Act 2011</w:t>
      </w:r>
      <w:r>
        <w:t xml:space="preserve">.   </w:t>
      </w:r>
    </w:p>
    <w:p w14:paraId="4A942ACE" w14:textId="67988003" w:rsidR="000602FE" w:rsidRDefault="006B14F3" w:rsidP="000602FE">
      <w:pPr>
        <w:pStyle w:val="ActHead5"/>
      </w:pPr>
      <w:bookmarkStart w:id="288" w:name="_Toc467246554"/>
      <w:bookmarkStart w:id="289" w:name="_Toc468194461"/>
      <w:bookmarkStart w:id="290" w:name="_Toc468285059"/>
      <w:bookmarkStart w:id="291" w:name="_Toc468364345"/>
      <w:bookmarkStart w:id="292" w:name="_Toc469060392"/>
      <w:bookmarkStart w:id="293" w:name="_Toc469172083"/>
      <w:bookmarkStart w:id="294" w:name="_Toc469918116"/>
      <w:r>
        <w:t>3</w:t>
      </w:r>
      <w:r w:rsidR="00613005">
        <w:t>7</w:t>
      </w:r>
      <w:r w:rsidR="000602FE" w:rsidRPr="005A65D5">
        <w:t xml:space="preserve">  </w:t>
      </w:r>
      <w:r w:rsidR="000602FE">
        <w:t xml:space="preserve">Policies and processes for </w:t>
      </w:r>
      <w:bookmarkEnd w:id="288"/>
      <w:r w:rsidR="00836D7C">
        <w:t>using an ISSP grant</w:t>
      </w:r>
      <w:bookmarkEnd w:id="289"/>
      <w:bookmarkEnd w:id="290"/>
      <w:bookmarkEnd w:id="291"/>
      <w:bookmarkEnd w:id="292"/>
      <w:bookmarkEnd w:id="293"/>
      <w:bookmarkEnd w:id="294"/>
    </w:p>
    <w:p w14:paraId="313AFCC6" w14:textId="77777777" w:rsidR="000602FE" w:rsidRPr="00BE3917" w:rsidRDefault="000602FE" w:rsidP="000602FE">
      <w:pPr>
        <w:pStyle w:val="subsection"/>
      </w:pPr>
      <w:r w:rsidRPr="00BE3917">
        <w:tab/>
        <w:t>(1)</w:t>
      </w:r>
      <w:r w:rsidRPr="00BE3917">
        <w:tab/>
      </w:r>
      <w:r w:rsidRPr="00BE3917">
        <w:rPr>
          <w:bCs/>
        </w:rPr>
        <w:t xml:space="preserve">Subject to these Guidelines and the Act, a </w:t>
      </w:r>
      <w:r w:rsidRPr="003C073E">
        <w:rPr>
          <w:bCs/>
          <w:i/>
        </w:rPr>
        <w:t>higher education provider</w:t>
      </w:r>
      <w:r w:rsidRPr="00BE3917">
        <w:rPr>
          <w:bCs/>
        </w:rPr>
        <w:t xml:space="preserve"> that receives </w:t>
      </w:r>
      <w:r>
        <w:rPr>
          <w:bCs/>
        </w:rPr>
        <w:t>an ISSP grant</w:t>
      </w:r>
      <w:r w:rsidRPr="00BE3917">
        <w:rPr>
          <w:bCs/>
        </w:rPr>
        <w:t xml:space="preserve"> must:</w:t>
      </w:r>
    </w:p>
    <w:p w14:paraId="3F000CE6" w14:textId="23E0CC2E" w:rsidR="000602FE" w:rsidRDefault="000602FE" w:rsidP="000602FE">
      <w:pPr>
        <w:pStyle w:val="paragraph"/>
      </w:pPr>
      <w:r w:rsidRPr="00BE3917">
        <w:tab/>
        <w:t>(a)</w:t>
      </w:r>
      <w:r w:rsidRPr="00BE3917">
        <w:tab/>
        <w:t>establish and maintain policies and processes for using the gran</w:t>
      </w:r>
      <w:r w:rsidR="00836D7C">
        <w:t>t</w:t>
      </w:r>
      <w:r>
        <w:t>; and</w:t>
      </w:r>
    </w:p>
    <w:p w14:paraId="7FFBACA4" w14:textId="7179F8C4" w:rsidR="000602FE" w:rsidRDefault="000602FE" w:rsidP="000602FE">
      <w:pPr>
        <w:pStyle w:val="paragraph"/>
      </w:pPr>
      <w:r>
        <w:tab/>
        <w:t>(b</w:t>
      </w:r>
      <w:r w:rsidRPr="00BE3917">
        <w:t>)</w:t>
      </w:r>
      <w:r w:rsidRPr="00BE3917">
        <w:tab/>
        <w:t>make information about those policies and processes publicly available</w:t>
      </w:r>
      <w:r>
        <w:t xml:space="preserve">, including to Indigenous </w:t>
      </w:r>
      <w:r w:rsidR="00410F55">
        <w:t xml:space="preserve">persons </w:t>
      </w:r>
      <w:r>
        <w:t xml:space="preserve">in remote </w:t>
      </w:r>
      <w:r w:rsidR="00765568">
        <w:t xml:space="preserve">areas </w:t>
      </w:r>
      <w:r>
        <w:t>and regional areas.</w:t>
      </w:r>
    </w:p>
    <w:p w14:paraId="7E871A5D" w14:textId="0798AB80" w:rsidR="00756491" w:rsidRPr="00756491" w:rsidRDefault="00756491" w:rsidP="00756491">
      <w:pPr>
        <w:pStyle w:val="subsection"/>
      </w:pPr>
      <w:r>
        <w:tab/>
        <w:t>(2</w:t>
      </w:r>
      <w:r w:rsidRPr="00BE3917">
        <w:t>)</w:t>
      </w:r>
      <w:r w:rsidRPr="00BE3917">
        <w:tab/>
      </w:r>
      <w:r>
        <w:rPr>
          <w:bCs/>
        </w:rPr>
        <w:t xml:space="preserve">A </w:t>
      </w:r>
      <w:r>
        <w:rPr>
          <w:bCs/>
          <w:i/>
        </w:rPr>
        <w:t xml:space="preserve">higher education provider </w:t>
      </w:r>
      <w:r>
        <w:rPr>
          <w:bCs/>
        </w:rPr>
        <w:t xml:space="preserve">must maintain full and accurate records of the use of an ISSP grant, including the selection processes followed to provide assistance to an Indigenous student. </w:t>
      </w:r>
    </w:p>
    <w:p w14:paraId="4F87A1F9" w14:textId="66651E1E" w:rsidR="002D7A75" w:rsidRPr="00885210" w:rsidRDefault="00836D7C" w:rsidP="002D7A75">
      <w:pPr>
        <w:pStyle w:val="subsection"/>
      </w:pPr>
      <w:r w:rsidRPr="00BE3917">
        <w:tab/>
        <w:t>(</w:t>
      </w:r>
      <w:r>
        <w:t>3</w:t>
      </w:r>
      <w:r w:rsidRPr="00BE3917">
        <w:t>)</w:t>
      </w:r>
      <w:r w:rsidR="002D7A75" w:rsidRPr="00BE3917">
        <w:tab/>
      </w:r>
      <w:r w:rsidR="002D7A75" w:rsidRPr="00885210">
        <w:t xml:space="preserve">Where a </w:t>
      </w:r>
      <w:r w:rsidR="002D7A75" w:rsidRPr="00885210">
        <w:rPr>
          <w:i/>
        </w:rPr>
        <w:t>higher education provider</w:t>
      </w:r>
      <w:r w:rsidR="002D7A75" w:rsidRPr="00885210">
        <w:t xml:space="preserve"> requires a person to apply for assistance or enter into a written agreement with the provider, the provider must not provide the assistance or make </w:t>
      </w:r>
      <w:r w:rsidR="00E530E6">
        <w:t>a</w:t>
      </w:r>
      <w:r w:rsidR="002D7A75" w:rsidRPr="00885210">
        <w:t xml:space="preserve"> payment using an ISSP grant unless the person has signed a form prepared by the provider in which the person acknowledges the following matters: </w:t>
      </w:r>
    </w:p>
    <w:p w14:paraId="215DB0D0" w14:textId="2838E9DD" w:rsidR="002D7A75" w:rsidRPr="00885210" w:rsidRDefault="002D7A75" w:rsidP="002D7A75">
      <w:pPr>
        <w:pStyle w:val="paragraph"/>
      </w:pPr>
      <w:r w:rsidRPr="00885210">
        <w:tab/>
        <w:t>(a)</w:t>
      </w:r>
      <w:r w:rsidRPr="00885210">
        <w:tab/>
        <w:t>giving false or misleading information is a serious offence; and</w:t>
      </w:r>
    </w:p>
    <w:p w14:paraId="2254EFDC" w14:textId="532471A2" w:rsidR="002D7A75" w:rsidRPr="00885210" w:rsidRDefault="002D7A75" w:rsidP="002D7A75">
      <w:pPr>
        <w:pStyle w:val="paragraph"/>
      </w:pPr>
      <w:r w:rsidRPr="00885210">
        <w:tab/>
        <w:t>(b)</w:t>
      </w:r>
      <w:r w:rsidRPr="00885210">
        <w:tab/>
        <w:t>the person may incur a debt to the Commonwealth or the provider or both if the person receives assistance or payment that the person should not have received; and</w:t>
      </w:r>
    </w:p>
    <w:p w14:paraId="034D919D" w14:textId="19EAB682" w:rsidR="00413550" w:rsidRPr="00BF1AA1" w:rsidRDefault="002D7A75" w:rsidP="000B4FC4">
      <w:pPr>
        <w:pStyle w:val="paragraph"/>
      </w:pPr>
      <w:r w:rsidRPr="00885210">
        <w:tab/>
        <w:t>(c)</w:t>
      </w:r>
      <w:r w:rsidRPr="00885210">
        <w:tab/>
        <w:t xml:space="preserve">the provider may collect personal information of the person </w:t>
      </w:r>
      <w:r w:rsidR="004F4E03">
        <w:t>and</w:t>
      </w:r>
      <w:r w:rsidRPr="00885210">
        <w:t xml:space="preserve"> share </w:t>
      </w:r>
      <w:r w:rsidR="004F4E03">
        <w:t>that</w:t>
      </w:r>
      <w:r w:rsidRPr="00885210">
        <w:t xml:space="preserve"> information with the Commonwealth for the purposes of the Commonwealth administering the</w:t>
      </w:r>
      <w:r w:rsidR="00664E18">
        <w:t>se Guidelines.</w:t>
      </w:r>
    </w:p>
    <w:p w14:paraId="6120EE1C" w14:textId="00BCF942" w:rsidR="00B05FB1" w:rsidRDefault="00B05FB1" w:rsidP="003A177D">
      <w:pPr>
        <w:pStyle w:val="ActHead6"/>
      </w:pPr>
      <w:bookmarkStart w:id="295" w:name="_Toc454512518"/>
    </w:p>
    <w:p w14:paraId="6CB303FC" w14:textId="77777777" w:rsidR="002F3666" w:rsidRPr="002F3666" w:rsidRDefault="002F3666" w:rsidP="002F3666">
      <w:pPr>
        <w:pStyle w:val="ActHead7"/>
        <w:sectPr w:rsidR="002F3666" w:rsidRPr="002F3666" w:rsidSect="002F3666">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pPr>
    </w:p>
    <w:p w14:paraId="59267D18" w14:textId="59ABF8D4" w:rsidR="003A177D" w:rsidRPr="004E1307" w:rsidRDefault="003A177D" w:rsidP="003A177D">
      <w:pPr>
        <w:pStyle w:val="ActHead6"/>
      </w:pPr>
      <w:bookmarkStart w:id="296" w:name="_Toc468194463"/>
      <w:bookmarkStart w:id="297" w:name="_Toc468285060"/>
      <w:bookmarkStart w:id="298" w:name="_Toc468364346"/>
      <w:bookmarkStart w:id="299" w:name="_Toc469060393"/>
      <w:bookmarkStart w:id="300" w:name="_Toc469172084"/>
      <w:bookmarkStart w:id="301" w:name="_Toc469918117"/>
      <w:bookmarkEnd w:id="295"/>
      <w:r>
        <w:t xml:space="preserve">Schedule </w:t>
      </w:r>
      <w:r w:rsidRPr="004E1307">
        <w:t>1—</w:t>
      </w:r>
      <w:bookmarkEnd w:id="296"/>
      <w:bookmarkEnd w:id="297"/>
      <w:r w:rsidR="003A187C">
        <w:t>Method for determining ISSP grant amounts</w:t>
      </w:r>
      <w:bookmarkEnd w:id="298"/>
      <w:bookmarkEnd w:id="299"/>
      <w:bookmarkEnd w:id="300"/>
      <w:bookmarkEnd w:id="301"/>
    </w:p>
    <w:p w14:paraId="69712C49" w14:textId="0CE96262" w:rsidR="00367356" w:rsidRDefault="00367356" w:rsidP="00367356">
      <w:pPr>
        <w:pStyle w:val="ItemHead"/>
      </w:pPr>
      <w:r w:rsidRPr="00B1728A">
        <w:t xml:space="preserve">1  </w:t>
      </w:r>
      <w:r>
        <w:t>Definitions</w:t>
      </w:r>
    </w:p>
    <w:p w14:paraId="70700338" w14:textId="18377BC2" w:rsidR="00367356" w:rsidRDefault="005659EC" w:rsidP="00B45DFD">
      <w:pPr>
        <w:pStyle w:val="subsection"/>
      </w:pPr>
      <w:r>
        <w:tab/>
      </w:r>
      <w:r w:rsidRPr="00BE3917">
        <w:tab/>
      </w:r>
      <w:r w:rsidR="00367356">
        <w:t xml:space="preserve">In this Schedule: </w:t>
      </w:r>
    </w:p>
    <w:p w14:paraId="762B8B29" w14:textId="53F02A60" w:rsidR="0023412F" w:rsidRDefault="0023412F">
      <w:pPr>
        <w:pStyle w:val="Definition"/>
        <w:rPr>
          <w:b/>
          <w:i/>
        </w:rPr>
      </w:pPr>
      <w:r w:rsidRPr="00FF4187">
        <w:rPr>
          <w:b/>
          <w:i/>
        </w:rPr>
        <w:t>Commonwealth Scholarships Program</w:t>
      </w:r>
      <w:r w:rsidRPr="00D5249A">
        <w:t xml:space="preserve"> </w:t>
      </w:r>
      <w:r>
        <w:t xml:space="preserve">means the program </w:t>
      </w:r>
      <w:r w:rsidRPr="00D5249A">
        <w:t xml:space="preserve">provided for in </w:t>
      </w:r>
      <w:r w:rsidR="00102895">
        <w:t xml:space="preserve">Part A of </w:t>
      </w:r>
      <w:r w:rsidRPr="00D5249A">
        <w:t xml:space="preserve">the </w:t>
      </w:r>
      <w:r w:rsidRPr="00D5249A">
        <w:rPr>
          <w:i/>
        </w:rPr>
        <w:t>Commonwealth Scholarships Guidelines (Education) 2010</w:t>
      </w:r>
      <w:r>
        <w:t xml:space="preserve">. </w:t>
      </w:r>
    </w:p>
    <w:p w14:paraId="47CB559C" w14:textId="4ABE00A5" w:rsidR="00315A6B" w:rsidRDefault="00315A6B" w:rsidP="00315A6B">
      <w:pPr>
        <w:pStyle w:val="Definition"/>
      </w:pPr>
      <w:r>
        <w:rPr>
          <w:b/>
          <w:i/>
        </w:rPr>
        <w:t xml:space="preserve">ceiling </w:t>
      </w:r>
      <w:r>
        <w:t xml:space="preserve">means, in respect of an eligible higher education provider’s raw entitlement, an amount that is 1.15 times the provider’s normal previous year allocation as established under the fourth step under subitem 5(2) of this Schedule.  </w:t>
      </w:r>
    </w:p>
    <w:p w14:paraId="359EA574" w14:textId="5558F863" w:rsidR="005659EC" w:rsidRDefault="005659EC" w:rsidP="005659EC">
      <w:pPr>
        <w:pStyle w:val="Definition"/>
        <w:rPr>
          <w:b/>
          <w:i/>
        </w:rPr>
      </w:pPr>
      <w:r>
        <w:rPr>
          <w:b/>
          <w:i/>
        </w:rPr>
        <w:t>course completions</w:t>
      </w:r>
      <w:r>
        <w:rPr>
          <w:b/>
        </w:rPr>
        <w:t xml:space="preserve"> </w:t>
      </w:r>
      <w:r>
        <w:t>has the meaning given by the glossary to the Higher Education Information Management System.</w:t>
      </w:r>
    </w:p>
    <w:p w14:paraId="079C6619" w14:textId="77777777" w:rsidR="00315A6B" w:rsidRDefault="00315A6B" w:rsidP="00315A6B">
      <w:pPr>
        <w:pStyle w:val="Definition"/>
        <w:rPr>
          <w:b/>
          <w:i/>
        </w:rPr>
      </w:pPr>
      <w:r>
        <w:rPr>
          <w:b/>
          <w:i/>
        </w:rPr>
        <w:t xml:space="preserve">floor </w:t>
      </w:r>
      <w:r>
        <w:t>means, in respect of an eligible higher education provider’s raw entitlement, an amount that is 0.85 times the provider’s normal previous year allocation as established under the fourth step under subitem 5(3) of this Schedule.</w:t>
      </w:r>
    </w:p>
    <w:p w14:paraId="7487DB00" w14:textId="405B7039" w:rsidR="001C22C1" w:rsidRDefault="001C22C1" w:rsidP="00B45DFD">
      <w:pPr>
        <w:pStyle w:val="Definition"/>
      </w:pPr>
      <w:r>
        <w:rPr>
          <w:b/>
          <w:i/>
        </w:rPr>
        <w:t>Higher Education Student Data Collection</w:t>
      </w:r>
      <w:r>
        <w:t xml:space="preserve"> </w:t>
      </w:r>
      <w:r w:rsidR="004E23D2">
        <w:t xml:space="preserve">means the statistical data collection about </w:t>
      </w:r>
      <w:r w:rsidR="004E23D2">
        <w:rPr>
          <w:i/>
        </w:rPr>
        <w:t>students</w:t>
      </w:r>
      <w:r w:rsidR="004E23D2">
        <w:t xml:space="preserve"> maintained by the Education Department</w:t>
      </w:r>
      <w:r>
        <w:t>.</w:t>
      </w:r>
    </w:p>
    <w:p w14:paraId="663C8D8E" w14:textId="5FE3E83E" w:rsidR="00B024BE" w:rsidRDefault="00B024BE" w:rsidP="00B024BE">
      <w:pPr>
        <w:pStyle w:val="Definition"/>
      </w:pPr>
      <w:r>
        <w:rPr>
          <w:b/>
          <w:i/>
        </w:rPr>
        <w:t>interim allocation amount</w:t>
      </w:r>
      <w:r>
        <w:t xml:space="preserve"> means the amount for an eligible higher education provider set under the fifth step in Item 6 of this Schedule.</w:t>
      </w:r>
    </w:p>
    <w:p w14:paraId="6424EB74" w14:textId="7C22C0C3" w:rsidR="00315A6B" w:rsidRDefault="00315A6B" w:rsidP="00B024BE">
      <w:pPr>
        <w:pStyle w:val="Definition"/>
        <w:rPr>
          <w:b/>
          <w:i/>
        </w:rPr>
      </w:pPr>
      <w:r>
        <w:rPr>
          <w:b/>
          <w:i/>
        </w:rPr>
        <w:t>normal previous year allocation</w:t>
      </w:r>
      <w:r>
        <w:t xml:space="preserve"> means </w:t>
      </w:r>
      <w:r w:rsidR="003C4737">
        <w:t xml:space="preserve">the allocation for an </w:t>
      </w:r>
      <w:r>
        <w:t xml:space="preserve">eligible higher education provider </w:t>
      </w:r>
      <w:r w:rsidR="003C4737">
        <w:t xml:space="preserve">for the previous grant year calculated </w:t>
      </w:r>
      <w:r w:rsidR="00324C16">
        <w:t>under the fourth step under subitem 5(4) (for the 2017 grant year) or subitem 5(1) (for subsequent grant years)</w:t>
      </w:r>
      <w:r w:rsidR="00656595">
        <w:t xml:space="preserve"> of this Schedule</w:t>
      </w:r>
      <w:r w:rsidR="00324C16">
        <w:t xml:space="preserve">. </w:t>
      </w:r>
    </w:p>
    <w:p w14:paraId="455180D1" w14:textId="45E7AEAD" w:rsidR="00B024BE" w:rsidRDefault="00B024BE" w:rsidP="00B024BE">
      <w:pPr>
        <w:pStyle w:val="Definition"/>
      </w:pPr>
      <w:r>
        <w:rPr>
          <w:b/>
          <w:i/>
        </w:rPr>
        <w:t>Pool A</w:t>
      </w:r>
      <w:r>
        <w:t xml:space="preserve"> means the pool established under item 1 of the table in the first step in Item 2 of this Schedule.</w:t>
      </w:r>
    </w:p>
    <w:p w14:paraId="103DF194" w14:textId="3CBE9F23" w:rsidR="00B024BE" w:rsidRDefault="00B024BE" w:rsidP="00B024BE">
      <w:pPr>
        <w:pStyle w:val="Definition"/>
      </w:pPr>
      <w:r>
        <w:rPr>
          <w:b/>
          <w:i/>
        </w:rPr>
        <w:t>Pool B</w:t>
      </w:r>
      <w:r>
        <w:t xml:space="preserve"> means the pool established under item 2 of the table in the first step in Item 2 of this Schedule.</w:t>
      </w:r>
    </w:p>
    <w:p w14:paraId="180B226B" w14:textId="4FE8A039" w:rsidR="00B024BE" w:rsidRDefault="00B024BE" w:rsidP="00B024BE">
      <w:pPr>
        <w:pStyle w:val="Definition"/>
      </w:pPr>
      <w:r>
        <w:rPr>
          <w:b/>
          <w:i/>
        </w:rPr>
        <w:t>Pool A entitlement</w:t>
      </w:r>
      <w:r>
        <w:t xml:space="preserve"> means the entitlement </w:t>
      </w:r>
      <w:r w:rsidR="00E00B6F">
        <w:t xml:space="preserve">of an eligible higher education provider </w:t>
      </w:r>
      <w:r>
        <w:t>established under item 1 of the table in the second step in Item 3 of this Schedule.</w:t>
      </w:r>
    </w:p>
    <w:p w14:paraId="28EF5633" w14:textId="6AA5558E" w:rsidR="00B024BE" w:rsidRDefault="00B024BE" w:rsidP="00B024BE">
      <w:pPr>
        <w:pStyle w:val="Definition"/>
      </w:pPr>
      <w:r>
        <w:rPr>
          <w:b/>
          <w:i/>
        </w:rPr>
        <w:t>Pool B entitlement</w:t>
      </w:r>
      <w:r>
        <w:t xml:space="preserve"> means the entitlement </w:t>
      </w:r>
      <w:r w:rsidR="00E00B6F">
        <w:t xml:space="preserve">of an eligible higher education provider </w:t>
      </w:r>
      <w:r>
        <w:t xml:space="preserve">established under item 2 of the table in the second step in Item 3 of this Schedule. </w:t>
      </w:r>
    </w:p>
    <w:p w14:paraId="5A12E556" w14:textId="7D82F50A" w:rsidR="00E00B6F" w:rsidRDefault="00E00B6F">
      <w:pPr>
        <w:pStyle w:val="Definition"/>
      </w:pPr>
      <w:r>
        <w:rPr>
          <w:b/>
          <w:i/>
        </w:rPr>
        <w:t>raw entitlement</w:t>
      </w:r>
      <w:r>
        <w:t xml:space="preserve"> means the</w:t>
      </w:r>
      <w:r w:rsidR="003C62FA">
        <w:t xml:space="preserve"> </w:t>
      </w:r>
      <w:r>
        <w:t>entitlement of an eligible higher education provider</w:t>
      </w:r>
      <w:r w:rsidR="003C62FA">
        <w:t xml:space="preserve"> to Pool B </w:t>
      </w:r>
      <w:r>
        <w:t xml:space="preserve">after the third step in Item </w:t>
      </w:r>
      <w:r w:rsidR="003C62FA">
        <w:t xml:space="preserve">4 of this Schedule. </w:t>
      </w:r>
      <w:r>
        <w:t xml:space="preserve"> </w:t>
      </w:r>
    </w:p>
    <w:p w14:paraId="3087D466" w14:textId="42F21999" w:rsidR="00367356" w:rsidRPr="00367356" w:rsidRDefault="005659EC" w:rsidP="00B45DFD">
      <w:pPr>
        <w:pStyle w:val="Definition"/>
      </w:pPr>
      <w:r>
        <w:rPr>
          <w:b/>
          <w:i/>
        </w:rPr>
        <w:t>success rate</w:t>
      </w:r>
      <w:r>
        <w:t xml:space="preserve"> has the</w:t>
      </w:r>
      <w:r w:rsidR="008146DD">
        <w:t xml:space="preserve"> </w:t>
      </w:r>
      <w:r>
        <w:t>meaning given by the glossary to th</w:t>
      </w:r>
      <w:r w:rsidR="00173428">
        <w:t>e Higher Education Information M</w:t>
      </w:r>
      <w:r>
        <w:t xml:space="preserve">anagement System. </w:t>
      </w:r>
    </w:p>
    <w:p w14:paraId="0C833A65" w14:textId="5CCCE9D5" w:rsidR="003A177D" w:rsidRDefault="00367356" w:rsidP="000B4FC4">
      <w:pPr>
        <w:pStyle w:val="ItemHead"/>
        <w:ind w:left="0" w:firstLine="0"/>
      </w:pPr>
      <w:r>
        <w:t>2</w:t>
      </w:r>
      <w:r w:rsidR="003A177D" w:rsidRPr="00B1728A">
        <w:t xml:space="preserve">  </w:t>
      </w:r>
      <w:r w:rsidR="005659EC">
        <w:t>First step (</w:t>
      </w:r>
      <w:r w:rsidR="00D13EC4">
        <w:t xml:space="preserve">Establish </w:t>
      </w:r>
      <w:r w:rsidR="005659EC">
        <w:t xml:space="preserve">ISSP Grant </w:t>
      </w:r>
      <w:r w:rsidR="00AB71DF">
        <w:t>Pools</w:t>
      </w:r>
      <w:r w:rsidR="005659EC">
        <w:t>)</w:t>
      </w:r>
    </w:p>
    <w:p w14:paraId="6927580C" w14:textId="7B907F1C" w:rsidR="008D57D4" w:rsidRDefault="008D57D4" w:rsidP="008D57D4">
      <w:pPr>
        <w:pStyle w:val="subsection"/>
        <w:rPr>
          <w:bCs/>
        </w:rPr>
      </w:pPr>
      <w:r>
        <w:tab/>
      </w:r>
      <w:r w:rsidRPr="00BE3917">
        <w:tab/>
      </w:r>
      <w:r>
        <w:rPr>
          <w:bCs/>
        </w:rPr>
        <w:t>For each grant year, the amount to be spent on ISSP grants in the grant year as calculated under section 6 of these Guidelines is divided into the pools specified in column 2 of the table by performing the calculation in column 3 of the table.</w:t>
      </w:r>
    </w:p>
    <w:p w14:paraId="01CE58EE" w14:textId="04310F5F" w:rsidR="008D57D4" w:rsidRDefault="008D57D4" w:rsidP="008D57D4">
      <w:pPr>
        <w:pStyle w:val="subsection"/>
        <w:rPr>
          <w:bCs/>
        </w:rPr>
      </w:pPr>
      <w:r>
        <w:rPr>
          <w:bCs/>
        </w:rPr>
        <w:t xml:space="preserve"> </w:t>
      </w:r>
    </w:p>
    <w:tbl>
      <w:tblPr>
        <w:tblW w:w="0" w:type="auto"/>
        <w:tblInd w:w="107" w:type="dxa"/>
        <w:tblCellMar>
          <w:left w:w="0" w:type="dxa"/>
          <w:right w:w="0" w:type="dxa"/>
        </w:tblCellMar>
        <w:tblLook w:val="04A0" w:firstRow="1" w:lastRow="0" w:firstColumn="1" w:lastColumn="0" w:noHBand="0" w:noVBand="1"/>
      </w:tblPr>
      <w:tblGrid>
        <w:gridCol w:w="1105"/>
        <w:gridCol w:w="1482"/>
        <w:gridCol w:w="5619"/>
      </w:tblGrid>
      <w:tr w:rsidR="008D57D4" w:rsidRPr="004111FE" w14:paraId="5A576DE0" w14:textId="77777777" w:rsidTr="00A06B57">
        <w:trPr>
          <w:tblHeader/>
        </w:trPr>
        <w:tc>
          <w:tcPr>
            <w:tcW w:w="8206"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6B594275" w14:textId="405BDB9A" w:rsidR="008D57D4" w:rsidRPr="004111FE" w:rsidRDefault="00605CC2" w:rsidP="00A06B57">
            <w:pPr>
              <w:keepNext/>
              <w:keepLines/>
              <w:spacing w:before="100" w:beforeAutospacing="1" w:after="100" w:afterAutospacing="1" w:line="240" w:lineRule="auto"/>
              <w:rPr>
                <w:rFonts w:ascii="Helvetica Neue" w:eastAsia="Times New Roman" w:hAnsi="Helvetica Neue" w:cs="Times New Roman"/>
                <w:b/>
                <w:bCs/>
                <w:sz w:val="20"/>
                <w:lang w:eastAsia="en-AU"/>
              </w:rPr>
            </w:pPr>
            <w:r>
              <w:rPr>
                <w:rFonts w:ascii="Helvetica Neue" w:eastAsia="Times New Roman" w:hAnsi="Helvetica Neue" w:cs="Times New Roman"/>
                <w:b/>
                <w:bCs/>
                <w:sz w:val="20"/>
                <w:lang w:eastAsia="en-AU"/>
              </w:rPr>
              <w:t>ISSP grant pools</w:t>
            </w:r>
          </w:p>
        </w:tc>
      </w:tr>
      <w:tr w:rsidR="008D57D4" w:rsidRPr="004111FE" w14:paraId="111F4718" w14:textId="77777777" w:rsidTr="00B45DFD">
        <w:trPr>
          <w:tblHeader/>
        </w:trPr>
        <w:tc>
          <w:tcPr>
            <w:tcW w:w="1105" w:type="dxa"/>
            <w:tcBorders>
              <w:top w:val="nil"/>
              <w:left w:val="nil"/>
              <w:bottom w:val="single" w:sz="8" w:space="0" w:color="auto"/>
              <w:right w:val="nil"/>
            </w:tcBorders>
            <w:tcMar>
              <w:top w:w="0" w:type="dxa"/>
              <w:left w:w="107" w:type="dxa"/>
              <w:bottom w:w="0" w:type="dxa"/>
              <w:right w:w="107" w:type="dxa"/>
            </w:tcMar>
            <w:hideMark/>
          </w:tcPr>
          <w:p w14:paraId="671F0F74" w14:textId="77777777" w:rsidR="008D57D4" w:rsidRPr="004111FE" w:rsidRDefault="008D57D4" w:rsidP="00A06B57">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1</w:t>
            </w:r>
          </w:p>
        </w:tc>
        <w:tc>
          <w:tcPr>
            <w:tcW w:w="1482" w:type="dxa"/>
            <w:tcBorders>
              <w:top w:val="nil"/>
              <w:left w:val="nil"/>
              <w:bottom w:val="single" w:sz="8" w:space="0" w:color="auto"/>
              <w:right w:val="nil"/>
            </w:tcBorders>
            <w:tcMar>
              <w:top w:w="0" w:type="dxa"/>
              <w:left w:w="107" w:type="dxa"/>
              <w:bottom w:w="0" w:type="dxa"/>
              <w:right w:w="107" w:type="dxa"/>
            </w:tcMar>
            <w:hideMark/>
          </w:tcPr>
          <w:p w14:paraId="2DA0B041" w14:textId="77777777" w:rsidR="008D57D4" w:rsidRPr="004111FE" w:rsidRDefault="008D57D4" w:rsidP="00A06B57">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2</w:t>
            </w:r>
          </w:p>
        </w:tc>
        <w:tc>
          <w:tcPr>
            <w:tcW w:w="5619" w:type="dxa"/>
            <w:tcBorders>
              <w:top w:val="nil"/>
              <w:left w:val="nil"/>
              <w:bottom w:val="single" w:sz="8" w:space="0" w:color="auto"/>
              <w:right w:val="nil"/>
            </w:tcBorders>
            <w:tcMar>
              <w:top w:w="0" w:type="dxa"/>
              <w:left w:w="107" w:type="dxa"/>
              <w:bottom w:w="0" w:type="dxa"/>
              <w:right w:w="107" w:type="dxa"/>
            </w:tcMar>
            <w:hideMark/>
          </w:tcPr>
          <w:p w14:paraId="089682A9" w14:textId="77777777" w:rsidR="008D57D4" w:rsidRPr="004111FE" w:rsidRDefault="008D57D4" w:rsidP="00A06B57">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3</w:t>
            </w:r>
          </w:p>
        </w:tc>
      </w:tr>
      <w:tr w:rsidR="008D57D4" w:rsidRPr="004111FE" w14:paraId="4777D162" w14:textId="77777777" w:rsidTr="00B45DFD">
        <w:trPr>
          <w:tblHeader/>
        </w:trPr>
        <w:tc>
          <w:tcPr>
            <w:tcW w:w="1105" w:type="dxa"/>
            <w:tcBorders>
              <w:top w:val="nil"/>
              <w:left w:val="nil"/>
              <w:bottom w:val="single" w:sz="12" w:space="0" w:color="auto"/>
              <w:right w:val="nil"/>
            </w:tcBorders>
            <w:tcMar>
              <w:top w:w="0" w:type="dxa"/>
              <w:left w:w="107" w:type="dxa"/>
              <w:bottom w:w="0" w:type="dxa"/>
              <w:right w:w="107" w:type="dxa"/>
            </w:tcMar>
            <w:hideMark/>
          </w:tcPr>
          <w:p w14:paraId="77F711F2" w14:textId="77777777" w:rsidR="008D57D4" w:rsidRPr="004111FE" w:rsidRDefault="008D57D4" w:rsidP="00A06B57">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Item</w:t>
            </w:r>
          </w:p>
        </w:tc>
        <w:tc>
          <w:tcPr>
            <w:tcW w:w="1482" w:type="dxa"/>
            <w:tcBorders>
              <w:top w:val="nil"/>
              <w:left w:val="nil"/>
              <w:bottom w:val="single" w:sz="12" w:space="0" w:color="auto"/>
              <w:right w:val="nil"/>
            </w:tcBorders>
            <w:tcMar>
              <w:top w:w="0" w:type="dxa"/>
              <w:left w:w="107" w:type="dxa"/>
              <w:bottom w:w="0" w:type="dxa"/>
              <w:right w:w="107" w:type="dxa"/>
            </w:tcMar>
            <w:hideMark/>
          </w:tcPr>
          <w:p w14:paraId="5C7873E3" w14:textId="4CE5EAB4" w:rsidR="008D57D4" w:rsidRPr="004111FE" w:rsidRDefault="008D57D4" w:rsidP="00A06B57">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Pool</w:t>
            </w:r>
          </w:p>
        </w:tc>
        <w:tc>
          <w:tcPr>
            <w:tcW w:w="5619" w:type="dxa"/>
            <w:tcBorders>
              <w:top w:val="nil"/>
              <w:left w:val="nil"/>
              <w:bottom w:val="single" w:sz="12" w:space="0" w:color="auto"/>
              <w:right w:val="nil"/>
            </w:tcBorders>
            <w:tcMar>
              <w:top w:w="0" w:type="dxa"/>
              <w:left w:w="107" w:type="dxa"/>
              <w:bottom w:w="0" w:type="dxa"/>
              <w:right w:w="107" w:type="dxa"/>
            </w:tcMar>
            <w:hideMark/>
          </w:tcPr>
          <w:p w14:paraId="1402B8CA" w14:textId="77777777" w:rsidR="008D57D4" w:rsidRPr="00234629" w:rsidRDefault="008D57D4" w:rsidP="00A06B57">
            <w:pPr>
              <w:keepNext/>
              <w:keepLines/>
              <w:spacing w:before="100" w:beforeAutospacing="1" w:after="100" w:afterAutospacing="1" w:line="240" w:lineRule="auto"/>
              <w:rPr>
                <w:rFonts w:ascii="Helvetica Neue" w:eastAsia="Times New Roman" w:hAnsi="Helvetica Neue" w:cs="Times New Roman"/>
                <w:b/>
                <w:sz w:val="19"/>
                <w:szCs w:val="19"/>
                <w:lang w:eastAsia="en-AU"/>
              </w:rPr>
            </w:pPr>
            <w:r>
              <w:rPr>
                <w:rFonts w:ascii="Helvetica Neue" w:eastAsia="Times New Roman" w:hAnsi="Helvetica Neue" w:cs="Times New Roman"/>
                <w:b/>
                <w:sz w:val="19"/>
                <w:szCs w:val="19"/>
                <w:lang w:eastAsia="en-AU"/>
              </w:rPr>
              <w:t>Calculation</w:t>
            </w:r>
          </w:p>
        </w:tc>
      </w:tr>
      <w:tr w:rsidR="008D57D4" w:rsidRPr="004111FE" w14:paraId="061439E5" w14:textId="77777777" w:rsidTr="00B45DFD">
        <w:tc>
          <w:tcPr>
            <w:tcW w:w="1105" w:type="dxa"/>
            <w:tcBorders>
              <w:top w:val="nil"/>
              <w:left w:val="nil"/>
              <w:bottom w:val="single" w:sz="8" w:space="0" w:color="auto"/>
              <w:right w:val="nil"/>
            </w:tcBorders>
            <w:tcMar>
              <w:top w:w="0" w:type="dxa"/>
              <w:left w:w="107" w:type="dxa"/>
              <w:bottom w:w="0" w:type="dxa"/>
              <w:right w:w="107" w:type="dxa"/>
            </w:tcMar>
          </w:tcPr>
          <w:p w14:paraId="5AA878B0" w14:textId="77777777" w:rsidR="008D57D4" w:rsidRPr="004111FE" w:rsidRDefault="008D57D4" w:rsidP="00A06B57">
            <w:pPr>
              <w:keepNext/>
              <w:keepLines/>
              <w:spacing w:before="100" w:beforeAutospacing="1" w:after="100" w:afterAutospacing="1" w:line="240" w:lineRule="auto"/>
              <w:ind w:left="35" w:hanging="35"/>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1.</w:t>
            </w:r>
          </w:p>
        </w:tc>
        <w:tc>
          <w:tcPr>
            <w:tcW w:w="1482" w:type="dxa"/>
            <w:tcBorders>
              <w:top w:val="nil"/>
              <w:left w:val="nil"/>
              <w:bottom w:val="single" w:sz="8" w:space="0" w:color="auto"/>
              <w:right w:val="nil"/>
            </w:tcBorders>
            <w:tcMar>
              <w:top w:w="0" w:type="dxa"/>
              <w:left w:w="107" w:type="dxa"/>
              <w:bottom w:w="0" w:type="dxa"/>
              <w:right w:w="107" w:type="dxa"/>
            </w:tcMar>
          </w:tcPr>
          <w:p w14:paraId="0C2ADAD9" w14:textId="4726A6A2" w:rsidR="008D57D4" w:rsidRPr="004111FE" w:rsidRDefault="008D57D4" w:rsidP="00A06B57">
            <w:pPr>
              <w:keepNext/>
              <w:keepLines/>
              <w:spacing w:before="100" w:beforeAutospacing="1" w:after="100" w:afterAutospacing="1" w:line="240" w:lineRule="auto"/>
              <w:ind w:left="35" w:hanging="35"/>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Pool A</w:t>
            </w:r>
          </w:p>
        </w:tc>
        <w:tc>
          <w:tcPr>
            <w:tcW w:w="5619" w:type="dxa"/>
            <w:tcBorders>
              <w:top w:val="nil"/>
              <w:left w:val="nil"/>
              <w:bottom w:val="single" w:sz="8" w:space="0" w:color="auto"/>
              <w:right w:val="nil"/>
            </w:tcBorders>
            <w:tcMar>
              <w:top w:w="0" w:type="dxa"/>
              <w:left w:w="107" w:type="dxa"/>
              <w:bottom w:w="0" w:type="dxa"/>
              <w:right w:w="107" w:type="dxa"/>
            </w:tcMar>
          </w:tcPr>
          <w:p w14:paraId="2B2BEBE7" w14:textId="5FE7A6DB" w:rsidR="00102ED5" w:rsidRDefault="00102ED5" w:rsidP="00B45DFD">
            <w:pPr>
              <w:pStyle w:val="paragraph"/>
              <w:tabs>
                <w:tab w:val="clear" w:pos="1531"/>
                <w:tab w:val="right" w:pos="180"/>
              </w:tabs>
              <w:ind w:left="322" w:hanging="322"/>
              <w:rPr>
                <w:rFonts w:ascii="Helvetica Neue" w:hAnsi="Helvetica Neue"/>
                <w:sz w:val="19"/>
                <w:szCs w:val="19"/>
              </w:rPr>
            </w:pPr>
            <w:r>
              <w:tab/>
            </w:r>
            <w:r>
              <w:rPr>
                <w:rFonts w:ascii="Helvetica Neue" w:hAnsi="Helvetica Neue"/>
                <w:sz w:val="19"/>
                <w:szCs w:val="19"/>
              </w:rPr>
              <w:t>a.</w:t>
            </w:r>
            <w:r w:rsidRPr="00B45DFD">
              <w:rPr>
                <w:sz w:val="19"/>
                <w:szCs w:val="19"/>
              </w:rPr>
              <w:tab/>
            </w:r>
            <w:r>
              <w:rPr>
                <w:rFonts w:ascii="Helvetica Neue" w:hAnsi="Helvetica Neue"/>
                <w:sz w:val="19"/>
                <w:szCs w:val="19"/>
              </w:rPr>
              <w:t xml:space="preserve">For a determination of ISSP grant amounts in a grant year </w:t>
            </w:r>
            <w:r w:rsidR="00C756AC" w:rsidRPr="00102ED5">
              <w:rPr>
                <w:rFonts w:ascii="Helvetica Neue" w:hAnsi="Helvetica Neue"/>
                <w:sz w:val="19"/>
                <w:szCs w:val="19"/>
              </w:rPr>
              <w:t>before the start of the grant year</w:t>
            </w:r>
            <w:r w:rsidR="00C756AC">
              <w:rPr>
                <w:rFonts w:ascii="Helvetica Neue" w:hAnsi="Helvetica Neue"/>
                <w:sz w:val="19"/>
                <w:szCs w:val="19"/>
              </w:rPr>
              <w:t xml:space="preserve"> – a</w:t>
            </w:r>
            <w:r w:rsidR="002E39CB">
              <w:rPr>
                <w:rFonts w:ascii="Helvetica Neue" w:hAnsi="Helvetica Neue"/>
                <w:sz w:val="19"/>
                <w:szCs w:val="19"/>
              </w:rPr>
              <w:t>dd</w:t>
            </w:r>
            <w:r w:rsidR="00722B69">
              <w:rPr>
                <w:rFonts w:ascii="Helvetica Neue" w:hAnsi="Helvetica Neue"/>
                <w:sz w:val="19"/>
                <w:szCs w:val="19"/>
              </w:rPr>
              <w:t xml:space="preserve"> </w:t>
            </w:r>
            <w:r w:rsidR="008D57D4">
              <w:rPr>
                <w:rFonts w:ascii="Helvetica Neue" w:hAnsi="Helvetica Neue"/>
                <w:sz w:val="19"/>
                <w:szCs w:val="19"/>
              </w:rPr>
              <w:t xml:space="preserve">the value of all preserved Indigenous Commonwealth Scholarships that eligible higher education providers expect to </w:t>
            </w:r>
            <w:r w:rsidR="007B5BBB">
              <w:rPr>
                <w:rFonts w:ascii="Helvetica Neue" w:hAnsi="Helvetica Neue"/>
                <w:sz w:val="19"/>
                <w:szCs w:val="19"/>
              </w:rPr>
              <w:t xml:space="preserve">use to </w:t>
            </w:r>
            <w:r w:rsidR="008D57D4">
              <w:rPr>
                <w:rFonts w:ascii="Helvetica Neue" w:hAnsi="Helvetica Neue"/>
                <w:sz w:val="19"/>
                <w:szCs w:val="19"/>
              </w:rPr>
              <w:t xml:space="preserve">award in the grant year, as notified </w:t>
            </w:r>
            <w:r w:rsidR="00061F2E">
              <w:rPr>
                <w:rFonts w:ascii="Helvetica Neue" w:hAnsi="Helvetica Neue"/>
                <w:sz w:val="19"/>
                <w:szCs w:val="19"/>
              </w:rPr>
              <w:t xml:space="preserve">by providers </w:t>
            </w:r>
            <w:r w:rsidR="008D57D4">
              <w:rPr>
                <w:rFonts w:ascii="Helvetica Neue" w:hAnsi="Helvetica Neue"/>
                <w:sz w:val="19"/>
                <w:szCs w:val="19"/>
              </w:rPr>
              <w:t xml:space="preserve">under </w:t>
            </w:r>
            <w:r w:rsidR="00D322E3">
              <w:rPr>
                <w:rFonts w:ascii="Helvetica Neue" w:hAnsi="Helvetica Neue"/>
                <w:sz w:val="19"/>
                <w:szCs w:val="19"/>
              </w:rPr>
              <w:t>paragraph</w:t>
            </w:r>
            <w:r w:rsidR="008D57D4">
              <w:rPr>
                <w:rFonts w:ascii="Helvetica Neue" w:hAnsi="Helvetica Neue" w:hint="eastAsia"/>
                <w:sz w:val="19"/>
                <w:szCs w:val="19"/>
              </w:rPr>
              <w:t> </w:t>
            </w:r>
            <w:r w:rsidR="006B4651">
              <w:rPr>
                <w:rFonts w:ascii="Helvetica Neue" w:hAnsi="Helvetica Neue"/>
                <w:sz w:val="19"/>
                <w:szCs w:val="19"/>
              </w:rPr>
              <w:t>28(5</w:t>
            </w:r>
            <w:r w:rsidR="004300FB">
              <w:rPr>
                <w:rFonts w:ascii="Helvetica Neue" w:hAnsi="Helvetica Neue"/>
                <w:sz w:val="19"/>
                <w:szCs w:val="19"/>
              </w:rPr>
              <w:t>)(a</w:t>
            </w:r>
            <w:r w:rsidR="00D322E3">
              <w:rPr>
                <w:rFonts w:ascii="Helvetica Neue" w:hAnsi="Helvetica Neue"/>
                <w:sz w:val="19"/>
                <w:szCs w:val="19"/>
              </w:rPr>
              <w:t>)</w:t>
            </w:r>
            <w:r w:rsidR="008D57D4">
              <w:rPr>
                <w:rFonts w:ascii="Helvetica Neue" w:hAnsi="Helvetica Neue"/>
                <w:sz w:val="19"/>
                <w:szCs w:val="19"/>
              </w:rPr>
              <w:t xml:space="preserve"> of these Guidelines</w:t>
            </w:r>
          </w:p>
          <w:p w14:paraId="750AAFAC" w14:textId="228419EF" w:rsidR="006D53BB" w:rsidRDefault="00C72C19" w:rsidP="00B45DFD">
            <w:pPr>
              <w:pStyle w:val="paragraph"/>
              <w:tabs>
                <w:tab w:val="clear" w:pos="1531"/>
                <w:tab w:val="right" w:pos="180"/>
              </w:tabs>
              <w:ind w:left="322" w:hanging="322"/>
              <w:rPr>
                <w:rFonts w:ascii="Helvetica Neue" w:hAnsi="Helvetica Neue"/>
                <w:sz w:val="19"/>
                <w:szCs w:val="19"/>
              </w:rPr>
            </w:pPr>
            <w:r>
              <w:tab/>
            </w:r>
            <w:r>
              <w:rPr>
                <w:rFonts w:ascii="Helvetica Neue" w:hAnsi="Helvetica Neue"/>
                <w:sz w:val="19"/>
                <w:szCs w:val="19"/>
              </w:rPr>
              <w:t>b.</w:t>
            </w:r>
            <w:r w:rsidRPr="00885210">
              <w:tab/>
            </w:r>
            <w:r w:rsidR="00102ED5">
              <w:rPr>
                <w:rFonts w:ascii="Helvetica Neue" w:hAnsi="Helvetica Neue"/>
                <w:sz w:val="19"/>
                <w:szCs w:val="19"/>
              </w:rPr>
              <w:t xml:space="preserve">For any adjustments of ISSP grant amounts during the grant year – add the value of all preserved Indigenous Commonwealth Scholarships that eligible higher education providers expect to </w:t>
            </w:r>
            <w:r w:rsidR="007B5BBB">
              <w:rPr>
                <w:rFonts w:ascii="Helvetica Neue" w:hAnsi="Helvetica Neue"/>
                <w:sz w:val="19"/>
                <w:szCs w:val="19"/>
              </w:rPr>
              <w:t xml:space="preserve">use to </w:t>
            </w:r>
            <w:r w:rsidR="00102ED5">
              <w:rPr>
                <w:rFonts w:ascii="Helvetica Neue" w:hAnsi="Helvetica Neue"/>
                <w:sz w:val="19"/>
                <w:szCs w:val="19"/>
              </w:rPr>
              <w:t xml:space="preserve">award in the grant year, as notified </w:t>
            </w:r>
            <w:r w:rsidR="00061F2E">
              <w:rPr>
                <w:rFonts w:ascii="Helvetica Neue" w:hAnsi="Helvetica Neue"/>
                <w:sz w:val="19"/>
                <w:szCs w:val="19"/>
              </w:rPr>
              <w:t xml:space="preserve">by providers </w:t>
            </w:r>
            <w:r w:rsidR="00102ED5">
              <w:rPr>
                <w:rFonts w:ascii="Helvetica Neue" w:hAnsi="Helvetica Neue"/>
                <w:sz w:val="19"/>
                <w:szCs w:val="19"/>
              </w:rPr>
              <w:t xml:space="preserve">under paragraph 28(5)(b) of these </w:t>
            </w:r>
            <w:r w:rsidR="006D53BB">
              <w:rPr>
                <w:rFonts w:ascii="Helvetica Neue" w:hAnsi="Helvetica Neue"/>
                <w:sz w:val="19"/>
                <w:szCs w:val="19"/>
              </w:rPr>
              <w:t>Guidelines</w:t>
            </w:r>
          </w:p>
          <w:p w14:paraId="631A6151" w14:textId="3F969531" w:rsidR="00102ED5" w:rsidRPr="00B45DFD" w:rsidRDefault="00102ED5" w:rsidP="00C3661C">
            <w:pPr>
              <w:pStyle w:val="paragraph"/>
              <w:tabs>
                <w:tab w:val="clear" w:pos="1531"/>
                <w:tab w:val="right" w:pos="180"/>
              </w:tabs>
              <w:ind w:left="321"/>
            </w:pPr>
            <w:r>
              <w:rPr>
                <w:rFonts w:ascii="Helvetica Neue" w:hAnsi="Helvetica Neue"/>
                <w:sz w:val="19"/>
                <w:szCs w:val="19"/>
              </w:rPr>
              <w:t xml:space="preserve"> </w:t>
            </w:r>
            <w:r w:rsidR="006D53BB" w:rsidRPr="00885210">
              <w:tab/>
            </w:r>
            <w:r w:rsidR="006D53BB">
              <w:rPr>
                <w:rFonts w:ascii="Helvetica Neue" w:hAnsi="Helvetica Neue"/>
                <w:sz w:val="19"/>
                <w:szCs w:val="19"/>
              </w:rPr>
              <w:t>c.</w:t>
            </w:r>
            <w:r w:rsidR="006D53BB" w:rsidRPr="00885210">
              <w:tab/>
            </w:r>
            <w:r w:rsidR="006D53BB">
              <w:rPr>
                <w:rFonts w:ascii="Helvetica Neue" w:hAnsi="Helvetica Neue"/>
                <w:sz w:val="19"/>
                <w:szCs w:val="19"/>
              </w:rPr>
              <w:t>For a determination of ISSP grant amounts for the 2017 grant year before April of the grant year – add the value of all Indigenous Commonwealth Scholarships that eligible higher education providers expect to award in the</w:t>
            </w:r>
            <w:r w:rsidR="00C3661C">
              <w:rPr>
                <w:rFonts w:ascii="Helvetica Neue" w:hAnsi="Helvetica Neue"/>
                <w:sz w:val="19"/>
                <w:szCs w:val="19"/>
              </w:rPr>
              <w:t xml:space="preserve"> grant year, as notified by providers before the start of the grant year </w:t>
            </w:r>
          </w:p>
        </w:tc>
      </w:tr>
      <w:tr w:rsidR="008D57D4" w:rsidRPr="004111FE" w14:paraId="63A5075E" w14:textId="77777777" w:rsidTr="00B45DFD">
        <w:tc>
          <w:tcPr>
            <w:tcW w:w="1105" w:type="dxa"/>
            <w:tcBorders>
              <w:top w:val="single" w:sz="8" w:space="0" w:color="auto"/>
              <w:left w:val="nil"/>
              <w:bottom w:val="single" w:sz="8" w:space="0" w:color="auto"/>
              <w:right w:val="nil"/>
            </w:tcBorders>
            <w:tcMar>
              <w:top w:w="0" w:type="dxa"/>
              <w:left w:w="107" w:type="dxa"/>
              <w:bottom w:w="0" w:type="dxa"/>
              <w:right w:w="107" w:type="dxa"/>
            </w:tcMar>
          </w:tcPr>
          <w:p w14:paraId="50FDB505" w14:textId="77777777" w:rsidR="008D57D4" w:rsidRPr="004111FE" w:rsidRDefault="008D57D4" w:rsidP="008D57D4">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2. </w:t>
            </w:r>
          </w:p>
        </w:tc>
        <w:tc>
          <w:tcPr>
            <w:tcW w:w="1482" w:type="dxa"/>
            <w:tcBorders>
              <w:top w:val="single" w:sz="8" w:space="0" w:color="auto"/>
              <w:left w:val="nil"/>
              <w:bottom w:val="single" w:sz="8" w:space="0" w:color="auto"/>
              <w:right w:val="nil"/>
            </w:tcBorders>
            <w:tcMar>
              <w:top w:w="0" w:type="dxa"/>
              <w:left w:w="107" w:type="dxa"/>
              <w:bottom w:w="0" w:type="dxa"/>
              <w:right w:w="107" w:type="dxa"/>
            </w:tcMar>
          </w:tcPr>
          <w:p w14:paraId="30166ED0" w14:textId="0B14C3A6" w:rsidR="008D57D4" w:rsidRDefault="008D57D4" w:rsidP="008D57D4">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Pool B</w:t>
            </w:r>
          </w:p>
        </w:tc>
        <w:tc>
          <w:tcPr>
            <w:tcW w:w="5619" w:type="dxa"/>
            <w:tcBorders>
              <w:top w:val="single" w:sz="8" w:space="0" w:color="auto"/>
              <w:left w:val="nil"/>
              <w:bottom w:val="single" w:sz="8" w:space="0" w:color="auto"/>
              <w:right w:val="nil"/>
            </w:tcBorders>
            <w:tcMar>
              <w:top w:w="0" w:type="dxa"/>
              <w:left w:w="107" w:type="dxa"/>
              <w:bottom w:w="0" w:type="dxa"/>
              <w:right w:w="107" w:type="dxa"/>
            </w:tcMar>
          </w:tcPr>
          <w:p w14:paraId="67A5EDEA" w14:textId="6C75E442" w:rsidR="008D57D4" w:rsidRPr="00B1482B" w:rsidRDefault="008D57D4" w:rsidP="00684D4A">
            <w:pPr>
              <w:keepNext/>
              <w:keepLines/>
              <w:spacing w:line="240" w:lineRule="auto"/>
              <w:ind w:left="322"/>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Subtract the amount of Pool A from the amount to be spent on ISSP grants, as calculated under section 6 of these Guidelines</w:t>
            </w:r>
          </w:p>
        </w:tc>
      </w:tr>
    </w:tbl>
    <w:p w14:paraId="707C9EAF" w14:textId="0F366DF3" w:rsidR="00722B69" w:rsidRDefault="00605CC2" w:rsidP="00722B69">
      <w:pPr>
        <w:pStyle w:val="ItemHead"/>
        <w:ind w:left="0" w:firstLine="0"/>
      </w:pPr>
      <w:r>
        <w:t>3</w:t>
      </w:r>
      <w:r w:rsidR="00722B69" w:rsidRPr="00B1728A">
        <w:t xml:space="preserve">  </w:t>
      </w:r>
      <w:r w:rsidR="00722B69">
        <w:t xml:space="preserve">Second step (Establish a Pool A </w:t>
      </w:r>
      <w:r>
        <w:t xml:space="preserve">and Pool B </w:t>
      </w:r>
      <w:r w:rsidR="00722B69">
        <w:t>entitlement)</w:t>
      </w:r>
    </w:p>
    <w:p w14:paraId="4319C77C" w14:textId="7F90B977" w:rsidR="00605CC2" w:rsidRDefault="00722B69" w:rsidP="00722B69">
      <w:pPr>
        <w:pStyle w:val="subsection"/>
      </w:pPr>
      <w:r>
        <w:tab/>
      </w:r>
      <w:r w:rsidRPr="00BE3917">
        <w:tab/>
      </w:r>
      <w:r w:rsidR="00A06B57">
        <w:t xml:space="preserve">For each eligible higher education provider, establish </w:t>
      </w:r>
      <w:r w:rsidR="00605CC2">
        <w:t xml:space="preserve">the entitlements specified in column 2 of the table by performing the calculation or following the process in column 3 of the table. </w:t>
      </w:r>
    </w:p>
    <w:p w14:paraId="6E27F5AD" w14:textId="77777777" w:rsidR="00C62DBA" w:rsidRDefault="00C62DBA" w:rsidP="00722B69">
      <w:pPr>
        <w:pStyle w:val="subsection"/>
      </w:pPr>
    </w:p>
    <w:tbl>
      <w:tblPr>
        <w:tblW w:w="0" w:type="auto"/>
        <w:tblInd w:w="107" w:type="dxa"/>
        <w:tblCellMar>
          <w:left w:w="0" w:type="dxa"/>
          <w:right w:w="0" w:type="dxa"/>
        </w:tblCellMar>
        <w:tblLook w:val="04A0" w:firstRow="1" w:lastRow="0" w:firstColumn="1" w:lastColumn="0" w:noHBand="0" w:noVBand="1"/>
      </w:tblPr>
      <w:tblGrid>
        <w:gridCol w:w="1105"/>
        <w:gridCol w:w="2049"/>
        <w:gridCol w:w="5052"/>
      </w:tblGrid>
      <w:tr w:rsidR="00605CC2" w:rsidRPr="004111FE" w14:paraId="6A7C6AC5" w14:textId="77777777" w:rsidTr="00DB7658">
        <w:trPr>
          <w:tblHeader/>
        </w:trPr>
        <w:tc>
          <w:tcPr>
            <w:tcW w:w="8206"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4324812D" w14:textId="5C640E5E" w:rsidR="00605CC2" w:rsidRPr="004111FE" w:rsidRDefault="00605CC2" w:rsidP="00DB7658">
            <w:pPr>
              <w:keepNext/>
              <w:keepLines/>
              <w:spacing w:before="100" w:beforeAutospacing="1" w:after="100" w:afterAutospacing="1" w:line="240" w:lineRule="auto"/>
              <w:rPr>
                <w:rFonts w:ascii="Helvetica Neue" w:eastAsia="Times New Roman" w:hAnsi="Helvetica Neue" w:cs="Times New Roman"/>
                <w:b/>
                <w:bCs/>
                <w:sz w:val="20"/>
                <w:lang w:eastAsia="en-AU"/>
              </w:rPr>
            </w:pPr>
            <w:r>
              <w:rPr>
                <w:rFonts w:ascii="Helvetica Neue" w:eastAsia="Times New Roman" w:hAnsi="Helvetica Neue" w:cs="Times New Roman"/>
                <w:b/>
                <w:bCs/>
                <w:sz w:val="20"/>
                <w:lang w:eastAsia="en-AU"/>
              </w:rPr>
              <w:t>Pool entitlements</w:t>
            </w:r>
          </w:p>
        </w:tc>
      </w:tr>
      <w:tr w:rsidR="00605CC2" w:rsidRPr="004111FE" w14:paraId="47C15A98" w14:textId="77777777" w:rsidTr="00B45DFD">
        <w:trPr>
          <w:tblHeader/>
        </w:trPr>
        <w:tc>
          <w:tcPr>
            <w:tcW w:w="1105" w:type="dxa"/>
            <w:tcBorders>
              <w:top w:val="nil"/>
              <w:left w:val="nil"/>
              <w:bottom w:val="single" w:sz="8" w:space="0" w:color="auto"/>
              <w:right w:val="nil"/>
            </w:tcBorders>
            <w:tcMar>
              <w:top w:w="0" w:type="dxa"/>
              <w:left w:w="107" w:type="dxa"/>
              <w:bottom w:w="0" w:type="dxa"/>
              <w:right w:w="107" w:type="dxa"/>
            </w:tcMar>
            <w:hideMark/>
          </w:tcPr>
          <w:p w14:paraId="4218F616" w14:textId="77777777" w:rsidR="00605CC2" w:rsidRPr="004111FE" w:rsidRDefault="00605CC2" w:rsidP="00DB7658">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1</w:t>
            </w:r>
          </w:p>
        </w:tc>
        <w:tc>
          <w:tcPr>
            <w:tcW w:w="2049" w:type="dxa"/>
            <w:tcBorders>
              <w:top w:val="nil"/>
              <w:left w:val="nil"/>
              <w:bottom w:val="single" w:sz="8" w:space="0" w:color="auto"/>
              <w:right w:val="nil"/>
            </w:tcBorders>
            <w:tcMar>
              <w:top w:w="0" w:type="dxa"/>
              <w:left w:w="107" w:type="dxa"/>
              <w:bottom w:w="0" w:type="dxa"/>
              <w:right w:w="107" w:type="dxa"/>
            </w:tcMar>
            <w:hideMark/>
          </w:tcPr>
          <w:p w14:paraId="52A580C2" w14:textId="77777777" w:rsidR="00605CC2" w:rsidRPr="004111FE" w:rsidRDefault="00605CC2" w:rsidP="00DB7658">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2</w:t>
            </w:r>
          </w:p>
        </w:tc>
        <w:tc>
          <w:tcPr>
            <w:tcW w:w="5052" w:type="dxa"/>
            <w:tcBorders>
              <w:top w:val="nil"/>
              <w:left w:val="nil"/>
              <w:bottom w:val="single" w:sz="8" w:space="0" w:color="auto"/>
              <w:right w:val="nil"/>
            </w:tcBorders>
            <w:tcMar>
              <w:top w:w="0" w:type="dxa"/>
              <w:left w:w="107" w:type="dxa"/>
              <w:bottom w:w="0" w:type="dxa"/>
              <w:right w:w="107" w:type="dxa"/>
            </w:tcMar>
            <w:hideMark/>
          </w:tcPr>
          <w:p w14:paraId="3249795B" w14:textId="77777777" w:rsidR="00605CC2" w:rsidRPr="004111FE" w:rsidRDefault="00605CC2" w:rsidP="00DB7658">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3</w:t>
            </w:r>
          </w:p>
        </w:tc>
      </w:tr>
      <w:tr w:rsidR="00605CC2" w:rsidRPr="004111FE" w14:paraId="3C7031CA" w14:textId="77777777" w:rsidTr="00B45DFD">
        <w:trPr>
          <w:tblHeader/>
        </w:trPr>
        <w:tc>
          <w:tcPr>
            <w:tcW w:w="1105" w:type="dxa"/>
            <w:tcBorders>
              <w:top w:val="nil"/>
              <w:left w:val="nil"/>
              <w:bottom w:val="single" w:sz="12" w:space="0" w:color="auto"/>
              <w:right w:val="nil"/>
            </w:tcBorders>
            <w:tcMar>
              <w:top w:w="0" w:type="dxa"/>
              <w:left w:w="107" w:type="dxa"/>
              <w:bottom w:w="0" w:type="dxa"/>
              <w:right w:w="107" w:type="dxa"/>
            </w:tcMar>
            <w:hideMark/>
          </w:tcPr>
          <w:p w14:paraId="5FBD5E72" w14:textId="77777777" w:rsidR="00605CC2" w:rsidRPr="004111FE" w:rsidRDefault="00605CC2" w:rsidP="00DB7658">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Item</w:t>
            </w:r>
          </w:p>
        </w:tc>
        <w:tc>
          <w:tcPr>
            <w:tcW w:w="2049" w:type="dxa"/>
            <w:tcBorders>
              <w:top w:val="nil"/>
              <w:left w:val="nil"/>
              <w:bottom w:val="single" w:sz="12" w:space="0" w:color="auto"/>
              <w:right w:val="nil"/>
            </w:tcBorders>
            <w:tcMar>
              <w:top w:w="0" w:type="dxa"/>
              <w:left w:w="107" w:type="dxa"/>
              <w:bottom w:w="0" w:type="dxa"/>
              <w:right w:w="107" w:type="dxa"/>
            </w:tcMar>
            <w:hideMark/>
          </w:tcPr>
          <w:p w14:paraId="7EDD2476" w14:textId="77777777" w:rsidR="00605CC2" w:rsidRPr="004111FE" w:rsidRDefault="00605CC2" w:rsidP="00DB7658">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Pool</w:t>
            </w:r>
          </w:p>
        </w:tc>
        <w:tc>
          <w:tcPr>
            <w:tcW w:w="5052" w:type="dxa"/>
            <w:tcBorders>
              <w:top w:val="nil"/>
              <w:left w:val="nil"/>
              <w:bottom w:val="single" w:sz="12" w:space="0" w:color="auto"/>
              <w:right w:val="nil"/>
            </w:tcBorders>
            <w:tcMar>
              <w:top w:w="0" w:type="dxa"/>
              <w:left w:w="107" w:type="dxa"/>
              <w:bottom w:w="0" w:type="dxa"/>
              <w:right w:w="107" w:type="dxa"/>
            </w:tcMar>
            <w:hideMark/>
          </w:tcPr>
          <w:p w14:paraId="04CCB609" w14:textId="77777777" w:rsidR="00605CC2" w:rsidRPr="00234629" w:rsidRDefault="00605CC2" w:rsidP="00DB7658">
            <w:pPr>
              <w:keepNext/>
              <w:keepLines/>
              <w:spacing w:before="100" w:beforeAutospacing="1" w:after="100" w:afterAutospacing="1" w:line="240" w:lineRule="auto"/>
              <w:rPr>
                <w:rFonts w:ascii="Helvetica Neue" w:eastAsia="Times New Roman" w:hAnsi="Helvetica Neue" w:cs="Times New Roman"/>
                <w:b/>
                <w:sz w:val="19"/>
                <w:szCs w:val="19"/>
                <w:lang w:eastAsia="en-AU"/>
              </w:rPr>
            </w:pPr>
            <w:r>
              <w:rPr>
                <w:rFonts w:ascii="Helvetica Neue" w:eastAsia="Times New Roman" w:hAnsi="Helvetica Neue" w:cs="Times New Roman"/>
                <w:b/>
                <w:sz w:val="19"/>
                <w:szCs w:val="19"/>
                <w:lang w:eastAsia="en-AU"/>
              </w:rPr>
              <w:t>Calculation</w:t>
            </w:r>
          </w:p>
        </w:tc>
      </w:tr>
      <w:tr w:rsidR="00605CC2" w:rsidRPr="004111FE" w14:paraId="27892252" w14:textId="77777777" w:rsidTr="00B45DFD">
        <w:tc>
          <w:tcPr>
            <w:tcW w:w="1105" w:type="dxa"/>
            <w:tcBorders>
              <w:top w:val="nil"/>
              <w:left w:val="nil"/>
              <w:bottom w:val="single" w:sz="8" w:space="0" w:color="auto"/>
              <w:right w:val="nil"/>
            </w:tcBorders>
            <w:tcMar>
              <w:top w:w="0" w:type="dxa"/>
              <w:left w:w="107" w:type="dxa"/>
              <w:bottom w:w="0" w:type="dxa"/>
              <w:right w:w="107" w:type="dxa"/>
            </w:tcMar>
          </w:tcPr>
          <w:p w14:paraId="3732E6E7" w14:textId="77777777" w:rsidR="00605CC2" w:rsidRPr="004111FE" w:rsidRDefault="00605CC2" w:rsidP="00DB7658">
            <w:pPr>
              <w:keepNext/>
              <w:keepLines/>
              <w:spacing w:before="100" w:beforeAutospacing="1" w:after="100" w:afterAutospacing="1" w:line="240" w:lineRule="auto"/>
              <w:ind w:left="35" w:hanging="35"/>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1.</w:t>
            </w:r>
          </w:p>
        </w:tc>
        <w:tc>
          <w:tcPr>
            <w:tcW w:w="2049" w:type="dxa"/>
            <w:tcBorders>
              <w:top w:val="nil"/>
              <w:left w:val="nil"/>
              <w:bottom w:val="single" w:sz="8" w:space="0" w:color="auto"/>
              <w:right w:val="nil"/>
            </w:tcBorders>
            <w:tcMar>
              <w:top w:w="0" w:type="dxa"/>
              <w:left w:w="107" w:type="dxa"/>
              <w:bottom w:w="0" w:type="dxa"/>
              <w:right w:w="107" w:type="dxa"/>
            </w:tcMar>
          </w:tcPr>
          <w:p w14:paraId="36D10190" w14:textId="78496031" w:rsidR="00605CC2" w:rsidRPr="00B45DFD" w:rsidRDefault="00605CC2" w:rsidP="00DB7658">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sidRPr="00B45DFD">
              <w:rPr>
                <w:rFonts w:ascii="Helvetica Neue" w:eastAsia="Times New Roman" w:hAnsi="Helvetica Neue" w:cs="Times New Roman"/>
                <w:sz w:val="20"/>
                <w:lang w:eastAsia="en-AU"/>
              </w:rPr>
              <w:t>Pool A entitlement</w:t>
            </w:r>
          </w:p>
        </w:tc>
        <w:tc>
          <w:tcPr>
            <w:tcW w:w="5052" w:type="dxa"/>
            <w:tcBorders>
              <w:top w:val="nil"/>
              <w:left w:val="nil"/>
              <w:bottom w:val="single" w:sz="8" w:space="0" w:color="auto"/>
              <w:right w:val="nil"/>
            </w:tcBorders>
            <w:tcMar>
              <w:top w:w="0" w:type="dxa"/>
              <w:left w:w="107" w:type="dxa"/>
              <w:bottom w:w="0" w:type="dxa"/>
              <w:right w:w="107" w:type="dxa"/>
            </w:tcMar>
          </w:tcPr>
          <w:p w14:paraId="5EA8E314" w14:textId="3609C5CD" w:rsidR="00F3036D" w:rsidRDefault="00F3036D" w:rsidP="008325A3">
            <w:pPr>
              <w:pStyle w:val="paragraph"/>
              <w:tabs>
                <w:tab w:val="clear" w:pos="1531"/>
                <w:tab w:val="right" w:pos="33"/>
              </w:tabs>
              <w:ind w:left="317" w:hanging="317"/>
              <w:rPr>
                <w:sz w:val="20"/>
              </w:rPr>
            </w:pPr>
            <w:r>
              <w:tab/>
            </w:r>
            <w:r>
              <w:rPr>
                <w:rFonts w:ascii="Helvetica Neue" w:hAnsi="Helvetica Neue"/>
                <w:sz w:val="19"/>
                <w:szCs w:val="19"/>
              </w:rPr>
              <w:t>a.</w:t>
            </w:r>
            <w:r w:rsidRPr="00885210">
              <w:tab/>
            </w:r>
            <w:r>
              <w:rPr>
                <w:rFonts w:ascii="Helvetica Neue" w:hAnsi="Helvetica Neue"/>
                <w:sz w:val="19"/>
                <w:szCs w:val="19"/>
              </w:rPr>
              <w:t xml:space="preserve">For a determination of ISSP grant amounts in a grant year </w:t>
            </w:r>
            <w:r w:rsidRPr="00102ED5">
              <w:rPr>
                <w:rFonts w:ascii="Helvetica Neue" w:hAnsi="Helvetica Neue"/>
                <w:sz w:val="19"/>
                <w:szCs w:val="19"/>
              </w:rPr>
              <w:t>before the start of the grant year</w:t>
            </w:r>
            <w:r>
              <w:rPr>
                <w:rFonts w:ascii="Helvetica Neue" w:hAnsi="Helvetica Neue"/>
                <w:sz w:val="19"/>
                <w:szCs w:val="19"/>
              </w:rPr>
              <w:t xml:space="preserve"> – t</w:t>
            </w:r>
            <w:r w:rsidR="00706F31" w:rsidRPr="00B45DFD">
              <w:rPr>
                <w:sz w:val="20"/>
              </w:rPr>
              <w:t xml:space="preserve">he sum of the value of the preserved Indigenous Commonwealth Scholarships the provider expects to award in the grant year, as notified </w:t>
            </w:r>
            <w:r w:rsidR="00061F2E">
              <w:rPr>
                <w:sz w:val="20"/>
              </w:rPr>
              <w:t xml:space="preserve">by the provider </w:t>
            </w:r>
            <w:r w:rsidR="00706F31" w:rsidRPr="00B45DFD">
              <w:rPr>
                <w:sz w:val="20"/>
              </w:rPr>
              <w:t xml:space="preserve">under </w:t>
            </w:r>
            <w:r w:rsidR="00F570FA">
              <w:rPr>
                <w:sz w:val="20"/>
              </w:rPr>
              <w:t>paragraph 2</w:t>
            </w:r>
            <w:r>
              <w:rPr>
                <w:sz w:val="20"/>
              </w:rPr>
              <w:t>8</w:t>
            </w:r>
            <w:r w:rsidR="00F570FA">
              <w:rPr>
                <w:sz w:val="20"/>
              </w:rPr>
              <w:t>(</w:t>
            </w:r>
            <w:r>
              <w:rPr>
                <w:sz w:val="20"/>
              </w:rPr>
              <w:t>5</w:t>
            </w:r>
            <w:r w:rsidR="00F570FA">
              <w:rPr>
                <w:sz w:val="20"/>
              </w:rPr>
              <w:t>)(</w:t>
            </w:r>
            <w:r>
              <w:rPr>
                <w:sz w:val="20"/>
              </w:rPr>
              <w:t>a</w:t>
            </w:r>
            <w:r w:rsidR="00F570FA">
              <w:rPr>
                <w:sz w:val="20"/>
              </w:rPr>
              <w:t>)</w:t>
            </w:r>
            <w:r w:rsidR="00706F31" w:rsidRPr="00B45DFD">
              <w:rPr>
                <w:sz w:val="20"/>
              </w:rPr>
              <w:t xml:space="preserve"> of these Guidelines</w:t>
            </w:r>
          </w:p>
          <w:p w14:paraId="36668EB0" w14:textId="7DACFC58" w:rsidR="00F3036D" w:rsidRDefault="00F3036D" w:rsidP="008325A3">
            <w:pPr>
              <w:pStyle w:val="paragraph"/>
              <w:tabs>
                <w:tab w:val="clear" w:pos="1531"/>
                <w:tab w:val="right" w:pos="175"/>
              </w:tabs>
              <w:ind w:left="317" w:hanging="317"/>
              <w:rPr>
                <w:rFonts w:ascii="Helvetica Neue" w:hAnsi="Helvetica Neue"/>
                <w:sz w:val="19"/>
                <w:szCs w:val="19"/>
              </w:rPr>
            </w:pPr>
            <w:r w:rsidRPr="00102ED5">
              <w:rPr>
                <w:rFonts w:ascii="Helvetica Neue" w:hAnsi="Helvetica Neue"/>
                <w:sz w:val="19"/>
                <w:szCs w:val="19"/>
              </w:rPr>
              <w:t>b</w:t>
            </w:r>
            <w:r>
              <w:rPr>
                <w:rFonts w:ascii="Helvetica Neue" w:hAnsi="Helvetica Neue"/>
                <w:sz w:val="19"/>
                <w:szCs w:val="19"/>
              </w:rPr>
              <w:t>.</w:t>
            </w:r>
            <w:r w:rsidRPr="00885210">
              <w:t xml:space="preserve"> </w:t>
            </w:r>
            <w:r w:rsidRPr="00885210">
              <w:tab/>
            </w:r>
            <w:r>
              <w:rPr>
                <w:rFonts w:ascii="Helvetica Neue" w:hAnsi="Helvetica Neue"/>
                <w:sz w:val="19"/>
                <w:szCs w:val="19"/>
              </w:rPr>
              <w:t xml:space="preserve">For any adjustment of ISSP grant amounts during a grant year – the sum of the value of the preserved Indigenous Commonwealth Scholarships the provider expects to award in the grant year, as notified </w:t>
            </w:r>
            <w:r w:rsidR="00061F2E">
              <w:rPr>
                <w:rFonts w:ascii="Helvetica Neue" w:hAnsi="Helvetica Neue"/>
                <w:sz w:val="19"/>
                <w:szCs w:val="19"/>
              </w:rPr>
              <w:t xml:space="preserve">by the provider </w:t>
            </w:r>
            <w:r>
              <w:rPr>
                <w:rFonts w:ascii="Helvetica Neue" w:hAnsi="Helvetica Neue"/>
                <w:sz w:val="19"/>
                <w:szCs w:val="19"/>
              </w:rPr>
              <w:t xml:space="preserve">under paragraph 28(5)(b) of these Guidelines; </w:t>
            </w:r>
          </w:p>
          <w:p w14:paraId="0B35BC65" w14:textId="010618A6" w:rsidR="00605CC2" w:rsidRPr="008325A3" w:rsidRDefault="00F3036D" w:rsidP="008325A3">
            <w:pPr>
              <w:pStyle w:val="paragraph"/>
              <w:tabs>
                <w:tab w:val="clear" w:pos="1531"/>
                <w:tab w:val="right" w:pos="175"/>
              </w:tabs>
              <w:ind w:left="317" w:hanging="317"/>
            </w:pPr>
            <w:r>
              <w:rPr>
                <w:rFonts w:ascii="Helvetica Neue" w:hAnsi="Helvetica Neue"/>
                <w:sz w:val="19"/>
                <w:szCs w:val="19"/>
              </w:rPr>
              <w:t>c.</w:t>
            </w:r>
            <w:r w:rsidRPr="00885210">
              <w:t xml:space="preserve"> </w:t>
            </w:r>
            <w:r w:rsidRPr="00885210">
              <w:tab/>
            </w:r>
            <w:r>
              <w:rPr>
                <w:rFonts w:ascii="Helvetica Neue" w:hAnsi="Helvetica Neue"/>
                <w:sz w:val="19"/>
                <w:szCs w:val="19"/>
              </w:rPr>
              <w:t>For a determination of ISSP grant amounts for the 2017 grant year before April of the grant year – the sum of the value of the preserved Indigenous Commonwealth Scholarships the provider expects to award in the grant year, as notified by the provider before the start of the grant year</w:t>
            </w:r>
          </w:p>
        </w:tc>
      </w:tr>
      <w:tr w:rsidR="00605CC2" w:rsidRPr="004111FE" w14:paraId="042A2F8C" w14:textId="77777777" w:rsidTr="00B45DFD">
        <w:tc>
          <w:tcPr>
            <w:tcW w:w="1105" w:type="dxa"/>
            <w:tcBorders>
              <w:top w:val="single" w:sz="8" w:space="0" w:color="auto"/>
              <w:left w:val="nil"/>
              <w:bottom w:val="single" w:sz="8" w:space="0" w:color="auto"/>
              <w:right w:val="nil"/>
            </w:tcBorders>
            <w:tcMar>
              <w:top w:w="0" w:type="dxa"/>
              <w:left w:w="107" w:type="dxa"/>
              <w:bottom w:w="0" w:type="dxa"/>
              <w:right w:w="107" w:type="dxa"/>
            </w:tcMar>
          </w:tcPr>
          <w:p w14:paraId="52F65D09" w14:textId="77777777" w:rsidR="00605CC2" w:rsidRPr="004111FE" w:rsidRDefault="00605CC2" w:rsidP="00DB7658">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2. </w:t>
            </w:r>
          </w:p>
        </w:tc>
        <w:tc>
          <w:tcPr>
            <w:tcW w:w="2049" w:type="dxa"/>
            <w:tcBorders>
              <w:top w:val="single" w:sz="8" w:space="0" w:color="auto"/>
              <w:left w:val="nil"/>
              <w:bottom w:val="single" w:sz="8" w:space="0" w:color="auto"/>
              <w:right w:val="nil"/>
            </w:tcBorders>
            <w:tcMar>
              <w:top w:w="0" w:type="dxa"/>
              <w:left w:w="107" w:type="dxa"/>
              <w:bottom w:w="0" w:type="dxa"/>
              <w:right w:w="107" w:type="dxa"/>
            </w:tcMar>
          </w:tcPr>
          <w:p w14:paraId="505BF36B" w14:textId="4FEA1254" w:rsidR="00605CC2" w:rsidRDefault="00605CC2" w:rsidP="00DB7658">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Pool B entitlement</w:t>
            </w:r>
          </w:p>
        </w:tc>
        <w:tc>
          <w:tcPr>
            <w:tcW w:w="5052" w:type="dxa"/>
            <w:tcBorders>
              <w:top w:val="single" w:sz="8" w:space="0" w:color="auto"/>
              <w:left w:val="nil"/>
              <w:bottom w:val="single" w:sz="8" w:space="0" w:color="auto"/>
              <w:right w:val="nil"/>
            </w:tcBorders>
            <w:tcMar>
              <w:top w:w="0" w:type="dxa"/>
              <w:left w:w="107" w:type="dxa"/>
              <w:bottom w:w="0" w:type="dxa"/>
              <w:right w:w="107" w:type="dxa"/>
            </w:tcMar>
          </w:tcPr>
          <w:p w14:paraId="72961ED8" w14:textId="25EEB49E" w:rsidR="00605CC2" w:rsidRPr="00B1482B" w:rsidRDefault="00706F31" w:rsidP="00D5249A">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Follow the third step through to the s</w:t>
            </w:r>
            <w:r w:rsidR="00B12600">
              <w:rPr>
                <w:rFonts w:ascii="Helvetica Neue" w:eastAsia="Times New Roman" w:hAnsi="Helvetica Neue" w:cs="Times New Roman"/>
                <w:sz w:val="19"/>
                <w:szCs w:val="19"/>
                <w:lang w:eastAsia="en-AU"/>
              </w:rPr>
              <w:t>ixth step in Items 4 to 7</w:t>
            </w:r>
            <w:r>
              <w:rPr>
                <w:rFonts w:ascii="Helvetica Neue" w:eastAsia="Times New Roman" w:hAnsi="Helvetica Neue" w:cs="Times New Roman"/>
                <w:sz w:val="19"/>
                <w:szCs w:val="19"/>
                <w:lang w:eastAsia="en-AU"/>
              </w:rPr>
              <w:t xml:space="preserve"> of this Schedule</w:t>
            </w:r>
          </w:p>
        </w:tc>
      </w:tr>
    </w:tbl>
    <w:p w14:paraId="6B481128" w14:textId="3B6FCA74" w:rsidR="00D13EC4" w:rsidRDefault="00605CC2" w:rsidP="00D13EC4">
      <w:pPr>
        <w:pStyle w:val="ItemHead"/>
        <w:ind w:left="0" w:firstLine="0"/>
      </w:pPr>
      <w:r>
        <w:t>4</w:t>
      </w:r>
      <w:r w:rsidR="00D13EC4" w:rsidRPr="00B1728A">
        <w:t xml:space="preserve">  </w:t>
      </w:r>
      <w:r>
        <w:t>Third</w:t>
      </w:r>
      <w:r w:rsidR="00D13EC4">
        <w:t xml:space="preserve"> step (Estab</w:t>
      </w:r>
      <w:r w:rsidR="000A76B9">
        <w:t>lish a raw entitlement</w:t>
      </w:r>
      <w:r w:rsidR="00D13EC4">
        <w:t>)</w:t>
      </w:r>
    </w:p>
    <w:p w14:paraId="6E36348D" w14:textId="696107FC" w:rsidR="008768A2" w:rsidRDefault="008768A2" w:rsidP="008768A2">
      <w:pPr>
        <w:pStyle w:val="subsection"/>
      </w:pPr>
      <w:r>
        <w:tab/>
        <w:t>(1)</w:t>
      </w:r>
      <w:r w:rsidRPr="00BE3917">
        <w:tab/>
      </w:r>
      <w:r w:rsidR="00B57D80">
        <w:t>Pool B is divided into the following components:</w:t>
      </w:r>
    </w:p>
    <w:p w14:paraId="4693A080" w14:textId="0B1E581F" w:rsidR="00B57D80" w:rsidRDefault="00B57D80" w:rsidP="00B57D80">
      <w:pPr>
        <w:pStyle w:val="paragraph"/>
      </w:pPr>
      <w:r w:rsidRPr="00885210">
        <w:tab/>
        <w:t>(a)</w:t>
      </w:r>
      <w:r w:rsidRPr="00885210">
        <w:tab/>
      </w:r>
      <w:r w:rsidR="001E7CE0">
        <w:t>a</w:t>
      </w:r>
      <w:r>
        <w:t xml:space="preserve"> component for enrolment comprised of 30 per cent of Pool B </w:t>
      </w:r>
      <w:r>
        <w:rPr>
          <w:b/>
          <w:i/>
        </w:rPr>
        <w:t>(</w:t>
      </w:r>
      <w:r w:rsidR="000056A0">
        <w:rPr>
          <w:b/>
          <w:i/>
        </w:rPr>
        <w:t>Enrolment C</w:t>
      </w:r>
      <w:r>
        <w:rPr>
          <w:b/>
          <w:i/>
        </w:rPr>
        <w:t>omponent)</w:t>
      </w:r>
      <w:r>
        <w:t xml:space="preserve">; </w:t>
      </w:r>
    </w:p>
    <w:p w14:paraId="584B6C1F" w14:textId="0DDE4675" w:rsidR="00B57D80" w:rsidRDefault="00B57D80" w:rsidP="00B57D80">
      <w:pPr>
        <w:pStyle w:val="paragraph"/>
      </w:pPr>
      <w:r>
        <w:tab/>
        <w:t>(b</w:t>
      </w:r>
      <w:r w:rsidRPr="00885210">
        <w:t>)</w:t>
      </w:r>
      <w:r w:rsidRPr="00885210">
        <w:tab/>
      </w:r>
      <w:r w:rsidR="007B5BBB">
        <w:t>a</w:t>
      </w:r>
      <w:r>
        <w:t xml:space="preserve"> component for regional areas and remote areas comprised of 10 per cent of Pool B </w:t>
      </w:r>
      <w:r w:rsidRPr="00B45DFD">
        <w:rPr>
          <w:b/>
          <w:i/>
        </w:rPr>
        <w:t>(</w:t>
      </w:r>
      <w:r w:rsidR="000056A0">
        <w:rPr>
          <w:b/>
          <w:i/>
        </w:rPr>
        <w:t>R</w:t>
      </w:r>
      <w:r>
        <w:rPr>
          <w:b/>
          <w:i/>
        </w:rPr>
        <w:t>egi</w:t>
      </w:r>
      <w:r w:rsidR="000056A0">
        <w:rPr>
          <w:b/>
          <w:i/>
        </w:rPr>
        <w:t>onal</w:t>
      </w:r>
      <w:r>
        <w:rPr>
          <w:b/>
          <w:i/>
        </w:rPr>
        <w:t xml:space="preserve"> and </w:t>
      </w:r>
      <w:r w:rsidR="000056A0">
        <w:rPr>
          <w:b/>
          <w:i/>
        </w:rPr>
        <w:t>Remote C</w:t>
      </w:r>
      <w:r>
        <w:rPr>
          <w:b/>
          <w:i/>
        </w:rPr>
        <w:t>omponent)</w:t>
      </w:r>
      <w:r>
        <w:t xml:space="preserve">; </w:t>
      </w:r>
    </w:p>
    <w:p w14:paraId="64408CDE" w14:textId="2A1728DD" w:rsidR="00B57D80" w:rsidRDefault="00B57D80" w:rsidP="00B57D80">
      <w:pPr>
        <w:pStyle w:val="paragraph"/>
      </w:pPr>
      <w:r>
        <w:tab/>
        <w:t>(c</w:t>
      </w:r>
      <w:r w:rsidRPr="00885210">
        <w:t>)</w:t>
      </w:r>
      <w:r w:rsidRPr="00885210">
        <w:tab/>
      </w:r>
      <w:r w:rsidR="007B5BBB">
        <w:t>a</w:t>
      </w:r>
      <w:r>
        <w:t xml:space="preserve"> component for success rate comprised of 30 per cent of Pool B </w:t>
      </w:r>
      <w:r w:rsidRPr="009E5804">
        <w:rPr>
          <w:b/>
          <w:i/>
        </w:rPr>
        <w:t>(</w:t>
      </w:r>
      <w:r w:rsidR="000056A0">
        <w:rPr>
          <w:b/>
          <w:i/>
        </w:rPr>
        <w:t>Success R</w:t>
      </w:r>
      <w:r>
        <w:rPr>
          <w:b/>
          <w:i/>
        </w:rPr>
        <w:t>ate component)</w:t>
      </w:r>
      <w:r>
        <w:t xml:space="preserve">; </w:t>
      </w:r>
    </w:p>
    <w:p w14:paraId="079DC42A" w14:textId="55877AA7" w:rsidR="00B57D80" w:rsidRDefault="00B57D80" w:rsidP="00B57D80">
      <w:pPr>
        <w:pStyle w:val="paragraph"/>
      </w:pPr>
      <w:r>
        <w:tab/>
        <w:t>(d</w:t>
      </w:r>
      <w:r w:rsidRPr="00885210">
        <w:t>)</w:t>
      </w:r>
      <w:r w:rsidRPr="00885210">
        <w:tab/>
      </w:r>
      <w:r w:rsidR="007B5BBB">
        <w:t xml:space="preserve">a </w:t>
      </w:r>
      <w:r>
        <w:t xml:space="preserve">component for </w:t>
      </w:r>
      <w:r w:rsidR="00C41D03">
        <w:t xml:space="preserve">course </w:t>
      </w:r>
      <w:r>
        <w:t>completion</w:t>
      </w:r>
      <w:r w:rsidR="00C41D03">
        <w:t>s</w:t>
      </w:r>
      <w:r>
        <w:t xml:space="preserve"> comprised of 30 per cent of Pool B </w:t>
      </w:r>
      <w:r w:rsidRPr="009E5804">
        <w:rPr>
          <w:b/>
          <w:i/>
        </w:rPr>
        <w:t>(</w:t>
      </w:r>
      <w:r w:rsidR="000056A0">
        <w:rPr>
          <w:b/>
          <w:i/>
        </w:rPr>
        <w:t>C</w:t>
      </w:r>
      <w:r>
        <w:rPr>
          <w:b/>
          <w:i/>
        </w:rPr>
        <w:t>ompletion</w:t>
      </w:r>
      <w:r w:rsidR="000056A0">
        <w:rPr>
          <w:b/>
          <w:i/>
        </w:rPr>
        <w:t xml:space="preserve"> C</w:t>
      </w:r>
      <w:r>
        <w:rPr>
          <w:b/>
          <w:i/>
        </w:rPr>
        <w:t>omponent)</w:t>
      </w:r>
      <w:r w:rsidR="00EC0F06">
        <w:t>.</w:t>
      </w:r>
    </w:p>
    <w:p w14:paraId="2AD74B7F" w14:textId="6AFBC47C" w:rsidR="001E7CE0" w:rsidRDefault="00B57D80" w:rsidP="00B45DFD">
      <w:pPr>
        <w:pStyle w:val="subsection"/>
      </w:pPr>
      <w:r>
        <w:tab/>
        <w:t>(2)</w:t>
      </w:r>
      <w:r w:rsidRPr="00BE3917">
        <w:tab/>
      </w:r>
      <w:r w:rsidR="00B1482B">
        <w:t>For each</w:t>
      </w:r>
      <w:r w:rsidR="001E7CE0">
        <w:t xml:space="preserve"> eligible higher education provider, the factor in column 2 of the table is established </w:t>
      </w:r>
      <w:r w:rsidR="00B00366">
        <w:t>by performing</w:t>
      </w:r>
      <w:r w:rsidR="00543FE4">
        <w:t xml:space="preserve"> the </w:t>
      </w:r>
      <w:r w:rsidR="00B00366">
        <w:t>calculation</w:t>
      </w:r>
      <w:r w:rsidR="001E7CE0">
        <w:t xml:space="preserve"> in column 3 of the table</w:t>
      </w:r>
      <w:r w:rsidR="000733CD">
        <w:t xml:space="preserve"> using </w:t>
      </w:r>
      <w:r w:rsidR="00D025FF">
        <w:t xml:space="preserve">data consistent with </w:t>
      </w:r>
      <w:r w:rsidR="000733CD">
        <w:t xml:space="preserve">the most recent publicly available </w:t>
      </w:r>
      <w:r w:rsidR="00D025FF">
        <w:t xml:space="preserve">full-year student </w:t>
      </w:r>
      <w:r w:rsidR="000733CD">
        <w:t xml:space="preserve">data in the Higher Education Student </w:t>
      </w:r>
      <w:r w:rsidR="001C22C1">
        <w:t>Data</w:t>
      </w:r>
      <w:r w:rsidR="000733CD">
        <w:t xml:space="preserve"> Collection</w:t>
      </w:r>
      <w:r w:rsidR="001E7CE0">
        <w:t xml:space="preserve">. </w:t>
      </w:r>
    </w:p>
    <w:p w14:paraId="3A5A4FE5" w14:textId="77777777" w:rsidR="00B1482B" w:rsidRDefault="00B1482B" w:rsidP="00B45DFD">
      <w:pPr>
        <w:pStyle w:val="subsection"/>
      </w:pPr>
    </w:p>
    <w:tbl>
      <w:tblPr>
        <w:tblW w:w="0" w:type="auto"/>
        <w:tblInd w:w="107" w:type="dxa"/>
        <w:tblCellMar>
          <w:left w:w="0" w:type="dxa"/>
          <w:right w:w="0" w:type="dxa"/>
        </w:tblCellMar>
        <w:tblLook w:val="04A0" w:firstRow="1" w:lastRow="0" w:firstColumn="1" w:lastColumn="0" w:noHBand="0" w:noVBand="1"/>
      </w:tblPr>
      <w:tblGrid>
        <w:gridCol w:w="1105"/>
        <w:gridCol w:w="2616"/>
        <w:gridCol w:w="4485"/>
      </w:tblGrid>
      <w:tr w:rsidR="00B1482B" w:rsidRPr="004111FE" w14:paraId="00989791" w14:textId="77777777" w:rsidTr="002C568E">
        <w:trPr>
          <w:tblHeader/>
        </w:trPr>
        <w:tc>
          <w:tcPr>
            <w:tcW w:w="8206"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34B4366C" w14:textId="3C45623D" w:rsidR="00B1482B" w:rsidRPr="004111FE" w:rsidRDefault="00B1482B" w:rsidP="002C568E">
            <w:pPr>
              <w:keepNext/>
              <w:keepLines/>
              <w:spacing w:before="100" w:beforeAutospacing="1" w:after="100" w:afterAutospacing="1" w:line="240" w:lineRule="auto"/>
              <w:rPr>
                <w:rFonts w:ascii="Helvetica Neue" w:eastAsia="Times New Roman" w:hAnsi="Helvetica Neue" w:cs="Times New Roman"/>
                <w:b/>
                <w:bCs/>
                <w:sz w:val="20"/>
                <w:lang w:eastAsia="en-AU"/>
              </w:rPr>
            </w:pPr>
            <w:r>
              <w:rPr>
                <w:rFonts w:ascii="Helvetica Neue" w:eastAsia="Times New Roman" w:hAnsi="Helvetica Neue" w:cs="Times New Roman"/>
                <w:b/>
                <w:bCs/>
                <w:sz w:val="20"/>
                <w:lang w:eastAsia="en-AU"/>
              </w:rPr>
              <w:t>Factors</w:t>
            </w:r>
          </w:p>
        </w:tc>
      </w:tr>
      <w:tr w:rsidR="00B1482B" w:rsidRPr="004111FE" w14:paraId="61B9E0E9" w14:textId="77777777" w:rsidTr="00B45DFD">
        <w:trPr>
          <w:tblHeader/>
        </w:trPr>
        <w:tc>
          <w:tcPr>
            <w:tcW w:w="1105" w:type="dxa"/>
            <w:tcBorders>
              <w:top w:val="nil"/>
              <w:left w:val="nil"/>
              <w:bottom w:val="single" w:sz="8" w:space="0" w:color="auto"/>
              <w:right w:val="nil"/>
            </w:tcBorders>
            <w:tcMar>
              <w:top w:w="0" w:type="dxa"/>
              <w:left w:w="107" w:type="dxa"/>
              <w:bottom w:w="0" w:type="dxa"/>
              <w:right w:w="107" w:type="dxa"/>
            </w:tcMar>
            <w:hideMark/>
          </w:tcPr>
          <w:p w14:paraId="78FB5057" w14:textId="77777777" w:rsidR="00B1482B" w:rsidRPr="004111FE" w:rsidRDefault="00B1482B" w:rsidP="002C568E">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1</w:t>
            </w:r>
          </w:p>
        </w:tc>
        <w:tc>
          <w:tcPr>
            <w:tcW w:w="2616" w:type="dxa"/>
            <w:tcBorders>
              <w:top w:val="nil"/>
              <w:left w:val="nil"/>
              <w:bottom w:val="single" w:sz="8" w:space="0" w:color="auto"/>
              <w:right w:val="nil"/>
            </w:tcBorders>
            <w:tcMar>
              <w:top w:w="0" w:type="dxa"/>
              <w:left w:w="107" w:type="dxa"/>
              <w:bottom w:w="0" w:type="dxa"/>
              <w:right w:w="107" w:type="dxa"/>
            </w:tcMar>
            <w:hideMark/>
          </w:tcPr>
          <w:p w14:paraId="5C46226D" w14:textId="77777777" w:rsidR="00B1482B" w:rsidRPr="004111FE" w:rsidRDefault="00B1482B" w:rsidP="002C568E">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2</w:t>
            </w:r>
          </w:p>
        </w:tc>
        <w:tc>
          <w:tcPr>
            <w:tcW w:w="4485" w:type="dxa"/>
            <w:tcBorders>
              <w:top w:val="nil"/>
              <w:left w:val="nil"/>
              <w:bottom w:val="single" w:sz="8" w:space="0" w:color="auto"/>
              <w:right w:val="nil"/>
            </w:tcBorders>
            <w:tcMar>
              <w:top w:w="0" w:type="dxa"/>
              <w:left w:w="107" w:type="dxa"/>
              <w:bottom w:w="0" w:type="dxa"/>
              <w:right w:w="107" w:type="dxa"/>
            </w:tcMar>
            <w:hideMark/>
          </w:tcPr>
          <w:p w14:paraId="09A3888B" w14:textId="77777777" w:rsidR="00B1482B" w:rsidRPr="004111FE" w:rsidRDefault="00B1482B" w:rsidP="002C568E">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3</w:t>
            </w:r>
          </w:p>
        </w:tc>
      </w:tr>
      <w:tr w:rsidR="00B1482B" w:rsidRPr="004111FE" w14:paraId="58054ED0" w14:textId="77777777" w:rsidTr="00B45DFD">
        <w:trPr>
          <w:tblHeader/>
        </w:trPr>
        <w:tc>
          <w:tcPr>
            <w:tcW w:w="1105" w:type="dxa"/>
            <w:tcBorders>
              <w:top w:val="nil"/>
              <w:left w:val="nil"/>
              <w:bottom w:val="single" w:sz="12" w:space="0" w:color="auto"/>
              <w:right w:val="nil"/>
            </w:tcBorders>
            <w:tcMar>
              <w:top w:w="0" w:type="dxa"/>
              <w:left w:w="107" w:type="dxa"/>
              <w:bottom w:w="0" w:type="dxa"/>
              <w:right w:w="107" w:type="dxa"/>
            </w:tcMar>
            <w:hideMark/>
          </w:tcPr>
          <w:p w14:paraId="32F62F20" w14:textId="77777777" w:rsidR="00B1482B" w:rsidRPr="004111FE" w:rsidRDefault="00B1482B" w:rsidP="002C568E">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Item</w:t>
            </w:r>
          </w:p>
        </w:tc>
        <w:tc>
          <w:tcPr>
            <w:tcW w:w="2616" w:type="dxa"/>
            <w:tcBorders>
              <w:top w:val="nil"/>
              <w:left w:val="nil"/>
              <w:bottom w:val="single" w:sz="12" w:space="0" w:color="auto"/>
              <w:right w:val="nil"/>
            </w:tcBorders>
            <w:tcMar>
              <w:top w:w="0" w:type="dxa"/>
              <w:left w:w="107" w:type="dxa"/>
              <w:bottom w:w="0" w:type="dxa"/>
              <w:right w:w="107" w:type="dxa"/>
            </w:tcMar>
            <w:hideMark/>
          </w:tcPr>
          <w:p w14:paraId="297AA85B" w14:textId="25BE565E" w:rsidR="00B1482B" w:rsidRPr="004111FE" w:rsidRDefault="00B1482B" w:rsidP="002C568E">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Factor</w:t>
            </w:r>
          </w:p>
        </w:tc>
        <w:tc>
          <w:tcPr>
            <w:tcW w:w="4485" w:type="dxa"/>
            <w:tcBorders>
              <w:top w:val="nil"/>
              <w:left w:val="nil"/>
              <w:bottom w:val="single" w:sz="12" w:space="0" w:color="auto"/>
              <w:right w:val="nil"/>
            </w:tcBorders>
            <w:tcMar>
              <w:top w:w="0" w:type="dxa"/>
              <w:left w:w="107" w:type="dxa"/>
              <w:bottom w:w="0" w:type="dxa"/>
              <w:right w:w="107" w:type="dxa"/>
            </w:tcMar>
            <w:hideMark/>
          </w:tcPr>
          <w:p w14:paraId="61997AB5" w14:textId="3B047E0F" w:rsidR="00B1482B" w:rsidRPr="00234629" w:rsidRDefault="00B1482B" w:rsidP="002C568E">
            <w:pPr>
              <w:keepNext/>
              <w:keepLines/>
              <w:spacing w:before="100" w:beforeAutospacing="1" w:after="100" w:afterAutospacing="1" w:line="240" w:lineRule="auto"/>
              <w:rPr>
                <w:rFonts w:ascii="Helvetica Neue" w:eastAsia="Times New Roman" w:hAnsi="Helvetica Neue" w:cs="Times New Roman"/>
                <w:b/>
                <w:sz w:val="19"/>
                <w:szCs w:val="19"/>
                <w:lang w:eastAsia="en-AU"/>
              </w:rPr>
            </w:pPr>
            <w:r>
              <w:rPr>
                <w:rFonts w:ascii="Helvetica Neue" w:eastAsia="Times New Roman" w:hAnsi="Helvetica Neue" w:cs="Times New Roman"/>
                <w:b/>
                <w:sz w:val="19"/>
                <w:szCs w:val="19"/>
                <w:lang w:eastAsia="en-AU"/>
              </w:rPr>
              <w:t>Calculation</w:t>
            </w:r>
          </w:p>
        </w:tc>
      </w:tr>
      <w:tr w:rsidR="00B1482B" w:rsidRPr="004111FE" w14:paraId="3A155AA9" w14:textId="77777777" w:rsidTr="00B45DFD">
        <w:tc>
          <w:tcPr>
            <w:tcW w:w="1105" w:type="dxa"/>
            <w:tcBorders>
              <w:top w:val="nil"/>
              <w:left w:val="nil"/>
              <w:bottom w:val="single" w:sz="8" w:space="0" w:color="auto"/>
              <w:right w:val="nil"/>
            </w:tcBorders>
            <w:tcMar>
              <w:top w:w="0" w:type="dxa"/>
              <w:left w:w="107" w:type="dxa"/>
              <w:bottom w:w="0" w:type="dxa"/>
              <w:right w:w="107" w:type="dxa"/>
            </w:tcMar>
          </w:tcPr>
          <w:p w14:paraId="5EAD7254" w14:textId="08256B18" w:rsidR="00B1482B" w:rsidRPr="004111FE" w:rsidRDefault="00B1482B" w:rsidP="002C568E">
            <w:pPr>
              <w:keepNext/>
              <w:keepLines/>
              <w:spacing w:before="100" w:beforeAutospacing="1" w:after="100" w:afterAutospacing="1" w:line="240" w:lineRule="auto"/>
              <w:ind w:left="35" w:hanging="35"/>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1.</w:t>
            </w:r>
          </w:p>
        </w:tc>
        <w:tc>
          <w:tcPr>
            <w:tcW w:w="2616" w:type="dxa"/>
            <w:tcBorders>
              <w:top w:val="nil"/>
              <w:left w:val="nil"/>
              <w:bottom w:val="single" w:sz="8" w:space="0" w:color="auto"/>
              <w:right w:val="nil"/>
            </w:tcBorders>
            <w:tcMar>
              <w:top w:w="0" w:type="dxa"/>
              <w:left w:w="107" w:type="dxa"/>
              <w:bottom w:w="0" w:type="dxa"/>
              <w:right w:w="107" w:type="dxa"/>
            </w:tcMar>
          </w:tcPr>
          <w:p w14:paraId="3F07E884" w14:textId="6396891D" w:rsidR="00B1482B" w:rsidRPr="004111FE" w:rsidRDefault="00B1482B" w:rsidP="002C568E">
            <w:pPr>
              <w:keepNext/>
              <w:keepLines/>
              <w:spacing w:before="100" w:beforeAutospacing="1" w:after="100" w:afterAutospacing="1" w:line="240" w:lineRule="auto"/>
              <w:ind w:left="35" w:hanging="35"/>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 xml:space="preserve">Enrolment </w:t>
            </w:r>
            <w:r w:rsidR="00543FE4">
              <w:rPr>
                <w:rFonts w:ascii="Helvetica Neue" w:eastAsia="Times New Roman" w:hAnsi="Helvetica Neue" w:cs="Times New Roman"/>
                <w:sz w:val="19"/>
                <w:szCs w:val="19"/>
                <w:lang w:eastAsia="en-AU"/>
              </w:rPr>
              <w:t>F</w:t>
            </w:r>
            <w:r>
              <w:rPr>
                <w:rFonts w:ascii="Helvetica Neue" w:eastAsia="Times New Roman" w:hAnsi="Helvetica Neue" w:cs="Times New Roman"/>
                <w:sz w:val="19"/>
                <w:szCs w:val="19"/>
                <w:lang w:eastAsia="en-AU"/>
              </w:rPr>
              <w:t>actor</w:t>
            </w:r>
          </w:p>
        </w:tc>
        <w:tc>
          <w:tcPr>
            <w:tcW w:w="4485" w:type="dxa"/>
            <w:tcBorders>
              <w:top w:val="nil"/>
              <w:left w:val="nil"/>
              <w:bottom w:val="single" w:sz="8" w:space="0" w:color="auto"/>
              <w:right w:val="nil"/>
            </w:tcBorders>
            <w:tcMar>
              <w:top w:w="0" w:type="dxa"/>
              <w:left w:w="107" w:type="dxa"/>
              <w:bottom w:w="0" w:type="dxa"/>
              <w:right w:w="107" w:type="dxa"/>
            </w:tcMar>
          </w:tcPr>
          <w:p w14:paraId="2D6FEE4A" w14:textId="36AF3D07" w:rsidR="00B1482B" w:rsidRPr="00B1482B" w:rsidRDefault="00B1482B" w:rsidP="002C568E">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 xml:space="preserve">Divide the </w:t>
            </w:r>
            <w:r w:rsidR="008D2AAF">
              <w:rPr>
                <w:rFonts w:ascii="Helvetica Neue" w:eastAsia="Times New Roman" w:hAnsi="Helvetica Neue" w:cs="Times New Roman"/>
                <w:sz w:val="19"/>
                <w:szCs w:val="19"/>
                <w:lang w:eastAsia="en-AU"/>
              </w:rPr>
              <w:t xml:space="preserve">provider’s </w:t>
            </w:r>
            <w:r w:rsidR="008D2AAF">
              <w:rPr>
                <w:rFonts w:ascii="Helvetica Neue" w:eastAsia="Times New Roman" w:hAnsi="Helvetica Neue" w:cs="Times New Roman"/>
                <w:i/>
                <w:sz w:val="19"/>
                <w:szCs w:val="19"/>
                <w:lang w:eastAsia="en-AU"/>
              </w:rPr>
              <w:t xml:space="preserve">EFTSL </w:t>
            </w:r>
            <w:r w:rsidR="008D2AAF">
              <w:rPr>
                <w:rFonts w:ascii="Helvetica Neue" w:eastAsia="Times New Roman" w:hAnsi="Helvetica Neue" w:cs="Times New Roman"/>
                <w:sz w:val="19"/>
                <w:szCs w:val="19"/>
                <w:lang w:eastAsia="en-AU"/>
              </w:rPr>
              <w:t xml:space="preserve">of Indigenous students by the </w:t>
            </w:r>
            <w:r>
              <w:rPr>
                <w:rFonts w:ascii="Helvetica Neue" w:eastAsia="Times New Roman" w:hAnsi="Helvetica Neue" w:cs="Times New Roman"/>
                <w:sz w:val="19"/>
                <w:szCs w:val="19"/>
                <w:lang w:eastAsia="en-AU"/>
              </w:rPr>
              <w:t xml:space="preserve">sum </w:t>
            </w:r>
            <w:r w:rsidR="00C41D03">
              <w:rPr>
                <w:rFonts w:ascii="Helvetica Neue" w:eastAsia="Times New Roman" w:hAnsi="Helvetica Neue" w:cs="Times New Roman"/>
                <w:sz w:val="19"/>
                <w:szCs w:val="19"/>
                <w:lang w:eastAsia="en-AU"/>
              </w:rPr>
              <w:t xml:space="preserve">of </w:t>
            </w:r>
            <w:r>
              <w:rPr>
                <w:rFonts w:ascii="Helvetica Neue" w:eastAsia="Times New Roman" w:hAnsi="Helvetica Neue" w:cs="Times New Roman"/>
                <w:i/>
                <w:sz w:val="19"/>
                <w:szCs w:val="19"/>
                <w:lang w:eastAsia="en-AU"/>
              </w:rPr>
              <w:t xml:space="preserve">EFTSL </w:t>
            </w:r>
            <w:r>
              <w:rPr>
                <w:rFonts w:ascii="Helvetica Neue" w:eastAsia="Times New Roman" w:hAnsi="Helvetica Neue" w:cs="Times New Roman"/>
                <w:sz w:val="19"/>
                <w:szCs w:val="19"/>
                <w:lang w:eastAsia="en-AU"/>
              </w:rPr>
              <w:t xml:space="preserve">of Indigenous students for all eligible higher education </w:t>
            </w:r>
          </w:p>
        </w:tc>
      </w:tr>
      <w:tr w:rsidR="00B1482B" w:rsidRPr="004111FE" w14:paraId="089A2854" w14:textId="77777777" w:rsidTr="00B45DFD">
        <w:tc>
          <w:tcPr>
            <w:tcW w:w="1105" w:type="dxa"/>
            <w:tcBorders>
              <w:top w:val="single" w:sz="8" w:space="0" w:color="auto"/>
              <w:left w:val="nil"/>
              <w:bottom w:val="single" w:sz="8" w:space="0" w:color="auto"/>
              <w:right w:val="nil"/>
            </w:tcBorders>
            <w:tcMar>
              <w:top w:w="0" w:type="dxa"/>
              <w:left w:w="107" w:type="dxa"/>
              <w:bottom w:w="0" w:type="dxa"/>
              <w:right w:w="107" w:type="dxa"/>
            </w:tcMar>
          </w:tcPr>
          <w:p w14:paraId="6043CDB3" w14:textId="4665825C" w:rsidR="00B1482B" w:rsidRPr="004111FE" w:rsidRDefault="00B1482B" w:rsidP="002C568E">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2. </w:t>
            </w:r>
          </w:p>
        </w:tc>
        <w:tc>
          <w:tcPr>
            <w:tcW w:w="2616" w:type="dxa"/>
            <w:tcBorders>
              <w:top w:val="single" w:sz="8" w:space="0" w:color="auto"/>
              <w:left w:val="nil"/>
              <w:bottom w:val="single" w:sz="8" w:space="0" w:color="auto"/>
              <w:right w:val="nil"/>
            </w:tcBorders>
            <w:tcMar>
              <w:top w:w="0" w:type="dxa"/>
              <w:left w:w="107" w:type="dxa"/>
              <w:bottom w:w="0" w:type="dxa"/>
              <w:right w:w="107" w:type="dxa"/>
            </w:tcMar>
          </w:tcPr>
          <w:p w14:paraId="243730BC" w14:textId="57D61A54" w:rsidR="00B1482B" w:rsidRDefault="00B1482B" w:rsidP="002C568E">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Regional and </w:t>
            </w:r>
            <w:r w:rsidR="00543FE4">
              <w:rPr>
                <w:rFonts w:ascii="Helvetica Neue" w:eastAsia="Times New Roman" w:hAnsi="Helvetica Neue" w:cs="Times New Roman"/>
                <w:sz w:val="20"/>
                <w:lang w:eastAsia="en-AU"/>
              </w:rPr>
              <w:t>R</w:t>
            </w:r>
            <w:r>
              <w:rPr>
                <w:rFonts w:ascii="Helvetica Neue" w:eastAsia="Times New Roman" w:hAnsi="Helvetica Neue" w:cs="Times New Roman"/>
                <w:sz w:val="20"/>
                <w:lang w:eastAsia="en-AU"/>
              </w:rPr>
              <w:t xml:space="preserve">emote </w:t>
            </w:r>
            <w:r w:rsidR="00543FE4">
              <w:rPr>
                <w:rFonts w:ascii="Helvetica Neue" w:eastAsia="Times New Roman" w:hAnsi="Helvetica Neue" w:cs="Times New Roman"/>
                <w:sz w:val="20"/>
                <w:lang w:eastAsia="en-AU"/>
              </w:rPr>
              <w:t>F</w:t>
            </w:r>
            <w:r>
              <w:rPr>
                <w:rFonts w:ascii="Helvetica Neue" w:eastAsia="Times New Roman" w:hAnsi="Helvetica Neue" w:cs="Times New Roman"/>
                <w:sz w:val="20"/>
                <w:lang w:eastAsia="en-AU"/>
              </w:rPr>
              <w:t>actor</w:t>
            </w:r>
          </w:p>
        </w:tc>
        <w:tc>
          <w:tcPr>
            <w:tcW w:w="4485" w:type="dxa"/>
            <w:tcBorders>
              <w:top w:val="single" w:sz="8" w:space="0" w:color="auto"/>
              <w:left w:val="nil"/>
              <w:bottom w:val="single" w:sz="8" w:space="0" w:color="auto"/>
              <w:right w:val="nil"/>
            </w:tcBorders>
            <w:tcMar>
              <w:top w:w="0" w:type="dxa"/>
              <w:left w:w="107" w:type="dxa"/>
              <w:bottom w:w="0" w:type="dxa"/>
              <w:right w:w="107" w:type="dxa"/>
            </w:tcMar>
          </w:tcPr>
          <w:p w14:paraId="74555491" w14:textId="70E3C28B" w:rsidR="00B1482B" w:rsidRPr="00B1482B" w:rsidRDefault="00B1482B" w:rsidP="002C568E">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 xml:space="preserve">Divide the </w:t>
            </w:r>
            <w:r w:rsidR="008D2AAF">
              <w:rPr>
                <w:rFonts w:ascii="Helvetica Neue" w:eastAsia="Times New Roman" w:hAnsi="Helvetica Neue" w:cs="Times New Roman"/>
                <w:sz w:val="19"/>
                <w:szCs w:val="19"/>
                <w:lang w:eastAsia="en-AU"/>
              </w:rPr>
              <w:t xml:space="preserve">provider’s </w:t>
            </w:r>
            <w:r w:rsidR="008D2AAF">
              <w:rPr>
                <w:rFonts w:ascii="Helvetica Neue" w:eastAsia="Times New Roman" w:hAnsi="Helvetica Neue" w:cs="Times New Roman"/>
                <w:i/>
                <w:sz w:val="19"/>
                <w:szCs w:val="19"/>
                <w:lang w:eastAsia="en-AU"/>
              </w:rPr>
              <w:t xml:space="preserve">EFTSL </w:t>
            </w:r>
            <w:r w:rsidR="008D2AAF">
              <w:rPr>
                <w:rFonts w:ascii="Helvetica Neue" w:eastAsia="Times New Roman" w:hAnsi="Helvetica Neue" w:cs="Times New Roman"/>
                <w:sz w:val="19"/>
                <w:szCs w:val="19"/>
                <w:lang w:eastAsia="en-AU"/>
              </w:rPr>
              <w:t>of Indigenous students by</w:t>
            </w:r>
            <w:r>
              <w:rPr>
                <w:rFonts w:ascii="Helvetica Neue" w:eastAsia="Times New Roman" w:hAnsi="Helvetica Neue" w:cs="Times New Roman"/>
                <w:sz w:val="19"/>
                <w:szCs w:val="19"/>
                <w:lang w:eastAsia="en-AU"/>
              </w:rPr>
              <w:t xml:space="preserve"> the sum </w:t>
            </w:r>
            <w:r w:rsidR="00C41D03">
              <w:rPr>
                <w:rFonts w:ascii="Helvetica Neue" w:eastAsia="Times New Roman" w:hAnsi="Helvetica Neue" w:cs="Times New Roman"/>
                <w:sz w:val="19"/>
                <w:szCs w:val="19"/>
                <w:lang w:eastAsia="en-AU"/>
              </w:rPr>
              <w:t>of</w:t>
            </w:r>
            <w:r>
              <w:rPr>
                <w:rFonts w:ascii="Helvetica Neue" w:eastAsia="Times New Roman" w:hAnsi="Helvetica Neue" w:cs="Times New Roman"/>
                <w:sz w:val="19"/>
                <w:szCs w:val="19"/>
                <w:lang w:eastAsia="en-AU"/>
              </w:rPr>
              <w:t xml:space="preserve"> </w:t>
            </w:r>
            <w:r>
              <w:rPr>
                <w:rFonts w:ascii="Helvetica Neue" w:eastAsia="Times New Roman" w:hAnsi="Helvetica Neue" w:cs="Times New Roman"/>
                <w:i/>
                <w:sz w:val="19"/>
                <w:szCs w:val="19"/>
                <w:lang w:eastAsia="en-AU"/>
              </w:rPr>
              <w:t xml:space="preserve">EFTSL </w:t>
            </w:r>
            <w:r>
              <w:rPr>
                <w:rFonts w:ascii="Helvetica Neue" w:eastAsia="Times New Roman" w:hAnsi="Helvetica Neue" w:cs="Times New Roman"/>
                <w:sz w:val="19"/>
                <w:szCs w:val="19"/>
                <w:lang w:eastAsia="en-AU"/>
              </w:rPr>
              <w:t>of Indigenous students from regional areas and remote areas for all eligible higher education providers</w:t>
            </w:r>
          </w:p>
        </w:tc>
      </w:tr>
      <w:tr w:rsidR="00B1482B" w:rsidRPr="004111FE" w14:paraId="55A991BA" w14:textId="77777777" w:rsidTr="00B45DFD">
        <w:tc>
          <w:tcPr>
            <w:tcW w:w="1105" w:type="dxa"/>
            <w:tcBorders>
              <w:top w:val="single" w:sz="8" w:space="0" w:color="auto"/>
              <w:left w:val="nil"/>
              <w:bottom w:val="single" w:sz="8" w:space="0" w:color="auto"/>
              <w:right w:val="nil"/>
            </w:tcBorders>
            <w:tcMar>
              <w:top w:w="0" w:type="dxa"/>
              <w:left w:w="107" w:type="dxa"/>
              <w:bottom w:w="0" w:type="dxa"/>
              <w:right w:w="107" w:type="dxa"/>
            </w:tcMar>
          </w:tcPr>
          <w:p w14:paraId="1D09D67D" w14:textId="0892E493" w:rsidR="00B1482B" w:rsidRDefault="00B1482B" w:rsidP="002C568E">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3.</w:t>
            </w:r>
          </w:p>
        </w:tc>
        <w:tc>
          <w:tcPr>
            <w:tcW w:w="2616" w:type="dxa"/>
            <w:tcBorders>
              <w:top w:val="single" w:sz="8" w:space="0" w:color="auto"/>
              <w:left w:val="nil"/>
              <w:bottom w:val="single" w:sz="8" w:space="0" w:color="auto"/>
              <w:right w:val="nil"/>
            </w:tcBorders>
            <w:tcMar>
              <w:top w:w="0" w:type="dxa"/>
              <w:left w:w="107" w:type="dxa"/>
              <w:bottom w:w="0" w:type="dxa"/>
              <w:right w:w="107" w:type="dxa"/>
            </w:tcMar>
          </w:tcPr>
          <w:p w14:paraId="1D764730" w14:textId="201EB373" w:rsidR="00B1482B" w:rsidRDefault="00B1482B" w:rsidP="002C568E">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Success </w:t>
            </w:r>
            <w:r w:rsidR="00543FE4">
              <w:rPr>
                <w:rFonts w:ascii="Helvetica Neue" w:eastAsia="Times New Roman" w:hAnsi="Helvetica Neue" w:cs="Times New Roman"/>
                <w:sz w:val="20"/>
                <w:lang w:eastAsia="en-AU"/>
              </w:rPr>
              <w:t>R</w:t>
            </w:r>
            <w:r>
              <w:rPr>
                <w:rFonts w:ascii="Helvetica Neue" w:eastAsia="Times New Roman" w:hAnsi="Helvetica Neue" w:cs="Times New Roman"/>
                <w:sz w:val="20"/>
                <w:lang w:eastAsia="en-AU"/>
              </w:rPr>
              <w:t xml:space="preserve">ate </w:t>
            </w:r>
            <w:r w:rsidR="00543FE4">
              <w:rPr>
                <w:rFonts w:ascii="Helvetica Neue" w:eastAsia="Times New Roman" w:hAnsi="Helvetica Neue" w:cs="Times New Roman"/>
                <w:sz w:val="20"/>
                <w:lang w:eastAsia="en-AU"/>
              </w:rPr>
              <w:t>F</w:t>
            </w:r>
            <w:r>
              <w:rPr>
                <w:rFonts w:ascii="Helvetica Neue" w:eastAsia="Times New Roman" w:hAnsi="Helvetica Neue" w:cs="Times New Roman"/>
                <w:sz w:val="20"/>
                <w:lang w:eastAsia="en-AU"/>
              </w:rPr>
              <w:t>actor</w:t>
            </w:r>
          </w:p>
        </w:tc>
        <w:tc>
          <w:tcPr>
            <w:tcW w:w="4485" w:type="dxa"/>
            <w:tcBorders>
              <w:top w:val="single" w:sz="8" w:space="0" w:color="auto"/>
              <w:left w:val="nil"/>
              <w:bottom w:val="single" w:sz="8" w:space="0" w:color="auto"/>
              <w:right w:val="nil"/>
            </w:tcBorders>
            <w:tcMar>
              <w:top w:w="0" w:type="dxa"/>
              <w:left w:w="107" w:type="dxa"/>
              <w:bottom w:w="0" w:type="dxa"/>
              <w:right w:w="107" w:type="dxa"/>
            </w:tcMar>
          </w:tcPr>
          <w:p w14:paraId="5D95C4BE" w14:textId="06BCB5C3" w:rsidR="00B1482B" w:rsidRPr="00B1482B" w:rsidRDefault="00B1482B">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 xml:space="preserve">Divide the </w:t>
            </w:r>
            <w:r w:rsidR="008D2AAF">
              <w:rPr>
                <w:rFonts w:ascii="Helvetica Neue" w:eastAsia="Times New Roman" w:hAnsi="Helvetica Neue" w:cs="Times New Roman"/>
                <w:sz w:val="19"/>
                <w:szCs w:val="19"/>
                <w:lang w:eastAsia="en-AU"/>
              </w:rPr>
              <w:t xml:space="preserve">provider’s success rate for Indigenous students by the </w:t>
            </w:r>
            <w:r>
              <w:rPr>
                <w:rFonts w:ascii="Helvetica Neue" w:eastAsia="Times New Roman" w:hAnsi="Helvetica Neue" w:cs="Times New Roman"/>
                <w:sz w:val="19"/>
                <w:szCs w:val="19"/>
                <w:lang w:eastAsia="en-AU"/>
              </w:rPr>
              <w:t xml:space="preserve">sum of the success rates </w:t>
            </w:r>
            <w:r w:rsidR="008D2AAF">
              <w:rPr>
                <w:rFonts w:ascii="Helvetica Neue" w:eastAsia="Times New Roman" w:hAnsi="Helvetica Neue" w:cs="Times New Roman"/>
                <w:sz w:val="19"/>
                <w:szCs w:val="19"/>
                <w:lang w:eastAsia="en-AU"/>
              </w:rPr>
              <w:t>for</w:t>
            </w:r>
            <w:r>
              <w:rPr>
                <w:rFonts w:ascii="Helvetica Neue" w:eastAsia="Times New Roman" w:hAnsi="Helvetica Neue" w:cs="Times New Roman"/>
                <w:sz w:val="19"/>
                <w:szCs w:val="19"/>
                <w:lang w:eastAsia="en-AU"/>
              </w:rPr>
              <w:t xml:space="preserve"> Indigenous students at all eligible higher education providers </w:t>
            </w:r>
          </w:p>
        </w:tc>
      </w:tr>
      <w:tr w:rsidR="00B1482B" w:rsidRPr="004111FE" w14:paraId="1B593C99" w14:textId="77777777" w:rsidTr="00B45DFD">
        <w:tc>
          <w:tcPr>
            <w:tcW w:w="1105" w:type="dxa"/>
            <w:tcBorders>
              <w:top w:val="single" w:sz="8" w:space="0" w:color="auto"/>
              <w:left w:val="nil"/>
              <w:bottom w:val="single" w:sz="12" w:space="0" w:color="auto"/>
              <w:right w:val="nil"/>
            </w:tcBorders>
            <w:tcMar>
              <w:top w:w="0" w:type="dxa"/>
              <w:left w:w="107" w:type="dxa"/>
              <w:bottom w:w="0" w:type="dxa"/>
              <w:right w:w="107" w:type="dxa"/>
            </w:tcMar>
          </w:tcPr>
          <w:p w14:paraId="2B524ADF" w14:textId="1C6134A6" w:rsidR="00B1482B" w:rsidRDefault="00B1482B" w:rsidP="002C568E">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4. </w:t>
            </w:r>
          </w:p>
        </w:tc>
        <w:tc>
          <w:tcPr>
            <w:tcW w:w="2616" w:type="dxa"/>
            <w:tcBorders>
              <w:top w:val="single" w:sz="8" w:space="0" w:color="auto"/>
              <w:left w:val="nil"/>
              <w:bottom w:val="single" w:sz="12" w:space="0" w:color="auto"/>
              <w:right w:val="nil"/>
            </w:tcBorders>
            <w:tcMar>
              <w:top w:w="0" w:type="dxa"/>
              <w:left w:w="107" w:type="dxa"/>
              <w:bottom w:w="0" w:type="dxa"/>
              <w:right w:w="107" w:type="dxa"/>
            </w:tcMar>
          </w:tcPr>
          <w:p w14:paraId="0F0F18C4" w14:textId="029DB696" w:rsidR="00B1482B" w:rsidRDefault="00B1482B" w:rsidP="002C568E">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Completion </w:t>
            </w:r>
            <w:r w:rsidR="00543FE4">
              <w:rPr>
                <w:rFonts w:ascii="Helvetica Neue" w:eastAsia="Times New Roman" w:hAnsi="Helvetica Neue" w:cs="Times New Roman"/>
                <w:sz w:val="20"/>
                <w:lang w:eastAsia="en-AU"/>
              </w:rPr>
              <w:t>F</w:t>
            </w:r>
            <w:r>
              <w:rPr>
                <w:rFonts w:ascii="Helvetica Neue" w:eastAsia="Times New Roman" w:hAnsi="Helvetica Neue" w:cs="Times New Roman"/>
                <w:sz w:val="20"/>
                <w:lang w:eastAsia="en-AU"/>
              </w:rPr>
              <w:t>actor</w:t>
            </w:r>
          </w:p>
        </w:tc>
        <w:tc>
          <w:tcPr>
            <w:tcW w:w="4485" w:type="dxa"/>
            <w:tcBorders>
              <w:top w:val="single" w:sz="8" w:space="0" w:color="auto"/>
              <w:left w:val="nil"/>
              <w:bottom w:val="single" w:sz="12" w:space="0" w:color="auto"/>
              <w:right w:val="nil"/>
            </w:tcBorders>
            <w:tcMar>
              <w:top w:w="0" w:type="dxa"/>
              <w:left w:w="107" w:type="dxa"/>
              <w:bottom w:w="0" w:type="dxa"/>
              <w:right w:w="107" w:type="dxa"/>
            </w:tcMar>
          </w:tcPr>
          <w:p w14:paraId="5135E32E" w14:textId="64B76FFB" w:rsidR="00B1482B" w:rsidRPr="004111FE" w:rsidRDefault="00B1482B" w:rsidP="002C568E">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 xml:space="preserve">Divide the </w:t>
            </w:r>
            <w:r w:rsidR="008D2AAF">
              <w:rPr>
                <w:rFonts w:ascii="Helvetica Neue" w:eastAsia="Times New Roman" w:hAnsi="Helvetica Neue" w:cs="Times New Roman"/>
                <w:sz w:val="19"/>
                <w:szCs w:val="19"/>
                <w:lang w:eastAsia="en-AU"/>
              </w:rPr>
              <w:t xml:space="preserve">provider’s course completions of Indigenous students by the </w:t>
            </w:r>
            <w:r>
              <w:rPr>
                <w:rFonts w:ascii="Helvetica Neue" w:eastAsia="Times New Roman" w:hAnsi="Helvetica Neue" w:cs="Times New Roman"/>
                <w:sz w:val="19"/>
                <w:szCs w:val="19"/>
                <w:lang w:eastAsia="en-AU"/>
              </w:rPr>
              <w:t>sum of course completions of Indigenous students for all eligible higher education providers</w:t>
            </w:r>
          </w:p>
        </w:tc>
      </w:tr>
    </w:tbl>
    <w:p w14:paraId="2F8EBFC4" w14:textId="497946BD" w:rsidR="008D2AAF" w:rsidRDefault="00B1482B" w:rsidP="00B1482B">
      <w:pPr>
        <w:pStyle w:val="subsection"/>
      </w:pPr>
      <w:r>
        <w:tab/>
        <w:t>(3)</w:t>
      </w:r>
      <w:r w:rsidR="00543FE4">
        <w:tab/>
        <w:t xml:space="preserve">For each eligible higher education provider, </w:t>
      </w:r>
      <w:r w:rsidR="008D2AAF">
        <w:t>the component share in column 2 of the table is established by performing the calculation in column 3 of the table</w:t>
      </w:r>
      <w:r w:rsidR="00C41D03">
        <w:t>:</w:t>
      </w:r>
      <w:r w:rsidR="008D2AAF">
        <w:t xml:space="preserve"> </w:t>
      </w:r>
    </w:p>
    <w:p w14:paraId="693394D5" w14:textId="77777777" w:rsidR="008D2AAF" w:rsidRDefault="008D2AAF" w:rsidP="00B1482B">
      <w:pPr>
        <w:pStyle w:val="subsection"/>
      </w:pPr>
    </w:p>
    <w:tbl>
      <w:tblPr>
        <w:tblW w:w="0" w:type="auto"/>
        <w:tblInd w:w="107" w:type="dxa"/>
        <w:tblCellMar>
          <w:left w:w="0" w:type="dxa"/>
          <w:right w:w="0" w:type="dxa"/>
        </w:tblCellMar>
        <w:tblLook w:val="04A0" w:firstRow="1" w:lastRow="0" w:firstColumn="1" w:lastColumn="0" w:noHBand="0" w:noVBand="1"/>
      </w:tblPr>
      <w:tblGrid>
        <w:gridCol w:w="1105"/>
        <w:gridCol w:w="3324"/>
        <w:gridCol w:w="3777"/>
      </w:tblGrid>
      <w:tr w:rsidR="008D2AAF" w:rsidRPr="004111FE" w14:paraId="78B292B6" w14:textId="77777777" w:rsidTr="008D2AAF">
        <w:trPr>
          <w:tblHeader/>
        </w:trPr>
        <w:tc>
          <w:tcPr>
            <w:tcW w:w="8206"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59BB121C" w14:textId="77777777" w:rsidR="008D2AAF" w:rsidRPr="004111FE" w:rsidRDefault="008D2AAF" w:rsidP="008D2AAF">
            <w:pPr>
              <w:keepNext/>
              <w:keepLines/>
              <w:spacing w:before="100" w:beforeAutospacing="1" w:after="100" w:afterAutospacing="1" w:line="240" w:lineRule="auto"/>
              <w:rPr>
                <w:rFonts w:ascii="Helvetica Neue" w:eastAsia="Times New Roman" w:hAnsi="Helvetica Neue" w:cs="Times New Roman"/>
                <w:b/>
                <w:bCs/>
                <w:sz w:val="20"/>
                <w:lang w:eastAsia="en-AU"/>
              </w:rPr>
            </w:pPr>
            <w:r>
              <w:rPr>
                <w:rFonts w:ascii="Helvetica Neue" w:eastAsia="Times New Roman" w:hAnsi="Helvetica Neue" w:cs="Times New Roman"/>
                <w:b/>
                <w:bCs/>
                <w:sz w:val="20"/>
                <w:lang w:eastAsia="en-AU"/>
              </w:rPr>
              <w:t>Factors</w:t>
            </w:r>
          </w:p>
        </w:tc>
      </w:tr>
      <w:tr w:rsidR="008D2AAF" w:rsidRPr="004111FE" w14:paraId="4746ABA3" w14:textId="77777777" w:rsidTr="008D2AAF">
        <w:trPr>
          <w:tblHeader/>
        </w:trPr>
        <w:tc>
          <w:tcPr>
            <w:tcW w:w="1105" w:type="dxa"/>
            <w:tcBorders>
              <w:top w:val="nil"/>
              <w:left w:val="nil"/>
              <w:bottom w:val="single" w:sz="8" w:space="0" w:color="auto"/>
              <w:right w:val="nil"/>
            </w:tcBorders>
            <w:tcMar>
              <w:top w:w="0" w:type="dxa"/>
              <w:left w:w="107" w:type="dxa"/>
              <w:bottom w:w="0" w:type="dxa"/>
              <w:right w:w="107" w:type="dxa"/>
            </w:tcMar>
            <w:hideMark/>
          </w:tcPr>
          <w:p w14:paraId="75B34873" w14:textId="77777777" w:rsidR="008D2AAF" w:rsidRPr="004111FE" w:rsidRDefault="008D2AAF" w:rsidP="008D2AAF">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1</w:t>
            </w:r>
          </w:p>
        </w:tc>
        <w:tc>
          <w:tcPr>
            <w:tcW w:w="3324" w:type="dxa"/>
            <w:tcBorders>
              <w:top w:val="nil"/>
              <w:left w:val="nil"/>
              <w:bottom w:val="single" w:sz="8" w:space="0" w:color="auto"/>
              <w:right w:val="nil"/>
            </w:tcBorders>
            <w:tcMar>
              <w:top w:w="0" w:type="dxa"/>
              <w:left w:w="107" w:type="dxa"/>
              <w:bottom w:w="0" w:type="dxa"/>
              <w:right w:w="107" w:type="dxa"/>
            </w:tcMar>
            <w:hideMark/>
          </w:tcPr>
          <w:p w14:paraId="79EF5930" w14:textId="77777777" w:rsidR="008D2AAF" w:rsidRPr="004111FE" w:rsidRDefault="008D2AAF" w:rsidP="008D2AAF">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2</w:t>
            </w:r>
          </w:p>
        </w:tc>
        <w:tc>
          <w:tcPr>
            <w:tcW w:w="3777" w:type="dxa"/>
            <w:tcBorders>
              <w:top w:val="nil"/>
              <w:left w:val="nil"/>
              <w:bottom w:val="single" w:sz="8" w:space="0" w:color="auto"/>
              <w:right w:val="nil"/>
            </w:tcBorders>
            <w:tcMar>
              <w:top w:w="0" w:type="dxa"/>
              <w:left w:w="107" w:type="dxa"/>
              <w:bottom w:w="0" w:type="dxa"/>
              <w:right w:w="107" w:type="dxa"/>
            </w:tcMar>
            <w:hideMark/>
          </w:tcPr>
          <w:p w14:paraId="6E3D788D" w14:textId="77777777" w:rsidR="008D2AAF" w:rsidRPr="004111FE" w:rsidRDefault="008D2AAF" w:rsidP="008D2AAF">
            <w:pPr>
              <w:keepNext/>
              <w:keepLines/>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3</w:t>
            </w:r>
          </w:p>
        </w:tc>
      </w:tr>
      <w:tr w:rsidR="008D2AAF" w:rsidRPr="004111FE" w14:paraId="2183CFBD" w14:textId="77777777" w:rsidTr="008D2AAF">
        <w:trPr>
          <w:tblHeader/>
        </w:trPr>
        <w:tc>
          <w:tcPr>
            <w:tcW w:w="1105" w:type="dxa"/>
            <w:tcBorders>
              <w:top w:val="nil"/>
              <w:left w:val="nil"/>
              <w:bottom w:val="single" w:sz="12" w:space="0" w:color="auto"/>
              <w:right w:val="nil"/>
            </w:tcBorders>
            <w:tcMar>
              <w:top w:w="0" w:type="dxa"/>
              <w:left w:w="107" w:type="dxa"/>
              <w:bottom w:w="0" w:type="dxa"/>
              <w:right w:w="107" w:type="dxa"/>
            </w:tcMar>
            <w:hideMark/>
          </w:tcPr>
          <w:p w14:paraId="7D337423" w14:textId="77777777" w:rsidR="008D2AAF" w:rsidRPr="004111FE" w:rsidRDefault="008D2AAF" w:rsidP="008D2AAF">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Item</w:t>
            </w:r>
          </w:p>
        </w:tc>
        <w:tc>
          <w:tcPr>
            <w:tcW w:w="3324" w:type="dxa"/>
            <w:tcBorders>
              <w:top w:val="nil"/>
              <w:left w:val="nil"/>
              <w:bottom w:val="single" w:sz="12" w:space="0" w:color="auto"/>
              <w:right w:val="nil"/>
            </w:tcBorders>
            <w:tcMar>
              <w:top w:w="0" w:type="dxa"/>
              <w:left w:w="107" w:type="dxa"/>
              <w:bottom w:w="0" w:type="dxa"/>
              <w:right w:w="107" w:type="dxa"/>
            </w:tcMar>
            <w:hideMark/>
          </w:tcPr>
          <w:p w14:paraId="39FB6072" w14:textId="45FFB6A1" w:rsidR="008D2AAF" w:rsidRPr="004111FE" w:rsidRDefault="008D2AAF" w:rsidP="008D2AAF">
            <w:pPr>
              <w:keepNext/>
              <w:keepLines/>
              <w:spacing w:before="100" w:beforeAutospacing="1" w:after="100" w:afterAutospacing="1"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b/>
                <w:bCs/>
                <w:sz w:val="20"/>
                <w:lang w:eastAsia="en-AU"/>
              </w:rPr>
              <w:t>Component Share</w:t>
            </w:r>
          </w:p>
        </w:tc>
        <w:tc>
          <w:tcPr>
            <w:tcW w:w="3777" w:type="dxa"/>
            <w:tcBorders>
              <w:top w:val="nil"/>
              <w:left w:val="nil"/>
              <w:bottom w:val="single" w:sz="12" w:space="0" w:color="auto"/>
              <w:right w:val="nil"/>
            </w:tcBorders>
            <w:tcMar>
              <w:top w:w="0" w:type="dxa"/>
              <w:left w:w="107" w:type="dxa"/>
              <w:bottom w:w="0" w:type="dxa"/>
              <w:right w:w="107" w:type="dxa"/>
            </w:tcMar>
            <w:hideMark/>
          </w:tcPr>
          <w:p w14:paraId="7BAFC775" w14:textId="2C9473E9" w:rsidR="008D2AAF" w:rsidRPr="00234629" w:rsidRDefault="008D2AAF" w:rsidP="008D2AAF">
            <w:pPr>
              <w:keepNext/>
              <w:keepLines/>
              <w:spacing w:before="100" w:beforeAutospacing="1" w:after="100" w:afterAutospacing="1" w:line="240" w:lineRule="auto"/>
              <w:rPr>
                <w:rFonts w:ascii="Helvetica Neue" w:eastAsia="Times New Roman" w:hAnsi="Helvetica Neue" w:cs="Times New Roman"/>
                <w:b/>
                <w:sz w:val="19"/>
                <w:szCs w:val="19"/>
                <w:lang w:eastAsia="en-AU"/>
              </w:rPr>
            </w:pPr>
            <w:r>
              <w:rPr>
                <w:rFonts w:ascii="Helvetica Neue" w:eastAsia="Times New Roman" w:hAnsi="Helvetica Neue" w:cs="Times New Roman"/>
                <w:b/>
                <w:sz w:val="19"/>
                <w:szCs w:val="19"/>
                <w:lang w:eastAsia="en-AU"/>
              </w:rPr>
              <w:t>Calculation</w:t>
            </w:r>
          </w:p>
        </w:tc>
      </w:tr>
      <w:tr w:rsidR="008D2AAF" w:rsidRPr="004111FE" w14:paraId="778E0250" w14:textId="77777777" w:rsidTr="008D2AAF">
        <w:tc>
          <w:tcPr>
            <w:tcW w:w="1105" w:type="dxa"/>
            <w:tcBorders>
              <w:top w:val="nil"/>
              <w:left w:val="nil"/>
              <w:bottom w:val="single" w:sz="8" w:space="0" w:color="auto"/>
              <w:right w:val="nil"/>
            </w:tcBorders>
            <w:tcMar>
              <w:top w:w="0" w:type="dxa"/>
              <w:left w:w="107" w:type="dxa"/>
              <w:bottom w:w="0" w:type="dxa"/>
              <w:right w:w="107" w:type="dxa"/>
            </w:tcMar>
          </w:tcPr>
          <w:p w14:paraId="58C53F6E" w14:textId="77777777" w:rsidR="008D2AAF" w:rsidRPr="004111FE" w:rsidRDefault="008D2AAF" w:rsidP="008D2AAF">
            <w:pPr>
              <w:keepNext/>
              <w:keepLines/>
              <w:spacing w:before="100" w:beforeAutospacing="1" w:after="100" w:afterAutospacing="1" w:line="240" w:lineRule="auto"/>
              <w:ind w:left="35" w:hanging="35"/>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1.</w:t>
            </w:r>
          </w:p>
        </w:tc>
        <w:tc>
          <w:tcPr>
            <w:tcW w:w="3324" w:type="dxa"/>
            <w:tcBorders>
              <w:top w:val="nil"/>
              <w:left w:val="nil"/>
              <w:bottom w:val="single" w:sz="8" w:space="0" w:color="auto"/>
              <w:right w:val="nil"/>
            </w:tcBorders>
            <w:tcMar>
              <w:top w:w="0" w:type="dxa"/>
              <w:left w:w="107" w:type="dxa"/>
              <w:bottom w:w="0" w:type="dxa"/>
              <w:right w:w="107" w:type="dxa"/>
            </w:tcMar>
          </w:tcPr>
          <w:p w14:paraId="221F3A87" w14:textId="0F21B739" w:rsidR="008D2AAF" w:rsidRPr="004111FE" w:rsidRDefault="008D2AAF" w:rsidP="008D2AAF">
            <w:pPr>
              <w:keepNext/>
              <w:keepLines/>
              <w:spacing w:before="100" w:beforeAutospacing="1" w:after="100" w:afterAutospacing="1" w:line="240" w:lineRule="auto"/>
              <w:ind w:left="35" w:hanging="35"/>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 xml:space="preserve">Enrolment </w:t>
            </w:r>
            <w:r w:rsidR="000056A0">
              <w:rPr>
                <w:rFonts w:ascii="Helvetica Neue" w:eastAsia="Times New Roman" w:hAnsi="Helvetica Neue" w:cs="Times New Roman"/>
                <w:sz w:val="19"/>
                <w:szCs w:val="19"/>
                <w:lang w:eastAsia="en-AU"/>
              </w:rPr>
              <w:t xml:space="preserve">Component </w:t>
            </w:r>
            <w:r>
              <w:rPr>
                <w:rFonts w:ascii="Helvetica Neue" w:eastAsia="Times New Roman" w:hAnsi="Helvetica Neue" w:cs="Times New Roman"/>
                <w:sz w:val="19"/>
                <w:szCs w:val="19"/>
                <w:lang w:eastAsia="en-AU"/>
              </w:rPr>
              <w:t>Share</w:t>
            </w:r>
          </w:p>
        </w:tc>
        <w:tc>
          <w:tcPr>
            <w:tcW w:w="3777" w:type="dxa"/>
            <w:tcBorders>
              <w:top w:val="nil"/>
              <w:left w:val="nil"/>
              <w:bottom w:val="single" w:sz="8" w:space="0" w:color="auto"/>
              <w:right w:val="nil"/>
            </w:tcBorders>
            <w:tcMar>
              <w:top w:w="0" w:type="dxa"/>
              <w:left w:w="107" w:type="dxa"/>
              <w:bottom w:w="0" w:type="dxa"/>
              <w:right w:w="107" w:type="dxa"/>
            </w:tcMar>
          </w:tcPr>
          <w:p w14:paraId="2314FF2C" w14:textId="493307BF" w:rsidR="008D2AAF" w:rsidRPr="00B1482B" w:rsidRDefault="008D2AAF" w:rsidP="008D2AAF">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The provider’s Enrolment Factor is multiplied by the amount of the Enrolment Component</w:t>
            </w:r>
          </w:p>
        </w:tc>
      </w:tr>
      <w:tr w:rsidR="008D2AAF" w:rsidRPr="004111FE" w14:paraId="3AAAD1B5" w14:textId="77777777" w:rsidTr="008D2AAF">
        <w:tc>
          <w:tcPr>
            <w:tcW w:w="1105" w:type="dxa"/>
            <w:tcBorders>
              <w:top w:val="single" w:sz="8" w:space="0" w:color="auto"/>
              <w:left w:val="nil"/>
              <w:bottom w:val="single" w:sz="8" w:space="0" w:color="auto"/>
              <w:right w:val="nil"/>
            </w:tcBorders>
            <w:tcMar>
              <w:top w:w="0" w:type="dxa"/>
              <w:left w:w="107" w:type="dxa"/>
              <w:bottom w:w="0" w:type="dxa"/>
              <w:right w:w="107" w:type="dxa"/>
            </w:tcMar>
          </w:tcPr>
          <w:p w14:paraId="1DFBB445" w14:textId="77777777" w:rsidR="008D2AAF" w:rsidRPr="004111FE" w:rsidRDefault="008D2AAF" w:rsidP="008D2AAF">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2. </w:t>
            </w:r>
          </w:p>
        </w:tc>
        <w:tc>
          <w:tcPr>
            <w:tcW w:w="3324" w:type="dxa"/>
            <w:tcBorders>
              <w:top w:val="single" w:sz="8" w:space="0" w:color="auto"/>
              <w:left w:val="nil"/>
              <w:bottom w:val="single" w:sz="8" w:space="0" w:color="auto"/>
              <w:right w:val="nil"/>
            </w:tcBorders>
            <w:tcMar>
              <w:top w:w="0" w:type="dxa"/>
              <w:left w:w="107" w:type="dxa"/>
              <w:bottom w:w="0" w:type="dxa"/>
              <w:right w:w="107" w:type="dxa"/>
            </w:tcMar>
          </w:tcPr>
          <w:p w14:paraId="5C3F829F" w14:textId="47F2AABB" w:rsidR="008D2AAF" w:rsidRDefault="008D2AAF" w:rsidP="008D2AAF">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Regional and Remote </w:t>
            </w:r>
            <w:r w:rsidR="000056A0">
              <w:rPr>
                <w:rFonts w:ascii="Helvetica Neue" w:eastAsia="Times New Roman" w:hAnsi="Helvetica Neue" w:cs="Times New Roman"/>
                <w:sz w:val="20"/>
                <w:lang w:eastAsia="en-AU"/>
              </w:rPr>
              <w:t xml:space="preserve">Component </w:t>
            </w:r>
            <w:r>
              <w:rPr>
                <w:rFonts w:ascii="Helvetica Neue" w:eastAsia="Times New Roman" w:hAnsi="Helvetica Neue" w:cs="Times New Roman"/>
                <w:sz w:val="20"/>
                <w:lang w:eastAsia="en-AU"/>
              </w:rPr>
              <w:t>Share</w:t>
            </w:r>
          </w:p>
        </w:tc>
        <w:tc>
          <w:tcPr>
            <w:tcW w:w="3777" w:type="dxa"/>
            <w:tcBorders>
              <w:top w:val="single" w:sz="8" w:space="0" w:color="auto"/>
              <w:left w:val="nil"/>
              <w:bottom w:val="single" w:sz="8" w:space="0" w:color="auto"/>
              <w:right w:val="nil"/>
            </w:tcBorders>
            <w:tcMar>
              <w:top w:w="0" w:type="dxa"/>
              <w:left w:w="107" w:type="dxa"/>
              <w:bottom w:w="0" w:type="dxa"/>
              <w:right w:w="107" w:type="dxa"/>
            </w:tcMar>
          </w:tcPr>
          <w:p w14:paraId="0B82F983" w14:textId="577BE4D4" w:rsidR="008D2AAF" w:rsidRPr="00B1482B" w:rsidRDefault="008D2AAF" w:rsidP="008D2AAF">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 xml:space="preserve">The provider’s Regional and Remote Factor is multiplied by the amount of the Regional and Remote Component </w:t>
            </w:r>
          </w:p>
        </w:tc>
      </w:tr>
      <w:tr w:rsidR="008D2AAF" w:rsidRPr="004111FE" w14:paraId="43C5ED37" w14:textId="77777777" w:rsidTr="008D2AAF">
        <w:tc>
          <w:tcPr>
            <w:tcW w:w="1105" w:type="dxa"/>
            <w:tcBorders>
              <w:top w:val="single" w:sz="8" w:space="0" w:color="auto"/>
              <w:left w:val="nil"/>
              <w:bottom w:val="single" w:sz="8" w:space="0" w:color="auto"/>
              <w:right w:val="nil"/>
            </w:tcBorders>
            <w:tcMar>
              <w:top w:w="0" w:type="dxa"/>
              <w:left w:w="107" w:type="dxa"/>
              <w:bottom w:w="0" w:type="dxa"/>
              <w:right w:w="107" w:type="dxa"/>
            </w:tcMar>
          </w:tcPr>
          <w:p w14:paraId="463BF2A8" w14:textId="77777777" w:rsidR="008D2AAF" w:rsidRDefault="008D2AAF" w:rsidP="008D2AAF">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3.</w:t>
            </w:r>
          </w:p>
        </w:tc>
        <w:tc>
          <w:tcPr>
            <w:tcW w:w="3324" w:type="dxa"/>
            <w:tcBorders>
              <w:top w:val="single" w:sz="8" w:space="0" w:color="auto"/>
              <w:left w:val="nil"/>
              <w:bottom w:val="single" w:sz="8" w:space="0" w:color="auto"/>
              <w:right w:val="nil"/>
            </w:tcBorders>
            <w:tcMar>
              <w:top w:w="0" w:type="dxa"/>
              <w:left w:w="107" w:type="dxa"/>
              <w:bottom w:w="0" w:type="dxa"/>
              <w:right w:w="107" w:type="dxa"/>
            </w:tcMar>
          </w:tcPr>
          <w:p w14:paraId="04D8F213" w14:textId="31ABB940" w:rsidR="008D2AAF" w:rsidRDefault="008D2AAF" w:rsidP="008D2AAF">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Success Rate </w:t>
            </w:r>
            <w:r w:rsidR="000056A0">
              <w:rPr>
                <w:rFonts w:ascii="Helvetica Neue" w:eastAsia="Times New Roman" w:hAnsi="Helvetica Neue" w:cs="Times New Roman"/>
                <w:sz w:val="20"/>
                <w:lang w:eastAsia="en-AU"/>
              </w:rPr>
              <w:t xml:space="preserve">Component </w:t>
            </w:r>
            <w:r>
              <w:rPr>
                <w:rFonts w:ascii="Helvetica Neue" w:eastAsia="Times New Roman" w:hAnsi="Helvetica Neue" w:cs="Times New Roman"/>
                <w:sz w:val="20"/>
                <w:lang w:eastAsia="en-AU"/>
              </w:rPr>
              <w:t>Share</w:t>
            </w:r>
          </w:p>
        </w:tc>
        <w:tc>
          <w:tcPr>
            <w:tcW w:w="3777" w:type="dxa"/>
            <w:tcBorders>
              <w:top w:val="single" w:sz="8" w:space="0" w:color="auto"/>
              <w:left w:val="nil"/>
              <w:bottom w:val="single" w:sz="8" w:space="0" w:color="auto"/>
              <w:right w:val="nil"/>
            </w:tcBorders>
            <w:tcMar>
              <w:top w:w="0" w:type="dxa"/>
              <w:left w:w="107" w:type="dxa"/>
              <w:bottom w:w="0" w:type="dxa"/>
              <w:right w:w="107" w:type="dxa"/>
            </w:tcMar>
          </w:tcPr>
          <w:p w14:paraId="11CB6A9E" w14:textId="3166AF98" w:rsidR="008D2AAF" w:rsidRPr="00B1482B" w:rsidRDefault="008D2AAF" w:rsidP="008D2AAF">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The provider’s Success Rate Factor is multiplied by the amount of the Success Rate Component</w:t>
            </w:r>
          </w:p>
        </w:tc>
      </w:tr>
      <w:tr w:rsidR="008D2AAF" w:rsidRPr="004111FE" w14:paraId="71DEC07E" w14:textId="77777777" w:rsidTr="008D2AAF">
        <w:tc>
          <w:tcPr>
            <w:tcW w:w="1105" w:type="dxa"/>
            <w:tcBorders>
              <w:top w:val="single" w:sz="8" w:space="0" w:color="auto"/>
              <w:left w:val="nil"/>
              <w:bottom w:val="single" w:sz="12" w:space="0" w:color="auto"/>
              <w:right w:val="nil"/>
            </w:tcBorders>
            <w:tcMar>
              <w:top w:w="0" w:type="dxa"/>
              <w:left w:w="107" w:type="dxa"/>
              <w:bottom w:w="0" w:type="dxa"/>
              <w:right w:w="107" w:type="dxa"/>
            </w:tcMar>
          </w:tcPr>
          <w:p w14:paraId="1B2A2B34" w14:textId="77777777" w:rsidR="008D2AAF" w:rsidRDefault="008D2AAF" w:rsidP="008D2AAF">
            <w:pPr>
              <w:keepNext/>
              <w:keepLines/>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4. </w:t>
            </w:r>
          </w:p>
        </w:tc>
        <w:tc>
          <w:tcPr>
            <w:tcW w:w="3324" w:type="dxa"/>
            <w:tcBorders>
              <w:top w:val="single" w:sz="8" w:space="0" w:color="auto"/>
              <w:left w:val="nil"/>
              <w:bottom w:val="single" w:sz="12" w:space="0" w:color="auto"/>
              <w:right w:val="nil"/>
            </w:tcBorders>
            <w:tcMar>
              <w:top w:w="0" w:type="dxa"/>
              <w:left w:w="107" w:type="dxa"/>
              <w:bottom w:w="0" w:type="dxa"/>
              <w:right w:w="107" w:type="dxa"/>
            </w:tcMar>
          </w:tcPr>
          <w:p w14:paraId="3BC823A9" w14:textId="5C8C5953" w:rsidR="008D2AAF" w:rsidRDefault="008D2AAF" w:rsidP="008D2AAF">
            <w:pPr>
              <w:keepNext/>
              <w:keepLines/>
              <w:spacing w:before="100" w:beforeAutospacing="1" w:after="100" w:afterAutospacing="1" w:line="240" w:lineRule="auto"/>
              <w:ind w:left="35" w:hanging="35"/>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Completion </w:t>
            </w:r>
            <w:r w:rsidR="000056A0">
              <w:rPr>
                <w:rFonts w:ascii="Helvetica Neue" w:eastAsia="Times New Roman" w:hAnsi="Helvetica Neue" w:cs="Times New Roman"/>
                <w:sz w:val="20"/>
                <w:lang w:eastAsia="en-AU"/>
              </w:rPr>
              <w:t xml:space="preserve">Component </w:t>
            </w:r>
            <w:r>
              <w:rPr>
                <w:rFonts w:ascii="Helvetica Neue" w:eastAsia="Times New Roman" w:hAnsi="Helvetica Neue" w:cs="Times New Roman"/>
                <w:sz w:val="20"/>
                <w:lang w:eastAsia="en-AU"/>
              </w:rPr>
              <w:t>Share</w:t>
            </w:r>
          </w:p>
        </w:tc>
        <w:tc>
          <w:tcPr>
            <w:tcW w:w="3777" w:type="dxa"/>
            <w:tcBorders>
              <w:top w:val="single" w:sz="8" w:space="0" w:color="auto"/>
              <w:left w:val="nil"/>
              <w:bottom w:val="single" w:sz="12" w:space="0" w:color="auto"/>
              <w:right w:val="nil"/>
            </w:tcBorders>
            <w:tcMar>
              <w:top w:w="0" w:type="dxa"/>
              <w:left w:w="107" w:type="dxa"/>
              <w:bottom w:w="0" w:type="dxa"/>
              <w:right w:w="107" w:type="dxa"/>
            </w:tcMar>
          </w:tcPr>
          <w:p w14:paraId="080CE5F6" w14:textId="13980650" w:rsidR="008D2AAF" w:rsidRPr="004111FE" w:rsidRDefault="008D2AAF" w:rsidP="008D2AAF">
            <w:pPr>
              <w:keepNext/>
              <w:keepLines/>
              <w:spacing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The provider’s Completion Factor is multiplied by the amount of the Completion Component</w:t>
            </w:r>
          </w:p>
        </w:tc>
      </w:tr>
    </w:tbl>
    <w:p w14:paraId="7204BD09" w14:textId="2B8527B4" w:rsidR="002C568E" w:rsidRDefault="002C568E" w:rsidP="002C568E">
      <w:pPr>
        <w:pStyle w:val="subsection"/>
      </w:pPr>
      <w:r>
        <w:tab/>
        <w:t>(4)</w:t>
      </w:r>
      <w:r>
        <w:tab/>
      </w:r>
      <w:r w:rsidR="008D2AAF">
        <w:t xml:space="preserve">An </w:t>
      </w:r>
      <w:r>
        <w:t xml:space="preserve">eligible higher education </w:t>
      </w:r>
      <w:r w:rsidR="008D2AAF">
        <w:t xml:space="preserve">provider’s </w:t>
      </w:r>
      <w:r w:rsidRPr="00B45DFD">
        <w:rPr>
          <w:b/>
          <w:i/>
        </w:rPr>
        <w:t>raw entitlement</w:t>
      </w:r>
      <w:r>
        <w:t xml:space="preserve"> is established by adding </w:t>
      </w:r>
      <w:r w:rsidR="00AD4B23">
        <w:t xml:space="preserve">each of </w:t>
      </w:r>
      <w:r>
        <w:t xml:space="preserve">the </w:t>
      </w:r>
      <w:r w:rsidR="00AD4B23">
        <w:t>following component shares of the provider:</w:t>
      </w:r>
    </w:p>
    <w:p w14:paraId="0BB68DCF" w14:textId="6727EB86" w:rsidR="00AD4B23" w:rsidRDefault="00AD4B23" w:rsidP="00AD4B23">
      <w:pPr>
        <w:pStyle w:val="paragraph"/>
      </w:pPr>
      <w:r>
        <w:tab/>
        <w:t>(a</w:t>
      </w:r>
      <w:r w:rsidRPr="00885210">
        <w:t>)</w:t>
      </w:r>
      <w:r w:rsidRPr="00885210">
        <w:tab/>
      </w:r>
      <w:r>
        <w:t xml:space="preserve">Enrolment </w:t>
      </w:r>
      <w:r w:rsidR="00B024BE">
        <w:t>Component</w:t>
      </w:r>
      <w:r>
        <w:t xml:space="preserve"> Share; and</w:t>
      </w:r>
    </w:p>
    <w:p w14:paraId="2D6063E8" w14:textId="2BB30479" w:rsidR="00AD4B23" w:rsidRDefault="00AD4B23" w:rsidP="00AD4B23">
      <w:pPr>
        <w:pStyle w:val="paragraph"/>
      </w:pPr>
      <w:r>
        <w:tab/>
        <w:t>(b</w:t>
      </w:r>
      <w:r w:rsidRPr="00885210">
        <w:t>)</w:t>
      </w:r>
      <w:r w:rsidRPr="00885210">
        <w:tab/>
      </w:r>
      <w:r>
        <w:t xml:space="preserve">Regional and Remote </w:t>
      </w:r>
      <w:r w:rsidR="00B024BE">
        <w:t xml:space="preserve">Component </w:t>
      </w:r>
      <w:r>
        <w:t>Share; and</w:t>
      </w:r>
    </w:p>
    <w:p w14:paraId="5406B9D3" w14:textId="1AC53F68" w:rsidR="00AD4B23" w:rsidRDefault="00AD4B23" w:rsidP="00AD4B23">
      <w:pPr>
        <w:pStyle w:val="paragraph"/>
      </w:pPr>
      <w:r>
        <w:tab/>
        <w:t>(c</w:t>
      </w:r>
      <w:r w:rsidRPr="00885210">
        <w:t>)</w:t>
      </w:r>
      <w:r w:rsidRPr="00885210">
        <w:tab/>
      </w:r>
      <w:r>
        <w:t xml:space="preserve">Success Rate </w:t>
      </w:r>
      <w:r w:rsidR="00B024BE">
        <w:t xml:space="preserve">Component </w:t>
      </w:r>
      <w:r>
        <w:t>Share; and</w:t>
      </w:r>
    </w:p>
    <w:p w14:paraId="73A116A4" w14:textId="19D64C4A" w:rsidR="00AD4B23" w:rsidRDefault="00AD4B23" w:rsidP="00AD4B23">
      <w:pPr>
        <w:pStyle w:val="paragraph"/>
      </w:pPr>
      <w:r>
        <w:tab/>
        <w:t>(d</w:t>
      </w:r>
      <w:r w:rsidRPr="00885210">
        <w:t>)</w:t>
      </w:r>
      <w:r w:rsidRPr="00885210">
        <w:tab/>
      </w:r>
      <w:r>
        <w:t xml:space="preserve">Completion </w:t>
      </w:r>
      <w:r w:rsidR="00B024BE">
        <w:t xml:space="preserve">Component </w:t>
      </w:r>
      <w:r>
        <w:t>Share.</w:t>
      </w:r>
    </w:p>
    <w:p w14:paraId="71C85A61" w14:textId="631C3722" w:rsidR="000A76B9" w:rsidRDefault="00010A54" w:rsidP="00B45DFD">
      <w:pPr>
        <w:pStyle w:val="ItemHead"/>
        <w:ind w:left="0" w:firstLine="0"/>
      </w:pPr>
      <w:r>
        <w:t>5</w:t>
      </w:r>
      <w:r w:rsidR="00AD4B23" w:rsidRPr="00B1728A">
        <w:t xml:space="preserve">  </w:t>
      </w:r>
      <w:r>
        <w:t>Fourth</w:t>
      </w:r>
      <w:r w:rsidR="00AD4B23">
        <w:t xml:space="preserve"> step (Establish a floor and ceiling)</w:t>
      </w:r>
    </w:p>
    <w:p w14:paraId="264E0F72" w14:textId="53212064" w:rsidR="00D95103" w:rsidRDefault="00AA6229" w:rsidP="00AA6229">
      <w:pPr>
        <w:pStyle w:val="subsection"/>
      </w:pPr>
      <w:r>
        <w:tab/>
        <w:t>(1)</w:t>
      </w:r>
      <w:r>
        <w:tab/>
      </w:r>
      <w:r w:rsidR="00122016">
        <w:t>Subject to subitem (4), f</w:t>
      </w:r>
      <w:r>
        <w:t xml:space="preserve">or each eligible higher education provider, a </w:t>
      </w:r>
      <w:r>
        <w:rPr>
          <w:b/>
          <w:i/>
        </w:rPr>
        <w:t>normal previous year allocation</w:t>
      </w:r>
      <w:r>
        <w:t xml:space="preserve"> is calculated by</w:t>
      </w:r>
      <w:r w:rsidR="00D95103">
        <w:t>:</w:t>
      </w:r>
    </w:p>
    <w:p w14:paraId="2C6D5A4E" w14:textId="21A18DD6" w:rsidR="00D95103" w:rsidRDefault="00D95103" w:rsidP="00D95103">
      <w:pPr>
        <w:pStyle w:val="paragraph"/>
      </w:pPr>
      <w:r>
        <w:tab/>
        <w:t>(a</w:t>
      </w:r>
      <w:r w:rsidRPr="00885210">
        <w:t>)</w:t>
      </w:r>
      <w:r w:rsidRPr="00885210">
        <w:tab/>
      </w:r>
      <w:r>
        <w:t>taking the provider’s ISSP grant in the previous grant year as at 10 December; and</w:t>
      </w:r>
    </w:p>
    <w:p w14:paraId="0DE385F8" w14:textId="423295A3" w:rsidR="00D95103" w:rsidRDefault="00D95103" w:rsidP="00D95103">
      <w:pPr>
        <w:pStyle w:val="paragraph"/>
      </w:pPr>
      <w:r>
        <w:tab/>
        <w:t>(b</w:t>
      </w:r>
      <w:r w:rsidRPr="00885210">
        <w:t>)</w:t>
      </w:r>
      <w:r w:rsidRPr="00885210">
        <w:tab/>
      </w:r>
      <w:r>
        <w:t>subtracting the amount of the grant allocated to the provider to award preserved Indigenous Commonwealth Scholarships; and</w:t>
      </w:r>
    </w:p>
    <w:p w14:paraId="0F57F8AE" w14:textId="0B3088B4" w:rsidR="000A76B9" w:rsidRDefault="00D95103">
      <w:pPr>
        <w:pStyle w:val="paragraph"/>
      </w:pPr>
      <w:r>
        <w:tab/>
        <w:t>(c</w:t>
      </w:r>
      <w:r w:rsidRPr="00885210">
        <w:t>)</w:t>
      </w:r>
      <w:r w:rsidRPr="00885210">
        <w:tab/>
      </w:r>
      <w:r>
        <w:t xml:space="preserve">indexing the result of (a) and (b) using the method of indexation set out in Part 5-6 of the Act. </w:t>
      </w:r>
    </w:p>
    <w:p w14:paraId="42ECB1A9" w14:textId="29D883C6" w:rsidR="00D95103" w:rsidRDefault="00D95103" w:rsidP="00D95103">
      <w:pPr>
        <w:pStyle w:val="subsection"/>
      </w:pPr>
      <w:r>
        <w:tab/>
        <w:t>(2)</w:t>
      </w:r>
      <w:r>
        <w:tab/>
        <w:t>An eligible higher education provider’s ceiling is established by multiplying the provider’s normal previous year allocation by 1.15.</w:t>
      </w:r>
    </w:p>
    <w:p w14:paraId="2C57EDFC" w14:textId="22236DE6" w:rsidR="00D95103" w:rsidRDefault="00D95103" w:rsidP="00D95103">
      <w:pPr>
        <w:pStyle w:val="subsection"/>
      </w:pPr>
      <w:r>
        <w:tab/>
        <w:t>(3)</w:t>
      </w:r>
      <w:r>
        <w:tab/>
        <w:t>An eligible higher education provider’s raw entitlement floor is established by multiplying the provider’s normal previous year allocation by 0.85.</w:t>
      </w:r>
    </w:p>
    <w:p w14:paraId="36FE39DA" w14:textId="4C9B93FB" w:rsidR="00D95103" w:rsidRDefault="00D95103" w:rsidP="00D95103">
      <w:pPr>
        <w:pStyle w:val="subsection"/>
      </w:pPr>
      <w:r>
        <w:tab/>
        <w:t>(4)</w:t>
      </w:r>
      <w:r>
        <w:tab/>
      </w:r>
      <w:r w:rsidR="00122016">
        <w:t>For the 2017 grant year, an eligible higher education provider’s normal previous year allocation will be the sum of the following amounts</w:t>
      </w:r>
      <w:r w:rsidR="00C41D03">
        <w:t>:</w:t>
      </w:r>
      <w:r w:rsidR="00122016">
        <w:t xml:space="preserve"> </w:t>
      </w:r>
    </w:p>
    <w:p w14:paraId="2A6BD78D" w14:textId="0788DD6D" w:rsidR="00122016" w:rsidRDefault="00122016" w:rsidP="00122016">
      <w:pPr>
        <w:pStyle w:val="paragraph"/>
      </w:pPr>
      <w:r>
        <w:tab/>
        <w:t>(a</w:t>
      </w:r>
      <w:r w:rsidRPr="00885210">
        <w:t>)</w:t>
      </w:r>
      <w:r w:rsidRPr="00885210">
        <w:tab/>
      </w:r>
      <w:r>
        <w:t xml:space="preserve">the amount of a grant made to the provider under the Indigenous Support Program as at 10 December 2016, </w:t>
      </w:r>
      <w:r w:rsidR="00B07571">
        <w:t>except in the case of Ba</w:t>
      </w:r>
      <w:r w:rsidR="00C41D03">
        <w:t>t</w:t>
      </w:r>
      <w:r w:rsidR="00B07571">
        <w:t>chelor Institute of Indigenous Tertiary Education where the amount will be $190,420</w:t>
      </w:r>
      <w:r>
        <w:t>; and</w:t>
      </w:r>
    </w:p>
    <w:p w14:paraId="229EB1F1" w14:textId="038574BD" w:rsidR="00122016" w:rsidRDefault="00122016" w:rsidP="00122016">
      <w:pPr>
        <w:pStyle w:val="paragraph"/>
      </w:pPr>
      <w:r>
        <w:tab/>
        <w:t>(b</w:t>
      </w:r>
      <w:r w:rsidRPr="00885210">
        <w:t>)</w:t>
      </w:r>
      <w:r w:rsidRPr="00885210">
        <w:tab/>
      </w:r>
      <w:r>
        <w:t>the amount of a grant made to the provider under the Children and Schooling Programme of the Indigenous Advancement Strategy for tutorial assistance as at 10 December 2016; and</w:t>
      </w:r>
    </w:p>
    <w:p w14:paraId="73868C20" w14:textId="1E7BFE76" w:rsidR="00122016" w:rsidRPr="00122016" w:rsidRDefault="00122016" w:rsidP="00122016">
      <w:pPr>
        <w:pStyle w:val="paragraph"/>
      </w:pPr>
      <w:r w:rsidRPr="00D5249A">
        <w:tab/>
        <w:t>(c)</w:t>
      </w:r>
      <w:r w:rsidRPr="00D5249A">
        <w:tab/>
        <w:t xml:space="preserve">the </w:t>
      </w:r>
      <w:r w:rsidR="0012391E" w:rsidRPr="00D5249A">
        <w:t>amount of grants made to the provider</w:t>
      </w:r>
      <w:r w:rsidRPr="00D5249A">
        <w:t xml:space="preserve"> under the Commonwealth Scholarships Program</w:t>
      </w:r>
      <w:r w:rsidR="0012391E" w:rsidRPr="00D5249A">
        <w:t xml:space="preserve"> </w:t>
      </w:r>
      <w:r w:rsidR="00B07571" w:rsidRPr="00B45DFD">
        <w:t>as</w:t>
      </w:r>
      <w:r w:rsidR="0012391E" w:rsidRPr="00D5249A">
        <w:t xml:space="preserve"> at 10 December 2016</w:t>
      </w:r>
      <w:r w:rsidRPr="00D5249A">
        <w:t xml:space="preserve">, less the </w:t>
      </w:r>
      <w:r w:rsidR="0012391E" w:rsidRPr="00D5249A">
        <w:t xml:space="preserve">amount </w:t>
      </w:r>
      <w:r w:rsidR="00B07571" w:rsidRPr="00B45DFD">
        <w:t xml:space="preserve">provider and the Commonwealth agreed as the total funding </w:t>
      </w:r>
      <w:r w:rsidR="0012391E" w:rsidRPr="00D5249A">
        <w:t xml:space="preserve">used for </w:t>
      </w:r>
      <w:r w:rsidR="00B07571" w:rsidRPr="00B45DFD">
        <w:t xml:space="preserve">continuing </w:t>
      </w:r>
      <w:r w:rsidR="0012391E" w:rsidRPr="00D5249A">
        <w:t xml:space="preserve">scholarships </w:t>
      </w:r>
      <w:r w:rsidR="00B07571" w:rsidRPr="00B45DFD">
        <w:t xml:space="preserve">under the Commonwealth </w:t>
      </w:r>
      <w:r w:rsidR="00A12626">
        <w:t>Scholarships Program as at 10 </w:t>
      </w:r>
      <w:r w:rsidR="00B07571" w:rsidRPr="00B45DFD">
        <w:t>December 2016</w:t>
      </w:r>
      <w:r w:rsidR="0012391E" w:rsidRPr="00D5249A">
        <w:t>.</w:t>
      </w:r>
      <w:r w:rsidR="0012391E">
        <w:t xml:space="preserve"> </w:t>
      </w:r>
      <w:r>
        <w:t xml:space="preserve"> </w:t>
      </w:r>
    </w:p>
    <w:p w14:paraId="3A386B4A" w14:textId="1D00440A" w:rsidR="003445F2" w:rsidRDefault="00010A54" w:rsidP="003445F2">
      <w:pPr>
        <w:pStyle w:val="ItemHead"/>
        <w:ind w:left="0" w:firstLine="0"/>
      </w:pPr>
      <w:r>
        <w:t>6</w:t>
      </w:r>
      <w:r w:rsidR="003445F2" w:rsidRPr="00B1728A">
        <w:t xml:space="preserve">  </w:t>
      </w:r>
      <w:r>
        <w:t>Fifth</w:t>
      </w:r>
      <w:r w:rsidR="003445F2">
        <w:t xml:space="preserve"> step (Ensure a raw entitlement is within the floor and ceiling)</w:t>
      </w:r>
    </w:p>
    <w:p w14:paraId="1598B178" w14:textId="6D51CA33" w:rsidR="003445F2" w:rsidRDefault="003445F2" w:rsidP="003445F2">
      <w:pPr>
        <w:pStyle w:val="subsection"/>
      </w:pPr>
      <w:r>
        <w:tab/>
      </w:r>
      <w:r>
        <w:tab/>
        <w:t xml:space="preserve">For each eligible higher education provider, an </w:t>
      </w:r>
      <w:r w:rsidRPr="00B45DFD">
        <w:rPr>
          <w:b/>
          <w:i/>
        </w:rPr>
        <w:t>interim allocation amount</w:t>
      </w:r>
      <w:r>
        <w:t xml:space="preserve"> is set by</w:t>
      </w:r>
      <w:r w:rsidR="00B91E81">
        <w:t>:</w:t>
      </w:r>
      <w:r>
        <w:t xml:space="preserve"> </w:t>
      </w:r>
    </w:p>
    <w:p w14:paraId="5961EFFD" w14:textId="6579D043" w:rsidR="00B91E81" w:rsidRDefault="00B91E81" w:rsidP="00B91E81">
      <w:pPr>
        <w:pStyle w:val="paragraph"/>
      </w:pPr>
      <w:r>
        <w:tab/>
      </w:r>
      <w:r w:rsidRPr="00B45DFD">
        <w:t>(a)</w:t>
      </w:r>
      <w:r w:rsidRPr="00B45DFD">
        <w:tab/>
      </w:r>
      <w:r w:rsidRPr="00B91E81">
        <w:t>comparing the provider’s raw entitlement to the provider’s ceiling and floor; and</w:t>
      </w:r>
    </w:p>
    <w:p w14:paraId="65934D26" w14:textId="6D1045ED" w:rsidR="00B91E81" w:rsidRPr="00652E97" w:rsidRDefault="00B91E81">
      <w:pPr>
        <w:pStyle w:val="paragraph"/>
      </w:pPr>
      <w:r>
        <w:tab/>
      </w:r>
      <w:r w:rsidRPr="00652E97">
        <w:t>(</w:t>
      </w:r>
      <w:r>
        <w:t>b</w:t>
      </w:r>
      <w:r w:rsidRPr="00652E97">
        <w:t>)</w:t>
      </w:r>
      <w:r w:rsidRPr="00652E97">
        <w:tab/>
      </w:r>
      <w:r>
        <w:t>if:</w:t>
      </w:r>
    </w:p>
    <w:p w14:paraId="58E3F34E" w14:textId="1D91CA43" w:rsidR="00B91E81" w:rsidRDefault="00B91E81" w:rsidP="00B91E81">
      <w:pPr>
        <w:pStyle w:val="paragraphsub"/>
      </w:pPr>
      <w:r>
        <w:tab/>
        <w:t>(i</w:t>
      </w:r>
      <w:r w:rsidRPr="00AA76A0">
        <w:t>)</w:t>
      </w:r>
      <w:r w:rsidRPr="00AA76A0">
        <w:tab/>
      </w:r>
      <w:r>
        <w:t xml:space="preserve">if the provider’s raw entitlement is greater than or equal to the provider’s ceiling, then the provider’s interim allocation amount is set at the level of the provider’s ceiling;  </w:t>
      </w:r>
    </w:p>
    <w:p w14:paraId="3BF9E016" w14:textId="4443E240" w:rsidR="00B91E81" w:rsidRDefault="00B91E81" w:rsidP="00B91E81">
      <w:pPr>
        <w:pStyle w:val="paragraphsub"/>
      </w:pPr>
      <w:r>
        <w:tab/>
        <w:t>(ii</w:t>
      </w:r>
      <w:r w:rsidRPr="00AA76A0">
        <w:t>)</w:t>
      </w:r>
      <w:r w:rsidRPr="00AA76A0">
        <w:tab/>
      </w:r>
      <w:r>
        <w:t xml:space="preserve">if the provider’s raw entitlement is less than or equal to the provider’s floor, then the provider’s interim allocation amount is set at the level of the provider’s floor;  </w:t>
      </w:r>
    </w:p>
    <w:p w14:paraId="7C168348" w14:textId="134E960F" w:rsidR="00B91E81" w:rsidRDefault="00B91E81" w:rsidP="00B91E81">
      <w:pPr>
        <w:pStyle w:val="paragraphsub"/>
      </w:pPr>
      <w:r>
        <w:tab/>
        <w:t>(iii</w:t>
      </w:r>
      <w:r w:rsidRPr="00AA76A0">
        <w:t>)</w:t>
      </w:r>
      <w:r w:rsidRPr="00AA76A0">
        <w:tab/>
      </w:r>
      <w:r>
        <w:t xml:space="preserve">if the provider’s raw entitlement is greater than the provider’s floor but less than the provider’s ceiling, then the provider’s interim allocation amount is set at the level of the provider’s raw entitlement. </w:t>
      </w:r>
    </w:p>
    <w:p w14:paraId="410FE9A4" w14:textId="27F7D5E3" w:rsidR="007421E8" w:rsidRDefault="00010A54" w:rsidP="007421E8">
      <w:pPr>
        <w:pStyle w:val="ItemHead"/>
        <w:ind w:left="0" w:firstLine="0"/>
      </w:pPr>
      <w:r>
        <w:t>7</w:t>
      </w:r>
      <w:r w:rsidR="007421E8" w:rsidRPr="00B1728A">
        <w:t xml:space="preserve">  </w:t>
      </w:r>
      <w:r>
        <w:t>Sixth</w:t>
      </w:r>
      <w:r w:rsidR="007421E8">
        <w:t xml:space="preserve"> step (</w:t>
      </w:r>
      <w:r w:rsidR="000733CD">
        <w:t>Redistribute</w:t>
      </w:r>
      <w:r w:rsidR="00394B4B">
        <w:t xml:space="preserve"> any Pool B residual</w:t>
      </w:r>
      <w:r w:rsidR="007421E8">
        <w:t>)</w:t>
      </w:r>
    </w:p>
    <w:p w14:paraId="2F358007" w14:textId="5743661A" w:rsidR="00AB1314" w:rsidRDefault="00AB1314" w:rsidP="00AB1314">
      <w:pPr>
        <w:pStyle w:val="subsection"/>
      </w:pPr>
      <w:r>
        <w:tab/>
        <w:t>(1)</w:t>
      </w:r>
      <w:r>
        <w:tab/>
        <w:t xml:space="preserve">Any </w:t>
      </w:r>
      <w:r w:rsidR="00B024BE">
        <w:t>Pool B</w:t>
      </w:r>
      <w:r>
        <w:t xml:space="preserve"> residual is determined by subtracting the sum of all eligible higher education providers’ interim allocation amounts from Pool B.</w:t>
      </w:r>
    </w:p>
    <w:p w14:paraId="6C7AFAD8" w14:textId="77777777" w:rsidR="00AB1314" w:rsidRDefault="00AB1314" w:rsidP="00AB1314">
      <w:pPr>
        <w:pStyle w:val="subsection"/>
      </w:pPr>
      <w:r>
        <w:tab/>
        <w:t>(2)</w:t>
      </w:r>
      <w:r>
        <w:tab/>
        <w:t>If:</w:t>
      </w:r>
    </w:p>
    <w:p w14:paraId="070EDBC4" w14:textId="15DDC019" w:rsidR="00AB1314" w:rsidRDefault="00AB1314" w:rsidP="00AB1314">
      <w:pPr>
        <w:pStyle w:val="paragraph"/>
      </w:pPr>
      <w:r>
        <w:tab/>
        <w:t>(a</w:t>
      </w:r>
      <w:r w:rsidRPr="00652E97">
        <w:t>)</w:t>
      </w:r>
      <w:r w:rsidRPr="00652E97">
        <w:tab/>
      </w:r>
      <w:r>
        <w:t xml:space="preserve">the result of the calculation in subitem (1) is positive, </w:t>
      </w:r>
      <w:r w:rsidR="004B33C2">
        <w:t xml:space="preserve">repeat </w:t>
      </w:r>
      <w:r w:rsidR="007170A0">
        <w:t xml:space="preserve">the function described in subsection (4) </w:t>
      </w:r>
      <w:r w:rsidR="007170A0" w:rsidRPr="00584960">
        <w:rPr>
          <w:b/>
          <w:i/>
        </w:rPr>
        <w:t>(</w:t>
      </w:r>
      <w:r w:rsidR="004B33C2" w:rsidRPr="00584960">
        <w:rPr>
          <w:b/>
          <w:i/>
        </w:rPr>
        <w:t>Function 1</w:t>
      </w:r>
      <w:r w:rsidR="007170A0" w:rsidRPr="00584960">
        <w:rPr>
          <w:b/>
          <w:i/>
        </w:rPr>
        <w:t>)</w:t>
      </w:r>
      <w:r w:rsidR="007170A0">
        <w:t xml:space="preserve"> </w:t>
      </w:r>
      <w:r w:rsidR="004B33C2">
        <w:t xml:space="preserve">until </w:t>
      </w:r>
      <w:r>
        <w:t xml:space="preserve">the result is zero </w:t>
      </w:r>
      <w:r w:rsidR="004B33C2">
        <w:t xml:space="preserve">and then </w:t>
      </w:r>
      <w:r>
        <w:t xml:space="preserve">go </w:t>
      </w:r>
      <w:r w:rsidR="00010A54">
        <w:t xml:space="preserve">to </w:t>
      </w:r>
      <w:r>
        <w:t xml:space="preserve">the </w:t>
      </w:r>
      <w:r w:rsidR="00010A54">
        <w:t>seventh</w:t>
      </w:r>
      <w:r>
        <w:t xml:space="preserve"> step in Item </w:t>
      </w:r>
      <w:r w:rsidR="00010A54">
        <w:t>8</w:t>
      </w:r>
      <w:r>
        <w:t xml:space="preserve"> of this Schedule;    </w:t>
      </w:r>
    </w:p>
    <w:p w14:paraId="02BB9887" w14:textId="0308359F" w:rsidR="00AB1314" w:rsidRDefault="00AB1314">
      <w:pPr>
        <w:pStyle w:val="paragraph"/>
      </w:pPr>
      <w:r>
        <w:tab/>
        <w:t>(b</w:t>
      </w:r>
      <w:r w:rsidRPr="00652E97">
        <w:t>)</w:t>
      </w:r>
      <w:r w:rsidRPr="00652E97">
        <w:tab/>
      </w:r>
      <w:r>
        <w:t xml:space="preserve">the result of the calculation in subitem (1) is negative, </w:t>
      </w:r>
      <w:r w:rsidR="00AA3042">
        <w:t>r</w:t>
      </w:r>
      <w:r w:rsidR="004B33C2">
        <w:t>epeat</w:t>
      </w:r>
      <w:r>
        <w:t xml:space="preserve"> </w:t>
      </w:r>
      <w:r w:rsidR="007170A0">
        <w:t xml:space="preserve">the function described in subsection (5) </w:t>
      </w:r>
      <w:r w:rsidR="007170A0">
        <w:rPr>
          <w:b/>
          <w:i/>
        </w:rPr>
        <w:t>(</w:t>
      </w:r>
      <w:r w:rsidRPr="00584960">
        <w:rPr>
          <w:b/>
          <w:i/>
        </w:rPr>
        <w:t>Function 2</w:t>
      </w:r>
      <w:r w:rsidR="007170A0" w:rsidRPr="00584960">
        <w:rPr>
          <w:b/>
          <w:i/>
        </w:rPr>
        <w:t>)</w:t>
      </w:r>
      <w:r>
        <w:t xml:space="preserve"> </w:t>
      </w:r>
      <w:r w:rsidR="004B33C2">
        <w:t xml:space="preserve">until the result is zero </w:t>
      </w:r>
      <w:r>
        <w:t xml:space="preserve">and </w:t>
      </w:r>
      <w:r w:rsidR="004B33C2">
        <w:t>then</w:t>
      </w:r>
      <w:r>
        <w:t xml:space="preserve"> go the s</w:t>
      </w:r>
      <w:r w:rsidR="00010A54">
        <w:t>eventh</w:t>
      </w:r>
      <w:r>
        <w:t xml:space="preserve"> step in Item </w:t>
      </w:r>
      <w:r w:rsidR="00010A54">
        <w:t>8</w:t>
      </w:r>
      <w:r>
        <w:t xml:space="preserve"> of this Schedule;</w:t>
      </w:r>
    </w:p>
    <w:p w14:paraId="5939A8CF" w14:textId="15C6239A" w:rsidR="00AB1314" w:rsidRDefault="00AB1314" w:rsidP="00AB1314">
      <w:pPr>
        <w:pStyle w:val="paragraph"/>
      </w:pPr>
      <w:r>
        <w:tab/>
        <w:t>(c</w:t>
      </w:r>
      <w:r w:rsidRPr="00652E97">
        <w:t>)</w:t>
      </w:r>
      <w:r w:rsidRPr="00652E97">
        <w:tab/>
      </w:r>
      <w:r>
        <w:t xml:space="preserve">the result of the calculation in subitem (1) is zero, go to the </w:t>
      </w:r>
      <w:r w:rsidR="00010A54">
        <w:t>seventh</w:t>
      </w:r>
      <w:r>
        <w:t xml:space="preserve"> step in Item </w:t>
      </w:r>
      <w:r w:rsidR="00010A54">
        <w:t>8</w:t>
      </w:r>
      <w:r>
        <w:t xml:space="preserve"> of this Schedule</w:t>
      </w:r>
      <w:r w:rsidR="00010A54">
        <w:t>.</w:t>
      </w:r>
      <w:r>
        <w:t xml:space="preserve">  </w:t>
      </w:r>
    </w:p>
    <w:p w14:paraId="22CCA659" w14:textId="4B18696D" w:rsidR="005B0429" w:rsidRDefault="00AB1314" w:rsidP="005B0429">
      <w:pPr>
        <w:pStyle w:val="subsection"/>
      </w:pPr>
      <w:r>
        <w:tab/>
        <w:t>(3)</w:t>
      </w:r>
      <w:r>
        <w:tab/>
        <w:t xml:space="preserve">For </w:t>
      </w:r>
      <w:r w:rsidR="005B0429">
        <w:t>each eligible higher education provider, the provider’s Pool B entitlement is</w:t>
      </w:r>
      <w:r w:rsidR="00FF0DBB">
        <w:t xml:space="preserve"> the provider’s interim allocation amount when Pool B equals the sum of the interim allocation amounts for all eligible higher education providers.</w:t>
      </w:r>
    </w:p>
    <w:p w14:paraId="79991FFE" w14:textId="4E822DB3" w:rsidR="00AB1314" w:rsidRDefault="005B0429" w:rsidP="00AB1314">
      <w:pPr>
        <w:pStyle w:val="subsection"/>
      </w:pPr>
      <w:r>
        <w:tab/>
        <w:t>(4</w:t>
      </w:r>
      <w:r w:rsidR="00AB1314">
        <w:t>)</w:t>
      </w:r>
      <w:r w:rsidR="00AB1314">
        <w:tab/>
        <w:t xml:space="preserve">For the purposes of this Item, Function 1 has the following steps: </w:t>
      </w:r>
    </w:p>
    <w:p w14:paraId="4A26167C" w14:textId="771F40A4" w:rsidR="00394B4B" w:rsidRDefault="00394B4B" w:rsidP="00394B4B">
      <w:pPr>
        <w:pStyle w:val="paragraph"/>
      </w:pPr>
      <w:r>
        <w:tab/>
      </w:r>
      <w:r w:rsidRPr="00652E97">
        <w:t>(a)</w:t>
      </w:r>
      <w:r w:rsidRPr="00652E97">
        <w:tab/>
      </w:r>
      <w:r>
        <w:t xml:space="preserve">set aside any eligible higher education provider </w:t>
      </w:r>
      <w:r w:rsidR="000C63FF">
        <w:rPr>
          <w:b/>
          <w:i/>
        </w:rPr>
        <w:t>(</w:t>
      </w:r>
      <w:r w:rsidR="0072218D">
        <w:rPr>
          <w:b/>
          <w:i/>
        </w:rPr>
        <w:t xml:space="preserve">ceiling </w:t>
      </w:r>
      <w:r w:rsidR="000C63FF">
        <w:rPr>
          <w:b/>
          <w:i/>
        </w:rPr>
        <w:t xml:space="preserve">capped provider) </w:t>
      </w:r>
      <w:r w:rsidR="000C63FF">
        <w:t xml:space="preserve">whose interim allocation is set at the </w:t>
      </w:r>
      <w:r w:rsidR="00B46B45">
        <w:t xml:space="preserve">provider’s </w:t>
      </w:r>
      <w:r w:rsidR="000C63FF">
        <w:t xml:space="preserve">ceiling under subparagraph </w:t>
      </w:r>
      <w:r w:rsidR="00B46B45">
        <w:t>6</w:t>
      </w:r>
      <w:r w:rsidR="000C63FF">
        <w:t xml:space="preserve">(b)(i) of this Schedule; </w:t>
      </w:r>
    </w:p>
    <w:p w14:paraId="270B4F73" w14:textId="04FFD150" w:rsidR="000C63FF" w:rsidRDefault="000C63FF" w:rsidP="000C63FF">
      <w:pPr>
        <w:pStyle w:val="paragraph"/>
      </w:pPr>
      <w:r>
        <w:tab/>
        <w:t>(b</w:t>
      </w:r>
      <w:r w:rsidRPr="00652E97">
        <w:t>)</w:t>
      </w:r>
      <w:r w:rsidRPr="00652E97">
        <w:tab/>
      </w:r>
      <w:r>
        <w:t xml:space="preserve">sum the interim </w:t>
      </w:r>
      <w:r w:rsidR="00010A54">
        <w:t>allocation amounts</w:t>
      </w:r>
      <w:r>
        <w:t xml:space="preserve"> of all eligible higher education providers </w:t>
      </w:r>
      <w:r>
        <w:rPr>
          <w:b/>
          <w:i/>
        </w:rPr>
        <w:t>(non</w:t>
      </w:r>
      <w:r>
        <w:rPr>
          <w:b/>
          <w:i/>
        </w:rPr>
        <w:noBreakHyphen/>
      </w:r>
      <w:r w:rsidR="0072218D">
        <w:rPr>
          <w:b/>
          <w:i/>
        </w:rPr>
        <w:t xml:space="preserve">ceiling </w:t>
      </w:r>
      <w:r>
        <w:rPr>
          <w:b/>
          <w:i/>
        </w:rPr>
        <w:t xml:space="preserve">capped providers) </w:t>
      </w:r>
      <w:r>
        <w:t xml:space="preserve">whose interim allocation </w:t>
      </w:r>
      <w:r w:rsidR="00010A54">
        <w:t xml:space="preserve">amount </w:t>
      </w:r>
      <w:r>
        <w:t xml:space="preserve">is not set at the </w:t>
      </w:r>
      <w:r w:rsidR="00B46B45">
        <w:t xml:space="preserve">provider’s </w:t>
      </w:r>
      <w:r>
        <w:t xml:space="preserve">ceiling under subparagraph </w:t>
      </w:r>
      <w:r w:rsidR="00B46B45">
        <w:t>6</w:t>
      </w:r>
      <w:r>
        <w:t xml:space="preserve">(b)(i) of this Schedule; </w:t>
      </w:r>
    </w:p>
    <w:p w14:paraId="543561D0" w14:textId="4449A64C" w:rsidR="000C63FF" w:rsidRDefault="000C63FF" w:rsidP="000C63FF">
      <w:pPr>
        <w:pStyle w:val="paragraph"/>
      </w:pPr>
      <w:r>
        <w:tab/>
        <w:t>(c</w:t>
      </w:r>
      <w:r w:rsidRPr="00652E97">
        <w:t>)</w:t>
      </w:r>
      <w:r w:rsidRPr="00652E97">
        <w:tab/>
      </w:r>
      <w:r>
        <w:t>calculate each non-</w:t>
      </w:r>
      <w:r w:rsidR="00215AB0" w:rsidRPr="00D5249A">
        <w:t xml:space="preserve">ceiling </w:t>
      </w:r>
      <w:r w:rsidRPr="00D5249A">
        <w:t xml:space="preserve">capped provider’s </w:t>
      </w:r>
      <w:r w:rsidR="00B07571" w:rsidRPr="00D5249A">
        <w:t xml:space="preserve">proportional </w:t>
      </w:r>
      <w:r w:rsidRPr="00D5249A">
        <w:t xml:space="preserve">share of the total from </w:t>
      </w:r>
      <w:r w:rsidR="00DA3417" w:rsidRPr="00D5249A">
        <w:t xml:space="preserve">paragraph </w:t>
      </w:r>
      <w:r w:rsidRPr="00D5249A">
        <w:t>(b);</w:t>
      </w:r>
      <w:r>
        <w:t xml:space="preserve"> </w:t>
      </w:r>
    </w:p>
    <w:p w14:paraId="108E5272" w14:textId="76522151" w:rsidR="000C63FF" w:rsidRDefault="000C63FF" w:rsidP="000C63FF">
      <w:pPr>
        <w:pStyle w:val="paragraph"/>
      </w:pPr>
      <w:r>
        <w:tab/>
        <w:t>(d</w:t>
      </w:r>
      <w:r w:rsidRPr="00652E97">
        <w:t>)</w:t>
      </w:r>
      <w:r w:rsidRPr="00652E97">
        <w:tab/>
      </w:r>
      <w:r>
        <w:t>for each non-</w:t>
      </w:r>
      <w:r w:rsidR="00215AB0">
        <w:t xml:space="preserve">ceiling </w:t>
      </w:r>
      <w:r>
        <w:t>capped provider, multipl</w:t>
      </w:r>
      <w:r w:rsidR="00010A54">
        <w:t>y</w:t>
      </w:r>
      <w:r>
        <w:t xml:space="preserve"> the provider’s share by the difference between Pool B and the sum of all eligible higher education provider’s interim allocation amounts; </w:t>
      </w:r>
    </w:p>
    <w:p w14:paraId="45CE3A60" w14:textId="28F93D59" w:rsidR="000C63FF" w:rsidRDefault="000C63FF" w:rsidP="000C63FF">
      <w:pPr>
        <w:pStyle w:val="paragraph"/>
      </w:pPr>
      <w:r>
        <w:tab/>
        <w:t>(e</w:t>
      </w:r>
      <w:r w:rsidRPr="00652E97">
        <w:t>)</w:t>
      </w:r>
      <w:r w:rsidRPr="00652E97">
        <w:tab/>
      </w:r>
      <w:r w:rsidR="00C14D3C">
        <w:t>subject to</w:t>
      </w:r>
      <w:r w:rsidR="00DA3417">
        <w:t xml:space="preserve"> paragraph</w:t>
      </w:r>
      <w:r w:rsidR="00C14D3C">
        <w:t xml:space="preserve"> (f), </w:t>
      </w:r>
      <w:r>
        <w:t>for each non-</w:t>
      </w:r>
      <w:r w:rsidR="00215AB0">
        <w:t xml:space="preserve">ceiling </w:t>
      </w:r>
      <w:r>
        <w:t xml:space="preserve">capped provider, calculate a new interim allocation for the provider by adding the amount for the provider from </w:t>
      </w:r>
      <w:r w:rsidR="00DA3417">
        <w:t xml:space="preserve">paragraph </w:t>
      </w:r>
      <w:r>
        <w:t>(d) to the provider’s interim allocation</w:t>
      </w:r>
      <w:r w:rsidR="00010A54">
        <w:t xml:space="preserve"> amount</w:t>
      </w:r>
      <w:r>
        <w:t xml:space="preserve">; </w:t>
      </w:r>
    </w:p>
    <w:p w14:paraId="6953C63A" w14:textId="7A0F657D" w:rsidR="00C14D3C" w:rsidRDefault="00C14D3C" w:rsidP="00C14D3C">
      <w:pPr>
        <w:pStyle w:val="paragraph"/>
      </w:pPr>
      <w:r>
        <w:tab/>
        <w:t>(f</w:t>
      </w:r>
      <w:r w:rsidRPr="00652E97">
        <w:t>)</w:t>
      </w:r>
      <w:r w:rsidRPr="00652E97">
        <w:tab/>
      </w:r>
      <w:r>
        <w:t>if the new interim allocation for a non-</w:t>
      </w:r>
      <w:r w:rsidR="00215AB0">
        <w:t xml:space="preserve">ceiling </w:t>
      </w:r>
      <w:r>
        <w:t xml:space="preserve">capped provider is greater than or equal to the provider’s ceiling, then the provider’s new interim allocation is set at the </w:t>
      </w:r>
      <w:r w:rsidR="00B46B45">
        <w:t xml:space="preserve">provider’s </w:t>
      </w:r>
      <w:r>
        <w:t xml:space="preserve">ceiling and the provider is a </w:t>
      </w:r>
      <w:r w:rsidR="00215AB0">
        <w:t xml:space="preserve">ceiling </w:t>
      </w:r>
      <w:r>
        <w:t xml:space="preserve">capped provider for any subsequent repetitions of Function 1; </w:t>
      </w:r>
    </w:p>
    <w:p w14:paraId="6D904FA2" w14:textId="650D95BE" w:rsidR="00DA3417" w:rsidRDefault="00DA3417" w:rsidP="00D5249A">
      <w:pPr>
        <w:pStyle w:val="paragraph"/>
      </w:pPr>
      <w:r>
        <w:tab/>
        <w:t>(g</w:t>
      </w:r>
      <w:r w:rsidRPr="00652E97">
        <w:t>)</w:t>
      </w:r>
      <w:r w:rsidRPr="00652E97">
        <w:tab/>
      </w:r>
      <w:r>
        <w:t xml:space="preserve">calculate the difference between Pool B and the sum of all </w:t>
      </w:r>
      <w:r w:rsidR="00215AB0">
        <w:t xml:space="preserve">ceiling </w:t>
      </w:r>
      <w:r>
        <w:t>capped provider interim allocation</w:t>
      </w:r>
      <w:r w:rsidR="00010A54">
        <w:t xml:space="preserve"> amount</w:t>
      </w:r>
      <w:r>
        <w:t>s and all new interim allocation</w:t>
      </w:r>
      <w:r w:rsidR="00010A54">
        <w:t xml:space="preserve"> amount</w:t>
      </w:r>
      <w:r>
        <w:t>s for non-</w:t>
      </w:r>
      <w:r w:rsidR="00215AB0">
        <w:t xml:space="preserve">ceiling </w:t>
      </w:r>
      <w:r w:rsidR="00D5249A">
        <w:t>capped providers</w:t>
      </w:r>
      <w:r w:rsidR="00C41D03">
        <w:t>.</w:t>
      </w:r>
      <w:r w:rsidR="00D5249A">
        <w:t xml:space="preserve"> </w:t>
      </w:r>
    </w:p>
    <w:p w14:paraId="0F07661D" w14:textId="743E9B90" w:rsidR="007E6E0D" w:rsidRDefault="00AA3042" w:rsidP="007E6E0D">
      <w:pPr>
        <w:pStyle w:val="subsection"/>
      </w:pPr>
      <w:r>
        <w:tab/>
        <w:t>(</w:t>
      </w:r>
      <w:r w:rsidR="000B4961">
        <w:t>5</w:t>
      </w:r>
      <w:r w:rsidR="007E6E0D">
        <w:t>)</w:t>
      </w:r>
      <w:r w:rsidR="007E6E0D">
        <w:tab/>
      </w:r>
      <w:r>
        <w:t>For the purposes of this Item, Function 2 has the following steps</w:t>
      </w:r>
      <w:r w:rsidR="007E6E0D">
        <w:t>:</w:t>
      </w:r>
    </w:p>
    <w:p w14:paraId="71AE1837" w14:textId="55369641" w:rsidR="007E6E0D" w:rsidRDefault="007E6E0D" w:rsidP="007E6E0D">
      <w:pPr>
        <w:pStyle w:val="paragraph"/>
      </w:pPr>
      <w:r>
        <w:tab/>
        <w:t>(a</w:t>
      </w:r>
      <w:r w:rsidRPr="00652E97">
        <w:t>)</w:t>
      </w:r>
      <w:r w:rsidRPr="00652E97">
        <w:tab/>
      </w:r>
      <w:r>
        <w:t xml:space="preserve">set aside any eligible higher education provider </w:t>
      </w:r>
      <w:r>
        <w:rPr>
          <w:b/>
          <w:i/>
        </w:rPr>
        <w:t>(</w:t>
      </w:r>
      <w:r w:rsidR="00215AB0">
        <w:rPr>
          <w:b/>
          <w:i/>
        </w:rPr>
        <w:t xml:space="preserve">floor </w:t>
      </w:r>
      <w:r>
        <w:rPr>
          <w:b/>
          <w:i/>
        </w:rPr>
        <w:t>capped provider</w:t>
      </w:r>
      <w:r w:rsidR="0072218D">
        <w:rPr>
          <w:b/>
          <w:i/>
        </w:rPr>
        <w:t>s</w:t>
      </w:r>
      <w:r>
        <w:rPr>
          <w:b/>
          <w:i/>
        </w:rPr>
        <w:t xml:space="preserve">) </w:t>
      </w:r>
      <w:r>
        <w:t xml:space="preserve">whose interim allocation </w:t>
      </w:r>
      <w:r w:rsidR="00010A54">
        <w:t xml:space="preserve">amount </w:t>
      </w:r>
      <w:r>
        <w:t xml:space="preserve">is set at the </w:t>
      </w:r>
      <w:r w:rsidR="00B46B45">
        <w:t xml:space="preserve">provider’s </w:t>
      </w:r>
      <w:r>
        <w:t xml:space="preserve">floor under subparagraph </w:t>
      </w:r>
      <w:r w:rsidR="00B46B45">
        <w:t>6</w:t>
      </w:r>
      <w:r>
        <w:t xml:space="preserve">(b)(ii) of this Schedule;  </w:t>
      </w:r>
    </w:p>
    <w:p w14:paraId="7F30A4CC" w14:textId="2A2F1B99" w:rsidR="007E6E0D" w:rsidRPr="007E6E0D" w:rsidRDefault="007E6E0D" w:rsidP="007E6E0D">
      <w:pPr>
        <w:pStyle w:val="paragraph"/>
      </w:pPr>
      <w:r>
        <w:tab/>
        <w:t>(b</w:t>
      </w:r>
      <w:r w:rsidRPr="00652E97">
        <w:t>)</w:t>
      </w:r>
      <w:r w:rsidRPr="00652E97">
        <w:tab/>
      </w:r>
      <w:r>
        <w:t>sum the interim allocation</w:t>
      </w:r>
      <w:r w:rsidR="00010A54">
        <w:t xml:space="preserve"> amount</w:t>
      </w:r>
      <w:r>
        <w:t xml:space="preserve">s of all eligible higher education providers </w:t>
      </w:r>
      <w:r>
        <w:rPr>
          <w:b/>
          <w:i/>
        </w:rPr>
        <w:t>(non</w:t>
      </w:r>
      <w:r>
        <w:rPr>
          <w:b/>
          <w:i/>
        </w:rPr>
        <w:noBreakHyphen/>
      </w:r>
      <w:r w:rsidR="00215AB0">
        <w:rPr>
          <w:b/>
          <w:i/>
        </w:rPr>
        <w:t xml:space="preserve">floor </w:t>
      </w:r>
      <w:r>
        <w:rPr>
          <w:b/>
          <w:i/>
        </w:rPr>
        <w:t>capped providers)</w:t>
      </w:r>
      <w:r>
        <w:t xml:space="preserve"> whose interim allocation is not set at the </w:t>
      </w:r>
      <w:r w:rsidR="00B46B45">
        <w:t xml:space="preserve">provider’s </w:t>
      </w:r>
      <w:r>
        <w:t xml:space="preserve">floor under subparagraph </w:t>
      </w:r>
      <w:r w:rsidR="00B46B45">
        <w:t>6</w:t>
      </w:r>
      <w:r>
        <w:t xml:space="preserve">(b)(ii) of this Schedule; </w:t>
      </w:r>
    </w:p>
    <w:p w14:paraId="66908DA5" w14:textId="4FCE6F97" w:rsidR="007E6E0D" w:rsidRDefault="007E6E0D" w:rsidP="007E6E0D">
      <w:pPr>
        <w:pStyle w:val="paragraph"/>
      </w:pPr>
      <w:r>
        <w:tab/>
        <w:t>(c</w:t>
      </w:r>
      <w:r w:rsidRPr="00652E97">
        <w:t>)</w:t>
      </w:r>
      <w:r w:rsidRPr="00652E97">
        <w:tab/>
      </w:r>
      <w:r>
        <w:t>calculate each non-</w:t>
      </w:r>
      <w:r w:rsidR="00215AB0">
        <w:t xml:space="preserve">floor </w:t>
      </w:r>
      <w:r>
        <w:t xml:space="preserve">capped provider’s </w:t>
      </w:r>
      <w:r w:rsidR="00A13484">
        <w:t xml:space="preserve">proportional </w:t>
      </w:r>
      <w:r>
        <w:t>share of the total from paragraph (b)</w:t>
      </w:r>
      <w:r w:rsidR="00A13484">
        <w:t>;</w:t>
      </w:r>
      <w:r>
        <w:t xml:space="preserve"> </w:t>
      </w:r>
    </w:p>
    <w:p w14:paraId="76958473" w14:textId="27D99F03" w:rsidR="007E6E0D" w:rsidRPr="00376879" w:rsidRDefault="007E6E0D">
      <w:pPr>
        <w:pStyle w:val="paragraph"/>
      </w:pPr>
      <w:r>
        <w:tab/>
        <w:t>(d</w:t>
      </w:r>
      <w:r w:rsidRPr="00652E97">
        <w:t>)</w:t>
      </w:r>
      <w:r w:rsidRPr="00652E97">
        <w:tab/>
      </w:r>
      <w:r>
        <w:t>for each non-</w:t>
      </w:r>
      <w:r w:rsidR="00215AB0">
        <w:t xml:space="preserve">floor </w:t>
      </w:r>
      <w:r>
        <w:t xml:space="preserve">capped provider, </w:t>
      </w:r>
      <w:r w:rsidR="00F467A5">
        <w:t>multiply</w:t>
      </w:r>
      <w:r>
        <w:t xml:space="preserve"> the provider’s share by the </w:t>
      </w:r>
      <w:r w:rsidRPr="00376879">
        <w:t xml:space="preserve">difference between Pool B and the sum of all eligible higher education provider’s interim allocation amounts; </w:t>
      </w:r>
    </w:p>
    <w:p w14:paraId="61073A2B" w14:textId="05190FAE" w:rsidR="007E6E0D" w:rsidRPr="00376879" w:rsidRDefault="007E6E0D" w:rsidP="007E6E0D">
      <w:pPr>
        <w:pStyle w:val="paragraph"/>
      </w:pPr>
      <w:r w:rsidRPr="00376879">
        <w:tab/>
        <w:t>(e)</w:t>
      </w:r>
      <w:r w:rsidRPr="00376879">
        <w:tab/>
        <w:t xml:space="preserve">subject to paragraph (f), </w:t>
      </w:r>
      <w:r w:rsidR="008249E5" w:rsidRPr="00B45DFD">
        <w:t xml:space="preserve">for each non-floor capped provider, </w:t>
      </w:r>
      <w:r w:rsidR="00A13484" w:rsidRPr="00376879">
        <w:t xml:space="preserve">the calculation in paragraph (d) will reduce the interim allocation amount for </w:t>
      </w:r>
      <w:r w:rsidR="008249E5" w:rsidRPr="00B45DFD">
        <w:t>the</w:t>
      </w:r>
      <w:r w:rsidR="00A13484" w:rsidRPr="00376879">
        <w:t xml:space="preserve"> provider and result in a new interim allocation amount for the provider</w:t>
      </w:r>
      <w:r w:rsidRPr="00376879">
        <w:t xml:space="preserve">; </w:t>
      </w:r>
    </w:p>
    <w:p w14:paraId="6D4F7057" w14:textId="712B988A" w:rsidR="007E6E0D" w:rsidRDefault="007E6E0D" w:rsidP="007E6E0D">
      <w:pPr>
        <w:pStyle w:val="paragraph"/>
      </w:pPr>
      <w:r w:rsidRPr="00376879">
        <w:tab/>
        <w:t>(f)</w:t>
      </w:r>
      <w:r w:rsidRPr="00376879">
        <w:tab/>
        <w:t xml:space="preserve">if </w:t>
      </w:r>
      <w:r w:rsidR="00A13484" w:rsidRPr="00376879">
        <w:t xml:space="preserve">the </w:t>
      </w:r>
      <w:r w:rsidR="00F467A5" w:rsidRPr="00B45DFD">
        <w:t xml:space="preserve">new interim allocation amount </w:t>
      </w:r>
      <w:r w:rsidRPr="00376879">
        <w:t xml:space="preserve">for a </w:t>
      </w:r>
      <w:r w:rsidR="005B7566" w:rsidRPr="00376879">
        <w:t>non-</w:t>
      </w:r>
      <w:r w:rsidR="00215AB0" w:rsidRPr="00376879">
        <w:t xml:space="preserve">floor </w:t>
      </w:r>
      <w:r w:rsidR="005B7566" w:rsidRPr="00376879">
        <w:t>capped provider is less</w:t>
      </w:r>
      <w:r w:rsidRPr="00376879">
        <w:t xml:space="preserve"> than or equal to the provider’s </w:t>
      </w:r>
      <w:r w:rsidR="00B46B45" w:rsidRPr="00376879">
        <w:t>floor</w:t>
      </w:r>
      <w:r w:rsidRPr="00376879">
        <w:t xml:space="preserve">, then the provider’s new interim allocation </w:t>
      </w:r>
      <w:r w:rsidR="00010A54" w:rsidRPr="00376879">
        <w:t xml:space="preserve">amount </w:t>
      </w:r>
      <w:r w:rsidRPr="00376879">
        <w:t xml:space="preserve">is set at the </w:t>
      </w:r>
      <w:r w:rsidR="00B46B45" w:rsidRPr="00376879">
        <w:t xml:space="preserve">provider’s </w:t>
      </w:r>
      <w:r w:rsidR="005B7566" w:rsidRPr="00376879">
        <w:t xml:space="preserve">floor </w:t>
      </w:r>
      <w:r w:rsidRPr="00376879">
        <w:t xml:space="preserve">and the provider is a </w:t>
      </w:r>
      <w:r w:rsidR="00215AB0" w:rsidRPr="00376879">
        <w:t xml:space="preserve">floor </w:t>
      </w:r>
      <w:r w:rsidRPr="00376879">
        <w:t xml:space="preserve">capped provider for any subsequent repetitions of </w:t>
      </w:r>
      <w:r w:rsidR="005B7566" w:rsidRPr="00376879">
        <w:t>Function 2</w:t>
      </w:r>
      <w:r w:rsidRPr="00376879">
        <w:t>;</w:t>
      </w:r>
      <w:r>
        <w:t xml:space="preserve"> </w:t>
      </w:r>
    </w:p>
    <w:p w14:paraId="1B95A8F4" w14:textId="78B85FDD" w:rsidR="007E6E0D" w:rsidRDefault="007E6E0D" w:rsidP="007E6E0D">
      <w:pPr>
        <w:pStyle w:val="paragraph"/>
      </w:pPr>
      <w:r>
        <w:tab/>
        <w:t>(g</w:t>
      </w:r>
      <w:r w:rsidRPr="00652E97">
        <w:t>)</w:t>
      </w:r>
      <w:r w:rsidRPr="00652E97">
        <w:tab/>
      </w:r>
      <w:r>
        <w:t xml:space="preserve">calculate the difference between Pool B and the sum of all </w:t>
      </w:r>
      <w:r w:rsidR="00215AB0">
        <w:t xml:space="preserve">floor </w:t>
      </w:r>
      <w:r>
        <w:t>capped provider interim allocation</w:t>
      </w:r>
      <w:r w:rsidR="00010A54">
        <w:t xml:space="preserve"> amount</w:t>
      </w:r>
      <w:r>
        <w:t>s and all new interim allocation</w:t>
      </w:r>
      <w:r w:rsidR="00010A54">
        <w:t xml:space="preserve"> amount</w:t>
      </w:r>
      <w:r>
        <w:t>s for non-</w:t>
      </w:r>
      <w:r w:rsidR="00215AB0">
        <w:t xml:space="preserve">floor </w:t>
      </w:r>
      <w:r w:rsidR="00A13484">
        <w:t>capped providers.</w:t>
      </w:r>
    </w:p>
    <w:p w14:paraId="16A566CC" w14:textId="007FD249" w:rsidR="007421E8" w:rsidRDefault="007421E8" w:rsidP="007421E8">
      <w:pPr>
        <w:pStyle w:val="ItemHead"/>
        <w:ind w:left="0" w:firstLine="0"/>
      </w:pPr>
      <w:r>
        <w:t>8</w:t>
      </w:r>
      <w:r w:rsidRPr="00B1728A">
        <w:t xml:space="preserve">  </w:t>
      </w:r>
      <w:r>
        <w:t>Seventh step (Determine an ISSP grant amount)</w:t>
      </w:r>
    </w:p>
    <w:p w14:paraId="626568A3" w14:textId="60044CD9" w:rsidR="007421E8" w:rsidRDefault="007421E8" w:rsidP="007421E8">
      <w:pPr>
        <w:pStyle w:val="subsection"/>
      </w:pPr>
      <w:r>
        <w:tab/>
      </w:r>
      <w:r>
        <w:tab/>
        <w:t xml:space="preserve">For each eligible higher education provider, the provider’s ISSP </w:t>
      </w:r>
      <w:r w:rsidR="0060036A">
        <w:t xml:space="preserve">grant </w:t>
      </w:r>
      <w:r>
        <w:t xml:space="preserve">amount for a grant year is determined by adding each of the following </w:t>
      </w:r>
      <w:r w:rsidR="008A3D16">
        <w:t>entitlements</w:t>
      </w:r>
      <w:r>
        <w:t>:</w:t>
      </w:r>
    </w:p>
    <w:p w14:paraId="61F49449" w14:textId="38B7691D" w:rsidR="007421E8" w:rsidRDefault="007421E8" w:rsidP="007421E8">
      <w:pPr>
        <w:pStyle w:val="paragraph"/>
      </w:pPr>
      <w:r>
        <w:tab/>
      </w:r>
      <w:r w:rsidRPr="00652E97">
        <w:t>(a)</w:t>
      </w:r>
      <w:r w:rsidRPr="00652E97">
        <w:tab/>
      </w:r>
      <w:r>
        <w:t xml:space="preserve">the provider’s </w:t>
      </w:r>
      <w:r w:rsidR="00D85378">
        <w:t xml:space="preserve">Pool A </w:t>
      </w:r>
      <w:r w:rsidR="0060036A">
        <w:t>entitlement</w:t>
      </w:r>
      <w:r w:rsidR="00D85378">
        <w:t xml:space="preserve"> for preserved Indigenous Commonwealth Scholarships; and</w:t>
      </w:r>
    </w:p>
    <w:p w14:paraId="38272CC8" w14:textId="025E20A8" w:rsidR="00D85378" w:rsidRDefault="00D85378" w:rsidP="00D85378">
      <w:pPr>
        <w:pStyle w:val="paragraph"/>
      </w:pPr>
      <w:r>
        <w:tab/>
      </w:r>
      <w:r w:rsidRPr="00652E97">
        <w:t>(</w:t>
      </w:r>
      <w:r w:rsidR="00E45487">
        <w:t>b</w:t>
      </w:r>
      <w:r w:rsidRPr="00652E97">
        <w:t>)</w:t>
      </w:r>
      <w:r w:rsidRPr="00652E97">
        <w:tab/>
      </w:r>
      <w:r>
        <w:t xml:space="preserve">the provider’s Pool B </w:t>
      </w:r>
      <w:r w:rsidR="0060036A">
        <w:t>entitlement.</w:t>
      </w:r>
    </w:p>
    <w:p w14:paraId="51EDD2FD" w14:textId="3265D944" w:rsidR="00D85378" w:rsidRDefault="00D85378" w:rsidP="00D85378">
      <w:pPr>
        <w:pStyle w:val="paragraph"/>
        <w:rPr>
          <w:rFonts w:eastAsiaTheme="minorHAnsi" w:cstheme="minorBidi"/>
          <w:lang w:eastAsia="en-US"/>
        </w:rPr>
      </w:pPr>
    </w:p>
    <w:p w14:paraId="084CE58A" w14:textId="77777777" w:rsidR="00D85378" w:rsidRDefault="00D85378" w:rsidP="00D85378">
      <w:pPr>
        <w:pStyle w:val="paragraph"/>
        <w:rPr>
          <w:rFonts w:eastAsiaTheme="minorHAnsi" w:cstheme="minorBidi"/>
          <w:lang w:eastAsia="en-US"/>
        </w:rPr>
      </w:pPr>
    </w:p>
    <w:p w14:paraId="490E1FF0" w14:textId="3C8D0E80" w:rsidR="007421E8" w:rsidRDefault="007421E8" w:rsidP="00B45DFD">
      <w:pPr>
        <w:spacing w:before="200" w:after="120"/>
        <w:rPr>
          <w:lang w:eastAsia="en-AU"/>
        </w:rPr>
      </w:pPr>
    </w:p>
    <w:p w14:paraId="0A722529" w14:textId="0249A94B" w:rsidR="007421E8" w:rsidRDefault="007421E8" w:rsidP="00B45DFD">
      <w:pPr>
        <w:spacing w:before="200" w:after="120"/>
        <w:rPr>
          <w:lang w:eastAsia="en-AU"/>
        </w:rPr>
      </w:pPr>
    </w:p>
    <w:p w14:paraId="3034AA48" w14:textId="1E641CC1" w:rsidR="0028700C" w:rsidRDefault="0028700C" w:rsidP="00B45DFD">
      <w:pPr>
        <w:spacing w:before="200" w:after="120"/>
      </w:pPr>
    </w:p>
    <w:sectPr w:rsidR="0028700C" w:rsidSect="002F3666">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0A447" w14:textId="77777777" w:rsidR="002B420C" w:rsidRDefault="002B420C" w:rsidP="00715914">
      <w:pPr>
        <w:spacing w:line="240" w:lineRule="auto"/>
      </w:pPr>
      <w:r>
        <w:separator/>
      </w:r>
    </w:p>
  </w:endnote>
  <w:endnote w:type="continuationSeparator" w:id="0">
    <w:p w14:paraId="37440426" w14:textId="77777777" w:rsidR="002B420C" w:rsidRDefault="002B420C" w:rsidP="00715914">
      <w:pPr>
        <w:spacing w:line="240" w:lineRule="auto"/>
      </w:pPr>
      <w:r>
        <w:continuationSeparator/>
      </w:r>
    </w:p>
  </w:endnote>
  <w:endnote w:type="continuationNotice" w:id="1">
    <w:p w14:paraId="47CCAAED" w14:textId="77777777" w:rsidR="002B420C" w:rsidRDefault="002B42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D8F6B" w14:textId="77777777" w:rsidR="0025436E" w:rsidRPr="00E33C1C" w:rsidRDefault="0025436E"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5436E" w14:paraId="6F8EB014" w14:textId="77777777" w:rsidTr="00B33709">
      <w:tc>
        <w:tcPr>
          <w:tcW w:w="709" w:type="dxa"/>
          <w:tcBorders>
            <w:top w:val="nil"/>
            <w:left w:val="nil"/>
            <w:bottom w:val="nil"/>
            <w:right w:val="nil"/>
          </w:tcBorders>
        </w:tcPr>
        <w:p w14:paraId="7883F04E" w14:textId="1DE9BF67" w:rsidR="0025436E" w:rsidRDefault="0025436E"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8A6EAE0" w14:textId="44E6C4F3" w:rsidR="0025436E" w:rsidRPr="004E1307" w:rsidRDefault="0025436E"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Indigenous Student Assistance Grants Guidelines 2017</w:t>
          </w:r>
          <w:r w:rsidRPr="004E1307">
            <w:rPr>
              <w:i/>
              <w:sz w:val="18"/>
            </w:rPr>
            <w:fldChar w:fldCharType="end"/>
          </w:r>
        </w:p>
      </w:tc>
      <w:tc>
        <w:tcPr>
          <w:tcW w:w="1383" w:type="dxa"/>
          <w:tcBorders>
            <w:top w:val="nil"/>
            <w:left w:val="nil"/>
            <w:bottom w:val="nil"/>
            <w:right w:val="nil"/>
          </w:tcBorders>
        </w:tcPr>
        <w:p w14:paraId="368D8E09" w14:textId="77777777" w:rsidR="0025436E" w:rsidRDefault="0025436E" w:rsidP="00A369E3">
          <w:pPr>
            <w:spacing w:line="0" w:lineRule="atLeast"/>
            <w:jc w:val="right"/>
            <w:rPr>
              <w:sz w:val="18"/>
            </w:rPr>
          </w:pPr>
        </w:p>
      </w:tc>
    </w:tr>
    <w:tr w:rsidR="0025436E" w14:paraId="0F6FF86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05F40A" w14:textId="77777777" w:rsidR="0025436E" w:rsidRDefault="0025436E" w:rsidP="00A369E3">
          <w:pPr>
            <w:jc w:val="right"/>
            <w:rPr>
              <w:sz w:val="18"/>
            </w:rPr>
          </w:pPr>
        </w:p>
      </w:tc>
    </w:tr>
  </w:tbl>
  <w:p w14:paraId="5598656C" w14:textId="77777777" w:rsidR="0025436E" w:rsidRPr="00ED79B6" w:rsidRDefault="0025436E"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9692D" w14:textId="77777777" w:rsidR="0025436E" w:rsidRPr="00E33C1C" w:rsidRDefault="0025436E"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5436E" w14:paraId="5AAE608F" w14:textId="77777777" w:rsidTr="00A369E3">
      <w:tc>
        <w:tcPr>
          <w:tcW w:w="1384" w:type="dxa"/>
          <w:tcBorders>
            <w:top w:val="nil"/>
            <w:left w:val="nil"/>
            <w:bottom w:val="nil"/>
            <w:right w:val="nil"/>
          </w:tcBorders>
        </w:tcPr>
        <w:p w14:paraId="4AA4B864" w14:textId="77777777" w:rsidR="0025436E" w:rsidRDefault="0025436E" w:rsidP="00A369E3">
          <w:pPr>
            <w:spacing w:line="0" w:lineRule="atLeast"/>
            <w:rPr>
              <w:sz w:val="18"/>
            </w:rPr>
          </w:pPr>
        </w:p>
      </w:tc>
      <w:tc>
        <w:tcPr>
          <w:tcW w:w="6379" w:type="dxa"/>
          <w:tcBorders>
            <w:top w:val="nil"/>
            <w:left w:val="nil"/>
            <w:bottom w:val="nil"/>
            <w:right w:val="nil"/>
          </w:tcBorders>
        </w:tcPr>
        <w:p w14:paraId="2C42B463" w14:textId="01CA535D" w:rsidR="0025436E" w:rsidRDefault="0025436E"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Indigenous Student Assistance Grants Guidelines 2017</w:t>
          </w:r>
          <w:r w:rsidRPr="004E1307">
            <w:rPr>
              <w:i/>
              <w:sz w:val="18"/>
            </w:rPr>
            <w:fldChar w:fldCharType="end"/>
          </w:r>
        </w:p>
      </w:tc>
      <w:tc>
        <w:tcPr>
          <w:tcW w:w="709" w:type="dxa"/>
          <w:tcBorders>
            <w:top w:val="nil"/>
            <w:left w:val="nil"/>
            <w:bottom w:val="nil"/>
            <w:right w:val="nil"/>
          </w:tcBorders>
        </w:tcPr>
        <w:p w14:paraId="160F0E90" w14:textId="71B3E73F" w:rsidR="0025436E" w:rsidRDefault="0025436E"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5436E" w14:paraId="1FDDA06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EBB3B44" w14:textId="77777777" w:rsidR="0025436E" w:rsidRDefault="0025436E" w:rsidP="00A369E3">
          <w:pPr>
            <w:rPr>
              <w:sz w:val="18"/>
            </w:rPr>
          </w:pPr>
        </w:p>
      </w:tc>
    </w:tr>
  </w:tbl>
  <w:p w14:paraId="14607833" w14:textId="77777777" w:rsidR="0025436E" w:rsidRPr="00ED79B6" w:rsidRDefault="0025436E"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4E1DF" w14:textId="77777777" w:rsidR="0025436E" w:rsidRPr="00E33C1C" w:rsidRDefault="0025436E"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5436E" w14:paraId="74FB8BE1" w14:textId="77777777" w:rsidTr="00B33709">
      <w:tc>
        <w:tcPr>
          <w:tcW w:w="1384" w:type="dxa"/>
          <w:tcBorders>
            <w:top w:val="nil"/>
            <w:left w:val="nil"/>
            <w:bottom w:val="nil"/>
            <w:right w:val="nil"/>
          </w:tcBorders>
        </w:tcPr>
        <w:p w14:paraId="3C49ECCC" w14:textId="77777777" w:rsidR="0025436E" w:rsidRDefault="0025436E" w:rsidP="00A369E3">
          <w:pPr>
            <w:spacing w:line="0" w:lineRule="atLeast"/>
            <w:rPr>
              <w:sz w:val="18"/>
            </w:rPr>
          </w:pPr>
        </w:p>
      </w:tc>
      <w:tc>
        <w:tcPr>
          <w:tcW w:w="6379" w:type="dxa"/>
          <w:tcBorders>
            <w:top w:val="nil"/>
            <w:left w:val="nil"/>
            <w:bottom w:val="nil"/>
            <w:right w:val="nil"/>
          </w:tcBorders>
        </w:tcPr>
        <w:p w14:paraId="7B0E1E34" w14:textId="77777777" w:rsidR="0025436E" w:rsidRDefault="0025436E" w:rsidP="00A369E3">
          <w:pPr>
            <w:spacing w:line="0" w:lineRule="atLeast"/>
            <w:jc w:val="center"/>
            <w:rPr>
              <w:sz w:val="18"/>
            </w:rPr>
          </w:pPr>
        </w:p>
      </w:tc>
      <w:tc>
        <w:tcPr>
          <w:tcW w:w="709" w:type="dxa"/>
          <w:tcBorders>
            <w:top w:val="nil"/>
            <w:left w:val="nil"/>
            <w:bottom w:val="nil"/>
            <w:right w:val="nil"/>
          </w:tcBorders>
        </w:tcPr>
        <w:p w14:paraId="67A9B7C2" w14:textId="77777777" w:rsidR="0025436E" w:rsidRDefault="0025436E" w:rsidP="00A369E3">
          <w:pPr>
            <w:spacing w:line="0" w:lineRule="atLeast"/>
            <w:jc w:val="right"/>
            <w:rPr>
              <w:sz w:val="18"/>
            </w:rPr>
          </w:pPr>
        </w:p>
      </w:tc>
    </w:tr>
  </w:tbl>
  <w:p w14:paraId="713220FC" w14:textId="77777777" w:rsidR="0025436E" w:rsidRPr="00ED79B6" w:rsidRDefault="0025436E"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372" w14:textId="77777777" w:rsidR="0025436E" w:rsidRPr="002B0EA5" w:rsidRDefault="0025436E" w:rsidP="001E34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5436E" w14:paraId="7DAAD0D7" w14:textId="77777777" w:rsidTr="001E3430">
      <w:tc>
        <w:tcPr>
          <w:tcW w:w="365" w:type="pct"/>
        </w:tcPr>
        <w:p w14:paraId="49809581" w14:textId="18DB057D" w:rsidR="0025436E" w:rsidRDefault="0025436E" w:rsidP="001E34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688" w:type="pct"/>
        </w:tcPr>
        <w:p w14:paraId="64F44E94" w14:textId="1E3A6572" w:rsidR="0025436E" w:rsidRDefault="0025436E" w:rsidP="001E34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Indigenous Student Assistance Grants Guidelines 2017</w:t>
          </w:r>
          <w:r w:rsidRPr="004E1307">
            <w:rPr>
              <w:i/>
              <w:sz w:val="18"/>
            </w:rPr>
            <w:fldChar w:fldCharType="end"/>
          </w:r>
        </w:p>
      </w:tc>
      <w:tc>
        <w:tcPr>
          <w:tcW w:w="947" w:type="pct"/>
        </w:tcPr>
        <w:p w14:paraId="0B776002" w14:textId="77777777" w:rsidR="0025436E" w:rsidRDefault="0025436E" w:rsidP="001E3430">
          <w:pPr>
            <w:spacing w:line="0" w:lineRule="atLeast"/>
            <w:jc w:val="right"/>
            <w:rPr>
              <w:sz w:val="18"/>
            </w:rPr>
          </w:pPr>
        </w:p>
      </w:tc>
    </w:tr>
    <w:tr w:rsidR="0025436E" w14:paraId="24EE2E31" w14:textId="77777777" w:rsidTr="001E3430">
      <w:tc>
        <w:tcPr>
          <w:tcW w:w="5000" w:type="pct"/>
          <w:gridSpan w:val="3"/>
        </w:tcPr>
        <w:p w14:paraId="1D1AB714" w14:textId="77777777" w:rsidR="0025436E" w:rsidRDefault="0025436E" w:rsidP="001E3430">
          <w:pPr>
            <w:jc w:val="right"/>
            <w:rPr>
              <w:sz w:val="18"/>
            </w:rPr>
          </w:pPr>
        </w:p>
      </w:tc>
    </w:tr>
  </w:tbl>
  <w:p w14:paraId="606EE2EB" w14:textId="77777777" w:rsidR="0025436E" w:rsidRPr="00ED79B6" w:rsidRDefault="0025436E" w:rsidP="001E343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47187" w14:textId="77777777" w:rsidR="0025436E" w:rsidRPr="002B0EA5" w:rsidRDefault="0025436E" w:rsidP="001E34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5436E" w14:paraId="70F59D9A" w14:textId="77777777" w:rsidTr="001E3430">
      <w:tc>
        <w:tcPr>
          <w:tcW w:w="947" w:type="pct"/>
        </w:tcPr>
        <w:p w14:paraId="29B42508" w14:textId="77777777" w:rsidR="0025436E" w:rsidRDefault="0025436E" w:rsidP="001E3430">
          <w:pPr>
            <w:spacing w:line="0" w:lineRule="atLeast"/>
            <w:rPr>
              <w:sz w:val="18"/>
            </w:rPr>
          </w:pPr>
        </w:p>
      </w:tc>
      <w:tc>
        <w:tcPr>
          <w:tcW w:w="3688" w:type="pct"/>
        </w:tcPr>
        <w:p w14:paraId="7EFD6757" w14:textId="72D86112" w:rsidR="0025436E" w:rsidRDefault="0025436E" w:rsidP="001E34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201B1">
            <w:rPr>
              <w:i/>
              <w:noProof/>
              <w:sz w:val="18"/>
            </w:rPr>
            <w:t>Indigenous Student Assistance Grants Guidelines 2017</w:t>
          </w:r>
          <w:r w:rsidRPr="004E1307">
            <w:rPr>
              <w:i/>
              <w:sz w:val="18"/>
            </w:rPr>
            <w:fldChar w:fldCharType="end"/>
          </w:r>
        </w:p>
      </w:tc>
      <w:tc>
        <w:tcPr>
          <w:tcW w:w="365" w:type="pct"/>
        </w:tcPr>
        <w:p w14:paraId="5A7260BA" w14:textId="0A6BF028" w:rsidR="0025436E" w:rsidRDefault="0025436E" w:rsidP="001E34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01B1">
            <w:rPr>
              <w:i/>
              <w:noProof/>
              <w:sz w:val="18"/>
            </w:rPr>
            <w:t>i</w:t>
          </w:r>
          <w:r w:rsidRPr="00ED79B6">
            <w:rPr>
              <w:i/>
              <w:sz w:val="18"/>
            </w:rPr>
            <w:fldChar w:fldCharType="end"/>
          </w:r>
        </w:p>
      </w:tc>
    </w:tr>
    <w:tr w:rsidR="0025436E" w14:paraId="7AAAAF57" w14:textId="77777777" w:rsidTr="001E3430">
      <w:tc>
        <w:tcPr>
          <w:tcW w:w="5000" w:type="pct"/>
          <w:gridSpan w:val="3"/>
        </w:tcPr>
        <w:p w14:paraId="19AC1B94" w14:textId="77777777" w:rsidR="0025436E" w:rsidRDefault="0025436E" w:rsidP="001E3430">
          <w:pPr>
            <w:rPr>
              <w:sz w:val="18"/>
            </w:rPr>
          </w:pPr>
        </w:p>
      </w:tc>
    </w:tr>
  </w:tbl>
  <w:p w14:paraId="01158DC0" w14:textId="77777777" w:rsidR="0025436E" w:rsidRPr="00ED79B6" w:rsidRDefault="0025436E" w:rsidP="001E3430">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53D4C" w14:textId="77777777" w:rsidR="0025436E" w:rsidRPr="002B0EA5" w:rsidRDefault="0025436E" w:rsidP="001E34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5436E" w14:paraId="3E6F8552" w14:textId="77777777" w:rsidTr="001E3430">
      <w:tc>
        <w:tcPr>
          <w:tcW w:w="365" w:type="pct"/>
        </w:tcPr>
        <w:p w14:paraId="17BD78BC" w14:textId="28E03C93" w:rsidR="0025436E" w:rsidRDefault="0025436E" w:rsidP="001E34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01B1">
            <w:rPr>
              <w:i/>
              <w:noProof/>
              <w:sz w:val="18"/>
            </w:rPr>
            <w:t>2</w:t>
          </w:r>
          <w:r w:rsidRPr="00ED79B6">
            <w:rPr>
              <w:i/>
              <w:sz w:val="18"/>
            </w:rPr>
            <w:fldChar w:fldCharType="end"/>
          </w:r>
        </w:p>
      </w:tc>
      <w:tc>
        <w:tcPr>
          <w:tcW w:w="3688" w:type="pct"/>
        </w:tcPr>
        <w:p w14:paraId="5ACD7BE4" w14:textId="0C94346C" w:rsidR="0025436E" w:rsidRDefault="0025436E" w:rsidP="001E34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201B1">
            <w:rPr>
              <w:i/>
              <w:noProof/>
              <w:sz w:val="18"/>
            </w:rPr>
            <w:t>Indigenous Student Assistance Grants Guidelines 2017</w:t>
          </w:r>
          <w:r w:rsidRPr="004E1307">
            <w:rPr>
              <w:i/>
              <w:sz w:val="18"/>
            </w:rPr>
            <w:fldChar w:fldCharType="end"/>
          </w:r>
        </w:p>
      </w:tc>
      <w:tc>
        <w:tcPr>
          <w:tcW w:w="947" w:type="pct"/>
        </w:tcPr>
        <w:p w14:paraId="1816D17E" w14:textId="77777777" w:rsidR="0025436E" w:rsidRDefault="0025436E" w:rsidP="001E3430">
          <w:pPr>
            <w:spacing w:line="0" w:lineRule="atLeast"/>
            <w:jc w:val="right"/>
            <w:rPr>
              <w:sz w:val="18"/>
            </w:rPr>
          </w:pPr>
        </w:p>
      </w:tc>
    </w:tr>
    <w:tr w:rsidR="0025436E" w14:paraId="459206A4" w14:textId="77777777" w:rsidTr="001E3430">
      <w:tc>
        <w:tcPr>
          <w:tcW w:w="5000" w:type="pct"/>
          <w:gridSpan w:val="3"/>
        </w:tcPr>
        <w:p w14:paraId="575A7D9E" w14:textId="77777777" w:rsidR="0025436E" w:rsidRDefault="0025436E" w:rsidP="001E3430">
          <w:pPr>
            <w:jc w:val="right"/>
            <w:rPr>
              <w:sz w:val="18"/>
            </w:rPr>
          </w:pPr>
        </w:p>
      </w:tc>
    </w:tr>
  </w:tbl>
  <w:p w14:paraId="0E159F2B" w14:textId="77777777" w:rsidR="0025436E" w:rsidRPr="00ED79B6" w:rsidRDefault="0025436E" w:rsidP="001E3430">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F416B" w14:textId="77777777" w:rsidR="0025436E" w:rsidRPr="002B0EA5" w:rsidRDefault="0025436E" w:rsidP="001E34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5436E" w14:paraId="186D6784" w14:textId="77777777" w:rsidTr="001E3430">
      <w:tc>
        <w:tcPr>
          <w:tcW w:w="947" w:type="pct"/>
        </w:tcPr>
        <w:p w14:paraId="401D86E7" w14:textId="77777777" w:rsidR="0025436E" w:rsidRDefault="0025436E" w:rsidP="001E3430">
          <w:pPr>
            <w:spacing w:line="0" w:lineRule="atLeast"/>
            <w:rPr>
              <w:sz w:val="18"/>
            </w:rPr>
          </w:pPr>
        </w:p>
      </w:tc>
      <w:tc>
        <w:tcPr>
          <w:tcW w:w="3688" w:type="pct"/>
        </w:tcPr>
        <w:p w14:paraId="47CD2E73" w14:textId="56ECEF07" w:rsidR="0025436E" w:rsidRDefault="0025436E" w:rsidP="001E34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201B1">
            <w:rPr>
              <w:i/>
              <w:noProof/>
              <w:sz w:val="18"/>
            </w:rPr>
            <w:t>Indigenous Student Assistance Grants Guidelines 2017</w:t>
          </w:r>
          <w:r w:rsidRPr="004E1307">
            <w:rPr>
              <w:i/>
              <w:sz w:val="18"/>
            </w:rPr>
            <w:fldChar w:fldCharType="end"/>
          </w:r>
        </w:p>
      </w:tc>
      <w:tc>
        <w:tcPr>
          <w:tcW w:w="365" w:type="pct"/>
        </w:tcPr>
        <w:p w14:paraId="257BC626" w14:textId="7D3F70D7" w:rsidR="0025436E" w:rsidRDefault="0025436E" w:rsidP="001E34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01B1">
            <w:rPr>
              <w:i/>
              <w:noProof/>
              <w:sz w:val="18"/>
            </w:rPr>
            <w:t>1</w:t>
          </w:r>
          <w:r w:rsidRPr="00ED79B6">
            <w:rPr>
              <w:i/>
              <w:sz w:val="18"/>
            </w:rPr>
            <w:fldChar w:fldCharType="end"/>
          </w:r>
        </w:p>
      </w:tc>
    </w:tr>
    <w:tr w:rsidR="0025436E" w14:paraId="1322C6E3" w14:textId="77777777" w:rsidTr="001E3430">
      <w:tc>
        <w:tcPr>
          <w:tcW w:w="5000" w:type="pct"/>
          <w:gridSpan w:val="3"/>
        </w:tcPr>
        <w:p w14:paraId="3828DFE9" w14:textId="77777777" w:rsidR="0025436E" w:rsidRDefault="0025436E" w:rsidP="001E3430">
          <w:pPr>
            <w:rPr>
              <w:sz w:val="18"/>
            </w:rPr>
          </w:pPr>
        </w:p>
      </w:tc>
    </w:tr>
  </w:tbl>
  <w:p w14:paraId="3834B2C1" w14:textId="77777777" w:rsidR="0025436E" w:rsidRPr="00ED79B6" w:rsidRDefault="0025436E" w:rsidP="001E3430">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06B5C" w14:textId="77777777" w:rsidR="002B420C" w:rsidRDefault="002B420C" w:rsidP="00715914">
      <w:pPr>
        <w:spacing w:line="240" w:lineRule="auto"/>
      </w:pPr>
      <w:r>
        <w:separator/>
      </w:r>
    </w:p>
  </w:footnote>
  <w:footnote w:type="continuationSeparator" w:id="0">
    <w:p w14:paraId="445E78BB" w14:textId="77777777" w:rsidR="002B420C" w:rsidRDefault="002B420C" w:rsidP="00715914">
      <w:pPr>
        <w:spacing w:line="240" w:lineRule="auto"/>
      </w:pPr>
      <w:r>
        <w:continuationSeparator/>
      </w:r>
    </w:p>
  </w:footnote>
  <w:footnote w:type="continuationNotice" w:id="1">
    <w:p w14:paraId="00C4A2E1" w14:textId="77777777" w:rsidR="002B420C" w:rsidRDefault="002B420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1ADA" w14:textId="77777777" w:rsidR="0025436E" w:rsidRPr="005F1388" w:rsidRDefault="0025436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C2940" w14:textId="77777777" w:rsidR="0025436E" w:rsidRPr="005F1388" w:rsidRDefault="002543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EF827" w14:textId="77777777" w:rsidR="0025436E" w:rsidRPr="00ED79B6" w:rsidRDefault="0025436E" w:rsidP="001E3430">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8585" w14:textId="77777777" w:rsidR="0025436E" w:rsidRPr="00ED79B6" w:rsidRDefault="0025436E" w:rsidP="001E343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F1A20" w14:textId="77777777" w:rsidR="0025436E" w:rsidRPr="00ED79B6" w:rsidRDefault="0025436E"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42110" w14:textId="77777777" w:rsidR="0025436E" w:rsidRDefault="0025436E" w:rsidP="00715914">
    <w:pPr>
      <w:rPr>
        <w:sz w:val="20"/>
      </w:rPr>
    </w:pPr>
  </w:p>
  <w:p w14:paraId="2535475E" w14:textId="77777777" w:rsidR="0025436E" w:rsidRDefault="0025436E" w:rsidP="00715914">
    <w:pPr>
      <w:rPr>
        <w:sz w:val="20"/>
      </w:rPr>
    </w:pPr>
  </w:p>
  <w:p w14:paraId="07FFB1DA" w14:textId="77777777" w:rsidR="0025436E" w:rsidRPr="007A1328" w:rsidRDefault="0025436E" w:rsidP="00715914">
    <w:pPr>
      <w:rPr>
        <w:sz w:val="20"/>
      </w:rPr>
    </w:pPr>
  </w:p>
  <w:p w14:paraId="77569D5B" w14:textId="77777777" w:rsidR="0025436E" w:rsidRPr="007A1328" w:rsidRDefault="0025436E" w:rsidP="00715914">
    <w:pPr>
      <w:rPr>
        <w:b/>
        <w:sz w:val="24"/>
      </w:rPr>
    </w:pPr>
  </w:p>
  <w:p w14:paraId="50DFAFDB" w14:textId="77777777" w:rsidR="0025436E" w:rsidRPr="007A1328" w:rsidRDefault="0025436E"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3FF19" w14:textId="77777777" w:rsidR="0025436E" w:rsidRPr="007A1328" w:rsidRDefault="0025436E" w:rsidP="00715914">
    <w:pPr>
      <w:jc w:val="right"/>
      <w:rPr>
        <w:sz w:val="20"/>
      </w:rPr>
    </w:pPr>
  </w:p>
  <w:p w14:paraId="54EE6488" w14:textId="77777777" w:rsidR="0025436E" w:rsidRPr="007A1328" w:rsidRDefault="0025436E" w:rsidP="00715914">
    <w:pPr>
      <w:jc w:val="right"/>
      <w:rPr>
        <w:sz w:val="20"/>
      </w:rPr>
    </w:pPr>
  </w:p>
  <w:p w14:paraId="58939863" w14:textId="77777777" w:rsidR="0025436E" w:rsidRPr="007A1328" w:rsidRDefault="0025436E" w:rsidP="00715914">
    <w:pPr>
      <w:jc w:val="right"/>
      <w:rPr>
        <w:sz w:val="20"/>
      </w:rPr>
    </w:pPr>
  </w:p>
  <w:p w14:paraId="3149E5C8" w14:textId="77777777" w:rsidR="0025436E" w:rsidRPr="007A1328" w:rsidRDefault="0025436E" w:rsidP="00715914">
    <w:pPr>
      <w:jc w:val="right"/>
      <w:rPr>
        <w:b/>
        <w:sz w:val="24"/>
      </w:rPr>
    </w:pPr>
  </w:p>
  <w:p w14:paraId="7B00FEFF" w14:textId="77777777" w:rsidR="0025436E" w:rsidRPr="007A1328" w:rsidRDefault="0025436E"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4F532"/>
    <w:lvl w:ilvl="0">
      <w:start w:val="1"/>
      <w:numFmt w:val="decimal"/>
      <w:lvlText w:val="%1."/>
      <w:lvlJc w:val="left"/>
      <w:pPr>
        <w:tabs>
          <w:tab w:val="num" w:pos="1492"/>
        </w:tabs>
        <w:ind w:left="1492" w:hanging="360"/>
      </w:pPr>
    </w:lvl>
  </w:abstractNum>
  <w:abstractNum w:abstractNumId="1">
    <w:nsid w:val="FFFFFF7D"/>
    <w:multiLevelType w:val="singleLevel"/>
    <w:tmpl w:val="9D72A7C6"/>
    <w:lvl w:ilvl="0">
      <w:start w:val="1"/>
      <w:numFmt w:val="decimal"/>
      <w:lvlText w:val="%1."/>
      <w:lvlJc w:val="left"/>
      <w:pPr>
        <w:tabs>
          <w:tab w:val="num" w:pos="1209"/>
        </w:tabs>
        <w:ind w:left="1209" w:hanging="360"/>
      </w:pPr>
    </w:lvl>
  </w:abstractNum>
  <w:abstractNum w:abstractNumId="2">
    <w:nsid w:val="FFFFFF7E"/>
    <w:multiLevelType w:val="singleLevel"/>
    <w:tmpl w:val="48D204F6"/>
    <w:lvl w:ilvl="0">
      <w:start w:val="1"/>
      <w:numFmt w:val="decimal"/>
      <w:lvlText w:val="%1."/>
      <w:lvlJc w:val="left"/>
      <w:pPr>
        <w:tabs>
          <w:tab w:val="num" w:pos="926"/>
        </w:tabs>
        <w:ind w:left="926" w:hanging="360"/>
      </w:pPr>
    </w:lvl>
  </w:abstractNum>
  <w:abstractNum w:abstractNumId="3">
    <w:nsid w:val="FFFFFF7F"/>
    <w:multiLevelType w:val="singleLevel"/>
    <w:tmpl w:val="D6AE5B8A"/>
    <w:lvl w:ilvl="0">
      <w:start w:val="1"/>
      <w:numFmt w:val="decimal"/>
      <w:lvlText w:val="%1."/>
      <w:lvlJc w:val="left"/>
      <w:pPr>
        <w:tabs>
          <w:tab w:val="num" w:pos="643"/>
        </w:tabs>
        <w:ind w:left="643" w:hanging="360"/>
      </w:pPr>
    </w:lvl>
  </w:abstractNum>
  <w:abstractNum w:abstractNumId="4">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BA40"/>
    <w:lvl w:ilvl="0">
      <w:start w:val="1"/>
      <w:numFmt w:val="decimal"/>
      <w:lvlText w:val="%1."/>
      <w:lvlJc w:val="left"/>
      <w:pPr>
        <w:tabs>
          <w:tab w:val="num" w:pos="360"/>
        </w:tabs>
        <w:ind w:left="360" w:hanging="360"/>
      </w:pPr>
    </w:lvl>
  </w:abstractNum>
  <w:abstractNum w:abstractNumId="9">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nsid w:val="01985448"/>
    <w:multiLevelType w:val="hybridMultilevel"/>
    <w:tmpl w:val="61DED7F6"/>
    <w:lvl w:ilvl="0" w:tplc="4BA8F4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4A8544A"/>
    <w:multiLevelType w:val="multilevel"/>
    <w:tmpl w:val="DCE6FF52"/>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2">
    <w:nsid w:val="05B109B0"/>
    <w:multiLevelType w:val="hybridMultilevel"/>
    <w:tmpl w:val="C20AAA50"/>
    <w:lvl w:ilvl="0" w:tplc="37BEF15C">
      <w:start w:val="1"/>
      <w:numFmt w:val="lowerLetter"/>
      <w:lvlText w:val="%1)"/>
      <w:lvlJc w:val="left"/>
      <w:pPr>
        <w:ind w:left="1069" w:hanging="360"/>
      </w:pPr>
      <w:rPr>
        <w:rFonts w:hint="default"/>
      </w:rPr>
    </w:lvl>
    <w:lvl w:ilvl="1" w:tplc="F8D6E068">
      <w:start w:val="1"/>
      <w:numFmt w:val="bullet"/>
      <w:lvlText w:val="o"/>
      <w:lvlJc w:val="left"/>
      <w:pPr>
        <w:ind w:left="1789" w:hanging="360"/>
      </w:pPr>
      <w:rPr>
        <w:rFonts w:ascii="Courier New" w:hAnsi="Courier New" w:cs="Courier New" w:hint="default"/>
      </w:rPr>
    </w:lvl>
    <w:lvl w:ilvl="2" w:tplc="B3D0CE6A">
      <w:start w:val="1"/>
      <w:numFmt w:val="bullet"/>
      <w:lvlText w:val=""/>
      <w:lvlJc w:val="left"/>
      <w:pPr>
        <w:ind w:left="2509" w:hanging="360"/>
      </w:pPr>
      <w:rPr>
        <w:rFonts w:ascii="Wingdings" w:hAnsi="Wingdings" w:hint="default"/>
      </w:rPr>
    </w:lvl>
    <w:lvl w:ilvl="3" w:tplc="39EC6048" w:tentative="1">
      <w:start w:val="1"/>
      <w:numFmt w:val="bullet"/>
      <w:lvlText w:val=""/>
      <w:lvlJc w:val="left"/>
      <w:pPr>
        <w:ind w:left="3229" w:hanging="360"/>
      </w:pPr>
      <w:rPr>
        <w:rFonts w:ascii="Symbol" w:hAnsi="Symbol" w:hint="default"/>
      </w:rPr>
    </w:lvl>
    <w:lvl w:ilvl="4" w:tplc="22A802BA" w:tentative="1">
      <w:start w:val="1"/>
      <w:numFmt w:val="bullet"/>
      <w:lvlText w:val="o"/>
      <w:lvlJc w:val="left"/>
      <w:pPr>
        <w:ind w:left="3949" w:hanging="360"/>
      </w:pPr>
      <w:rPr>
        <w:rFonts w:ascii="Courier New" w:hAnsi="Courier New" w:cs="Courier New" w:hint="default"/>
      </w:rPr>
    </w:lvl>
    <w:lvl w:ilvl="5" w:tplc="17A22AA2" w:tentative="1">
      <w:start w:val="1"/>
      <w:numFmt w:val="bullet"/>
      <w:lvlText w:val=""/>
      <w:lvlJc w:val="left"/>
      <w:pPr>
        <w:ind w:left="4669" w:hanging="360"/>
      </w:pPr>
      <w:rPr>
        <w:rFonts w:ascii="Wingdings" w:hAnsi="Wingdings" w:hint="default"/>
      </w:rPr>
    </w:lvl>
    <w:lvl w:ilvl="6" w:tplc="E4288454" w:tentative="1">
      <w:start w:val="1"/>
      <w:numFmt w:val="bullet"/>
      <w:lvlText w:val=""/>
      <w:lvlJc w:val="left"/>
      <w:pPr>
        <w:ind w:left="5389" w:hanging="360"/>
      </w:pPr>
      <w:rPr>
        <w:rFonts w:ascii="Symbol" w:hAnsi="Symbol" w:hint="default"/>
      </w:rPr>
    </w:lvl>
    <w:lvl w:ilvl="7" w:tplc="ECF40888" w:tentative="1">
      <w:start w:val="1"/>
      <w:numFmt w:val="bullet"/>
      <w:lvlText w:val="o"/>
      <w:lvlJc w:val="left"/>
      <w:pPr>
        <w:ind w:left="6109" w:hanging="360"/>
      </w:pPr>
      <w:rPr>
        <w:rFonts w:ascii="Courier New" w:hAnsi="Courier New" w:cs="Courier New" w:hint="default"/>
      </w:rPr>
    </w:lvl>
    <w:lvl w:ilvl="8" w:tplc="98CE8664" w:tentative="1">
      <w:start w:val="1"/>
      <w:numFmt w:val="bullet"/>
      <w:lvlText w:val=""/>
      <w:lvlJc w:val="left"/>
      <w:pPr>
        <w:ind w:left="6829"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881709A"/>
    <w:multiLevelType w:val="hybridMultilevel"/>
    <w:tmpl w:val="32241E9C"/>
    <w:lvl w:ilvl="0" w:tplc="0CB60B2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9746370"/>
    <w:multiLevelType w:val="hybridMultilevel"/>
    <w:tmpl w:val="9334B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0F2F2A54"/>
    <w:multiLevelType w:val="hybridMultilevel"/>
    <w:tmpl w:val="8DE8A1E2"/>
    <w:lvl w:ilvl="0" w:tplc="8CF654E6">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7">
    <w:nsid w:val="0F352992"/>
    <w:multiLevelType w:val="hybridMultilevel"/>
    <w:tmpl w:val="C9566444"/>
    <w:lvl w:ilvl="0" w:tplc="A104A3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14F489E"/>
    <w:multiLevelType w:val="hybridMultilevel"/>
    <w:tmpl w:val="77C07532"/>
    <w:lvl w:ilvl="0" w:tplc="4E6A8C9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2562883"/>
    <w:multiLevelType w:val="hybridMultilevel"/>
    <w:tmpl w:val="26981314"/>
    <w:lvl w:ilvl="0" w:tplc="D3F860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62B210F"/>
    <w:multiLevelType w:val="hybridMultilevel"/>
    <w:tmpl w:val="02EC5AF0"/>
    <w:lvl w:ilvl="0" w:tplc="37BEF15C">
      <w:start w:val="1"/>
      <w:numFmt w:val="lowerLetter"/>
      <w:lvlText w:val="%1)"/>
      <w:lvlJc w:val="left"/>
      <w:pPr>
        <w:ind w:left="1069" w:hanging="360"/>
      </w:pPr>
      <w:rPr>
        <w:rFonts w:hint="default"/>
      </w:rPr>
    </w:lvl>
    <w:lvl w:ilvl="1" w:tplc="0C090017">
      <w:start w:val="1"/>
      <w:numFmt w:val="lowerLetter"/>
      <w:lvlText w:val="%2)"/>
      <w:lvlJc w:val="left"/>
      <w:pPr>
        <w:ind w:left="1789" w:hanging="360"/>
      </w:pPr>
      <w:rPr>
        <w:rFonts w:hint="default"/>
      </w:rPr>
    </w:lvl>
    <w:lvl w:ilvl="2" w:tplc="B3D0CE6A">
      <w:start w:val="1"/>
      <w:numFmt w:val="bullet"/>
      <w:lvlText w:val=""/>
      <w:lvlJc w:val="left"/>
      <w:pPr>
        <w:ind w:left="2509" w:hanging="360"/>
      </w:pPr>
      <w:rPr>
        <w:rFonts w:ascii="Wingdings" w:hAnsi="Wingdings" w:hint="default"/>
      </w:rPr>
    </w:lvl>
    <w:lvl w:ilvl="3" w:tplc="39EC6048" w:tentative="1">
      <w:start w:val="1"/>
      <w:numFmt w:val="bullet"/>
      <w:lvlText w:val=""/>
      <w:lvlJc w:val="left"/>
      <w:pPr>
        <w:ind w:left="3229" w:hanging="360"/>
      </w:pPr>
      <w:rPr>
        <w:rFonts w:ascii="Symbol" w:hAnsi="Symbol" w:hint="default"/>
      </w:rPr>
    </w:lvl>
    <w:lvl w:ilvl="4" w:tplc="22A802BA" w:tentative="1">
      <w:start w:val="1"/>
      <w:numFmt w:val="bullet"/>
      <w:lvlText w:val="o"/>
      <w:lvlJc w:val="left"/>
      <w:pPr>
        <w:ind w:left="3949" w:hanging="360"/>
      </w:pPr>
      <w:rPr>
        <w:rFonts w:ascii="Courier New" w:hAnsi="Courier New" w:cs="Courier New" w:hint="default"/>
      </w:rPr>
    </w:lvl>
    <w:lvl w:ilvl="5" w:tplc="17A22AA2" w:tentative="1">
      <w:start w:val="1"/>
      <w:numFmt w:val="bullet"/>
      <w:lvlText w:val=""/>
      <w:lvlJc w:val="left"/>
      <w:pPr>
        <w:ind w:left="4669" w:hanging="360"/>
      </w:pPr>
      <w:rPr>
        <w:rFonts w:ascii="Wingdings" w:hAnsi="Wingdings" w:hint="default"/>
      </w:rPr>
    </w:lvl>
    <w:lvl w:ilvl="6" w:tplc="E4288454" w:tentative="1">
      <w:start w:val="1"/>
      <w:numFmt w:val="bullet"/>
      <w:lvlText w:val=""/>
      <w:lvlJc w:val="left"/>
      <w:pPr>
        <w:ind w:left="5389" w:hanging="360"/>
      </w:pPr>
      <w:rPr>
        <w:rFonts w:ascii="Symbol" w:hAnsi="Symbol" w:hint="default"/>
      </w:rPr>
    </w:lvl>
    <w:lvl w:ilvl="7" w:tplc="ECF40888" w:tentative="1">
      <w:start w:val="1"/>
      <w:numFmt w:val="bullet"/>
      <w:lvlText w:val="o"/>
      <w:lvlJc w:val="left"/>
      <w:pPr>
        <w:ind w:left="6109" w:hanging="360"/>
      </w:pPr>
      <w:rPr>
        <w:rFonts w:ascii="Courier New" w:hAnsi="Courier New" w:cs="Courier New" w:hint="default"/>
      </w:rPr>
    </w:lvl>
    <w:lvl w:ilvl="8" w:tplc="98CE8664" w:tentative="1">
      <w:start w:val="1"/>
      <w:numFmt w:val="bullet"/>
      <w:lvlText w:val=""/>
      <w:lvlJc w:val="left"/>
      <w:pPr>
        <w:ind w:left="6829" w:hanging="360"/>
      </w:pPr>
      <w:rPr>
        <w:rFonts w:ascii="Wingdings" w:hAnsi="Wingdings" w:hint="default"/>
      </w:rPr>
    </w:lvl>
  </w:abstractNum>
  <w:abstractNum w:abstractNumId="21">
    <w:nsid w:val="188A122B"/>
    <w:multiLevelType w:val="hybridMultilevel"/>
    <w:tmpl w:val="0D2A77A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9A208CB"/>
    <w:multiLevelType w:val="hybridMultilevel"/>
    <w:tmpl w:val="1C962A8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A9037E6"/>
    <w:multiLevelType w:val="multilevel"/>
    <w:tmpl w:val="8376C792"/>
    <w:lvl w:ilvl="0">
      <w:start w:val="1"/>
      <w:numFmt w:val="decimal"/>
      <w:lvlText w:val="(%1)"/>
      <w:lvlJc w:val="left"/>
      <w:pPr>
        <w:ind w:left="1140" w:hanging="390"/>
      </w:pPr>
      <w:rPr>
        <w:rFonts w:hint="default"/>
      </w:rPr>
    </w:lvl>
    <w:lvl w:ilvl="1">
      <w:start w:val="1"/>
      <w:numFmt w:val="lowerLetter"/>
      <w:lvlText w:val="(%2)"/>
      <w:lvlJc w:val="left"/>
      <w:pPr>
        <w:ind w:left="1830" w:hanging="360"/>
      </w:pPr>
      <w:rPr>
        <w:rFonts w:hint="default"/>
      </w:rPr>
    </w:lvl>
    <w:lvl w:ilvl="2">
      <w:start w:val="1"/>
      <w:numFmt w:val="lowerRoman"/>
      <w:lvlText w:val="%3."/>
      <w:lvlJc w:val="right"/>
      <w:pPr>
        <w:ind w:left="2550" w:hanging="180"/>
      </w:pPr>
      <w:rPr>
        <w:rFonts w:hint="default"/>
      </w:rPr>
    </w:lvl>
    <w:lvl w:ilvl="3">
      <w:start w:val="1"/>
      <w:numFmt w:val="decimal"/>
      <w:lvlText w:val="%4."/>
      <w:lvlJc w:val="left"/>
      <w:pPr>
        <w:ind w:left="3270" w:hanging="360"/>
      </w:pPr>
      <w:rPr>
        <w:rFonts w:hint="default"/>
      </w:rPr>
    </w:lvl>
    <w:lvl w:ilvl="4">
      <w:start w:val="1"/>
      <w:numFmt w:val="lowerLetter"/>
      <w:lvlText w:val="%5."/>
      <w:lvlJc w:val="left"/>
      <w:pPr>
        <w:ind w:left="3990" w:hanging="360"/>
      </w:pPr>
      <w:rPr>
        <w:rFonts w:hint="default"/>
      </w:rPr>
    </w:lvl>
    <w:lvl w:ilvl="5">
      <w:start w:val="1"/>
      <w:numFmt w:val="lowerRoman"/>
      <w:lvlText w:val="%6."/>
      <w:lvlJc w:val="right"/>
      <w:pPr>
        <w:ind w:left="4710" w:hanging="180"/>
      </w:pPr>
      <w:rPr>
        <w:rFonts w:hint="default"/>
      </w:rPr>
    </w:lvl>
    <w:lvl w:ilvl="6">
      <w:start w:val="1"/>
      <w:numFmt w:val="decimal"/>
      <w:lvlText w:val="%7."/>
      <w:lvlJc w:val="left"/>
      <w:pPr>
        <w:ind w:left="5430" w:hanging="360"/>
      </w:pPr>
      <w:rPr>
        <w:rFonts w:hint="default"/>
      </w:rPr>
    </w:lvl>
    <w:lvl w:ilvl="7">
      <w:start w:val="1"/>
      <w:numFmt w:val="lowerLetter"/>
      <w:lvlText w:val="%8."/>
      <w:lvlJc w:val="left"/>
      <w:pPr>
        <w:ind w:left="6150" w:hanging="360"/>
      </w:pPr>
      <w:rPr>
        <w:rFonts w:hint="default"/>
      </w:rPr>
    </w:lvl>
    <w:lvl w:ilvl="8">
      <w:start w:val="1"/>
      <w:numFmt w:val="lowerRoman"/>
      <w:lvlText w:val="%9."/>
      <w:lvlJc w:val="right"/>
      <w:pPr>
        <w:ind w:left="6870" w:hanging="180"/>
      </w:pPr>
      <w:rPr>
        <w:rFonts w:hint="default"/>
      </w:rPr>
    </w:lvl>
  </w:abstractNum>
  <w:abstractNum w:abstractNumId="24">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33A2791"/>
    <w:multiLevelType w:val="multilevel"/>
    <w:tmpl w:val="A87C074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7BC13D7"/>
    <w:multiLevelType w:val="hybridMultilevel"/>
    <w:tmpl w:val="C0D89C8A"/>
    <w:lvl w:ilvl="0" w:tplc="3B9896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A437B23"/>
    <w:multiLevelType w:val="hybridMultilevel"/>
    <w:tmpl w:val="3008F816"/>
    <w:lvl w:ilvl="0" w:tplc="06068C9E">
      <w:start w:val="21"/>
      <w:numFmt w:val="bullet"/>
      <w:lvlText w:val=""/>
      <w:lvlJc w:val="left"/>
      <w:pPr>
        <w:ind w:left="720" w:hanging="36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2FF1EC5"/>
    <w:multiLevelType w:val="hybridMultilevel"/>
    <w:tmpl w:val="E7786348"/>
    <w:lvl w:ilvl="0" w:tplc="C366D092">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nsid w:val="332E1A9F"/>
    <w:multiLevelType w:val="hybridMultilevel"/>
    <w:tmpl w:val="F030E85A"/>
    <w:lvl w:ilvl="0" w:tplc="D7DE051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0">
    <w:nsid w:val="333D57DC"/>
    <w:multiLevelType w:val="multilevel"/>
    <w:tmpl w:val="931C1C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4945809"/>
    <w:multiLevelType w:val="multilevel"/>
    <w:tmpl w:val="408EE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36551865"/>
    <w:multiLevelType w:val="hybridMultilevel"/>
    <w:tmpl w:val="C6F065B4"/>
    <w:lvl w:ilvl="0" w:tplc="69DA5B52">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70E59ED"/>
    <w:multiLevelType w:val="hybridMultilevel"/>
    <w:tmpl w:val="DC6CD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94729A9"/>
    <w:multiLevelType w:val="hybridMultilevel"/>
    <w:tmpl w:val="6F101E4A"/>
    <w:lvl w:ilvl="0" w:tplc="889088E0">
      <w:start w:val="1"/>
      <w:numFmt w:val="decimal"/>
      <w:pStyle w:val="CLAUSELEVEL1"/>
      <w:lvlText w:val="%1."/>
      <w:lvlJc w:val="left"/>
      <w:pPr>
        <w:ind w:left="1800" w:hanging="360"/>
      </w:pPr>
      <w:rPr>
        <w:b w:val="0"/>
        <w:i w:val="0"/>
      </w:rPr>
    </w:lvl>
    <w:lvl w:ilvl="1" w:tplc="9494584C">
      <w:start w:val="1"/>
      <w:numFmt w:val="lowerLetter"/>
      <w:lvlText w:val="%2)"/>
      <w:lvlJc w:val="left"/>
      <w:pPr>
        <w:ind w:left="1320" w:hanging="360"/>
      </w:pPr>
      <w:rPr>
        <w:sz w:val="20"/>
        <w:szCs w:val="20"/>
      </w:rPr>
    </w:lvl>
    <w:lvl w:ilvl="2" w:tplc="0C09001B">
      <w:start w:val="1"/>
      <w:numFmt w:val="lowerRoman"/>
      <w:lvlText w:val="%3."/>
      <w:lvlJc w:val="right"/>
      <w:pPr>
        <w:ind w:left="2040" w:hanging="180"/>
      </w:pPr>
    </w:lvl>
    <w:lvl w:ilvl="3" w:tplc="0C09000F">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3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6">
    <w:nsid w:val="3BC82066"/>
    <w:multiLevelType w:val="multilevel"/>
    <w:tmpl w:val="0C09001F"/>
    <w:numStyleLink w:val="Style1"/>
  </w:abstractNum>
  <w:abstractNum w:abstractNumId="37">
    <w:nsid w:val="3D0A736B"/>
    <w:multiLevelType w:val="multilevel"/>
    <w:tmpl w:val="0C09001F"/>
    <w:styleLink w:val="Style1"/>
    <w:lvl w:ilvl="0">
      <w:start w:val="1"/>
      <w:numFmt w:val="decimal"/>
      <w:lvlText w:val="%1."/>
      <w:lvlJc w:val="left"/>
      <w:pPr>
        <w:ind w:left="360" w:hanging="360"/>
      </w:pPr>
      <w:rPr>
        <w:rFonts w:ascii="Times New Roman" w:hAnsi="Times New Roman"/>
        <w:b/>
        <w:sz w:val="22"/>
      </w:rPr>
    </w:lvl>
    <w:lvl w:ilvl="1">
      <w:start w:val="1"/>
      <w:numFmt w:val="decimal"/>
      <w:lvlText w:val="%1.%2."/>
      <w:lvlJc w:val="left"/>
      <w:pPr>
        <w:ind w:left="432" w:hanging="432"/>
      </w:pPr>
      <w:rPr>
        <w:rFonts w:ascii="Times New Roman" w:hAnsi="Times New Roman"/>
        <w:b/>
        <w:sz w:val="22"/>
      </w:rPr>
    </w:lvl>
    <w:lvl w:ilvl="2">
      <w:start w:val="1"/>
      <w:numFmt w:val="decimal"/>
      <w:lvlText w:val="%1.%2.%3."/>
      <w:lvlJc w:val="left"/>
      <w:pPr>
        <w:ind w:left="930" w:hanging="504"/>
      </w:pPr>
      <w:rPr>
        <w:rFonts w:ascii="Times New Roman" w:hAnsi="Times New Roman"/>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41A4EED"/>
    <w:multiLevelType w:val="hybridMultilevel"/>
    <w:tmpl w:val="0D12E3A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5F5189F"/>
    <w:multiLevelType w:val="multilevel"/>
    <w:tmpl w:val="B420DBB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91A313D"/>
    <w:multiLevelType w:val="hybridMultilevel"/>
    <w:tmpl w:val="C20AAA50"/>
    <w:lvl w:ilvl="0" w:tplc="93968290">
      <w:start w:val="1"/>
      <w:numFmt w:val="lowerLetter"/>
      <w:lvlText w:val="%1)"/>
      <w:lvlJc w:val="left"/>
      <w:pPr>
        <w:ind w:left="1069" w:hanging="360"/>
      </w:pPr>
      <w:rPr>
        <w:rFonts w:hint="default"/>
      </w:rPr>
    </w:lvl>
    <w:lvl w:ilvl="1" w:tplc="56B4C84E">
      <w:start w:val="1"/>
      <w:numFmt w:val="bullet"/>
      <w:lvlText w:val="o"/>
      <w:lvlJc w:val="left"/>
      <w:pPr>
        <w:ind w:left="1789" w:hanging="360"/>
      </w:pPr>
      <w:rPr>
        <w:rFonts w:ascii="Courier New" w:hAnsi="Courier New" w:cs="Courier New" w:hint="default"/>
      </w:rPr>
    </w:lvl>
    <w:lvl w:ilvl="2" w:tplc="DDEE9182" w:tentative="1">
      <w:start w:val="1"/>
      <w:numFmt w:val="bullet"/>
      <w:lvlText w:val=""/>
      <w:lvlJc w:val="left"/>
      <w:pPr>
        <w:ind w:left="2509" w:hanging="360"/>
      </w:pPr>
      <w:rPr>
        <w:rFonts w:ascii="Wingdings" w:hAnsi="Wingdings" w:hint="default"/>
      </w:rPr>
    </w:lvl>
    <w:lvl w:ilvl="3" w:tplc="C9820984" w:tentative="1">
      <w:start w:val="1"/>
      <w:numFmt w:val="bullet"/>
      <w:lvlText w:val=""/>
      <w:lvlJc w:val="left"/>
      <w:pPr>
        <w:ind w:left="3229" w:hanging="360"/>
      </w:pPr>
      <w:rPr>
        <w:rFonts w:ascii="Symbol" w:hAnsi="Symbol" w:hint="default"/>
      </w:rPr>
    </w:lvl>
    <w:lvl w:ilvl="4" w:tplc="6E260D7E" w:tentative="1">
      <w:start w:val="1"/>
      <w:numFmt w:val="bullet"/>
      <w:lvlText w:val="o"/>
      <w:lvlJc w:val="left"/>
      <w:pPr>
        <w:ind w:left="3949" w:hanging="360"/>
      </w:pPr>
      <w:rPr>
        <w:rFonts w:ascii="Courier New" w:hAnsi="Courier New" w:cs="Courier New" w:hint="default"/>
      </w:rPr>
    </w:lvl>
    <w:lvl w:ilvl="5" w:tplc="F38E57FE" w:tentative="1">
      <w:start w:val="1"/>
      <w:numFmt w:val="bullet"/>
      <w:lvlText w:val=""/>
      <w:lvlJc w:val="left"/>
      <w:pPr>
        <w:ind w:left="4669" w:hanging="360"/>
      </w:pPr>
      <w:rPr>
        <w:rFonts w:ascii="Wingdings" w:hAnsi="Wingdings" w:hint="default"/>
      </w:rPr>
    </w:lvl>
    <w:lvl w:ilvl="6" w:tplc="230A890A" w:tentative="1">
      <w:start w:val="1"/>
      <w:numFmt w:val="bullet"/>
      <w:lvlText w:val=""/>
      <w:lvlJc w:val="left"/>
      <w:pPr>
        <w:ind w:left="5389" w:hanging="360"/>
      </w:pPr>
      <w:rPr>
        <w:rFonts w:ascii="Symbol" w:hAnsi="Symbol" w:hint="default"/>
      </w:rPr>
    </w:lvl>
    <w:lvl w:ilvl="7" w:tplc="C6541AFE" w:tentative="1">
      <w:start w:val="1"/>
      <w:numFmt w:val="bullet"/>
      <w:lvlText w:val="o"/>
      <w:lvlJc w:val="left"/>
      <w:pPr>
        <w:ind w:left="6109" w:hanging="360"/>
      </w:pPr>
      <w:rPr>
        <w:rFonts w:ascii="Courier New" w:hAnsi="Courier New" w:cs="Courier New" w:hint="default"/>
      </w:rPr>
    </w:lvl>
    <w:lvl w:ilvl="8" w:tplc="DBFAA050" w:tentative="1">
      <w:start w:val="1"/>
      <w:numFmt w:val="bullet"/>
      <w:lvlText w:val=""/>
      <w:lvlJc w:val="left"/>
      <w:pPr>
        <w:ind w:left="6829" w:hanging="360"/>
      </w:pPr>
      <w:rPr>
        <w:rFonts w:ascii="Wingdings" w:hAnsi="Wingdings" w:hint="default"/>
      </w:rPr>
    </w:lvl>
  </w:abstractNum>
  <w:abstractNum w:abstractNumId="41">
    <w:nsid w:val="498A795A"/>
    <w:multiLevelType w:val="hybridMultilevel"/>
    <w:tmpl w:val="4C829DB4"/>
    <w:lvl w:ilvl="0" w:tplc="CC1041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4B0A725B"/>
    <w:multiLevelType w:val="hybridMultilevel"/>
    <w:tmpl w:val="0576E684"/>
    <w:lvl w:ilvl="0" w:tplc="A2845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F3206A4"/>
    <w:multiLevelType w:val="hybridMultilevel"/>
    <w:tmpl w:val="885C9104"/>
    <w:lvl w:ilvl="0" w:tplc="06228DA6">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44">
    <w:nsid w:val="4FD0126C"/>
    <w:multiLevelType w:val="hybridMultilevel"/>
    <w:tmpl w:val="6DF487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1ED342D"/>
    <w:multiLevelType w:val="hybridMultilevel"/>
    <w:tmpl w:val="014870F4"/>
    <w:lvl w:ilvl="0" w:tplc="F56A9A0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24862A8"/>
    <w:multiLevelType w:val="hybridMultilevel"/>
    <w:tmpl w:val="F030E85A"/>
    <w:lvl w:ilvl="0" w:tplc="D7DE051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7">
    <w:nsid w:val="558064B1"/>
    <w:multiLevelType w:val="hybridMultilevel"/>
    <w:tmpl w:val="CB7CDEDE"/>
    <w:lvl w:ilvl="0" w:tplc="04A0D88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8">
    <w:nsid w:val="559F6BF3"/>
    <w:multiLevelType w:val="multilevel"/>
    <w:tmpl w:val="B420DBB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56C91FDA"/>
    <w:multiLevelType w:val="hybridMultilevel"/>
    <w:tmpl w:val="C20AAA50"/>
    <w:lvl w:ilvl="0" w:tplc="37BEF15C">
      <w:start w:val="1"/>
      <w:numFmt w:val="lowerLetter"/>
      <w:lvlText w:val="%1)"/>
      <w:lvlJc w:val="left"/>
      <w:pPr>
        <w:ind w:left="1069" w:hanging="360"/>
      </w:pPr>
      <w:rPr>
        <w:rFonts w:hint="default"/>
      </w:rPr>
    </w:lvl>
    <w:lvl w:ilvl="1" w:tplc="F8D6E068">
      <w:start w:val="1"/>
      <w:numFmt w:val="bullet"/>
      <w:lvlText w:val="o"/>
      <w:lvlJc w:val="left"/>
      <w:pPr>
        <w:ind w:left="1789" w:hanging="360"/>
      </w:pPr>
      <w:rPr>
        <w:rFonts w:ascii="Courier New" w:hAnsi="Courier New" w:cs="Courier New" w:hint="default"/>
      </w:rPr>
    </w:lvl>
    <w:lvl w:ilvl="2" w:tplc="B3D0CE6A">
      <w:start w:val="1"/>
      <w:numFmt w:val="bullet"/>
      <w:lvlText w:val=""/>
      <w:lvlJc w:val="left"/>
      <w:pPr>
        <w:ind w:left="2509" w:hanging="360"/>
      </w:pPr>
      <w:rPr>
        <w:rFonts w:ascii="Wingdings" w:hAnsi="Wingdings" w:hint="default"/>
      </w:rPr>
    </w:lvl>
    <w:lvl w:ilvl="3" w:tplc="39EC6048" w:tentative="1">
      <w:start w:val="1"/>
      <w:numFmt w:val="bullet"/>
      <w:lvlText w:val=""/>
      <w:lvlJc w:val="left"/>
      <w:pPr>
        <w:ind w:left="3229" w:hanging="360"/>
      </w:pPr>
      <w:rPr>
        <w:rFonts w:ascii="Symbol" w:hAnsi="Symbol" w:hint="default"/>
      </w:rPr>
    </w:lvl>
    <w:lvl w:ilvl="4" w:tplc="22A802BA" w:tentative="1">
      <w:start w:val="1"/>
      <w:numFmt w:val="bullet"/>
      <w:lvlText w:val="o"/>
      <w:lvlJc w:val="left"/>
      <w:pPr>
        <w:ind w:left="3949" w:hanging="360"/>
      </w:pPr>
      <w:rPr>
        <w:rFonts w:ascii="Courier New" w:hAnsi="Courier New" w:cs="Courier New" w:hint="default"/>
      </w:rPr>
    </w:lvl>
    <w:lvl w:ilvl="5" w:tplc="17A22AA2" w:tentative="1">
      <w:start w:val="1"/>
      <w:numFmt w:val="bullet"/>
      <w:lvlText w:val=""/>
      <w:lvlJc w:val="left"/>
      <w:pPr>
        <w:ind w:left="4669" w:hanging="360"/>
      </w:pPr>
      <w:rPr>
        <w:rFonts w:ascii="Wingdings" w:hAnsi="Wingdings" w:hint="default"/>
      </w:rPr>
    </w:lvl>
    <w:lvl w:ilvl="6" w:tplc="E4288454" w:tentative="1">
      <w:start w:val="1"/>
      <w:numFmt w:val="bullet"/>
      <w:lvlText w:val=""/>
      <w:lvlJc w:val="left"/>
      <w:pPr>
        <w:ind w:left="5389" w:hanging="360"/>
      </w:pPr>
      <w:rPr>
        <w:rFonts w:ascii="Symbol" w:hAnsi="Symbol" w:hint="default"/>
      </w:rPr>
    </w:lvl>
    <w:lvl w:ilvl="7" w:tplc="ECF40888" w:tentative="1">
      <w:start w:val="1"/>
      <w:numFmt w:val="bullet"/>
      <w:lvlText w:val="o"/>
      <w:lvlJc w:val="left"/>
      <w:pPr>
        <w:ind w:left="6109" w:hanging="360"/>
      </w:pPr>
      <w:rPr>
        <w:rFonts w:ascii="Courier New" w:hAnsi="Courier New" w:cs="Courier New" w:hint="default"/>
      </w:rPr>
    </w:lvl>
    <w:lvl w:ilvl="8" w:tplc="98CE8664" w:tentative="1">
      <w:start w:val="1"/>
      <w:numFmt w:val="bullet"/>
      <w:lvlText w:val=""/>
      <w:lvlJc w:val="left"/>
      <w:pPr>
        <w:ind w:left="6829" w:hanging="360"/>
      </w:pPr>
      <w:rPr>
        <w:rFonts w:ascii="Wingdings" w:hAnsi="Wingdings" w:hint="default"/>
      </w:rPr>
    </w:lvl>
  </w:abstractNum>
  <w:abstractNum w:abstractNumId="50">
    <w:nsid w:val="591F4B91"/>
    <w:multiLevelType w:val="multilevel"/>
    <w:tmpl w:val="68F4D39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59B541FB"/>
    <w:multiLevelType w:val="hybridMultilevel"/>
    <w:tmpl w:val="7D720D82"/>
    <w:lvl w:ilvl="0" w:tplc="24E2697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2">
    <w:nsid w:val="5A054B00"/>
    <w:multiLevelType w:val="hybridMultilevel"/>
    <w:tmpl w:val="0576E684"/>
    <w:lvl w:ilvl="0" w:tplc="A2845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E4726F9"/>
    <w:multiLevelType w:val="multilevel"/>
    <w:tmpl w:val="95184D6C"/>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619B3A53"/>
    <w:multiLevelType w:val="hybridMultilevel"/>
    <w:tmpl w:val="C20AAA50"/>
    <w:lvl w:ilvl="0" w:tplc="37BEF15C">
      <w:start w:val="1"/>
      <w:numFmt w:val="lowerLetter"/>
      <w:lvlText w:val="%1)"/>
      <w:lvlJc w:val="left"/>
      <w:pPr>
        <w:ind w:left="1069" w:hanging="360"/>
      </w:pPr>
      <w:rPr>
        <w:rFonts w:hint="default"/>
      </w:rPr>
    </w:lvl>
    <w:lvl w:ilvl="1" w:tplc="F8D6E068">
      <w:start w:val="1"/>
      <w:numFmt w:val="bullet"/>
      <w:lvlText w:val="o"/>
      <w:lvlJc w:val="left"/>
      <w:pPr>
        <w:ind w:left="1789" w:hanging="360"/>
      </w:pPr>
      <w:rPr>
        <w:rFonts w:ascii="Courier New" w:hAnsi="Courier New" w:cs="Courier New" w:hint="default"/>
      </w:rPr>
    </w:lvl>
    <w:lvl w:ilvl="2" w:tplc="B3D0CE6A">
      <w:start w:val="1"/>
      <w:numFmt w:val="bullet"/>
      <w:lvlText w:val=""/>
      <w:lvlJc w:val="left"/>
      <w:pPr>
        <w:ind w:left="2509" w:hanging="360"/>
      </w:pPr>
      <w:rPr>
        <w:rFonts w:ascii="Wingdings" w:hAnsi="Wingdings" w:hint="default"/>
      </w:rPr>
    </w:lvl>
    <w:lvl w:ilvl="3" w:tplc="39EC6048" w:tentative="1">
      <w:start w:val="1"/>
      <w:numFmt w:val="bullet"/>
      <w:lvlText w:val=""/>
      <w:lvlJc w:val="left"/>
      <w:pPr>
        <w:ind w:left="3229" w:hanging="360"/>
      </w:pPr>
      <w:rPr>
        <w:rFonts w:ascii="Symbol" w:hAnsi="Symbol" w:hint="default"/>
      </w:rPr>
    </w:lvl>
    <w:lvl w:ilvl="4" w:tplc="22A802BA" w:tentative="1">
      <w:start w:val="1"/>
      <w:numFmt w:val="bullet"/>
      <w:lvlText w:val="o"/>
      <w:lvlJc w:val="left"/>
      <w:pPr>
        <w:ind w:left="3949" w:hanging="360"/>
      </w:pPr>
      <w:rPr>
        <w:rFonts w:ascii="Courier New" w:hAnsi="Courier New" w:cs="Courier New" w:hint="default"/>
      </w:rPr>
    </w:lvl>
    <w:lvl w:ilvl="5" w:tplc="17A22AA2" w:tentative="1">
      <w:start w:val="1"/>
      <w:numFmt w:val="bullet"/>
      <w:lvlText w:val=""/>
      <w:lvlJc w:val="left"/>
      <w:pPr>
        <w:ind w:left="4669" w:hanging="360"/>
      </w:pPr>
      <w:rPr>
        <w:rFonts w:ascii="Wingdings" w:hAnsi="Wingdings" w:hint="default"/>
      </w:rPr>
    </w:lvl>
    <w:lvl w:ilvl="6" w:tplc="E4288454" w:tentative="1">
      <w:start w:val="1"/>
      <w:numFmt w:val="bullet"/>
      <w:lvlText w:val=""/>
      <w:lvlJc w:val="left"/>
      <w:pPr>
        <w:ind w:left="5389" w:hanging="360"/>
      </w:pPr>
      <w:rPr>
        <w:rFonts w:ascii="Symbol" w:hAnsi="Symbol" w:hint="default"/>
      </w:rPr>
    </w:lvl>
    <w:lvl w:ilvl="7" w:tplc="ECF40888" w:tentative="1">
      <w:start w:val="1"/>
      <w:numFmt w:val="bullet"/>
      <w:lvlText w:val="o"/>
      <w:lvlJc w:val="left"/>
      <w:pPr>
        <w:ind w:left="6109" w:hanging="360"/>
      </w:pPr>
      <w:rPr>
        <w:rFonts w:ascii="Courier New" w:hAnsi="Courier New" w:cs="Courier New" w:hint="default"/>
      </w:rPr>
    </w:lvl>
    <w:lvl w:ilvl="8" w:tplc="98CE8664" w:tentative="1">
      <w:start w:val="1"/>
      <w:numFmt w:val="bullet"/>
      <w:lvlText w:val=""/>
      <w:lvlJc w:val="left"/>
      <w:pPr>
        <w:ind w:left="6829" w:hanging="360"/>
      </w:pPr>
      <w:rPr>
        <w:rFonts w:ascii="Wingdings" w:hAnsi="Wingdings" w:hint="default"/>
      </w:rPr>
    </w:lvl>
  </w:abstractNum>
  <w:abstractNum w:abstractNumId="55">
    <w:nsid w:val="63370197"/>
    <w:multiLevelType w:val="multilevel"/>
    <w:tmpl w:val="EC4CC9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63AB5FB2"/>
    <w:multiLevelType w:val="hybridMultilevel"/>
    <w:tmpl w:val="84F64B78"/>
    <w:lvl w:ilvl="0" w:tplc="EE6AF4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6022DFB"/>
    <w:multiLevelType w:val="hybridMultilevel"/>
    <w:tmpl w:val="021C6F5A"/>
    <w:lvl w:ilvl="0" w:tplc="69CC59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6465AA3"/>
    <w:multiLevelType w:val="hybridMultilevel"/>
    <w:tmpl w:val="8F809E80"/>
    <w:lvl w:ilvl="0" w:tplc="2AD4947A">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69D74B1"/>
    <w:multiLevelType w:val="hybridMultilevel"/>
    <w:tmpl w:val="A218F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nsid w:val="66C15278"/>
    <w:multiLevelType w:val="hybridMultilevel"/>
    <w:tmpl w:val="C20AAA50"/>
    <w:lvl w:ilvl="0" w:tplc="37BEF15C">
      <w:start w:val="1"/>
      <w:numFmt w:val="lowerLetter"/>
      <w:lvlText w:val="%1)"/>
      <w:lvlJc w:val="left"/>
      <w:pPr>
        <w:ind w:left="1069" w:hanging="360"/>
      </w:pPr>
      <w:rPr>
        <w:rFonts w:hint="default"/>
      </w:rPr>
    </w:lvl>
    <w:lvl w:ilvl="1" w:tplc="F8D6E068">
      <w:start w:val="1"/>
      <w:numFmt w:val="bullet"/>
      <w:lvlText w:val="o"/>
      <w:lvlJc w:val="left"/>
      <w:pPr>
        <w:ind w:left="1789" w:hanging="360"/>
      </w:pPr>
      <w:rPr>
        <w:rFonts w:ascii="Courier New" w:hAnsi="Courier New" w:cs="Courier New" w:hint="default"/>
      </w:rPr>
    </w:lvl>
    <w:lvl w:ilvl="2" w:tplc="B3D0CE6A">
      <w:start w:val="1"/>
      <w:numFmt w:val="bullet"/>
      <w:lvlText w:val=""/>
      <w:lvlJc w:val="left"/>
      <w:pPr>
        <w:ind w:left="2509" w:hanging="360"/>
      </w:pPr>
      <w:rPr>
        <w:rFonts w:ascii="Wingdings" w:hAnsi="Wingdings" w:hint="default"/>
      </w:rPr>
    </w:lvl>
    <w:lvl w:ilvl="3" w:tplc="39EC6048" w:tentative="1">
      <w:start w:val="1"/>
      <w:numFmt w:val="bullet"/>
      <w:lvlText w:val=""/>
      <w:lvlJc w:val="left"/>
      <w:pPr>
        <w:ind w:left="3229" w:hanging="360"/>
      </w:pPr>
      <w:rPr>
        <w:rFonts w:ascii="Symbol" w:hAnsi="Symbol" w:hint="default"/>
      </w:rPr>
    </w:lvl>
    <w:lvl w:ilvl="4" w:tplc="22A802BA" w:tentative="1">
      <w:start w:val="1"/>
      <w:numFmt w:val="bullet"/>
      <w:lvlText w:val="o"/>
      <w:lvlJc w:val="left"/>
      <w:pPr>
        <w:ind w:left="3949" w:hanging="360"/>
      </w:pPr>
      <w:rPr>
        <w:rFonts w:ascii="Courier New" w:hAnsi="Courier New" w:cs="Courier New" w:hint="default"/>
      </w:rPr>
    </w:lvl>
    <w:lvl w:ilvl="5" w:tplc="17A22AA2" w:tentative="1">
      <w:start w:val="1"/>
      <w:numFmt w:val="bullet"/>
      <w:lvlText w:val=""/>
      <w:lvlJc w:val="left"/>
      <w:pPr>
        <w:ind w:left="4669" w:hanging="360"/>
      </w:pPr>
      <w:rPr>
        <w:rFonts w:ascii="Wingdings" w:hAnsi="Wingdings" w:hint="default"/>
      </w:rPr>
    </w:lvl>
    <w:lvl w:ilvl="6" w:tplc="E4288454" w:tentative="1">
      <w:start w:val="1"/>
      <w:numFmt w:val="bullet"/>
      <w:lvlText w:val=""/>
      <w:lvlJc w:val="left"/>
      <w:pPr>
        <w:ind w:left="5389" w:hanging="360"/>
      </w:pPr>
      <w:rPr>
        <w:rFonts w:ascii="Symbol" w:hAnsi="Symbol" w:hint="default"/>
      </w:rPr>
    </w:lvl>
    <w:lvl w:ilvl="7" w:tplc="ECF40888" w:tentative="1">
      <w:start w:val="1"/>
      <w:numFmt w:val="bullet"/>
      <w:lvlText w:val="o"/>
      <w:lvlJc w:val="left"/>
      <w:pPr>
        <w:ind w:left="6109" w:hanging="360"/>
      </w:pPr>
      <w:rPr>
        <w:rFonts w:ascii="Courier New" w:hAnsi="Courier New" w:cs="Courier New" w:hint="default"/>
      </w:rPr>
    </w:lvl>
    <w:lvl w:ilvl="8" w:tplc="98CE8664" w:tentative="1">
      <w:start w:val="1"/>
      <w:numFmt w:val="bullet"/>
      <w:lvlText w:val=""/>
      <w:lvlJc w:val="left"/>
      <w:pPr>
        <w:ind w:left="6829" w:hanging="360"/>
      </w:pPr>
      <w:rPr>
        <w:rFonts w:ascii="Wingdings" w:hAnsi="Wingdings" w:hint="default"/>
      </w:rPr>
    </w:lvl>
  </w:abstractNum>
  <w:abstractNum w:abstractNumId="61">
    <w:nsid w:val="68A07EF7"/>
    <w:multiLevelType w:val="hybridMultilevel"/>
    <w:tmpl w:val="26D6481A"/>
    <w:lvl w:ilvl="0" w:tplc="0C090017">
      <w:start w:val="1"/>
      <w:numFmt w:val="lowerLetter"/>
      <w:lvlText w:val="%1)"/>
      <w:lvlJc w:val="left"/>
      <w:pPr>
        <w:ind w:left="1980" w:hanging="360"/>
      </w:pPr>
    </w:lvl>
    <w:lvl w:ilvl="1" w:tplc="0C090019">
      <w:start w:val="1"/>
      <w:numFmt w:val="lowerLetter"/>
      <w:lvlText w:val="%2."/>
      <w:lvlJc w:val="left"/>
      <w:pPr>
        <w:ind w:left="2700" w:hanging="360"/>
      </w:pPr>
    </w:lvl>
    <w:lvl w:ilvl="2" w:tplc="0C09001B">
      <w:start w:val="1"/>
      <w:numFmt w:val="lowerRoman"/>
      <w:lvlText w:val="%3."/>
      <w:lvlJc w:val="right"/>
      <w:pPr>
        <w:ind w:left="3420" w:hanging="180"/>
      </w:pPr>
    </w:lvl>
    <w:lvl w:ilvl="3" w:tplc="0C09000F">
      <w:start w:val="1"/>
      <w:numFmt w:val="decimal"/>
      <w:lvlText w:val="%4."/>
      <w:lvlJc w:val="left"/>
      <w:pPr>
        <w:ind w:left="4140" w:hanging="360"/>
      </w:pPr>
    </w:lvl>
    <w:lvl w:ilvl="4" w:tplc="0C090019">
      <w:start w:val="1"/>
      <w:numFmt w:val="lowerLetter"/>
      <w:lvlText w:val="%5."/>
      <w:lvlJc w:val="left"/>
      <w:pPr>
        <w:ind w:left="4860" w:hanging="360"/>
      </w:pPr>
    </w:lvl>
    <w:lvl w:ilvl="5" w:tplc="0C09001B">
      <w:start w:val="1"/>
      <w:numFmt w:val="lowerRoman"/>
      <w:lvlText w:val="%6."/>
      <w:lvlJc w:val="right"/>
      <w:pPr>
        <w:ind w:left="5580" w:hanging="180"/>
      </w:pPr>
    </w:lvl>
    <w:lvl w:ilvl="6" w:tplc="0C09000F">
      <w:start w:val="1"/>
      <w:numFmt w:val="decimal"/>
      <w:lvlText w:val="%7."/>
      <w:lvlJc w:val="left"/>
      <w:pPr>
        <w:ind w:left="6300" w:hanging="360"/>
      </w:pPr>
    </w:lvl>
    <w:lvl w:ilvl="7" w:tplc="0C090019">
      <w:start w:val="1"/>
      <w:numFmt w:val="lowerLetter"/>
      <w:lvlText w:val="%8."/>
      <w:lvlJc w:val="left"/>
      <w:pPr>
        <w:ind w:left="7020" w:hanging="360"/>
      </w:pPr>
    </w:lvl>
    <w:lvl w:ilvl="8" w:tplc="0C09001B">
      <w:start w:val="1"/>
      <w:numFmt w:val="lowerRoman"/>
      <w:lvlText w:val="%9."/>
      <w:lvlJc w:val="right"/>
      <w:pPr>
        <w:ind w:left="7740" w:hanging="180"/>
      </w:pPr>
    </w:lvl>
  </w:abstractNum>
  <w:abstractNum w:abstractNumId="62">
    <w:nsid w:val="6B5C09F4"/>
    <w:multiLevelType w:val="hybridMultilevel"/>
    <w:tmpl w:val="276239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C31644A"/>
    <w:multiLevelType w:val="hybridMultilevel"/>
    <w:tmpl w:val="ACA836C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0787EC1"/>
    <w:multiLevelType w:val="hybridMultilevel"/>
    <w:tmpl w:val="F7586F3A"/>
    <w:lvl w:ilvl="0" w:tplc="CD7CA672">
      <w:start w:val="1"/>
      <w:numFmt w:val="bullet"/>
      <w:pStyle w:val="dotpoint"/>
      <w:lvlText w:val=""/>
      <w:lvlJc w:val="left"/>
      <w:pPr>
        <w:tabs>
          <w:tab w:val="num" w:pos="644"/>
        </w:tabs>
        <w:ind w:left="587" w:hanging="227"/>
      </w:pPr>
      <w:rPr>
        <w:rFonts w:ascii="Symbol" w:hAnsi="Symbol" w:hint="default"/>
        <w:b w:val="0"/>
        <w:i w:val="0"/>
        <w:color w:val="auto"/>
        <w:sz w:val="24"/>
        <w:szCs w:val="24"/>
      </w:rPr>
    </w:lvl>
    <w:lvl w:ilvl="1" w:tplc="D10C33C8">
      <w:start w:val="1"/>
      <w:numFmt w:val="bullet"/>
      <w:lvlText w:val="-"/>
      <w:lvlJc w:val="left"/>
      <w:pPr>
        <w:tabs>
          <w:tab w:val="num" w:pos="1800"/>
        </w:tabs>
        <w:ind w:left="1800" w:hanging="360"/>
      </w:pPr>
      <w:rPr>
        <w:rFonts w:ascii="Times New Roman" w:hAnsi="Times New Roman" w:cs="Times New Roman" w:hint="default"/>
      </w:rPr>
    </w:lvl>
    <w:lvl w:ilvl="2" w:tplc="CEC84F3C" w:tentative="1">
      <w:start w:val="1"/>
      <w:numFmt w:val="bullet"/>
      <w:lvlText w:val=""/>
      <w:lvlJc w:val="left"/>
      <w:pPr>
        <w:tabs>
          <w:tab w:val="num" w:pos="2520"/>
        </w:tabs>
        <w:ind w:left="2520" w:hanging="360"/>
      </w:pPr>
      <w:rPr>
        <w:rFonts w:ascii="Wingdings" w:hAnsi="Wingdings" w:hint="default"/>
      </w:rPr>
    </w:lvl>
    <w:lvl w:ilvl="3" w:tplc="2FBCA06E" w:tentative="1">
      <w:start w:val="1"/>
      <w:numFmt w:val="bullet"/>
      <w:lvlText w:val=""/>
      <w:lvlJc w:val="left"/>
      <w:pPr>
        <w:tabs>
          <w:tab w:val="num" w:pos="3240"/>
        </w:tabs>
        <w:ind w:left="3240" w:hanging="360"/>
      </w:pPr>
      <w:rPr>
        <w:rFonts w:ascii="Symbol" w:hAnsi="Symbol" w:hint="default"/>
      </w:rPr>
    </w:lvl>
    <w:lvl w:ilvl="4" w:tplc="36FA8918" w:tentative="1">
      <w:start w:val="1"/>
      <w:numFmt w:val="bullet"/>
      <w:lvlText w:val="o"/>
      <w:lvlJc w:val="left"/>
      <w:pPr>
        <w:tabs>
          <w:tab w:val="num" w:pos="3960"/>
        </w:tabs>
        <w:ind w:left="3960" w:hanging="360"/>
      </w:pPr>
      <w:rPr>
        <w:rFonts w:ascii="Courier New" w:hAnsi="Courier New" w:cs="Courier New" w:hint="default"/>
      </w:rPr>
    </w:lvl>
    <w:lvl w:ilvl="5" w:tplc="FFCE3B58" w:tentative="1">
      <w:start w:val="1"/>
      <w:numFmt w:val="bullet"/>
      <w:lvlText w:val=""/>
      <w:lvlJc w:val="left"/>
      <w:pPr>
        <w:tabs>
          <w:tab w:val="num" w:pos="4680"/>
        </w:tabs>
        <w:ind w:left="4680" w:hanging="360"/>
      </w:pPr>
      <w:rPr>
        <w:rFonts w:ascii="Wingdings" w:hAnsi="Wingdings" w:hint="default"/>
      </w:rPr>
    </w:lvl>
    <w:lvl w:ilvl="6" w:tplc="01264EE8" w:tentative="1">
      <w:start w:val="1"/>
      <w:numFmt w:val="bullet"/>
      <w:lvlText w:val=""/>
      <w:lvlJc w:val="left"/>
      <w:pPr>
        <w:tabs>
          <w:tab w:val="num" w:pos="5400"/>
        </w:tabs>
        <w:ind w:left="5400" w:hanging="360"/>
      </w:pPr>
      <w:rPr>
        <w:rFonts w:ascii="Symbol" w:hAnsi="Symbol" w:hint="default"/>
      </w:rPr>
    </w:lvl>
    <w:lvl w:ilvl="7" w:tplc="7C486A54" w:tentative="1">
      <w:start w:val="1"/>
      <w:numFmt w:val="bullet"/>
      <w:lvlText w:val="o"/>
      <w:lvlJc w:val="left"/>
      <w:pPr>
        <w:tabs>
          <w:tab w:val="num" w:pos="6120"/>
        </w:tabs>
        <w:ind w:left="6120" w:hanging="360"/>
      </w:pPr>
      <w:rPr>
        <w:rFonts w:ascii="Courier New" w:hAnsi="Courier New" w:cs="Courier New" w:hint="default"/>
      </w:rPr>
    </w:lvl>
    <w:lvl w:ilvl="8" w:tplc="A8AC4316" w:tentative="1">
      <w:start w:val="1"/>
      <w:numFmt w:val="bullet"/>
      <w:lvlText w:val=""/>
      <w:lvlJc w:val="left"/>
      <w:pPr>
        <w:tabs>
          <w:tab w:val="num" w:pos="6840"/>
        </w:tabs>
        <w:ind w:left="6840" w:hanging="360"/>
      </w:pPr>
      <w:rPr>
        <w:rFonts w:ascii="Wingdings" w:hAnsi="Wingdings" w:hint="default"/>
      </w:rPr>
    </w:lvl>
  </w:abstractNum>
  <w:abstractNum w:abstractNumId="65">
    <w:nsid w:val="795053ED"/>
    <w:multiLevelType w:val="multilevel"/>
    <w:tmpl w:val="68F4D39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79673DA1"/>
    <w:multiLevelType w:val="multilevel"/>
    <w:tmpl w:val="26084A2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7A317418"/>
    <w:multiLevelType w:val="multilevel"/>
    <w:tmpl w:val="68F4D39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7C006369"/>
    <w:multiLevelType w:val="hybridMultilevel"/>
    <w:tmpl w:val="B442D792"/>
    <w:lvl w:ilvl="0" w:tplc="8A3A608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13"/>
  </w:num>
  <w:num w:numId="13">
    <w:abstractNumId w:val="24"/>
  </w:num>
  <w:num w:numId="14">
    <w:abstractNumId w:val="38"/>
  </w:num>
  <w:num w:numId="15">
    <w:abstractNumId w:val="18"/>
  </w:num>
  <w:num w:numId="16">
    <w:abstractNumId w:val="16"/>
  </w:num>
  <w:num w:numId="17">
    <w:abstractNumId w:val="21"/>
  </w:num>
  <w:num w:numId="18">
    <w:abstractNumId w:val="63"/>
  </w:num>
  <w:num w:numId="19">
    <w:abstractNumId w:val="64"/>
  </w:num>
  <w:num w:numId="20">
    <w:abstractNumId w:val="36"/>
    <w:lvlOverride w:ilvl="2">
      <w:lvl w:ilvl="2">
        <w:start w:val="1"/>
        <w:numFmt w:val="decimal"/>
        <w:lvlText w:val="%1.%2.%3."/>
        <w:lvlJc w:val="left"/>
        <w:pPr>
          <w:ind w:left="930" w:hanging="504"/>
        </w:pPr>
        <w:rPr>
          <w:rFonts w:ascii="Times New Roman" w:hAnsi="Times New Roman"/>
          <w:b w:val="0"/>
          <w:sz w:val="22"/>
        </w:rPr>
      </w:lvl>
    </w:lvlOverride>
  </w:num>
  <w:num w:numId="21">
    <w:abstractNumId w:val="37"/>
  </w:num>
  <w:num w:numId="22">
    <w:abstractNumId w:val="40"/>
  </w:num>
  <w:num w:numId="23">
    <w:abstractNumId w:val="33"/>
  </w:num>
  <w:num w:numId="24">
    <w:abstractNumId w:val="53"/>
  </w:num>
  <w:num w:numId="25">
    <w:abstractNumId w:val="50"/>
  </w:num>
  <w:num w:numId="26">
    <w:abstractNumId w:val="67"/>
  </w:num>
  <w:num w:numId="27">
    <w:abstractNumId w:val="39"/>
  </w:num>
  <w:num w:numId="28">
    <w:abstractNumId w:val="48"/>
  </w:num>
  <w:num w:numId="29">
    <w:abstractNumId w:val="25"/>
  </w:num>
  <w:num w:numId="30">
    <w:abstractNumId w:val="58"/>
  </w:num>
  <w:num w:numId="31">
    <w:abstractNumId w:val="65"/>
  </w:num>
  <w:num w:numId="32">
    <w:abstractNumId w:val="19"/>
  </w:num>
  <w:num w:numId="33">
    <w:abstractNumId w:val="45"/>
  </w:num>
  <w:num w:numId="34">
    <w:abstractNumId w:val="68"/>
  </w:num>
  <w:num w:numId="35">
    <w:abstractNumId w:val="26"/>
  </w:num>
  <w:num w:numId="36">
    <w:abstractNumId w:val="55"/>
  </w:num>
  <w:num w:numId="37">
    <w:abstractNumId w:val="66"/>
  </w:num>
  <w:num w:numId="38">
    <w:abstractNumId w:val="11"/>
  </w:num>
  <w:num w:numId="39">
    <w:abstractNumId w:val="34"/>
  </w:num>
  <w:num w:numId="40">
    <w:abstractNumId w:val="29"/>
  </w:num>
  <w:num w:numId="41">
    <w:abstractNumId w:val="62"/>
  </w:num>
  <w:num w:numId="42">
    <w:abstractNumId w:val="27"/>
  </w:num>
  <w:num w:numId="43">
    <w:abstractNumId w:val="51"/>
  </w:num>
  <w:num w:numId="44">
    <w:abstractNumId w:val="46"/>
  </w:num>
  <w:num w:numId="45">
    <w:abstractNumId w:val="23"/>
  </w:num>
  <w:num w:numId="46">
    <w:abstractNumId w:val="59"/>
  </w:num>
  <w:num w:numId="47">
    <w:abstractNumId w:val="14"/>
  </w:num>
  <w:num w:numId="48">
    <w:abstractNumId w:val="56"/>
  </w:num>
  <w:num w:numId="49">
    <w:abstractNumId w:val="43"/>
  </w:num>
  <w:num w:numId="50">
    <w:abstractNumId w:val="17"/>
  </w:num>
  <w:num w:numId="51">
    <w:abstractNumId w:val="52"/>
  </w:num>
  <w:num w:numId="52">
    <w:abstractNumId w:val="42"/>
  </w:num>
  <w:num w:numId="53">
    <w:abstractNumId w:val="15"/>
  </w:num>
  <w:num w:numId="54">
    <w:abstractNumId w:val="32"/>
  </w:num>
  <w:num w:numId="55">
    <w:abstractNumId w:val="15"/>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 w:numId="60">
    <w:abstractNumId w:val="28"/>
  </w:num>
  <w:num w:numId="61">
    <w:abstractNumId w:val="10"/>
  </w:num>
  <w:num w:numId="62">
    <w:abstractNumId w:val="36"/>
  </w:num>
  <w:num w:numId="63">
    <w:abstractNumId w:val="20"/>
  </w:num>
  <w:num w:numId="64">
    <w:abstractNumId w:val="54"/>
  </w:num>
  <w:num w:numId="65">
    <w:abstractNumId w:val="22"/>
  </w:num>
  <w:num w:numId="66">
    <w:abstractNumId w:val="60"/>
  </w:num>
  <w:num w:numId="67">
    <w:abstractNumId w:val="12"/>
  </w:num>
  <w:num w:numId="68">
    <w:abstractNumId w:val="49"/>
  </w:num>
  <w:num w:numId="69">
    <w:abstractNumId w:val="30"/>
  </w:num>
  <w:num w:numId="70">
    <w:abstractNumId w:val="31"/>
  </w:num>
  <w:num w:numId="71">
    <w:abstractNumId w:val="47"/>
  </w:num>
  <w:num w:numId="72">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15"/>
    <w:rsid w:val="00001AC3"/>
    <w:rsid w:val="00002877"/>
    <w:rsid w:val="00003C87"/>
    <w:rsid w:val="00004174"/>
    <w:rsid w:val="00004470"/>
    <w:rsid w:val="000056A0"/>
    <w:rsid w:val="00005757"/>
    <w:rsid w:val="000057C9"/>
    <w:rsid w:val="00005D1C"/>
    <w:rsid w:val="00006B07"/>
    <w:rsid w:val="00010A54"/>
    <w:rsid w:val="00013207"/>
    <w:rsid w:val="000136AF"/>
    <w:rsid w:val="000139CA"/>
    <w:rsid w:val="00013E80"/>
    <w:rsid w:val="00013F19"/>
    <w:rsid w:val="00014637"/>
    <w:rsid w:val="000166EB"/>
    <w:rsid w:val="00017111"/>
    <w:rsid w:val="00020664"/>
    <w:rsid w:val="00021EC3"/>
    <w:rsid w:val="000222BD"/>
    <w:rsid w:val="000247CD"/>
    <w:rsid w:val="000258B1"/>
    <w:rsid w:val="00025A30"/>
    <w:rsid w:val="00025BD9"/>
    <w:rsid w:val="00025F1E"/>
    <w:rsid w:val="00026ACA"/>
    <w:rsid w:val="00030E73"/>
    <w:rsid w:val="000318C0"/>
    <w:rsid w:val="00033A80"/>
    <w:rsid w:val="0003463E"/>
    <w:rsid w:val="00035481"/>
    <w:rsid w:val="00037A82"/>
    <w:rsid w:val="00040A89"/>
    <w:rsid w:val="00041B11"/>
    <w:rsid w:val="000422DB"/>
    <w:rsid w:val="0004236E"/>
    <w:rsid w:val="000437C1"/>
    <w:rsid w:val="0004434D"/>
    <w:rsid w:val="0004455A"/>
    <w:rsid w:val="00044FCE"/>
    <w:rsid w:val="000457FE"/>
    <w:rsid w:val="00045CB0"/>
    <w:rsid w:val="000464AE"/>
    <w:rsid w:val="00047A7C"/>
    <w:rsid w:val="00047CDC"/>
    <w:rsid w:val="00050977"/>
    <w:rsid w:val="00050AB3"/>
    <w:rsid w:val="00050C0A"/>
    <w:rsid w:val="0005187B"/>
    <w:rsid w:val="000527FA"/>
    <w:rsid w:val="0005365D"/>
    <w:rsid w:val="00054545"/>
    <w:rsid w:val="000550E1"/>
    <w:rsid w:val="00056BAC"/>
    <w:rsid w:val="00056DD1"/>
    <w:rsid w:val="00057867"/>
    <w:rsid w:val="000602FE"/>
    <w:rsid w:val="00060305"/>
    <w:rsid w:val="000614BF"/>
    <w:rsid w:val="00061F2E"/>
    <w:rsid w:val="00064B00"/>
    <w:rsid w:val="00065461"/>
    <w:rsid w:val="0006709C"/>
    <w:rsid w:val="000727FC"/>
    <w:rsid w:val="000733CD"/>
    <w:rsid w:val="0007362E"/>
    <w:rsid w:val="0007401B"/>
    <w:rsid w:val="00074376"/>
    <w:rsid w:val="000802B6"/>
    <w:rsid w:val="00080577"/>
    <w:rsid w:val="000807D3"/>
    <w:rsid w:val="0008275D"/>
    <w:rsid w:val="000846ED"/>
    <w:rsid w:val="00084FD1"/>
    <w:rsid w:val="00086123"/>
    <w:rsid w:val="0008642B"/>
    <w:rsid w:val="0009053E"/>
    <w:rsid w:val="000924C4"/>
    <w:rsid w:val="0009252C"/>
    <w:rsid w:val="00092D7B"/>
    <w:rsid w:val="00093C33"/>
    <w:rsid w:val="00093F20"/>
    <w:rsid w:val="00094A90"/>
    <w:rsid w:val="00095EF8"/>
    <w:rsid w:val="00095F69"/>
    <w:rsid w:val="00096584"/>
    <w:rsid w:val="00097070"/>
    <w:rsid w:val="000978F5"/>
    <w:rsid w:val="00097DF8"/>
    <w:rsid w:val="000A041C"/>
    <w:rsid w:val="000A0A73"/>
    <w:rsid w:val="000A2DCA"/>
    <w:rsid w:val="000A5145"/>
    <w:rsid w:val="000A5B2C"/>
    <w:rsid w:val="000A7581"/>
    <w:rsid w:val="000A76B9"/>
    <w:rsid w:val="000B0696"/>
    <w:rsid w:val="000B135B"/>
    <w:rsid w:val="000B15CD"/>
    <w:rsid w:val="000B272B"/>
    <w:rsid w:val="000B35EB"/>
    <w:rsid w:val="000B3900"/>
    <w:rsid w:val="000B4570"/>
    <w:rsid w:val="000B4961"/>
    <w:rsid w:val="000B4977"/>
    <w:rsid w:val="000B4FC4"/>
    <w:rsid w:val="000B666C"/>
    <w:rsid w:val="000B75CF"/>
    <w:rsid w:val="000C00DD"/>
    <w:rsid w:val="000C108F"/>
    <w:rsid w:val="000C12D1"/>
    <w:rsid w:val="000C241C"/>
    <w:rsid w:val="000C34C6"/>
    <w:rsid w:val="000C41E3"/>
    <w:rsid w:val="000C63FF"/>
    <w:rsid w:val="000C67F8"/>
    <w:rsid w:val="000C7B8C"/>
    <w:rsid w:val="000D05EF"/>
    <w:rsid w:val="000D08FE"/>
    <w:rsid w:val="000D27E8"/>
    <w:rsid w:val="000D2D3A"/>
    <w:rsid w:val="000D5F1A"/>
    <w:rsid w:val="000E1A98"/>
    <w:rsid w:val="000E2237"/>
    <w:rsid w:val="000E2261"/>
    <w:rsid w:val="000E3264"/>
    <w:rsid w:val="000E346C"/>
    <w:rsid w:val="000E36E7"/>
    <w:rsid w:val="000E3C28"/>
    <w:rsid w:val="000E5E78"/>
    <w:rsid w:val="000E7655"/>
    <w:rsid w:val="000E78B7"/>
    <w:rsid w:val="000F1AD9"/>
    <w:rsid w:val="000F21C1"/>
    <w:rsid w:val="000F3DE5"/>
    <w:rsid w:val="000F4216"/>
    <w:rsid w:val="000F49C9"/>
    <w:rsid w:val="000F5604"/>
    <w:rsid w:val="00101D7F"/>
    <w:rsid w:val="0010243A"/>
    <w:rsid w:val="00102895"/>
    <w:rsid w:val="00102ED5"/>
    <w:rsid w:val="001048DE"/>
    <w:rsid w:val="00105F02"/>
    <w:rsid w:val="0010724A"/>
    <w:rsid w:val="0010745C"/>
    <w:rsid w:val="0011691A"/>
    <w:rsid w:val="001203F8"/>
    <w:rsid w:val="00120693"/>
    <w:rsid w:val="00122016"/>
    <w:rsid w:val="00122387"/>
    <w:rsid w:val="0012268B"/>
    <w:rsid w:val="00122A76"/>
    <w:rsid w:val="001235F5"/>
    <w:rsid w:val="0012391E"/>
    <w:rsid w:val="001269BE"/>
    <w:rsid w:val="00126C4E"/>
    <w:rsid w:val="00126F92"/>
    <w:rsid w:val="001300EC"/>
    <w:rsid w:val="00130632"/>
    <w:rsid w:val="00131503"/>
    <w:rsid w:val="00132CEB"/>
    <w:rsid w:val="00133343"/>
    <w:rsid w:val="0013384A"/>
    <w:rsid w:val="001339B0"/>
    <w:rsid w:val="00133F17"/>
    <w:rsid w:val="00133FC0"/>
    <w:rsid w:val="00136314"/>
    <w:rsid w:val="0013715C"/>
    <w:rsid w:val="00140184"/>
    <w:rsid w:val="001404BB"/>
    <w:rsid w:val="00142B62"/>
    <w:rsid w:val="00143085"/>
    <w:rsid w:val="00143F18"/>
    <w:rsid w:val="00143FBE"/>
    <w:rsid w:val="001441B7"/>
    <w:rsid w:val="001458A2"/>
    <w:rsid w:val="001516CB"/>
    <w:rsid w:val="00152336"/>
    <w:rsid w:val="00155DEC"/>
    <w:rsid w:val="00156B1B"/>
    <w:rsid w:val="00157955"/>
    <w:rsid w:val="00157B8B"/>
    <w:rsid w:val="0016321C"/>
    <w:rsid w:val="00165D57"/>
    <w:rsid w:val="00166C2F"/>
    <w:rsid w:val="00166FEE"/>
    <w:rsid w:val="0016745C"/>
    <w:rsid w:val="00173428"/>
    <w:rsid w:val="00174CD9"/>
    <w:rsid w:val="00175DEF"/>
    <w:rsid w:val="0017728F"/>
    <w:rsid w:val="001775D5"/>
    <w:rsid w:val="00177A30"/>
    <w:rsid w:val="001809D7"/>
    <w:rsid w:val="00182EDA"/>
    <w:rsid w:val="00183516"/>
    <w:rsid w:val="001847B5"/>
    <w:rsid w:val="001854B8"/>
    <w:rsid w:val="001860FE"/>
    <w:rsid w:val="001861A7"/>
    <w:rsid w:val="0019054E"/>
    <w:rsid w:val="00193220"/>
    <w:rsid w:val="001939E1"/>
    <w:rsid w:val="00193B2D"/>
    <w:rsid w:val="001947E2"/>
    <w:rsid w:val="00194C3E"/>
    <w:rsid w:val="00195382"/>
    <w:rsid w:val="00195844"/>
    <w:rsid w:val="001963B1"/>
    <w:rsid w:val="00197601"/>
    <w:rsid w:val="001A2AEE"/>
    <w:rsid w:val="001A412F"/>
    <w:rsid w:val="001A4133"/>
    <w:rsid w:val="001A7094"/>
    <w:rsid w:val="001B2980"/>
    <w:rsid w:val="001B2A5B"/>
    <w:rsid w:val="001B2C0A"/>
    <w:rsid w:val="001B2CB6"/>
    <w:rsid w:val="001B72C4"/>
    <w:rsid w:val="001C22C1"/>
    <w:rsid w:val="001C61C5"/>
    <w:rsid w:val="001C69C4"/>
    <w:rsid w:val="001D0382"/>
    <w:rsid w:val="001D06CE"/>
    <w:rsid w:val="001D37EF"/>
    <w:rsid w:val="001D69BB"/>
    <w:rsid w:val="001E1913"/>
    <w:rsid w:val="001E3430"/>
    <w:rsid w:val="001E3590"/>
    <w:rsid w:val="001E3EC1"/>
    <w:rsid w:val="001E4854"/>
    <w:rsid w:val="001E4F48"/>
    <w:rsid w:val="001E6747"/>
    <w:rsid w:val="001E7407"/>
    <w:rsid w:val="001E77CC"/>
    <w:rsid w:val="001E7B7A"/>
    <w:rsid w:val="001E7CE0"/>
    <w:rsid w:val="001F003A"/>
    <w:rsid w:val="001F1399"/>
    <w:rsid w:val="001F2106"/>
    <w:rsid w:val="001F2F57"/>
    <w:rsid w:val="001F49A4"/>
    <w:rsid w:val="001F52A4"/>
    <w:rsid w:val="001F5D5E"/>
    <w:rsid w:val="001F601C"/>
    <w:rsid w:val="001F6219"/>
    <w:rsid w:val="001F62BE"/>
    <w:rsid w:val="001F67EF"/>
    <w:rsid w:val="001F6B2D"/>
    <w:rsid w:val="001F6CD4"/>
    <w:rsid w:val="001F6D20"/>
    <w:rsid w:val="001F6E5F"/>
    <w:rsid w:val="001F7562"/>
    <w:rsid w:val="001F77D0"/>
    <w:rsid w:val="00200693"/>
    <w:rsid w:val="00200AF9"/>
    <w:rsid w:val="00201580"/>
    <w:rsid w:val="00203FCD"/>
    <w:rsid w:val="002058BF"/>
    <w:rsid w:val="00206C4D"/>
    <w:rsid w:val="00207521"/>
    <w:rsid w:val="00210CA5"/>
    <w:rsid w:val="0021108F"/>
    <w:rsid w:val="002119CF"/>
    <w:rsid w:val="00214B1A"/>
    <w:rsid w:val="002157E5"/>
    <w:rsid w:val="00215AB0"/>
    <w:rsid w:val="00215AF1"/>
    <w:rsid w:val="00217365"/>
    <w:rsid w:val="002205B4"/>
    <w:rsid w:val="00222E39"/>
    <w:rsid w:val="00225487"/>
    <w:rsid w:val="00227537"/>
    <w:rsid w:val="00230123"/>
    <w:rsid w:val="002321E8"/>
    <w:rsid w:val="00232984"/>
    <w:rsid w:val="0023412F"/>
    <w:rsid w:val="002342EC"/>
    <w:rsid w:val="00234629"/>
    <w:rsid w:val="00234999"/>
    <w:rsid w:val="00235A39"/>
    <w:rsid w:val="00237897"/>
    <w:rsid w:val="0024010F"/>
    <w:rsid w:val="00240749"/>
    <w:rsid w:val="00241235"/>
    <w:rsid w:val="00241916"/>
    <w:rsid w:val="00242E4B"/>
    <w:rsid w:val="00243018"/>
    <w:rsid w:val="002454B2"/>
    <w:rsid w:val="00245C29"/>
    <w:rsid w:val="0024680F"/>
    <w:rsid w:val="00246B59"/>
    <w:rsid w:val="00246C67"/>
    <w:rsid w:val="00246EDC"/>
    <w:rsid w:val="00247FDB"/>
    <w:rsid w:val="002502CD"/>
    <w:rsid w:val="0025248E"/>
    <w:rsid w:val="0025263F"/>
    <w:rsid w:val="00252804"/>
    <w:rsid w:val="00253057"/>
    <w:rsid w:val="002536A4"/>
    <w:rsid w:val="0025436E"/>
    <w:rsid w:val="002547BE"/>
    <w:rsid w:val="00254AB6"/>
    <w:rsid w:val="00254BD2"/>
    <w:rsid w:val="002552F3"/>
    <w:rsid w:val="002560CB"/>
    <w:rsid w:val="002564A4"/>
    <w:rsid w:val="00257126"/>
    <w:rsid w:val="00257C83"/>
    <w:rsid w:val="002600AF"/>
    <w:rsid w:val="00260538"/>
    <w:rsid w:val="00260E33"/>
    <w:rsid w:val="00261051"/>
    <w:rsid w:val="002611C1"/>
    <w:rsid w:val="00261EBB"/>
    <w:rsid w:val="0026295F"/>
    <w:rsid w:val="002640CF"/>
    <w:rsid w:val="0026592C"/>
    <w:rsid w:val="0026594B"/>
    <w:rsid w:val="002659AB"/>
    <w:rsid w:val="00265D5D"/>
    <w:rsid w:val="0026605C"/>
    <w:rsid w:val="002667A3"/>
    <w:rsid w:val="0026736C"/>
    <w:rsid w:val="002704C0"/>
    <w:rsid w:val="0027063B"/>
    <w:rsid w:val="00270866"/>
    <w:rsid w:val="00271DF4"/>
    <w:rsid w:val="00272CD6"/>
    <w:rsid w:val="0027366C"/>
    <w:rsid w:val="00275B2D"/>
    <w:rsid w:val="00276580"/>
    <w:rsid w:val="00280E80"/>
    <w:rsid w:val="00281308"/>
    <w:rsid w:val="002820E8"/>
    <w:rsid w:val="002823F7"/>
    <w:rsid w:val="00284664"/>
    <w:rsid w:val="00284719"/>
    <w:rsid w:val="00286FA3"/>
    <w:rsid w:val="0028700C"/>
    <w:rsid w:val="00290126"/>
    <w:rsid w:val="00290FCD"/>
    <w:rsid w:val="0029200D"/>
    <w:rsid w:val="00293560"/>
    <w:rsid w:val="00293A1A"/>
    <w:rsid w:val="0029585B"/>
    <w:rsid w:val="00295DDC"/>
    <w:rsid w:val="00296003"/>
    <w:rsid w:val="00297ECB"/>
    <w:rsid w:val="002A0EE9"/>
    <w:rsid w:val="002A0FAE"/>
    <w:rsid w:val="002A2EA4"/>
    <w:rsid w:val="002A60ED"/>
    <w:rsid w:val="002A689F"/>
    <w:rsid w:val="002A6C1D"/>
    <w:rsid w:val="002A6EC2"/>
    <w:rsid w:val="002A6FF1"/>
    <w:rsid w:val="002A70D8"/>
    <w:rsid w:val="002A7337"/>
    <w:rsid w:val="002A7539"/>
    <w:rsid w:val="002A7BCF"/>
    <w:rsid w:val="002B0A2C"/>
    <w:rsid w:val="002B0C75"/>
    <w:rsid w:val="002B148B"/>
    <w:rsid w:val="002B420C"/>
    <w:rsid w:val="002B4EC5"/>
    <w:rsid w:val="002B6D3E"/>
    <w:rsid w:val="002C094B"/>
    <w:rsid w:val="002C180F"/>
    <w:rsid w:val="002C1B76"/>
    <w:rsid w:val="002C1CD1"/>
    <w:rsid w:val="002C3FD1"/>
    <w:rsid w:val="002C568E"/>
    <w:rsid w:val="002C6409"/>
    <w:rsid w:val="002C68AF"/>
    <w:rsid w:val="002D043A"/>
    <w:rsid w:val="002D0F3F"/>
    <w:rsid w:val="002D266B"/>
    <w:rsid w:val="002D36D8"/>
    <w:rsid w:val="002D4EB9"/>
    <w:rsid w:val="002D515B"/>
    <w:rsid w:val="002D55F9"/>
    <w:rsid w:val="002D6224"/>
    <w:rsid w:val="002D6586"/>
    <w:rsid w:val="002D6A74"/>
    <w:rsid w:val="002D7A75"/>
    <w:rsid w:val="002E1B29"/>
    <w:rsid w:val="002E381E"/>
    <w:rsid w:val="002E39CB"/>
    <w:rsid w:val="002E39DE"/>
    <w:rsid w:val="002E476E"/>
    <w:rsid w:val="002E6B8E"/>
    <w:rsid w:val="002E7FA4"/>
    <w:rsid w:val="002F172A"/>
    <w:rsid w:val="002F2B40"/>
    <w:rsid w:val="002F2BED"/>
    <w:rsid w:val="002F3032"/>
    <w:rsid w:val="002F33D2"/>
    <w:rsid w:val="002F35FA"/>
    <w:rsid w:val="002F3666"/>
    <w:rsid w:val="002F533B"/>
    <w:rsid w:val="002F54DC"/>
    <w:rsid w:val="002F56C2"/>
    <w:rsid w:val="002F5E75"/>
    <w:rsid w:val="002F6DD7"/>
    <w:rsid w:val="002F7AF2"/>
    <w:rsid w:val="002F7BAC"/>
    <w:rsid w:val="00300994"/>
    <w:rsid w:val="00301834"/>
    <w:rsid w:val="00303A7C"/>
    <w:rsid w:val="00304310"/>
    <w:rsid w:val="00304F60"/>
    <w:rsid w:val="00304F8B"/>
    <w:rsid w:val="00307663"/>
    <w:rsid w:val="00310522"/>
    <w:rsid w:val="00314930"/>
    <w:rsid w:val="00314A46"/>
    <w:rsid w:val="00314B0F"/>
    <w:rsid w:val="00315A6B"/>
    <w:rsid w:val="003201DC"/>
    <w:rsid w:val="00320DF1"/>
    <w:rsid w:val="00321935"/>
    <w:rsid w:val="0032236F"/>
    <w:rsid w:val="00323011"/>
    <w:rsid w:val="0032311C"/>
    <w:rsid w:val="00324208"/>
    <w:rsid w:val="003243EB"/>
    <w:rsid w:val="00324C16"/>
    <w:rsid w:val="003274F8"/>
    <w:rsid w:val="0032752A"/>
    <w:rsid w:val="00331D3A"/>
    <w:rsid w:val="00334FC9"/>
    <w:rsid w:val="00335BC6"/>
    <w:rsid w:val="00336A53"/>
    <w:rsid w:val="003377C6"/>
    <w:rsid w:val="00337862"/>
    <w:rsid w:val="003415D3"/>
    <w:rsid w:val="00343DCF"/>
    <w:rsid w:val="00344338"/>
    <w:rsid w:val="003445F2"/>
    <w:rsid w:val="00344701"/>
    <w:rsid w:val="00344FFA"/>
    <w:rsid w:val="00345876"/>
    <w:rsid w:val="00347D1F"/>
    <w:rsid w:val="00347E4E"/>
    <w:rsid w:val="0035042E"/>
    <w:rsid w:val="00351E25"/>
    <w:rsid w:val="00352011"/>
    <w:rsid w:val="003527DB"/>
    <w:rsid w:val="00352B0F"/>
    <w:rsid w:val="00354122"/>
    <w:rsid w:val="00360459"/>
    <w:rsid w:val="003626E1"/>
    <w:rsid w:val="00362A7E"/>
    <w:rsid w:val="00362C90"/>
    <w:rsid w:val="00364C41"/>
    <w:rsid w:val="00367356"/>
    <w:rsid w:val="00367B47"/>
    <w:rsid w:val="00370941"/>
    <w:rsid w:val="00371B61"/>
    <w:rsid w:val="003725EB"/>
    <w:rsid w:val="003726D6"/>
    <w:rsid w:val="003748BF"/>
    <w:rsid w:val="00374B8F"/>
    <w:rsid w:val="0037637A"/>
    <w:rsid w:val="00376879"/>
    <w:rsid w:val="00376BCB"/>
    <w:rsid w:val="003779B3"/>
    <w:rsid w:val="0038049F"/>
    <w:rsid w:val="00380656"/>
    <w:rsid w:val="00381845"/>
    <w:rsid w:val="003830F7"/>
    <w:rsid w:val="00385F44"/>
    <w:rsid w:val="003865EB"/>
    <w:rsid w:val="0038780B"/>
    <w:rsid w:val="00387A9A"/>
    <w:rsid w:val="00387D68"/>
    <w:rsid w:val="0039268C"/>
    <w:rsid w:val="00392F9E"/>
    <w:rsid w:val="00394B4B"/>
    <w:rsid w:val="00396AF1"/>
    <w:rsid w:val="003A0E0A"/>
    <w:rsid w:val="003A177D"/>
    <w:rsid w:val="003A187C"/>
    <w:rsid w:val="003A3402"/>
    <w:rsid w:val="003A3FF9"/>
    <w:rsid w:val="003A737E"/>
    <w:rsid w:val="003B04C3"/>
    <w:rsid w:val="003B28B5"/>
    <w:rsid w:val="003B3C65"/>
    <w:rsid w:val="003B3CF8"/>
    <w:rsid w:val="003B5579"/>
    <w:rsid w:val="003B6500"/>
    <w:rsid w:val="003B7151"/>
    <w:rsid w:val="003B75D1"/>
    <w:rsid w:val="003C073E"/>
    <w:rsid w:val="003C11C1"/>
    <w:rsid w:val="003C168A"/>
    <w:rsid w:val="003C255B"/>
    <w:rsid w:val="003C2D1B"/>
    <w:rsid w:val="003C3C47"/>
    <w:rsid w:val="003C4737"/>
    <w:rsid w:val="003C54FD"/>
    <w:rsid w:val="003C6231"/>
    <w:rsid w:val="003C62FA"/>
    <w:rsid w:val="003C67AF"/>
    <w:rsid w:val="003C6D6A"/>
    <w:rsid w:val="003C7F7E"/>
    <w:rsid w:val="003D04F5"/>
    <w:rsid w:val="003D0BFE"/>
    <w:rsid w:val="003D2A55"/>
    <w:rsid w:val="003D2C55"/>
    <w:rsid w:val="003D5700"/>
    <w:rsid w:val="003D6D32"/>
    <w:rsid w:val="003E0147"/>
    <w:rsid w:val="003E2FB9"/>
    <w:rsid w:val="003E326F"/>
    <w:rsid w:val="003E341B"/>
    <w:rsid w:val="003E3A66"/>
    <w:rsid w:val="003E4D00"/>
    <w:rsid w:val="003E74C4"/>
    <w:rsid w:val="003E7739"/>
    <w:rsid w:val="003E7A44"/>
    <w:rsid w:val="003E7ED6"/>
    <w:rsid w:val="003F5931"/>
    <w:rsid w:val="003F5B81"/>
    <w:rsid w:val="00403A84"/>
    <w:rsid w:val="004041E2"/>
    <w:rsid w:val="00405C2E"/>
    <w:rsid w:val="00406823"/>
    <w:rsid w:val="00407CBE"/>
    <w:rsid w:val="0041003F"/>
    <w:rsid w:val="004104A1"/>
    <w:rsid w:val="00410F55"/>
    <w:rsid w:val="004116CD"/>
    <w:rsid w:val="00412F88"/>
    <w:rsid w:val="00413550"/>
    <w:rsid w:val="00414448"/>
    <w:rsid w:val="00414655"/>
    <w:rsid w:val="004150DC"/>
    <w:rsid w:val="00415FFD"/>
    <w:rsid w:val="00417EB9"/>
    <w:rsid w:val="0042017A"/>
    <w:rsid w:val="0042244A"/>
    <w:rsid w:val="0042286B"/>
    <w:rsid w:val="00423A1D"/>
    <w:rsid w:val="00423A22"/>
    <w:rsid w:val="004240C3"/>
    <w:rsid w:val="004244E3"/>
    <w:rsid w:val="00424CA9"/>
    <w:rsid w:val="004276DF"/>
    <w:rsid w:val="00427F0C"/>
    <w:rsid w:val="004300FB"/>
    <w:rsid w:val="004303C4"/>
    <w:rsid w:val="0043059E"/>
    <w:rsid w:val="00431C0C"/>
    <w:rsid w:val="00431E9B"/>
    <w:rsid w:val="0043290B"/>
    <w:rsid w:val="00433361"/>
    <w:rsid w:val="00435266"/>
    <w:rsid w:val="0043630D"/>
    <w:rsid w:val="004379E3"/>
    <w:rsid w:val="00437F1D"/>
    <w:rsid w:val="0044015E"/>
    <w:rsid w:val="0044291A"/>
    <w:rsid w:val="00442976"/>
    <w:rsid w:val="00445917"/>
    <w:rsid w:val="00445E35"/>
    <w:rsid w:val="00446133"/>
    <w:rsid w:val="0044621B"/>
    <w:rsid w:val="004471AF"/>
    <w:rsid w:val="004478C3"/>
    <w:rsid w:val="00447FD2"/>
    <w:rsid w:val="004521FE"/>
    <w:rsid w:val="00454166"/>
    <w:rsid w:val="00455C93"/>
    <w:rsid w:val="004619B0"/>
    <w:rsid w:val="00463B93"/>
    <w:rsid w:val="00463F42"/>
    <w:rsid w:val="00467661"/>
    <w:rsid w:val="00467B1A"/>
    <w:rsid w:val="00467F77"/>
    <w:rsid w:val="004711DF"/>
    <w:rsid w:val="00472DBE"/>
    <w:rsid w:val="004742FF"/>
    <w:rsid w:val="00474A19"/>
    <w:rsid w:val="004766A9"/>
    <w:rsid w:val="00476FE6"/>
    <w:rsid w:val="00477830"/>
    <w:rsid w:val="0048015B"/>
    <w:rsid w:val="0048151A"/>
    <w:rsid w:val="00481BAB"/>
    <w:rsid w:val="00483455"/>
    <w:rsid w:val="004861B5"/>
    <w:rsid w:val="00487764"/>
    <w:rsid w:val="004905E0"/>
    <w:rsid w:val="004908E5"/>
    <w:rsid w:val="004910F9"/>
    <w:rsid w:val="004918E9"/>
    <w:rsid w:val="004943FD"/>
    <w:rsid w:val="00495596"/>
    <w:rsid w:val="00495969"/>
    <w:rsid w:val="004965FD"/>
    <w:rsid w:val="00496CD2"/>
    <w:rsid w:val="00496F97"/>
    <w:rsid w:val="0049709D"/>
    <w:rsid w:val="00497C7C"/>
    <w:rsid w:val="004A0876"/>
    <w:rsid w:val="004A209D"/>
    <w:rsid w:val="004A2B15"/>
    <w:rsid w:val="004A3C0D"/>
    <w:rsid w:val="004A535F"/>
    <w:rsid w:val="004A5EDB"/>
    <w:rsid w:val="004A5FDD"/>
    <w:rsid w:val="004B16C5"/>
    <w:rsid w:val="004B211F"/>
    <w:rsid w:val="004B3222"/>
    <w:rsid w:val="004B33C2"/>
    <w:rsid w:val="004B6C48"/>
    <w:rsid w:val="004C230A"/>
    <w:rsid w:val="004C2580"/>
    <w:rsid w:val="004C2976"/>
    <w:rsid w:val="004C4040"/>
    <w:rsid w:val="004C446A"/>
    <w:rsid w:val="004C4E59"/>
    <w:rsid w:val="004C6809"/>
    <w:rsid w:val="004C7C00"/>
    <w:rsid w:val="004D35B2"/>
    <w:rsid w:val="004D35C0"/>
    <w:rsid w:val="004D4262"/>
    <w:rsid w:val="004D4DAB"/>
    <w:rsid w:val="004D5C4B"/>
    <w:rsid w:val="004D716A"/>
    <w:rsid w:val="004E0414"/>
    <w:rsid w:val="004E063A"/>
    <w:rsid w:val="004E1307"/>
    <w:rsid w:val="004E23D2"/>
    <w:rsid w:val="004E2E9D"/>
    <w:rsid w:val="004E5F94"/>
    <w:rsid w:val="004E7BEC"/>
    <w:rsid w:val="004F2246"/>
    <w:rsid w:val="004F27A7"/>
    <w:rsid w:val="004F4E03"/>
    <w:rsid w:val="005028C5"/>
    <w:rsid w:val="00503A2F"/>
    <w:rsid w:val="00503ED8"/>
    <w:rsid w:val="00505D3D"/>
    <w:rsid w:val="00506AF6"/>
    <w:rsid w:val="00507237"/>
    <w:rsid w:val="00510914"/>
    <w:rsid w:val="005110BE"/>
    <w:rsid w:val="00511BBD"/>
    <w:rsid w:val="00512D23"/>
    <w:rsid w:val="00513B01"/>
    <w:rsid w:val="00514E06"/>
    <w:rsid w:val="005150A8"/>
    <w:rsid w:val="00516B8D"/>
    <w:rsid w:val="00523445"/>
    <w:rsid w:val="0052509B"/>
    <w:rsid w:val="0052573B"/>
    <w:rsid w:val="0052659C"/>
    <w:rsid w:val="0052662D"/>
    <w:rsid w:val="00526E12"/>
    <w:rsid w:val="005271A9"/>
    <w:rsid w:val="00530261"/>
    <w:rsid w:val="005303C8"/>
    <w:rsid w:val="00530735"/>
    <w:rsid w:val="00530E05"/>
    <w:rsid w:val="00531686"/>
    <w:rsid w:val="005325E3"/>
    <w:rsid w:val="005330FC"/>
    <w:rsid w:val="00535F05"/>
    <w:rsid w:val="00536BAE"/>
    <w:rsid w:val="00537FBC"/>
    <w:rsid w:val="00540263"/>
    <w:rsid w:val="0054078E"/>
    <w:rsid w:val="00540927"/>
    <w:rsid w:val="00540BC5"/>
    <w:rsid w:val="00541817"/>
    <w:rsid w:val="00541EE8"/>
    <w:rsid w:val="00543FE4"/>
    <w:rsid w:val="00545B00"/>
    <w:rsid w:val="00550350"/>
    <w:rsid w:val="00552943"/>
    <w:rsid w:val="0055317A"/>
    <w:rsid w:val="00553AA0"/>
    <w:rsid w:val="00555D4E"/>
    <w:rsid w:val="005576C9"/>
    <w:rsid w:val="00564D33"/>
    <w:rsid w:val="005658B2"/>
    <w:rsid w:val="005659EC"/>
    <w:rsid w:val="00565E4A"/>
    <w:rsid w:val="00567A72"/>
    <w:rsid w:val="00571779"/>
    <w:rsid w:val="00574424"/>
    <w:rsid w:val="005748D9"/>
    <w:rsid w:val="005752CD"/>
    <w:rsid w:val="00576A1A"/>
    <w:rsid w:val="0058074D"/>
    <w:rsid w:val="00583036"/>
    <w:rsid w:val="0058354C"/>
    <w:rsid w:val="00583852"/>
    <w:rsid w:val="00583858"/>
    <w:rsid w:val="00584811"/>
    <w:rsid w:val="00584960"/>
    <w:rsid w:val="00585784"/>
    <w:rsid w:val="00585D4A"/>
    <w:rsid w:val="005870F5"/>
    <w:rsid w:val="00587C9F"/>
    <w:rsid w:val="00587D99"/>
    <w:rsid w:val="00590AAC"/>
    <w:rsid w:val="00591145"/>
    <w:rsid w:val="00593AA6"/>
    <w:rsid w:val="00594161"/>
    <w:rsid w:val="005941A2"/>
    <w:rsid w:val="00594749"/>
    <w:rsid w:val="005948A6"/>
    <w:rsid w:val="005A11F6"/>
    <w:rsid w:val="005A2C86"/>
    <w:rsid w:val="005A2EF6"/>
    <w:rsid w:val="005A2FB8"/>
    <w:rsid w:val="005A31E3"/>
    <w:rsid w:val="005A3CF4"/>
    <w:rsid w:val="005A5C47"/>
    <w:rsid w:val="005A65D5"/>
    <w:rsid w:val="005A71B3"/>
    <w:rsid w:val="005B0429"/>
    <w:rsid w:val="005B13F5"/>
    <w:rsid w:val="005B1F95"/>
    <w:rsid w:val="005B2679"/>
    <w:rsid w:val="005B4067"/>
    <w:rsid w:val="005B5DF3"/>
    <w:rsid w:val="005B7566"/>
    <w:rsid w:val="005B7698"/>
    <w:rsid w:val="005C0301"/>
    <w:rsid w:val="005C03F9"/>
    <w:rsid w:val="005C05EA"/>
    <w:rsid w:val="005C3F41"/>
    <w:rsid w:val="005D09C1"/>
    <w:rsid w:val="005D1D92"/>
    <w:rsid w:val="005D2D09"/>
    <w:rsid w:val="005D2DA5"/>
    <w:rsid w:val="005D2F89"/>
    <w:rsid w:val="005D4460"/>
    <w:rsid w:val="005D6CDB"/>
    <w:rsid w:val="005D6E90"/>
    <w:rsid w:val="005D7837"/>
    <w:rsid w:val="005E0156"/>
    <w:rsid w:val="005E026C"/>
    <w:rsid w:val="005E107F"/>
    <w:rsid w:val="005E129F"/>
    <w:rsid w:val="005E1765"/>
    <w:rsid w:val="005E2FBF"/>
    <w:rsid w:val="005E3DB9"/>
    <w:rsid w:val="005E52ED"/>
    <w:rsid w:val="005F1223"/>
    <w:rsid w:val="005F25C2"/>
    <w:rsid w:val="005F37B5"/>
    <w:rsid w:val="005F4D2C"/>
    <w:rsid w:val="005F4F52"/>
    <w:rsid w:val="005F61C8"/>
    <w:rsid w:val="005F63E1"/>
    <w:rsid w:val="005F7C1A"/>
    <w:rsid w:val="00600219"/>
    <w:rsid w:val="0060036A"/>
    <w:rsid w:val="006006DF"/>
    <w:rsid w:val="00604E15"/>
    <w:rsid w:val="00604F2A"/>
    <w:rsid w:val="00605CC2"/>
    <w:rsid w:val="006061EC"/>
    <w:rsid w:val="00607AB1"/>
    <w:rsid w:val="00607DD3"/>
    <w:rsid w:val="00610E9E"/>
    <w:rsid w:val="0061200C"/>
    <w:rsid w:val="00613005"/>
    <w:rsid w:val="0061318C"/>
    <w:rsid w:val="006132EB"/>
    <w:rsid w:val="00614C6C"/>
    <w:rsid w:val="00615042"/>
    <w:rsid w:val="00615097"/>
    <w:rsid w:val="00616DE5"/>
    <w:rsid w:val="00620076"/>
    <w:rsid w:val="0062009A"/>
    <w:rsid w:val="006206E2"/>
    <w:rsid w:val="00627E0A"/>
    <w:rsid w:val="00631474"/>
    <w:rsid w:val="00631A18"/>
    <w:rsid w:val="00631EB9"/>
    <w:rsid w:val="006322C7"/>
    <w:rsid w:val="00634436"/>
    <w:rsid w:val="00634F6F"/>
    <w:rsid w:val="006361A8"/>
    <w:rsid w:val="00637358"/>
    <w:rsid w:val="00640EFE"/>
    <w:rsid w:val="006422E4"/>
    <w:rsid w:val="00642780"/>
    <w:rsid w:val="006461BE"/>
    <w:rsid w:val="0064648D"/>
    <w:rsid w:val="006470BC"/>
    <w:rsid w:val="00651896"/>
    <w:rsid w:val="0065241D"/>
    <w:rsid w:val="006524F4"/>
    <w:rsid w:val="00652AE0"/>
    <w:rsid w:val="006534F1"/>
    <w:rsid w:val="0065488B"/>
    <w:rsid w:val="00655F27"/>
    <w:rsid w:val="0065612E"/>
    <w:rsid w:val="0065646F"/>
    <w:rsid w:val="00656595"/>
    <w:rsid w:val="00660556"/>
    <w:rsid w:val="006626AA"/>
    <w:rsid w:val="00663319"/>
    <w:rsid w:val="00664E18"/>
    <w:rsid w:val="00664F57"/>
    <w:rsid w:val="006653DF"/>
    <w:rsid w:val="0066578C"/>
    <w:rsid w:val="00667E99"/>
    <w:rsid w:val="006705DD"/>
    <w:rsid w:val="00670EA1"/>
    <w:rsid w:val="00672326"/>
    <w:rsid w:val="00674074"/>
    <w:rsid w:val="006751AA"/>
    <w:rsid w:val="00675D29"/>
    <w:rsid w:val="00675F44"/>
    <w:rsid w:val="00677CC2"/>
    <w:rsid w:val="006812BD"/>
    <w:rsid w:val="00683EBE"/>
    <w:rsid w:val="00684989"/>
    <w:rsid w:val="00684A66"/>
    <w:rsid w:val="00684D4A"/>
    <w:rsid w:val="00686DBB"/>
    <w:rsid w:val="0068744B"/>
    <w:rsid w:val="00687ED1"/>
    <w:rsid w:val="006905DE"/>
    <w:rsid w:val="006914D9"/>
    <w:rsid w:val="00691EEA"/>
    <w:rsid w:val="0069207B"/>
    <w:rsid w:val="00693CE9"/>
    <w:rsid w:val="0069423B"/>
    <w:rsid w:val="00694F36"/>
    <w:rsid w:val="006956F0"/>
    <w:rsid w:val="006968E7"/>
    <w:rsid w:val="006A154F"/>
    <w:rsid w:val="006A1824"/>
    <w:rsid w:val="006A2694"/>
    <w:rsid w:val="006A2F20"/>
    <w:rsid w:val="006A36A3"/>
    <w:rsid w:val="006A437B"/>
    <w:rsid w:val="006A4693"/>
    <w:rsid w:val="006A6C4E"/>
    <w:rsid w:val="006A7550"/>
    <w:rsid w:val="006B14F3"/>
    <w:rsid w:val="006B2668"/>
    <w:rsid w:val="006B3975"/>
    <w:rsid w:val="006B3AEA"/>
    <w:rsid w:val="006B3B7A"/>
    <w:rsid w:val="006B4651"/>
    <w:rsid w:val="006B5789"/>
    <w:rsid w:val="006B7A3C"/>
    <w:rsid w:val="006B7AD5"/>
    <w:rsid w:val="006C09B3"/>
    <w:rsid w:val="006C2579"/>
    <w:rsid w:val="006C2B12"/>
    <w:rsid w:val="006C30C5"/>
    <w:rsid w:val="006C3B2D"/>
    <w:rsid w:val="006C4A22"/>
    <w:rsid w:val="006C7F8C"/>
    <w:rsid w:val="006D1FF9"/>
    <w:rsid w:val="006D2228"/>
    <w:rsid w:val="006D376A"/>
    <w:rsid w:val="006D43B1"/>
    <w:rsid w:val="006D53BB"/>
    <w:rsid w:val="006D56B3"/>
    <w:rsid w:val="006D6352"/>
    <w:rsid w:val="006D6D94"/>
    <w:rsid w:val="006E0ACE"/>
    <w:rsid w:val="006E1332"/>
    <w:rsid w:val="006E1B8B"/>
    <w:rsid w:val="006E1F54"/>
    <w:rsid w:val="006E2E1C"/>
    <w:rsid w:val="006E36F4"/>
    <w:rsid w:val="006E46C9"/>
    <w:rsid w:val="006E6246"/>
    <w:rsid w:val="006E6301"/>
    <w:rsid w:val="006E69C2"/>
    <w:rsid w:val="006E6DCC"/>
    <w:rsid w:val="006E6DD5"/>
    <w:rsid w:val="006E7B7E"/>
    <w:rsid w:val="006F066A"/>
    <w:rsid w:val="006F16CF"/>
    <w:rsid w:val="006F22F3"/>
    <w:rsid w:val="006F318F"/>
    <w:rsid w:val="006F5C7F"/>
    <w:rsid w:val="006F608B"/>
    <w:rsid w:val="0070017E"/>
    <w:rsid w:val="00700B2C"/>
    <w:rsid w:val="00701C18"/>
    <w:rsid w:val="0070230E"/>
    <w:rsid w:val="00702C2D"/>
    <w:rsid w:val="007050A2"/>
    <w:rsid w:val="007055EE"/>
    <w:rsid w:val="00706194"/>
    <w:rsid w:val="00706494"/>
    <w:rsid w:val="007065CF"/>
    <w:rsid w:val="00706F31"/>
    <w:rsid w:val="0070774A"/>
    <w:rsid w:val="00713084"/>
    <w:rsid w:val="00713978"/>
    <w:rsid w:val="00714A3B"/>
    <w:rsid w:val="00714F20"/>
    <w:rsid w:val="0071590F"/>
    <w:rsid w:val="00715914"/>
    <w:rsid w:val="00715EBE"/>
    <w:rsid w:val="007170A0"/>
    <w:rsid w:val="007174C9"/>
    <w:rsid w:val="00717FAB"/>
    <w:rsid w:val="0072147A"/>
    <w:rsid w:val="00721F36"/>
    <w:rsid w:val="0072218D"/>
    <w:rsid w:val="00722AC7"/>
    <w:rsid w:val="00722B69"/>
    <w:rsid w:val="00723791"/>
    <w:rsid w:val="00724461"/>
    <w:rsid w:val="00724593"/>
    <w:rsid w:val="0072580A"/>
    <w:rsid w:val="00725B51"/>
    <w:rsid w:val="00731E00"/>
    <w:rsid w:val="00733014"/>
    <w:rsid w:val="00733A02"/>
    <w:rsid w:val="007343B4"/>
    <w:rsid w:val="00734AF8"/>
    <w:rsid w:val="00736041"/>
    <w:rsid w:val="0073702D"/>
    <w:rsid w:val="007421E8"/>
    <w:rsid w:val="0074280F"/>
    <w:rsid w:val="0074322F"/>
    <w:rsid w:val="00743D47"/>
    <w:rsid w:val="007440B7"/>
    <w:rsid w:val="00745CB3"/>
    <w:rsid w:val="007500C8"/>
    <w:rsid w:val="00750C3A"/>
    <w:rsid w:val="00750D5E"/>
    <w:rsid w:val="00753A3B"/>
    <w:rsid w:val="00756121"/>
    <w:rsid w:val="00756272"/>
    <w:rsid w:val="00756491"/>
    <w:rsid w:val="007565E1"/>
    <w:rsid w:val="00757F3B"/>
    <w:rsid w:val="00761E8E"/>
    <w:rsid w:val="0076253D"/>
    <w:rsid w:val="00762B4D"/>
    <w:rsid w:val="00762D38"/>
    <w:rsid w:val="00762FBD"/>
    <w:rsid w:val="007644DE"/>
    <w:rsid w:val="0076472D"/>
    <w:rsid w:val="00764B70"/>
    <w:rsid w:val="00765568"/>
    <w:rsid w:val="00766BA8"/>
    <w:rsid w:val="00767660"/>
    <w:rsid w:val="0077137F"/>
    <w:rsid w:val="007715C9"/>
    <w:rsid w:val="00771613"/>
    <w:rsid w:val="00773EA4"/>
    <w:rsid w:val="007742A1"/>
    <w:rsid w:val="007749C1"/>
    <w:rsid w:val="00774EDD"/>
    <w:rsid w:val="007757EC"/>
    <w:rsid w:val="00776780"/>
    <w:rsid w:val="007800FC"/>
    <w:rsid w:val="007838C7"/>
    <w:rsid w:val="00783E89"/>
    <w:rsid w:val="00784AEA"/>
    <w:rsid w:val="007867D3"/>
    <w:rsid w:val="0078767E"/>
    <w:rsid w:val="00787D25"/>
    <w:rsid w:val="00791F4D"/>
    <w:rsid w:val="00793915"/>
    <w:rsid w:val="00793FC1"/>
    <w:rsid w:val="007943C8"/>
    <w:rsid w:val="007946C5"/>
    <w:rsid w:val="00794DE5"/>
    <w:rsid w:val="00796A8E"/>
    <w:rsid w:val="007A1A7F"/>
    <w:rsid w:val="007A1DF3"/>
    <w:rsid w:val="007A28BC"/>
    <w:rsid w:val="007A30AE"/>
    <w:rsid w:val="007A325A"/>
    <w:rsid w:val="007A3A4F"/>
    <w:rsid w:val="007A4DF9"/>
    <w:rsid w:val="007A5071"/>
    <w:rsid w:val="007A6586"/>
    <w:rsid w:val="007B2742"/>
    <w:rsid w:val="007B2C53"/>
    <w:rsid w:val="007B5BBB"/>
    <w:rsid w:val="007B6118"/>
    <w:rsid w:val="007B6BDD"/>
    <w:rsid w:val="007C2253"/>
    <w:rsid w:val="007C2B58"/>
    <w:rsid w:val="007C3B6C"/>
    <w:rsid w:val="007C3CF7"/>
    <w:rsid w:val="007C3D07"/>
    <w:rsid w:val="007C5E5A"/>
    <w:rsid w:val="007D1D78"/>
    <w:rsid w:val="007D3780"/>
    <w:rsid w:val="007D3D97"/>
    <w:rsid w:val="007D422A"/>
    <w:rsid w:val="007D43E7"/>
    <w:rsid w:val="007D5E39"/>
    <w:rsid w:val="007D7911"/>
    <w:rsid w:val="007D7E49"/>
    <w:rsid w:val="007E0FDE"/>
    <w:rsid w:val="007E163D"/>
    <w:rsid w:val="007E215D"/>
    <w:rsid w:val="007E2A6A"/>
    <w:rsid w:val="007E31E5"/>
    <w:rsid w:val="007E667A"/>
    <w:rsid w:val="007E6E0D"/>
    <w:rsid w:val="007E6E44"/>
    <w:rsid w:val="007E6FD8"/>
    <w:rsid w:val="007F0BCB"/>
    <w:rsid w:val="007F209E"/>
    <w:rsid w:val="007F28C9"/>
    <w:rsid w:val="007F51B2"/>
    <w:rsid w:val="007F5DA5"/>
    <w:rsid w:val="007F6B17"/>
    <w:rsid w:val="007F6D35"/>
    <w:rsid w:val="007F6E67"/>
    <w:rsid w:val="007F6EFB"/>
    <w:rsid w:val="007F7797"/>
    <w:rsid w:val="007F7CCE"/>
    <w:rsid w:val="00801838"/>
    <w:rsid w:val="00802413"/>
    <w:rsid w:val="00802496"/>
    <w:rsid w:val="00802AA1"/>
    <w:rsid w:val="008040DD"/>
    <w:rsid w:val="008057C1"/>
    <w:rsid w:val="00805F4B"/>
    <w:rsid w:val="00807F0B"/>
    <w:rsid w:val="0081009A"/>
    <w:rsid w:val="008117E9"/>
    <w:rsid w:val="008133F3"/>
    <w:rsid w:val="008146DD"/>
    <w:rsid w:val="00815D49"/>
    <w:rsid w:val="00816364"/>
    <w:rsid w:val="00817288"/>
    <w:rsid w:val="00824498"/>
    <w:rsid w:val="008249E5"/>
    <w:rsid w:val="00824C43"/>
    <w:rsid w:val="0082607F"/>
    <w:rsid w:val="00826A1C"/>
    <w:rsid w:val="00826ABD"/>
    <w:rsid w:val="00826BD1"/>
    <w:rsid w:val="00830330"/>
    <w:rsid w:val="0083138C"/>
    <w:rsid w:val="008325A3"/>
    <w:rsid w:val="008369C3"/>
    <w:rsid w:val="00836D7C"/>
    <w:rsid w:val="00837503"/>
    <w:rsid w:val="008403B9"/>
    <w:rsid w:val="00840505"/>
    <w:rsid w:val="00842A53"/>
    <w:rsid w:val="0084392B"/>
    <w:rsid w:val="0084411B"/>
    <w:rsid w:val="00846535"/>
    <w:rsid w:val="00847103"/>
    <w:rsid w:val="008477BB"/>
    <w:rsid w:val="0085103B"/>
    <w:rsid w:val="00851AD6"/>
    <w:rsid w:val="00853F1D"/>
    <w:rsid w:val="00854D0B"/>
    <w:rsid w:val="00854F1D"/>
    <w:rsid w:val="008559F8"/>
    <w:rsid w:val="008567B7"/>
    <w:rsid w:val="00856A31"/>
    <w:rsid w:val="0086003D"/>
    <w:rsid w:val="00860B4E"/>
    <w:rsid w:val="00861047"/>
    <w:rsid w:val="0086187A"/>
    <w:rsid w:val="0086187E"/>
    <w:rsid w:val="008650A6"/>
    <w:rsid w:val="00865143"/>
    <w:rsid w:val="00865D7D"/>
    <w:rsid w:val="00867ADE"/>
    <w:rsid w:val="00867B37"/>
    <w:rsid w:val="0087005A"/>
    <w:rsid w:val="0087008E"/>
    <w:rsid w:val="00870B56"/>
    <w:rsid w:val="00871034"/>
    <w:rsid w:val="0087156E"/>
    <w:rsid w:val="00873093"/>
    <w:rsid w:val="008754D0"/>
    <w:rsid w:val="008759E9"/>
    <w:rsid w:val="00875CA3"/>
    <w:rsid w:val="00875D13"/>
    <w:rsid w:val="00875F82"/>
    <w:rsid w:val="008768A2"/>
    <w:rsid w:val="008801C0"/>
    <w:rsid w:val="00883BAD"/>
    <w:rsid w:val="00883FDE"/>
    <w:rsid w:val="00884B8E"/>
    <w:rsid w:val="00884F89"/>
    <w:rsid w:val="00885210"/>
    <w:rsid w:val="008855C9"/>
    <w:rsid w:val="008858B8"/>
    <w:rsid w:val="00886456"/>
    <w:rsid w:val="008869CC"/>
    <w:rsid w:val="0088717D"/>
    <w:rsid w:val="008901BE"/>
    <w:rsid w:val="00892490"/>
    <w:rsid w:val="00892D08"/>
    <w:rsid w:val="00894B62"/>
    <w:rsid w:val="00895448"/>
    <w:rsid w:val="00895A36"/>
    <w:rsid w:val="00895E81"/>
    <w:rsid w:val="00896176"/>
    <w:rsid w:val="00897BAA"/>
    <w:rsid w:val="008A0BEA"/>
    <w:rsid w:val="008A27B9"/>
    <w:rsid w:val="008A29C8"/>
    <w:rsid w:val="008A3D16"/>
    <w:rsid w:val="008A46A0"/>
    <w:rsid w:val="008A46E1"/>
    <w:rsid w:val="008A4F43"/>
    <w:rsid w:val="008A5654"/>
    <w:rsid w:val="008A7925"/>
    <w:rsid w:val="008A7BA3"/>
    <w:rsid w:val="008B172D"/>
    <w:rsid w:val="008B1CBC"/>
    <w:rsid w:val="008B2706"/>
    <w:rsid w:val="008B3F4B"/>
    <w:rsid w:val="008B4A66"/>
    <w:rsid w:val="008B756C"/>
    <w:rsid w:val="008B7C82"/>
    <w:rsid w:val="008C01B5"/>
    <w:rsid w:val="008C2675"/>
    <w:rsid w:val="008C2EAC"/>
    <w:rsid w:val="008C3A61"/>
    <w:rsid w:val="008C4FB1"/>
    <w:rsid w:val="008D0EE0"/>
    <w:rsid w:val="008D1126"/>
    <w:rsid w:val="008D11D2"/>
    <w:rsid w:val="008D1226"/>
    <w:rsid w:val="008D2053"/>
    <w:rsid w:val="008D2AAF"/>
    <w:rsid w:val="008D3965"/>
    <w:rsid w:val="008D5099"/>
    <w:rsid w:val="008D57D4"/>
    <w:rsid w:val="008D61D6"/>
    <w:rsid w:val="008E0027"/>
    <w:rsid w:val="008E0703"/>
    <w:rsid w:val="008E07FB"/>
    <w:rsid w:val="008E1C6E"/>
    <w:rsid w:val="008E493A"/>
    <w:rsid w:val="008E5AD7"/>
    <w:rsid w:val="008E6067"/>
    <w:rsid w:val="008E673A"/>
    <w:rsid w:val="008E6F1D"/>
    <w:rsid w:val="008E70DD"/>
    <w:rsid w:val="008E7B2B"/>
    <w:rsid w:val="008F024B"/>
    <w:rsid w:val="008F0C40"/>
    <w:rsid w:val="008F0CFF"/>
    <w:rsid w:val="008F2F55"/>
    <w:rsid w:val="008F4531"/>
    <w:rsid w:val="008F54E7"/>
    <w:rsid w:val="008F79F9"/>
    <w:rsid w:val="0090026D"/>
    <w:rsid w:val="00903422"/>
    <w:rsid w:val="00904340"/>
    <w:rsid w:val="00905DEF"/>
    <w:rsid w:val="00906DA2"/>
    <w:rsid w:val="009070B2"/>
    <w:rsid w:val="00910093"/>
    <w:rsid w:val="00910965"/>
    <w:rsid w:val="0091439E"/>
    <w:rsid w:val="00915666"/>
    <w:rsid w:val="00915AF8"/>
    <w:rsid w:val="00915E62"/>
    <w:rsid w:val="00916DA0"/>
    <w:rsid w:val="00916DF1"/>
    <w:rsid w:val="00920263"/>
    <w:rsid w:val="00921502"/>
    <w:rsid w:val="00921F81"/>
    <w:rsid w:val="00924260"/>
    <w:rsid w:val="009254C3"/>
    <w:rsid w:val="00925F7B"/>
    <w:rsid w:val="00926511"/>
    <w:rsid w:val="009303DF"/>
    <w:rsid w:val="00932377"/>
    <w:rsid w:val="00932C4A"/>
    <w:rsid w:val="009341B8"/>
    <w:rsid w:val="00935A0D"/>
    <w:rsid w:val="00935B94"/>
    <w:rsid w:val="00941236"/>
    <w:rsid w:val="009427B2"/>
    <w:rsid w:val="00943FD5"/>
    <w:rsid w:val="00945BC0"/>
    <w:rsid w:val="00946343"/>
    <w:rsid w:val="0094690E"/>
    <w:rsid w:val="00946ACE"/>
    <w:rsid w:val="009472B4"/>
    <w:rsid w:val="00947A29"/>
    <w:rsid w:val="00947D5A"/>
    <w:rsid w:val="00950744"/>
    <w:rsid w:val="00952655"/>
    <w:rsid w:val="009532A5"/>
    <w:rsid w:val="009545BD"/>
    <w:rsid w:val="00955A96"/>
    <w:rsid w:val="00957170"/>
    <w:rsid w:val="009618FF"/>
    <w:rsid w:val="00962364"/>
    <w:rsid w:val="00964043"/>
    <w:rsid w:val="00964CF0"/>
    <w:rsid w:val="009671B3"/>
    <w:rsid w:val="0097203F"/>
    <w:rsid w:val="00973FC9"/>
    <w:rsid w:val="009756FF"/>
    <w:rsid w:val="00977806"/>
    <w:rsid w:val="0097797A"/>
    <w:rsid w:val="0098075C"/>
    <w:rsid w:val="009813BA"/>
    <w:rsid w:val="009818B4"/>
    <w:rsid w:val="009820AB"/>
    <w:rsid w:val="00982242"/>
    <w:rsid w:val="009824A8"/>
    <w:rsid w:val="00984852"/>
    <w:rsid w:val="009859B6"/>
    <w:rsid w:val="00985E6B"/>
    <w:rsid w:val="00986510"/>
    <w:rsid w:val="009868E9"/>
    <w:rsid w:val="009871E8"/>
    <w:rsid w:val="009900A3"/>
    <w:rsid w:val="00992B44"/>
    <w:rsid w:val="009932ED"/>
    <w:rsid w:val="0099382C"/>
    <w:rsid w:val="00994930"/>
    <w:rsid w:val="00996CA2"/>
    <w:rsid w:val="00997131"/>
    <w:rsid w:val="009975AC"/>
    <w:rsid w:val="009A3CA4"/>
    <w:rsid w:val="009A3E41"/>
    <w:rsid w:val="009A4016"/>
    <w:rsid w:val="009A5792"/>
    <w:rsid w:val="009B2F09"/>
    <w:rsid w:val="009B3FED"/>
    <w:rsid w:val="009B4447"/>
    <w:rsid w:val="009B5421"/>
    <w:rsid w:val="009C0168"/>
    <w:rsid w:val="009C0229"/>
    <w:rsid w:val="009C1282"/>
    <w:rsid w:val="009C1607"/>
    <w:rsid w:val="009C17C1"/>
    <w:rsid w:val="009C1B3E"/>
    <w:rsid w:val="009C24B2"/>
    <w:rsid w:val="009C3413"/>
    <w:rsid w:val="009C4025"/>
    <w:rsid w:val="009C4BD5"/>
    <w:rsid w:val="009C4D67"/>
    <w:rsid w:val="009C4F13"/>
    <w:rsid w:val="009C5FFF"/>
    <w:rsid w:val="009C6409"/>
    <w:rsid w:val="009C7986"/>
    <w:rsid w:val="009C7B51"/>
    <w:rsid w:val="009D28D9"/>
    <w:rsid w:val="009D3C45"/>
    <w:rsid w:val="009E04DC"/>
    <w:rsid w:val="009E0AFF"/>
    <w:rsid w:val="009E13CA"/>
    <w:rsid w:val="009E1C45"/>
    <w:rsid w:val="009E3268"/>
    <w:rsid w:val="009E3BF1"/>
    <w:rsid w:val="009E3E60"/>
    <w:rsid w:val="009E406A"/>
    <w:rsid w:val="009E447B"/>
    <w:rsid w:val="009E4564"/>
    <w:rsid w:val="009E482C"/>
    <w:rsid w:val="009E4853"/>
    <w:rsid w:val="009E5792"/>
    <w:rsid w:val="009E6EB5"/>
    <w:rsid w:val="009E6F28"/>
    <w:rsid w:val="009E7141"/>
    <w:rsid w:val="009E71CC"/>
    <w:rsid w:val="009E7A1E"/>
    <w:rsid w:val="009F0317"/>
    <w:rsid w:val="009F19EF"/>
    <w:rsid w:val="009F5FCC"/>
    <w:rsid w:val="009F697F"/>
    <w:rsid w:val="00A0101E"/>
    <w:rsid w:val="00A01A43"/>
    <w:rsid w:val="00A01C18"/>
    <w:rsid w:val="00A0274A"/>
    <w:rsid w:val="00A03281"/>
    <w:rsid w:val="00A0351B"/>
    <w:rsid w:val="00A037F8"/>
    <w:rsid w:val="00A03E7E"/>
    <w:rsid w:val="00A0441E"/>
    <w:rsid w:val="00A05872"/>
    <w:rsid w:val="00A05CE1"/>
    <w:rsid w:val="00A06B57"/>
    <w:rsid w:val="00A12128"/>
    <w:rsid w:val="00A12626"/>
    <w:rsid w:val="00A1274A"/>
    <w:rsid w:val="00A13484"/>
    <w:rsid w:val="00A137E7"/>
    <w:rsid w:val="00A13C94"/>
    <w:rsid w:val="00A13E76"/>
    <w:rsid w:val="00A1429B"/>
    <w:rsid w:val="00A143A9"/>
    <w:rsid w:val="00A17C64"/>
    <w:rsid w:val="00A205D3"/>
    <w:rsid w:val="00A22B93"/>
    <w:rsid w:val="00A22C98"/>
    <w:rsid w:val="00A22DD2"/>
    <w:rsid w:val="00A231E2"/>
    <w:rsid w:val="00A2367E"/>
    <w:rsid w:val="00A25CFA"/>
    <w:rsid w:val="00A26658"/>
    <w:rsid w:val="00A32058"/>
    <w:rsid w:val="00A332FF"/>
    <w:rsid w:val="00A33D5D"/>
    <w:rsid w:val="00A33FF0"/>
    <w:rsid w:val="00A34085"/>
    <w:rsid w:val="00A369E3"/>
    <w:rsid w:val="00A36FBE"/>
    <w:rsid w:val="00A4102B"/>
    <w:rsid w:val="00A4257A"/>
    <w:rsid w:val="00A44F2C"/>
    <w:rsid w:val="00A45B58"/>
    <w:rsid w:val="00A46DE2"/>
    <w:rsid w:val="00A470BE"/>
    <w:rsid w:val="00A517E8"/>
    <w:rsid w:val="00A54139"/>
    <w:rsid w:val="00A567A1"/>
    <w:rsid w:val="00A56972"/>
    <w:rsid w:val="00A57435"/>
    <w:rsid w:val="00A5754E"/>
    <w:rsid w:val="00A57600"/>
    <w:rsid w:val="00A61926"/>
    <w:rsid w:val="00A620F0"/>
    <w:rsid w:val="00A63208"/>
    <w:rsid w:val="00A63320"/>
    <w:rsid w:val="00A64608"/>
    <w:rsid w:val="00A647C0"/>
    <w:rsid w:val="00A64912"/>
    <w:rsid w:val="00A64FC5"/>
    <w:rsid w:val="00A65261"/>
    <w:rsid w:val="00A65A2C"/>
    <w:rsid w:val="00A6613C"/>
    <w:rsid w:val="00A70A74"/>
    <w:rsid w:val="00A7217E"/>
    <w:rsid w:val="00A72188"/>
    <w:rsid w:val="00A7407C"/>
    <w:rsid w:val="00A74B99"/>
    <w:rsid w:val="00A75036"/>
    <w:rsid w:val="00A75420"/>
    <w:rsid w:val="00A75F3A"/>
    <w:rsid w:val="00A75FE9"/>
    <w:rsid w:val="00A76138"/>
    <w:rsid w:val="00A7668C"/>
    <w:rsid w:val="00A76C45"/>
    <w:rsid w:val="00A76FAA"/>
    <w:rsid w:val="00A806A3"/>
    <w:rsid w:val="00A8132F"/>
    <w:rsid w:val="00A82021"/>
    <w:rsid w:val="00A82E1F"/>
    <w:rsid w:val="00A84BAC"/>
    <w:rsid w:val="00A875B7"/>
    <w:rsid w:val="00A87F72"/>
    <w:rsid w:val="00A9491A"/>
    <w:rsid w:val="00A9516B"/>
    <w:rsid w:val="00A95F49"/>
    <w:rsid w:val="00A96E1A"/>
    <w:rsid w:val="00A97094"/>
    <w:rsid w:val="00AA037F"/>
    <w:rsid w:val="00AA0C8A"/>
    <w:rsid w:val="00AA1E27"/>
    <w:rsid w:val="00AA3042"/>
    <w:rsid w:val="00AA5BCB"/>
    <w:rsid w:val="00AA6229"/>
    <w:rsid w:val="00AA76A0"/>
    <w:rsid w:val="00AA7E95"/>
    <w:rsid w:val="00AB0A73"/>
    <w:rsid w:val="00AB0EEF"/>
    <w:rsid w:val="00AB1314"/>
    <w:rsid w:val="00AB204D"/>
    <w:rsid w:val="00AB2F11"/>
    <w:rsid w:val="00AB490F"/>
    <w:rsid w:val="00AB4A13"/>
    <w:rsid w:val="00AB546F"/>
    <w:rsid w:val="00AB54D6"/>
    <w:rsid w:val="00AB708B"/>
    <w:rsid w:val="00AB71DF"/>
    <w:rsid w:val="00AB7222"/>
    <w:rsid w:val="00AC197B"/>
    <w:rsid w:val="00AC2918"/>
    <w:rsid w:val="00AC4CD8"/>
    <w:rsid w:val="00AC4D08"/>
    <w:rsid w:val="00AC4F84"/>
    <w:rsid w:val="00AC58E6"/>
    <w:rsid w:val="00AC72B7"/>
    <w:rsid w:val="00AD1A23"/>
    <w:rsid w:val="00AD1C99"/>
    <w:rsid w:val="00AD2424"/>
    <w:rsid w:val="00AD2AA4"/>
    <w:rsid w:val="00AD3B9F"/>
    <w:rsid w:val="00AD4B23"/>
    <w:rsid w:val="00AD53CC"/>
    <w:rsid w:val="00AD5641"/>
    <w:rsid w:val="00AD6556"/>
    <w:rsid w:val="00AD697C"/>
    <w:rsid w:val="00AE0636"/>
    <w:rsid w:val="00AE1A00"/>
    <w:rsid w:val="00AE210E"/>
    <w:rsid w:val="00AE36FA"/>
    <w:rsid w:val="00AE3B41"/>
    <w:rsid w:val="00AF032A"/>
    <w:rsid w:val="00AF06CF"/>
    <w:rsid w:val="00AF087A"/>
    <w:rsid w:val="00AF2964"/>
    <w:rsid w:val="00AF2A86"/>
    <w:rsid w:val="00AF6A72"/>
    <w:rsid w:val="00AF6BF1"/>
    <w:rsid w:val="00AF7ACC"/>
    <w:rsid w:val="00B0013C"/>
    <w:rsid w:val="00B00366"/>
    <w:rsid w:val="00B00AB6"/>
    <w:rsid w:val="00B024BE"/>
    <w:rsid w:val="00B029AF"/>
    <w:rsid w:val="00B04354"/>
    <w:rsid w:val="00B046B6"/>
    <w:rsid w:val="00B054E0"/>
    <w:rsid w:val="00B05FB1"/>
    <w:rsid w:val="00B07571"/>
    <w:rsid w:val="00B07793"/>
    <w:rsid w:val="00B07CDB"/>
    <w:rsid w:val="00B11141"/>
    <w:rsid w:val="00B12600"/>
    <w:rsid w:val="00B12A2F"/>
    <w:rsid w:val="00B12D1A"/>
    <w:rsid w:val="00B134B8"/>
    <w:rsid w:val="00B1482B"/>
    <w:rsid w:val="00B156E7"/>
    <w:rsid w:val="00B16A31"/>
    <w:rsid w:val="00B17483"/>
    <w:rsid w:val="00B177D8"/>
    <w:rsid w:val="00B17DFD"/>
    <w:rsid w:val="00B27831"/>
    <w:rsid w:val="00B308FE"/>
    <w:rsid w:val="00B317F5"/>
    <w:rsid w:val="00B320A2"/>
    <w:rsid w:val="00B320E9"/>
    <w:rsid w:val="00B33709"/>
    <w:rsid w:val="00B33B3C"/>
    <w:rsid w:val="00B3419F"/>
    <w:rsid w:val="00B3433E"/>
    <w:rsid w:val="00B35695"/>
    <w:rsid w:val="00B35990"/>
    <w:rsid w:val="00B36392"/>
    <w:rsid w:val="00B36DDA"/>
    <w:rsid w:val="00B37949"/>
    <w:rsid w:val="00B402AD"/>
    <w:rsid w:val="00B406FA"/>
    <w:rsid w:val="00B418CB"/>
    <w:rsid w:val="00B42AE4"/>
    <w:rsid w:val="00B44EE0"/>
    <w:rsid w:val="00B45DFD"/>
    <w:rsid w:val="00B46821"/>
    <w:rsid w:val="00B46B45"/>
    <w:rsid w:val="00B47444"/>
    <w:rsid w:val="00B47633"/>
    <w:rsid w:val="00B5001D"/>
    <w:rsid w:val="00B50693"/>
    <w:rsid w:val="00B50ADC"/>
    <w:rsid w:val="00B50F7D"/>
    <w:rsid w:val="00B51622"/>
    <w:rsid w:val="00B51CF8"/>
    <w:rsid w:val="00B5214D"/>
    <w:rsid w:val="00B52F58"/>
    <w:rsid w:val="00B5347B"/>
    <w:rsid w:val="00B5488A"/>
    <w:rsid w:val="00B55C0E"/>
    <w:rsid w:val="00B56470"/>
    <w:rsid w:val="00B566B1"/>
    <w:rsid w:val="00B566B2"/>
    <w:rsid w:val="00B57327"/>
    <w:rsid w:val="00B57A17"/>
    <w:rsid w:val="00B57D80"/>
    <w:rsid w:val="00B60083"/>
    <w:rsid w:val="00B63834"/>
    <w:rsid w:val="00B63EBA"/>
    <w:rsid w:val="00B6694C"/>
    <w:rsid w:val="00B673C7"/>
    <w:rsid w:val="00B72097"/>
    <w:rsid w:val="00B7271A"/>
    <w:rsid w:val="00B72D0F"/>
    <w:rsid w:val="00B73332"/>
    <w:rsid w:val="00B73D0B"/>
    <w:rsid w:val="00B75DD3"/>
    <w:rsid w:val="00B80199"/>
    <w:rsid w:val="00B82476"/>
    <w:rsid w:val="00B825DF"/>
    <w:rsid w:val="00B83204"/>
    <w:rsid w:val="00B83D59"/>
    <w:rsid w:val="00B84846"/>
    <w:rsid w:val="00B85536"/>
    <w:rsid w:val="00B856E7"/>
    <w:rsid w:val="00B86D50"/>
    <w:rsid w:val="00B86FD5"/>
    <w:rsid w:val="00B913A0"/>
    <w:rsid w:val="00B91E81"/>
    <w:rsid w:val="00B92460"/>
    <w:rsid w:val="00B92D88"/>
    <w:rsid w:val="00B93089"/>
    <w:rsid w:val="00B9359A"/>
    <w:rsid w:val="00B97F08"/>
    <w:rsid w:val="00BA0AD9"/>
    <w:rsid w:val="00BA0BCF"/>
    <w:rsid w:val="00BA0CD7"/>
    <w:rsid w:val="00BA220B"/>
    <w:rsid w:val="00BA2D11"/>
    <w:rsid w:val="00BA3A57"/>
    <w:rsid w:val="00BA5C80"/>
    <w:rsid w:val="00BB141A"/>
    <w:rsid w:val="00BB1533"/>
    <w:rsid w:val="00BB4E1A"/>
    <w:rsid w:val="00BB5A89"/>
    <w:rsid w:val="00BB6A48"/>
    <w:rsid w:val="00BB6C29"/>
    <w:rsid w:val="00BB73F5"/>
    <w:rsid w:val="00BB7E5E"/>
    <w:rsid w:val="00BC015E"/>
    <w:rsid w:val="00BC2687"/>
    <w:rsid w:val="00BC357B"/>
    <w:rsid w:val="00BC3F33"/>
    <w:rsid w:val="00BC4827"/>
    <w:rsid w:val="00BC6CA2"/>
    <w:rsid w:val="00BC72DC"/>
    <w:rsid w:val="00BC7533"/>
    <w:rsid w:val="00BC76AC"/>
    <w:rsid w:val="00BC7879"/>
    <w:rsid w:val="00BD0ECB"/>
    <w:rsid w:val="00BD1598"/>
    <w:rsid w:val="00BD2CA1"/>
    <w:rsid w:val="00BD5EEC"/>
    <w:rsid w:val="00BD666A"/>
    <w:rsid w:val="00BD7B23"/>
    <w:rsid w:val="00BD7D43"/>
    <w:rsid w:val="00BE06AA"/>
    <w:rsid w:val="00BE1E10"/>
    <w:rsid w:val="00BE2155"/>
    <w:rsid w:val="00BE3917"/>
    <w:rsid w:val="00BE3BB8"/>
    <w:rsid w:val="00BE3BE3"/>
    <w:rsid w:val="00BE3EF7"/>
    <w:rsid w:val="00BE4862"/>
    <w:rsid w:val="00BE5B9B"/>
    <w:rsid w:val="00BE6618"/>
    <w:rsid w:val="00BE719A"/>
    <w:rsid w:val="00BE720A"/>
    <w:rsid w:val="00BE79F4"/>
    <w:rsid w:val="00BF049F"/>
    <w:rsid w:val="00BF0D73"/>
    <w:rsid w:val="00BF1758"/>
    <w:rsid w:val="00BF1AA1"/>
    <w:rsid w:val="00BF1F17"/>
    <w:rsid w:val="00BF2465"/>
    <w:rsid w:val="00BF3A5E"/>
    <w:rsid w:val="00BF47CC"/>
    <w:rsid w:val="00BF5454"/>
    <w:rsid w:val="00C0040D"/>
    <w:rsid w:val="00C007F8"/>
    <w:rsid w:val="00C03DF9"/>
    <w:rsid w:val="00C04470"/>
    <w:rsid w:val="00C05C94"/>
    <w:rsid w:val="00C071CF"/>
    <w:rsid w:val="00C074A7"/>
    <w:rsid w:val="00C12237"/>
    <w:rsid w:val="00C137EF"/>
    <w:rsid w:val="00C14D3C"/>
    <w:rsid w:val="00C152FD"/>
    <w:rsid w:val="00C15C94"/>
    <w:rsid w:val="00C16619"/>
    <w:rsid w:val="00C1686F"/>
    <w:rsid w:val="00C16A15"/>
    <w:rsid w:val="00C2261D"/>
    <w:rsid w:val="00C23FD8"/>
    <w:rsid w:val="00C24F88"/>
    <w:rsid w:val="00C25606"/>
    <w:rsid w:val="00C25E7F"/>
    <w:rsid w:val="00C2606D"/>
    <w:rsid w:val="00C26657"/>
    <w:rsid w:val="00C2700E"/>
    <w:rsid w:val="00C2746F"/>
    <w:rsid w:val="00C2798B"/>
    <w:rsid w:val="00C304B0"/>
    <w:rsid w:val="00C32223"/>
    <w:rsid w:val="00C323D6"/>
    <w:rsid w:val="00C324A0"/>
    <w:rsid w:val="00C3349C"/>
    <w:rsid w:val="00C3661C"/>
    <w:rsid w:val="00C3725A"/>
    <w:rsid w:val="00C41D03"/>
    <w:rsid w:val="00C427B7"/>
    <w:rsid w:val="00C42BF8"/>
    <w:rsid w:val="00C4471D"/>
    <w:rsid w:val="00C465B9"/>
    <w:rsid w:val="00C47EB8"/>
    <w:rsid w:val="00C47FF6"/>
    <w:rsid w:val="00C50043"/>
    <w:rsid w:val="00C5023B"/>
    <w:rsid w:val="00C5211F"/>
    <w:rsid w:val="00C532F8"/>
    <w:rsid w:val="00C54AF9"/>
    <w:rsid w:val="00C559D6"/>
    <w:rsid w:val="00C56862"/>
    <w:rsid w:val="00C56B5E"/>
    <w:rsid w:val="00C61F00"/>
    <w:rsid w:val="00C62DBA"/>
    <w:rsid w:val="00C65577"/>
    <w:rsid w:val="00C70CE8"/>
    <w:rsid w:val="00C70CFC"/>
    <w:rsid w:val="00C72C19"/>
    <w:rsid w:val="00C736C5"/>
    <w:rsid w:val="00C743BA"/>
    <w:rsid w:val="00C74731"/>
    <w:rsid w:val="00C74899"/>
    <w:rsid w:val="00C74A1E"/>
    <w:rsid w:val="00C74BA9"/>
    <w:rsid w:val="00C75305"/>
    <w:rsid w:val="00C753E3"/>
    <w:rsid w:val="00C756AC"/>
    <w:rsid w:val="00C7573B"/>
    <w:rsid w:val="00C76564"/>
    <w:rsid w:val="00C769E3"/>
    <w:rsid w:val="00C76DB8"/>
    <w:rsid w:val="00C77F75"/>
    <w:rsid w:val="00C8063C"/>
    <w:rsid w:val="00C81FFD"/>
    <w:rsid w:val="00C83410"/>
    <w:rsid w:val="00C841B6"/>
    <w:rsid w:val="00C84760"/>
    <w:rsid w:val="00C915D7"/>
    <w:rsid w:val="00C94F39"/>
    <w:rsid w:val="00C97A54"/>
    <w:rsid w:val="00CA2860"/>
    <w:rsid w:val="00CA3D38"/>
    <w:rsid w:val="00CA5B23"/>
    <w:rsid w:val="00CB0997"/>
    <w:rsid w:val="00CB20BB"/>
    <w:rsid w:val="00CB2B0C"/>
    <w:rsid w:val="00CB2E90"/>
    <w:rsid w:val="00CB3515"/>
    <w:rsid w:val="00CB4A06"/>
    <w:rsid w:val="00CB4B08"/>
    <w:rsid w:val="00CB555B"/>
    <w:rsid w:val="00CB602E"/>
    <w:rsid w:val="00CB746D"/>
    <w:rsid w:val="00CB7AD5"/>
    <w:rsid w:val="00CB7E90"/>
    <w:rsid w:val="00CC0AC0"/>
    <w:rsid w:val="00CC1A18"/>
    <w:rsid w:val="00CC371E"/>
    <w:rsid w:val="00CC38C2"/>
    <w:rsid w:val="00CC45FF"/>
    <w:rsid w:val="00CC58A2"/>
    <w:rsid w:val="00CC6452"/>
    <w:rsid w:val="00CC6AAC"/>
    <w:rsid w:val="00CC7898"/>
    <w:rsid w:val="00CD0608"/>
    <w:rsid w:val="00CD156C"/>
    <w:rsid w:val="00CD25D7"/>
    <w:rsid w:val="00CD2658"/>
    <w:rsid w:val="00CD407C"/>
    <w:rsid w:val="00CD4506"/>
    <w:rsid w:val="00CD608D"/>
    <w:rsid w:val="00CD6BAE"/>
    <w:rsid w:val="00CE051D"/>
    <w:rsid w:val="00CE1335"/>
    <w:rsid w:val="00CE493D"/>
    <w:rsid w:val="00CE4EC3"/>
    <w:rsid w:val="00CE5912"/>
    <w:rsid w:val="00CE5CAE"/>
    <w:rsid w:val="00CE635B"/>
    <w:rsid w:val="00CE679C"/>
    <w:rsid w:val="00CE6F2E"/>
    <w:rsid w:val="00CF0111"/>
    <w:rsid w:val="00CF07FA"/>
    <w:rsid w:val="00CF0BB2"/>
    <w:rsid w:val="00CF0C5D"/>
    <w:rsid w:val="00CF0E39"/>
    <w:rsid w:val="00CF1211"/>
    <w:rsid w:val="00CF2770"/>
    <w:rsid w:val="00CF3EE8"/>
    <w:rsid w:val="00CF40E0"/>
    <w:rsid w:val="00CF731A"/>
    <w:rsid w:val="00CF7E73"/>
    <w:rsid w:val="00D01515"/>
    <w:rsid w:val="00D01D59"/>
    <w:rsid w:val="00D025FF"/>
    <w:rsid w:val="00D03371"/>
    <w:rsid w:val="00D03956"/>
    <w:rsid w:val="00D04236"/>
    <w:rsid w:val="00D044FD"/>
    <w:rsid w:val="00D05142"/>
    <w:rsid w:val="00D05CE0"/>
    <w:rsid w:val="00D05EB0"/>
    <w:rsid w:val="00D06BAD"/>
    <w:rsid w:val="00D07256"/>
    <w:rsid w:val="00D0743E"/>
    <w:rsid w:val="00D07880"/>
    <w:rsid w:val="00D07AEE"/>
    <w:rsid w:val="00D07D77"/>
    <w:rsid w:val="00D10D31"/>
    <w:rsid w:val="00D11407"/>
    <w:rsid w:val="00D126E0"/>
    <w:rsid w:val="00D13441"/>
    <w:rsid w:val="00D13EC4"/>
    <w:rsid w:val="00D150E7"/>
    <w:rsid w:val="00D163A1"/>
    <w:rsid w:val="00D16948"/>
    <w:rsid w:val="00D17661"/>
    <w:rsid w:val="00D201B1"/>
    <w:rsid w:val="00D210EC"/>
    <w:rsid w:val="00D25213"/>
    <w:rsid w:val="00D254DC"/>
    <w:rsid w:val="00D315DD"/>
    <w:rsid w:val="00D322E3"/>
    <w:rsid w:val="00D32993"/>
    <w:rsid w:val="00D33127"/>
    <w:rsid w:val="00D333F0"/>
    <w:rsid w:val="00D33EA8"/>
    <w:rsid w:val="00D34171"/>
    <w:rsid w:val="00D344E3"/>
    <w:rsid w:val="00D34A0E"/>
    <w:rsid w:val="00D37A2E"/>
    <w:rsid w:val="00D40E09"/>
    <w:rsid w:val="00D413F7"/>
    <w:rsid w:val="00D42CF6"/>
    <w:rsid w:val="00D42D3B"/>
    <w:rsid w:val="00D43842"/>
    <w:rsid w:val="00D44BD8"/>
    <w:rsid w:val="00D46467"/>
    <w:rsid w:val="00D46851"/>
    <w:rsid w:val="00D47046"/>
    <w:rsid w:val="00D472D9"/>
    <w:rsid w:val="00D474E5"/>
    <w:rsid w:val="00D51741"/>
    <w:rsid w:val="00D52480"/>
    <w:rsid w:val="00D5249A"/>
    <w:rsid w:val="00D526B2"/>
    <w:rsid w:val="00D527A0"/>
    <w:rsid w:val="00D52DC2"/>
    <w:rsid w:val="00D53BCC"/>
    <w:rsid w:val="00D53DFD"/>
    <w:rsid w:val="00D54C9E"/>
    <w:rsid w:val="00D565C9"/>
    <w:rsid w:val="00D56B62"/>
    <w:rsid w:val="00D5704C"/>
    <w:rsid w:val="00D571E7"/>
    <w:rsid w:val="00D6041F"/>
    <w:rsid w:val="00D64876"/>
    <w:rsid w:val="00D65071"/>
    <w:rsid w:val="00D6537E"/>
    <w:rsid w:val="00D6584C"/>
    <w:rsid w:val="00D67144"/>
    <w:rsid w:val="00D6782B"/>
    <w:rsid w:val="00D70DFB"/>
    <w:rsid w:val="00D711DB"/>
    <w:rsid w:val="00D71DA0"/>
    <w:rsid w:val="00D73295"/>
    <w:rsid w:val="00D740F9"/>
    <w:rsid w:val="00D74B7C"/>
    <w:rsid w:val="00D751C1"/>
    <w:rsid w:val="00D75EA8"/>
    <w:rsid w:val="00D76416"/>
    <w:rsid w:val="00D766DF"/>
    <w:rsid w:val="00D76EBA"/>
    <w:rsid w:val="00D8053E"/>
    <w:rsid w:val="00D81365"/>
    <w:rsid w:val="00D81DDA"/>
    <w:rsid w:val="00D8206C"/>
    <w:rsid w:val="00D849DE"/>
    <w:rsid w:val="00D84C08"/>
    <w:rsid w:val="00D85378"/>
    <w:rsid w:val="00D86ADB"/>
    <w:rsid w:val="00D87182"/>
    <w:rsid w:val="00D911CF"/>
    <w:rsid w:val="00D91F10"/>
    <w:rsid w:val="00D92F4C"/>
    <w:rsid w:val="00D939FE"/>
    <w:rsid w:val="00D9442E"/>
    <w:rsid w:val="00D95103"/>
    <w:rsid w:val="00D95767"/>
    <w:rsid w:val="00D968C4"/>
    <w:rsid w:val="00D97471"/>
    <w:rsid w:val="00DA186E"/>
    <w:rsid w:val="00DA3417"/>
    <w:rsid w:val="00DA4116"/>
    <w:rsid w:val="00DA580F"/>
    <w:rsid w:val="00DA6E50"/>
    <w:rsid w:val="00DA7F38"/>
    <w:rsid w:val="00DB03D9"/>
    <w:rsid w:val="00DB0EBB"/>
    <w:rsid w:val="00DB2391"/>
    <w:rsid w:val="00DB251C"/>
    <w:rsid w:val="00DB4630"/>
    <w:rsid w:val="00DB5100"/>
    <w:rsid w:val="00DB7658"/>
    <w:rsid w:val="00DC0828"/>
    <w:rsid w:val="00DC0EBB"/>
    <w:rsid w:val="00DC18BD"/>
    <w:rsid w:val="00DC2218"/>
    <w:rsid w:val="00DC3BFD"/>
    <w:rsid w:val="00DC3E50"/>
    <w:rsid w:val="00DC4B3F"/>
    <w:rsid w:val="00DC4DC6"/>
    <w:rsid w:val="00DC4F88"/>
    <w:rsid w:val="00DC5802"/>
    <w:rsid w:val="00DC61C2"/>
    <w:rsid w:val="00DC7D4B"/>
    <w:rsid w:val="00DD1656"/>
    <w:rsid w:val="00DD42E0"/>
    <w:rsid w:val="00DD49C0"/>
    <w:rsid w:val="00DD4A1F"/>
    <w:rsid w:val="00DD5575"/>
    <w:rsid w:val="00DD57EE"/>
    <w:rsid w:val="00DD5D99"/>
    <w:rsid w:val="00DE094A"/>
    <w:rsid w:val="00DE107C"/>
    <w:rsid w:val="00DE2123"/>
    <w:rsid w:val="00DE3217"/>
    <w:rsid w:val="00DE3CBE"/>
    <w:rsid w:val="00DE41A4"/>
    <w:rsid w:val="00DE483E"/>
    <w:rsid w:val="00DE4ED4"/>
    <w:rsid w:val="00DF2388"/>
    <w:rsid w:val="00DF2C49"/>
    <w:rsid w:val="00DF3574"/>
    <w:rsid w:val="00DF3896"/>
    <w:rsid w:val="00DF57E8"/>
    <w:rsid w:val="00DF799A"/>
    <w:rsid w:val="00E00B48"/>
    <w:rsid w:val="00E00B6F"/>
    <w:rsid w:val="00E016E3"/>
    <w:rsid w:val="00E02C10"/>
    <w:rsid w:val="00E037B1"/>
    <w:rsid w:val="00E0385B"/>
    <w:rsid w:val="00E042CB"/>
    <w:rsid w:val="00E05704"/>
    <w:rsid w:val="00E07209"/>
    <w:rsid w:val="00E0749E"/>
    <w:rsid w:val="00E10CB2"/>
    <w:rsid w:val="00E113B2"/>
    <w:rsid w:val="00E11657"/>
    <w:rsid w:val="00E1254C"/>
    <w:rsid w:val="00E14AD1"/>
    <w:rsid w:val="00E15E8D"/>
    <w:rsid w:val="00E162CE"/>
    <w:rsid w:val="00E24839"/>
    <w:rsid w:val="00E248A1"/>
    <w:rsid w:val="00E24D78"/>
    <w:rsid w:val="00E25180"/>
    <w:rsid w:val="00E25373"/>
    <w:rsid w:val="00E276AC"/>
    <w:rsid w:val="00E2784C"/>
    <w:rsid w:val="00E322C8"/>
    <w:rsid w:val="00E32501"/>
    <w:rsid w:val="00E338EF"/>
    <w:rsid w:val="00E34CE3"/>
    <w:rsid w:val="00E37132"/>
    <w:rsid w:val="00E3784A"/>
    <w:rsid w:val="00E37B4F"/>
    <w:rsid w:val="00E37EBB"/>
    <w:rsid w:val="00E40D95"/>
    <w:rsid w:val="00E42FD4"/>
    <w:rsid w:val="00E4329D"/>
    <w:rsid w:val="00E45487"/>
    <w:rsid w:val="00E45C52"/>
    <w:rsid w:val="00E4771C"/>
    <w:rsid w:val="00E50AD3"/>
    <w:rsid w:val="00E515BB"/>
    <w:rsid w:val="00E523F0"/>
    <w:rsid w:val="00E530E6"/>
    <w:rsid w:val="00E544BB"/>
    <w:rsid w:val="00E55DB8"/>
    <w:rsid w:val="00E57CAF"/>
    <w:rsid w:val="00E606F9"/>
    <w:rsid w:val="00E614D4"/>
    <w:rsid w:val="00E62BC9"/>
    <w:rsid w:val="00E64340"/>
    <w:rsid w:val="00E64820"/>
    <w:rsid w:val="00E655C1"/>
    <w:rsid w:val="00E656ED"/>
    <w:rsid w:val="00E66588"/>
    <w:rsid w:val="00E66CDE"/>
    <w:rsid w:val="00E673CF"/>
    <w:rsid w:val="00E67A41"/>
    <w:rsid w:val="00E67FFE"/>
    <w:rsid w:val="00E717B6"/>
    <w:rsid w:val="00E722C9"/>
    <w:rsid w:val="00E74DC7"/>
    <w:rsid w:val="00E7646A"/>
    <w:rsid w:val="00E77A7A"/>
    <w:rsid w:val="00E77E76"/>
    <w:rsid w:val="00E8075A"/>
    <w:rsid w:val="00E818B0"/>
    <w:rsid w:val="00E831FC"/>
    <w:rsid w:val="00E83DBD"/>
    <w:rsid w:val="00E84FF3"/>
    <w:rsid w:val="00E86434"/>
    <w:rsid w:val="00E86762"/>
    <w:rsid w:val="00E86A7C"/>
    <w:rsid w:val="00E90D5A"/>
    <w:rsid w:val="00E9165B"/>
    <w:rsid w:val="00E93546"/>
    <w:rsid w:val="00E93D14"/>
    <w:rsid w:val="00E93F1A"/>
    <w:rsid w:val="00E940D8"/>
    <w:rsid w:val="00E94278"/>
    <w:rsid w:val="00E94D5E"/>
    <w:rsid w:val="00E96C1D"/>
    <w:rsid w:val="00E97EBB"/>
    <w:rsid w:val="00EA2949"/>
    <w:rsid w:val="00EA3128"/>
    <w:rsid w:val="00EA36A9"/>
    <w:rsid w:val="00EA3B84"/>
    <w:rsid w:val="00EA6860"/>
    <w:rsid w:val="00EA7100"/>
    <w:rsid w:val="00EA7F9F"/>
    <w:rsid w:val="00EA7FB0"/>
    <w:rsid w:val="00EB1274"/>
    <w:rsid w:val="00EB294D"/>
    <w:rsid w:val="00EB5201"/>
    <w:rsid w:val="00EB5372"/>
    <w:rsid w:val="00EB63FB"/>
    <w:rsid w:val="00EB69FA"/>
    <w:rsid w:val="00EB6E7F"/>
    <w:rsid w:val="00EB7EC3"/>
    <w:rsid w:val="00EC0F06"/>
    <w:rsid w:val="00EC2FB6"/>
    <w:rsid w:val="00EC3269"/>
    <w:rsid w:val="00EC3557"/>
    <w:rsid w:val="00EC3954"/>
    <w:rsid w:val="00EC3981"/>
    <w:rsid w:val="00EC3FA3"/>
    <w:rsid w:val="00EC598A"/>
    <w:rsid w:val="00EC71BA"/>
    <w:rsid w:val="00EC7647"/>
    <w:rsid w:val="00EC7B02"/>
    <w:rsid w:val="00ED1AAE"/>
    <w:rsid w:val="00ED2BB6"/>
    <w:rsid w:val="00ED34E1"/>
    <w:rsid w:val="00ED3B8D"/>
    <w:rsid w:val="00ED66DF"/>
    <w:rsid w:val="00ED7F60"/>
    <w:rsid w:val="00EE0AF7"/>
    <w:rsid w:val="00EE28BE"/>
    <w:rsid w:val="00EE39D5"/>
    <w:rsid w:val="00EE3D5D"/>
    <w:rsid w:val="00EE5E36"/>
    <w:rsid w:val="00EF144C"/>
    <w:rsid w:val="00EF1B86"/>
    <w:rsid w:val="00EF2E3A"/>
    <w:rsid w:val="00F000F1"/>
    <w:rsid w:val="00F00118"/>
    <w:rsid w:val="00F004C4"/>
    <w:rsid w:val="00F00C2E"/>
    <w:rsid w:val="00F00EF2"/>
    <w:rsid w:val="00F01242"/>
    <w:rsid w:val="00F0228A"/>
    <w:rsid w:val="00F023CD"/>
    <w:rsid w:val="00F02C7C"/>
    <w:rsid w:val="00F04034"/>
    <w:rsid w:val="00F05BD7"/>
    <w:rsid w:val="00F072A7"/>
    <w:rsid w:val="00F078DC"/>
    <w:rsid w:val="00F1200E"/>
    <w:rsid w:val="00F13A8D"/>
    <w:rsid w:val="00F168C5"/>
    <w:rsid w:val="00F169B8"/>
    <w:rsid w:val="00F207EA"/>
    <w:rsid w:val="00F2360F"/>
    <w:rsid w:val="00F239D9"/>
    <w:rsid w:val="00F248DF"/>
    <w:rsid w:val="00F2573E"/>
    <w:rsid w:val="00F2593C"/>
    <w:rsid w:val="00F25A36"/>
    <w:rsid w:val="00F272F8"/>
    <w:rsid w:val="00F3036D"/>
    <w:rsid w:val="00F312AC"/>
    <w:rsid w:val="00F32BA8"/>
    <w:rsid w:val="00F32EE0"/>
    <w:rsid w:val="00F33A3B"/>
    <w:rsid w:val="00F349F1"/>
    <w:rsid w:val="00F357ED"/>
    <w:rsid w:val="00F35900"/>
    <w:rsid w:val="00F369F5"/>
    <w:rsid w:val="00F401F4"/>
    <w:rsid w:val="00F41C43"/>
    <w:rsid w:val="00F4350D"/>
    <w:rsid w:val="00F443E4"/>
    <w:rsid w:val="00F4572B"/>
    <w:rsid w:val="00F45CD8"/>
    <w:rsid w:val="00F467A5"/>
    <w:rsid w:val="00F46A96"/>
    <w:rsid w:val="00F479C4"/>
    <w:rsid w:val="00F531AC"/>
    <w:rsid w:val="00F54AF2"/>
    <w:rsid w:val="00F567F7"/>
    <w:rsid w:val="00F570FA"/>
    <w:rsid w:val="00F6041A"/>
    <w:rsid w:val="00F62038"/>
    <w:rsid w:val="00F62ADE"/>
    <w:rsid w:val="00F62C43"/>
    <w:rsid w:val="00F63863"/>
    <w:rsid w:val="00F6626B"/>
    <w:rsid w:val="00F6696E"/>
    <w:rsid w:val="00F6725A"/>
    <w:rsid w:val="00F7049D"/>
    <w:rsid w:val="00F7184E"/>
    <w:rsid w:val="00F720E5"/>
    <w:rsid w:val="00F7229D"/>
    <w:rsid w:val="00F73299"/>
    <w:rsid w:val="00F73BD6"/>
    <w:rsid w:val="00F74D54"/>
    <w:rsid w:val="00F76B27"/>
    <w:rsid w:val="00F803A8"/>
    <w:rsid w:val="00F8379D"/>
    <w:rsid w:val="00F838D4"/>
    <w:rsid w:val="00F83989"/>
    <w:rsid w:val="00F84139"/>
    <w:rsid w:val="00F84616"/>
    <w:rsid w:val="00F85099"/>
    <w:rsid w:val="00F85A4F"/>
    <w:rsid w:val="00F86B37"/>
    <w:rsid w:val="00F91C30"/>
    <w:rsid w:val="00F92ECD"/>
    <w:rsid w:val="00F9379C"/>
    <w:rsid w:val="00F9435A"/>
    <w:rsid w:val="00F9454C"/>
    <w:rsid w:val="00F952F5"/>
    <w:rsid w:val="00F9632C"/>
    <w:rsid w:val="00F978C6"/>
    <w:rsid w:val="00F97A84"/>
    <w:rsid w:val="00FA19D9"/>
    <w:rsid w:val="00FA1E52"/>
    <w:rsid w:val="00FA20BB"/>
    <w:rsid w:val="00FA2912"/>
    <w:rsid w:val="00FA5965"/>
    <w:rsid w:val="00FA6C1B"/>
    <w:rsid w:val="00FA7CE4"/>
    <w:rsid w:val="00FB035E"/>
    <w:rsid w:val="00FB0C56"/>
    <w:rsid w:val="00FB4738"/>
    <w:rsid w:val="00FB496E"/>
    <w:rsid w:val="00FB4ADA"/>
    <w:rsid w:val="00FB585B"/>
    <w:rsid w:val="00FB5A08"/>
    <w:rsid w:val="00FB616B"/>
    <w:rsid w:val="00FC0410"/>
    <w:rsid w:val="00FC3974"/>
    <w:rsid w:val="00FC3DFA"/>
    <w:rsid w:val="00FC3FD3"/>
    <w:rsid w:val="00FC53E7"/>
    <w:rsid w:val="00FC6A80"/>
    <w:rsid w:val="00FD054C"/>
    <w:rsid w:val="00FD10E8"/>
    <w:rsid w:val="00FD30C2"/>
    <w:rsid w:val="00FD31EB"/>
    <w:rsid w:val="00FD4A9B"/>
    <w:rsid w:val="00FD6A78"/>
    <w:rsid w:val="00FD7204"/>
    <w:rsid w:val="00FD7BE5"/>
    <w:rsid w:val="00FE0BF0"/>
    <w:rsid w:val="00FE1879"/>
    <w:rsid w:val="00FE19D9"/>
    <w:rsid w:val="00FE33F0"/>
    <w:rsid w:val="00FE3CF3"/>
    <w:rsid w:val="00FE4688"/>
    <w:rsid w:val="00FE5516"/>
    <w:rsid w:val="00FE62B1"/>
    <w:rsid w:val="00FF0DBB"/>
    <w:rsid w:val="00FF0EC0"/>
    <w:rsid w:val="00FF1031"/>
    <w:rsid w:val="00FF2FB5"/>
    <w:rsid w:val="00FF5429"/>
    <w:rsid w:val="00FF5704"/>
    <w:rsid w:val="33699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F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E3917"/>
    <w:pPr>
      <w:spacing w:after="200" w:line="276" w:lineRule="auto"/>
      <w:ind w:left="720"/>
      <w:contextualSpacing/>
    </w:pPr>
    <w:rPr>
      <w:rFonts w:asciiTheme="minorHAnsi" w:hAnsiTheme="minorHAnsi"/>
      <w:szCs w:val="22"/>
    </w:rPr>
  </w:style>
  <w:style w:type="character" w:customStyle="1" w:styleId="paragraphChar">
    <w:name w:val="paragraph Char"/>
    <w:aliases w:val="a Char"/>
    <w:link w:val="paragraph"/>
    <w:locked/>
    <w:rsid w:val="008B3F4B"/>
    <w:rPr>
      <w:rFonts w:eastAsia="Times New Roman" w:cs="Times New Roman"/>
      <w:sz w:val="22"/>
      <w:lang w:eastAsia="en-AU"/>
    </w:rPr>
  </w:style>
  <w:style w:type="paragraph" w:customStyle="1" w:styleId="dotpoint">
    <w:name w:val="dot point"/>
    <w:basedOn w:val="Normal"/>
    <w:rsid w:val="00253057"/>
    <w:pPr>
      <w:numPr>
        <w:numId w:val="19"/>
      </w:numPr>
      <w:tabs>
        <w:tab w:val="left" w:pos="227"/>
      </w:tabs>
      <w:suppressAutoHyphens/>
      <w:autoSpaceDE w:val="0"/>
      <w:autoSpaceDN w:val="0"/>
      <w:adjustRightInd w:val="0"/>
      <w:spacing w:before="150" w:after="28" w:line="300" w:lineRule="atLeast"/>
      <w:textAlignment w:val="center"/>
    </w:pPr>
    <w:rPr>
      <w:rFonts w:ascii="Calibri" w:eastAsia="Times New Roman" w:hAnsi="Calibri" w:cs="Garamond"/>
      <w:color w:val="000000"/>
      <w:sz w:val="24"/>
      <w:szCs w:val="24"/>
      <w:lang w:val="en-GB" w:eastAsia="en-AU"/>
    </w:rPr>
  </w:style>
  <w:style w:type="numbering" w:customStyle="1" w:styleId="Style1">
    <w:name w:val="Style1"/>
    <w:uiPriority w:val="99"/>
    <w:rsid w:val="00253057"/>
    <w:pPr>
      <w:numPr>
        <w:numId w:val="21"/>
      </w:numPr>
    </w:pPr>
  </w:style>
  <w:style w:type="character" w:styleId="CommentReference">
    <w:name w:val="annotation reference"/>
    <w:basedOn w:val="DefaultParagraphFont"/>
    <w:uiPriority w:val="99"/>
    <w:semiHidden/>
    <w:unhideWhenUsed/>
    <w:rsid w:val="0019054E"/>
    <w:rPr>
      <w:sz w:val="16"/>
      <w:szCs w:val="16"/>
    </w:rPr>
  </w:style>
  <w:style w:type="paragraph" w:styleId="CommentText">
    <w:name w:val="annotation text"/>
    <w:basedOn w:val="Normal"/>
    <w:link w:val="CommentTextChar"/>
    <w:uiPriority w:val="99"/>
    <w:unhideWhenUsed/>
    <w:rsid w:val="0019054E"/>
    <w:pPr>
      <w:spacing w:line="240" w:lineRule="auto"/>
    </w:pPr>
    <w:rPr>
      <w:sz w:val="20"/>
    </w:rPr>
  </w:style>
  <w:style w:type="character" w:customStyle="1" w:styleId="CommentTextChar">
    <w:name w:val="Comment Text Char"/>
    <w:basedOn w:val="DefaultParagraphFont"/>
    <w:link w:val="CommentText"/>
    <w:uiPriority w:val="99"/>
    <w:rsid w:val="0019054E"/>
  </w:style>
  <w:style w:type="paragraph" w:styleId="CommentSubject">
    <w:name w:val="annotation subject"/>
    <w:basedOn w:val="CommentText"/>
    <w:next w:val="CommentText"/>
    <w:link w:val="CommentSubjectChar"/>
    <w:uiPriority w:val="99"/>
    <w:semiHidden/>
    <w:unhideWhenUsed/>
    <w:rsid w:val="0019054E"/>
    <w:rPr>
      <w:b/>
      <w:bCs/>
    </w:rPr>
  </w:style>
  <w:style w:type="character" w:customStyle="1" w:styleId="CommentSubjectChar">
    <w:name w:val="Comment Subject Char"/>
    <w:basedOn w:val="CommentTextChar"/>
    <w:link w:val="CommentSubject"/>
    <w:uiPriority w:val="99"/>
    <w:semiHidden/>
    <w:rsid w:val="0019054E"/>
    <w:rPr>
      <w:b/>
      <w:bCs/>
    </w:rPr>
  </w:style>
  <w:style w:type="character" w:customStyle="1" w:styleId="spellingerror">
    <w:name w:val="spellingerror"/>
    <w:basedOn w:val="DefaultParagraphFont"/>
    <w:rsid w:val="00467B1A"/>
  </w:style>
  <w:style w:type="paragraph" w:styleId="NormalWeb">
    <w:name w:val="Normal (Web)"/>
    <w:basedOn w:val="Normal"/>
    <w:uiPriority w:val="99"/>
    <w:unhideWhenUsed/>
    <w:rsid w:val="00467B1A"/>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92D7B"/>
    <w:pPr>
      <w:spacing w:line="240" w:lineRule="auto"/>
    </w:pPr>
    <w:rPr>
      <w:sz w:val="20"/>
    </w:rPr>
  </w:style>
  <w:style w:type="character" w:customStyle="1" w:styleId="FootnoteTextChar">
    <w:name w:val="Footnote Text Char"/>
    <w:basedOn w:val="DefaultParagraphFont"/>
    <w:link w:val="FootnoteText"/>
    <w:uiPriority w:val="99"/>
    <w:semiHidden/>
    <w:rsid w:val="00092D7B"/>
  </w:style>
  <w:style w:type="character" w:styleId="FootnoteReference">
    <w:name w:val="footnote reference"/>
    <w:basedOn w:val="DefaultParagraphFont"/>
    <w:uiPriority w:val="99"/>
    <w:semiHidden/>
    <w:unhideWhenUsed/>
    <w:rsid w:val="00092D7B"/>
    <w:rPr>
      <w:vertAlign w:val="superscript"/>
    </w:rPr>
  </w:style>
  <w:style w:type="paragraph" w:styleId="TOCHeading">
    <w:name w:val="TOC Heading"/>
    <w:basedOn w:val="Heading1"/>
    <w:next w:val="Normal"/>
    <w:uiPriority w:val="39"/>
    <w:semiHidden/>
    <w:unhideWhenUsed/>
    <w:qFormat/>
    <w:rsid w:val="00884B8E"/>
    <w:pPr>
      <w:spacing w:before="240"/>
      <w:outlineLvl w:val="9"/>
    </w:pPr>
    <w:rPr>
      <w:b w:val="0"/>
      <w:bCs w:val="0"/>
      <w:sz w:val="32"/>
      <w:szCs w:val="32"/>
    </w:rPr>
  </w:style>
  <w:style w:type="paragraph" w:customStyle="1" w:styleId="CLAUSELEVEL1">
    <w:name w:val="CLAUSE LEVEL 1"/>
    <w:next w:val="Normal"/>
    <w:link w:val="CLAUSELEVEL1Char"/>
    <w:uiPriority w:val="99"/>
    <w:qFormat/>
    <w:rsid w:val="00884B8E"/>
    <w:pPr>
      <w:numPr>
        <w:numId w:val="39"/>
      </w:numPr>
      <w:spacing w:before="120" w:after="120" w:line="280" w:lineRule="atLeast"/>
      <w:ind w:left="567" w:hanging="567"/>
    </w:pPr>
    <w:rPr>
      <w:rFonts w:ascii="Arial" w:eastAsia="Times New Roman" w:hAnsi="Arial" w:cs="Arial"/>
      <w:color w:val="000000"/>
      <w:szCs w:val="22"/>
      <w:lang w:eastAsia="en-AU"/>
    </w:rPr>
  </w:style>
  <w:style w:type="character" w:customStyle="1" w:styleId="CLAUSELEVEL1Char">
    <w:name w:val="CLAUSE LEVEL 1 Char"/>
    <w:link w:val="CLAUSELEVEL1"/>
    <w:uiPriority w:val="99"/>
    <w:locked/>
    <w:rsid w:val="00884B8E"/>
    <w:rPr>
      <w:rFonts w:ascii="Arial" w:eastAsia="Times New Roman" w:hAnsi="Arial" w:cs="Arial"/>
      <w:color w:val="000000"/>
      <w:szCs w:val="22"/>
      <w:lang w:eastAsia="en-AU"/>
    </w:rPr>
  </w:style>
  <w:style w:type="paragraph" w:styleId="Revision">
    <w:name w:val="Revision"/>
    <w:hidden/>
    <w:uiPriority w:val="99"/>
    <w:semiHidden/>
    <w:rsid w:val="00C47FF6"/>
    <w:rPr>
      <w:sz w:val="22"/>
    </w:rPr>
  </w:style>
  <w:style w:type="paragraph" w:customStyle="1" w:styleId="paragraphsub0">
    <w:name w:val="paragraphsub"/>
    <w:basedOn w:val="Normal"/>
    <w:rsid w:val="002C180F"/>
    <w:pPr>
      <w:spacing w:before="100" w:beforeAutospacing="1" w:after="100" w:afterAutospacing="1" w:line="240" w:lineRule="auto"/>
    </w:pPr>
    <w:rPr>
      <w:rFonts w:eastAsia="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E3917"/>
    <w:pPr>
      <w:spacing w:after="200" w:line="276" w:lineRule="auto"/>
      <w:ind w:left="720"/>
      <w:contextualSpacing/>
    </w:pPr>
    <w:rPr>
      <w:rFonts w:asciiTheme="minorHAnsi" w:hAnsiTheme="minorHAnsi"/>
      <w:szCs w:val="22"/>
    </w:rPr>
  </w:style>
  <w:style w:type="character" w:customStyle="1" w:styleId="paragraphChar">
    <w:name w:val="paragraph Char"/>
    <w:aliases w:val="a Char"/>
    <w:link w:val="paragraph"/>
    <w:locked/>
    <w:rsid w:val="008B3F4B"/>
    <w:rPr>
      <w:rFonts w:eastAsia="Times New Roman" w:cs="Times New Roman"/>
      <w:sz w:val="22"/>
      <w:lang w:eastAsia="en-AU"/>
    </w:rPr>
  </w:style>
  <w:style w:type="paragraph" w:customStyle="1" w:styleId="dotpoint">
    <w:name w:val="dot point"/>
    <w:basedOn w:val="Normal"/>
    <w:rsid w:val="00253057"/>
    <w:pPr>
      <w:numPr>
        <w:numId w:val="19"/>
      </w:numPr>
      <w:tabs>
        <w:tab w:val="left" w:pos="227"/>
      </w:tabs>
      <w:suppressAutoHyphens/>
      <w:autoSpaceDE w:val="0"/>
      <w:autoSpaceDN w:val="0"/>
      <w:adjustRightInd w:val="0"/>
      <w:spacing w:before="150" w:after="28" w:line="300" w:lineRule="atLeast"/>
      <w:textAlignment w:val="center"/>
    </w:pPr>
    <w:rPr>
      <w:rFonts w:ascii="Calibri" w:eastAsia="Times New Roman" w:hAnsi="Calibri" w:cs="Garamond"/>
      <w:color w:val="000000"/>
      <w:sz w:val="24"/>
      <w:szCs w:val="24"/>
      <w:lang w:val="en-GB" w:eastAsia="en-AU"/>
    </w:rPr>
  </w:style>
  <w:style w:type="numbering" w:customStyle="1" w:styleId="Style1">
    <w:name w:val="Style1"/>
    <w:uiPriority w:val="99"/>
    <w:rsid w:val="00253057"/>
    <w:pPr>
      <w:numPr>
        <w:numId w:val="21"/>
      </w:numPr>
    </w:pPr>
  </w:style>
  <w:style w:type="character" w:styleId="CommentReference">
    <w:name w:val="annotation reference"/>
    <w:basedOn w:val="DefaultParagraphFont"/>
    <w:uiPriority w:val="99"/>
    <w:semiHidden/>
    <w:unhideWhenUsed/>
    <w:rsid w:val="0019054E"/>
    <w:rPr>
      <w:sz w:val="16"/>
      <w:szCs w:val="16"/>
    </w:rPr>
  </w:style>
  <w:style w:type="paragraph" w:styleId="CommentText">
    <w:name w:val="annotation text"/>
    <w:basedOn w:val="Normal"/>
    <w:link w:val="CommentTextChar"/>
    <w:uiPriority w:val="99"/>
    <w:unhideWhenUsed/>
    <w:rsid w:val="0019054E"/>
    <w:pPr>
      <w:spacing w:line="240" w:lineRule="auto"/>
    </w:pPr>
    <w:rPr>
      <w:sz w:val="20"/>
    </w:rPr>
  </w:style>
  <w:style w:type="character" w:customStyle="1" w:styleId="CommentTextChar">
    <w:name w:val="Comment Text Char"/>
    <w:basedOn w:val="DefaultParagraphFont"/>
    <w:link w:val="CommentText"/>
    <w:uiPriority w:val="99"/>
    <w:rsid w:val="0019054E"/>
  </w:style>
  <w:style w:type="paragraph" w:styleId="CommentSubject">
    <w:name w:val="annotation subject"/>
    <w:basedOn w:val="CommentText"/>
    <w:next w:val="CommentText"/>
    <w:link w:val="CommentSubjectChar"/>
    <w:uiPriority w:val="99"/>
    <w:semiHidden/>
    <w:unhideWhenUsed/>
    <w:rsid w:val="0019054E"/>
    <w:rPr>
      <w:b/>
      <w:bCs/>
    </w:rPr>
  </w:style>
  <w:style w:type="character" w:customStyle="1" w:styleId="CommentSubjectChar">
    <w:name w:val="Comment Subject Char"/>
    <w:basedOn w:val="CommentTextChar"/>
    <w:link w:val="CommentSubject"/>
    <w:uiPriority w:val="99"/>
    <w:semiHidden/>
    <w:rsid w:val="0019054E"/>
    <w:rPr>
      <w:b/>
      <w:bCs/>
    </w:rPr>
  </w:style>
  <w:style w:type="character" w:customStyle="1" w:styleId="spellingerror">
    <w:name w:val="spellingerror"/>
    <w:basedOn w:val="DefaultParagraphFont"/>
    <w:rsid w:val="00467B1A"/>
  </w:style>
  <w:style w:type="paragraph" w:styleId="NormalWeb">
    <w:name w:val="Normal (Web)"/>
    <w:basedOn w:val="Normal"/>
    <w:uiPriority w:val="99"/>
    <w:unhideWhenUsed/>
    <w:rsid w:val="00467B1A"/>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92D7B"/>
    <w:pPr>
      <w:spacing w:line="240" w:lineRule="auto"/>
    </w:pPr>
    <w:rPr>
      <w:sz w:val="20"/>
    </w:rPr>
  </w:style>
  <w:style w:type="character" w:customStyle="1" w:styleId="FootnoteTextChar">
    <w:name w:val="Footnote Text Char"/>
    <w:basedOn w:val="DefaultParagraphFont"/>
    <w:link w:val="FootnoteText"/>
    <w:uiPriority w:val="99"/>
    <w:semiHidden/>
    <w:rsid w:val="00092D7B"/>
  </w:style>
  <w:style w:type="character" w:styleId="FootnoteReference">
    <w:name w:val="footnote reference"/>
    <w:basedOn w:val="DefaultParagraphFont"/>
    <w:uiPriority w:val="99"/>
    <w:semiHidden/>
    <w:unhideWhenUsed/>
    <w:rsid w:val="00092D7B"/>
    <w:rPr>
      <w:vertAlign w:val="superscript"/>
    </w:rPr>
  </w:style>
  <w:style w:type="paragraph" w:styleId="TOCHeading">
    <w:name w:val="TOC Heading"/>
    <w:basedOn w:val="Heading1"/>
    <w:next w:val="Normal"/>
    <w:uiPriority w:val="39"/>
    <w:semiHidden/>
    <w:unhideWhenUsed/>
    <w:qFormat/>
    <w:rsid w:val="00884B8E"/>
    <w:pPr>
      <w:spacing w:before="240"/>
      <w:outlineLvl w:val="9"/>
    </w:pPr>
    <w:rPr>
      <w:b w:val="0"/>
      <w:bCs w:val="0"/>
      <w:sz w:val="32"/>
      <w:szCs w:val="32"/>
    </w:rPr>
  </w:style>
  <w:style w:type="paragraph" w:customStyle="1" w:styleId="CLAUSELEVEL1">
    <w:name w:val="CLAUSE LEVEL 1"/>
    <w:next w:val="Normal"/>
    <w:link w:val="CLAUSELEVEL1Char"/>
    <w:uiPriority w:val="99"/>
    <w:qFormat/>
    <w:rsid w:val="00884B8E"/>
    <w:pPr>
      <w:numPr>
        <w:numId w:val="39"/>
      </w:numPr>
      <w:spacing w:before="120" w:after="120" w:line="280" w:lineRule="atLeast"/>
      <w:ind w:left="567" w:hanging="567"/>
    </w:pPr>
    <w:rPr>
      <w:rFonts w:ascii="Arial" w:eastAsia="Times New Roman" w:hAnsi="Arial" w:cs="Arial"/>
      <w:color w:val="000000"/>
      <w:szCs w:val="22"/>
      <w:lang w:eastAsia="en-AU"/>
    </w:rPr>
  </w:style>
  <w:style w:type="character" w:customStyle="1" w:styleId="CLAUSELEVEL1Char">
    <w:name w:val="CLAUSE LEVEL 1 Char"/>
    <w:link w:val="CLAUSELEVEL1"/>
    <w:uiPriority w:val="99"/>
    <w:locked/>
    <w:rsid w:val="00884B8E"/>
    <w:rPr>
      <w:rFonts w:ascii="Arial" w:eastAsia="Times New Roman" w:hAnsi="Arial" w:cs="Arial"/>
      <w:color w:val="000000"/>
      <w:szCs w:val="22"/>
      <w:lang w:eastAsia="en-AU"/>
    </w:rPr>
  </w:style>
  <w:style w:type="paragraph" w:styleId="Revision">
    <w:name w:val="Revision"/>
    <w:hidden/>
    <w:uiPriority w:val="99"/>
    <w:semiHidden/>
    <w:rsid w:val="00C47FF6"/>
    <w:rPr>
      <w:sz w:val="22"/>
    </w:rPr>
  </w:style>
  <w:style w:type="paragraph" w:customStyle="1" w:styleId="paragraphsub0">
    <w:name w:val="paragraphsub"/>
    <w:basedOn w:val="Normal"/>
    <w:rsid w:val="002C180F"/>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094">
      <w:bodyDiv w:val="1"/>
      <w:marLeft w:val="0"/>
      <w:marRight w:val="0"/>
      <w:marTop w:val="0"/>
      <w:marBottom w:val="0"/>
      <w:divBdr>
        <w:top w:val="none" w:sz="0" w:space="0" w:color="auto"/>
        <w:left w:val="none" w:sz="0" w:space="0" w:color="auto"/>
        <w:bottom w:val="none" w:sz="0" w:space="0" w:color="auto"/>
        <w:right w:val="none" w:sz="0" w:space="0" w:color="auto"/>
      </w:divBdr>
    </w:div>
    <w:div w:id="536048546">
      <w:bodyDiv w:val="1"/>
      <w:marLeft w:val="0"/>
      <w:marRight w:val="0"/>
      <w:marTop w:val="0"/>
      <w:marBottom w:val="0"/>
      <w:divBdr>
        <w:top w:val="none" w:sz="0" w:space="0" w:color="auto"/>
        <w:left w:val="none" w:sz="0" w:space="0" w:color="auto"/>
        <w:bottom w:val="none" w:sz="0" w:space="0" w:color="auto"/>
        <w:right w:val="none" w:sz="0" w:space="0" w:color="auto"/>
      </w:divBdr>
    </w:div>
    <w:div w:id="853811207">
      <w:bodyDiv w:val="1"/>
      <w:marLeft w:val="0"/>
      <w:marRight w:val="0"/>
      <w:marTop w:val="0"/>
      <w:marBottom w:val="0"/>
      <w:divBdr>
        <w:top w:val="none" w:sz="0" w:space="0" w:color="auto"/>
        <w:left w:val="none" w:sz="0" w:space="0" w:color="auto"/>
        <w:bottom w:val="none" w:sz="0" w:space="0" w:color="auto"/>
        <w:right w:val="none" w:sz="0" w:space="0" w:color="auto"/>
      </w:divBdr>
    </w:div>
    <w:div w:id="862017596">
      <w:bodyDiv w:val="1"/>
      <w:marLeft w:val="0"/>
      <w:marRight w:val="0"/>
      <w:marTop w:val="0"/>
      <w:marBottom w:val="0"/>
      <w:divBdr>
        <w:top w:val="none" w:sz="0" w:space="0" w:color="auto"/>
        <w:left w:val="none" w:sz="0" w:space="0" w:color="auto"/>
        <w:bottom w:val="none" w:sz="0" w:space="0" w:color="auto"/>
        <w:right w:val="none" w:sz="0" w:space="0" w:color="auto"/>
      </w:divBdr>
    </w:div>
    <w:div w:id="1006245826">
      <w:bodyDiv w:val="1"/>
      <w:marLeft w:val="0"/>
      <w:marRight w:val="0"/>
      <w:marTop w:val="0"/>
      <w:marBottom w:val="0"/>
      <w:divBdr>
        <w:top w:val="none" w:sz="0" w:space="0" w:color="auto"/>
        <w:left w:val="none" w:sz="0" w:space="0" w:color="auto"/>
        <w:bottom w:val="none" w:sz="0" w:space="0" w:color="auto"/>
        <w:right w:val="none" w:sz="0" w:space="0" w:color="auto"/>
      </w:divBdr>
    </w:div>
    <w:div w:id="1032418989">
      <w:bodyDiv w:val="1"/>
      <w:marLeft w:val="0"/>
      <w:marRight w:val="0"/>
      <w:marTop w:val="0"/>
      <w:marBottom w:val="0"/>
      <w:divBdr>
        <w:top w:val="none" w:sz="0" w:space="0" w:color="auto"/>
        <w:left w:val="none" w:sz="0" w:space="0" w:color="auto"/>
        <w:bottom w:val="none" w:sz="0" w:space="0" w:color="auto"/>
        <w:right w:val="none" w:sz="0" w:space="0" w:color="auto"/>
      </w:divBdr>
    </w:div>
    <w:div w:id="1047875485">
      <w:bodyDiv w:val="1"/>
      <w:marLeft w:val="0"/>
      <w:marRight w:val="0"/>
      <w:marTop w:val="0"/>
      <w:marBottom w:val="0"/>
      <w:divBdr>
        <w:top w:val="none" w:sz="0" w:space="0" w:color="auto"/>
        <w:left w:val="none" w:sz="0" w:space="0" w:color="auto"/>
        <w:bottom w:val="none" w:sz="0" w:space="0" w:color="auto"/>
        <w:right w:val="none" w:sz="0" w:space="0" w:color="auto"/>
      </w:divBdr>
    </w:div>
    <w:div w:id="1293365508">
      <w:bodyDiv w:val="1"/>
      <w:marLeft w:val="0"/>
      <w:marRight w:val="0"/>
      <w:marTop w:val="0"/>
      <w:marBottom w:val="0"/>
      <w:divBdr>
        <w:top w:val="none" w:sz="0" w:space="0" w:color="auto"/>
        <w:left w:val="none" w:sz="0" w:space="0" w:color="auto"/>
        <w:bottom w:val="none" w:sz="0" w:space="0" w:color="auto"/>
        <w:right w:val="none" w:sz="0" w:space="0" w:color="auto"/>
      </w:divBdr>
    </w:div>
    <w:div w:id="1530098716">
      <w:bodyDiv w:val="1"/>
      <w:marLeft w:val="0"/>
      <w:marRight w:val="0"/>
      <w:marTop w:val="0"/>
      <w:marBottom w:val="0"/>
      <w:divBdr>
        <w:top w:val="none" w:sz="0" w:space="0" w:color="auto"/>
        <w:left w:val="none" w:sz="0" w:space="0" w:color="auto"/>
        <w:bottom w:val="none" w:sz="0" w:space="0" w:color="auto"/>
        <w:right w:val="none" w:sz="0" w:space="0" w:color="auto"/>
      </w:divBdr>
      <w:divsChild>
        <w:div w:id="1810592628">
          <w:marLeft w:val="0"/>
          <w:marRight w:val="0"/>
          <w:marTop w:val="0"/>
          <w:marBottom w:val="0"/>
          <w:divBdr>
            <w:top w:val="none" w:sz="0" w:space="0" w:color="auto"/>
            <w:left w:val="none" w:sz="0" w:space="0" w:color="auto"/>
            <w:bottom w:val="none" w:sz="0" w:space="0" w:color="auto"/>
            <w:right w:val="none" w:sz="0" w:space="0" w:color="auto"/>
          </w:divBdr>
          <w:divsChild>
            <w:div w:id="1219046556">
              <w:marLeft w:val="0"/>
              <w:marRight w:val="0"/>
              <w:marTop w:val="0"/>
              <w:marBottom w:val="0"/>
              <w:divBdr>
                <w:top w:val="none" w:sz="0" w:space="0" w:color="auto"/>
                <w:left w:val="none" w:sz="0" w:space="0" w:color="auto"/>
                <w:bottom w:val="none" w:sz="0" w:space="0" w:color="auto"/>
                <w:right w:val="none" w:sz="0" w:space="0" w:color="auto"/>
              </w:divBdr>
              <w:divsChild>
                <w:div w:id="28842188">
                  <w:marLeft w:val="0"/>
                  <w:marRight w:val="0"/>
                  <w:marTop w:val="0"/>
                  <w:marBottom w:val="0"/>
                  <w:divBdr>
                    <w:top w:val="none" w:sz="0" w:space="0" w:color="auto"/>
                    <w:left w:val="none" w:sz="0" w:space="0" w:color="auto"/>
                    <w:bottom w:val="none" w:sz="0" w:space="0" w:color="auto"/>
                    <w:right w:val="none" w:sz="0" w:space="0" w:color="auto"/>
                  </w:divBdr>
                  <w:divsChild>
                    <w:div w:id="1021466473">
                      <w:marLeft w:val="0"/>
                      <w:marRight w:val="0"/>
                      <w:marTop w:val="0"/>
                      <w:marBottom w:val="0"/>
                      <w:divBdr>
                        <w:top w:val="none" w:sz="0" w:space="0" w:color="auto"/>
                        <w:left w:val="none" w:sz="0" w:space="0" w:color="auto"/>
                        <w:bottom w:val="none" w:sz="0" w:space="0" w:color="auto"/>
                        <w:right w:val="none" w:sz="0" w:space="0" w:color="auto"/>
                      </w:divBdr>
                      <w:divsChild>
                        <w:div w:id="799568795">
                          <w:marLeft w:val="0"/>
                          <w:marRight w:val="0"/>
                          <w:marTop w:val="0"/>
                          <w:marBottom w:val="0"/>
                          <w:divBdr>
                            <w:top w:val="none" w:sz="0" w:space="0" w:color="auto"/>
                            <w:left w:val="none" w:sz="0" w:space="0" w:color="auto"/>
                            <w:bottom w:val="none" w:sz="0" w:space="0" w:color="auto"/>
                            <w:right w:val="none" w:sz="0" w:space="0" w:color="auto"/>
                          </w:divBdr>
                          <w:divsChild>
                            <w:div w:id="1412582186">
                              <w:marLeft w:val="0"/>
                              <w:marRight w:val="0"/>
                              <w:marTop w:val="0"/>
                              <w:marBottom w:val="0"/>
                              <w:divBdr>
                                <w:top w:val="none" w:sz="0" w:space="0" w:color="auto"/>
                                <w:left w:val="none" w:sz="0" w:space="0" w:color="auto"/>
                                <w:bottom w:val="none" w:sz="0" w:space="0" w:color="auto"/>
                                <w:right w:val="none" w:sz="0" w:space="0" w:color="auto"/>
                              </w:divBdr>
                              <w:divsChild>
                                <w:div w:id="1046106967">
                                  <w:marLeft w:val="0"/>
                                  <w:marRight w:val="0"/>
                                  <w:marTop w:val="0"/>
                                  <w:marBottom w:val="0"/>
                                  <w:divBdr>
                                    <w:top w:val="none" w:sz="0" w:space="0" w:color="auto"/>
                                    <w:left w:val="none" w:sz="0" w:space="0" w:color="auto"/>
                                    <w:bottom w:val="none" w:sz="0" w:space="0" w:color="auto"/>
                                    <w:right w:val="none" w:sz="0" w:space="0" w:color="auto"/>
                                  </w:divBdr>
                                  <w:divsChild>
                                    <w:div w:id="768355086">
                                      <w:marLeft w:val="0"/>
                                      <w:marRight w:val="0"/>
                                      <w:marTop w:val="0"/>
                                      <w:marBottom w:val="0"/>
                                      <w:divBdr>
                                        <w:top w:val="none" w:sz="0" w:space="0" w:color="auto"/>
                                        <w:left w:val="none" w:sz="0" w:space="0" w:color="auto"/>
                                        <w:bottom w:val="none" w:sz="0" w:space="0" w:color="auto"/>
                                        <w:right w:val="none" w:sz="0" w:space="0" w:color="auto"/>
                                      </w:divBdr>
                                      <w:divsChild>
                                        <w:div w:id="1867982281">
                                          <w:marLeft w:val="0"/>
                                          <w:marRight w:val="0"/>
                                          <w:marTop w:val="0"/>
                                          <w:marBottom w:val="0"/>
                                          <w:divBdr>
                                            <w:top w:val="none" w:sz="0" w:space="0" w:color="auto"/>
                                            <w:left w:val="none" w:sz="0" w:space="0" w:color="auto"/>
                                            <w:bottom w:val="none" w:sz="0" w:space="0" w:color="auto"/>
                                            <w:right w:val="none" w:sz="0" w:space="0" w:color="auto"/>
                                          </w:divBdr>
                                          <w:divsChild>
                                            <w:div w:id="1548636952">
                                              <w:marLeft w:val="0"/>
                                              <w:marRight w:val="0"/>
                                              <w:marTop w:val="0"/>
                                              <w:marBottom w:val="0"/>
                                              <w:divBdr>
                                                <w:top w:val="none" w:sz="0" w:space="0" w:color="auto"/>
                                                <w:left w:val="none" w:sz="0" w:space="0" w:color="auto"/>
                                                <w:bottom w:val="none" w:sz="0" w:space="0" w:color="auto"/>
                                                <w:right w:val="none" w:sz="0" w:space="0" w:color="auto"/>
                                              </w:divBdr>
                                              <w:divsChild>
                                                <w:div w:id="150603098">
                                                  <w:marLeft w:val="0"/>
                                                  <w:marRight w:val="0"/>
                                                  <w:marTop w:val="0"/>
                                                  <w:marBottom w:val="0"/>
                                                  <w:divBdr>
                                                    <w:top w:val="none" w:sz="0" w:space="0" w:color="auto"/>
                                                    <w:left w:val="none" w:sz="0" w:space="0" w:color="auto"/>
                                                    <w:bottom w:val="none" w:sz="0" w:space="0" w:color="auto"/>
                                                    <w:right w:val="none" w:sz="0" w:space="0" w:color="auto"/>
                                                  </w:divBdr>
                                                  <w:divsChild>
                                                    <w:div w:id="327634576">
                                                      <w:marLeft w:val="0"/>
                                                      <w:marRight w:val="0"/>
                                                      <w:marTop w:val="0"/>
                                                      <w:marBottom w:val="0"/>
                                                      <w:divBdr>
                                                        <w:top w:val="none" w:sz="0" w:space="0" w:color="auto"/>
                                                        <w:left w:val="none" w:sz="0" w:space="0" w:color="auto"/>
                                                        <w:bottom w:val="none" w:sz="0" w:space="0" w:color="auto"/>
                                                        <w:right w:val="none" w:sz="0" w:space="0" w:color="auto"/>
                                                      </w:divBdr>
                                                      <w:divsChild>
                                                        <w:div w:id="1780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90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7380\AppData\Local\Microsoft\Windows\INetCache\Content.Outlook\D9LUO9J5\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AG Legal Document" ma:contentTypeID="0x0101002825A64A6E1845A99A9D8EE8A5686ECB00F34F59B8B28A914A89C6C39BB4AC68C200D2AB4157C3B2104CBFBE357410CD9F07" ma:contentTypeVersion="24" ma:contentTypeDescription="IAG Legal Services metadata" ma:contentTypeScope="" ma:versionID="8e28ba96d79da9f6947e773ce209c427">
  <xsd:schema xmlns:xsd="http://www.w3.org/2001/XMLSchema" xmlns:xs="http://www.w3.org/2001/XMLSchema" xmlns:p="http://schemas.microsoft.com/office/2006/metadata/properties" xmlns:ns1="e5cb917f-4135-4f26-866f-3bac1ed7ab3e" xmlns:ns3="27bba60b-8344-4f77-bb4d-4abea71fd4ad" xmlns:ns4="685f9fda-bd71-4433-b331-92feb9553089" xmlns:ns5="http://schemas.microsoft.com/sharepoint/v3/fields" targetNamespace="http://schemas.microsoft.com/office/2006/metadata/properties" ma:root="true" ma:fieldsID="0fccc6d04256c428afa1f0704a9e3dfe" ns1:_="" ns3:_="" ns4:_="" ns5:_="">
    <xsd:import namespace="e5cb917f-4135-4f26-866f-3bac1ed7ab3e"/>
    <xsd:import namespace="27bba60b-8344-4f77-bb4d-4abea71fd4ad"/>
    <xsd:import namespace="685f9fda-bd71-4433-b331-92feb9553089"/>
    <xsd:import namespace="http://schemas.microsoft.com/sharepoint/v3/fields"/>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element ref="ns1:i758ba37c88940e586c26421e592bc03" minOccurs="0"/>
                <xsd:element ref="ns1:ebe9aaf1ad2e44d4a2da0e3109a121ee" minOccurs="0"/>
                <xsd:element ref="ns5:_DCDateCreated"/>
                <xsd:element ref="ns1:LEXNumber"/>
                <xsd:element ref="ns1:p5403ef223e24c6aac8ae445cb84820f" minOccurs="0"/>
                <xsd:element ref="ns1:d8e935fc69f04a868babb549fc6a3e6b" minOccurs="0"/>
                <xsd:element ref="ns1:oabc4c43943e42efa5238e2af47855ca" minOccurs="0"/>
                <xsd:element ref="ns1:AdvisingsData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i758ba37c88940e586c26421e592bc03" ma:index="15" nillable="true" ma:taxonomy="true" ma:internalName="i758ba37c88940e586c26421e592bc03" ma:taxonomyFieldName="DocumentType" ma:displayName="Document Type" ma:readOnly="false" ma:fieldId="{2758ba37-c889-40e5-86c2-6421e592bc03}" ma:sspId="fdd71c70-8dda-4116-8995-314ca52d638a" ma:termSetId="790c196c-f3c8-4ae7-b785-61681a234036" ma:anchorId="00000000-0000-0000-0000-000000000000" ma:open="true" ma:isKeyword="false">
      <xsd:complexType>
        <xsd:sequence>
          <xsd:element ref="pc:Terms" minOccurs="0" maxOccurs="1"/>
        </xsd:sequence>
      </xsd:complexType>
    </xsd:element>
    <xsd:element name="ebe9aaf1ad2e44d4a2da0e3109a121ee" ma:index="17" ma:taxonomy="true" ma:internalName="ebe9aaf1ad2e44d4a2da0e3109a121ee" ma:taxonomyFieldName="IAGLegalDocumentAuthor" ma:displayName="Document Author" ma:readOnly="false" ma:fieldId="{ebe9aaf1-ad2e-44d4-a2da-0e3109a121ee}" ma:taxonomyMulti="true" ma:sspId="fdd71c70-8dda-4116-8995-314ca52d638a" ma:termSetId="236aa712-4221-4fe2-9caa-4fff9ba4b99a" ma:anchorId="00000000-0000-0000-0000-000000000000" ma:open="true" ma:isKeyword="false">
      <xsd:complexType>
        <xsd:sequence>
          <xsd:element ref="pc:Terms" minOccurs="0" maxOccurs="1"/>
        </xsd:sequence>
      </xsd:complexType>
    </xsd:element>
    <xsd:element name="LEXNumber" ma:index="20" ma:displayName="LEX Number" ma:internalName="LEXNumber" ma:readOnly="false">
      <xsd:simpleType>
        <xsd:restriction base="dms:Text">
          <xsd:maxLength value="255"/>
        </xsd:restriction>
      </xsd:simpleType>
    </xsd:element>
    <xsd:element name="p5403ef223e24c6aac8ae445cb84820f" ma:index="21" nillable="true" ma:taxonomy="true" ma:internalName="p5403ef223e24c6aac8ae445cb84820f" ma:taxonomyFieldName="CommonwealthEntity" ma:displayName="Commonwealth Entity" ma:readOnly="false" ma:default="" ma:fieldId="{95403ef2-23e2-4c6a-ac8a-e445cb84820f}" ma:taxonomyMulti="true" ma:sspId="fdd71c70-8dda-4116-8995-314ca52d638a" ma:termSetId="7ebc0fd9-dd06-4a36-bca5-081638877eb6" ma:anchorId="00000000-0000-0000-0000-000000000000" ma:open="true" ma:isKeyword="false">
      <xsd:complexType>
        <xsd:sequence>
          <xsd:element ref="pc:Terms" minOccurs="0" maxOccurs="1"/>
        </xsd:sequence>
      </xsd:complexType>
    </xsd:element>
    <xsd:element name="d8e935fc69f04a868babb549fc6a3e6b" ma:index="23" ma:taxonomy="true" ma:internalName="d8e935fc69f04a868babb549fc6a3e6b" ma:taxonomyFieldName="LegalSubjectMatter" ma:displayName="Legal Subject Matter" ma:readOnly="false" ma:default="" ma:fieldId="{d8e935fc-69f0-4a86-8bab-b549fc6a3e6b}" ma:taxonomyMulti="true" ma:sspId="fdd71c70-8dda-4116-8995-314ca52d638a" ma:termSetId="874044ed-780b-4c03-be88-7246f88f4c9c" ma:anchorId="00000000-0000-0000-0000-000000000000" ma:open="true" ma:isKeyword="false">
      <xsd:complexType>
        <xsd:sequence>
          <xsd:element ref="pc:Terms" minOccurs="0" maxOccurs="1"/>
        </xsd:sequence>
      </xsd:complexType>
    </xsd:element>
    <xsd:element name="oabc4c43943e42efa5238e2af47855ca" ma:index="25" nillable="true" ma:taxonomy="true" ma:internalName="oabc4c43943e42efa5238e2af47855ca" ma:taxonomyFieldName="LegislationConsidered" ma:displayName="Legislation Considered" ma:readOnly="false" ma:default="" ma:fieldId="{8abc4c43-943e-42ef-a523-8e2af47855ca}" ma:taxonomyMulti="true" ma:sspId="fdd71c70-8dda-4116-8995-314ca52d638a" ma:termSetId="3849f766-7b40-4f60-abbb-840c58683342" ma:anchorId="00000000-0000-0000-0000-000000000000" ma:open="true" ma:isKeyword="false">
      <xsd:complexType>
        <xsd:sequence>
          <xsd:element ref="pc:Terms" minOccurs="0" maxOccurs="1"/>
        </xsd:sequence>
      </xsd:complexType>
    </xsd:element>
    <xsd:element name="AdvisingsDatabase" ma:index="27" ma:displayName="Advisings Database" ma:format="Dropdown" ma:internalName="AdvisingsDatabase" ma:readOnly="false">
      <xsd:simpleType>
        <xsd:restriction base="dms:Choice">
          <xsd:enumeration valu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9" ma:displayName="Date Created" ma:description="The date on which this resource was created" ma:format="DateTime" ma:internalName="_DCDateCreat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46048cb1-fcff-4fba-955f-b370aadebf91</TermId>
        </TermInfo>
      </Terms>
    </jd1c641577414dfdab1686c9d5d0dbd0>
    <TaxCatchAll xmlns="27bba60b-8344-4f77-bb4d-4abea71fd4ad">
      <Value>190</Value>
      <Value>3</Value>
      <Value>135</Value>
      <Value>1</Value>
    </TaxCatchAll>
    <NonRecordJustification xmlns="685f9fda-bd71-4433-b331-92feb9553089">None</NonRecordJustification>
    <ebe9aaf1ad2e44d4a2da0e3109a121ee xmlns="e5cb917f-4135-4f26-866f-3bac1ed7ab3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555893c8-4554-4fa0-8bfd-7a61f8da090e</TermId>
        </TermInfo>
      </Terms>
    </ebe9aaf1ad2e44d4a2da0e3109a121ee>
    <_DCDateCreated xmlns="http://schemas.microsoft.com/sharepoint/v3/fields">2016-10-30T13:00:00+00:00</_DCDateCreated>
    <AdvisingsDatabase xmlns="e5cb917f-4135-4f26-866f-3bac1ed7ab3e">No</AdvisingsDatabase>
    <LEXNumber xmlns="e5cb917f-4135-4f26-866f-3bac1ed7ab3e">961</LEXNumber>
    <i758ba37c88940e586c26421e592bc03 xmlns="e5cb917f-4135-4f26-866f-3bac1ed7ab3e">
      <Terms xmlns="http://schemas.microsoft.com/office/infopath/2007/PartnerControls"/>
    </i758ba37c88940e586c26421e592bc03>
    <p5403ef223e24c6aac8ae445cb84820f xmlns="e5cb917f-4135-4f26-866f-3bac1ed7ab3e">
      <Terms xmlns="http://schemas.microsoft.com/office/infopath/2007/PartnerControls"/>
    </p5403ef223e24c6aac8ae445cb84820f>
    <oabc4c43943e42efa5238e2af47855ca xmlns="e5cb917f-4135-4f26-866f-3bac1ed7ab3e">
      <Terms xmlns="http://schemas.microsoft.com/office/infopath/2007/PartnerControls"/>
    </oabc4c43943e42efa5238e2af47855ca>
    <d8e935fc69f04a868babb549fc6a3e6b xmlns="e5cb917f-4135-4f26-866f-3bac1ed7ab3e">
      <Terms xmlns="http://schemas.microsoft.com/office/infopath/2007/PartnerControls">
        <TermInfo xmlns="http://schemas.microsoft.com/office/infopath/2007/PartnerControls">
          <TermName xmlns="http://schemas.microsoft.com/office/infopath/2007/PartnerControls">Legislation development</TermName>
          <TermId xmlns="http://schemas.microsoft.com/office/infopath/2007/PartnerControls">1174dd92-b53c-4054-a9f1-53c9f27d5ebb</TermId>
        </TermInfo>
      </Terms>
    </d8e935fc69f04a868babb549fc6a3e6b>
    <ShareHubID xmlns="e5cb917f-4135-4f26-866f-3bac1ed7ab3e">DOC16-273849</ShareHub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B508-1D97-41E1-BEA3-62105634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70179-1A79-4B0C-9D35-F3262CE35A2C}">
  <ds:schemaRefs>
    <ds:schemaRef ds:uri="http://schemas.microsoft.com/office/2006/metadata/properties"/>
    <ds:schemaRef ds:uri="http://schemas.microsoft.com/office/infopath/2007/PartnerControls"/>
    <ds:schemaRef ds:uri="e5cb917f-4135-4f26-866f-3bac1ed7ab3e"/>
    <ds:schemaRef ds:uri="27bba60b-8344-4f77-bb4d-4abea71fd4ad"/>
    <ds:schemaRef ds:uri="685f9fda-bd71-4433-b331-92feb9553089"/>
    <ds:schemaRef ds:uri="http://schemas.microsoft.com/sharepoint/v3/fields"/>
  </ds:schemaRefs>
</ds:datastoreItem>
</file>

<file path=customXml/itemProps3.xml><?xml version="1.0" encoding="utf-8"?>
<ds:datastoreItem xmlns:ds="http://schemas.openxmlformats.org/officeDocument/2006/customXml" ds:itemID="{176FF61E-1C9C-4711-AAEB-207BDB6F4F18}">
  <ds:schemaRefs>
    <ds:schemaRef ds:uri="http://schemas.microsoft.com/sharepoint/v3/contenttype/forms"/>
  </ds:schemaRefs>
</ds:datastoreItem>
</file>

<file path=customXml/itemProps4.xml><?xml version="1.0" encoding="utf-8"?>
<ds:datastoreItem xmlns:ds="http://schemas.openxmlformats.org/officeDocument/2006/customXml" ds:itemID="{CD4CB2E9-A6F2-40CF-B51A-FF91F5F7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instrument.dotx</Template>
  <TotalTime>90</TotalTime>
  <Pages>30</Pages>
  <Words>9236</Words>
  <Characters>52650</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Bushnell, Dylan</dc:creator>
  <cp:lastModifiedBy>Gibson, Vikki</cp:lastModifiedBy>
  <cp:revision>2</cp:revision>
  <cp:lastPrinted>2016-12-22T04:27:00Z</cp:lastPrinted>
  <dcterms:created xsi:type="dcterms:W3CDTF">2017-01-10T02:30:00Z</dcterms:created>
  <dcterms:modified xsi:type="dcterms:W3CDTF">2017-01-10T02:30:00Z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0x0101002825A64A6E1845A99A9D8EE8A5686ECB00F34F59B8B28A914A89C6C39BB4AC68C200D2AB4157C3B2104CBFBE357410CD9F07</vt:lpwstr>
  </property>
  <property fmtid="{D5CDD505-2E9C-101B-9397-08002B2CF9AE}" pid="3" name="LegislationConsidered">
    <vt:lpwstr/>
  </property>
  <property fmtid="{D5CDD505-2E9C-101B-9397-08002B2CF9AE}" pid="4" name="HPRMSecurityLevel">
    <vt:lpwstr>1;#UNCLASSIFIED|9c49a7c7-17c7-412f-8077-62dec89b9196</vt:lpwstr>
  </property>
  <property fmtid="{D5CDD505-2E9C-101B-9397-08002B2CF9AE}" pid="5" name="LegalSubjectMatter">
    <vt:lpwstr>135;#Legislation development|1174dd92-b53c-4054-a9f1-53c9f27d5ebb</vt:lpwstr>
  </property>
  <property fmtid="{D5CDD505-2E9C-101B-9397-08002B2CF9AE}" pid="6" name="IAGLegalDocumentAuthor">
    <vt:lpwstr>190;#Other|555893c8-4554-4fa0-8bfd-7a61f8da090e</vt:lpwstr>
  </property>
  <property fmtid="{D5CDD505-2E9C-101B-9397-08002B2CF9AE}" pid="7" name="HPRMSecurityCaveat">
    <vt:lpwstr>3;#Sensitive Legal|46048cb1-fcff-4fba-955f-b370aadebf91</vt:lpwstr>
  </property>
  <property fmtid="{D5CDD505-2E9C-101B-9397-08002B2CF9AE}" pid="8" name="DocumentType">
    <vt:lpwstr/>
  </property>
  <property fmtid="{D5CDD505-2E9C-101B-9397-08002B2CF9AE}" pid="9" name="CommonwealthEntity">
    <vt:lpwstr/>
  </property>
</Properties>
</file>