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Default="006C4A30" w:rsidP="006C4A30">
      <w:pPr>
        <w:pStyle w:val="ttCrest"/>
        <w:rPr>
          <w:sz w:val="19"/>
        </w:rPr>
      </w:pPr>
      <w:r>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Default="00C730C7" w:rsidP="00F81A21">
      <w:pPr>
        <w:pStyle w:val="ShortT"/>
      </w:pPr>
      <w:r>
        <w:t xml:space="preserve">Biosecurity (Suspended Goods—Uncooked Prawns) Amendment </w:t>
      </w:r>
      <w:r w:rsidR="00C31F12" w:rsidRPr="00337460">
        <w:t>(</w:t>
      </w:r>
      <w:r w:rsidR="0040373B">
        <w:t>Exceptions</w:t>
      </w:r>
      <w:r w:rsidR="00C31F12" w:rsidRPr="00337460">
        <w:t>)</w:t>
      </w:r>
      <w:r w:rsidR="00C31F12" w:rsidRPr="0040373B">
        <w:t xml:space="preserve"> </w:t>
      </w:r>
      <w:r>
        <w:t>Determination 2017</w:t>
      </w:r>
    </w:p>
    <w:p w:rsidR="00F81A21" w:rsidRPr="002A0313" w:rsidRDefault="00F81A21" w:rsidP="00F81A21">
      <w:pPr>
        <w:pStyle w:val="SignCoverPageStart"/>
        <w:rPr>
          <w:szCs w:val="22"/>
        </w:rPr>
      </w:pPr>
      <w:r w:rsidRPr="002A0313">
        <w:rPr>
          <w:szCs w:val="22"/>
        </w:rPr>
        <w:t xml:space="preserve">I, </w:t>
      </w:r>
      <w:r w:rsidR="00C730C7">
        <w:rPr>
          <w:szCs w:val="22"/>
        </w:rPr>
        <w:t>Daryl Quinlivan, Director of Biosecurity, make the following determination.</w:t>
      </w:r>
    </w:p>
    <w:p w:rsidR="00F81A21" w:rsidRDefault="00F81A21" w:rsidP="00F81A21">
      <w:pPr>
        <w:keepNext/>
        <w:spacing w:before="300" w:line="240" w:lineRule="atLeast"/>
        <w:ind w:right="397"/>
        <w:jc w:val="both"/>
        <w:rPr>
          <w:szCs w:val="22"/>
        </w:rPr>
      </w:pPr>
      <w:r w:rsidRPr="002A0313">
        <w:rPr>
          <w:szCs w:val="22"/>
        </w:rPr>
        <w:t>Dated</w:t>
      </w:r>
      <w:r w:rsidRPr="002A0313">
        <w:rPr>
          <w:szCs w:val="22"/>
        </w:rPr>
        <w:tab/>
      </w:r>
      <w:r w:rsidRPr="002A0313">
        <w:rPr>
          <w:szCs w:val="22"/>
        </w:rPr>
        <w:tab/>
      </w:r>
      <w:r w:rsidRPr="002A0313">
        <w:rPr>
          <w:szCs w:val="22"/>
        </w:rPr>
        <w:tab/>
      </w:r>
      <w:r w:rsidRPr="002A0313">
        <w:rPr>
          <w:szCs w:val="22"/>
        </w:rPr>
        <w:tab/>
      </w:r>
      <w:bookmarkStart w:id="0" w:name="BKCheck15B_1"/>
      <w:bookmarkEnd w:id="0"/>
      <w:r w:rsidR="00D3532C">
        <w:rPr>
          <w:szCs w:val="22"/>
        </w:rPr>
        <w:t>3</w:t>
      </w:r>
      <w:bookmarkStart w:id="1" w:name="_GoBack"/>
      <w:bookmarkEnd w:id="1"/>
      <w:r w:rsidR="00C730C7">
        <w:rPr>
          <w:szCs w:val="22"/>
        </w:rPr>
        <w:t xml:space="preserve"> </w:t>
      </w:r>
      <w:r w:rsidR="00C33FEF">
        <w:rPr>
          <w:szCs w:val="22"/>
        </w:rPr>
        <w:t>February</w:t>
      </w:r>
      <w:r w:rsidR="00C730C7">
        <w:rPr>
          <w:szCs w:val="22"/>
        </w:rPr>
        <w:t xml:space="preserve"> 2017</w:t>
      </w:r>
    </w:p>
    <w:p w:rsidR="00F81A21" w:rsidRPr="002A0313" w:rsidRDefault="00C730C7" w:rsidP="009121A5">
      <w:pPr>
        <w:keepNext/>
        <w:tabs>
          <w:tab w:val="left" w:pos="3402"/>
        </w:tabs>
        <w:spacing w:before="1440" w:line="300" w:lineRule="atLeast"/>
        <w:ind w:right="397"/>
        <w:rPr>
          <w:szCs w:val="22"/>
        </w:rPr>
      </w:pPr>
      <w:r>
        <w:rPr>
          <w:szCs w:val="22"/>
        </w:rPr>
        <w:t xml:space="preserve">Daryl Quinlivan </w:t>
      </w:r>
    </w:p>
    <w:p w:rsidR="00F81A21" w:rsidRPr="002A0313" w:rsidRDefault="00C730C7" w:rsidP="00F81A21">
      <w:pPr>
        <w:pStyle w:val="SignCoverPageEnd"/>
        <w:rPr>
          <w:szCs w:val="22"/>
        </w:rPr>
      </w:pPr>
      <w:r>
        <w:rPr>
          <w:szCs w:val="22"/>
        </w:rPr>
        <w:t>Director of Biosecurity</w:t>
      </w:r>
    </w:p>
    <w:p w:rsidR="00F47AAB" w:rsidRDefault="00F47AAB">
      <w:pPr>
        <w:spacing w:line="240" w:lineRule="auto"/>
      </w:pPr>
      <w:r>
        <w:br w:type="page"/>
      </w:r>
    </w:p>
    <w:p w:rsidR="00F47AAB" w:rsidRPr="002A0313" w:rsidRDefault="00F47AAB" w:rsidP="00F47AAB">
      <w:pPr>
        <w:rPr>
          <w:sz w:val="36"/>
        </w:rPr>
      </w:pPr>
      <w:r w:rsidRPr="002A0313">
        <w:rPr>
          <w:sz w:val="36"/>
        </w:rPr>
        <w:lastRenderedPageBreak/>
        <w:t>Contents</w:t>
      </w:r>
    </w:p>
    <w:bookmarkStart w:id="2" w:name="BKCheck15B_2"/>
    <w:bookmarkEnd w:id="2"/>
    <w:p w:rsidR="00EF7123" w:rsidRDefault="00BB0FE6">
      <w:pPr>
        <w:pStyle w:val="TOC5"/>
        <w:rPr>
          <w:rFonts w:asciiTheme="minorHAnsi" w:eastAsiaTheme="minorEastAsia" w:hAnsiTheme="minorHAnsi" w:cstheme="minorBidi"/>
          <w:noProof/>
          <w:kern w:val="0"/>
          <w:sz w:val="22"/>
          <w:szCs w:val="22"/>
        </w:rPr>
      </w:pPr>
      <w:r>
        <w:rPr>
          <w:b/>
          <w:sz w:val="24"/>
        </w:rPr>
        <w:fldChar w:fldCharType="begin"/>
      </w:r>
      <w:r w:rsidR="00CC1C01">
        <w:instrText xml:space="preserve"> TOC \o1-9 </w:instrText>
      </w:r>
      <w:r>
        <w:rPr>
          <w:b/>
          <w:sz w:val="24"/>
        </w:rPr>
        <w:fldChar w:fldCharType="separate"/>
      </w:r>
      <w:r w:rsidR="00EF7123">
        <w:rPr>
          <w:noProof/>
        </w:rPr>
        <w:t>1  Name</w:t>
      </w:r>
      <w:r w:rsidR="00EF7123">
        <w:rPr>
          <w:noProof/>
        </w:rPr>
        <w:tab/>
      </w:r>
      <w:r w:rsidR="00EF7123">
        <w:rPr>
          <w:noProof/>
        </w:rPr>
        <w:fldChar w:fldCharType="begin"/>
      </w:r>
      <w:r w:rsidR="00EF7123">
        <w:rPr>
          <w:noProof/>
        </w:rPr>
        <w:instrText xml:space="preserve"> PAGEREF _Toc473898063 \h </w:instrText>
      </w:r>
      <w:r w:rsidR="00EF7123">
        <w:rPr>
          <w:noProof/>
        </w:rPr>
      </w:r>
      <w:r w:rsidR="00EF7123">
        <w:rPr>
          <w:noProof/>
        </w:rPr>
        <w:fldChar w:fldCharType="separate"/>
      </w:r>
      <w:r w:rsidR="00EF7123">
        <w:rPr>
          <w:noProof/>
        </w:rPr>
        <w:t>3</w:t>
      </w:r>
      <w:r w:rsidR="00EF7123">
        <w:rPr>
          <w:noProof/>
        </w:rPr>
        <w:fldChar w:fldCharType="end"/>
      </w:r>
    </w:p>
    <w:p w:rsidR="00EF7123" w:rsidRDefault="00EF712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_Toc473898064 \h </w:instrText>
      </w:r>
      <w:r>
        <w:rPr>
          <w:noProof/>
        </w:rPr>
      </w:r>
      <w:r>
        <w:rPr>
          <w:noProof/>
        </w:rPr>
        <w:fldChar w:fldCharType="separate"/>
      </w:r>
      <w:r>
        <w:rPr>
          <w:noProof/>
        </w:rPr>
        <w:t>3</w:t>
      </w:r>
      <w:r>
        <w:rPr>
          <w:noProof/>
        </w:rPr>
        <w:fldChar w:fldCharType="end"/>
      </w:r>
    </w:p>
    <w:p w:rsidR="00EF7123" w:rsidRDefault="00EF712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_Toc473898065 \h </w:instrText>
      </w:r>
      <w:r>
        <w:rPr>
          <w:noProof/>
        </w:rPr>
      </w:r>
      <w:r>
        <w:rPr>
          <w:noProof/>
        </w:rPr>
        <w:fldChar w:fldCharType="separate"/>
      </w:r>
      <w:r>
        <w:rPr>
          <w:noProof/>
        </w:rPr>
        <w:t>3</w:t>
      </w:r>
      <w:r>
        <w:rPr>
          <w:noProof/>
        </w:rPr>
        <w:fldChar w:fldCharType="end"/>
      </w:r>
    </w:p>
    <w:p w:rsidR="00EF7123" w:rsidRDefault="00EF712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_Toc473898066 \h </w:instrText>
      </w:r>
      <w:r>
        <w:rPr>
          <w:noProof/>
        </w:rPr>
      </w:r>
      <w:r>
        <w:rPr>
          <w:noProof/>
        </w:rPr>
        <w:fldChar w:fldCharType="separate"/>
      </w:r>
      <w:r>
        <w:rPr>
          <w:noProof/>
        </w:rPr>
        <w:t>3</w:t>
      </w:r>
      <w:r>
        <w:rPr>
          <w:noProof/>
        </w:rPr>
        <w:fldChar w:fldCharType="end"/>
      </w:r>
    </w:p>
    <w:p w:rsidR="00EF7123" w:rsidRDefault="00EF7123">
      <w:pPr>
        <w:pStyle w:val="TOC5"/>
        <w:rPr>
          <w:rFonts w:asciiTheme="minorHAnsi" w:eastAsiaTheme="minorEastAsia" w:hAnsiTheme="minorHAnsi" w:cstheme="minorBidi"/>
          <w:noProof/>
          <w:kern w:val="0"/>
          <w:sz w:val="22"/>
          <w:szCs w:val="22"/>
        </w:rPr>
      </w:pPr>
      <w:r>
        <w:rPr>
          <w:noProof/>
        </w:rPr>
        <w:t>5  Reasons for making this determination</w:t>
      </w:r>
      <w:r>
        <w:rPr>
          <w:noProof/>
        </w:rPr>
        <w:tab/>
      </w:r>
      <w:r>
        <w:rPr>
          <w:noProof/>
        </w:rPr>
        <w:fldChar w:fldCharType="begin"/>
      </w:r>
      <w:r>
        <w:rPr>
          <w:noProof/>
        </w:rPr>
        <w:instrText xml:space="preserve"> PAGEREF _Toc473898067 \h </w:instrText>
      </w:r>
      <w:r>
        <w:rPr>
          <w:noProof/>
        </w:rPr>
      </w:r>
      <w:r>
        <w:rPr>
          <w:noProof/>
        </w:rPr>
        <w:fldChar w:fldCharType="separate"/>
      </w:r>
      <w:r>
        <w:rPr>
          <w:noProof/>
        </w:rPr>
        <w:t>4</w:t>
      </w:r>
      <w:r>
        <w:rPr>
          <w:noProof/>
        </w:rPr>
        <w:fldChar w:fldCharType="end"/>
      </w:r>
    </w:p>
    <w:p w:rsidR="00EF7123" w:rsidRDefault="00EF7123">
      <w:pPr>
        <w:pStyle w:val="TOC5"/>
        <w:rPr>
          <w:rFonts w:asciiTheme="minorHAnsi" w:eastAsiaTheme="minorEastAsia" w:hAnsiTheme="minorHAnsi" w:cstheme="minorBidi"/>
          <w:noProof/>
          <w:kern w:val="0"/>
          <w:sz w:val="22"/>
          <w:szCs w:val="22"/>
        </w:rPr>
      </w:pPr>
      <w:r>
        <w:rPr>
          <w:noProof/>
        </w:rPr>
        <w:t>6  Schedules</w:t>
      </w:r>
      <w:r>
        <w:rPr>
          <w:noProof/>
        </w:rPr>
        <w:tab/>
      </w:r>
      <w:r>
        <w:rPr>
          <w:noProof/>
        </w:rPr>
        <w:fldChar w:fldCharType="begin"/>
      </w:r>
      <w:r>
        <w:rPr>
          <w:noProof/>
        </w:rPr>
        <w:instrText xml:space="preserve"> PAGEREF _Toc473898068 \h </w:instrText>
      </w:r>
      <w:r>
        <w:rPr>
          <w:noProof/>
        </w:rPr>
      </w:r>
      <w:r>
        <w:rPr>
          <w:noProof/>
        </w:rPr>
        <w:fldChar w:fldCharType="separate"/>
      </w:r>
      <w:r>
        <w:rPr>
          <w:noProof/>
        </w:rPr>
        <w:t>4</w:t>
      </w:r>
      <w:r>
        <w:rPr>
          <w:noProof/>
        </w:rPr>
        <w:fldChar w:fldCharType="end"/>
      </w:r>
    </w:p>
    <w:p w:rsidR="00EF7123" w:rsidRDefault="00EF7123">
      <w:pPr>
        <w:pStyle w:val="TOC1"/>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_Toc473898069 \h </w:instrText>
      </w:r>
      <w:r>
        <w:rPr>
          <w:noProof/>
        </w:rPr>
      </w:r>
      <w:r>
        <w:rPr>
          <w:noProof/>
        </w:rPr>
        <w:fldChar w:fldCharType="separate"/>
      </w:r>
      <w:r>
        <w:rPr>
          <w:noProof/>
        </w:rPr>
        <w:t>5</w:t>
      </w:r>
      <w:r>
        <w:rPr>
          <w:noProof/>
        </w:rPr>
        <w:fldChar w:fldCharType="end"/>
      </w:r>
    </w:p>
    <w:p w:rsidR="00EF7123" w:rsidRDefault="00EF7123">
      <w:pPr>
        <w:pStyle w:val="TOC9"/>
        <w:rPr>
          <w:rFonts w:asciiTheme="minorHAnsi" w:eastAsiaTheme="minorEastAsia" w:hAnsiTheme="minorHAnsi" w:cstheme="minorBidi"/>
          <w:i w:val="0"/>
          <w:noProof/>
          <w:kern w:val="0"/>
          <w:sz w:val="22"/>
          <w:szCs w:val="22"/>
        </w:rPr>
      </w:pPr>
      <w:r>
        <w:rPr>
          <w:noProof/>
        </w:rPr>
        <w:t>Biosecurity (Suspended Goods – Uncooked Prawns) Determination 2017</w:t>
      </w:r>
      <w:r>
        <w:rPr>
          <w:noProof/>
        </w:rPr>
        <w:tab/>
      </w:r>
      <w:r>
        <w:rPr>
          <w:noProof/>
        </w:rPr>
        <w:fldChar w:fldCharType="begin"/>
      </w:r>
      <w:r>
        <w:rPr>
          <w:noProof/>
        </w:rPr>
        <w:instrText xml:space="preserve"> PAGEREF _Toc473898070 \h </w:instrText>
      </w:r>
      <w:r>
        <w:rPr>
          <w:noProof/>
        </w:rPr>
      </w:r>
      <w:r>
        <w:rPr>
          <w:noProof/>
        </w:rPr>
        <w:fldChar w:fldCharType="separate"/>
      </w:r>
      <w:r>
        <w:rPr>
          <w:noProof/>
        </w:rPr>
        <w:t>5</w:t>
      </w:r>
      <w:r>
        <w:rPr>
          <w:noProof/>
        </w:rPr>
        <w:fldChar w:fldCharType="end"/>
      </w:r>
    </w:p>
    <w:p w:rsidR="00EF7123" w:rsidRDefault="00EF7123">
      <w:pPr>
        <w:pStyle w:val="TOC1"/>
        <w:rPr>
          <w:rFonts w:asciiTheme="minorHAnsi" w:eastAsiaTheme="minorEastAsia" w:hAnsiTheme="minorHAnsi" w:cstheme="minorBidi"/>
          <w:b w:val="0"/>
          <w:noProof/>
          <w:kern w:val="0"/>
          <w:sz w:val="22"/>
          <w:szCs w:val="22"/>
        </w:rPr>
      </w:pPr>
      <w:r>
        <w:rPr>
          <w:noProof/>
        </w:rPr>
        <w:t>Schedule 2—Reasons—prawns sourced from exclusive economic zone</w:t>
      </w:r>
      <w:r>
        <w:rPr>
          <w:noProof/>
        </w:rPr>
        <w:tab/>
      </w:r>
      <w:r>
        <w:rPr>
          <w:noProof/>
        </w:rPr>
        <w:fldChar w:fldCharType="begin"/>
      </w:r>
      <w:r>
        <w:rPr>
          <w:noProof/>
        </w:rPr>
        <w:instrText xml:space="preserve"> PAGEREF _Toc473898071 \h </w:instrText>
      </w:r>
      <w:r>
        <w:rPr>
          <w:noProof/>
        </w:rPr>
      </w:r>
      <w:r>
        <w:rPr>
          <w:noProof/>
        </w:rPr>
        <w:fldChar w:fldCharType="separate"/>
      </w:r>
      <w:r>
        <w:rPr>
          <w:noProof/>
        </w:rPr>
        <w:t>6</w:t>
      </w:r>
      <w:r>
        <w:rPr>
          <w:noProof/>
        </w:rPr>
        <w:fldChar w:fldCharType="end"/>
      </w:r>
    </w:p>
    <w:p w:rsidR="00EF7123" w:rsidRDefault="00EF7123">
      <w:pPr>
        <w:pStyle w:val="TOC1"/>
        <w:rPr>
          <w:rFonts w:asciiTheme="minorHAnsi" w:eastAsiaTheme="minorEastAsia" w:hAnsiTheme="minorHAnsi" w:cstheme="minorBidi"/>
          <w:b w:val="0"/>
          <w:noProof/>
          <w:kern w:val="0"/>
          <w:sz w:val="22"/>
          <w:szCs w:val="22"/>
        </w:rPr>
      </w:pPr>
      <w:r>
        <w:rPr>
          <w:noProof/>
        </w:rPr>
        <w:t>Schedule 3—Reasons—dried prawns and shelf</w:t>
      </w:r>
      <w:r>
        <w:rPr>
          <w:noProof/>
        </w:rPr>
        <w:noBreakHyphen/>
        <w:t>stable prawn</w:t>
      </w:r>
      <w:r>
        <w:rPr>
          <w:noProof/>
        </w:rPr>
        <w:noBreakHyphen/>
        <w:t>based food products</w:t>
      </w:r>
      <w:r>
        <w:rPr>
          <w:noProof/>
        </w:rPr>
        <w:tab/>
      </w:r>
      <w:r>
        <w:rPr>
          <w:noProof/>
        </w:rPr>
        <w:fldChar w:fldCharType="begin"/>
      </w:r>
      <w:r>
        <w:rPr>
          <w:noProof/>
        </w:rPr>
        <w:instrText xml:space="preserve"> PAGEREF _Toc473898072 \h </w:instrText>
      </w:r>
      <w:r>
        <w:rPr>
          <w:noProof/>
        </w:rPr>
      </w:r>
      <w:r>
        <w:rPr>
          <w:noProof/>
        </w:rPr>
        <w:fldChar w:fldCharType="separate"/>
      </w:r>
      <w:r>
        <w:rPr>
          <w:noProof/>
        </w:rPr>
        <w:t>7</w:t>
      </w:r>
      <w:r>
        <w:rPr>
          <w:noProof/>
        </w:rPr>
        <w:fldChar w:fldCharType="end"/>
      </w:r>
    </w:p>
    <w:p w:rsidR="00EF7123" w:rsidRDefault="00EF7123">
      <w:pPr>
        <w:pStyle w:val="TOC1"/>
        <w:rPr>
          <w:rFonts w:asciiTheme="minorHAnsi" w:eastAsiaTheme="minorEastAsia" w:hAnsiTheme="minorHAnsi" w:cstheme="minorBidi"/>
          <w:b w:val="0"/>
          <w:noProof/>
          <w:kern w:val="0"/>
          <w:sz w:val="22"/>
          <w:szCs w:val="22"/>
        </w:rPr>
      </w:pPr>
      <w:r>
        <w:rPr>
          <w:noProof/>
        </w:rPr>
        <w:t>Schedule 4—Reasons—bait for aquatic use, pet fish food and aquaculture feed</w:t>
      </w:r>
      <w:r>
        <w:rPr>
          <w:noProof/>
        </w:rPr>
        <w:tab/>
      </w:r>
      <w:r>
        <w:rPr>
          <w:noProof/>
        </w:rPr>
        <w:fldChar w:fldCharType="begin"/>
      </w:r>
      <w:r>
        <w:rPr>
          <w:noProof/>
        </w:rPr>
        <w:instrText xml:space="preserve"> PAGEREF _Toc473898073 \h </w:instrText>
      </w:r>
      <w:r>
        <w:rPr>
          <w:noProof/>
        </w:rPr>
      </w:r>
      <w:r>
        <w:rPr>
          <w:noProof/>
        </w:rPr>
        <w:fldChar w:fldCharType="separate"/>
      </w:r>
      <w:r>
        <w:rPr>
          <w:noProof/>
        </w:rPr>
        <w:t>10</w:t>
      </w:r>
      <w:r>
        <w:rPr>
          <w:noProof/>
        </w:rPr>
        <w:fldChar w:fldCharType="end"/>
      </w:r>
    </w:p>
    <w:p w:rsidR="00536929" w:rsidRDefault="00BB0FE6" w:rsidP="00536929">
      <w:pPr>
        <w:spacing w:line="240" w:lineRule="auto"/>
      </w:pPr>
      <w:r>
        <w:fldChar w:fldCharType="end"/>
      </w:r>
      <w:r w:rsidR="00536929">
        <w:br w:type="page"/>
      </w:r>
    </w:p>
    <w:p w:rsidR="00F47AAB" w:rsidRPr="002A0313" w:rsidRDefault="00FB464B" w:rsidP="00AD7BE4">
      <w:pPr>
        <w:pStyle w:val="h5Section"/>
      </w:pPr>
      <w:bookmarkStart w:id="3" w:name="_Toc405889305"/>
      <w:bookmarkStart w:id="4" w:name="_Toc473898063"/>
      <w:r>
        <w:lastRenderedPageBreak/>
        <w:t>1</w:t>
      </w:r>
      <w:r w:rsidR="00AD7BE4">
        <w:t xml:space="preserve"> </w:t>
      </w:r>
      <w:r w:rsidR="004040B2">
        <w:t xml:space="preserve"> </w:t>
      </w:r>
      <w:r w:rsidR="00F47AAB" w:rsidRPr="002A0313">
        <w:t>Name</w:t>
      </w:r>
      <w:bookmarkEnd w:id="3"/>
      <w:bookmarkEnd w:id="4"/>
    </w:p>
    <w:p w:rsidR="00F47AAB" w:rsidRDefault="00F47AAB" w:rsidP="00F47AAB">
      <w:pPr>
        <w:pStyle w:val="tMain"/>
      </w:pPr>
      <w:r w:rsidRPr="002A0313">
        <w:tab/>
      </w:r>
      <w:r w:rsidRPr="002A0313">
        <w:tab/>
        <w:t xml:space="preserve">This is the </w:t>
      </w:r>
      <w:bookmarkStart w:id="5" w:name="BKCheck15B_3"/>
      <w:bookmarkEnd w:id="5"/>
      <w:r w:rsidR="00FB464B">
        <w:rPr>
          <w:i/>
          <w:noProof/>
        </w:rPr>
        <w:t>Biosecurity (Suspended Goods—Uncooked Prawns) Amendment (Exceptions) Determination 2017</w:t>
      </w:r>
      <w:r w:rsidRPr="002A0313">
        <w:t>.</w:t>
      </w:r>
    </w:p>
    <w:p w:rsidR="00AD7BE4" w:rsidRDefault="00FB464B" w:rsidP="00AD7BE4">
      <w:pPr>
        <w:pStyle w:val="h5Section"/>
      </w:pPr>
      <w:bookmarkStart w:id="6" w:name="_Toc405889306"/>
      <w:bookmarkStart w:id="7" w:name="_Toc473898064"/>
      <w:r>
        <w:t>2</w:t>
      </w:r>
      <w:r w:rsidR="00AD7BE4">
        <w:t xml:space="preserve">  </w:t>
      </w:r>
      <w:r w:rsidR="00AD7BE4" w:rsidRPr="002A0313">
        <w:t>Commencement</w:t>
      </w:r>
      <w:bookmarkEnd w:id="6"/>
      <w:bookmarkEnd w:id="7"/>
    </w:p>
    <w:p w:rsidR="000610BE" w:rsidRPr="009B733C" w:rsidRDefault="000610BE" w:rsidP="000610BE">
      <w:pPr>
        <w:pStyle w:val="tMain"/>
      </w:pPr>
      <w:r>
        <w:tab/>
      </w:r>
      <w:r w:rsidR="00FB464B">
        <w:t>(1)</w:t>
      </w:r>
      <w:r>
        <w:tab/>
      </w:r>
      <w:r w:rsidRPr="009B733C">
        <w:t>Each provision of this instrument specified in column 1 of the table commences, or is taken to have commenced, in accordance with column 2 of the table. Any other statement in column 2 has effect according to its terms.</w:t>
      </w:r>
    </w:p>
    <w:p w:rsidR="000610BE" w:rsidRPr="009B733C" w:rsidRDefault="000610BE" w:rsidP="000610B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210"/>
        <w:gridCol w:w="4975"/>
        <w:gridCol w:w="2055"/>
      </w:tblGrid>
      <w:tr w:rsidR="000610BE" w:rsidRPr="009B733C" w:rsidTr="00BC7492">
        <w:trPr>
          <w:tblHeader/>
        </w:trPr>
        <w:tc>
          <w:tcPr>
            <w:tcW w:w="5000" w:type="pct"/>
            <w:gridSpan w:val="3"/>
            <w:tcBorders>
              <w:top w:val="single" w:sz="12" w:space="0" w:color="auto"/>
              <w:bottom w:val="single" w:sz="2" w:space="0" w:color="auto"/>
            </w:tcBorders>
            <w:shd w:val="clear" w:color="auto" w:fill="auto"/>
            <w:hideMark/>
          </w:tcPr>
          <w:p w:rsidR="000610BE" w:rsidRPr="009B733C" w:rsidRDefault="000610BE" w:rsidP="00BC7492">
            <w:pPr>
              <w:pStyle w:val="TableHeading"/>
            </w:pPr>
            <w:r w:rsidRPr="009B733C">
              <w:t>Commencement information</w:t>
            </w:r>
          </w:p>
        </w:tc>
      </w:tr>
      <w:tr w:rsidR="000610BE" w:rsidRPr="009B733C" w:rsidTr="00BC7492">
        <w:trPr>
          <w:tblHeader/>
        </w:trPr>
        <w:tc>
          <w:tcPr>
            <w:tcW w:w="1196"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1</w:t>
            </w:r>
          </w:p>
        </w:tc>
        <w:tc>
          <w:tcPr>
            <w:tcW w:w="2692"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2</w:t>
            </w:r>
          </w:p>
        </w:tc>
        <w:tc>
          <w:tcPr>
            <w:tcW w:w="1112"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3</w:t>
            </w:r>
          </w:p>
        </w:tc>
      </w:tr>
      <w:tr w:rsidR="000610BE" w:rsidRPr="009B733C" w:rsidTr="00BC7492">
        <w:trPr>
          <w:tblHeader/>
        </w:trPr>
        <w:tc>
          <w:tcPr>
            <w:tcW w:w="1196"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Provisions</w:t>
            </w:r>
          </w:p>
        </w:tc>
        <w:tc>
          <w:tcPr>
            <w:tcW w:w="2692"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Commencement</w:t>
            </w:r>
          </w:p>
        </w:tc>
        <w:tc>
          <w:tcPr>
            <w:tcW w:w="1112"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Date/Details</w:t>
            </w:r>
          </w:p>
        </w:tc>
      </w:tr>
      <w:tr w:rsidR="000610BE" w:rsidRPr="009B733C" w:rsidTr="00BC7492">
        <w:tc>
          <w:tcPr>
            <w:tcW w:w="1196" w:type="pct"/>
            <w:tcBorders>
              <w:top w:val="single" w:sz="12" w:space="0" w:color="auto"/>
              <w:bottom w:val="single" w:sz="12" w:space="0" w:color="auto"/>
            </w:tcBorders>
            <w:shd w:val="clear" w:color="auto" w:fill="auto"/>
            <w:hideMark/>
          </w:tcPr>
          <w:p w:rsidR="000610BE" w:rsidRPr="007F69C7" w:rsidRDefault="000610BE" w:rsidP="00BC7492">
            <w:pPr>
              <w:pStyle w:val="Tabletext"/>
            </w:pPr>
            <w:r w:rsidRPr="007F69C7">
              <w:t>1.  The whole of this instrument</w:t>
            </w:r>
          </w:p>
        </w:tc>
        <w:tc>
          <w:tcPr>
            <w:tcW w:w="2692" w:type="pct"/>
            <w:tcBorders>
              <w:top w:val="single" w:sz="12" w:space="0" w:color="auto"/>
              <w:bottom w:val="single" w:sz="12" w:space="0" w:color="auto"/>
            </w:tcBorders>
            <w:shd w:val="clear" w:color="auto" w:fill="auto"/>
            <w:hideMark/>
          </w:tcPr>
          <w:p w:rsidR="000610BE" w:rsidRDefault="000610BE" w:rsidP="00BC7492">
            <w:pPr>
              <w:pStyle w:val="Tabletext"/>
            </w:pPr>
            <w:r w:rsidRPr="007F69C7">
              <w:t>On</w:t>
            </w:r>
            <w:r>
              <w:t xml:space="preserve"> the day after</w:t>
            </w:r>
            <w:r w:rsidR="00093931">
              <w:t xml:space="preserve"> registration of the instrument</w:t>
            </w:r>
          </w:p>
          <w:p w:rsidR="000610BE" w:rsidRPr="007F69C7" w:rsidRDefault="000610BE" w:rsidP="00BC7492">
            <w:pPr>
              <w:pStyle w:val="Tabletext"/>
            </w:pPr>
          </w:p>
        </w:tc>
        <w:tc>
          <w:tcPr>
            <w:tcW w:w="1112" w:type="pct"/>
            <w:tcBorders>
              <w:top w:val="single" w:sz="12" w:space="0" w:color="auto"/>
              <w:bottom w:val="single" w:sz="12" w:space="0" w:color="auto"/>
            </w:tcBorders>
            <w:shd w:val="clear" w:color="auto" w:fill="auto"/>
          </w:tcPr>
          <w:p w:rsidR="00093931" w:rsidRPr="009B733C" w:rsidRDefault="00093931" w:rsidP="00BC7492">
            <w:pPr>
              <w:pStyle w:val="Tabletext"/>
            </w:pPr>
          </w:p>
        </w:tc>
      </w:tr>
    </w:tbl>
    <w:p w:rsidR="000610BE" w:rsidRPr="009B733C" w:rsidRDefault="000610BE" w:rsidP="000610BE">
      <w:pPr>
        <w:pStyle w:val="nMain"/>
      </w:pPr>
      <w:r w:rsidRPr="009B733C">
        <w:rPr>
          <w:snapToGrid w:val="0"/>
          <w:lang w:eastAsia="en-US"/>
        </w:rPr>
        <w:t>Note:</w:t>
      </w:r>
      <w:r w:rsidRPr="009B733C">
        <w:rPr>
          <w:snapToGrid w:val="0"/>
          <w:lang w:eastAsia="en-US"/>
        </w:rPr>
        <w:tab/>
        <w:t xml:space="preserve">This table relates only to the provisions of this </w:t>
      </w:r>
      <w:r w:rsidRPr="009B733C">
        <w:t xml:space="preserve">instrument </w:t>
      </w:r>
      <w:r w:rsidRPr="009B733C">
        <w:rPr>
          <w:snapToGrid w:val="0"/>
          <w:lang w:eastAsia="en-US"/>
        </w:rPr>
        <w:t xml:space="preserve">as originally made. It will not be amended to deal with any later amendments of this </w:t>
      </w:r>
      <w:r w:rsidRPr="009B733C">
        <w:t>instrument</w:t>
      </w:r>
      <w:r w:rsidRPr="009B733C">
        <w:rPr>
          <w:snapToGrid w:val="0"/>
          <w:lang w:eastAsia="en-US"/>
        </w:rPr>
        <w:t>.</w:t>
      </w:r>
    </w:p>
    <w:p w:rsidR="000610BE" w:rsidRPr="009B733C" w:rsidRDefault="000610BE" w:rsidP="000610BE">
      <w:pPr>
        <w:pStyle w:val="tMain"/>
      </w:pPr>
      <w:r>
        <w:tab/>
      </w:r>
      <w:r w:rsidR="00FB464B">
        <w:t>(2)</w:t>
      </w:r>
      <w:r>
        <w:tab/>
      </w:r>
      <w:r w:rsidRPr="009B733C">
        <w:t>Any information in column 3 of the table is not part of this instrument. Information may be inserted in this column, or information in it may be edited, in any published version of this instrument.</w:t>
      </w:r>
    </w:p>
    <w:p w:rsidR="00AD7BE4" w:rsidRPr="002A0313" w:rsidRDefault="00FB464B" w:rsidP="00AD7BE4">
      <w:pPr>
        <w:pStyle w:val="h5Section"/>
      </w:pPr>
      <w:bookmarkStart w:id="8" w:name="_Toc405889307"/>
      <w:bookmarkStart w:id="9" w:name="_Toc473898065"/>
      <w:r>
        <w:t>3</w:t>
      </w:r>
      <w:r w:rsidR="00AD7BE4">
        <w:t xml:space="preserve">  </w:t>
      </w:r>
      <w:r w:rsidR="00AD7BE4" w:rsidRPr="002A0313">
        <w:t>Authority</w:t>
      </w:r>
      <w:bookmarkEnd w:id="8"/>
      <w:bookmarkEnd w:id="9"/>
    </w:p>
    <w:p w:rsidR="00AD7BE4" w:rsidRDefault="00AD7BE4" w:rsidP="00AD7BE4">
      <w:pPr>
        <w:pStyle w:val="tMain"/>
      </w:pPr>
      <w:r>
        <w:tab/>
      </w:r>
      <w:r>
        <w:tab/>
      </w:r>
      <w:r w:rsidRPr="002A0313">
        <w:t xml:space="preserve">This </w:t>
      </w:r>
      <w:r w:rsidR="00C730C7">
        <w:t xml:space="preserve">instrument </w:t>
      </w:r>
      <w:r w:rsidRPr="002A0313">
        <w:t>is made under subsection </w:t>
      </w:r>
      <w:r w:rsidR="00C730C7">
        <w:t>182</w:t>
      </w:r>
      <w:r w:rsidRPr="002A0313">
        <w:t xml:space="preserve">(1) of the </w:t>
      </w:r>
      <w:r w:rsidR="00C730C7">
        <w:rPr>
          <w:i/>
        </w:rPr>
        <w:t>Biosecurity Act 2015</w:t>
      </w:r>
      <w:r w:rsidRPr="002A0313">
        <w:t>.</w:t>
      </w:r>
    </w:p>
    <w:p w:rsidR="002E6CA7" w:rsidRDefault="00FB464B" w:rsidP="002E6CA7">
      <w:pPr>
        <w:pStyle w:val="h5Section"/>
      </w:pPr>
      <w:bookmarkStart w:id="10" w:name="_Toc405889309"/>
      <w:bookmarkStart w:id="11" w:name="_Toc473898066"/>
      <w:r>
        <w:t>4</w:t>
      </w:r>
      <w:r w:rsidR="002E6CA7">
        <w:t xml:space="preserve">  </w:t>
      </w:r>
      <w:r w:rsidR="002E6CA7" w:rsidRPr="002A0313">
        <w:t>Definitions</w:t>
      </w:r>
      <w:bookmarkEnd w:id="10"/>
      <w:bookmarkEnd w:id="11"/>
    </w:p>
    <w:p w:rsidR="004D579A" w:rsidRPr="004D579A" w:rsidRDefault="004D579A" w:rsidP="004D579A">
      <w:pPr>
        <w:spacing w:before="122" w:line="240" w:lineRule="auto"/>
        <w:ind w:left="1985" w:hanging="851"/>
        <w:rPr>
          <w:rFonts w:eastAsia="Times New Roman"/>
          <w:sz w:val="18"/>
          <w:lang w:eastAsia="en-AU"/>
        </w:rPr>
      </w:pPr>
      <w:r w:rsidRPr="004D579A">
        <w:rPr>
          <w:rFonts w:eastAsia="Times New Roman"/>
          <w:sz w:val="18"/>
          <w:lang w:eastAsia="en-AU"/>
        </w:rPr>
        <w:t>Note</w:t>
      </w:r>
      <w:r>
        <w:rPr>
          <w:rFonts w:eastAsia="Times New Roman"/>
          <w:sz w:val="18"/>
          <w:lang w:eastAsia="en-AU"/>
        </w:rPr>
        <w:t xml:space="preserve"> 1</w:t>
      </w:r>
      <w:r w:rsidRPr="004D579A">
        <w:rPr>
          <w:rFonts w:eastAsia="Times New Roman"/>
          <w:sz w:val="18"/>
          <w:lang w:eastAsia="en-AU"/>
        </w:rPr>
        <w:t>:</w:t>
      </w:r>
      <w:r w:rsidRPr="004D579A">
        <w:rPr>
          <w:rFonts w:eastAsia="Times New Roman"/>
          <w:sz w:val="18"/>
          <w:lang w:eastAsia="en-AU"/>
        </w:rPr>
        <w:tab/>
        <w:t>A number of expressions used in this instrument are defined in the Act, including the following:</w:t>
      </w:r>
    </w:p>
    <w:p w:rsidR="004D579A" w:rsidRP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(a)</w:t>
      </w:r>
      <w:r w:rsidRPr="004D579A">
        <w:rPr>
          <w:rFonts w:eastAsia="Times New Roman"/>
          <w:sz w:val="18"/>
          <w:lang w:eastAsia="en-AU"/>
        </w:rPr>
        <w:tab/>
        <w:t>ALOP;</w:t>
      </w:r>
    </w:p>
    <w:p w:rsid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(b)</w:t>
      </w:r>
      <w:r w:rsidRPr="004D579A">
        <w:rPr>
          <w:rFonts w:eastAsia="Times New Roman"/>
          <w:sz w:val="18"/>
          <w:lang w:eastAsia="en-AU"/>
        </w:rPr>
        <w:tab/>
        <w:t>Australian territory;</w:t>
      </w:r>
    </w:p>
    <w:p w:rsidR="0045572F" w:rsidRDefault="0045572F" w:rsidP="004D579A">
      <w:pPr>
        <w:spacing w:before="40" w:line="198" w:lineRule="exact"/>
        <w:ind w:left="2354" w:hanging="369"/>
        <w:rPr>
          <w:rFonts w:eastAsia="Times New Roman"/>
          <w:sz w:val="18"/>
          <w:lang w:eastAsia="en-AU"/>
        </w:rPr>
      </w:pPr>
      <w:r>
        <w:rPr>
          <w:rFonts w:eastAsia="Times New Roman"/>
          <w:sz w:val="18"/>
          <w:lang w:eastAsia="en-AU"/>
        </w:rPr>
        <w:t>(c)</w:t>
      </w:r>
      <w:r>
        <w:rPr>
          <w:rFonts w:eastAsia="Times New Roman"/>
          <w:sz w:val="18"/>
          <w:lang w:eastAsia="en-AU"/>
        </w:rPr>
        <w:tab/>
        <w:t>approved arrangement;</w:t>
      </w:r>
    </w:p>
    <w:p w:rsidR="004D579A" w:rsidRP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w:t>
      </w:r>
      <w:r w:rsidR="0045572F">
        <w:rPr>
          <w:rFonts w:eastAsia="Times New Roman"/>
          <w:sz w:val="18"/>
          <w:lang w:eastAsia="en-AU"/>
        </w:rPr>
        <w:t>d</w:t>
      </w:r>
      <w:r w:rsidRPr="004D579A">
        <w:rPr>
          <w:rFonts w:eastAsia="Times New Roman"/>
          <w:sz w:val="18"/>
          <w:lang w:eastAsia="en-AU"/>
        </w:rPr>
        <w:t>)</w:t>
      </w:r>
      <w:r w:rsidRPr="004D579A">
        <w:rPr>
          <w:rFonts w:eastAsia="Times New Roman"/>
          <w:sz w:val="18"/>
          <w:lang w:eastAsia="en-AU"/>
        </w:rPr>
        <w:tab/>
        <w:t>goods.</w:t>
      </w:r>
    </w:p>
    <w:p w:rsidR="00424539" w:rsidRDefault="00424539" w:rsidP="00424539">
      <w:pPr>
        <w:pStyle w:val="nMain"/>
      </w:pPr>
      <w:r>
        <w:t>Note</w:t>
      </w:r>
      <w:r w:rsidR="004D579A">
        <w:t xml:space="preserve"> 2</w:t>
      </w:r>
      <w:r>
        <w:t>:</w:t>
      </w:r>
      <w:r>
        <w:tab/>
        <w:t xml:space="preserve">The term “exclusive economic zone” is defined in the </w:t>
      </w:r>
      <w:r>
        <w:rPr>
          <w:i/>
        </w:rPr>
        <w:t>Acts Interpretation Act 1901</w:t>
      </w:r>
      <w:r>
        <w:t>.</w:t>
      </w:r>
    </w:p>
    <w:p w:rsidR="002E6CA7" w:rsidRDefault="002E6CA7" w:rsidP="002E6CA7">
      <w:pPr>
        <w:pStyle w:val="tMain"/>
      </w:pPr>
      <w:r>
        <w:tab/>
      </w:r>
      <w:r>
        <w:tab/>
      </w:r>
      <w:r w:rsidRPr="002A0313">
        <w:t xml:space="preserve">In this </w:t>
      </w:r>
      <w:r>
        <w:t>instrument</w:t>
      </w:r>
      <w:r w:rsidRPr="002A0313">
        <w:t>:</w:t>
      </w:r>
    </w:p>
    <w:p w:rsidR="002E6CA7" w:rsidRDefault="002E6CA7" w:rsidP="002E6CA7">
      <w:pPr>
        <w:pStyle w:val="tDefn"/>
      </w:pPr>
      <w:r w:rsidRPr="005279CC">
        <w:rPr>
          <w:b/>
          <w:i/>
        </w:rPr>
        <w:t>Act</w:t>
      </w:r>
      <w:r>
        <w:t xml:space="preserve"> means the </w:t>
      </w:r>
      <w:r>
        <w:rPr>
          <w:i/>
        </w:rPr>
        <w:t>Biosecurity Act 2015</w:t>
      </w:r>
      <w:r>
        <w:t>.</w:t>
      </w:r>
    </w:p>
    <w:p w:rsidR="002E6CA7" w:rsidRDefault="002E6CA7" w:rsidP="002E6CA7">
      <w:pPr>
        <w:pStyle w:val="tDefn"/>
      </w:pPr>
      <w:r w:rsidRPr="005279CC">
        <w:rPr>
          <w:b/>
          <w:i/>
        </w:rPr>
        <w:t>principal determination</w:t>
      </w:r>
      <w:r>
        <w:t xml:space="preserve"> means the </w:t>
      </w:r>
      <w:r>
        <w:rPr>
          <w:i/>
        </w:rPr>
        <w:t>Biosecurity (Suspended Goods – Uncooked Prawns) Determination 2017</w:t>
      </w:r>
      <w:r>
        <w:t>.</w:t>
      </w:r>
    </w:p>
    <w:p w:rsidR="002E6CA7" w:rsidRDefault="002E6CA7" w:rsidP="002E6CA7">
      <w:pPr>
        <w:pStyle w:val="tDefn"/>
      </w:pPr>
      <w:r>
        <w:rPr>
          <w:b/>
          <w:i/>
        </w:rPr>
        <w:t xml:space="preserve">proscribed class of goods </w:t>
      </w:r>
      <w:r>
        <w:t>means the class of goods to which Part 2 of the principal determination applies.</w:t>
      </w:r>
    </w:p>
    <w:p w:rsidR="001E5E30" w:rsidRDefault="001E5E30" w:rsidP="001E5E30">
      <w:pPr>
        <w:pStyle w:val="nMain"/>
      </w:pPr>
      <w:r>
        <w:t>Note:</w:t>
      </w:r>
      <w:r>
        <w:tab/>
        <w:t xml:space="preserve">Part 2 of the principal determination applies </w:t>
      </w:r>
      <w:r w:rsidR="0036127D">
        <w:t xml:space="preserve">to </w:t>
      </w:r>
      <w:r>
        <w:t>uncooked prawns and uncooked prawn meat:</w:t>
      </w:r>
    </w:p>
    <w:p w:rsidR="00FE031A" w:rsidRPr="004D579A" w:rsidRDefault="001E5E30" w:rsidP="004D579A">
      <w:pPr>
        <w:spacing w:before="40" w:line="198" w:lineRule="exact"/>
        <w:ind w:left="2354" w:hanging="369"/>
        <w:rPr>
          <w:rFonts w:eastAsia="Times New Roman"/>
          <w:sz w:val="18"/>
          <w:lang w:eastAsia="en-AU"/>
        </w:rPr>
      </w:pPr>
      <w:r w:rsidRPr="004D579A">
        <w:rPr>
          <w:rFonts w:eastAsia="Times New Roman"/>
          <w:sz w:val="18"/>
          <w:lang w:eastAsia="en-AU"/>
        </w:rPr>
        <w:t>(a)</w:t>
      </w:r>
      <w:r w:rsidRPr="004D579A">
        <w:rPr>
          <w:rFonts w:eastAsia="Times New Roman"/>
          <w:sz w:val="18"/>
          <w:lang w:eastAsia="en-AU"/>
        </w:rPr>
        <w:tab/>
        <w:t>including uncooked prawns and uncooked prawn meat that ha</w:t>
      </w:r>
      <w:r w:rsidR="00FA59C6">
        <w:rPr>
          <w:rFonts w:eastAsia="Times New Roman"/>
          <w:sz w:val="18"/>
          <w:lang w:eastAsia="en-AU"/>
        </w:rPr>
        <w:t>ve</w:t>
      </w:r>
      <w:r w:rsidRPr="004D579A">
        <w:rPr>
          <w:rFonts w:eastAsia="Times New Roman"/>
          <w:sz w:val="18"/>
          <w:lang w:eastAsia="en-AU"/>
        </w:rPr>
        <w:t xml:space="preserve"> been marinated for human consumption</w:t>
      </w:r>
      <w:r w:rsidR="004D579A" w:rsidRPr="004D579A">
        <w:rPr>
          <w:rFonts w:eastAsia="Times New Roman"/>
          <w:sz w:val="18"/>
          <w:lang w:eastAsia="en-AU"/>
        </w:rPr>
        <w:t>;</w:t>
      </w:r>
      <w:r w:rsidR="00FE031A" w:rsidRPr="004D579A">
        <w:rPr>
          <w:rFonts w:eastAsia="Times New Roman"/>
          <w:sz w:val="18"/>
          <w:lang w:eastAsia="en-AU"/>
        </w:rPr>
        <w:t xml:space="preserve"> but</w:t>
      </w:r>
    </w:p>
    <w:p w:rsidR="001E5E30" w:rsidRPr="004D579A" w:rsidRDefault="00FE031A" w:rsidP="004D579A">
      <w:pPr>
        <w:spacing w:before="40" w:line="198" w:lineRule="exact"/>
        <w:ind w:left="2354" w:hanging="369"/>
        <w:rPr>
          <w:rFonts w:eastAsia="Times New Roman"/>
          <w:sz w:val="18"/>
          <w:lang w:eastAsia="en-AU"/>
        </w:rPr>
      </w:pPr>
      <w:r w:rsidRPr="004D579A">
        <w:rPr>
          <w:rFonts w:eastAsia="Times New Roman"/>
          <w:sz w:val="18"/>
          <w:lang w:eastAsia="en-AU"/>
        </w:rPr>
        <w:t>(b)</w:t>
      </w:r>
      <w:r w:rsidRPr="004D579A">
        <w:rPr>
          <w:rFonts w:eastAsia="Times New Roman"/>
          <w:sz w:val="18"/>
          <w:lang w:eastAsia="en-AU"/>
        </w:rPr>
        <w:tab/>
      </w:r>
      <w:r w:rsidR="001E5E30" w:rsidRPr="004D579A">
        <w:rPr>
          <w:rFonts w:eastAsia="Times New Roman"/>
          <w:sz w:val="18"/>
          <w:lang w:eastAsia="en-AU"/>
        </w:rPr>
        <w:t>not including</w:t>
      </w:r>
      <w:r w:rsidRPr="004D579A">
        <w:rPr>
          <w:rFonts w:eastAsia="Times New Roman"/>
          <w:sz w:val="18"/>
          <w:lang w:eastAsia="en-AU"/>
        </w:rPr>
        <w:t>:</w:t>
      </w:r>
    </w:p>
    <w:p w:rsidR="001E5E30" w:rsidRDefault="001E5E30" w:rsidP="004D579A">
      <w:pPr>
        <w:pStyle w:val="nMain"/>
        <w:tabs>
          <w:tab w:val="left" w:pos="369"/>
        </w:tabs>
        <w:ind w:left="2779" w:hanging="369"/>
      </w:pPr>
      <w:r w:rsidRPr="002E6CA7">
        <w:t>(</w:t>
      </w:r>
      <w:r w:rsidR="00FE031A">
        <w:t>i</w:t>
      </w:r>
      <w:r w:rsidRPr="002E6CA7">
        <w:t>)</w:t>
      </w:r>
      <w:r>
        <w:tab/>
      </w:r>
      <w:r w:rsidR="00EC50E0" w:rsidRPr="002E6CA7">
        <w:t>uncooked prawns and uncooked prawn meat</w:t>
      </w:r>
      <w:r w:rsidR="00EC50E0" w:rsidRPr="004D579A">
        <w:t xml:space="preserve"> </w:t>
      </w:r>
      <w:r w:rsidRPr="002E6CA7">
        <w:t>sourced from New Caledonia;</w:t>
      </w:r>
      <w:r w:rsidR="004D579A">
        <w:t xml:space="preserve"> or</w:t>
      </w:r>
    </w:p>
    <w:p w:rsidR="001E5E30" w:rsidRDefault="001E5E30" w:rsidP="004D579A">
      <w:pPr>
        <w:pStyle w:val="nMain"/>
        <w:tabs>
          <w:tab w:val="left" w:pos="369"/>
        </w:tabs>
        <w:ind w:left="2779" w:hanging="369"/>
      </w:pPr>
      <w:r w:rsidRPr="002E6CA7">
        <w:t>(</w:t>
      </w:r>
      <w:r w:rsidR="00FE031A">
        <w:t>ii</w:t>
      </w:r>
      <w:r w:rsidRPr="002E6CA7">
        <w:t>)</w:t>
      </w:r>
      <w:r>
        <w:tab/>
      </w:r>
      <w:r w:rsidR="00EC50E0" w:rsidRPr="002E6CA7">
        <w:t>uncooked prawns and uncooked prawn meat</w:t>
      </w:r>
      <w:r w:rsidR="00EC50E0" w:rsidRPr="004D579A">
        <w:t xml:space="preserve"> </w:t>
      </w:r>
      <w:r w:rsidRPr="002E6CA7">
        <w:t>processed into dumplings, spring rolls, samosas, other dim sum-type products and other similar products;</w:t>
      </w:r>
      <w:r w:rsidR="004D579A">
        <w:t xml:space="preserve"> or</w:t>
      </w:r>
    </w:p>
    <w:p w:rsidR="001E5E30" w:rsidRDefault="001E5E30" w:rsidP="004D579A">
      <w:pPr>
        <w:pStyle w:val="nMain"/>
        <w:tabs>
          <w:tab w:val="left" w:pos="369"/>
        </w:tabs>
        <w:ind w:left="2779" w:hanging="369"/>
      </w:pPr>
      <w:r w:rsidRPr="002E6CA7">
        <w:lastRenderedPageBreak/>
        <w:t>(</w:t>
      </w:r>
      <w:r w:rsidR="00FE031A">
        <w:t>iii</w:t>
      </w:r>
      <w:r w:rsidRPr="002E6CA7">
        <w:t>)</w:t>
      </w:r>
      <w:r>
        <w:tab/>
      </w:r>
      <w:r w:rsidR="00EC50E0" w:rsidRPr="002E6CA7">
        <w:t>uncooked prawns and uncooked prawn meat</w:t>
      </w:r>
      <w:r w:rsidR="00EC50E0" w:rsidRPr="004D579A">
        <w:t xml:space="preserve"> </w:t>
      </w:r>
      <w:r w:rsidR="00F11EEB">
        <w:t xml:space="preserve">which </w:t>
      </w:r>
      <w:r w:rsidR="00EC50E0">
        <w:t>have</w:t>
      </w:r>
      <w:r w:rsidR="00FE031A">
        <w:t xml:space="preserve"> </w:t>
      </w:r>
      <w:r w:rsidRPr="002E6CA7">
        <w:t>been coated for human consumption by being breaded, crumbed or battered.</w:t>
      </w:r>
    </w:p>
    <w:p w:rsidR="00EC50E0" w:rsidRPr="00E05CAE" w:rsidRDefault="00EC50E0" w:rsidP="00EC50E0">
      <w:pPr>
        <w:pStyle w:val="tDefn"/>
        <w:rPr>
          <w:color w:val="000000"/>
          <w:szCs w:val="22"/>
        </w:rPr>
      </w:pPr>
      <w:r>
        <w:rPr>
          <w:b/>
          <w:i/>
        </w:rPr>
        <w:t>shelf</w:t>
      </w:r>
      <w:r>
        <w:rPr>
          <w:b/>
          <w:i/>
        </w:rPr>
        <w:noBreakHyphen/>
        <w:t>stable</w:t>
      </w:r>
      <w:r>
        <w:t>: g</w:t>
      </w:r>
      <w:r w:rsidRPr="00E05CAE">
        <w:rPr>
          <w:color w:val="000000"/>
          <w:szCs w:val="22"/>
        </w:rPr>
        <w:t>oods are </w:t>
      </w:r>
      <w:r w:rsidRPr="00E05CAE">
        <w:rPr>
          <w:b/>
          <w:bCs/>
          <w:i/>
          <w:iCs/>
          <w:color w:val="000000"/>
          <w:szCs w:val="22"/>
        </w:rPr>
        <w:t>shelf</w:t>
      </w:r>
      <w:r w:rsidRPr="00E05CAE">
        <w:rPr>
          <w:b/>
          <w:bCs/>
          <w:i/>
          <w:iCs/>
          <w:color w:val="000000"/>
          <w:szCs w:val="22"/>
        </w:rPr>
        <w:noBreakHyphen/>
        <w:t>stable</w:t>
      </w:r>
      <w:r w:rsidRPr="00E05CAE">
        <w:rPr>
          <w:color w:val="000000"/>
          <w:szCs w:val="22"/>
        </w:rPr>
        <w:t> if:</w:t>
      </w:r>
    </w:p>
    <w:p w:rsidR="00EC50E0" w:rsidRPr="00E05CAE" w:rsidRDefault="00EC50E0" w:rsidP="00EC50E0">
      <w:pPr>
        <w:pStyle w:val="tPara"/>
      </w:pPr>
      <w:r>
        <w:tab/>
        <w:t>(a)</w:t>
      </w:r>
      <w:r>
        <w:tab/>
      </w:r>
      <w:r w:rsidRPr="00E05CAE">
        <w:t>the goods have been commercially manufactured; and</w:t>
      </w:r>
    </w:p>
    <w:p w:rsidR="00EC50E0" w:rsidRPr="00E05CAE" w:rsidRDefault="00EC50E0" w:rsidP="00EC50E0">
      <w:pPr>
        <w:pStyle w:val="tPara"/>
      </w:pPr>
      <w:r>
        <w:tab/>
        <w:t>(b)</w:t>
      </w:r>
      <w:r>
        <w:tab/>
      </w:r>
      <w:r w:rsidRPr="00E05CAE">
        <w:t>the goods have been packaged by the manufacturer; and</w:t>
      </w:r>
    </w:p>
    <w:p w:rsidR="00EC50E0" w:rsidRPr="00E05CAE" w:rsidRDefault="00EC50E0" w:rsidP="00EC50E0">
      <w:pPr>
        <w:pStyle w:val="tPara"/>
      </w:pPr>
      <w:r>
        <w:tab/>
        <w:t>(c)</w:t>
      </w:r>
      <w:r>
        <w:tab/>
      </w:r>
      <w:r w:rsidRPr="00E05CAE">
        <w:t>the goods are in that package; and</w:t>
      </w:r>
    </w:p>
    <w:p w:rsidR="00EC50E0" w:rsidRPr="00E05CAE" w:rsidRDefault="00EC50E0" w:rsidP="00EC50E0">
      <w:pPr>
        <w:pStyle w:val="tPara"/>
      </w:pPr>
      <w:r>
        <w:tab/>
        <w:t>(d)</w:t>
      </w:r>
      <w:r>
        <w:tab/>
      </w:r>
      <w:r w:rsidRPr="00E05CAE">
        <w:t>the package has not been opened or broken; and</w:t>
      </w:r>
    </w:p>
    <w:p w:rsidR="00EC50E0" w:rsidRPr="00E05CAE" w:rsidRDefault="00EC50E0" w:rsidP="00EC50E0">
      <w:pPr>
        <w:pStyle w:val="tPara"/>
      </w:pPr>
      <w:r>
        <w:tab/>
        <w:t>(e)</w:t>
      </w:r>
      <w:r>
        <w:tab/>
      </w:r>
      <w:r w:rsidRPr="00E05CAE">
        <w:t>the goods are able to be stored in the package at room or ambient temperature; and</w:t>
      </w:r>
    </w:p>
    <w:p w:rsidR="00EC50E0" w:rsidRDefault="00EC50E0" w:rsidP="00EC50E0">
      <w:pPr>
        <w:pStyle w:val="tPara"/>
      </w:pPr>
      <w:r>
        <w:tab/>
        <w:t>(f)</w:t>
      </w:r>
      <w:r>
        <w:tab/>
      </w:r>
      <w:r w:rsidRPr="00E05CAE">
        <w:t>the goods do not require refrigeration or freezing before the package is opened.</w:t>
      </w:r>
    </w:p>
    <w:p w:rsidR="002E6CA7" w:rsidRDefault="002E6CA7" w:rsidP="002E6CA7">
      <w:pPr>
        <w:pStyle w:val="tDefn"/>
      </w:pPr>
      <w:r>
        <w:rPr>
          <w:b/>
          <w:i/>
        </w:rPr>
        <w:t xml:space="preserve">WSSV </w:t>
      </w:r>
      <w:r>
        <w:t>means white spot syndrome virus.</w:t>
      </w:r>
    </w:p>
    <w:p w:rsidR="00AD7BE4" w:rsidRDefault="00FB464B" w:rsidP="00C730C7">
      <w:pPr>
        <w:pStyle w:val="h5Section"/>
      </w:pPr>
      <w:bookmarkStart w:id="12" w:name="_Toc473898067"/>
      <w:r>
        <w:t>5</w:t>
      </w:r>
      <w:r w:rsidR="00C730C7">
        <w:t xml:space="preserve">  Reasons for making this </w:t>
      </w:r>
      <w:r w:rsidR="00AE16D2">
        <w:t>determination</w:t>
      </w:r>
      <w:bookmarkEnd w:id="12"/>
    </w:p>
    <w:p w:rsidR="00BA3523" w:rsidRDefault="00B26239" w:rsidP="00B26239">
      <w:pPr>
        <w:pStyle w:val="tMain"/>
      </w:pPr>
      <w:r>
        <w:tab/>
      </w:r>
      <w:r>
        <w:tab/>
      </w:r>
      <w:r w:rsidR="00BD595E" w:rsidRPr="009A3EB2">
        <w:t>For subsection 182(5) of the Act, my reasons for making this determination are</w:t>
      </w:r>
      <w:r w:rsidR="00B825C3">
        <w:t xml:space="preserve"> as follows:</w:t>
      </w:r>
    </w:p>
    <w:p w:rsidR="00B825C3" w:rsidRDefault="00B825C3" w:rsidP="00B825C3">
      <w:pPr>
        <w:pStyle w:val="tPara"/>
      </w:pPr>
      <w:r w:rsidRPr="00B825C3">
        <w:tab/>
      </w:r>
      <w:r w:rsidR="00FB464B">
        <w:t>(a)</w:t>
      </w:r>
      <w:r w:rsidRPr="00B825C3">
        <w:tab/>
      </w:r>
      <w:r>
        <w:t>t</w:t>
      </w:r>
      <w:r w:rsidRPr="00B825C3">
        <w:t>he principal determination suspends the bringing or importing into Australian territory of goods included in the proscribed class of goods</w:t>
      </w:r>
      <w:r>
        <w:t>;</w:t>
      </w:r>
    </w:p>
    <w:p w:rsidR="00B825C3" w:rsidRDefault="00B825C3" w:rsidP="00B825C3">
      <w:pPr>
        <w:pStyle w:val="tPara"/>
      </w:pPr>
      <w:r w:rsidRPr="00B825C3">
        <w:tab/>
      </w:r>
      <w:r w:rsidR="00FB464B">
        <w:t>(b)</w:t>
      </w:r>
      <w:r w:rsidRPr="00B825C3">
        <w:tab/>
      </w:r>
      <w:r>
        <w:t xml:space="preserve">having undertaken further assessment of the biosecurity risks associated with </w:t>
      </w:r>
      <w:r w:rsidR="0085626F">
        <w:t xml:space="preserve">the proscribed class of </w:t>
      </w:r>
      <w:r>
        <w:t>goods, I am of the view that it is possible to except further goods from the suspension, for the</w:t>
      </w:r>
      <w:r w:rsidR="00AC66CC">
        <w:t xml:space="preserve"> detailed</w:t>
      </w:r>
      <w:r>
        <w:t xml:space="preserve"> reasons</w:t>
      </w:r>
      <w:r w:rsidR="00B01A40">
        <w:t xml:space="preserve"> set out in</w:t>
      </w:r>
      <w:r>
        <w:t>:</w:t>
      </w:r>
    </w:p>
    <w:p w:rsidR="00AC66CC" w:rsidRDefault="00AC66CC" w:rsidP="00AC66CC">
      <w:pPr>
        <w:pStyle w:val="tSubpara"/>
      </w:pPr>
      <w:r>
        <w:tab/>
      </w:r>
      <w:r w:rsidR="00FB464B">
        <w:t>(i)</w:t>
      </w:r>
      <w:r>
        <w:tab/>
        <w:t>for u</w:t>
      </w:r>
      <w:r w:rsidRPr="00D931C8">
        <w:t>ncooked prawns sourced from the exclusive economic zone, or</w:t>
      </w:r>
      <w:r>
        <w:t xml:space="preserve"> </w:t>
      </w:r>
      <w:r w:rsidRPr="00D931C8">
        <w:t>uncooked prawn meat sourced from such prawns</w:t>
      </w:r>
      <w:r>
        <w:t>—Schedule 2; and</w:t>
      </w:r>
      <w:r w:rsidRPr="00AC66CC">
        <w:t xml:space="preserve"> </w:t>
      </w:r>
    </w:p>
    <w:p w:rsidR="00AC66CC" w:rsidRPr="00446215" w:rsidRDefault="00320915" w:rsidP="00320915">
      <w:pPr>
        <w:pStyle w:val="tSubpara"/>
      </w:pPr>
      <w:r>
        <w:tab/>
      </w:r>
      <w:r w:rsidR="00FB464B">
        <w:t>(ii)</w:t>
      </w:r>
      <w:r>
        <w:tab/>
      </w:r>
      <w:r w:rsidR="00AC66CC" w:rsidRPr="00320915">
        <w:t xml:space="preserve">for </w:t>
      </w:r>
      <w:r w:rsidR="000B5059" w:rsidRPr="00446215">
        <w:t>uncooked prawns or uncooked prawn meat processed into dried prawns or a prawn</w:t>
      </w:r>
      <w:r w:rsidR="000B5059" w:rsidRPr="00446215">
        <w:noBreakHyphen/>
        <w:t>based food product that is shelf</w:t>
      </w:r>
      <w:r w:rsidR="000B5059" w:rsidRPr="00446215">
        <w:noBreakHyphen/>
        <w:t>stable</w:t>
      </w:r>
      <w:r w:rsidR="00AC66CC" w:rsidRPr="00446215">
        <w:t>—Schedule 3; and</w:t>
      </w:r>
    </w:p>
    <w:p w:rsidR="00B01A40" w:rsidRDefault="00AC66CC" w:rsidP="00AC66CC">
      <w:pPr>
        <w:pStyle w:val="tSubpara"/>
      </w:pPr>
      <w:r w:rsidRPr="00446215">
        <w:tab/>
      </w:r>
      <w:r w:rsidR="00FB464B">
        <w:t>(iii)</w:t>
      </w:r>
      <w:r w:rsidRPr="00446215">
        <w:tab/>
        <w:t xml:space="preserve">for </w:t>
      </w:r>
      <w:r w:rsidR="000B5059" w:rsidRPr="00446215">
        <w:t>uncooked prawns or uncooked prawn meat processed into bait for aquatic use, pet fish food or aquaculture feed</w:t>
      </w:r>
      <w:r>
        <w:t>—Schedule 4.</w:t>
      </w:r>
    </w:p>
    <w:p w:rsidR="00A9721B" w:rsidRDefault="00FB464B" w:rsidP="00A9721B">
      <w:pPr>
        <w:pStyle w:val="h5Section"/>
      </w:pPr>
      <w:bookmarkStart w:id="13" w:name="_Toc473898068"/>
      <w:r>
        <w:t>6</w:t>
      </w:r>
      <w:r w:rsidR="00A9721B">
        <w:t xml:space="preserve">  </w:t>
      </w:r>
      <w:r w:rsidR="001E5E30">
        <w:t>Schedules</w:t>
      </w:r>
      <w:bookmarkEnd w:id="13"/>
    </w:p>
    <w:p w:rsidR="00A9721B" w:rsidRDefault="00A9721B" w:rsidP="00A9721B">
      <w:pPr>
        <w:pStyle w:val="tMain"/>
      </w:pPr>
      <w:r>
        <w:tab/>
      </w:r>
      <w:r>
        <w:tab/>
      </w:r>
      <w:r w:rsidR="001E5E30" w:rsidRPr="00733989">
        <w:t>Each instrument that is specified in a Schedule to this instrument is amended or repealed as set out in the applicable items in the Schedule concerned, and any other item in a Schedule to this instrument has effect according to its terms.</w:t>
      </w:r>
    </w:p>
    <w:p w:rsidR="00D40617" w:rsidRDefault="00D40617" w:rsidP="00A9721B">
      <w:pPr>
        <w:pStyle w:val="tMain"/>
      </w:pPr>
    </w:p>
    <w:p w:rsidR="00D40617" w:rsidRDefault="00D40617">
      <w:pPr>
        <w:spacing w:line="240" w:lineRule="auto"/>
        <w:rPr>
          <w:b/>
          <w:sz w:val="28"/>
          <w:szCs w:val="28"/>
        </w:rPr>
        <w:sectPr w:rsidR="00D40617" w:rsidSect="00B135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rsidR="003F58A1" w:rsidRDefault="003F58A1">
      <w:pPr>
        <w:spacing w:line="240" w:lineRule="auto"/>
        <w:rPr>
          <w:b/>
          <w:sz w:val="28"/>
          <w:szCs w:val="28"/>
        </w:rPr>
      </w:pPr>
      <w:r>
        <w:rPr>
          <w:b/>
          <w:sz w:val="28"/>
          <w:szCs w:val="28"/>
        </w:rPr>
        <w:br w:type="page"/>
      </w:r>
    </w:p>
    <w:p w:rsidR="00B1706C" w:rsidRDefault="00007578" w:rsidP="00D40617">
      <w:pPr>
        <w:pStyle w:val="h1Sch"/>
      </w:pPr>
      <w:bookmarkStart w:id="14" w:name="_Toc473898069"/>
      <w:bookmarkStart w:id="15" w:name="_Toc432150458"/>
      <w:r w:rsidRPr="00D72C04">
        <w:lastRenderedPageBreak/>
        <w:t>Schedule 1—Amendments</w:t>
      </w:r>
      <w:bookmarkEnd w:id="14"/>
    </w:p>
    <w:p w:rsidR="00007578" w:rsidRPr="005279CC" w:rsidRDefault="00007578" w:rsidP="005279CC">
      <w:pPr>
        <w:pStyle w:val="ActHead9"/>
      </w:pPr>
      <w:bookmarkStart w:id="16" w:name="_Toc473898070"/>
      <w:bookmarkEnd w:id="15"/>
      <w:r w:rsidRPr="005279CC">
        <w:t>Biosecurity (Suspended Goods – Uncooked Prawns) Determination 2017</w:t>
      </w:r>
      <w:bookmarkEnd w:id="16"/>
    </w:p>
    <w:p w:rsidR="00D931C8" w:rsidRDefault="00D931C8" w:rsidP="00B42BD9">
      <w:pPr>
        <w:pStyle w:val="h5SchItem"/>
      </w:pPr>
      <w:r w:rsidRPr="00D931C8">
        <w:t>1</w:t>
      </w:r>
      <w:r w:rsidRPr="00D931C8">
        <w:tab/>
        <w:t>Sec</w:t>
      </w:r>
      <w:r>
        <w:t>tion 5 (after the heading)</w:t>
      </w:r>
    </w:p>
    <w:p w:rsidR="00D931C8" w:rsidRDefault="00D931C8" w:rsidP="00D931C8">
      <w:pPr>
        <w:pStyle w:val="tMain"/>
      </w:pPr>
      <w:r>
        <w:tab/>
      </w:r>
      <w:r>
        <w:tab/>
        <w:t>Insert:</w:t>
      </w:r>
    </w:p>
    <w:p w:rsidR="00D07024" w:rsidRDefault="00D07024" w:rsidP="00D931C8">
      <w:pPr>
        <w:pStyle w:val="nMain"/>
      </w:pPr>
      <w:r w:rsidRPr="00D931C8">
        <w:t>Note:</w:t>
      </w:r>
      <w:r w:rsidRPr="00D931C8">
        <w:tab/>
      </w:r>
      <w:r>
        <w:t>This section sets out the reasons for making this determination in its original form. This determination has been amended by the</w:t>
      </w:r>
      <w:r w:rsidR="0007200D">
        <w:t xml:space="preserve"> </w:t>
      </w:r>
      <w:r w:rsidR="00FB464B">
        <w:rPr>
          <w:i/>
          <w:noProof/>
        </w:rPr>
        <w:t>Biosecurity (Suspended Goods—Uncooked Prawns) Amendment (Exceptions) Determination 2017</w:t>
      </w:r>
      <w:r w:rsidRPr="00D931C8">
        <w:t>.</w:t>
      </w:r>
      <w:r w:rsidR="0007200D">
        <w:t xml:space="preserve"> </w:t>
      </w:r>
      <w:r>
        <w:t xml:space="preserve">The reasons for making </w:t>
      </w:r>
      <w:r w:rsidR="0007200D">
        <w:t xml:space="preserve">these </w:t>
      </w:r>
      <w:r>
        <w:t>amend</w:t>
      </w:r>
      <w:r w:rsidR="00895FA8">
        <w:t>ment</w:t>
      </w:r>
      <w:r w:rsidR="0007200D">
        <w:t>s</w:t>
      </w:r>
      <w:r w:rsidR="00895FA8">
        <w:t xml:space="preserve"> </w:t>
      </w:r>
      <w:r>
        <w:t>are set out in the amending determination.</w:t>
      </w:r>
    </w:p>
    <w:p w:rsidR="00007578" w:rsidRPr="00D931C8" w:rsidRDefault="00D931C8" w:rsidP="00B42BD9">
      <w:pPr>
        <w:pStyle w:val="h5SchItem"/>
      </w:pPr>
      <w:r w:rsidRPr="00D931C8">
        <w:t>2</w:t>
      </w:r>
      <w:r w:rsidR="00B42BD9" w:rsidRPr="00D931C8">
        <w:tab/>
        <w:t>Section 6 (note)</w:t>
      </w:r>
    </w:p>
    <w:p w:rsidR="00B42BD9" w:rsidRPr="00D931C8" w:rsidRDefault="00B42BD9" w:rsidP="00B42BD9">
      <w:pPr>
        <w:pStyle w:val="tMain"/>
      </w:pPr>
      <w:r w:rsidRPr="00D931C8">
        <w:tab/>
      </w:r>
      <w:r w:rsidRPr="00D931C8">
        <w:tab/>
        <w:t>Omit “Note”, substitute “Note 1”.</w:t>
      </w:r>
    </w:p>
    <w:p w:rsidR="00B42BD9" w:rsidRPr="00D931C8" w:rsidRDefault="00D931C8" w:rsidP="00B42BD9">
      <w:pPr>
        <w:pStyle w:val="h5SchItem"/>
      </w:pPr>
      <w:r w:rsidRPr="00D931C8">
        <w:t>3</w:t>
      </w:r>
      <w:r w:rsidR="00B42BD9" w:rsidRPr="00D931C8">
        <w:tab/>
        <w:t>Section 6</w:t>
      </w:r>
      <w:r w:rsidR="003B0659" w:rsidRPr="00D931C8">
        <w:t xml:space="preserve"> (after Note 1)</w:t>
      </w:r>
    </w:p>
    <w:p w:rsidR="003B0659" w:rsidRPr="00D931C8" w:rsidRDefault="003B0659" w:rsidP="003B0659">
      <w:pPr>
        <w:pStyle w:val="tMain"/>
      </w:pPr>
      <w:r w:rsidRPr="00D931C8">
        <w:tab/>
      </w:r>
      <w:r w:rsidRPr="00D931C8">
        <w:tab/>
        <w:t>Insert:</w:t>
      </w:r>
    </w:p>
    <w:p w:rsidR="003B0659" w:rsidRPr="00D931C8" w:rsidRDefault="003B0659" w:rsidP="003B0659">
      <w:pPr>
        <w:pStyle w:val="nMain"/>
      </w:pPr>
      <w:r w:rsidRPr="00D931C8">
        <w:t>Note 2:</w:t>
      </w:r>
      <w:r w:rsidRPr="00D931C8">
        <w:tab/>
        <w:t xml:space="preserve">The term </w:t>
      </w:r>
      <w:r w:rsidR="00424539" w:rsidRPr="00D931C8">
        <w:t>“</w:t>
      </w:r>
      <w:r w:rsidRPr="00D931C8">
        <w:t>exclusive economic zone</w:t>
      </w:r>
      <w:r w:rsidR="00424539" w:rsidRPr="00D931C8">
        <w:t>”</w:t>
      </w:r>
      <w:r w:rsidRPr="00D931C8">
        <w:t xml:space="preserve"> is defined in the </w:t>
      </w:r>
      <w:r w:rsidRPr="00D931C8">
        <w:rPr>
          <w:i/>
        </w:rPr>
        <w:t>Acts Interpretation Act 1901</w:t>
      </w:r>
      <w:r w:rsidRPr="00D931C8">
        <w:t>.</w:t>
      </w:r>
    </w:p>
    <w:p w:rsidR="00E05CAE" w:rsidRDefault="00EF5688" w:rsidP="003B0659">
      <w:pPr>
        <w:pStyle w:val="h5SchItem"/>
      </w:pPr>
      <w:r>
        <w:t>4</w:t>
      </w:r>
      <w:r w:rsidR="00E05CAE">
        <w:tab/>
        <w:t>Section 6</w:t>
      </w:r>
    </w:p>
    <w:p w:rsidR="00E05CAE" w:rsidRDefault="00E05CAE" w:rsidP="00E05CAE">
      <w:pPr>
        <w:pStyle w:val="tMain"/>
      </w:pPr>
      <w:r>
        <w:tab/>
      </w:r>
      <w:r>
        <w:tab/>
        <w:t>Insert:</w:t>
      </w:r>
    </w:p>
    <w:p w:rsidR="00E05CAE" w:rsidRPr="00E05CAE" w:rsidRDefault="00E05CAE" w:rsidP="00E05CAE">
      <w:pPr>
        <w:pStyle w:val="tDefn"/>
        <w:rPr>
          <w:color w:val="000000"/>
          <w:szCs w:val="22"/>
        </w:rPr>
      </w:pPr>
      <w:r>
        <w:rPr>
          <w:b/>
          <w:i/>
        </w:rPr>
        <w:t>shelf</w:t>
      </w:r>
      <w:r>
        <w:rPr>
          <w:b/>
          <w:i/>
        </w:rPr>
        <w:noBreakHyphen/>
        <w:t>stable</w:t>
      </w:r>
      <w:r>
        <w:t>: g</w:t>
      </w:r>
      <w:r w:rsidRPr="00E05CAE">
        <w:rPr>
          <w:color w:val="000000"/>
          <w:szCs w:val="22"/>
        </w:rPr>
        <w:t>oods are </w:t>
      </w:r>
      <w:r w:rsidRPr="00E05CAE">
        <w:rPr>
          <w:b/>
          <w:bCs/>
          <w:i/>
          <w:iCs/>
          <w:color w:val="000000"/>
          <w:szCs w:val="22"/>
        </w:rPr>
        <w:t>shelf</w:t>
      </w:r>
      <w:r w:rsidRPr="00E05CAE">
        <w:rPr>
          <w:b/>
          <w:bCs/>
          <w:i/>
          <w:iCs/>
          <w:color w:val="000000"/>
          <w:szCs w:val="22"/>
        </w:rPr>
        <w:noBreakHyphen/>
        <w:t>stable</w:t>
      </w:r>
      <w:r w:rsidRPr="00E05CAE">
        <w:rPr>
          <w:color w:val="000000"/>
          <w:szCs w:val="22"/>
        </w:rPr>
        <w:t> if:</w:t>
      </w:r>
    </w:p>
    <w:p w:rsidR="00E05CAE" w:rsidRPr="00E05CAE" w:rsidRDefault="00BF6F70" w:rsidP="00BF6F70">
      <w:pPr>
        <w:pStyle w:val="tPara"/>
      </w:pPr>
      <w:r>
        <w:tab/>
        <w:t>(a)</w:t>
      </w:r>
      <w:r>
        <w:tab/>
      </w:r>
      <w:r w:rsidR="00E05CAE" w:rsidRPr="00E05CAE">
        <w:t>the goods have been commercially manufactured; and</w:t>
      </w:r>
    </w:p>
    <w:p w:rsidR="00E05CAE" w:rsidRPr="00E05CAE" w:rsidRDefault="00BF6F70" w:rsidP="00BF6F70">
      <w:pPr>
        <w:pStyle w:val="tPara"/>
      </w:pPr>
      <w:r>
        <w:tab/>
        <w:t>(b)</w:t>
      </w:r>
      <w:r>
        <w:tab/>
      </w:r>
      <w:r w:rsidR="00E05CAE" w:rsidRPr="00E05CAE">
        <w:t>the goods have been packaged by the manufacturer; and</w:t>
      </w:r>
    </w:p>
    <w:p w:rsidR="00E05CAE" w:rsidRPr="00E05CAE" w:rsidRDefault="00BF6F70" w:rsidP="00BF6F70">
      <w:pPr>
        <w:pStyle w:val="tPara"/>
      </w:pPr>
      <w:r>
        <w:tab/>
        <w:t>(c)</w:t>
      </w:r>
      <w:r>
        <w:tab/>
      </w:r>
      <w:r w:rsidR="00E05CAE" w:rsidRPr="00E05CAE">
        <w:t>the goods are in that package; and</w:t>
      </w:r>
    </w:p>
    <w:p w:rsidR="00E05CAE" w:rsidRPr="00E05CAE" w:rsidRDefault="00BF6F70" w:rsidP="00BF6F70">
      <w:pPr>
        <w:pStyle w:val="tPara"/>
      </w:pPr>
      <w:r>
        <w:tab/>
        <w:t>(d)</w:t>
      </w:r>
      <w:r>
        <w:tab/>
      </w:r>
      <w:r w:rsidR="00E05CAE" w:rsidRPr="00E05CAE">
        <w:t>the package has not been opened or broken; and</w:t>
      </w:r>
    </w:p>
    <w:p w:rsidR="00E05CAE" w:rsidRPr="00E05CAE" w:rsidRDefault="00BF6F70" w:rsidP="00BF6F70">
      <w:pPr>
        <w:pStyle w:val="tPara"/>
      </w:pPr>
      <w:r>
        <w:tab/>
        <w:t>(e)</w:t>
      </w:r>
      <w:r>
        <w:tab/>
      </w:r>
      <w:r w:rsidR="00E05CAE" w:rsidRPr="00E05CAE">
        <w:t>the goods are able to be stored in the package at room or ambient temperature; and</w:t>
      </w:r>
    </w:p>
    <w:p w:rsidR="00E05CAE" w:rsidRDefault="00BF6F70" w:rsidP="00BF6F70">
      <w:pPr>
        <w:pStyle w:val="tPara"/>
      </w:pPr>
      <w:r>
        <w:tab/>
        <w:t>(f)</w:t>
      </w:r>
      <w:r>
        <w:tab/>
      </w:r>
      <w:r w:rsidR="00E05CAE" w:rsidRPr="00E05CAE">
        <w:t>the goods do not require refrigeration or freezing before the package is opened.</w:t>
      </w:r>
    </w:p>
    <w:p w:rsidR="003B0659" w:rsidRPr="00D931C8" w:rsidRDefault="00EF5688" w:rsidP="003B0659">
      <w:pPr>
        <w:pStyle w:val="h5SchItem"/>
      </w:pPr>
      <w:r>
        <w:t>5</w:t>
      </w:r>
      <w:r w:rsidR="009A3EB2" w:rsidRPr="00D931C8">
        <w:tab/>
      </w:r>
      <w:r w:rsidR="003B0659" w:rsidRPr="00D931C8">
        <w:t>Before paragraph 7(3)(a)</w:t>
      </w:r>
    </w:p>
    <w:p w:rsidR="00B42BD9" w:rsidRPr="00D931C8" w:rsidRDefault="003B0659" w:rsidP="003B0659">
      <w:pPr>
        <w:pStyle w:val="tMain"/>
      </w:pPr>
      <w:r w:rsidRPr="00D931C8">
        <w:tab/>
      </w:r>
      <w:r w:rsidRPr="00D931C8">
        <w:tab/>
        <w:t>Insert:</w:t>
      </w:r>
    </w:p>
    <w:p w:rsidR="003B0659" w:rsidRPr="00D931C8" w:rsidRDefault="003B0659" w:rsidP="003B0659">
      <w:pPr>
        <w:pStyle w:val="tPara"/>
      </w:pPr>
      <w:r w:rsidRPr="00D931C8">
        <w:tab/>
        <w:t>(aa)</w:t>
      </w:r>
      <w:r w:rsidRPr="00D931C8">
        <w:tab/>
        <w:t>uncooked prawns sourced from the exclusive economic zone</w:t>
      </w:r>
      <w:r w:rsidR="0020446F" w:rsidRPr="00D931C8">
        <w:t>, or</w:t>
      </w:r>
      <w:r w:rsidR="000C27EB">
        <w:t xml:space="preserve"> </w:t>
      </w:r>
      <w:r w:rsidR="005C7FFD" w:rsidRPr="00D931C8">
        <w:t xml:space="preserve">uncooked prawn meat sourced from </w:t>
      </w:r>
      <w:r w:rsidR="0020446F" w:rsidRPr="00D931C8">
        <w:t xml:space="preserve">such </w:t>
      </w:r>
      <w:r w:rsidR="005C7FFD" w:rsidRPr="00D931C8">
        <w:t>prawns;</w:t>
      </w:r>
    </w:p>
    <w:p w:rsidR="00E05CAE" w:rsidRPr="00D931C8" w:rsidRDefault="008351BF" w:rsidP="00E05CAE">
      <w:pPr>
        <w:pStyle w:val="h5SchItem"/>
      </w:pPr>
      <w:r>
        <w:t>6</w:t>
      </w:r>
      <w:r w:rsidR="00E05CAE" w:rsidRPr="00D931C8">
        <w:tab/>
      </w:r>
      <w:r w:rsidR="00E05CAE">
        <w:t>A</w:t>
      </w:r>
      <w:r w:rsidR="0023436A">
        <w:t>t the end of subsection 7(3)</w:t>
      </w:r>
    </w:p>
    <w:p w:rsidR="00E05CAE" w:rsidRPr="00D931C8" w:rsidRDefault="00E05CAE" w:rsidP="00E05CAE">
      <w:pPr>
        <w:pStyle w:val="tMain"/>
      </w:pPr>
      <w:r w:rsidRPr="00D931C8">
        <w:tab/>
      </w:r>
      <w:r w:rsidRPr="00D931C8">
        <w:tab/>
        <w:t>Insert:</w:t>
      </w:r>
    </w:p>
    <w:p w:rsidR="00147E31" w:rsidRPr="00446215" w:rsidRDefault="00147E31" w:rsidP="00147E31">
      <w:pPr>
        <w:pStyle w:val="tPara"/>
      </w:pPr>
      <w:r w:rsidRPr="00446215">
        <w:tab/>
      </w:r>
      <w:r w:rsidR="00EC50E0">
        <w:t xml:space="preserve">;   </w:t>
      </w:r>
      <w:r w:rsidRPr="00446215">
        <w:t>(d)</w:t>
      </w:r>
      <w:r w:rsidRPr="00446215">
        <w:tab/>
        <w:t>uncooked prawns or uncooked prawn meat processed into dried prawns or a prawn</w:t>
      </w:r>
      <w:r w:rsidRPr="00446215">
        <w:noBreakHyphen/>
        <w:t>based food product that is shelf</w:t>
      </w:r>
      <w:r w:rsidRPr="00446215">
        <w:noBreakHyphen/>
        <w:t>stable;</w:t>
      </w:r>
    </w:p>
    <w:p w:rsidR="00D40617" w:rsidRDefault="00147E31" w:rsidP="00A932F0">
      <w:pPr>
        <w:pStyle w:val="tPara"/>
      </w:pPr>
      <w:r w:rsidRPr="00446215">
        <w:tab/>
        <w:t>(e)</w:t>
      </w:r>
      <w:r w:rsidRPr="00446215">
        <w:tab/>
        <w:t xml:space="preserve">uncooked prawns or uncooked prawn meat processed into </w:t>
      </w:r>
      <w:r w:rsidR="000B155A" w:rsidRPr="00446215">
        <w:t>bait for aquatic use, pet fish food or aquaculture feed</w:t>
      </w:r>
      <w:r w:rsidRPr="00446215">
        <w:t>.</w:t>
      </w:r>
    </w:p>
    <w:p w:rsidR="00D40617" w:rsidRDefault="00D40617" w:rsidP="00D40617">
      <w:pPr>
        <w:spacing w:line="240" w:lineRule="auto"/>
        <w:rPr>
          <w:b/>
          <w:sz w:val="28"/>
          <w:szCs w:val="28"/>
        </w:rPr>
        <w:sectPr w:rsidR="00D40617" w:rsidSect="00D40617">
          <w:headerReference w:type="default" r:id="rId15"/>
          <w:footerReference w:type="default" r:id="rId16"/>
          <w:type w:val="continuous"/>
          <w:pgSz w:w="11906" w:h="16838"/>
          <w:pgMar w:top="1440" w:right="1440" w:bottom="1440" w:left="1440" w:header="709" w:footer="709" w:gutter="0"/>
          <w:cols w:space="708"/>
          <w:titlePg/>
          <w:docGrid w:linePitch="360"/>
        </w:sectPr>
      </w:pPr>
    </w:p>
    <w:p w:rsidR="00B825C3" w:rsidRDefault="00B825C3" w:rsidP="00B825C3">
      <w:pPr>
        <w:spacing w:line="240" w:lineRule="auto"/>
        <w:rPr>
          <w:b/>
          <w:sz w:val="28"/>
          <w:szCs w:val="28"/>
        </w:rPr>
      </w:pPr>
      <w:r>
        <w:rPr>
          <w:b/>
          <w:sz w:val="28"/>
          <w:szCs w:val="28"/>
        </w:rPr>
        <w:br w:type="page"/>
      </w:r>
    </w:p>
    <w:p w:rsidR="00B825C3" w:rsidRDefault="00B825C3" w:rsidP="00D40617">
      <w:pPr>
        <w:pStyle w:val="h1Sch"/>
      </w:pPr>
      <w:bookmarkStart w:id="17" w:name="_Toc473898071"/>
      <w:r w:rsidRPr="00D72C04">
        <w:lastRenderedPageBreak/>
        <w:t xml:space="preserve">Schedule </w:t>
      </w:r>
      <w:r>
        <w:t>2</w:t>
      </w:r>
      <w:r w:rsidRPr="00D72C04">
        <w:t>—</w:t>
      </w:r>
      <w:r w:rsidR="00934F49">
        <w:t>Reasons</w:t>
      </w:r>
      <w:r w:rsidR="00934F49" w:rsidRPr="00D72C04">
        <w:t>—</w:t>
      </w:r>
      <w:r w:rsidR="00934F49">
        <w:t>pr</w:t>
      </w:r>
      <w:r w:rsidR="00861F80" w:rsidRPr="00D931C8">
        <w:t>awns sourced from exclusive economic zone</w:t>
      </w:r>
      <w:bookmarkEnd w:id="17"/>
    </w:p>
    <w:p w:rsidR="00791EBC" w:rsidRDefault="00791EBC" w:rsidP="00791EBC">
      <w:pPr>
        <w:pStyle w:val="ntoHeading"/>
      </w:pPr>
      <w:r w:rsidRPr="00791EBC">
        <w:t>Note:</w:t>
      </w:r>
      <w:r w:rsidRPr="00791EBC">
        <w:tab/>
        <w:t xml:space="preserve">See subparagraph </w:t>
      </w:r>
      <w:r w:rsidR="00A26B4E">
        <w:t>5(b)(i)</w:t>
      </w:r>
      <w:r w:rsidRPr="00791EBC">
        <w:t>.</w:t>
      </w:r>
    </w:p>
    <w:p w:rsidR="00DC2113" w:rsidRPr="00791EBC" w:rsidRDefault="00DC2113" w:rsidP="00791EBC">
      <w:pPr>
        <w:pStyle w:val="ntoHeading"/>
      </w:pPr>
    </w:p>
    <w:p w:rsidR="00F827CD" w:rsidRDefault="0023436A" w:rsidP="0023436A">
      <w:pPr>
        <w:pStyle w:val="Schedulebullets1"/>
      </w:pPr>
      <w:r>
        <w:sym w:font="Symbol" w:char="F0B7"/>
      </w:r>
      <w:r>
        <w:tab/>
      </w:r>
      <w:r w:rsidR="00F827CD" w:rsidRPr="008868DE">
        <w:t xml:space="preserve">There is a very low risk that WSSV could enter the Australian territory with prawns sourced from within </w:t>
      </w:r>
      <w:r w:rsidR="00DF5092">
        <w:t>the</w:t>
      </w:r>
      <w:r w:rsidR="00F827CD" w:rsidRPr="008868DE">
        <w:t xml:space="preserve"> exclusive economic zone</w:t>
      </w:r>
      <w:r w:rsidR="00F827CD">
        <w:t xml:space="preserve"> (</w:t>
      </w:r>
      <w:r w:rsidR="00F827CD" w:rsidRPr="006E1486">
        <w:rPr>
          <w:b/>
          <w:i/>
        </w:rPr>
        <w:t>EEZ</w:t>
      </w:r>
      <w:r w:rsidR="00F827CD">
        <w:t>)</w:t>
      </w:r>
      <w:r w:rsidR="00F827CD" w:rsidRPr="008868DE">
        <w:t xml:space="preserve">. This very low risk meets Australia’s </w:t>
      </w:r>
      <w:r w:rsidR="00F827CD">
        <w:t>ALOP</w:t>
      </w:r>
      <w:r w:rsidR="00F827CD" w:rsidRPr="008868DE">
        <w:t>.</w:t>
      </w:r>
    </w:p>
    <w:p w:rsidR="0023436A" w:rsidRPr="00BF7369" w:rsidRDefault="00F827CD" w:rsidP="0023436A">
      <w:pPr>
        <w:pStyle w:val="Schedulebullets1"/>
      </w:pPr>
      <w:r>
        <w:sym w:font="Symbol" w:char="F0B7"/>
      </w:r>
      <w:r>
        <w:tab/>
      </w:r>
      <w:r w:rsidR="0023436A">
        <w:t xml:space="preserve">Prawns sourced from Australia’s </w:t>
      </w:r>
      <w:r w:rsidR="00DF5092">
        <w:t>EEZ</w:t>
      </w:r>
      <w:r w:rsidR="0023436A" w:rsidRPr="00BF7369">
        <w:t xml:space="preserve"> are considered </w:t>
      </w:r>
      <w:r w:rsidR="00105D91">
        <w:t xml:space="preserve">either </w:t>
      </w:r>
      <w:r w:rsidR="0023436A" w:rsidRPr="00BF7369">
        <w:t xml:space="preserve">to be free of </w:t>
      </w:r>
      <w:r w:rsidR="006E1486">
        <w:t xml:space="preserve">WSSV </w:t>
      </w:r>
      <w:r w:rsidR="0023436A" w:rsidRPr="00BF7369">
        <w:t>or to have a very low prevalence of WSSV.</w:t>
      </w:r>
    </w:p>
    <w:p w:rsidR="0023436A" w:rsidRPr="004A0B69" w:rsidRDefault="0023436A" w:rsidP="0023436A">
      <w:pPr>
        <w:pStyle w:val="Schedulebullets2"/>
        <w:rPr>
          <w:lang w:eastAsia="ja-JP"/>
        </w:rPr>
      </w:pPr>
      <w:r>
        <w:rPr>
          <w:lang w:eastAsia="ja-JP"/>
        </w:rPr>
        <w:t>–</w:t>
      </w:r>
      <w:r>
        <w:rPr>
          <w:lang w:eastAsia="ja-JP"/>
        </w:rPr>
        <w:tab/>
      </w:r>
      <w:r w:rsidRPr="004A0B69">
        <w:rPr>
          <w:lang w:eastAsia="ja-JP"/>
        </w:rPr>
        <w:t xml:space="preserve">Australia’s territorial waters are considered free of WSSV. Prawn populations in Australia’s territorial waters are often contiguous with prawn populations in </w:t>
      </w:r>
      <w:r w:rsidR="00105D91">
        <w:rPr>
          <w:lang w:eastAsia="ja-JP"/>
        </w:rPr>
        <w:t>the</w:t>
      </w:r>
      <w:r w:rsidRPr="004A0B69">
        <w:rPr>
          <w:lang w:eastAsia="ja-JP"/>
        </w:rPr>
        <w:t xml:space="preserve"> EEZ. It is reasonable to consider that prawns in the EEZ have an equivalent disease status to prawns in Australia’s territorial waters or at least a very low prevalence of WSSV.</w:t>
      </w:r>
      <w:r>
        <w:rPr>
          <w:lang w:eastAsia="ja-JP"/>
        </w:rPr>
        <w:t xml:space="preserve"> Recently</w:t>
      </w:r>
      <w:r w:rsidR="00105D91">
        <w:rPr>
          <w:lang w:eastAsia="ja-JP"/>
        </w:rPr>
        <w:t>,</w:t>
      </w:r>
      <w:r>
        <w:rPr>
          <w:lang w:eastAsia="ja-JP"/>
        </w:rPr>
        <w:t xml:space="preserve"> t</w:t>
      </w:r>
      <w:r w:rsidRPr="004A0B69">
        <w:rPr>
          <w:lang w:eastAsia="ja-JP"/>
        </w:rPr>
        <w:t>wo consignments of wild prawns caught in Australia and exported to Thailand and Ch</w:t>
      </w:r>
      <w:r>
        <w:rPr>
          <w:lang w:eastAsia="ja-JP"/>
        </w:rPr>
        <w:t xml:space="preserve">ina respectively for processing </w:t>
      </w:r>
      <w:r w:rsidRPr="004A0B69">
        <w:rPr>
          <w:lang w:eastAsia="ja-JP"/>
        </w:rPr>
        <w:t xml:space="preserve">tested negative for WSSV DNA </w:t>
      </w:r>
      <w:r>
        <w:rPr>
          <w:lang w:eastAsia="ja-JP"/>
        </w:rPr>
        <w:t xml:space="preserve">on return to Australia. </w:t>
      </w:r>
    </w:p>
    <w:p w:rsidR="00F827CD" w:rsidRPr="000C3A8B" w:rsidRDefault="0023436A" w:rsidP="0023436A">
      <w:pPr>
        <w:pStyle w:val="Schedulebullets2"/>
        <w:rPr>
          <w:lang w:eastAsia="ja-JP"/>
        </w:rPr>
      </w:pPr>
      <w:r>
        <w:t>–</w:t>
      </w:r>
      <w:r>
        <w:tab/>
        <w:t>WSSV</w:t>
      </w:r>
      <w:r w:rsidRPr="000C3A8B">
        <w:t xml:space="preserve"> is a notifiable disease in Australia and has not been reported in prawns</w:t>
      </w:r>
      <w:r>
        <w:t xml:space="preserve"> from the EEZ</w:t>
      </w:r>
      <w:r w:rsidRPr="000C3A8B">
        <w:t>.</w:t>
      </w:r>
      <w:r>
        <w:t xml:space="preserve"> </w:t>
      </w:r>
      <w:r w:rsidRPr="000C3A8B">
        <w:rPr>
          <w:lang w:eastAsia="ja-JP"/>
        </w:rPr>
        <w:t>Catching prawns i</w:t>
      </w:r>
      <w:r>
        <w:rPr>
          <w:lang w:eastAsia="ja-JP"/>
        </w:rPr>
        <w:t>n the EEZ represents at least 17</w:t>
      </w:r>
      <w:r w:rsidRPr="000C3A8B">
        <w:rPr>
          <w:lang w:eastAsia="ja-JP"/>
        </w:rPr>
        <w:t>% of Australia’s total annual prawn catch (at least 3</w:t>
      </w:r>
      <w:r>
        <w:rPr>
          <w:lang w:eastAsia="ja-JP"/>
        </w:rPr>
        <w:t>284</w:t>
      </w:r>
      <w:r w:rsidRPr="000C3A8B">
        <w:rPr>
          <w:lang w:eastAsia="ja-JP"/>
        </w:rPr>
        <w:t xml:space="preserve"> tonnes per annum)</w:t>
      </w:r>
      <w:r>
        <w:rPr>
          <w:lang w:eastAsia="ja-JP"/>
        </w:rPr>
        <w:t>.</w:t>
      </w:r>
    </w:p>
    <w:p w:rsidR="0023436A" w:rsidRDefault="0023436A" w:rsidP="0023436A">
      <w:pPr>
        <w:pStyle w:val="Schedulebullets1"/>
      </w:pPr>
      <w:r>
        <w:sym w:font="Symbol" w:char="F0B7"/>
      </w:r>
      <w:r>
        <w:tab/>
      </w:r>
      <w:r w:rsidRPr="000C3A8B">
        <w:t>There have</w:t>
      </w:r>
      <w:r>
        <w:t xml:space="preserve"> not</w:t>
      </w:r>
      <w:r w:rsidRPr="000C3A8B">
        <w:t xml:space="preserve"> been </w:t>
      </w:r>
      <w:r>
        <w:t>any</w:t>
      </w:r>
      <w:r w:rsidRPr="000C3A8B">
        <w:t xml:space="preserve"> reported outbreaks of WSSV in Australia</w:t>
      </w:r>
      <w:r>
        <w:t xml:space="preserve"> linked to prawns from </w:t>
      </w:r>
      <w:r w:rsidR="00105D91">
        <w:t>the</w:t>
      </w:r>
      <w:r>
        <w:t xml:space="preserve"> EEZ</w:t>
      </w:r>
      <w:r w:rsidR="00105D91">
        <w:t>.</w:t>
      </w:r>
    </w:p>
    <w:p w:rsidR="0023436A" w:rsidRDefault="0023436A" w:rsidP="0023436A">
      <w:pPr>
        <w:pStyle w:val="Schedulebullets1"/>
        <w:rPr>
          <w:lang w:eastAsia="ja-JP"/>
        </w:rPr>
      </w:pPr>
      <w:r>
        <w:sym w:font="Symbol" w:char="F0B7"/>
      </w:r>
      <w:r>
        <w:tab/>
      </w:r>
      <w:r>
        <w:rPr>
          <w:lang w:eastAsia="ja-JP"/>
        </w:rPr>
        <w:t>No evidence has been found linking the Logan River outbreak</w:t>
      </w:r>
      <w:r w:rsidR="00105D91">
        <w:rPr>
          <w:lang w:eastAsia="ja-JP"/>
        </w:rPr>
        <w:t xml:space="preserve"> (see paragraph 5(d) of the principal determination) </w:t>
      </w:r>
      <w:r>
        <w:rPr>
          <w:lang w:eastAsia="ja-JP"/>
        </w:rPr>
        <w:t>to prawns caught in the EEZ. T</w:t>
      </w:r>
      <w:r w:rsidRPr="00670E5B">
        <w:rPr>
          <w:lang w:eastAsia="ja-JP"/>
        </w:rPr>
        <w:t xml:space="preserve">he risk of WSSV being </w:t>
      </w:r>
      <w:r w:rsidRPr="00670E5B">
        <w:t>present</w:t>
      </w:r>
      <w:r w:rsidRPr="00670E5B">
        <w:rPr>
          <w:lang w:eastAsia="ja-JP"/>
        </w:rPr>
        <w:t xml:space="preserve"> in the EEZ has not increased as a result of </w:t>
      </w:r>
      <w:r w:rsidR="00105D91">
        <w:rPr>
          <w:lang w:eastAsia="ja-JP"/>
        </w:rPr>
        <w:t>the Logan River outbreak.</w:t>
      </w:r>
    </w:p>
    <w:p w:rsidR="0023436A" w:rsidRDefault="0023436A" w:rsidP="0023436A">
      <w:pPr>
        <w:pStyle w:val="Schedulebullets1"/>
        <w:rPr>
          <w:iCs/>
        </w:rPr>
      </w:pPr>
      <w:r>
        <w:sym w:font="Symbol" w:char="F0B7"/>
      </w:r>
      <w:r>
        <w:tab/>
      </w:r>
      <w:r w:rsidRPr="000C3A8B">
        <w:t>In general, WSSV outbreaks are rarely observed in wild prawn populations</w:t>
      </w:r>
      <w:r>
        <w:t>.</w:t>
      </w:r>
      <w:r w:rsidRPr="000C3A8B">
        <w:rPr>
          <w:color w:val="000000"/>
        </w:rPr>
        <w:t xml:space="preserve"> </w:t>
      </w:r>
      <w:r>
        <w:rPr>
          <w:color w:val="000000"/>
        </w:rPr>
        <w:t>Prawns</w:t>
      </w:r>
      <w:r w:rsidRPr="000C3A8B">
        <w:t xml:space="preserve"> in the wild </w:t>
      </w:r>
      <w:r>
        <w:t xml:space="preserve">that are affected by WSSV </w:t>
      </w:r>
      <w:r w:rsidRPr="000C3A8B">
        <w:t>are considered likely to be eaten by non-susceptible predators</w:t>
      </w:r>
      <w:r w:rsidR="00105D91">
        <w:t>,</w:t>
      </w:r>
      <w:r>
        <w:t xml:space="preserve"> which reduces the risk of spread of the disease. </w:t>
      </w:r>
      <w:r w:rsidRPr="000C3A8B">
        <w:rPr>
          <w:color w:val="000000"/>
        </w:rPr>
        <w:t xml:space="preserve">The prevalence of WSSV can vary due to seasonal factors </w:t>
      </w:r>
      <w:r w:rsidRPr="000C3A8B">
        <w:rPr>
          <w:iCs/>
        </w:rPr>
        <w:t>but is generally considered low.</w:t>
      </w:r>
    </w:p>
    <w:p w:rsidR="0023436A" w:rsidRDefault="0023436A" w:rsidP="0023436A">
      <w:pPr>
        <w:pStyle w:val="Schedulebullets1"/>
      </w:pPr>
      <w:r>
        <w:sym w:font="Symbol" w:char="F0B7"/>
      </w:r>
      <w:r>
        <w:tab/>
      </w:r>
      <w:r w:rsidR="00A334F8" w:rsidRPr="006B6112">
        <w:t xml:space="preserve">The EEZ, to the extent that it surrounds Christmas Island </w:t>
      </w:r>
      <w:r>
        <w:t>extends</w:t>
      </w:r>
      <w:r w:rsidRPr="00C52743">
        <w:t xml:space="preserve"> to within close proximity of Indonesian waters where WSSV is endemic in the aquaculture industry</w:t>
      </w:r>
      <w:r w:rsidR="006B6112">
        <w:t>. P</w:t>
      </w:r>
      <w:r w:rsidRPr="00C52743">
        <w:t xml:space="preserve">rawns sourced from </w:t>
      </w:r>
      <w:r w:rsidR="00A334F8" w:rsidRPr="006B6112">
        <w:t xml:space="preserve">that portion of the EEZ </w:t>
      </w:r>
      <w:r w:rsidRPr="00C52743">
        <w:t xml:space="preserve">are </w:t>
      </w:r>
      <w:r>
        <w:t>a potential risk for WSSV.</w:t>
      </w:r>
      <w:r w:rsidRPr="00C52743">
        <w:t xml:space="preserve"> </w:t>
      </w:r>
      <w:r>
        <w:t xml:space="preserve">However, </w:t>
      </w:r>
      <w:r w:rsidRPr="000C3A8B">
        <w:t>the Australian Fisheries Management Authority (</w:t>
      </w:r>
      <w:r w:rsidRPr="00986B67">
        <w:t>AFMA</w:t>
      </w:r>
      <w:r w:rsidRPr="000C3A8B">
        <w:t xml:space="preserve">) has confirmed </w:t>
      </w:r>
      <w:r w:rsidR="00915E6E">
        <w:t>it has</w:t>
      </w:r>
      <w:r w:rsidRPr="000C3A8B">
        <w:t xml:space="preserve"> never issued a licen</w:t>
      </w:r>
      <w:r w:rsidR="00C7051B">
        <w:t>c</w:t>
      </w:r>
      <w:r w:rsidRPr="000C3A8B">
        <w:t xml:space="preserve">e for prawning within the Australian Fishing Zone of Christmas Island. </w:t>
      </w:r>
    </w:p>
    <w:p w:rsidR="00D40617" w:rsidRDefault="00D40617" w:rsidP="00D40617">
      <w:pPr>
        <w:pStyle w:val="tMain"/>
      </w:pPr>
    </w:p>
    <w:p w:rsidR="00D40617" w:rsidRDefault="00D40617" w:rsidP="00D40617">
      <w:pPr>
        <w:spacing w:line="240" w:lineRule="auto"/>
        <w:rPr>
          <w:b/>
          <w:sz w:val="28"/>
          <w:szCs w:val="28"/>
        </w:rPr>
        <w:sectPr w:rsidR="00D40617" w:rsidSect="00D40617">
          <w:headerReference w:type="default" r:id="rId17"/>
          <w:footerReference w:type="default" r:id="rId18"/>
          <w:type w:val="continuous"/>
          <w:pgSz w:w="11906" w:h="16838"/>
          <w:pgMar w:top="1440" w:right="1440" w:bottom="1440" w:left="1440" w:header="709" w:footer="709" w:gutter="0"/>
          <w:cols w:space="708"/>
          <w:titlePg/>
          <w:docGrid w:linePitch="360"/>
        </w:sectPr>
      </w:pPr>
    </w:p>
    <w:p w:rsidR="00B825C3" w:rsidRPr="006B6112" w:rsidRDefault="00B825C3" w:rsidP="006B6112">
      <w:pPr>
        <w:pStyle w:val="Schedulebullets1"/>
      </w:pPr>
      <w:r w:rsidRPr="006B6112">
        <w:br w:type="page"/>
      </w:r>
    </w:p>
    <w:p w:rsidR="00B825C3" w:rsidRDefault="00B825C3" w:rsidP="00D40617">
      <w:pPr>
        <w:pStyle w:val="h1Sch"/>
      </w:pPr>
      <w:bookmarkStart w:id="18" w:name="_Toc473898072"/>
      <w:r w:rsidRPr="00D72C04">
        <w:lastRenderedPageBreak/>
        <w:t xml:space="preserve">Schedule </w:t>
      </w:r>
      <w:r>
        <w:t>3</w:t>
      </w:r>
      <w:r w:rsidRPr="00D72C04">
        <w:t>—</w:t>
      </w:r>
      <w:r w:rsidR="00934F49">
        <w:t>Reasons</w:t>
      </w:r>
      <w:r w:rsidR="00934F49" w:rsidRPr="00D72C04">
        <w:t>—</w:t>
      </w:r>
      <w:r w:rsidR="00934F49">
        <w:t>d</w:t>
      </w:r>
      <w:r w:rsidR="00861F80">
        <w:t xml:space="preserve">ried prawns </w:t>
      </w:r>
      <w:r w:rsidR="00613A20">
        <w:t>and shelf</w:t>
      </w:r>
      <w:r w:rsidR="00613A20">
        <w:noBreakHyphen/>
        <w:t>stable prawn</w:t>
      </w:r>
      <w:r w:rsidR="00613A20">
        <w:noBreakHyphen/>
        <w:t>based food products</w:t>
      </w:r>
      <w:bookmarkEnd w:id="18"/>
    </w:p>
    <w:p w:rsidR="002F1251" w:rsidRDefault="002F1251" w:rsidP="002F1251">
      <w:pPr>
        <w:pStyle w:val="ntoHeading"/>
      </w:pPr>
      <w:r w:rsidRPr="00791EBC">
        <w:t>Note:</w:t>
      </w:r>
      <w:r w:rsidRPr="00791EBC">
        <w:tab/>
        <w:t xml:space="preserve">See </w:t>
      </w:r>
      <w:r w:rsidR="007F713C" w:rsidRPr="00791EBC">
        <w:t>sub</w:t>
      </w:r>
      <w:r w:rsidR="00332811" w:rsidRPr="00791EBC">
        <w:t xml:space="preserve">paragraph </w:t>
      </w:r>
      <w:r w:rsidR="00A26B4E">
        <w:t>5(b)(ii)</w:t>
      </w:r>
      <w:r w:rsidR="005950B4" w:rsidRPr="00791EBC">
        <w:t>.</w:t>
      </w:r>
    </w:p>
    <w:p w:rsidR="001707B7" w:rsidRPr="003941CB" w:rsidRDefault="001707B7" w:rsidP="008644DC">
      <w:pPr>
        <w:pStyle w:val="Schedulesub-heading"/>
      </w:pPr>
      <w:r w:rsidRPr="001C2E70">
        <w:t>Summary</w:t>
      </w:r>
      <w:r w:rsidR="008644DC">
        <w:t xml:space="preserve"> of reasons</w:t>
      </w:r>
    </w:p>
    <w:p w:rsidR="00FF510E" w:rsidRDefault="00EF4BAD" w:rsidP="00FF510E">
      <w:pPr>
        <w:pStyle w:val="Schedulebullets1"/>
      </w:pPr>
      <w:r>
        <w:sym w:font="Symbol" w:char="F0B7"/>
      </w:r>
      <w:r w:rsidR="00FF510E">
        <w:tab/>
      </w:r>
      <w:r w:rsidR="001707B7" w:rsidRPr="008644DC">
        <w:t>Various preparation methods for dried prawns and shelf-stable prawn-based food products are likely to reduce the amount of infective WSSV, if present in the fresh material.</w:t>
      </w:r>
    </w:p>
    <w:p w:rsidR="00FF510E" w:rsidRDefault="00EF4BAD" w:rsidP="00FF510E">
      <w:pPr>
        <w:pStyle w:val="Schedulebullets1"/>
      </w:pPr>
      <w:r>
        <w:sym w:font="Symbol" w:char="F0B7"/>
      </w:r>
      <w:r w:rsidR="00FF510E">
        <w:tab/>
      </w:r>
      <w:r w:rsidR="001707B7" w:rsidRPr="008644DC">
        <w:t xml:space="preserve">The 2009 Generic import risk analysis report for prawns and prawn products (the </w:t>
      </w:r>
      <w:r w:rsidR="001707B7" w:rsidRPr="007F713C">
        <w:rPr>
          <w:b/>
          <w:i/>
        </w:rPr>
        <w:t>2009 IRA</w:t>
      </w:r>
      <w:r w:rsidR="001707B7" w:rsidRPr="008644DC">
        <w:t xml:space="preserve">) considered that shelf-stable food products containing prawns, such as canned prawns or condiments containing prawns as an ingredient (e.g. prawn balachan, shrimp paste) were unlikely to come into contact with live crustaceans in Australia. </w:t>
      </w:r>
    </w:p>
    <w:p w:rsidR="001707B7" w:rsidRDefault="00EF4BAD" w:rsidP="00FF510E">
      <w:pPr>
        <w:pStyle w:val="Schedulebullets1"/>
      </w:pPr>
      <w:r>
        <w:sym w:font="Symbol" w:char="F0B7"/>
      </w:r>
      <w:r w:rsidR="00FF510E">
        <w:tab/>
      </w:r>
      <w:r w:rsidR="001707B7" w:rsidRPr="008644DC">
        <w:t>No new information has come to light since the publication of the</w:t>
      </w:r>
      <w:r>
        <w:t xml:space="preserve"> 2009</w:t>
      </w:r>
      <w:r w:rsidR="001707B7" w:rsidRPr="008644DC">
        <w:t xml:space="preserve"> IRA to challenge this assessment. </w:t>
      </w:r>
    </w:p>
    <w:p w:rsidR="001707B7" w:rsidRDefault="00EF4BAD" w:rsidP="00FF510E">
      <w:pPr>
        <w:pStyle w:val="Schedulebullets1"/>
        <w:rPr>
          <w:b/>
        </w:rPr>
      </w:pPr>
      <w:r>
        <w:sym w:font="Symbol" w:char="F0B7"/>
      </w:r>
      <w:r w:rsidR="00FF510E">
        <w:tab/>
      </w:r>
      <w:r w:rsidR="001707B7" w:rsidRPr="008644DC">
        <w:t>Because exposure of susceptible species in Australia through dried prawns and shelf</w:t>
      </w:r>
      <w:r>
        <w:noBreakHyphen/>
      </w:r>
      <w:r w:rsidR="001707B7" w:rsidRPr="008644DC">
        <w:t>stable prawn-based food products is unlikely, the biosecurity risk posed by WSSV associated with these products meets Australia’s ALOP.</w:t>
      </w:r>
    </w:p>
    <w:p w:rsidR="001707B7" w:rsidRPr="00BA3F1C" w:rsidRDefault="001707B7" w:rsidP="00FF510E">
      <w:pPr>
        <w:pStyle w:val="Schedulesub-heading"/>
        <w:rPr>
          <w:b w:val="0"/>
        </w:rPr>
      </w:pPr>
      <w:r w:rsidRPr="00BA3F1C">
        <w:t>Dried</w:t>
      </w:r>
      <w:r>
        <w:t xml:space="preserve"> and </w:t>
      </w:r>
      <w:r w:rsidR="00EF4BAD">
        <w:t>s</w:t>
      </w:r>
      <w:r>
        <w:t>helf-stable prawn-based food product</w:t>
      </w:r>
      <w:r w:rsidR="00C7051B">
        <w:t>s</w:t>
      </w:r>
    </w:p>
    <w:p w:rsidR="001707B7" w:rsidRPr="00E14E0F" w:rsidRDefault="001707B7" w:rsidP="00FF510E">
      <w:pPr>
        <w:pStyle w:val="Scheduletext"/>
      </w:pPr>
      <w:r w:rsidRPr="00E14E0F">
        <w:t xml:space="preserve">Prior to the </w:t>
      </w:r>
      <w:r>
        <w:rPr>
          <w:i/>
          <w:iCs/>
        </w:rPr>
        <w:t>Biosecurity (Suspended Goods – Uncooked Prawns) Determination 2017</w:t>
      </w:r>
      <w:r w:rsidRPr="00E14E0F">
        <w:t>, dried prawn</w:t>
      </w:r>
      <w:r>
        <w:t>s and shelf-stable prawn-based food products</w:t>
      </w:r>
      <w:r w:rsidRPr="00E14E0F">
        <w:t xml:space="preserve"> were approved for import. A</w:t>
      </w:r>
      <w:r>
        <w:t>n</w:t>
      </w:r>
      <w:r w:rsidRPr="00E14E0F">
        <w:t xml:space="preserve"> import permit was not required for commercial or personal use consignments.</w:t>
      </w:r>
    </w:p>
    <w:p w:rsidR="001707B7" w:rsidRPr="003941CB" w:rsidRDefault="001707B7" w:rsidP="00FF510E">
      <w:pPr>
        <w:pStyle w:val="Scheduletext"/>
      </w:pPr>
      <w:r>
        <w:t>The only intervention was that p</w:t>
      </w:r>
      <w:r w:rsidRPr="00E14E0F">
        <w:t>roducts may</w:t>
      </w:r>
      <w:r>
        <w:t xml:space="preserve"> have</w:t>
      </w:r>
      <w:r w:rsidRPr="00E14E0F">
        <w:t xml:space="preserve"> be</w:t>
      </w:r>
      <w:r>
        <w:t>en</w:t>
      </w:r>
      <w:r w:rsidRPr="00E14E0F">
        <w:t xml:space="preserve"> subject to physical inspect</w:t>
      </w:r>
      <w:r>
        <w:t>ion</w:t>
      </w:r>
      <w:r w:rsidRPr="00E14E0F">
        <w:t xml:space="preserve"> u</w:t>
      </w:r>
      <w:r>
        <w:t>pon arrival to ensure the goods we</w:t>
      </w:r>
      <w:r w:rsidRPr="00E14E0F">
        <w:t>re dry</w:t>
      </w:r>
      <w:r>
        <w:t xml:space="preserve"> or shelf-stable</w:t>
      </w:r>
      <w:r w:rsidRPr="00E14E0F">
        <w:t xml:space="preserve"> and free from other animal or plant material and soil.</w:t>
      </w:r>
    </w:p>
    <w:p w:rsidR="001707B7" w:rsidRPr="00E14E0F" w:rsidRDefault="001707B7" w:rsidP="00FF510E">
      <w:pPr>
        <w:pStyle w:val="Schedulesub-heading"/>
        <w:rPr>
          <w:b w:val="0"/>
        </w:rPr>
      </w:pPr>
      <w:r w:rsidRPr="00E14E0F">
        <w:t>Likelihood of entry of WSSV with dried prawns</w:t>
      </w:r>
      <w:r>
        <w:t xml:space="preserve"> and shelf-stable prawn</w:t>
      </w:r>
      <w:r w:rsidR="00EF4BAD">
        <w:noBreakHyphen/>
      </w:r>
      <w:r>
        <w:t>based food products</w:t>
      </w:r>
    </w:p>
    <w:p w:rsidR="001707B7" w:rsidRPr="00E14E0F" w:rsidRDefault="001707B7" w:rsidP="00FF510E">
      <w:pPr>
        <w:pStyle w:val="Scheduletext"/>
      </w:pPr>
      <w:r>
        <w:t>Shelf-stable</w:t>
      </w:r>
      <w:r w:rsidRPr="00E14E0F">
        <w:t xml:space="preserve"> </w:t>
      </w:r>
      <w:r>
        <w:t xml:space="preserve">and dried </w:t>
      </w:r>
      <w:r w:rsidRPr="00E14E0F">
        <w:t>prawn</w:t>
      </w:r>
      <w:r>
        <w:t xml:space="preserve"> product</w:t>
      </w:r>
      <w:r w:rsidRPr="00E14E0F">
        <w:t>s are considered to have lower likelihood of contamination with WSSV compared to raw prawn products.</w:t>
      </w:r>
    </w:p>
    <w:p w:rsidR="001707B7" w:rsidRDefault="00FF510E" w:rsidP="00FF510E">
      <w:pPr>
        <w:pStyle w:val="Schedulebullets1"/>
      </w:pPr>
      <w:r>
        <w:sym w:font="Symbol" w:char="F0B7"/>
      </w:r>
      <w:r>
        <w:tab/>
      </w:r>
      <w:r w:rsidR="001707B7" w:rsidRPr="00E14E0F">
        <w:t xml:space="preserve">The preparation of dried </w:t>
      </w:r>
      <w:r w:rsidR="001707B7">
        <w:t xml:space="preserve">or shelf-stable </w:t>
      </w:r>
      <w:r w:rsidR="001707B7" w:rsidRPr="00E14E0F">
        <w:t>product</w:t>
      </w:r>
      <w:r w:rsidR="001707B7">
        <w:t>s</w:t>
      </w:r>
      <w:r w:rsidR="001707B7" w:rsidRPr="00E14E0F">
        <w:t xml:space="preserve"> exposes the prawn material to conditions that are expected</w:t>
      </w:r>
      <w:r w:rsidR="001707B7">
        <w:t>,</w:t>
      </w:r>
      <w:r w:rsidR="001707B7" w:rsidRPr="00E14E0F">
        <w:t xml:space="preserve"> at least partially</w:t>
      </w:r>
      <w:r w:rsidR="001707B7">
        <w:t>,</w:t>
      </w:r>
      <w:r w:rsidR="001707B7" w:rsidRPr="00E14E0F">
        <w:t xml:space="preserve"> to incapacitate the virus. </w:t>
      </w:r>
      <w:r w:rsidR="001707B7">
        <w:t>Processes that subject prawn meat to heat, pressure, or chemical treatments such as acidity (pickling), result in denaturing/coagulation of the</w:t>
      </w:r>
      <w:r w:rsidR="00C7051B">
        <w:t xml:space="preserve"> meat</w:t>
      </w:r>
      <w:r w:rsidR="001707B7">
        <w:t xml:space="preserve"> protein. </w:t>
      </w:r>
      <w:r w:rsidR="001707B7" w:rsidRPr="00E14E0F">
        <w:t>Prawns</w:t>
      </w:r>
      <w:r w:rsidR="001707B7">
        <w:t xml:space="preserve"> </w:t>
      </w:r>
      <w:r w:rsidR="001707B7" w:rsidRPr="00E14E0F">
        <w:t xml:space="preserve">that are subjected to such processes, or </w:t>
      </w:r>
      <w:r w:rsidR="001707B7" w:rsidRPr="002B615B">
        <w:t>their combinations, are likely to have reduced viral titres compared to their fresh state.</w:t>
      </w:r>
    </w:p>
    <w:p w:rsidR="001707B7" w:rsidRPr="002B615B" w:rsidRDefault="00FF510E" w:rsidP="00FF510E">
      <w:pPr>
        <w:pStyle w:val="Schedulebullets1"/>
      </w:pPr>
      <w:r>
        <w:sym w:font="Symbol" w:char="F0B7"/>
      </w:r>
      <w:r>
        <w:tab/>
      </w:r>
      <w:r w:rsidR="001707B7" w:rsidRPr="002B615B">
        <w:t xml:space="preserve">There are no specific studies on the prevalence or infectivity of WSSV in dried prawns or shelf-stable prawns for human consumption. Various studies assessed the sensitivity </w:t>
      </w:r>
      <w:r w:rsidR="001707B7" w:rsidRPr="002B615B">
        <w:lastRenderedPageBreak/>
        <w:t xml:space="preserve">of WSSV to thermal, ultraviolet or pH exposure (Chang 1998, </w:t>
      </w:r>
      <w:r w:rsidR="001707B7" w:rsidRPr="002B615B">
        <w:rPr>
          <w:color w:val="222222"/>
        </w:rPr>
        <w:t>Balasubramanian 2006</w:t>
      </w:r>
      <w:r w:rsidR="001707B7" w:rsidRPr="002B615B">
        <w:t>, Kumar 2013).</w:t>
      </w:r>
    </w:p>
    <w:p w:rsidR="001707B7" w:rsidRPr="002B615B" w:rsidRDefault="00A03BE3" w:rsidP="00FF510E">
      <w:pPr>
        <w:pStyle w:val="Schedulebullets2"/>
      </w:pPr>
      <w:r>
        <w:t>–</w:t>
      </w:r>
      <w:r>
        <w:tab/>
      </w:r>
      <w:r w:rsidR="001707B7" w:rsidRPr="002B615B">
        <w:t>These investigations indicate that WSSV is susceptible to these physical and chemical conditions. For example, WSSV in prawn tissue homogenates was completely inactivated (based on infectivity studies) with</w:t>
      </w:r>
      <w:r w:rsidR="001707B7" w:rsidRPr="002B615B">
        <w:rPr>
          <w:lang w:eastAsia="en-AU"/>
        </w:rPr>
        <w:t xml:space="preserve"> 20 minutes heating to 60</w:t>
      </w:r>
      <w:r w:rsidR="001707B7" w:rsidRPr="002B615B">
        <w:rPr>
          <w:rFonts w:cs="AdvPSSym"/>
          <w:lang w:eastAsia="en-AU"/>
        </w:rPr>
        <w:t>°</w:t>
      </w:r>
      <w:r w:rsidR="001707B7" w:rsidRPr="002B615B">
        <w:rPr>
          <w:lang w:eastAsia="en-AU"/>
        </w:rPr>
        <w:t>C or</w:t>
      </w:r>
      <w:r w:rsidR="001707B7" w:rsidRPr="002B615B">
        <w:rPr>
          <w:rFonts w:cs="AdvPSHV-L"/>
          <w:lang w:eastAsia="en-AU"/>
        </w:rPr>
        <w:t xml:space="preserve"> UV irradiation at 3.1 </w:t>
      </w:r>
      <w:r w:rsidR="001707B7" w:rsidRPr="002B615B">
        <w:rPr>
          <w:rFonts w:cs="AdvPSSym"/>
          <w:lang w:eastAsia="en-AU"/>
        </w:rPr>
        <w:t xml:space="preserve">× </w:t>
      </w:r>
      <w:r w:rsidR="001707B7" w:rsidRPr="002B615B">
        <w:rPr>
          <w:rFonts w:cs="AdvPSHV-L"/>
          <w:lang w:eastAsia="en-AU"/>
        </w:rPr>
        <w:t>10</w:t>
      </w:r>
      <w:r w:rsidR="001707B7" w:rsidRPr="002B615B">
        <w:rPr>
          <w:rFonts w:cs="AdvPSHV-L"/>
          <w:vertAlign w:val="superscript"/>
          <w:lang w:eastAsia="en-AU"/>
        </w:rPr>
        <w:t>5</w:t>
      </w:r>
      <w:r w:rsidR="001707B7" w:rsidRPr="002B615B">
        <w:rPr>
          <w:rFonts w:cs="AdvPSHV-L"/>
          <w:lang w:eastAsia="en-AU"/>
        </w:rPr>
        <w:t xml:space="preserve"> </w:t>
      </w:r>
      <w:r w:rsidR="001707B7" w:rsidRPr="002B615B">
        <w:rPr>
          <w:rFonts w:cs="AdvPSMP13"/>
          <w:lang w:eastAsia="en-AU"/>
        </w:rPr>
        <w:t>μ</w:t>
      </w:r>
      <w:r w:rsidR="001707B7" w:rsidRPr="002B615B">
        <w:rPr>
          <w:rFonts w:cs="AdvPSHV-L"/>
          <w:lang w:eastAsia="en-AU"/>
        </w:rPr>
        <w:t>W s/cm</w:t>
      </w:r>
      <w:r w:rsidR="001707B7" w:rsidRPr="002B615B">
        <w:rPr>
          <w:rFonts w:cs="AdvPSSPS-AS"/>
          <w:vertAlign w:val="superscript"/>
          <w:lang w:eastAsia="en-AU"/>
        </w:rPr>
        <w:t>2</w:t>
      </w:r>
      <w:r w:rsidR="001707B7" w:rsidRPr="002B615B">
        <w:rPr>
          <w:lang w:eastAsia="en-AU"/>
        </w:rPr>
        <w:t xml:space="preserve"> (</w:t>
      </w:r>
      <w:r w:rsidR="001707B7" w:rsidRPr="002B615B">
        <w:rPr>
          <w:color w:val="222222"/>
        </w:rPr>
        <w:t>Balasubramanian 2006</w:t>
      </w:r>
      <w:r w:rsidR="001707B7" w:rsidRPr="002B615B">
        <w:rPr>
          <w:lang w:eastAsia="en-AU"/>
        </w:rPr>
        <w:t xml:space="preserve">). </w:t>
      </w:r>
    </w:p>
    <w:p w:rsidR="001707B7" w:rsidRPr="00E14E0F" w:rsidRDefault="00FF510E" w:rsidP="00FF510E">
      <w:pPr>
        <w:pStyle w:val="Schedulebullets1"/>
      </w:pPr>
      <w:r>
        <w:sym w:font="Symbol" w:char="F0B7"/>
      </w:r>
      <w:r>
        <w:tab/>
      </w:r>
      <w:r w:rsidR="001707B7">
        <w:rPr>
          <w:rFonts w:cs="SizedSym151"/>
        </w:rPr>
        <w:t>Persistent i</w:t>
      </w:r>
      <w:r w:rsidR="001707B7" w:rsidRPr="00E14E0F">
        <w:rPr>
          <w:rFonts w:cs="SizedSym151"/>
        </w:rPr>
        <w:t xml:space="preserve">nfectivity </w:t>
      </w:r>
      <w:r w:rsidR="001707B7">
        <w:rPr>
          <w:rFonts w:cs="SizedSym151"/>
        </w:rPr>
        <w:t xml:space="preserve">of WSSV </w:t>
      </w:r>
      <w:r w:rsidR="001707B7" w:rsidRPr="00E14E0F">
        <w:rPr>
          <w:rFonts w:cs="SizedSym151"/>
        </w:rPr>
        <w:t>in deceased prawns</w:t>
      </w:r>
      <w:r w:rsidR="001707B7">
        <w:rPr>
          <w:rFonts w:cs="SizedSym151"/>
        </w:rPr>
        <w:t xml:space="preserve"> has been demonstrated</w:t>
      </w:r>
      <w:r w:rsidR="001707B7" w:rsidRPr="00E14E0F">
        <w:rPr>
          <w:rFonts w:cs="SizedSym151"/>
        </w:rPr>
        <w:t>:</w:t>
      </w:r>
    </w:p>
    <w:p w:rsidR="001707B7" w:rsidRPr="00E14E0F" w:rsidRDefault="00A03BE3" w:rsidP="00A03BE3">
      <w:pPr>
        <w:pStyle w:val="Schedulebullets2"/>
      </w:pPr>
      <w:r>
        <w:t>–</w:t>
      </w:r>
      <w:r>
        <w:tab/>
      </w:r>
      <w:r w:rsidR="001707B7" w:rsidRPr="00E14E0F">
        <w:t>Whole carcases</w:t>
      </w:r>
      <w:r w:rsidR="001707B7">
        <w:t>:</w:t>
      </w:r>
      <w:r w:rsidR="001707B7" w:rsidRPr="00E14E0F">
        <w:t xml:space="preserve"> retain infectivity for </w:t>
      </w:r>
      <w:r w:rsidR="001707B7" w:rsidRPr="00E14E0F">
        <w:rPr>
          <w:u w:val="single"/>
        </w:rPr>
        <w:t>six days</w:t>
      </w:r>
      <w:r w:rsidR="001707B7" w:rsidRPr="00E14E0F">
        <w:t xml:space="preserve"> at 25.5 – 28.8°C (Wang et al. 2002)</w:t>
      </w:r>
      <w:r w:rsidR="001707B7">
        <w:t>;</w:t>
      </w:r>
    </w:p>
    <w:p w:rsidR="001707B7" w:rsidRDefault="00A03BE3" w:rsidP="00A03BE3">
      <w:pPr>
        <w:pStyle w:val="Schedulebullets2"/>
      </w:pPr>
      <w:r>
        <w:t>–</w:t>
      </w:r>
      <w:r>
        <w:tab/>
      </w:r>
      <w:r w:rsidR="001707B7">
        <w:t>Heads:</w:t>
      </w:r>
      <w:r w:rsidR="001707B7" w:rsidRPr="00E14E0F">
        <w:t xml:space="preserve"> retain infectivity for at least </w:t>
      </w:r>
      <w:r w:rsidR="001707B7" w:rsidRPr="00E14E0F">
        <w:rPr>
          <w:u w:val="single"/>
        </w:rPr>
        <w:t>14 days</w:t>
      </w:r>
      <w:r w:rsidR="001707B7" w:rsidRPr="00E14E0F">
        <w:t xml:space="preserve"> at 27°C (Prior and Browdy 2002)</w:t>
      </w:r>
      <w:r w:rsidR="001707B7">
        <w:t>;</w:t>
      </w:r>
    </w:p>
    <w:p w:rsidR="001707B7" w:rsidRPr="004B17B2" w:rsidRDefault="00A03BE3" w:rsidP="00A03BE3">
      <w:pPr>
        <w:pStyle w:val="Schedulebullets2"/>
      </w:pPr>
      <w:r>
        <w:t>–</w:t>
      </w:r>
      <w:r>
        <w:tab/>
      </w:r>
      <w:r w:rsidR="001707B7">
        <w:t>Tails:</w:t>
      </w:r>
      <w:r w:rsidR="001707B7" w:rsidRPr="00E14E0F">
        <w:t xml:space="preserve"> retain infectivity for at least </w:t>
      </w:r>
      <w:r w:rsidR="001707B7" w:rsidRPr="004B17B2">
        <w:rPr>
          <w:u w:val="single"/>
        </w:rPr>
        <w:t>28 days</w:t>
      </w:r>
      <w:r w:rsidR="001707B7" w:rsidRPr="00E14E0F">
        <w:t xml:space="preserve"> at 27°C (Prior and Browdy 2002)</w:t>
      </w:r>
      <w:r w:rsidR="001707B7">
        <w:t>.</w:t>
      </w:r>
    </w:p>
    <w:p w:rsidR="001707B7" w:rsidRPr="00BA3F1C" w:rsidRDefault="001707B7" w:rsidP="00FF510E">
      <w:pPr>
        <w:pStyle w:val="Schedulesub-heading"/>
        <w:rPr>
          <w:b w:val="0"/>
        </w:rPr>
      </w:pPr>
      <w:r w:rsidRPr="00BA3F1C">
        <w:t>Likelihood of exposure of WSSV with dried prawns</w:t>
      </w:r>
      <w:r>
        <w:t xml:space="preserve"> and shelf-stable prawn-based food products</w:t>
      </w:r>
    </w:p>
    <w:p w:rsidR="001707B7" w:rsidRDefault="001707B7" w:rsidP="00A03BE3">
      <w:pPr>
        <w:pStyle w:val="Scheduletext"/>
      </w:pPr>
      <w:r>
        <w:t xml:space="preserve">The 2009 </w:t>
      </w:r>
      <w:r w:rsidRPr="00A03BE3">
        <w:t>I</w:t>
      </w:r>
      <w:r>
        <w:t>RA considered that shelf-stable products</w:t>
      </w:r>
      <w:r w:rsidR="00814FF1">
        <w:t xml:space="preserve"> and </w:t>
      </w:r>
      <w:r>
        <w:t>dried prawns,</w:t>
      </w:r>
      <w:r w:rsidRPr="00E14E0F">
        <w:t xml:space="preserve"> </w:t>
      </w:r>
      <w:r>
        <w:t>had a sufficiently low</w:t>
      </w:r>
      <w:r w:rsidRPr="00E14E0F">
        <w:t xml:space="preserve"> likelihood of </w:t>
      </w:r>
      <w:r>
        <w:t>exposure to susceptible hosts</w:t>
      </w:r>
      <w:r w:rsidRPr="00E14E0F">
        <w:t xml:space="preserve"> compared to raw prawn products</w:t>
      </w:r>
      <w:r>
        <w:t>:</w:t>
      </w:r>
    </w:p>
    <w:p w:rsidR="001707B7" w:rsidRPr="00BA3F1C" w:rsidRDefault="001707B7" w:rsidP="00A03BE3">
      <w:pPr>
        <w:pStyle w:val="Quote"/>
        <w:ind w:left="851"/>
      </w:pPr>
      <w:r>
        <w:t>“</w:t>
      </w:r>
      <w:r w:rsidRPr="00BA3F1C">
        <w:t xml:space="preserve">Shelf-stable food products containing prawns such as dried prawns, canned prawns or condiments containing </w:t>
      </w:r>
      <w:r w:rsidRPr="00BA3F1C">
        <w:rPr>
          <w:lang w:eastAsia="en-AU"/>
        </w:rPr>
        <w:t>prawns</w:t>
      </w:r>
      <w:r w:rsidRPr="00BA3F1C">
        <w:t xml:space="preserve"> as an ingredient (e.g. prawn balachan, shrimp paste) are considered to pose a </w:t>
      </w:r>
      <w:r w:rsidRPr="00563D52">
        <w:rPr>
          <w:u w:val="single"/>
        </w:rPr>
        <w:t>negligible risk</w:t>
      </w:r>
      <w:r w:rsidRPr="00BA3F1C">
        <w:t xml:space="preserve"> because they are highly unlikely to come into contact wit</w:t>
      </w:r>
      <w:r>
        <w:t>h live crustaceans in Australia</w:t>
      </w:r>
      <w:r w:rsidRPr="00BA3F1C">
        <w:t>.</w:t>
      </w:r>
      <w:r>
        <w:t>”</w:t>
      </w:r>
      <w:r w:rsidRPr="00BA3F1C">
        <w:t xml:space="preserve"> (p 176)</w:t>
      </w:r>
    </w:p>
    <w:p w:rsidR="001707B7" w:rsidRPr="00126E64" w:rsidRDefault="00A03BE3" w:rsidP="00A03BE3">
      <w:pPr>
        <w:pStyle w:val="Schedulebullets1"/>
      </w:pPr>
      <w:r>
        <w:sym w:font="Symbol" w:char="F0B7"/>
      </w:r>
      <w:r>
        <w:tab/>
      </w:r>
      <w:r w:rsidR="001707B7">
        <w:t xml:space="preserve">Since the publication of this statement in the </w:t>
      </w:r>
      <w:r w:rsidR="00A7347F">
        <w:t xml:space="preserve">2009 </w:t>
      </w:r>
      <w:r w:rsidR="001707B7">
        <w:t>IRA, which underwent both peer review by an eminent scientists group and public consultation opportunities, no new information has come to light to contradict this assessment.</w:t>
      </w:r>
    </w:p>
    <w:p w:rsidR="001707B7" w:rsidRDefault="00A03BE3" w:rsidP="00A03BE3">
      <w:pPr>
        <w:pStyle w:val="Schedulebullets1"/>
      </w:pPr>
      <w:r>
        <w:sym w:font="Symbol" w:char="F0B7"/>
      </w:r>
      <w:r>
        <w:tab/>
      </w:r>
      <w:r w:rsidR="001707B7">
        <w:t>Preparing prawns for human consumption in a dried or shelf-stable form is considered an effective risk mitigation measure, rendering them</w:t>
      </w:r>
      <w:r w:rsidR="001707B7" w:rsidRPr="00D220AC">
        <w:t xml:space="preserve"> </w:t>
      </w:r>
      <w:r w:rsidR="001707B7" w:rsidRPr="00BA3F1C">
        <w:t>highly unlikely to come into contact wit</w:t>
      </w:r>
      <w:r w:rsidR="001707B7">
        <w:t>h live crustaceans</w:t>
      </w:r>
      <w:r w:rsidR="001707B7" w:rsidRPr="00D220AC">
        <w:t xml:space="preserve">. </w:t>
      </w:r>
      <w:r w:rsidR="001707B7" w:rsidRPr="00BA3F1C">
        <w:t>Consequently</w:t>
      </w:r>
      <w:r w:rsidR="001707B7">
        <w:t xml:space="preserve">, dried and shelf-stable prawn preparations are unlikely to represent a </w:t>
      </w:r>
      <w:r w:rsidR="001707B7" w:rsidRPr="00BA3F1C">
        <w:t xml:space="preserve">direct pathway for the introduction of aquatic </w:t>
      </w:r>
      <w:r w:rsidR="001707B7">
        <w:t xml:space="preserve">animal </w:t>
      </w:r>
      <w:r w:rsidR="001707B7" w:rsidRPr="00BA3F1C">
        <w:t xml:space="preserve">pathogens into an aquatic environment. </w:t>
      </w:r>
      <w:r w:rsidR="001707B7">
        <w:t>N</w:t>
      </w:r>
      <w:r w:rsidR="001707B7" w:rsidRPr="00D220AC">
        <w:t xml:space="preserve">o specific studies </w:t>
      </w:r>
      <w:r w:rsidR="001707B7">
        <w:t xml:space="preserve">were identified investigating </w:t>
      </w:r>
      <w:r w:rsidR="001707B7" w:rsidRPr="00D220AC">
        <w:t>the potential</w:t>
      </w:r>
      <w:r w:rsidR="003A3925">
        <w:t xml:space="preserve"> pathway</w:t>
      </w:r>
      <w:r w:rsidR="001707B7" w:rsidRPr="00D220AC">
        <w:t xml:space="preserve"> for </w:t>
      </w:r>
      <w:r w:rsidR="001707B7">
        <w:t xml:space="preserve">shelf-stable products or </w:t>
      </w:r>
      <w:r w:rsidR="001707B7" w:rsidRPr="00D220AC">
        <w:t xml:space="preserve">dried </w:t>
      </w:r>
      <w:r w:rsidR="003A3925">
        <w:t xml:space="preserve">prawns </w:t>
      </w:r>
      <w:r w:rsidR="001707B7" w:rsidRPr="00D220AC">
        <w:t xml:space="preserve">to access exposure groups of concern. </w:t>
      </w:r>
    </w:p>
    <w:p w:rsidR="001707B7" w:rsidRDefault="00A03BE3" w:rsidP="00A03BE3">
      <w:pPr>
        <w:pStyle w:val="Schedulebullets2"/>
        <w:rPr>
          <w:lang w:eastAsia="en-AU"/>
        </w:rPr>
      </w:pPr>
      <w:r>
        <w:rPr>
          <w:lang w:eastAsia="en-AU"/>
        </w:rPr>
        <w:t>–</w:t>
      </w:r>
      <w:r>
        <w:rPr>
          <w:lang w:eastAsia="en-AU"/>
        </w:rPr>
        <w:tab/>
      </w:r>
      <w:r w:rsidR="001707B7">
        <w:rPr>
          <w:lang w:eastAsia="en-AU"/>
        </w:rPr>
        <w:t>Two national surveys of Australia</w:t>
      </w:r>
      <w:r w:rsidR="00190A33">
        <w:rPr>
          <w:lang w:eastAsia="en-AU"/>
        </w:rPr>
        <w:t>n</w:t>
      </w:r>
      <w:r w:rsidR="001707B7">
        <w:rPr>
          <w:lang w:eastAsia="en-AU"/>
        </w:rPr>
        <w:t xml:space="preserve"> recreational fisherm</w:t>
      </w:r>
      <w:r w:rsidR="00190A33">
        <w:rPr>
          <w:lang w:eastAsia="en-AU"/>
        </w:rPr>
        <w:t>e</w:t>
      </w:r>
      <w:r w:rsidR="001707B7">
        <w:rPr>
          <w:lang w:eastAsia="en-AU"/>
        </w:rPr>
        <w:t xml:space="preserve">n (Kewagama reports, 2002 and 2007) investigated </w:t>
      </w:r>
      <w:r w:rsidR="001707B7">
        <w:t>the</w:t>
      </w:r>
      <w:r w:rsidR="001707B7">
        <w:rPr>
          <w:lang w:eastAsia="en-AU"/>
        </w:rPr>
        <w:t xml:space="preserve"> use of uncooked aquatic animals (or parts thereof) as bait or berley.</w:t>
      </w:r>
      <w:r w:rsidR="001707B7" w:rsidRPr="00563D52">
        <w:rPr>
          <w:lang w:eastAsia="en-AU"/>
        </w:rPr>
        <w:t xml:space="preserve"> </w:t>
      </w:r>
      <w:r w:rsidR="001707B7">
        <w:rPr>
          <w:lang w:eastAsia="en-AU"/>
        </w:rPr>
        <w:t>‘Uncooked’ products investigated in the survey included dried or salted preparations, but neither survey identified such products for human consumption as being used by recreational fishers.</w:t>
      </w:r>
    </w:p>
    <w:p w:rsidR="001707B7" w:rsidRPr="00CE76FC" w:rsidRDefault="00A03BE3" w:rsidP="00A03BE3">
      <w:pPr>
        <w:pStyle w:val="Schedulebullets1"/>
      </w:pPr>
      <w:r>
        <w:sym w:font="Symbol" w:char="F0B7"/>
      </w:r>
      <w:r>
        <w:tab/>
      </w:r>
      <w:r w:rsidR="001707B7" w:rsidRPr="00BA3F1C">
        <w:t>Several</w:t>
      </w:r>
      <w:r w:rsidR="001707B7">
        <w:t xml:space="preserve"> online</w:t>
      </w:r>
      <w:r w:rsidR="001707B7" w:rsidRPr="00BA3F1C">
        <w:t xml:space="preserve"> fishing forums indicate that </w:t>
      </w:r>
      <w:r w:rsidR="001707B7">
        <w:t xml:space="preserve">dried prawns are considered unsuitable for bait. Ornamental fish keepers do report feeding dried shrimp to </w:t>
      </w:r>
      <w:r w:rsidR="001707B7" w:rsidRPr="001C2E70">
        <w:t>aquarium fish.</w:t>
      </w:r>
      <w:r w:rsidR="001707B7">
        <w:t xml:space="preserve"> Prawns are bottom feeders and while commercial feeds are specifically designed to sink, dried prawns for human consumption do not, so are considered unsuitable for crustacean feed. Furthermore, were they to be used in the aquatic environment, their propensity to </w:t>
      </w:r>
      <w:r w:rsidR="001707B7">
        <w:lastRenderedPageBreak/>
        <w:t>float means they would be very unlikely to be targeted by and exposed to susceptible species.</w:t>
      </w:r>
    </w:p>
    <w:p w:rsidR="001707B7" w:rsidRPr="00AC3E66" w:rsidRDefault="00A03BE3" w:rsidP="00A03BE3">
      <w:pPr>
        <w:pStyle w:val="Schedulebullets1"/>
      </w:pPr>
      <w:r>
        <w:sym w:font="Symbol" w:char="F0B7"/>
      </w:r>
      <w:r>
        <w:tab/>
      </w:r>
      <w:r w:rsidR="001707B7">
        <w:t>Dried and shelf-stable prawns</w:t>
      </w:r>
      <w:r w:rsidR="001707B7" w:rsidRPr="00E14E0F">
        <w:t xml:space="preserve"> present </w:t>
      </w:r>
      <w:r w:rsidR="001707B7">
        <w:t>a lower biosecurity risk compared with uncooked fresh or frozen prawns, regardless of how shelf-</w:t>
      </w:r>
      <w:r w:rsidR="001707B7" w:rsidRPr="00E14E0F">
        <w:t xml:space="preserve">stability has been achieved </w:t>
      </w:r>
      <w:r w:rsidR="001707B7">
        <w:t>(likelihood of entry). The longevity of such products enables their storage for periods in excess of those explored in the infectivity studies outlined above. If viable virus is present in dried prawns, its ability to persist for the shelf life of the product is unknown. Any viable virus that remains is considered unlikely to enter exposure pathways.</w:t>
      </w:r>
    </w:p>
    <w:p w:rsidR="001707B7" w:rsidRDefault="00A03BE3" w:rsidP="00A03BE3">
      <w:pPr>
        <w:pStyle w:val="Schedulebullets1"/>
      </w:pPr>
      <w:r>
        <w:sym w:font="Symbol" w:char="F0B7"/>
      </w:r>
      <w:r>
        <w:tab/>
      </w:r>
      <w:r w:rsidR="001707B7">
        <w:t>Because exposure of susceptible species in Australia</w:t>
      </w:r>
      <w:r w:rsidR="001707B7" w:rsidRPr="003941CB">
        <w:t xml:space="preserve"> </w:t>
      </w:r>
      <w:r w:rsidR="001707B7">
        <w:t>through dried prawns and shelf</w:t>
      </w:r>
      <w:r w:rsidR="007F713C">
        <w:noBreakHyphen/>
      </w:r>
      <w:r w:rsidR="001707B7">
        <w:t>stable prawn-based food products is unlikely, the biosecurity risk posed by WSSV associated with these products meets Australia’s ALOP.</w:t>
      </w:r>
    </w:p>
    <w:p w:rsidR="001707B7" w:rsidRPr="00AC3E66" w:rsidRDefault="001707B7" w:rsidP="00FF510E">
      <w:pPr>
        <w:pStyle w:val="Schedulesub-heading"/>
        <w:rPr>
          <w:b w:val="0"/>
        </w:rPr>
      </w:pPr>
      <w:r w:rsidRPr="00AC3E66">
        <w:t>References</w:t>
      </w:r>
    </w:p>
    <w:p w:rsidR="001707B7" w:rsidRDefault="002F1251" w:rsidP="002F1251">
      <w:pPr>
        <w:pStyle w:val="Schedulebullets1"/>
        <w:rPr>
          <w:rFonts w:cs="AdvPS_HV"/>
        </w:rPr>
      </w:pPr>
      <w:r>
        <w:sym w:font="Symbol" w:char="F0B7"/>
      </w:r>
      <w:r>
        <w:tab/>
      </w:r>
      <w:r w:rsidR="001707B7" w:rsidRPr="006E4D39">
        <w:rPr>
          <w:rFonts w:cs="AdvPS_HVB"/>
        </w:rPr>
        <w:t>Balasubramanian G, Sudhakaran R, Syed Musthaq S, Sarathi M and Sahul Hameed AS</w:t>
      </w:r>
      <w:r w:rsidR="001707B7">
        <w:rPr>
          <w:rFonts w:cs="AdvPS_HVB"/>
        </w:rPr>
        <w:t xml:space="preserve"> (2006) </w:t>
      </w:r>
      <w:r w:rsidR="001707B7" w:rsidRPr="006E4D39">
        <w:rPr>
          <w:rFonts w:cs="AdvPSHV-BL"/>
        </w:rPr>
        <w:t xml:space="preserve">Studies on the inactivation of white spot syndrome virus of shrimp by physical and chemical treatments, and seaweed </w:t>
      </w:r>
      <w:r w:rsidR="001707B7" w:rsidRPr="002F1251">
        <w:t>extracts</w:t>
      </w:r>
      <w:r w:rsidR="001707B7" w:rsidRPr="006E4D39">
        <w:rPr>
          <w:rFonts w:cs="AdvPSHV-BL"/>
        </w:rPr>
        <w:t xml:space="preserve"> tested in marine and freshwater animal models. </w:t>
      </w:r>
      <w:r w:rsidR="001707B7" w:rsidRPr="006E4D39">
        <w:rPr>
          <w:rFonts w:cs="AdvPS_HVB"/>
          <w:i/>
        </w:rPr>
        <w:t>Journal of Fish Diseases</w:t>
      </w:r>
      <w:r w:rsidR="001707B7" w:rsidRPr="006E4D39">
        <w:rPr>
          <w:rFonts w:cs="AdvPS_HVB"/>
        </w:rPr>
        <w:t xml:space="preserve"> 29, </w:t>
      </w:r>
      <w:r w:rsidR="001707B7" w:rsidRPr="006E4D39">
        <w:rPr>
          <w:rFonts w:cs="AdvPS_HV"/>
        </w:rPr>
        <w:t>569–572</w:t>
      </w:r>
      <w:r w:rsidR="001707B7">
        <w:rPr>
          <w:rFonts w:cs="AdvPS_HV"/>
        </w:rPr>
        <w:t>.</w:t>
      </w:r>
    </w:p>
    <w:p w:rsidR="001707B7" w:rsidRDefault="002F1251" w:rsidP="002F1251">
      <w:pPr>
        <w:pStyle w:val="Schedulebullets1"/>
        <w:rPr>
          <w:rFonts w:cs="AdvPS_HV"/>
        </w:rPr>
      </w:pPr>
      <w:r>
        <w:sym w:font="Symbol" w:char="F0B7"/>
      </w:r>
      <w:r>
        <w:tab/>
      </w:r>
      <w:r w:rsidR="001707B7">
        <w:t xml:space="preserve">Biosecurity Australia (2009) </w:t>
      </w:r>
      <w:r w:rsidR="001707B7" w:rsidRPr="00B82667">
        <w:rPr>
          <w:i/>
          <w:iCs/>
        </w:rPr>
        <w:t>Generic Import Risk Analysis Report for Prawns and Prawn Products</w:t>
      </w:r>
      <w:r w:rsidR="001707B7">
        <w:t>. Biosecurity Australia, Canberra, Australia.</w:t>
      </w:r>
    </w:p>
    <w:p w:rsidR="001707B7" w:rsidRDefault="002F1251" w:rsidP="002F1251">
      <w:pPr>
        <w:pStyle w:val="Schedulebullets1"/>
        <w:rPr>
          <w:rFonts w:cs="AdvPS_HV"/>
        </w:rPr>
      </w:pPr>
      <w:r>
        <w:sym w:font="Symbol" w:char="F0B7"/>
      </w:r>
      <w:r>
        <w:tab/>
      </w:r>
      <w:r w:rsidR="001707B7" w:rsidRPr="006E4D39">
        <w:t xml:space="preserve">Chang P-S, Chen L-J and Wang YG (1998) The effect of ultraviolet irradiation, heat, pH, ozone, salinity and chemical disinfectants on the infectivity of white spot syndrome baculovirus. </w:t>
      </w:r>
      <w:r w:rsidR="001707B7" w:rsidRPr="006E4D39">
        <w:rPr>
          <w:i/>
        </w:rPr>
        <w:t>Aquaculture</w:t>
      </w:r>
      <w:r w:rsidR="001707B7" w:rsidRPr="006E4D39">
        <w:t xml:space="preserve"> 166, 1–17</w:t>
      </w:r>
      <w:r w:rsidR="001707B7">
        <w:t>.</w:t>
      </w:r>
    </w:p>
    <w:p w:rsidR="001707B7" w:rsidRDefault="002F1251" w:rsidP="002F1251">
      <w:pPr>
        <w:pStyle w:val="Schedulebullets1"/>
        <w:rPr>
          <w:rFonts w:cs="AdvPS_HV"/>
        </w:rPr>
      </w:pPr>
      <w:r>
        <w:sym w:font="Symbol" w:char="F0B7"/>
      </w:r>
      <w:r>
        <w:tab/>
      </w:r>
      <w:r w:rsidR="001707B7" w:rsidRPr="004D7394">
        <w:t xml:space="preserve">Kewagama Research (2002) </w:t>
      </w:r>
      <w:r w:rsidR="001707B7" w:rsidRPr="00BA29A7">
        <w:rPr>
          <w:i/>
        </w:rPr>
        <w:t>National survey of bait and berley use by recreational fishers</w:t>
      </w:r>
      <w:r w:rsidR="001707B7" w:rsidRPr="004D7394">
        <w:t xml:space="preserve">. Report to: </w:t>
      </w:r>
      <w:r w:rsidR="001707B7" w:rsidRPr="00BA29A7">
        <w:t>Biosecurity Australia, AFFA.</w:t>
      </w:r>
    </w:p>
    <w:p w:rsidR="001707B7" w:rsidRDefault="002F1251" w:rsidP="002F1251">
      <w:pPr>
        <w:pStyle w:val="Schedulebullets1"/>
        <w:rPr>
          <w:rFonts w:cs="AdvPS_HV"/>
        </w:rPr>
      </w:pPr>
      <w:r>
        <w:sym w:font="Symbol" w:char="F0B7"/>
      </w:r>
      <w:r>
        <w:tab/>
      </w:r>
      <w:r w:rsidR="001707B7" w:rsidRPr="00BA29A7">
        <w:t xml:space="preserve">Kewagama Research (2007) </w:t>
      </w:r>
      <w:r w:rsidR="001707B7" w:rsidRPr="00BA29A7">
        <w:rPr>
          <w:i/>
        </w:rPr>
        <w:t>National survey of bait and berley use by recreational fishers: a follow-up survey focussing on prawns/shrimp</w:t>
      </w:r>
      <w:r w:rsidR="001707B7" w:rsidRPr="00BA29A7">
        <w:t>. Report to: Biosecurity Australia, AFFA.</w:t>
      </w:r>
    </w:p>
    <w:p w:rsidR="001707B7" w:rsidRPr="001F502E" w:rsidRDefault="002F1251" w:rsidP="002F1251">
      <w:pPr>
        <w:pStyle w:val="Schedulebullets1"/>
        <w:rPr>
          <w:rFonts w:cs="AdvPS_HV"/>
        </w:rPr>
      </w:pPr>
      <w:r>
        <w:sym w:font="Symbol" w:char="F0B7"/>
      </w:r>
      <w:r>
        <w:tab/>
      </w:r>
      <w:r w:rsidR="001707B7" w:rsidRPr="001F502E">
        <w:rPr>
          <w:rFonts w:cs="AdvTT5235d5a9"/>
          <w:color w:val="000000"/>
        </w:rPr>
        <w:t xml:space="preserve">Kumar SS, Bharathi RA, Rajan JJS, Alavandi SV, Poornima M, Balasubramanian CP, Ponniah AG (2013) </w:t>
      </w:r>
      <w:r w:rsidR="001707B7" w:rsidRPr="002F1251">
        <w:t>Viability</w:t>
      </w:r>
      <w:r w:rsidR="001707B7" w:rsidRPr="001F502E">
        <w:rPr>
          <w:rFonts w:cs="AdvTT5235d5a9"/>
          <w:color w:val="000000"/>
        </w:rPr>
        <w:t xml:space="preserve"> of white spot syndrome virus (WSSV) in sediment during sun-drying (drainable pond) and under non-drainable pond conditions indicated by infectivity to shrimp </w:t>
      </w:r>
      <w:r w:rsidR="001707B7" w:rsidRPr="001F502E">
        <w:rPr>
          <w:rFonts w:cs="AdvTT5235d5a9"/>
          <w:i/>
        </w:rPr>
        <w:t>Aquaculture</w:t>
      </w:r>
      <w:r w:rsidR="001707B7" w:rsidRPr="001F502E">
        <w:rPr>
          <w:rFonts w:cs="AdvTT5235d5a9"/>
        </w:rPr>
        <w:t xml:space="preserve"> 402</w:t>
      </w:r>
      <w:r w:rsidR="001707B7" w:rsidRPr="001F502E">
        <w:rPr>
          <w:rFonts w:cs="AdvTT5235d5a9+20"/>
        </w:rPr>
        <w:t>–</w:t>
      </w:r>
      <w:r w:rsidR="001707B7" w:rsidRPr="001F502E">
        <w:rPr>
          <w:rFonts w:cs="AdvTT5235d5a9"/>
        </w:rPr>
        <w:t>403, 119</w:t>
      </w:r>
      <w:r w:rsidR="001707B7" w:rsidRPr="001F502E">
        <w:rPr>
          <w:rFonts w:cs="AdvTT5235d5a9+20"/>
        </w:rPr>
        <w:t>–</w:t>
      </w:r>
      <w:r w:rsidR="001707B7" w:rsidRPr="001F502E">
        <w:rPr>
          <w:rFonts w:cs="AdvTT5235d5a9"/>
        </w:rPr>
        <w:t>126</w:t>
      </w:r>
      <w:r w:rsidR="001707B7">
        <w:rPr>
          <w:rFonts w:cs="AdvTT5235d5a9"/>
        </w:rPr>
        <w:t>.</w:t>
      </w:r>
    </w:p>
    <w:p w:rsidR="001707B7" w:rsidRPr="001F502E" w:rsidRDefault="002F1251" w:rsidP="002F1251">
      <w:pPr>
        <w:pStyle w:val="Schedulebullets1"/>
        <w:rPr>
          <w:rFonts w:cs="AdvPS_HV"/>
        </w:rPr>
      </w:pPr>
      <w:r>
        <w:sym w:font="Symbol" w:char="F0B7"/>
      </w:r>
      <w:r>
        <w:tab/>
      </w:r>
      <w:r w:rsidR="001707B7">
        <w:t>Prior S and Browdy CL (2002) Postmortem persistence of white spot and Taura syndrome viruses in water and tissue. In: World Aquaculture 2002: book of abstracts: 397.</w:t>
      </w:r>
    </w:p>
    <w:p w:rsidR="001707B7" w:rsidRDefault="002F1251" w:rsidP="002F1251">
      <w:pPr>
        <w:pStyle w:val="Schedulebullets1"/>
      </w:pPr>
      <w:r>
        <w:sym w:font="Symbol" w:char="F0B7"/>
      </w:r>
      <w:r>
        <w:tab/>
      </w:r>
      <w:r w:rsidR="001707B7">
        <w:t>Wang YG, Hassan MD, Shariff M and Zamri M (2002) Survival of white spot syndrome virus (WSSV) in seawater and shrimp carcass. In: World Aquaculture 2002: book of abstracts: 802.</w:t>
      </w:r>
    </w:p>
    <w:p w:rsidR="00FB464B" w:rsidRDefault="002F1251" w:rsidP="00A932F0">
      <w:pPr>
        <w:pStyle w:val="Schedulebullets1"/>
        <w:rPr>
          <w:rFonts w:cs="Calibri"/>
          <w:bCs/>
          <w:color w:val="000000"/>
        </w:rPr>
        <w:sectPr w:rsidR="00FB464B" w:rsidSect="00D40617">
          <w:headerReference w:type="default" r:id="rId19"/>
          <w:footerReference w:type="default" r:id="rId20"/>
          <w:type w:val="continuous"/>
          <w:pgSz w:w="11906" w:h="16838"/>
          <w:pgMar w:top="1440" w:right="1440" w:bottom="1440" w:left="1440" w:header="709" w:footer="709" w:gutter="0"/>
          <w:cols w:space="708"/>
          <w:titlePg/>
          <w:docGrid w:linePitch="360"/>
        </w:sectPr>
      </w:pPr>
      <w:r>
        <w:sym w:font="Symbol" w:char="F0B7"/>
      </w:r>
      <w:r>
        <w:tab/>
      </w:r>
      <w:r w:rsidR="001707B7" w:rsidRPr="001F502E">
        <w:t xml:space="preserve">Australian Prawn Farmers’ Association. (2014) National Marine Pest Biosecurity Review </w:t>
      </w:r>
      <w:r w:rsidR="001707B7">
        <w:t>–</w:t>
      </w:r>
      <w:r w:rsidR="001707B7" w:rsidRPr="001F502E">
        <w:t xml:space="preserve"> </w:t>
      </w:r>
      <w:r w:rsidR="001707B7">
        <w:rPr>
          <w:rFonts w:cs="Calibri"/>
          <w:bCs/>
          <w:color w:val="000000"/>
        </w:rPr>
        <w:t>submission.</w:t>
      </w:r>
    </w:p>
    <w:p w:rsidR="00D40617" w:rsidRDefault="00D40617" w:rsidP="00A932F0">
      <w:pPr>
        <w:pStyle w:val="Schedulebullets1"/>
      </w:pPr>
    </w:p>
    <w:p w:rsidR="00861F80" w:rsidRDefault="00B825C3" w:rsidP="00D40617">
      <w:pPr>
        <w:pStyle w:val="h1Sch"/>
      </w:pPr>
      <w:bookmarkStart w:id="19" w:name="_Toc473898073"/>
      <w:r w:rsidRPr="00D72C04">
        <w:lastRenderedPageBreak/>
        <w:t xml:space="preserve">Schedule </w:t>
      </w:r>
      <w:r w:rsidR="002033CC">
        <w:t>4</w:t>
      </w:r>
      <w:r w:rsidRPr="00D72C04">
        <w:t>—</w:t>
      </w:r>
      <w:r w:rsidR="00934F49">
        <w:t>Reasons</w:t>
      </w:r>
      <w:r w:rsidR="00934F49" w:rsidRPr="00D72C04">
        <w:t>—</w:t>
      </w:r>
      <w:r w:rsidR="00934F49">
        <w:t>b</w:t>
      </w:r>
      <w:r w:rsidR="00613A20">
        <w:t>ait for a</w:t>
      </w:r>
      <w:r w:rsidR="00861F80">
        <w:t xml:space="preserve">quatic use, pet fish food </w:t>
      </w:r>
      <w:r w:rsidR="003A3925">
        <w:t xml:space="preserve">and </w:t>
      </w:r>
      <w:r w:rsidR="00861F80">
        <w:t>aquaculture feed</w:t>
      </w:r>
      <w:bookmarkEnd w:id="19"/>
    </w:p>
    <w:p w:rsidR="005950B4" w:rsidRDefault="005950B4" w:rsidP="005950B4">
      <w:pPr>
        <w:pStyle w:val="ntoHeading"/>
      </w:pPr>
      <w:r>
        <w:t>Note:</w:t>
      </w:r>
      <w:r>
        <w:tab/>
        <w:t xml:space="preserve">See </w:t>
      </w:r>
      <w:r w:rsidR="00332811">
        <w:t>paragraph</w:t>
      </w:r>
      <w:r>
        <w:t> </w:t>
      </w:r>
      <w:r w:rsidR="00A26B4E">
        <w:t>5(b)(iii)</w:t>
      </w:r>
      <w:r>
        <w:t>.</w:t>
      </w:r>
    </w:p>
    <w:p w:rsidR="005D1281" w:rsidRDefault="005D1281" w:rsidP="002F1251">
      <w:pPr>
        <w:pStyle w:val="Schedulesub-heading"/>
        <w:rPr>
          <w:lang w:eastAsia="ja-JP"/>
        </w:rPr>
      </w:pPr>
      <w:r>
        <w:rPr>
          <w:lang w:eastAsia="ja-JP"/>
        </w:rPr>
        <w:t>Summary</w:t>
      </w:r>
    </w:p>
    <w:p w:rsidR="005D1281" w:rsidRPr="00255794" w:rsidRDefault="002F1251" w:rsidP="002F1251">
      <w:pPr>
        <w:pStyle w:val="Schedulebullets1"/>
        <w:rPr>
          <w:lang w:eastAsia="ja-JP"/>
        </w:rPr>
      </w:pPr>
      <w:r>
        <w:sym w:font="Symbol" w:char="F0B7"/>
      </w:r>
      <w:r>
        <w:tab/>
      </w:r>
      <w:r w:rsidR="005D1281">
        <w:t>Imported</w:t>
      </w:r>
      <w:r w:rsidR="005D1281">
        <w:rPr>
          <w:lang w:eastAsia="ja-JP"/>
        </w:rPr>
        <w:t xml:space="preserve"> bait for aquatic use, pet fish food and aquaculture feed products, containing uncooked prawns and</w:t>
      </w:r>
      <w:r w:rsidR="003A3925">
        <w:rPr>
          <w:lang w:eastAsia="ja-JP"/>
        </w:rPr>
        <w:t xml:space="preserve"> uncooked</w:t>
      </w:r>
      <w:r w:rsidR="005D1281">
        <w:rPr>
          <w:lang w:eastAsia="ja-JP"/>
        </w:rPr>
        <w:t xml:space="preserve"> prawn meat, are subject to physical treatments that eliminate, or considerably reduce, the prevalence of viable WSSV.</w:t>
      </w:r>
    </w:p>
    <w:p w:rsidR="005D1281" w:rsidRDefault="002F1251" w:rsidP="002F1251">
      <w:pPr>
        <w:pStyle w:val="Schedulebullets1"/>
        <w:rPr>
          <w:lang w:eastAsia="ja-JP"/>
        </w:rPr>
      </w:pPr>
      <w:r>
        <w:sym w:font="Symbol" w:char="F0B7"/>
      </w:r>
      <w:r>
        <w:tab/>
      </w:r>
      <w:r w:rsidR="003C3E74">
        <w:rPr>
          <w:lang w:eastAsia="ja-JP"/>
        </w:rPr>
        <w:t>Many</w:t>
      </w:r>
      <w:r w:rsidR="005D1281">
        <w:rPr>
          <w:lang w:eastAsia="ja-JP"/>
        </w:rPr>
        <w:t xml:space="preserve"> </w:t>
      </w:r>
      <w:r w:rsidR="005D1281">
        <w:t>products</w:t>
      </w:r>
      <w:r w:rsidR="005D1281">
        <w:rPr>
          <w:lang w:eastAsia="ja-JP"/>
        </w:rPr>
        <w:t xml:space="preserve"> are irradiated on-arrival with a 50kGy dose of gamma radiation at an approved irradiation facility.</w:t>
      </w:r>
    </w:p>
    <w:p w:rsidR="005D1281" w:rsidRDefault="002F1251" w:rsidP="002F1251">
      <w:pPr>
        <w:pStyle w:val="Schedulebullets1"/>
        <w:rPr>
          <w:lang w:eastAsia="ja-JP"/>
        </w:rPr>
      </w:pPr>
      <w:r>
        <w:sym w:font="Symbol" w:char="F0B7"/>
      </w:r>
      <w:r>
        <w:tab/>
      </w:r>
      <w:r w:rsidR="005D1281">
        <w:rPr>
          <w:lang w:eastAsia="ja-JP"/>
        </w:rPr>
        <w:t xml:space="preserve">The current dose of radiation administered to these products is considerably higher than the dose required to </w:t>
      </w:r>
      <w:r w:rsidR="005D1281">
        <w:t>inactivate</w:t>
      </w:r>
      <w:r w:rsidR="005D1281">
        <w:rPr>
          <w:lang w:eastAsia="ja-JP"/>
        </w:rPr>
        <w:t xml:space="preserve"> WSSV.</w:t>
      </w:r>
    </w:p>
    <w:p w:rsidR="005D1281" w:rsidRPr="00564767" w:rsidRDefault="002F1251" w:rsidP="002F1251">
      <w:pPr>
        <w:pStyle w:val="Schedulebullets1"/>
        <w:rPr>
          <w:lang w:eastAsia="ja-JP"/>
        </w:rPr>
      </w:pPr>
      <w:r>
        <w:sym w:font="Symbol" w:char="F0B7"/>
      </w:r>
      <w:r>
        <w:tab/>
      </w:r>
      <w:r w:rsidR="005D1281">
        <w:rPr>
          <w:lang w:eastAsia="ja-JP"/>
        </w:rPr>
        <w:t xml:space="preserve">Irradiation </w:t>
      </w:r>
      <w:r w:rsidR="005D1281">
        <w:t>significantly</w:t>
      </w:r>
      <w:r w:rsidR="005D1281">
        <w:rPr>
          <w:lang w:eastAsia="ja-JP"/>
        </w:rPr>
        <w:t xml:space="preserve"> reduces the likelihood of entry of WSSV in imported bait for aquatic use, pet fish food and aquaculture feed, containing uncooked prawns and </w:t>
      </w:r>
      <w:r w:rsidR="003A3925">
        <w:rPr>
          <w:lang w:eastAsia="ja-JP"/>
        </w:rPr>
        <w:t xml:space="preserve">uncooked </w:t>
      </w:r>
      <w:r w:rsidR="005D1281">
        <w:rPr>
          <w:lang w:eastAsia="ja-JP"/>
        </w:rPr>
        <w:t>prawn meat. Therefore, the level of risk associated with these goods falls within Australia’s ALOP.</w:t>
      </w:r>
    </w:p>
    <w:p w:rsidR="005D1281" w:rsidRPr="006F404F" w:rsidRDefault="005D1281" w:rsidP="002F1251">
      <w:pPr>
        <w:pStyle w:val="Schedulesub-heading"/>
        <w:rPr>
          <w:b w:val="0"/>
          <w:lang w:eastAsia="ja-JP"/>
        </w:rPr>
      </w:pPr>
      <w:r>
        <w:rPr>
          <w:lang w:eastAsia="ja-JP"/>
        </w:rPr>
        <w:t>Bait for aquatic use, p</w:t>
      </w:r>
      <w:r w:rsidRPr="006F404F">
        <w:rPr>
          <w:lang w:eastAsia="ja-JP"/>
        </w:rPr>
        <w:t>et fish food and aquaculture feed</w:t>
      </w:r>
    </w:p>
    <w:p w:rsidR="005D1281" w:rsidRDefault="005D1281" w:rsidP="00190A33">
      <w:pPr>
        <w:pStyle w:val="Scheduletext"/>
        <w:rPr>
          <w:lang w:eastAsia="ja-JP"/>
        </w:rPr>
      </w:pPr>
      <w:r w:rsidRPr="00C04EB2">
        <w:rPr>
          <w:lang w:eastAsia="ja-JP"/>
        </w:rPr>
        <w:t xml:space="preserve">Prior to the </w:t>
      </w:r>
      <w:r w:rsidRPr="00C04EB2">
        <w:rPr>
          <w:i/>
          <w:iCs/>
        </w:rPr>
        <w:t>Biosecurity (Suspended Goods – Uncooked Prawns) Determination 2017</w:t>
      </w:r>
      <w:r w:rsidRPr="00C04EB2">
        <w:t xml:space="preserve">, </w:t>
      </w:r>
      <w:r w:rsidRPr="00F65136">
        <w:rPr>
          <w:lang w:eastAsia="ja-JP"/>
        </w:rPr>
        <w:t>Australia import</w:t>
      </w:r>
      <w:r>
        <w:rPr>
          <w:lang w:eastAsia="ja-JP"/>
        </w:rPr>
        <w:t>ed</w:t>
      </w:r>
      <w:r w:rsidRPr="00C67D01">
        <w:t xml:space="preserve"> </w:t>
      </w:r>
      <w:r>
        <w:t xml:space="preserve">bait for aquatic use, </w:t>
      </w:r>
      <w:r w:rsidRPr="00C04EB2">
        <w:t>pet fish</w:t>
      </w:r>
      <w:r>
        <w:t xml:space="preserve"> food</w:t>
      </w:r>
      <w:r w:rsidRPr="00C04EB2">
        <w:t xml:space="preserve"> and aquaculture </w:t>
      </w:r>
      <w:r>
        <w:t xml:space="preserve">feed, containing uncooked prawns and </w:t>
      </w:r>
      <w:r w:rsidR="003A3925">
        <w:rPr>
          <w:lang w:eastAsia="ja-JP"/>
        </w:rPr>
        <w:t>uncooked</w:t>
      </w:r>
      <w:r w:rsidR="003A3925">
        <w:t xml:space="preserve"> </w:t>
      </w:r>
      <w:r>
        <w:t xml:space="preserve">prawn meat. This included whole or partial prawns, and processed prawn products such as </w:t>
      </w:r>
      <w:r>
        <w:rPr>
          <w:lang w:eastAsia="ja-JP"/>
        </w:rPr>
        <w:t xml:space="preserve">extruded pellets and flakes. </w:t>
      </w:r>
    </w:p>
    <w:p w:rsidR="005D1281" w:rsidRPr="00925C01" w:rsidRDefault="005D1281" w:rsidP="002F1251">
      <w:pPr>
        <w:pStyle w:val="Schedulesub-heading"/>
        <w:rPr>
          <w:b w:val="0"/>
          <w:lang w:eastAsia="ja-JP"/>
        </w:rPr>
      </w:pPr>
      <w:r>
        <w:rPr>
          <w:lang w:eastAsia="ja-JP"/>
        </w:rPr>
        <w:t>Bait and f</w:t>
      </w:r>
      <w:r w:rsidRPr="00925C01">
        <w:rPr>
          <w:lang w:eastAsia="ja-JP"/>
        </w:rPr>
        <w:t xml:space="preserve">eed composition and potential </w:t>
      </w:r>
      <w:r>
        <w:rPr>
          <w:lang w:eastAsia="ja-JP"/>
        </w:rPr>
        <w:t>for</w:t>
      </w:r>
      <w:r w:rsidRPr="00925C01">
        <w:rPr>
          <w:lang w:eastAsia="ja-JP"/>
        </w:rPr>
        <w:t xml:space="preserve"> WSSV infection</w:t>
      </w:r>
    </w:p>
    <w:p w:rsidR="005D1281" w:rsidRDefault="002F1251" w:rsidP="002F1251">
      <w:pPr>
        <w:pStyle w:val="Schedulebullets1"/>
        <w:rPr>
          <w:lang w:eastAsia="ja-JP"/>
        </w:rPr>
      </w:pPr>
      <w:r>
        <w:sym w:font="Symbol" w:char="F0B7"/>
      </w:r>
      <w:r>
        <w:tab/>
      </w:r>
      <w:r w:rsidR="005D1281">
        <w:rPr>
          <w:lang w:eastAsia="ja-JP"/>
        </w:rPr>
        <w:t xml:space="preserve">Prawns are not commonly included as pet fish or aquaculture feed </w:t>
      </w:r>
      <w:r w:rsidR="005D1281" w:rsidRPr="0056092C">
        <w:rPr>
          <w:lang w:eastAsia="ja-JP"/>
        </w:rPr>
        <w:t>in</w:t>
      </w:r>
      <w:r w:rsidR="005D1281">
        <w:rPr>
          <w:lang w:eastAsia="ja-JP"/>
        </w:rPr>
        <w:t xml:space="preserve">gredients. </w:t>
      </w:r>
      <w:r w:rsidR="005D1281" w:rsidRPr="00C6379B">
        <w:rPr>
          <w:lang w:eastAsia="ja-JP"/>
        </w:rPr>
        <w:t>However, uncooked prawn meat can be imported for bait for aquatic use.</w:t>
      </w:r>
      <w:r w:rsidR="005D1281">
        <w:rPr>
          <w:lang w:eastAsia="ja-JP"/>
        </w:rPr>
        <w:t xml:space="preserve"> </w:t>
      </w:r>
    </w:p>
    <w:p w:rsidR="005D1281" w:rsidRDefault="002F1251" w:rsidP="002F1251">
      <w:pPr>
        <w:pStyle w:val="Schedulebullets1"/>
        <w:rPr>
          <w:lang w:eastAsia="ja-JP"/>
        </w:rPr>
      </w:pPr>
      <w:r>
        <w:sym w:font="Symbol" w:char="F0B7"/>
      </w:r>
      <w:r>
        <w:tab/>
      </w:r>
      <w:r w:rsidR="005D1281">
        <w:rPr>
          <w:lang w:eastAsia="ja-JP"/>
        </w:rPr>
        <w:t xml:space="preserve">Bait for aquatic use, pet fish food and aquaculture feed, containing uncooked prawns and </w:t>
      </w:r>
      <w:r w:rsidR="003A3925">
        <w:rPr>
          <w:lang w:eastAsia="ja-JP"/>
        </w:rPr>
        <w:t xml:space="preserve">uncooked </w:t>
      </w:r>
      <w:r w:rsidR="005D1281">
        <w:rPr>
          <w:lang w:eastAsia="ja-JP"/>
        </w:rPr>
        <w:t xml:space="preserve">prawn meat, are </w:t>
      </w:r>
      <w:r w:rsidR="005D1281">
        <w:t>considered</w:t>
      </w:r>
      <w:r w:rsidR="005D1281">
        <w:rPr>
          <w:lang w:eastAsia="ja-JP"/>
        </w:rPr>
        <w:t xml:space="preserve"> susceptible to WSSV. </w:t>
      </w:r>
      <w:r w:rsidR="005D1281" w:rsidRPr="00925C01">
        <w:rPr>
          <w:lang w:eastAsia="ja-JP"/>
        </w:rPr>
        <w:t xml:space="preserve"> </w:t>
      </w:r>
    </w:p>
    <w:p w:rsidR="005D1281" w:rsidRDefault="002F1251" w:rsidP="002F1251">
      <w:pPr>
        <w:pStyle w:val="Schedulebullets2"/>
        <w:rPr>
          <w:lang w:eastAsia="ja-JP"/>
        </w:rPr>
      </w:pPr>
      <w:r>
        <w:rPr>
          <w:lang w:eastAsia="ja-JP"/>
        </w:rPr>
        <w:t>–</w:t>
      </w:r>
      <w:r>
        <w:rPr>
          <w:lang w:eastAsia="ja-JP"/>
        </w:rPr>
        <w:tab/>
      </w:r>
      <w:r w:rsidR="005D1281">
        <w:rPr>
          <w:lang w:eastAsia="ja-JP"/>
        </w:rPr>
        <w:t xml:space="preserve">Uncooked prawns and </w:t>
      </w:r>
      <w:r w:rsidR="003A3925">
        <w:rPr>
          <w:lang w:eastAsia="ja-JP"/>
        </w:rPr>
        <w:t xml:space="preserve">uncooked </w:t>
      </w:r>
      <w:r w:rsidR="005D1281">
        <w:rPr>
          <w:lang w:eastAsia="ja-JP"/>
        </w:rPr>
        <w:t>prawn meat</w:t>
      </w:r>
      <w:r w:rsidR="005D1281" w:rsidRPr="000679FD">
        <w:rPr>
          <w:lang w:eastAsia="ja-JP"/>
        </w:rPr>
        <w:t xml:space="preserve"> </w:t>
      </w:r>
      <w:r w:rsidR="005D1281">
        <w:rPr>
          <w:lang w:eastAsia="ja-JP"/>
        </w:rPr>
        <w:t xml:space="preserve">for </w:t>
      </w:r>
      <w:r w:rsidR="005D1281" w:rsidRPr="0056092C">
        <w:rPr>
          <w:lang w:eastAsia="ja-JP"/>
        </w:rPr>
        <w:t>pet fish</w:t>
      </w:r>
      <w:r w:rsidR="005D1281">
        <w:rPr>
          <w:lang w:eastAsia="ja-JP"/>
        </w:rPr>
        <w:t xml:space="preserve"> food</w:t>
      </w:r>
      <w:r w:rsidR="005D1281" w:rsidRPr="0056092C">
        <w:rPr>
          <w:lang w:eastAsia="ja-JP"/>
        </w:rPr>
        <w:t xml:space="preserve"> </w:t>
      </w:r>
      <w:r w:rsidR="005D1281">
        <w:rPr>
          <w:lang w:eastAsia="ja-JP"/>
        </w:rPr>
        <w:t>and aquaculture feed</w:t>
      </w:r>
      <w:r w:rsidR="005D1281" w:rsidRPr="0056092C">
        <w:rPr>
          <w:lang w:eastAsia="ja-JP"/>
        </w:rPr>
        <w:t xml:space="preserve"> </w:t>
      </w:r>
      <w:r w:rsidR="005D1281">
        <w:rPr>
          <w:lang w:eastAsia="ja-JP"/>
        </w:rPr>
        <w:t xml:space="preserve">may be prepared by </w:t>
      </w:r>
      <w:r w:rsidR="005D1281" w:rsidRPr="0056092C">
        <w:rPr>
          <w:lang w:eastAsia="ja-JP"/>
        </w:rPr>
        <w:t>fr</w:t>
      </w:r>
      <w:r w:rsidR="005D1281">
        <w:rPr>
          <w:lang w:eastAsia="ja-JP"/>
        </w:rPr>
        <w:t>eezing</w:t>
      </w:r>
      <w:r w:rsidR="005D1281" w:rsidRPr="0056092C">
        <w:rPr>
          <w:lang w:eastAsia="ja-JP"/>
        </w:rPr>
        <w:t xml:space="preserve"> with a small </w:t>
      </w:r>
      <w:r w:rsidR="005D1281" w:rsidRPr="0056092C">
        <w:rPr>
          <w:lang w:eastAsia="en-AU"/>
        </w:rPr>
        <w:t>amount</w:t>
      </w:r>
      <w:r w:rsidR="005D1281" w:rsidRPr="0056092C">
        <w:rPr>
          <w:lang w:eastAsia="ja-JP"/>
        </w:rPr>
        <w:t xml:space="preserve"> of fresh or salt</w:t>
      </w:r>
      <w:r w:rsidR="00190A33">
        <w:rPr>
          <w:lang w:eastAsia="ja-JP"/>
        </w:rPr>
        <w:t xml:space="preserve"> </w:t>
      </w:r>
      <w:r w:rsidR="005D1281" w:rsidRPr="0056092C">
        <w:rPr>
          <w:lang w:eastAsia="ja-JP"/>
        </w:rPr>
        <w:t xml:space="preserve">water. </w:t>
      </w:r>
      <w:r w:rsidR="005D1281">
        <w:rPr>
          <w:lang w:eastAsia="ja-JP"/>
        </w:rPr>
        <w:t>F</w:t>
      </w:r>
      <w:r w:rsidR="005D1281" w:rsidRPr="0056092C">
        <w:rPr>
          <w:lang w:eastAsia="ja-JP"/>
        </w:rPr>
        <w:t xml:space="preserve">reezing is not known to be effective </w:t>
      </w:r>
      <w:r w:rsidR="005D1281">
        <w:rPr>
          <w:lang w:eastAsia="ja-JP"/>
        </w:rPr>
        <w:t>in mitigating</w:t>
      </w:r>
      <w:r w:rsidR="005D1281" w:rsidRPr="0056092C">
        <w:rPr>
          <w:lang w:eastAsia="ja-JP"/>
        </w:rPr>
        <w:t xml:space="preserve"> </w:t>
      </w:r>
      <w:r w:rsidR="005D1281">
        <w:rPr>
          <w:lang w:eastAsia="ja-JP"/>
        </w:rPr>
        <w:t>WSSV</w:t>
      </w:r>
      <w:r w:rsidR="005D1281" w:rsidRPr="0056092C">
        <w:rPr>
          <w:lang w:eastAsia="ja-JP"/>
        </w:rPr>
        <w:t xml:space="preserve">. </w:t>
      </w:r>
      <w:r w:rsidR="005D1281">
        <w:rPr>
          <w:lang w:eastAsia="ja-JP"/>
        </w:rPr>
        <w:t xml:space="preserve">Sufficient viable virus remains in frozen prawns to infect and cause mortalities in exposed </w:t>
      </w:r>
      <w:r w:rsidR="005D1281">
        <w:rPr>
          <w:i/>
          <w:lang w:eastAsia="ja-JP"/>
        </w:rPr>
        <w:t xml:space="preserve">Penaeus </w:t>
      </w:r>
      <w:r w:rsidR="005D1281" w:rsidRPr="003F343F">
        <w:rPr>
          <w:i/>
          <w:lang w:eastAsia="ja-JP"/>
        </w:rPr>
        <w:t>vannamei</w:t>
      </w:r>
      <w:r w:rsidR="005D1281">
        <w:rPr>
          <w:lang w:eastAsia="ja-JP"/>
        </w:rPr>
        <w:t xml:space="preserve"> (Hasson et al. (2006) and Durand et al. (2000)).</w:t>
      </w:r>
    </w:p>
    <w:p w:rsidR="005D1281" w:rsidRDefault="002F1251" w:rsidP="002F1251">
      <w:pPr>
        <w:pStyle w:val="Schedulebullets1"/>
        <w:rPr>
          <w:iCs/>
        </w:rPr>
      </w:pPr>
      <w:r>
        <w:sym w:font="Symbol" w:char="F0B7"/>
      </w:r>
      <w:r>
        <w:tab/>
      </w:r>
      <w:r w:rsidR="005D1281" w:rsidRPr="0040117E">
        <w:rPr>
          <w:lang w:eastAsia="ja-JP"/>
        </w:rPr>
        <w:t xml:space="preserve">Extruded pellets and flakes </w:t>
      </w:r>
      <w:r w:rsidR="005D1281">
        <w:rPr>
          <w:lang w:eastAsia="ja-JP"/>
        </w:rPr>
        <w:t>for pet fish food and aquaculture feed</w:t>
      </w:r>
      <w:r w:rsidR="005D1281" w:rsidRPr="0040117E">
        <w:rPr>
          <w:lang w:eastAsia="ja-JP"/>
        </w:rPr>
        <w:t xml:space="preserve"> are </w:t>
      </w:r>
      <w:r w:rsidR="005D1281">
        <w:rPr>
          <w:lang w:eastAsia="ja-JP"/>
        </w:rPr>
        <w:t xml:space="preserve">subject to intense </w:t>
      </w:r>
      <w:r w:rsidR="005D1281" w:rsidRPr="0040117E">
        <w:rPr>
          <w:lang w:eastAsia="ja-JP"/>
        </w:rPr>
        <w:t xml:space="preserve">heat as part of their </w:t>
      </w:r>
      <w:r w:rsidR="005D1281" w:rsidRPr="0040117E">
        <w:t>production</w:t>
      </w:r>
      <w:r w:rsidR="005D1281" w:rsidRPr="0040117E">
        <w:rPr>
          <w:lang w:eastAsia="ja-JP"/>
        </w:rPr>
        <w:t xml:space="preserve"> processes. These temperatures are well above what is required to inactivate WSSV (</w:t>
      </w:r>
      <w:r w:rsidR="005D1281" w:rsidRPr="0040117E">
        <w:rPr>
          <w:iCs/>
        </w:rPr>
        <w:t>AQUAVETPLAN, Whitespot Disease strategy, P41).</w:t>
      </w:r>
      <w:r w:rsidR="005D1281">
        <w:rPr>
          <w:iCs/>
        </w:rPr>
        <w:t xml:space="preserve"> As such, these feeds do not pose a risk of introducing WSSV and would fall within Australia’s ALOP.</w:t>
      </w:r>
    </w:p>
    <w:p w:rsidR="00814FF1" w:rsidRDefault="00814FF1" w:rsidP="00814FF1">
      <w:pPr>
        <w:pStyle w:val="nMain"/>
      </w:pPr>
      <w:r>
        <w:lastRenderedPageBreak/>
        <w:t>Note:</w:t>
      </w:r>
      <w:r>
        <w:tab/>
      </w:r>
      <w:r w:rsidR="00A932F0">
        <w:t>In 20</w:t>
      </w:r>
      <w:r w:rsidR="00D424D9">
        <w:t>1</w:t>
      </w:r>
      <w:r w:rsidR="00A932F0">
        <w:t xml:space="preserve">7, the </w:t>
      </w:r>
      <w:r w:rsidRPr="0040117E">
        <w:rPr>
          <w:iCs/>
        </w:rPr>
        <w:t>AQUAVETPLAN</w:t>
      </w:r>
      <w:r>
        <w:rPr>
          <w:iCs/>
        </w:rPr>
        <w:t xml:space="preserve"> Whitespot Disease strategy </w:t>
      </w:r>
      <w:r w:rsidR="00A932F0">
        <w:rPr>
          <w:iCs/>
        </w:rPr>
        <w:t xml:space="preserve">could be viewed on </w:t>
      </w:r>
      <w:r w:rsidRPr="00814FF1">
        <w:t>http://www.agriculture.gov.au/SiteCollectionDocuments/animal-plant/aquatic/aquavetplan/white-spot.pdf</w:t>
      </w:r>
      <w:r>
        <w:t>.</w:t>
      </w:r>
    </w:p>
    <w:p w:rsidR="005D1281" w:rsidRPr="00925C01" w:rsidRDefault="005D1281" w:rsidP="002F1251">
      <w:pPr>
        <w:pStyle w:val="Schedulesub-heading"/>
        <w:rPr>
          <w:b w:val="0"/>
          <w:lang w:eastAsia="ja-JP"/>
        </w:rPr>
      </w:pPr>
      <w:r w:rsidRPr="00925C01">
        <w:rPr>
          <w:lang w:eastAsia="ja-JP"/>
        </w:rPr>
        <w:t xml:space="preserve">Irradiation treatment of </w:t>
      </w:r>
      <w:r>
        <w:rPr>
          <w:lang w:eastAsia="ja-JP"/>
        </w:rPr>
        <w:t xml:space="preserve">bait for aquatic use, </w:t>
      </w:r>
      <w:r w:rsidRPr="00925C01">
        <w:rPr>
          <w:lang w:eastAsia="ja-JP"/>
        </w:rPr>
        <w:t>pet fish</w:t>
      </w:r>
      <w:r>
        <w:rPr>
          <w:lang w:eastAsia="ja-JP"/>
        </w:rPr>
        <w:t xml:space="preserve"> food and aquaculture feed</w:t>
      </w:r>
    </w:p>
    <w:p w:rsidR="005D1281" w:rsidRDefault="002F1251" w:rsidP="002F1251">
      <w:pPr>
        <w:pStyle w:val="Schedulebullets1"/>
        <w:rPr>
          <w:lang w:eastAsia="ja-JP"/>
        </w:rPr>
      </w:pPr>
      <w:r>
        <w:sym w:font="Symbol" w:char="F0B7"/>
      </w:r>
      <w:r>
        <w:tab/>
      </w:r>
      <w:r w:rsidR="005D1281">
        <w:rPr>
          <w:lang w:eastAsia="ja-JP"/>
        </w:rPr>
        <w:t>The</w:t>
      </w:r>
      <w:r w:rsidR="001778AA">
        <w:rPr>
          <w:lang w:eastAsia="ja-JP"/>
        </w:rPr>
        <w:t xml:space="preserve"> </w:t>
      </w:r>
      <w:r w:rsidR="001778AA" w:rsidRPr="003E22B4">
        <w:rPr>
          <w:lang w:eastAsia="ja-JP"/>
        </w:rPr>
        <w:t>Department’s</w:t>
      </w:r>
      <w:r w:rsidR="005D1281">
        <w:rPr>
          <w:lang w:eastAsia="ja-JP"/>
        </w:rPr>
        <w:t xml:space="preserve"> 2014 gamma irradiation policy review identified gamma irradiation as an effective method of treatment for imported products that are not heat treated and not intended for human consumption. </w:t>
      </w:r>
    </w:p>
    <w:p w:rsidR="005D1281" w:rsidRDefault="002F1251" w:rsidP="002F1251">
      <w:pPr>
        <w:pStyle w:val="Schedulebullets1"/>
        <w:rPr>
          <w:lang w:eastAsia="ja-JP"/>
        </w:rPr>
      </w:pPr>
      <w:r>
        <w:sym w:font="Symbol" w:char="F0B7"/>
      </w:r>
      <w:r>
        <w:tab/>
      </w:r>
      <w:r w:rsidR="005D1281" w:rsidRPr="009039B7">
        <w:rPr>
          <w:lang w:eastAsia="ja-JP"/>
        </w:rPr>
        <w:t xml:space="preserve">The </w:t>
      </w:r>
      <w:r w:rsidR="005D1281">
        <w:rPr>
          <w:lang w:eastAsia="ja-JP"/>
        </w:rPr>
        <w:t>import</w:t>
      </w:r>
      <w:r w:rsidR="005D1281" w:rsidRPr="009039B7">
        <w:rPr>
          <w:lang w:eastAsia="ja-JP"/>
        </w:rPr>
        <w:t xml:space="preserve"> policy </w:t>
      </w:r>
      <w:r w:rsidR="005D1281">
        <w:rPr>
          <w:lang w:eastAsia="ja-JP"/>
        </w:rPr>
        <w:t>for</w:t>
      </w:r>
      <w:r w:rsidR="005D1281" w:rsidRPr="009039B7">
        <w:rPr>
          <w:lang w:eastAsia="ja-JP"/>
        </w:rPr>
        <w:t xml:space="preserve"> </w:t>
      </w:r>
      <w:r w:rsidR="005D1281">
        <w:rPr>
          <w:lang w:eastAsia="ja-JP"/>
        </w:rPr>
        <w:t>bait for aquatic use, pet fish food and aquaculture feed products, containing uncooked prawns and</w:t>
      </w:r>
      <w:r w:rsidR="003A3925" w:rsidRPr="003A3925">
        <w:rPr>
          <w:lang w:eastAsia="ja-JP"/>
        </w:rPr>
        <w:t xml:space="preserve"> </w:t>
      </w:r>
      <w:r w:rsidR="003A3925">
        <w:rPr>
          <w:lang w:eastAsia="ja-JP"/>
        </w:rPr>
        <w:t>uncooked</w:t>
      </w:r>
      <w:r w:rsidR="005D1281">
        <w:rPr>
          <w:lang w:eastAsia="ja-JP"/>
        </w:rPr>
        <w:t xml:space="preserve"> prawn meat, requires</w:t>
      </w:r>
      <w:r w:rsidR="005D1281" w:rsidRPr="009039B7">
        <w:rPr>
          <w:lang w:eastAsia="ja-JP"/>
        </w:rPr>
        <w:t xml:space="preserve"> gamma irradiation to a level of 50kGy at </w:t>
      </w:r>
      <w:r w:rsidR="005D1281">
        <w:rPr>
          <w:lang w:eastAsia="ja-JP"/>
        </w:rPr>
        <w:t>an on-shore facility approved by the Department. This is a requirement even for product that has been irradiated prior to export at an overseas facility</w:t>
      </w:r>
      <w:r w:rsidR="005D1281" w:rsidRPr="009039B7">
        <w:rPr>
          <w:lang w:eastAsia="ja-JP"/>
        </w:rPr>
        <w:t xml:space="preserve">. </w:t>
      </w:r>
    </w:p>
    <w:p w:rsidR="005D1281" w:rsidRDefault="002F1251" w:rsidP="002F1251">
      <w:pPr>
        <w:pStyle w:val="Schedulebullets2"/>
        <w:rPr>
          <w:lang w:eastAsia="ja-JP"/>
        </w:rPr>
      </w:pPr>
      <w:r>
        <w:rPr>
          <w:lang w:eastAsia="ja-JP"/>
        </w:rPr>
        <w:t>–</w:t>
      </w:r>
      <w:r>
        <w:rPr>
          <w:lang w:eastAsia="ja-JP"/>
        </w:rPr>
        <w:tab/>
      </w:r>
      <w:r w:rsidR="005D1281">
        <w:rPr>
          <w:lang w:eastAsia="ja-JP"/>
        </w:rPr>
        <w:t xml:space="preserve">On arrival irradiation at 50kGy is suitable in meeting Australia’s </w:t>
      </w:r>
      <w:r w:rsidR="00025E41" w:rsidRPr="003E22B4">
        <w:rPr>
          <w:lang w:eastAsia="ja-JP"/>
        </w:rPr>
        <w:t xml:space="preserve">ALOP </w:t>
      </w:r>
      <w:r w:rsidR="005D1281">
        <w:rPr>
          <w:lang w:eastAsia="ja-JP"/>
        </w:rPr>
        <w:t>for a wide range of animal biosecurity concerns. It is well above the necessary dose to mitigate risk of WSSV.</w:t>
      </w:r>
    </w:p>
    <w:p w:rsidR="005D1281" w:rsidRDefault="002F1251" w:rsidP="002F1251">
      <w:pPr>
        <w:pStyle w:val="Schedulebullets2"/>
      </w:pPr>
      <w:r>
        <w:rPr>
          <w:lang w:eastAsia="ja-JP"/>
        </w:rPr>
        <w:t>–</w:t>
      </w:r>
      <w:r>
        <w:rPr>
          <w:lang w:eastAsia="ja-JP"/>
        </w:rPr>
        <w:tab/>
      </w:r>
      <w:r w:rsidR="005D1281">
        <w:rPr>
          <w:lang w:eastAsia="ja-JP"/>
        </w:rPr>
        <w:t>The D</w:t>
      </w:r>
      <w:r w:rsidR="005D1281">
        <w:rPr>
          <w:vertAlign w:val="subscript"/>
          <w:lang w:eastAsia="ja-JP"/>
        </w:rPr>
        <w:t xml:space="preserve">10 </w:t>
      </w:r>
      <w:r w:rsidR="005D1281">
        <w:rPr>
          <w:lang w:eastAsia="ja-JP"/>
        </w:rPr>
        <w:t xml:space="preserve">value (the dose required to inactivate 90 per cent of relevant organisms) for WSSV is between 1.85 and 2.56kGy. Motamedi-Sedeh et al. (2015) and (2017) recommended a radiation dose of 13-15kGy to ensure that the vast majority of viral bodies are inactivated. </w:t>
      </w:r>
    </w:p>
    <w:p w:rsidR="005D1281" w:rsidRDefault="002F1251" w:rsidP="002F1251">
      <w:pPr>
        <w:pStyle w:val="Schedulebullets1"/>
      </w:pPr>
      <w:r>
        <w:sym w:font="Symbol" w:char="F0B7"/>
      </w:r>
      <w:r>
        <w:tab/>
      </w:r>
      <w:r w:rsidR="005D1281" w:rsidRPr="00915387">
        <w:t xml:space="preserve">On-shore Class 4.2 facilities approved for gamma irradiation treatment of imported goods by </w:t>
      </w:r>
      <w:r w:rsidR="005D1281">
        <w:t>the department</w:t>
      </w:r>
      <w:r w:rsidR="005D1281" w:rsidRPr="00915387">
        <w:t xml:space="preserve"> are located in New South Wales, Queensland, Victoria, and Western Australia. </w:t>
      </w:r>
      <w:r w:rsidR="005D1281">
        <w:t xml:space="preserve">These facilities operate under an Approved Arrangement and the goods are considered to be under biosecurity control until they have been treated. </w:t>
      </w:r>
      <w:r w:rsidR="005D1281" w:rsidRPr="00915387">
        <w:t>Auditing is regularly performed at each of the facilities</w:t>
      </w:r>
      <w:r w:rsidR="005D1281">
        <w:t xml:space="preserve"> to</w:t>
      </w:r>
      <w:r w:rsidR="005D1281" w:rsidRPr="00915387">
        <w:t xml:space="preserve"> </w:t>
      </w:r>
      <w:r w:rsidR="005D1281">
        <w:t>ensure</w:t>
      </w:r>
      <w:r w:rsidR="005D1281" w:rsidRPr="00915387">
        <w:t xml:space="preserve"> that there are current standard operating procedures for the calibration and maintenance of instruments and equipment. </w:t>
      </w:r>
      <w:r w:rsidR="005D1281">
        <w:t>Auditing also</w:t>
      </w:r>
      <w:r w:rsidR="005D1281" w:rsidRPr="00915387">
        <w:t xml:space="preserve"> includes verifying that all equipment associated with the irradiation of goods is fitted with a measuring device (e.g. a dosimeter) which can record the level of irradiation applied to a product and the storage of goods subject to quarantine is appropriate. </w:t>
      </w:r>
    </w:p>
    <w:p w:rsidR="005D1281" w:rsidRPr="00915387" w:rsidRDefault="002F1251" w:rsidP="002F1251">
      <w:pPr>
        <w:pStyle w:val="Schedulebullets1"/>
        <w:rPr>
          <w:szCs w:val="24"/>
          <w:lang w:eastAsia="ja-JP"/>
        </w:rPr>
      </w:pPr>
      <w:r>
        <w:sym w:font="Symbol" w:char="F0B7"/>
      </w:r>
      <w:r>
        <w:tab/>
      </w:r>
      <w:r w:rsidR="005D1281">
        <w:rPr>
          <w:lang w:eastAsia="ja-JP"/>
        </w:rPr>
        <w:t xml:space="preserve">Irradiation significantly reduces the likelihood of entry of WSSV in imported bait for aquatic use, pet fish food and aquaculture feed, containing uncooked prawns and </w:t>
      </w:r>
      <w:r w:rsidR="003A3925">
        <w:rPr>
          <w:lang w:eastAsia="ja-JP"/>
        </w:rPr>
        <w:t xml:space="preserve">uncooked </w:t>
      </w:r>
      <w:r w:rsidR="005D1281">
        <w:rPr>
          <w:lang w:eastAsia="ja-JP"/>
        </w:rPr>
        <w:t>prawn meat. Therefore, the level of risk associated with these goods falls within Australia’s ALOP.</w:t>
      </w:r>
    </w:p>
    <w:p w:rsidR="005D1281" w:rsidRPr="002B11AD" w:rsidRDefault="005D1281" w:rsidP="002F1251">
      <w:pPr>
        <w:pStyle w:val="Schedulesub-heading"/>
        <w:rPr>
          <w:b w:val="0"/>
          <w:sz w:val="24"/>
          <w:szCs w:val="24"/>
          <w:lang w:eastAsia="ja-JP"/>
        </w:rPr>
      </w:pPr>
      <w:r w:rsidRPr="002F1251">
        <w:t>References</w:t>
      </w:r>
      <w:r w:rsidRPr="002B11AD">
        <w:rPr>
          <w:sz w:val="24"/>
          <w:szCs w:val="24"/>
          <w:lang w:eastAsia="ja-JP"/>
        </w:rPr>
        <w:t>:</w:t>
      </w:r>
    </w:p>
    <w:p w:rsidR="005D1281" w:rsidRPr="00AA78A0" w:rsidRDefault="002F1251" w:rsidP="002F1251">
      <w:pPr>
        <w:pStyle w:val="Schedulebullets1"/>
        <w:rPr>
          <w:szCs w:val="24"/>
          <w:lang w:eastAsia="ja-JP"/>
        </w:rPr>
      </w:pPr>
      <w:r>
        <w:sym w:font="Symbol" w:char="F0B7"/>
      </w:r>
      <w:r>
        <w:tab/>
      </w:r>
      <w:r w:rsidR="005D1281" w:rsidRPr="002F1251">
        <w:t>Chang</w:t>
      </w:r>
      <w:r w:rsidR="005D1281" w:rsidRPr="00AA78A0">
        <w:rPr>
          <w:szCs w:val="24"/>
          <w:lang w:eastAsia="ja-JP"/>
        </w:rPr>
        <w:t xml:space="preserve">, Y.S., Lo, C.F., Peng, S.E., Liu, K.F., Wang, C.H. &amp; Kou, G.H. 2002. White spot syndrome virus (WSSV) PCR-positive </w:t>
      </w:r>
      <w:r w:rsidR="005D1281" w:rsidRPr="00AA78A0">
        <w:rPr>
          <w:i/>
          <w:szCs w:val="24"/>
          <w:lang w:eastAsia="ja-JP"/>
        </w:rPr>
        <w:t xml:space="preserve">Artemia </w:t>
      </w:r>
      <w:r w:rsidR="005D1281" w:rsidRPr="00AA78A0">
        <w:rPr>
          <w:szCs w:val="24"/>
          <w:lang w:eastAsia="ja-JP"/>
        </w:rPr>
        <w:t xml:space="preserve">cysts yield PCR-negative nauplii that fail to transmit WSSV when fed to shrimp postlarvae. </w:t>
      </w:r>
      <w:r w:rsidR="005D1281" w:rsidRPr="00AA78A0">
        <w:rPr>
          <w:i/>
          <w:szCs w:val="24"/>
          <w:lang w:eastAsia="ja-JP"/>
        </w:rPr>
        <w:t xml:space="preserve">Diseases of Aquatic Organisms </w:t>
      </w:r>
      <w:r w:rsidR="005D1281" w:rsidRPr="00AA78A0">
        <w:rPr>
          <w:szCs w:val="24"/>
          <w:lang w:eastAsia="ja-JP"/>
        </w:rPr>
        <w:t>49, 1-10.</w:t>
      </w:r>
    </w:p>
    <w:p w:rsidR="005D1281" w:rsidRPr="00AA78A0" w:rsidRDefault="002F1251" w:rsidP="002F1251">
      <w:pPr>
        <w:pStyle w:val="Schedulebullets1"/>
        <w:rPr>
          <w:szCs w:val="24"/>
          <w:lang w:eastAsia="ja-JP"/>
        </w:rPr>
      </w:pPr>
      <w:r>
        <w:lastRenderedPageBreak/>
        <w:sym w:font="Symbol" w:char="F0B7"/>
      </w:r>
      <w:r>
        <w:tab/>
      </w:r>
      <w:r w:rsidR="005D1281" w:rsidRPr="00AA78A0">
        <w:rPr>
          <w:szCs w:val="24"/>
          <w:lang w:eastAsia="ja-JP"/>
        </w:rPr>
        <w:t xml:space="preserve">Durand, S.V., Tang, K.F.J. &amp; Lightner, D.V. 2000. </w:t>
      </w:r>
      <w:r w:rsidR="005D1281" w:rsidRPr="00AA78A0">
        <w:rPr>
          <w:bCs/>
          <w:kern w:val="36"/>
          <w:szCs w:val="24"/>
        </w:rPr>
        <w:t xml:space="preserve">Frozen Commodity Shrimp: Potential Avenue for Introduction of White Spot Syndrome Virus and Yellow Head Virus. </w:t>
      </w:r>
      <w:r w:rsidR="005D1281" w:rsidRPr="00AA78A0">
        <w:rPr>
          <w:bCs/>
          <w:i/>
          <w:kern w:val="36"/>
          <w:szCs w:val="24"/>
        </w:rPr>
        <w:t>Journal of Aquatic Animal Health</w:t>
      </w:r>
      <w:r w:rsidR="005D1281" w:rsidRPr="00AA78A0">
        <w:rPr>
          <w:bCs/>
          <w:kern w:val="36"/>
          <w:szCs w:val="24"/>
        </w:rPr>
        <w:t xml:space="preserve"> 12(1), 128-135.</w:t>
      </w:r>
    </w:p>
    <w:p w:rsidR="005D1281" w:rsidRPr="00AA78A0" w:rsidRDefault="002F1251" w:rsidP="002F1251">
      <w:pPr>
        <w:pStyle w:val="Schedulebullets1"/>
        <w:rPr>
          <w:szCs w:val="24"/>
          <w:lang w:eastAsia="ja-JP"/>
        </w:rPr>
      </w:pPr>
      <w:r>
        <w:sym w:font="Symbol" w:char="F0B7"/>
      </w:r>
      <w:r>
        <w:tab/>
      </w:r>
      <w:r w:rsidR="005D1281" w:rsidRPr="002F1251">
        <w:t>Hasson</w:t>
      </w:r>
      <w:r w:rsidR="005D1281" w:rsidRPr="00AA78A0">
        <w:rPr>
          <w:szCs w:val="24"/>
          <w:lang w:eastAsia="ja-JP"/>
        </w:rPr>
        <w:t xml:space="preserve">, K.W., Fan, Y., Reisinger, T., Venuti, J. &amp; Varner, P.W. 2006. White-spot syndrome virus (WSSV) introduction into the Gulf of Mexico and Texas freshwater systems through imported, frozen bait-shrimp. </w:t>
      </w:r>
      <w:r w:rsidR="005D1281" w:rsidRPr="00AA78A0">
        <w:rPr>
          <w:i/>
          <w:szCs w:val="24"/>
          <w:lang w:eastAsia="ja-JP"/>
        </w:rPr>
        <w:t>Diseases of Aquatic Organisms</w:t>
      </w:r>
      <w:r w:rsidR="005D1281" w:rsidRPr="00AA78A0">
        <w:rPr>
          <w:szCs w:val="24"/>
          <w:lang w:eastAsia="ja-JP"/>
        </w:rPr>
        <w:t xml:space="preserve"> 71, 91-100.</w:t>
      </w:r>
    </w:p>
    <w:p w:rsidR="005D1281" w:rsidRPr="00AA78A0" w:rsidRDefault="002F1251" w:rsidP="002F1251">
      <w:pPr>
        <w:pStyle w:val="Schedulebullets1"/>
        <w:rPr>
          <w:i/>
          <w:iCs/>
          <w:szCs w:val="24"/>
        </w:rPr>
      </w:pPr>
      <w:r>
        <w:sym w:font="Symbol" w:char="F0B7"/>
      </w:r>
      <w:r>
        <w:tab/>
      </w:r>
      <w:r w:rsidR="005D1281" w:rsidRPr="00AA78A0">
        <w:rPr>
          <w:szCs w:val="24"/>
          <w:lang w:eastAsia="ja-JP"/>
        </w:rPr>
        <w:t xml:space="preserve">Li, Q., Zhang, J., Chen, Y. &amp; Yang, F. 2003. White spot syndrome virus (WSSV) infectivity for </w:t>
      </w:r>
      <w:r w:rsidR="005D1281" w:rsidRPr="00AA78A0">
        <w:rPr>
          <w:i/>
          <w:szCs w:val="24"/>
          <w:lang w:eastAsia="ja-JP"/>
        </w:rPr>
        <w:t xml:space="preserve">Artemia </w:t>
      </w:r>
      <w:r w:rsidR="005D1281" w:rsidRPr="00AA78A0">
        <w:rPr>
          <w:szCs w:val="24"/>
          <w:lang w:eastAsia="ja-JP"/>
        </w:rPr>
        <w:t xml:space="preserve">at different developmental stages. </w:t>
      </w:r>
      <w:r w:rsidR="005D1281" w:rsidRPr="00AA78A0">
        <w:rPr>
          <w:i/>
          <w:iCs/>
          <w:szCs w:val="24"/>
        </w:rPr>
        <w:t>Diseases of Aquatic Organisms</w:t>
      </w:r>
      <w:r w:rsidR="005D1281" w:rsidRPr="00AA78A0">
        <w:rPr>
          <w:iCs/>
          <w:szCs w:val="24"/>
        </w:rPr>
        <w:t xml:space="preserve"> 57, 261-264.</w:t>
      </w:r>
    </w:p>
    <w:p w:rsidR="005D1281" w:rsidRPr="00AA78A0" w:rsidRDefault="002F1251" w:rsidP="002F1251">
      <w:pPr>
        <w:pStyle w:val="Schedulebullets1"/>
        <w:rPr>
          <w:bCs/>
          <w:iCs/>
          <w:szCs w:val="24"/>
        </w:rPr>
      </w:pPr>
      <w:r>
        <w:sym w:font="Symbol" w:char="F0B7"/>
      </w:r>
      <w:r>
        <w:tab/>
      </w:r>
      <w:r w:rsidR="005D1281" w:rsidRPr="00AA78A0">
        <w:rPr>
          <w:szCs w:val="24"/>
        </w:rPr>
        <w:t xml:space="preserve">Motamedi-Sedeh, F., Afsharnasab, M. &amp; Heidarieh, M. 2015. </w:t>
      </w:r>
      <w:r w:rsidR="005D1281" w:rsidRPr="00AA78A0">
        <w:rPr>
          <w:bCs/>
          <w:szCs w:val="24"/>
        </w:rPr>
        <w:t xml:space="preserve">Immunization of </w:t>
      </w:r>
      <w:r w:rsidR="005D1281" w:rsidRPr="00AA78A0">
        <w:rPr>
          <w:bCs/>
          <w:i/>
          <w:iCs/>
          <w:szCs w:val="24"/>
        </w:rPr>
        <w:t xml:space="preserve">Litopenaeus vannamei </w:t>
      </w:r>
      <w:r w:rsidR="005D1281" w:rsidRPr="00AA78A0">
        <w:rPr>
          <w:bCs/>
          <w:szCs w:val="24"/>
        </w:rPr>
        <w:t xml:space="preserve">shrimp against white spot syndrome virus (WSSV) by gamma-irradiated WSSV plus </w:t>
      </w:r>
      <w:r w:rsidR="005D1281" w:rsidRPr="00AA78A0">
        <w:rPr>
          <w:bCs/>
          <w:i/>
          <w:iCs/>
          <w:szCs w:val="24"/>
        </w:rPr>
        <w:t>Vibrio paraheomolyticus. Vaccine Research</w:t>
      </w:r>
      <w:r w:rsidR="005D1281" w:rsidRPr="00AA78A0">
        <w:rPr>
          <w:bCs/>
          <w:iCs/>
          <w:szCs w:val="24"/>
        </w:rPr>
        <w:t xml:space="preserve"> 2(5), 107-112.</w:t>
      </w:r>
    </w:p>
    <w:p w:rsidR="005D1281" w:rsidRPr="009B7259" w:rsidRDefault="002F1251" w:rsidP="002F1251">
      <w:pPr>
        <w:pStyle w:val="Schedulebullets1"/>
        <w:rPr>
          <w:szCs w:val="24"/>
        </w:rPr>
      </w:pPr>
      <w:r>
        <w:sym w:font="Symbol" w:char="F0B7"/>
      </w:r>
      <w:r>
        <w:tab/>
      </w:r>
      <w:r w:rsidR="005D1281" w:rsidRPr="00AA78A0">
        <w:rPr>
          <w:szCs w:val="24"/>
        </w:rPr>
        <w:t xml:space="preserve">Motamedi-Sedeh, F., Afsharnasab, M., Heidarieh, M. &amp; Tahami, S.M. 2017. Protection of </w:t>
      </w:r>
      <w:r w:rsidR="005D1281" w:rsidRPr="00AA78A0">
        <w:rPr>
          <w:i/>
          <w:szCs w:val="24"/>
        </w:rPr>
        <w:t>Litopenaeus vannamei</w:t>
      </w:r>
      <w:r w:rsidR="005D1281" w:rsidRPr="00AA78A0">
        <w:rPr>
          <w:szCs w:val="24"/>
        </w:rPr>
        <w:t xml:space="preserve"> against white spot syndrome virus by electron-</w:t>
      </w:r>
      <w:r w:rsidR="005D1281" w:rsidRPr="00AA78A0">
        <w:rPr>
          <w:szCs w:val="24"/>
          <w:lang w:eastAsia="ja-JP"/>
        </w:rPr>
        <w:t>irradiated</w:t>
      </w:r>
      <w:r w:rsidR="005D1281" w:rsidRPr="00AA78A0">
        <w:rPr>
          <w:szCs w:val="24"/>
        </w:rPr>
        <w:t xml:space="preserve"> </w:t>
      </w:r>
      <w:r w:rsidR="005D1281" w:rsidRPr="009B7259">
        <w:rPr>
          <w:szCs w:val="24"/>
        </w:rPr>
        <w:t xml:space="preserve">inactivated vaccine and prebiotic immunogen. </w:t>
      </w:r>
      <w:r w:rsidR="005D1281" w:rsidRPr="009B7259">
        <w:rPr>
          <w:i/>
          <w:szCs w:val="24"/>
        </w:rPr>
        <w:t>Radiation Physics and Chemistry</w:t>
      </w:r>
      <w:r w:rsidR="005D1281" w:rsidRPr="009B7259">
        <w:rPr>
          <w:szCs w:val="24"/>
        </w:rPr>
        <w:t xml:space="preserve"> 130, 421-425.</w:t>
      </w:r>
    </w:p>
    <w:p w:rsidR="005D1281" w:rsidRPr="00B73F7C" w:rsidRDefault="002F1251" w:rsidP="002F1251">
      <w:pPr>
        <w:pStyle w:val="Schedulebullets1"/>
        <w:rPr>
          <w:szCs w:val="24"/>
        </w:rPr>
      </w:pPr>
      <w:r>
        <w:sym w:font="Symbol" w:char="F0B7"/>
      </w:r>
      <w:r>
        <w:tab/>
      </w:r>
      <w:r w:rsidR="005D1281" w:rsidRPr="00B73F7C">
        <w:rPr>
          <w:szCs w:val="24"/>
        </w:rPr>
        <w:t xml:space="preserve">OIE (World Organisation for </w:t>
      </w:r>
      <w:r w:rsidR="005D1281" w:rsidRPr="00B73F7C">
        <w:rPr>
          <w:szCs w:val="24"/>
          <w:lang w:eastAsia="ja-JP"/>
        </w:rPr>
        <w:t>Animal</w:t>
      </w:r>
      <w:r w:rsidR="005D1281" w:rsidRPr="00B73F7C">
        <w:rPr>
          <w:szCs w:val="24"/>
        </w:rPr>
        <w:t xml:space="preserve"> Health) 2012b, </w:t>
      </w:r>
      <w:r w:rsidR="005D1281" w:rsidRPr="00B73F7C">
        <w:rPr>
          <w:i/>
          <w:iCs/>
          <w:szCs w:val="24"/>
        </w:rPr>
        <w:t>Manual of diagnostic tests for aquatic animals</w:t>
      </w:r>
      <w:r w:rsidR="005D1281" w:rsidRPr="00B73F7C">
        <w:rPr>
          <w:szCs w:val="24"/>
        </w:rPr>
        <w:t xml:space="preserve">, OIE, Paris. </w:t>
      </w:r>
    </w:p>
    <w:p w:rsidR="005D1281" w:rsidRPr="00D65FF1" w:rsidRDefault="002F1251" w:rsidP="002F1251">
      <w:pPr>
        <w:pStyle w:val="Schedulebullets1"/>
        <w:rPr>
          <w:szCs w:val="24"/>
        </w:rPr>
      </w:pPr>
      <w:r>
        <w:sym w:font="Symbol" w:char="F0B7"/>
      </w:r>
      <w:r>
        <w:tab/>
      </w:r>
      <w:r w:rsidR="005D1281" w:rsidRPr="00B73F7C">
        <w:rPr>
          <w:szCs w:val="24"/>
        </w:rPr>
        <w:t xml:space="preserve">Supamattaya, K., Hoffmann, R.W., Boonyaratpalin, S. &amp; Kanchanaphum, P. 1998. </w:t>
      </w:r>
      <w:r w:rsidR="005D1281" w:rsidRPr="00D65FF1">
        <w:rPr>
          <w:szCs w:val="24"/>
        </w:rPr>
        <w:t xml:space="preserve">Experimental </w:t>
      </w:r>
      <w:r w:rsidR="005D1281" w:rsidRPr="00D65FF1">
        <w:rPr>
          <w:szCs w:val="24"/>
          <w:lang w:eastAsia="ja-JP"/>
        </w:rPr>
        <w:t>transmission</w:t>
      </w:r>
      <w:r w:rsidR="005D1281" w:rsidRPr="00D65FF1">
        <w:rPr>
          <w:szCs w:val="24"/>
        </w:rPr>
        <w:t xml:space="preserve"> of white spot syndrome virus (WSSV) from black tiger shrimp </w:t>
      </w:r>
      <w:r w:rsidR="005D1281" w:rsidRPr="00D65FF1">
        <w:rPr>
          <w:i/>
          <w:iCs/>
          <w:szCs w:val="24"/>
        </w:rPr>
        <w:t xml:space="preserve">Penaeus monodon </w:t>
      </w:r>
      <w:r w:rsidR="005D1281" w:rsidRPr="00D65FF1">
        <w:rPr>
          <w:szCs w:val="24"/>
        </w:rPr>
        <w:t xml:space="preserve">to the sand crab </w:t>
      </w:r>
      <w:r w:rsidR="005D1281" w:rsidRPr="00D65FF1">
        <w:rPr>
          <w:i/>
          <w:iCs/>
          <w:szCs w:val="24"/>
        </w:rPr>
        <w:t>Portunus pelagicus</w:t>
      </w:r>
      <w:r w:rsidR="005D1281" w:rsidRPr="00D65FF1">
        <w:rPr>
          <w:szCs w:val="24"/>
        </w:rPr>
        <w:t xml:space="preserve">, mud crab </w:t>
      </w:r>
      <w:r w:rsidR="005D1281" w:rsidRPr="00D65FF1">
        <w:rPr>
          <w:i/>
          <w:iCs/>
          <w:szCs w:val="24"/>
        </w:rPr>
        <w:t xml:space="preserve">Scylla serrata </w:t>
      </w:r>
      <w:r w:rsidR="005D1281" w:rsidRPr="00D65FF1">
        <w:rPr>
          <w:szCs w:val="24"/>
        </w:rPr>
        <w:t xml:space="preserve">and krill </w:t>
      </w:r>
      <w:r w:rsidR="005D1281" w:rsidRPr="00D65FF1">
        <w:rPr>
          <w:i/>
          <w:iCs/>
          <w:szCs w:val="24"/>
        </w:rPr>
        <w:t xml:space="preserve">Acetes </w:t>
      </w:r>
      <w:r w:rsidR="005D1281" w:rsidRPr="00D65FF1">
        <w:rPr>
          <w:iCs/>
          <w:szCs w:val="24"/>
        </w:rPr>
        <w:t>sp</w:t>
      </w:r>
      <w:r w:rsidR="005D1281" w:rsidRPr="00D65FF1">
        <w:rPr>
          <w:szCs w:val="24"/>
        </w:rPr>
        <w:t xml:space="preserve">.. </w:t>
      </w:r>
      <w:r w:rsidR="005D1281" w:rsidRPr="00D65FF1">
        <w:rPr>
          <w:i/>
          <w:iCs/>
          <w:szCs w:val="24"/>
        </w:rPr>
        <w:t xml:space="preserve">Diseases of Aquatic Organisms </w:t>
      </w:r>
      <w:r w:rsidR="005D1281" w:rsidRPr="00D65FF1">
        <w:rPr>
          <w:szCs w:val="24"/>
        </w:rPr>
        <w:t>32(2), 79-85.</w:t>
      </w:r>
    </w:p>
    <w:p w:rsidR="005D1281" w:rsidRPr="00D65FF1" w:rsidRDefault="002F1251" w:rsidP="002F1251">
      <w:pPr>
        <w:pStyle w:val="Schedulebullets1"/>
        <w:rPr>
          <w:bCs/>
          <w:szCs w:val="24"/>
        </w:rPr>
      </w:pPr>
      <w:r>
        <w:sym w:font="Symbol" w:char="F0B7"/>
      </w:r>
      <w:r>
        <w:tab/>
      </w:r>
      <w:r w:rsidR="005D1281" w:rsidRPr="00D65FF1">
        <w:rPr>
          <w:szCs w:val="24"/>
        </w:rPr>
        <w:t xml:space="preserve">Pratanpipat, P., Nithimethachoke, C., Akarajamon, A., Nash, G., Withyachumnamkul, B., Thammasart S. &amp; Lohawattanakul, C. 1996. In: Suwannahong, S., Chuchird, N. &amp; Limsuwan, C. 2005. </w:t>
      </w:r>
      <w:r w:rsidR="005D1281" w:rsidRPr="00D65FF1">
        <w:rPr>
          <w:bCs/>
          <w:szCs w:val="24"/>
        </w:rPr>
        <w:t xml:space="preserve">Efficacy of Formalin for the Control of White Spot Syndrome Virus Infection in Black </w:t>
      </w:r>
      <w:r w:rsidR="005D1281" w:rsidRPr="002F1251">
        <w:rPr>
          <w:szCs w:val="24"/>
          <w:lang w:eastAsia="ja-JP"/>
        </w:rPr>
        <w:t>Tiger</w:t>
      </w:r>
      <w:r w:rsidR="005D1281" w:rsidRPr="00D65FF1">
        <w:rPr>
          <w:bCs/>
          <w:szCs w:val="24"/>
        </w:rPr>
        <w:t xml:space="preserve"> Shrimp (</w:t>
      </w:r>
      <w:r w:rsidR="005D1281" w:rsidRPr="00D65FF1">
        <w:rPr>
          <w:bCs/>
          <w:i/>
          <w:iCs/>
          <w:szCs w:val="24"/>
        </w:rPr>
        <w:t>Penaeus monodon</w:t>
      </w:r>
      <w:r w:rsidR="005D1281" w:rsidRPr="00D65FF1">
        <w:rPr>
          <w:bCs/>
          <w:szCs w:val="24"/>
        </w:rPr>
        <w:t xml:space="preserve">). </w:t>
      </w:r>
      <w:r w:rsidR="005D1281" w:rsidRPr="00D65FF1">
        <w:rPr>
          <w:bCs/>
          <w:i/>
          <w:szCs w:val="24"/>
        </w:rPr>
        <w:t xml:space="preserve">Kasetsart Journal: Natural Science </w:t>
      </w:r>
      <w:r w:rsidR="005D1281" w:rsidRPr="00D65FF1">
        <w:rPr>
          <w:bCs/>
          <w:szCs w:val="24"/>
        </w:rPr>
        <w:t>39, 145-148.</w:t>
      </w:r>
    </w:p>
    <w:p w:rsidR="005D1281" w:rsidRPr="009B7259" w:rsidRDefault="002F1251" w:rsidP="002F1251">
      <w:pPr>
        <w:pStyle w:val="Schedulebullets1"/>
        <w:rPr>
          <w:szCs w:val="24"/>
        </w:rPr>
      </w:pPr>
      <w:r>
        <w:sym w:font="Symbol" w:char="F0B7"/>
      </w:r>
      <w:r>
        <w:tab/>
      </w:r>
      <w:r w:rsidR="005D1281" w:rsidRPr="00D65FF1">
        <w:rPr>
          <w:szCs w:val="24"/>
        </w:rPr>
        <w:t xml:space="preserve">Yan, D.C., Dong, S.L., </w:t>
      </w:r>
      <w:r w:rsidR="005D1281" w:rsidRPr="00D65FF1">
        <w:rPr>
          <w:szCs w:val="24"/>
          <w:lang w:eastAsia="ja-JP"/>
        </w:rPr>
        <w:t>Huang</w:t>
      </w:r>
      <w:r w:rsidR="005D1281" w:rsidRPr="00D65FF1">
        <w:rPr>
          <w:szCs w:val="24"/>
        </w:rPr>
        <w:t xml:space="preserve">, J. Yu, X.M., Feng, M.Y. &amp; Liu, X.Y. 2004. White spot syndrome virus (WSSV) detected </w:t>
      </w:r>
      <w:r w:rsidR="005D1281" w:rsidRPr="009B7259">
        <w:rPr>
          <w:szCs w:val="24"/>
        </w:rPr>
        <w:t xml:space="preserve">by PCR in rotifers and rotifer resting eggs from shrimp pond sediments. </w:t>
      </w:r>
      <w:r w:rsidR="005D1281" w:rsidRPr="009B7259">
        <w:rPr>
          <w:i/>
          <w:iCs/>
          <w:szCs w:val="24"/>
        </w:rPr>
        <w:t xml:space="preserve">Diseases of Aquatic Organisms </w:t>
      </w:r>
      <w:r w:rsidR="005D1281" w:rsidRPr="009B7259">
        <w:rPr>
          <w:bCs/>
          <w:szCs w:val="24"/>
        </w:rPr>
        <w:t>59</w:t>
      </w:r>
      <w:r w:rsidR="005D1281" w:rsidRPr="009B7259">
        <w:rPr>
          <w:szCs w:val="24"/>
        </w:rPr>
        <w:t>, 69-73.</w:t>
      </w:r>
    </w:p>
    <w:p w:rsidR="002033CC" w:rsidRPr="002033CC" w:rsidRDefault="002F1251" w:rsidP="00DC2113">
      <w:pPr>
        <w:pStyle w:val="Schedulebullets1"/>
      </w:pPr>
      <w:r>
        <w:sym w:font="Symbol" w:char="F0B7"/>
      </w:r>
      <w:r>
        <w:tab/>
      </w:r>
      <w:r w:rsidR="005D1281" w:rsidRPr="00AA78A0">
        <w:rPr>
          <w:szCs w:val="24"/>
        </w:rPr>
        <w:t xml:space="preserve">Zhang, J.S., Dong, S.L., Tian, X.L., Cao, Y.C., Li, Z.J. &amp; Yan, D.C. 2010. Assessment of the role of brine shrimp </w:t>
      </w:r>
      <w:r w:rsidR="005D1281" w:rsidRPr="00AA78A0">
        <w:rPr>
          <w:i/>
          <w:szCs w:val="24"/>
        </w:rPr>
        <w:t>Artemia</w:t>
      </w:r>
      <w:r w:rsidR="005D1281" w:rsidRPr="00AA78A0">
        <w:rPr>
          <w:szCs w:val="24"/>
        </w:rPr>
        <w:t xml:space="preserve"> in white spot syndrome virus (WSSV) transmission. </w:t>
      </w:r>
      <w:r w:rsidR="005D1281" w:rsidRPr="00AA78A0">
        <w:rPr>
          <w:i/>
          <w:szCs w:val="24"/>
        </w:rPr>
        <w:t xml:space="preserve">Veterinary Research Communications </w:t>
      </w:r>
      <w:r w:rsidR="005D1281" w:rsidRPr="00AA78A0">
        <w:rPr>
          <w:szCs w:val="24"/>
        </w:rPr>
        <w:t>34</w:t>
      </w:r>
      <w:r w:rsidR="00814FF1">
        <w:rPr>
          <w:szCs w:val="24"/>
        </w:rPr>
        <w:t>,</w:t>
      </w:r>
      <w:r w:rsidR="005D1281" w:rsidRPr="00AA78A0">
        <w:rPr>
          <w:szCs w:val="24"/>
        </w:rPr>
        <w:t xml:space="preserve"> 25-32.</w:t>
      </w:r>
    </w:p>
    <w:sectPr w:rsidR="002033CC" w:rsidRPr="002033CC" w:rsidSect="00D40617">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AD" w:rsidRDefault="00EF4BAD">
      <w:r>
        <w:separator/>
      </w:r>
    </w:p>
  </w:endnote>
  <w:endnote w:type="continuationSeparator" w:id="0">
    <w:p w:rsidR="00EF4BAD" w:rsidRDefault="00EF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dvPSSym">
    <w:panose1 w:val="00000000000000000000"/>
    <w:charset w:val="00"/>
    <w:family w:val="auto"/>
    <w:notTrueType/>
    <w:pitch w:val="default"/>
    <w:sig w:usb0="00000003" w:usb1="00000000" w:usb2="00000000" w:usb3="00000000" w:csb0="00000001" w:csb1="00000000"/>
  </w:font>
  <w:font w:name="AdvPSHV-L">
    <w:panose1 w:val="00000000000000000000"/>
    <w:charset w:val="00"/>
    <w:family w:val="swiss"/>
    <w:notTrueType/>
    <w:pitch w:val="default"/>
    <w:sig w:usb0="00000003" w:usb1="00000000" w:usb2="00000000" w:usb3="00000000" w:csb0="00000001" w:csb1="00000000"/>
  </w:font>
  <w:font w:name="AdvPSMP13">
    <w:panose1 w:val="00000000000000000000"/>
    <w:charset w:val="00"/>
    <w:family w:val="roman"/>
    <w:notTrueType/>
    <w:pitch w:val="default"/>
    <w:sig w:usb0="00000003" w:usb1="00000000" w:usb2="00000000" w:usb3="00000000" w:csb0="00000001" w:csb1="00000000"/>
  </w:font>
  <w:font w:name="AdvPSSPS-AS">
    <w:panose1 w:val="00000000000000000000"/>
    <w:charset w:val="00"/>
    <w:family w:val="auto"/>
    <w:notTrueType/>
    <w:pitch w:val="default"/>
    <w:sig w:usb0="00000003" w:usb1="00000000" w:usb2="00000000" w:usb3="00000000" w:csb0="00000001" w:csb1="00000000"/>
  </w:font>
  <w:font w:name="SizedSym151">
    <w:panose1 w:val="00000000000000000000"/>
    <w:charset w:val="00"/>
    <w:family w:val="auto"/>
    <w:notTrueType/>
    <w:pitch w:val="default"/>
    <w:sig w:usb0="00000003" w:usb1="00000000" w:usb2="00000000" w:usb3="00000000" w:csb0="00000001" w:csb1="00000000"/>
  </w:font>
  <w:font w:name="AdvPS_HV">
    <w:panose1 w:val="00000000000000000000"/>
    <w:charset w:val="00"/>
    <w:family w:val="auto"/>
    <w:notTrueType/>
    <w:pitch w:val="default"/>
    <w:sig w:usb0="00000003" w:usb1="00000000" w:usb2="00000000" w:usb3="00000000" w:csb0="00000001" w:csb1="00000000"/>
  </w:font>
  <w:font w:name="AdvPS_HVB">
    <w:panose1 w:val="00000000000000000000"/>
    <w:charset w:val="00"/>
    <w:family w:val="auto"/>
    <w:notTrueType/>
    <w:pitch w:val="default"/>
    <w:sig w:usb0="00000003" w:usb1="00000000" w:usb2="00000000" w:usb3="00000000" w:csb0="00000001" w:csb1="00000000"/>
  </w:font>
  <w:font w:name="AdvPSHV-BL">
    <w:panose1 w:val="00000000000000000000"/>
    <w:charset w:val="00"/>
    <w:family w:val="swiss"/>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828" w:rsidRDefault="006A58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rsidR="00EF4BAD" w:rsidRDefault="00EF4BAD" w:rsidP="009818F6">
        <w:pPr>
          <w:pStyle w:val="Footer"/>
          <w:pBdr>
            <w:top w:val="single" w:sz="4" w:space="1" w:color="auto"/>
          </w:pBdr>
          <w:jc w:val="right"/>
        </w:pPr>
        <w:r>
          <w:fldChar w:fldCharType="begin"/>
        </w:r>
        <w:r>
          <w:instrText xml:space="preserve"> PAGE   \* MERGEFORMAT </w:instrText>
        </w:r>
        <w:r>
          <w:fldChar w:fldCharType="separate"/>
        </w:r>
        <w:r w:rsidR="00D3532C">
          <w:rPr>
            <w:noProof/>
          </w:rPr>
          <w:t>2</w:t>
        </w:r>
        <w:r>
          <w:rPr>
            <w:noProof/>
          </w:rPr>
          <w:fldChar w:fldCharType="end"/>
        </w:r>
      </w:p>
    </w:sdtContent>
  </w:sdt>
  <w:p w:rsidR="00EF4BAD" w:rsidRDefault="00D3532C" w:rsidP="009818F6">
    <w:pPr>
      <w:pStyle w:val="Header"/>
    </w:pPr>
    <w:r>
      <w:fldChar w:fldCharType="begin"/>
    </w:r>
    <w:r>
      <w:instrText xml:space="preserve"> STYLEREF  ShortT  \* MERGEFORMAT </w:instrText>
    </w:r>
    <w:r>
      <w:fldChar w:fldCharType="separate"/>
    </w:r>
    <w:r>
      <w:rPr>
        <w:noProof/>
      </w:rPr>
      <w:t>Biosecurity (Suspended Goods—Uncooked Prawns) Amendment (Exceptions) Determination 2017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828" w:rsidRDefault="006A58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467268"/>
      <w:docPartObj>
        <w:docPartGallery w:val="Page Numbers (Bottom of Page)"/>
        <w:docPartUnique/>
      </w:docPartObj>
    </w:sdtPr>
    <w:sdtEndPr/>
    <w:sdtContent>
      <w:p w:rsidR="00D40617" w:rsidRDefault="00D40617" w:rsidP="009818F6">
        <w:pPr>
          <w:pStyle w:val="Footer"/>
          <w:pBdr>
            <w:top w:val="single" w:sz="4" w:space="1" w:color="auto"/>
          </w:pBdr>
          <w:jc w:val="right"/>
        </w:pPr>
        <w:r>
          <w:fldChar w:fldCharType="begin"/>
        </w:r>
        <w:r>
          <w:instrText xml:space="preserve"> PAGE   \* MERGEFORMAT </w:instrText>
        </w:r>
        <w:r>
          <w:fldChar w:fldCharType="separate"/>
        </w:r>
        <w:r w:rsidR="00D3532C">
          <w:rPr>
            <w:noProof/>
          </w:rPr>
          <w:t>5</w:t>
        </w:r>
        <w:r>
          <w:rPr>
            <w:noProof/>
          </w:rPr>
          <w:fldChar w:fldCharType="end"/>
        </w:r>
      </w:p>
    </w:sdtContent>
  </w:sdt>
  <w:p w:rsidR="00D40617" w:rsidRDefault="00D3532C" w:rsidP="009818F6">
    <w:pPr>
      <w:pStyle w:val="Header"/>
    </w:pPr>
    <w:r>
      <w:fldChar w:fldCharType="begin"/>
    </w:r>
    <w:r>
      <w:instrText xml:space="preserve"> STYLEREF  ShortT  \* MERGEFORMAT </w:instrText>
    </w:r>
    <w:r>
      <w:fldChar w:fldCharType="separate"/>
    </w:r>
    <w:r>
      <w:rPr>
        <w:noProof/>
      </w:rPr>
      <w:t>Biosecurity (Suspended Goods—Uncooked Prawns) Amendment (Exceptions) Determination 2017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406969"/>
      <w:docPartObj>
        <w:docPartGallery w:val="Page Numbers (Bottom of Page)"/>
        <w:docPartUnique/>
      </w:docPartObj>
    </w:sdtPr>
    <w:sdtEndPr/>
    <w:sdtContent>
      <w:p w:rsidR="00D40617" w:rsidRDefault="00D40617" w:rsidP="009818F6">
        <w:pPr>
          <w:pStyle w:val="Footer"/>
          <w:pBdr>
            <w:top w:val="single" w:sz="4" w:space="1" w:color="auto"/>
          </w:pBdr>
          <w:jc w:val="right"/>
        </w:pPr>
        <w:r>
          <w:fldChar w:fldCharType="begin"/>
        </w:r>
        <w:r>
          <w:instrText xml:space="preserve"> PAGE   \* MERGEFORMAT </w:instrText>
        </w:r>
        <w:r>
          <w:fldChar w:fldCharType="separate"/>
        </w:r>
        <w:r w:rsidR="00D3532C">
          <w:rPr>
            <w:noProof/>
          </w:rPr>
          <w:t>6</w:t>
        </w:r>
        <w:r>
          <w:rPr>
            <w:noProof/>
          </w:rPr>
          <w:fldChar w:fldCharType="end"/>
        </w:r>
      </w:p>
    </w:sdtContent>
  </w:sdt>
  <w:p w:rsidR="00D40617" w:rsidRDefault="00D3532C" w:rsidP="009818F6">
    <w:pPr>
      <w:pStyle w:val="Header"/>
    </w:pPr>
    <w:r>
      <w:fldChar w:fldCharType="begin"/>
    </w:r>
    <w:r>
      <w:instrText xml:space="preserve"> STYLEREF  ShortT  \* MERGEFORMAT </w:instrText>
    </w:r>
    <w:r>
      <w:fldChar w:fldCharType="separate"/>
    </w:r>
    <w:r>
      <w:rPr>
        <w:noProof/>
      </w:rPr>
      <w:t>Biosecurity (Suspended Goods—Uncooked Prawns) Amendment (Exceptions) Determination 2017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585716"/>
      <w:docPartObj>
        <w:docPartGallery w:val="Page Numbers (Bottom of Page)"/>
        <w:docPartUnique/>
      </w:docPartObj>
    </w:sdtPr>
    <w:sdtEndPr/>
    <w:sdtContent>
      <w:p w:rsidR="00D40617" w:rsidRDefault="00D40617" w:rsidP="009818F6">
        <w:pPr>
          <w:pStyle w:val="Footer"/>
          <w:pBdr>
            <w:top w:val="single" w:sz="4" w:space="1" w:color="auto"/>
          </w:pBdr>
          <w:jc w:val="right"/>
        </w:pPr>
        <w:r>
          <w:fldChar w:fldCharType="begin"/>
        </w:r>
        <w:r>
          <w:instrText xml:space="preserve"> PAGE   \* MERGEFORMAT </w:instrText>
        </w:r>
        <w:r>
          <w:fldChar w:fldCharType="separate"/>
        </w:r>
        <w:r w:rsidR="00D3532C">
          <w:rPr>
            <w:noProof/>
          </w:rPr>
          <w:t>12</w:t>
        </w:r>
        <w:r>
          <w:rPr>
            <w:noProof/>
          </w:rPr>
          <w:fldChar w:fldCharType="end"/>
        </w:r>
      </w:p>
    </w:sdtContent>
  </w:sdt>
  <w:p w:rsidR="00D40617" w:rsidRDefault="00D3532C" w:rsidP="009818F6">
    <w:pPr>
      <w:pStyle w:val="Header"/>
    </w:pPr>
    <w:r>
      <w:fldChar w:fldCharType="begin"/>
    </w:r>
    <w:r>
      <w:instrText xml:space="preserve"> STYLEREF  ShortT  \* MERGEFORMAT </w:instrText>
    </w:r>
    <w:r>
      <w:fldChar w:fldCharType="separate"/>
    </w:r>
    <w:r>
      <w:rPr>
        <w:noProof/>
      </w:rPr>
      <w:t>Biosecurity (Suspended Goods—Uncooked Prawns) Amendment (Exceptions) Determination 2017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AD" w:rsidRDefault="00EF4BAD">
      <w:r>
        <w:separator/>
      </w:r>
    </w:p>
  </w:footnote>
  <w:footnote w:type="continuationSeparator" w:id="0">
    <w:p w:rsidR="00EF4BAD" w:rsidRDefault="00EF4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828" w:rsidRDefault="006A58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AD" w:rsidRPr="00ED79B6" w:rsidRDefault="00EF4BAD" w:rsidP="00BC2843">
    <w:pPr>
      <w:pBdr>
        <w:bottom w:val="single" w:sz="6" w:space="1" w:color="auto"/>
      </w:pBdr>
      <w:spacing w:before="1000" w:line="240" w:lineRule="auto"/>
    </w:pPr>
  </w:p>
  <w:p w:rsidR="00EF4BAD" w:rsidRDefault="00EF4BAD" w:rsidP="00BC2843">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828" w:rsidRDefault="006A58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7" w:rsidRPr="00746FB4" w:rsidRDefault="003C3E74" w:rsidP="00BC2843">
    <w:pPr>
      <w:pBdr>
        <w:bottom w:val="single" w:sz="6" w:space="1" w:color="auto"/>
      </w:pBdr>
      <w:spacing w:before="1000" w:line="240" w:lineRule="auto"/>
    </w:pPr>
    <w:fldSimple w:instr=" STYLEREF  h1_Sch  \* MERGEFORMAT ">
      <w:r w:rsidR="00D3532C">
        <w:rPr>
          <w:noProof/>
        </w:rPr>
        <w:t>Schedule 1—Amendments</w:t>
      </w:r>
    </w:fldSimple>
  </w:p>
  <w:p w:rsidR="00D40617" w:rsidRDefault="00D40617" w:rsidP="00BC2843">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7" w:rsidRPr="00746FB4" w:rsidRDefault="00D3532C" w:rsidP="00BC2843">
    <w:pPr>
      <w:pBdr>
        <w:bottom w:val="single" w:sz="6" w:space="1" w:color="auto"/>
      </w:pBdr>
      <w:spacing w:before="1000" w:line="240" w:lineRule="auto"/>
    </w:pPr>
    <w:r>
      <w:fldChar w:fldCharType="begin"/>
    </w:r>
    <w:r>
      <w:instrText xml:space="preserve"> STYLEREF  h1_Sch  \* MERGEFORMAT </w:instrText>
    </w:r>
    <w:r>
      <w:fldChar w:fldCharType="separate"/>
    </w:r>
    <w:r>
      <w:rPr>
        <w:noProof/>
      </w:rPr>
      <w:t>Schedule 2—Reasons—prawns sourced from exclusive economic zone</w:t>
    </w:r>
    <w:r>
      <w:rPr>
        <w:noProof/>
      </w:rPr>
      <w:fldChar w:fldCharType="end"/>
    </w:r>
  </w:p>
  <w:p w:rsidR="00D40617" w:rsidRDefault="00D40617" w:rsidP="00BC2843">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7" w:rsidRPr="00746FB4" w:rsidRDefault="003C3E74" w:rsidP="00BC2843">
    <w:pPr>
      <w:pBdr>
        <w:bottom w:val="single" w:sz="6" w:space="1" w:color="auto"/>
      </w:pBdr>
      <w:spacing w:before="1000" w:line="240" w:lineRule="auto"/>
    </w:pPr>
    <w:fldSimple w:instr=" STYLEREF  h1_Sch  \* MERGEFORMAT ">
      <w:r w:rsidR="00D3532C" w:rsidRPr="00D3532C">
        <w:rPr>
          <w:bCs/>
          <w:noProof/>
          <w:lang w:val="en-US"/>
        </w:rPr>
        <w:t xml:space="preserve">Schedule 4—Reasons—bait for aquatic use, pet </w:t>
      </w:r>
      <w:r w:rsidR="00D3532C">
        <w:rPr>
          <w:noProof/>
        </w:rPr>
        <w:t>fish food and aquaculture feed</w:t>
      </w:r>
    </w:fldSimple>
  </w:p>
  <w:p w:rsidR="00D40617" w:rsidRDefault="00D40617" w:rsidP="00BC284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2"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B673B3"/>
    <w:multiLevelType w:val="hybridMultilevel"/>
    <w:tmpl w:val="C39CE568"/>
    <w:lvl w:ilvl="0" w:tplc="3C18D892">
      <w:start w:val="1"/>
      <w:numFmt w:val="lowerRoman"/>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8"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E961530"/>
    <w:multiLevelType w:val="hybridMultilevel"/>
    <w:tmpl w:val="6324D870"/>
    <w:lvl w:ilvl="0" w:tplc="3C18D89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3"/>
  </w:num>
  <w:num w:numId="5">
    <w:abstractNumId w:val="28"/>
  </w:num>
  <w:num w:numId="6">
    <w:abstractNumId w:val="21"/>
  </w:num>
  <w:num w:numId="7">
    <w:abstractNumId w:val="13"/>
  </w:num>
  <w:num w:numId="8">
    <w:abstractNumId w:val="20"/>
  </w:num>
  <w:num w:numId="9">
    <w:abstractNumId w:val="34"/>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2"/>
  </w:num>
  <w:num w:numId="21">
    <w:abstractNumId w:val="18"/>
  </w:num>
  <w:num w:numId="22">
    <w:abstractNumId w:val="23"/>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851"/>
  <w:drawingGridHorizontalSpacing w:val="110"/>
  <w:displayHorizontalDrawingGridEvery w:val="2"/>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2"/>
  </w:compat>
  <w:docVars>
    <w:docVar w:name="StyleWS" w:val="bWSLetter"/>
  </w:docVars>
  <w:rsids>
    <w:rsidRoot w:val="008678EB"/>
    <w:rsid w:val="00002024"/>
    <w:rsid w:val="000039D7"/>
    <w:rsid w:val="00007578"/>
    <w:rsid w:val="00010482"/>
    <w:rsid w:val="00012088"/>
    <w:rsid w:val="00012B72"/>
    <w:rsid w:val="00014257"/>
    <w:rsid w:val="00014A76"/>
    <w:rsid w:val="000248C7"/>
    <w:rsid w:val="000258A0"/>
    <w:rsid w:val="00025E41"/>
    <w:rsid w:val="00031189"/>
    <w:rsid w:val="000320F2"/>
    <w:rsid w:val="00036984"/>
    <w:rsid w:val="0003757F"/>
    <w:rsid w:val="0003764D"/>
    <w:rsid w:val="000379E2"/>
    <w:rsid w:val="00041037"/>
    <w:rsid w:val="00041E62"/>
    <w:rsid w:val="0004373B"/>
    <w:rsid w:val="0004479F"/>
    <w:rsid w:val="00044D8C"/>
    <w:rsid w:val="000453D0"/>
    <w:rsid w:val="00046216"/>
    <w:rsid w:val="00050664"/>
    <w:rsid w:val="00051826"/>
    <w:rsid w:val="00051EA8"/>
    <w:rsid w:val="0005423E"/>
    <w:rsid w:val="00056020"/>
    <w:rsid w:val="00057DAD"/>
    <w:rsid w:val="00060287"/>
    <w:rsid w:val="0006051E"/>
    <w:rsid w:val="000610BE"/>
    <w:rsid w:val="00063C97"/>
    <w:rsid w:val="00064F51"/>
    <w:rsid w:val="00066A91"/>
    <w:rsid w:val="0007200D"/>
    <w:rsid w:val="000731B2"/>
    <w:rsid w:val="00074AB4"/>
    <w:rsid w:val="00075CE6"/>
    <w:rsid w:val="000813F8"/>
    <w:rsid w:val="00082647"/>
    <w:rsid w:val="00082BCD"/>
    <w:rsid w:val="00085818"/>
    <w:rsid w:val="00090D8B"/>
    <w:rsid w:val="00093931"/>
    <w:rsid w:val="00095107"/>
    <w:rsid w:val="000967FA"/>
    <w:rsid w:val="00097203"/>
    <w:rsid w:val="000974E1"/>
    <w:rsid w:val="000978C5"/>
    <w:rsid w:val="000A25C2"/>
    <w:rsid w:val="000A4314"/>
    <w:rsid w:val="000A4C72"/>
    <w:rsid w:val="000A71D4"/>
    <w:rsid w:val="000A7903"/>
    <w:rsid w:val="000B042A"/>
    <w:rsid w:val="000B155A"/>
    <w:rsid w:val="000B177D"/>
    <w:rsid w:val="000B2B15"/>
    <w:rsid w:val="000B4DA5"/>
    <w:rsid w:val="000B5059"/>
    <w:rsid w:val="000B5DCB"/>
    <w:rsid w:val="000C2287"/>
    <w:rsid w:val="000C2440"/>
    <w:rsid w:val="000C27EB"/>
    <w:rsid w:val="000C566E"/>
    <w:rsid w:val="000C61CF"/>
    <w:rsid w:val="000C6EBB"/>
    <w:rsid w:val="000D2D22"/>
    <w:rsid w:val="000D2FFA"/>
    <w:rsid w:val="000D3AD4"/>
    <w:rsid w:val="000D40E2"/>
    <w:rsid w:val="000D5F02"/>
    <w:rsid w:val="000D628D"/>
    <w:rsid w:val="000D7205"/>
    <w:rsid w:val="000E0B19"/>
    <w:rsid w:val="000E2406"/>
    <w:rsid w:val="000E2AF3"/>
    <w:rsid w:val="000E2E9E"/>
    <w:rsid w:val="000E4D39"/>
    <w:rsid w:val="000E750C"/>
    <w:rsid w:val="000F0319"/>
    <w:rsid w:val="000F081D"/>
    <w:rsid w:val="000F2EBE"/>
    <w:rsid w:val="000F31F8"/>
    <w:rsid w:val="000F39FE"/>
    <w:rsid w:val="00102896"/>
    <w:rsid w:val="00105D91"/>
    <w:rsid w:val="00107E81"/>
    <w:rsid w:val="001104D5"/>
    <w:rsid w:val="0011343D"/>
    <w:rsid w:val="00121A23"/>
    <w:rsid w:val="00123118"/>
    <w:rsid w:val="00124559"/>
    <w:rsid w:val="001245D0"/>
    <w:rsid w:val="001300B0"/>
    <w:rsid w:val="001324E5"/>
    <w:rsid w:val="001369B9"/>
    <w:rsid w:val="00137A06"/>
    <w:rsid w:val="00140EBC"/>
    <w:rsid w:val="00142EC4"/>
    <w:rsid w:val="0014387D"/>
    <w:rsid w:val="001443B4"/>
    <w:rsid w:val="00144E82"/>
    <w:rsid w:val="001476F6"/>
    <w:rsid w:val="00147E31"/>
    <w:rsid w:val="001532D6"/>
    <w:rsid w:val="00154AA1"/>
    <w:rsid w:val="00157CDF"/>
    <w:rsid w:val="00170675"/>
    <w:rsid w:val="001707B7"/>
    <w:rsid w:val="00172839"/>
    <w:rsid w:val="00174456"/>
    <w:rsid w:val="00174847"/>
    <w:rsid w:val="0017505D"/>
    <w:rsid w:val="001776B2"/>
    <w:rsid w:val="001778AA"/>
    <w:rsid w:val="00182E3C"/>
    <w:rsid w:val="00182E6C"/>
    <w:rsid w:val="00184268"/>
    <w:rsid w:val="00184B5E"/>
    <w:rsid w:val="00190A33"/>
    <w:rsid w:val="00190AB5"/>
    <w:rsid w:val="00194039"/>
    <w:rsid w:val="00195069"/>
    <w:rsid w:val="00196DA5"/>
    <w:rsid w:val="001979DC"/>
    <w:rsid w:val="001A146E"/>
    <w:rsid w:val="001A15AC"/>
    <w:rsid w:val="001A2F4F"/>
    <w:rsid w:val="001A562A"/>
    <w:rsid w:val="001A5CB2"/>
    <w:rsid w:val="001B0571"/>
    <w:rsid w:val="001B0B41"/>
    <w:rsid w:val="001B2D72"/>
    <w:rsid w:val="001B4173"/>
    <w:rsid w:val="001B644D"/>
    <w:rsid w:val="001B7250"/>
    <w:rsid w:val="001B7C15"/>
    <w:rsid w:val="001C0768"/>
    <w:rsid w:val="001C1A73"/>
    <w:rsid w:val="001C3392"/>
    <w:rsid w:val="001C3788"/>
    <w:rsid w:val="001C6AD2"/>
    <w:rsid w:val="001D07AE"/>
    <w:rsid w:val="001E0960"/>
    <w:rsid w:val="001E1B02"/>
    <w:rsid w:val="001E44FA"/>
    <w:rsid w:val="001E4824"/>
    <w:rsid w:val="001E5E30"/>
    <w:rsid w:val="001E647F"/>
    <w:rsid w:val="001F373E"/>
    <w:rsid w:val="001F43D4"/>
    <w:rsid w:val="001F50EC"/>
    <w:rsid w:val="001F5AF2"/>
    <w:rsid w:val="00201A33"/>
    <w:rsid w:val="002033CC"/>
    <w:rsid w:val="0020446F"/>
    <w:rsid w:val="002052B0"/>
    <w:rsid w:val="00210328"/>
    <w:rsid w:val="00210C28"/>
    <w:rsid w:val="0021145F"/>
    <w:rsid w:val="00213788"/>
    <w:rsid w:val="002146BA"/>
    <w:rsid w:val="0021764C"/>
    <w:rsid w:val="00217A90"/>
    <w:rsid w:val="00217C89"/>
    <w:rsid w:val="00220F1C"/>
    <w:rsid w:val="00221332"/>
    <w:rsid w:val="002221BC"/>
    <w:rsid w:val="00223A01"/>
    <w:rsid w:val="00225D68"/>
    <w:rsid w:val="0022621E"/>
    <w:rsid w:val="002264C8"/>
    <w:rsid w:val="00227066"/>
    <w:rsid w:val="002274CF"/>
    <w:rsid w:val="002309B3"/>
    <w:rsid w:val="00232329"/>
    <w:rsid w:val="00233BC0"/>
    <w:rsid w:val="00234173"/>
    <w:rsid w:val="0023436A"/>
    <w:rsid w:val="00235E1E"/>
    <w:rsid w:val="00240E9E"/>
    <w:rsid w:val="0024155A"/>
    <w:rsid w:val="00241798"/>
    <w:rsid w:val="002432A9"/>
    <w:rsid w:val="00243924"/>
    <w:rsid w:val="00246A83"/>
    <w:rsid w:val="00246C4C"/>
    <w:rsid w:val="002472BC"/>
    <w:rsid w:val="00254817"/>
    <w:rsid w:val="00255070"/>
    <w:rsid w:val="00257896"/>
    <w:rsid w:val="00265192"/>
    <w:rsid w:val="00266DC8"/>
    <w:rsid w:val="00274E2B"/>
    <w:rsid w:val="00280B8E"/>
    <w:rsid w:val="002832F4"/>
    <w:rsid w:val="0028502C"/>
    <w:rsid w:val="00293143"/>
    <w:rsid w:val="00293320"/>
    <w:rsid w:val="00294058"/>
    <w:rsid w:val="00294245"/>
    <w:rsid w:val="00294DE8"/>
    <w:rsid w:val="002A0596"/>
    <w:rsid w:val="002A18C9"/>
    <w:rsid w:val="002A2B43"/>
    <w:rsid w:val="002A3283"/>
    <w:rsid w:val="002A5322"/>
    <w:rsid w:val="002A6992"/>
    <w:rsid w:val="002A7E6F"/>
    <w:rsid w:val="002B0EAC"/>
    <w:rsid w:val="002B3521"/>
    <w:rsid w:val="002C3465"/>
    <w:rsid w:val="002E2E64"/>
    <w:rsid w:val="002E39E0"/>
    <w:rsid w:val="002E6CA7"/>
    <w:rsid w:val="002E7EE0"/>
    <w:rsid w:val="002F0C47"/>
    <w:rsid w:val="002F1251"/>
    <w:rsid w:val="002F242B"/>
    <w:rsid w:val="002F4A68"/>
    <w:rsid w:val="002F664A"/>
    <w:rsid w:val="00301367"/>
    <w:rsid w:val="00301C22"/>
    <w:rsid w:val="00306EFA"/>
    <w:rsid w:val="0031117B"/>
    <w:rsid w:val="003127F8"/>
    <w:rsid w:val="00320915"/>
    <w:rsid w:val="00321884"/>
    <w:rsid w:val="00322CCD"/>
    <w:rsid w:val="003257CA"/>
    <w:rsid w:val="0032598E"/>
    <w:rsid w:val="00327822"/>
    <w:rsid w:val="00331757"/>
    <w:rsid w:val="0033258A"/>
    <w:rsid w:val="00332811"/>
    <w:rsid w:val="00332C68"/>
    <w:rsid w:val="00333A4F"/>
    <w:rsid w:val="00335540"/>
    <w:rsid w:val="00337460"/>
    <w:rsid w:val="00340AA4"/>
    <w:rsid w:val="0034760F"/>
    <w:rsid w:val="00350078"/>
    <w:rsid w:val="0035186D"/>
    <w:rsid w:val="00352B83"/>
    <w:rsid w:val="00354E4F"/>
    <w:rsid w:val="0036127D"/>
    <w:rsid w:val="00364922"/>
    <w:rsid w:val="00371E2D"/>
    <w:rsid w:val="00375DC2"/>
    <w:rsid w:val="00377DAC"/>
    <w:rsid w:val="00380FB2"/>
    <w:rsid w:val="00382276"/>
    <w:rsid w:val="0039016F"/>
    <w:rsid w:val="00390A97"/>
    <w:rsid w:val="00390B03"/>
    <w:rsid w:val="003939A2"/>
    <w:rsid w:val="0039749E"/>
    <w:rsid w:val="003A080E"/>
    <w:rsid w:val="003A34AE"/>
    <w:rsid w:val="003A3925"/>
    <w:rsid w:val="003A4CFF"/>
    <w:rsid w:val="003A6158"/>
    <w:rsid w:val="003A644D"/>
    <w:rsid w:val="003A72A8"/>
    <w:rsid w:val="003B0659"/>
    <w:rsid w:val="003B114C"/>
    <w:rsid w:val="003B3643"/>
    <w:rsid w:val="003B3DB9"/>
    <w:rsid w:val="003B4E23"/>
    <w:rsid w:val="003B7386"/>
    <w:rsid w:val="003B777A"/>
    <w:rsid w:val="003C1E61"/>
    <w:rsid w:val="003C32EE"/>
    <w:rsid w:val="003C3E74"/>
    <w:rsid w:val="003C452F"/>
    <w:rsid w:val="003D1FE2"/>
    <w:rsid w:val="003D4E0D"/>
    <w:rsid w:val="003D7C75"/>
    <w:rsid w:val="003E0AF3"/>
    <w:rsid w:val="003E1765"/>
    <w:rsid w:val="003E22B4"/>
    <w:rsid w:val="003E284A"/>
    <w:rsid w:val="003E2DCB"/>
    <w:rsid w:val="003E3108"/>
    <w:rsid w:val="003E352A"/>
    <w:rsid w:val="003E49CC"/>
    <w:rsid w:val="003E6641"/>
    <w:rsid w:val="003E7BF9"/>
    <w:rsid w:val="003F58A1"/>
    <w:rsid w:val="003F61C0"/>
    <w:rsid w:val="003F7EF1"/>
    <w:rsid w:val="0040186F"/>
    <w:rsid w:val="00402812"/>
    <w:rsid w:val="0040373B"/>
    <w:rsid w:val="004040B2"/>
    <w:rsid w:val="00404E41"/>
    <w:rsid w:val="0040665C"/>
    <w:rsid w:val="00406C4A"/>
    <w:rsid w:val="004077A2"/>
    <w:rsid w:val="00407A73"/>
    <w:rsid w:val="00412EE5"/>
    <w:rsid w:val="00416635"/>
    <w:rsid w:val="004209C2"/>
    <w:rsid w:val="00423DA5"/>
    <w:rsid w:val="00424539"/>
    <w:rsid w:val="00430D5F"/>
    <w:rsid w:val="004327A6"/>
    <w:rsid w:val="00433AE2"/>
    <w:rsid w:val="00435726"/>
    <w:rsid w:val="00435DA0"/>
    <w:rsid w:val="00436098"/>
    <w:rsid w:val="00436219"/>
    <w:rsid w:val="00436C5C"/>
    <w:rsid w:val="00441379"/>
    <w:rsid w:val="00442227"/>
    <w:rsid w:val="004428F7"/>
    <w:rsid w:val="00442D45"/>
    <w:rsid w:val="00444179"/>
    <w:rsid w:val="00444507"/>
    <w:rsid w:val="00444584"/>
    <w:rsid w:val="00446215"/>
    <w:rsid w:val="004503EC"/>
    <w:rsid w:val="00452C13"/>
    <w:rsid w:val="0045572F"/>
    <w:rsid w:val="00463E97"/>
    <w:rsid w:val="00467F24"/>
    <w:rsid w:val="00470234"/>
    <w:rsid w:val="00473FD8"/>
    <w:rsid w:val="00475CF2"/>
    <w:rsid w:val="00476141"/>
    <w:rsid w:val="00476C74"/>
    <w:rsid w:val="00477BB5"/>
    <w:rsid w:val="004803D4"/>
    <w:rsid w:val="00487B34"/>
    <w:rsid w:val="00491433"/>
    <w:rsid w:val="004938A3"/>
    <w:rsid w:val="004971E4"/>
    <w:rsid w:val="004A37E5"/>
    <w:rsid w:val="004B4EA7"/>
    <w:rsid w:val="004B5A3C"/>
    <w:rsid w:val="004B5B4A"/>
    <w:rsid w:val="004B644E"/>
    <w:rsid w:val="004C1309"/>
    <w:rsid w:val="004C144E"/>
    <w:rsid w:val="004C1A87"/>
    <w:rsid w:val="004C5AFE"/>
    <w:rsid w:val="004C6902"/>
    <w:rsid w:val="004C7B4D"/>
    <w:rsid w:val="004D0FB8"/>
    <w:rsid w:val="004D256F"/>
    <w:rsid w:val="004D579A"/>
    <w:rsid w:val="004E1067"/>
    <w:rsid w:val="004F0122"/>
    <w:rsid w:val="004F17F7"/>
    <w:rsid w:val="004F2FAE"/>
    <w:rsid w:val="004F5362"/>
    <w:rsid w:val="004F67F5"/>
    <w:rsid w:val="00500012"/>
    <w:rsid w:val="00502A9D"/>
    <w:rsid w:val="00502DD0"/>
    <w:rsid w:val="00503542"/>
    <w:rsid w:val="00505FCA"/>
    <w:rsid w:val="00507791"/>
    <w:rsid w:val="00511CD8"/>
    <w:rsid w:val="00511EAF"/>
    <w:rsid w:val="00517E97"/>
    <w:rsid w:val="00521933"/>
    <w:rsid w:val="005276E4"/>
    <w:rsid w:val="005279CC"/>
    <w:rsid w:val="00531C0C"/>
    <w:rsid w:val="00532D74"/>
    <w:rsid w:val="005352DD"/>
    <w:rsid w:val="00536929"/>
    <w:rsid w:val="00537B4E"/>
    <w:rsid w:val="00540465"/>
    <w:rsid w:val="00545665"/>
    <w:rsid w:val="00547E30"/>
    <w:rsid w:val="0055370A"/>
    <w:rsid w:val="00554B06"/>
    <w:rsid w:val="005556A2"/>
    <w:rsid w:val="00562634"/>
    <w:rsid w:val="00571ACA"/>
    <w:rsid w:val="00574D2B"/>
    <w:rsid w:val="00580A0B"/>
    <w:rsid w:val="00582C28"/>
    <w:rsid w:val="00583629"/>
    <w:rsid w:val="00584F3F"/>
    <w:rsid w:val="0058653A"/>
    <w:rsid w:val="00586C23"/>
    <w:rsid w:val="00592607"/>
    <w:rsid w:val="00594537"/>
    <w:rsid w:val="005950B4"/>
    <w:rsid w:val="00595849"/>
    <w:rsid w:val="005969FA"/>
    <w:rsid w:val="005A0240"/>
    <w:rsid w:val="005A0814"/>
    <w:rsid w:val="005A6EA9"/>
    <w:rsid w:val="005B29AD"/>
    <w:rsid w:val="005B42FE"/>
    <w:rsid w:val="005B5048"/>
    <w:rsid w:val="005B52E3"/>
    <w:rsid w:val="005B5536"/>
    <w:rsid w:val="005B63B2"/>
    <w:rsid w:val="005B7033"/>
    <w:rsid w:val="005C7FFD"/>
    <w:rsid w:val="005D1281"/>
    <w:rsid w:val="005D1FCA"/>
    <w:rsid w:val="005D4CA5"/>
    <w:rsid w:val="005D7C25"/>
    <w:rsid w:val="005E017E"/>
    <w:rsid w:val="005E0910"/>
    <w:rsid w:val="005E4601"/>
    <w:rsid w:val="005E736A"/>
    <w:rsid w:val="005F1DF4"/>
    <w:rsid w:val="005F253E"/>
    <w:rsid w:val="005F27EF"/>
    <w:rsid w:val="005F60DB"/>
    <w:rsid w:val="006006CF"/>
    <w:rsid w:val="00602E88"/>
    <w:rsid w:val="00604125"/>
    <w:rsid w:val="00605ADC"/>
    <w:rsid w:val="00606ADD"/>
    <w:rsid w:val="00607E2A"/>
    <w:rsid w:val="00610DA3"/>
    <w:rsid w:val="006122E1"/>
    <w:rsid w:val="00613A20"/>
    <w:rsid w:val="006147BE"/>
    <w:rsid w:val="006161F8"/>
    <w:rsid w:val="00616491"/>
    <w:rsid w:val="00623FA5"/>
    <w:rsid w:val="0062440A"/>
    <w:rsid w:val="0062512C"/>
    <w:rsid w:val="0063445A"/>
    <w:rsid w:val="006376CC"/>
    <w:rsid w:val="00641007"/>
    <w:rsid w:val="00642695"/>
    <w:rsid w:val="00642C1E"/>
    <w:rsid w:val="006448E4"/>
    <w:rsid w:val="0064647A"/>
    <w:rsid w:val="0064667D"/>
    <w:rsid w:val="00646D73"/>
    <w:rsid w:val="0065130D"/>
    <w:rsid w:val="00652BBE"/>
    <w:rsid w:val="0065413D"/>
    <w:rsid w:val="006574AB"/>
    <w:rsid w:val="00662B72"/>
    <w:rsid w:val="00663ADA"/>
    <w:rsid w:val="00665AEC"/>
    <w:rsid w:val="00666AB2"/>
    <w:rsid w:val="0066733F"/>
    <w:rsid w:val="006738A8"/>
    <w:rsid w:val="006775C7"/>
    <w:rsid w:val="0068239C"/>
    <w:rsid w:val="006829B7"/>
    <w:rsid w:val="00683A2A"/>
    <w:rsid w:val="0068442B"/>
    <w:rsid w:val="00685DC9"/>
    <w:rsid w:val="00692892"/>
    <w:rsid w:val="006948D4"/>
    <w:rsid w:val="006961BC"/>
    <w:rsid w:val="006977D3"/>
    <w:rsid w:val="006A0E83"/>
    <w:rsid w:val="006A1924"/>
    <w:rsid w:val="006A37A5"/>
    <w:rsid w:val="006A44B5"/>
    <w:rsid w:val="006A45FF"/>
    <w:rsid w:val="006A5828"/>
    <w:rsid w:val="006A5F92"/>
    <w:rsid w:val="006B17DB"/>
    <w:rsid w:val="006B2863"/>
    <w:rsid w:val="006B404D"/>
    <w:rsid w:val="006B6112"/>
    <w:rsid w:val="006C030F"/>
    <w:rsid w:val="006C1EA8"/>
    <w:rsid w:val="006C2838"/>
    <w:rsid w:val="006C4A30"/>
    <w:rsid w:val="006C7992"/>
    <w:rsid w:val="006C7EEA"/>
    <w:rsid w:val="006D0A68"/>
    <w:rsid w:val="006D315F"/>
    <w:rsid w:val="006D436D"/>
    <w:rsid w:val="006D6000"/>
    <w:rsid w:val="006D7611"/>
    <w:rsid w:val="006E12A9"/>
    <w:rsid w:val="006E1486"/>
    <w:rsid w:val="006E2406"/>
    <w:rsid w:val="006F05FC"/>
    <w:rsid w:val="006F166C"/>
    <w:rsid w:val="006F1BB4"/>
    <w:rsid w:val="006F335D"/>
    <w:rsid w:val="006F39FC"/>
    <w:rsid w:val="006F3F95"/>
    <w:rsid w:val="006F59B9"/>
    <w:rsid w:val="006F6CBF"/>
    <w:rsid w:val="006F7EF6"/>
    <w:rsid w:val="00700043"/>
    <w:rsid w:val="00701FD7"/>
    <w:rsid w:val="007042B4"/>
    <w:rsid w:val="00706E87"/>
    <w:rsid w:val="00711DAC"/>
    <w:rsid w:val="00720B8F"/>
    <w:rsid w:val="00722E06"/>
    <w:rsid w:val="0072459D"/>
    <w:rsid w:val="007249E6"/>
    <w:rsid w:val="0072656B"/>
    <w:rsid w:val="007275FE"/>
    <w:rsid w:val="0073065D"/>
    <w:rsid w:val="00730DC0"/>
    <w:rsid w:val="00730E72"/>
    <w:rsid w:val="007330A3"/>
    <w:rsid w:val="007351F3"/>
    <w:rsid w:val="00735E51"/>
    <w:rsid w:val="00736F58"/>
    <w:rsid w:val="00741738"/>
    <w:rsid w:val="00746DC8"/>
    <w:rsid w:val="00746FB4"/>
    <w:rsid w:val="00747AD3"/>
    <w:rsid w:val="00754E6A"/>
    <w:rsid w:val="007551B7"/>
    <w:rsid w:val="007557A9"/>
    <w:rsid w:val="00757BFF"/>
    <w:rsid w:val="00761B44"/>
    <w:rsid w:val="007640D2"/>
    <w:rsid w:val="007661CD"/>
    <w:rsid w:val="00767F90"/>
    <w:rsid w:val="007701BF"/>
    <w:rsid w:val="0077116C"/>
    <w:rsid w:val="0077308C"/>
    <w:rsid w:val="00774156"/>
    <w:rsid w:val="00775C14"/>
    <w:rsid w:val="007760FD"/>
    <w:rsid w:val="00777BB6"/>
    <w:rsid w:val="00785341"/>
    <w:rsid w:val="007856B2"/>
    <w:rsid w:val="0079138B"/>
    <w:rsid w:val="00791EBC"/>
    <w:rsid w:val="007934F1"/>
    <w:rsid w:val="007963EC"/>
    <w:rsid w:val="00797355"/>
    <w:rsid w:val="007A15D9"/>
    <w:rsid w:val="007A2B63"/>
    <w:rsid w:val="007A337B"/>
    <w:rsid w:val="007A4C5E"/>
    <w:rsid w:val="007A5A4C"/>
    <w:rsid w:val="007A6FD4"/>
    <w:rsid w:val="007B0407"/>
    <w:rsid w:val="007B1945"/>
    <w:rsid w:val="007B1C64"/>
    <w:rsid w:val="007B5D87"/>
    <w:rsid w:val="007B61A3"/>
    <w:rsid w:val="007C0746"/>
    <w:rsid w:val="007C1C1D"/>
    <w:rsid w:val="007C31EF"/>
    <w:rsid w:val="007C5D94"/>
    <w:rsid w:val="007C6401"/>
    <w:rsid w:val="007C6E3D"/>
    <w:rsid w:val="007D6C93"/>
    <w:rsid w:val="007D6E07"/>
    <w:rsid w:val="007D7127"/>
    <w:rsid w:val="007D729A"/>
    <w:rsid w:val="007D798D"/>
    <w:rsid w:val="007E238A"/>
    <w:rsid w:val="007E6966"/>
    <w:rsid w:val="007E753F"/>
    <w:rsid w:val="007F096A"/>
    <w:rsid w:val="007F11B3"/>
    <w:rsid w:val="007F434A"/>
    <w:rsid w:val="007F713C"/>
    <w:rsid w:val="0080020C"/>
    <w:rsid w:val="00805150"/>
    <w:rsid w:val="0080541C"/>
    <w:rsid w:val="008054B0"/>
    <w:rsid w:val="00806905"/>
    <w:rsid w:val="00807031"/>
    <w:rsid w:val="008077BA"/>
    <w:rsid w:val="00810255"/>
    <w:rsid w:val="00812F65"/>
    <w:rsid w:val="008145A8"/>
    <w:rsid w:val="0081483E"/>
    <w:rsid w:val="00814DB1"/>
    <w:rsid w:val="00814FF1"/>
    <w:rsid w:val="00816DFC"/>
    <w:rsid w:val="0081779B"/>
    <w:rsid w:val="008205BA"/>
    <w:rsid w:val="00821543"/>
    <w:rsid w:val="0082171E"/>
    <w:rsid w:val="00822056"/>
    <w:rsid w:val="00824B62"/>
    <w:rsid w:val="00831BAE"/>
    <w:rsid w:val="0083235A"/>
    <w:rsid w:val="00832657"/>
    <w:rsid w:val="00832BF7"/>
    <w:rsid w:val="008351BF"/>
    <w:rsid w:val="00851E2D"/>
    <w:rsid w:val="00852794"/>
    <w:rsid w:val="00853529"/>
    <w:rsid w:val="0085480D"/>
    <w:rsid w:val="00855DE5"/>
    <w:rsid w:val="0085626F"/>
    <w:rsid w:val="00856E2A"/>
    <w:rsid w:val="00857B4E"/>
    <w:rsid w:val="00861F80"/>
    <w:rsid w:val="00862F94"/>
    <w:rsid w:val="00863979"/>
    <w:rsid w:val="008644DC"/>
    <w:rsid w:val="00866271"/>
    <w:rsid w:val="008669E3"/>
    <w:rsid w:val="008671B1"/>
    <w:rsid w:val="008678EB"/>
    <w:rsid w:val="00870824"/>
    <w:rsid w:val="008712AE"/>
    <w:rsid w:val="00872A40"/>
    <w:rsid w:val="008738EB"/>
    <w:rsid w:val="00873E84"/>
    <w:rsid w:val="00876AE2"/>
    <w:rsid w:val="00880AB9"/>
    <w:rsid w:val="008858BF"/>
    <w:rsid w:val="00886D9E"/>
    <w:rsid w:val="00895A75"/>
    <w:rsid w:val="00895FA8"/>
    <w:rsid w:val="008A1585"/>
    <w:rsid w:val="008A17E3"/>
    <w:rsid w:val="008A28B4"/>
    <w:rsid w:val="008A4262"/>
    <w:rsid w:val="008B23EF"/>
    <w:rsid w:val="008B3176"/>
    <w:rsid w:val="008B3541"/>
    <w:rsid w:val="008B3830"/>
    <w:rsid w:val="008B3BA5"/>
    <w:rsid w:val="008B5D95"/>
    <w:rsid w:val="008C6C78"/>
    <w:rsid w:val="008C7668"/>
    <w:rsid w:val="008D3B2B"/>
    <w:rsid w:val="008D6654"/>
    <w:rsid w:val="008D6A9D"/>
    <w:rsid w:val="008E1C73"/>
    <w:rsid w:val="008E24DA"/>
    <w:rsid w:val="008E38D7"/>
    <w:rsid w:val="008F3A94"/>
    <w:rsid w:val="008F58D2"/>
    <w:rsid w:val="00902A2B"/>
    <w:rsid w:val="00903370"/>
    <w:rsid w:val="00904115"/>
    <w:rsid w:val="0090466A"/>
    <w:rsid w:val="00905441"/>
    <w:rsid w:val="00910CDE"/>
    <w:rsid w:val="009121A5"/>
    <w:rsid w:val="00912F84"/>
    <w:rsid w:val="00913D7D"/>
    <w:rsid w:val="00915D39"/>
    <w:rsid w:val="00915E6E"/>
    <w:rsid w:val="0091668E"/>
    <w:rsid w:val="0091674D"/>
    <w:rsid w:val="00917469"/>
    <w:rsid w:val="009218BA"/>
    <w:rsid w:val="009249F0"/>
    <w:rsid w:val="00931772"/>
    <w:rsid w:val="009317A2"/>
    <w:rsid w:val="0093199E"/>
    <w:rsid w:val="009319D5"/>
    <w:rsid w:val="00933869"/>
    <w:rsid w:val="009347AA"/>
    <w:rsid w:val="00934F49"/>
    <w:rsid w:val="0093569B"/>
    <w:rsid w:val="009359F9"/>
    <w:rsid w:val="00940D20"/>
    <w:rsid w:val="00945645"/>
    <w:rsid w:val="00952109"/>
    <w:rsid w:val="0095384A"/>
    <w:rsid w:val="00953ABB"/>
    <w:rsid w:val="00962A76"/>
    <w:rsid w:val="009646BA"/>
    <w:rsid w:val="00964948"/>
    <w:rsid w:val="00967111"/>
    <w:rsid w:val="009676EF"/>
    <w:rsid w:val="009679CE"/>
    <w:rsid w:val="00974EE4"/>
    <w:rsid w:val="009768DD"/>
    <w:rsid w:val="0097758B"/>
    <w:rsid w:val="009778BB"/>
    <w:rsid w:val="00980F1D"/>
    <w:rsid w:val="009817E2"/>
    <w:rsid w:val="009818F6"/>
    <w:rsid w:val="00981B44"/>
    <w:rsid w:val="00982D68"/>
    <w:rsid w:val="0098596B"/>
    <w:rsid w:val="009917F3"/>
    <w:rsid w:val="00993854"/>
    <w:rsid w:val="00996158"/>
    <w:rsid w:val="009A0F10"/>
    <w:rsid w:val="009A274B"/>
    <w:rsid w:val="009A3EB2"/>
    <w:rsid w:val="009B0BA1"/>
    <w:rsid w:val="009B36F4"/>
    <w:rsid w:val="009B4188"/>
    <w:rsid w:val="009C2745"/>
    <w:rsid w:val="009C68D3"/>
    <w:rsid w:val="009C6F1A"/>
    <w:rsid w:val="009D0428"/>
    <w:rsid w:val="009D5B30"/>
    <w:rsid w:val="009D7DF2"/>
    <w:rsid w:val="009E012E"/>
    <w:rsid w:val="009E1396"/>
    <w:rsid w:val="009E24C5"/>
    <w:rsid w:val="009E5AE6"/>
    <w:rsid w:val="009E5F58"/>
    <w:rsid w:val="009E7EF5"/>
    <w:rsid w:val="009F02DE"/>
    <w:rsid w:val="009F2EDC"/>
    <w:rsid w:val="009F3842"/>
    <w:rsid w:val="009F3A92"/>
    <w:rsid w:val="009F6BF2"/>
    <w:rsid w:val="009F75F7"/>
    <w:rsid w:val="00A0120A"/>
    <w:rsid w:val="00A032D4"/>
    <w:rsid w:val="00A03BE3"/>
    <w:rsid w:val="00A03D2A"/>
    <w:rsid w:val="00A1077C"/>
    <w:rsid w:val="00A11EA3"/>
    <w:rsid w:val="00A14C78"/>
    <w:rsid w:val="00A170DC"/>
    <w:rsid w:val="00A20C49"/>
    <w:rsid w:val="00A22771"/>
    <w:rsid w:val="00A22C2F"/>
    <w:rsid w:val="00A2382C"/>
    <w:rsid w:val="00A24756"/>
    <w:rsid w:val="00A252F3"/>
    <w:rsid w:val="00A265A4"/>
    <w:rsid w:val="00A26B4E"/>
    <w:rsid w:val="00A334F8"/>
    <w:rsid w:val="00A34CD6"/>
    <w:rsid w:val="00A362C4"/>
    <w:rsid w:val="00A3639A"/>
    <w:rsid w:val="00A41D37"/>
    <w:rsid w:val="00A42666"/>
    <w:rsid w:val="00A42F93"/>
    <w:rsid w:val="00A44801"/>
    <w:rsid w:val="00A44F49"/>
    <w:rsid w:val="00A46D59"/>
    <w:rsid w:val="00A51F1F"/>
    <w:rsid w:val="00A52141"/>
    <w:rsid w:val="00A5656D"/>
    <w:rsid w:val="00A56B83"/>
    <w:rsid w:val="00A607E1"/>
    <w:rsid w:val="00A60A98"/>
    <w:rsid w:val="00A66511"/>
    <w:rsid w:val="00A67FE0"/>
    <w:rsid w:val="00A7347F"/>
    <w:rsid w:val="00A7572D"/>
    <w:rsid w:val="00A77A5B"/>
    <w:rsid w:val="00A77A7B"/>
    <w:rsid w:val="00A80659"/>
    <w:rsid w:val="00A81153"/>
    <w:rsid w:val="00A81445"/>
    <w:rsid w:val="00A81C2C"/>
    <w:rsid w:val="00A82DA0"/>
    <w:rsid w:val="00A8320B"/>
    <w:rsid w:val="00A853AC"/>
    <w:rsid w:val="00A8563B"/>
    <w:rsid w:val="00A87458"/>
    <w:rsid w:val="00A874C1"/>
    <w:rsid w:val="00A932F0"/>
    <w:rsid w:val="00A97217"/>
    <w:rsid w:val="00A9721B"/>
    <w:rsid w:val="00AA1056"/>
    <w:rsid w:val="00AA1B9A"/>
    <w:rsid w:val="00AA27E9"/>
    <w:rsid w:val="00AA795C"/>
    <w:rsid w:val="00AB20E2"/>
    <w:rsid w:val="00AB24D7"/>
    <w:rsid w:val="00AB3A76"/>
    <w:rsid w:val="00AB55B1"/>
    <w:rsid w:val="00AB6123"/>
    <w:rsid w:val="00AC386C"/>
    <w:rsid w:val="00AC4663"/>
    <w:rsid w:val="00AC5CE2"/>
    <w:rsid w:val="00AC66CC"/>
    <w:rsid w:val="00AC7BFF"/>
    <w:rsid w:val="00AD012D"/>
    <w:rsid w:val="00AD2D6F"/>
    <w:rsid w:val="00AD69C3"/>
    <w:rsid w:val="00AD6B86"/>
    <w:rsid w:val="00AD7BE4"/>
    <w:rsid w:val="00AD7C65"/>
    <w:rsid w:val="00AE0494"/>
    <w:rsid w:val="00AE0499"/>
    <w:rsid w:val="00AE1521"/>
    <w:rsid w:val="00AE16D2"/>
    <w:rsid w:val="00AE5361"/>
    <w:rsid w:val="00AF0943"/>
    <w:rsid w:val="00AF1FE5"/>
    <w:rsid w:val="00AF2EE9"/>
    <w:rsid w:val="00AF61A3"/>
    <w:rsid w:val="00B01A40"/>
    <w:rsid w:val="00B0289B"/>
    <w:rsid w:val="00B035A6"/>
    <w:rsid w:val="00B035DD"/>
    <w:rsid w:val="00B03609"/>
    <w:rsid w:val="00B041FA"/>
    <w:rsid w:val="00B0477A"/>
    <w:rsid w:val="00B07066"/>
    <w:rsid w:val="00B11161"/>
    <w:rsid w:val="00B11DFD"/>
    <w:rsid w:val="00B1217F"/>
    <w:rsid w:val="00B12B69"/>
    <w:rsid w:val="00B131A2"/>
    <w:rsid w:val="00B13564"/>
    <w:rsid w:val="00B14C0F"/>
    <w:rsid w:val="00B1706C"/>
    <w:rsid w:val="00B213B0"/>
    <w:rsid w:val="00B21F3F"/>
    <w:rsid w:val="00B242D8"/>
    <w:rsid w:val="00B253A0"/>
    <w:rsid w:val="00B26239"/>
    <w:rsid w:val="00B26513"/>
    <w:rsid w:val="00B32416"/>
    <w:rsid w:val="00B34972"/>
    <w:rsid w:val="00B34B31"/>
    <w:rsid w:val="00B3769C"/>
    <w:rsid w:val="00B427F4"/>
    <w:rsid w:val="00B429AE"/>
    <w:rsid w:val="00B42BD9"/>
    <w:rsid w:val="00B435E8"/>
    <w:rsid w:val="00B4554B"/>
    <w:rsid w:val="00B50554"/>
    <w:rsid w:val="00B515EC"/>
    <w:rsid w:val="00B52136"/>
    <w:rsid w:val="00B57BDA"/>
    <w:rsid w:val="00B63CFC"/>
    <w:rsid w:val="00B64059"/>
    <w:rsid w:val="00B65044"/>
    <w:rsid w:val="00B66073"/>
    <w:rsid w:val="00B67AB5"/>
    <w:rsid w:val="00B67F74"/>
    <w:rsid w:val="00B72431"/>
    <w:rsid w:val="00B7377F"/>
    <w:rsid w:val="00B74C48"/>
    <w:rsid w:val="00B81F73"/>
    <w:rsid w:val="00B825C3"/>
    <w:rsid w:val="00B83263"/>
    <w:rsid w:val="00B83E51"/>
    <w:rsid w:val="00B85F75"/>
    <w:rsid w:val="00B862A4"/>
    <w:rsid w:val="00B9319C"/>
    <w:rsid w:val="00B9396B"/>
    <w:rsid w:val="00B949E1"/>
    <w:rsid w:val="00B95097"/>
    <w:rsid w:val="00B9645B"/>
    <w:rsid w:val="00B9648D"/>
    <w:rsid w:val="00B97EC5"/>
    <w:rsid w:val="00BA3523"/>
    <w:rsid w:val="00BA538F"/>
    <w:rsid w:val="00BB0081"/>
    <w:rsid w:val="00BB0FE6"/>
    <w:rsid w:val="00BB66BB"/>
    <w:rsid w:val="00BB6C06"/>
    <w:rsid w:val="00BC08D8"/>
    <w:rsid w:val="00BC1CEF"/>
    <w:rsid w:val="00BC2843"/>
    <w:rsid w:val="00BC5541"/>
    <w:rsid w:val="00BC5BAD"/>
    <w:rsid w:val="00BC6A50"/>
    <w:rsid w:val="00BC7492"/>
    <w:rsid w:val="00BD028E"/>
    <w:rsid w:val="00BD1DEF"/>
    <w:rsid w:val="00BD2A43"/>
    <w:rsid w:val="00BD3EFC"/>
    <w:rsid w:val="00BD4771"/>
    <w:rsid w:val="00BD4E9B"/>
    <w:rsid w:val="00BD595E"/>
    <w:rsid w:val="00BE2F59"/>
    <w:rsid w:val="00BE3866"/>
    <w:rsid w:val="00BE4B17"/>
    <w:rsid w:val="00BE4D1D"/>
    <w:rsid w:val="00BE5C95"/>
    <w:rsid w:val="00BE5ECB"/>
    <w:rsid w:val="00BF0B49"/>
    <w:rsid w:val="00BF267A"/>
    <w:rsid w:val="00BF3151"/>
    <w:rsid w:val="00BF5A69"/>
    <w:rsid w:val="00BF5DB2"/>
    <w:rsid w:val="00BF6F70"/>
    <w:rsid w:val="00C015F9"/>
    <w:rsid w:val="00C0452A"/>
    <w:rsid w:val="00C10D9D"/>
    <w:rsid w:val="00C15E51"/>
    <w:rsid w:val="00C24192"/>
    <w:rsid w:val="00C24200"/>
    <w:rsid w:val="00C24437"/>
    <w:rsid w:val="00C25DDA"/>
    <w:rsid w:val="00C30B6A"/>
    <w:rsid w:val="00C31F12"/>
    <w:rsid w:val="00C32253"/>
    <w:rsid w:val="00C3317E"/>
    <w:rsid w:val="00C33FEF"/>
    <w:rsid w:val="00C354F5"/>
    <w:rsid w:val="00C4311A"/>
    <w:rsid w:val="00C448DB"/>
    <w:rsid w:val="00C46149"/>
    <w:rsid w:val="00C4706E"/>
    <w:rsid w:val="00C4756B"/>
    <w:rsid w:val="00C51861"/>
    <w:rsid w:val="00C53AF7"/>
    <w:rsid w:val="00C557D7"/>
    <w:rsid w:val="00C55AEA"/>
    <w:rsid w:val="00C65A78"/>
    <w:rsid w:val="00C70056"/>
    <w:rsid w:val="00C70485"/>
    <w:rsid w:val="00C7051B"/>
    <w:rsid w:val="00C70F97"/>
    <w:rsid w:val="00C730C7"/>
    <w:rsid w:val="00C746A5"/>
    <w:rsid w:val="00C75BDA"/>
    <w:rsid w:val="00C823F0"/>
    <w:rsid w:val="00C83ACD"/>
    <w:rsid w:val="00C83BE1"/>
    <w:rsid w:val="00C84119"/>
    <w:rsid w:val="00C857AB"/>
    <w:rsid w:val="00C92770"/>
    <w:rsid w:val="00C9544E"/>
    <w:rsid w:val="00C958CD"/>
    <w:rsid w:val="00CA18FA"/>
    <w:rsid w:val="00CA2B09"/>
    <w:rsid w:val="00CA38F1"/>
    <w:rsid w:val="00CA63C6"/>
    <w:rsid w:val="00CA6694"/>
    <w:rsid w:val="00CA7091"/>
    <w:rsid w:val="00CA72BF"/>
    <w:rsid w:val="00CB0DAA"/>
    <w:rsid w:val="00CB1905"/>
    <w:rsid w:val="00CB5128"/>
    <w:rsid w:val="00CB6981"/>
    <w:rsid w:val="00CC0A47"/>
    <w:rsid w:val="00CC1713"/>
    <w:rsid w:val="00CC1C01"/>
    <w:rsid w:val="00CC4FB2"/>
    <w:rsid w:val="00CC525F"/>
    <w:rsid w:val="00CC66AF"/>
    <w:rsid w:val="00CC7A76"/>
    <w:rsid w:val="00CC7D50"/>
    <w:rsid w:val="00CD41FC"/>
    <w:rsid w:val="00CD52AD"/>
    <w:rsid w:val="00CD718B"/>
    <w:rsid w:val="00CD7982"/>
    <w:rsid w:val="00CE0E1B"/>
    <w:rsid w:val="00CE4770"/>
    <w:rsid w:val="00CE53C6"/>
    <w:rsid w:val="00CF0278"/>
    <w:rsid w:val="00CF0D0C"/>
    <w:rsid w:val="00CF1717"/>
    <w:rsid w:val="00D037C8"/>
    <w:rsid w:val="00D07024"/>
    <w:rsid w:val="00D07184"/>
    <w:rsid w:val="00D11105"/>
    <w:rsid w:val="00D11416"/>
    <w:rsid w:val="00D1186A"/>
    <w:rsid w:val="00D11A96"/>
    <w:rsid w:val="00D130AB"/>
    <w:rsid w:val="00D14D2D"/>
    <w:rsid w:val="00D15268"/>
    <w:rsid w:val="00D1660C"/>
    <w:rsid w:val="00D17C79"/>
    <w:rsid w:val="00D22A70"/>
    <w:rsid w:val="00D27AE6"/>
    <w:rsid w:val="00D34349"/>
    <w:rsid w:val="00D3532C"/>
    <w:rsid w:val="00D36752"/>
    <w:rsid w:val="00D36D6A"/>
    <w:rsid w:val="00D40617"/>
    <w:rsid w:val="00D424D9"/>
    <w:rsid w:val="00D45207"/>
    <w:rsid w:val="00D45CD7"/>
    <w:rsid w:val="00D518B9"/>
    <w:rsid w:val="00D5358F"/>
    <w:rsid w:val="00D57942"/>
    <w:rsid w:val="00D613F8"/>
    <w:rsid w:val="00D62499"/>
    <w:rsid w:val="00D65D78"/>
    <w:rsid w:val="00D67B29"/>
    <w:rsid w:val="00D71411"/>
    <w:rsid w:val="00D71798"/>
    <w:rsid w:val="00D7186D"/>
    <w:rsid w:val="00D74CD2"/>
    <w:rsid w:val="00D75F15"/>
    <w:rsid w:val="00D76B53"/>
    <w:rsid w:val="00D77B2A"/>
    <w:rsid w:val="00D80172"/>
    <w:rsid w:val="00D868F7"/>
    <w:rsid w:val="00D873A0"/>
    <w:rsid w:val="00D87FA9"/>
    <w:rsid w:val="00D91AFB"/>
    <w:rsid w:val="00D931C8"/>
    <w:rsid w:val="00D95B92"/>
    <w:rsid w:val="00DA3F87"/>
    <w:rsid w:val="00DA741B"/>
    <w:rsid w:val="00DB1AC5"/>
    <w:rsid w:val="00DB33AC"/>
    <w:rsid w:val="00DB4EC7"/>
    <w:rsid w:val="00DB51E8"/>
    <w:rsid w:val="00DB6A32"/>
    <w:rsid w:val="00DC1DD3"/>
    <w:rsid w:val="00DC2113"/>
    <w:rsid w:val="00DC26AB"/>
    <w:rsid w:val="00DC518B"/>
    <w:rsid w:val="00DC51B8"/>
    <w:rsid w:val="00DC5391"/>
    <w:rsid w:val="00DC7F39"/>
    <w:rsid w:val="00DD179D"/>
    <w:rsid w:val="00DD1855"/>
    <w:rsid w:val="00DD19B7"/>
    <w:rsid w:val="00DD2247"/>
    <w:rsid w:val="00DD320E"/>
    <w:rsid w:val="00DD409F"/>
    <w:rsid w:val="00DD7FCE"/>
    <w:rsid w:val="00DE0439"/>
    <w:rsid w:val="00DE2A48"/>
    <w:rsid w:val="00DE398E"/>
    <w:rsid w:val="00DE4D9D"/>
    <w:rsid w:val="00DE54F4"/>
    <w:rsid w:val="00DE6D67"/>
    <w:rsid w:val="00DE781C"/>
    <w:rsid w:val="00DF4B1F"/>
    <w:rsid w:val="00DF5092"/>
    <w:rsid w:val="00DF6B41"/>
    <w:rsid w:val="00DF6D02"/>
    <w:rsid w:val="00E03555"/>
    <w:rsid w:val="00E05CAE"/>
    <w:rsid w:val="00E05CDC"/>
    <w:rsid w:val="00E062EC"/>
    <w:rsid w:val="00E071E3"/>
    <w:rsid w:val="00E1180C"/>
    <w:rsid w:val="00E126A8"/>
    <w:rsid w:val="00E1350C"/>
    <w:rsid w:val="00E1642F"/>
    <w:rsid w:val="00E21569"/>
    <w:rsid w:val="00E223E4"/>
    <w:rsid w:val="00E24EB7"/>
    <w:rsid w:val="00E2567C"/>
    <w:rsid w:val="00E2756B"/>
    <w:rsid w:val="00E3004D"/>
    <w:rsid w:val="00E3018C"/>
    <w:rsid w:val="00E400C5"/>
    <w:rsid w:val="00E456B7"/>
    <w:rsid w:val="00E4776F"/>
    <w:rsid w:val="00E500A9"/>
    <w:rsid w:val="00E61DB3"/>
    <w:rsid w:val="00E66C13"/>
    <w:rsid w:val="00E67D61"/>
    <w:rsid w:val="00E70D20"/>
    <w:rsid w:val="00E71606"/>
    <w:rsid w:val="00E721F7"/>
    <w:rsid w:val="00E751CC"/>
    <w:rsid w:val="00E75C0C"/>
    <w:rsid w:val="00E76371"/>
    <w:rsid w:val="00E77A18"/>
    <w:rsid w:val="00E85790"/>
    <w:rsid w:val="00E86BC7"/>
    <w:rsid w:val="00E86D84"/>
    <w:rsid w:val="00E91055"/>
    <w:rsid w:val="00E9143F"/>
    <w:rsid w:val="00E91CA9"/>
    <w:rsid w:val="00E929A7"/>
    <w:rsid w:val="00E95A42"/>
    <w:rsid w:val="00E95AD0"/>
    <w:rsid w:val="00EA1C89"/>
    <w:rsid w:val="00EA2681"/>
    <w:rsid w:val="00EB052A"/>
    <w:rsid w:val="00EB46A7"/>
    <w:rsid w:val="00EB5429"/>
    <w:rsid w:val="00EB580C"/>
    <w:rsid w:val="00EB6664"/>
    <w:rsid w:val="00EC1DDF"/>
    <w:rsid w:val="00EC3426"/>
    <w:rsid w:val="00EC4093"/>
    <w:rsid w:val="00EC4E1C"/>
    <w:rsid w:val="00EC50E0"/>
    <w:rsid w:val="00EC69E0"/>
    <w:rsid w:val="00EC6EB2"/>
    <w:rsid w:val="00ED045B"/>
    <w:rsid w:val="00ED3F58"/>
    <w:rsid w:val="00ED7A59"/>
    <w:rsid w:val="00EE0535"/>
    <w:rsid w:val="00EE21DA"/>
    <w:rsid w:val="00EE252D"/>
    <w:rsid w:val="00EE2A83"/>
    <w:rsid w:val="00EE680B"/>
    <w:rsid w:val="00EF158B"/>
    <w:rsid w:val="00EF2A67"/>
    <w:rsid w:val="00EF3ED7"/>
    <w:rsid w:val="00EF4BAD"/>
    <w:rsid w:val="00EF5688"/>
    <w:rsid w:val="00EF577F"/>
    <w:rsid w:val="00EF7123"/>
    <w:rsid w:val="00EF7A40"/>
    <w:rsid w:val="00F00132"/>
    <w:rsid w:val="00F00AF4"/>
    <w:rsid w:val="00F01417"/>
    <w:rsid w:val="00F02887"/>
    <w:rsid w:val="00F036E7"/>
    <w:rsid w:val="00F05AF8"/>
    <w:rsid w:val="00F071AA"/>
    <w:rsid w:val="00F07FCE"/>
    <w:rsid w:val="00F1019A"/>
    <w:rsid w:val="00F10AF5"/>
    <w:rsid w:val="00F11AA5"/>
    <w:rsid w:val="00F11EEB"/>
    <w:rsid w:val="00F15CBA"/>
    <w:rsid w:val="00F23209"/>
    <w:rsid w:val="00F24565"/>
    <w:rsid w:val="00F24ED2"/>
    <w:rsid w:val="00F258D4"/>
    <w:rsid w:val="00F25B9D"/>
    <w:rsid w:val="00F27A4B"/>
    <w:rsid w:val="00F32661"/>
    <w:rsid w:val="00F363D1"/>
    <w:rsid w:val="00F36BF5"/>
    <w:rsid w:val="00F36BF7"/>
    <w:rsid w:val="00F44F07"/>
    <w:rsid w:val="00F47AAB"/>
    <w:rsid w:val="00F509A7"/>
    <w:rsid w:val="00F53F72"/>
    <w:rsid w:val="00F54777"/>
    <w:rsid w:val="00F55476"/>
    <w:rsid w:val="00F56B03"/>
    <w:rsid w:val="00F6737A"/>
    <w:rsid w:val="00F67704"/>
    <w:rsid w:val="00F70555"/>
    <w:rsid w:val="00F7166E"/>
    <w:rsid w:val="00F71C56"/>
    <w:rsid w:val="00F72871"/>
    <w:rsid w:val="00F72BBC"/>
    <w:rsid w:val="00F74A75"/>
    <w:rsid w:val="00F75E3A"/>
    <w:rsid w:val="00F76C83"/>
    <w:rsid w:val="00F81A21"/>
    <w:rsid w:val="00F827CD"/>
    <w:rsid w:val="00F8292D"/>
    <w:rsid w:val="00F82AEF"/>
    <w:rsid w:val="00F86E27"/>
    <w:rsid w:val="00F874F7"/>
    <w:rsid w:val="00F87CFE"/>
    <w:rsid w:val="00F87E5A"/>
    <w:rsid w:val="00F9005A"/>
    <w:rsid w:val="00F91213"/>
    <w:rsid w:val="00F91E13"/>
    <w:rsid w:val="00F9743A"/>
    <w:rsid w:val="00FA07AA"/>
    <w:rsid w:val="00FA59B5"/>
    <w:rsid w:val="00FA59C6"/>
    <w:rsid w:val="00FA5BB2"/>
    <w:rsid w:val="00FB0858"/>
    <w:rsid w:val="00FB2137"/>
    <w:rsid w:val="00FB464B"/>
    <w:rsid w:val="00FB4CA0"/>
    <w:rsid w:val="00FB5AB0"/>
    <w:rsid w:val="00FC08C9"/>
    <w:rsid w:val="00FC10AD"/>
    <w:rsid w:val="00FC2581"/>
    <w:rsid w:val="00FC3534"/>
    <w:rsid w:val="00FC6116"/>
    <w:rsid w:val="00FC7871"/>
    <w:rsid w:val="00FD1110"/>
    <w:rsid w:val="00FD1BA2"/>
    <w:rsid w:val="00FD279E"/>
    <w:rsid w:val="00FD3A91"/>
    <w:rsid w:val="00FD3F90"/>
    <w:rsid w:val="00FD5602"/>
    <w:rsid w:val="00FD6428"/>
    <w:rsid w:val="00FD6C39"/>
    <w:rsid w:val="00FD7512"/>
    <w:rsid w:val="00FE005B"/>
    <w:rsid w:val="00FE031A"/>
    <w:rsid w:val="00FE522A"/>
    <w:rsid w:val="00FE63E0"/>
    <w:rsid w:val="00FF167D"/>
    <w:rsid w:val="00FF1EB0"/>
    <w:rsid w:val="00FF51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18"/>
    <w:qFormat/>
    <w:rsid w:val="00DC518B"/>
    <w:rPr>
      <w:i/>
      <w:iCs/>
      <w:color w:val="000000" w:themeColor="text1"/>
    </w:rPr>
  </w:style>
  <w:style w:type="character" w:customStyle="1" w:styleId="QuoteChar">
    <w:name w:val="Quote Char"/>
    <w:basedOn w:val="DefaultParagraphFont"/>
    <w:link w:val="Quote"/>
    <w:uiPriority w:val="18"/>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paragraphChar">
    <w:name w:val="paragraph Char"/>
    <w:aliases w:val="a Char"/>
    <w:basedOn w:val="DefaultParagraphFont"/>
    <w:link w:val="tPara"/>
    <w:rsid w:val="00007578"/>
    <w:rPr>
      <w:sz w:val="22"/>
    </w:rPr>
  </w:style>
  <w:style w:type="character" w:customStyle="1" w:styleId="subsectionChar">
    <w:name w:val="subsection Char"/>
    <w:aliases w:val="ss Char"/>
    <w:basedOn w:val="DefaultParagraphFont"/>
    <w:link w:val="tMain"/>
    <w:rsid w:val="00007578"/>
    <w:rPr>
      <w:sz w:val="22"/>
    </w:rPr>
  </w:style>
  <w:style w:type="character" w:customStyle="1" w:styleId="notetextChar">
    <w:name w:val="note(text) Char"/>
    <w:aliases w:val="n Char"/>
    <w:basedOn w:val="DefaultParagraphFont"/>
    <w:link w:val="nMain"/>
    <w:rsid w:val="000610BE"/>
    <w:rPr>
      <w:sz w:val="18"/>
    </w:rPr>
  </w:style>
  <w:style w:type="character" w:customStyle="1" w:styleId="apple-converted-space">
    <w:name w:val="apple-converted-space"/>
    <w:basedOn w:val="DefaultParagraphFont"/>
    <w:rsid w:val="00E05CAE"/>
  </w:style>
  <w:style w:type="character" w:styleId="CommentReference">
    <w:name w:val="annotation reference"/>
    <w:basedOn w:val="DefaultParagraphFont"/>
    <w:uiPriority w:val="99"/>
    <w:semiHidden/>
    <w:unhideWhenUsed/>
    <w:rsid w:val="005D1281"/>
    <w:rPr>
      <w:sz w:val="16"/>
      <w:szCs w:val="16"/>
    </w:rPr>
  </w:style>
  <w:style w:type="paragraph" w:customStyle="1" w:styleId="Schedulesub-heading">
    <w:name w:val="Schedule sub-heading"/>
    <w:rsid w:val="002F1251"/>
    <w:pPr>
      <w:keepNext/>
      <w:spacing w:before="480" w:after="120"/>
    </w:pPr>
    <w:rPr>
      <w:b/>
      <w:kern w:val="28"/>
      <w:sz w:val="28"/>
      <w:lang w:val="en"/>
    </w:rPr>
  </w:style>
  <w:style w:type="paragraph" w:customStyle="1" w:styleId="Scheduletext">
    <w:name w:val="Schedule text"/>
    <w:rsid w:val="00EC6EB2"/>
    <w:pPr>
      <w:spacing w:before="120" w:after="120"/>
    </w:pPr>
    <w:rPr>
      <w:kern w:val="28"/>
      <w:sz w:val="24"/>
      <w:lang w:val="en"/>
    </w:rPr>
  </w:style>
  <w:style w:type="paragraph" w:customStyle="1" w:styleId="Schedulebullets1">
    <w:name w:val="Schedule bullets 1"/>
    <w:rsid w:val="00A03BE3"/>
    <w:pPr>
      <w:spacing w:before="120" w:after="120"/>
      <w:ind w:left="567" w:hanging="567"/>
    </w:pPr>
    <w:rPr>
      <w:kern w:val="28"/>
      <w:sz w:val="24"/>
      <w:lang w:val="en"/>
    </w:rPr>
  </w:style>
  <w:style w:type="paragraph" w:customStyle="1" w:styleId="Schedulebullets2">
    <w:name w:val="Schedule bullets 2"/>
    <w:rsid w:val="00A03BE3"/>
    <w:pPr>
      <w:spacing w:before="120" w:after="120"/>
      <w:ind w:left="1134" w:hanging="567"/>
    </w:pPr>
    <w:rPr>
      <w:rFonts w:eastAsia="Calibri"/>
      <w:sz w:val="24"/>
      <w:lang w:val="en" w:eastAsia="en-US"/>
    </w:rPr>
  </w:style>
  <w:style w:type="character" w:styleId="FollowedHyperlink">
    <w:name w:val="FollowedHyperlink"/>
    <w:basedOn w:val="DefaultParagraphFont"/>
    <w:uiPriority w:val="99"/>
    <w:semiHidden/>
    <w:unhideWhenUsed/>
    <w:rsid w:val="00814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1289700654">
      <w:bodyDiv w:val="1"/>
      <w:marLeft w:val="0"/>
      <w:marRight w:val="0"/>
      <w:marTop w:val="0"/>
      <w:marBottom w:val="0"/>
      <w:divBdr>
        <w:top w:val="none" w:sz="0" w:space="0" w:color="auto"/>
        <w:left w:val="none" w:sz="0" w:space="0" w:color="auto"/>
        <w:bottom w:val="none" w:sz="0" w:space="0" w:color="auto"/>
        <w:right w:val="none" w:sz="0" w:space="0" w:color="auto"/>
      </w:divBdr>
    </w:div>
    <w:div w:id="1319194256">
      <w:bodyDiv w:val="1"/>
      <w:marLeft w:val="0"/>
      <w:marRight w:val="0"/>
      <w:marTop w:val="0"/>
      <w:marBottom w:val="0"/>
      <w:divBdr>
        <w:top w:val="none" w:sz="0" w:space="0" w:color="auto"/>
        <w:left w:val="none" w:sz="0" w:space="0" w:color="auto"/>
        <w:bottom w:val="none" w:sz="0" w:space="0" w:color="auto"/>
        <w:right w:val="none" w:sz="0" w:space="0" w:color="auto"/>
      </w:divBdr>
    </w:div>
    <w:div w:id="20840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8E2C25-D8E4-44C3-BD1D-B9C9EE64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3512</Words>
  <Characters>20020</Characters>
  <Application>Microsoft Office Word</Application>
  <DocSecurity>0</DocSecurity>
  <Lines>166</Lines>
  <Paragraphs>46</Paragraphs>
  <ScaleCrop>false</ScaleCrop>
  <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2017-02-03T04:11:00Z</dcterms:created>
  <dcterms:modified xsi:type="dcterms:W3CDTF">2017-02-03T05:53:00Z</dcterms:modified>
</cp:coreProperties>
</file>