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C4" w:rsidRPr="00C62758" w:rsidRDefault="00F279C4" w:rsidP="00F279C4">
      <w:pPr>
        <w:spacing w:before="0" w:after="0"/>
        <w:ind w:right="372"/>
        <w:jc w:val="center"/>
        <w:rPr>
          <w:rFonts w:ascii="Times New Roman" w:hAnsi="Times New Roman"/>
          <w:b/>
          <w:bCs/>
        </w:rPr>
      </w:pPr>
      <w:bookmarkStart w:id="0" w:name="_GoBack"/>
      <w:bookmarkEnd w:id="0"/>
      <w:r w:rsidRPr="00C62758">
        <w:rPr>
          <w:rFonts w:ascii="Times New Roman" w:hAnsi="Times New Roman"/>
          <w:b/>
          <w:bCs/>
          <w:u w:val="single"/>
        </w:rPr>
        <w:t>EXPLANATORY STATEMENT</w:t>
      </w:r>
    </w:p>
    <w:p w:rsidR="00F279C4" w:rsidRPr="00C62758" w:rsidRDefault="00F279C4" w:rsidP="00F279C4">
      <w:pPr>
        <w:spacing w:before="0" w:after="0"/>
        <w:ind w:right="372"/>
        <w:rPr>
          <w:rFonts w:ascii="Times New Roman" w:hAnsi="Times New Roman"/>
        </w:rPr>
      </w:pPr>
    </w:p>
    <w:p w:rsidR="00F279C4" w:rsidRPr="00C62758" w:rsidRDefault="00F279C4" w:rsidP="00F279C4">
      <w:pPr>
        <w:spacing w:before="0" w:after="0"/>
        <w:ind w:right="372"/>
        <w:jc w:val="center"/>
        <w:rPr>
          <w:rFonts w:ascii="Times New Roman" w:hAnsi="Times New Roman"/>
        </w:rPr>
      </w:pPr>
      <w:r w:rsidRPr="00C62758">
        <w:rPr>
          <w:rFonts w:ascii="Times New Roman" w:hAnsi="Times New Roman"/>
        </w:rPr>
        <w:t xml:space="preserve">Issued by the Authority of the Minister for </w:t>
      </w:r>
      <w:r>
        <w:rPr>
          <w:rFonts w:ascii="Times New Roman" w:hAnsi="Times New Roman"/>
        </w:rPr>
        <w:t>Social Services</w:t>
      </w:r>
    </w:p>
    <w:p w:rsidR="00F279C4" w:rsidRPr="00C62758" w:rsidRDefault="00F279C4" w:rsidP="00F279C4">
      <w:pPr>
        <w:spacing w:before="0" w:after="0"/>
        <w:ind w:right="372"/>
        <w:jc w:val="both"/>
        <w:rPr>
          <w:rFonts w:ascii="Times New Roman" w:hAnsi="Times New Roman"/>
        </w:rPr>
      </w:pPr>
    </w:p>
    <w:p w:rsidR="00F279C4" w:rsidRDefault="00F279C4" w:rsidP="00F279C4">
      <w:pPr>
        <w:pStyle w:val="Heading2"/>
        <w:keepNext w:val="0"/>
        <w:ind w:left="0"/>
      </w:pPr>
      <w:r w:rsidRPr="00C62758">
        <w:t>Social Security (International Agreements) Act 1999</w:t>
      </w:r>
    </w:p>
    <w:p w:rsidR="00F279C4" w:rsidRPr="00C62758" w:rsidRDefault="00F279C4" w:rsidP="00F279C4">
      <w:pPr>
        <w:spacing w:before="0" w:after="0"/>
        <w:ind w:right="372"/>
        <w:jc w:val="both"/>
        <w:rPr>
          <w:rFonts w:ascii="Times New Roman" w:hAnsi="Times New Roman"/>
        </w:rPr>
      </w:pPr>
    </w:p>
    <w:p w:rsidR="00F279C4" w:rsidRPr="00C62758" w:rsidRDefault="00F279C4" w:rsidP="00F279C4">
      <w:pPr>
        <w:pStyle w:val="Heading2"/>
        <w:keepNext w:val="0"/>
        <w:ind w:left="0"/>
      </w:pPr>
      <w:r w:rsidRPr="00C62758">
        <w:t xml:space="preserve">Social Security (International Agreements) Amendment </w:t>
      </w:r>
      <w:r>
        <w:t xml:space="preserve">(New Zealand) </w:t>
      </w:r>
      <w:r w:rsidRPr="00C62758">
        <w:t>Regulation</w:t>
      </w:r>
      <w:r>
        <w:t>s</w:t>
      </w:r>
      <w:r w:rsidRPr="00C62758">
        <w:t> 20</w:t>
      </w:r>
      <w:r>
        <w:t>17</w:t>
      </w:r>
      <w:r w:rsidRPr="00C62758">
        <w:t> </w:t>
      </w:r>
    </w:p>
    <w:p w:rsidR="00F279C4" w:rsidRDefault="00F279C4" w:rsidP="00F279C4">
      <w:pPr>
        <w:spacing w:before="0" w:after="0"/>
        <w:ind w:right="372"/>
        <w:jc w:val="both"/>
        <w:rPr>
          <w:rFonts w:ascii="Times New Roman" w:hAnsi="Times New Roman"/>
        </w:rPr>
      </w:pPr>
    </w:p>
    <w:p w:rsidR="00F279C4" w:rsidRPr="00011050" w:rsidRDefault="00F279C4" w:rsidP="00F279C4">
      <w:pPr>
        <w:spacing w:before="0" w:after="0"/>
        <w:ind w:right="369"/>
        <w:rPr>
          <w:rFonts w:ascii="Times New Roman" w:hAnsi="Times New Roman"/>
        </w:rPr>
      </w:pPr>
      <w:r w:rsidRPr="00011050">
        <w:rPr>
          <w:rFonts w:ascii="Times New Roman" w:hAnsi="Times New Roman"/>
        </w:rPr>
        <w:t xml:space="preserve">The </w:t>
      </w:r>
      <w:r w:rsidRPr="00011050">
        <w:rPr>
          <w:rFonts w:ascii="Times New Roman" w:hAnsi="Times New Roman"/>
          <w:i/>
        </w:rPr>
        <w:t xml:space="preserve">Social Security (International Agreements) Act 1999 </w:t>
      </w:r>
      <w:r w:rsidRPr="00011050">
        <w:rPr>
          <w:rFonts w:ascii="Times New Roman" w:hAnsi="Times New Roman"/>
        </w:rPr>
        <w:t>(the Act) gives effect to any social security agreement between Australia and another country relating to reciprocity in social security or superannuation matters if the text of the agreement is set out in a Schedule to the Act.  Section 6 of the Act provides that the provisions of a scheduled international social security agreement have effect despite anything in the social security law.  An agreement is a scheduled international agreement if the text of the agreement is set out in a Schedule to the Act.</w:t>
      </w:r>
    </w:p>
    <w:p w:rsidR="00F279C4" w:rsidRPr="00C62758" w:rsidRDefault="00F279C4" w:rsidP="00F279C4">
      <w:pPr>
        <w:spacing w:before="0" w:after="0"/>
        <w:ind w:right="372"/>
        <w:jc w:val="both"/>
        <w:rPr>
          <w:rFonts w:ascii="Times New Roman" w:hAnsi="Times New Roman"/>
        </w:rPr>
      </w:pPr>
    </w:p>
    <w:p w:rsidR="00F279C4" w:rsidRPr="00C62758" w:rsidRDefault="00F279C4" w:rsidP="00F279C4">
      <w:pPr>
        <w:spacing w:before="0" w:after="0"/>
        <w:ind w:right="369"/>
        <w:rPr>
          <w:rFonts w:ascii="Times New Roman" w:hAnsi="Times New Roman"/>
        </w:rPr>
      </w:pPr>
      <w:r w:rsidRPr="00C62758">
        <w:rPr>
          <w:rFonts w:ascii="Times New Roman" w:hAnsi="Times New Roman"/>
        </w:rPr>
        <w:t xml:space="preserve">Section 25 of </w:t>
      </w:r>
      <w:r>
        <w:rPr>
          <w:rFonts w:ascii="Times New Roman" w:hAnsi="Times New Roman"/>
        </w:rPr>
        <w:t>the Act</w:t>
      </w:r>
      <w:r w:rsidRPr="00C62758">
        <w:rPr>
          <w:rFonts w:ascii="Times New Roman" w:hAnsi="Times New Roman"/>
        </w:rPr>
        <w:t xml:space="preserve"> provides that the Governor-General may make regulations prescribing matters required or permitted by the Act to be prescribed, or necessary or convenient for carrying out or giving effect to the Act.</w:t>
      </w:r>
    </w:p>
    <w:p w:rsidR="00F279C4" w:rsidRDefault="00F279C4" w:rsidP="00F279C4">
      <w:pPr>
        <w:spacing w:before="0" w:after="0"/>
        <w:ind w:right="369"/>
        <w:rPr>
          <w:rFonts w:ascii="Times New Roman" w:hAnsi="Times New Roman"/>
        </w:rPr>
      </w:pPr>
    </w:p>
    <w:p w:rsidR="00F279C4" w:rsidRPr="00180B92" w:rsidRDefault="00F279C4" w:rsidP="00F279C4">
      <w:pPr>
        <w:spacing w:before="0" w:after="0"/>
        <w:ind w:right="374"/>
        <w:rPr>
          <w:rFonts w:ascii="Times New Roman" w:hAnsi="Times New Roman"/>
        </w:rPr>
      </w:pPr>
      <w:r w:rsidRPr="00180B92">
        <w:rPr>
          <w:rFonts w:ascii="Times New Roman" w:hAnsi="Times New Roman"/>
        </w:rPr>
        <w:t xml:space="preserve">In particular, subsection 8(1) </w:t>
      </w:r>
      <w:r>
        <w:rPr>
          <w:rFonts w:ascii="Times New Roman" w:hAnsi="Times New Roman"/>
        </w:rPr>
        <w:t xml:space="preserve">of the Act </w:t>
      </w:r>
      <w:r w:rsidRPr="00180B92">
        <w:rPr>
          <w:rFonts w:ascii="Times New Roman" w:hAnsi="Times New Roman"/>
        </w:rPr>
        <w:t xml:space="preserve">provides that a Schedule setting out the terms of an agreement between Australia and another country, if the agreement relates to reciprocity in social security or superannuation matters, may be added to the Act by </w:t>
      </w:r>
      <w:r>
        <w:rPr>
          <w:rFonts w:ascii="Times New Roman" w:hAnsi="Times New Roman"/>
        </w:rPr>
        <w:t xml:space="preserve">the </w:t>
      </w:r>
      <w:r w:rsidRPr="00180B92">
        <w:rPr>
          <w:rFonts w:ascii="Times New Roman" w:hAnsi="Times New Roman"/>
        </w:rPr>
        <w:t>regulations.</w:t>
      </w:r>
    </w:p>
    <w:p w:rsidR="00F279C4" w:rsidRDefault="00F279C4" w:rsidP="00F279C4">
      <w:pPr>
        <w:spacing w:before="0" w:after="0"/>
        <w:ind w:right="374"/>
        <w:rPr>
          <w:rFonts w:ascii="Times New Roman" w:hAnsi="Times New Roman"/>
        </w:rPr>
      </w:pPr>
    </w:p>
    <w:p w:rsidR="00F279C4" w:rsidRPr="00180B92" w:rsidRDefault="00F279C4" w:rsidP="00F279C4">
      <w:pPr>
        <w:spacing w:before="0" w:after="0"/>
        <w:ind w:right="369"/>
        <w:rPr>
          <w:rFonts w:ascii="Times New Roman" w:hAnsi="Times New Roman"/>
        </w:rPr>
      </w:pPr>
      <w:r>
        <w:rPr>
          <w:rFonts w:ascii="Times New Roman" w:hAnsi="Times New Roman"/>
        </w:rPr>
        <w:t xml:space="preserve">Section 9 of the Act provides that the regulations may repeal a Schedule to this Act. </w:t>
      </w:r>
    </w:p>
    <w:p w:rsidR="00F279C4" w:rsidRPr="00C62758" w:rsidRDefault="00F279C4" w:rsidP="00F279C4">
      <w:pPr>
        <w:spacing w:before="0" w:after="0"/>
        <w:ind w:right="369"/>
        <w:rPr>
          <w:rFonts w:ascii="Times New Roman" w:hAnsi="Times New Roman"/>
        </w:rPr>
      </w:pPr>
    </w:p>
    <w:p w:rsidR="00F279C4" w:rsidRDefault="00F279C4" w:rsidP="00F279C4">
      <w:pPr>
        <w:spacing w:before="0" w:after="0"/>
        <w:ind w:right="374"/>
        <w:rPr>
          <w:rFonts w:ascii="Times New Roman" w:hAnsi="Times New Roman"/>
        </w:rPr>
      </w:pPr>
      <w:r w:rsidRPr="00FE4A86">
        <w:rPr>
          <w:rFonts w:ascii="Times New Roman" w:hAnsi="Times New Roman"/>
        </w:rPr>
        <w:t xml:space="preserve">The purpose of the </w:t>
      </w:r>
      <w:r>
        <w:rPr>
          <w:rFonts w:ascii="Times New Roman" w:hAnsi="Times New Roman"/>
        </w:rPr>
        <w:t>Regulations</w:t>
      </w:r>
      <w:r w:rsidRPr="00FE4A86">
        <w:rPr>
          <w:rFonts w:ascii="Times New Roman" w:hAnsi="Times New Roman"/>
        </w:rPr>
        <w:t xml:space="preserve"> </w:t>
      </w:r>
      <w:r>
        <w:rPr>
          <w:rFonts w:ascii="Times New Roman" w:hAnsi="Times New Roman"/>
        </w:rPr>
        <w:t>is to repeal and</w:t>
      </w:r>
      <w:r w:rsidRPr="00002DD1">
        <w:rPr>
          <w:rFonts w:ascii="Times New Roman" w:hAnsi="Times New Roman"/>
        </w:rPr>
        <w:t xml:space="preserve"> </w:t>
      </w:r>
      <w:r>
        <w:rPr>
          <w:rFonts w:ascii="Times New Roman" w:hAnsi="Times New Roman"/>
        </w:rPr>
        <w:t>substitute Schedule 3 to the Act setting out the terms of the</w:t>
      </w:r>
      <w:r w:rsidRPr="00FE4A86">
        <w:rPr>
          <w:rFonts w:ascii="Times New Roman" w:hAnsi="Times New Roman"/>
        </w:rPr>
        <w:t xml:space="preserve"> </w:t>
      </w:r>
      <w:r>
        <w:rPr>
          <w:rFonts w:ascii="Times New Roman" w:hAnsi="Times New Roman"/>
          <w:i/>
        </w:rPr>
        <w:t>Agreement on Social Security between the Government of Australia and the Government of New Zealand</w:t>
      </w:r>
      <w:r w:rsidRPr="00FE4A86">
        <w:rPr>
          <w:rFonts w:ascii="Times New Roman" w:hAnsi="Times New Roman"/>
          <w:i/>
        </w:rPr>
        <w:t xml:space="preserve"> </w:t>
      </w:r>
      <w:r w:rsidRPr="00FE4A86">
        <w:rPr>
          <w:rFonts w:ascii="Times New Roman" w:hAnsi="Times New Roman"/>
        </w:rPr>
        <w:t>(the Agreement)</w:t>
      </w:r>
      <w:r>
        <w:rPr>
          <w:rFonts w:ascii="Times New Roman" w:hAnsi="Times New Roman"/>
        </w:rPr>
        <w:t>.</w:t>
      </w:r>
    </w:p>
    <w:p w:rsidR="00F279C4" w:rsidRDefault="00F279C4" w:rsidP="00F279C4">
      <w:pPr>
        <w:spacing w:before="0" w:after="0"/>
        <w:ind w:right="374"/>
        <w:rPr>
          <w:rFonts w:ascii="Times New Roman" w:hAnsi="Times New Roman"/>
        </w:rPr>
      </w:pPr>
    </w:p>
    <w:p w:rsidR="00F279C4" w:rsidRDefault="00F279C4" w:rsidP="00F279C4">
      <w:pPr>
        <w:spacing w:before="0" w:after="0"/>
        <w:ind w:right="374"/>
      </w:pPr>
      <w:r w:rsidRPr="00FE4A86">
        <w:rPr>
          <w:rFonts w:ascii="Times New Roman" w:hAnsi="Times New Roman"/>
        </w:rPr>
        <w:t>The Agreement</w:t>
      </w:r>
      <w:r w:rsidRPr="008D0DB6">
        <w:rPr>
          <w:rFonts w:ascii="Times New Roman" w:hAnsi="Times New Roman"/>
        </w:rPr>
        <w:t xml:space="preserve">, </w:t>
      </w:r>
      <w:r>
        <w:rPr>
          <w:rFonts w:ascii="Times New Roman" w:hAnsi="Times New Roman"/>
        </w:rPr>
        <w:t>made</w:t>
      </w:r>
      <w:r w:rsidRPr="008D0DB6">
        <w:rPr>
          <w:rFonts w:ascii="Times New Roman" w:hAnsi="Times New Roman"/>
        </w:rPr>
        <w:t xml:space="preserve"> at </w:t>
      </w:r>
      <w:r>
        <w:rPr>
          <w:rFonts w:ascii="Times New Roman" w:hAnsi="Times New Roman"/>
        </w:rPr>
        <w:t>Wellington on 8 December 2016</w:t>
      </w:r>
      <w:r w:rsidRPr="00674D8F">
        <w:t xml:space="preserve"> </w:t>
      </w:r>
      <w:r>
        <w:rPr>
          <w:rFonts w:ascii="Times New Roman" w:hAnsi="Times New Roman"/>
        </w:rPr>
        <w:t>modifies and replaces</w:t>
      </w:r>
      <w:r w:rsidRPr="00674D8F">
        <w:rPr>
          <w:rFonts w:ascii="Times New Roman" w:hAnsi="Times New Roman"/>
        </w:rPr>
        <w:t xml:space="preserve"> the Agreement </w:t>
      </w:r>
      <w:r>
        <w:rPr>
          <w:rFonts w:ascii="Times New Roman" w:hAnsi="Times New Roman"/>
        </w:rPr>
        <w:t>providing for matters relating to social security entered into at Canberra</w:t>
      </w:r>
      <w:r w:rsidRPr="00674D8F">
        <w:rPr>
          <w:rFonts w:ascii="Times New Roman" w:hAnsi="Times New Roman"/>
        </w:rPr>
        <w:t xml:space="preserve"> on </w:t>
      </w:r>
      <w:r>
        <w:rPr>
          <w:rFonts w:ascii="Times New Roman" w:hAnsi="Times New Roman"/>
        </w:rPr>
        <w:t>28 March 2001, as amended on 21 February 2002</w:t>
      </w:r>
      <w:r>
        <w:t>.</w:t>
      </w:r>
    </w:p>
    <w:p w:rsidR="00F279C4" w:rsidRDefault="00F279C4" w:rsidP="00F279C4">
      <w:pPr>
        <w:spacing w:before="0" w:after="0"/>
        <w:ind w:right="374"/>
      </w:pPr>
    </w:p>
    <w:p w:rsidR="00F279C4" w:rsidRDefault="00F279C4" w:rsidP="00F279C4">
      <w:pPr>
        <w:spacing w:before="0" w:after="0"/>
        <w:rPr>
          <w:rFonts w:ascii="Times New Roman" w:hAnsi="Times New Roman"/>
        </w:rPr>
      </w:pPr>
      <w:r>
        <w:rPr>
          <w:rFonts w:ascii="Times New Roman" w:hAnsi="Times New Roman"/>
        </w:rPr>
        <w:t>The Agreement coordinates the social security systems of Australia and New Zealand to give better access to certain income support payments for people who move between the two countries.</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The Agreement clarifies</w:t>
      </w:r>
      <w:r w:rsidRPr="00D45DA4">
        <w:rPr>
          <w:rFonts w:ascii="Times New Roman" w:hAnsi="Times New Roman"/>
        </w:rPr>
        <w:t xml:space="preserve"> that only New Zealand W</w:t>
      </w:r>
      <w:r>
        <w:rPr>
          <w:rFonts w:ascii="Times New Roman" w:hAnsi="Times New Roman"/>
        </w:rPr>
        <w:t xml:space="preserve">orking </w:t>
      </w:r>
      <w:r w:rsidRPr="00D45DA4">
        <w:rPr>
          <w:rFonts w:ascii="Times New Roman" w:hAnsi="Times New Roman"/>
        </w:rPr>
        <w:t>A</w:t>
      </w:r>
      <w:r>
        <w:rPr>
          <w:rFonts w:ascii="Times New Roman" w:hAnsi="Times New Roman"/>
        </w:rPr>
        <w:t xml:space="preserve">ge </w:t>
      </w:r>
      <w:r w:rsidRPr="00D45DA4">
        <w:rPr>
          <w:rFonts w:ascii="Times New Roman" w:hAnsi="Times New Roman"/>
        </w:rPr>
        <w:t>R</w:t>
      </w:r>
      <w:r>
        <w:rPr>
          <w:rFonts w:ascii="Times New Roman" w:hAnsi="Times New Roman"/>
        </w:rPr>
        <w:t xml:space="preserve">esidence </w:t>
      </w:r>
      <w:r w:rsidRPr="004113EC">
        <w:rPr>
          <w:rFonts w:ascii="Times New Roman" w:hAnsi="Times New Roman"/>
        </w:rPr>
        <w:t xml:space="preserve">(defined as residence from age 20 until pension age) </w:t>
      </w:r>
      <w:r w:rsidRPr="00D45DA4">
        <w:rPr>
          <w:rFonts w:ascii="Times New Roman" w:hAnsi="Times New Roman"/>
        </w:rPr>
        <w:t xml:space="preserve">can be used to meet the 10 year qualifying residence requirement for Disability Support Pension (DSP).  In 2013 the Full Federal Court held, in </w:t>
      </w:r>
      <w:r w:rsidRPr="002A1ECA">
        <w:rPr>
          <w:rFonts w:ascii="Times New Roman" w:hAnsi="Times New Roman"/>
          <w:i/>
        </w:rPr>
        <w:t>Secretary, Department of Families, Housing, Community Services and Indigenous Affairs v</w:t>
      </w:r>
      <w:r w:rsidRPr="00D45DA4">
        <w:rPr>
          <w:rFonts w:ascii="Times New Roman" w:hAnsi="Times New Roman"/>
        </w:rPr>
        <w:t xml:space="preserve"> </w:t>
      </w:r>
      <w:r w:rsidRPr="002A1ECA">
        <w:rPr>
          <w:rFonts w:ascii="Times New Roman" w:hAnsi="Times New Roman"/>
          <w:i/>
        </w:rPr>
        <w:t>Mahrous</w:t>
      </w:r>
      <w:r>
        <w:rPr>
          <w:rFonts w:ascii="Times New Roman" w:hAnsi="Times New Roman"/>
        </w:rPr>
        <w:t xml:space="preserve"> </w:t>
      </w:r>
      <w:r w:rsidRPr="00D45DA4">
        <w:rPr>
          <w:rFonts w:ascii="Times New Roman" w:hAnsi="Times New Roman"/>
        </w:rPr>
        <w:t xml:space="preserve">[2013] FCAFC 75, that Article 12(4) of the current Agreement means that any residence in New Zealand can be used to qualify a person for DSP.  The original intention, agreed by both Parties, was that only </w:t>
      </w:r>
      <w:r>
        <w:rPr>
          <w:rFonts w:ascii="Times New Roman" w:hAnsi="Times New Roman"/>
        </w:rPr>
        <w:t xml:space="preserve">New Zealand </w:t>
      </w:r>
      <w:r w:rsidRPr="00D45DA4">
        <w:rPr>
          <w:rFonts w:ascii="Times New Roman" w:hAnsi="Times New Roman"/>
        </w:rPr>
        <w:t>W</w:t>
      </w:r>
      <w:r>
        <w:rPr>
          <w:rFonts w:ascii="Times New Roman" w:hAnsi="Times New Roman"/>
        </w:rPr>
        <w:t xml:space="preserve">orking </w:t>
      </w:r>
      <w:r w:rsidRPr="00D45DA4">
        <w:rPr>
          <w:rFonts w:ascii="Times New Roman" w:hAnsi="Times New Roman"/>
        </w:rPr>
        <w:t>A</w:t>
      </w:r>
      <w:r>
        <w:rPr>
          <w:rFonts w:ascii="Times New Roman" w:hAnsi="Times New Roman"/>
        </w:rPr>
        <w:t xml:space="preserve">ge </w:t>
      </w:r>
      <w:r w:rsidRPr="00D45DA4">
        <w:rPr>
          <w:rFonts w:ascii="Times New Roman" w:hAnsi="Times New Roman"/>
        </w:rPr>
        <w:t>R</w:t>
      </w:r>
      <w:r>
        <w:rPr>
          <w:rFonts w:ascii="Times New Roman" w:hAnsi="Times New Roman"/>
        </w:rPr>
        <w:t>esidence</w:t>
      </w:r>
      <w:r w:rsidRPr="00D45DA4">
        <w:rPr>
          <w:rFonts w:ascii="Times New Roman" w:hAnsi="Times New Roman"/>
        </w:rPr>
        <w:t xml:space="preserve"> c</w:t>
      </w:r>
      <w:r>
        <w:rPr>
          <w:rFonts w:ascii="Times New Roman" w:hAnsi="Times New Roman"/>
        </w:rPr>
        <w:t>an</w:t>
      </w:r>
      <w:r w:rsidRPr="00D45DA4">
        <w:rPr>
          <w:rFonts w:ascii="Times New Roman" w:hAnsi="Times New Roman"/>
        </w:rPr>
        <w:t xml:space="preserve"> be used.</w:t>
      </w:r>
      <w:r>
        <w:rPr>
          <w:rFonts w:ascii="Times New Roman" w:hAnsi="Times New Roman"/>
        </w:rPr>
        <w:t xml:space="preserve"> </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Additionally, the Agreement t</w:t>
      </w:r>
      <w:r w:rsidRPr="00D45DA4">
        <w:rPr>
          <w:rFonts w:ascii="Times New Roman" w:hAnsi="Times New Roman"/>
        </w:rPr>
        <w:t xml:space="preserve">akes account of the increase in Age Pension age in Australia, which becomes 65.5 in July 2017 and continues to increase by six months every two years until it reaches 67 in July 2023.  </w:t>
      </w:r>
      <w:r>
        <w:rPr>
          <w:rFonts w:ascii="Times New Roman" w:hAnsi="Times New Roman"/>
        </w:rPr>
        <w:t>T</w:t>
      </w:r>
      <w:r w:rsidRPr="00D45DA4">
        <w:rPr>
          <w:rFonts w:ascii="Times New Roman" w:hAnsi="Times New Roman"/>
        </w:rPr>
        <w:t>o claim Age Pension or N</w:t>
      </w:r>
      <w:r>
        <w:rPr>
          <w:rFonts w:ascii="Times New Roman" w:hAnsi="Times New Roman"/>
        </w:rPr>
        <w:t xml:space="preserve">ew </w:t>
      </w:r>
      <w:r w:rsidRPr="00D45DA4">
        <w:rPr>
          <w:rFonts w:ascii="Times New Roman" w:hAnsi="Times New Roman"/>
        </w:rPr>
        <w:t>Z</w:t>
      </w:r>
      <w:r>
        <w:rPr>
          <w:rFonts w:ascii="Times New Roman" w:hAnsi="Times New Roman"/>
        </w:rPr>
        <w:t>ealand</w:t>
      </w:r>
      <w:r w:rsidRPr="00D45DA4">
        <w:rPr>
          <w:rFonts w:ascii="Times New Roman" w:hAnsi="Times New Roman"/>
        </w:rPr>
        <w:t xml:space="preserve"> Superannuation</w:t>
      </w:r>
      <w:r>
        <w:rPr>
          <w:rFonts w:ascii="Times New Roman" w:hAnsi="Times New Roman"/>
        </w:rPr>
        <w:t xml:space="preserve"> </w:t>
      </w:r>
      <w:r>
        <w:rPr>
          <w:rFonts w:ascii="Times New Roman" w:hAnsi="Times New Roman"/>
        </w:rPr>
        <w:lastRenderedPageBreak/>
        <w:t>under the revised Agreement</w:t>
      </w:r>
      <w:r w:rsidRPr="00D45DA4">
        <w:rPr>
          <w:rFonts w:ascii="Times New Roman" w:hAnsi="Times New Roman"/>
        </w:rPr>
        <w:t>, a person must have reached whichever pension age is higher at the time they claim.</w:t>
      </w:r>
    </w:p>
    <w:p w:rsidR="00F279C4" w:rsidRDefault="00F279C4" w:rsidP="00F279C4">
      <w:pPr>
        <w:spacing w:before="0" w:after="0"/>
        <w:rPr>
          <w:rFonts w:ascii="Times New Roman" w:hAnsi="Times New Roman"/>
        </w:rPr>
      </w:pPr>
    </w:p>
    <w:p w:rsidR="00F279C4" w:rsidRDefault="00F279C4" w:rsidP="00F279C4">
      <w:pPr>
        <w:tabs>
          <w:tab w:val="left" w:pos="851"/>
        </w:tabs>
        <w:autoSpaceDE w:val="0"/>
        <w:autoSpaceDN w:val="0"/>
        <w:adjustRightInd w:val="0"/>
        <w:spacing w:before="0" w:after="0"/>
        <w:rPr>
          <w:rFonts w:ascii="Times New Roman" w:hAnsi="Times New Roman"/>
        </w:rPr>
      </w:pPr>
      <w:r>
        <w:rPr>
          <w:rFonts w:ascii="Times New Roman" w:hAnsi="Times New Roman"/>
        </w:rPr>
        <w:t>Furthermore, the Agreement aligns and ties p</w:t>
      </w:r>
      <w:r w:rsidRPr="004113EC">
        <w:rPr>
          <w:rFonts w:ascii="Times New Roman" w:hAnsi="Times New Roman"/>
        </w:rPr>
        <w:t xml:space="preserve">ortability of payments in third countries </w:t>
      </w:r>
      <w:r>
        <w:rPr>
          <w:rFonts w:ascii="Times New Roman" w:hAnsi="Times New Roman"/>
        </w:rPr>
        <w:t>t</w:t>
      </w:r>
      <w:r w:rsidRPr="004113EC">
        <w:rPr>
          <w:rFonts w:ascii="Times New Roman" w:hAnsi="Times New Roman"/>
        </w:rPr>
        <w:t xml:space="preserve">o portability provisions in the social security law of Australia.  The current Agreement specifies that a payment under the Agreement is payable in a third country for 26 weeks, whereas under the social security law Carer Payment is payable outside Australia for six weeks and </w:t>
      </w:r>
      <w:r>
        <w:rPr>
          <w:rFonts w:ascii="Times New Roman" w:hAnsi="Times New Roman"/>
        </w:rPr>
        <w:t>disability support pension</w:t>
      </w:r>
      <w:r w:rsidRPr="004113EC">
        <w:rPr>
          <w:rFonts w:ascii="Times New Roman" w:hAnsi="Times New Roman"/>
        </w:rPr>
        <w:t xml:space="preserve"> is generally payable for four weeks in any 12 month period.</w:t>
      </w:r>
    </w:p>
    <w:p w:rsidR="00F279C4" w:rsidRPr="00C0545F" w:rsidRDefault="00F279C4" w:rsidP="00F279C4">
      <w:pPr>
        <w:spacing w:before="0" w:after="0"/>
        <w:ind w:right="374"/>
        <w:rPr>
          <w:rFonts w:ascii="Times New Roman" w:hAnsi="Times New Roman"/>
        </w:rPr>
      </w:pPr>
    </w:p>
    <w:p w:rsidR="00F279C4" w:rsidRPr="0055220D" w:rsidRDefault="00F279C4" w:rsidP="00F279C4">
      <w:pPr>
        <w:spacing w:before="0" w:after="0"/>
        <w:rPr>
          <w:rFonts w:ascii="Times New Roman" w:hAnsi="Times New Roman"/>
          <w:b/>
        </w:rPr>
      </w:pPr>
      <w:r w:rsidRPr="0055220D">
        <w:rPr>
          <w:rFonts w:ascii="Times New Roman" w:hAnsi="Times New Roman"/>
        </w:rPr>
        <w:t>The</w:t>
      </w:r>
      <w:r>
        <w:rPr>
          <w:rFonts w:ascii="Times New Roman" w:hAnsi="Times New Roman"/>
        </w:rPr>
        <w:t xml:space="preserve"> Agreement </w:t>
      </w:r>
      <w:r w:rsidRPr="0055220D">
        <w:rPr>
          <w:rFonts w:ascii="Times New Roman" w:hAnsi="Times New Roman"/>
        </w:rPr>
        <w:t>preserve</w:t>
      </w:r>
      <w:r>
        <w:rPr>
          <w:rFonts w:ascii="Times New Roman" w:hAnsi="Times New Roman"/>
        </w:rPr>
        <w:t>s</w:t>
      </w:r>
      <w:r w:rsidRPr="0055220D">
        <w:rPr>
          <w:rFonts w:ascii="Times New Roman" w:hAnsi="Times New Roman"/>
        </w:rPr>
        <w:t xml:space="preserve"> the entitlements of those persons currently receiving benefits under the current </w:t>
      </w:r>
      <w:r>
        <w:rPr>
          <w:rFonts w:ascii="Times New Roman" w:hAnsi="Times New Roman"/>
        </w:rPr>
        <w:t>arrangements</w:t>
      </w:r>
      <w:r w:rsidRPr="0055220D">
        <w:rPr>
          <w:rFonts w:ascii="Times New Roman" w:hAnsi="Times New Roman"/>
        </w:rPr>
        <w:t>.  Specifically people granted DSP through use of residence in New Zealand at any age will be grandfathered, and people receiving payment outside Australia and New Zealand at implementation will continue to be entitled to 26 weeks portability</w:t>
      </w:r>
      <w:r>
        <w:rPr>
          <w:rFonts w:ascii="Times New Roman" w:hAnsi="Times New Roman"/>
        </w:rPr>
        <w:t xml:space="preserve"> for that absence</w:t>
      </w:r>
      <w:r w:rsidRPr="0055220D">
        <w:rPr>
          <w:rFonts w:ascii="Times New Roman" w:hAnsi="Times New Roman"/>
        </w:rPr>
        <w:t>.</w:t>
      </w:r>
    </w:p>
    <w:p w:rsidR="00F279C4" w:rsidRPr="002A6E0A" w:rsidRDefault="00F279C4" w:rsidP="00F279C4">
      <w:pPr>
        <w:spacing w:before="0" w:after="0"/>
        <w:ind w:right="374"/>
        <w:rPr>
          <w:rFonts w:ascii="Times New Roman" w:hAnsi="Times New Roman"/>
        </w:rPr>
      </w:pPr>
    </w:p>
    <w:p w:rsidR="00F279C4" w:rsidRPr="00180B92" w:rsidRDefault="00F279C4" w:rsidP="00F279C4">
      <w:pPr>
        <w:spacing w:before="0" w:after="0"/>
        <w:ind w:right="374"/>
        <w:rPr>
          <w:rFonts w:ascii="Times New Roman" w:hAnsi="Times New Roman"/>
        </w:rPr>
      </w:pPr>
      <w:r w:rsidRPr="00180B92">
        <w:rPr>
          <w:rFonts w:ascii="Times New Roman" w:hAnsi="Times New Roman"/>
        </w:rPr>
        <w:t>All international agreements specify ‘entry into force’ requirements, which stipulate that each party notify the other party in writing of the completion of their respective statutory and constitutional procedures required for the entry into force.  An agreement would then come into operation on a date specified by reference to the exchange of the notification of completion of all statutory and constitutional procedures.</w:t>
      </w:r>
    </w:p>
    <w:p w:rsidR="00F279C4" w:rsidRDefault="00F279C4" w:rsidP="00F279C4">
      <w:pPr>
        <w:spacing w:before="0" w:after="0"/>
        <w:ind w:right="371"/>
        <w:rPr>
          <w:rFonts w:ascii="Times New Roman" w:hAnsi="Times New Roman"/>
        </w:rPr>
      </w:pPr>
    </w:p>
    <w:p w:rsidR="00F279C4" w:rsidRPr="00CE1455" w:rsidRDefault="00F279C4" w:rsidP="00F279C4">
      <w:pPr>
        <w:spacing w:before="0" w:after="0"/>
        <w:ind w:right="369"/>
        <w:rPr>
          <w:rFonts w:ascii="Times New Roman" w:hAnsi="Times New Roman"/>
        </w:rPr>
      </w:pPr>
      <w:r>
        <w:rPr>
          <w:rFonts w:ascii="Times New Roman" w:hAnsi="Times New Roman"/>
        </w:rPr>
        <w:t>Article 27 of the</w:t>
      </w:r>
      <w:r w:rsidRPr="00CE1455">
        <w:rPr>
          <w:rFonts w:ascii="Times New Roman" w:hAnsi="Times New Roman"/>
        </w:rPr>
        <w:t xml:space="preserve"> Agreement provides for entry into force on </w:t>
      </w:r>
      <w:r>
        <w:rPr>
          <w:rFonts w:ascii="Times New Roman" w:hAnsi="Times New Roman"/>
        </w:rPr>
        <w:t>1 July 2017, provided that the Parties have notified each other by notes exchanged through the diplomatic channel that all matters necessary to give effect to the Agreement have been satisfied</w:t>
      </w:r>
      <w:r w:rsidRPr="00CE1455">
        <w:rPr>
          <w:rFonts w:ascii="Times New Roman" w:hAnsi="Times New Roman"/>
        </w:rPr>
        <w:t>.</w:t>
      </w:r>
      <w:r>
        <w:rPr>
          <w:rFonts w:ascii="Times New Roman" w:hAnsi="Times New Roman"/>
        </w:rPr>
        <w:t xml:space="preserve"> Otherwise, the Agreement will come into force on the first day of the third month following the date of the last such notification</w:t>
      </w:r>
      <w:r w:rsidRPr="00CE1455">
        <w:rPr>
          <w:rFonts w:ascii="Times New Roman" w:hAnsi="Times New Roman"/>
        </w:rPr>
        <w:t>.</w:t>
      </w:r>
    </w:p>
    <w:p w:rsidR="00F279C4" w:rsidRPr="00C62758" w:rsidRDefault="00F279C4" w:rsidP="00F279C4">
      <w:pPr>
        <w:spacing w:before="0" w:after="0"/>
        <w:ind w:right="369"/>
        <w:rPr>
          <w:rFonts w:ascii="Times New Roman" w:hAnsi="Times New Roman"/>
        </w:rPr>
      </w:pPr>
    </w:p>
    <w:p w:rsidR="00F279C4" w:rsidRPr="00180B92" w:rsidRDefault="00F279C4" w:rsidP="00F279C4">
      <w:pPr>
        <w:spacing w:before="0" w:after="0"/>
        <w:ind w:right="369"/>
        <w:rPr>
          <w:rFonts w:ascii="Times New Roman" w:hAnsi="Times New Roman"/>
        </w:rPr>
      </w:pPr>
      <w:r w:rsidRPr="00C62758">
        <w:rPr>
          <w:rFonts w:ascii="Times New Roman" w:hAnsi="Times New Roman"/>
        </w:rPr>
        <w:t xml:space="preserve">The </w:t>
      </w:r>
      <w:r>
        <w:rPr>
          <w:rFonts w:ascii="Times New Roman" w:hAnsi="Times New Roman"/>
        </w:rPr>
        <w:t>Regulations</w:t>
      </w:r>
      <w:r w:rsidRPr="00C62758">
        <w:rPr>
          <w:rFonts w:ascii="Times New Roman" w:hAnsi="Times New Roman"/>
        </w:rPr>
        <w:t xml:space="preserve"> </w:t>
      </w:r>
      <w:r>
        <w:rPr>
          <w:rFonts w:ascii="Times New Roman" w:hAnsi="Times New Roman"/>
        </w:rPr>
        <w:t>are</w:t>
      </w:r>
      <w:r w:rsidRPr="00C62758">
        <w:rPr>
          <w:rFonts w:ascii="Times New Roman" w:hAnsi="Times New Roman"/>
        </w:rPr>
        <w:t xml:space="preserve"> a legislative instrument for the purposes of the </w:t>
      </w:r>
      <w:r w:rsidRPr="00C62758">
        <w:rPr>
          <w:rFonts w:ascii="Times New Roman" w:hAnsi="Times New Roman"/>
          <w:i/>
          <w:iCs/>
        </w:rPr>
        <w:t>Legislati</w:t>
      </w:r>
      <w:r>
        <w:rPr>
          <w:rFonts w:ascii="Times New Roman" w:hAnsi="Times New Roman"/>
          <w:i/>
          <w:iCs/>
        </w:rPr>
        <w:t xml:space="preserve">on Act </w:t>
      </w:r>
      <w:r w:rsidRPr="00C62758">
        <w:rPr>
          <w:rFonts w:ascii="Times New Roman" w:hAnsi="Times New Roman"/>
          <w:i/>
          <w:iCs/>
        </w:rPr>
        <w:t>2003</w:t>
      </w:r>
      <w:r>
        <w:rPr>
          <w:rFonts w:ascii="Times New Roman" w:hAnsi="Times New Roman"/>
          <w:iCs/>
        </w:rPr>
        <w:t xml:space="preserve"> (the Legislation Act)</w:t>
      </w:r>
      <w:r w:rsidRPr="00C62758">
        <w:rPr>
          <w:rFonts w:ascii="Times New Roman" w:hAnsi="Times New Roman"/>
        </w:rPr>
        <w:t>.</w:t>
      </w:r>
      <w:r>
        <w:rPr>
          <w:rFonts w:ascii="Times New Roman" w:hAnsi="Times New Roman"/>
        </w:rPr>
        <w:t xml:space="preserve">  </w:t>
      </w:r>
    </w:p>
    <w:p w:rsidR="00F279C4" w:rsidRPr="00C62758" w:rsidRDefault="00F279C4" w:rsidP="00F279C4">
      <w:pPr>
        <w:spacing w:before="0" w:after="0"/>
        <w:ind w:right="369"/>
        <w:rPr>
          <w:rFonts w:ascii="Times New Roman" w:hAnsi="Times New Roman"/>
        </w:rPr>
      </w:pPr>
    </w:p>
    <w:p w:rsidR="00F279C4" w:rsidRDefault="00F279C4" w:rsidP="00F279C4">
      <w:pPr>
        <w:spacing w:before="0" w:after="0"/>
        <w:ind w:right="374"/>
        <w:rPr>
          <w:rFonts w:ascii="Times New Roman" w:hAnsi="Times New Roman"/>
        </w:rPr>
      </w:pPr>
      <w:r>
        <w:rPr>
          <w:rFonts w:ascii="Times New Roman" w:hAnsi="Times New Roman"/>
        </w:rPr>
        <w:t xml:space="preserve">Sections 1 to 5 of the Regulations </w:t>
      </w:r>
      <w:r w:rsidRPr="003D0250">
        <w:rPr>
          <w:rFonts w:ascii="Times New Roman" w:hAnsi="Times New Roman"/>
        </w:rPr>
        <w:t xml:space="preserve">commence on the day after </w:t>
      </w:r>
      <w:r>
        <w:rPr>
          <w:rFonts w:ascii="Times New Roman" w:hAnsi="Times New Roman"/>
        </w:rPr>
        <w:t>the Regulations</w:t>
      </w:r>
      <w:r w:rsidRPr="003D0250">
        <w:rPr>
          <w:rFonts w:ascii="Times New Roman" w:hAnsi="Times New Roman"/>
        </w:rPr>
        <w:t xml:space="preserve"> </w:t>
      </w:r>
      <w:r>
        <w:rPr>
          <w:rFonts w:ascii="Times New Roman" w:hAnsi="Times New Roman"/>
        </w:rPr>
        <w:t>are</w:t>
      </w:r>
      <w:r w:rsidRPr="003D0250">
        <w:rPr>
          <w:rFonts w:ascii="Times New Roman" w:hAnsi="Times New Roman"/>
        </w:rPr>
        <w:t xml:space="preserve"> registered</w:t>
      </w:r>
      <w:r>
        <w:rPr>
          <w:rFonts w:ascii="Times New Roman" w:hAnsi="Times New Roman"/>
        </w:rPr>
        <w:t>.</w:t>
      </w:r>
      <w:r w:rsidRPr="00D82AA0">
        <w:rPr>
          <w:rFonts w:ascii="Times New Roman" w:hAnsi="Times New Roman"/>
        </w:rPr>
        <w:t xml:space="preserve">  </w:t>
      </w:r>
      <w:r w:rsidRPr="003D0250">
        <w:rPr>
          <w:rFonts w:ascii="Times New Roman" w:hAnsi="Times New Roman"/>
        </w:rPr>
        <w:t xml:space="preserve">Schedule 1 </w:t>
      </w:r>
      <w:r>
        <w:rPr>
          <w:rFonts w:ascii="Times New Roman" w:hAnsi="Times New Roman"/>
        </w:rPr>
        <w:t xml:space="preserve">to the Regulations, </w:t>
      </w:r>
      <w:r w:rsidRPr="00D82AA0">
        <w:rPr>
          <w:rFonts w:ascii="Times New Roman" w:hAnsi="Times New Roman"/>
        </w:rPr>
        <w:t>which contain</w:t>
      </w:r>
      <w:r>
        <w:rPr>
          <w:rFonts w:ascii="Times New Roman" w:hAnsi="Times New Roman"/>
        </w:rPr>
        <w:t>s</w:t>
      </w:r>
      <w:r w:rsidRPr="00D82AA0">
        <w:rPr>
          <w:rFonts w:ascii="Times New Roman" w:hAnsi="Times New Roman"/>
        </w:rPr>
        <w:t xml:space="preserve"> the </w:t>
      </w:r>
      <w:r>
        <w:rPr>
          <w:rFonts w:ascii="Times New Roman" w:hAnsi="Times New Roman"/>
        </w:rPr>
        <w:t>text of the</w:t>
      </w:r>
      <w:r w:rsidRPr="00D82AA0">
        <w:rPr>
          <w:rFonts w:ascii="Times New Roman" w:hAnsi="Times New Roman"/>
        </w:rPr>
        <w:t xml:space="preserve"> Agreement</w:t>
      </w:r>
      <w:r>
        <w:rPr>
          <w:rFonts w:ascii="Times New Roman" w:hAnsi="Times New Roman"/>
        </w:rPr>
        <w:t xml:space="preserve">, will </w:t>
      </w:r>
      <w:r w:rsidRPr="003D0250">
        <w:rPr>
          <w:rFonts w:ascii="Times New Roman" w:hAnsi="Times New Roman"/>
        </w:rPr>
        <w:t>commenc</w:t>
      </w:r>
      <w:r>
        <w:rPr>
          <w:rFonts w:ascii="Times New Roman" w:hAnsi="Times New Roman"/>
        </w:rPr>
        <w:t>e</w:t>
      </w:r>
      <w:r w:rsidRPr="003D0250">
        <w:rPr>
          <w:rFonts w:ascii="Times New Roman" w:hAnsi="Times New Roman"/>
        </w:rPr>
        <w:t xml:space="preserve"> on</w:t>
      </w:r>
      <w:r>
        <w:rPr>
          <w:rFonts w:ascii="Times New Roman" w:hAnsi="Times New Roman"/>
        </w:rPr>
        <w:t xml:space="preserve"> the day after registration or on the day the Agreement comes into force for Australia (whichever occurs later)</w:t>
      </w:r>
      <w:r w:rsidRPr="003D0250">
        <w:rPr>
          <w:rFonts w:ascii="Times New Roman" w:hAnsi="Times New Roman"/>
        </w:rPr>
        <w:t>.</w:t>
      </w:r>
      <w:r w:rsidRPr="00D82AA0">
        <w:rPr>
          <w:rFonts w:ascii="Times New Roman" w:hAnsi="Times New Roman"/>
        </w:rPr>
        <w:t xml:space="preserve"> </w:t>
      </w:r>
      <w:r>
        <w:rPr>
          <w:rFonts w:ascii="Times New Roman" w:hAnsi="Times New Roman"/>
        </w:rPr>
        <w:t xml:space="preserve"> The Minister must announce, by notifiable instrument, the day the Agreement enters into force for Australia. </w:t>
      </w:r>
    </w:p>
    <w:p w:rsidR="00F279C4" w:rsidRDefault="00F279C4" w:rsidP="00F279C4">
      <w:pPr>
        <w:spacing w:before="0" w:after="0"/>
        <w:ind w:right="374"/>
        <w:rPr>
          <w:rFonts w:ascii="Times New Roman" w:hAnsi="Times New Roman"/>
        </w:rPr>
      </w:pPr>
    </w:p>
    <w:p w:rsidR="00F279C4" w:rsidRDefault="00F279C4" w:rsidP="00F279C4">
      <w:pPr>
        <w:spacing w:before="0" w:after="0"/>
        <w:ind w:right="369"/>
        <w:rPr>
          <w:rFonts w:ascii="Times New Roman" w:hAnsi="Times New Roman"/>
        </w:rPr>
      </w:pPr>
      <w:r w:rsidRPr="003D0250">
        <w:rPr>
          <w:rFonts w:ascii="Times New Roman" w:hAnsi="Times New Roman"/>
        </w:rPr>
        <w:t xml:space="preserve">The commencement provision </w:t>
      </w:r>
      <w:r>
        <w:rPr>
          <w:rFonts w:ascii="Times New Roman" w:hAnsi="Times New Roman"/>
        </w:rPr>
        <w:t xml:space="preserve">in section 2 of the Regulations </w:t>
      </w:r>
      <w:r w:rsidRPr="003D0250">
        <w:rPr>
          <w:rFonts w:ascii="Times New Roman" w:hAnsi="Times New Roman"/>
        </w:rPr>
        <w:t xml:space="preserve">satisfies the requirements of subsection </w:t>
      </w:r>
      <w:r>
        <w:rPr>
          <w:rFonts w:ascii="Times New Roman" w:hAnsi="Times New Roman"/>
        </w:rPr>
        <w:t>8</w:t>
      </w:r>
      <w:r w:rsidRPr="003D0250">
        <w:rPr>
          <w:rFonts w:ascii="Times New Roman" w:hAnsi="Times New Roman"/>
        </w:rPr>
        <w:t>(2) of the Act that regulations not come into operation on a day earlier than the day the relevant agreement comes into effect for Australia.</w:t>
      </w:r>
      <w:r>
        <w:rPr>
          <w:rFonts w:ascii="Times New Roman" w:hAnsi="Times New Roman"/>
        </w:rPr>
        <w:t xml:space="preserve"> </w:t>
      </w:r>
    </w:p>
    <w:p w:rsidR="00F279C4" w:rsidRDefault="00F279C4" w:rsidP="00F279C4">
      <w:pPr>
        <w:spacing w:before="0" w:after="0"/>
        <w:ind w:right="369"/>
        <w:rPr>
          <w:rFonts w:ascii="Times New Roman" w:hAnsi="Times New Roman"/>
        </w:rPr>
      </w:pPr>
    </w:p>
    <w:p w:rsidR="00F279C4" w:rsidRDefault="00F279C4" w:rsidP="00F279C4">
      <w:pPr>
        <w:spacing w:before="0" w:after="0"/>
        <w:ind w:right="369"/>
        <w:rPr>
          <w:rFonts w:ascii="Times New Roman" w:hAnsi="Times New Roman"/>
        </w:rPr>
      </w:pPr>
      <w:r>
        <w:rPr>
          <w:rFonts w:ascii="Times New Roman" w:hAnsi="Times New Roman"/>
        </w:rPr>
        <w:t>In line with Article 27 of the Agreement, t</w:t>
      </w:r>
      <w:r w:rsidRPr="005B0749">
        <w:rPr>
          <w:rFonts w:ascii="Times New Roman" w:hAnsi="Times New Roman"/>
        </w:rPr>
        <w:t xml:space="preserve">he commencement provision in section 2 of the </w:t>
      </w:r>
      <w:r>
        <w:rPr>
          <w:rFonts w:ascii="Times New Roman" w:hAnsi="Times New Roman"/>
        </w:rPr>
        <w:t>Regulations</w:t>
      </w:r>
      <w:r w:rsidRPr="005B0749">
        <w:rPr>
          <w:rFonts w:ascii="Times New Roman" w:hAnsi="Times New Roman"/>
        </w:rPr>
        <w:t xml:space="preserve"> does not include a mechanism by which the </w:t>
      </w:r>
      <w:r>
        <w:rPr>
          <w:rFonts w:ascii="Times New Roman" w:hAnsi="Times New Roman"/>
        </w:rPr>
        <w:t>Regulations</w:t>
      </w:r>
      <w:r w:rsidRPr="005B0749">
        <w:rPr>
          <w:rFonts w:ascii="Times New Roman" w:hAnsi="Times New Roman"/>
        </w:rPr>
        <w:t xml:space="preserve"> will </w:t>
      </w:r>
      <w:r>
        <w:rPr>
          <w:rFonts w:ascii="Times New Roman" w:hAnsi="Times New Roman"/>
        </w:rPr>
        <w:t xml:space="preserve">automatically </w:t>
      </w:r>
      <w:r w:rsidRPr="005B0749">
        <w:rPr>
          <w:rFonts w:ascii="Times New Roman" w:hAnsi="Times New Roman"/>
        </w:rPr>
        <w:t xml:space="preserve">commence or be repealed if the </w:t>
      </w:r>
      <w:r>
        <w:rPr>
          <w:rFonts w:ascii="Times New Roman" w:hAnsi="Times New Roman"/>
        </w:rPr>
        <w:t>Agreement does not enter into force for Australia</w:t>
      </w:r>
      <w:r w:rsidRPr="005B0749">
        <w:rPr>
          <w:rFonts w:ascii="Times New Roman" w:hAnsi="Times New Roman"/>
        </w:rPr>
        <w:t>.</w:t>
      </w:r>
      <w:r>
        <w:rPr>
          <w:rFonts w:ascii="Times New Roman" w:hAnsi="Times New Roman"/>
        </w:rPr>
        <w:t xml:space="preserve"> Article 27 of the Agreement anticipates a commencement date of 1 July 2017, but commencement is not time limited. The Agreement could commence at any time after 1 July 2017 provided that notes stating that all matters necessary to give effect to the Agreement have been completed have been exchanged through the diplomatic channel. </w:t>
      </w:r>
      <w:r w:rsidRPr="005B0749">
        <w:rPr>
          <w:rFonts w:ascii="Times New Roman" w:hAnsi="Times New Roman"/>
        </w:rPr>
        <w:t xml:space="preserve">  </w:t>
      </w:r>
    </w:p>
    <w:p w:rsidR="00F279C4" w:rsidRDefault="00F279C4" w:rsidP="00F279C4">
      <w:pPr>
        <w:spacing w:before="0" w:after="0"/>
        <w:ind w:right="369"/>
        <w:rPr>
          <w:rFonts w:ascii="Times New Roman" w:hAnsi="Times New Roman"/>
        </w:rPr>
      </w:pPr>
    </w:p>
    <w:p w:rsidR="00F279C4" w:rsidRDefault="00F279C4" w:rsidP="00F279C4">
      <w:pPr>
        <w:spacing w:before="0" w:after="0"/>
        <w:ind w:right="369"/>
        <w:rPr>
          <w:rFonts w:ascii="Times New Roman" w:hAnsi="Times New Roman"/>
        </w:rPr>
      </w:pPr>
      <w:r>
        <w:rPr>
          <w:rFonts w:ascii="Times New Roman" w:hAnsi="Times New Roman"/>
        </w:rPr>
        <w:lastRenderedPageBreak/>
        <w:t xml:space="preserve">As commencement of the Agreement may not be readily traceable by readers, section 2 also provides that the Minister must announce, by notifiable instrument, the day the Agreement enters into force for Australia. </w:t>
      </w:r>
    </w:p>
    <w:p w:rsidR="00F279C4" w:rsidRDefault="00F279C4" w:rsidP="00F279C4">
      <w:pPr>
        <w:spacing w:before="0" w:after="0"/>
        <w:ind w:right="369"/>
        <w:rPr>
          <w:rFonts w:ascii="Times New Roman" w:hAnsi="Times New Roman"/>
        </w:rPr>
      </w:pPr>
    </w:p>
    <w:p w:rsidR="00F279C4" w:rsidRPr="00B7005A" w:rsidRDefault="00F279C4" w:rsidP="00F279C4">
      <w:pPr>
        <w:spacing w:before="0" w:after="0"/>
        <w:ind w:right="369"/>
        <w:rPr>
          <w:rFonts w:ascii="Times New Roman" w:hAnsi="Times New Roman"/>
          <w:iCs/>
        </w:rPr>
      </w:pPr>
      <w:r>
        <w:rPr>
          <w:rFonts w:ascii="Times New Roman" w:hAnsi="Times New Roman"/>
        </w:rPr>
        <w:t xml:space="preserve">Section 3 of the Regulations specifies that the Regulations are made under subsection 8(1) and section 9 of the </w:t>
      </w:r>
      <w:r w:rsidRPr="005B0749">
        <w:rPr>
          <w:rFonts w:ascii="Times New Roman" w:hAnsi="Times New Roman"/>
          <w:i/>
        </w:rPr>
        <w:t>Social Security (International Agreements) Act 1999</w:t>
      </w:r>
      <w:r>
        <w:rPr>
          <w:rFonts w:ascii="Times New Roman" w:hAnsi="Times New Roman"/>
        </w:rPr>
        <w:t>.</w:t>
      </w:r>
    </w:p>
    <w:p w:rsidR="00F279C4" w:rsidRDefault="00F279C4" w:rsidP="00F279C4">
      <w:pPr>
        <w:spacing w:before="0" w:after="0"/>
        <w:ind w:right="369"/>
        <w:rPr>
          <w:rFonts w:ascii="Times New Roman" w:hAnsi="Times New Roman"/>
        </w:rPr>
      </w:pPr>
      <w:r>
        <w:rPr>
          <w:rFonts w:ascii="Times New Roman" w:hAnsi="Times New Roman"/>
        </w:rPr>
        <w:t xml:space="preserve">Section 4 of the Regulations provides that the Regulations will be repealed the day after Schedule 1 to the Regulations commences.  </w:t>
      </w:r>
      <w:r w:rsidRPr="00920139">
        <w:rPr>
          <w:rFonts w:ascii="Times New Roman" w:hAnsi="Times New Roman"/>
        </w:rPr>
        <w:t xml:space="preserve">Part </w:t>
      </w:r>
      <w:r>
        <w:rPr>
          <w:rFonts w:ascii="Times New Roman" w:hAnsi="Times New Roman"/>
        </w:rPr>
        <w:t>3</w:t>
      </w:r>
      <w:r w:rsidRPr="00920139">
        <w:rPr>
          <w:rFonts w:ascii="Times New Roman" w:hAnsi="Times New Roman"/>
        </w:rPr>
        <w:t xml:space="preserve"> of </w:t>
      </w:r>
      <w:r>
        <w:rPr>
          <w:rFonts w:ascii="Times New Roman" w:hAnsi="Times New Roman"/>
        </w:rPr>
        <w:t xml:space="preserve">Chapter 3 of </w:t>
      </w:r>
      <w:r w:rsidRPr="00920139">
        <w:rPr>
          <w:rFonts w:ascii="Times New Roman" w:hAnsi="Times New Roman"/>
        </w:rPr>
        <w:t xml:space="preserve">the </w:t>
      </w:r>
      <w:r>
        <w:rPr>
          <w:rFonts w:ascii="Times New Roman" w:hAnsi="Times New Roman"/>
        </w:rPr>
        <w:t>Legislation</w:t>
      </w:r>
      <w:r w:rsidRPr="00920139">
        <w:rPr>
          <w:rFonts w:ascii="Times New Roman" w:hAnsi="Times New Roman"/>
        </w:rPr>
        <w:t xml:space="preserve"> Act provides for the automatic repeal of spent legislative instruments, but only those whose only legal effect is to amend or repeal one or more other legislative instruments.</w:t>
      </w:r>
      <w:r>
        <w:rPr>
          <w:rFonts w:ascii="Times New Roman" w:hAnsi="Times New Roman"/>
        </w:rPr>
        <w:t xml:space="preserve"> </w:t>
      </w:r>
      <w:r w:rsidRPr="00920139">
        <w:rPr>
          <w:rFonts w:ascii="Times New Roman" w:hAnsi="Times New Roman"/>
        </w:rPr>
        <w:t xml:space="preserve"> Part</w:t>
      </w:r>
      <w:r>
        <w:rPr>
          <w:rFonts w:ascii="Times New Roman" w:hAnsi="Times New Roman"/>
        </w:rPr>
        <w:t> 3</w:t>
      </w:r>
      <w:r w:rsidRPr="00920139">
        <w:rPr>
          <w:rFonts w:ascii="Times New Roman" w:hAnsi="Times New Roman"/>
        </w:rPr>
        <w:t xml:space="preserve"> </w:t>
      </w:r>
      <w:r>
        <w:rPr>
          <w:rFonts w:ascii="Times New Roman" w:hAnsi="Times New Roman"/>
        </w:rPr>
        <w:t xml:space="preserve">of Chapter 3 of the Legislation Act </w:t>
      </w:r>
      <w:r w:rsidRPr="00920139">
        <w:rPr>
          <w:rFonts w:ascii="Times New Roman" w:hAnsi="Times New Roman"/>
        </w:rPr>
        <w:t xml:space="preserve">does not operate to automatically repeal spent legislative instruments which amend or repeal Acts. </w:t>
      </w:r>
      <w:r>
        <w:rPr>
          <w:rFonts w:ascii="Times New Roman" w:hAnsi="Times New Roman"/>
        </w:rPr>
        <w:t xml:space="preserve"> </w:t>
      </w:r>
      <w:r w:rsidRPr="00920139">
        <w:rPr>
          <w:rFonts w:ascii="Times New Roman" w:hAnsi="Times New Roman"/>
        </w:rPr>
        <w:t xml:space="preserve">For this reason, to ensure </w:t>
      </w:r>
      <w:r>
        <w:rPr>
          <w:rFonts w:ascii="Times New Roman" w:hAnsi="Times New Roman"/>
        </w:rPr>
        <w:t>the Regulations do not remain in force</w:t>
      </w:r>
      <w:r w:rsidRPr="00920139">
        <w:rPr>
          <w:rFonts w:ascii="Times New Roman" w:hAnsi="Times New Roman"/>
        </w:rPr>
        <w:t xml:space="preserve"> once spent, </w:t>
      </w:r>
      <w:r>
        <w:rPr>
          <w:rFonts w:ascii="Times New Roman" w:hAnsi="Times New Roman"/>
        </w:rPr>
        <w:t>section 4 has been included to</w:t>
      </w:r>
      <w:r w:rsidRPr="00920139">
        <w:rPr>
          <w:rFonts w:ascii="Times New Roman" w:hAnsi="Times New Roman"/>
        </w:rPr>
        <w:t xml:space="preserve"> </w:t>
      </w:r>
      <w:r>
        <w:rPr>
          <w:rFonts w:ascii="Times New Roman" w:hAnsi="Times New Roman"/>
        </w:rPr>
        <w:t xml:space="preserve">ensure </w:t>
      </w:r>
      <w:r w:rsidRPr="00920139">
        <w:rPr>
          <w:rFonts w:ascii="Times New Roman" w:hAnsi="Times New Roman"/>
        </w:rPr>
        <w:t xml:space="preserve">that </w:t>
      </w:r>
      <w:r>
        <w:rPr>
          <w:rFonts w:ascii="Times New Roman" w:hAnsi="Times New Roman"/>
        </w:rPr>
        <w:t>the Regulations</w:t>
      </w:r>
      <w:r w:rsidRPr="00920139">
        <w:rPr>
          <w:rFonts w:ascii="Times New Roman" w:hAnsi="Times New Roman"/>
        </w:rPr>
        <w:t xml:space="preserve"> </w:t>
      </w:r>
      <w:r>
        <w:rPr>
          <w:rFonts w:ascii="Times New Roman" w:hAnsi="Times New Roman"/>
        </w:rPr>
        <w:t>will be</w:t>
      </w:r>
      <w:r w:rsidRPr="00920139">
        <w:rPr>
          <w:rFonts w:ascii="Times New Roman" w:hAnsi="Times New Roman"/>
        </w:rPr>
        <w:t xml:space="preserve"> repealed </w:t>
      </w:r>
      <w:r>
        <w:rPr>
          <w:rFonts w:ascii="Times New Roman" w:hAnsi="Times New Roman"/>
        </w:rPr>
        <w:t>once Schedule 1 to the Regulations commences</w:t>
      </w:r>
      <w:r w:rsidRPr="00920139">
        <w:rPr>
          <w:rFonts w:ascii="Times New Roman" w:hAnsi="Times New Roman"/>
        </w:rPr>
        <w:t>.</w:t>
      </w:r>
    </w:p>
    <w:p w:rsidR="00F279C4" w:rsidRDefault="00F279C4" w:rsidP="00F279C4">
      <w:pPr>
        <w:spacing w:before="0" w:after="0"/>
        <w:ind w:right="369"/>
        <w:rPr>
          <w:rFonts w:ascii="Times New Roman" w:hAnsi="Times New Roman"/>
        </w:rPr>
      </w:pPr>
    </w:p>
    <w:p w:rsidR="00F279C4" w:rsidRPr="007110CF" w:rsidRDefault="00F279C4" w:rsidP="00F279C4">
      <w:pPr>
        <w:spacing w:before="0" w:after="0"/>
        <w:ind w:right="369"/>
        <w:rPr>
          <w:rFonts w:ascii="Times New Roman" w:hAnsi="Times New Roman"/>
        </w:rPr>
      </w:pPr>
      <w:r>
        <w:rPr>
          <w:rFonts w:ascii="Times New Roman" w:hAnsi="Times New Roman"/>
        </w:rPr>
        <w:t>Section 5 of the Regulations provides that legislation specified in a Schedule to the instrument is amended or repealed as set out in the applicable items in the Schedule concerned, and any other item in a Schedule to the instrument has effect according to its terms.</w:t>
      </w:r>
    </w:p>
    <w:p w:rsidR="00F279C4" w:rsidRDefault="00F279C4" w:rsidP="00F279C4">
      <w:pPr>
        <w:spacing w:before="0" w:after="0"/>
        <w:ind w:right="371"/>
        <w:rPr>
          <w:rFonts w:ascii="Times New Roman" w:hAnsi="Times New Roman"/>
        </w:rPr>
      </w:pPr>
    </w:p>
    <w:p w:rsidR="00F279C4" w:rsidRDefault="00F279C4" w:rsidP="00F279C4">
      <w:pPr>
        <w:spacing w:before="0" w:after="0"/>
        <w:ind w:right="371"/>
        <w:rPr>
          <w:rFonts w:ascii="Times New Roman" w:hAnsi="Times New Roman"/>
        </w:rPr>
      </w:pPr>
      <w:r>
        <w:rPr>
          <w:rFonts w:ascii="Times New Roman" w:hAnsi="Times New Roman"/>
          <w:b/>
        </w:rPr>
        <w:t>Consultation</w:t>
      </w:r>
    </w:p>
    <w:p w:rsidR="00F279C4" w:rsidRDefault="00F279C4" w:rsidP="00F279C4">
      <w:pPr>
        <w:spacing w:before="0" w:after="0"/>
        <w:ind w:right="371"/>
        <w:rPr>
          <w:rFonts w:ascii="Times New Roman" w:hAnsi="Times New Roman"/>
        </w:rPr>
      </w:pPr>
    </w:p>
    <w:p w:rsidR="00F279C4" w:rsidRDefault="00F279C4" w:rsidP="00F279C4">
      <w:pPr>
        <w:spacing w:before="0" w:after="0"/>
        <w:ind w:right="371"/>
        <w:rPr>
          <w:rFonts w:ascii="Times New Roman" w:hAnsi="Times New Roman"/>
          <w:bCs/>
          <w:lang w:val="en-US"/>
        </w:rPr>
      </w:pPr>
      <w:r>
        <w:rPr>
          <w:rFonts w:ascii="Times New Roman" w:hAnsi="Times New Roman"/>
          <w:bCs/>
          <w:lang w:val="en-US"/>
        </w:rPr>
        <w:t>The Department of Foreign Affairs and Trade and the Attorney-General’s Department were consulted in the preparation of the text of the Agreement.</w:t>
      </w:r>
    </w:p>
    <w:p w:rsidR="00F279C4" w:rsidRDefault="00F279C4" w:rsidP="00F279C4">
      <w:pPr>
        <w:spacing w:before="0" w:after="0"/>
        <w:ind w:right="371"/>
        <w:rPr>
          <w:rFonts w:ascii="Times New Roman" w:hAnsi="Times New Roman"/>
          <w:bCs/>
          <w:lang w:val="en-US"/>
        </w:rPr>
      </w:pPr>
    </w:p>
    <w:p w:rsidR="00F279C4" w:rsidRPr="009764CD" w:rsidRDefault="00F279C4" w:rsidP="00F279C4">
      <w:pPr>
        <w:pStyle w:val="Default"/>
        <w:rPr>
          <w:rFonts w:eastAsia="Times New Roman"/>
          <w:bCs/>
          <w:color w:val="auto"/>
          <w:lang w:val="en-US" w:eastAsia="zh-CN"/>
        </w:rPr>
      </w:pPr>
      <w:r w:rsidRPr="009764CD">
        <w:rPr>
          <w:rFonts w:eastAsia="Times New Roman"/>
          <w:bCs/>
          <w:color w:val="auto"/>
          <w:lang w:val="en-US" w:eastAsia="zh-CN"/>
        </w:rPr>
        <w:t xml:space="preserve">The Department of Social Services (DSS) did not consult </w:t>
      </w:r>
      <w:r>
        <w:rPr>
          <w:rFonts w:eastAsia="Times New Roman"/>
          <w:bCs/>
          <w:color w:val="auto"/>
          <w:lang w:val="en-US" w:eastAsia="zh-CN"/>
        </w:rPr>
        <w:t xml:space="preserve">more broadly </w:t>
      </w:r>
      <w:r w:rsidRPr="009764CD">
        <w:rPr>
          <w:rFonts w:eastAsia="Times New Roman"/>
          <w:bCs/>
          <w:color w:val="auto"/>
          <w:lang w:val="en-US" w:eastAsia="zh-CN"/>
        </w:rPr>
        <w:t>regarding Australia’s proposed entry into the Agreement as there are no major changes to the current Agreement, and nor are significant numbers of people affected.</w:t>
      </w:r>
    </w:p>
    <w:p w:rsidR="00F279C4" w:rsidRPr="009764CD" w:rsidRDefault="00F279C4" w:rsidP="00F279C4">
      <w:pPr>
        <w:pStyle w:val="Default"/>
        <w:rPr>
          <w:rFonts w:eastAsia="Times New Roman"/>
          <w:bCs/>
          <w:color w:val="auto"/>
          <w:lang w:val="en-US" w:eastAsia="zh-CN"/>
        </w:rPr>
      </w:pPr>
    </w:p>
    <w:p w:rsidR="00F279C4" w:rsidRPr="009764CD" w:rsidRDefault="00F279C4" w:rsidP="00F279C4">
      <w:pPr>
        <w:pStyle w:val="Default"/>
        <w:rPr>
          <w:rFonts w:eastAsia="Times New Roman"/>
          <w:bCs/>
          <w:color w:val="auto"/>
          <w:lang w:val="en-US" w:eastAsia="zh-CN"/>
        </w:rPr>
      </w:pPr>
      <w:r w:rsidRPr="009764CD">
        <w:rPr>
          <w:rFonts w:eastAsia="Times New Roman"/>
          <w:bCs/>
          <w:color w:val="auto"/>
          <w:lang w:val="en-US" w:eastAsia="zh-CN"/>
        </w:rPr>
        <w:t>The amendment clarifying that only New Zealand working age residence can be used to qualify a person for Disability Support Pension (DSP) restores the original policy intention of the current Agreement, as agreed by both countries.</w:t>
      </w:r>
    </w:p>
    <w:p w:rsidR="00F279C4" w:rsidRPr="009764CD" w:rsidRDefault="00F279C4" w:rsidP="00F279C4">
      <w:pPr>
        <w:pStyle w:val="Default"/>
        <w:rPr>
          <w:rFonts w:eastAsia="Times New Roman"/>
          <w:bCs/>
          <w:color w:val="auto"/>
          <w:lang w:val="en-US" w:eastAsia="zh-CN"/>
        </w:rPr>
      </w:pPr>
    </w:p>
    <w:p w:rsidR="00F279C4" w:rsidRPr="009764CD" w:rsidRDefault="00F279C4" w:rsidP="00F279C4">
      <w:pPr>
        <w:pStyle w:val="Default"/>
        <w:rPr>
          <w:rFonts w:eastAsia="Times New Roman"/>
          <w:bCs/>
          <w:color w:val="auto"/>
          <w:lang w:val="en-US" w:eastAsia="zh-CN"/>
        </w:rPr>
      </w:pPr>
      <w:r w:rsidRPr="009764CD">
        <w:rPr>
          <w:rFonts w:eastAsia="Times New Roman"/>
          <w:bCs/>
          <w:color w:val="auto"/>
          <w:lang w:val="en-US" w:eastAsia="zh-CN"/>
        </w:rPr>
        <w:t>Amendments to require claimants to meet the qualifying age for pension from both countries cater for pending changes in the qualifying age for the Age Pension, which begin from 1 July 2017.  The qualifying age will increase in six-monthly increments from the current qualifying age of 65 until it reaches 67 by July 2023.  This amendment aligns the Agreement with domestic provisions and ensures that people who wish to use the Agreement are eligible for the age pension from both countries, consistent with the cost-sharing principles underlying the Agreement.</w:t>
      </w:r>
    </w:p>
    <w:p w:rsidR="00F279C4" w:rsidRPr="009764CD" w:rsidRDefault="00F279C4" w:rsidP="00F279C4">
      <w:pPr>
        <w:pStyle w:val="Default"/>
        <w:rPr>
          <w:rFonts w:eastAsia="Times New Roman"/>
          <w:bCs/>
          <w:color w:val="auto"/>
          <w:lang w:val="en-US" w:eastAsia="zh-CN"/>
        </w:rPr>
      </w:pPr>
    </w:p>
    <w:p w:rsidR="00F279C4" w:rsidRPr="009764CD" w:rsidRDefault="00F279C4" w:rsidP="00F279C4">
      <w:pPr>
        <w:pStyle w:val="Default"/>
        <w:rPr>
          <w:rFonts w:eastAsia="Times New Roman"/>
          <w:bCs/>
          <w:color w:val="auto"/>
          <w:lang w:val="en-US" w:eastAsia="zh-CN"/>
        </w:rPr>
      </w:pPr>
      <w:r w:rsidRPr="009764CD">
        <w:rPr>
          <w:rFonts w:eastAsia="Times New Roman"/>
          <w:bCs/>
          <w:color w:val="auto"/>
          <w:lang w:val="en-US" w:eastAsia="zh-CN"/>
        </w:rPr>
        <w:t xml:space="preserve">The amendments to reduce the period of portability in third countries under the Agreement and align and tie them to Australia’s social security law will make them consistent with the portability period applying to all other DSP and Carer Payment recipients. </w:t>
      </w:r>
    </w:p>
    <w:p w:rsidR="00F279C4" w:rsidRPr="009764CD" w:rsidRDefault="00F279C4" w:rsidP="00F279C4">
      <w:pPr>
        <w:pStyle w:val="Default"/>
        <w:rPr>
          <w:rFonts w:eastAsia="Times New Roman"/>
          <w:bCs/>
          <w:color w:val="auto"/>
          <w:lang w:val="en-US" w:eastAsia="zh-CN"/>
        </w:rPr>
      </w:pPr>
    </w:p>
    <w:p w:rsidR="00F279C4" w:rsidRDefault="00F279C4" w:rsidP="00F279C4">
      <w:pPr>
        <w:spacing w:before="0" w:after="0"/>
        <w:ind w:right="371"/>
        <w:rPr>
          <w:rFonts w:ascii="Times New Roman" w:hAnsi="Times New Roman"/>
          <w:b/>
        </w:rPr>
      </w:pPr>
      <w:r w:rsidRPr="006D216C">
        <w:rPr>
          <w:rFonts w:ascii="Times New Roman" w:hAnsi="Times New Roman"/>
          <w:b/>
        </w:rPr>
        <w:t>Regulatory Impact Analysis</w:t>
      </w:r>
    </w:p>
    <w:p w:rsidR="00F279C4" w:rsidRPr="006D216C" w:rsidRDefault="00F279C4" w:rsidP="00F279C4">
      <w:pPr>
        <w:spacing w:before="0" w:after="0"/>
        <w:ind w:right="371"/>
        <w:rPr>
          <w:rFonts w:ascii="Times New Roman" w:hAnsi="Times New Roman"/>
          <w:b/>
        </w:rPr>
      </w:pPr>
    </w:p>
    <w:p w:rsidR="00F279C4" w:rsidRPr="006D216C" w:rsidRDefault="00F279C4" w:rsidP="00F279C4">
      <w:pPr>
        <w:spacing w:before="0" w:after="0"/>
        <w:rPr>
          <w:rFonts w:ascii="Times New Roman" w:hAnsi="Times New Roman"/>
        </w:rPr>
      </w:pPr>
      <w:r>
        <w:rPr>
          <w:rFonts w:ascii="Times New Roman" w:hAnsi="Times New Roman"/>
          <w:bCs/>
        </w:rPr>
        <w:t>The Department of Social Services</w:t>
      </w:r>
      <w:r w:rsidRPr="006D216C">
        <w:rPr>
          <w:rFonts w:ascii="Times New Roman" w:hAnsi="Times New Roman"/>
          <w:bCs/>
        </w:rPr>
        <w:t xml:space="preserve"> consulted with the Office of Best Practice Regulation (‘OBPR’) in relation to the requirement for a Regulation Impact Statement.  OBPR advised that</w:t>
      </w:r>
      <w:r>
        <w:rPr>
          <w:rFonts w:ascii="Times New Roman" w:hAnsi="Times New Roman"/>
          <w:bCs/>
        </w:rPr>
        <w:t xml:space="preserve"> </w:t>
      </w:r>
      <w:r w:rsidRPr="003863D6">
        <w:rPr>
          <w:rFonts w:ascii="Times New Roman" w:hAnsi="Times New Roman"/>
        </w:rPr>
        <w:t>the regulatory impacts of the Agreement are nil and the RIS requirements have been met (reference 16543)</w:t>
      </w:r>
      <w:r>
        <w:rPr>
          <w:rFonts w:ascii="Times New Roman" w:hAnsi="Times New Roman"/>
          <w:bCs/>
        </w:rPr>
        <w:t>.</w:t>
      </w:r>
      <w:r w:rsidRPr="006D216C">
        <w:rPr>
          <w:rFonts w:ascii="Times New Roman" w:hAnsi="Times New Roman"/>
          <w:bCs/>
        </w:rPr>
        <w:t xml:space="preserve"> </w:t>
      </w:r>
    </w:p>
    <w:p w:rsidR="00F279C4" w:rsidRDefault="00F279C4" w:rsidP="00F279C4">
      <w:pPr>
        <w:spacing w:before="0" w:after="0"/>
        <w:ind w:right="371"/>
        <w:rPr>
          <w:rFonts w:ascii="Times New Roman" w:hAnsi="Times New Roman"/>
        </w:rPr>
      </w:pPr>
      <w:r>
        <w:rPr>
          <w:rFonts w:ascii="Times New Roman" w:hAnsi="Times New Roman"/>
        </w:rPr>
        <w:br w:type="page"/>
      </w:r>
    </w:p>
    <w:p w:rsidR="00F279C4" w:rsidRPr="00E4135E" w:rsidRDefault="00F279C4" w:rsidP="00F279C4">
      <w:pPr>
        <w:spacing w:before="0" w:after="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F279C4" w:rsidRDefault="00F279C4" w:rsidP="00F279C4">
      <w:pPr>
        <w:pStyle w:val="Heading2"/>
        <w:keepNext w:val="0"/>
        <w:ind w:left="0"/>
        <w:rPr>
          <w:b/>
        </w:rPr>
      </w:pPr>
    </w:p>
    <w:p w:rsidR="00F279C4" w:rsidRPr="00215F21" w:rsidRDefault="00F279C4" w:rsidP="00F279C4">
      <w:pPr>
        <w:pStyle w:val="Heading2"/>
        <w:keepNext w:val="0"/>
        <w:ind w:left="0"/>
        <w:rPr>
          <w:b/>
        </w:rPr>
      </w:pPr>
      <w:r w:rsidRPr="00215F21">
        <w:rPr>
          <w:b/>
        </w:rPr>
        <w:t xml:space="preserve">Social Security (International Agreements) Amendment </w:t>
      </w:r>
      <w:r>
        <w:rPr>
          <w:b/>
        </w:rPr>
        <w:t>(New Zealand) Regulations</w:t>
      </w:r>
      <w:r w:rsidRPr="00215F21">
        <w:rPr>
          <w:b/>
        </w:rPr>
        <w:t> 201</w:t>
      </w:r>
      <w:r>
        <w:rPr>
          <w:b/>
        </w:rPr>
        <w:t>7</w:t>
      </w:r>
      <w:r w:rsidRPr="00215F21">
        <w:rPr>
          <w:b/>
        </w:rPr>
        <w:t> </w:t>
      </w:r>
    </w:p>
    <w:p w:rsidR="00F279C4" w:rsidRDefault="00F279C4" w:rsidP="00F279C4">
      <w:pPr>
        <w:spacing w:before="0" w:after="0"/>
        <w:jc w:val="center"/>
        <w:rPr>
          <w:rFonts w:ascii="Times New Roman" w:hAnsi="Times New Roman"/>
          <w:i/>
        </w:rPr>
      </w:pPr>
    </w:p>
    <w:p w:rsidR="00F279C4" w:rsidRPr="00E4135E" w:rsidRDefault="00F279C4" w:rsidP="00F279C4">
      <w:pPr>
        <w:spacing w:before="0" w:after="0"/>
        <w:jc w:val="center"/>
        <w:rPr>
          <w:rFonts w:ascii="Times New Roman" w:hAnsi="Times New Roman"/>
        </w:rPr>
      </w:pPr>
      <w:r w:rsidRPr="00E4135E">
        <w:rPr>
          <w:rFonts w:ascii="Times New Roman" w:hAnsi="Times New Roman"/>
          <w:i/>
        </w:rPr>
        <w:t>Prepared in accordance with Part 3 of the Human Rights (Parliamentary Scrutiny) Act 2011</w:t>
      </w:r>
    </w:p>
    <w:p w:rsidR="00F279C4" w:rsidRPr="00E4135E" w:rsidRDefault="00F279C4" w:rsidP="00F279C4">
      <w:pPr>
        <w:spacing w:before="0" w:after="0"/>
        <w:jc w:val="center"/>
        <w:rPr>
          <w:rFonts w:ascii="Times New Roman" w:hAnsi="Times New Roman"/>
        </w:rPr>
      </w:pPr>
    </w:p>
    <w:p w:rsidR="00F279C4" w:rsidRPr="00E4135E" w:rsidRDefault="00F279C4" w:rsidP="00F279C4">
      <w:pPr>
        <w:spacing w:before="0" w:after="0"/>
        <w:rPr>
          <w:rFonts w:ascii="Times New Roman" w:hAnsi="Times New Roman"/>
        </w:rPr>
      </w:pPr>
      <w:r>
        <w:rPr>
          <w:rFonts w:ascii="Times New Roman" w:hAnsi="Times New Roman"/>
        </w:rPr>
        <w:t xml:space="preserve">This </w:t>
      </w:r>
      <w:r w:rsidRPr="00E4135E">
        <w:rPr>
          <w:rFonts w:ascii="Times New Roman" w:hAnsi="Times New Roman"/>
        </w:rPr>
        <w:t xml:space="preserve">Legislative Instrument is compatible with the human rights and freedoms recognised or declared in the international instruments listed in section 3 of the </w:t>
      </w:r>
      <w:r w:rsidRPr="00E4135E">
        <w:rPr>
          <w:rFonts w:ascii="Times New Roman" w:hAnsi="Times New Roman"/>
          <w:i/>
        </w:rPr>
        <w:t>Human Rights (Parliamentary Scrutiny) Act 2011</w:t>
      </w:r>
      <w:r w:rsidRPr="00E4135E">
        <w:rPr>
          <w:rFonts w:ascii="Times New Roman" w:hAnsi="Times New Roman"/>
        </w:rPr>
        <w:t>.</w:t>
      </w:r>
    </w:p>
    <w:p w:rsidR="00F279C4" w:rsidRPr="00E4135E" w:rsidRDefault="00F279C4" w:rsidP="00F279C4">
      <w:pPr>
        <w:spacing w:before="0" w:after="0"/>
        <w:jc w:val="center"/>
        <w:rPr>
          <w:rFonts w:ascii="Times New Roman" w:hAnsi="Times New Roman"/>
        </w:rPr>
      </w:pPr>
    </w:p>
    <w:p w:rsidR="00F279C4" w:rsidRDefault="00F279C4" w:rsidP="00F279C4">
      <w:pPr>
        <w:spacing w:before="0" w:after="0"/>
        <w:jc w:val="both"/>
        <w:rPr>
          <w:rFonts w:ascii="Times New Roman" w:hAnsi="Times New Roman"/>
          <w:b/>
        </w:rPr>
      </w:pPr>
      <w:r w:rsidRPr="00E4135E">
        <w:rPr>
          <w:rFonts w:ascii="Times New Roman" w:hAnsi="Times New Roman"/>
          <w:b/>
        </w:rPr>
        <w:t>Overview of the Legislative Instrument</w:t>
      </w:r>
    </w:p>
    <w:p w:rsidR="00F279C4" w:rsidRPr="00E4135E" w:rsidRDefault="00F279C4" w:rsidP="00F279C4">
      <w:pPr>
        <w:spacing w:before="0" w:after="0"/>
        <w:jc w:val="both"/>
        <w:rPr>
          <w:rFonts w:ascii="Times New Roman" w:hAnsi="Times New Roman"/>
          <w:b/>
        </w:rPr>
      </w:pPr>
    </w:p>
    <w:p w:rsidR="00F279C4" w:rsidRDefault="00F279C4" w:rsidP="00F279C4">
      <w:pPr>
        <w:spacing w:before="0" w:after="0"/>
        <w:rPr>
          <w:rFonts w:ascii="Times New Roman" w:hAnsi="Times New Roman"/>
        </w:rPr>
      </w:pPr>
      <w:r>
        <w:rPr>
          <w:rFonts w:ascii="Times New Roman" w:hAnsi="Times New Roman"/>
        </w:rPr>
        <w:t xml:space="preserve">This Legislative Instrument replaces Schedule 3 to the </w:t>
      </w:r>
      <w:r>
        <w:rPr>
          <w:rFonts w:ascii="Times New Roman" w:hAnsi="Times New Roman"/>
          <w:i/>
        </w:rPr>
        <w:t xml:space="preserve">Social Security (International Agreements) Act 1999.  </w:t>
      </w:r>
      <w:r w:rsidRPr="008F3FD6">
        <w:rPr>
          <w:rFonts w:ascii="Times New Roman" w:hAnsi="Times New Roman"/>
        </w:rPr>
        <w:t>It c</w:t>
      </w:r>
      <w:r>
        <w:rPr>
          <w:rFonts w:ascii="Times New Roman" w:hAnsi="Times New Roman"/>
        </w:rPr>
        <w:t xml:space="preserve">ontains the terms of the revised Agreement on Social Security between the Government of Australia and the Government of New Zealand made on </w:t>
      </w:r>
      <w:r>
        <w:rPr>
          <w:rFonts w:ascii="Times New Roman" w:hAnsi="Times New Roman"/>
        </w:rPr>
        <w:br/>
        <w:t>8 December 2016.</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The Agreement coordinates the social security systems of Australia and New Zealand to give better income support protection for people who move between the two countries.</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The Agreement clarifies</w:t>
      </w:r>
      <w:r w:rsidRPr="00D45DA4">
        <w:rPr>
          <w:rFonts w:ascii="Times New Roman" w:hAnsi="Times New Roman"/>
        </w:rPr>
        <w:t xml:space="preserve"> that only New Zealand W</w:t>
      </w:r>
      <w:r>
        <w:rPr>
          <w:rFonts w:ascii="Times New Roman" w:hAnsi="Times New Roman"/>
        </w:rPr>
        <w:t xml:space="preserve">orking </w:t>
      </w:r>
      <w:r w:rsidRPr="00D45DA4">
        <w:rPr>
          <w:rFonts w:ascii="Times New Roman" w:hAnsi="Times New Roman"/>
        </w:rPr>
        <w:t>A</w:t>
      </w:r>
      <w:r>
        <w:rPr>
          <w:rFonts w:ascii="Times New Roman" w:hAnsi="Times New Roman"/>
        </w:rPr>
        <w:t xml:space="preserve">ge </w:t>
      </w:r>
      <w:r w:rsidRPr="00D45DA4">
        <w:rPr>
          <w:rFonts w:ascii="Times New Roman" w:hAnsi="Times New Roman"/>
        </w:rPr>
        <w:t>R</w:t>
      </w:r>
      <w:r>
        <w:rPr>
          <w:rFonts w:ascii="Times New Roman" w:hAnsi="Times New Roman"/>
        </w:rPr>
        <w:t xml:space="preserve">esidence </w:t>
      </w:r>
      <w:r w:rsidRPr="004113EC">
        <w:rPr>
          <w:rFonts w:ascii="Times New Roman" w:hAnsi="Times New Roman"/>
        </w:rPr>
        <w:t xml:space="preserve">(defined as residence from age 20 until pension age) </w:t>
      </w:r>
      <w:r w:rsidRPr="00D45DA4">
        <w:rPr>
          <w:rFonts w:ascii="Times New Roman" w:hAnsi="Times New Roman"/>
        </w:rPr>
        <w:t>can be used to meet the 10 year qualifying residence requirement for DSP.  In 2013 the Full Federal Court held, in</w:t>
      </w:r>
      <w:r>
        <w:rPr>
          <w:rFonts w:ascii="Times New Roman" w:hAnsi="Times New Roman"/>
        </w:rPr>
        <w:t xml:space="preserve"> </w:t>
      </w:r>
      <w:r w:rsidRPr="005B0749">
        <w:rPr>
          <w:rFonts w:ascii="Times New Roman" w:hAnsi="Times New Roman"/>
          <w:i/>
        </w:rPr>
        <w:t>Secretary, Department of Families, Housing, Community Services and Indigenous Affairs v</w:t>
      </w:r>
      <w:r w:rsidRPr="00D45DA4">
        <w:rPr>
          <w:rFonts w:ascii="Times New Roman" w:hAnsi="Times New Roman"/>
        </w:rPr>
        <w:t xml:space="preserve"> </w:t>
      </w:r>
      <w:r w:rsidRPr="005B0749">
        <w:rPr>
          <w:rFonts w:ascii="Times New Roman" w:hAnsi="Times New Roman"/>
          <w:i/>
        </w:rPr>
        <w:t>Mahrous</w:t>
      </w:r>
      <w:r w:rsidRPr="00D45DA4">
        <w:rPr>
          <w:rFonts w:ascii="Times New Roman" w:hAnsi="Times New Roman"/>
        </w:rPr>
        <w:t xml:space="preserve"> [2013] FCAFC 75, that Article 12(4) of the current Agreement means that any residence in New Zealand can be used to qualify a person for DSP.  The original intention, agreed by both Parties, was that only </w:t>
      </w:r>
      <w:r>
        <w:rPr>
          <w:rFonts w:ascii="Times New Roman" w:hAnsi="Times New Roman"/>
        </w:rPr>
        <w:t xml:space="preserve">New Zealand </w:t>
      </w:r>
      <w:r w:rsidRPr="00D45DA4">
        <w:rPr>
          <w:rFonts w:ascii="Times New Roman" w:hAnsi="Times New Roman"/>
        </w:rPr>
        <w:t>W</w:t>
      </w:r>
      <w:r>
        <w:rPr>
          <w:rFonts w:ascii="Times New Roman" w:hAnsi="Times New Roman"/>
        </w:rPr>
        <w:t xml:space="preserve">orking </w:t>
      </w:r>
      <w:r w:rsidRPr="00D45DA4">
        <w:rPr>
          <w:rFonts w:ascii="Times New Roman" w:hAnsi="Times New Roman"/>
        </w:rPr>
        <w:t>A</w:t>
      </w:r>
      <w:r>
        <w:rPr>
          <w:rFonts w:ascii="Times New Roman" w:hAnsi="Times New Roman"/>
        </w:rPr>
        <w:t xml:space="preserve">ge </w:t>
      </w:r>
      <w:r w:rsidRPr="00D45DA4">
        <w:rPr>
          <w:rFonts w:ascii="Times New Roman" w:hAnsi="Times New Roman"/>
        </w:rPr>
        <w:t>R</w:t>
      </w:r>
      <w:r>
        <w:rPr>
          <w:rFonts w:ascii="Times New Roman" w:hAnsi="Times New Roman"/>
        </w:rPr>
        <w:t>esidence</w:t>
      </w:r>
      <w:r w:rsidRPr="00D45DA4">
        <w:rPr>
          <w:rFonts w:ascii="Times New Roman" w:hAnsi="Times New Roman"/>
        </w:rPr>
        <w:t xml:space="preserve"> c</w:t>
      </w:r>
      <w:r>
        <w:rPr>
          <w:rFonts w:ascii="Times New Roman" w:hAnsi="Times New Roman"/>
        </w:rPr>
        <w:t>an</w:t>
      </w:r>
      <w:r w:rsidRPr="00D45DA4">
        <w:rPr>
          <w:rFonts w:ascii="Times New Roman" w:hAnsi="Times New Roman"/>
        </w:rPr>
        <w:t xml:space="preserve"> be used.</w:t>
      </w:r>
      <w:r>
        <w:rPr>
          <w:rFonts w:ascii="Times New Roman" w:hAnsi="Times New Roman"/>
        </w:rPr>
        <w:t xml:space="preserve"> </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Additionally, the Agreement t</w:t>
      </w:r>
      <w:r w:rsidRPr="00D45DA4">
        <w:rPr>
          <w:rFonts w:ascii="Times New Roman" w:hAnsi="Times New Roman"/>
        </w:rPr>
        <w:t xml:space="preserve">akes account of the increase in Age Pension age in Australia, which becomes 65.5 in July 2017 and continues to increase by six months every two years until it reaches 67 in July 2023.  </w:t>
      </w:r>
      <w:r>
        <w:rPr>
          <w:rFonts w:ascii="Times New Roman" w:hAnsi="Times New Roman"/>
        </w:rPr>
        <w:t>T</w:t>
      </w:r>
      <w:r w:rsidRPr="00D45DA4">
        <w:rPr>
          <w:rFonts w:ascii="Times New Roman" w:hAnsi="Times New Roman"/>
        </w:rPr>
        <w:t>o claim Age Pension or N</w:t>
      </w:r>
      <w:r>
        <w:rPr>
          <w:rFonts w:ascii="Times New Roman" w:hAnsi="Times New Roman"/>
        </w:rPr>
        <w:t xml:space="preserve">ew </w:t>
      </w:r>
      <w:r w:rsidRPr="00D45DA4">
        <w:rPr>
          <w:rFonts w:ascii="Times New Roman" w:hAnsi="Times New Roman"/>
        </w:rPr>
        <w:t>Z</w:t>
      </w:r>
      <w:r>
        <w:rPr>
          <w:rFonts w:ascii="Times New Roman" w:hAnsi="Times New Roman"/>
        </w:rPr>
        <w:t>ealand</w:t>
      </w:r>
      <w:r w:rsidRPr="00D45DA4">
        <w:rPr>
          <w:rFonts w:ascii="Times New Roman" w:hAnsi="Times New Roman"/>
        </w:rPr>
        <w:t xml:space="preserve"> Superannuation</w:t>
      </w:r>
      <w:r>
        <w:rPr>
          <w:rFonts w:ascii="Times New Roman" w:hAnsi="Times New Roman"/>
        </w:rPr>
        <w:t xml:space="preserve"> under the revised Agreement</w:t>
      </w:r>
      <w:r w:rsidRPr="00D45DA4">
        <w:rPr>
          <w:rFonts w:ascii="Times New Roman" w:hAnsi="Times New Roman"/>
        </w:rPr>
        <w:t>, a person must have reached whichever pension age is higher at the time they claim.</w:t>
      </w:r>
    </w:p>
    <w:p w:rsidR="00F279C4" w:rsidRPr="004113EC" w:rsidRDefault="00F279C4" w:rsidP="00F279C4">
      <w:pPr>
        <w:tabs>
          <w:tab w:val="left" w:pos="851"/>
        </w:tabs>
        <w:autoSpaceDE w:val="0"/>
        <w:autoSpaceDN w:val="0"/>
        <w:adjustRightInd w:val="0"/>
        <w:spacing w:before="0" w:after="0"/>
        <w:rPr>
          <w:rFonts w:ascii="Times New Roman" w:hAnsi="Times New Roman"/>
        </w:rPr>
      </w:pPr>
    </w:p>
    <w:p w:rsidR="00F279C4" w:rsidRDefault="00F279C4" w:rsidP="00F279C4">
      <w:pPr>
        <w:tabs>
          <w:tab w:val="left" w:pos="851"/>
        </w:tabs>
        <w:autoSpaceDE w:val="0"/>
        <w:autoSpaceDN w:val="0"/>
        <w:adjustRightInd w:val="0"/>
        <w:spacing w:before="0" w:after="0"/>
        <w:rPr>
          <w:rFonts w:ascii="Times New Roman" w:hAnsi="Times New Roman"/>
        </w:rPr>
      </w:pPr>
      <w:r>
        <w:rPr>
          <w:rFonts w:ascii="Times New Roman" w:hAnsi="Times New Roman"/>
        </w:rPr>
        <w:t>Furthermore, the Agreement aligns and ties p</w:t>
      </w:r>
      <w:r w:rsidRPr="004113EC">
        <w:rPr>
          <w:rFonts w:ascii="Times New Roman" w:hAnsi="Times New Roman"/>
        </w:rPr>
        <w:t xml:space="preserve">ortability of payments in third countries </w:t>
      </w:r>
      <w:r>
        <w:rPr>
          <w:rFonts w:ascii="Times New Roman" w:hAnsi="Times New Roman"/>
        </w:rPr>
        <w:t>t</w:t>
      </w:r>
      <w:r w:rsidRPr="004113EC">
        <w:rPr>
          <w:rFonts w:ascii="Times New Roman" w:hAnsi="Times New Roman"/>
        </w:rPr>
        <w:t>o portability provisions in the social security law of Australia.  The current Agreement specifies that a payment under the Agreement is payable in a third country for 26 weeks, whereas under the social security law Carer Payment is payable outside Australia for six weeks and DSP is generally payable for four weeks in any 12 month period.</w:t>
      </w:r>
    </w:p>
    <w:p w:rsidR="00F279C4" w:rsidRDefault="00F279C4" w:rsidP="00F279C4">
      <w:pPr>
        <w:tabs>
          <w:tab w:val="left" w:pos="851"/>
        </w:tabs>
        <w:autoSpaceDE w:val="0"/>
        <w:autoSpaceDN w:val="0"/>
        <w:adjustRightInd w:val="0"/>
        <w:spacing w:before="0" w:after="0"/>
        <w:rPr>
          <w:rFonts w:ascii="Times New Roman" w:hAnsi="Times New Roman"/>
        </w:rPr>
      </w:pPr>
    </w:p>
    <w:p w:rsidR="00F279C4" w:rsidRDefault="00F279C4" w:rsidP="00F279C4">
      <w:pPr>
        <w:tabs>
          <w:tab w:val="left" w:pos="851"/>
        </w:tabs>
        <w:autoSpaceDE w:val="0"/>
        <w:autoSpaceDN w:val="0"/>
        <w:adjustRightInd w:val="0"/>
        <w:spacing w:before="0" w:after="0"/>
        <w:rPr>
          <w:rFonts w:ascii="Times New Roman" w:hAnsi="Times New Roman"/>
          <w:b/>
        </w:rPr>
      </w:pPr>
      <w:r w:rsidRPr="00E4135E">
        <w:rPr>
          <w:rFonts w:ascii="Times New Roman" w:hAnsi="Times New Roman"/>
          <w:b/>
        </w:rPr>
        <w:t>Human rights implications</w:t>
      </w:r>
    </w:p>
    <w:p w:rsidR="00F279C4" w:rsidRPr="004113EC" w:rsidRDefault="00F279C4" w:rsidP="00F279C4">
      <w:pPr>
        <w:tabs>
          <w:tab w:val="left" w:pos="851"/>
        </w:tabs>
        <w:autoSpaceDE w:val="0"/>
        <w:autoSpaceDN w:val="0"/>
        <w:adjustRightInd w:val="0"/>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 xml:space="preserve">This Legislative Instrument has considered the human rights implications particularly with reference to the right to social security as contained within Article 9 of the </w:t>
      </w:r>
      <w:r w:rsidRPr="00293978">
        <w:rPr>
          <w:rFonts w:ascii="Times New Roman" w:hAnsi="Times New Roman"/>
        </w:rPr>
        <w:t>International Covenant on Economic, Social and Cultural Rights</w:t>
      </w:r>
      <w:r>
        <w:rPr>
          <w:rFonts w:ascii="Times New Roman" w:hAnsi="Times New Roman"/>
        </w:rPr>
        <w:t xml:space="preserve">.  </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This Legislative Instrument supports the right to social security as it allows people in both Australia and New Zealand to access social security assistance that would not have otherwise been available to them.</w:t>
      </w:r>
    </w:p>
    <w:p w:rsidR="00F279C4" w:rsidRDefault="00F279C4" w:rsidP="00F279C4">
      <w:pPr>
        <w:spacing w:before="0" w:after="0"/>
        <w:rPr>
          <w:rFonts w:ascii="Times New Roman" w:hAnsi="Times New Roman"/>
        </w:rPr>
      </w:pPr>
    </w:p>
    <w:p w:rsidR="00F279C4" w:rsidRDefault="00F279C4" w:rsidP="00F279C4">
      <w:pPr>
        <w:spacing w:before="0" w:after="0"/>
        <w:rPr>
          <w:rFonts w:ascii="Times New Roman" w:hAnsi="Times New Roman"/>
        </w:rPr>
      </w:pPr>
      <w:r>
        <w:rPr>
          <w:rFonts w:ascii="Times New Roman" w:hAnsi="Times New Roman"/>
        </w:rPr>
        <w:t>T</w:t>
      </w:r>
      <w:r w:rsidRPr="006B2725">
        <w:rPr>
          <w:rFonts w:ascii="Times New Roman" w:hAnsi="Times New Roman"/>
        </w:rPr>
        <w:t>he amended qualifying</w:t>
      </w:r>
      <w:r>
        <w:rPr>
          <w:rFonts w:ascii="Times New Roman" w:hAnsi="Times New Roman"/>
        </w:rPr>
        <w:t xml:space="preserve"> conditions contained in the Legislative Instrument are </w:t>
      </w:r>
      <w:r w:rsidRPr="0055220D">
        <w:rPr>
          <w:rFonts w:ascii="Times New Roman" w:hAnsi="Times New Roman"/>
        </w:rPr>
        <w:t>reasonable, proportionate and transparent.</w:t>
      </w:r>
      <w:r>
        <w:rPr>
          <w:rFonts w:ascii="Times New Roman" w:hAnsi="Times New Roman"/>
        </w:rPr>
        <w:t xml:space="preserve">  </w:t>
      </w:r>
      <w:r w:rsidRPr="0055220D">
        <w:rPr>
          <w:rFonts w:ascii="Times New Roman" w:hAnsi="Times New Roman"/>
        </w:rPr>
        <w:t xml:space="preserve">Most significantly, these conditions will ensure that </w:t>
      </w:r>
      <w:r>
        <w:rPr>
          <w:rFonts w:ascii="Times New Roman" w:hAnsi="Times New Roman"/>
        </w:rPr>
        <w:t xml:space="preserve">benefits </w:t>
      </w:r>
      <w:r w:rsidRPr="0055220D">
        <w:rPr>
          <w:rFonts w:ascii="Times New Roman" w:hAnsi="Times New Roman"/>
        </w:rPr>
        <w:t xml:space="preserve">available under the </w:t>
      </w:r>
      <w:r>
        <w:rPr>
          <w:rFonts w:ascii="Times New Roman" w:hAnsi="Times New Roman"/>
        </w:rPr>
        <w:t>A</w:t>
      </w:r>
      <w:r w:rsidRPr="0055220D">
        <w:rPr>
          <w:rFonts w:ascii="Times New Roman" w:hAnsi="Times New Roman"/>
        </w:rPr>
        <w:t xml:space="preserve">greement are </w:t>
      </w:r>
      <w:r>
        <w:rPr>
          <w:rFonts w:ascii="Times New Roman" w:hAnsi="Times New Roman"/>
        </w:rPr>
        <w:t>not more favourable than</w:t>
      </w:r>
      <w:r w:rsidRPr="0055220D">
        <w:rPr>
          <w:rFonts w:ascii="Times New Roman" w:hAnsi="Times New Roman"/>
        </w:rPr>
        <w:t xml:space="preserve"> benefits available domestically.</w:t>
      </w:r>
    </w:p>
    <w:p w:rsidR="00F279C4" w:rsidRDefault="00F279C4" w:rsidP="00F279C4">
      <w:pPr>
        <w:spacing w:before="0" w:after="0"/>
        <w:rPr>
          <w:rFonts w:ascii="Times New Roman" w:hAnsi="Times New Roman"/>
          <w:b/>
        </w:rPr>
      </w:pPr>
    </w:p>
    <w:p w:rsidR="00F279C4" w:rsidRDefault="00F279C4" w:rsidP="00F279C4">
      <w:pPr>
        <w:spacing w:before="0" w:after="0"/>
        <w:rPr>
          <w:rFonts w:ascii="Times New Roman" w:hAnsi="Times New Roman"/>
        </w:rPr>
      </w:pPr>
      <w:r w:rsidRPr="0055220D">
        <w:rPr>
          <w:rFonts w:ascii="Times New Roman" w:hAnsi="Times New Roman"/>
        </w:rPr>
        <w:t>The Legislative Instrument preserve</w:t>
      </w:r>
      <w:r>
        <w:rPr>
          <w:rFonts w:ascii="Times New Roman" w:hAnsi="Times New Roman"/>
        </w:rPr>
        <w:t>s</w:t>
      </w:r>
      <w:r w:rsidRPr="0055220D">
        <w:rPr>
          <w:rFonts w:ascii="Times New Roman" w:hAnsi="Times New Roman"/>
        </w:rPr>
        <w:t xml:space="preserve"> the entitlements of those persons currently receiving benefits under the current </w:t>
      </w:r>
      <w:r>
        <w:rPr>
          <w:rFonts w:ascii="Times New Roman" w:hAnsi="Times New Roman"/>
        </w:rPr>
        <w:t>arrangements</w:t>
      </w:r>
      <w:r w:rsidRPr="0055220D">
        <w:rPr>
          <w:rFonts w:ascii="Times New Roman" w:hAnsi="Times New Roman"/>
        </w:rPr>
        <w:t>.  Specifically people granted DSP through use of residence in New Zealand at any age will be grandfathered, and people receiving payment outside Australia and New Zealand at implementation will continue to be entitled to 26 weeks portability.</w:t>
      </w:r>
    </w:p>
    <w:p w:rsidR="00F279C4" w:rsidRPr="0055220D" w:rsidRDefault="00F279C4" w:rsidP="00F279C4">
      <w:pPr>
        <w:spacing w:before="0" w:after="0"/>
        <w:rPr>
          <w:rFonts w:ascii="Times New Roman" w:hAnsi="Times New Roman"/>
          <w:b/>
        </w:rPr>
      </w:pPr>
    </w:p>
    <w:p w:rsidR="00F279C4" w:rsidRDefault="00F279C4" w:rsidP="00F279C4">
      <w:pPr>
        <w:spacing w:before="0" w:after="0"/>
        <w:rPr>
          <w:rFonts w:ascii="Times New Roman" w:hAnsi="Times New Roman"/>
          <w:b/>
        </w:rPr>
      </w:pPr>
      <w:r w:rsidRPr="00E4135E">
        <w:rPr>
          <w:rFonts w:ascii="Times New Roman" w:hAnsi="Times New Roman"/>
          <w:b/>
        </w:rPr>
        <w:t>Conclusion</w:t>
      </w:r>
    </w:p>
    <w:p w:rsidR="00F279C4" w:rsidRPr="00E4135E" w:rsidRDefault="00F279C4" w:rsidP="00F279C4">
      <w:pPr>
        <w:spacing w:before="0" w:after="0"/>
        <w:rPr>
          <w:rFonts w:ascii="Times New Roman" w:hAnsi="Times New Roman"/>
          <w:b/>
        </w:rPr>
      </w:pPr>
    </w:p>
    <w:p w:rsidR="00F279C4" w:rsidRPr="00D664E6" w:rsidRDefault="00F279C4" w:rsidP="00F279C4">
      <w:pPr>
        <w:spacing w:before="0" w:after="0"/>
        <w:rPr>
          <w:rFonts w:ascii="Times New Roman" w:hAnsi="Times New Roman"/>
        </w:rPr>
      </w:pPr>
      <w:r>
        <w:rPr>
          <w:rFonts w:ascii="Times New Roman" w:hAnsi="Times New Roman"/>
        </w:rPr>
        <w:t xml:space="preserve">The </w:t>
      </w:r>
      <w:r w:rsidRPr="00D664E6">
        <w:rPr>
          <w:rFonts w:ascii="Times New Roman" w:hAnsi="Times New Roman"/>
        </w:rPr>
        <w:t xml:space="preserve">Legislative Instrument </w:t>
      </w:r>
      <w:r>
        <w:rPr>
          <w:rFonts w:ascii="Times New Roman" w:hAnsi="Times New Roman"/>
        </w:rPr>
        <w:t>supports the right to social security and is compatible with human rights.  To the extent that this human rights obligation is engaged, it is reasonable, proportionate and transparent in achieving its objectives.</w:t>
      </w:r>
    </w:p>
    <w:p w:rsidR="00F279C4" w:rsidRPr="00E4135E" w:rsidRDefault="00F279C4" w:rsidP="00F279C4">
      <w:pPr>
        <w:spacing w:before="0" w:after="0"/>
        <w:jc w:val="center"/>
        <w:rPr>
          <w:rFonts w:ascii="Times New Roman" w:hAnsi="Times New Roman"/>
        </w:rPr>
      </w:pPr>
    </w:p>
    <w:p w:rsidR="00F279C4" w:rsidRPr="005C3AA9" w:rsidRDefault="00F279C4" w:rsidP="00F279C4">
      <w:pPr>
        <w:spacing w:before="0" w:after="0"/>
        <w:jc w:val="center"/>
        <w:rPr>
          <w:rStyle w:val="BookTitle"/>
          <w:i w:val="0"/>
          <w:iCs w:val="0"/>
          <w:smallCaps w:val="0"/>
        </w:rPr>
      </w:pPr>
      <w:r>
        <w:rPr>
          <w:rFonts w:ascii="Times New Roman" w:hAnsi="Times New Roman"/>
          <w:b/>
        </w:rPr>
        <w:t>The Department of Social Services</w:t>
      </w:r>
    </w:p>
    <w:p w:rsidR="00F279C4" w:rsidRDefault="00F279C4" w:rsidP="00F279C4">
      <w:pPr>
        <w:spacing w:before="0" w:after="0"/>
        <w:ind w:right="371"/>
        <w:jc w:val="center"/>
        <w:rPr>
          <w:rFonts w:ascii="Times New Roman" w:hAnsi="Times New Roman"/>
          <w:b/>
        </w:rPr>
      </w:pPr>
    </w:p>
    <w:p w:rsidR="00F279C4" w:rsidRDefault="00F279C4" w:rsidP="00F279C4">
      <w:pPr>
        <w:spacing w:before="0" w:after="0"/>
        <w:ind w:right="371"/>
        <w:jc w:val="center"/>
        <w:rPr>
          <w:rFonts w:ascii="Times New Roman" w:hAnsi="Times New Roman"/>
          <w:b/>
        </w:rPr>
      </w:pPr>
    </w:p>
    <w:p w:rsidR="00F279C4" w:rsidRDefault="00F279C4" w:rsidP="00F279C4">
      <w:pPr>
        <w:spacing w:before="0" w:after="0"/>
        <w:ind w:right="371"/>
        <w:jc w:val="center"/>
        <w:rPr>
          <w:rFonts w:ascii="Times New Roman" w:hAnsi="Times New Roman"/>
          <w:b/>
        </w:rPr>
      </w:pPr>
    </w:p>
    <w:p w:rsidR="00F279C4" w:rsidRPr="00B76254" w:rsidRDefault="00F279C4" w:rsidP="00F279C4">
      <w:pPr>
        <w:spacing w:before="0" w:after="0"/>
        <w:ind w:right="371"/>
        <w:jc w:val="center"/>
        <w:rPr>
          <w:rFonts w:ascii="Times New Roman" w:hAnsi="Times New Roman"/>
        </w:rPr>
      </w:pPr>
    </w:p>
    <w:p w:rsidR="00BC7DC3" w:rsidRPr="00B76254" w:rsidRDefault="00BC7DC3" w:rsidP="0004598C">
      <w:pPr>
        <w:spacing w:before="0" w:after="0"/>
        <w:ind w:right="371"/>
        <w:jc w:val="center"/>
        <w:rPr>
          <w:rFonts w:ascii="Times New Roman" w:hAnsi="Times New Roman"/>
        </w:rPr>
      </w:pPr>
    </w:p>
    <w:sectPr w:rsidR="00BC7DC3" w:rsidRPr="00B76254" w:rsidSect="000E7F6D">
      <w:headerReference w:type="even" r:id="rId9"/>
      <w:headerReference w:type="default" r:id="rId10"/>
      <w:footerReference w:type="even" r:id="rId11"/>
      <w:footerReference w:type="default" r:id="rId12"/>
      <w:headerReference w:type="first" r:id="rId13"/>
      <w:footerReference w:type="first" r:id="rId14"/>
      <w:pgSz w:w="11907" w:h="16840" w:code="9"/>
      <w:pgMar w:top="862" w:right="1531" w:bottom="1009" w:left="153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36" w:rsidRDefault="00740B36">
      <w:r>
        <w:separator/>
      </w:r>
    </w:p>
  </w:endnote>
  <w:endnote w:type="continuationSeparator" w:id="0">
    <w:p w:rsidR="00740B36" w:rsidRDefault="0074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rial Bold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Pr="0079191B" w:rsidRDefault="00452FD5">
    <w:pPr>
      <w:pStyle w:val="Footer"/>
      <w:jc w:val="center"/>
      <w:rPr>
        <w:rFonts w:ascii="Times New Roman" w:hAnsi="Times New Roman"/>
      </w:rPr>
    </w:pPr>
    <w:r w:rsidRPr="0079191B">
      <w:rPr>
        <w:rStyle w:val="PageNumber"/>
        <w:rFonts w:ascii="Times New Roman" w:hAnsi="Times New Roman"/>
      </w:rPr>
      <w:fldChar w:fldCharType="begin"/>
    </w:r>
    <w:r w:rsidRPr="0079191B">
      <w:rPr>
        <w:rStyle w:val="PageNumber"/>
        <w:rFonts w:ascii="Times New Roman" w:hAnsi="Times New Roman"/>
      </w:rPr>
      <w:instrText xml:space="preserve"> PAGE </w:instrText>
    </w:r>
    <w:r w:rsidRPr="0079191B">
      <w:rPr>
        <w:rStyle w:val="PageNumber"/>
        <w:rFonts w:ascii="Times New Roman" w:hAnsi="Times New Roman"/>
      </w:rPr>
      <w:fldChar w:fldCharType="separate"/>
    </w:r>
    <w:r w:rsidR="000B597C">
      <w:rPr>
        <w:rStyle w:val="PageNumber"/>
        <w:rFonts w:ascii="Times New Roman" w:hAnsi="Times New Roman"/>
        <w:noProof/>
      </w:rPr>
      <w:t>5</w:t>
    </w:r>
    <w:r w:rsidRPr="0079191B">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36" w:rsidRDefault="00740B36">
      <w:r>
        <w:separator/>
      </w:r>
    </w:p>
  </w:footnote>
  <w:footnote w:type="continuationSeparator" w:id="0">
    <w:p w:rsidR="00740B36" w:rsidRDefault="00740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D5" w:rsidRDefault="00452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5016">
      <w:rPr>
        <w:rStyle w:val="PageNumber"/>
        <w:noProof/>
      </w:rPr>
      <w:t>5</w:t>
    </w:r>
    <w:r>
      <w:rPr>
        <w:rStyle w:val="PageNumber"/>
      </w:rPr>
      <w:fldChar w:fldCharType="end"/>
    </w:r>
  </w:p>
  <w:p w:rsidR="00452FD5" w:rsidRDefault="00452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BA" w:rsidRDefault="00C00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14"/>
    <w:multiLevelType w:val="hybridMultilevel"/>
    <w:tmpl w:val="49268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C470099"/>
    <w:multiLevelType w:val="hybridMultilevel"/>
    <w:tmpl w:val="443E831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218D4668"/>
    <w:multiLevelType w:val="hybridMultilevel"/>
    <w:tmpl w:val="719012CC"/>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nsid w:val="25D505D1"/>
    <w:multiLevelType w:val="hybridMultilevel"/>
    <w:tmpl w:val="B1127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CD1C9E"/>
    <w:multiLevelType w:val="hybridMultilevel"/>
    <w:tmpl w:val="C5BE847C"/>
    <w:lvl w:ilvl="0" w:tplc="4BB84EE2">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3BCA6D4B"/>
    <w:multiLevelType w:val="hybridMultilevel"/>
    <w:tmpl w:val="F7E24E12"/>
    <w:lvl w:ilvl="0" w:tplc="FB547E32">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440835"/>
    <w:multiLevelType w:val="hybridMultilevel"/>
    <w:tmpl w:val="19F679AC"/>
    <w:lvl w:ilvl="0" w:tplc="0C09000F">
      <w:start w:val="1"/>
      <w:numFmt w:val="decimal"/>
      <w:lvlText w:val="%1."/>
      <w:lvlJc w:val="left"/>
      <w:pPr>
        <w:ind w:left="360" w:hanging="360"/>
      </w:pPr>
      <w:rPr>
        <w:rFonts w:hint="default"/>
        <w:b w:val="0"/>
      </w:rPr>
    </w:lvl>
    <w:lvl w:ilvl="1" w:tplc="0372652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BE7343"/>
    <w:multiLevelType w:val="hybridMultilevel"/>
    <w:tmpl w:val="4B987CD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66C276E9"/>
    <w:multiLevelType w:val="hybridMultilevel"/>
    <w:tmpl w:val="348E8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3E2763C"/>
    <w:multiLevelType w:val="hybridMultilevel"/>
    <w:tmpl w:val="D8B428F4"/>
    <w:lvl w:ilvl="0" w:tplc="0C090001">
      <w:start w:val="1"/>
      <w:numFmt w:val="bullet"/>
      <w:lvlText w:val=""/>
      <w:lvlJc w:val="left"/>
      <w:pPr>
        <w:tabs>
          <w:tab w:val="num" w:pos="381"/>
        </w:tabs>
        <w:ind w:left="381" w:hanging="360"/>
      </w:pPr>
      <w:rPr>
        <w:rFonts w:ascii="Symbol" w:hAnsi="Symbol" w:hint="default"/>
      </w:rPr>
    </w:lvl>
    <w:lvl w:ilvl="1" w:tplc="0C090003" w:tentative="1">
      <w:start w:val="1"/>
      <w:numFmt w:val="bullet"/>
      <w:lvlText w:val="o"/>
      <w:lvlJc w:val="left"/>
      <w:pPr>
        <w:tabs>
          <w:tab w:val="num" w:pos="1101"/>
        </w:tabs>
        <w:ind w:left="1101" w:hanging="360"/>
      </w:pPr>
      <w:rPr>
        <w:rFonts w:ascii="Courier New" w:hAnsi="Courier New" w:cs="Courier New" w:hint="default"/>
      </w:rPr>
    </w:lvl>
    <w:lvl w:ilvl="2" w:tplc="0C090005" w:tentative="1">
      <w:start w:val="1"/>
      <w:numFmt w:val="bullet"/>
      <w:lvlText w:val=""/>
      <w:lvlJc w:val="left"/>
      <w:pPr>
        <w:tabs>
          <w:tab w:val="num" w:pos="1821"/>
        </w:tabs>
        <w:ind w:left="1821" w:hanging="360"/>
      </w:pPr>
      <w:rPr>
        <w:rFonts w:ascii="Wingdings" w:hAnsi="Wingdings" w:hint="default"/>
      </w:rPr>
    </w:lvl>
    <w:lvl w:ilvl="3" w:tplc="0C090001" w:tentative="1">
      <w:start w:val="1"/>
      <w:numFmt w:val="bullet"/>
      <w:lvlText w:val=""/>
      <w:lvlJc w:val="left"/>
      <w:pPr>
        <w:tabs>
          <w:tab w:val="num" w:pos="2541"/>
        </w:tabs>
        <w:ind w:left="2541" w:hanging="360"/>
      </w:pPr>
      <w:rPr>
        <w:rFonts w:ascii="Symbol" w:hAnsi="Symbol" w:hint="default"/>
      </w:rPr>
    </w:lvl>
    <w:lvl w:ilvl="4" w:tplc="0C090003" w:tentative="1">
      <w:start w:val="1"/>
      <w:numFmt w:val="bullet"/>
      <w:lvlText w:val="o"/>
      <w:lvlJc w:val="left"/>
      <w:pPr>
        <w:tabs>
          <w:tab w:val="num" w:pos="3261"/>
        </w:tabs>
        <w:ind w:left="3261" w:hanging="360"/>
      </w:pPr>
      <w:rPr>
        <w:rFonts w:ascii="Courier New" w:hAnsi="Courier New" w:cs="Courier New" w:hint="default"/>
      </w:rPr>
    </w:lvl>
    <w:lvl w:ilvl="5" w:tplc="0C090005" w:tentative="1">
      <w:start w:val="1"/>
      <w:numFmt w:val="bullet"/>
      <w:lvlText w:val=""/>
      <w:lvlJc w:val="left"/>
      <w:pPr>
        <w:tabs>
          <w:tab w:val="num" w:pos="3981"/>
        </w:tabs>
        <w:ind w:left="3981" w:hanging="360"/>
      </w:pPr>
      <w:rPr>
        <w:rFonts w:ascii="Wingdings" w:hAnsi="Wingdings" w:hint="default"/>
      </w:rPr>
    </w:lvl>
    <w:lvl w:ilvl="6" w:tplc="0C090001" w:tentative="1">
      <w:start w:val="1"/>
      <w:numFmt w:val="bullet"/>
      <w:lvlText w:val=""/>
      <w:lvlJc w:val="left"/>
      <w:pPr>
        <w:tabs>
          <w:tab w:val="num" w:pos="4701"/>
        </w:tabs>
        <w:ind w:left="4701" w:hanging="360"/>
      </w:pPr>
      <w:rPr>
        <w:rFonts w:ascii="Symbol" w:hAnsi="Symbol" w:hint="default"/>
      </w:rPr>
    </w:lvl>
    <w:lvl w:ilvl="7" w:tplc="0C090003" w:tentative="1">
      <w:start w:val="1"/>
      <w:numFmt w:val="bullet"/>
      <w:lvlText w:val="o"/>
      <w:lvlJc w:val="left"/>
      <w:pPr>
        <w:tabs>
          <w:tab w:val="num" w:pos="5421"/>
        </w:tabs>
        <w:ind w:left="5421" w:hanging="360"/>
      </w:pPr>
      <w:rPr>
        <w:rFonts w:ascii="Courier New" w:hAnsi="Courier New" w:cs="Courier New" w:hint="default"/>
      </w:rPr>
    </w:lvl>
    <w:lvl w:ilvl="8" w:tplc="0C090005" w:tentative="1">
      <w:start w:val="1"/>
      <w:numFmt w:val="bullet"/>
      <w:lvlText w:val=""/>
      <w:lvlJc w:val="left"/>
      <w:pPr>
        <w:tabs>
          <w:tab w:val="num" w:pos="6141"/>
        </w:tabs>
        <w:ind w:left="6141"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0"/>
  </w:num>
  <w:num w:numId="6">
    <w:abstractNumId w:val="3"/>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E9"/>
    <w:rsid w:val="0000152F"/>
    <w:rsid w:val="00002DD1"/>
    <w:rsid w:val="0000529D"/>
    <w:rsid w:val="00011050"/>
    <w:rsid w:val="00026B3C"/>
    <w:rsid w:val="00026DE0"/>
    <w:rsid w:val="00041524"/>
    <w:rsid w:val="00044102"/>
    <w:rsid w:val="0004598C"/>
    <w:rsid w:val="00057B40"/>
    <w:rsid w:val="00065A04"/>
    <w:rsid w:val="0006796C"/>
    <w:rsid w:val="00070788"/>
    <w:rsid w:val="0007709A"/>
    <w:rsid w:val="00094AF1"/>
    <w:rsid w:val="000A01F8"/>
    <w:rsid w:val="000A0B20"/>
    <w:rsid w:val="000A175E"/>
    <w:rsid w:val="000B1474"/>
    <w:rsid w:val="000B597C"/>
    <w:rsid w:val="000C2801"/>
    <w:rsid w:val="000E7F6D"/>
    <w:rsid w:val="000F078A"/>
    <w:rsid w:val="000F673E"/>
    <w:rsid w:val="00101F96"/>
    <w:rsid w:val="001044A3"/>
    <w:rsid w:val="00111DDF"/>
    <w:rsid w:val="00134C0D"/>
    <w:rsid w:val="001356DA"/>
    <w:rsid w:val="00135C37"/>
    <w:rsid w:val="00135DF1"/>
    <w:rsid w:val="00155ADF"/>
    <w:rsid w:val="0016316F"/>
    <w:rsid w:val="00180B92"/>
    <w:rsid w:val="00182F93"/>
    <w:rsid w:val="001D0CDE"/>
    <w:rsid w:val="001E085C"/>
    <w:rsid w:val="001F3D09"/>
    <w:rsid w:val="001F4323"/>
    <w:rsid w:val="001F65DF"/>
    <w:rsid w:val="002070CE"/>
    <w:rsid w:val="00215F21"/>
    <w:rsid w:val="00220957"/>
    <w:rsid w:val="00222679"/>
    <w:rsid w:val="002231F2"/>
    <w:rsid w:val="002306C2"/>
    <w:rsid w:val="00242A87"/>
    <w:rsid w:val="00246073"/>
    <w:rsid w:val="00247ADA"/>
    <w:rsid w:val="002537F9"/>
    <w:rsid w:val="00254830"/>
    <w:rsid w:val="002569FB"/>
    <w:rsid w:val="00272CA4"/>
    <w:rsid w:val="00275B2D"/>
    <w:rsid w:val="00275DAB"/>
    <w:rsid w:val="00285B72"/>
    <w:rsid w:val="002900B4"/>
    <w:rsid w:val="00293570"/>
    <w:rsid w:val="002966E9"/>
    <w:rsid w:val="00297BF3"/>
    <w:rsid w:val="002A233E"/>
    <w:rsid w:val="002A3EC7"/>
    <w:rsid w:val="002A4EB0"/>
    <w:rsid w:val="002A6E0A"/>
    <w:rsid w:val="002A76B9"/>
    <w:rsid w:val="002A782F"/>
    <w:rsid w:val="002F3868"/>
    <w:rsid w:val="002F3F62"/>
    <w:rsid w:val="00321878"/>
    <w:rsid w:val="00323273"/>
    <w:rsid w:val="00330C96"/>
    <w:rsid w:val="003318F8"/>
    <w:rsid w:val="003319BB"/>
    <w:rsid w:val="003457C2"/>
    <w:rsid w:val="003558C9"/>
    <w:rsid w:val="00356A02"/>
    <w:rsid w:val="0035790A"/>
    <w:rsid w:val="00364F41"/>
    <w:rsid w:val="003673BB"/>
    <w:rsid w:val="00371C8E"/>
    <w:rsid w:val="003747CD"/>
    <w:rsid w:val="00385F23"/>
    <w:rsid w:val="003863D6"/>
    <w:rsid w:val="003936C9"/>
    <w:rsid w:val="00395D0C"/>
    <w:rsid w:val="003A244E"/>
    <w:rsid w:val="003A61EB"/>
    <w:rsid w:val="003A75A4"/>
    <w:rsid w:val="003A77EB"/>
    <w:rsid w:val="003D0250"/>
    <w:rsid w:val="003D3413"/>
    <w:rsid w:val="003E4096"/>
    <w:rsid w:val="004042B6"/>
    <w:rsid w:val="00407C88"/>
    <w:rsid w:val="00413145"/>
    <w:rsid w:val="0042440D"/>
    <w:rsid w:val="0042554C"/>
    <w:rsid w:val="00435730"/>
    <w:rsid w:val="004403F1"/>
    <w:rsid w:val="0045040E"/>
    <w:rsid w:val="00452FD5"/>
    <w:rsid w:val="00455016"/>
    <w:rsid w:val="004748CA"/>
    <w:rsid w:val="00484D01"/>
    <w:rsid w:val="00492528"/>
    <w:rsid w:val="004A1C61"/>
    <w:rsid w:val="004B6F97"/>
    <w:rsid w:val="004C2E1F"/>
    <w:rsid w:val="004C48D4"/>
    <w:rsid w:val="004C4D9C"/>
    <w:rsid w:val="004D0C94"/>
    <w:rsid w:val="004D3F54"/>
    <w:rsid w:val="004F6F98"/>
    <w:rsid w:val="005053F8"/>
    <w:rsid w:val="00511EB3"/>
    <w:rsid w:val="005158C5"/>
    <w:rsid w:val="00520273"/>
    <w:rsid w:val="00526068"/>
    <w:rsid w:val="00562713"/>
    <w:rsid w:val="00573599"/>
    <w:rsid w:val="005758C3"/>
    <w:rsid w:val="0058236B"/>
    <w:rsid w:val="00586C62"/>
    <w:rsid w:val="005A038C"/>
    <w:rsid w:val="005B0749"/>
    <w:rsid w:val="005E6948"/>
    <w:rsid w:val="005F4579"/>
    <w:rsid w:val="00605601"/>
    <w:rsid w:val="00623A76"/>
    <w:rsid w:val="00634711"/>
    <w:rsid w:val="0064364E"/>
    <w:rsid w:val="00644530"/>
    <w:rsid w:val="006454D3"/>
    <w:rsid w:val="00650A68"/>
    <w:rsid w:val="0067131C"/>
    <w:rsid w:val="0067288C"/>
    <w:rsid w:val="0067404F"/>
    <w:rsid w:val="00674D8F"/>
    <w:rsid w:val="00675034"/>
    <w:rsid w:val="006802D9"/>
    <w:rsid w:val="006864FD"/>
    <w:rsid w:val="006A35D7"/>
    <w:rsid w:val="006A60D8"/>
    <w:rsid w:val="006B0198"/>
    <w:rsid w:val="006C028B"/>
    <w:rsid w:val="006C0B9F"/>
    <w:rsid w:val="006C547D"/>
    <w:rsid w:val="006D216C"/>
    <w:rsid w:val="006D2E28"/>
    <w:rsid w:val="006E0913"/>
    <w:rsid w:val="006E0BB9"/>
    <w:rsid w:val="006E6B5F"/>
    <w:rsid w:val="006F6ABC"/>
    <w:rsid w:val="007043CB"/>
    <w:rsid w:val="007110CF"/>
    <w:rsid w:val="00740B36"/>
    <w:rsid w:val="007413E9"/>
    <w:rsid w:val="00741AEF"/>
    <w:rsid w:val="0075043B"/>
    <w:rsid w:val="0075054B"/>
    <w:rsid w:val="00761443"/>
    <w:rsid w:val="0077497B"/>
    <w:rsid w:val="0077537E"/>
    <w:rsid w:val="00785807"/>
    <w:rsid w:val="0079191B"/>
    <w:rsid w:val="007B5369"/>
    <w:rsid w:val="007C00E0"/>
    <w:rsid w:val="007C1DFF"/>
    <w:rsid w:val="007C2478"/>
    <w:rsid w:val="007D1559"/>
    <w:rsid w:val="007F03B1"/>
    <w:rsid w:val="007F3B88"/>
    <w:rsid w:val="007F64F3"/>
    <w:rsid w:val="007F718D"/>
    <w:rsid w:val="0080314D"/>
    <w:rsid w:val="0081273F"/>
    <w:rsid w:val="00816A44"/>
    <w:rsid w:val="0082375F"/>
    <w:rsid w:val="00832D41"/>
    <w:rsid w:val="008612C1"/>
    <w:rsid w:val="00864405"/>
    <w:rsid w:val="00876008"/>
    <w:rsid w:val="00882E19"/>
    <w:rsid w:val="008843AB"/>
    <w:rsid w:val="00890271"/>
    <w:rsid w:val="008B0E44"/>
    <w:rsid w:val="008B3782"/>
    <w:rsid w:val="008C7BD6"/>
    <w:rsid w:val="008D0DB6"/>
    <w:rsid w:val="008D45E2"/>
    <w:rsid w:val="008E2397"/>
    <w:rsid w:val="008E451F"/>
    <w:rsid w:val="008F66FF"/>
    <w:rsid w:val="00900421"/>
    <w:rsid w:val="00903C0C"/>
    <w:rsid w:val="00920139"/>
    <w:rsid w:val="00932B69"/>
    <w:rsid w:val="00934E89"/>
    <w:rsid w:val="00947A64"/>
    <w:rsid w:val="00983DA9"/>
    <w:rsid w:val="00994F69"/>
    <w:rsid w:val="0099596E"/>
    <w:rsid w:val="009A6DE0"/>
    <w:rsid w:val="009A757F"/>
    <w:rsid w:val="009D6150"/>
    <w:rsid w:val="009D759B"/>
    <w:rsid w:val="009E364C"/>
    <w:rsid w:val="009F34F6"/>
    <w:rsid w:val="00A000E2"/>
    <w:rsid w:val="00A24610"/>
    <w:rsid w:val="00A4647A"/>
    <w:rsid w:val="00A46680"/>
    <w:rsid w:val="00A53997"/>
    <w:rsid w:val="00A57E51"/>
    <w:rsid w:val="00A70116"/>
    <w:rsid w:val="00A744CF"/>
    <w:rsid w:val="00A749AB"/>
    <w:rsid w:val="00A81AA7"/>
    <w:rsid w:val="00A86E0F"/>
    <w:rsid w:val="00A87A42"/>
    <w:rsid w:val="00A93754"/>
    <w:rsid w:val="00A952FD"/>
    <w:rsid w:val="00AA2977"/>
    <w:rsid w:val="00AA2A5F"/>
    <w:rsid w:val="00AB608B"/>
    <w:rsid w:val="00AD0757"/>
    <w:rsid w:val="00AF5B6E"/>
    <w:rsid w:val="00B02446"/>
    <w:rsid w:val="00B05C35"/>
    <w:rsid w:val="00B113F2"/>
    <w:rsid w:val="00B16148"/>
    <w:rsid w:val="00B207BA"/>
    <w:rsid w:val="00B22C37"/>
    <w:rsid w:val="00B22C58"/>
    <w:rsid w:val="00B2535B"/>
    <w:rsid w:val="00B413AC"/>
    <w:rsid w:val="00B45219"/>
    <w:rsid w:val="00B552FD"/>
    <w:rsid w:val="00B7005A"/>
    <w:rsid w:val="00B7283D"/>
    <w:rsid w:val="00B76254"/>
    <w:rsid w:val="00B84D30"/>
    <w:rsid w:val="00B939B4"/>
    <w:rsid w:val="00B957BC"/>
    <w:rsid w:val="00B97396"/>
    <w:rsid w:val="00B977FA"/>
    <w:rsid w:val="00BA5F35"/>
    <w:rsid w:val="00BA7C0D"/>
    <w:rsid w:val="00BC7DC3"/>
    <w:rsid w:val="00BE1DD2"/>
    <w:rsid w:val="00BE2AA4"/>
    <w:rsid w:val="00BE4DD3"/>
    <w:rsid w:val="00BE63E3"/>
    <w:rsid w:val="00BF7C36"/>
    <w:rsid w:val="00C001BA"/>
    <w:rsid w:val="00C030F6"/>
    <w:rsid w:val="00C0545F"/>
    <w:rsid w:val="00C12E29"/>
    <w:rsid w:val="00C1576A"/>
    <w:rsid w:val="00C16D2B"/>
    <w:rsid w:val="00C243B5"/>
    <w:rsid w:val="00C57E21"/>
    <w:rsid w:val="00C62758"/>
    <w:rsid w:val="00C64CCC"/>
    <w:rsid w:val="00C72C51"/>
    <w:rsid w:val="00C830B8"/>
    <w:rsid w:val="00C96A5C"/>
    <w:rsid w:val="00CA0F4B"/>
    <w:rsid w:val="00CB1CB0"/>
    <w:rsid w:val="00CB61C5"/>
    <w:rsid w:val="00CB6B56"/>
    <w:rsid w:val="00CB7572"/>
    <w:rsid w:val="00CB757D"/>
    <w:rsid w:val="00CC33C7"/>
    <w:rsid w:val="00CD0D4A"/>
    <w:rsid w:val="00CE1455"/>
    <w:rsid w:val="00CF2594"/>
    <w:rsid w:val="00CF7FD6"/>
    <w:rsid w:val="00D134CC"/>
    <w:rsid w:val="00D1617E"/>
    <w:rsid w:val="00D166A7"/>
    <w:rsid w:val="00D4105C"/>
    <w:rsid w:val="00D42AD8"/>
    <w:rsid w:val="00D44580"/>
    <w:rsid w:val="00D54159"/>
    <w:rsid w:val="00D6086D"/>
    <w:rsid w:val="00D609DE"/>
    <w:rsid w:val="00D61007"/>
    <w:rsid w:val="00D64DA9"/>
    <w:rsid w:val="00D77EE2"/>
    <w:rsid w:val="00D82AA0"/>
    <w:rsid w:val="00D86B56"/>
    <w:rsid w:val="00DB11E0"/>
    <w:rsid w:val="00DC1550"/>
    <w:rsid w:val="00DC7C2B"/>
    <w:rsid w:val="00DD0AE4"/>
    <w:rsid w:val="00DD554E"/>
    <w:rsid w:val="00E00B58"/>
    <w:rsid w:val="00E03AA8"/>
    <w:rsid w:val="00E05E9D"/>
    <w:rsid w:val="00E244AA"/>
    <w:rsid w:val="00E262DD"/>
    <w:rsid w:val="00E330AF"/>
    <w:rsid w:val="00E534B3"/>
    <w:rsid w:val="00E605D8"/>
    <w:rsid w:val="00E75624"/>
    <w:rsid w:val="00E90BEF"/>
    <w:rsid w:val="00E92203"/>
    <w:rsid w:val="00E9604A"/>
    <w:rsid w:val="00ED09C8"/>
    <w:rsid w:val="00ED2675"/>
    <w:rsid w:val="00EE0906"/>
    <w:rsid w:val="00EE4DEC"/>
    <w:rsid w:val="00F02354"/>
    <w:rsid w:val="00F02FF1"/>
    <w:rsid w:val="00F05A27"/>
    <w:rsid w:val="00F1342E"/>
    <w:rsid w:val="00F279C4"/>
    <w:rsid w:val="00F34BB7"/>
    <w:rsid w:val="00F41C4E"/>
    <w:rsid w:val="00F50062"/>
    <w:rsid w:val="00F60E94"/>
    <w:rsid w:val="00F6137F"/>
    <w:rsid w:val="00F63899"/>
    <w:rsid w:val="00F66C24"/>
    <w:rsid w:val="00F74F22"/>
    <w:rsid w:val="00F85BF4"/>
    <w:rsid w:val="00F87BDA"/>
    <w:rsid w:val="00F949DC"/>
    <w:rsid w:val="00F952D3"/>
    <w:rsid w:val="00F96514"/>
    <w:rsid w:val="00FB006F"/>
    <w:rsid w:val="00FB0724"/>
    <w:rsid w:val="00FB4C0C"/>
    <w:rsid w:val="00FB655D"/>
    <w:rsid w:val="00FC1D7F"/>
    <w:rsid w:val="00FD15B7"/>
    <w:rsid w:val="00FE0130"/>
    <w:rsid w:val="00FE4A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lang w:eastAsia="zh-CN"/>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character" w:styleId="BookTitle">
    <w:name w:val="Book Title"/>
    <w:uiPriority w:val="33"/>
    <w:qFormat/>
    <w:rsid w:val="004403F1"/>
    <w:rPr>
      <w:i/>
      <w:iCs/>
      <w:smallCaps/>
      <w:spacing w:val="5"/>
    </w:rPr>
  </w:style>
  <w:style w:type="paragraph" w:styleId="Revision">
    <w:name w:val="Revision"/>
    <w:hidden/>
    <w:uiPriority w:val="99"/>
    <w:semiHidden/>
    <w:rsid w:val="008D0DB6"/>
    <w:rPr>
      <w:rFonts w:ascii="Arial" w:hAnsi="Arial"/>
      <w:sz w:val="24"/>
      <w:szCs w:val="24"/>
      <w:lang w:eastAsia="zh-CN"/>
    </w:rPr>
  </w:style>
  <w:style w:type="paragraph" w:customStyle="1" w:styleId="Default">
    <w:name w:val="Default"/>
    <w:basedOn w:val="Normal"/>
    <w:rsid w:val="00F279C4"/>
    <w:pPr>
      <w:autoSpaceDE w:val="0"/>
      <w:autoSpaceDN w:val="0"/>
      <w:spacing w:before="0" w:after="0"/>
    </w:pPr>
    <w:rPr>
      <w:rFonts w:ascii="Times New Roman" w:eastAsiaTheme="minorHAnsi" w:hAnsi="Times New Roman"/>
      <w:color w:val="0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z w:val="24"/>
      <w:szCs w:val="24"/>
      <w:lang w:eastAsia="zh-CN"/>
    </w:rPr>
  </w:style>
  <w:style w:type="paragraph" w:styleId="Heading1">
    <w:name w:val="heading 1"/>
    <w:basedOn w:val="Normal"/>
    <w:next w:val="Normal"/>
    <w:qFormat/>
    <w:pPr>
      <w:keepNext/>
      <w:spacing w:before="0" w:after="0"/>
      <w:ind w:left="284" w:right="372"/>
      <w:jc w:val="center"/>
      <w:outlineLvl w:val="0"/>
    </w:pPr>
    <w:rPr>
      <w:rFonts w:ascii="Times New Roman" w:hAnsi="Times New Roman"/>
      <w:szCs w:val="20"/>
      <w:u w:val="single"/>
      <w:lang w:val="en-GB" w:eastAsia="en-US"/>
    </w:rPr>
  </w:style>
  <w:style w:type="paragraph" w:styleId="Heading2">
    <w:name w:val="heading 2"/>
    <w:basedOn w:val="Normal"/>
    <w:next w:val="Normal"/>
    <w:qFormat/>
    <w:pPr>
      <w:keepNext/>
      <w:spacing w:before="0" w:after="0"/>
      <w:ind w:left="284" w:right="372"/>
      <w:jc w:val="center"/>
      <w:outlineLvl w:val="1"/>
    </w:pPr>
    <w:rPr>
      <w:rFonts w:ascii="Times New Roman" w:hAnsi="Times New Roman"/>
      <w:i/>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odule">
    <w:name w:val="HeadingModule"/>
    <w:basedOn w:val="Normal"/>
    <w:autoRedefine/>
    <w:pPr>
      <w:spacing w:before="0" w:after="0"/>
    </w:pPr>
    <w:rPr>
      <w:rFonts w:ascii="Arial Bold" w:hAnsi="Arial Bold"/>
      <w:b/>
      <w:bCs/>
    </w:rPr>
  </w:style>
  <w:style w:type="paragraph" w:customStyle="1" w:styleId="HeadingExample">
    <w:name w:val="HeadingExample"/>
    <w:basedOn w:val="Normal"/>
    <w:autoRedefine/>
    <w:pPr>
      <w:spacing w:before="0" w:after="0"/>
    </w:pPr>
    <w:rPr>
      <w:sz w:val="16"/>
      <w:szCs w:val="16"/>
    </w:rPr>
  </w:style>
  <w:style w:type="paragraph" w:customStyle="1" w:styleId="HeadingDivision">
    <w:name w:val="HeadingDivision"/>
    <w:basedOn w:val="Normal"/>
    <w:next w:val="Normal"/>
    <w:autoRedefine/>
    <w:pPr>
      <w:spacing w:before="0" w:after="0"/>
      <w:ind w:left="1440" w:hanging="1440"/>
    </w:pPr>
    <w:rPr>
      <w:rFonts w:ascii="Arial Bold" w:hAnsi="Arial Bold"/>
      <w:b/>
      <w:bCs/>
    </w:rPr>
  </w:style>
  <w:style w:type="paragraph" w:customStyle="1" w:styleId="textexample">
    <w:name w:val="textexample"/>
    <w:basedOn w:val="Normal"/>
    <w:autoRedefine/>
    <w:pPr>
      <w:spacing w:before="0" w:after="0"/>
    </w:pPr>
    <w:rPr>
      <w:sz w:val="16"/>
      <w:szCs w:val="16"/>
    </w:rPr>
  </w:style>
  <w:style w:type="paragraph" w:customStyle="1" w:styleId="HeadingRateCalculator">
    <w:name w:val="HeadingRateCalculator"/>
    <w:basedOn w:val="Normal"/>
    <w:autoRedefine/>
    <w:pPr>
      <w:spacing w:before="0" w:after="0"/>
      <w:jc w:val="center"/>
    </w:pPr>
    <w:rPr>
      <w:rFonts w:ascii="Arial Bold Italic" w:hAnsi="Arial Bold Italic"/>
      <w:b/>
      <w:bCs/>
      <w:i/>
      <w:iCs/>
    </w:rPr>
  </w:style>
  <w:style w:type="paragraph" w:styleId="BlockText">
    <w:name w:val="Block Text"/>
    <w:basedOn w:val="Normal"/>
    <w:pPr>
      <w:spacing w:before="0" w:after="0"/>
      <w:ind w:left="284" w:right="372"/>
      <w:jc w:val="both"/>
    </w:pPr>
    <w:rPr>
      <w:rFonts w:ascii="Times New Roman" w:hAnsi="Times New Roman"/>
      <w:szCs w:val="20"/>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Char1Char">
    <w:name w:val="Char Char1 Char"/>
    <w:basedOn w:val="Normal"/>
    <w:rsid w:val="00FC1D7F"/>
    <w:pPr>
      <w:spacing w:before="0" w:after="0"/>
    </w:pPr>
    <w:rPr>
      <w:sz w:val="22"/>
      <w:szCs w:val="20"/>
      <w:lang w:eastAsia="en-US"/>
    </w:rPr>
  </w:style>
  <w:style w:type="paragraph" w:styleId="NormalWeb">
    <w:name w:val="Normal (Web)"/>
    <w:basedOn w:val="Normal"/>
    <w:rsid w:val="00FC1D7F"/>
    <w:pPr>
      <w:spacing w:before="100" w:beforeAutospacing="1" w:after="100" w:afterAutospacing="1"/>
    </w:pPr>
    <w:rPr>
      <w:rFonts w:ascii="Times New Roman" w:hAnsi="Times New Roman"/>
      <w:lang w:eastAsia="en-AU"/>
    </w:rPr>
  </w:style>
  <w:style w:type="paragraph" w:customStyle="1" w:styleId="content">
    <w:name w:val="content"/>
    <w:basedOn w:val="Normal"/>
    <w:rsid w:val="00FC1D7F"/>
    <w:pPr>
      <w:spacing w:before="100" w:beforeAutospacing="1" w:after="100" w:afterAutospacing="1"/>
    </w:pPr>
    <w:rPr>
      <w:rFonts w:ascii="Times New Roman" w:hAnsi="Times New Roman"/>
      <w:lang w:eastAsia="en-AU"/>
    </w:rPr>
  </w:style>
  <w:style w:type="character" w:styleId="CommentReference">
    <w:name w:val="annotation reference"/>
    <w:semiHidden/>
    <w:rsid w:val="00CE1455"/>
    <w:rPr>
      <w:sz w:val="16"/>
      <w:szCs w:val="16"/>
    </w:rPr>
  </w:style>
  <w:style w:type="paragraph" w:styleId="CommentText">
    <w:name w:val="annotation text"/>
    <w:basedOn w:val="Normal"/>
    <w:link w:val="CommentTextChar"/>
    <w:semiHidden/>
    <w:rsid w:val="00CE1455"/>
    <w:pPr>
      <w:spacing w:before="240" w:after="0"/>
    </w:pPr>
    <w:rPr>
      <w:rFonts w:ascii="Times New Roman" w:hAnsi="Times New Roman"/>
      <w:sz w:val="20"/>
      <w:szCs w:val="20"/>
      <w:lang w:eastAsia="en-AU"/>
    </w:rPr>
  </w:style>
  <w:style w:type="paragraph" w:styleId="BalloonText">
    <w:name w:val="Balloon Text"/>
    <w:basedOn w:val="Normal"/>
    <w:semiHidden/>
    <w:rsid w:val="00CE1455"/>
    <w:rPr>
      <w:rFonts w:ascii="Tahoma" w:hAnsi="Tahoma" w:cs="Tahoma"/>
      <w:sz w:val="16"/>
      <w:szCs w:val="16"/>
    </w:rPr>
  </w:style>
  <w:style w:type="paragraph" w:customStyle="1" w:styleId="Char">
    <w:name w:val="Char"/>
    <w:basedOn w:val="Normal"/>
    <w:rsid w:val="008B0E44"/>
    <w:pPr>
      <w:spacing w:before="0" w:after="160" w:line="240" w:lineRule="exact"/>
    </w:pPr>
    <w:rPr>
      <w:rFonts w:ascii="Verdana" w:hAnsi="Verdana"/>
      <w:sz w:val="20"/>
      <w:lang w:val="en-US" w:eastAsia="en-US"/>
    </w:rPr>
  </w:style>
  <w:style w:type="paragraph" w:customStyle="1" w:styleId="numberlist">
    <w:name w:val="numberlist"/>
    <w:basedOn w:val="Normal"/>
    <w:rsid w:val="008B0E44"/>
    <w:pPr>
      <w:spacing w:before="100" w:beforeAutospacing="1" w:after="100" w:afterAutospacing="1"/>
    </w:pPr>
    <w:rPr>
      <w:rFonts w:ascii="Times New Roman" w:hAnsi="Times New Roman"/>
      <w:lang w:eastAsia="en-AU"/>
    </w:rPr>
  </w:style>
  <w:style w:type="paragraph" w:styleId="CommentSubject">
    <w:name w:val="annotation subject"/>
    <w:basedOn w:val="CommentText"/>
    <w:next w:val="CommentText"/>
    <w:semiHidden/>
    <w:rsid w:val="00CB61C5"/>
    <w:pPr>
      <w:spacing w:before="120" w:after="120"/>
    </w:pPr>
    <w:rPr>
      <w:rFonts w:ascii="Arial" w:hAnsi="Arial"/>
      <w:b/>
      <w:bCs/>
      <w:lang w:eastAsia="zh-CN"/>
    </w:rPr>
  </w:style>
  <w:style w:type="character" w:customStyle="1" w:styleId="CommentTextChar">
    <w:name w:val="Comment Text Char"/>
    <w:link w:val="CommentText"/>
    <w:semiHidden/>
    <w:rsid w:val="000A175E"/>
  </w:style>
  <w:style w:type="character" w:styleId="BookTitle">
    <w:name w:val="Book Title"/>
    <w:uiPriority w:val="33"/>
    <w:qFormat/>
    <w:rsid w:val="004403F1"/>
    <w:rPr>
      <w:i/>
      <w:iCs/>
      <w:smallCaps/>
      <w:spacing w:val="5"/>
    </w:rPr>
  </w:style>
  <w:style w:type="paragraph" w:styleId="Revision">
    <w:name w:val="Revision"/>
    <w:hidden/>
    <w:uiPriority w:val="99"/>
    <w:semiHidden/>
    <w:rsid w:val="008D0DB6"/>
    <w:rPr>
      <w:rFonts w:ascii="Arial" w:hAnsi="Arial"/>
      <w:sz w:val="24"/>
      <w:szCs w:val="24"/>
      <w:lang w:eastAsia="zh-CN"/>
    </w:rPr>
  </w:style>
  <w:style w:type="paragraph" w:customStyle="1" w:styleId="Default">
    <w:name w:val="Default"/>
    <w:basedOn w:val="Normal"/>
    <w:rsid w:val="00F279C4"/>
    <w:pPr>
      <w:autoSpaceDE w:val="0"/>
      <w:autoSpaceDN w:val="0"/>
      <w:spacing w:before="0" w:after="0"/>
    </w:pPr>
    <w:rPr>
      <w:rFonts w:ascii="Times New Roman" w:eastAsiaTheme="minorHAnsi" w:hAnsi="Times New Roman"/>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889">
      <w:bodyDiv w:val="1"/>
      <w:marLeft w:val="0"/>
      <w:marRight w:val="0"/>
      <w:marTop w:val="0"/>
      <w:marBottom w:val="0"/>
      <w:divBdr>
        <w:top w:val="none" w:sz="0" w:space="0" w:color="auto"/>
        <w:left w:val="none" w:sz="0" w:space="0" w:color="auto"/>
        <w:bottom w:val="none" w:sz="0" w:space="0" w:color="auto"/>
        <w:right w:val="none" w:sz="0" w:space="0" w:color="auto"/>
      </w:divBdr>
    </w:div>
    <w:div w:id="282729545">
      <w:bodyDiv w:val="1"/>
      <w:marLeft w:val="0"/>
      <w:marRight w:val="0"/>
      <w:marTop w:val="0"/>
      <w:marBottom w:val="0"/>
      <w:divBdr>
        <w:top w:val="none" w:sz="0" w:space="0" w:color="auto"/>
        <w:left w:val="none" w:sz="0" w:space="0" w:color="auto"/>
        <w:bottom w:val="none" w:sz="0" w:space="0" w:color="auto"/>
        <w:right w:val="none" w:sz="0" w:space="0" w:color="auto"/>
      </w:divBdr>
    </w:div>
    <w:div w:id="596671036">
      <w:bodyDiv w:val="1"/>
      <w:marLeft w:val="0"/>
      <w:marRight w:val="0"/>
      <w:marTop w:val="0"/>
      <w:marBottom w:val="0"/>
      <w:divBdr>
        <w:top w:val="none" w:sz="0" w:space="0" w:color="auto"/>
        <w:left w:val="none" w:sz="0" w:space="0" w:color="auto"/>
        <w:bottom w:val="none" w:sz="0" w:space="0" w:color="auto"/>
        <w:right w:val="none" w:sz="0" w:space="0" w:color="auto"/>
      </w:divBdr>
    </w:div>
    <w:div w:id="789250456">
      <w:bodyDiv w:val="1"/>
      <w:marLeft w:val="0"/>
      <w:marRight w:val="0"/>
      <w:marTop w:val="0"/>
      <w:marBottom w:val="0"/>
      <w:divBdr>
        <w:top w:val="none" w:sz="0" w:space="0" w:color="auto"/>
        <w:left w:val="none" w:sz="0" w:space="0" w:color="auto"/>
        <w:bottom w:val="none" w:sz="0" w:space="0" w:color="auto"/>
        <w:right w:val="none" w:sz="0" w:space="0" w:color="auto"/>
      </w:divBdr>
    </w:div>
    <w:div w:id="8960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D877-F765-41B9-BA0B-F44EBBC5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10751</Characters>
  <Application>Microsoft Office Word</Application>
  <DocSecurity>4</DocSecurity>
  <Lines>228</Lines>
  <Paragraphs>51</Paragraphs>
  <ScaleCrop>false</ScaleCrop>
  <HeadingPairs>
    <vt:vector size="2" baseType="variant">
      <vt:variant>
        <vt:lpstr>Title</vt:lpstr>
      </vt:variant>
      <vt:variant>
        <vt:i4>1</vt:i4>
      </vt:variant>
    </vt:vector>
  </HeadingPairs>
  <TitlesOfParts>
    <vt:vector size="1" baseType="lpstr">
      <vt:lpstr>Social Security (International Agreements) Amendment Regulation 2012 (No. 1)</vt:lpstr>
    </vt:vector>
  </TitlesOfParts>
  <Company>Families, Houisng, Community Services and Indigenous Affairs</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(International Agreements) Amendment Regulation 2012 (No. 1)</dc:title>
  <dc:subject>Explanatory Statement</dc:subject>
  <dc:creator>Jeff Cressall</dc:creator>
  <cp:lastModifiedBy>POLLDORE, Alex</cp:lastModifiedBy>
  <cp:revision>2</cp:revision>
  <cp:lastPrinted>2017-01-11T00:24:00Z</cp:lastPrinted>
  <dcterms:created xsi:type="dcterms:W3CDTF">2017-02-08T22:03:00Z</dcterms:created>
  <dcterms:modified xsi:type="dcterms:W3CDTF">2017-02-08T22:03:00Z</dcterms:modified>
</cp:coreProperties>
</file>