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7064" w:rsidRPr="00427E2C" w:rsidRDefault="00797064" w:rsidP="005373F8">
      <w:pPr>
        <w:pStyle w:val="Header"/>
        <w:pBdr>
          <w:top w:val="double" w:sz="4" w:space="1" w:color="auto"/>
          <w:bottom w:val="double" w:sz="4" w:space="1" w:color="auto"/>
        </w:pBdr>
        <w:jc w:val="center"/>
        <w:rPr>
          <w:sz w:val="32"/>
          <w:szCs w:val="32"/>
        </w:rPr>
      </w:pPr>
      <w:r w:rsidRPr="00427E2C">
        <w:rPr>
          <w:sz w:val="32"/>
          <w:szCs w:val="32"/>
        </w:rPr>
        <w:t>Explanatory Statement</w:t>
      </w:r>
    </w:p>
    <w:p w:rsidR="00797064" w:rsidRPr="001F2A16" w:rsidRDefault="00797064">
      <w:pPr>
        <w:pStyle w:val="Header"/>
        <w:pBdr>
          <w:top w:val="double" w:sz="4" w:space="1" w:color="auto"/>
          <w:bottom w:val="double" w:sz="4" w:space="1" w:color="auto"/>
        </w:pBdr>
        <w:jc w:val="center"/>
        <w:rPr>
          <w:sz w:val="34"/>
          <w:szCs w:val="34"/>
        </w:rPr>
      </w:pPr>
    </w:p>
    <w:p w:rsidR="0030746E" w:rsidRDefault="0030746E" w:rsidP="0016512C">
      <w:pPr>
        <w:pStyle w:val="Header"/>
        <w:pBdr>
          <w:top w:val="double" w:sz="4" w:space="1" w:color="auto"/>
          <w:bottom w:val="double" w:sz="4" w:space="1" w:color="auto"/>
        </w:pBdr>
        <w:jc w:val="center"/>
        <w:rPr>
          <w:i/>
          <w:iCs/>
          <w:color w:val="000000"/>
          <w:sz w:val="32"/>
          <w:szCs w:val="32"/>
        </w:rPr>
      </w:pPr>
      <w:r>
        <w:rPr>
          <w:sz w:val="32"/>
          <w:szCs w:val="32"/>
        </w:rPr>
        <w:t>Reporting of</w:t>
      </w:r>
      <w:r w:rsidRPr="000B222E">
        <w:rPr>
          <w:sz w:val="32"/>
          <w:szCs w:val="32"/>
        </w:rPr>
        <w:t xml:space="preserve"> all new member accounts and closed member accounts</w:t>
      </w:r>
      <w:r>
        <w:rPr>
          <w:sz w:val="32"/>
          <w:szCs w:val="32"/>
        </w:rPr>
        <w:t xml:space="preserve"> by superannuation providers in relation to superannuation plans (other than self managed superannuation funds) in accordance with the </w:t>
      </w:r>
      <w:r>
        <w:rPr>
          <w:i/>
          <w:iCs/>
          <w:color w:val="000000"/>
          <w:sz w:val="32"/>
          <w:szCs w:val="32"/>
        </w:rPr>
        <w:t>Taxation Administration Act 1953</w:t>
      </w:r>
    </w:p>
    <w:p w:rsidR="00AD0E70" w:rsidRDefault="00AD0E70" w:rsidP="0016512C">
      <w:pPr>
        <w:pStyle w:val="Heading2"/>
        <w:spacing w:before="0"/>
        <w:rPr>
          <w:rFonts w:eastAsia="Times New Roman"/>
          <w:i/>
          <w:iCs/>
          <w:sz w:val="24"/>
          <w:szCs w:val="24"/>
        </w:rPr>
      </w:pPr>
    </w:p>
    <w:p w:rsidR="00797064" w:rsidRPr="00524CAD" w:rsidRDefault="00797064" w:rsidP="00524CAD">
      <w:pPr>
        <w:spacing w:before="100" w:beforeAutospacing="1" w:after="100" w:afterAutospacing="1"/>
        <w:rPr>
          <w:b/>
          <w:bCs/>
          <w:sz w:val="22"/>
          <w:szCs w:val="22"/>
        </w:rPr>
      </w:pPr>
      <w:r w:rsidRPr="00524CAD">
        <w:rPr>
          <w:b/>
          <w:bCs/>
          <w:sz w:val="22"/>
          <w:szCs w:val="22"/>
        </w:rPr>
        <w:t xml:space="preserve">General </w:t>
      </w:r>
      <w:r w:rsidR="00FA4E5A" w:rsidRPr="00524CAD">
        <w:rPr>
          <w:b/>
          <w:bCs/>
          <w:sz w:val="22"/>
          <w:szCs w:val="22"/>
        </w:rPr>
        <w:t>o</w:t>
      </w:r>
      <w:r w:rsidRPr="00524CAD">
        <w:rPr>
          <w:b/>
          <w:bCs/>
          <w:sz w:val="22"/>
          <w:szCs w:val="22"/>
        </w:rPr>
        <w:t xml:space="preserve">utline of </w:t>
      </w:r>
      <w:r w:rsidR="00FA4E5A" w:rsidRPr="00524CAD">
        <w:rPr>
          <w:b/>
          <w:bCs/>
          <w:sz w:val="22"/>
          <w:szCs w:val="22"/>
        </w:rPr>
        <w:t>i</w:t>
      </w:r>
      <w:r w:rsidRPr="00524CAD">
        <w:rPr>
          <w:b/>
          <w:bCs/>
          <w:sz w:val="22"/>
          <w:szCs w:val="22"/>
        </w:rPr>
        <w:t>nstrument</w:t>
      </w:r>
    </w:p>
    <w:p w:rsidR="00797064" w:rsidRPr="00943259" w:rsidRDefault="00797064" w:rsidP="00475A4F">
      <w:pPr>
        <w:numPr>
          <w:ilvl w:val="0"/>
          <w:numId w:val="2"/>
        </w:numPr>
        <w:spacing w:before="0"/>
        <w:rPr>
          <w:sz w:val="22"/>
          <w:szCs w:val="22"/>
        </w:rPr>
      </w:pPr>
      <w:bookmarkStart w:id="0" w:name="IComments"/>
      <w:r w:rsidRPr="00943259">
        <w:rPr>
          <w:sz w:val="22"/>
          <w:szCs w:val="22"/>
        </w:rPr>
        <w:t>This instrument is made under:</w:t>
      </w:r>
    </w:p>
    <w:p w:rsidR="00797064" w:rsidRPr="00943259" w:rsidRDefault="00797064" w:rsidP="0016512C">
      <w:pPr>
        <w:pStyle w:val="ListParagraph"/>
        <w:spacing w:after="120"/>
        <w:ind w:left="1276"/>
        <w:rPr>
          <w:rFonts w:cs="Arial"/>
          <w:szCs w:val="22"/>
        </w:rPr>
      </w:pPr>
      <w:bookmarkStart w:id="1" w:name="OLE_LINK10"/>
      <w:bookmarkStart w:id="2" w:name="OLE_LINK11"/>
      <w:r w:rsidRPr="00943259">
        <w:rPr>
          <w:rFonts w:cs="Arial"/>
          <w:szCs w:val="22"/>
        </w:rPr>
        <w:t xml:space="preserve">Section 286-75, Section 388-50 and Section 390-5 of Schedule 1 to the </w:t>
      </w:r>
      <w:r w:rsidRPr="00943259">
        <w:rPr>
          <w:rFonts w:cs="Arial"/>
          <w:i/>
          <w:szCs w:val="22"/>
        </w:rPr>
        <w:t>Taxation Administration Act 1953</w:t>
      </w:r>
      <w:r w:rsidR="009A48C1">
        <w:rPr>
          <w:rFonts w:cs="Arial"/>
          <w:i/>
          <w:szCs w:val="22"/>
        </w:rPr>
        <w:t xml:space="preserve"> </w:t>
      </w:r>
      <w:r w:rsidR="009A48C1">
        <w:rPr>
          <w:i/>
          <w:szCs w:val="22"/>
        </w:rPr>
        <w:t>(</w:t>
      </w:r>
      <w:r w:rsidR="009A48C1" w:rsidRPr="003526B6">
        <w:rPr>
          <w:i/>
          <w:szCs w:val="22"/>
        </w:rPr>
        <w:t>TAA 1953</w:t>
      </w:r>
      <w:r w:rsidR="009A48C1">
        <w:rPr>
          <w:i/>
          <w:szCs w:val="22"/>
        </w:rPr>
        <w:t>)</w:t>
      </w:r>
    </w:p>
    <w:p w:rsidR="00DF57AE" w:rsidRPr="00943259" w:rsidRDefault="00DF57AE" w:rsidP="0016512C">
      <w:pPr>
        <w:pStyle w:val="ListParagraph"/>
        <w:spacing w:after="120"/>
        <w:ind w:left="1276"/>
        <w:rPr>
          <w:rFonts w:cs="Arial"/>
          <w:szCs w:val="22"/>
        </w:rPr>
      </w:pPr>
    </w:p>
    <w:p w:rsidR="00797064" w:rsidRPr="00943259" w:rsidRDefault="00797064" w:rsidP="0016512C">
      <w:pPr>
        <w:pStyle w:val="ListParagraph"/>
        <w:spacing w:after="120"/>
        <w:ind w:left="1276"/>
        <w:rPr>
          <w:rFonts w:cs="Arial"/>
          <w:szCs w:val="22"/>
        </w:rPr>
      </w:pPr>
      <w:r w:rsidRPr="00943259">
        <w:rPr>
          <w:rFonts w:cs="Arial"/>
          <w:szCs w:val="22"/>
        </w:rPr>
        <w:t xml:space="preserve">Section 17A of the </w:t>
      </w:r>
      <w:r w:rsidRPr="00943259">
        <w:rPr>
          <w:rFonts w:cs="Arial"/>
          <w:i/>
          <w:szCs w:val="22"/>
        </w:rPr>
        <w:t>Superannuation Industry (Supervision) Act 1993</w:t>
      </w:r>
      <w:bookmarkStart w:id="3" w:name="_GoBack"/>
      <w:bookmarkEnd w:id="3"/>
    </w:p>
    <w:bookmarkEnd w:id="1"/>
    <w:bookmarkEnd w:id="2"/>
    <w:p w:rsidR="00797064" w:rsidRPr="00943259" w:rsidRDefault="00797064" w:rsidP="00797064">
      <w:pPr>
        <w:numPr>
          <w:ilvl w:val="0"/>
          <w:numId w:val="2"/>
        </w:numPr>
        <w:spacing w:before="0"/>
        <w:rPr>
          <w:sz w:val="22"/>
          <w:szCs w:val="22"/>
        </w:rPr>
      </w:pPr>
      <w:r w:rsidRPr="00943259">
        <w:rPr>
          <w:sz w:val="22"/>
          <w:szCs w:val="22"/>
        </w:rPr>
        <w:t xml:space="preserve">This instrument sets out the way in which superannuation providers in relation to superannuation plans (other than self managed superannuation funds) are required to </w:t>
      </w:r>
      <w:r w:rsidR="0030746E" w:rsidRPr="00943259">
        <w:rPr>
          <w:sz w:val="22"/>
          <w:szCs w:val="22"/>
        </w:rPr>
        <w:t xml:space="preserve">report all new member accounts and closed member accounts </w:t>
      </w:r>
      <w:r w:rsidRPr="00943259">
        <w:rPr>
          <w:sz w:val="22"/>
          <w:szCs w:val="22"/>
        </w:rPr>
        <w:t xml:space="preserve">in accordance with </w:t>
      </w:r>
      <w:r w:rsidRPr="009A48C1">
        <w:rPr>
          <w:sz w:val="22"/>
          <w:szCs w:val="22"/>
        </w:rPr>
        <w:t xml:space="preserve">section 390-5 of Schedule 1 to the </w:t>
      </w:r>
      <w:r w:rsidR="003526B6" w:rsidRPr="00B93257">
        <w:rPr>
          <w:sz w:val="22"/>
          <w:szCs w:val="22"/>
        </w:rPr>
        <w:t>TAA 1953</w:t>
      </w:r>
      <w:r w:rsidR="009A48C1">
        <w:rPr>
          <w:i/>
          <w:sz w:val="22"/>
          <w:szCs w:val="22"/>
        </w:rPr>
        <w:t xml:space="preserve"> </w:t>
      </w:r>
      <w:r w:rsidR="00743B48">
        <w:rPr>
          <w:sz w:val="22"/>
          <w:szCs w:val="22"/>
        </w:rPr>
        <w:t>apply</w:t>
      </w:r>
      <w:r w:rsidR="00743B48" w:rsidRPr="00943259">
        <w:rPr>
          <w:sz w:val="22"/>
          <w:szCs w:val="22"/>
        </w:rPr>
        <w:t xml:space="preserve">ing </w:t>
      </w:r>
      <w:r w:rsidR="005373F8" w:rsidRPr="00943259">
        <w:rPr>
          <w:sz w:val="22"/>
          <w:szCs w:val="22"/>
        </w:rPr>
        <w:t>from 31 March </w:t>
      </w:r>
      <w:r w:rsidR="00406CF1">
        <w:rPr>
          <w:sz w:val="22"/>
          <w:szCs w:val="22"/>
        </w:rPr>
        <w:t>2017.</w:t>
      </w:r>
    </w:p>
    <w:p w:rsidR="00AD0E70" w:rsidRPr="00943259" w:rsidRDefault="00FA4E5A" w:rsidP="00475A4F">
      <w:pPr>
        <w:numPr>
          <w:ilvl w:val="0"/>
          <w:numId w:val="2"/>
        </w:numPr>
        <w:spacing w:before="0"/>
        <w:rPr>
          <w:sz w:val="22"/>
          <w:szCs w:val="22"/>
        </w:rPr>
      </w:pPr>
      <w:r w:rsidRPr="00943259">
        <w:rPr>
          <w:sz w:val="22"/>
          <w:szCs w:val="22"/>
        </w:rPr>
        <w:t>Th</w:t>
      </w:r>
      <w:r>
        <w:rPr>
          <w:sz w:val="22"/>
          <w:szCs w:val="22"/>
        </w:rPr>
        <w:t>is</w:t>
      </w:r>
      <w:r w:rsidRPr="00943259">
        <w:rPr>
          <w:sz w:val="22"/>
          <w:szCs w:val="22"/>
        </w:rPr>
        <w:t xml:space="preserve"> </w:t>
      </w:r>
      <w:r w:rsidR="00AD0E70" w:rsidRPr="00943259">
        <w:rPr>
          <w:sz w:val="22"/>
          <w:szCs w:val="22"/>
        </w:rPr>
        <w:t xml:space="preserve">instrument is a legislative instrument for the purposes of the </w:t>
      </w:r>
      <w:r w:rsidR="002A6D5E" w:rsidRPr="00427E2C">
        <w:rPr>
          <w:i/>
          <w:sz w:val="22"/>
          <w:szCs w:val="22"/>
        </w:rPr>
        <w:t xml:space="preserve">Legislation </w:t>
      </w:r>
      <w:r w:rsidR="00AD0E70" w:rsidRPr="00427E2C">
        <w:rPr>
          <w:i/>
          <w:sz w:val="22"/>
          <w:szCs w:val="22"/>
        </w:rPr>
        <w:t>Act 2003</w:t>
      </w:r>
      <w:r>
        <w:rPr>
          <w:i/>
          <w:sz w:val="22"/>
          <w:szCs w:val="22"/>
        </w:rPr>
        <w:t>.</w:t>
      </w:r>
    </w:p>
    <w:p w:rsidR="0072264D" w:rsidRPr="00475A4F" w:rsidRDefault="0072264D" w:rsidP="00475A4F">
      <w:pPr>
        <w:numPr>
          <w:ilvl w:val="0"/>
          <w:numId w:val="2"/>
        </w:numPr>
        <w:spacing w:before="0"/>
        <w:rPr>
          <w:szCs w:val="22"/>
        </w:rPr>
      </w:pPr>
      <w:r w:rsidRPr="00475A4F">
        <w:rPr>
          <w:sz w:val="22"/>
          <w:szCs w:val="22"/>
        </w:rPr>
        <w:t xml:space="preserve">Under subsection 33(3) of the </w:t>
      </w:r>
      <w:r w:rsidRPr="00427E2C">
        <w:rPr>
          <w:i/>
          <w:sz w:val="22"/>
          <w:szCs w:val="22"/>
        </w:rPr>
        <w:t>Acts Interpretation Act 1901</w:t>
      </w:r>
      <w:r w:rsidRPr="00475A4F">
        <w:rPr>
          <w:sz w:val="22"/>
          <w:szCs w:val="22"/>
        </w:rPr>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bookmarkEnd w:id="0"/>
    <w:p w:rsidR="00797064" w:rsidRPr="00524CAD" w:rsidRDefault="00797064" w:rsidP="00524CAD">
      <w:pPr>
        <w:spacing w:before="100" w:beforeAutospacing="1" w:after="100" w:afterAutospacing="1"/>
        <w:rPr>
          <w:b/>
          <w:bCs/>
          <w:sz w:val="22"/>
          <w:szCs w:val="22"/>
        </w:rPr>
      </w:pPr>
      <w:r w:rsidRPr="00524CAD">
        <w:rPr>
          <w:b/>
          <w:bCs/>
          <w:sz w:val="22"/>
          <w:szCs w:val="22"/>
        </w:rPr>
        <w:t>Date of effect</w:t>
      </w:r>
    </w:p>
    <w:p w:rsidR="0030746E" w:rsidRPr="00475A4F" w:rsidRDefault="0030746E" w:rsidP="00475A4F">
      <w:pPr>
        <w:numPr>
          <w:ilvl w:val="0"/>
          <w:numId w:val="2"/>
        </w:numPr>
        <w:spacing w:before="0"/>
        <w:rPr>
          <w:szCs w:val="22"/>
        </w:rPr>
      </w:pPr>
      <w:r w:rsidRPr="00475A4F">
        <w:rPr>
          <w:sz w:val="22"/>
          <w:szCs w:val="22"/>
        </w:rPr>
        <w:t>This instrument will commence on the day after it is registered on the Federal Register of Legislative Instruments and will apply from 31 March 2017.</w:t>
      </w:r>
    </w:p>
    <w:p w:rsidR="00E92A40" w:rsidRPr="0016512C" w:rsidRDefault="00C930F9" w:rsidP="0016512C">
      <w:pPr>
        <w:spacing w:before="100" w:beforeAutospacing="1" w:after="100" w:afterAutospacing="1"/>
        <w:rPr>
          <w:szCs w:val="22"/>
        </w:rPr>
      </w:pPr>
      <w:r w:rsidRPr="0016512C">
        <w:rPr>
          <w:b/>
          <w:bCs/>
          <w:sz w:val="22"/>
          <w:szCs w:val="22"/>
        </w:rPr>
        <w:t xml:space="preserve">What is this </w:t>
      </w:r>
      <w:r w:rsidR="00FA4E5A">
        <w:rPr>
          <w:b/>
          <w:bCs/>
          <w:sz w:val="22"/>
          <w:szCs w:val="22"/>
        </w:rPr>
        <w:t>i</w:t>
      </w:r>
      <w:r w:rsidRPr="0016512C">
        <w:rPr>
          <w:b/>
          <w:bCs/>
          <w:sz w:val="22"/>
          <w:szCs w:val="22"/>
        </w:rPr>
        <w:t xml:space="preserve">nstrument </w:t>
      </w:r>
      <w:proofErr w:type="gramStart"/>
      <w:r w:rsidRPr="0016512C">
        <w:rPr>
          <w:b/>
          <w:bCs/>
          <w:sz w:val="22"/>
          <w:szCs w:val="22"/>
        </w:rPr>
        <w:t>about</w:t>
      </w:r>
      <w:proofErr w:type="gramEnd"/>
    </w:p>
    <w:p w:rsidR="00524CAD" w:rsidRPr="00524CAD" w:rsidRDefault="00BF7891" w:rsidP="00524CAD">
      <w:pPr>
        <w:numPr>
          <w:ilvl w:val="0"/>
          <w:numId w:val="2"/>
        </w:numPr>
        <w:spacing w:before="100" w:beforeAutospacing="1" w:after="100" w:afterAutospacing="1"/>
        <w:rPr>
          <w:b/>
          <w:bCs/>
          <w:sz w:val="22"/>
          <w:szCs w:val="22"/>
        </w:rPr>
      </w:pPr>
      <w:r w:rsidRPr="00524CAD">
        <w:rPr>
          <w:sz w:val="22"/>
          <w:szCs w:val="22"/>
        </w:rPr>
        <w:t>The principal purpose of the Instrument is to set out the form and manner in which statements</w:t>
      </w:r>
      <w:r w:rsidR="0030746E" w:rsidRPr="00524CAD">
        <w:rPr>
          <w:sz w:val="22"/>
          <w:szCs w:val="22"/>
        </w:rPr>
        <w:t xml:space="preserve"> are to be provided to</w:t>
      </w:r>
      <w:r w:rsidRPr="00524CAD">
        <w:rPr>
          <w:sz w:val="22"/>
          <w:szCs w:val="22"/>
        </w:rPr>
        <w:t xml:space="preserve"> </w:t>
      </w:r>
      <w:r w:rsidR="0030746E" w:rsidRPr="00524CAD">
        <w:rPr>
          <w:sz w:val="22"/>
          <w:szCs w:val="22"/>
        </w:rPr>
        <w:t>report new member accounts and closed member accounts daily or as soon as practicable after the event, but no later than 5 business days.</w:t>
      </w:r>
      <w:r w:rsidRPr="00524CAD">
        <w:rPr>
          <w:sz w:val="22"/>
          <w:szCs w:val="22"/>
        </w:rPr>
        <w:t xml:space="preserve"> The legislative instrument </w:t>
      </w:r>
      <w:r w:rsidR="00743B48" w:rsidRPr="00524CAD">
        <w:rPr>
          <w:sz w:val="22"/>
          <w:szCs w:val="22"/>
        </w:rPr>
        <w:t xml:space="preserve">also </w:t>
      </w:r>
      <w:r w:rsidRPr="00524CAD">
        <w:rPr>
          <w:sz w:val="22"/>
          <w:szCs w:val="22"/>
        </w:rPr>
        <w:t>establishes the due dates for lodgment of statements, which can be deferred by the exercise of the Commissioner</w:t>
      </w:r>
      <w:r w:rsidR="00FA4E5A" w:rsidRPr="00524CAD">
        <w:rPr>
          <w:sz w:val="22"/>
          <w:szCs w:val="22"/>
        </w:rPr>
        <w:t xml:space="preserve"> of Taxation’s (the Commissioner)</w:t>
      </w:r>
      <w:r w:rsidRPr="00524CAD">
        <w:rPr>
          <w:sz w:val="22"/>
          <w:szCs w:val="22"/>
        </w:rPr>
        <w:t xml:space="preserve"> discretion under section 388-55 of Schedule 1 to the </w:t>
      </w:r>
      <w:r w:rsidR="009A48C1" w:rsidRPr="00524CAD">
        <w:rPr>
          <w:sz w:val="22"/>
          <w:szCs w:val="22"/>
        </w:rPr>
        <w:t>TAA 1953</w:t>
      </w:r>
      <w:r w:rsidR="00524CAD">
        <w:rPr>
          <w:sz w:val="22"/>
          <w:szCs w:val="22"/>
        </w:rPr>
        <w:t>.</w:t>
      </w:r>
    </w:p>
    <w:p w:rsidR="009C7ADF" w:rsidRPr="00524CAD" w:rsidRDefault="00C930F9" w:rsidP="00524CAD">
      <w:pPr>
        <w:spacing w:before="100" w:beforeAutospacing="1" w:after="100" w:afterAutospacing="1"/>
        <w:rPr>
          <w:b/>
          <w:bCs/>
          <w:sz w:val="22"/>
          <w:szCs w:val="22"/>
        </w:rPr>
      </w:pPr>
      <w:r w:rsidRPr="00524CAD">
        <w:rPr>
          <w:b/>
          <w:bCs/>
          <w:sz w:val="22"/>
          <w:szCs w:val="22"/>
        </w:rPr>
        <w:t xml:space="preserve">What is the effect of this </w:t>
      </w:r>
      <w:proofErr w:type="gramStart"/>
      <w:r w:rsidR="00FA4E5A" w:rsidRPr="00524CAD">
        <w:rPr>
          <w:b/>
          <w:bCs/>
          <w:sz w:val="22"/>
          <w:szCs w:val="22"/>
        </w:rPr>
        <w:t>i</w:t>
      </w:r>
      <w:r w:rsidR="00406CF1">
        <w:rPr>
          <w:b/>
          <w:bCs/>
          <w:sz w:val="22"/>
          <w:szCs w:val="22"/>
        </w:rPr>
        <w:t>nstrument</w:t>
      </w:r>
      <w:proofErr w:type="gramEnd"/>
    </w:p>
    <w:p w:rsidR="00FA4E5A" w:rsidRDefault="00C930F9" w:rsidP="00FA4E5A">
      <w:pPr>
        <w:numPr>
          <w:ilvl w:val="0"/>
          <w:numId w:val="2"/>
        </w:numPr>
        <w:spacing w:before="0"/>
        <w:rPr>
          <w:szCs w:val="22"/>
        </w:rPr>
      </w:pPr>
      <w:r w:rsidRPr="00475A4F">
        <w:rPr>
          <w:sz w:val="22"/>
          <w:szCs w:val="22"/>
        </w:rPr>
        <w:t xml:space="preserve">The effect of this </w:t>
      </w:r>
      <w:r w:rsidR="00FA4E5A">
        <w:rPr>
          <w:sz w:val="22"/>
          <w:szCs w:val="22"/>
        </w:rPr>
        <w:t>i</w:t>
      </w:r>
      <w:r w:rsidRPr="00475A4F">
        <w:rPr>
          <w:sz w:val="22"/>
          <w:szCs w:val="22"/>
        </w:rPr>
        <w:t xml:space="preserve">nstrument is that superannuation providers have guidance </w:t>
      </w:r>
      <w:r w:rsidR="00C72270" w:rsidRPr="00475A4F">
        <w:rPr>
          <w:sz w:val="22"/>
          <w:szCs w:val="22"/>
        </w:rPr>
        <w:t xml:space="preserve">on their obligations to lodge statements in the approved form </w:t>
      </w:r>
      <w:r w:rsidRPr="00475A4F">
        <w:rPr>
          <w:sz w:val="22"/>
          <w:szCs w:val="22"/>
        </w:rPr>
        <w:t xml:space="preserve">to </w:t>
      </w:r>
      <w:r w:rsidR="0030746E" w:rsidRPr="00475A4F">
        <w:rPr>
          <w:sz w:val="22"/>
          <w:szCs w:val="22"/>
        </w:rPr>
        <w:t xml:space="preserve">report new member </w:t>
      </w:r>
      <w:r w:rsidR="00C72270" w:rsidRPr="00475A4F">
        <w:rPr>
          <w:sz w:val="22"/>
          <w:szCs w:val="22"/>
        </w:rPr>
        <w:t xml:space="preserve">accounts </w:t>
      </w:r>
      <w:r w:rsidR="0030746E" w:rsidRPr="00475A4F">
        <w:rPr>
          <w:sz w:val="22"/>
          <w:szCs w:val="22"/>
        </w:rPr>
        <w:t>and closed member accounts</w:t>
      </w:r>
      <w:r w:rsidR="00C72270" w:rsidRPr="00475A4F">
        <w:rPr>
          <w:sz w:val="22"/>
          <w:szCs w:val="22"/>
        </w:rPr>
        <w:t xml:space="preserve">, </w:t>
      </w:r>
      <w:r w:rsidRPr="00475A4F">
        <w:rPr>
          <w:sz w:val="22"/>
          <w:szCs w:val="22"/>
        </w:rPr>
        <w:t>the date</w:t>
      </w:r>
      <w:r w:rsidR="003A0220" w:rsidRPr="00475A4F">
        <w:rPr>
          <w:sz w:val="22"/>
          <w:szCs w:val="22"/>
        </w:rPr>
        <w:t>s</w:t>
      </w:r>
      <w:r w:rsidRPr="00475A4F">
        <w:rPr>
          <w:sz w:val="22"/>
          <w:szCs w:val="22"/>
        </w:rPr>
        <w:t xml:space="preserve"> by which they must be lodged and the penalty that may be applied for failure to lodge on time in the approved form.</w:t>
      </w:r>
    </w:p>
    <w:p w:rsidR="00B212B2" w:rsidRPr="009A48C1" w:rsidRDefault="00B212B2" w:rsidP="00FA4E5A">
      <w:pPr>
        <w:numPr>
          <w:ilvl w:val="0"/>
          <w:numId w:val="2"/>
        </w:numPr>
        <w:spacing w:before="240"/>
        <w:rPr>
          <w:szCs w:val="22"/>
        </w:rPr>
      </w:pPr>
      <w:r w:rsidRPr="00475A4F">
        <w:rPr>
          <w:sz w:val="22"/>
          <w:szCs w:val="22"/>
        </w:rPr>
        <w:t xml:space="preserve">This instrument does not change the reporting requirements detailed in </w:t>
      </w:r>
      <w:r>
        <w:rPr>
          <w:sz w:val="22"/>
          <w:szCs w:val="22"/>
        </w:rPr>
        <w:t>the</w:t>
      </w:r>
      <w:r w:rsidRPr="00475A4F">
        <w:rPr>
          <w:sz w:val="22"/>
          <w:szCs w:val="22"/>
        </w:rPr>
        <w:t xml:space="preserve"> separate legislative instrument - Instrument ID - </w:t>
      </w:r>
      <w:hyperlink r:id="rId9" w:history="1">
        <w:r w:rsidRPr="00475A4F">
          <w:rPr>
            <w:sz w:val="22"/>
            <w:szCs w:val="22"/>
          </w:rPr>
          <w:t>F2014L00691</w:t>
        </w:r>
      </w:hyperlink>
      <w:r w:rsidRPr="00475A4F">
        <w:rPr>
          <w:sz w:val="22"/>
          <w:szCs w:val="22"/>
        </w:rPr>
        <w:t xml:space="preserve"> - “</w:t>
      </w:r>
      <w:r w:rsidRPr="00475A4F">
        <w:rPr>
          <w:i/>
          <w:sz w:val="22"/>
          <w:szCs w:val="22"/>
        </w:rPr>
        <w:t xml:space="preserve">Lodgment of statements by superannuation providers in relation to superannuation plans (other than self managed superannuation funds) for each financial year ended 30 June in accordance with the </w:t>
      </w:r>
      <w:r w:rsidRPr="00475A4F">
        <w:rPr>
          <w:i/>
          <w:sz w:val="22"/>
          <w:szCs w:val="22"/>
        </w:rPr>
        <w:lastRenderedPageBreak/>
        <w:t>Taxation Administration Act 1953’</w:t>
      </w:r>
      <w:r w:rsidRPr="00475A4F">
        <w:rPr>
          <w:sz w:val="22"/>
          <w:szCs w:val="22"/>
        </w:rPr>
        <w:t xml:space="preserve"> (registered on 4 June 2014).</w:t>
      </w:r>
      <w:r w:rsidRPr="00374E9D">
        <w:rPr>
          <w:sz w:val="22"/>
          <w:szCs w:val="22"/>
        </w:rPr>
        <w:t xml:space="preserve"> </w:t>
      </w:r>
      <w:r w:rsidRPr="00475A4F">
        <w:rPr>
          <w:sz w:val="22"/>
          <w:szCs w:val="22"/>
        </w:rPr>
        <w:t xml:space="preserve">Instrument ID - </w:t>
      </w:r>
      <w:hyperlink r:id="rId10" w:history="1">
        <w:r w:rsidRPr="00475A4F">
          <w:rPr>
            <w:sz w:val="22"/>
            <w:szCs w:val="22"/>
          </w:rPr>
          <w:t>F2014L00691</w:t>
        </w:r>
      </w:hyperlink>
      <w:r>
        <w:rPr>
          <w:sz w:val="22"/>
          <w:szCs w:val="22"/>
        </w:rPr>
        <w:t xml:space="preserve"> requires the </w:t>
      </w:r>
      <w:r w:rsidRPr="00475A4F">
        <w:rPr>
          <w:sz w:val="22"/>
          <w:szCs w:val="22"/>
        </w:rPr>
        <w:t>lodgment of member contribution</w:t>
      </w:r>
      <w:r>
        <w:rPr>
          <w:sz w:val="22"/>
          <w:szCs w:val="22"/>
        </w:rPr>
        <w:t>s</w:t>
      </w:r>
      <w:r w:rsidRPr="00475A4F">
        <w:rPr>
          <w:sz w:val="22"/>
          <w:szCs w:val="22"/>
        </w:rPr>
        <w:t xml:space="preserve"> statement</w:t>
      </w:r>
      <w:r>
        <w:rPr>
          <w:sz w:val="22"/>
          <w:szCs w:val="22"/>
        </w:rPr>
        <w:t>s</w:t>
      </w:r>
      <w:r w:rsidRPr="00475A4F">
        <w:rPr>
          <w:sz w:val="22"/>
          <w:szCs w:val="22"/>
        </w:rPr>
        <w:t xml:space="preserve"> </w:t>
      </w:r>
      <w:r>
        <w:rPr>
          <w:sz w:val="22"/>
          <w:szCs w:val="22"/>
        </w:rPr>
        <w:t xml:space="preserve">(MCS) </w:t>
      </w:r>
      <w:r w:rsidRPr="00475A4F">
        <w:rPr>
          <w:sz w:val="22"/>
          <w:szCs w:val="22"/>
        </w:rPr>
        <w:t xml:space="preserve">by superannuation providers under </w:t>
      </w:r>
      <w:r w:rsidRPr="00B93257">
        <w:rPr>
          <w:sz w:val="22"/>
          <w:szCs w:val="22"/>
        </w:rPr>
        <w:t>section 390-5 of Schedule 1 to the TAA 1953.</w:t>
      </w:r>
    </w:p>
    <w:p w:rsidR="009C7ADF" w:rsidRPr="0016512C" w:rsidRDefault="00C930F9" w:rsidP="00FA4E5A">
      <w:pPr>
        <w:spacing w:before="240"/>
        <w:rPr>
          <w:b/>
          <w:sz w:val="22"/>
          <w:szCs w:val="22"/>
        </w:rPr>
      </w:pPr>
      <w:r w:rsidRPr="0016512C">
        <w:rPr>
          <w:b/>
          <w:bCs/>
          <w:sz w:val="22"/>
          <w:szCs w:val="22"/>
        </w:rPr>
        <w:t>Compliance cost impact</w:t>
      </w:r>
    </w:p>
    <w:p w:rsidR="00EB57E9" w:rsidRPr="00E63032" w:rsidRDefault="00EB57E9" w:rsidP="00E63032">
      <w:pPr>
        <w:pStyle w:val="ListParagraph"/>
        <w:numPr>
          <w:ilvl w:val="0"/>
          <w:numId w:val="2"/>
        </w:numPr>
        <w:rPr>
          <w:szCs w:val="22"/>
        </w:rPr>
      </w:pPr>
      <w:r w:rsidRPr="00E63032">
        <w:rPr>
          <w:szCs w:val="22"/>
        </w:rPr>
        <w:t>Compliance Cost Impact: Minor – there will be no or minimal impacts for both implementation and ongoing compliance costs. The legislative instrument is minor or machinery in nature.</w:t>
      </w:r>
    </w:p>
    <w:p w:rsidR="009C7ADF" w:rsidRPr="005B56C7" w:rsidRDefault="00C930F9" w:rsidP="00FA4E5A">
      <w:pPr>
        <w:spacing w:before="100" w:beforeAutospacing="1" w:after="100" w:afterAutospacing="1"/>
        <w:ind w:left="284" w:hanging="284"/>
        <w:rPr>
          <w:rFonts w:eastAsia="Times New Roman"/>
          <w:sz w:val="22"/>
          <w:szCs w:val="22"/>
        </w:rPr>
      </w:pPr>
      <w:r w:rsidRPr="005B56C7">
        <w:rPr>
          <w:rFonts w:eastAsia="Times New Roman"/>
          <w:b/>
          <w:bCs/>
          <w:sz w:val="22"/>
          <w:szCs w:val="22"/>
        </w:rPr>
        <w:t>Background</w:t>
      </w:r>
    </w:p>
    <w:p w:rsidR="007467AE" w:rsidRPr="00524CAD" w:rsidRDefault="00C930F9" w:rsidP="00524CAD">
      <w:pPr>
        <w:numPr>
          <w:ilvl w:val="0"/>
          <w:numId w:val="2"/>
        </w:numPr>
        <w:spacing w:before="240"/>
        <w:rPr>
          <w:sz w:val="22"/>
          <w:szCs w:val="22"/>
        </w:rPr>
      </w:pPr>
      <w:r w:rsidRPr="00475A4F">
        <w:rPr>
          <w:sz w:val="22"/>
          <w:szCs w:val="22"/>
        </w:rPr>
        <w:t xml:space="preserve">Since June 2001 the Commissioner has published requirements for lodgment of returns and statements in accordance with relevant legislation. Since July 2007 these requirements have applied to the </w:t>
      </w:r>
      <w:r w:rsidR="002A77AF">
        <w:rPr>
          <w:sz w:val="22"/>
          <w:szCs w:val="22"/>
        </w:rPr>
        <w:t xml:space="preserve">Member </w:t>
      </w:r>
      <w:r w:rsidR="00FA4E5A">
        <w:rPr>
          <w:sz w:val="22"/>
          <w:szCs w:val="22"/>
        </w:rPr>
        <w:t>Contributions S</w:t>
      </w:r>
      <w:r w:rsidR="002A77AF">
        <w:rPr>
          <w:sz w:val="22"/>
          <w:szCs w:val="22"/>
        </w:rPr>
        <w:t>tatement (MCS)</w:t>
      </w:r>
      <w:r w:rsidRPr="00475A4F">
        <w:rPr>
          <w:sz w:val="22"/>
          <w:szCs w:val="22"/>
        </w:rPr>
        <w:t xml:space="preserve">. Since July 2013 the obligation to provide an MCS has been expanded to include all individuals </w:t>
      </w:r>
      <w:r w:rsidR="00406CF1">
        <w:rPr>
          <w:sz w:val="22"/>
          <w:szCs w:val="22"/>
        </w:rPr>
        <w:t>with a superannuation interest.</w:t>
      </w:r>
    </w:p>
    <w:p w:rsidR="00475A4F" w:rsidRDefault="00475A4F" w:rsidP="00524CAD">
      <w:pPr>
        <w:numPr>
          <w:ilvl w:val="0"/>
          <w:numId w:val="2"/>
        </w:numPr>
        <w:spacing w:before="240"/>
        <w:rPr>
          <w:sz w:val="22"/>
          <w:szCs w:val="22"/>
        </w:rPr>
      </w:pPr>
      <w:r w:rsidRPr="00FF0E0C">
        <w:rPr>
          <w:sz w:val="22"/>
          <w:szCs w:val="22"/>
        </w:rPr>
        <w:t>This legislative instrument is being made to require the reporting of all new member accounts and closed member accounts from 31 March 2017</w:t>
      </w:r>
      <w:r w:rsidRPr="00475A4F">
        <w:rPr>
          <w:sz w:val="22"/>
          <w:szCs w:val="22"/>
        </w:rPr>
        <w:t xml:space="preserve">, in accordance with </w:t>
      </w:r>
      <w:r w:rsidRPr="00524CAD">
        <w:rPr>
          <w:sz w:val="22"/>
          <w:szCs w:val="22"/>
        </w:rPr>
        <w:t>section 390-5 of Schedule 1 to the TAA 1953</w:t>
      </w:r>
      <w:r w:rsidRPr="00475A4F">
        <w:rPr>
          <w:sz w:val="22"/>
          <w:szCs w:val="22"/>
        </w:rPr>
        <w:t>.</w:t>
      </w:r>
    </w:p>
    <w:p w:rsidR="0030746E" w:rsidRPr="00524CAD" w:rsidRDefault="0030746E" w:rsidP="00524CAD">
      <w:pPr>
        <w:numPr>
          <w:ilvl w:val="0"/>
          <w:numId w:val="2"/>
        </w:numPr>
        <w:spacing w:before="240"/>
        <w:rPr>
          <w:sz w:val="22"/>
          <w:szCs w:val="22"/>
        </w:rPr>
      </w:pPr>
      <w:r w:rsidRPr="00FF0E0C">
        <w:rPr>
          <w:sz w:val="22"/>
          <w:szCs w:val="22"/>
        </w:rPr>
        <w:t>Exceptions to the requirement to report new and closed member accounts under this legislative instrument are:</w:t>
      </w:r>
    </w:p>
    <w:p w:rsidR="0030746E" w:rsidRPr="0016512C" w:rsidRDefault="0030746E">
      <w:pPr>
        <w:numPr>
          <w:ilvl w:val="0"/>
          <w:numId w:val="23"/>
        </w:numPr>
        <w:autoSpaceDE w:val="0"/>
        <w:autoSpaceDN w:val="0"/>
        <w:adjustRightInd w:val="0"/>
        <w:spacing w:before="0" w:after="0"/>
        <w:ind w:left="720" w:hanging="11"/>
        <w:rPr>
          <w:color w:val="000000"/>
          <w:sz w:val="22"/>
          <w:szCs w:val="22"/>
        </w:rPr>
      </w:pPr>
      <w:r w:rsidRPr="0016512C">
        <w:rPr>
          <w:color w:val="000000"/>
          <w:sz w:val="22"/>
          <w:szCs w:val="22"/>
        </w:rPr>
        <w:t>member accounts closed to contributions</w:t>
      </w:r>
      <w:r w:rsidR="004F2AB0">
        <w:rPr>
          <w:color w:val="000000"/>
          <w:sz w:val="22"/>
          <w:szCs w:val="22"/>
        </w:rPr>
        <w:t>;</w:t>
      </w:r>
    </w:p>
    <w:p w:rsidR="0030746E" w:rsidRPr="0016512C" w:rsidRDefault="0030746E">
      <w:pPr>
        <w:numPr>
          <w:ilvl w:val="0"/>
          <w:numId w:val="23"/>
        </w:numPr>
        <w:autoSpaceDE w:val="0"/>
        <w:autoSpaceDN w:val="0"/>
        <w:adjustRightInd w:val="0"/>
        <w:spacing w:before="0" w:after="0"/>
        <w:ind w:left="720" w:hanging="11"/>
        <w:rPr>
          <w:color w:val="000000"/>
          <w:sz w:val="22"/>
          <w:szCs w:val="22"/>
        </w:rPr>
      </w:pPr>
      <w:r w:rsidRPr="0016512C">
        <w:rPr>
          <w:color w:val="000000"/>
          <w:sz w:val="22"/>
          <w:szCs w:val="22"/>
        </w:rPr>
        <w:t>member accounts closed to rollovers</w:t>
      </w:r>
      <w:r w:rsidR="004F2AB0">
        <w:rPr>
          <w:color w:val="000000"/>
          <w:sz w:val="22"/>
          <w:szCs w:val="22"/>
        </w:rPr>
        <w:t>; and</w:t>
      </w:r>
    </w:p>
    <w:p w:rsidR="0030746E" w:rsidRPr="00943259" w:rsidRDefault="0030746E" w:rsidP="0030746E">
      <w:pPr>
        <w:numPr>
          <w:ilvl w:val="0"/>
          <w:numId w:val="23"/>
        </w:numPr>
        <w:autoSpaceDE w:val="0"/>
        <w:autoSpaceDN w:val="0"/>
        <w:adjustRightInd w:val="0"/>
        <w:spacing w:before="0" w:after="0"/>
        <w:ind w:left="720" w:hanging="11"/>
        <w:rPr>
          <w:color w:val="000000"/>
          <w:sz w:val="22"/>
          <w:szCs w:val="22"/>
        </w:rPr>
      </w:pPr>
      <w:proofErr w:type="gramStart"/>
      <w:r w:rsidRPr="0016512C">
        <w:rPr>
          <w:color w:val="000000"/>
          <w:sz w:val="22"/>
          <w:szCs w:val="22"/>
        </w:rPr>
        <w:t>member</w:t>
      </w:r>
      <w:proofErr w:type="gramEnd"/>
      <w:r w:rsidRPr="0016512C">
        <w:rPr>
          <w:color w:val="000000"/>
          <w:sz w:val="22"/>
          <w:szCs w:val="22"/>
        </w:rPr>
        <w:t xml:space="preserve"> accounts that cannot be rolled over.</w:t>
      </w:r>
    </w:p>
    <w:p w:rsidR="00C930F9" w:rsidRPr="00524CAD" w:rsidRDefault="00C930F9" w:rsidP="00524CAD">
      <w:pPr>
        <w:numPr>
          <w:ilvl w:val="0"/>
          <w:numId w:val="2"/>
        </w:numPr>
        <w:spacing w:before="240"/>
        <w:rPr>
          <w:sz w:val="22"/>
          <w:szCs w:val="22"/>
        </w:rPr>
      </w:pPr>
      <w:r w:rsidRPr="00524CAD">
        <w:rPr>
          <w:sz w:val="22"/>
          <w:szCs w:val="22"/>
        </w:rPr>
        <w:t>The instrument sets out the lodgment dates of statements and the manner in which they have to be lodged and the penalties that may be applied for failing to lodge the statements on time.</w:t>
      </w:r>
    </w:p>
    <w:p w:rsidR="002A77AF" w:rsidRPr="00524CAD" w:rsidRDefault="002A77AF" w:rsidP="00524CAD">
      <w:pPr>
        <w:spacing w:before="100" w:beforeAutospacing="1" w:after="100" w:afterAutospacing="1"/>
        <w:ind w:left="284" w:hanging="284"/>
        <w:rPr>
          <w:rFonts w:eastAsia="Times New Roman"/>
          <w:b/>
          <w:bCs/>
          <w:sz w:val="22"/>
          <w:szCs w:val="22"/>
        </w:rPr>
      </w:pPr>
      <w:r w:rsidRPr="00943259">
        <w:rPr>
          <w:rFonts w:eastAsia="Times New Roman"/>
          <w:b/>
          <w:bCs/>
          <w:sz w:val="22"/>
          <w:szCs w:val="22"/>
        </w:rPr>
        <w:t>Consultation</w:t>
      </w:r>
    </w:p>
    <w:p w:rsidR="002A77AF" w:rsidRPr="00524CAD" w:rsidRDefault="002A77AF" w:rsidP="00524CAD">
      <w:pPr>
        <w:numPr>
          <w:ilvl w:val="0"/>
          <w:numId w:val="2"/>
        </w:numPr>
        <w:spacing w:before="240"/>
        <w:rPr>
          <w:sz w:val="22"/>
          <w:szCs w:val="22"/>
        </w:rPr>
      </w:pPr>
      <w:r w:rsidRPr="00524CAD">
        <w:rPr>
          <w:sz w:val="22"/>
          <w:szCs w:val="22"/>
        </w:rPr>
        <w:t>This instrument was developed in consultation with key industry stakeholders. From July 2015 the ATO undertook consultation via consultative forums including the Superannuation Administration Stakeholder Group, SuperStream Rollover Implementation Working Group, Business Engagement Forums and multiple industry representative consultation meetings on the content to be included</w:t>
      </w:r>
      <w:r w:rsidR="00406CF1">
        <w:rPr>
          <w:sz w:val="22"/>
          <w:szCs w:val="22"/>
        </w:rPr>
        <w:t xml:space="preserve"> in the Legislative Instrument.</w:t>
      </w:r>
    </w:p>
    <w:p w:rsidR="00672039" w:rsidRPr="00524CAD" w:rsidRDefault="002A77AF" w:rsidP="00524CAD">
      <w:pPr>
        <w:numPr>
          <w:ilvl w:val="0"/>
          <w:numId w:val="2"/>
        </w:numPr>
        <w:spacing w:before="240"/>
        <w:rPr>
          <w:sz w:val="22"/>
          <w:szCs w:val="22"/>
        </w:rPr>
      </w:pPr>
      <w:r w:rsidRPr="00524CAD">
        <w:rPr>
          <w:sz w:val="22"/>
          <w:szCs w:val="22"/>
        </w:rPr>
        <w:t>Information was published on in the software developer’s website in the form of a document - SuperTickV3 – Scenarios and related questions in which the ATO provided responses to issues and questions raised industry.</w:t>
      </w:r>
    </w:p>
    <w:p w:rsidR="002A77AF" w:rsidRPr="00524CAD" w:rsidRDefault="002A77AF" w:rsidP="00524CAD">
      <w:pPr>
        <w:numPr>
          <w:ilvl w:val="0"/>
          <w:numId w:val="2"/>
        </w:numPr>
        <w:spacing w:before="240"/>
        <w:rPr>
          <w:sz w:val="22"/>
          <w:szCs w:val="22"/>
        </w:rPr>
      </w:pPr>
      <w:r w:rsidRPr="00524CAD">
        <w:rPr>
          <w:sz w:val="22"/>
          <w:szCs w:val="22"/>
        </w:rPr>
        <w:t xml:space="preserve">The ATO considered all issues in preparing the final legislative instrument. The majority of the feedback sought clarification about the about the application of the legislative instrument to specific circumstances and the ATO provided clarification. Where appropriate, additional clarity was added </w:t>
      </w:r>
      <w:r w:rsidR="00406CF1">
        <w:rPr>
          <w:sz w:val="22"/>
          <w:szCs w:val="22"/>
        </w:rPr>
        <w:t>by making changes to the draft.</w:t>
      </w:r>
    </w:p>
    <w:p w:rsidR="00524CAD" w:rsidRDefault="00524CAD">
      <w:pPr>
        <w:spacing w:before="0" w:after="0" w:line="240" w:lineRule="exact"/>
        <w:rPr>
          <w:b/>
          <w:sz w:val="22"/>
          <w:szCs w:val="22"/>
        </w:rPr>
      </w:pPr>
      <w:r>
        <w:rPr>
          <w:b/>
          <w:sz w:val="22"/>
          <w:szCs w:val="22"/>
        </w:rPr>
        <w:br w:type="page"/>
      </w:r>
    </w:p>
    <w:p w:rsidR="00E45461" w:rsidRPr="00FA4E5A" w:rsidRDefault="00E45461" w:rsidP="00406CF1">
      <w:pPr>
        <w:spacing w:after="0"/>
        <w:rPr>
          <w:b/>
          <w:sz w:val="22"/>
          <w:szCs w:val="22"/>
        </w:rPr>
      </w:pPr>
      <w:r w:rsidRPr="00FA4E5A">
        <w:rPr>
          <w:b/>
          <w:sz w:val="22"/>
          <w:szCs w:val="22"/>
        </w:rPr>
        <w:lastRenderedPageBreak/>
        <w:t>Legislative references:</w:t>
      </w:r>
    </w:p>
    <w:p w:rsidR="00E45461" w:rsidRPr="00943259" w:rsidRDefault="00E45461" w:rsidP="00406CF1">
      <w:pPr>
        <w:tabs>
          <w:tab w:val="left" w:pos="1418"/>
        </w:tabs>
        <w:spacing w:after="0"/>
        <w:rPr>
          <w:i/>
          <w:sz w:val="22"/>
          <w:szCs w:val="22"/>
        </w:rPr>
      </w:pPr>
      <w:r w:rsidRPr="00943259">
        <w:rPr>
          <w:i/>
          <w:sz w:val="22"/>
          <w:szCs w:val="22"/>
        </w:rPr>
        <w:t>Taxation Administration Act 1953</w:t>
      </w:r>
    </w:p>
    <w:p w:rsidR="00E45461" w:rsidRPr="00943259" w:rsidRDefault="00E45461" w:rsidP="00406CF1">
      <w:pPr>
        <w:tabs>
          <w:tab w:val="left" w:pos="1418"/>
        </w:tabs>
        <w:spacing w:after="0"/>
        <w:rPr>
          <w:i/>
          <w:sz w:val="22"/>
          <w:szCs w:val="22"/>
        </w:rPr>
      </w:pPr>
      <w:r w:rsidRPr="00943259">
        <w:rPr>
          <w:i/>
          <w:iCs/>
          <w:sz w:val="22"/>
          <w:szCs w:val="22"/>
        </w:rPr>
        <w:t>Superannuation Industry (Supervision) Act 1993</w:t>
      </w:r>
    </w:p>
    <w:p w:rsidR="00E45461" w:rsidRPr="00943259" w:rsidRDefault="002A6D5E" w:rsidP="00406CF1">
      <w:pPr>
        <w:tabs>
          <w:tab w:val="left" w:pos="1418"/>
        </w:tabs>
        <w:spacing w:after="0"/>
        <w:rPr>
          <w:i/>
          <w:sz w:val="22"/>
          <w:szCs w:val="22"/>
        </w:rPr>
      </w:pPr>
      <w:r w:rsidRPr="00943259">
        <w:rPr>
          <w:i/>
          <w:sz w:val="22"/>
          <w:szCs w:val="22"/>
        </w:rPr>
        <w:t>Legislati</w:t>
      </w:r>
      <w:r>
        <w:rPr>
          <w:i/>
          <w:sz w:val="22"/>
          <w:szCs w:val="22"/>
        </w:rPr>
        <w:t>on</w:t>
      </w:r>
      <w:r w:rsidRPr="00943259">
        <w:rPr>
          <w:i/>
          <w:sz w:val="22"/>
          <w:szCs w:val="22"/>
        </w:rPr>
        <w:t xml:space="preserve"> </w:t>
      </w:r>
      <w:r w:rsidR="00E45461" w:rsidRPr="00943259">
        <w:rPr>
          <w:i/>
          <w:sz w:val="22"/>
          <w:szCs w:val="22"/>
        </w:rPr>
        <w:t>Act 2003</w:t>
      </w:r>
    </w:p>
    <w:p w:rsidR="00E45461" w:rsidRPr="00943259" w:rsidRDefault="00E45461" w:rsidP="00406CF1">
      <w:pPr>
        <w:pStyle w:val="Heading2"/>
        <w:keepNext w:val="0"/>
        <w:keepLines w:val="0"/>
        <w:tabs>
          <w:tab w:val="left" w:pos="1418"/>
        </w:tabs>
        <w:spacing w:before="120"/>
        <w:rPr>
          <w:rFonts w:ascii="Arial" w:hAnsi="Arial" w:cs="Arial"/>
          <w:b w:val="0"/>
          <w:i/>
          <w:iCs/>
          <w:color w:val="auto"/>
          <w:sz w:val="22"/>
          <w:szCs w:val="22"/>
        </w:rPr>
      </w:pPr>
      <w:r w:rsidRPr="00943259">
        <w:rPr>
          <w:rFonts w:ascii="Arial" w:hAnsi="Arial" w:cs="Arial"/>
          <w:b w:val="0"/>
          <w:i/>
          <w:iCs/>
          <w:color w:val="auto"/>
          <w:sz w:val="22"/>
          <w:szCs w:val="22"/>
        </w:rPr>
        <w:t>Income Tax Assessment Act 1997</w:t>
      </w:r>
    </w:p>
    <w:p w:rsidR="00E45461" w:rsidRDefault="00E45461" w:rsidP="00406CF1">
      <w:pPr>
        <w:tabs>
          <w:tab w:val="left" w:pos="1418"/>
        </w:tabs>
        <w:spacing w:after="0"/>
        <w:rPr>
          <w:sz w:val="22"/>
          <w:szCs w:val="22"/>
        </w:rPr>
      </w:pPr>
      <w:r w:rsidRPr="0016512C">
        <w:rPr>
          <w:i/>
          <w:sz w:val="22"/>
          <w:szCs w:val="22"/>
        </w:rPr>
        <w:t>Human Rights (Parliamentary Scrutiny)</w:t>
      </w:r>
      <w:r w:rsidRPr="00943259">
        <w:rPr>
          <w:sz w:val="22"/>
          <w:szCs w:val="22"/>
        </w:rPr>
        <w:t xml:space="preserve"> Act 2011</w:t>
      </w:r>
    </w:p>
    <w:p w:rsidR="002A6D5E" w:rsidRPr="00427E2C" w:rsidRDefault="002A6D5E" w:rsidP="00406CF1">
      <w:pPr>
        <w:tabs>
          <w:tab w:val="left" w:pos="1418"/>
        </w:tabs>
        <w:spacing w:after="0"/>
        <w:rPr>
          <w:i/>
          <w:sz w:val="22"/>
          <w:szCs w:val="22"/>
        </w:rPr>
      </w:pPr>
      <w:r w:rsidRPr="00427E2C">
        <w:rPr>
          <w:i/>
          <w:sz w:val="22"/>
          <w:szCs w:val="22"/>
        </w:rPr>
        <w:t xml:space="preserve">Acts </w:t>
      </w:r>
      <w:r w:rsidR="002A77AF" w:rsidRPr="00427E2C">
        <w:rPr>
          <w:i/>
          <w:sz w:val="22"/>
          <w:szCs w:val="22"/>
        </w:rPr>
        <w:t>Interpretation</w:t>
      </w:r>
      <w:r w:rsidRPr="00427E2C">
        <w:rPr>
          <w:i/>
          <w:sz w:val="22"/>
          <w:szCs w:val="22"/>
        </w:rPr>
        <w:t xml:space="preserve"> Act 1901</w:t>
      </w:r>
    </w:p>
    <w:p w:rsidR="00E45461" w:rsidRDefault="00E45461" w:rsidP="00406CF1">
      <w:pPr>
        <w:spacing w:after="0" w:line="240" w:lineRule="exact"/>
        <w:rPr>
          <w:rFonts w:eastAsia="Times New Roman"/>
          <w:b/>
          <w:bCs/>
          <w:sz w:val="22"/>
          <w:szCs w:val="22"/>
        </w:rPr>
      </w:pPr>
      <w:r>
        <w:rPr>
          <w:rFonts w:eastAsia="Times New Roman"/>
          <w:b/>
          <w:bCs/>
          <w:sz w:val="22"/>
          <w:szCs w:val="22"/>
        </w:rPr>
        <w:br w:type="page"/>
      </w:r>
    </w:p>
    <w:p w:rsidR="00E45461" w:rsidRPr="003F1183" w:rsidRDefault="00C930F9" w:rsidP="003F1183">
      <w:pPr>
        <w:spacing w:before="100" w:beforeAutospacing="1" w:after="100" w:afterAutospacing="1"/>
        <w:ind w:left="284" w:hanging="284"/>
        <w:rPr>
          <w:rFonts w:eastAsia="Times New Roman"/>
          <w:b/>
          <w:bCs/>
          <w:sz w:val="22"/>
          <w:szCs w:val="22"/>
        </w:rPr>
      </w:pPr>
      <w:r w:rsidRPr="006A0EDF">
        <w:rPr>
          <w:rFonts w:eastAsia="Times New Roman"/>
          <w:b/>
          <w:bCs/>
          <w:sz w:val="22"/>
          <w:szCs w:val="22"/>
        </w:rPr>
        <w:lastRenderedPageBreak/>
        <w:t>Statement of Compatibility with Human Rights</w:t>
      </w:r>
      <w:r w:rsidRPr="003F1183">
        <w:rPr>
          <w:rFonts w:eastAsia="Times New Roman"/>
          <w:b/>
          <w:bCs/>
          <w:sz w:val="22"/>
          <w:szCs w:val="22"/>
        </w:rPr>
        <w:t xml:space="preserve"> </w:t>
      </w:r>
    </w:p>
    <w:p w:rsidR="00C930F9" w:rsidRPr="00E45461" w:rsidRDefault="00C930F9" w:rsidP="0016512C">
      <w:pPr>
        <w:spacing w:before="0" w:after="0"/>
        <w:rPr>
          <w:rFonts w:eastAsia="Times New Roman"/>
          <w:sz w:val="22"/>
          <w:szCs w:val="22"/>
        </w:rPr>
      </w:pPr>
      <w:r w:rsidRPr="00E45461">
        <w:rPr>
          <w:rFonts w:eastAsia="Times New Roman"/>
          <w:sz w:val="22"/>
          <w:szCs w:val="22"/>
        </w:rPr>
        <w:t>This Statement is prepared in accordance with Part 3 of the Human Rights (Pa</w:t>
      </w:r>
      <w:r w:rsidR="00406CF1">
        <w:rPr>
          <w:rFonts w:eastAsia="Times New Roman"/>
          <w:sz w:val="22"/>
          <w:szCs w:val="22"/>
        </w:rPr>
        <w:t>rliamentary Scrutiny) Act 2011.</w:t>
      </w:r>
    </w:p>
    <w:p w:rsidR="007467AE" w:rsidRPr="0016512C" w:rsidRDefault="007467AE" w:rsidP="0016512C">
      <w:pPr>
        <w:spacing w:before="100" w:after="100"/>
        <w:rPr>
          <w:b/>
          <w:i/>
          <w:sz w:val="22"/>
          <w:szCs w:val="22"/>
        </w:rPr>
      </w:pPr>
      <w:r w:rsidRPr="0016512C">
        <w:rPr>
          <w:b/>
          <w:i/>
          <w:iCs/>
          <w:sz w:val="22"/>
          <w:szCs w:val="22"/>
        </w:rPr>
        <w:t>Reporting of all new member accounts and closed member accounts by superannuation providers in relation to superannuation plans (other than self managed superannuation funds) in accordance with the</w:t>
      </w:r>
      <w:r w:rsidRPr="0016512C">
        <w:rPr>
          <w:b/>
          <w:i/>
          <w:sz w:val="22"/>
          <w:szCs w:val="22"/>
        </w:rPr>
        <w:t xml:space="preserve"> </w:t>
      </w:r>
      <w:r w:rsidRPr="0016512C">
        <w:rPr>
          <w:b/>
          <w:i/>
          <w:iCs/>
          <w:color w:val="000000"/>
          <w:sz w:val="22"/>
          <w:szCs w:val="22"/>
        </w:rPr>
        <w:t>Taxation Administration Act 1953’.</w:t>
      </w:r>
    </w:p>
    <w:p w:rsidR="00C930F9" w:rsidRPr="0016512C" w:rsidRDefault="00C930F9" w:rsidP="0016512C">
      <w:pPr>
        <w:spacing w:before="0" w:after="0"/>
        <w:rPr>
          <w:rFonts w:eastAsia="Times New Roman"/>
          <w:b/>
          <w:sz w:val="22"/>
          <w:szCs w:val="22"/>
        </w:rPr>
      </w:pPr>
      <w:r w:rsidRPr="00E45461">
        <w:rPr>
          <w:rFonts w:eastAsia="Times New Roman"/>
          <w:sz w:val="22"/>
          <w:szCs w:val="22"/>
        </w:rPr>
        <w:t>This legislative instrument is compatible with the human rights and freedoms recognised or declared in the international instruments listed in section 3 of the Human Rights (Pa</w:t>
      </w:r>
      <w:r w:rsidR="00406CF1">
        <w:rPr>
          <w:rFonts w:eastAsia="Times New Roman"/>
          <w:sz w:val="22"/>
          <w:szCs w:val="22"/>
        </w:rPr>
        <w:t>rliamentary Scrutiny) Act 2011.</w:t>
      </w:r>
    </w:p>
    <w:p w:rsidR="004B199A" w:rsidRPr="00E45461" w:rsidRDefault="004B199A" w:rsidP="004B199A">
      <w:pPr>
        <w:spacing w:before="100" w:beforeAutospacing="1" w:after="100" w:afterAutospacing="1"/>
        <w:rPr>
          <w:rFonts w:eastAsia="Times New Roman"/>
          <w:sz w:val="22"/>
          <w:szCs w:val="22"/>
        </w:rPr>
      </w:pPr>
      <w:r w:rsidRPr="00E45461">
        <w:rPr>
          <w:rFonts w:eastAsia="Times New Roman"/>
          <w:b/>
          <w:bCs/>
          <w:i/>
          <w:iCs/>
          <w:sz w:val="22"/>
          <w:szCs w:val="22"/>
        </w:rPr>
        <w:t>Overview</w:t>
      </w:r>
      <w:r w:rsidRPr="00E45461">
        <w:rPr>
          <w:rFonts w:eastAsia="Times New Roman"/>
          <w:sz w:val="22"/>
          <w:szCs w:val="22"/>
        </w:rPr>
        <w:t xml:space="preserve"> </w:t>
      </w:r>
    </w:p>
    <w:p w:rsidR="00A53EDA" w:rsidRDefault="00A53EDA" w:rsidP="00A53EDA">
      <w:pPr>
        <w:spacing w:before="100" w:beforeAutospacing="1" w:after="100" w:afterAutospacing="1"/>
        <w:rPr>
          <w:rFonts w:eastAsia="Times New Roman"/>
          <w:sz w:val="22"/>
          <w:szCs w:val="22"/>
        </w:rPr>
      </w:pPr>
      <w:r>
        <w:rPr>
          <w:rFonts w:eastAsia="Times New Roman"/>
          <w:sz w:val="22"/>
          <w:szCs w:val="22"/>
        </w:rPr>
        <w:t>This legislative instrument sets out the way in which superannuation providers of superannuation plans (other than self</w:t>
      </w:r>
      <w:r w:rsidR="007467AE">
        <w:rPr>
          <w:rFonts w:eastAsia="Times New Roman"/>
          <w:sz w:val="22"/>
          <w:szCs w:val="22"/>
        </w:rPr>
        <w:t xml:space="preserve">-managed superannuation funds) </w:t>
      </w:r>
      <w:r>
        <w:rPr>
          <w:rFonts w:eastAsia="Times New Roman"/>
          <w:sz w:val="22"/>
          <w:szCs w:val="22"/>
        </w:rPr>
        <w:t xml:space="preserve">are required to lodge statements, in the approved form, in accordance with section 390-5 of Schedule 1 to the </w:t>
      </w:r>
      <w:r w:rsidRPr="00813E20">
        <w:rPr>
          <w:rFonts w:eastAsia="Times New Roman"/>
          <w:i/>
          <w:sz w:val="22"/>
          <w:szCs w:val="22"/>
        </w:rPr>
        <w:t>Taxation Administration Act 1953</w:t>
      </w:r>
      <w:r w:rsidR="007467AE">
        <w:rPr>
          <w:rFonts w:eastAsia="Times New Roman"/>
          <w:sz w:val="22"/>
          <w:szCs w:val="22"/>
        </w:rPr>
        <w:t xml:space="preserve"> to report new member accounts and closed member accounts. </w:t>
      </w:r>
      <w:r>
        <w:rPr>
          <w:sz w:val="22"/>
          <w:szCs w:val="22"/>
        </w:rPr>
        <w:t>It also sets out the lodgment dates for the statements and the manner in which they can be lodged.</w:t>
      </w:r>
    </w:p>
    <w:p w:rsidR="00E45461" w:rsidRPr="00E45461" w:rsidRDefault="00C930F9" w:rsidP="0016512C">
      <w:pPr>
        <w:spacing w:before="0" w:after="0"/>
        <w:rPr>
          <w:rFonts w:eastAsia="Times New Roman"/>
          <w:sz w:val="22"/>
          <w:szCs w:val="22"/>
        </w:rPr>
      </w:pPr>
      <w:r w:rsidRPr="00E45461">
        <w:rPr>
          <w:rFonts w:eastAsia="Times New Roman"/>
          <w:b/>
          <w:bCs/>
          <w:i/>
          <w:iCs/>
          <w:sz w:val="22"/>
          <w:szCs w:val="22"/>
        </w:rPr>
        <w:t>Human rights implications</w:t>
      </w:r>
    </w:p>
    <w:p w:rsidR="00943259" w:rsidRDefault="00943259" w:rsidP="0016512C">
      <w:pPr>
        <w:spacing w:before="0" w:after="0"/>
        <w:rPr>
          <w:rFonts w:eastAsia="Times New Roman"/>
          <w:sz w:val="22"/>
          <w:szCs w:val="22"/>
        </w:rPr>
      </w:pPr>
    </w:p>
    <w:p w:rsidR="00C930F9" w:rsidRPr="00E45461" w:rsidRDefault="00C930F9" w:rsidP="0016512C">
      <w:pPr>
        <w:spacing w:before="0" w:after="0"/>
        <w:rPr>
          <w:rFonts w:eastAsia="Times New Roman"/>
          <w:sz w:val="22"/>
          <w:szCs w:val="22"/>
        </w:rPr>
      </w:pPr>
      <w:r w:rsidRPr="00E45461">
        <w:rPr>
          <w:rFonts w:eastAsia="Times New Roman"/>
          <w:sz w:val="22"/>
          <w:szCs w:val="22"/>
        </w:rPr>
        <w:t>This legislative instrument does not engage any of the applicable rights or freedoms as it simply provides guidance for superannuation providers on their obligations to lodge statements, the date by which they must be lodged and the penalty that may be applied for failure to lodg</w:t>
      </w:r>
      <w:r w:rsidR="00406CF1">
        <w:rPr>
          <w:rFonts w:eastAsia="Times New Roman"/>
          <w:sz w:val="22"/>
          <w:szCs w:val="22"/>
        </w:rPr>
        <w:t>e on time in the approved form.</w:t>
      </w:r>
    </w:p>
    <w:p w:rsidR="00E45461" w:rsidRPr="00E45461" w:rsidRDefault="00E45461" w:rsidP="0016512C">
      <w:pPr>
        <w:spacing w:before="0" w:after="0"/>
        <w:rPr>
          <w:rFonts w:eastAsia="Times New Roman"/>
          <w:b/>
          <w:bCs/>
          <w:i/>
          <w:iCs/>
          <w:sz w:val="22"/>
          <w:szCs w:val="22"/>
        </w:rPr>
      </w:pPr>
    </w:p>
    <w:p w:rsidR="00E45461" w:rsidRDefault="00C930F9" w:rsidP="0016512C">
      <w:pPr>
        <w:spacing w:before="0" w:after="0"/>
        <w:rPr>
          <w:rFonts w:eastAsia="Times New Roman"/>
          <w:sz w:val="22"/>
          <w:szCs w:val="22"/>
        </w:rPr>
      </w:pPr>
      <w:r w:rsidRPr="00E45461">
        <w:rPr>
          <w:rFonts w:eastAsia="Times New Roman"/>
          <w:b/>
          <w:bCs/>
          <w:i/>
          <w:iCs/>
          <w:sz w:val="22"/>
          <w:szCs w:val="22"/>
        </w:rPr>
        <w:t>Conclusion</w:t>
      </w:r>
      <w:r w:rsidRPr="00E45461">
        <w:rPr>
          <w:rFonts w:eastAsia="Times New Roman"/>
          <w:sz w:val="22"/>
          <w:szCs w:val="22"/>
        </w:rPr>
        <w:t xml:space="preserve"> </w:t>
      </w:r>
    </w:p>
    <w:p w:rsidR="00943259" w:rsidRPr="00E45461" w:rsidRDefault="00943259" w:rsidP="0016512C">
      <w:pPr>
        <w:spacing w:before="0" w:after="0"/>
        <w:rPr>
          <w:rFonts w:eastAsia="Times New Roman"/>
          <w:sz w:val="22"/>
          <w:szCs w:val="22"/>
        </w:rPr>
      </w:pPr>
    </w:p>
    <w:p w:rsidR="00C930F9" w:rsidRPr="00E45461" w:rsidRDefault="00C930F9" w:rsidP="0016512C">
      <w:pPr>
        <w:spacing w:before="0" w:after="0"/>
        <w:rPr>
          <w:rFonts w:eastAsia="Times New Roman"/>
          <w:sz w:val="22"/>
          <w:szCs w:val="22"/>
        </w:rPr>
      </w:pPr>
      <w:r w:rsidRPr="00E45461">
        <w:rPr>
          <w:rFonts w:eastAsia="Times New Roman"/>
          <w:sz w:val="22"/>
          <w:szCs w:val="22"/>
        </w:rPr>
        <w:t>This legislative instrument is compatible with human rights as it does not</w:t>
      </w:r>
      <w:r w:rsidR="00406CF1">
        <w:rPr>
          <w:rFonts w:eastAsia="Times New Roman"/>
          <w:sz w:val="22"/>
          <w:szCs w:val="22"/>
        </w:rPr>
        <w:t xml:space="preserve"> raise any human rights issues.</w:t>
      </w:r>
    </w:p>
    <w:sectPr w:rsidR="00C930F9" w:rsidRPr="00E45461" w:rsidSect="00C536EA">
      <w:headerReference w:type="default" r:id="rId11"/>
      <w:headerReference w:type="first" r:id="rId12"/>
      <w:pgSz w:w="11906" w:h="16838" w:code="9"/>
      <w:pgMar w:top="709" w:right="1134" w:bottom="567" w:left="1134" w:header="709" w:footer="709" w:gutter="0"/>
      <w:paperSrc w:first="258" w:other="259"/>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68C3" w:rsidRDefault="008F68C3" w:rsidP="00797064">
      <w:pPr>
        <w:spacing w:before="0" w:after="0"/>
      </w:pPr>
      <w:r>
        <w:separator/>
      </w:r>
    </w:p>
  </w:endnote>
  <w:endnote w:type="continuationSeparator" w:id="0">
    <w:p w:rsidR="008F68C3" w:rsidRDefault="008F68C3" w:rsidP="0079706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68C3" w:rsidRDefault="008F68C3" w:rsidP="00797064">
      <w:pPr>
        <w:spacing w:before="0" w:after="0"/>
      </w:pPr>
      <w:r>
        <w:separator/>
      </w:r>
    </w:p>
  </w:footnote>
  <w:footnote w:type="continuationSeparator" w:id="0">
    <w:p w:rsidR="008F68C3" w:rsidRDefault="008F68C3" w:rsidP="00797064">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7064" w:rsidRDefault="00797064">
    <w:pPr>
      <w:pStyle w:val="Header"/>
    </w:pPr>
  </w:p>
  <w:p w:rsidR="00797064" w:rsidRDefault="0079706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7064" w:rsidRDefault="00797064">
    <w:pPr>
      <w:pStyle w:val="Header"/>
    </w:pPr>
    <w:r>
      <w:rPr>
        <w:noProof/>
      </w:rPr>
      <mc:AlternateContent>
        <mc:Choice Requires="wps">
          <w:drawing>
            <wp:anchor distT="0" distB="0" distL="114300" distR="114300" simplePos="0" relativeHeight="251659264" behindDoc="0" locked="0" layoutInCell="1" allowOverlap="1" wp14:anchorId="52669B11" wp14:editId="4557C2F4">
              <wp:simplePos x="0" y="0"/>
              <wp:positionH relativeFrom="column">
                <wp:posOffset>2907030</wp:posOffset>
              </wp:positionH>
              <wp:positionV relativeFrom="paragraph">
                <wp:posOffset>90805</wp:posOffset>
              </wp:positionV>
              <wp:extent cx="3284220" cy="554355"/>
              <wp:effectExtent l="0" t="0" r="11430" b="1714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4220" cy="554355"/>
                      </a:xfrm>
                      <a:prstGeom prst="rect">
                        <a:avLst/>
                      </a:prstGeom>
                      <a:solidFill>
                        <a:srgbClr val="FFFFFF"/>
                      </a:solidFill>
                      <a:ln w="9525">
                        <a:solidFill>
                          <a:srgbClr val="000000"/>
                        </a:solidFill>
                        <a:miter lim="800000"/>
                        <a:headEnd/>
                        <a:tailEnd/>
                      </a:ln>
                    </wps:spPr>
                    <wps:txbx>
                      <w:txbxContent>
                        <w:p w:rsidR="00743B48" w:rsidRPr="00743B48" w:rsidRDefault="00743B48" w:rsidP="00743B48">
                          <w:pPr>
                            <w:pBdr>
                              <w:top w:val="single" w:sz="12" w:space="1" w:color="auto"/>
                              <w:left w:val="single" w:sz="12" w:space="1" w:color="auto"/>
                              <w:bottom w:val="single" w:sz="12" w:space="1" w:color="auto"/>
                              <w:right w:val="single" w:sz="12" w:space="1" w:color="auto"/>
                            </w:pBdr>
                            <w:spacing w:before="0" w:after="0"/>
                            <w:rPr>
                              <w:rFonts w:eastAsia="Times New Roman"/>
                            </w:rPr>
                          </w:pPr>
                          <w:bookmarkStart w:id="4" w:name="AType"/>
                          <w:r w:rsidRPr="00743B48">
                            <w:rPr>
                              <w:rFonts w:eastAsia="Times New Roman"/>
                            </w:rPr>
                            <w:t>Australian Taxation Office Legislative Instrument</w:t>
                          </w:r>
                        </w:p>
                        <w:p w:rsidR="00743B48" w:rsidRPr="00743B48" w:rsidRDefault="00743B48" w:rsidP="00743B48">
                          <w:pPr>
                            <w:pBdr>
                              <w:top w:val="single" w:sz="12" w:space="1" w:color="auto"/>
                              <w:left w:val="single" w:sz="12" w:space="1" w:color="auto"/>
                              <w:bottom w:val="single" w:sz="12" w:space="1" w:color="auto"/>
                              <w:right w:val="single" w:sz="12" w:space="1" w:color="auto"/>
                            </w:pBdr>
                            <w:spacing w:before="0" w:after="0"/>
                            <w:rPr>
                              <w:rFonts w:eastAsia="Times New Roman"/>
                              <w:b/>
                              <w:sz w:val="32"/>
                              <w:szCs w:val="32"/>
                            </w:rPr>
                          </w:pPr>
                          <w:r w:rsidRPr="00743B48">
                            <w:rPr>
                              <w:rFonts w:eastAsia="Times New Roman"/>
                              <w:b/>
                              <w:sz w:val="32"/>
                              <w:szCs w:val="32"/>
                            </w:rPr>
                            <w:t xml:space="preserve">Instrument ID </w:t>
                          </w:r>
                          <w:r w:rsidR="00C07829">
                            <w:rPr>
                              <w:rFonts w:eastAsia="Times New Roman"/>
                              <w:b/>
                              <w:sz w:val="32"/>
                              <w:szCs w:val="32"/>
                            </w:rPr>
                            <w:t>2017/SPR/0002</w:t>
                          </w:r>
                        </w:p>
                        <w:bookmarkEnd w:id="4"/>
                        <w:p w:rsidR="00797064" w:rsidRDefault="0079706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28.9pt;margin-top:7.15pt;width:258.6pt;height:4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">
              <v:textbox>
                <w:txbxContent>
                  <w:p w:rsidR="00743B48" w:rsidRPr="00743B48" w:rsidRDefault="00743B48" w:rsidP="00743B48">
                    <w:pPr>
                      <w:pBdr>
                        <w:top w:val="single" w:sz="12" w:space="1" w:color="auto"/>
                        <w:left w:val="single" w:sz="12" w:space="1" w:color="auto"/>
                        <w:bottom w:val="single" w:sz="12" w:space="1" w:color="auto"/>
                        <w:right w:val="single" w:sz="12" w:space="1" w:color="auto"/>
                      </w:pBdr>
                      <w:spacing w:before="0" w:after="0"/>
                      <w:rPr>
                        <w:rFonts w:eastAsia="Times New Roman"/>
                      </w:rPr>
                    </w:pPr>
                    <w:bookmarkStart w:id="5" w:name="AType"/>
                    <w:r w:rsidRPr="00743B48">
                      <w:rPr>
                        <w:rFonts w:eastAsia="Times New Roman"/>
                      </w:rPr>
                      <w:t>Australian Taxation Office Legislative Instrument</w:t>
                    </w:r>
                  </w:p>
                  <w:p w:rsidR="00743B48" w:rsidRPr="00743B48" w:rsidRDefault="00743B48" w:rsidP="00743B48">
                    <w:pPr>
                      <w:pBdr>
                        <w:top w:val="single" w:sz="12" w:space="1" w:color="auto"/>
                        <w:left w:val="single" w:sz="12" w:space="1" w:color="auto"/>
                        <w:bottom w:val="single" w:sz="12" w:space="1" w:color="auto"/>
                        <w:right w:val="single" w:sz="12" w:space="1" w:color="auto"/>
                      </w:pBdr>
                      <w:spacing w:before="0" w:after="0"/>
                      <w:rPr>
                        <w:rFonts w:eastAsia="Times New Roman"/>
                        <w:b/>
                        <w:sz w:val="32"/>
                        <w:szCs w:val="32"/>
                      </w:rPr>
                    </w:pPr>
                    <w:r w:rsidRPr="00743B48">
                      <w:rPr>
                        <w:rFonts w:eastAsia="Times New Roman"/>
                        <w:b/>
                        <w:sz w:val="32"/>
                        <w:szCs w:val="32"/>
                      </w:rPr>
                      <w:t xml:space="preserve">Instrument ID </w:t>
                    </w:r>
                    <w:r w:rsidR="00C07829">
                      <w:rPr>
                        <w:rFonts w:eastAsia="Times New Roman"/>
                        <w:b/>
                        <w:sz w:val="32"/>
                        <w:szCs w:val="32"/>
                      </w:rPr>
                      <w:t>2017/SPR/0002</w:t>
                    </w:r>
                  </w:p>
                  <w:bookmarkEnd w:id="5"/>
                  <w:p w:rsidR="00797064" w:rsidRDefault="00797064"/>
                </w:txbxContent>
              </v:textbox>
            </v:shape>
          </w:pict>
        </mc:Fallback>
      </mc:AlternateContent>
    </w:r>
    <w:r>
      <w:rPr>
        <w:noProof/>
      </w:rPr>
      <w:drawing>
        <wp:inline distT="0" distB="0" distL="0" distR="0" wp14:anchorId="52DED412" wp14:editId="497A90AD">
          <wp:extent cx="2413635" cy="701675"/>
          <wp:effectExtent l="0" t="0" r="5715" b="3175"/>
          <wp:docPr id="3" name="Picture 1" descr="ATO_i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O_in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3635" cy="7016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62B6611A"/>
    <w:lvl w:ilvl="0">
      <w:numFmt w:val="bullet"/>
      <w:lvlText w:val="*"/>
      <w:lvlJc w:val="left"/>
    </w:lvl>
  </w:abstractNum>
  <w:abstractNum w:abstractNumId="1">
    <w:nsid w:val="0FBF3E28"/>
    <w:multiLevelType w:val="hybridMultilevel"/>
    <w:tmpl w:val="6DC80F0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12271CCF"/>
    <w:multiLevelType w:val="hybridMultilevel"/>
    <w:tmpl w:val="D186944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181E6950"/>
    <w:multiLevelType w:val="hybridMultilevel"/>
    <w:tmpl w:val="2B465F94"/>
    <w:lvl w:ilvl="0" w:tplc="04104052">
      <w:start w:val="1"/>
      <w:numFmt w:val="decimal"/>
      <w:lvlText w:val="%1."/>
      <w:lvlJc w:val="left"/>
      <w:pPr>
        <w:tabs>
          <w:tab w:val="num" w:pos="786"/>
        </w:tabs>
        <w:ind w:left="786" w:hanging="360"/>
      </w:pPr>
      <w:rPr>
        <w:rFonts w:hint="default"/>
        <w:sz w:val="22"/>
        <w:szCs w:val="22"/>
      </w:rPr>
    </w:lvl>
    <w:lvl w:ilvl="1" w:tplc="0C090001">
      <w:start w:val="1"/>
      <w:numFmt w:val="bullet"/>
      <w:lvlText w:val=""/>
      <w:lvlJc w:val="left"/>
      <w:pPr>
        <w:tabs>
          <w:tab w:val="num" w:pos="1440"/>
        </w:tabs>
        <w:ind w:left="1440" w:hanging="360"/>
      </w:pPr>
      <w:rPr>
        <w:rFonts w:ascii="Symbol" w:hAnsi="Symbol" w:hint="default"/>
      </w:rPr>
    </w:lvl>
    <w:lvl w:ilvl="2" w:tplc="C2ACD91E">
      <w:start w:val="1"/>
      <w:numFmt w:val="lowerLetter"/>
      <w:lvlText w:val="(%3)"/>
      <w:lvlJc w:val="left"/>
      <w:pPr>
        <w:tabs>
          <w:tab w:val="num" w:pos="2340"/>
        </w:tabs>
        <w:ind w:left="2340" w:hanging="360"/>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nsid w:val="1CF228AC"/>
    <w:multiLevelType w:val="hybridMultilevel"/>
    <w:tmpl w:val="F036D502"/>
    <w:lvl w:ilvl="0" w:tplc="0C09000F">
      <w:start w:val="1"/>
      <w:numFmt w:val="decimal"/>
      <w:lvlText w:val="%1."/>
      <w:lvlJc w:val="left"/>
      <w:pPr>
        <w:ind w:left="644" w:hanging="360"/>
      </w:p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5">
    <w:nsid w:val="1EE916DA"/>
    <w:multiLevelType w:val="hybridMultilevel"/>
    <w:tmpl w:val="81A2B050"/>
    <w:lvl w:ilvl="0" w:tplc="D09CA758">
      <w:start w:val="11"/>
      <w:numFmt w:val="decimal"/>
      <w:lvlText w:val="%1."/>
      <w:lvlJc w:val="left"/>
      <w:pPr>
        <w:ind w:left="3621" w:hanging="360"/>
      </w:pPr>
      <w:rPr>
        <w:rFonts w:hint="default"/>
      </w:rPr>
    </w:lvl>
    <w:lvl w:ilvl="1" w:tplc="0C090019" w:tentative="1">
      <w:start w:val="1"/>
      <w:numFmt w:val="lowerLetter"/>
      <w:lvlText w:val="%2."/>
      <w:lvlJc w:val="left"/>
      <w:pPr>
        <w:ind w:left="4341" w:hanging="360"/>
      </w:pPr>
    </w:lvl>
    <w:lvl w:ilvl="2" w:tplc="0C09001B" w:tentative="1">
      <w:start w:val="1"/>
      <w:numFmt w:val="lowerRoman"/>
      <w:lvlText w:val="%3."/>
      <w:lvlJc w:val="right"/>
      <w:pPr>
        <w:ind w:left="5061" w:hanging="180"/>
      </w:pPr>
    </w:lvl>
    <w:lvl w:ilvl="3" w:tplc="0C09000F" w:tentative="1">
      <w:start w:val="1"/>
      <w:numFmt w:val="decimal"/>
      <w:lvlText w:val="%4."/>
      <w:lvlJc w:val="left"/>
      <w:pPr>
        <w:ind w:left="5781" w:hanging="360"/>
      </w:pPr>
    </w:lvl>
    <w:lvl w:ilvl="4" w:tplc="0C090019" w:tentative="1">
      <w:start w:val="1"/>
      <w:numFmt w:val="lowerLetter"/>
      <w:lvlText w:val="%5."/>
      <w:lvlJc w:val="left"/>
      <w:pPr>
        <w:ind w:left="6501" w:hanging="360"/>
      </w:pPr>
    </w:lvl>
    <w:lvl w:ilvl="5" w:tplc="0C09001B" w:tentative="1">
      <w:start w:val="1"/>
      <w:numFmt w:val="lowerRoman"/>
      <w:lvlText w:val="%6."/>
      <w:lvlJc w:val="right"/>
      <w:pPr>
        <w:ind w:left="7221" w:hanging="180"/>
      </w:pPr>
    </w:lvl>
    <w:lvl w:ilvl="6" w:tplc="0C09000F" w:tentative="1">
      <w:start w:val="1"/>
      <w:numFmt w:val="decimal"/>
      <w:lvlText w:val="%7."/>
      <w:lvlJc w:val="left"/>
      <w:pPr>
        <w:ind w:left="7941" w:hanging="360"/>
      </w:pPr>
    </w:lvl>
    <w:lvl w:ilvl="7" w:tplc="0C090019" w:tentative="1">
      <w:start w:val="1"/>
      <w:numFmt w:val="lowerLetter"/>
      <w:lvlText w:val="%8."/>
      <w:lvlJc w:val="left"/>
      <w:pPr>
        <w:ind w:left="8661" w:hanging="360"/>
      </w:pPr>
    </w:lvl>
    <w:lvl w:ilvl="8" w:tplc="0C09001B" w:tentative="1">
      <w:start w:val="1"/>
      <w:numFmt w:val="lowerRoman"/>
      <w:lvlText w:val="%9."/>
      <w:lvlJc w:val="right"/>
      <w:pPr>
        <w:ind w:left="9381" w:hanging="180"/>
      </w:pPr>
    </w:lvl>
  </w:abstractNum>
  <w:abstractNum w:abstractNumId="6">
    <w:nsid w:val="20592FF7"/>
    <w:multiLevelType w:val="hybridMultilevel"/>
    <w:tmpl w:val="A7F86B98"/>
    <w:lvl w:ilvl="0" w:tplc="0C09000F">
      <w:start w:val="1"/>
      <w:numFmt w:val="decimal"/>
      <w:lvlText w:val="%1."/>
      <w:lvlJc w:val="left"/>
      <w:pPr>
        <w:tabs>
          <w:tab w:val="num" w:pos="720"/>
        </w:tabs>
        <w:ind w:left="720" w:hanging="360"/>
      </w:pPr>
      <w:rPr>
        <w:rFonts w:hint="default"/>
        <w:sz w:val="22"/>
        <w:szCs w:val="22"/>
      </w:rPr>
    </w:lvl>
    <w:lvl w:ilvl="1" w:tplc="0C090001">
      <w:start w:val="1"/>
      <w:numFmt w:val="bullet"/>
      <w:lvlText w:val=""/>
      <w:lvlJc w:val="left"/>
      <w:pPr>
        <w:tabs>
          <w:tab w:val="num" w:pos="1440"/>
        </w:tabs>
        <w:ind w:left="1440" w:hanging="360"/>
      </w:pPr>
      <w:rPr>
        <w:rFonts w:ascii="Symbol" w:hAnsi="Symbol" w:hint="default"/>
      </w:rPr>
    </w:lvl>
    <w:lvl w:ilvl="2" w:tplc="C2ACD91E">
      <w:start w:val="1"/>
      <w:numFmt w:val="lowerLetter"/>
      <w:lvlText w:val="(%3)"/>
      <w:lvlJc w:val="left"/>
      <w:pPr>
        <w:tabs>
          <w:tab w:val="num" w:pos="2340"/>
        </w:tabs>
        <w:ind w:left="2340" w:hanging="360"/>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nsid w:val="211E212D"/>
    <w:multiLevelType w:val="hybridMultilevel"/>
    <w:tmpl w:val="89F2A2C8"/>
    <w:lvl w:ilvl="0" w:tplc="ACB2C704">
      <w:start w:val="11"/>
      <w:numFmt w:val="decimal"/>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8">
    <w:nsid w:val="22B41A37"/>
    <w:multiLevelType w:val="hybridMultilevel"/>
    <w:tmpl w:val="4D52C370"/>
    <w:lvl w:ilvl="0" w:tplc="0C09000F">
      <w:start w:val="1"/>
      <w:numFmt w:val="decimal"/>
      <w:lvlText w:val="%1."/>
      <w:lvlJc w:val="left"/>
      <w:pPr>
        <w:tabs>
          <w:tab w:val="num" w:pos="360"/>
        </w:tabs>
        <w:ind w:left="360" w:hanging="360"/>
      </w:pPr>
      <w:rPr>
        <w:rFonts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1">
      <w:start w:val="1"/>
      <w:numFmt w:val="bullet"/>
      <w:lvlText w:val=""/>
      <w:lvlJc w:val="left"/>
      <w:pPr>
        <w:tabs>
          <w:tab w:val="num" w:pos="1800"/>
        </w:tabs>
        <w:ind w:left="1800" w:hanging="360"/>
      </w:pPr>
      <w:rPr>
        <w:rFonts w:ascii="Symbol" w:hAnsi="Symbol"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9">
    <w:nsid w:val="361803E7"/>
    <w:multiLevelType w:val="hybridMultilevel"/>
    <w:tmpl w:val="C5CE294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37865056"/>
    <w:multiLevelType w:val="hybridMultilevel"/>
    <w:tmpl w:val="8F3EE6D2"/>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nsid w:val="3BBE3B12"/>
    <w:multiLevelType w:val="hybridMultilevel"/>
    <w:tmpl w:val="2B465F94"/>
    <w:lvl w:ilvl="0" w:tplc="04104052">
      <w:start w:val="1"/>
      <w:numFmt w:val="decimal"/>
      <w:lvlText w:val="%1."/>
      <w:lvlJc w:val="left"/>
      <w:pPr>
        <w:tabs>
          <w:tab w:val="num" w:pos="786"/>
        </w:tabs>
        <w:ind w:left="786" w:hanging="360"/>
      </w:pPr>
      <w:rPr>
        <w:rFonts w:hint="default"/>
        <w:sz w:val="22"/>
        <w:szCs w:val="22"/>
      </w:rPr>
    </w:lvl>
    <w:lvl w:ilvl="1" w:tplc="0C090001">
      <w:start w:val="1"/>
      <w:numFmt w:val="bullet"/>
      <w:lvlText w:val=""/>
      <w:lvlJc w:val="left"/>
      <w:pPr>
        <w:tabs>
          <w:tab w:val="num" w:pos="1440"/>
        </w:tabs>
        <w:ind w:left="1440" w:hanging="360"/>
      </w:pPr>
      <w:rPr>
        <w:rFonts w:ascii="Symbol" w:hAnsi="Symbol" w:hint="default"/>
      </w:rPr>
    </w:lvl>
    <w:lvl w:ilvl="2" w:tplc="C2ACD91E">
      <w:start w:val="1"/>
      <w:numFmt w:val="lowerLetter"/>
      <w:lvlText w:val="(%3)"/>
      <w:lvlJc w:val="left"/>
      <w:pPr>
        <w:tabs>
          <w:tab w:val="num" w:pos="2340"/>
        </w:tabs>
        <w:ind w:left="2340" w:hanging="360"/>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nsid w:val="3D937990"/>
    <w:multiLevelType w:val="hybridMultilevel"/>
    <w:tmpl w:val="9AAA149E"/>
    <w:lvl w:ilvl="0" w:tplc="0C09000F">
      <w:start w:val="1"/>
      <w:numFmt w:val="decimal"/>
      <w:lvlText w:val="%1."/>
      <w:lvlJc w:val="left"/>
      <w:pPr>
        <w:ind w:left="1364" w:hanging="360"/>
      </w:pPr>
    </w:lvl>
    <w:lvl w:ilvl="1" w:tplc="0C090019" w:tentative="1">
      <w:start w:val="1"/>
      <w:numFmt w:val="lowerLetter"/>
      <w:lvlText w:val="%2."/>
      <w:lvlJc w:val="left"/>
      <w:pPr>
        <w:ind w:left="2084" w:hanging="360"/>
      </w:pPr>
    </w:lvl>
    <w:lvl w:ilvl="2" w:tplc="0C09001B" w:tentative="1">
      <w:start w:val="1"/>
      <w:numFmt w:val="lowerRoman"/>
      <w:lvlText w:val="%3."/>
      <w:lvlJc w:val="right"/>
      <w:pPr>
        <w:ind w:left="2804" w:hanging="180"/>
      </w:pPr>
    </w:lvl>
    <w:lvl w:ilvl="3" w:tplc="0C09000F" w:tentative="1">
      <w:start w:val="1"/>
      <w:numFmt w:val="decimal"/>
      <w:lvlText w:val="%4."/>
      <w:lvlJc w:val="left"/>
      <w:pPr>
        <w:ind w:left="3524" w:hanging="360"/>
      </w:pPr>
    </w:lvl>
    <w:lvl w:ilvl="4" w:tplc="0C090019" w:tentative="1">
      <w:start w:val="1"/>
      <w:numFmt w:val="lowerLetter"/>
      <w:lvlText w:val="%5."/>
      <w:lvlJc w:val="left"/>
      <w:pPr>
        <w:ind w:left="4244" w:hanging="360"/>
      </w:pPr>
    </w:lvl>
    <w:lvl w:ilvl="5" w:tplc="0C09001B" w:tentative="1">
      <w:start w:val="1"/>
      <w:numFmt w:val="lowerRoman"/>
      <w:lvlText w:val="%6."/>
      <w:lvlJc w:val="right"/>
      <w:pPr>
        <w:ind w:left="4964" w:hanging="180"/>
      </w:pPr>
    </w:lvl>
    <w:lvl w:ilvl="6" w:tplc="0C09000F" w:tentative="1">
      <w:start w:val="1"/>
      <w:numFmt w:val="decimal"/>
      <w:lvlText w:val="%7."/>
      <w:lvlJc w:val="left"/>
      <w:pPr>
        <w:ind w:left="5684" w:hanging="360"/>
      </w:pPr>
    </w:lvl>
    <w:lvl w:ilvl="7" w:tplc="0C090019" w:tentative="1">
      <w:start w:val="1"/>
      <w:numFmt w:val="lowerLetter"/>
      <w:lvlText w:val="%8."/>
      <w:lvlJc w:val="left"/>
      <w:pPr>
        <w:ind w:left="6404" w:hanging="360"/>
      </w:pPr>
    </w:lvl>
    <w:lvl w:ilvl="8" w:tplc="0C09001B" w:tentative="1">
      <w:start w:val="1"/>
      <w:numFmt w:val="lowerRoman"/>
      <w:lvlText w:val="%9."/>
      <w:lvlJc w:val="right"/>
      <w:pPr>
        <w:ind w:left="7124" w:hanging="180"/>
      </w:pPr>
    </w:lvl>
  </w:abstractNum>
  <w:abstractNum w:abstractNumId="13">
    <w:nsid w:val="3FCC3903"/>
    <w:multiLevelType w:val="hybridMultilevel"/>
    <w:tmpl w:val="3F96ACA2"/>
    <w:lvl w:ilvl="0" w:tplc="6F3241CA">
      <w:start w:val="1"/>
      <w:numFmt w:val="decimal"/>
      <w:lvlText w:val="%1."/>
      <w:lvlJc w:val="left"/>
      <w:pPr>
        <w:tabs>
          <w:tab w:val="num" w:pos="644"/>
        </w:tabs>
        <w:ind w:left="644" w:hanging="360"/>
      </w:pPr>
      <w:rPr>
        <w:rFonts w:hint="default"/>
        <w:b w:val="0"/>
        <w:sz w:val="22"/>
        <w:szCs w:val="22"/>
      </w:rPr>
    </w:lvl>
    <w:lvl w:ilvl="1" w:tplc="0C090001">
      <w:start w:val="1"/>
      <w:numFmt w:val="bullet"/>
      <w:lvlText w:val=""/>
      <w:lvlJc w:val="left"/>
      <w:pPr>
        <w:tabs>
          <w:tab w:val="num" w:pos="1440"/>
        </w:tabs>
        <w:ind w:left="1440" w:hanging="360"/>
      </w:pPr>
      <w:rPr>
        <w:rFonts w:ascii="Symbol" w:hAnsi="Symbol" w:hint="default"/>
      </w:rPr>
    </w:lvl>
    <w:lvl w:ilvl="2" w:tplc="C2ACD91E">
      <w:start w:val="1"/>
      <w:numFmt w:val="lowerLetter"/>
      <w:lvlText w:val="(%3)"/>
      <w:lvlJc w:val="left"/>
      <w:pPr>
        <w:tabs>
          <w:tab w:val="num" w:pos="2340"/>
        </w:tabs>
        <w:ind w:left="2340" w:hanging="360"/>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nsid w:val="409E1F97"/>
    <w:multiLevelType w:val="hybridMultilevel"/>
    <w:tmpl w:val="33B041D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42BD7D9A"/>
    <w:multiLevelType w:val="hybridMultilevel"/>
    <w:tmpl w:val="AE50AF9E"/>
    <w:lvl w:ilvl="0" w:tplc="0C090013">
      <w:start w:val="1"/>
      <w:numFmt w:val="upp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471C365E"/>
    <w:multiLevelType w:val="hybridMultilevel"/>
    <w:tmpl w:val="2B465F94"/>
    <w:lvl w:ilvl="0" w:tplc="04104052">
      <w:start w:val="1"/>
      <w:numFmt w:val="decimal"/>
      <w:lvlText w:val="%1."/>
      <w:lvlJc w:val="left"/>
      <w:pPr>
        <w:tabs>
          <w:tab w:val="num" w:pos="720"/>
        </w:tabs>
        <w:ind w:left="720" w:hanging="360"/>
      </w:pPr>
      <w:rPr>
        <w:rFonts w:hint="default"/>
        <w:sz w:val="22"/>
        <w:szCs w:val="22"/>
      </w:rPr>
    </w:lvl>
    <w:lvl w:ilvl="1" w:tplc="0C090001">
      <w:start w:val="1"/>
      <w:numFmt w:val="bullet"/>
      <w:lvlText w:val=""/>
      <w:lvlJc w:val="left"/>
      <w:pPr>
        <w:tabs>
          <w:tab w:val="num" w:pos="1440"/>
        </w:tabs>
        <w:ind w:left="1440" w:hanging="360"/>
      </w:pPr>
      <w:rPr>
        <w:rFonts w:ascii="Symbol" w:hAnsi="Symbol" w:hint="default"/>
      </w:rPr>
    </w:lvl>
    <w:lvl w:ilvl="2" w:tplc="C2ACD91E">
      <w:start w:val="1"/>
      <w:numFmt w:val="lowerLetter"/>
      <w:lvlText w:val="(%3)"/>
      <w:lvlJc w:val="left"/>
      <w:pPr>
        <w:tabs>
          <w:tab w:val="num" w:pos="2340"/>
        </w:tabs>
        <w:ind w:left="2340" w:hanging="360"/>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7">
    <w:nsid w:val="4F924D34"/>
    <w:multiLevelType w:val="hybridMultilevel"/>
    <w:tmpl w:val="744E3FA4"/>
    <w:lvl w:ilvl="0" w:tplc="FD124550">
      <w:start w:val="10"/>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5297220C"/>
    <w:multiLevelType w:val="hybridMultilevel"/>
    <w:tmpl w:val="B1164BE4"/>
    <w:lvl w:ilvl="0" w:tplc="0C09000F">
      <w:start w:val="1"/>
      <w:numFmt w:val="decimal"/>
      <w:lvlText w:val="%1."/>
      <w:lvlJc w:val="left"/>
      <w:pPr>
        <w:tabs>
          <w:tab w:val="num" w:pos="720"/>
        </w:tabs>
        <w:ind w:left="720" w:hanging="360"/>
      </w:pPr>
      <w:rPr>
        <w:rFonts w:hint="default"/>
        <w:sz w:val="22"/>
        <w:szCs w:val="22"/>
      </w:rPr>
    </w:lvl>
    <w:lvl w:ilvl="1" w:tplc="0C090001">
      <w:start w:val="1"/>
      <w:numFmt w:val="bullet"/>
      <w:lvlText w:val=""/>
      <w:lvlJc w:val="left"/>
      <w:pPr>
        <w:tabs>
          <w:tab w:val="num" w:pos="1440"/>
        </w:tabs>
        <w:ind w:left="1440" w:hanging="360"/>
      </w:pPr>
      <w:rPr>
        <w:rFonts w:ascii="Symbol" w:hAnsi="Symbol" w:hint="default"/>
      </w:rPr>
    </w:lvl>
    <w:lvl w:ilvl="2" w:tplc="C2ACD91E">
      <w:start w:val="1"/>
      <w:numFmt w:val="lowerLetter"/>
      <w:lvlText w:val="(%3)"/>
      <w:lvlJc w:val="left"/>
      <w:pPr>
        <w:tabs>
          <w:tab w:val="num" w:pos="2340"/>
        </w:tabs>
        <w:ind w:left="2340" w:hanging="360"/>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9">
    <w:nsid w:val="54976998"/>
    <w:multiLevelType w:val="hybridMultilevel"/>
    <w:tmpl w:val="99F01AE4"/>
    <w:lvl w:ilvl="0" w:tplc="1116F818">
      <w:start w:val="1"/>
      <w:numFmt w:val="bullet"/>
      <w:lvlText w:val="•"/>
      <w:lvlJc w:val="left"/>
      <w:pPr>
        <w:tabs>
          <w:tab w:val="num" w:pos="720"/>
        </w:tabs>
        <w:ind w:left="720" w:hanging="360"/>
      </w:pPr>
      <w:rPr>
        <w:rFonts w:ascii="Arial" w:hAnsi="Arial" w:hint="default"/>
      </w:rPr>
    </w:lvl>
    <w:lvl w:ilvl="1" w:tplc="72F8047E" w:tentative="1">
      <w:start w:val="1"/>
      <w:numFmt w:val="bullet"/>
      <w:lvlText w:val="•"/>
      <w:lvlJc w:val="left"/>
      <w:pPr>
        <w:tabs>
          <w:tab w:val="num" w:pos="1440"/>
        </w:tabs>
        <w:ind w:left="1440" w:hanging="360"/>
      </w:pPr>
      <w:rPr>
        <w:rFonts w:ascii="Arial" w:hAnsi="Arial" w:hint="default"/>
      </w:rPr>
    </w:lvl>
    <w:lvl w:ilvl="2" w:tplc="A2A89AFA" w:tentative="1">
      <w:start w:val="1"/>
      <w:numFmt w:val="bullet"/>
      <w:lvlText w:val="•"/>
      <w:lvlJc w:val="left"/>
      <w:pPr>
        <w:tabs>
          <w:tab w:val="num" w:pos="2160"/>
        </w:tabs>
        <w:ind w:left="2160" w:hanging="360"/>
      </w:pPr>
      <w:rPr>
        <w:rFonts w:ascii="Arial" w:hAnsi="Arial" w:hint="default"/>
      </w:rPr>
    </w:lvl>
    <w:lvl w:ilvl="3" w:tplc="CED2E1F0" w:tentative="1">
      <w:start w:val="1"/>
      <w:numFmt w:val="bullet"/>
      <w:lvlText w:val="•"/>
      <w:lvlJc w:val="left"/>
      <w:pPr>
        <w:tabs>
          <w:tab w:val="num" w:pos="2880"/>
        </w:tabs>
        <w:ind w:left="2880" w:hanging="360"/>
      </w:pPr>
      <w:rPr>
        <w:rFonts w:ascii="Arial" w:hAnsi="Arial" w:hint="default"/>
      </w:rPr>
    </w:lvl>
    <w:lvl w:ilvl="4" w:tplc="31B8E77E" w:tentative="1">
      <w:start w:val="1"/>
      <w:numFmt w:val="bullet"/>
      <w:lvlText w:val="•"/>
      <w:lvlJc w:val="left"/>
      <w:pPr>
        <w:tabs>
          <w:tab w:val="num" w:pos="3600"/>
        </w:tabs>
        <w:ind w:left="3600" w:hanging="360"/>
      </w:pPr>
      <w:rPr>
        <w:rFonts w:ascii="Arial" w:hAnsi="Arial" w:hint="default"/>
      </w:rPr>
    </w:lvl>
    <w:lvl w:ilvl="5" w:tplc="6308C0B6" w:tentative="1">
      <w:start w:val="1"/>
      <w:numFmt w:val="bullet"/>
      <w:lvlText w:val="•"/>
      <w:lvlJc w:val="left"/>
      <w:pPr>
        <w:tabs>
          <w:tab w:val="num" w:pos="4320"/>
        </w:tabs>
        <w:ind w:left="4320" w:hanging="360"/>
      </w:pPr>
      <w:rPr>
        <w:rFonts w:ascii="Arial" w:hAnsi="Arial" w:hint="default"/>
      </w:rPr>
    </w:lvl>
    <w:lvl w:ilvl="6" w:tplc="9D08EA0E" w:tentative="1">
      <w:start w:val="1"/>
      <w:numFmt w:val="bullet"/>
      <w:lvlText w:val="•"/>
      <w:lvlJc w:val="left"/>
      <w:pPr>
        <w:tabs>
          <w:tab w:val="num" w:pos="5040"/>
        </w:tabs>
        <w:ind w:left="5040" w:hanging="360"/>
      </w:pPr>
      <w:rPr>
        <w:rFonts w:ascii="Arial" w:hAnsi="Arial" w:hint="default"/>
      </w:rPr>
    </w:lvl>
    <w:lvl w:ilvl="7" w:tplc="C48261F4" w:tentative="1">
      <w:start w:val="1"/>
      <w:numFmt w:val="bullet"/>
      <w:lvlText w:val="•"/>
      <w:lvlJc w:val="left"/>
      <w:pPr>
        <w:tabs>
          <w:tab w:val="num" w:pos="5760"/>
        </w:tabs>
        <w:ind w:left="5760" w:hanging="360"/>
      </w:pPr>
      <w:rPr>
        <w:rFonts w:ascii="Arial" w:hAnsi="Arial" w:hint="default"/>
      </w:rPr>
    </w:lvl>
    <w:lvl w:ilvl="8" w:tplc="64F81BA2" w:tentative="1">
      <w:start w:val="1"/>
      <w:numFmt w:val="bullet"/>
      <w:lvlText w:val="•"/>
      <w:lvlJc w:val="left"/>
      <w:pPr>
        <w:tabs>
          <w:tab w:val="num" w:pos="6480"/>
        </w:tabs>
        <w:ind w:left="6480" w:hanging="360"/>
      </w:pPr>
      <w:rPr>
        <w:rFonts w:ascii="Arial" w:hAnsi="Arial" w:hint="default"/>
      </w:rPr>
    </w:lvl>
  </w:abstractNum>
  <w:abstractNum w:abstractNumId="20">
    <w:nsid w:val="579E0B38"/>
    <w:multiLevelType w:val="singleLevel"/>
    <w:tmpl w:val="0F9C26E4"/>
    <w:lvl w:ilvl="0">
      <w:start w:val="1"/>
      <w:numFmt w:val="bullet"/>
      <w:pStyle w:val="dotpoint"/>
      <w:lvlText w:val=""/>
      <w:lvlJc w:val="left"/>
      <w:pPr>
        <w:tabs>
          <w:tab w:val="num" w:pos="360"/>
        </w:tabs>
        <w:ind w:left="360" w:hanging="360"/>
      </w:pPr>
      <w:rPr>
        <w:rFonts w:ascii="Symbol" w:hAnsi="Symbol" w:hint="default"/>
      </w:rPr>
    </w:lvl>
  </w:abstractNum>
  <w:abstractNum w:abstractNumId="21">
    <w:nsid w:val="59107D87"/>
    <w:multiLevelType w:val="hybridMultilevel"/>
    <w:tmpl w:val="12C6A6A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5C1C6FC2"/>
    <w:multiLevelType w:val="hybridMultilevel"/>
    <w:tmpl w:val="2B465F94"/>
    <w:lvl w:ilvl="0" w:tplc="04104052">
      <w:start w:val="1"/>
      <w:numFmt w:val="decimal"/>
      <w:lvlText w:val="%1."/>
      <w:lvlJc w:val="left"/>
      <w:pPr>
        <w:tabs>
          <w:tab w:val="num" w:pos="720"/>
        </w:tabs>
        <w:ind w:left="720" w:hanging="360"/>
      </w:pPr>
      <w:rPr>
        <w:rFonts w:hint="default"/>
        <w:sz w:val="22"/>
        <w:szCs w:val="22"/>
      </w:rPr>
    </w:lvl>
    <w:lvl w:ilvl="1" w:tplc="0C090001">
      <w:start w:val="1"/>
      <w:numFmt w:val="bullet"/>
      <w:lvlText w:val=""/>
      <w:lvlJc w:val="left"/>
      <w:pPr>
        <w:tabs>
          <w:tab w:val="num" w:pos="1440"/>
        </w:tabs>
        <w:ind w:left="1440" w:hanging="360"/>
      </w:pPr>
      <w:rPr>
        <w:rFonts w:ascii="Symbol" w:hAnsi="Symbol" w:hint="default"/>
      </w:rPr>
    </w:lvl>
    <w:lvl w:ilvl="2" w:tplc="C2ACD91E">
      <w:start w:val="1"/>
      <w:numFmt w:val="lowerLetter"/>
      <w:lvlText w:val="(%3)"/>
      <w:lvlJc w:val="left"/>
      <w:pPr>
        <w:tabs>
          <w:tab w:val="num" w:pos="2340"/>
        </w:tabs>
        <w:ind w:left="2340" w:hanging="360"/>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3">
    <w:nsid w:val="5C2427FF"/>
    <w:multiLevelType w:val="hybridMultilevel"/>
    <w:tmpl w:val="584A7E66"/>
    <w:lvl w:ilvl="0" w:tplc="0C09000F">
      <w:start w:val="1"/>
      <w:numFmt w:val="decimal"/>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24">
    <w:nsid w:val="626D2AC6"/>
    <w:multiLevelType w:val="hybridMultilevel"/>
    <w:tmpl w:val="30C44988"/>
    <w:lvl w:ilvl="0" w:tplc="04104052">
      <w:start w:val="1"/>
      <w:numFmt w:val="decimal"/>
      <w:lvlText w:val="%1."/>
      <w:lvlJc w:val="left"/>
      <w:pPr>
        <w:tabs>
          <w:tab w:val="num" w:pos="644"/>
        </w:tabs>
        <w:ind w:left="644" w:hanging="360"/>
      </w:pPr>
      <w:rPr>
        <w:rFonts w:hint="default"/>
        <w:sz w:val="22"/>
        <w:szCs w:val="22"/>
      </w:rPr>
    </w:lvl>
    <w:lvl w:ilvl="1" w:tplc="0C090001">
      <w:start w:val="1"/>
      <w:numFmt w:val="bullet"/>
      <w:lvlText w:val=""/>
      <w:lvlJc w:val="left"/>
      <w:pPr>
        <w:tabs>
          <w:tab w:val="num" w:pos="1440"/>
        </w:tabs>
        <w:ind w:left="1440" w:hanging="360"/>
      </w:pPr>
      <w:rPr>
        <w:rFonts w:ascii="Symbol" w:hAnsi="Symbol" w:hint="default"/>
      </w:rPr>
    </w:lvl>
    <w:lvl w:ilvl="2" w:tplc="C2ACD91E">
      <w:start w:val="1"/>
      <w:numFmt w:val="lowerLetter"/>
      <w:lvlText w:val="(%3)"/>
      <w:lvlJc w:val="left"/>
      <w:pPr>
        <w:tabs>
          <w:tab w:val="num" w:pos="2340"/>
        </w:tabs>
        <w:ind w:left="2340" w:hanging="360"/>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5">
    <w:nsid w:val="6EE22E99"/>
    <w:multiLevelType w:val="hybridMultilevel"/>
    <w:tmpl w:val="16369E3E"/>
    <w:lvl w:ilvl="0" w:tplc="04104052">
      <w:start w:val="1"/>
      <w:numFmt w:val="decimal"/>
      <w:lvlText w:val="%1."/>
      <w:lvlJc w:val="left"/>
      <w:pPr>
        <w:tabs>
          <w:tab w:val="num" w:pos="644"/>
        </w:tabs>
        <w:ind w:left="644" w:hanging="360"/>
      </w:pPr>
      <w:rPr>
        <w:rFonts w:hint="default"/>
        <w:sz w:val="22"/>
        <w:szCs w:val="22"/>
      </w:rPr>
    </w:lvl>
    <w:lvl w:ilvl="1" w:tplc="0C090001">
      <w:start w:val="1"/>
      <w:numFmt w:val="bullet"/>
      <w:lvlText w:val=""/>
      <w:lvlJc w:val="left"/>
      <w:pPr>
        <w:tabs>
          <w:tab w:val="num" w:pos="1440"/>
        </w:tabs>
        <w:ind w:left="1440" w:hanging="360"/>
      </w:pPr>
      <w:rPr>
        <w:rFonts w:ascii="Symbol" w:hAnsi="Symbol" w:hint="default"/>
      </w:rPr>
    </w:lvl>
    <w:lvl w:ilvl="2" w:tplc="C2ACD91E">
      <w:start w:val="1"/>
      <w:numFmt w:val="lowerLetter"/>
      <w:lvlText w:val="(%3)"/>
      <w:lvlJc w:val="left"/>
      <w:pPr>
        <w:tabs>
          <w:tab w:val="num" w:pos="2340"/>
        </w:tabs>
        <w:ind w:left="2340" w:hanging="360"/>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6">
    <w:nsid w:val="784E22D8"/>
    <w:multiLevelType w:val="hybridMultilevel"/>
    <w:tmpl w:val="C694D6EA"/>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78AB08A0"/>
    <w:multiLevelType w:val="hybridMultilevel"/>
    <w:tmpl w:val="05ECA4BA"/>
    <w:lvl w:ilvl="0" w:tplc="1AF0EC02">
      <w:start w:val="1"/>
      <w:numFmt w:val="bullet"/>
      <w:lvlText w:val="•"/>
      <w:lvlJc w:val="left"/>
      <w:pPr>
        <w:tabs>
          <w:tab w:val="num" w:pos="720"/>
        </w:tabs>
        <w:ind w:left="720" w:hanging="360"/>
      </w:pPr>
      <w:rPr>
        <w:rFonts w:ascii="Arial" w:hAnsi="Arial" w:hint="default"/>
      </w:rPr>
    </w:lvl>
    <w:lvl w:ilvl="1" w:tplc="C4D46E5C" w:tentative="1">
      <w:start w:val="1"/>
      <w:numFmt w:val="bullet"/>
      <w:lvlText w:val="•"/>
      <w:lvlJc w:val="left"/>
      <w:pPr>
        <w:tabs>
          <w:tab w:val="num" w:pos="1440"/>
        </w:tabs>
        <w:ind w:left="1440" w:hanging="360"/>
      </w:pPr>
      <w:rPr>
        <w:rFonts w:ascii="Arial" w:hAnsi="Arial" w:hint="default"/>
      </w:rPr>
    </w:lvl>
    <w:lvl w:ilvl="2" w:tplc="459E37EE" w:tentative="1">
      <w:start w:val="1"/>
      <w:numFmt w:val="bullet"/>
      <w:lvlText w:val="•"/>
      <w:lvlJc w:val="left"/>
      <w:pPr>
        <w:tabs>
          <w:tab w:val="num" w:pos="2160"/>
        </w:tabs>
        <w:ind w:left="2160" w:hanging="360"/>
      </w:pPr>
      <w:rPr>
        <w:rFonts w:ascii="Arial" w:hAnsi="Arial" w:hint="default"/>
      </w:rPr>
    </w:lvl>
    <w:lvl w:ilvl="3" w:tplc="1A3CE9F8" w:tentative="1">
      <w:start w:val="1"/>
      <w:numFmt w:val="bullet"/>
      <w:lvlText w:val="•"/>
      <w:lvlJc w:val="left"/>
      <w:pPr>
        <w:tabs>
          <w:tab w:val="num" w:pos="2880"/>
        </w:tabs>
        <w:ind w:left="2880" w:hanging="360"/>
      </w:pPr>
      <w:rPr>
        <w:rFonts w:ascii="Arial" w:hAnsi="Arial" w:hint="default"/>
      </w:rPr>
    </w:lvl>
    <w:lvl w:ilvl="4" w:tplc="79F64CAA" w:tentative="1">
      <w:start w:val="1"/>
      <w:numFmt w:val="bullet"/>
      <w:lvlText w:val="•"/>
      <w:lvlJc w:val="left"/>
      <w:pPr>
        <w:tabs>
          <w:tab w:val="num" w:pos="3600"/>
        </w:tabs>
        <w:ind w:left="3600" w:hanging="360"/>
      </w:pPr>
      <w:rPr>
        <w:rFonts w:ascii="Arial" w:hAnsi="Arial" w:hint="default"/>
      </w:rPr>
    </w:lvl>
    <w:lvl w:ilvl="5" w:tplc="708E59BC" w:tentative="1">
      <w:start w:val="1"/>
      <w:numFmt w:val="bullet"/>
      <w:lvlText w:val="•"/>
      <w:lvlJc w:val="left"/>
      <w:pPr>
        <w:tabs>
          <w:tab w:val="num" w:pos="4320"/>
        </w:tabs>
        <w:ind w:left="4320" w:hanging="360"/>
      </w:pPr>
      <w:rPr>
        <w:rFonts w:ascii="Arial" w:hAnsi="Arial" w:hint="default"/>
      </w:rPr>
    </w:lvl>
    <w:lvl w:ilvl="6" w:tplc="170EFAB0" w:tentative="1">
      <w:start w:val="1"/>
      <w:numFmt w:val="bullet"/>
      <w:lvlText w:val="•"/>
      <w:lvlJc w:val="left"/>
      <w:pPr>
        <w:tabs>
          <w:tab w:val="num" w:pos="5040"/>
        </w:tabs>
        <w:ind w:left="5040" w:hanging="360"/>
      </w:pPr>
      <w:rPr>
        <w:rFonts w:ascii="Arial" w:hAnsi="Arial" w:hint="default"/>
      </w:rPr>
    </w:lvl>
    <w:lvl w:ilvl="7" w:tplc="BBAC6476" w:tentative="1">
      <w:start w:val="1"/>
      <w:numFmt w:val="bullet"/>
      <w:lvlText w:val="•"/>
      <w:lvlJc w:val="left"/>
      <w:pPr>
        <w:tabs>
          <w:tab w:val="num" w:pos="5760"/>
        </w:tabs>
        <w:ind w:left="5760" w:hanging="360"/>
      </w:pPr>
      <w:rPr>
        <w:rFonts w:ascii="Arial" w:hAnsi="Arial" w:hint="default"/>
      </w:rPr>
    </w:lvl>
    <w:lvl w:ilvl="8" w:tplc="980C7D8A" w:tentative="1">
      <w:start w:val="1"/>
      <w:numFmt w:val="bullet"/>
      <w:lvlText w:val="•"/>
      <w:lvlJc w:val="left"/>
      <w:pPr>
        <w:tabs>
          <w:tab w:val="num" w:pos="6480"/>
        </w:tabs>
        <w:ind w:left="6480" w:hanging="360"/>
      </w:pPr>
      <w:rPr>
        <w:rFonts w:ascii="Arial" w:hAnsi="Arial" w:hint="default"/>
      </w:rPr>
    </w:lvl>
  </w:abstractNum>
  <w:abstractNum w:abstractNumId="28">
    <w:nsid w:val="7966006C"/>
    <w:multiLevelType w:val="hybridMultilevel"/>
    <w:tmpl w:val="BABE966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8"/>
  </w:num>
  <w:num w:numId="2">
    <w:abstractNumId w:val="13"/>
  </w:num>
  <w:num w:numId="3">
    <w:abstractNumId w:val="1"/>
  </w:num>
  <w:num w:numId="4">
    <w:abstractNumId w:val="22"/>
  </w:num>
  <w:num w:numId="5">
    <w:abstractNumId w:val="21"/>
  </w:num>
  <w:num w:numId="6">
    <w:abstractNumId w:val="4"/>
  </w:num>
  <w:num w:numId="7">
    <w:abstractNumId w:val="9"/>
  </w:num>
  <w:num w:numId="8">
    <w:abstractNumId w:val="14"/>
  </w:num>
  <w:num w:numId="9">
    <w:abstractNumId w:val="2"/>
  </w:num>
  <w:num w:numId="10">
    <w:abstractNumId w:val="16"/>
  </w:num>
  <w:num w:numId="11">
    <w:abstractNumId w:val="18"/>
  </w:num>
  <w:num w:numId="12">
    <w:abstractNumId w:val="6"/>
  </w:num>
  <w:num w:numId="13">
    <w:abstractNumId w:val="17"/>
  </w:num>
  <w:num w:numId="14">
    <w:abstractNumId w:val="7"/>
  </w:num>
  <w:num w:numId="15">
    <w:abstractNumId w:val="23"/>
  </w:num>
  <w:num w:numId="16">
    <w:abstractNumId w:val="5"/>
  </w:num>
  <w:num w:numId="17">
    <w:abstractNumId w:val="10"/>
  </w:num>
  <w:num w:numId="18">
    <w:abstractNumId w:val="27"/>
  </w:num>
  <w:num w:numId="19">
    <w:abstractNumId w:val="19"/>
  </w:num>
  <w:num w:numId="20">
    <w:abstractNumId w:val="15"/>
  </w:num>
  <w:num w:numId="21">
    <w:abstractNumId w:val="26"/>
  </w:num>
  <w:num w:numId="22">
    <w:abstractNumId w:val="3"/>
  </w:num>
  <w:num w:numId="23">
    <w:abstractNumId w:val="0"/>
    <w:lvlOverride w:ilvl="0">
      <w:lvl w:ilvl="0">
        <w:numFmt w:val="bullet"/>
        <w:lvlText w:val=""/>
        <w:legacy w:legacy="1" w:legacySpace="0" w:legacyIndent="360"/>
        <w:lvlJc w:val="left"/>
        <w:rPr>
          <w:rFonts w:ascii="Symbol" w:hAnsi="Symbol" w:hint="default"/>
        </w:rPr>
      </w:lvl>
    </w:lvlOverride>
  </w:num>
  <w:num w:numId="24">
    <w:abstractNumId w:val="11"/>
  </w:num>
  <w:num w:numId="25">
    <w:abstractNumId w:val="20"/>
  </w:num>
  <w:num w:numId="26">
    <w:abstractNumId w:val="8"/>
  </w:num>
  <w:num w:numId="27">
    <w:abstractNumId w:val="25"/>
  </w:num>
  <w:num w:numId="28">
    <w:abstractNumId w:val="24"/>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30F9"/>
    <w:rsid w:val="00026F78"/>
    <w:rsid w:val="00092F6F"/>
    <w:rsid w:val="000A2A18"/>
    <w:rsid w:val="00103A55"/>
    <w:rsid w:val="00107F1C"/>
    <w:rsid w:val="001140E6"/>
    <w:rsid w:val="001228AE"/>
    <w:rsid w:val="00160F4A"/>
    <w:rsid w:val="001636AE"/>
    <w:rsid w:val="0016512C"/>
    <w:rsid w:val="0017761B"/>
    <w:rsid w:val="0019694A"/>
    <w:rsid w:val="001B2CE5"/>
    <w:rsid w:val="001B5B7C"/>
    <w:rsid w:val="001B7EEB"/>
    <w:rsid w:val="00211653"/>
    <w:rsid w:val="002566E8"/>
    <w:rsid w:val="002757D2"/>
    <w:rsid w:val="0027646A"/>
    <w:rsid w:val="002A6D5E"/>
    <w:rsid w:val="002A77AF"/>
    <w:rsid w:val="002B5CFF"/>
    <w:rsid w:val="002B729D"/>
    <w:rsid w:val="003071F5"/>
    <w:rsid w:val="0030746E"/>
    <w:rsid w:val="00350559"/>
    <w:rsid w:val="003526B6"/>
    <w:rsid w:val="00354FED"/>
    <w:rsid w:val="00356339"/>
    <w:rsid w:val="003A0220"/>
    <w:rsid w:val="003D0006"/>
    <w:rsid w:val="003D02C5"/>
    <w:rsid w:val="003E7EBF"/>
    <w:rsid w:val="003F1183"/>
    <w:rsid w:val="00406CF1"/>
    <w:rsid w:val="00425D49"/>
    <w:rsid w:val="00427E2C"/>
    <w:rsid w:val="00475A4F"/>
    <w:rsid w:val="004B199A"/>
    <w:rsid w:val="004C13FE"/>
    <w:rsid w:val="004F2AB0"/>
    <w:rsid w:val="004F4FC6"/>
    <w:rsid w:val="004F72A1"/>
    <w:rsid w:val="00513F80"/>
    <w:rsid w:val="00520C59"/>
    <w:rsid w:val="00524CAD"/>
    <w:rsid w:val="005373F8"/>
    <w:rsid w:val="0055222B"/>
    <w:rsid w:val="00582D73"/>
    <w:rsid w:val="005B56C7"/>
    <w:rsid w:val="005D0834"/>
    <w:rsid w:val="005D6F48"/>
    <w:rsid w:val="0060717A"/>
    <w:rsid w:val="006111D0"/>
    <w:rsid w:val="0064139F"/>
    <w:rsid w:val="00671D25"/>
    <w:rsid w:val="00672039"/>
    <w:rsid w:val="006761C9"/>
    <w:rsid w:val="006A0EDF"/>
    <w:rsid w:val="006F2B0A"/>
    <w:rsid w:val="00702957"/>
    <w:rsid w:val="00716A2D"/>
    <w:rsid w:val="00721A8D"/>
    <w:rsid w:val="0072264D"/>
    <w:rsid w:val="00743B48"/>
    <w:rsid w:val="007467AE"/>
    <w:rsid w:val="00755458"/>
    <w:rsid w:val="00761682"/>
    <w:rsid w:val="00786C9C"/>
    <w:rsid w:val="00797064"/>
    <w:rsid w:val="00861B80"/>
    <w:rsid w:val="00875816"/>
    <w:rsid w:val="008A01EC"/>
    <w:rsid w:val="008F68C3"/>
    <w:rsid w:val="00907F95"/>
    <w:rsid w:val="009118A9"/>
    <w:rsid w:val="00943259"/>
    <w:rsid w:val="00953861"/>
    <w:rsid w:val="009649B3"/>
    <w:rsid w:val="00992F71"/>
    <w:rsid w:val="009A3EBA"/>
    <w:rsid w:val="009A48C1"/>
    <w:rsid w:val="009C7ADF"/>
    <w:rsid w:val="009D2629"/>
    <w:rsid w:val="009F1E44"/>
    <w:rsid w:val="009F7C3A"/>
    <w:rsid w:val="00A23488"/>
    <w:rsid w:val="00A53EDA"/>
    <w:rsid w:val="00A66468"/>
    <w:rsid w:val="00A76987"/>
    <w:rsid w:val="00AA7720"/>
    <w:rsid w:val="00AD0E70"/>
    <w:rsid w:val="00AD73AC"/>
    <w:rsid w:val="00B212B2"/>
    <w:rsid w:val="00B93176"/>
    <w:rsid w:val="00B93257"/>
    <w:rsid w:val="00BE3C82"/>
    <w:rsid w:val="00BF7891"/>
    <w:rsid w:val="00C07829"/>
    <w:rsid w:val="00C37467"/>
    <w:rsid w:val="00C40FE9"/>
    <w:rsid w:val="00C52B6C"/>
    <w:rsid w:val="00C536EA"/>
    <w:rsid w:val="00C72270"/>
    <w:rsid w:val="00C73D6A"/>
    <w:rsid w:val="00C930F9"/>
    <w:rsid w:val="00CE61D0"/>
    <w:rsid w:val="00D120DA"/>
    <w:rsid w:val="00D640A1"/>
    <w:rsid w:val="00D72458"/>
    <w:rsid w:val="00DA4134"/>
    <w:rsid w:val="00DF57AE"/>
    <w:rsid w:val="00E05687"/>
    <w:rsid w:val="00E31C6D"/>
    <w:rsid w:val="00E44D0E"/>
    <w:rsid w:val="00E45461"/>
    <w:rsid w:val="00E63032"/>
    <w:rsid w:val="00E92A40"/>
    <w:rsid w:val="00E94ABD"/>
    <w:rsid w:val="00EB5717"/>
    <w:rsid w:val="00EB57E9"/>
    <w:rsid w:val="00F0098A"/>
    <w:rsid w:val="00F11729"/>
    <w:rsid w:val="00F96945"/>
    <w:rsid w:val="00FA4E5A"/>
    <w:rsid w:val="00FD29E0"/>
    <w:rsid w:val="00FF0E0C"/>
    <w:rsid w:val="00FF538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AU" w:eastAsia="en-US" w:bidi="ar-SA"/>
      </w:rPr>
    </w:rPrDefault>
    <w:pPrDefault>
      <w:pPr>
        <w:spacing w:line="24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7F95"/>
    <w:pPr>
      <w:spacing w:before="120" w:after="120" w:line="240" w:lineRule="auto"/>
    </w:pPr>
    <w:rPr>
      <w:sz w:val="20"/>
      <w:szCs w:val="20"/>
      <w:lang w:eastAsia="en-AU"/>
    </w:rPr>
  </w:style>
  <w:style w:type="paragraph" w:styleId="Heading2">
    <w:name w:val="heading 2"/>
    <w:basedOn w:val="Normal"/>
    <w:next w:val="Normal"/>
    <w:link w:val="Heading2Char"/>
    <w:uiPriority w:val="9"/>
    <w:semiHidden/>
    <w:unhideWhenUsed/>
    <w:qFormat/>
    <w:rsid w:val="0079706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C930F9"/>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99"/>
    <w:qFormat/>
    <w:rsid w:val="00907F95"/>
    <w:rPr>
      <w:rFonts w:cs="Times New Roman"/>
      <w:i/>
      <w:iCs/>
    </w:rPr>
  </w:style>
  <w:style w:type="paragraph" w:styleId="ListParagraph">
    <w:name w:val="List Paragraph"/>
    <w:basedOn w:val="Normal"/>
    <w:uiPriority w:val="34"/>
    <w:qFormat/>
    <w:rsid w:val="00907F95"/>
    <w:pPr>
      <w:spacing w:before="0" w:after="0"/>
      <w:ind w:left="720"/>
      <w:contextualSpacing/>
    </w:pPr>
    <w:rPr>
      <w:rFonts w:eastAsia="Times New Roman" w:cs="Times New Roman"/>
      <w:sz w:val="22"/>
      <w:szCs w:val="24"/>
    </w:rPr>
  </w:style>
  <w:style w:type="character" w:customStyle="1" w:styleId="Heading3Char">
    <w:name w:val="Heading 3 Char"/>
    <w:basedOn w:val="DefaultParagraphFont"/>
    <w:link w:val="Heading3"/>
    <w:uiPriority w:val="9"/>
    <w:rsid w:val="00C930F9"/>
    <w:rPr>
      <w:rFonts w:ascii="Times New Roman" w:eastAsia="Times New Roman" w:hAnsi="Times New Roman" w:cs="Times New Roman"/>
      <w:b/>
      <w:bCs/>
      <w:sz w:val="27"/>
      <w:szCs w:val="27"/>
      <w:lang w:eastAsia="en-AU"/>
    </w:rPr>
  </w:style>
  <w:style w:type="paragraph" w:styleId="NormalWeb">
    <w:name w:val="Normal (Web)"/>
    <w:basedOn w:val="Normal"/>
    <w:uiPriority w:val="99"/>
    <w:semiHidden/>
    <w:unhideWhenUsed/>
    <w:rsid w:val="00C930F9"/>
    <w:pPr>
      <w:spacing w:before="100" w:beforeAutospacing="1" w:after="100" w:afterAutospacing="1"/>
    </w:pPr>
    <w:rPr>
      <w:rFonts w:ascii="Times New Roman" w:eastAsia="Times New Roman" w:hAnsi="Times New Roman" w:cs="Times New Roman"/>
      <w:sz w:val="24"/>
      <w:szCs w:val="24"/>
    </w:rPr>
  </w:style>
  <w:style w:type="paragraph" w:styleId="Header">
    <w:name w:val="header"/>
    <w:basedOn w:val="Normal"/>
    <w:link w:val="HeaderChar"/>
    <w:unhideWhenUsed/>
    <w:rsid w:val="00797064"/>
    <w:pPr>
      <w:tabs>
        <w:tab w:val="center" w:pos="4513"/>
        <w:tab w:val="right" w:pos="9026"/>
      </w:tabs>
      <w:spacing w:before="0" w:after="0"/>
    </w:pPr>
  </w:style>
  <w:style w:type="character" w:customStyle="1" w:styleId="HeaderChar">
    <w:name w:val="Header Char"/>
    <w:basedOn w:val="DefaultParagraphFont"/>
    <w:link w:val="Header"/>
    <w:rsid w:val="00797064"/>
    <w:rPr>
      <w:sz w:val="20"/>
      <w:szCs w:val="20"/>
      <w:lang w:eastAsia="en-AU"/>
    </w:rPr>
  </w:style>
  <w:style w:type="paragraph" w:styleId="Footer">
    <w:name w:val="footer"/>
    <w:basedOn w:val="Normal"/>
    <w:link w:val="FooterChar"/>
    <w:uiPriority w:val="99"/>
    <w:unhideWhenUsed/>
    <w:rsid w:val="00797064"/>
    <w:pPr>
      <w:tabs>
        <w:tab w:val="center" w:pos="4513"/>
        <w:tab w:val="right" w:pos="9026"/>
      </w:tabs>
      <w:spacing w:before="0" w:after="0"/>
    </w:pPr>
  </w:style>
  <w:style w:type="character" w:customStyle="1" w:styleId="FooterChar">
    <w:name w:val="Footer Char"/>
    <w:basedOn w:val="DefaultParagraphFont"/>
    <w:link w:val="Footer"/>
    <w:uiPriority w:val="99"/>
    <w:rsid w:val="00797064"/>
    <w:rPr>
      <w:sz w:val="20"/>
      <w:szCs w:val="20"/>
      <w:lang w:eastAsia="en-AU"/>
    </w:rPr>
  </w:style>
  <w:style w:type="paragraph" w:styleId="BalloonText">
    <w:name w:val="Balloon Text"/>
    <w:basedOn w:val="Normal"/>
    <w:link w:val="BalloonTextChar"/>
    <w:uiPriority w:val="99"/>
    <w:semiHidden/>
    <w:unhideWhenUsed/>
    <w:rsid w:val="00797064"/>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7064"/>
    <w:rPr>
      <w:rFonts w:ascii="Tahoma" w:hAnsi="Tahoma" w:cs="Tahoma"/>
      <w:sz w:val="16"/>
      <w:szCs w:val="16"/>
      <w:lang w:eastAsia="en-AU"/>
    </w:rPr>
  </w:style>
  <w:style w:type="character" w:customStyle="1" w:styleId="Heading2Char">
    <w:name w:val="Heading 2 Char"/>
    <w:basedOn w:val="DefaultParagraphFont"/>
    <w:link w:val="Heading2"/>
    <w:uiPriority w:val="9"/>
    <w:semiHidden/>
    <w:rsid w:val="00797064"/>
    <w:rPr>
      <w:rFonts w:asciiTheme="majorHAnsi" w:eastAsiaTheme="majorEastAsia" w:hAnsiTheme="majorHAnsi" w:cstheme="majorBidi"/>
      <w:b/>
      <w:bCs/>
      <w:color w:val="4F81BD" w:themeColor="accent1"/>
      <w:sz w:val="26"/>
      <w:szCs w:val="26"/>
      <w:lang w:eastAsia="en-AU"/>
    </w:rPr>
  </w:style>
  <w:style w:type="character" w:styleId="Hyperlink">
    <w:name w:val="Hyperlink"/>
    <w:basedOn w:val="DefaultParagraphFont"/>
    <w:uiPriority w:val="99"/>
    <w:semiHidden/>
    <w:unhideWhenUsed/>
    <w:rsid w:val="004B199A"/>
    <w:rPr>
      <w:color w:val="0000FF"/>
      <w:u w:val="single"/>
    </w:rPr>
  </w:style>
  <w:style w:type="character" w:styleId="CommentReference">
    <w:name w:val="annotation reference"/>
    <w:basedOn w:val="DefaultParagraphFont"/>
    <w:semiHidden/>
    <w:unhideWhenUsed/>
    <w:rsid w:val="001140E6"/>
    <w:rPr>
      <w:sz w:val="16"/>
      <w:szCs w:val="16"/>
    </w:rPr>
  </w:style>
  <w:style w:type="paragraph" w:styleId="CommentText">
    <w:name w:val="annotation text"/>
    <w:basedOn w:val="Normal"/>
    <w:link w:val="CommentTextChar"/>
    <w:semiHidden/>
    <w:unhideWhenUsed/>
    <w:rsid w:val="001140E6"/>
  </w:style>
  <w:style w:type="character" w:customStyle="1" w:styleId="CommentTextChar">
    <w:name w:val="Comment Text Char"/>
    <w:basedOn w:val="DefaultParagraphFont"/>
    <w:link w:val="CommentText"/>
    <w:semiHidden/>
    <w:rsid w:val="001140E6"/>
    <w:rPr>
      <w:sz w:val="20"/>
      <w:szCs w:val="20"/>
      <w:lang w:eastAsia="en-AU"/>
    </w:rPr>
  </w:style>
  <w:style w:type="paragraph" w:styleId="CommentSubject">
    <w:name w:val="annotation subject"/>
    <w:basedOn w:val="CommentText"/>
    <w:next w:val="CommentText"/>
    <w:link w:val="CommentSubjectChar"/>
    <w:uiPriority w:val="99"/>
    <w:semiHidden/>
    <w:unhideWhenUsed/>
    <w:rsid w:val="001140E6"/>
    <w:rPr>
      <w:b/>
      <w:bCs/>
    </w:rPr>
  </w:style>
  <w:style w:type="character" w:customStyle="1" w:styleId="CommentSubjectChar">
    <w:name w:val="Comment Subject Char"/>
    <w:basedOn w:val="CommentTextChar"/>
    <w:link w:val="CommentSubject"/>
    <w:uiPriority w:val="99"/>
    <w:semiHidden/>
    <w:rsid w:val="001140E6"/>
    <w:rPr>
      <w:b/>
      <w:bCs/>
      <w:sz w:val="20"/>
      <w:szCs w:val="20"/>
      <w:lang w:eastAsia="en-AU"/>
    </w:rPr>
  </w:style>
  <w:style w:type="paragraph" w:styleId="Revision">
    <w:name w:val="Revision"/>
    <w:hidden/>
    <w:uiPriority w:val="99"/>
    <w:semiHidden/>
    <w:rsid w:val="0060717A"/>
    <w:pPr>
      <w:spacing w:line="240" w:lineRule="auto"/>
    </w:pPr>
    <w:rPr>
      <w:sz w:val="20"/>
      <w:szCs w:val="20"/>
      <w:lang w:eastAsia="en-AU"/>
    </w:rPr>
  </w:style>
  <w:style w:type="paragraph" w:customStyle="1" w:styleId="Style1">
    <w:name w:val="Style1"/>
    <w:rsid w:val="00716A2D"/>
    <w:pPr>
      <w:spacing w:line="240" w:lineRule="auto"/>
    </w:pPr>
    <w:rPr>
      <w:rFonts w:eastAsia="Times New Roman"/>
      <w:sz w:val="16"/>
      <w:szCs w:val="26"/>
      <w:lang w:eastAsia="en-AU"/>
    </w:rPr>
  </w:style>
  <w:style w:type="paragraph" w:customStyle="1" w:styleId="dotpoint">
    <w:name w:val="dot point"/>
    <w:basedOn w:val="Normal"/>
    <w:rsid w:val="00943259"/>
    <w:pPr>
      <w:numPr>
        <w:numId w:val="25"/>
      </w:numPr>
    </w:pPr>
    <w:rPr>
      <w:rFonts w:ascii="Times New Roman" w:eastAsia="Times New Roman" w:hAnsi="Times New Roman" w:cs="Times New Roman"/>
      <w:sz w:val="24"/>
    </w:rPr>
  </w:style>
  <w:style w:type="paragraph" w:customStyle="1" w:styleId="Default">
    <w:name w:val="Default"/>
    <w:rsid w:val="00F11729"/>
    <w:pPr>
      <w:autoSpaceDE w:val="0"/>
      <w:autoSpaceDN w:val="0"/>
      <w:adjustRightInd w:val="0"/>
      <w:spacing w:line="240" w:lineRule="auto"/>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AU" w:eastAsia="en-US" w:bidi="ar-SA"/>
      </w:rPr>
    </w:rPrDefault>
    <w:pPrDefault>
      <w:pPr>
        <w:spacing w:line="24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7F95"/>
    <w:pPr>
      <w:spacing w:before="120" w:after="120" w:line="240" w:lineRule="auto"/>
    </w:pPr>
    <w:rPr>
      <w:sz w:val="20"/>
      <w:szCs w:val="20"/>
      <w:lang w:eastAsia="en-AU"/>
    </w:rPr>
  </w:style>
  <w:style w:type="paragraph" w:styleId="Heading2">
    <w:name w:val="heading 2"/>
    <w:basedOn w:val="Normal"/>
    <w:next w:val="Normal"/>
    <w:link w:val="Heading2Char"/>
    <w:uiPriority w:val="9"/>
    <w:semiHidden/>
    <w:unhideWhenUsed/>
    <w:qFormat/>
    <w:rsid w:val="0079706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C930F9"/>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99"/>
    <w:qFormat/>
    <w:rsid w:val="00907F95"/>
    <w:rPr>
      <w:rFonts w:cs="Times New Roman"/>
      <w:i/>
      <w:iCs/>
    </w:rPr>
  </w:style>
  <w:style w:type="paragraph" w:styleId="ListParagraph">
    <w:name w:val="List Paragraph"/>
    <w:basedOn w:val="Normal"/>
    <w:uiPriority w:val="34"/>
    <w:qFormat/>
    <w:rsid w:val="00907F95"/>
    <w:pPr>
      <w:spacing w:before="0" w:after="0"/>
      <w:ind w:left="720"/>
      <w:contextualSpacing/>
    </w:pPr>
    <w:rPr>
      <w:rFonts w:eastAsia="Times New Roman" w:cs="Times New Roman"/>
      <w:sz w:val="22"/>
      <w:szCs w:val="24"/>
    </w:rPr>
  </w:style>
  <w:style w:type="character" w:customStyle="1" w:styleId="Heading3Char">
    <w:name w:val="Heading 3 Char"/>
    <w:basedOn w:val="DefaultParagraphFont"/>
    <w:link w:val="Heading3"/>
    <w:uiPriority w:val="9"/>
    <w:rsid w:val="00C930F9"/>
    <w:rPr>
      <w:rFonts w:ascii="Times New Roman" w:eastAsia="Times New Roman" w:hAnsi="Times New Roman" w:cs="Times New Roman"/>
      <w:b/>
      <w:bCs/>
      <w:sz w:val="27"/>
      <w:szCs w:val="27"/>
      <w:lang w:eastAsia="en-AU"/>
    </w:rPr>
  </w:style>
  <w:style w:type="paragraph" w:styleId="NormalWeb">
    <w:name w:val="Normal (Web)"/>
    <w:basedOn w:val="Normal"/>
    <w:uiPriority w:val="99"/>
    <w:semiHidden/>
    <w:unhideWhenUsed/>
    <w:rsid w:val="00C930F9"/>
    <w:pPr>
      <w:spacing w:before="100" w:beforeAutospacing="1" w:after="100" w:afterAutospacing="1"/>
    </w:pPr>
    <w:rPr>
      <w:rFonts w:ascii="Times New Roman" w:eastAsia="Times New Roman" w:hAnsi="Times New Roman" w:cs="Times New Roman"/>
      <w:sz w:val="24"/>
      <w:szCs w:val="24"/>
    </w:rPr>
  </w:style>
  <w:style w:type="paragraph" w:styleId="Header">
    <w:name w:val="header"/>
    <w:basedOn w:val="Normal"/>
    <w:link w:val="HeaderChar"/>
    <w:unhideWhenUsed/>
    <w:rsid w:val="00797064"/>
    <w:pPr>
      <w:tabs>
        <w:tab w:val="center" w:pos="4513"/>
        <w:tab w:val="right" w:pos="9026"/>
      </w:tabs>
      <w:spacing w:before="0" w:after="0"/>
    </w:pPr>
  </w:style>
  <w:style w:type="character" w:customStyle="1" w:styleId="HeaderChar">
    <w:name w:val="Header Char"/>
    <w:basedOn w:val="DefaultParagraphFont"/>
    <w:link w:val="Header"/>
    <w:rsid w:val="00797064"/>
    <w:rPr>
      <w:sz w:val="20"/>
      <w:szCs w:val="20"/>
      <w:lang w:eastAsia="en-AU"/>
    </w:rPr>
  </w:style>
  <w:style w:type="paragraph" w:styleId="Footer">
    <w:name w:val="footer"/>
    <w:basedOn w:val="Normal"/>
    <w:link w:val="FooterChar"/>
    <w:uiPriority w:val="99"/>
    <w:unhideWhenUsed/>
    <w:rsid w:val="00797064"/>
    <w:pPr>
      <w:tabs>
        <w:tab w:val="center" w:pos="4513"/>
        <w:tab w:val="right" w:pos="9026"/>
      </w:tabs>
      <w:spacing w:before="0" w:after="0"/>
    </w:pPr>
  </w:style>
  <w:style w:type="character" w:customStyle="1" w:styleId="FooterChar">
    <w:name w:val="Footer Char"/>
    <w:basedOn w:val="DefaultParagraphFont"/>
    <w:link w:val="Footer"/>
    <w:uiPriority w:val="99"/>
    <w:rsid w:val="00797064"/>
    <w:rPr>
      <w:sz w:val="20"/>
      <w:szCs w:val="20"/>
      <w:lang w:eastAsia="en-AU"/>
    </w:rPr>
  </w:style>
  <w:style w:type="paragraph" w:styleId="BalloonText">
    <w:name w:val="Balloon Text"/>
    <w:basedOn w:val="Normal"/>
    <w:link w:val="BalloonTextChar"/>
    <w:uiPriority w:val="99"/>
    <w:semiHidden/>
    <w:unhideWhenUsed/>
    <w:rsid w:val="00797064"/>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7064"/>
    <w:rPr>
      <w:rFonts w:ascii="Tahoma" w:hAnsi="Tahoma" w:cs="Tahoma"/>
      <w:sz w:val="16"/>
      <w:szCs w:val="16"/>
      <w:lang w:eastAsia="en-AU"/>
    </w:rPr>
  </w:style>
  <w:style w:type="character" w:customStyle="1" w:styleId="Heading2Char">
    <w:name w:val="Heading 2 Char"/>
    <w:basedOn w:val="DefaultParagraphFont"/>
    <w:link w:val="Heading2"/>
    <w:uiPriority w:val="9"/>
    <w:semiHidden/>
    <w:rsid w:val="00797064"/>
    <w:rPr>
      <w:rFonts w:asciiTheme="majorHAnsi" w:eastAsiaTheme="majorEastAsia" w:hAnsiTheme="majorHAnsi" w:cstheme="majorBidi"/>
      <w:b/>
      <w:bCs/>
      <w:color w:val="4F81BD" w:themeColor="accent1"/>
      <w:sz w:val="26"/>
      <w:szCs w:val="26"/>
      <w:lang w:eastAsia="en-AU"/>
    </w:rPr>
  </w:style>
  <w:style w:type="character" w:styleId="Hyperlink">
    <w:name w:val="Hyperlink"/>
    <w:basedOn w:val="DefaultParagraphFont"/>
    <w:uiPriority w:val="99"/>
    <w:semiHidden/>
    <w:unhideWhenUsed/>
    <w:rsid w:val="004B199A"/>
    <w:rPr>
      <w:color w:val="0000FF"/>
      <w:u w:val="single"/>
    </w:rPr>
  </w:style>
  <w:style w:type="character" w:styleId="CommentReference">
    <w:name w:val="annotation reference"/>
    <w:basedOn w:val="DefaultParagraphFont"/>
    <w:semiHidden/>
    <w:unhideWhenUsed/>
    <w:rsid w:val="001140E6"/>
    <w:rPr>
      <w:sz w:val="16"/>
      <w:szCs w:val="16"/>
    </w:rPr>
  </w:style>
  <w:style w:type="paragraph" w:styleId="CommentText">
    <w:name w:val="annotation text"/>
    <w:basedOn w:val="Normal"/>
    <w:link w:val="CommentTextChar"/>
    <w:semiHidden/>
    <w:unhideWhenUsed/>
    <w:rsid w:val="001140E6"/>
  </w:style>
  <w:style w:type="character" w:customStyle="1" w:styleId="CommentTextChar">
    <w:name w:val="Comment Text Char"/>
    <w:basedOn w:val="DefaultParagraphFont"/>
    <w:link w:val="CommentText"/>
    <w:semiHidden/>
    <w:rsid w:val="001140E6"/>
    <w:rPr>
      <w:sz w:val="20"/>
      <w:szCs w:val="20"/>
      <w:lang w:eastAsia="en-AU"/>
    </w:rPr>
  </w:style>
  <w:style w:type="paragraph" w:styleId="CommentSubject">
    <w:name w:val="annotation subject"/>
    <w:basedOn w:val="CommentText"/>
    <w:next w:val="CommentText"/>
    <w:link w:val="CommentSubjectChar"/>
    <w:uiPriority w:val="99"/>
    <w:semiHidden/>
    <w:unhideWhenUsed/>
    <w:rsid w:val="001140E6"/>
    <w:rPr>
      <w:b/>
      <w:bCs/>
    </w:rPr>
  </w:style>
  <w:style w:type="character" w:customStyle="1" w:styleId="CommentSubjectChar">
    <w:name w:val="Comment Subject Char"/>
    <w:basedOn w:val="CommentTextChar"/>
    <w:link w:val="CommentSubject"/>
    <w:uiPriority w:val="99"/>
    <w:semiHidden/>
    <w:rsid w:val="001140E6"/>
    <w:rPr>
      <w:b/>
      <w:bCs/>
      <w:sz w:val="20"/>
      <w:szCs w:val="20"/>
      <w:lang w:eastAsia="en-AU"/>
    </w:rPr>
  </w:style>
  <w:style w:type="paragraph" w:styleId="Revision">
    <w:name w:val="Revision"/>
    <w:hidden/>
    <w:uiPriority w:val="99"/>
    <w:semiHidden/>
    <w:rsid w:val="0060717A"/>
    <w:pPr>
      <w:spacing w:line="240" w:lineRule="auto"/>
    </w:pPr>
    <w:rPr>
      <w:sz w:val="20"/>
      <w:szCs w:val="20"/>
      <w:lang w:eastAsia="en-AU"/>
    </w:rPr>
  </w:style>
  <w:style w:type="paragraph" w:customStyle="1" w:styleId="Style1">
    <w:name w:val="Style1"/>
    <w:rsid w:val="00716A2D"/>
    <w:pPr>
      <w:spacing w:line="240" w:lineRule="auto"/>
    </w:pPr>
    <w:rPr>
      <w:rFonts w:eastAsia="Times New Roman"/>
      <w:sz w:val="16"/>
      <w:szCs w:val="26"/>
      <w:lang w:eastAsia="en-AU"/>
    </w:rPr>
  </w:style>
  <w:style w:type="paragraph" w:customStyle="1" w:styleId="dotpoint">
    <w:name w:val="dot point"/>
    <w:basedOn w:val="Normal"/>
    <w:rsid w:val="00943259"/>
    <w:pPr>
      <w:numPr>
        <w:numId w:val="25"/>
      </w:numPr>
    </w:pPr>
    <w:rPr>
      <w:rFonts w:ascii="Times New Roman" w:eastAsia="Times New Roman" w:hAnsi="Times New Roman" w:cs="Times New Roman"/>
      <w:sz w:val="24"/>
    </w:rPr>
  </w:style>
  <w:style w:type="paragraph" w:customStyle="1" w:styleId="Default">
    <w:name w:val="Default"/>
    <w:rsid w:val="00F11729"/>
    <w:pPr>
      <w:autoSpaceDE w:val="0"/>
      <w:autoSpaceDN w:val="0"/>
      <w:adjustRightInd w:val="0"/>
      <w:spacing w:line="240" w:lineRule="auto"/>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790981">
      <w:bodyDiv w:val="1"/>
      <w:marLeft w:val="0"/>
      <w:marRight w:val="0"/>
      <w:marTop w:val="0"/>
      <w:marBottom w:val="0"/>
      <w:divBdr>
        <w:top w:val="none" w:sz="0" w:space="0" w:color="auto"/>
        <w:left w:val="none" w:sz="0" w:space="0" w:color="auto"/>
        <w:bottom w:val="none" w:sz="0" w:space="0" w:color="auto"/>
        <w:right w:val="none" w:sz="0" w:space="0" w:color="auto"/>
      </w:divBdr>
    </w:div>
    <w:div w:id="439497040">
      <w:bodyDiv w:val="1"/>
      <w:marLeft w:val="0"/>
      <w:marRight w:val="0"/>
      <w:marTop w:val="0"/>
      <w:marBottom w:val="0"/>
      <w:divBdr>
        <w:top w:val="none" w:sz="0" w:space="0" w:color="auto"/>
        <w:left w:val="none" w:sz="0" w:space="0" w:color="auto"/>
        <w:bottom w:val="none" w:sz="0" w:space="0" w:color="auto"/>
        <w:right w:val="none" w:sz="0" w:space="0" w:color="auto"/>
      </w:divBdr>
    </w:div>
    <w:div w:id="694118861">
      <w:bodyDiv w:val="1"/>
      <w:marLeft w:val="0"/>
      <w:marRight w:val="0"/>
      <w:marTop w:val="0"/>
      <w:marBottom w:val="0"/>
      <w:divBdr>
        <w:top w:val="none" w:sz="0" w:space="0" w:color="auto"/>
        <w:left w:val="none" w:sz="0" w:space="0" w:color="auto"/>
        <w:bottom w:val="none" w:sz="0" w:space="0" w:color="auto"/>
        <w:right w:val="none" w:sz="0" w:space="0" w:color="auto"/>
      </w:divBdr>
    </w:div>
    <w:div w:id="1027370963">
      <w:bodyDiv w:val="1"/>
      <w:marLeft w:val="0"/>
      <w:marRight w:val="0"/>
      <w:marTop w:val="0"/>
      <w:marBottom w:val="0"/>
      <w:divBdr>
        <w:top w:val="none" w:sz="0" w:space="0" w:color="auto"/>
        <w:left w:val="none" w:sz="0" w:space="0" w:color="auto"/>
        <w:bottom w:val="none" w:sz="0" w:space="0" w:color="auto"/>
        <w:right w:val="none" w:sz="0" w:space="0" w:color="auto"/>
      </w:divBdr>
    </w:div>
    <w:div w:id="1368531145">
      <w:bodyDiv w:val="1"/>
      <w:marLeft w:val="0"/>
      <w:marRight w:val="0"/>
      <w:marTop w:val="0"/>
      <w:marBottom w:val="0"/>
      <w:divBdr>
        <w:top w:val="none" w:sz="0" w:space="0" w:color="auto"/>
        <w:left w:val="none" w:sz="0" w:space="0" w:color="auto"/>
        <w:bottom w:val="none" w:sz="0" w:space="0" w:color="auto"/>
        <w:right w:val="none" w:sz="0" w:space="0" w:color="auto"/>
      </w:divBdr>
      <w:divsChild>
        <w:div w:id="598559831">
          <w:marLeft w:val="446"/>
          <w:marRight w:val="0"/>
          <w:marTop w:val="0"/>
          <w:marBottom w:val="0"/>
          <w:divBdr>
            <w:top w:val="none" w:sz="0" w:space="0" w:color="auto"/>
            <w:left w:val="none" w:sz="0" w:space="0" w:color="auto"/>
            <w:bottom w:val="none" w:sz="0" w:space="0" w:color="auto"/>
            <w:right w:val="none" w:sz="0" w:space="0" w:color="auto"/>
          </w:divBdr>
        </w:div>
      </w:divsChild>
    </w:div>
    <w:div w:id="1418474325">
      <w:bodyDiv w:val="1"/>
      <w:marLeft w:val="0"/>
      <w:marRight w:val="0"/>
      <w:marTop w:val="0"/>
      <w:marBottom w:val="0"/>
      <w:divBdr>
        <w:top w:val="none" w:sz="0" w:space="0" w:color="auto"/>
        <w:left w:val="none" w:sz="0" w:space="0" w:color="auto"/>
        <w:bottom w:val="none" w:sz="0" w:space="0" w:color="auto"/>
        <w:right w:val="none" w:sz="0" w:space="0" w:color="auto"/>
      </w:divBdr>
      <w:divsChild>
        <w:div w:id="1999074324">
          <w:marLeft w:val="446"/>
          <w:marRight w:val="0"/>
          <w:marTop w:val="0"/>
          <w:marBottom w:val="0"/>
          <w:divBdr>
            <w:top w:val="none" w:sz="0" w:space="0" w:color="auto"/>
            <w:left w:val="none" w:sz="0" w:space="0" w:color="auto"/>
            <w:bottom w:val="none" w:sz="0" w:space="0" w:color="auto"/>
            <w:right w:val="none" w:sz="0" w:space="0" w:color="auto"/>
          </w:divBdr>
        </w:div>
      </w:divsChild>
    </w:div>
    <w:div w:id="1525627345">
      <w:bodyDiv w:val="1"/>
      <w:marLeft w:val="0"/>
      <w:marRight w:val="0"/>
      <w:marTop w:val="0"/>
      <w:marBottom w:val="0"/>
      <w:divBdr>
        <w:top w:val="none" w:sz="0" w:space="0" w:color="auto"/>
        <w:left w:val="none" w:sz="0" w:space="0" w:color="auto"/>
        <w:bottom w:val="none" w:sz="0" w:space="0" w:color="auto"/>
        <w:right w:val="none" w:sz="0" w:space="0" w:color="auto"/>
      </w:divBdr>
    </w:div>
    <w:div w:id="1534658045">
      <w:bodyDiv w:val="1"/>
      <w:marLeft w:val="0"/>
      <w:marRight w:val="0"/>
      <w:marTop w:val="0"/>
      <w:marBottom w:val="0"/>
      <w:divBdr>
        <w:top w:val="none" w:sz="0" w:space="0" w:color="auto"/>
        <w:left w:val="none" w:sz="0" w:space="0" w:color="auto"/>
        <w:bottom w:val="none" w:sz="0" w:space="0" w:color="auto"/>
        <w:right w:val="none" w:sz="0" w:space="0" w:color="auto"/>
      </w:divBdr>
    </w:div>
    <w:div w:id="1711107417">
      <w:bodyDiv w:val="1"/>
      <w:marLeft w:val="0"/>
      <w:marRight w:val="0"/>
      <w:marTop w:val="0"/>
      <w:marBottom w:val="0"/>
      <w:divBdr>
        <w:top w:val="none" w:sz="0" w:space="0" w:color="auto"/>
        <w:left w:val="none" w:sz="0" w:space="0" w:color="auto"/>
        <w:bottom w:val="none" w:sz="0" w:space="0" w:color="auto"/>
        <w:right w:val="none" w:sz="0" w:space="0" w:color="auto"/>
      </w:divBdr>
      <w:divsChild>
        <w:div w:id="1745949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www.legislation.gov.au/Details/F2014L00691" TargetMode="External"/><Relationship Id="rId4" Type="http://schemas.microsoft.com/office/2007/relationships/stylesWithEffects" Target="stylesWithEffects.xml"/><Relationship Id="rId9" Type="http://schemas.openxmlformats.org/officeDocument/2006/relationships/hyperlink" Target="https://www.legislation.gov.au/Details/F2014L00691"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FED4EE-DAB9-45F3-8B6F-357699FCA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1042</Words>
  <Characters>5940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Australian Taxation Office</Company>
  <LinksUpToDate>false</LinksUpToDate>
  <CharactersWithSpaces>6969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Wallace, Valerie</dc:creator>
  <cp:lastModifiedBy>Wallace, Valerie</cp:lastModifiedBy>
  <cp:revision>2</cp:revision>
  <cp:lastPrinted>2017-02-02T04:41:00Z</cp:lastPrinted>
  <dcterms:created xsi:type="dcterms:W3CDTF">2017-02-16T05:00:00Z</dcterms:created>
  <dcterms:modified xsi:type="dcterms:W3CDTF">2017-02-16T05:00:00Z</dcterms:modified>
</cp:coreProperties>
</file>