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1F2A16">
        <w:rPr>
          <w:rFonts w:ascii="Arial" w:hAnsi="Arial" w:cs="Arial"/>
          <w:sz w:val="34"/>
          <w:szCs w:val="34"/>
        </w:rPr>
        <w:t>Explanatory Statement</w:t>
      </w:r>
    </w:p>
    <w:p w:rsidR="004E6799" w:rsidRPr="001F2A16" w:rsidRDefault="004E6799"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4E6799" w:rsidRPr="004E6799" w:rsidRDefault="004E6799" w:rsidP="004E6799">
      <w:pPr>
        <w:pStyle w:val="Header"/>
        <w:pBdr>
          <w:top w:val="double" w:sz="4" w:space="1" w:color="auto"/>
          <w:bottom w:val="double" w:sz="4" w:space="1" w:color="auto"/>
        </w:pBdr>
        <w:jc w:val="center"/>
        <w:rPr>
          <w:rFonts w:ascii="Arial" w:hAnsi="Arial" w:cs="Arial"/>
          <w:sz w:val="34"/>
          <w:szCs w:val="34"/>
        </w:rPr>
      </w:pPr>
      <w:r w:rsidRPr="004E6799">
        <w:rPr>
          <w:rFonts w:ascii="Arial" w:hAnsi="Arial" w:cs="Arial"/>
          <w:sz w:val="34"/>
          <w:szCs w:val="34"/>
        </w:rPr>
        <w:t xml:space="preserve">Correcting GST </w:t>
      </w:r>
      <w:r w:rsidR="00E413E6">
        <w:rPr>
          <w:rFonts w:ascii="Arial" w:hAnsi="Arial" w:cs="Arial"/>
          <w:sz w:val="34"/>
          <w:szCs w:val="34"/>
        </w:rPr>
        <w:t>E</w:t>
      </w:r>
      <w:r w:rsidRPr="004E6799">
        <w:rPr>
          <w:rFonts w:ascii="Arial" w:hAnsi="Arial" w:cs="Arial"/>
          <w:sz w:val="34"/>
          <w:szCs w:val="34"/>
        </w:rPr>
        <w:t>rr</w:t>
      </w:r>
      <w:r w:rsidR="003F3361">
        <w:rPr>
          <w:rFonts w:ascii="Arial" w:hAnsi="Arial" w:cs="Arial"/>
          <w:sz w:val="34"/>
          <w:szCs w:val="34"/>
        </w:rPr>
        <w:t>ors Amendment Determination 2017</w:t>
      </w:r>
      <w:r w:rsidRPr="004E6799">
        <w:rPr>
          <w:rFonts w:ascii="Arial" w:hAnsi="Arial" w:cs="Arial"/>
          <w:sz w:val="34"/>
          <w:szCs w:val="34"/>
        </w:rPr>
        <w:t xml:space="preserve"> (No.1)</w:t>
      </w:r>
    </w:p>
    <w:p w:rsidR="001F2A16" w:rsidRPr="001F2A16" w:rsidRDefault="001F2A16" w:rsidP="0099555F">
      <w:pPr>
        <w:pStyle w:val="Header"/>
        <w:tabs>
          <w:tab w:val="clear" w:pos="4153"/>
          <w:tab w:val="clear" w:pos="8306"/>
        </w:tabs>
        <w:jc w:val="center"/>
        <w:rPr>
          <w:rFonts w:ascii="Arial" w:hAnsi="Arial" w:cs="Arial"/>
          <w:szCs w:val="24"/>
        </w:rPr>
      </w:pPr>
    </w:p>
    <w:p w:rsidR="00244D17" w:rsidRDefault="00244D17" w:rsidP="00244D17">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Pr>
          <w:sz w:val="24"/>
          <w:szCs w:val="24"/>
        </w:rPr>
        <w:t>General Outline of the Determination</w:t>
      </w:r>
    </w:p>
    <w:p w:rsidR="00244D17" w:rsidRPr="00E72FC7" w:rsidRDefault="00244D17" w:rsidP="00244D17"/>
    <w:p w:rsidR="00244D17" w:rsidRPr="00E42030" w:rsidRDefault="00244D17" w:rsidP="00244D17">
      <w:pPr>
        <w:numPr>
          <w:ilvl w:val="0"/>
          <w:numId w:val="16"/>
        </w:numPr>
        <w:spacing w:after="120"/>
        <w:rPr>
          <w:rFonts w:ascii="Arial" w:hAnsi="Arial" w:cs="Arial"/>
          <w:sz w:val="22"/>
          <w:szCs w:val="22"/>
        </w:rPr>
      </w:pPr>
      <w:bookmarkStart w:id="11" w:name="IComments"/>
      <w:r>
        <w:rPr>
          <w:rFonts w:ascii="Arial" w:hAnsi="Arial" w:cs="Arial"/>
          <w:sz w:val="22"/>
          <w:szCs w:val="22"/>
        </w:rPr>
        <w:t xml:space="preserve">The Determination is made under </w:t>
      </w:r>
      <w:r w:rsidRPr="00227F0E">
        <w:rPr>
          <w:rFonts w:ascii="Arial" w:hAnsi="Arial" w:cs="Arial"/>
          <w:sz w:val="22"/>
          <w:szCs w:val="22"/>
        </w:rPr>
        <w:t xml:space="preserve">subsection 17-20(1) of the </w:t>
      </w:r>
      <w:r w:rsidRPr="00227F0E">
        <w:rPr>
          <w:rFonts w:ascii="Arial" w:hAnsi="Arial" w:cs="Arial"/>
          <w:i/>
          <w:sz w:val="22"/>
          <w:szCs w:val="22"/>
        </w:rPr>
        <w:t>A New Tax System (Goods and Services Tax) Act 1999</w:t>
      </w:r>
      <w:r>
        <w:rPr>
          <w:rFonts w:ascii="Arial" w:hAnsi="Arial" w:cs="Arial"/>
          <w:i/>
          <w:sz w:val="22"/>
          <w:szCs w:val="22"/>
        </w:rPr>
        <w:t xml:space="preserve"> </w:t>
      </w:r>
      <w:r w:rsidRPr="00E42030">
        <w:rPr>
          <w:rFonts w:ascii="Arial" w:hAnsi="Arial" w:cs="Arial"/>
          <w:sz w:val="22"/>
          <w:szCs w:val="22"/>
        </w:rPr>
        <w:t xml:space="preserve">(GST Act). </w:t>
      </w:r>
    </w:p>
    <w:p w:rsidR="00244D17" w:rsidRPr="00227F0E" w:rsidRDefault="00244D17" w:rsidP="00244D17">
      <w:pPr>
        <w:numPr>
          <w:ilvl w:val="0"/>
          <w:numId w:val="16"/>
        </w:numPr>
        <w:spacing w:after="120"/>
        <w:ind w:right="1464"/>
        <w:rPr>
          <w:rFonts w:ascii="Arial" w:hAnsi="Arial" w:cs="Arial"/>
          <w:sz w:val="22"/>
          <w:szCs w:val="22"/>
        </w:rPr>
      </w:pPr>
      <w:r>
        <w:rPr>
          <w:rFonts w:ascii="Arial" w:hAnsi="Arial" w:cs="Arial"/>
          <w:sz w:val="22"/>
          <w:szCs w:val="22"/>
        </w:rPr>
        <w:t>The</w:t>
      </w:r>
      <w:r w:rsidRPr="00227F0E">
        <w:rPr>
          <w:rFonts w:ascii="Arial" w:hAnsi="Arial" w:cs="Arial"/>
          <w:sz w:val="22"/>
          <w:szCs w:val="22"/>
        </w:rPr>
        <w:t xml:space="preserve"> </w:t>
      </w:r>
      <w:r>
        <w:rPr>
          <w:rFonts w:ascii="Arial" w:hAnsi="Arial" w:cs="Arial"/>
          <w:sz w:val="22"/>
          <w:szCs w:val="22"/>
        </w:rPr>
        <w:t>Determination</w:t>
      </w:r>
      <w:r w:rsidRPr="00227F0E">
        <w:rPr>
          <w:rFonts w:ascii="Arial" w:hAnsi="Arial" w:cs="Arial"/>
          <w:sz w:val="22"/>
          <w:szCs w:val="22"/>
        </w:rPr>
        <w:t xml:space="preserve"> amends </w:t>
      </w:r>
      <w:r w:rsidRPr="00227F0E">
        <w:rPr>
          <w:rFonts w:ascii="Arial" w:hAnsi="Arial" w:cs="Arial"/>
          <w:i/>
          <w:sz w:val="22"/>
          <w:szCs w:val="22"/>
        </w:rPr>
        <w:t>Goods and Services Tax: Correcting GST Errors Determination 2013</w:t>
      </w:r>
      <w:r w:rsidRPr="00227F0E">
        <w:rPr>
          <w:rFonts w:ascii="Arial" w:hAnsi="Arial" w:cs="Arial"/>
          <w:sz w:val="22"/>
          <w:szCs w:val="22"/>
        </w:rPr>
        <w:t xml:space="preserve"> (F2013L00754</w:t>
      </w:r>
      <w:r>
        <w:rPr>
          <w:rFonts w:ascii="Arial" w:hAnsi="Arial" w:cs="Arial"/>
          <w:sz w:val="22"/>
          <w:szCs w:val="22"/>
        </w:rPr>
        <w:t>)</w:t>
      </w:r>
      <w:r w:rsidRPr="00227F0E">
        <w:rPr>
          <w:rFonts w:ascii="Arial" w:hAnsi="Arial" w:cs="Arial"/>
          <w:sz w:val="22"/>
          <w:szCs w:val="22"/>
        </w:rPr>
        <w:t xml:space="preserve">. </w:t>
      </w:r>
    </w:p>
    <w:p w:rsidR="00244D17" w:rsidRDefault="00244D17" w:rsidP="00244D17">
      <w:pPr>
        <w:numPr>
          <w:ilvl w:val="0"/>
          <w:numId w:val="16"/>
        </w:numPr>
        <w:spacing w:after="120"/>
        <w:rPr>
          <w:rFonts w:ascii="Arial" w:hAnsi="Arial" w:cs="Arial"/>
          <w:sz w:val="22"/>
          <w:szCs w:val="22"/>
        </w:rPr>
      </w:pPr>
      <w:r w:rsidRPr="00746BDE">
        <w:rPr>
          <w:rFonts w:ascii="Arial" w:hAnsi="Arial" w:cs="Arial"/>
          <w:sz w:val="22"/>
          <w:szCs w:val="22"/>
        </w:rPr>
        <w:t xml:space="preserve">Under subsection 33(3) of the </w:t>
      </w:r>
      <w:r w:rsidRPr="00746BDE">
        <w:rPr>
          <w:rFonts w:ascii="Arial" w:hAnsi="Arial" w:cs="Arial"/>
          <w:i/>
          <w:sz w:val="22"/>
          <w:szCs w:val="22"/>
        </w:rPr>
        <w:t>Acts Interpretation Act 1901</w:t>
      </w:r>
      <w:r w:rsidRPr="00746BDE">
        <w:rPr>
          <w:rFonts w:ascii="Arial" w:hAnsi="Arial" w:cs="Arial"/>
          <w:sz w:val="22"/>
          <w:szCs w:val="22"/>
        </w:rPr>
        <w:t>, where an Act confers a power to make, grant or issue any determination of a legislative or administrative character (including rules, regulations or by-laws), the power shall be construed as including a power exercisable in the like manner and subject to the like conditions (if any) to repeal, rescind, revoke, amend, or vary any such determination</w:t>
      </w:r>
      <w:r>
        <w:rPr>
          <w:rFonts w:ascii="Arial" w:hAnsi="Arial" w:cs="Arial"/>
          <w:sz w:val="22"/>
          <w:szCs w:val="22"/>
        </w:rPr>
        <w:t xml:space="preserve">. </w:t>
      </w:r>
    </w:p>
    <w:p w:rsidR="00244D17" w:rsidRPr="00E524D9" w:rsidRDefault="00244D17" w:rsidP="00244D17">
      <w:pPr>
        <w:numPr>
          <w:ilvl w:val="0"/>
          <w:numId w:val="16"/>
        </w:numPr>
        <w:spacing w:after="120"/>
        <w:rPr>
          <w:rFonts w:ascii="Arial" w:hAnsi="Arial" w:cs="Arial"/>
          <w:sz w:val="22"/>
          <w:szCs w:val="22"/>
        </w:rPr>
      </w:pPr>
      <w:r>
        <w:rPr>
          <w:rFonts w:ascii="Arial" w:hAnsi="Arial" w:cs="Arial"/>
          <w:sz w:val="22"/>
          <w:szCs w:val="22"/>
        </w:rPr>
        <w:t xml:space="preserve">The Determination is a Legislative Instrument for the purposes of the </w:t>
      </w:r>
      <w:r>
        <w:rPr>
          <w:rFonts w:ascii="Arial" w:hAnsi="Arial" w:cs="Arial"/>
          <w:i/>
          <w:sz w:val="22"/>
          <w:szCs w:val="22"/>
        </w:rPr>
        <w:t>Legislation Act 2003</w:t>
      </w:r>
      <w:r>
        <w:rPr>
          <w:rFonts w:ascii="Arial" w:hAnsi="Arial" w:cs="Arial"/>
          <w:sz w:val="22"/>
          <w:szCs w:val="22"/>
        </w:rPr>
        <w:t>.</w:t>
      </w:r>
    </w:p>
    <w:p w:rsidR="00244D17" w:rsidRPr="00081FDE" w:rsidRDefault="00244D17" w:rsidP="00244D17">
      <w:pPr>
        <w:spacing w:after="120"/>
        <w:rPr>
          <w:rFonts w:ascii="Arial" w:hAnsi="Arial" w:cs="Arial"/>
          <w:sz w:val="22"/>
          <w:szCs w:val="22"/>
        </w:rPr>
      </w:pPr>
    </w:p>
    <w:bookmarkEnd w:id="11"/>
    <w:p w:rsidR="00244D17" w:rsidRPr="00DC656D" w:rsidRDefault="00244D17" w:rsidP="00244D17">
      <w:pPr>
        <w:pStyle w:val="Heading2"/>
        <w:rPr>
          <w:sz w:val="24"/>
          <w:szCs w:val="24"/>
        </w:rPr>
      </w:pPr>
      <w:r w:rsidRPr="005E6CCE">
        <w:rPr>
          <w:sz w:val="24"/>
          <w:szCs w:val="24"/>
        </w:rPr>
        <w:t xml:space="preserve">Date </w:t>
      </w:r>
      <w:r w:rsidRPr="00DC656D">
        <w:rPr>
          <w:sz w:val="24"/>
          <w:szCs w:val="24"/>
        </w:rPr>
        <w:t>of effect</w:t>
      </w:r>
    </w:p>
    <w:p w:rsidR="00244D17" w:rsidRPr="00E04B3F" w:rsidRDefault="00244D17" w:rsidP="00244D17">
      <w:pPr>
        <w:numPr>
          <w:ilvl w:val="0"/>
          <w:numId w:val="16"/>
        </w:numPr>
        <w:rPr>
          <w:rFonts w:ascii="Arial" w:hAnsi="Arial" w:cs="Arial"/>
          <w:color w:val="000000"/>
          <w:sz w:val="22"/>
          <w:szCs w:val="22"/>
        </w:rPr>
      </w:pPr>
      <w:r w:rsidRPr="00380CC4">
        <w:rPr>
          <w:rFonts w:ascii="Arial" w:hAnsi="Arial" w:cs="Arial"/>
          <w:sz w:val="22"/>
          <w:szCs w:val="22"/>
        </w:rPr>
        <w:t xml:space="preserve">The </w:t>
      </w:r>
      <w:r>
        <w:rPr>
          <w:rFonts w:ascii="Arial" w:hAnsi="Arial" w:cs="Arial"/>
          <w:sz w:val="22"/>
          <w:szCs w:val="22"/>
        </w:rPr>
        <w:t>Determination</w:t>
      </w:r>
      <w:r w:rsidRPr="00380CC4">
        <w:rPr>
          <w:rFonts w:ascii="Arial" w:hAnsi="Arial" w:cs="Arial"/>
          <w:sz w:val="22"/>
          <w:szCs w:val="22"/>
        </w:rPr>
        <w:t xml:space="preserve"> commence</w:t>
      </w:r>
      <w:r>
        <w:rPr>
          <w:rFonts w:ascii="Arial" w:hAnsi="Arial" w:cs="Arial"/>
          <w:sz w:val="22"/>
          <w:szCs w:val="22"/>
        </w:rPr>
        <w:t>s</w:t>
      </w:r>
      <w:r w:rsidRPr="00380CC4">
        <w:rPr>
          <w:rFonts w:ascii="Arial" w:hAnsi="Arial" w:cs="Arial"/>
          <w:sz w:val="22"/>
          <w:szCs w:val="22"/>
        </w:rPr>
        <w:t xml:space="preserve"> on </w:t>
      </w:r>
      <w:r w:rsidR="008F5123">
        <w:rPr>
          <w:rFonts w:ascii="Arial" w:hAnsi="Arial" w:cs="Arial"/>
          <w:sz w:val="22"/>
          <w:szCs w:val="22"/>
        </w:rPr>
        <w:t>1/03/2017</w:t>
      </w:r>
      <w:r>
        <w:rPr>
          <w:rFonts w:ascii="Arial" w:hAnsi="Arial" w:cs="Arial"/>
          <w:sz w:val="22"/>
          <w:szCs w:val="22"/>
        </w:rPr>
        <w:t>.</w:t>
      </w:r>
    </w:p>
    <w:p w:rsidR="00244D17" w:rsidRDefault="00244D17" w:rsidP="00244D17">
      <w:pPr>
        <w:ind w:left="720"/>
        <w:rPr>
          <w:rFonts w:ascii="Arial" w:hAnsi="Arial" w:cs="Arial"/>
          <w:color w:val="000000"/>
          <w:sz w:val="22"/>
          <w:szCs w:val="22"/>
        </w:rPr>
      </w:pPr>
    </w:p>
    <w:p w:rsidR="00244D17" w:rsidRPr="00E04B3F" w:rsidRDefault="00244D17" w:rsidP="00244D17">
      <w:pPr>
        <w:numPr>
          <w:ilvl w:val="0"/>
          <w:numId w:val="16"/>
        </w:numPr>
        <w:rPr>
          <w:rFonts w:ascii="Arial" w:hAnsi="Arial" w:cs="Arial"/>
          <w:color w:val="000000"/>
          <w:sz w:val="22"/>
          <w:szCs w:val="22"/>
        </w:rPr>
      </w:pPr>
      <w:r>
        <w:rPr>
          <w:rFonts w:ascii="Arial" w:hAnsi="Arial" w:cs="Arial"/>
          <w:color w:val="000000"/>
          <w:sz w:val="22"/>
          <w:szCs w:val="22"/>
        </w:rPr>
        <w:t>T</w:t>
      </w:r>
      <w:r w:rsidRPr="00E04B3F">
        <w:rPr>
          <w:rFonts w:ascii="Arial" w:hAnsi="Arial" w:cs="Arial"/>
          <w:color w:val="000000"/>
          <w:sz w:val="22"/>
          <w:szCs w:val="22"/>
        </w:rPr>
        <w:t xml:space="preserve">he amendments will apply to a tax period, in which a taxpayer corrects an error or errors from an earlier tax period that starts on or after the commencement date of the Determination. </w:t>
      </w:r>
    </w:p>
    <w:p w:rsidR="00244D17" w:rsidRPr="00061BCD" w:rsidRDefault="00244D17" w:rsidP="00244D17">
      <w:pPr>
        <w:keepNext/>
        <w:keepLines/>
        <w:ind w:left="720"/>
        <w:rPr>
          <w:rFonts w:ascii="Arial" w:hAnsi="Arial" w:cs="Arial"/>
          <w:sz w:val="22"/>
          <w:szCs w:val="22"/>
        </w:rPr>
      </w:pPr>
    </w:p>
    <w:p w:rsidR="00244D17" w:rsidRDefault="00244D17" w:rsidP="00244D17">
      <w:pPr>
        <w:pStyle w:val="Heading2"/>
        <w:tabs>
          <w:tab w:val="left" w:pos="284"/>
        </w:tabs>
        <w:rPr>
          <w:sz w:val="24"/>
          <w:szCs w:val="24"/>
        </w:rPr>
      </w:pPr>
      <w:r>
        <w:rPr>
          <w:sz w:val="24"/>
          <w:szCs w:val="24"/>
        </w:rPr>
        <w:t>What is the Determination about</w:t>
      </w:r>
    </w:p>
    <w:p w:rsidR="00244D17" w:rsidRPr="00E04B3F" w:rsidRDefault="00244D17" w:rsidP="00244D17">
      <w:pPr>
        <w:pStyle w:val="ListParagraph"/>
        <w:numPr>
          <w:ilvl w:val="0"/>
          <w:numId w:val="16"/>
        </w:numPr>
        <w:rPr>
          <w:rFonts w:ascii="Arial" w:hAnsi="Arial" w:cs="Arial"/>
        </w:rPr>
      </w:pPr>
      <w:r w:rsidRPr="00E04B3F">
        <w:rPr>
          <w:rFonts w:ascii="Arial" w:hAnsi="Arial" w:cs="Arial"/>
        </w:rPr>
        <w:t xml:space="preserve">The purpose of the Determination is to amend </w:t>
      </w:r>
      <w:r w:rsidRPr="00E04B3F">
        <w:rPr>
          <w:rFonts w:ascii="Arial" w:hAnsi="Arial" w:cs="Arial"/>
          <w:i/>
        </w:rPr>
        <w:t xml:space="preserve">Goods and Services Tax: Correcting GST Errors Determination 2013 </w:t>
      </w:r>
      <w:r w:rsidRPr="00E04B3F">
        <w:rPr>
          <w:rFonts w:ascii="Arial" w:hAnsi="Arial" w:cs="Arial"/>
        </w:rPr>
        <w:t xml:space="preserve">(the Correcting GST Errors Determination): </w:t>
      </w:r>
    </w:p>
    <w:p w:rsidR="00244D17" w:rsidRPr="00E734EC" w:rsidRDefault="00244D17" w:rsidP="00244D17">
      <w:pPr>
        <w:pStyle w:val="ListParagraph"/>
        <w:numPr>
          <w:ilvl w:val="0"/>
          <w:numId w:val="48"/>
        </w:numPr>
        <w:ind w:left="1276" w:hanging="567"/>
        <w:rPr>
          <w:rFonts w:ascii="Arial" w:hAnsi="Arial" w:cs="Arial"/>
        </w:rPr>
      </w:pPr>
      <w:r w:rsidRPr="00E734EC">
        <w:rPr>
          <w:rFonts w:ascii="Arial" w:hAnsi="Arial" w:cs="Arial"/>
        </w:rPr>
        <w:t>to clarify that you cannot correct an error from an earlier tax period by requesting an amendment of a GST return of a later tax period; and</w:t>
      </w:r>
    </w:p>
    <w:p w:rsidR="00244D17" w:rsidRDefault="00244D17" w:rsidP="00244D17">
      <w:pPr>
        <w:ind w:left="1276" w:hanging="567"/>
      </w:pPr>
      <w:r>
        <w:t>(</w:t>
      </w:r>
      <w:r w:rsidRPr="00E37449">
        <w:rPr>
          <w:rFonts w:ascii="Arial" w:hAnsi="Arial" w:cs="Arial"/>
          <w:sz w:val="22"/>
          <w:szCs w:val="22"/>
        </w:rPr>
        <w:t>ii)</w:t>
      </w:r>
      <w:r>
        <w:t xml:space="preserve">    </w:t>
      </w:r>
      <w:r w:rsidRPr="00D71847">
        <w:rPr>
          <w:rFonts w:ascii="Arial" w:hAnsi="Arial" w:cs="Arial"/>
          <w:sz w:val="22"/>
          <w:szCs w:val="22"/>
        </w:rPr>
        <w:t xml:space="preserve"> </w:t>
      </w:r>
      <w:proofErr w:type="gramStart"/>
      <w:r w:rsidRPr="00D71847">
        <w:rPr>
          <w:rFonts w:ascii="Arial" w:hAnsi="Arial" w:cs="Arial"/>
          <w:sz w:val="22"/>
          <w:szCs w:val="22"/>
        </w:rPr>
        <w:t>to</w:t>
      </w:r>
      <w:proofErr w:type="gramEnd"/>
      <w:r>
        <w:t xml:space="preserve"> </w:t>
      </w:r>
      <w:r w:rsidRPr="00E37449">
        <w:rPr>
          <w:rFonts w:ascii="Arial" w:hAnsi="Arial" w:cs="Arial"/>
          <w:sz w:val="22"/>
          <w:szCs w:val="22"/>
        </w:rPr>
        <w:t xml:space="preserve">ensure that credit errors from an earlier tax period can only be corrected in a later tax period if the GST return for the later tax period is lodged within </w:t>
      </w:r>
      <w:r>
        <w:rPr>
          <w:rFonts w:ascii="Arial" w:hAnsi="Arial" w:cs="Arial"/>
          <w:sz w:val="22"/>
          <w:szCs w:val="22"/>
        </w:rPr>
        <w:t xml:space="preserve">the </w:t>
      </w:r>
      <w:r w:rsidRPr="00E37449">
        <w:rPr>
          <w:rFonts w:ascii="Arial" w:hAnsi="Arial" w:cs="Arial"/>
          <w:sz w:val="22"/>
          <w:szCs w:val="22"/>
        </w:rPr>
        <w:t xml:space="preserve">period of review </w:t>
      </w:r>
      <w:r>
        <w:rPr>
          <w:rFonts w:ascii="Arial" w:hAnsi="Arial" w:cs="Arial"/>
          <w:sz w:val="22"/>
          <w:szCs w:val="22"/>
        </w:rPr>
        <w:t>for the earlier assessment in which the error was made</w:t>
      </w:r>
      <w:r w:rsidRPr="00E37449">
        <w:rPr>
          <w:rFonts w:ascii="Arial" w:hAnsi="Arial" w:cs="Arial"/>
          <w:sz w:val="22"/>
          <w:szCs w:val="22"/>
        </w:rPr>
        <w:t>.</w:t>
      </w:r>
      <w:r>
        <w:t xml:space="preserve">  </w:t>
      </w:r>
    </w:p>
    <w:p w:rsidR="00244D17" w:rsidRPr="00E42030" w:rsidRDefault="00244D17" w:rsidP="00244D17">
      <w:pPr>
        <w:keepNext/>
        <w:keepLines/>
        <w:ind w:left="720"/>
        <w:rPr>
          <w:rFonts w:ascii="Arial" w:hAnsi="Arial" w:cs="Arial"/>
        </w:rPr>
      </w:pPr>
    </w:p>
    <w:p w:rsidR="00244D17" w:rsidRPr="009F31A4" w:rsidRDefault="00244D17" w:rsidP="00244D17">
      <w:pPr>
        <w:keepNext/>
        <w:keepLines/>
        <w:ind w:left="720"/>
        <w:rPr>
          <w:rFonts w:ascii="Arial" w:hAnsi="Arial" w:cs="Arial"/>
        </w:rPr>
      </w:pPr>
    </w:p>
    <w:p w:rsidR="00244D17" w:rsidRPr="005E6CCE" w:rsidRDefault="00244D17" w:rsidP="00244D17">
      <w:pPr>
        <w:pStyle w:val="Heading2"/>
        <w:rPr>
          <w:sz w:val="24"/>
          <w:szCs w:val="24"/>
        </w:rPr>
      </w:pPr>
      <w:r w:rsidRPr="005E6CCE">
        <w:rPr>
          <w:sz w:val="24"/>
          <w:szCs w:val="24"/>
        </w:rPr>
        <w:t>Background</w:t>
      </w:r>
    </w:p>
    <w:p w:rsidR="00244D17" w:rsidRPr="009F31A4" w:rsidRDefault="00244D17" w:rsidP="00244D17">
      <w:pPr>
        <w:keepNext/>
        <w:keepLines/>
        <w:rPr>
          <w:rFonts w:ascii="Arial" w:hAnsi="Arial" w:cs="Arial"/>
          <w:b/>
        </w:rPr>
      </w:pPr>
    </w:p>
    <w:p w:rsidR="00244D17" w:rsidRDefault="00244D17" w:rsidP="00244D17">
      <w:pPr>
        <w:ind w:left="709" w:hanging="425"/>
        <w:rPr>
          <w:rFonts w:ascii="Arial" w:hAnsi="Arial" w:cs="Arial"/>
          <w:sz w:val="22"/>
          <w:szCs w:val="22"/>
        </w:rPr>
      </w:pPr>
      <w:r>
        <w:rPr>
          <w:rFonts w:ascii="Arial" w:hAnsi="Arial" w:cs="Arial"/>
          <w:sz w:val="22"/>
          <w:szCs w:val="22"/>
        </w:rPr>
        <w:t>8</w:t>
      </w:r>
      <w:r w:rsidRPr="00CE7236">
        <w:rPr>
          <w:rFonts w:ascii="Arial" w:hAnsi="Arial" w:cs="Arial"/>
          <w:sz w:val="22"/>
          <w:szCs w:val="22"/>
        </w:rPr>
        <w:t xml:space="preserve">. </w:t>
      </w:r>
      <w:r>
        <w:rPr>
          <w:rFonts w:ascii="Arial" w:hAnsi="Arial" w:cs="Arial"/>
          <w:sz w:val="22"/>
          <w:szCs w:val="22"/>
        </w:rPr>
        <w:t xml:space="preserve">   T</w:t>
      </w:r>
      <w:r w:rsidRPr="00CE7236">
        <w:rPr>
          <w:rFonts w:ascii="Arial" w:hAnsi="Arial" w:cs="Arial"/>
          <w:sz w:val="22"/>
          <w:szCs w:val="22"/>
        </w:rPr>
        <w:t xml:space="preserve">he Commissioner of Taxation </w:t>
      </w:r>
      <w:r>
        <w:rPr>
          <w:rFonts w:ascii="Arial" w:hAnsi="Arial" w:cs="Arial"/>
          <w:sz w:val="22"/>
          <w:szCs w:val="22"/>
        </w:rPr>
        <w:t xml:space="preserve">has </w:t>
      </w:r>
      <w:r w:rsidRPr="00CE7236">
        <w:rPr>
          <w:rFonts w:ascii="Arial" w:hAnsi="Arial" w:cs="Arial"/>
          <w:sz w:val="22"/>
          <w:szCs w:val="22"/>
        </w:rPr>
        <w:t>ma</w:t>
      </w:r>
      <w:r>
        <w:rPr>
          <w:rFonts w:ascii="Arial" w:hAnsi="Arial" w:cs="Arial"/>
          <w:sz w:val="22"/>
          <w:szCs w:val="22"/>
        </w:rPr>
        <w:t>d</w:t>
      </w:r>
      <w:r w:rsidRPr="00CE7236">
        <w:rPr>
          <w:rFonts w:ascii="Arial" w:hAnsi="Arial" w:cs="Arial"/>
          <w:sz w:val="22"/>
          <w:szCs w:val="22"/>
        </w:rPr>
        <w:t xml:space="preserve">e a </w:t>
      </w:r>
      <w:r>
        <w:rPr>
          <w:rFonts w:ascii="Arial" w:hAnsi="Arial" w:cs="Arial"/>
          <w:sz w:val="22"/>
          <w:szCs w:val="22"/>
        </w:rPr>
        <w:t>d</w:t>
      </w:r>
      <w:r w:rsidRPr="00CE7236">
        <w:rPr>
          <w:rFonts w:ascii="Arial" w:hAnsi="Arial" w:cs="Arial"/>
          <w:sz w:val="22"/>
          <w:szCs w:val="22"/>
        </w:rPr>
        <w:t xml:space="preserve">etermination </w:t>
      </w:r>
      <w:r>
        <w:rPr>
          <w:rFonts w:ascii="Arial" w:hAnsi="Arial" w:cs="Arial"/>
          <w:sz w:val="22"/>
          <w:szCs w:val="22"/>
        </w:rPr>
        <w:t xml:space="preserve">under subsection 17-20(1) of the GST Act </w:t>
      </w:r>
      <w:r w:rsidRPr="00CE7236">
        <w:rPr>
          <w:rFonts w:ascii="Arial" w:hAnsi="Arial" w:cs="Arial"/>
          <w:sz w:val="22"/>
          <w:szCs w:val="22"/>
        </w:rPr>
        <w:t xml:space="preserve">to allow </w:t>
      </w:r>
      <w:r>
        <w:rPr>
          <w:rFonts w:ascii="Arial" w:hAnsi="Arial" w:cs="Arial"/>
          <w:sz w:val="22"/>
          <w:szCs w:val="22"/>
        </w:rPr>
        <w:t>a</w:t>
      </w:r>
      <w:r w:rsidRPr="00CE7236">
        <w:rPr>
          <w:rFonts w:ascii="Arial" w:hAnsi="Arial" w:cs="Arial"/>
          <w:sz w:val="22"/>
          <w:szCs w:val="22"/>
        </w:rPr>
        <w:t xml:space="preserve">n error made in an earlier tax period </w:t>
      </w:r>
      <w:r>
        <w:rPr>
          <w:rFonts w:ascii="Arial" w:hAnsi="Arial" w:cs="Arial"/>
          <w:sz w:val="22"/>
          <w:szCs w:val="22"/>
        </w:rPr>
        <w:t xml:space="preserve">to be corrected </w:t>
      </w:r>
      <w:r w:rsidRPr="00CE7236">
        <w:rPr>
          <w:rFonts w:ascii="Arial" w:hAnsi="Arial" w:cs="Arial"/>
          <w:sz w:val="22"/>
          <w:szCs w:val="22"/>
        </w:rPr>
        <w:t xml:space="preserve">in a later tax period in specified circumstances. This allows you to </w:t>
      </w:r>
      <w:r w:rsidRPr="00CE7236">
        <w:rPr>
          <w:rFonts w:ascii="Arial" w:hAnsi="Arial" w:cs="Arial"/>
          <w:sz w:val="22"/>
          <w:szCs w:val="22"/>
        </w:rPr>
        <w:lastRenderedPageBreak/>
        <w:t xml:space="preserve">minimise your compliance costs and </w:t>
      </w:r>
      <w:r>
        <w:rPr>
          <w:rFonts w:ascii="Arial" w:hAnsi="Arial" w:cs="Arial"/>
          <w:sz w:val="22"/>
          <w:szCs w:val="22"/>
        </w:rPr>
        <w:t xml:space="preserve">avoid </w:t>
      </w:r>
      <w:r w:rsidRPr="00CE7236">
        <w:rPr>
          <w:rFonts w:ascii="Arial" w:hAnsi="Arial" w:cs="Arial"/>
          <w:sz w:val="22"/>
          <w:szCs w:val="22"/>
        </w:rPr>
        <w:t>liabilit</w:t>
      </w:r>
      <w:r>
        <w:rPr>
          <w:rFonts w:ascii="Arial" w:hAnsi="Arial" w:cs="Arial"/>
          <w:sz w:val="22"/>
          <w:szCs w:val="22"/>
        </w:rPr>
        <w:t xml:space="preserve">ies </w:t>
      </w:r>
      <w:r w:rsidRPr="00CE7236">
        <w:rPr>
          <w:rFonts w:ascii="Arial" w:hAnsi="Arial" w:cs="Arial"/>
          <w:sz w:val="22"/>
          <w:szCs w:val="22"/>
        </w:rPr>
        <w:t>to</w:t>
      </w:r>
      <w:r>
        <w:rPr>
          <w:rFonts w:ascii="Arial" w:hAnsi="Arial" w:cs="Arial"/>
          <w:sz w:val="22"/>
          <w:szCs w:val="22"/>
        </w:rPr>
        <w:t xml:space="preserve"> any</w:t>
      </w:r>
      <w:r w:rsidRPr="00CE7236">
        <w:rPr>
          <w:rFonts w:ascii="Arial" w:hAnsi="Arial" w:cs="Arial"/>
          <w:sz w:val="22"/>
          <w:szCs w:val="22"/>
        </w:rPr>
        <w:t xml:space="preserve"> general interest charge or administrative penalty</w:t>
      </w:r>
      <w:r>
        <w:rPr>
          <w:rFonts w:ascii="Arial" w:hAnsi="Arial" w:cs="Arial"/>
          <w:sz w:val="22"/>
          <w:szCs w:val="22"/>
        </w:rPr>
        <w:t xml:space="preserve"> that might be payable</w:t>
      </w:r>
      <w:r w:rsidRPr="00CE7236">
        <w:rPr>
          <w:rFonts w:ascii="Arial" w:hAnsi="Arial" w:cs="Arial"/>
          <w:sz w:val="22"/>
          <w:szCs w:val="22"/>
        </w:rPr>
        <w:t xml:space="preserve">. </w:t>
      </w:r>
      <w:r>
        <w:rPr>
          <w:rFonts w:ascii="Arial" w:hAnsi="Arial" w:cs="Arial"/>
          <w:sz w:val="22"/>
          <w:szCs w:val="22"/>
        </w:rPr>
        <w:t>Our</w:t>
      </w:r>
      <w:r w:rsidRPr="00CE7236">
        <w:rPr>
          <w:rFonts w:ascii="Arial" w:hAnsi="Arial" w:cs="Arial"/>
          <w:sz w:val="22"/>
          <w:szCs w:val="22"/>
        </w:rPr>
        <w:t xml:space="preserve"> administrative costs are also reduced as it will reduce the number of requests for amendments that require processing. </w:t>
      </w:r>
    </w:p>
    <w:p w:rsidR="00244D17" w:rsidRDefault="00244D17" w:rsidP="00244D17">
      <w:pPr>
        <w:ind w:left="709" w:hanging="425"/>
        <w:rPr>
          <w:rFonts w:ascii="Arial" w:hAnsi="Arial" w:cs="Arial"/>
          <w:sz w:val="22"/>
          <w:szCs w:val="22"/>
        </w:rPr>
      </w:pPr>
    </w:p>
    <w:p w:rsidR="00244D17" w:rsidRDefault="00244D17" w:rsidP="00244D17">
      <w:pPr>
        <w:ind w:left="709" w:hanging="425"/>
        <w:rPr>
          <w:rFonts w:ascii="Arial" w:hAnsi="Arial" w:cs="Arial"/>
          <w:sz w:val="22"/>
          <w:szCs w:val="22"/>
        </w:rPr>
      </w:pPr>
      <w:r>
        <w:rPr>
          <w:rFonts w:ascii="Arial" w:hAnsi="Arial" w:cs="Arial"/>
          <w:sz w:val="22"/>
          <w:szCs w:val="22"/>
        </w:rPr>
        <w:t xml:space="preserve">9.    Newly inserted </w:t>
      </w:r>
      <w:r w:rsidRPr="000413B4">
        <w:rPr>
          <w:rFonts w:ascii="Arial" w:hAnsi="Arial" w:cs="Arial"/>
          <w:sz w:val="22"/>
          <w:szCs w:val="22"/>
        </w:rPr>
        <w:t xml:space="preserve">Clause 5A </w:t>
      </w:r>
      <w:r>
        <w:rPr>
          <w:rFonts w:ascii="Arial" w:hAnsi="Arial" w:cs="Arial"/>
          <w:sz w:val="22"/>
          <w:szCs w:val="22"/>
        </w:rPr>
        <w:t xml:space="preserve">does not change the scope of the </w:t>
      </w:r>
      <w:r w:rsidRPr="009927B8">
        <w:rPr>
          <w:rFonts w:ascii="Arial" w:hAnsi="Arial" w:cs="Arial"/>
          <w:sz w:val="22"/>
          <w:szCs w:val="22"/>
        </w:rPr>
        <w:t>Correcting GST Errors Determination</w:t>
      </w:r>
      <w:r>
        <w:rPr>
          <w:rFonts w:ascii="Arial" w:hAnsi="Arial" w:cs="Arial"/>
          <w:sz w:val="22"/>
          <w:szCs w:val="22"/>
        </w:rPr>
        <w:t xml:space="preserve">. It clarifies that you cannot request an amendment of a GST return to include an error from an earlier tax period. You make the correction in the next GST return you lodge. This achieves the intent of the Determination to minimise compliance and administrative costs. </w:t>
      </w:r>
    </w:p>
    <w:p w:rsidR="00244D17" w:rsidRDefault="00244D17" w:rsidP="00244D17">
      <w:pPr>
        <w:ind w:left="709" w:hanging="425"/>
        <w:rPr>
          <w:rFonts w:ascii="Arial" w:hAnsi="Arial" w:cs="Arial"/>
          <w:sz w:val="22"/>
          <w:szCs w:val="22"/>
        </w:rPr>
      </w:pPr>
    </w:p>
    <w:p w:rsidR="00244D17" w:rsidRPr="000C7AD6" w:rsidRDefault="00244D17" w:rsidP="00244D17">
      <w:pPr>
        <w:ind w:left="709" w:hanging="425"/>
        <w:rPr>
          <w:rFonts w:ascii="Arial" w:hAnsi="Arial" w:cs="Arial"/>
          <w:sz w:val="22"/>
          <w:szCs w:val="22"/>
        </w:rPr>
      </w:pPr>
      <w:r>
        <w:rPr>
          <w:rFonts w:ascii="Arial" w:hAnsi="Arial" w:cs="Arial"/>
          <w:sz w:val="22"/>
          <w:szCs w:val="22"/>
        </w:rPr>
        <w:t xml:space="preserve">10.  </w:t>
      </w:r>
      <w:r w:rsidRPr="000C7AD6">
        <w:rPr>
          <w:rFonts w:ascii="Arial" w:hAnsi="Arial" w:cs="Arial"/>
          <w:sz w:val="22"/>
          <w:szCs w:val="22"/>
        </w:rPr>
        <w:t>Clause 5(b) is amended to ensure that the Correcting GST Errors Determination is aligned with Parliament’s inten</w:t>
      </w:r>
      <w:r>
        <w:rPr>
          <w:rFonts w:ascii="Arial" w:hAnsi="Arial" w:cs="Arial"/>
          <w:sz w:val="22"/>
          <w:szCs w:val="22"/>
        </w:rPr>
        <w:t xml:space="preserve">ded </w:t>
      </w:r>
      <w:r w:rsidRPr="000C7AD6">
        <w:rPr>
          <w:rFonts w:ascii="Arial" w:hAnsi="Arial" w:cs="Arial"/>
          <w:sz w:val="22"/>
          <w:szCs w:val="22"/>
        </w:rPr>
        <w:t xml:space="preserve">scope of </w:t>
      </w:r>
      <w:r>
        <w:rPr>
          <w:rFonts w:ascii="Arial" w:hAnsi="Arial" w:cs="Arial"/>
          <w:sz w:val="22"/>
          <w:szCs w:val="22"/>
        </w:rPr>
        <w:t>sub</w:t>
      </w:r>
      <w:r w:rsidRPr="000C7AD6">
        <w:rPr>
          <w:rFonts w:ascii="Arial" w:hAnsi="Arial" w:cs="Arial"/>
          <w:sz w:val="22"/>
          <w:szCs w:val="22"/>
        </w:rPr>
        <w:t>section 17</w:t>
      </w:r>
      <w:r w:rsidR="008F5123">
        <w:rPr>
          <w:rFonts w:ascii="Arial" w:hAnsi="Arial" w:cs="Arial"/>
          <w:sz w:val="22"/>
          <w:szCs w:val="22"/>
        </w:rPr>
        <w:noBreakHyphen/>
      </w:r>
      <w:bookmarkStart w:id="12" w:name="_GoBack"/>
      <w:bookmarkEnd w:id="12"/>
      <w:proofErr w:type="gramStart"/>
      <w:r w:rsidRPr="000C7AD6">
        <w:rPr>
          <w:rFonts w:ascii="Arial" w:hAnsi="Arial" w:cs="Arial"/>
          <w:sz w:val="22"/>
          <w:szCs w:val="22"/>
        </w:rPr>
        <w:t>20(</w:t>
      </w:r>
      <w:proofErr w:type="gramEnd"/>
      <w:r w:rsidRPr="000C7AD6">
        <w:rPr>
          <w:rFonts w:ascii="Arial" w:hAnsi="Arial" w:cs="Arial"/>
          <w:sz w:val="22"/>
          <w:szCs w:val="22"/>
        </w:rPr>
        <w:t xml:space="preserve">1) of the GST Act. With effect from 1 July 2012, amendments were made to section 17-20 of the GST Act to remove the restriction that errors can only be corrected in a later GST return if the error related to an immediately preceding tax period. Paragraph 2.6 of the </w:t>
      </w:r>
      <w:r w:rsidRPr="000C7AD6">
        <w:rPr>
          <w:rFonts w:ascii="Arial" w:hAnsi="Arial" w:cs="Arial"/>
          <w:i/>
          <w:sz w:val="22"/>
          <w:szCs w:val="22"/>
        </w:rPr>
        <w:t>Explanatory Memorandum to Indirect Tax Laws Amendment (Assessment) Bill 2012</w:t>
      </w:r>
      <w:r w:rsidRPr="000C7AD6">
        <w:rPr>
          <w:rFonts w:ascii="Arial" w:hAnsi="Arial" w:cs="Arial"/>
          <w:sz w:val="22"/>
          <w:szCs w:val="22"/>
        </w:rPr>
        <w:t xml:space="preserve"> provides:</w:t>
      </w:r>
    </w:p>
    <w:p w:rsidR="00244D17" w:rsidRPr="000C7AD6" w:rsidRDefault="00244D17" w:rsidP="00244D17">
      <w:pPr>
        <w:ind w:left="720"/>
        <w:rPr>
          <w:rFonts w:ascii="Arial" w:hAnsi="Arial" w:cs="Arial"/>
          <w:sz w:val="22"/>
          <w:szCs w:val="22"/>
        </w:rPr>
      </w:pPr>
    </w:p>
    <w:p w:rsidR="00244D17" w:rsidRPr="00E3297B" w:rsidRDefault="00244D17" w:rsidP="00244D17">
      <w:pPr>
        <w:ind w:left="1440"/>
        <w:rPr>
          <w:rFonts w:ascii="Arial" w:hAnsi="Arial" w:cs="Arial"/>
          <w:sz w:val="20"/>
        </w:rPr>
      </w:pPr>
      <w:r w:rsidRPr="00E3297B">
        <w:rPr>
          <w:rFonts w:ascii="Arial" w:hAnsi="Arial" w:cs="Arial"/>
          <w:sz w:val="20"/>
        </w:rPr>
        <w:t>The Commissioner has the discretion to determine the circumstances in which a taxpayer may account for errors in relation to net amounts or net fuel amounts for prior tax periods and fuel tax return periods, as long as the error is corrected during the relevant period of review.</w:t>
      </w:r>
    </w:p>
    <w:p w:rsidR="00244D17" w:rsidRDefault="00244D17" w:rsidP="00244D17">
      <w:pPr>
        <w:ind w:left="720"/>
        <w:rPr>
          <w:rFonts w:ascii="Arial" w:hAnsi="Arial" w:cs="Arial"/>
          <w:sz w:val="20"/>
        </w:rPr>
      </w:pPr>
    </w:p>
    <w:p w:rsidR="00244D17" w:rsidRPr="00931DE7" w:rsidRDefault="00244D17" w:rsidP="00244D17">
      <w:pPr>
        <w:pStyle w:val="ListParagraph"/>
        <w:numPr>
          <w:ilvl w:val="0"/>
          <w:numId w:val="46"/>
        </w:numPr>
        <w:ind w:left="709" w:hanging="425"/>
        <w:rPr>
          <w:rFonts w:ascii="Arial" w:hAnsi="Arial" w:cs="Arial"/>
        </w:rPr>
      </w:pPr>
      <w:r w:rsidRPr="00931DE7">
        <w:rPr>
          <w:rFonts w:ascii="Arial" w:hAnsi="Arial" w:cs="Arial"/>
        </w:rPr>
        <w:t>Paragraph 17-20(2A)(b) of the GST Act was inserted in 2012 as follow</w:t>
      </w:r>
      <w:r>
        <w:rPr>
          <w:rFonts w:ascii="Arial" w:hAnsi="Arial" w:cs="Arial"/>
        </w:rPr>
        <w:t>s</w:t>
      </w:r>
      <w:r w:rsidRPr="00931DE7">
        <w:rPr>
          <w:rFonts w:ascii="Arial" w:hAnsi="Arial" w:cs="Arial"/>
        </w:rPr>
        <w:t xml:space="preserve">:  </w:t>
      </w:r>
    </w:p>
    <w:p w:rsidR="00244D17" w:rsidRDefault="00244D17" w:rsidP="00244D17">
      <w:pPr>
        <w:ind w:left="1440"/>
        <w:rPr>
          <w:rFonts w:ascii="Arial" w:hAnsi="Arial" w:cs="Arial"/>
          <w:sz w:val="20"/>
        </w:rPr>
      </w:pPr>
      <w:r w:rsidRPr="003B1292">
        <w:rPr>
          <w:rFonts w:ascii="Arial" w:hAnsi="Arial" w:cs="Arial"/>
          <w:b/>
          <w:bCs/>
          <w:sz w:val="20"/>
        </w:rPr>
        <w:t>(b)</w:t>
      </w:r>
      <w:r w:rsidRPr="003B1292">
        <w:rPr>
          <w:rFonts w:ascii="Arial" w:hAnsi="Arial" w:cs="Arial"/>
          <w:sz w:val="20"/>
        </w:rPr>
        <w:t> if the earlier tax period started on or after 1 July 2012- the tax period mentioned in subsection (1) starts during the *</w:t>
      </w:r>
      <w:hyperlink r:id="rId15" w:tgtFrame="_top" w:history="1">
        <w:r w:rsidRPr="003B1292">
          <w:rPr>
            <w:rStyle w:val="Hyperlink"/>
            <w:rFonts w:ascii="Arial" w:hAnsi="Arial" w:cs="Arial"/>
            <w:color w:val="auto"/>
            <w:sz w:val="20"/>
            <w:u w:val="none"/>
          </w:rPr>
          <w:t>period of review</w:t>
        </w:r>
      </w:hyperlink>
      <w:r w:rsidRPr="003B1292">
        <w:rPr>
          <w:rFonts w:ascii="Arial" w:hAnsi="Arial" w:cs="Arial"/>
          <w:sz w:val="20"/>
        </w:rPr>
        <w:t xml:space="preserve"> for the *</w:t>
      </w:r>
      <w:hyperlink r:id="rId16" w:tgtFrame="_top" w:history="1">
        <w:r w:rsidRPr="003B1292">
          <w:rPr>
            <w:rStyle w:val="Hyperlink"/>
            <w:rFonts w:ascii="Arial" w:hAnsi="Arial" w:cs="Arial"/>
            <w:color w:val="auto"/>
            <w:sz w:val="20"/>
            <w:u w:val="none"/>
          </w:rPr>
          <w:t>assessment</w:t>
        </w:r>
      </w:hyperlink>
      <w:r w:rsidRPr="003B1292">
        <w:rPr>
          <w:rFonts w:ascii="Arial" w:hAnsi="Arial" w:cs="Arial"/>
          <w:sz w:val="20"/>
        </w:rPr>
        <w:t xml:space="preserve"> of the *</w:t>
      </w:r>
      <w:hyperlink r:id="rId17" w:tgtFrame="_top" w:history="1">
        <w:r w:rsidRPr="003B1292">
          <w:rPr>
            <w:rStyle w:val="Hyperlink"/>
            <w:rFonts w:ascii="Arial" w:hAnsi="Arial" w:cs="Arial"/>
            <w:color w:val="auto"/>
            <w:sz w:val="20"/>
            <w:u w:val="none"/>
          </w:rPr>
          <w:t>net amount</w:t>
        </w:r>
      </w:hyperlink>
      <w:r w:rsidRPr="003B1292">
        <w:rPr>
          <w:rFonts w:ascii="Arial" w:hAnsi="Arial" w:cs="Arial"/>
          <w:sz w:val="20"/>
        </w:rPr>
        <w:t>.</w:t>
      </w:r>
    </w:p>
    <w:p w:rsidR="00244D17" w:rsidRDefault="00244D17" w:rsidP="00244D17">
      <w:pPr>
        <w:rPr>
          <w:rFonts w:ascii="Arial" w:hAnsi="Arial" w:cs="Arial"/>
          <w:b/>
          <w:bCs/>
          <w:sz w:val="20"/>
        </w:rPr>
      </w:pPr>
    </w:p>
    <w:p w:rsidR="00244D17" w:rsidRPr="00931DE7" w:rsidRDefault="00244D17" w:rsidP="00244D17">
      <w:pPr>
        <w:pStyle w:val="ListParagraph"/>
        <w:numPr>
          <w:ilvl w:val="0"/>
          <w:numId w:val="47"/>
        </w:numPr>
        <w:tabs>
          <w:tab w:val="left" w:pos="284"/>
        </w:tabs>
        <w:ind w:left="709" w:hanging="425"/>
        <w:rPr>
          <w:rFonts w:ascii="Arial" w:hAnsi="Arial" w:cs="Arial"/>
        </w:rPr>
      </w:pPr>
      <w:r w:rsidRPr="00931DE7">
        <w:rPr>
          <w:rFonts w:ascii="Arial" w:hAnsi="Arial" w:cs="Arial"/>
        </w:rPr>
        <w:t>The Correcting GST Errors Determination adopted the wording from paragraph 17-20(2A</w:t>
      </w:r>
      <w:proofErr w:type="gramStart"/>
      <w:r w:rsidRPr="00931DE7">
        <w:rPr>
          <w:rFonts w:ascii="Arial" w:hAnsi="Arial" w:cs="Arial"/>
        </w:rPr>
        <w:t>)(</w:t>
      </w:r>
      <w:proofErr w:type="gramEnd"/>
      <w:r w:rsidRPr="00931DE7">
        <w:rPr>
          <w:rFonts w:ascii="Arial" w:hAnsi="Arial" w:cs="Arial"/>
        </w:rPr>
        <w:t xml:space="preserve">b) of the GST Act for the time limit to correct credit errors. </w:t>
      </w:r>
    </w:p>
    <w:p w:rsidR="00244D17" w:rsidRDefault="00244D17" w:rsidP="00244D17">
      <w:pPr>
        <w:pStyle w:val="ListParagraph"/>
        <w:numPr>
          <w:ilvl w:val="0"/>
          <w:numId w:val="45"/>
        </w:numPr>
        <w:tabs>
          <w:tab w:val="left" w:pos="284"/>
        </w:tabs>
        <w:ind w:left="709" w:hanging="425"/>
        <w:rPr>
          <w:rFonts w:ascii="Arial" w:hAnsi="Arial" w:cs="Arial"/>
        </w:rPr>
      </w:pPr>
      <w:r>
        <w:rPr>
          <w:rFonts w:ascii="Arial" w:hAnsi="Arial" w:cs="Arial"/>
        </w:rPr>
        <w:t>However, the Commissioner became aware that under clause 5(b)</w:t>
      </w:r>
      <w:r w:rsidRPr="00DE7BDE">
        <w:rPr>
          <w:rFonts w:ascii="Arial" w:hAnsi="Arial" w:cs="Arial"/>
          <w:sz w:val="20"/>
        </w:rPr>
        <w:t xml:space="preserve"> </w:t>
      </w:r>
      <w:r w:rsidRPr="00F32D70">
        <w:rPr>
          <w:rFonts w:ascii="Arial" w:hAnsi="Arial" w:cs="Arial"/>
        </w:rPr>
        <w:t>of the Correcting GST Errors Determination</w:t>
      </w:r>
      <w:r>
        <w:rPr>
          <w:rFonts w:ascii="Arial" w:hAnsi="Arial" w:cs="Arial"/>
        </w:rPr>
        <w:t xml:space="preserve"> prior to this amendment, credit errors may in certain circumstances be corrected outside the four year period of review. This is because the credit error time limit refers to when the later tax period starts rather than when the GST return for the later tax period is lodged. See for example:</w:t>
      </w:r>
    </w:p>
    <w:p w:rsidR="00244D17" w:rsidRDefault="00244D17" w:rsidP="00244D17">
      <w:pPr>
        <w:pStyle w:val="ListParagraph"/>
        <w:tabs>
          <w:tab w:val="left" w:pos="284"/>
        </w:tabs>
        <w:ind w:left="1440"/>
        <w:rPr>
          <w:rFonts w:ascii="Arial" w:hAnsi="Arial" w:cs="Arial"/>
          <w:sz w:val="20"/>
          <w:szCs w:val="20"/>
        </w:rPr>
      </w:pPr>
      <w:r>
        <w:rPr>
          <w:rFonts w:ascii="Arial" w:hAnsi="Arial" w:cs="Arial"/>
          <w:sz w:val="20"/>
          <w:szCs w:val="20"/>
        </w:rPr>
        <w:t>A t</w:t>
      </w:r>
      <w:r w:rsidRPr="003B1292">
        <w:rPr>
          <w:rFonts w:ascii="Arial" w:hAnsi="Arial" w:cs="Arial"/>
          <w:sz w:val="20"/>
          <w:szCs w:val="20"/>
        </w:rPr>
        <w:t>axpayer lodges</w:t>
      </w:r>
      <w:r>
        <w:rPr>
          <w:rFonts w:ascii="Arial" w:hAnsi="Arial" w:cs="Arial"/>
          <w:sz w:val="20"/>
          <w:szCs w:val="20"/>
        </w:rPr>
        <w:t xml:space="preserve"> their</w:t>
      </w:r>
      <w:r w:rsidRPr="003B1292">
        <w:rPr>
          <w:rFonts w:ascii="Arial" w:hAnsi="Arial" w:cs="Arial"/>
          <w:sz w:val="20"/>
          <w:szCs w:val="20"/>
        </w:rPr>
        <w:t xml:space="preserve"> monthly July 2012 </w:t>
      </w:r>
      <w:r>
        <w:rPr>
          <w:rFonts w:ascii="Arial" w:hAnsi="Arial" w:cs="Arial"/>
          <w:sz w:val="20"/>
          <w:szCs w:val="20"/>
        </w:rPr>
        <w:t xml:space="preserve">GST return on 21 August 2012. </w:t>
      </w:r>
    </w:p>
    <w:p w:rsidR="00244D17" w:rsidRDefault="00244D17" w:rsidP="00244D17">
      <w:pPr>
        <w:pStyle w:val="ListParagraph"/>
        <w:tabs>
          <w:tab w:val="left" w:pos="284"/>
        </w:tabs>
        <w:ind w:left="1440"/>
        <w:rPr>
          <w:rFonts w:ascii="Arial" w:hAnsi="Arial" w:cs="Arial"/>
          <w:sz w:val="20"/>
        </w:rPr>
      </w:pPr>
      <w:r>
        <w:rPr>
          <w:rFonts w:ascii="Arial" w:hAnsi="Arial" w:cs="Arial"/>
          <w:sz w:val="20"/>
          <w:szCs w:val="20"/>
        </w:rPr>
        <w:t xml:space="preserve">The period of review (POR) for the assessed net amount for the July 2012 GST return </w:t>
      </w:r>
      <w:r w:rsidRPr="00A75015">
        <w:rPr>
          <w:rFonts w:ascii="Arial" w:hAnsi="Arial" w:cs="Arial"/>
          <w:sz w:val="20"/>
        </w:rPr>
        <w:t>start</w:t>
      </w:r>
      <w:r>
        <w:rPr>
          <w:rFonts w:ascii="Arial" w:hAnsi="Arial" w:cs="Arial"/>
          <w:sz w:val="20"/>
        </w:rPr>
        <w:t>ed</w:t>
      </w:r>
      <w:r w:rsidRPr="00A75015">
        <w:rPr>
          <w:rFonts w:ascii="Arial" w:hAnsi="Arial" w:cs="Arial"/>
          <w:sz w:val="20"/>
        </w:rPr>
        <w:t xml:space="preserve"> on 21 August 2012 and end</w:t>
      </w:r>
      <w:r>
        <w:rPr>
          <w:rFonts w:ascii="Arial" w:hAnsi="Arial" w:cs="Arial"/>
          <w:sz w:val="20"/>
        </w:rPr>
        <w:t>ed</w:t>
      </w:r>
      <w:r w:rsidRPr="00A75015">
        <w:rPr>
          <w:rFonts w:ascii="Arial" w:hAnsi="Arial" w:cs="Arial"/>
          <w:sz w:val="20"/>
        </w:rPr>
        <w:t xml:space="preserve"> on 22 August 2016.</w:t>
      </w:r>
    </w:p>
    <w:p w:rsidR="00244D17" w:rsidRDefault="00244D17" w:rsidP="00244D17">
      <w:pPr>
        <w:pStyle w:val="ListParagraph"/>
        <w:tabs>
          <w:tab w:val="left" w:pos="284"/>
        </w:tabs>
        <w:ind w:left="1440"/>
        <w:rPr>
          <w:rFonts w:ascii="Arial" w:hAnsi="Arial" w:cs="Arial"/>
          <w:sz w:val="20"/>
        </w:rPr>
      </w:pPr>
      <w:r>
        <w:rPr>
          <w:rFonts w:ascii="Arial" w:hAnsi="Arial" w:cs="Arial"/>
          <w:sz w:val="20"/>
        </w:rPr>
        <w:t xml:space="preserve">In December 2016, the taxpayer discovers a credit error in the July 2012 GST return and the August 2016 GST return has not yet been lodged. Prior to the amendment to clause 5(b) of the Correcting GST Errors Determination, the taxpayer would have been entitled to correct the credit error in their August 2016 GST return when lodged in December 2016 notwithstanding that the POR for the July 2012 GST return has ended. Following the amendment, the credit error may only be corrected in a GST return lodged within the POR of the July 2012 GST return, that is the GST return with the correction must be lodged on or before 22 August 2016. </w:t>
      </w:r>
    </w:p>
    <w:p w:rsidR="00244D17" w:rsidRDefault="00244D17" w:rsidP="00244D17">
      <w:pPr>
        <w:pStyle w:val="ListParagraph"/>
        <w:tabs>
          <w:tab w:val="left" w:pos="284"/>
        </w:tabs>
        <w:ind w:left="1440"/>
        <w:rPr>
          <w:rFonts w:ascii="Arial" w:hAnsi="Arial" w:cs="Arial"/>
          <w:sz w:val="20"/>
        </w:rPr>
      </w:pPr>
    </w:p>
    <w:p w:rsidR="00244D17" w:rsidRPr="00BC7D80" w:rsidRDefault="00244D17" w:rsidP="00244D17">
      <w:pPr>
        <w:pStyle w:val="Heading2"/>
        <w:rPr>
          <w:rFonts w:cs="Arial"/>
          <w:sz w:val="24"/>
          <w:szCs w:val="24"/>
        </w:rPr>
      </w:pPr>
      <w:r w:rsidRPr="00F32D70">
        <w:rPr>
          <w:rFonts w:cs="Arial"/>
          <w:sz w:val="24"/>
          <w:szCs w:val="24"/>
        </w:rPr>
        <w:lastRenderedPageBreak/>
        <w:t>Consultation</w:t>
      </w:r>
    </w:p>
    <w:p w:rsidR="002456CB" w:rsidRDefault="00244D17" w:rsidP="002456CB">
      <w:pPr>
        <w:pStyle w:val="ListParagraph"/>
        <w:numPr>
          <w:ilvl w:val="0"/>
          <w:numId w:val="45"/>
        </w:numPr>
        <w:ind w:left="709" w:right="564" w:hanging="425"/>
        <w:rPr>
          <w:rFonts w:ascii="Arial" w:hAnsi="Arial" w:cs="Arial"/>
        </w:rPr>
      </w:pPr>
      <w:r w:rsidRPr="00F32D70">
        <w:rPr>
          <w:rFonts w:ascii="Arial" w:hAnsi="Arial" w:cs="Arial"/>
        </w:rPr>
        <w:t xml:space="preserve">Subsection 17(1) of the </w:t>
      </w:r>
      <w:r w:rsidRPr="00F32D70">
        <w:rPr>
          <w:rFonts w:ascii="Arial" w:hAnsi="Arial" w:cs="Arial"/>
          <w:i/>
        </w:rPr>
        <w:t>Legislation Act 2003</w:t>
      </w:r>
      <w:r w:rsidRPr="00F32D70">
        <w:rPr>
          <w:rFonts w:ascii="Arial" w:hAnsi="Arial" w:cs="Arial"/>
        </w:rPr>
        <w:t xml:space="preserve"> requires, before the making of a determination, that the </w:t>
      </w:r>
      <w:r>
        <w:rPr>
          <w:rFonts w:ascii="Arial" w:hAnsi="Arial" w:cs="Arial"/>
        </w:rPr>
        <w:t>rule-maker</w:t>
      </w:r>
      <w:r w:rsidRPr="00F32D70">
        <w:rPr>
          <w:rFonts w:ascii="Arial" w:hAnsi="Arial" w:cs="Arial"/>
        </w:rPr>
        <w:t xml:space="preserve"> is satisfied that appropriate and reasonably practicable co</w:t>
      </w:r>
      <w:r w:rsidR="002456CB">
        <w:rPr>
          <w:rFonts w:ascii="Arial" w:hAnsi="Arial" w:cs="Arial"/>
        </w:rPr>
        <w:t>nsultation has been undertaken.</w:t>
      </w:r>
    </w:p>
    <w:p w:rsidR="00F14F87" w:rsidRDefault="001D5851" w:rsidP="002456CB">
      <w:pPr>
        <w:pStyle w:val="ListParagraph"/>
        <w:numPr>
          <w:ilvl w:val="0"/>
          <w:numId w:val="45"/>
        </w:numPr>
        <w:ind w:left="709" w:right="564" w:hanging="425"/>
        <w:rPr>
          <w:rFonts w:ascii="Arial" w:hAnsi="Arial" w:cs="Arial"/>
        </w:rPr>
      </w:pPr>
      <w:r>
        <w:rPr>
          <w:rFonts w:ascii="Arial" w:hAnsi="Arial" w:cs="Arial"/>
        </w:rPr>
        <w:t>A d</w:t>
      </w:r>
      <w:r w:rsidR="002456CB" w:rsidRPr="002456CB">
        <w:rPr>
          <w:rFonts w:ascii="Arial" w:hAnsi="Arial" w:cs="Arial"/>
        </w:rPr>
        <w:t>raft</w:t>
      </w:r>
      <w:r>
        <w:rPr>
          <w:rFonts w:ascii="Arial" w:hAnsi="Arial" w:cs="Arial"/>
        </w:rPr>
        <w:t xml:space="preserve"> of the D</w:t>
      </w:r>
      <w:r w:rsidR="002456CB" w:rsidRPr="002456CB">
        <w:rPr>
          <w:rFonts w:ascii="Arial" w:hAnsi="Arial" w:cs="Arial"/>
        </w:rPr>
        <w:t>etermination and explanatory statement w</w:t>
      </w:r>
      <w:r w:rsidR="009C6442">
        <w:rPr>
          <w:rFonts w:ascii="Arial" w:hAnsi="Arial" w:cs="Arial"/>
        </w:rPr>
        <w:t>as</w:t>
      </w:r>
      <w:r w:rsidR="002456CB" w:rsidRPr="002456CB">
        <w:rPr>
          <w:rFonts w:ascii="Arial" w:hAnsi="Arial" w:cs="Arial"/>
        </w:rPr>
        <w:t xml:space="preserve"> </w:t>
      </w:r>
      <w:r w:rsidR="009C6442">
        <w:rPr>
          <w:rFonts w:ascii="Arial" w:hAnsi="Arial" w:cs="Arial"/>
        </w:rPr>
        <w:t>published</w:t>
      </w:r>
      <w:r w:rsidR="002456CB" w:rsidRPr="002456CB">
        <w:rPr>
          <w:rFonts w:ascii="Arial" w:hAnsi="Arial" w:cs="Arial"/>
        </w:rPr>
        <w:t xml:space="preserve"> on the ATO Legal Database at ato.gov.au</w:t>
      </w:r>
      <w:r>
        <w:rPr>
          <w:rFonts w:ascii="Arial" w:hAnsi="Arial" w:cs="Arial"/>
        </w:rPr>
        <w:t xml:space="preserve"> </w:t>
      </w:r>
      <w:r w:rsidR="002456CB" w:rsidRPr="002456CB">
        <w:rPr>
          <w:rFonts w:ascii="Arial" w:hAnsi="Arial" w:cs="Arial"/>
        </w:rPr>
        <w:t xml:space="preserve">on </w:t>
      </w:r>
      <w:r w:rsidR="002456CB">
        <w:rPr>
          <w:rFonts w:ascii="Arial" w:hAnsi="Arial" w:cs="Arial"/>
        </w:rPr>
        <w:t xml:space="preserve">28 </w:t>
      </w:r>
      <w:r>
        <w:rPr>
          <w:rFonts w:ascii="Arial" w:hAnsi="Arial" w:cs="Arial"/>
        </w:rPr>
        <w:t>September 2016 to 20 October 2016,</w:t>
      </w:r>
      <w:r w:rsidR="002456CB">
        <w:rPr>
          <w:rFonts w:ascii="Arial" w:hAnsi="Arial" w:cs="Arial"/>
        </w:rPr>
        <w:t xml:space="preserve"> </w:t>
      </w:r>
      <w:r w:rsidR="002456CB" w:rsidRPr="002456CB">
        <w:rPr>
          <w:rFonts w:ascii="Arial" w:hAnsi="Arial" w:cs="Arial"/>
        </w:rPr>
        <w:t>seeking feedback and comments. The ATO Legal Database sends emails and news feeds to direct subscribers such as tax professionals and other industry stakeholders. </w:t>
      </w:r>
    </w:p>
    <w:p w:rsidR="002456CB" w:rsidRPr="00F14F87" w:rsidRDefault="00F72F75" w:rsidP="00F14F87">
      <w:pPr>
        <w:pStyle w:val="ListParagraph"/>
        <w:numPr>
          <w:ilvl w:val="0"/>
          <w:numId w:val="45"/>
        </w:numPr>
        <w:ind w:left="709" w:right="564" w:hanging="425"/>
        <w:rPr>
          <w:rFonts w:ascii="Arial" w:hAnsi="Arial" w:cs="Arial"/>
        </w:rPr>
      </w:pPr>
      <w:r w:rsidRPr="00F14F87">
        <w:rPr>
          <w:rFonts w:ascii="Arial" w:hAnsi="Arial" w:cs="Arial"/>
        </w:rPr>
        <w:t xml:space="preserve">The consultation </w:t>
      </w:r>
      <w:r w:rsidR="00DD20E5">
        <w:rPr>
          <w:rFonts w:ascii="Arial" w:hAnsi="Arial" w:cs="Arial"/>
        </w:rPr>
        <w:t xml:space="preserve">process </w:t>
      </w:r>
      <w:r w:rsidRPr="00F14F87">
        <w:rPr>
          <w:rFonts w:ascii="Arial" w:hAnsi="Arial" w:cs="Arial"/>
        </w:rPr>
        <w:t>was</w:t>
      </w:r>
      <w:r w:rsidR="00F14F87" w:rsidRPr="00F14F87">
        <w:rPr>
          <w:rFonts w:ascii="Arial" w:hAnsi="Arial" w:cs="Arial"/>
        </w:rPr>
        <w:t xml:space="preserve"> announced </w:t>
      </w:r>
      <w:r w:rsidR="002456CB" w:rsidRPr="00F14F87">
        <w:rPr>
          <w:rFonts w:ascii="Arial" w:hAnsi="Arial" w:cs="Arial"/>
        </w:rPr>
        <w:t>on “What we are consulting about” at ato.gov.au.</w:t>
      </w:r>
      <w:r w:rsidR="00F14F87" w:rsidRPr="00F14F87">
        <w:rPr>
          <w:rFonts w:ascii="Arial" w:hAnsi="Arial" w:cs="Arial"/>
        </w:rPr>
        <w:t xml:space="preserve"> </w:t>
      </w:r>
      <w:r w:rsidRPr="00F14F87">
        <w:rPr>
          <w:rFonts w:ascii="Arial" w:hAnsi="Arial" w:cs="Arial"/>
        </w:rPr>
        <w:t xml:space="preserve">In addition, </w:t>
      </w:r>
      <w:r w:rsidR="00F14F87" w:rsidRPr="00F14F87">
        <w:rPr>
          <w:rFonts w:ascii="Arial" w:hAnsi="Arial" w:cs="Arial"/>
        </w:rPr>
        <w:t>we</w:t>
      </w:r>
      <w:r w:rsidR="008A5094">
        <w:rPr>
          <w:rFonts w:ascii="Arial" w:hAnsi="Arial" w:cs="Arial"/>
        </w:rPr>
        <w:t xml:space="preserve"> notified </w:t>
      </w:r>
      <w:r w:rsidR="00975045" w:rsidRPr="00F14F87">
        <w:rPr>
          <w:rFonts w:ascii="Arial" w:hAnsi="Arial" w:cs="Arial"/>
        </w:rPr>
        <w:t>the GST Stewardship Group</w:t>
      </w:r>
      <w:r w:rsidR="00F14F87" w:rsidRPr="00F14F87">
        <w:rPr>
          <w:rFonts w:ascii="Arial" w:hAnsi="Arial" w:cs="Arial"/>
        </w:rPr>
        <w:t xml:space="preserve"> members o</w:t>
      </w:r>
      <w:r w:rsidR="008A5094">
        <w:rPr>
          <w:rFonts w:ascii="Arial" w:hAnsi="Arial" w:cs="Arial"/>
        </w:rPr>
        <w:t>f</w:t>
      </w:r>
      <w:r w:rsidR="00F14F87" w:rsidRPr="00F14F87">
        <w:rPr>
          <w:rFonts w:ascii="Arial" w:hAnsi="Arial" w:cs="Arial"/>
        </w:rPr>
        <w:t xml:space="preserve"> </w:t>
      </w:r>
      <w:r w:rsidR="00DD20E5">
        <w:rPr>
          <w:rFonts w:ascii="Arial" w:hAnsi="Arial" w:cs="Arial"/>
        </w:rPr>
        <w:t>the opportunity to be involved in the consultation</w:t>
      </w:r>
      <w:r w:rsidR="00F14F87" w:rsidRPr="00F14F87">
        <w:rPr>
          <w:rFonts w:ascii="Arial" w:hAnsi="Arial" w:cs="Arial"/>
        </w:rPr>
        <w:t xml:space="preserve">. </w:t>
      </w:r>
      <w:r w:rsidR="00F14F87">
        <w:rPr>
          <w:rFonts w:ascii="Arial" w:hAnsi="Arial" w:cs="Arial"/>
        </w:rPr>
        <w:t>The</w:t>
      </w:r>
      <w:r w:rsidR="001D5851" w:rsidRPr="00F14F87">
        <w:rPr>
          <w:rFonts w:ascii="Arial" w:hAnsi="Arial" w:cs="Arial"/>
        </w:rPr>
        <w:t xml:space="preserve"> members </w:t>
      </w:r>
      <w:r w:rsidR="00F14F87">
        <w:rPr>
          <w:rFonts w:ascii="Arial" w:hAnsi="Arial" w:cs="Arial"/>
        </w:rPr>
        <w:t xml:space="preserve">of the GST Stewardship Group </w:t>
      </w:r>
      <w:r w:rsidR="00975045" w:rsidRPr="00F14F87">
        <w:rPr>
          <w:rFonts w:ascii="Arial" w:hAnsi="Arial" w:cs="Arial"/>
        </w:rPr>
        <w:t>comprises of</w:t>
      </w:r>
      <w:r w:rsidR="001D5851" w:rsidRPr="00F14F87">
        <w:rPr>
          <w:rFonts w:ascii="Arial" w:hAnsi="Arial" w:cs="Arial"/>
        </w:rPr>
        <w:t xml:space="preserve"> senior </w:t>
      </w:r>
      <w:r w:rsidRPr="00F14F87">
        <w:rPr>
          <w:rFonts w:ascii="Arial" w:hAnsi="Arial" w:cs="Arial"/>
        </w:rPr>
        <w:t xml:space="preserve">Australian Taxation </w:t>
      </w:r>
      <w:r w:rsidR="009C6442" w:rsidRPr="00F14F87">
        <w:rPr>
          <w:rFonts w:ascii="Arial" w:hAnsi="Arial" w:cs="Arial"/>
        </w:rPr>
        <w:t>o</w:t>
      </w:r>
      <w:r w:rsidRPr="00F14F87">
        <w:rPr>
          <w:rFonts w:ascii="Arial" w:hAnsi="Arial" w:cs="Arial"/>
        </w:rPr>
        <w:t xml:space="preserve">fficers and external </w:t>
      </w:r>
      <w:r w:rsidR="00975045" w:rsidRPr="00F14F87">
        <w:rPr>
          <w:rFonts w:ascii="Arial" w:hAnsi="Arial" w:cs="Arial"/>
        </w:rPr>
        <w:t xml:space="preserve">members from business, academic and professional bodies. </w:t>
      </w:r>
    </w:p>
    <w:p w:rsidR="00975045" w:rsidRPr="00975045" w:rsidRDefault="00975045" w:rsidP="00975045">
      <w:pPr>
        <w:pStyle w:val="ListParagraph"/>
        <w:numPr>
          <w:ilvl w:val="0"/>
          <w:numId w:val="45"/>
        </w:numPr>
        <w:ind w:left="709" w:right="564" w:hanging="425"/>
        <w:rPr>
          <w:rFonts w:ascii="Arial" w:hAnsi="Arial" w:cs="Arial"/>
        </w:rPr>
      </w:pPr>
      <w:r w:rsidRPr="00975045">
        <w:rPr>
          <w:rFonts w:ascii="Arial" w:hAnsi="Arial" w:cs="Arial"/>
        </w:rPr>
        <w:t>The response</w:t>
      </w:r>
      <w:r>
        <w:rPr>
          <w:rFonts w:ascii="Arial" w:hAnsi="Arial" w:cs="Arial"/>
        </w:rPr>
        <w:t xml:space="preserve"> from the </w:t>
      </w:r>
      <w:r w:rsidR="00F72F75">
        <w:rPr>
          <w:rFonts w:ascii="Arial" w:hAnsi="Arial" w:cs="Arial"/>
        </w:rPr>
        <w:t>c</w:t>
      </w:r>
      <w:r>
        <w:rPr>
          <w:rFonts w:ascii="Arial" w:hAnsi="Arial" w:cs="Arial"/>
        </w:rPr>
        <w:t xml:space="preserve">onsultation </w:t>
      </w:r>
      <w:r w:rsidR="008A5094">
        <w:rPr>
          <w:rFonts w:ascii="Arial" w:hAnsi="Arial" w:cs="Arial"/>
        </w:rPr>
        <w:t xml:space="preserve">process </w:t>
      </w:r>
      <w:r>
        <w:rPr>
          <w:rFonts w:ascii="Arial" w:hAnsi="Arial" w:cs="Arial"/>
        </w:rPr>
        <w:t xml:space="preserve">was </w:t>
      </w:r>
      <w:r w:rsidRPr="00975045">
        <w:rPr>
          <w:rFonts w:ascii="Arial" w:hAnsi="Arial" w:cs="Arial"/>
        </w:rPr>
        <w:t xml:space="preserve">limited but </w:t>
      </w:r>
      <w:r w:rsidR="00F72F75">
        <w:rPr>
          <w:rFonts w:ascii="Arial" w:hAnsi="Arial" w:cs="Arial"/>
        </w:rPr>
        <w:t>was</w:t>
      </w:r>
      <w:r w:rsidR="001D5851">
        <w:rPr>
          <w:rFonts w:ascii="Arial" w:hAnsi="Arial" w:cs="Arial"/>
        </w:rPr>
        <w:t xml:space="preserve"> </w:t>
      </w:r>
      <w:r w:rsidRPr="00975045">
        <w:rPr>
          <w:rFonts w:ascii="Arial" w:hAnsi="Arial" w:cs="Arial"/>
        </w:rPr>
        <w:t>supportive of the amendments.</w:t>
      </w:r>
      <w:r w:rsidR="009C6442">
        <w:rPr>
          <w:rFonts w:ascii="Arial" w:hAnsi="Arial" w:cs="Arial"/>
        </w:rPr>
        <w:t xml:space="preserve"> The Determination is </w:t>
      </w:r>
      <w:r w:rsidR="00550C6A">
        <w:rPr>
          <w:rFonts w:ascii="Arial" w:hAnsi="Arial" w:cs="Arial"/>
        </w:rPr>
        <w:t xml:space="preserve">made with no changes from the </w:t>
      </w:r>
      <w:r w:rsidR="008A5094">
        <w:rPr>
          <w:rFonts w:ascii="Arial" w:hAnsi="Arial" w:cs="Arial"/>
        </w:rPr>
        <w:t>d</w:t>
      </w:r>
      <w:r w:rsidR="00550C6A">
        <w:rPr>
          <w:rFonts w:ascii="Arial" w:hAnsi="Arial" w:cs="Arial"/>
        </w:rPr>
        <w:t xml:space="preserve">raft </w:t>
      </w:r>
      <w:r w:rsidR="008A5094">
        <w:rPr>
          <w:rFonts w:ascii="Arial" w:hAnsi="Arial" w:cs="Arial"/>
        </w:rPr>
        <w:t>Determination</w:t>
      </w:r>
      <w:r w:rsidR="009C6442">
        <w:rPr>
          <w:rFonts w:ascii="Arial" w:hAnsi="Arial" w:cs="Arial"/>
        </w:rPr>
        <w:t xml:space="preserve">. </w:t>
      </w:r>
    </w:p>
    <w:p w:rsidR="00975045" w:rsidRPr="002456CB" w:rsidRDefault="00975045" w:rsidP="00975045">
      <w:pPr>
        <w:pStyle w:val="ListParagraph"/>
        <w:ind w:left="709" w:right="564"/>
        <w:rPr>
          <w:rFonts w:ascii="Arial" w:hAnsi="Arial" w:cs="Arial"/>
        </w:rPr>
      </w:pPr>
    </w:p>
    <w:p w:rsidR="00AE1BAD" w:rsidRPr="005F124F" w:rsidRDefault="00AE1BAD" w:rsidP="00AE1BAD">
      <w:pPr>
        <w:spacing w:after="60"/>
        <w:rPr>
          <w:rFonts w:ascii="Arial" w:hAnsi="Arial" w:cs="Arial"/>
          <w:i/>
          <w:sz w:val="20"/>
        </w:rPr>
      </w:pPr>
      <w:r w:rsidRPr="005F124F">
        <w:rPr>
          <w:rFonts w:ascii="Arial" w:hAnsi="Arial" w:cs="Arial"/>
          <w:i/>
          <w:sz w:val="20"/>
        </w:rPr>
        <w:t>Legislative references:</w:t>
      </w:r>
    </w:p>
    <w:p w:rsidR="00AE1BAD" w:rsidRDefault="00AE1BAD" w:rsidP="00AE1BAD">
      <w:pPr>
        <w:spacing w:after="60"/>
        <w:rPr>
          <w:rFonts w:ascii="Arial" w:hAnsi="Arial" w:cs="Arial"/>
          <w:i/>
          <w:color w:val="000000"/>
          <w:sz w:val="20"/>
        </w:rPr>
      </w:pPr>
      <w:r>
        <w:rPr>
          <w:rFonts w:ascii="Arial" w:hAnsi="Arial" w:cs="Arial"/>
          <w:i/>
          <w:color w:val="000000"/>
          <w:sz w:val="20"/>
        </w:rPr>
        <w:t>A New Tax System (Goods and Services Tax) Act 1999</w:t>
      </w:r>
    </w:p>
    <w:p w:rsidR="00AE1BAD" w:rsidRPr="00746BDE" w:rsidRDefault="00AE1BAD" w:rsidP="00AE1BAD">
      <w:pPr>
        <w:spacing w:after="60"/>
        <w:rPr>
          <w:rFonts w:ascii="Arial" w:hAnsi="Arial" w:cs="Arial"/>
          <w:i/>
          <w:color w:val="000000"/>
          <w:sz w:val="20"/>
        </w:rPr>
      </w:pPr>
      <w:r w:rsidRPr="00746BDE">
        <w:rPr>
          <w:rFonts w:ascii="Arial" w:hAnsi="Arial" w:cs="Arial"/>
          <w:i/>
          <w:color w:val="000000"/>
          <w:sz w:val="20"/>
        </w:rPr>
        <w:t>Acts Interpretation Act 1901</w:t>
      </w:r>
    </w:p>
    <w:p w:rsidR="00AE1BAD" w:rsidRPr="00795D0C" w:rsidRDefault="00AE1BAD" w:rsidP="00AE1BAD">
      <w:pPr>
        <w:spacing w:after="60"/>
        <w:rPr>
          <w:rFonts w:ascii="Arial" w:hAnsi="Arial" w:cs="Arial"/>
          <w:i/>
          <w:color w:val="000000"/>
          <w:sz w:val="20"/>
        </w:rPr>
      </w:pPr>
      <w:r>
        <w:rPr>
          <w:rFonts w:ascii="Arial" w:hAnsi="Arial" w:cs="Arial"/>
          <w:i/>
          <w:color w:val="000000"/>
          <w:sz w:val="20"/>
        </w:rPr>
        <w:t>Legislation</w:t>
      </w:r>
      <w:r w:rsidRPr="00795D0C">
        <w:rPr>
          <w:rFonts w:ascii="Arial" w:hAnsi="Arial" w:cs="Arial"/>
          <w:i/>
          <w:color w:val="000000"/>
          <w:sz w:val="20"/>
        </w:rPr>
        <w:t xml:space="preserve"> Act 2003</w:t>
      </w:r>
    </w:p>
    <w:p w:rsidR="00AE1BAD" w:rsidRPr="001365D3" w:rsidRDefault="00AE1BAD" w:rsidP="00AE1BAD">
      <w:pPr>
        <w:pStyle w:val="Heading2"/>
        <w:rPr>
          <w:rFonts w:cs="Arial"/>
          <w:b w:val="0"/>
          <w:i/>
          <w:sz w:val="20"/>
        </w:rPr>
      </w:pPr>
      <w:r w:rsidRPr="001365D3">
        <w:rPr>
          <w:rFonts w:cs="Arial"/>
          <w:b w:val="0"/>
          <w:i/>
          <w:sz w:val="20"/>
        </w:rPr>
        <w:t>Taxation Administration Act 1953</w:t>
      </w:r>
    </w:p>
    <w:p w:rsidR="00244D17" w:rsidRDefault="00244D17" w:rsidP="00244D17">
      <w:pPr>
        <w:rPr>
          <w:rFonts w:ascii="Arial" w:hAnsi="Arial" w:cs="Arial"/>
          <w:b/>
          <w:color w:val="000000"/>
          <w:sz w:val="22"/>
          <w:szCs w:val="22"/>
        </w:rPr>
      </w:pPr>
      <w:r>
        <w:rPr>
          <w:rFonts w:ascii="Arial" w:hAnsi="Arial" w:cs="Arial"/>
          <w:color w:val="000000"/>
          <w:sz w:val="22"/>
          <w:szCs w:val="22"/>
        </w:rPr>
        <w:br w:type="page"/>
      </w:r>
    </w:p>
    <w:p w:rsidR="00244D17" w:rsidRPr="005E403B" w:rsidRDefault="00244D17" w:rsidP="00244D17">
      <w:pPr>
        <w:jc w:val="center"/>
        <w:rPr>
          <w:rFonts w:ascii="Arial" w:hAnsi="Arial" w:cs="Arial"/>
          <w:b/>
          <w:color w:val="000000"/>
          <w:sz w:val="22"/>
          <w:szCs w:val="22"/>
        </w:rPr>
      </w:pPr>
      <w:r w:rsidRPr="005E403B">
        <w:rPr>
          <w:rFonts w:ascii="Arial" w:hAnsi="Arial" w:cs="Arial"/>
          <w:b/>
          <w:color w:val="000000"/>
          <w:sz w:val="22"/>
          <w:szCs w:val="22"/>
        </w:rPr>
        <w:lastRenderedPageBreak/>
        <w:t>Statement of compatibility with Human Rights</w:t>
      </w:r>
    </w:p>
    <w:p w:rsidR="00244D17" w:rsidRDefault="00244D17" w:rsidP="00244D17">
      <w:pPr>
        <w:rPr>
          <w:rFonts w:ascii="Arial" w:hAnsi="Arial" w:cs="Arial"/>
          <w:i/>
          <w:color w:val="000000"/>
          <w:sz w:val="22"/>
          <w:szCs w:val="22"/>
        </w:rPr>
      </w:pPr>
    </w:p>
    <w:p w:rsidR="00244D17" w:rsidRPr="00A43A6B" w:rsidRDefault="00244D17" w:rsidP="00AE1BAD">
      <w:pPr>
        <w:rPr>
          <w:rFonts w:ascii="Arial" w:hAnsi="Arial" w:cs="Arial"/>
          <w:i/>
          <w:color w:val="000000"/>
          <w:sz w:val="22"/>
          <w:szCs w:val="22"/>
        </w:rPr>
      </w:pPr>
      <w:r w:rsidRPr="005055BE">
        <w:rPr>
          <w:rFonts w:ascii="Arial" w:hAnsi="Arial" w:cs="Arial"/>
          <w:color w:val="000000"/>
          <w:sz w:val="22"/>
          <w:szCs w:val="22"/>
        </w:rPr>
        <w:t xml:space="preserve">This Statement is prepared in accordance with Part 3 of the </w:t>
      </w:r>
      <w:r w:rsidRPr="00A43A6B">
        <w:rPr>
          <w:rFonts w:ascii="Arial" w:hAnsi="Arial" w:cs="Arial"/>
          <w:i/>
          <w:color w:val="000000"/>
          <w:sz w:val="22"/>
          <w:szCs w:val="22"/>
        </w:rPr>
        <w:t xml:space="preserve">Human Rights   </w:t>
      </w:r>
    </w:p>
    <w:p w:rsidR="00244D17" w:rsidRPr="005055BE" w:rsidRDefault="00244D17" w:rsidP="00244D17">
      <w:pPr>
        <w:rPr>
          <w:rFonts w:ascii="Arial" w:hAnsi="Arial" w:cs="Arial"/>
          <w:color w:val="000000"/>
          <w:sz w:val="22"/>
          <w:szCs w:val="22"/>
        </w:rPr>
      </w:pPr>
      <w:r w:rsidRPr="00A43A6B">
        <w:rPr>
          <w:rFonts w:ascii="Arial" w:hAnsi="Arial" w:cs="Arial"/>
          <w:i/>
          <w:color w:val="000000"/>
          <w:sz w:val="22"/>
          <w:szCs w:val="22"/>
        </w:rPr>
        <w:t xml:space="preserve"> (Parliamentary Scrutiny) </w:t>
      </w:r>
      <w:proofErr w:type="gramStart"/>
      <w:r w:rsidRPr="00A43A6B">
        <w:rPr>
          <w:rFonts w:ascii="Arial" w:hAnsi="Arial" w:cs="Arial"/>
          <w:i/>
          <w:color w:val="000000"/>
          <w:sz w:val="22"/>
          <w:szCs w:val="22"/>
        </w:rPr>
        <w:t>Act 2011</w:t>
      </w:r>
      <w:r w:rsidRPr="005055BE">
        <w:rPr>
          <w:rFonts w:ascii="Arial" w:hAnsi="Arial" w:cs="Arial"/>
          <w:color w:val="000000"/>
          <w:sz w:val="22"/>
          <w:szCs w:val="22"/>
        </w:rPr>
        <w:t>.</w:t>
      </w:r>
      <w:proofErr w:type="gramEnd"/>
    </w:p>
    <w:p w:rsidR="00244D17" w:rsidRDefault="00244D17" w:rsidP="00244D17">
      <w:pPr>
        <w:rPr>
          <w:rFonts w:ascii="Arial" w:hAnsi="Arial" w:cs="Arial"/>
          <w:i/>
          <w:color w:val="000000"/>
          <w:sz w:val="22"/>
          <w:szCs w:val="22"/>
        </w:rPr>
      </w:pPr>
    </w:p>
    <w:p w:rsidR="00244D17" w:rsidRPr="005055BE" w:rsidRDefault="00244D17" w:rsidP="00244D17">
      <w:pPr>
        <w:rPr>
          <w:rFonts w:ascii="Arial" w:hAnsi="Arial" w:cs="Arial"/>
          <w:i/>
          <w:color w:val="000000"/>
          <w:sz w:val="22"/>
          <w:szCs w:val="22"/>
        </w:rPr>
      </w:pPr>
    </w:p>
    <w:p w:rsidR="00244D17" w:rsidRPr="005055BE" w:rsidRDefault="00244D17" w:rsidP="00244D17">
      <w:pPr>
        <w:jc w:val="center"/>
        <w:rPr>
          <w:rFonts w:ascii="Arial" w:hAnsi="Arial" w:cs="Arial"/>
          <w:b/>
          <w:color w:val="000000"/>
          <w:sz w:val="22"/>
          <w:szCs w:val="22"/>
        </w:rPr>
      </w:pPr>
      <w:r w:rsidRPr="005055BE">
        <w:rPr>
          <w:rFonts w:ascii="Arial" w:hAnsi="Arial" w:cs="Arial"/>
          <w:b/>
          <w:color w:val="000000"/>
          <w:sz w:val="22"/>
          <w:szCs w:val="22"/>
        </w:rPr>
        <w:t xml:space="preserve">Correcting GST </w:t>
      </w:r>
      <w:r>
        <w:rPr>
          <w:rFonts w:ascii="Arial" w:hAnsi="Arial" w:cs="Arial"/>
          <w:b/>
          <w:color w:val="000000"/>
          <w:sz w:val="22"/>
          <w:szCs w:val="22"/>
        </w:rPr>
        <w:t>E</w:t>
      </w:r>
      <w:r w:rsidRPr="005055BE">
        <w:rPr>
          <w:rFonts w:ascii="Arial" w:hAnsi="Arial" w:cs="Arial"/>
          <w:b/>
          <w:color w:val="000000"/>
          <w:sz w:val="22"/>
          <w:szCs w:val="22"/>
        </w:rPr>
        <w:t>rr</w:t>
      </w:r>
      <w:r w:rsidR="003F3361">
        <w:rPr>
          <w:rFonts w:ascii="Arial" w:hAnsi="Arial" w:cs="Arial"/>
          <w:b/>
          <w:color w:val="000000"/>
          <w:sz w:val="22"/>
          <w:szCs w:val="22"/>
        </w:rPr>
        <w:t>ors Amendment Determination 2017</w:t>
      </w:r>
      <w:r w:rsidRPr="005055BE">
        <w:rPr>
          <w:rFonts w:ascii="Arial" w:hAnsi="Arial" w:cs="Arial"/>
          <w:b/>
          <w:color w:val="000000"/>
          <w:sz w:val="22"/>
          <w:szCs w:val="22"/>
        </w:rPr>
        <w:t xml:space="preserve"> (No.1)</w:t>
      </w:r>
    </w:p>
    <w:p w:rsidR="00244D17" w:rsidRPr="005E403B" w:rsidRDefault="00244D17" w:rsidP="00244D17">
      <w:pPr>
        <w:rPr>
          <w:rFonts w:ascii="Arial" w:hAnsi="Arial" w:cs="Arial"/>
          <w:i/>
          <w:color w:val="000000"/>
          <w:sz w:val="22"/>
          <w:szCs w:val="22"/>
        </w:rPr>
      </w:pPr>
    </w:p>
    <w:p w:rsidR="00244D17" w:rsidRPr="005E403B" w:rsidRDefault="00244D17" w:rsidP="00244D17">
      <w:pPr>
        <w:rPr>
          <w:rFonts w:ascii="Arial" w:hAnsi="Arial" w:cs="Arial"/>
          <w:i/>
          <w:color w:val="000000"/>
          <w:sz w:val="22"/>
          <w:szCs w:val="22"/>
        </w:rPr>
      </w:pPr>
    </w:p>
    <w:p w:rsidR="00244D17" w:rsidRPr="005E403B" w:rsidRDefault="00244D17" w:rsidP="00244D17">
      <w:pPr>
        <w:autoSpaceDE w:val="0"/>
        <w:autoSpaceDN w:val="0"/>
        <w:adjustRightInd w:val="0"/>
        <w:rPr>
          <w:rFonts w:ascii="Arial" w:hAnsi="Arial" w:cs="Arial"/>
          <w:iCs/>
          <w:color w:val="000000"/>
          <w:sz w:val="22"/>
          <w:szCs w:val="22"/>
        </w:rPr>
      </w:pPr>
      <w:r w:rsidRPr="005E403B">
        <w:rPr>
          <w:rFonts w:ascii="Arial" w:hAnsi="Arial" w:cs="Arial"/>
          <w:color w:val="000000"/>
          <w:sz w:val="22"/>
          <w:szCs w:val="22"/>
        </w:rPr>
        <w:t xml:space="preserve">This Legislative Instrument is compatible with the human rights and freedoms recognised or declared in the international instruments listed in section 3 of the </w:t>
      </w:r>
      <w:r w:rsidRPr="00A43A6B">
        <w:rPr>
          <w:rFonts w:ascii="Arial" w:hAnsi="Arial" w:cs="Arial"/>
          <w:i/>
          <w:color w:val="000000"/>
          <w:sz w:val="22"/>
          <w:szCs w:val="22"/>
        </w:rPr>
        <w:t>Human Rights (Parliamentary Scrutiny) Act 2011</w:t>
      </w:r>
      <w:r w:rsidRPr="005E403B">
        <w:rPr>
          <w:rFonts w:ascii="Arial" w:hAnsi="Arial" w:cs="Arial"/>
          <w:color w:val="000000"/>
          <w:sz w:val="22"/>
          <w:szCs w:val="22"/>
        </w:rPr>
        <w:t xml:space="preserve">. </w:t>
      </w:r>
    </w:p>
    <w:p w:rsidR="00244D17" w:rsidRPr="005E403B" w:rsidRDefault="00244D17" w:rsidP="00244D17">
      <w:pPr>
        <w:autoSpaceDE w:val="0"/>
        <w:autoSpaceDN w:val="0"/>
        <w:adjustRightInd w:val="0"/>
        <w:rPr>
          <w:rFonts w:ascii="Arial" w:hAnsi="Arial" w:cs="Arial"/>
          <w:color w:val="000000"/>
          <w:sz w:val="22"/>
          <w:szCs w:val="22"/>
        </w:rPr>
      </w:pPr>
    </w:p>
    <w:p w:rsidR="00244D17" w:rsidRPr="005E403B" w:rsidRDefault="00244D17" w:rsidP="00244D17">
      <w:pPr>
        <w:spacing w:before="120" w:after="120"/>
        <w:jc w:val="both"/>
        <w:rPr>
          <w:rFonts w:ascii="Arial" w:hAnsi="Arial" w:cs="Arial"/>
          <w:b/>
          <w:sz w:val="22"/>
          <w:szCs w:val="22"/>
        </w:rPr>
      </w:pPr>
      <w:r w:rsidRPr="005E403B">
        <w:rPr>
          <w:rFonts w:ascii="Arial" w:hAnsi="Arial" w:cs="Arial"/>
          <w:b/>
          <w:sz w:val="22"/>
          <w:szCs w:val="22"/>
        </w:rPr>
        <w:t>Overview of the Legislative Instrument</w:t>
      </w:r>
    </w:p>
    <w:p w:rsidR="00AE1BAD" w:rsidRDefault="00244D17" w:rsidP="00244D17">
      <w:pPr>
        <w:keepNext/>
        <w:keepLines/>
        <w:rPr>
          <w:rFonts w:ascii="Arial" w:hAnsi="Arial" w:cs="Arial"/>
          <w:sz w:val="22"/>
          <w:szCs w:val="22"/>
        </w:rPr>
      </w:pPr>
      <w:r w:rsidRPr="005E403B">
        <w:rPr>
          <w:rFonts w:ascii="Arial" w:hAnsi="Arial" w:cs="Arial"/>
          <w:sz w:val="22"/>
          <w:szCs w:val="22"/>
        </w:rPr>
        <w:t>The purpose of th</w:t>
      </w:r>
      <w:r w:rsidR="008A5094">
        <w:rPr>
          <w:rFonts w:ascii="Arial" w:hAnsi="Arial" w:cs="Arial"/>
          <w:sz w:val="22"/>
          <w:szCs w:val="22"/>
        </w:rPr>
        <w:t>e</w:t>
      </w:r>
      <w:r>
        <w:rPr>
          <w:rFonts w:ascii="Arial" w:hAnsi="Arial" w:cs="Arial"/>
          <w:sz w:val="22"/>
          <w:szCs w:val="22"/>
        </w:rPr>
        <w:t xml:space="preserve"> Legislative I</w:t>
      </w:r>
      <w:r w:rsidRPr="005E403B">
        <w:rPr>
          <w:rFonts w:ascii="Arial" w:hAnsi="Arial" w:cs="Arial"/>
          <w:sz w:val="22"/>
          <w:szCs w:val="22"/>
        </w:rPr>
        <w:t xml:space="preserve">nstrument is to amend </w:t>
      </w:r>
      <w:r w:rsidRPr="005E403B">
        <w:rPr>
          <w:rFonts w:ascii="Arial" w:hAnsi="Arial" w:cs="Arial"/>
          <w:i/>
          <w:sz w:val="22"/>
          <w:szCs w:val="22"/>
        </w:rPr>
        <w:t>Goods and Services Tax: Correcting GST Errors Determination 2013</w:t>
      </w:r>
      <w:r w:rsidRPr="005E403B">
        <w:rPr>
          <w:rFonts w:ascii="Arial" w:hAnsi="Arial" w:cs="Arial"/>
          <w:sz w:val="22"/>
          <w:szCs w:val="22"/>
        </w:rPr>
        <w:t xml:space="preserve"> to</w:t>
      </w:r>
      <w:r w:rsidR="006D51D1">
        <w:rPr>
          <w:rFonts w:ascii="Arial" w:hAnsi="Arial" w:cs="Arial"/>
          <w:sz w:val="22"/>
          <w:szCs w:val="22"/>
        </w:rPr>
        <w:t>:</w:t>
      </w:r>
    </w:p>
    <w:p w:rsidR="00244D17" w:rsidRDefault="00244D17" w:rsidP="00244D17">
      <w:pPr>
        <w:keepNext/>
        <w:keepLines/>
        <w:rPr>
          <w:rFonts w:ascii="Arial" w:hAnsi="Arial" w:cs="Arial"/>
          <w:sz w:val="22"/>
          <w:szCs w:val="22"/>
        </w:rPr>
      </w:pPr>
    </w:p>
    <w:p w:rsidR="00244D17" w:rsidRDefault="00244D17" w:rsidP="00244D17">
      <w:pPr>
        <w:pStyle w:val="ListParagraph"/>
        <w:keepNext/>
        <w:keepLines/>
        <w:numPr>
          <w:ilvl w:val="0"/>
          <w:numId w:val="41"/>
        </w:numPr>
        <w:rPr>
          <w:rFonts w:ascii="Arial" w:hAnsi="Arial" w:cs="Arial"/>
        </w:rPr>
      </w:pPr>
      <w:r>
        <w:rPr>
          <w:rFonts w:ascii="Arial" w:hAnsi="Arial" w:cs="Arial"/>
        </w:rPr>
        <w:t xml:space="preserve">clarify that you cannot correct an error from an earlier tax period by requesting an amendment in a later tax period; and </w:t>
      </w:r>
    </w:p>
    <w:p w:rsidR="00244D17" w:rsidRDefault="00244D17" w:rsidP="00244D17">
      <w:pPr>
        <w:pStyle w:val="ListParagraph"/>
        <w:keepNext/>
        <w:keepLines/>
        <w:numPr>
          <w:ilvl w:val="0"/>
          <w:numId w:val="41"/>
        </w:numPr>
        <w:rPr>
          <w:rFonts w:ascii="Arial" w:hAnsi="Arial" w:cs="Arial"/>
        </w:rPr>
      </w:pPr>
      <w:proofErr w:type="gramStart"/>
      <w:r w:rsidRPr="00E3297B">
        <w:rPr>
          <w:rFonts w:ascii="Arial" w:hAnsi="Arial" w:cs="Arial"/>
        </w:rPr>
        <w:t>ensure</w:t>
      </w:r>
      <w:proofErr w:type="gramEnd"/>
      <w:r w:rsidRPr="00E3297B">
        <w:rPr>
          <w:rFonts w:ascii="Arial" w:hAnsi="Arial" w:cs="Arial"/>
        </w:rPr>
        <w:t xml:space="preserve"> that credit errors from an earlier tax period can only be corrected in a later tax period if the GST return for the later tax period is lodged within period of review of the error.  </w:t>
      </w:r>
    </w:p>
    <w:p w:rsidR="00244D17" w:rsidRPr="00E3297B" w:rsidRDefault="00244D17" w:rsidP="00244D17">
      <w:pPr>
        <w:keepNext/>
        <w:keepLines/>
        <w:rPr>
          <w:rFonts w:ascii="Arial" w:hAnsi="Arial" w:cs="Arial"/>
          <w:sz w:val="22"/>
          <w:szCs w:val="22"/>
        </w:rPr>
      </w:pPr>
      <w:r w:rsidRPr="00E3297B">
        <w:rPr>
          <w:rFonts w:ascii="Arial" w:hAnsi="Arial" w:cs="Arial"/>
          <w:sz w:val="22"/>
          <w:szCs w:val="22"/>
        </w:rPr>
        <w:t>This is to ensure the concession provided for in the Legislative Instrument aligns with Parliament’s inten</w:t>
      </w:r>
      <w:r>
        <w:rPr>
          <w:rFonts w:ascii="Arial" w:hAnsi="Arial" w:cs="Arial"/>
          <w:sz w:val="22"/>
          <w:szCs w:val="22"/>
        </w:rPr>
        <w:t xml:space="preserve">ded scope </w:t>
      </w:r>
      <w:r w:rsidRPr="00E3297B">
        <w:rPr>
          <w:rFonts w:ascii="Arial" w:hAnsi="Arial" w:cs="Arial"/>
          <w:sz w:val="22"/>
          <w:szCs w:val="22"/>
        </w:rPr>
        <w:t xml:space="preserve">for the Instrument’s governing provision. </w:t>
      </w:r>
    </w:p>
    <w:p w:rsidR="00244D17" w:rsidRPr="005E403B" w:rsidRDefault="00244D17" w:rsidP="00244D17">
      <w:pPr>
        <w:spacing w:before="120" w:after="120"/>
        <w:ind w:left="720"/>
        <w:rPr>
          <w:rFonts w:ascii="Arial" w:hAnsi="Arial" w:cs="Arial"/>
          <w:sz w:val="22"/>
          <w:szCs w:val="22"/>
        </w:rPr>
      </w:pPr>
    </w:p>
    <w:p w:rsidR="00244D17" w:rsidRPr="005E403B" w:rsidRDefault="00244D17" w:rsidP="00244D17">
      <w:pPr>
        <w:spacing w:before="120" w:after="120"/>
        <w:rPr>
          <w:rFonts w:ascii="Arial" w:hAnsi="Arial" w:cs="Arial"/>
          <w:b/>
          <w:sz w:val="22"/>
          <w:szCs w:val="22"/>
        </w:rPr>
      </w:pPr>
      <w:r w:rsidRPr="005E403B">
        <w:rPr>
          <w:rFonts w:ascii="Arial" w:hAnsi="Arial" w:cs="Arial"/>
          <w:b/>
          <w:sz w:val="22"/>
          <w:szCs w:val="22"/>
        </w:rPr>
        <w:t>Human rights implications</w:t>
      </w:r>
    </w:p>
    <w:p w:rsidR="00244D17" w:rsidRPr="005E403B" w:rsidRDefault="00244D17" w:rsidP="00244D17">
      <w:pPr>
        <w:spacing w:before="120" w:after="120"/>
        <w:rPr>
          <w:rFonts w:ascii="Arial" w:hAnsi="Arial" w:cs="Arial"/>
          <w:sz w:val="22"/>
          <w:szCs w:val="22"/>
        </w:rPr>
      </w:pPr>
      <w:r w:rsidRPr="005E403B">
        <w:rPr>
          <w:rFonts w:ascii="Arial" w:hAnsi="Arial" w:cs="Arial"/>
          <w:sz w:val="22"/>
          <w:szCs w:val="22"/>
        </w:rPr>
        <w:t>Th</w:t>
      </w:r>
      <w:r w:rsidR="008A5094">
        <w:rPr>
          <w:rFonts w:ascii="Arial" w:hAnsi="Arial" w:cs="Arial"/>
          <w:sz w:val="22"/>
          <w:szCs w:val="22"/>
        </w:rPr>
        <w:t>e</w:t>
      </w:r>
      <w:r w:rsidRPr="005E403B">
        <w:rPr>
          <w:rFonts w:ascii="Arial" w:hAnsi="Arial" w:cs="Arial"/>
          <w:sz w:val="22"/>
          <w:szCs w:val="22"/>
        </w:rPr>
        <w:t xml:space="preserve"> Legislative Instrument does not engage any of the applicable rights or freedoms. </w:t>
      </w:r>
    </w:p>
    <w:p w:rsidR="00244D17" w:rsidRPr="005E403B" w:rsidRDefault="00244D17" w:rsidP="00244D17">
      <w:pPr>
        <w:spacing w:before="120" w:after="120"/>
        <w:rPr>
          <w:rFonts w:ascii="Arial" w:hAnsi="Arial" w:cs="Arial"/>
          <w:b/>
          <w:sz w:val="22"/>
          <w:szCs w:val="22"/>
        </w:rPr>
      </w:pPr>
    </w:p>
    <w:p w:rsidR="00244D17" w:rsidRPr="005E403B" w:rsidRDefault="00244D17" w:rsidP="00244D17">
      <w:pPr>
        <w:spacing w:before="120" w:after="120"/>
        <w:rPr>
          <w:rFonts w:ascii="Arial" w:hAnsi="Arial" w:cs="Arial"/>
          <w:b/>
          <w:sz w:val="22"/>
          <w:szCs w:val="22"/>
        </w:rPr>
      </w:pPr>
      <w:r w:rsidRPr="005E403B">
        <w:rPr>
          <w:rFonts w:ascii="Arial" w:hAnsi="Arial" w:cs="Arial"/>
          <w:b/>
          <w:sz w:val="22"/>
          <w:szCs w:val="22"/>
        </w:rPr>
        <w:t>Conclusion</w:t>
      </w:r>
    </w:p>
    <w:p w:rsidR="00244D17" w:rsidRPr="005E403B" w:rsidRDefault="008A5094" w:rsidP="00244D17">
      <w:pPr>
        <w:spacing w:before="120" w:after="120"/>
        <w:rPr>
          <w:rFonts w:ascii="Arial" w:hAnsi="Arial" w:cs="Arial"/>
          <w:sz w:val="22"/>
          <w:szCs w:val="22"/>
        </w:rPr>
      </w:pPr>
      <w:r>
        <w:rPr>
          <w:rFonts w:ascii="Arial" w:hAnsi="Arial" w:cs="Arial"/>
          <w:sz w:val="22"/>
          <w:szCs w:val="22"/>
        </w:rPr>
        <w:t>The</w:t>
      </w:r>
      <w:r w:rsidR="00244D17" w:rsidRPr="005E403B">
        <w:rPr>
          <w:rFonts w:ascii="Arial" w:hAnsi="Arial" w:cs="Arial"/>
          <w:sz w:val="22"/>
          <w:szCs w:val="22"/>
        </w:rPr>
        <w:t xml:space="preserve"> Legislative Instrument is compatible with human rights as it does not raise any human rights issues.</w:t>
      </w:r>
    </w:p>
    <w:p w:rsidR="00244D17" w:rsidRPr="005E403B" w:rsidRDefault="00244D17" w:rsidP="00244D17">
      <w:pPr>
        <w:autoSpaceDE w:val="0"/>
        <w:autoSpaceDN w:val="0"/>
        <w:adjustRightInd w:val="0"/>
        <w:rPr>
          <w:rFonts w:ascii="Arial" w:hAnsi="Arial" w:cs="Arial"/>
          <w:color w:val="000000"/>
          <w:sz w:val="22"/>
          <w:szCs w:val="22"/>
        </w:rPr>
      </w:pPr>
    </w:p>
    <w:p w:rsidR="00244D17" w:rsidRPr="005E403B" w:rsidRDefault="00244D17" w:rsidP="00244D17">
      <w:pPr>
        <w:autoSpaceDE w:val="0"/>
        <w:autoSpaceDN w:val="0"/>
        <w:adjustRightInd w:val="0"/>
        <w:rPr>
          <w:rFonts w:ascii="Arial" w:hAnsi="Arial" w:cs="Arial"/>
          <w:color w:val="000000"/>
          <w:sz w:val="22"/>
          <w:szCs w:val="22"/>
        </w:rPr>
      </w:pPr>
    </w:p>
    <w:p w:rsidR="00244D17" w:rsidRPr="005E403B" w:rsidRDefault="00244D17" w:rsidP="00244D17">
      <w:pPr>
        <w:autoSpaceDE w:val="0"/>
        <w:autoSpaceDN w:val="0"/>
        <w:adjustRightInd w:val="0"/>
        <w:rPr>
          <w:rFonts w:ascii="Arial" w:hAnsi="Arial" w:cs="Arial"/>
          <w:i/>
          <w:iCs/>
          <w:color w:val="000000"/>
          <w:sz w:val="22"/>
          <w:szCs w:val="22"/>
        </w:rPr>
      </w:pPr>
    </w:p>
    <w:p w:rsidR="00244D17" w:rsidRDefault="00244D17" w:rsidP="00244D17">
      <w:pPr>
        <w:autoSpaceDE w:val="0"/>
        <w:autoSpaceDN w:val="0"/>
        <w:adjustRightInd w:val="0"/>
        <w:rPr>
          <w:rFonts w:ascii="Arial" w:hAnsi="Arial" w:cs="Arial"/>
          <w:b/>
          <w:i/>
          <w:iCs/>
          <w:color w:val="000000"/>
          <w:sz w:val="22"/>
          <w:szCs w:val="22"/>
        </w:rPr>
      </w:pPr>
    </w:p>
    <w:p w:rsidR="00244D17" w:rsidRPr="001C6956" w:rsidRDefault="00244D17" w:rsidP="00244D17">
      <w:pPr>
        <w:ind w:left="1700"/>
        <w:rPr>
          <w:rFonts w:ascii="Arial" w:hAnsi="Arial" w:cs="Arial"/>
          <w:sz w:val="20"/>
        </w:rPr>
      </w:pPr>
    </w:p>
    <w:p w:rsidR="008540EA" w:rsidRPr="001F28A6" w:rsidRDefault="008540EA" w:rsidP="00FE17ED">
      <w:pPr>
        <w:pStyle w:val="Heading2"/>
        <w:rPr>
          <w:rFonts w:cs="Arial"/>
        </w:rPr>
      </w:pPr>
    </w:p>
    <w:sectPr w:rsidR="008540EA" w:rsidRPr="001F28A6" w:rsidSect="0013348D">
      <w:headerReference w:type="even" r:id="rId18"/>
      <w:headerReference w:type="default" r:id="rId19"/>
      <w:headerReference w:type="first" r:id="rId20"/>
      <w:pgSz w:w="11906" w:h="16838" w:code="9"/>
      <w:pgMar w:top="1440" w:right="1700" w:bottom="851"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47" w:rsidRDefault="00FD7147">
      <w:r>
        <w:separator/>
      </w:r>
    </w:p>
  </w:endnote>
  <w:endnote w:type="continuationSeparator" w:id="0">
    <w:p w:rsidR="00FD7147" w:rsidRDefault="00FD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47" w:rsidRDefault="00FD7147">
      <w:r>
        <w:separator/>
      </w:r>
    </w:p>
  </w:footnote>
  <w:footnote w:type="continuationSeparator" w:id="0">
    <w:p w:rsidR="00FD7147" w:rsidRDefault="00FD7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8A5094">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2C6961" w:rsidRPr="002C6961">
      <w:rPr>
        <w:rFonts w:ascii="Arial" w:hAnsi="Arial" w:cs="Arial"/>
        <w:b/>
        <w:sz w:val="28"/>
        <w:szCs w:val="28"/>
      </w:rPr>
      <w:t>201</w:t>
    </w:r>
    <w:r w:rsidR="003F3361">
      <w:rPr>
        <w:rFonts w:ascii="Arial" w:hAnsi="Arial" w:cs="Arial"/>
        <w:b/>
        <w:sz w:val="28"/>
        <w:szCs w:val="28"/>
      </w:rPr>
      <w:t>7</w:t>
    </w:r>
    <w:r w:rsidR="002C6961" w:rsidRPr="002C6961">
      <w:rPr>
        <w:rFonts w:ascii="Arial" w:hAnsi="Arial" w:cs="Arial"/>
        <w:b/>
        <w:sz w:val="28"/>
        <w:szCs w:val="28"/>
      </w:rPr>
      <w:t>/ITX/00</w:t>
    </w:r>
    <w:r w:rsidR="008F5123">
      <w:rPr>
        <w:rFonts w:ascii="Arial" w:hAnsi="Arial" w:cs="Arial"/>
        <w:b/>
        <w:sz w:val="28"/>
        <w:szCs w:val="28"/>
      </w:rPr>
      <w:t>41</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2EAC12BB" wp14:editId="2EAC12BC">
          <wp:extent cx="2413635" cy="701675"/>
          <wp:effectExtent l="0" t="0" r="5715" b="317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68426B5"/>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15859"/>
    <w:multiLevelType w:val="hybridMultilevel"/>
    <w:tmpl w:val="59800634"/>
    <w:lvl w:ilvl="0" w:tplc="E390BEC0">
      <w:start w:val="1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4">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5">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73421A2"/>
    <w:multiLevelType w:val="hybridMultilevel"/>
    <w:tmpl w:val="89E81F9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1">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1693DC4"/>
    <w:multiLevelType w:val="hybridMultilevel"/>
    <w:tmpl w:val="817E2852"/>
    <w:lvl w:ilvl="0" w:tplc="0410405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BA55DEF"/>
    <w:multiLevelType w:val="hybridMultilevel"/>
    <w:tmpl w:val="6122E9A0"/>
    <w:lvl w:ilvl="0" w:tplc="C5029526">
      <w:start w:val="1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FCC3903"/>
    <w:multiLevelType w:val="hybridMultilevel"/>
    <w:tmpl w:val="0674F86C"/>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nsid w:val="438F0A71"/>
    <w:multiLevelType w:val="hybridMultilevel"/>
    <w:tmpl w:val="87C29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73A3B4B"/>
    <w:multiLevelType w:val="hybridMultilevel"/>
    <w:tmpl w:val="766A5646"/>
    <w:lvl w:ilvl="0" w:tplc="9CC0E868">
      <w:start w:val="1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54F75B03"/>
    <w:multiLevelType w:val="hybridMultilevel"/>
    <w:tmpl w:val="5156AF56"/>
    <w:lvl w:ilvl="0" w:tplc="A02C4E4C">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5">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2787369"/>
    <w:multiLevelType w:val="hybridMultilevel"/>
    <w:tmpl w:val="C8B4408C"/>
    <w:lvl w:ilvl="0" w:tplc="4C7E0734">
      <w:start w:val="6"/>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6587364E"/>
    <w:multiLevelType w:val="hybridMultilevel"/>
    <w:tmpl w:val="134E1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F9F667A"/>
    <w:multiLevelType w:val="hybridMultilevel"/>
    <w:tmpl w:val="A8DC88FC"/>
    <w:lvl w:ilvl="0" w:tplc="1410089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6">
    <w:nsid w:val="761B48DD"/>
    <w:multiLevelType w:val="hybridMultilevel"/>
    <w:tmpl w:val="EEDC2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6"/>
  </w:num>
  <w:num w:numId="4">
    <w:abstractNumId w:val="44"/>
  </w:num>
  <w:num w:numId="5">
    <w:abstractNumId w:val="5"/>
  </w:num>
  <w:num w:numId="6">
    <w:abstractNumId w:val="13"/>
  </w:num>
  <w:num w:numId="7">
    <w:abstractNumId w:val="37"/>
  </w:num>
  <w:num w:numId="8">
    <w:abstractNumId w:val="36"/>
  </w:num>
  <w:num w:numId="9">
    <w:abstractNumId w:val="29"/>
  </w:num>
  <w:num w:numId="10">
    <w:abstractNumId w:val="22"/>
  </w:num>
  <w:num w:numId="11">
    <w:abstractNumId w:val="47"/>
  </w:num>
  <w:num w:numId="12">
    <w:abstractNumId w:val="39"/>
  </w:num>
  <w:num w:numId="13">
    <w:abstractNumId w:val="43"/>
  </w:num>
  <w:num w:numId="14">
    <w:abstractNumId w:val="42"/>
  </w:num>
  <w:num w:numId="15">
    <w:abstractNumId w:val="21"/>
  </w:num>
  <w:num w:numId="16">
    <w:abstractNumId w:val="25"/>
  </w:num>
  <w:num w:numId="17">
    <w:abstractNumId w:val="10"/>
  </w:num>
  <w:num w:numId="18">
    <w:abstractNumId w:val="17"/>
  </w:num>
  <w:num w:numId="19">
    <w:abstractNumId w:val="3"/>
  </w:num>
  <w:num w:numId="20">
    <w:abstractNumId w:val="1"/>
  </w:num>
  <w:num w:numId="21">
    <w:abstractNumId w:val="11"/>
  </w:num>
  <w:num w:numId="22">
    <w:abstractNumId w:val="34"/>
  </w:num>
  <w:num w:numId="23">
    <w:abstractNumId w:val="9"/>
  </w:num>
  <w:num w:numId="24">
    <w:abstractNumId w:val="20"/>
  </w:num>
  <w:num w:numId="25">
    <w:abstractNumId w:val="32"/>
  </w:num>
  <w:num w:numId="26">
    <w:abstractNumId w:val="31"/>
  </w:num>
  <w:num w:numId="27">
    <w:abstractNumId w:val="8"/>
  </w:num>
  <w:num w:numId="28">
    <w:abstractNumId w:val="35"/>
  </w:num>
  <w:num w:numId="29">
    <w:abstractNumId w:val="19"/>
  </w:num>
  <w:num w:numId="30">
    <w:abstractNumId w:val="14"/>
  </w:num>
  <w:num w:numId="31">
    <w:abstractNumId w:val="6"/>
  </w:num>
  <w:num w:numId="32">
    <w:abstractNumId w:val="0"/>
  </w:num>
  <w:num w:numId="33">
    <w:abstractNumId w:val="7"/>
  </w:num>
  <w:num w:numId="34">
    <w:abstractNumId w:val="27"/>
  </w:num>
  <w:num w:numId="35">
    <w:abstractNumId w:val="40"/>
  </w:num>
  <w:num w:numId="36">
    <w:abstractNumId w:val="18"/>
  </w:num>
  <w:num w:numId="37">
    <w:abstractNumId w:val="2"/>
  </w:num>
  <w:num w:numId="38">
    <w:abstractNumId w:val="33"/>
  </w:num>
  <w:num w:numId="39">
    <w:abstractNumId w:val="38"/>
  </w:num>
  <w:num w:numId="4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6"/>
  </w:num>
  <w:num w:numId="43">
    <w:abstractNumId w:val="28"/>
  </w:num>
  <w:num w:numId="44">
    <w:abstractNumId w:val="46"/>
  </w:num>
  <w:num w:numId="45">
    <w:abstractNumId w:val="24"/>
  </w:num>
  <w:num w:numId="46">
    <w:abstractNumId w:val="12"/>
  </w:num>
  <w:num w:numId="47">
    <w:abstractNumId w:val="30"/>
  </w:num>
  <w:num w:numId="48">
    <w:abstractNumId w:val="4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19F6"/>
    <w:rsid w:val="000117B2"/>
    <w:rsid w:val="00012937"/>
    <w:rsid w:val="0001796D"/>
    <w:rsid w:val="00017BF0"/>
    <w:rsid w:val="0002568B"/>
    <w:rsid w:val="000413B4"/>
    <w:rsid w:val="00043FA7"/>
    <w:rsid w:val="000552E8"/>
    <w:rsid w:val="00056585"/>
    <w:rsid w:val="0005674F"/>
    <w:rsid w:val="00061BCD"/>
    <w:rsid w:val="000626C9"/>
    <w:rsid w:val="00065C6E"/>
    <w:rsid w:val="00073F1B"/>
    <w:rsid w:val="00075B58"/>
    <w:rsid w:val="000B11DD"/>
    <w:rsid w:val="000B512A"/>
    <w:rsid w:val="000C2A40"/>
    <w:rsid w:val="000C390A"/>
    <w:rsid w:val="000C77DD"/>
    <w:rsid w:val="000C7AD6"/>
    <w:rsid w:val="000E295B"/>
    <w:rsid w:val="000E45A0"/>
    <w:rsid w:val="00107460"/>
    <w:rsid w:val="00112415"/>
    <w:rsid w:val="00112AE6"/>
    <w:rsid w:val="00115EFB"/>
    <w:rsid w:val="0013348D"/>
    <w:rsid w:val="001365D3"/>
    <w:rsid w:val="0013678D"/>
    <w:rsid w:val="00140A34"/>
    <w:rsid w:val="00146ED8"/>
    <w:rsid w:val="00155D2F"/>
    <w:rsid w:val="00167202"/>
    <w:rsid w:val="001828A4"/>
    <w:rsid w:val="001A159E"/>
    <w:rsid w:val="001A3BE2"/>
    <w:rsid w:val="001C35E7"/>
    <w:rsid w:val="001C4578"/>
    <w:rsid w:val="001D5851"/>
    <w:rsid w:val="001F28A6"/>
    <w:rsid w:val="001F2A16"/>
    <w:rsid w:val="001F3A39"/>
    <w:rsid w:val="001F6921"/>
    <w:rsid w:val="001F7C3E"/>
    <w:rsid w:val="00201969"/>
    <w:rsid w:val="002121FD"/>
    <w:rsid w:val="00213FA5"/>
    <w:rsid w:val="002207CE"/>
    <w:rsid w:val="00227F0E"/>
    <w:rsid w:val="0023591D"/>
    <w:rsid w:val="0023733A"/>
    <w:rsid w:val="0024044F"/>
    <w:rsid w:val="00244D17"/>
    <w:rsid w:val="002456CB"/>
    <w:rsid w:val="00245D00"/>
    <w:rsid w:val="00257F2D"/>
    <w:rsid w:val="00262F9F"/>
    <w:rsid w:val="00266D2D"/>
    <w:rsid w:val="0027190D"/>
    <w:rsid w:val="0027331F"/>
    <w:rsid w:val="00273A5C"/>
    <w:rsid w:val="00285E76"/>
    <w:rsid w:val="002949C3"/>
    <w:rsid w:val="002A10A4"/>
    <w:rsid w:val="002A26FE"/>
    <w:rsid w:val="002B1423"/>
    <w:rsid w:val="002B22FD"/>
    <w:rsid w:val="002B45E1"/>
    <w:rsid w:val="002C6961"/>
    <w:rsid w:val="002D150C"/>
    <w:rsid w:val="002D3B32"/>
    <w:rsid w:val="002D4B2E"/>
    <w:rsid w:val="002F1257"/>
    <w:rsid w:val="002F6461"/>
    <w:rsid w:val="00310C61"/>
    <w:rsid w:val="003171B3"/>
    <w:rsid w:val="0032559D"/>
    <w:rsid w:val="00330906"/>
    <w:rsid w:val="00331560"/>
    <w:rsid w:val="00344013"/>
    <w:rsid w:val="00344575"/>
    <w:rsid w:val="0035113C"/>
    <w:rsid w:val="0035218D"/>
    <w:rsid w:val="00354525"/>
    <w:rsid w:val="00355AF6"/>
    <w:rsid w:val="00380CC4"/>
    <w:rsid w:val="003A26D0"/>
    <w:rsid w:val="003B1292"/>
    <w:rsid w:val="003B64C1"/>
    <w:rsid w:val="003C0686"/>
    <w:rsid w:val="003D08CF"/>
    <w:rsid w:val="003D0CBA"/>
    <w:rsid w:val="003D0F6A"/>
    <w:rsid w:val="003D4BA8"/>
    <w:rsid w:val="003E5269"/>
    <w:rsid w:val="003F3361"/>
    <w:rsid w:val="00405394"/>
    <w:rsid w:val="004066E4"/>
    <w:rsid w:val="0040680B"/>
    <w:rsid w:val="00407361"/>
    <w:rsid w:val="004178AE"/>
    <w:rsid w:val="004179F8"/>
    <w:rsid w:val="00417C55"/>
    <w:rsid w:val="00424A7B"/>
    <w:rsid w:val="004447C1"/>
    <w:rsid w:val="0046211F"/>
    <w:rsid w:val="0046787B"/>
    <w:rsid w:val="00486653"/>
    <w:rsid w:val="00494289"/>
    <w:rsid w:val="00494401"/>
    <w:rsid w:val="004A0319"/>
    <w:rsid w:val="004A3CA1"/>
    <w:rsid w:val="004A5FDA"/>
    <w:rsid w:val="004D098C"/>
    <w:rsid w:val="004D24A9"/>
    <w:rsid w:val="004E5357"/>
    <w:rsid w:val="004E6799"/>
    <w:rsid w:val="004F4A07"/>
    <w:rsid w:val="004F5EB1"/>
    <w:rsid w:val="004F6227"/>
    <w:rsid w:val="004F6887"/>
    <w:rsid w:val="005030AD"/>
    <w:rsid w:val="005055BE"/>
    <w:rsid w:val="0051249C"/>
    <w:rsid w:val="005176E7"/>
    <w:rsid w:val="00520330"/>
    <w:rsid w:val="00524B6B"/>
    <w:rsid w:val="005413EE"/>
    <w:rsid w:val="00550C6A"/>
    <w:rsid w:val="00570648"/>
    <w:rsid w:val="00587443"/>
    <w:rsid w:val="00587C50"/>
    <w:rsid w:val="005917F3"/>
    <w:rsid w:val="00594BAB"/>
    <w:rsid w:val="005B0ACD"/>
    <w:rsid w:val="005B50A2"/>
    <w:rsid w:val="005C3408"/>
    <w:rsid w:val="005D611B"/>
    <w:rsid w:val="005E403B"/>
    <w:rsid w:val="005E795A"/>
    <w:rsid w:val="005F1ACE"/>
    <w:rsid w:val="005F256D"/>
    <w:rsid w:val="005F5F0A"/>
    <w:rsid w:val="0060183A"/>
    <w:rsid w:val="00603110"/>
    <w:rsid w:val="00611C8E"/>
    <w:rsid w:val="00631F30"/>
    <w:rsid w:val="00642420"/>
    <w:rsid w:val="00646158"/>
    <w:rsid w:val="00655E0A"/>
    <w:rsid w:val="006660CD"/>
    <w:rsid w:val="0066622C"/>
    <w:rsid w:val="00666487"/>
    <w:rsid w:val="00673B37"/>
    <w:rsid w:val="006945EA"/>
    <w:rsid w:val="006B3A25"/>
    <w:rsid w:val="006B5470"/>
    <w:rsid w:val="006C7465"/>
    <w:rsid w:val="006D0138"/>
    <w:rsid w:val="006D51D1"/>
    <w:rsid w:val="006D6F52"/>
    <w:rsid w:val="00701718"/>
    <w:rsid w:val="00710296"/>
    <w:rsid w:val="00710359"/>
    <w:rsid w:val="00712FFF"/>
    <w:rsid w:val="0071569D"/>
    <w:rsid w:val="00722DBF"/>
    <w:rsid w:val="007253DA"/>
    <w:rsid w:val="00725FC4"/>
    <w:rsid w:val="0072672E"/>
    <w:rsid w:val="00735157"/>
    <w:rsid w:val="00735FF8"/>
    <w:rsid w:val="00746BDE"/>
    <w:rsid w:val="00764147"/>
    <w:rsid w:val="00775490"/>
    <w:rsid w:val="007928AE"/>
    <w:rsid w:val="00794841"/>
    <w:rsid w:val="00795D0C"/>
    <w:rsid w:val="007A55BA"/>
    <w:rsid w:val="007C108A"/>
    <w:rsid w:val="007C1FBD"/>
    <w:rsid w:val="007E22F5"/>
    <w:rsid w:val="007F25F3"/>
    <w:rsid w:val="007F4901"/>
    <w:rsid w:val="00822520"/>
    <w:rsid w:val="00836B02"/>
    <w:rsid w:val="008467D4"/>
    <w:rsid w:val="00850FB0"/>
    <w:rsid w:val="0085238E"/>
    <w:rsid w:val="008540EA"/>
    <w:rsid w:val="00866A00"/>
    <w:rsid w:val="008702A6"/>
    <w:rsid w:val="008757CE"/>
    <w:rsid w:val="0088392C"/>
    <w:rsid w:val="008843A8"/>
    <w:rsid w:val="00895FF2"/>
    <w:rsid w:val="00897C0E"/>
    <w:rsid w:val="00897E31"/>
    <w:rsid w:val="008A046F"/>
    <w:rsid w:val="008A405A"/>
    <w:rsid w:val="008A5094"/>
    <w:rsid w:val="008A6A6A"/>
    <w:rsid w:val="008B650A"/>
    <w:rsid w:val="008B787C"/>
    <w:rsid w:val="008C3898"/>
    <w:rsid w:val="008C66CC"/>
    <w:rsid w:val="008D1048"/>
    <w:rsid w:val="008D134F"/>
    <w:rsid w:val="008D28CF"/>
    <w:rsid w:val="008D3DE2"/>
    <w:rsid w:val="008F3D85"/>
    <w:rsid w:val="008F483C"/>
    <w:rsid w:val="008F5123"/>
    <w:rsid w:val="008F55FD"/>
    <w:rsid w:val="00912D61"/>
    <w:rsid w:val="00930EA7"/>
    <w:rsid w:val="00931DE7"/>
    <w:rsid w:val="009322D7"/>
    <w:rsid w:val="00932BDE"/>
    <w:rsid w:val="00962889"/>
    <w:rsid w:val="00967725"/>
    <w:rsid w:val="00975045"/>
    <w:rsid w:val="009877AB"/>
    <w:rsid w:val="009902F8"/>
    <w:rsid w:val="009927B8"/>
    <w:rsid w:val="00993BB8"/>
    <w:rsid w:val="0099555F"/>
    <w:rsid w:val="009A056D"/>
    <w:rsid w:val="009A22A1"/>
    <w:rsid w:val="009A273D"/>
    <w:rsid w:val="009B3A1B"/>
    <w:rsid w:val="009B6332"/>
    <w:rsid w:val="009C0912"/>
    <w:rsid w:val="009C6442"/>
    <w:rsid w:val="009D2EFA"/>
    <w:rsid w:val="009D6694"/>
    <w:rsid w:val="009E7158"/>
    <w:rsid w:val="009F0300"/>
    <w:rsid w:val="009F13DF"/>
    <w:rsid w:val="00A1372D"/>
    <w:rsid w:val="00A167A8"/>
    <w:rsid w:val="00A21F0A"/>
    <w:rsid w:val="00A26011"/>
    <w:rsid w:val="00A43A6B"/>
    <w:rsid w:val="00A45D82"/>
    <w:rsid w:val="00A506C2"/>
    <w:rsid w:val="00A57BBD"/>
    <w:rsid w:val="00A62886"/>
    <w:rsid w:val="00A74C38"/>
    <w:rsid w:val="00A75015"/>
    <w:rsid w:val="00A77D24"/>
    <w:rsid w:val="00A8572F"/>
    <w:rsid w:val="00A93E07"/>
    <w:rsid w:val="00A979CF"/>
    <w:rsid w:val="00AA4DF8"/>
    <w:rsid w:val="00AB780C"/>
    <w:rsid w:val="00AC6204"/>
    <w:rsid w:val="00AC7AE5"/>
    <w:rsid w:val="00AD5ADE"/>
    <w:rsid w:val="00AE1BAD"/>
    <w:rsid w:val="00AE7138"/>
    <w:rsid w:val="00AF4CAF"/>
    <w:rsid w:val="00B0484C"/>
    <w:rsid w:val="00B117BA"/>
    <w:rsid w:val="00B20D87"/>
    <w:rsid w:val="00B578AC"/>
    <w:rsid w:val="00B601B6"/>
    <w:rsid w:val="00B625A9"/>
    <w:rsid w:val="00B6433F"/>
    <w:rsid w:val="00B64CF5"/>
    <w:rsid w:val="00B76C9B"/>
    <w:rsid w:val="00B823A1"/>
    <w:rsid w:val="00B8428B"/>
    <w:rsid w:val="00BA41F5"/>
    <w:rsid w:val="00BB3C9C"/>
    <w:rsid w:val="00BD4DF7"/>
    <w:rsid w:val="00BF4822"/>
    <w:rsid w:val="00C01D22"/>
    <w:rsid w:val="00C07C4C"/>
    <w:rsid w:val="00C104B6"/>
    <w:rsid w:val="00C10F02"/>
    <w:rsid w:val="00C114F4"/>
    <w:rsid w:val="00C11D03"/>
    <w:rsid w:val="00C31967"/>
    <w:rsid w:val="00C371DE"/>
    <w:rsid w:val="00C409AE"/>
    <w:rsid w:val="00C42D50"/>
    <w:rsid w:val="00C54DF8"/>
    <w:rsid w:val="00C57C0B"/>
    <w:rsid w:val="00C60B49"/>
    <w:rsid w:val="00C721AF"/>
    <w:rsid w:val="00C7440A"/>
    <w:rsid w:val="00C865ED"/>
    <w:rsid w:val="00C8775A"/>
    <w:rsid w:val="00CA0877"/>
    <w:rsid w:val="00CA3EBB"/>
    <w:rsid w:val="00CA6B59"/>
    <w:rsid w:val="00CB3B6C"/>
    <w:rsid w:val="00CB3C2C"/>
    <w:rsid w:val="00CB7B8B"/>
    <w:rsid w:val="00CC1833"/>
    <w:rsid w:val="00CC189F"/>
    <w:rsid w:val="00CC3368"/>
    <w:rsid w:val="00CC3B9E"/>
    <w:rsid w:val="00CE5A48"/>
    <w:rsid w:val="00CE7236"/>
    <w:rsid w:val="00CF19C4"/>
    <w:rsid w:val="00D13C04"/>
    <w:rsid w:val="00D20A78"/>
    <w:rsid w:val="00D278BA"/>
    <w:rsid w:val="00D40454"/>
    <w:rsid w:val="00D4059C"/>
    <w:rsid w:val="00D53D8F"/>
    <w:rsid w:val="00D61C76"/>
    <w:rsid w:val="00D71847"/>
    <w:rsid w:val="00D77015"/>
    <w:rsid w:val="00D85930"/>
    <w:rsid w:val="00D92B48"/>
    <w:rsid w:val="00DB1693"/>
    <w:rsid w:val="00DC11A4"/>
    <w:rsid w:val="00DD20E5"/>
    <w:rsid w:val="00DD5B07"/>
    <w:rsid w:val="00DE6821"/>
    <w:rsid w:val="00DE7BDE"/>
    <w:rsid w:val="00DF2022"/>
    <w:rsid w:val="00DF34BE"/>
    <w:rsid w:val="00DF5D59"/>
    <w:rsid w:val="00E04B3F"/>
    <w:rsid w:val="00E239E4"/>
    <w:rsid w:val="00E3297B"/>
    <w:rsid w:val="00E36A38"/>
    <w:rsid w:val="00E37449"/>
    <w:rsid w:val="00E413E6"/>
    <w:rsid w:val="00E42030"/>
    <w:rsid w:val="00E53399"/>
    <w:rsid w:val="00E734EC"/>
    <w:rsid w:val="00E77995"/>
    <w:rsid w:val="00E87099"/>
    <w:rsid w:val="00EA28E6"/>
    <w:rsid w:val="00EC6DF1"/>
    <w:rsid w:val="00ED0E0D"/>
    <w:rsid w:val="00EF78C4"/>
    <w:rsid w:val="00F04CD7"/>
    <w:rsid w:val="00F14F87"/>
    <w:rsid w:val="00F23E15"/>
    <w:rsid w:val="00F244A2"/>
    <w:rsid w:val="00F2621F"/>
    <w:rsid w:val="00F34A94"/>
    <w:rsid w:val="00F35064"/>
    <w:rsid w:val="00F374D8"/>
    <w:rsid w:val="00F50DA6"/>
    <w:rsid w:val="00F5684D"/>
    <w:rsid w:val="00F57AB6"/>
    <w:rsid w:val="00F6480F"/>
    <w:rsid w:val="00F72F75"/>
    <w:rsid w:val="00F86713"/>
    <w:rsid w:val="00F932E0"/>
    <w:rsid w:val="00F96203"/>
    <w:rsid w:val="00FB32EC"/>
    <w:rsid w:val="00FB7701"/>
    <w:rsid w:val="00FC40F0"/>
    <w:rsid w:val="00FC6D3B"/>
    <w:rsid w:val="00FD0129"/>
    <w:rsid w:val="00FD7147"/>
    <w:rsid w:val="00FD789E"/>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5BE"/>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5E403B"/>
    <w:rPr>
      <w:color w:val="800080" w:themeColor="followedHyperlink"/>
      <w:u w:val="single"/>
    </w:rPr>
  </w:style>
  <w:style w:type="paragraph" w:styleId="Revision">
    <w:name w:val="Revision"/>
    <w:hidden/>
    <w:uiPriority w:val="99"/>
    <w:semiHidden/>
    <w:rsid w:val="002207CE"/>
    <w:rPr>
      <w:sz w:val="24"/>
    </w:rPr>
  </w:style>
  <w:style w:type="character" w:customStyle="1" w:styleId="Heading2Char">
    <w:name w:val="Heading 2 Char"/>
    <w:basedOn w:val="DefaultParagraphFont"/>
    <w:link w:val="Heading2"/>
    <w:rsid w:val="00244D17"/>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5BE"/>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5E403B"/>
    <w:rPr>
      <w:color w:val="800080" w:themeColor="followedHyperlink"/>
      <w:u w:val="single"/>
    </w:rPr>
  </w:style>
  <w:style w:type="paragraph" w:styleId="Revision">
    <w:name w:val="Revision"/>
    <w:hidden/>
    <w:uiPriority w:val="99"/>
    <w:semiHidden/>
    <w:rsid w:val="002207CE"/>
    <w:rPr>
      <w:sz w:val="24"/>
    </w:rPr>
  </w:style>
  <w:style w:type="character" w:customStyle="1" w:styleId="Heading2Char">
    <w:name w:val="Heading 2 Char"/>
    <w:basedOn w:val="DefaultParagraphFont"/>
    <w:link w:val="Heading2"/>
    <w:rsid w:val="00244D1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60058">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757087888">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atolaw/160504174500/ViewFrame.htm?LocID=%22PAC%2F19990055%2F195-1netamount%22&amp;PiT=99991231235958" TargetMode="External"/><Relationship Id="rId2" Type="http://schemas.openxmlformats.org/officeDocument/2006/relationships/customXml" Target="../customXml/item2.xml"/><Relationship Id="rId16" Type="http://schemas.openxmlformats.org/officeDocument/2006/relationships/hyperlink" Target="http://atolaw/160504174500/ViewFrame.htm?LocID=%22PAC%2F19990055%2F195-1assessment%22&amp;PiT=9999123123595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atolaw/160504174500/ViewFrame.htm?LocID=%22PAC%2F19990055%2F195-1periodofreview%22&amp;PiT=99991231235958"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8B28-DE47-49D5-A4AD-DA3E3183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4.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7.xml><?xml version="1.0" encoding="utf-8"?>
<ds:datastoreItem xmlns:ds="http://schemas.openxmlformats.org/officeDocument/2006/customXml" ds:itemID="{412AB7B8-1482-4C51-8E69-37C3E64D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7888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3</cp:revision>
  <cp:lastPrinted>2016-11-09T22:09:00Z</cp:lastPrinted>
  <dcterms:created xsi:type="dcterms:W3CDTF">2017-02-17T01:02:00Z</dcterms:created>
  <dcterms:modified xsi:type="dcterms:W3CDTF">2017-02-17T02:56:00Z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