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3000E" w14:textId="77777777" w:rsidR="00414BC3" w:rsidRPr="001B1D7C" w:rsidRDefault="00414BC3" w:rsidP="00A94F2A">
      <w:pPr>
        <w:pStyle w:val="CoverTitle"/>
        <w:spacing w:after="600"/>
        <w:jc w:val="center"/>
      </w:pPr>
      <w:r w:rsidRPr="001B1D7C">
        <w:t>Explanatory Statement</w:t>
      </w:r>
    </w:p>
    <w:p w14:paraId="27A5FBC5" w14:textId="77777777" w:rsidR="001D3B0B" w:rsidRDefault="00396BCD" w:rsidP="006B1B4A">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C61FC9" w:rsidRPr="001B1D7C">
        <w:rPr>
          <w:sz w:val="36"/>
          <w:szCs w:val="36"/>
        </w:rPr>
        <w:t>201</w:t>
      </w:r>
      <w:r w:rsidR="001D3B0B">
        <w:rPr>
          <w:sz w:val="36"/>
          <w:szCs w:val="36"/>
        </w:rPr>
        <w:t>7</w:t>
      </w:r>
      <w:r w:rsidR="00C61FC9" w:rsidRPr="00314DC3">
        <w:rPr>
          <w:sz w:val="36"/>
          <w:szCs w:val="36"/>
        </w:rPr>
        <w:t>-</w:t>
      </w:r>
      <w:r w:rsidR="001D3B0B">
        <w:rPr>
          <w:sz w:val="36"/>
          <w:szCs w:val="36"/>
        </w:rPr>
        <w:t>1</w:t>
      </w:r>
      <w:r w:rsidR="00347521" w:rsidRPr="00314DC3">
        <w:rPr>
          <w:sz w:val="36"/>
          <w:szCs w:val="36"/>
        </w:rPr>
        <w:br/>
      </w:r>
      <w:r w:rsidR="00C61FC9" w:rsidRPr="00314DC3">
        <w:rPr>
          <w:i/>
          <w:sz w:val="36"/>
          <w:szCs w:val="36"/>
        </w:rPr>
        <w:t xml:space="preserve">Amendments to Australian Accounting Standards </w:t>
      </w:r>
      <w:r w:rsidR="00A94F2A" w:rsidRPr="001B1D7C">
        <w:rPr>
          <w:i/>
          <w:sz w:val="36"/>
          <w:szCs w:val="36"/>
        </w:rPr>
        <w:t>–</w:t>
      </w:r>
      <w:r w:rsidR="001D3B0B">
        <w:rPr>
          <w:i/>
          <w:sz w:val="36"/>
          <w:szCs w:val="36"/>
        </w:rPr>
        <w:t xml:space="preserve"> Transfers of Investment Property, Annual Improvements 2014</w:t>
      </w:r>
      <w:r w:rsidR="001D3B0B" w:rsidRPr="001B1D7C">
        <w:rPr>
          <w:i/>
          <w:sz w:val="36"/>
          <w:szCs w:val="36"/>
        </w:rPr>
        <w:t>–</w:t>
      </w:r>
      <w:r w:rsidR="0067004E">
        <w:rPr>
          <w:i/>
          <w:sz w:val="36"/>
          <w:szCs w:val="36"/>
        </w:rPr>
        <w:t>2016</w:t>
      </w:r>
      <w:r w:rsidR="001D3B0B">
        <w:rPr>
          <w:i/>
          <w:sz w:val="36"/>
          <w:szCs w:val="36"/>
        </w:rPr>
        <w:t xml:space="preserve"> Cycle and Other Amendments </w:t>
      </w:r>
    </w:p>
    <w:p w14:paraId="25B87083" w14:textId="77777777" w:rsidR="001D3B0B" w:rsidRDefault="001D3B0B" w:rsidP="006B1B4A">
      <w:pPr>
        <w:pStyle w:val="CoverTitle"/>
        <w:spacing w:after="120"/>
        <w:jc w:val="center"/>
        <w:rPr>
          <w:i/>
          <w:sz w:val="36"/>
          <w:szCs w:val="36"/>
        </w:rPr>
      </w:pPr>
    </w:p>
    <w:p w14:paraId="2FC1110E" w14:textId="77777777" w:rsidR="00414BC3" w:rsidRPr="001D3B0B" w:rsidRDefault="001D3B0B" w:rsidP="001D3B0B">
      <w:pPr>
        <w:pStyle w:val="CoverTitle"/>
        <w:spacing w:after="120"/>
        <w:jc w:val="center"/>
        <w:rPr>
          <w:sz w:val="36"/>
          <w:szCs w:val="36"/>
        </w:rPr>
      </w:pPr>
      <w:r w:rsidRPr="001B1D7C">
        <w:rPr>
          <w:sz w:val="36"/>
          <w:szCs w:val="36"/>
        </w:rPr>
        <w:t>Accounting Standard AASB</w:t>
      </w:r>
      <w:r>
        <w:rPr>
          <w:sz w:val="36"/>
          <w:szCs w:val="36"/>
        </w:rPr>
        <w:t> </w:t>
      </w:r>
      <w:r w:rsidRPr="001B1D7C">
        <w:rPr>
          <w:sz w:val="36"/>
          <w:szCs w:val="36"/>
        </w:rPr>
        <w:t>201</w:t>
      </w:r>
      <w:r>
        <w:rPr>
          <w:sz w:val="36"/>
          <w:szCs w:val="36"/>
        </w:rPr>
        <w:t>7</w:t>
      </w:r>
      <w:r w:rsidRPr="00314DC3">
        <w:rPr>
          <w:sz w:val="36"/>
          <w:szCs w:val="36"/>
        </w:rPr>
        <w:t>-</w:t>
      </w:r>
      <w:r>
        <w:rPr>
          <w:sz w:val="36"/>
          <w:szCs w:val="36"/>
        </w:rPr>
        <w:t>2</w:t>
      </w:r>
      <w:r w:rsidRPr="00314DC3">
        <w:rPr>
          <w:sz w:val="36"/>
          <w:szCs w:val="36"/>
        </w:rPr>
        <w:br/>
      </w:r>
      <w:r w:rsidRPr="00314DC3">
        <w:rPr>
          <w:i/>
          <w:sz w:val="36"/>
          <w:szCs w:val="36"/>
        </w:rPr>
        <w:t>Amendments to Australian</w:t>
      </w:r>
      <w:r>
        <w:rPr>
          <w:sz w:val="36"/>
          <w:szCs w:val="36"/>
        </w:rPr>
        <w:t xml:space="preserve"> </w:t>
      </w:r>
      <w:r w:rsidRPr="00314DC3">
        <w:rPr>
          <w:i/>
          <w:sz w:val="36"/>
          <w:szCs w:val="36"/>
        </w:rPr>
        <w:t xml:space="preserve">Accounting Standards </w:t>
      </w:r>
      <w:r w:rsidRPr="001B1D7C">
        <w:rPr>
          <w:i/>
          <w:sz w:val="36"/>
          <w:szCs w:val="36"/>
        </w:rPr>
        <w:t>–</w:t>
      </w:r>
      <w:r>
        <w:rPr>
          <w:i/>
          <w:sz w:val="36"/>
          <w:szCs w:val="36"/>
        </w:rPr>
        <w:t xml:space="preserve"> Further Annual Improvements 2014</w:t>
      </w:r>
      <w:r w:rsidRPr="001B1D7C">
        <w:rPr>
          <w:i/>
          <w:sz w:val="36"/>
          <w:szCs w:val="36"/>
        </w:rPr>
        <w:t>–</w:t>
      </w:r>
      <w:r>
        <w:rPr>
          <w:i/>
          <w:sz w:val="36"/>
          <w:szCs w:val="36"/>
        </w:rPr>
        <w:t>2016 Cycle</w:t>
      </w:r>
      <w:r w:rsidR="00A94F2A" w:rsidRPr="001B1D7C">
        <w:rPr>
          <w:i/>
          <w:sz w:val="36"/>
          <w:szCs w:val="36"/>
        </w:rPr>
        <w:br/>
      </w:r>
    </w:p>
    <w:p w14:paraId="1CB81A28" w14:textId="77777777" w:rsidR="006776BD" w:rsidRPr="001B1D7C" w:rsidRDefault="006776BD" w:rsidP="006776BD">
      <w:pPr>
        <w:pStyle w:val="CoverSubtitle"/>
        <w:spacing w:after="3120"/>
        <w:rPr>
          <w:sz w:val="32"/>
          <w:szCs w:val="32"/>
        </w:rPr>
      </w:pPr>
    </w:p>
    <w:p w14:paraId="5DD042BA" w14:textId="77777777" w:rsidR="00414BC3" w:rsidRPr="001B1D7C" w:rsidRDefault="001D3B0B" w:rsidP="00F62F5C">
      <w:pPr>
        <w:pStyle w:val="CoverDate"/>
        <w:tabs>
          <w:tab w:val="left" w:pos="3794"/>
          <w:tab w:val="left" w:pos="6232"/>
        </w:tabs>
        <w:spacing w:before="840"/>
        <w:rPr>
          <w:b/>
          <w:sz w:val="28"/>
          <w:szCs w:val="28"/>
        </w:rPr>
      </w:pPr>
      <w:r>
        <w:rPr>
          <w:b/>
          <w:sz w:val="28"/>
          <w:szCs w:val="28"/>
        </w:rPr>
        <w:t>February</w:t>
      </w:r>
      <w:r w:rsidR="00F038FC" w:rsidRPr="001B1D7C">
        <w:rPr>
          <w:b/>
          <w:sz w:val="28"/>
          <w:szCs w:val="28"/>
        </w:rPr>
        <w:t xml:space="preserve"> </w:t>
      </w:r>
      <w:r w:rsidR="00225101" w:rsidRPr="001B1D7C">
        <w:rPr>
          <w:b/>
          <w:sz w:val="28"/>
          <w:szCs w:val="28"/>
        </w:rPr>
        <w:t>20</w:t>
      </w:r>
      <w:r w:rsidR="00391DC5" w:rsidRPr="001B1D7C">
        <w:rPr>
          <w:b/>
          <w:sz w:val="28"/>
          <w:szCs w:val="28"/>
        </w:rPr>
        <w:t>1</w:t>
      </w:r>
      <w:r>
        <w:rPr>
          <w:b/>
          <w:sz w:val="28"/>
          <w:szCs w:val="28"/>
        </w:rPr>
        <w:t>7</w:t>
      </w:r>
    </w:p>
    <w:p w14:paraId="199CBD61" w14:textId="77777777" w:rsidR="00414BC3" w:rsidRPr="00314DC3" w:rsidRDefault="005A2707">
      <w:pPr>
        <w:sectPr w:rsidR="00414BC3" w:rsidRPr="00314DC3" w:rsidSect="00B93CE4">
          <w:headerReference w:type="default" r:id="rId9"/>
          <w:footerReference w:type="default" r:id="rId10"/>
          <w:pgSz w:w="11907" w:h="16840"/>
          <w:pgMar w:top="1134" w:right="1134" w:bottom="1134" w:left="1134" w:header="720" w:footer="720" w:gutter="0"/>
          <w:cols w:space="720"/>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11" o:title=""/>
            <w10:wrap anchorx="margin" anchory="margin"/>
            <w10:anchorlock/>
          </v:shape>
          <o:OLEObject Type="Embed" ProgID="Word.Picture.8" ShapeID="_x0000_s1026" DrawAspect="Content" ObjectID="_1548594716" r:id="rId12"/>
        </w:pict>
      </w:r>
    </w:p>
    <w:p w14:paraId="2D19E39E" w14:textId="77777777" w:rsidR="00414BC3" w:rsidRPr="00314DC3" w:rsidRDefault="00414BC3">
      <w:pPr>
        <w:pStyle w:val="Heading1"/>
      </w:pPr>
      <w:r w:rsidRPr="00314DC3">
        <w:lastRenderedPageBreak/>
        <w:t>EXPLANATORY STATEMENT</w:t>
      </w:r>
    </w:p>
    <w:p w14:paraId="553DF2C6" w14:textId="2461BD3F" w:rsidR="00FD4C0C" w:rsidRPr="001B1D7C" w:rsidRDefault="006B1B4A" w:rsidP="00FD4C0C">
      <w:pPr>
        <w:pStyle w:val="Heading2"/>
      </w:pPr>
      <w:r w:rsidRPr="00314DC3">
        <w:t>Standard</w:t>
      </w:r>
      <w:r w:rsidR="00465EBE">
        <w:t>s</w:t>
      </w:r>
      <w:r w:rsidRPr="00314DC3">
        <w:t xml:space="preserve"> Amended by</w:t>
      </w:r>
      <w:r w:rsidR="00FD4C0C" w:rsidRPr="001B1D7C">
        <w:t xml:space="preserve"> AASB</w:t>
      </w:r>
      <w:r w:rsidR="00F913AF">
        <w:t> </w:t>
      </w:r>
      <w:r w:rsidR="00C068D8" w:rsidRPr="001B1D7C">
        <w:t>201</w:t>
      </w:r>
      <w:r w:rsidR="001D3B0B">
        <w:t>7</w:t>
      </w:r>
      <w:r w:rsidR="00C068D8" w:rsidRPr="001B1D7C">
        <w:t>-</w:t>
      </w:r>
      <w:r w:rsidR="001D3B0B">
        <w:t>1 &amp; AASB 2017-2</w:t>
      </w:r>
    </w:p>
    <w:p w14:paraId="44976F9E" w14:textId="77777777" w:rsidR="001D3B0B" w:rsidRDefault="001D3B0B" w:rsidP="00465EBE">
      <w:pPr>
        <w:pStyle w:val="NoNumPlain1"/>
      </w:pPr>
      <w:r w:rsidRPr="001B1D7C">
        <w:t>AASB</w:t>
      </w:r>
      <w:r>
        <w:t> </w:t>
      </w:r>
      <w:r w:rsidRPr="001B1D7C">
        <w:t>201</w:t>
      </w:r>
      <w:r>
        <w:t>7</w:t>
      </w:r>
      <w:r w:rsidRPr="001B1D7C">
        <w:t>-</w:t>
      </w:r>
      <w:r>
        <w:t xml:space="preserve">1 </w:t>
      </w:r>
      <w:r w:rsidR="006B1B4A" w:rsidRPr="001B1D7C">
        <w:t>make</w:t>
      </w:r>
      <w:r w:rsidR="005E1723">
        <w:t>s</w:t>
      </w:r>
      <w:r>
        <w:t xml:space="preserve"> </w:t>
      </w:r>
      <w:r w:rsidR="006B1B4A" w:rsidRPr="001B1D7C">
        <w:t>amendments to</w:t>
      </w:r>
      <w:r w:rsidR="00A33757" w:rsidRPr="001B1D7C">
        <w:t xml:space="preserve"> </w:t>
      </w:r>
      <w:r>
        <w:t>the following</w:t>
      </w:r>
      <w:r>
        <w:t xml:space="preserve"> </w:t>
      </w:r>
      <w:r w:rsidR="00465EBE">
        <w:t>Australian</w:t>
      </w:r>
      <w:r w:rsidR="00465EBE">
        <w:t xml:space="preserve"> </w:t>
      </w:r>
      <w:r w:rsidR="006B1B4A" w:rsidRPr="001B1D7C">
        <w:t>Accounting Standard</w:t>
      </w:r>
      <w:r>
        <w:t>s:</w:t>
      </w:r>
    </w:p>
    <w:p w14:paraId="00A1EA80" w14:textId="77777777" w:rsidR="009F7F59" w:rsidRPr="000F1CD0" w:rsidRDefault="009F7F59" w:rsidP="005A2707">
      <w:pPr>
        <w:pStyle w:val="NumPlainA"/>
        <w:numPr>
          <w:ilvl w:val="0"/>
          <w:numId w:val="9"/>
        </w:numPr>
        <w:tabs>
          <w:tab w:val="clear" w:pos="652"/>
          <w:tab w:val="num" w:pos="510"/>
        </w:tabs>
        <w:spacing w:before="100"/>
        <w:ind w:left="510"/>
        <w:jc w:val="both"/>
        <w:outlineLvl w:val="9"/>
      </w:pPr>
      <w:r w:rsidRPr="000F1CD0">
        <w:t xml:space="preserve">AASB 1 </w:t>
      </w:r>
      <w:r w:rsidRPr="000F1CD0">
        <w:rPr>
          <w:i/>
        </w:rPr>
        <w:t xml:space="preserve">First-time Adoption of Australian Accounting Standards </w:t>
      </w:r>
      <w:r w:rsidRPr="000F1CD0">
        <w:t>(July 2015);</w:t>
      </w:r>
    </w:p>
    <w:p w14:paraId="5EADEBC4" w14:textId="77777777" w:rsidR="009F7F59" w:rsidRPr="000F1CD0" w:rsidRDefault="009F7F59" w:rsidP="005A2707">
      <w:pPr>
        <w:pStyle w:val="NumPlainA"/>
        <w:tabs>
          <w:tab w:val="clear" w:pos="652"/>
          <w:tab w:val="num" w:pos="510"/>
        </w:tabs>
        <w:spacing w:before="100"/>
        <w:ind w:left="510"/>
        <w:jc w:val="both"/>
        <w:outlineLvl w:val="9"/>
      </w:pPr>
      <w:r w:rsidRPr="000F1CD0">
        <w:t xml:space="preserve">AASB 128 </w:t>
      </w:r>
      <w:r w:rsidRPr="000F1CD0">
        <w:rPr>
          <w:i/>
        </w:rPr>
        <w:t xml:space="preserve">Investments in Associates and Joint Ventures </w:t>
      </w:r>
      <w:r w:rsidRPr="000F1CD0">
        <w:t>(August 2015); and</w:t>
      </w:r>
    </w:p>
    <w:p w14:paraId="513AB20B" w14:textId="77777777" w:rsidR="009F7F59" w:rsidRPr="000F1CD0" w:rsidRDefault="009F7F59" w:rsidP="005A2707">
      <w:pPr>
        <w:pStyle w:val="NumPlainA"/>
        <w:tabs>
          <w:tab w:val="clear" w:pos="652"/>
          <w:tab w:val="num" w:pos="510"/>
        </w:tabs>
        <w:spacing w:before="100"/>
        <w:ind w:left="510"/>
        <w:jc w:val="both"/>
        <w:outlineLvl w:val="9"/>
      </w:pPr>
      <w:r w:rsidRPr="000F1CD0">
        <w:t xml:space="preserve">AASB 140 </w:t>
      </w:r>
      <w:r w:rsidRPr="000F1CD0">
        <w:rPr>
          <w:i/>
        </w:rPr>
        <w:t xml:space="preserve">Investment Property </w:t>
      </w:r>
      <w:r w:rsidRPr="000F1CD0">
        <w:t>(August 2015)</w:t>
      </w:r>
      <w:r w:rsidR="00770387">
        <w:t>.</w:t>
      </w:r>
    </w:p>
    <w:p w14:paraId="53CD2E41" w14:textId="77777777" w:rsidR="005E1723" w:rsidRPr="001D3B0B" w:rsidRDefault="005E1723" w:rsidP="005A2707">
      <w:pPr>
        <w:pStyle w:val="NoNumPlain1"/>
        <w:rPr>
          <w:i/>
        </w:rPr>
      </w:pPr>
      <w:r>
        <w:t xml:space="preserve">AASB 2017-2 makes amendments to AASB 12 </w:t>
      </w:r>
      <w:r w:rsidRPr="005E1723">
        <w:rPr>
          <w:i/>
        </w:rPr>
        <w:t>Disclosure of Interests in Other Entities</w:t>
      </w:r>
      <w:r>
        <w:t>.</w:t>
      </w:r>
    </w:p>
    <w:p w14:paraId="017460CA" w14:textId="77777777" w:rsidR="006B1B4A" w:rsidRPr="001B1D7C" w:rsidRDefault="00262EDC" w:rsidP="00465EBE">
      <w:pPr>
        <w:pStyle w:val="NoNumPlain1"/>
      </w:pPr>
      <w:r w:rsidRPr="00314DC3">
        <w:t>These amendments arise from the issuance of International F</w:t>
      </w:r>
      <w:r w:rsidR="00ED4F33" w:rsidRPr="001B1D7C">
        <w:t>inancial Reporting Standard</w:t>
      </w:r>
      <w:r w:rsidR="009F7F59">
        <w:t>s</w:t>
      </w:r>
      <w:r w:rsidR="00ED4F33" w:rsidRPr="001B1D7C">
        <w:t xml:space="preserve"> </w:t>
      </w:r>
      <w:r w:rsidR="001D3B0B">
        <w:rPr>
          <w:i/>
        </w:rPr>
        <w:t>Transfers of Investment Property</w:t>
      </w:r>
      <w:r w:rsidR="00627C8F">
        <w:rPr>
          <w:i/>
        </w:rPr>
        <w:t xml:space="preserve"> </w:t>
      </w:r>
      <w:r w:rsidR="001D3B0B">
        <w:t>(Amendments to IAS</w:t>
      </w:r>
      <w:r w:rsidR="00627C8F" w:rsidRPr="00397B88">
        <w:t> </w:t>
      </w:r>
      <w:r w:rsidR="001D3B0B">
        <w:t>40</w:t>
      </w:r>
      <w:r w:rsidR="00627C8F" w:rsidRPr="00397B88">
        <w:t>)</w:t>
      </w:r>
      <w:r w:rsidR="001D3B0B">
        <w:t xml:space="preserve"> and </w:t>
      </w:r>
      <w:r w:rsidR="001D3B0B" w:rsidRPr="001D3B0B">
        <w:rPr>
          <w:i/>
        </w:rPr>
        <w:t>Annual Impr</w:t>
      </w:r>
      <w:r w:rsidR="007C5F2A">
        <w:rPr>
          <w:i/>
        </w:rPr>
        <w:t>ovements to IFRS Standards 2014</w:t>
      </w:r>
      <w:r w:rsidR="007C5F2A" w:rsidRPr="000F1CD0">
        <w:rPr>
          <w:i/>
        </w:rPr>
        <w:t>–</w:t>
      </w:r>
      <w:r w:rsidR="001D3B0B" w:rsidRPr="001D3B0B">
        <w:rPr>
          <w:i/>
        </w:rPr>
        <w:t>2016 Cycle</w:t>
      </w:r>
      <w:r w:rsidR="001D3B0B">
        <w:t xml:space="preserve"> and IFRIC Interpretation 22 </w:t>
      </w:r>
      <w:r w:rsidR="001D3B0B" w:rsidRPr="001D3B0B">
        <w:rPr>
          <w:i/>
        </w:rPr>
        <w:t xml:space="preserve">Foreign </w:t>
      </w:r>
      <w:r w:rsidR="001D3B0B" w:rsidRPr="00B71C28">
        <w:rPr>
          <w:i/>
        </w:rPr>
        <w:t>Currency</w:t>
      </w:r>
      <w:r w:rsidR="001D3B0B" w:rsidRPr="001D3B0B">
        <w:rPr>
          <w:i/>
        </w:rPr>
        <w:t xml:space="preserve"> Transactions and Advance Consideration</w:t>
      </w:r>
      <w:r w:rsidR="00ED4F33" w:rsidRPr="001B1D7C">
        <w:rPr>
          <w:i/>
        </w:rPr>
        <w:t xml:space="preserve"> </w:t>
      </w:r>
      <w:r w:rsidR="00ED4F33" w:rsidRPr="001B1D7C">
        <w:t>by the International Accounting S</w:t>
      </w:r>
      <w:r w:rsidR="00596ADD">
        <w:t xml:space="preserve">tandards Board (IASB) in </w:t>
      </w:r>
      <w:r w:rsidR="001D3B0B">
        <w:t>December</w:t>
      </w:r>
      <w:r w:rsidR="00375119">
        <w:t xml:space="preserve"> </w:t>
      </w:r>
      <w:r w:rsidR="00ED4F33" w:rsidRPr="001B1D7C">
        <w:t>2016.</w:t>
      </w:r>
    </w:p>
    <w:p w14:paraId="68B1CB72" w14:textId="77777777" w:rsidR="00ED4F33" w:rsidRPr="001B1D7C" w:rsidRDefault="00A94F2A" w:rsidP="00A94F2A">
      <w:pPr>
        <w:pStyle w:val="Heading3"/>
      </w:pPr>
      <w:r w:rsidRPr="001B1D7C">
        <w:t>Power to Make Amendments</w:t>
      </w:r>
      <w:r w:rsidR="007676C0" w:rsidRPr="001B1D7C">
        <w:t xml:space="preserve"> </w:t>
      </w:r>
    </w:p>
    <w:p w14:paraId="07D6B8BF" w14:textId="77777777"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00ED4F33" w:rsidRPr="001B1D7C">
        <w:rPr>
          <w:i/>
        </w:rPr>
        <w:t>Corporations Act 2001</w:t>
      </w:r>
      <w:r w:rsidR="00ED4F33" w:rsidRPr="001B1D7C">
        <w:t>.</w:t>
      </w:r>
    </w:p>
    <w:p w14:paraId="537A3EA5" w14:textId="77777777" w:rsidR="00FD4C0C" w:rsidRPr="00127350" w:rsidRDefault="00FD4C0C" w:rsidP="00F73663">
      <w:pPr>
        <w:pStyle w:val="Heading2"/>
      </w:pPr>
      <w:r w:rsidRPr="00127350">
        <w:t>Main Features of AASB</w:t>
      </w:r>
      <w:r w:rsidR="00375119">
        <w:t> </w:t>
      </w:r>
      <w:r w:rsidR="00C068D8" w:rsidRPr="00127350">
        <w:t>201</w:t>
      </w:r>
      <w:r w:rsidR="001D3B0B">
        <w:t>7</w:t>
      </w:r>
      <w:r w:rsidR="00C068D8" w:rsidRPr="00127350">
        <w:t>-</w:t>
      </w:r>
      <w:r w:rsidR="001D3B0B">
        <w:t>1 &amp; AASB 2017-2</w:t>
      </w:r>
    </w:p>
    <w:p w14:paraId="13C20FD1" w14:textId="77777777" w:rsidR="00ED4F33" w:rsidRPr="001B1D7C" w:rsidRDefault="00ED4F33" w:rsidP="00ED4F33">
      <w:pPr>
        <w:pStyle w:val="Heading3"/>
      </w:pPr>
      <w:r w:rsidRPr="001B1D7C">
        <w:t>Main Requirements</w:t>
      </w:r>
    </w:p>
    <w:p w14:paraId="16E59088" w14:textId="1E9E606A" w:rsidR="001D3B0B" w:rsidRPr="000F1CD0" w:rsidRDefault="001D3B0B" w:rsidP="005A2707">
      <w:pPr>
        <w:pStyle w:val="NoNumPlain1"/>
      </w:pPr>
      <w:r>
        <w:t>AASB 2017-1 amends</w:t>
      </w:r>
      <w:r w:rsidR="00BE1E1C">
        <w:t>:</w:t>
      </w:r>
    </w:p>
    <w:p w14:paraId="7FE66F71" w14:textId="77777777" w:rsidR="001D3B0B" w:rsidRPr="000F1CD0" w:rsidRDefault="001D3B0B" w:rsidP="005A2707">
      <w:pPr>
        <w:pStyle w:val="NumPlainA"/>
        <w:numPr>
          <w:ilvl w:val="0"/>
          <w:numId w:val="13"/>
        </w:numPr>
        <w:tabs>
          <w:tab w:val="clear" w:pos="652"/>
          <w:tab w:val="num" w:pos="510"/>
        </w:tabs>
        <w:spacing w:before="100"/>
        <w:ind w:left="510"/>
        <w:outlineLvl w:val="9"/>
      </w:pPr>
      <w:r w:rsidRPr="000F1CD0">
        <w:t xml:space="preserve">AASB 1 to delete some short-term exemptions for first-time adopters that were available only for reporting periods that have passed and to add exemptions arising from AASB Interpretation 22 </w:t>
      </w:r>
      <w:r w:rsidRPr="009F7F59">
        <w:rPr>
          <w:i/>
        </w:rPr>
        <w:t>Foreign Currency Transactions and Advance Consideration</w:t>
      </w:r>
      <w:r w:rsidRPr="000F1CD0">
        <w:t>;</w:t>
      </w:r>
    </w:p>
    <w:p w14:paraId="464E518A" w14:textId="77777777" w:rsidR="001D3B0B" w:rsidRPr="000F1CD0" w:rsidRDefault="001D3B0B" w:rsidP="005A2707">
      <w:pPr>
        <w:pStyle w:val="NumPlainA"/>
        <w:tabs>
          <w:tab w:val="clear" w:pos="652"/>
          <w:tab w:val="num" w:pos="510"/>
        </w:tabs>
        <w:spacing w:before="100"/>
        <w:ind w:left="510"/>
        <w:outlineLvl w:val="9"/>
      </w:pPr>
      <w:r w:rsidRPr="000F1CD0">
        <w:t>AASB 128 to clarify that:</w:t>
      </w:r>
    </w:p>
    <w:p w14:paraId="459AEEFA" w14:textId="77777777" w:rsidR="001D3B0B" w:rsidRPr="000F1CD0" w:rsidRDefault="001D3B0B" w:rsidP="005A2707">
      <w:pPr>
        <w:pStyle w:val="NumPlainA2"/>
        <w:tabs>
          <w:tab w:val="clear" w:pos="1163"/>
          <w:tab w:val="num" w:pos="1021"/>
        </w:tabs>
        <w:spacing w:before="100"/>
        <w:ind w:left="1021"/>
      </w:pPr>
      <w:r w:rsidRPr="000F1CD0">
        <w:t>a venture capital organisation, or a mutual fund, unit trust and similar entities may elect, at initial recognition, to measure investments in an associate or joint venture at fair value through profit or loss separately for each associate or joint venture; and</w:t>
      </w:r>
    </w:p>
    <w:p w14:paraId="63CED079" w14:textId="77777777" w:rsidR="001D3B0B" w:rsidRPr="000F1CD0" w:rsidRDefault="001D3B0B" w:rsidP="005A2707">
      <w:pPr>
        <w:pStyle w:val="NumPlainA2"/>
        <w:tabs>
          <w:tab w:val="clear" w:pos="1163"/>
          <w:tab w:val="num" w:pos="1021"/>
        </w:tabs>
        <w:spacing w:before="100"/>
        <w:ind w:left="1021"/>
      </w:pPr>
      <w:r w:rsidRPr="000F1CD0">
        <w:t>an entity that is not an investment entity may elect to retain the fair value measurement applied by its associates and joint ventures that are investment entities when applying the equity method. This choice is available separately for each investment entity associate or joint venture; and</w:t>
      </w:r>
    </w:p>
    <w:p w14:paraId="1020A221" w14:textId="77777777" w:rsidR="001D3B0B" w:rsidRPr="000F1CD0" w:rsidRDefault="001D3B0B" w:rsidP="005A2707">
      <w:pPr>
        <w:pStyle w:val="NumPlainA"/>
        <w:tabs>
          <w:tab w:val="clear" w:pos="652"/>
          <w:tab w:val="num" w:pos="510"/>
        </w:tabs>
        <w:spacing w:before="100"/>
        <w:ind w:left="510"/>
        <w:outlineLvl w:val="9"/>
      </w:pPr>
      <w:r w:rsidRPr="000F1CD0">
        <w:t>AASB 140 to reflect the principle that an entity transfers a property to, or from, investment property when, and only when, there is a change in use of the property supported by evidence that a change in use has occurred.</w:t>
      </w:r>
    </w:p>
    <w:p w14:paraId="4EF87C3E" w14:textId="77777777" w:rsidR="001D3B0B" w:rsidRPr="006327AE" w:rsidRDefault="001D3B0B" w:rsidP="005A2707">
      <w:pPr>
        <w:pStyle w:val="NoNumPlain1"/>
      </w:pPr>
      <w:r>
        <w:t xml:space="preserve">AASB 2017-2 </w:t>
      </w:r>
      <w:r w:rsidRPr="006327AE">
        <w:t xml:space="preserve">clarifies the scope of AASB 12 by specifying that the disclosure requirements apply to an entity’s interests in other entities that are classified as held for sale, held for distribution to owners in their capacity as owners or discontinued operations in accordance with AASB 5 </w:t>
      </w:r>
      <w:r w:rsidRPr="006327AE">
        <w:rPr>
          <w:i/>
        </w:rPr>
        <w:t>Non-current Assets Held for Sale and Discontinued Operations</w:t>
      </w:r>
      <w:r w:rsidRPr="006327AE">
        <w:t>.</w:t>
      </w:r>
    </w:p>
    <w:p w14:paraId="2DC32F77" w14:textId="77777777" w:rsidR="00FD4C0C" w:rsidRPr="001B1D7C" w:rsidRDefault="00FD4C0C" w:rsidP="006B1B4A">
      <w:pPr>
        <w:pStyle w:val="Heading3"/>
      </w:pPr>
      <w:r w:rsidRPr="001B1D7C">
        <w:t>Application Date</w:t>
      </w:r>
    </w:p>
    <w:p w14:paraId="3400B303" w14:textId="77777777" w:rsidR="00BE66D4" w:rsidRDefault="005F1173" w:rsidP="00A92FFA">
      <w:pPr>
        <w:pStyle w:val="NoNumPlain1"/>
      </w:pPr>
      <w:r w:rsidRPr="00127350">
        <w:t>AASB</w:t>
      </w:r>
      <w:r w:rsidR="00F913AF">
        <w:t> </w:t>
      </w:r>
      <w:r w:rsidR="00C068D8" w:rsidRPr="00127350">
        <w:t>201</w:t>
      </w:r>
      <w:r w:rsidR="001D3B0B">
        <w:t>7</w:t>
      </w:r>
      <w:r w:rsidR="00C068D8" w:rsidRPr="00127350">
        <w:t>-</w:t>
      </w:r>
      <w:r w:rsidR="001D3B0B">
        <w:t>1</w:t>
      </w:r>
      <w:r w:rsidR="006D6B35" w:rsidRPr="00127350">
        <w:t xml:space="preserve"> </w:t>
      </w:r>
      <w:r w:rsidR="001D3B0B" w:rsidRPr="000F1CD0">
        <w:t xml:space="preserve">applies to for-profit entities for annual periods </w:t>
      </w:r>
      <w:bookmarkStart w:id="0" w:name="ApplyText"/>
      <w:r w:rsidR="001D3B0B" w:rsidRPr="000F1CD0">
        <w:t>beginning</w:t>
      </w:r>
      <w:bookmarkEnd w:id="0"/>
      <w:r w:rsidR="001D3B0B" w:rsidRPr="000F1CD0">
        <w:t xml:space="preserve"> on or after </w:t>
      </w:r>
      <w:bookmarkStart w:id="1" w:name="ApplyDate"/>
      <w:r w:rsidR="001D3B0B" w:rsidRPr="000F1CD0">
        <w:t>1 January 2018</w:t>
      </w:r>
      <w:bookmarkEnd w:id="1"/>
      <w:r w:rsidR="001D3B0B" w:rsidRPr="000F1CD0">
        <w:t xml:space="preserve"> and to not-for-profit entities for annual periods beginning on or after 1 January 2019. Earlier application of amendments to individual Standards is permitted where indicated.</w:t>
      </w:r>
    </w:p>
    <w:p w14:paraId="19E03835" w14:textId="77777777" w:rsidR="001D3B0B" w:rsidRPr="006327AE" w:rsidRDefault="001D3B0B" w:rsidP="001D3B0B">
      <w:pPr>
        <w:pStyle w:val="NoNumPlain1"/>
      </w:pPr>
      <w:r w:rsidRPr="00127350">
        <w:t>AASB</w:t>
      </w:r>
      <w:r>
        <w:t> </w:t>
      </w:r>
      <w:r w:rsidRPr="00127350">
        <w:t>201</w:t>
      </w:r>
      <w:r>
        <w:t>7</w:t>
      </w:r>
      <w:r w:rsidRPr="00127350">
        <w:t>-</w:t>
      </w:r>
      <w:r>
        <w:t>2</w:t>
      </w:r>
      <w:r w:rsidRPr="00127350">
        <w:t xml:space="preserve"> </w:t>
      </w:r>
      <w:r w:rsidRPr="006327AE">
        <w:t xml:space="preserve">applies to </w:t>
      </w:r>
      <w:r w:rsidR="00465EBE">
        <w:t xml:space="preserve">for-profit and not-for-profit entities for </w:t>
      </w:r>
      <w:r w:rsidRPr="006327AE">
        <w:t>annual periods beginning on or after 1 January 2017.</w:t>
      </w:r>
    </w:p>
    <w:p w14:paraId="49D912FC" w14:textId="77777777" w:rsidR="00ED4F33" w:rsidRPr="00127350" w:rsidRDefault="007676C0" w:rsidP="007676C0">
      <w:pPr>
        <w:pStyle w:val="Heading3"/>
      </w:pPr>
      <w:r w:rsidRPr="00127350">
        <w:t>References to Other AASB Standards</w:t>
      </w:r>
    </w:p>
    <w:p w14:paraId="27BA1D33" w14:textId="54A5DC33" w:rsidR="00ED4F33" w:rsidRPr="00127350" w:rsidRDefault="004A4B34" w:rsidP="00ED4F33">
      <w:pPr>
        <w:pStyle w:val="NoNumPlain1"/>
      </w:pPr>
      <w:r>
        <w:t xml:space="preserve">References in </w:t>
      </w:r>
      <w:r>
        <w:t>these</w:t>
      </w:r>
      <w:r w:rsidR="00ED4F33" w:rsidRPr="00127350">
        <w:t xml:space="preserve"> Standard</w:t>
      </w:r>
      <w:r>
        <w:t>s</w:t>
      </w:r>
      <w:r w:rsidR="00ED4F33" w:rsidRPr="00127350">
        <w:t xml:space="preserve"> to the titles of other AASB Standards that are legislative instruments are to be construed as </w:t>
      </w:r>
      <w:r w:rsidR="00ED4F33" w:rsidRPr="00314DC3">
        <w:t>references to those other Standards as originally made and as amended from time to time and incorporate provisions of those Standards as in force from time to time.</w:t>
      </w:r>
    </w:p>
    <w:p w14:paraId="29FEE43A" w14:textId="79FD60D9" w:rsidR="00EA0A87" w:rsidRPr="00314DC3" w:rsidRDefault="00EA0A87" w:rsidP="00EA0A87">
      <w:pPr>
        <w:pStyle w:val="Heading2"/>
      </w:pPr>
      <w:r w:rsidRPr="00314DC3">
        <w:lastRenderedPageBreak/>
        <w:t>C</w:t>
      </w:r>
      <w:r w:rsidR="00465EBE">
        <w:t xml:space="preserve">onsultation Prior to Issuing </w:t>
      </w:r>
      <w:r w:rsidR="00465EBE">
        <w:t>these</w:t>
      </w:r>
      <w:r w:rsidRPr="00314DC3">
        <w:t xml:space="preserve"> Standard</w:t>
      </w:r>
      <w:r w:rsidR="00465EBE">
        <w:t>s</w:t>
      </w:r>
    </w:p>
    <w:p w14:paraId="32864F7A" w14:textId="749CA368" w:rsidR="001D3B0B" w:rsidRDefault="001D3B0B" w:rsidP="00E2118D">
      <w:pPr>
        <w:pStyle w:val="NoNumPlain1"/>
      </w:pPr>
      <w:r>
        <w:t>The AASB issued E</w:t>
      </w:r>
      <w:r w:rsidR="00CD0A54" w:rsidRPr="00776E95">
        <w:t>xposure Draft ED</w:t>
      </w:r>
      <w:r w:rsidR="002A0EA5" w:rsidRPr="00776E95">
        <w:t> </w:t>
      </w:r>
      <w:r>
        <w:t>272</w:t>
      </w:r>
      <w:r w:rsidR="001B1D7C" w:rsidRPr="00776E95">
        <w:t xml:space="preserve"> </w:t>
      </w:r>
      <w:r>
        <w:rPr>
          <w:i/>
        </w:rPr>
        <w:t xml:space="preserve">Transfers of Investment Property </w:t>
      </w:r>
      <w:r w:rsidRPr="001D3B0B">
        <w:t>(Proposed amendments to AASB 140)</w:t>
      </w:r>
      <w:r w:rsidR="001B1D7C" w:rsidRPr="00776E95">
        <w:t xml:space="preserve"> in </w:t>
      </w:r>
      <w:r w:rsidR="004A7EC7">
        <w:t>November</w:t>
      </w:r>
      <w:r w:rsidR="00127350" w:rsidRPr="00776E95">
        <w:t> </w:t>
      </w:r>
      <w:r w:rsidR="00F913AF" w:rsidRPr="00776E95">
        <w:t>201</w:t>
      </w:r>
      <w:r>
        <w:t>5</w:t>
      </w:r>
      <w:r w:rsidR="00F913AF" w:rsidRPr="00776E95">
        <w:t xml:space="preserve"> for comment by </w:t>
      </w:r>
      <w:r>
        <w:t>15</w:t>
      </w:r>
      <w:r w:rsidR="00F913AF" w:rsidRPr="00776E95">
        <w:t> </w:t>
      </w:r>
      <w:r w:rsidR="004A7EC7">
        <w:t>February</w:t>
      </w:r>
      <w:r w:rsidR="001B1D7C" w:rsidRPr="00776E95">
        <w:t xml:space="preserve"> 201</w:t>
      </w:r>
      <w:r>
        <w:t xml:space="preserve">6, </w:t>
      </w:r>
      <w:r>
        <w:t>incorporat</w:t>
      </w:r>
      <w:r w:rsidR="00465EBE">
        <w:t>ing</w:t>
      </w:r>
      <w:r>
        <w:t xml:space="preserve"> IASB ED/2015/9 </w:t>
      </w:r>
      <w:r>
        <w:rPr>
          <w:i/>
        </w:rPr>
        <w:t xml:space="preserve">Transfers of Investment Property </w:t>
      </w:r>
      <w:r w:rsidRPr="001D3B0B">
        <w:t>(Proposed amendments to IAS 40)</w:t>
      </w:r>
      <w:r>
        <w:t>. The AASB received five comment letters to ED 272. Comment letters expressed general support for the proposals.</w:t>
      </w:r>
      <w:r w:rsidR="00F4517C">
        <w:t xml:space="preserve"> However, some suggested further clarification </w:t>
      </w:r>
      <w:r w:rsidR="00465EBE">
        <w:t>wa</w:t>
      </w:r>
      <w:r w:rsidR="00F4517C">
        <w:t>s</w:t>
      </w:r>
      <w:r w:rsidR="00F4517C">
        <w:t xml:space="preserve"> needed for the definition of investment property </w:t>
      </w:r>
      <w:r w:rsidR="00A120EC">
        <w:t xml:space="preserve">and the evidence of </w:t>
      </w:r>
      <w:r w:rsidR="00A120EC">
        <w:t>change in use</w:t>
      </w:r>
      <w:r w:rsidR="00F4517C">
        <w:t>.</w:t>
      </w:r>
    </w:p>
    <w:p w14:paraId="65A3BCF5" w14:textId="15A00705" w:rsidR="001D3B0B" w:rsidRDefault="001D3B0B" w:rsidP="001D3B0B">
      <w:pPr>
        <w:pStyle w:val="NoNumPlain1"/>
      </w:pPr>
      <w:r>
        <w:t>The AASB issued E</w:t>
      </w:r>
      <w:r w:rsidRPr="00776E95">
        <w:t>xposure Draft ED </w:t>
      </w:r>
      <w:r>
        <w:t>273</w:t>
      </w:r>
      <w:r w:rsidRPr="00776E95">
        <w:t xml:space="preserve"> </w:t>
      </w:r>
      <w:r>
        <w:rPr>
          <w:i/>
        </w:rPr>
        <w:t>Annual Improvements to IFRSs 2014</w:t>
      </w:r>
      <w:r w:rsidR="00463B8D" w:rsidRPr="000F1CD0">
        <w:rPr>
          <w:i/>
        </w:rPr>
        <w:t>–</w:t>
      </w:r>
      <w:r>
        <w:rPr>
          <w:i/>
        </w:rPr>
        <w:t xml:space="preserve">2016 Cycle </w:t>
      </w:r>
      <w:r w:rsidRPr="00776E95">
        <w:t xml:space="preserve">in </w:t>
      </w:r>
      <w:r>
        <w:t>November</w:t>
      </w:r>
      <w:r w:rsidRPr="00776E95">
        <w:t> 201</w:t>
      </w:r>
      <w:r>
        <w:t>5</w:t>
      </w:r>
      <w:r w:rsidRPr="00776E95">
        <w:t xml:space="preserve"> for comment by </w:t>
      </w:r>
      <w:r>
        <w:t>22</w:t>
      </w:r>
      <w:r w:rsidRPr="00776E95">
        <w:t> </w:t>
      </w:r>
      <w:r>
        <w:t>January</w:t>
      </w:r>
      <w:r w:rsidRPr="00776E95">
        <w:t xml:space="preserve"> 201</w:t>
      </w:r>
      <w:r>
        <w:t xml:space="preserve">6, </w:t>
      </w:r>
      <w:r>
        <w:t>incorporat</w:t>
      </w:r>
      <w:r w:rsidR="00465EBE">
        <w:t>ing</w:t>
      </w:r>
      <w:r>
        <w:t xml:space="preserve"> IASB ED/2015/10 </w:t>
      </w:r>
      <w:r w:rsidRPr="003D4C26">
        <w:rPr>
          <w:i/>
        </w:rPr>
        <w:t>Annual Improvements to IFRS</w:t>
      </w:r>
      <w:r>
        <w:rPr>
          <w:i/>
        </w:rPr>
        <w:t>s</w:t>
      </w:r>
      <w:r w:rsidRPr="003D4C26">
        <w:rPr>
          <w:i/>
        </w:rPr>
        <w:t xml:space="preserve"> 2014</w:t>
      </w:r>
      <w:r w:rsidR="007C5F2A" w:rsidRPr="000F1CD0">
        <w:rPr>
          <w:i/>
        </w:rPr>
        <w:t>–</w:t>
      </w:r>
      <w:r w:rsidRPr="003D4C26">
        <w:rPr>
          <w:i/>
        </w:rPr>
        <w:t>2016</w:t>
      </w:r>
      <w:r w:rsidR="00465EBE">
        <w:rPr>
          <w:i/>
        </w:rPr>
        <w:t xml:space="preserve"> Cycle</w:t>
      </w:r>
      <w:r>
        <w:rPr>
          <w:i/>
        </w:rPr>
        <w:t xml:space="preserve">. </w:t>
      </w:r>
      <w:r w:rsidR="00465EBE">
        <w:t xml:space="preserve">The AASB received </w:t>
      </w:r>
      <w:r w:rsidR="00465EBE">
        <w:t>one</w:t>
      </w:r>
      <w:r>
        <w:t xml:space="preserve"> comment letter to ED 273. The comment letter generally agreed with the proposed amendments.</w:t>
      </w:r>
      <w:r w:rsidR="00F4517C">
        <w:t xml:space="preserve"> However, some concerns were raised regarding the effect of deleting paragraphs and transition provisions.</w:t>
      </w:r>
    </w:p>
    <w:p w14:paraId="5594E156" w14:textId="25F18815" w:rsidR="00125962" w:rsidRDefault="00054FC1" w:rsidP="00E2118D">
      <w:pPr>
        <w:pStyle w:val="NoNumPlain1"/>
      </w:pPr>
      <w:r>
        <w:t>T</w:t>
      </w:r>
      <w:r w:rsidR="00835AA4" w:rsidRPr="00776E95">
        <w:t>he AASB considered the comments it re</w:t>
      </w:r>
      <w:r w:rsidR="001D3B0B">
        <w:t xml:space="preserve">ceived in </w:t>
      </w:r>
      <w:r w:rsidR="00465EBE">
        <w:t xml:space="preserve">preparing its submissions on the proposals to the IASB. Amendments were made to the proposals in response to some of the comments in </w:t>
      </w:r>
      <w:r w:rsidR="005A2707">
        <w:t>finalising AASB </w:t>
      </w:r>
      <w:bookmarkStart w:id="2" w:name="_GoBack"/>
      <w:bookmarkEnd w:id="2"/>
      <w:r w:rsidR="001D3B0B">
        <w:t>2017</w:t>
      </w:r>
      <w:r w:rsidR="005E6F84">
        <w:t>-</w:t>
      </w:r>
      <w:r w:rsidR="001D3B0B">
        <w:t>1 and AASB</w:t>
      </w:r>
      <w:r w:rsidR="005A2707">
        <w:t> </w:t>
      </w:r>
      <w:r w:rsidR="001D3B0B">
        <w:t>2017-2</w:t>
      </w:r>
      <w:r w:rsidR="00835AA4" w:rsidRPr="00776E95">
        <w:t>.</w:t>
      </w:r>
    </w:p>
    <w:p w14:paraId="4B959461" w14:textId="77777777" w:rsidR="00EA56FD" w:rsidRPr="001B1D7C" w:rsidRDefault="00843BF6" w:rsidP="00EA56FD">
      <w:pPr>
        <w:pStyle w:val="NoNumPlain1"/>
      </w:pPr>
      <w:r w:rsidRPr="00314DC3">
        <w:t>A Regulation Impact Statement</w:t>
      </w:r>
      <w:r w:rsidR="00ED4F33" w:rsidRPr="001B1D7C">
        <w:t xml:space="preserve"> (RIS) has not been prepared in connection with the issue of AASB</w:t>
      </w:r>
      <w:r w:rsidR="00375119">
        <w:t> </w:t>
      </w:r>
      <w:r w:rsidR="001D3B0B">
        <w:t>2017</w:t>
      </w:r>
      <w:r w:rsidR="00ED4F33" w:rsidRPr="001B1D7C">
        <w:t>-</w:t>
      </w:r>
      <w:r w:rsidR="00233620">
        <w:t>1 and AASB</w:t>
      </w:r>
      <w:r w:rsidR="001D3B0B">
        <w:t> 2017-2</w:t>
      </w:r>
      <w:r w:rsidR="00ED4F33" w:rsidRPr="001B1D7C">
        <w:t xml:space="preserve"> as the amendments made do not have a substantial direct or indirect impact on business or competition.</w:t>
      </w:r>
    </w:p>
    <w:p w14:paraId="446A3BE8" w14:textId="77777777" w:rsidR="00A94F2A" w:rsidRPr="001B1D7C" w:rsidRDefault="00A94F2A">
      <w:pPr>
        <w:spacing w:line="240" w:lineRule="auto"/>
        <w:rPr>
          <w:rFonts w:cs="Arial"/>
          <w:b/>
          <w:iCs/>
          <w:sz w:val="28"/>
          <w:szCs w:val="28"/>
        </w:rPr>
      </w:pPr>
      <w:r w:rsidRPr="001B1D7C">
        <w:br w:type="page"/>
      </w:r>
    </w:p>
    <w:p w14:paraId="3A8917FC" w14:textId="77777777" w:rsidR="00AD44F9" w:rsidRPr="001B1D7C" w:rsidRDefault="00CD0A54" w:rsidP="00F73663">
      <w:pPr>
        <w:pStyle w:val="Heading2"/>
        <w:spacing w:before="720"/>
        <w:jc w:val="center"/>
      </w:pPr>
      <w:r w:rsidRPr="001B1D7C">
        <w:lastRenderedPageBreak/>
        <w:t>Statement of Compatibility with Human Rights</w:t>
      </w:r>
    </w:p>
    <w:p w14:paraId="3869FD2F" w14:textId="77777777"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14:paraId="5522B75C" w14:textId="373A16F2" w:rsidR="00E770E5" w:rsidRDefault="00A90A3D" w:rsidP="00A90A3D">
      <w:pPr>
        <w:pStyle w:val="Heading3"/>
        <w:spacing w:after="360"/>
        <w:jc w:val="center"/>
        <w:rPr>
          <w:i/>
        </w:rPr>
      </w:pPr>
      <w:r w:rsidRPr="001B1D7C">
        <w:t>Accounting Standard AASB</w:t>
      </w:r>
      <w:r w:rsidR="00F913AF">
        <w:t> </w:t>
      </w:r>
      <w:r w:rsidRPr="001B1D7C">
        <w:t>201</w:t>
      </w:r>
      <w:r w:rsidR="009F7F59">
        <w:t>7</w:t>
      </w:r>
      <w:r w:rsidRPr="001B1D7C">
        <w:t>-</w:t>
      </w:r>
      <w:r w:rsidR="009F7F59">
        <w:t>1</w:t>
      </w:r>
      <w:r w:rsidRPr="001B1D7C">
        <w:br/>
      </w:r>
      <w:r w:rsidRPr="00127350">
        <w:rPr>
          <w:i/>
        </w:rPr>
        <w:t xml:space="preserve">Amendments to Australian Accounting Standards </w:t>
      </w:r>
      <w:r w:rsidR="00B223A3" w:rsidRPr="00127350">
        <w:rPr>
          <w:i/>
        </w:rPr>
        <w:t>–</w:t>
      </w:r>
      <w:r w:rsidRPr="00127350">
        <w:rPr>
          <w:i/>
        </w:rPr>
        <w:br/>
      </w:r>
      <w:r w:rsidR="009F7F59">
        <w:rPr>
          <w:i/>
        </w:rPr>
        <w:t>Transfers of Investment Property, Annual Improvements 2014</w:t>
      </w:r>
      <w:r w:rsidR="00465EBE" w:rsidRPr="000F1CD0">
        <w:rPr>
          <w:i/>
        </w:rPr>
        <w:t>–</w:t>
      </w:r>
      <w:r w:rsidR="009F7F59">
        <w:rPr>
          <w:i/>
        </w:rPr>
        <w:t>2016 Cycle and Other Amendments</w:t>
      </w:r>
    </w:p>
    <w:p w14:paraId="2FE1229C" w14:textId="4A8F0A5F" w:rsidR="009F7F59" w:rsidRDefault="009F7F59" w:rsidP="009F7F59">
      <w:pPr>
        <w:pStyle w:val="Heading3"/>
        <w:spacing w:after="360"/>
        <w:jc w:val="center"/>
        <w:rPr>
          <w:i/>
        </w:rPr>
      </w:pPr>
      <w:r w:rsidRPr="001B1D7C">
        <w:t>Accounting Standard AASB</w:t>
      </w:r>
      <w:r>
        <w:t> </w:t>
      </w:r>
      <w:r w:rsidRPr="001B1D7C">
        <w:t>201</w:t>
      </w:r>
      <w:r>
        <w:t>7</w:t>
      </w:r>
      <w:r w:rsidRPr="001B1D7C">
        <w:t>-</w:t>
      </w:r>
      <w:r>
        <w:t>2</w:t>
      </w:r>
      <w:r w:rsidRPr="001B1D7C">
        <w:br/>
      </w:r>
      <w:r w:rsidRPr="00127350">
        <w:rPr>
          <w:i/>
        </w:rPr>
        <w:t>Amendments to Australian Accounting Standards –</w:t>
      </w:r>
      <w:r w:rsidRPr="00127350">
        <w:rPr>
          <w:i/>
        </w:rPr>
        <w:br/>
      </w:r>
      <w:r>
        <w:rPr>
          <w:i/>
        </w:rPr>
        <w:t>Further Annual Improvements 2014</w:t>
      </w:r>
      <w:r w:rsidR="00465EBE" w:rsidRPr="00465EBE">
        <w:rPr>
          <w:i/>
        </w:rPr>
        <w:t>–</w:t>
      </w:r>
      <w:r>
        <w:rPr>
          <w:i/>
        </w:rPr>
        <w:t>2016 Cycle</w:t>
      </w:r>
    </w:p>
    <w:p w14:paraId="6AF97A82" w14:textId="77777777" w:rsidR="009F7F59" w:rsidRPr="009F7F59" w:rsidRDefault="009F7F59" w:rsidP="009F7F59"/>
    <w:p w14:paraId="7FDDC422" w14:textId="6C8DAAC9" w:rsidR="00A90A3D" w:rsidRPr="00314DC3" w:rsidRDefault="00A90A3D" w:rsidP="00A90A3D">
      <w:pPr>
        <w:pStyle w:val="Heading3"/>
      </w:pPr>
      <w:r w:rsidRPr="00314DC3">
        <w:t xml:space="preserve">Overview of the Accounting </w:t>
      </w:r>
      <w:r w:rsidRPr="00314DC3">
        <w:t>Standard</w:t>
      </w:r>
      <w:r w:rsidR="00465EBE">
        <w:t>s</w:t>
      </w:r>
    </w:p>
    <w:p w14:paraId="79BA56BE" w14:textId="77777777" w:rsidR="001D3B0B" w:rsidRPr="000F1CD0" w:rsidRDefault="001D3B0B" w:rsidP="005A2707">
      <w:pPr>
        <w:pStyle w:val="NoNumPlain1"/>
      </w:pPr>
      <w:r>
        <w:t>AASB 2017-1 amends</w:t>
      </w:r>
      <w:r w:rsidRPr="000F1CD0">
        <w:t xml:space="preserve">: </w:t>
      </w:r>
    </w:p>
    <w:p w14:paraId="7C9EA3BE" w14:textId="77777777" w:rsidR="001D3B0B" w:rsidRPr="000F1CD0" w:rsidRDefault="001D3B0B" w:rsidP="005A2707">
      <w:pPr>
        <w:pStyle w:val="NumPlainA"/>
        <w:numPr>
          <w:ilvl w:val="0"/>
          <w:numId w:val="14"/>
        </w:numPr>
        <w:tabs>
          <w:tab w:val="clear" w:pos="652"/>
          <w:tab w:val="num" w:pos="510"/>
        </w:tabs>
        <w:spacing w:before="100"/>
        <w:ind w:left="510"/>
        <w:outlineLvl w:val="9"/>
      </w:pPr>
      <w:r w:rsidRPr="000F1CD0">
        <w:t xml:space="preserve">AASB 1 to delete some short-term exemptions for first-time adopters that were available only for reporting periods that have passed and to add exemptions arising from AASB Interpretation 22 </w:t>
      </w:r>
      <w:r w:rsidRPr="009F7F59">
        <w:rPr>
          <w:i/>
        </w:rPr>
        <w:t>Foreign Currency Transactions and Advance Consideration</w:t>
      </w:r>
      <w:r w:rsidRPr="000F1CD0">
        <w:t>;</w:t>
      </w:r>
    </w:p>
    <w:p w14:paraId="6CFC9F70" w14:textId="77777777" w:rsidR="001D3B0B" w:rsidRPr="000F1CD0" w:rsidRDefault="001D3B0B" w:rsidP="005A2707">
      <w:pPr>
        <w:pStyle w:val="NumPlainA"/>
        <w:tabs>
          <w:tab w:val="clear" w:pos="652"/>
          <w:tab w:val="num" w:pos="510"/>
        </w:tabs>
        <w:spacing w:before="100"/>
        <w:ind w:left="510"/>
        <w:outlineLvl w:val="9"/>
      </w:pPr>
      <w:r w:rsidRPr="000F1CD0">
        <w:t>AASB 128 to clarify that:</w:t>
      </w:r>
    </w:p>
    <w:p w14:paraId="327D8FCA" w14:textId="77777777" w:rsidR="001D3B0B" w:rsidRPr="000F1CD0" w:rsidRDefault="001D3B0B" w:rsidP="005A2707">
      <w:pPr>
        <w:pStyle w:val="NumPlainA2"/>
        <w:tabs>
          <w:tab w:val="clear" w:pos="1163"/>
          <w:tab w:val="num" w:pos="1021"/>
        </w:tabs>
        <w:spacing w:before="100"/>
        <w:ind w:left="1021"/>
      </w:pPr>
      <w:r w:rsidRPr="000F1CD0">
        <w:t>a venture capital organisation, or a mutual fund, unit trust and similar entities may elect, at initial recognition, to measure investments in an associate or joint venture at fair value through profit or loss separately for each associate or joint venture; and</w:t>
      </w:r>
    </w:p>
    <w:p w14:paraId="1601F4DA" w14:textId="77777777" w:rsidR="001D3B0B" w:rsidRPr="000F1CD0" w:rsidRDefault="001D3B0B" w:rsidP="005A2707">
      <w:pPr>
        <w:pStyle w:val="NumPlainA2"/>
        <w:tabs>
          <w:tab w:val="clear" w:pos="1163"/>
          <w:tab w:val="num" w:pos="1021"/>
        </w:tabs>
        <w:spacing w:before="100"/>
        <w:ind w:left="1021"/>
      </w:pPr>
      <w:r w:rsidRPr="000F1CD0">
        <w:t>an entity that is not an investment entity may elect to retain the fair value measurement applied by its associates and joint ventures that are investment entities when applying the equity method. This choice is available separately for each investment entity associate or joint venture; and</w:t>
      </w:r>
    </w:p>
    <w:p w14:paraId="641B1913" w14:textId="77777777" w:rsidR="001D3B0B" w:rsidRPr="000F1CD0" w:rsidRDefault="001D3B0B" w:rsidP="005A2707">
      <w:pPr>
        <w:pStyle w:val="NumPlainA"/>
        <w:tabs>
          <w:tab w:val="clear" w:pos="652"/>
          <w:tab w:val="num" w:pos="510"/>
        </w:tabs>
        <w:spacing w:before="100"/>
        <w:ind w:left="510"/>
        <w:outlineLvl w:val="9"/>
      </w:pPr>
      <w:r w:rsidRPr="000F1CD0">
        <w:t>AASB 140 to reflect the principle that an entity transfers a property to, or from, investment property when, and only when, there is a change in use of the property supported by evidence that a change in use has occurred.</w:t>
      </w:r>
    </w:p>
    <w:p w14:paraId="7E9DCB7C" w14:textId="77777777" w:rsidR="001D3B0B" w:rsidRPr="006327AE" w:rsidRDefault="001D3B0B" w:rsidP="005A2707">
      <w:pPr>
        <w:pStyle w:val="NoNumPlain1"/>
      </w:pPr>
      <w:r>
        <w:t xml:space="preserve">AASB 2017-2 </w:t>
      </w:r>
      <w:r w:rsidRPr="006327AE">
        <w:t xml:space="preserve">clarifies the scope of AASB 12 by specifying that the disclosure requirements apply to an entity’s interests in other entities that are classified as held for sale, held for distribution to owners in their capacity as owners or discontinued operations in accordance with AASB 5 </w:t>
      </w:r>
      <w:r w:rsidRPr="006327AE">
        <w:rPr>
          <w:i/>
        </w:rPr>
        <w:t>Non-current Assets Held for Sale and Discontinued Operations</w:t>
      </w:r>
      <w:r w:rsidRPr="006327AE">
        <w:t>.</w:t>
      </w:r>
    </w:p>
    <w:p w14:paraId="06944F3C" w14:textId="77777777" w:rsidR="00A90A3D" w:rsidRPr="001B1D7C" w:rsidRDefault="00A90A3D" w:rsidP="00A90A3D">
      <w:pPr>
        <w:pStyle w:val="Heading3"/>
      </w:pPr>
      <w:r w:rsidRPr="001B1D7C">
        <w:t>Human Rights Implications</w:t>
      </w:r>
    </w:p>
    <w:p w14:paraId="02B05597" w14:textId="11DDDDC7" w:rsidR="00A90A3D" w:rsidRPr="001B1D7C" w:rsidRDefault="00465EBE" w:rsidP="00465EBE">
      <w:pPr>
        <w:pStyle w:val="NoNumPlain1"/>
      </w:pPr>
      <w:r>
        <w:t>The</w:t>
      </w:r>
      <w:r w:rsidR="00F62F5C" w:rsidRPr="001B1D7C">
        <w:t>s</w:t>
      </w:r>
      <w:r>
        <w:t>e St</w:t>
      </w:r>
      <w:r w:rsidR="00F62F5C" w:rsidRPr="001B1D7C">
        <w:t>andard</w:t>
      </w:r>
      <w:r>
        <w:t>s</w:t>
      </w:r>
      <w:r w:rsidR="00F62F5C" w:rsidRPr="001B1D7C">
        <w:t xml:space="preserve"> </w:t>
      </w:r>
      <w:r>
        <w:t>are</w:t>
      </w:r>
      <w:r w:rsidR="00F62F5C" w:rsidRPr="001B1D7C">
        <w:t xml:space="preserve"> issued by the AASB in furtherance of the objective of facilitating the Australian economy. It does not diminish or limit any of the applicable human rights or freedoms, and thus does not raise any human rights issues.</w:t>
      </w:r>
    </w:p>
    <w:p w14:paraId="41D03C73" w14:textId="77777777" w:rsidR="00F62F5C" w:rsidRPr="001B1D7C" w:rsidRDefault="00F62F5C" w:rsidP="00F62F5C">
      <w:pPr>
        <w:pStyle w:val="Heading3"/>
      </w:pPr>
      <w:r w:rsidRPr="001B1D7C">
        <w:t>Conclusion</w:t>
      </w:r>
    </w:p>
    <w:p w14:paraId="6CABE344" w14:textId="02345088" w:rsidR="00CD0A54" w:rsidRPr="001B1D7C" w:rsidRDefault="00465EBE" w:rsidP="00465EBE">
      <w:pPr>
        <w:pStyle w:val="NoNumPlain1"/>
      </w:pPr>
      <w:r>
        <w:t>These</w:t>
      </w:r>
      <w:r w:rsidR="00CD0A54" w:rsidRPr="001B1D7C">
        <w:t xml:space="preserve"> Standard</w:t>
      </w:r>
      <w:r>
        <w:t>s</w:t>
      </w:r>
      <w:r w:rsidR="00CD0A54" w:rsidRPr="001B1D7C">
        <w:t xml:space="preserve"> </w:t>
      </w:r>
      <w:r>
        <w:t>are</w:t>
      </w:r>
      <w:r w:rsidR="00CD0A54" w:rsidRPr="001B1D7C">
        <w:t xml:space="preserve"> compatible with the human rights and freedoms recognised or declared in the international instruments listed in section</w:t>
      </w:r>
      <w:r w:rsidR="002A0EA5">
        <w:t> </w:t>
      </w:r>
      <w:r w:rsidR="00CD0A54" w:rsidRPr="001B1D7C">
        <w:t xml:space="preserve">3 of the </w:t>
      </w:r>
      <w:r w:rsidR="00CD0A54" w:rsidRPr="001B1D7C">
        <w:rPr>
          <w:i/>
        </w:rPr>
        <w:t>Human Rights (Parliamentary Scrutiny) Act</w:t>
      </w:r>
      <w:r w:rsidR="002A0EA5">
        <w:rPr>
          <w:i/>
        </w:rPr>
        <w:t> </w:t>
      </w:r>
      <w:r w:rsidR="00CD0A54" w:rsidRPr="001B1D7C">
        <w:rPr>
          <w:i/>
        </w:rPr>
        <w:t>2011</w:t>
      </w:r>
      <w:r w:rsidR="00CD0A54" w:rsidRPr="001B1D7C">
        <w:t>.</w:t>
      </w:r>
    </w:p>
    <w:sectPr w:rsidR="00CD0A54" w:rsidRPr="001B1D7C" w:rsidSect="00B93CE4">
      <w:headerReference w:type="even" r:id="rId13"/>
      <w:footerReference w:type="default" r:id="rId14"/>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681E4" w14:textId="77777777" w:rsidR="00BE1E1C" w:rsidRDefault="00BE1E1C">
      <w:r>
        <w:separator/>
      </w:r>
    </w:p>
  </w:endnote>
  <w:endnote w:type="continuationSeparator" w:id="0">
    <w:p w14:paraId="413833F7" w14:textId="77777777" w:rsidR="00BE1E1C" w:rsidRDefault="00BE1E1C">
      <w:r>
        <w:continuationSeparator/>
      </w:r>
    </w:p>
  </w:endnote>
  <w:endnote w:type="continuationNotice" w:id="1">
    <w:p w14:paraId="6FB5D48B" w14:textId="77777777" w:rsidR="00BE1E1C" w:rsidRDefault="00BE1E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12503" w14:textId="77777777" w:rsidR="00BE1E1C" w:rsidRDefault="00BE1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8D474" w14:textId="77777777" w:rsidR="006B1B4A" w:rsidRDefault="006B1B4A" w:rsidP="00B93CE4">
    <w:pPr>
      <w:pStyle w:val="Footer"/>
      <w:tabs>
        <w:tab w:val="clear" w:pos="3119"/>
        <w:tab w:val="clear" w:pos="6237"/>
        <w:tab w:val="center" w:pos="4820"/>
        <w:tab w:val="right" w:pos="9639"/>
      </w:tabs>
      <w:rPr>
        <w:b/>
      </w:rPr>
    </w:pPr>
    <w:r>
      <w:rPr>
        <w:b/>
      </w:rPr>
      <w:t>A</w:t>
    </w:r>
    <w:r w:rsidR="00C068D8">
      <w:rPr>
        <w:b/>
      </w:rPr>
      <w:t>ASB</w:t>
    </w:r>
    <w:r w:rsidR="00F913AF">
      <w:rPr>
        <w:b/>
      </w:rPr>
      <w:t> </w:t>
    </w:r>
    <w:r w:rsidR="00C068D8">
      <w:rPr>
        <w:b/>
      </w:rPr>
      <w:t>201</w:t>
    </w:r>
    <w:r w:rsidR="001D3B0B">
      <w:rPr>
        <w:b/>
      </w:rPr>
      <w:t>7</w:t>
    </w:r>
    <w:r w:rsidR="00C068D8">
      <w:rPr>
        <w:b/>
      </w:rPr>
      <w:t>-</w:t>
    </w:r>
    <w:r w:rsidR="001D3B0B">
      <w:rPr>
        <w:b/>
      </w:rPr>
      <w:t>1 &amp; AASB 2017-2</w:t>
    </w:r>
    <w:r>
      <w:rPr>
        <w:b/>
      </w:rPr>
      <w:tab/>
    </w:r>
    <w:r>
      <w:fldChar w:fldCharType="begin"/>
    </w:r>
    <w:r>
      <w:instrText>PAGE</w:instrText>
    </w:r>
    <w:r>
      <w:fldChar w:fldCharType="separate"/>
    </w:r>
    <w:r w:rsidR="005A2707">
      <w:rPr>
        <w:noProof/>
      </w:rPr>
      <w:t>2</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ABDDF" w14:textId="77777777" w:rsidR="00BE1E1C" w:rsidRDefault="00BE1E1C">
      <w:r>
        <w:separator/>
      </w:r>
    </w:p>
  </w:footnote>
  <w:footnote w:type="continuationSeparator" w:id="0">
    <w:p w14:paraId="251D0B01" w14:textId="77777777" w:rsidR="00BE1E1C" w:rsidRDefault="00BE1E1C">
      <w:r>
        <w:continuationSeparator/>
      </w:r>
    </w:p>
  </w:footnote>
  <w:footnote w:type="continuationNotice" w:id="1">
    <w:p w14:paraId="0F9A4868" w14:textId="77777777" w:rsidR="00BE1E1C" w:rsidRDefault="00BE1E1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D64A2" w14:textId="77777777" w:rsidR="00BE1E1C" w:rsidRDefault="00BE1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A903B" w14:textId="77777777" w:rsidR="006B1B4A" w:rsidRDefault="006B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nsid w:val="272F7F03"/>
    <w:multiLevelType w:val="hybridMultilevel"/>
    <w:tmpl w:val="E0A60058"/>
    <w:lvl w:ilvl="0" w:tplc="A4DABA82">
      <w:start w:val="1"/>
      <w:numFmt w:val="lowerLetter"/>
      <w:lvlText w:val="(%1)"/>
      <w:lvlJc w:val="left"/>
      <w:pPr>
        <w:ind w:left="786" w:hanging="360"/>
      </w:pPr>
      <w:rPr>
        <w:rFonts w:hint="default"/>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39A62E6"/>
    <w:multiLevelType w:val="hybridMultilevel"/>
    <w:tmpl w:val="D5F6F600"/>
    <w:lvl w:ilvl="0" w:tplc="37A66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8"/>
  </w:num>
  <w:num w:numId="4">
    <w:abstractNumId w:val="0"/>
  </w:num>
  <w:num w:numId="5">
    <w:abstractNumId w:val="4"/>
  </w:num>
  <w:num w:numId="6">
    <w:abstractNumId w:val="3"/>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ZCE2NDCyMDYyNzEwMDMyUdpeDU4uLM/DyQAtNaAFxxgG8sAAAA"/>
  </w:docVars>
  <w:rsids>
    <w:rsidRoot w:val="00D429C8"/>
    <w:rsid w:val="000018C8"/>
    <w:rsid w:val="00005371"/>
    <w:rsid w:val="0001484E"/>
    <w:rsid w:val="00031DBC"/>
    <w:rsid w:val="00041AE0"/>
    <w:rsid w:val="0004439B"/>
    <w:rsid w:val="00054FC1"/>
    <w:rsid w:val="00055755"/>
    <w:rsid w:val="000623C8"/>
    <w:rsid w:val="00067953"/>
    <w:rsid w:val="00075626"/>
    <w:rsid w:val="00080331"/>
    <w:rsid w:val="0008234F"/>
    <w:rsid w:val="0008242C"/>
    <w:rsid w:val="00085B62"/>
    <w:rsid w:val="00090D77"/>
    <w:rsid w:val="000920D3"/>
    <w:rsid w:val="000936C7"/>
    <w:rsid w:val="00094356"/>
    <w:rsid w:val="000A2A30"/>
    <w:rsid w:val="000D41A4"/>
    <w:rsid w:val="000D428B"/>
    <w:rsid w:val="000E6E09"/>
    <w:rsid w:val="000E7F81"/>
    <w:rsid w:val="000F281A"/>
    <w:rsid w:val="000F2911"/>
    <w:rsid w:val="000F4C2A"/>
    <w:rsid w:val="00111680"/>
    <w:rsid w:val="001218DE"/>
    <w:rsid w:val="00121C54"/>
    <w:rsid w:val="00125962"/>
    <w:rsid w:val="0012730F"/>
    <w:rsid w:val="00127350"/>
    <w:rsid w:val="00130F7D"/>
    <w:rsid w:val="00131465"/>
    <w:rsid w:val="00131C3F"/>
    <w:rsid w:val="00144CC0"/>
    <w:rsid w:val="0015670A"/>
    <w:rsid w:val="001639EB"/>
    <w:rsid w:val="001A3A3D"/>
    <w:rsid w:val="001B1D7C"/>
    <w:rsid w:val="001C786F"/>
    <w:rsid w:val="001D1FFA"/>
    <w:rsid w:val="001D3B0B"/>
    <w:rsid w:val="001D7DA0"/>
    <w:rsid w:val="001E0872"/>
    <w:rsid w:val="001E0EA2"/>
    <w:rsid w:val="001E4107"/>
    <w:rsid w:val="001F3ED4"/>
    <w:rsid w:val="001F5A41"/>
    <w:rsid w:val="00200047"/>
    <w:rsid w:val="0020218F"/>
    <w:rsid w:val="0020261B"/>
    <w:rsid w:val="00206A47"/>
    <w:rsid w:val="00225101"/>
    <w:rsid w:val="00230E6D"/>
    <w:rsid w:val="0023104C"/>
    <w:rsid w:val="00233620"/>
    <w:rsid w:val="00236896"/>
    <w:rsid w:val="00243728"/>
    <w:rsid w:val="00262EDC"/>
    <w:rsid w:val="00267D86"/>
    <w:rsid w:val="00284D8D"/>
    <w:rsid w:val="002A0EA5"/>
    <w:rsid w:val="002B5CAF"/>
    <w:rsid w:val="002B712E"/>
    <w:rsid w:val="002B7166"/>
    <w:rsid w:val="002D6D7A"/>
    <w:rsid w:val="002E0C7D"/>
    <w:rsid w:val="002F724F"/>
    <w:rsid w:val="00312740"/>
    <w:rsid w:val="00314DC3"/>
    <w:rsid w:val="0032467B"/>
    <w:rsid w:val="00325585"/>
    <w:rsid w:val="003329B8"/>
    <w:rsid w:val="00347521"/>
    <w:rsid w:val="00352568"/>
    <w:rsid w:val="00375119"/>
    <w:rsid w:val="00384832"/>
    <w:rsid w:val="00385E62"/>
    <w:rsid w:val="0039164A"/>
    <w:rsid w:val="00391DC5"/>
    <w:rsid w:val="00396BCD"/>
    <w:rsid w:val="00397B88"/>
    <w:rsid w:val="003A5EC1"/>
    <w:rsid w:val="003A7749"/>
    <w:rsid w:val="0041254C"/>
    <w:rsid w:val="00414BC3"/>
    <w:rsid w:val="00416FE6"/>
    <w:rsid w:val="004179BF"/>
    <w:rsid w:val="004209B2"/>
    <w:rsid w:val="00433B60"/>
    <w:rsid w:val="00442527"/>
    <w:rsid w:val="00457DCC"/>
    <w:rsid w:val="00463B8D"/>
    <w:rsid w:val="0046562B"/>
    <w:rsid w:val="00465EBE"/>
    <w:rsid w:val="00493DD4"/>
    <w:rsid w:val="004A4B34"/>
    <w:rsid w:val="004A7EC7"/>
    <w:rsid w:val="004B77A1"/>
    <w:rsid w:val="004C1746"/>
    <w:rsid w:val="004C62D2"/>
    <w:rsid w:val="004D2BDB"/>
    <w:rsid w:val="004D54B2"/>
    <w:rsid w:val="00512F90"/>
    <w:rsid w:val="00520E9E"/>
    <w:rsid w:val="0052464D"/>
    <w:rsid w:val="00526DA0"/>
    <w:rsid w:val="00540E70"/>
    <w:rsid w:val="00545E1C"/>
    <w:rsid w:val="00563010"/>
    <w:rsid w:val="00565477"/>
    <w:rsid w:val="005815F9"/>
    <w:rsid w:val="00592CDB"/>
    <w:rsid w:val="00596ADD"/>
    <w:rsid w:val="005A2707"/>
    <w:rsid w:val="005B238F"/>
    <w:rsid w:val="005B25E9"/>
    <w:rsid w:val="005B7BB7"/>
    <w:rsid w:val="005E1723"/>
    <w:rsid w:val="005E2BBE"/>
    <w:rsid w:val="005E43B9"/>
    <w:rsid w:val="005E6F84"/>
    <w:rsid w:val="005F0581"/>
    <w:rsid w:val="005F1173"/>
    <w:rsid w:val="005F3AA4"/>
    <w:rsid w:val="005F4451"/>
    <w:rsid w:val="006104FA"/>
    <w:rsid w:val="00616B47"/>
    <w:rsid w:val="006232CB"/>
    <w:rsid w:val="00626AC2"/>
    <w:rsid w:val="00627C8F"/>
    <w:rsid w:val="00635FA2"/>
    <w:rsid w:val="006628B2"/>
    <w:rsid w:val="00666164"/>
    <w:rsid w:val="0067004E"/>
    <w:rsid w:val="0067195B"/>
    <w:rsid w:val="00672100"/>
    <w:rsid w:val="006776BD"/>
    <w:rsid w:val="00684668"/>
    <w:rsid w:val="00686B7C"/>
    <w:rsid w:val="006A01D2"/>
    <w:rsid w:val="006A0C7C"/>
    <w:rsid w:val="006A2A04"/>
    <w:rsid w:val="006A56D8"/>
    <w:rsid w:val="006A6C9F"/>
    <w:rsid w:val="006B1B4A"/>
    <w:rsid w:val="006C34F1"/>
    <w:rsid w:val="006C39D1"/>
    <w:rsid w:val="006C5EB8"/>
    <w:rsid w:val="006D5858"/>
    <w:rsid w:val="006D6B35"/>
    <w:rsid w:val="006F217C"/>
    <w:rsid w:val="006F46DE"/>
    <w:rsid w:val="00711664"/>
    <w:rsid w:val="00717627"/>
    <w:rsid w:val="00720919"/>
    <w:rsid w:val="00722937"/>
    <w:rsid w:val="007231BD"/>
    <w:rsid w:val="007261ED"/>
    <w:rsid w:val="007322D6"/>
    <w:rsid w:val="007328C0"/>
    <w:rsid w:val="00741AD2"/>
    <w:rsid w:val="00755B4C"/>
    <w:rsid w:val="00755D8C"/>
    <w:rsid w:val="007676C0"/>
    <w:rsid w:val="00770387"/>
    <w:rsid w:val="00776E95"/>
    <w:rsid w:val="00781C08"/>
    <w:rsid w:val="00783BEC"/>
    <w:rsid w:val="00787825"/>
    <w:rsid w:val="007903C8"/>
    <w:rsid w:val="00791279"/>
    <w:rsid w:val="007A54A4"/>
    <w:rsid w:val="007B02E3"/>
    <w:rsid w:val="007B228F"/>
    <w:rsid w:val="007B3132"/>
    <w:rsid w:val="007B323F"/>
    <w:rsid w:val="007B539D"/>
    <w:rsid w:val="007C13D0"/>
    <w:rsid w:val="007C1E39"/>
    <w:rsid w:val="007C2A76"/>
    <w:rsid w:val="007C2B04"/>
    <w:rsid w:val="007C5F2A"/>
    <w:rsid w:val="007E548A"/>
    <w:rsid w:val="007F4E20"/>
    <w:rsid w:val="00802C2B"/>
    <w:rsid w:val="00822659"/>
    <w:rsid w:val="0082668C"/>
    <w:rsid w:val="00826FE1"/>
    <w:rsid w:val="00835AA4"/>
    <w:rsid w:val="008377FF"/>
    <w:rsid w:val="00843BF6"/>
    <w:rsid w:val="00854BCD"/>
    <w:rsid w:val="00861618"/>
    <w:rsid w:val="00863DE1"/>
    <w:rsid w:val="00896AE0"/>
    <w:rsid w:val="008B63BA"/>
    <w:rsid w:val="008B66C2"/>
    <w:rsid w:val="008C5B82"/>
    <w:rsid w:val="008D3E1A"/>
    <w:rsid w:val="008E4294"/>
    <w:rsid w:val="008F344A"/>
    <w:rsid w:val="00916B64"/>
    <w:rsid w:val="00930915"/>
    <w:rsid w:val="00936AD7"/>
    <w:rsid w:val="009375BC"/>
    <w:rsid w:val="00980C3B"/>
    <w:rsid w:val="009839D3"/>
    <w:rsid w:val="009C5C89"/>
    <w:rsid w:val="009D5CEF"/>
    <w:rsid w:val="009D6119"/>
    <w:rsid w:val="009F7F59"/>
    <w:rsid w:val="00A07B58"/>
    <w:rsid w:val="00A120EC"/>
    <w:rsid w:val="00A14C37"/>
    <w:rsid w:val="00A33757"/>
    <w:rsid w:val="00A41EF3"/>
    <w:rsid w:val="00A46379"/>
    <w:rsid w:val="00A57577"/>
    <w:rsid w:val="00A60BDB"/>
    <w:rsid w:val="00A61CB2"/>
    <w:rsid w:val="00A8344C"/>
    <w:rsid w:val="00A90590"/>
    <w:rsid w:val="00A90A3D"/>
    <w:rsid w:val="00A92FFA"/>
    <w:rsid w:val="00A9484D"/>
    <w:rsid w:val="00A94F2A"/>
    <w:rsid w:val="00A97B77"/>
    <w:rsid w:val="00AB2137"/>
    <w:rsid w:val="00AB61AB"/>
    <w:rsid w:val="00AC2063"/>
    <w:rsid w:val="00AC2CA9"/>
    <w:rsid w:val="00AD44F9"/>
    <w:rsid w:val="00AD5E2A"/>
    <w:rsid w:val="00AE1F8A"/>
    <w:rsid w:val="00B00C1B"/>
    <w:rsid w:val="00B10AB1"/>
    <w:rsid w:val="00B127B5"/>
    <w:rsid w:val="00B223A3"/>
    <w:rsid w:val="00B259A2"/>
    <w:rsid w:val="00B44EFA"/>
    <w:rsid w:val="00B50A3C"/>
    <w:rsid w:val="00B5196B"/>
    <w:rsid w:val="00B67434"/>
    <w:rsid w:val="00B71C28"/>
    <w:rsid w:val="00B76672"/>
    <w:rsid w:val="00B81972"/>
    <w:rsid w:val="00B85DBC"/>
    <w:rsid w:val="00B93CE4"/>
    <w:rsid w:val="00BB2459"/>
    <w:rsid w:val="00BC78E2"/>
    <w:rsid w:val="00BD0B5B"/>
    <w:rsid w:val="00BD2871"/>
    <w:rsid w:val="00BD7C61"/>
    <w:rsid w:val="00BE1E1C"/>
    <w:rsid w:val="00BE66D4"/>
    <w:rsid w:val="00C068D8"/>
    <w:rsid w:val="00C119CC"/>
    <w:rsid w:val="00C14CCB"/>
    <w:rsid w:val="00C16665"/>
    <w:rsid w:val="00C21F45"/>
    <w:rsid w:val="00C35A20"/>
    <w:rsid w:val="00C510C2"/>
    <w:rsid w:val="00C546C0"/>
    <w:rsid w:val="00C61FC9"/>
    <w:rsid w:val="00C634BB"/>
    <w:rsid w:val="00C661A8"/>
    <w:rsid w:val="00C80CE0"/>
    <w:rsid w:val="00C82A8C"/>
    <w:rsid w:val="00C86790"/>
    <w:rsid w:val="00CA20FA"/>
    <w:rsid w:val="00CA518E"/>
    <w:rsid w:val="00CB3E61"/>
    <w:rsid w:val="00CB74B0"/>
    <w:rsid w:val="00CC17E3"/>
    <w:rsid w:val="00CC546B"/>
    <w:rsid w:val="00CD0A54"/>
    <w:rsid w:val="00CD50A4"/>
    <w:rsid w:val="00CF1B42"/>
    <w:rsid w:val="00CF4D2F"/>
    <w:rsid w:val="00CF72F6"/>
    <w:rsid w:val="00D03547"/>
    <w:rsid w:val="00D24634"/>
    <w:rsid w:val="00D27E14"/>
    <w:rsid w:val="00D40502"/>
    <w:rsid w:val="00D429C8"/>
    <w:rsid w:val="00D43163"/>
    <w:rsid w:val="00D44AAA"/>
    <w:rsid w:val="00D5323B"/>
    <w:rsid w:val="00D67C43"/>
    <w:rsid w:val="00D71916"/>
    <w:rsid w:val="00D71B35"/>
    <w:rsid w:val="00D850DE"/>
    <w:rsid w:val="00DA2E07"/>
    <w:rsid w:val="00DB2D0C"/>
    <w:rsid w:val="00DB52E0"/>
    <w:rsid w:val="00DB5798"/>
    <w:rsid w:val="00DD1167"/>
    <w:rsid w:val="00DD3FDF"/>
    <w:rsid w:val="00DE2BF2"/>
    <w:rsid w:val="00E00D64"/>
    <w:rsid w:val="00E079C1"/>
    <w:rsid w:val="00E11F07"/>
    <w:rsid w:val="00E1388A"/>
    <w:rsid w:val="00E1658F"/>
    <w:rsid w:val="00E2118D"/>
    <w:rsid w:val="00E34411"/>
    <w:rsid w:val="00E41E4F"/>
    <w:rsid w:val="00E4487C"/>
    <w:rsid w:val="00E73950"/>
    <w:rsid w:val="00E770E5"/>
    <w:rsid w:val="00E7777B"/>
    <w:rsid w:val="00EA0A87"/>
    <w:rsid w:val="00EA56FD"/>
    <w:rsid w:val="00EC7B53"/>
    <w:rsid w:val="00ED4F33"/>
    <w:rsid w:val="00F038FC"/>
    <w:rsid w:val="00F041AA"/>
    <w:rsid w:val="00F04EBC"/>
    <w:rsid w:val="00F12DF8"/>
    <w:rsid w:val="00F23FEF"/>
    <w:rsid w:val="00F339DE"/>
    <w:rsid w:val="00F4517C"/>
    <w:rsid w:val="00F62F5C"/>
    <w:rsid w:val="00F63F3B"/>
    <w:rsid w:val="00F71510"/>
    <w:rsid w:val="00F73663"/>
    <w:rsid w:val="00F81F26"/>
    <w:rsid w:val="00F8246A"/>
    <w:rsid w:val="00F913AF"/>
    <w:rsid w:val="00FA30CB"/>
    <w:rsid w:val="00FA7C5C"/>
    <w:rsid w:val="00FB0CFC"/>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C501F-1664-46BA-9147-758A1D39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1184</Words>
  <Characters>6514</Characters>
  <Application>Microsoft Office Word</Application>
  <DocSecurity>0</DocSecurity>
  <Lines>250</Lines>
  <Paragraphs>118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Lee, Eric</cp:lastModifiedBy>
  <cp:revision>3</cp:revision>
  <cp:lastPrinted>2017-02-14T01:44:00Z</cp:lastPrinted>
  <dcterms:created xsi:type="dcterms:W3CDTF">2017-02-14T04:42:00Z</dcterms:created>
  <dcterms:modified xsi:type="dcterms:W3CDTF">2017-02-14T05:25:00Z</dcterms:modified>
</cp:coreProperties>
</file>