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70" w:rsidRPr="00501570" w:rsidRDefault="00501570" w:rsidP="00501570">
      <w:pPr>
        <w:shd w:val="clear" w:color="auto" w:fill="FFFFFF"/>
        <w:spacing w:after="12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b/>
          <w:bCs/>
          <w:sz w:val="24"/>
          <w:szCs w:val="24"/>
          <w:u w:val="single"/>
          <w:lang w:eastAsia="en-AU"/>
        </w:rPr>
        <w:t>EXPLANATORY STATEMENT</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Issued by the authority of the Minister for Human Services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 </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Social Security (A</w:t>
      </w:r>
      <w:bookmarkStart w:id="0" w:name="_GoBack"/>
      <w:bookmarkEnd w:id="0"/>
      <w:r w:rsidRPr="00501570">
        <w:rPr>
          <w:rFonts w:eastAsia="Times New Roman" w:cs="Arial"/>
          <w:i/>
          <w:iCs/>
          <w:sz w:val="24"/>
          <w:szCs w:val="24"/>
          <w:lang w:eastAsia="en-AU"/>
        </w:rPr>
        <w:t>dministration) Act 1999</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w:t>
      </w:r>
    </w:p>
    <w:p w:rsidR="00B57730" w:rsidRDefault="00B57730" w:rsidP="00501570">
      <w:pPr>
        <w:shd w:val="clear" w:color="auto" w:fill="FFFFFF"/>
        <w:spacing w:after="0" w:line="240" w:lineRule="auto"/>
        <w:ind w:right="91"/>
        <w:jc w:val="center"/>
        <w:rPr>
          <w:rFonts w:eastAsia="Times New Roman" w:cs="Arial"/>
          <w:i/>
          <w:iCs/>
          <w:sz w:val="24"/>
          <w:szCs w:val="24"/>
          <w:lang w:eastAsia="en-AU"/>
        </w:rPr>
      </w:pPr>
      <w:r w:rsidRPr="00B57730">
        <w:rPr>
          <w:rFonts w:eastAsia="Times New Roman" w:cs="Arial"/>
          <w:i/>
          <w:iCs/>
          <w:sz w:val="24"/>
          <w:szCs w:val="24"/>
          <w:lang w:eastAsia="en-AU"/>
        </w:rPr>
        <w:t>Social Security (Administration) (Trial Area) Amendment Determination 2017</w:t>
      </w:r>
    </w:p>
    <w:p w:rsidR="00501570" w:rsidRPr="00501570" w:rsidRDefault="00501570" w:rsidP="00501570">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 </w:t>
      </w:r>
    </w:p>
    <w:p w:rsidR="00501570" w:rsidRPr="00501570" w:rsidRDefault="00501570" w:rsidP="00501570">
      <w:pPr>
        <w:shd w:val="clear" w:color="auto" w:fill="FFFFFF"/>
        <w:spacing w:after="0" w:line="240" w:lineRule="auto"/>
        <w:ind w:right="91"/>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Purpose</w:t>
      </w:r>
    </w:p>
    <w:p w:rsidR="00E409B3" w:rsidRDefault="00E409B3"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 xml:space="preserve">This Amending Determination is made by the Minister </w:t>
      </w:r>
      <w:r w:rsidR="00E57716">
        <w:rPr>
          <w:rFonts w:eastAsia="Times New Roman" w:cs="Arial"/>
          <w:sz w:val="24"/>
          <w:szCs w:val="24"/>
          <w:lang w:eastAsia="en-AU"/>
        </w:rPr>
        <w:t xml:space="preserve">for </w:t>
      </w:r>
      <w:r>
        <w:rPr>
          <w:rFonts w:eastAsia="Times New Roman" w:cs="Arial"/>
          <w:sz w:val="24"/>
          <w:szCs w:val="24"/>
          <w:lang w:eastAsia="en-AU"/>
        </w:rPr>
        <w:t xml:space="preserve">Human Services under </w:t>
      </w:r>
      <w:r w:rsidR="00501570" w:rsidRPr="00501570">
        <w:rPr>
          <w:rFonts w:eastAsia="Times New Roman" w:cs="Arial"/>
          <w:sz w:val="24"/>
          <w:szCs w:val="24"/>
          <w:lang w:eastAsia="en-AU"/>
        </w:rPr>
        <w:t xml:space="preserve">subsection </w:t>
      </w:r>
      <w:proofErr w:type="gramStart"/>
      <w:r w:rsidR="00501570" w:rsidRPr="00501570">
        <w:rPr>
          <w:rFonts w:eastAsia="Times New Roman" w:cs="Arial"/>
          <w:sz w:val="24"/>
          <w:szCs w:val="24"/>
          <w:lang w:eastAsia="en-AU"/>
        </w:rPr>
        <w:t>124PG(</w:t>
      </w:r>
      <w:proofErr w:type="gramEnd"/>
      <w:r w:rsidR="00501570" w:rsidRPr="00501570">
        <w:rPr>
          <w:rFonts w:eastAsia="Times New Roman" w:cs="Arial"/>
          <w:sz w:val="24"/>
          <w:szCs w:val="24"/>
          <w:lang w:eastAsia="en-AU"/>
        </w:rPr>
        <w:t xml:space="preserve">1) of the </w:t>
      </w:r>
      <w:r w:rsidR="00501570" w:rsidRPr="00501570">
        <w:rPr>
          <w:rFonts w:eastAsia="Times New Roman" w:cs="Arial"/>
          <w:i/>
          <w:sz w:val="24"/>
          <w:szCs w:val="24"/>
          <w:lang w:eastAsia="en-AU"/>
        </w:rPr>
        <w:t>Social Security (Administration) Act 1999</w:t>
      </w:r>
      <w:r w:rsidR="00501570" w:rsidRPr="00501570">
        <w:rPr>
          <w:rFonts w:eastAsia="Times New Roman" w:cs="Arial"/>
          <w:sz w:val="24"/>
          <w:szCs w:val="24"/>
          <w:lang w:eastAsia="en-AU"/>
        </w:rPr>
        <w:t xml:space="preserve"> (the Act)</w:t>
      </w:r>
      <w:r>
        <w:rPr>
          <w:rFonts w:eastAsia="Times New Roman" w:cs="Arial"/>
          <w:sz w:val="24"/>
          <w:szCs w:val="24"/>
          <w:lang w:eastAsia="en-AU"/>
        </w:rPr>
        <w:t>.</w:t>
      </w:r>
    </w:p>
    <w:p w:rsidR="001069DB" w:rsidRDefault="00E409B3" w:rsidP="001967E7">
      <w:pPr>
        <w:shd w:val="clear" w:color="auto" w:fill="FFFFFF"/>
        <w:spacing w:before="100" w:beforeAutospacing="1" w:after="100" w:afterAutospacing="1" w:line="240" w:lineRule="auto"/>
        <w:rPr>
          <w:rFonts w:eastAsia="Times New Roman" w:cs="Arial"/>
          <w:sz w:val="24"/>
          <w:szCs w:val="24"/>
          <w:lang w:eastAsia="en-AU"/>
        </w:rPr>
      </w:pPr>
      <w:proofErr w:type="gramStart"/>
      <w:r>
        <w:rPr>
          <w:rFonts w:eastAsia="Times New Roman" w:cs="Arial"/>
          <w:sz w:val="24"/>
          <w:szCs w:val="24"/>
          <w:lang w:eastAsia="en-AU"/>
        </w:rPr>
        <w:t xml:space="preserve">Section 124PG of the Act </w:t>
      </w:r>
      <w:r w:rsidR="00051905">
        <w:rPr>
          <w:rFonts w:eastAsia="Times New Roman" w:cs="Arial"/>
          <w:sz w:val="24"/>
          <w:szCs w:val="24"/>
          <w:lang w:eastAsia="en-AU"/>
        </w:rPr>
        <w:t xml:space="preserve">sets out who will be participants in the </w:t>
      </w:r>
      <w:r w:rsidR="007D22ED">
        <w:rPr>
          <w:rFonts w:eastAsia="Times New Roman" w:cs="Arial"/>
          <w:sz w:val="24"/>
          <w:szCs w:val="24"/>
          <w:lang w:eastAsia="en-AU"/>
        </w:rPr>
        <w:t>debit card trial (the Trial)</w:t>
      </w:r>
      <w:r w:rsidR="00A649FB">
        <w:rPr>
          <w:rFonts w:eastAsia="Times New Roman" w:cs="Arial"/>
          <w:sz w:val="24"/>
          <w:szCs w:val="24"/>
          <w:lang w:eastAsia="en-AU"/>
        </w:rPr>
        <w:t xml:space="preserve"> under Part 3D of the Act</w:t>
      </w:r>
      <w:r w:rsidR="00EC66E1">
        <w:rPr>
          <w:rFonts w:eastAsia="Times New Roman" w:cs="Arial"/>
          <w:sz w:val="24"/>
          <w:szCs w:val="24"/>
          <w:lang w:eastAsia="en-AU"/>
        </w:rPr>
        <w:t>.</w:t>
      </w:r>
      <w:proofErr w:type="gramEnd"/>
      <w:r w:rsidR="00EC66E1">
        <w:rPr>
          <w:rFonts w:eastAsia="Times New Roman" w:cs="Arial"/>
          <w:sz w:val="24"/>
          <w:szCs w:val="24"/>
          <w:lang w:eastAsia="en-AU"/>
        </w:rPr>
        <w:t xml:space="preserve"> </w:t>
      </w:r>
      <w:r>
        <w:rPr>
          <w:rFonts w:eastAsia="Times New Roman" w:cs="Arial"/>
          <w:sz w:val="24"/>
          <w:szCs w:val="24"/>
          <w:lang w:eastAsia="en-AU"/>
        </w:rPr>
        <w:t>Sub</w:t>
      </w:r>
      <w:r w:rsidR="00051905">
        <w:rPr>
          <w:rFonts w:eastAsia="Times New Roman" w:cs="Arial"/>
          <w:sz w:val="24"/>
          <w:szCs w:val="24"/>
          <w:lang w:eastAsia="en-AU"/>
        </w:rPr>
        <w:t xml:space="preserve">section 124PG(1) of the Act </w:t>
      </w:r>
      <w:r w:rsidR="00A649FB">
        <w:rPr>
          <w:rFonts w:eastAsia="Times New Roman" w:cs="Arial"/>
          <w:sz w:val="24"/>
          <w:szCs w:val="24"/>
          <w:lang w:eastAsia="en-AU"/>
        </w:rPr>
        <w:t xml:space="preserve">empowers </w:t>
      </w:r>
      <w:r w:rsidR="00051905">
        <w:rPr>
          <w:rFonts w:eastAsia="Times New Roman" w:cs="Arial"/>
          <w:sz w:val="24"/>
          <w:szCs w:val="24"/>
          <w:lang w:eastAsia="en-AU"/>
        </w:rPr>
        <w:t xml:space="preserve">the Minister </w:t>
      </w:r>
      <w:r w:rsidR="00A649FB">
        <w:rPr>
          <w:rFonts w:eastAsia="Times New Roman" w:cs="Arial"/>
          <w:sz w:val="24"/>
          <w:szCs w:val="24"/>
          <w:lang w:eastAsia="en-AU"/>
        </w:rPr>
        <w:t>to determine, by</w:t>
      </w:r>
      <w:r w:rsidR="00051905">
        <w:rPr>
          <w:rFonts w:eastAsia="Times New Roman" w:cs="Arial"/>
          <w:sz w:val="24"/>
          <w:szCs w:val="24"/>
          <w:lang w:eastAsia="en-AU"/>
        </w:rPr>
        <w:t xml:space="preserve"> legislative instrument, </w:t>
      </w:r>
      <w:r w:rsidR="00A649FB">
        <w:rPr>
          <w:rFonts w:eastAsia="Times New Roman" w:cs="Arial"/>
          <w:sz w:val="24"/>
          <w:szCs w:val="24"/>
          <w:lang w:eastAsia="en-AU"/>
        </w:rPr>
        <w:t>whether a particular trigger payment is to apply both in respect of a particular class of person and in relation to a particular trial area, or simply in relation to a particular trial area.</w:t>
      </w:r>
      <w:r w:rsidR="00051905">
        <w:rPr>
          <w:rFonts w:eastAsia="Times New Roman" w:cs="Arial"/>
          <w:sz w:val="24"/>
          <w:szCs w:val="24"/>
          <w:lang w:eastAsia="en-AU"/>
        </w:rPr>
        <w:t xml:space="preserve"> </w:t>
      </w:r>
    </w:p>
    <w:p w:rsidR="001069DB" w:rsidRDefault="00E57716"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The</w:t>
      </w:r>
      <w:r w:rsidRPr="0095564F">
        <w:rPr>
          <w:rFonts w:eastAsia="Times New Roman" w:cs="Arial"/>
          <w:i/>
          <w:sz w:val="24"/>
          <w:szCs w:val="24"/>
          <w:lang w:eastAsia="en-AU"/>
        </w:rPr>
        <w:t xml:space="preserve"> Social Security (Administration) (Trial Area – Ceduna and Surrounding Region) Determination 2015 </w:t>
      </w:r>
      <w:r w:rsidRPr="00E57716">
        <w:rPr>
          <w:rFonts w:eastAsia="Times New Roman" w:cs="Arial"/>
          <w:sz w:val="24"/>
          <w:szCs w:val="24"/>
          <w:lang w:eastAsia="en-AU"/>
        </w:rPr>
        <w:t xml:space="preserve">(the </w:t>
      </w:r>
      <w:r w:rsidR="00B57730">
        <w:rPr>
          <w:rFonts w:eastAsia="Times New Roman" w:cs="Arial"/>
          <w:sz w:val="24"/>
          <w:szCs w:val="24"/>
          <w:lang w:eastAsia="en-AU"/>
        </w:rPr>
        <w:t>Ceduna</w:t>
      </w:r>
      <w:r w:rsidRPr="00E57716">
        <w:rPr>
          <w:rFonts w:eastAsia="Times New Roman" w:cs="Arial"/>
          <w:sz w:val="24"/>
          <w:szCs w:val="24"/>
          <w:lang w:eastAsia="en-AU"/>
        </w:rPr>
        <w:t xml:space="preserve"> Determination)</w:t>
      </w:r>
      <w:r w:rsidR="00AD5236">
        <w:rPr>
          <w:rFonts w:eastAsia="Times New Roman" w:cs="Arial"/>
          <w:sz w:val="24"/>
          <w:szCs w:val="24"/>
          <w:lang w:eastAsia="en-AU"/>
        </w:rPr>
        <w:t xml:space="preserve"> declares Ceduna and the s</w:t>
      </w:r>
      <w:r>
        <w:rPr>
          <w:rFonts w:eastAsia="Times New Roman" w:cs="Arial"/>
          <w:sz w:val="24"/>
          <w:szCs w:val="24"/>
          <w:lang w:eastAsia="en-AU"/>
        </w:rPr>
        <w:t xml:space="preserve">urrounding </w:t>
      </w:r>
      <w:r w:rsidR="00AD5236">
        <w:rPr>
          <w:rFonts w:eastAsia="Times New Roman" w:cs="Arial"/>
          <w:sz w:val="24"/>
          <w:szCs w:val="24"/>
          <w:lang w:eastAsia="en-AU"/>
        </w:rPr>
        <w:t>r</w:t>
      </w:r>
      <w:r>
        <w:rPr>
          <w:rFonts w:eastAsia="Times New Roman" w:cs="Arial"/>
          <w:sz w:val="24"/>
          <w:szCs w:val="24"/>
          <w:lang w:eastAsia="en-AU"/>
        </w:rPr>
        <w:t xml:space="preserve">egion </w:t>
      </w:r>
      <w:r w:rsidR="001069DB">
        <w:rPr>
          <w:rFonts w:eastAsia="Times New Roman" w:cs="Arial"/>
          <w:sz w:val="24"/>
          <w:szCs w:val="24"/>
          <w:lang w:eastAsia="en-AU"/>
        </w:rPr>
        <w:t xml:space="preserve">(the Ceduna region) </w:t>
      </w:r>
      <w:r>
        <w:rPr>
          <w:rFonts w:eastAsia="Times New Roman" w:cs="Arial"/>
          <w:sz w:val="24"/>
          <w:szCs w:val="24"/>
          <w:lang w:eastAsia="en-AU"/>
        </w:rPr>
        <w:t>as a trial area from 15 March 201</w:t>
      </w:r>
      <w:r w:rsidR="00B57730">
        <w:rPr>
          <w:rFonts w:eastAsia="Times New Roman" w:cs="Arial"/>
          <w:sz w:val="24"/>
          <w:szCs w:val="24"/>
          <w:lang w:eastAsia="en-AU"/>
        </w:rPr>
        <w:t xml:space="preserve">6 with effect for a period of 12 </w:t>
      </w:r>
      <w:r>
        <w:rPr>
          <w:rFonts w:eastAsia="Times New Roman" w:cs="Arial"/>
          <w:sz w:val="24"/>
          <w:szCs w:val="24"/>
          <w:lang w:eastAsia="en-AU"/>
        </w:rPr>
        <w:t>months</w:t>
      </w:r>
      <w:r w:rsidR="00BE049C">
        <w:rPr>
          <w:rFonts w:eastAsia="Times New Roman" w:cs="Arial"/>
          <w:sz w:val="24"/>
          <w:szCs w:val="24"/>
          <w:lang w:eastAsia="en-AU"/>
        </w:rPr>
        <w:t>. T</w:t>
      </w:r>
      <w:r>
        <w:rPr>
          <w:rFonts w:eastAsia="Times New Roman" w:cs="Arial"/>
          <w:sz w:val="24"/>
          <w:szCs w:val="24"/>
          <w:lang w:eastAsia="en-AU"/>
        </w:rPr>
        <w:t>he De</w:t>
      </w:r>
      <w:r w:rsidR="00B57730">
        <w:rPr>
          <w:rFonts w:eastAsia="Times New Roman" w:cs="Arial"/>
          <w:sz w:val="24"/>
          <w:szCs w:val="24"/>
          <w:lang w:eastAsia="en-AU"/>
        </w:rPr>
        <w:t>termination ceases on the date 12</w:t>
      </w:r>
      <w:r>
        <w:rPr>
          <w:rFonts w:eastAsia="Times New Roman" w:cs="Arial"/>
          <w:sz w:val="24"/>
          <w:szCs w:val="24"/>
          <w:lang w:eastAsia="en-AU"/>
        </w:rPr>
        <w:t xml:space="preserve"> months from its commencement under section 3.</w:t>
      </w:r>
      <w:r w:rsidR="00B57730" w:rsidRPr="00B57730">
        <w:rPr>
          <w:rFonts w:eastAsia="Times New Roman" w:cs="Arial"/>
          <w:sz w:val="24"/>
          <w:szCs w:val="24"/>
          <w:lang w:eastAsia="en-AU"/>
        </w:rPr>
        <w:t xml:space="preserve"> </w:t>
      </w:r>
    </w:p>
    <w:p w:rsidR="00E409B3" w:rsidRDefault="00B57730"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The</w:t>
      </w:r>
      <w:r w:rsidRPr="0095564F">
        <w:rPr>
          <w:rFonts w:eastAsia="Times New Roman" w:cs="Arial"/>
          <w:i/>
          <w:sz w:val="24"/>
          <w:szCs w:val="24"/>
          <w:lang w:eastAsia="en-AU"/>
        </w:rPr>
        <w:t xml:space="preserve"> Social Security (Administration) (Trial Area – </w:t>
      </w:r>
      <w:r>
        <w:rPr>
          <w:rFonts w:eastAsia="Times New Roman" w:cs="Arial"/>
          <w:i/>
          <w:sz w:val="24"/>
          <w:szCs w:val="24"/>
          <w:lang w:eastAsia="en-AU"/>
        </w:rPr>
        <w:t>East Kimberley</w:t>
      </w:r>
      <w:r w:rsidRPr="0095564F">
        <w:rPr>
          <w:rFonts w:eastAsia="Times New Roman" w:cs="Arial"/>
          <w:i/>
          <w:sz w:val="24"/>
          <w:szCs w:val="24"/>
          <w:lang w:eastAsia="en-AU"/>
        </w:rPr>
        <w:t>) Determination 201</w:t>
      </w:r>
      <w:r>
        <w:rPr>
          <w:rFonts w:eastAsia="Times New Roman" w:cs="Arial"/>
          <w:i/>
          <w:sz w:val="24"/>
          <w:szCs w:val="24"/>
          <w:lang w:eastAsia="en-AU"/>
        </w:rPr>
        <w:t>6</w:t>
      </w:r>
      <w:r w:rsidRPr="0095564F">
        <w:rPr>
          <w:rFonts w:eastAsia="Times New Roman" w:cs="Arial"/>
          <w:i/>
          <w:sz w:val="24"/>
          <w:szCs w:val="24"/>
          <w:lang w:eastAsia="en-AU"/>
        </w:rPr>
        <w:t xml:space="preserve"> </w:t>
      </w:r>
      <w:r w:rsidRPr="00E57716">
        <w:rPr>
          <w:rFonts w:eastAsia="Times New Roman" w:cs="Arial"/>
          <w:sz w:val="24"/>
          <w:szCs w:val="24"/>
          <w:lang w:eastAsia="en-AU"/>
        </w:rPr>
        <w:t>(the</w:t>
      </w:r>
      <w:r>
        <w:rPr>
          <w:rFonts w:eastAsia="Times New Roman" w:cs="Arial"/>
          <w:sz w:val="24"/>
          <w:szCs w:val="24"/>
          <w:lang w:eastAsia="en-AU"/>
        </w:rPr>
        <w:t xml:space="preserve"> East</w:t>
      </w:r>
      <w:r w:rsidRPr="00E57716">
        <w:rPr>
          <w:rFonts w:eastAsia="Times New Roman" w:cs="Arial"/>
          <w:sz w:val="24"/>
          <w:szCs w:val="24"/>
          <w:lang w:eastAsia="en-AU"/>
        </w:rPr>
        <w:t xml:space="preserve"> </w:t>
      </w:r>
      <w:r>
        <w:rPr>
          <w:rFonts w:eastAsia="Times New Roman" w:cs="Arial"/>
          <w:sz w:val="24"/>
          <w:szCs w:val="24"/>
          <w:lang w:eastAsia="en-AU"/>
        </w:rPr>
        <w:t>Kimberley</w:t>
      </w:r>
      <w:r w:rsidRPr="00E57716">
        <w:rPr>
          <w:rFonts w:eastAsia="Times New Roman" w:cs="Arial"/>
          <w:sz w:val="24"/>
          <w:szCs w:val="24"/>
          <w:lang w:eastAsia="en-AU"/>
        </w:rPr>
        <w:t xml:space="preserve"> Determination)</w:t>
      </w:r>
      <w:r>
        <w:rPr>
          <w:rFonts w:eastAsia="Times New Roman" w:cs="Arial"/>
          <w:sz w:val="24"/>
          <w:szCs w:val="24"/>
          <w:lang w:eastAsia="en-AU"/>
        </w:rPr>
        <w:t xml:space="preserve"> declares East Kimberley as a trial area from 26 April 2016 with effect for a period of 12 months</w:t>
      </w:r>
      <w:r w:rsidR="00BE049C">
        <w:rPr>
          <w:rFonts w:eastAsia="Times New Roman" w:cs="Arial"/>
          <w:sz w:val="24"/>
          <w:szCs w:val="24"/>
          <w:lang w:eastAsia="en-AU"/>
        </w:rPr>
        <w:t>. T</w:t>
      </w:r>
      <w:r>
        <w:rPr>
          <w:rFonts w:eastAsia="Times New Roman" w:cs="Arial"/>
          <w:sz w:val="24"/>
          <w:szCs w:val="24"/>
          <w:lang w:eastAsia="en-AU"/>
        </w:rPr>
        <w:t>he Determination ceases on the date 12 months from its commencement under section 3.</w:t>
      </w:r>
    </w:p>
    <w:p w:rsidR="00501570" w:rsidRPr="00501570" w:rsidRDefault="00E409B3"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Pr>
          <w:rFonts w:eastAsia="Times New Roman" w:cs="Arial"/>
          <w:sz w:val="24"/>
          <w:szCs w:val="24"/>
          <w:lang w:eastAsia="en-AU"/>
        </w:rPr>
        <w:t xml:space="preserve">In accordance with subsection 124PG(1) of the Act, this Amending Determination </w:t>
      </w:r>
      <w:r w:rsidR="00DB1E92">
        <w:rPr>
          <w:rFonts w:eastAsia="Times New Roman" w:cs="Arial"/>
          <w:sz w:val="24"/>
          <w:szCs w:val="24"/>
          <w:lang w:eastAsia="en-AU"/>
        </w:rPr>
        <w:t xml:space="preserve">amends </w:t>
      </w:r>
      <w:r w:rsidR="00B57730">
        <w:rPr>
          <w:rFonts w:eastAsia="Times New Roman" w:cs="Arial"/>
          <w:sz w:val="24"/>
          <w:szCs w:val="24"/>
          <w:lang w:eastAsia="en-AU"/>
        </w:rPr>
        <w:t>section 3 of</w:t>
      </w:r>
      <w:r>
        <w:rPr>
          <w:rFonts w:eastAsia="Times New Roman" w:cs="Arial"/>
          <w:sz w:val="24"/>
          <w:szCs w:val="24"/>
          <w:lang w:eastAsia="en-AU"/>
        </w:rPr>
        <w:t xml:space="preserve"> the</w:t>
      </w:r>
      <w:r w:rsidR="00DD19C7">
        <w:rPr>
          <w:rFonts w:eastAsia="Times New Roman" w:cs="Arial"/>
          <w:sz w:val="24"/>
          <w:szCs w:val="24"/>
          <w:lang w:eastAsia="en-AU"/>
        </w:rPr>
        <w:t xml:space="preserve"> </w:t>
      </w:r>
      <w:r w:rsidR="00B57730">
        <w:rPr>
          <w:rFonts w:eastAsia="Times New Roman" w:cs="Arial"/>
          <w:sz w:val="24"/>
          <w:szCs w:val="24"/>
          <w:lang w:eastAsia="en-AU"/>
        </w:rPr>
        <w:t>Ceduna Determination and the East Kimberley</w:t>
      </w:r>
      <w:r w:rsidR="00DD19C7">
        <w:rPr>
          <w:rFonts w:eastAsia="Times New Roman" w:cs="Arial"/>
          <w:sz w:val="24"/>
          <w:szCs w:val="24"/>
          <w:lang w:eastAsia="en-AU"/>
        </w:rPr>
        <w:t xml:space="preserve"> Determination</w:t>
      </w:r>
      <w:r w:rsidR="00B57730">
        <w:rPr>
          <w:rFonts w:eastAsia="Times New Roman" w:cs="Arial"/>
          <w:sz w:val="24"/>
          <w:szCs w:val="24"/>
          <w:lang w:eastAsia="en-AU"/>
        </w:rPr>
        <w:t xml:space="preserve"> (the Determinations)</w:t>
      </w:r>
      <w:r w:rsidR="00DD19C7">
        <w:rPr>
          <w:rFonts w:eastAsia="Times New Roman" w:cs="Arial"/>
          <w:sz w:val="24"/>
          <w:szCs w:val="24"/>
          <w:lang w:eastAsia="en-AU"/>
        </w:rPr>
        <w:t xml:space="preserve"> </w:t>
      </w:r>
      <w:r>
        <w:rPr>
          <w:rFonts w:eastAsia="Times New Roman" w:cs="Arial"/>
          <w:sz w:val="24"/>
          <w:szCs w:val="24"/>
          <w:lang w:eastAsia="en-AU"/>
        </w:rPr>
        <w:t xml:space="preserve">to </w:t>
      </w:r>
      <w:r w:rsidR="00DB1E92">
        <w:rPr>
          <w:rFonts w:eastAsia="Times New Roman" w:cs="Arial"/>
          <w:sz w:val="24"/>
          <w:szCs w:val="24"/>
          <w:lang w:eastAsia="en-AU"/>
        </w:rPr>
        <w:t>delay the cessation of the Determinations for a period of six months. This will extend the Trial in the Ceduna region until 14 September 2017 and</w:t>
      </w:r>
      <w:r w:rsidR="00920DB4">
        <w:rPr>
          <w:rFonts w:eastAsia="Times New Roman" w:cs="Arial"/>
          <w:sz w:val="24"/>
          <w:szCs w:val="24"/>
          <w:lang w:eastAsia="en-AU"/>
        </w:rPr>
        <w:t xml:space="preserve"> will extend the Trial</w:t>
      </w:r>
      <w:r w:rsidR="00DB1E92">
        <w:rPr>
          <w:rFonts w:eastAsia="Times New Roman" w:cs="Arial"/>
          <w:sz w:val="24"/>
          <w:szCs w:val="24"/>
          <w:lang w:eastAsia="en-AU"/>
        </w:rPr>
        <w:t xml:space="preserve"> in East Kimberley until 25 October 2017.</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Background</w:t>
      </w:r>
    </w:p>
    <w:p w:rsidR="00BF4FB4" w:rsidRPr="00BF4FB4" w:rsidRDefault="00BF4FB4"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sidR="007D22ED">
        <w:rPr>
          <w:rFonts w:eastAsia="Times New Roman" w:cs="Arial"/>
          <w:sz w:val="24"/>
          <w:szCs w:val="24"/>
          <w:lang w:eastAsia="en-AU"/>
        </w:rPr>
        <w:t xml:space="preserve">Trial established by Part 3D of the Act </w:t>
      </w:r>
      <w:r w:rsidRPr="00BF4FB4">
        <w:rPr>
          <w:rFonts w:eastAsia="Times New Roman" w:cs="Arial"/>
          <w:sz w:val="24"/>
          <w:szCs w:val="24"/>
          <w:lang w:eastAsia="en-AU"/>
        </w:rPr>
        <w:t>test</w:t>
      </w:r>
      <w:r w:rsidR="007D22ED">
        <w:rPr>
          <w:rFonts w:eastAsia="Times New Roman" w:cs="Arial"/>
          <w:sz w:val="24"/>
          <w:szCs w:val="24"/>
          <w:lang w:eastAsia="en-AU"/>
        </w:rPr>
        <w:t>s</w:t>
      </w:r>
      <w:r w:rsidRPr="00BF4FB4">
        <w:rPr>
          <w:rFonts w:eastAsia="Times New Roman" w:cs="Arial"/>
          <w:sz w:val="24"/>
          <w:szCs w:val="24"/>
          <w:lang w:eastAsia="en-AU"/>
        </w:rPr>
        <w:t xml:space="preserve"> the concept of cashless welfare arrangements by disbursing </w:t>
      </w:r>
      <w:r w:rsidR="007D22ED">
        <w:rPr>
          <w:rFonts w:eastAsia="Times New Roman" w:cs="Arial"/>
          <w:sz w:val="24"/>
          <w:szCs w:val="24"/>
          <w:lang w:eastAsia="en-AU"/>
        </w:rPr>
        <w:t xml:space="preserve">a percentage of particular welfare payments to a </w:t>
      </w:r>
      <w:r w:rsidRPr="00BF4FB4">
        <w:rPr>
          <w:rFonts w:eastAsia="Times New Roman" w:cs="Arial"/>
          <w:sz w:val="24"/>
          <w:szCs w:val="24"/>
          <w:lang w:eastAsia="en-AU"/>
        </w:rPr>
        <w:t xml:space="preserve">welfare </w:t>
      </w:r>
      <w:r w:rsidR="007D22ED">
        <w:rPr>
          <w:rFonts w:eastAsia="Times New Roman" w:cs="Arial"/>
          <w:sz w:val="24"/>
          <w:szCs w:val="24"/>
          <w:lang w:eastAsia="en-AU"/>
        </w:rPr>
        <w:t xml:space="preserve">restricted </w:t>
      </w:r>
      <w:r w:rsidRPr="00BF4FB4">
        <w:rPr>
          <w:rFonts w:eastAsia="Times New Roman" w:cs="Arial"/>
          <w:sz w:val="24"/>
          <w:szCs w:val="24"/>
          <w:lang w:eastAsia="en-AU"/>
        </w:rPr>
        <w:t xml:space="preserve">bank account, accessed </w:t>
      </w:r>
      <w:r w:rsidR="007D22ED">
        <w:rPr>
          <w:rFonts w:eastAsia="Times New Roman" w:cs="Arial"/>
          <w:sz w:val="24"/>
          <w:szCs w:val="24"/>
          <w:lang w:eastAsia="en-AU"/>
        </w:rPr>
        <w:t xml:space="preserve">solely </w:t>
      </w:r>
      <w:r w:rsidRPr="00BF4FB4">
        <w:rPr>
          <w:rFonts w:eastAsia="Times New Roman" w:cs="Arial"/>
          <w:sz w:val="24"/>
          <w:szCs w:val="24"/>
          <w:lang w:eastAsia="en-AU"/>
        </w:rPr>
        <w:t xml:space="preserve">by a debit card </w:t>
      </w:r>
      <w:r w:rsidR="00403D5F">
        <w:rPr>
          <w:rFonts w:eastAsia="Times New Roman" w:cs="Arial"/>
          <w:sz w:val="24"/>
          <w:szCs w:val="24"/>
          <w:lang w:eastAsia="en-AU"/>
        </w:rPr>
        <w:t>that</w:t>
      </w:r>
      <w:r w:rsidRPr="00BF4FB4">
        <w:rPr>
          <w:rFonts w:eastAsia="Times New Roman" w:cs="Arial"/>
          <w:sz w:val="24"/>
          <w:szCs w:val="24"/>
          <w:lang w:eastAsia="en-AU"/>
        </w:rPr>
        <w:t xml:space="preserve"> does not allow cash withdrawals</w:t>
      </w:r>
      <w:r w:rsidR="00EC66E1">
        <w:rPr>
          <w:rFonts w:eastAsia="Times New Roman" w:cs="Arial"/>
          <w:sz w:val="24"/>
          <w:szCs w:val="24"/>
          <w:lang w:eastAsia="en-AU"/>
        </w:rPr>
        <w:t xml:space="preserve">. </w:t>
      </w:r>
    </w:p>
    <w:p w:rsidR="00BF4FB4" w:rsidRPr="00BF4FB4" w:rsidRDefault="00BF4FB4" w:rsidP="001967E7">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sidR="00B91460">
        <w:rPr>
          <w:rFonts w:eastAsia="Times New Roman" w:cs="Arial"/>
          <w:sz w:val="24"/>
          <w:szCs w:val="24"/>
          <w:lang w:eastAsia="en-AU"/>
        </w:rPr>
        <w:t>T</w:t>
      </w:r>
      <w:r w:rsidRPr="00BF4FB4">
        <w:rPr>
          <w:rFonts w:eastAsia="Times New Roman" w:cs="Arial"/>
          <w:sz w:val="24"/>
          <w:szCs w:val="24"/>
          <w:lang w:eastAsia="en-AU"/>
        </w:rPr>
        <w:t xml:space="preserve">rial </w:t>
      </w:r>
      <w:r w:rsidR="00B91460">
        <w:rPr>
          <w:rFonts w:eastAsia="Times New Roman" w:cs="Arial"/>
          <w:sz w:val="24"/>
          <w:szCs w:val="24"/>
          <w:lang w:eastAsia="en-AU"/>
        </w:rPr>
        <w:t>tests</w:t>
      </w:r>
      <w:r w:rsidRPr="00BF4FB4">
        <w:rPr>
          <w:rFonts w:eastAsia="Times New Roman" w:cs="Arial"/>
          <w:sz w:val="24"/>
          <w:szCs w:val="24"/>
          <w:lang w:eastAsia="en-AU"/>
        </w:rPr>
        <w:t xml:space="preserve"> whether significantly reducing access to discretionary cash, by placing a significant proportion of a person’s welfare payments into a restricted bank account, can reduce the habitual abuse and associated community level harm resulting from alcohol, gambling and drugs</w:t>
      </w:r>
      <w:r w:rsidR="00EC66E1">
        <w:rPr>
          <w:rFonts w:eastAsia="Times New Roman" w:cs="Arial"/>
          <w:sz w:val="24"/>
          <w:szCs w:val="24"/>
          <w:lang w:eastAsia="en-AU"/>
        </w:rPr>
        <w:t xml:space="preserve">. </w:t>
      </w:r>
      <w:r w:rsidRPr="00BF4FB4">
        <w:rPr>
          <w:rFonts w:eastAsia="Times New Roman" w:cs="Arial"/>
          <w:sz w:val="24"/>
          <w:szCs w:val="24"/>
          <w:lang w:eastAsia="en-AU"/>
        </w:rPr>
        <w:t>It also test</w:t>
      </w:r>
      <w:r w:rsidR="00755225">
        <w:rPr>
          <w:rFonts w:eastAsia="Times New Roman" w:cs="Arial"/>
          <w:sz w:val="24"/>
          <w:szCs w:val="24"/>
          <w:lang w:eastAsia="en-AU"/>
        </w:rPr>
        <w:t>s</w:t>
      </w:r>
      <w:r w:rsidRPr="00BF4FB4">
        <w:rPr>
          <w:rFonts w:eastAsia="Times New Roman" w:cs="Arial"/>
          <w:sz w:val="24"/>
          <w:szCs w:val="24"/>
          <w:lang w:eastAsia="en-AU"/>
        </w:rPr>
        <w:t xml:space="preserve"> whether cashless welfare arrangements are more effective when community bodies are involved.</w:t>
      </w:r>
    </w:p>
    <w:p w:rsidR="00BF4FB4" w:rsidRDefault="004E16F4"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lastRenderedPageBreak/>
        <w:t>The T</w:t>
      </w:r>
      <w:r w:rsidR="00BF4FB4" w:rsidRPr="00BF4FB4">
        <w:rPr>
          <w:rFonts w:eastAsia="Times New Roman" w:cs="Arial"/>
          <w:sz w:val="24"/>
          <w:szCs w:val="24"/>
          <w:lang w:eastAsia="en-AU"/>
        </w:rPr>
        <w:t xml:space="preserve">rial </w:t>
      </w:r>
      <w:r w:rsidR="00BF4FB4">
        <w:rPr>
          <w:rFonts w:eastAsia="Times New Roman" w:cs="Arial"/>
          <w:sz w:val="24"/>
          <w:szCs w:val="24"/>
          <w:lang w:eastAsia="en-AU"/>
        </w:rPr>
        <w:t>has been conducted in two locations,</w:t>
      </w:r>
      <w:r w:rsidR="001069DB">
        <w:rPr>
          <w:rFonts w:eastAsia="Times New Roman" w:cs="Arial"/>
          <w:sz w:val="24"/>
          <w:szCs w:val="24"/>
          <w:lang w:eastAsia="en-AU"/>
        </w:rPr>
        <w:t xml:space="preserve"> the East Kimberley and Ceduna regions,</w:t>
      </w:r>
      <w:r w:rsidR="00BF4FB4" w:rsidRPr="00BF4FB4">
        <w:rPr>
          <w:rFonts w:eastAsia="Times New Roman" w:cs="Arial"/>
          <w:sz w:val="24"/>
          <w:szCs w:val="24"/>
          <w:lang w:eastAsia="en-AU"/>
        </w:rPr>
        <w:t xml:space="preserve"> selected on the basis of community support, high levels of welfare dependence and where gambling, alcohol and/or drug abuse are causing unacceptable levels of harm within the community</w:t>
      </w:r>
      <w:r w:rsidR="001069DB">
        <w:rPr>
          <w:rFonts w:eastAsia="Times New Roman" w:cs="Arial"/>
          <w:sz w:val="24"/>
          <w:szCs w:val="24"/>
          <w:lang w:eastAsia="en-AU"/>
        </w:rPr>
        <w:t>.</w:t>
      </w:r>
    </w:p>
    <w:p w:rsidR="0005536C" w:rsidRDefault="00C95C7E" w:rsidP="001967E7">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sz w:val="24"/>
          <w:szCs w:val="24"/>
          <w:lang w:eastAsia="en-AU"/>
        </w:rPr>
        <w:t>While the early indications of the Trial</w:t>
      </w:r>
      <w:r w:rsidR="00755225">
        <w:rPr>
          <w:rFonts w:eastAsia="Times New Roman" w:cs="Arial"/>
          <w:sz w:val="24"/>
          <w:szCs w:val="24"/>
          <w:lang w:eastAsia="en-AU"/>
        </w:rPr>
        <w:t xml:space="preserve">‘s impact </w:t>
      </w:r>
      <w:r>
        <w:rPr>
          <w:rFonts w:eastAsia="Times New Roman" w:cs="Arial"/>
          <w:sz w:val="24"/>
          <w:szCs w:val="24"/>
          <w:lang w:eastAsia="en-AU"/>
        </w:rPr>
        <w:t xml:space="preserve">are positive, the Trial’s extension will allow the Government to make fully informed decisions about the future of welfare conditionality in Australia. </w:t>
      </w:r>
    </w:p>
    <w:p w:rsidR="00486F90" w:rsidRPr="006F56BE"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The Minister for Human Services has been appointed to also administer the Department of Social Services, and so pursuant to section 19A of the </w:t>
      </w:r>
      <w:r w:rsidRPr="00593402">
        <w:rPr>
          <w:rFonts w:eastAsia="Times New Roman" w:cs="Arial"/>
          <w:i/>
          <w:sz w:val="24"/>
          <w:szCs w:val="24"/>
          <w:lang w:eastAsia="en-AU"/>
        </w:rPr>
        <w:t>Acts Interpretation Act 1901</w:t>
      </w:r>
      <w:r w:rsidRPr="00501570">
        <w:rPr>
          <w:rFonts w:eastAsia="Times New Roman" w:cs="Arial"/>
          <w:sz w:val="24"/>
          <w:szCs w:val="24"/>
          <w:lang w:eastAsia="en-AU"/>
        </w:rPr>
        <w:t xml:space="preserve"> has the powers of the ‘Minister’ under Part 3D of the Act.</w:t>
      </w:r>
    </w:p>
    <w:p w:rsidR="007D22ED" w:rsidRPr="007D22ED" w:rsidRDefault="007D22ED" w:rsidP="00501570">
      <w:pPr>
        <w:shd w:val="clear" w:color="auto" w:fill="FFFFFF"/>
        <w:spacing w:before="100" w:beforeAutospacing="1" w:after="100" w:afterAutospacing="1" w:line="240" w:lineRule="auto"/>
        <w:rPr>
          <w:rFonts w:eastAsia="Times New Roman" w:cs="Arial"/>
          <w:b/>
          <w:sz w:val="24"/>
          <w:szCs w:val="24"/>
          <w:lang w:eastAsia="en-AU"/>
        </w:rPr>
      </w:pPr>
      <w:r w:rsidRPr="007D22ED">
        <w:rPr>
          <w:rFonts w:eastAsia="Times New Roman" w:cs="Arial"/>
          <w:b/>
          <w:sz w:val="24"/>
          <w:szCs w:val="24"/>
          <w:lang w:eastAsia="en-AU"/>
        </w:rPr>
        <w:t>Effect of determination</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The Amendment Determination is a legislative instrument.</w:t>
      </w:r>
    </w:p>
    <w:p w:rsidR="00501570" w:rsidRPr="00501570" w:rsidRDefault="00501570" w:rsidP="00501570">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Commencement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The Amendment Determination commences on the day it is registered on the Federal Register of Legislation</w:t>
      </w:r>
      <w:r>
        <w:rPr>
          <w:rFonts w:eastAsia="Times New Roman" w:cs="Arial"/>
          <w:sz w:val="24"/>
          <w:szCs w:val="24"/>
          <w:lang w:eastAsia="en-AU"/>
        </w:rPr>
        <w:t>.</w:t>
      </w:r>
    </w:p>
    <w:p w:rsidR="00501570" w:rsidRPr="00501570" w:rsidRDefault="00501570" w:rsidP="00501570">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Consultation</w:t>
      </w:r>
    </w:p>
    <w:p w:rsidR="00597BB3" w:rsidRPr="00597BB3" w:rsidRDefault="00501570" w:rsidP="00383213">
      <w:pPr>
        <w:autoSpaceDE w:val="0"/>
        <w:autoSpaceDN w:val="0"/>
        <w:adjustRightInd w:val="0"/>
        <w:spacing w:before="240" w:after="0" w:line="240" w:lineRule="auto"/>
        <w:rPr>
          <w:rFonts w:eastAsia="Times New Roman" w:cs="Arial"/>
          <w:sz w:val="24"/>
          <w:szCs w:val="24"/>
          <w:lang w:eastAsia="en-AU"/>
        </w:rPr>
      </w:pPr>
      <w:r w:rsidRPr="00501570">
        <w:rPr>
          <w:rFonts w:eastAsia="Times New Roman" w:cs="Arial"/>
          <w:sz w:val="24"/>
          <w:szCs w:val="24"/>
          <w:lang w:eastAsia="en-AU"/>
        </w:rPr>
        <w:t>The Government</w:t>
      </w:r>
      <w:r w:rsidR="00486F90">
        <w:rPr>
          <w:rFonts w:eastAsia="Times New Roman" w:cs="Arial"/>
          <w:sz w:val="24"/>
          <w:szCs w:val="24"/>
          <w:lang w:eastAsia="en-AU"/>
        </w:rPr>
        <w:t xml:space="preserve"> </w:t>
      </w:r>
      <w:r w:rsidR="00403D5F">
        <w:rPr>
          <w:rFonts w:eastAsia="Times New Roman" w:cs="Arial"/>
          <w:sz w:val="24"/>
          <w:szCs w:val="24"/>
          <w:lang w:eastAsia="en-AU"/>
        </w:rPr>
        <w:t xml:space="preserve">has undertaken </w:t>
      </w:r>
      <w:r w:rsidR="00486F90">
        <w:rPr>
          <w:rFonts w:eastAsia="Times New Roman" w:cs="Arial"/>
          <w:sz w:val="24"/>
          <w:szCs w:val="24"/>
          <w:lang w:eastAsia="en-AU"/>
        </w:rPr>
        <w:t xml:space="preserve">an extensive consultation process leading up to implementation of the Trial. </w:t>
      </w:r>
      <w:r w:rsidR="00597BB3" w:rsidRPr="00597BB3">
        <w:rPr>
          <w:rFonts w:eastAsia="Times New Roman" w:cs="Arial"/>
          <w:sz w:val="24"/>
          <w:szCs w:val="24"/>
          <w:lang w:eastAsia="en-AU"/>
        </w:rPr>
        <w:t>The Government, including officials from the Department of Social Services and Department of the Prime Minister and Cabinet</w:t>
      </w:r>
      <w:r w:rsidR="00F94807">
        <w:rPr>
          <w:rFonts w:eastAsia="Times New Roman" w:cs="Arial"/>
          <w:sz w:val="24"/>
          <w:szCs w:val="24"/>
          <w:lang w:eastAsia="en-AU"/>
        </w:rPr>
        <w:t>,</w:t>
      </w:r>
      <w:r w:rsidR="00597BB3" w:rsidRPr="00597BB3">
        <w:rPr>
          <w:rFonts w:eastAsia="Times New Roman" w:cs="Arial"/>
          <w:sz w:val="24"/>
          <w:szCs w:val="24"/>
          <w:lang w:eastAsia="en-AU"/>
        </w:rPr>
        <w:t xml:space="preserve"> ha</w:t>
      </w:r>
      <w:r w:rsidR="00290575">
        <w:rPr>
          <w:rFonts w:eastAsia="Times New Roman" w:cs="Arial"/>
          <w:sz w:val="24"/>
          <w:szCs w:val="24"/>
          <w:lang w:eastAsia="en-AU"/>
        </w:rPr>
        <w:t>s</w:t>
      </w:r>
      <w:r w:rsidR="00597BB3" w:rsidRPr="00597BB3">
        <w:rPr>
          <w:rFonts w:eastAsia="Times New Roman" w:cs="Arial"/>
          <w:sz w:val="24"/>
          <w:szCs w:val="24"/>
          <w:lang w:eastAsia="en-AU"/>
        </w:rPr>
        <w:t xml:space="preserve"> undertaken comprehensive engagement with people in </w:t>
      </w:r>
      <w:r w:rsidR="001069DB">
        <w:rPr>
          <w:rFonts w:eastAsia="Times New Roman" w:cs="Arial"/>
          <w:sz w:val="24"/>
          <w:szCs w:val="24"/>
          <w:lang w:eastAsia="en-AU"/>
        </w:rPr>
        <w:t xml:space="preserve">the East Kimberley and </w:t>
      </w:r>
      <w:r w:rsidR="00597BB3" w:rsidRPr="00597BB3">
        <w:rPr>
          <w:rFonts w:eastAsia="Times New Roman" w:cs="Arial"/>
          <w:sz w:val="24"/>
          <w:szCs w:val="24"/>
          <w:lang w:eastAsia="en-AU"/>
        </w:rPr>
        <w:t>Ce</w:t>
      </w:r>
      <w:r w:rsidR="00B34D9F">
        <w:rPr>
          <w:rFonts w:eastAsia="Times New Roman" w:cs="Arial"/>
          <w:sz w:val="24"/>
          <w:szCs w:val="24"/>
          <w:lang w:eastAsia="en-AU"/>
        </w:rPr>
        <w:t xml:space="preserve">duna </w:t>
      </w:r>
      <w:r w:rsidR="001069DB">
        <w:rPr>
          <w:rFonts w:eastAsia="Times New Roman" w:cs="Arial"/>
          <w:sz w:val="24"/>
          <w:szCs w:val="24"/>
          <w:lang w:eastAsia="en-AU"/>
        </w:rPr>
        <w:t>regions</w:t>
      </w:r>
      <w:r w:rsidR="00EC66E1">
        <w:rPr>
          <w:rFonts w:eastAsia="Times New Roman" w:cs="Arial"/>
          <w:sz w:val="24"/>
          <w:szCs w:val="24"/>
          <w:lang w:eastAsia="en-AU"/>
        </w:rPr>
        <w:t xml:space="preserve">. </w:t>
      </w:r>
    </w:p>
    <w:p w:rsidR="00597BB3" w:rsidRPr="00597BB3" w:rsidRDefault="00597BB3" w:rsidP="00597BB3">
      <w:pPr>
        <w:spacing w:before="240" w:after="0" w:line="240" w:lineRule="auto"/>
        <w:rPr>
          <w:rFonts w:eastAsia="Times New Roman" w:cs="Arial"/>
          <w:sz w:val="24"/>
          <w:szCs w:val="24"/>
          <w:lang w:eastAsia="en-AU"/>
        </w:rPr>
      </w:pPr>
      <w:r w:rsidRPr="00597BB3">
        <w:rPr>
          <w:rFonts w:eastAsia="Times New Roman" w:cs="Arial"/>
          <w:sz w:val="24"/>
          <w:szCs w:val="24"/>
          <w:lang w:eastAsia="en-AU"/>
        </w:rPr>
        <w:t>Those consulted include potential trial participants, Aboriginal leaders, family violence service providers, family support services, education providers, health providers, rehabilitation service providers, police, local government, state government agencies, and the Department of Human Services local staff</w:t>
      </w:r>
      <w:r w:rsidR="00EC66E1">
        <w:rPr>
          <w:rFonts w:eastAsia="Times New Roman" w:cs="Arial"/>
          <w:sz w:val="24"/>
          <w:szCs w:val="24"/>
          <w:lang w:eastAsia="en-AU"/>
        </w:rPr>
        <w:t xml:space="preserve">. </w:t>
      </w:r>
      <w:r w:rsidR="00B34D9F">
        <w:rPr>
          <w:rFonts w:eastAsia="Times New Roman" w:cs="Arial"/>
          <w:sz w:val="24"/>
          <w:szCs w:val="24"/>
          <w:lang w:eastAsia="en-AU"/>
        </w:rPr>
        <w:t>The </w:t>
      </w:r>
      <w:r w:rsidRPr="00597BB3">
        <w:rPr>
          <w:rFonts w:eastAsia="Times New Roman" w:cs="Arial"/>
          <w:sz w:val="24"/>
          <w:szCs w:val="24"/>
          <w:lang w:eastAsia="en-AU"/>
        </w:rPr>
        <w:t>consultation format has included one-on-one meetings and group roundtables.</w:t>
      </w:r>
    </w:p>
    <w:p w:rsidR="00597BB3" w:rsidRPr="00597BB3" w:rsidRDefault="00597BB3" w:rsidP="00597BB3">
      <w:pPr>
        <w:autoSpaceDE w:val="0"/>
        <w:autoSpaceDN w:val="0"/>
        <w:adjustRightInd w:val="0"/>
        <w:spacing w:before="240" w:after="0" w:line="240" w:lineRule="auto"/>
        <w:rPr>
          <w:rFonts w:eastAsia="Times New Roman" w:cs="Arial"/>
          <w:sz w:val="24"/>
          <w:szCs w:val="24"/>
          <w:lang w:eastAsia="en-AU"/>
        </w:rPr>
      </w:pPr>
      <w:r w:rsidRPr="00597BB3">
        <w:rPr>
          <w:rFonts w:eastAsia="Times New Roman" w:cs="Arial"/>
          <w:sz w:val="24"/>
          <w:szCs w:val="24"/>
          <w:lang w:eastAsia="en-AU"/>
        </w:rPr>
        <w:t xml:space="preserve">Consultations </w:t>
      </w:r>
      <w:r w:rsidR="00145B6D">
        <w:rPr>
          <w:rFonts w:eastAsia="Times New Roman" w:cs="Arial"/>
          <w:sz w:val="24"/>
          <w:szCs w:val="24"/>
          <w:lang w:eastAsia="en-AU"/>
        </w:rPr>
        <w:t>were undertaken to better understand local needs and gauge interest in the Trial. Advice was also sought from community members</w:t>
      </w:r>
      <w:r w:rsidRPr="00597BB3">
        <w:rPr>
          <w:rFonts w:eastAsia="Times New Roman" w:cs="Arial"/>
          <w:sz w:val="24"/>
          <w:szCs w:val="24"/>
          <w:lang w:eastAsia="en-AU"/>
        </w:rPr>
        <w:t xml:space="preserve"> about the identification of local and cultural protocol</w:t>
      </w:r>
      <w:r w:rsidR="00145B6D">
        <w:rPr>
          <w:rFonts w:eastAsia="Times New Roman" w:cs="Arial"/>
          <w:sz w:val="24"/>
          <w:szCs w:val="24"/>
          <w:lang w:eastAsia="en-AU"/>
        </w:rPr>
        <w:t>s</w:t>
      </w:r>
      <w:r w:rsidRPr="00597BB3">
        <w:rPr>
          <w:rFonts w:eastAsia="Times New Roman" w:cs="Arial"/>
          <w:sz w:val="24"/>
          <w:szCs w:val="24"/>
          <w:lang w:eastAsia="en-AU"/>
        </w:rPr>
        <w:t xml:space="preserve"> and preferred entry points for community discussion. Topics of discussion included:</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key </w:t>
      </w:r>
      <w:r w:rsidR="008A0CEC">
        <w:rPr>
          <w:rFonts w:eastAsia="Times New Roman" w:cs="Arial"/>
          <w:sz w:val="24"/>
          <w:szCs w:val="20"/>
          <w:lang w:eastAsia="en-AU"/>
        </w:rPr>
        <w:t>T</w:t>
      </w:r>
      <w:r w:rsidRPr="00597BB3">
        <w:rPr>
          <w:rFonts w:eastAsia="Times New Roman" w:cs="Arial"/>
          <w:sz w:val="24"/>
          <w:szCs w:val="20"/>
          <w:lang w:eastAsia="en-AU"/>
        </w:rPr>
        <w:t>rial objectives;</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parameters (including percentages and trial boundaries);</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w:t>
      </w:r>
      <w:r w:rsidR="002660D8">
        <w:rPr>
          <w:rFonts w:eastAsia="Times New Roman" w:cs="Arial"/>
          <w:sz w:val="24"/>
          <w:szCs w:val="20"/>
          <w:lang w:eastAsia="en-AU"/>
        </w:rPr>
        <w:t>he anticipated benefits of the T</w:t>
      </w:r>
      <w:r w:rsidRPr="00597BB3">
        <w:rPr>
          <w:rFonts w:eastAsia="Times New Roman" w:cs="Arial"/>
          <w:sz w:val="24"/>
          <w:szCs w:val="20"/>
          <w:lang w:eastAsia="en-AU"/>
        </w:rPr>
        <w:t>rial in terms of community safety/wellbeing for vulnerable people;</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 xml:space="preserve">the identification of gaps and possible support services; </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the role and formation of a community body;</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t>the evaluation; and</w:t>
      </w:r>
    </w:p>
    <w:p w:rsidR="00597BB3" w:rsidRPr="00597BB3" w:rsidRDefault="00597BB3" w:rsidP="00597BB3">
      <w:pPr>
        <w:numPr>
          <w:ilvl w:val="0"/>
          <w:numId w:val="1"/>
        </w:numPr>
        <w:spacing w:before="120" w:after="120" w:line="240" w:lineRule="auto"/>
        <w:ind w:left="714" w:hanging="357"/>
        <w:rPr>
          <w:rFonts w:eastAsia="Times New Roman" w:cs="Arial"/>
          <w:sz w:val="24"/>
          <w:szCs w:val="20"/>
          <w:lang w:eastAsia="en-AU"/>
        </w:rPr>
      </w:pPr>
      <w:r w:rsidRPr="00597BB3">
        <w:rPr>
          <w:rFonts w:eastAsia="Times New Roman" w:cs="Arial"/>
          <w:sz w:val="24"/>
          <w:szCs w:val="20"/>
          <w:lang w:eastAsia="en-AU"/>
        </w:rPr>
        <w:lastRenderedPageBreak/>
        <w:t xml:space="preserve">differences between the </w:t>
      </w:r>
      <w:r w:rsidR="002660D8">
        <w:rPr>
          <w:rFonts w:eastAsia="Times New Roman" w:cs="Arial"/>
          <w:sz w:val="24"/>
          <w:szCs w:val="20"/>
          <w:lang w:eastAsia="en-AU"/>
        </w:rPr>
        <w:t>T</w:t>
      </w:r>
      <w:r w:rsidRPr="00597BB3">
        <w:rPr>
          <w:rFonts w:eastAsia="Times New Roman" w:cs="Arial"/>
          <w:sz w:val="24"/>
          <w:szCs w:val="20"/>
          <w:lang w:eastAsia="en-AU"/>
        </w:rPr>
        <w:t>rial and income management</w:t>
      </w:r>
    </w:p>
    <w:p w:rsidR="00145B6D" w:rsidRDefault="00145B6D" w:rsidP="00597BB3">
      <w:pPr>
        <w:keepLines/>
        <w:spacing w:before="240" w:after="240" w:line="240" w:lineRule="auto"/>
        <w:rPr>
          <w:rFonts w:eastAsia="Times New Roman" w:cs="Arial"/>
          <w:sz w:val="24"/>
          <w:szCs w:val="24"/>
          <w:lang w:eastAsia="en-AU"/>
        </w:rPr>
      </w:pPr>
      <w:r>
        <w:rPr>
          <w:rFonts w:eastAsia="Times New Roman" w:cs="Arial"/>
          <w:sz w:val="24"/>
          <w:szCs w:val="24"/>
          <w:lang w:eastAsia="en-AU"/>
        </w:rPr>
        <w:t xml:space="preserve">This consultation process provided Government with valuable feedback on the issues faced by the community. </w:t>
      </w:r>
    </w:p>
    <w:p w:rsidR="00597BB3" w:rsidRPr="00597BB3" w:rsidRDefault="00597BB3" w:rsidP="00597BB3">
      <w:pPr>
        <w:keepLines/>
        <w:spacing w:before="240" w:after="240" w:line="240" w:lineRule="auto"/>
        <w:rPr>
          <w:rFonts w:eastAsia="Times New Roman" w:cs="Arial"/>
          <w:sz w:val="24"/>
          <w:szCs w:val="24"/>
          <w:lang w:eastAsia="en-AU"/>
        </w:rPr>
      </w:pPr>
      <w:r w:rsidRPr="00597BB3">
        <w:rPr>
          <w:rFonts w:eastAsia="Times New Roman" w:cs="Arial"/>
          <w:sz w:val="24"/>
          <w:szCs w:val="24"/>
          <w:lang w:eastAsia="en-AU"/>
        </w:rPr>
        <w:t xml:space="preserve">Consultations continued in </w:t>
      </w:r>
      <w:r w:rsidR="001069DB">
        <w:rPr>
          <w:rFonts w:eastAsia="Times New Roman" w:cs="Arial"/>
          <w:sz w:val="24"/>
          <w:szCs w:val="24"/>
          <w:lang w:eastAsia="en-AU"/>
        </w:rPr>
        <w:t xml:space="preserve">the </w:t>
      </w:r>
      <w:r w:rsidR="00B57730">
        <w:rPr>
          <w:rFonts w:eastAsia="Times New Roman" w:cs="Arial"/>
          <w:sz w:val="24"/>
          <w:szCs w:val="24"/>
          <w:lang w:eastAsia="en-AU"/>
        </w:rPr>
        <w:t xml:space="preserve">East Kimberley and </w:t>
      </w:r>
      <w:r w:rsidRPr="00597BB3">
        <w:rPr>
          <w:rFonts w:eastAsia="Times New Roman" w:cs="Arial"/>
          <w:sz w:val="24"/>
          <w:szCs w:val="24"/>
          <w:lang w:eastAsia="en-AU"/>
        </w:rPr>
        <w:t xml:space="preserve">Ceduna </w:t>
      </w:r>
      <w:r w:rsidR="001069DB">
        <w:rPr>
          <w:rFonts w:eastAsia="Times New Roman" w:cs="Arial"/>
          <w:sz w:val="24"/>
          <w:szCs w:val="24"/>
          <w:lang w:eastAsia="en-AU"/>
        </w:rPr>
        <w:t xml:space="preserve">regions </w:t>
      </w:r>
      <w:r w:rsidRPr="00597BB3">
        <w:rPr>
          <w:rFonts w:eastAsia="Times New Roman" w:cs="Arial"/>
          <w:sz w:val="24"/>
          <w:szCs w:val="24"/>
          <w:lang w:eastAsia="en-AU"/>
        </w:rPr>
        <w:t>after the tabling of the Determination</w:t>
      </w:r>
      <w:r w:rsidR="00B57730">
        <w:rPr>
          <w:rFonts w:eastAsia="Times New Roman" w:cs="Arial"/>
          <w:sz w:val="24"/>
          <w:szCs w:val="24"/>
          <w:lang w:eastAsia="en-AU"/>
        </w:rPr>
        <w:t>s</w:t>
      </w:r>
      <w:r w:rsidRPr="00597BB3">
        <w:rPr>
          <w:rFonts w:eastAsia="Times New Roman" w:cs="Arial"/>
          <w:sz w:val="24"/>
          <w:szCs w:val="24"/>
          <w:lang w:eastAsia="en-AU"/>
        </w:rPr>
        <w:t xml:space="preserve"> and </w:t>
      </w:r>
      <w:r w:rsidR="00524A8F">
        <w:rPr>
          <w:rFonts w:eastAsia="Times New Roman" w:cs="Arial"/>
          <w:sz w:val="24"/>
          <w:szCs w:val="24"/>
          <w:lang w:eastAsia="en-AU"/>
        </w:rPr>
        <w:t>have</w:t>
      </w:r>
      <w:r w:rsidRPr="00597BB3">
        <w:rPr>
          <w:rFonts w:eastAsia="Times New Roman" w:cs="Arial"/>
          <w:sz w:val="24"/>
          <w:szCs w:val="24"/>
          <w:lang w:eastAsia="en-AU"/>
        </w:rPr>
        <w:t xml:space="preserve"> extend</w:t>
      </w:r>
      <w:r w:rsidR="00524A8F">
        <w:rPr>
          <w:rFonts w:eastAsia="Times New Roman" w:cs="Arial"/>
          <w:sz w:val="24"/>
          <w:szCs w:val="24"/>
          <w:lang w:eastAsia="en-AU"/>
        </w:rPr>
        <w:t>ed</w:t>
      </w:r>
      <w:r w:rsidRPr="00597BB3">
        <w:rPr>
          <w:rFonts w:eastAsia="Times New Roman" w:cs="Arial"/>
          <w:sz w:val="24"/>
          <w:szCs w:val="24"/>
          <w:lang w:eastAsia="en-AU"/>
        </w:rPr>
        <w:t xml:space="preserve"> through to implementation of t</w:t>
      </w:r>
      <w:r w:rsidR="007B4B74">
        <w:rPr>
          <w:rFonts w:eastAsia="Times New Roman" w:cs="Arial"/>
          <w:sz w:val="24"/>
          <w:szCs w:val="24"/>
          <w:lang w:eastAsia="en-AU"/>
        </w:rPr>
        <w:t>he T</w:t>
      </w:r>
      <w:r w:rsidRPr="00597BB3">
        <w:rPr>
          <w:rFonts w:eastAsia="Times New Roman" w:cs="Arial"/>
          <w:sz w:val="24"/>
          <w:szCs w:val="24"/>
          <w:lang w:eastAsia="en-AU"/>
        </w:rPr>
        <w:t xml:space="preserve">rial and beyond to ensure the community is prepared and </w:t>
      </w:r>
      <w:r w:rsidR="000F46FD" w:rsidRPr="0021680D">
        <w:rPr>
          <w:rFonts w:eastAsia="Times New Roman" w:cs="Arial"/>
          <w:sz w:val="24"/>
          <w:szCs w:val="24"/>
          <w:lang w:eastAsia="en-AU"/>
        </w:rPr>
        <w:t xml:space="preserve">has all </w:t>
      </w:r>
      <w:r w:rsidR="00145B6D">
        <w:rPr>
          <w:rFonts w:eastAsia="Times New Roman" w:cs="Arial"/>
          <w:sz w:val="24"/>
          <w:szCs w:val="24"/>
          <w:lang w:eastAsia="en-AU"/>
        </w:rPr>
        <w:t xml:space="preserve">the </w:t>
      </w:r>
      <w:r w:rsidR="000F46FD" w:rsidRPr="0021680D">
        <w:rPr>
          <w:rFonts w:eastAsia="Times New Roman" w:cs="Arial"/>
          <w:sz w:val="24"/>
          <w:szCs w:val="24"/>
          <w:lang w:eastAsia="en-AU"/>
        </w:rPr>
        <w:t xml:space="preserve">necessary information and support for the </w:t>
      </w:r>
      <w:r w:rsidR="000F46FD" w:rsidRPr="00B541D7">
        <w:rPr>
          <w:rFonts w:eastAsia="Times New Roman" w:cs="Arial"/>
          <w:sz w:val="24"/>
          <w:szCs w:val="24"/>
          <w:lang w:eastAsia="en-AU"/>
        </w:rPr>
        <w:t>Trial and its</w:t>
      </w:r>
      <w:r w:rsidR="00B57730">
        <w:rPr>
          <w:rFonts w:eastAsia="Times New Roman" w:cs="Arial"/>
          <w:sz w:val="24"/>
          <w:szCs w:val="24"/>
          <w:lang w:eastAsia="en-AU"/>
        </w:rPr>
        <w:t xml:space="preserve"> extension.</w:t>
      </w:r>
    </w:p>
    <w:p w:rsidR="00501570" w:rsidRPr="00597BB3" w:rsidRDefault="00597BB3" w:rsidP="00597BB3">
      <w:pPr>
        <w:spacing w:before="240" w:after="240" w:line="240" w:lineRule="auto"/>
        <w:rPr>
          <w:rFonts w:eastAsia="Times New Roman" w:cs="Arial"/>
          <w:sz w:val="24"/>
          <w:szCs w:val="24"/>
          <w:lang w:eastAsia="en-AU"/>
        </w:rPr>
      </w:pPr>
      <w:r w:rsidRPr="00597BB3">
        <w:rPr>
          <w:rFonts w:eastAsia="Times New Roman" w:cs="Arial"/>
          <w:sz w:val="24"/>
          <w:szCs w:val="24"/>
          <w:lang w:eastAsia="en-AU"/>
        </w:rPr>
        <w:t xml:space="preserve">Further consultation with the Department of Premier and Cabinet and the Department of Human Services have informed the </w:t>
      </w:r>
      <w:r w:rsidR="00FF0C03">
        <w:rPr>
          <w:rFonts w:eastAsia="Times New Roman" w:cs="Arial"/>
          <w:sz w:val="24"/>
          <w:szCs w:val="24"/>
          <w:lang w:eastAsia="en-AU"/>
        </w:rPr>
        <w:t>development of this Amendment </w:t>
      </w:r>
      <w:r w:rsidR="00524A8F">
        <w:rPr>
          <w:rFonts w:eastAsia="Times New Roman" w:cs="Arial"/>
          <w:sz w:val="24"/>
          <w:szCs w:val="24"/>
          <w:lang w:eastAsia="en-AU"/>
        </w:rPr>
        <w:t>Determin</w:t>
      </w:r>
      <w:r w:rsidR="007B4B74">
        <w:rPr>
          <w:rFonts w:eastAsia="Times New Roman" w:cs="Arial"/>
          <w:sz w:val="24"/>
          <w:szCs w:val="24"/>
          <w:lang w:eastAsia="en-AU"/>
        </w:rPr>
        <w:t>ation and the extension of the T</w:t>
      </w:r>
      <w:r w:rsidR="00524A8F">
        <w:rPr>
          <w:rFonts w:eastAsia="Times New Roman" w:cs="Arial"/>
          <w:sz w:val="24"/>
          <w:szCs w:val="24"/>
          <w:lang w:eastAsia="en-AU"/>
        </w:rPr>
        <w:t>rial.</w:t>
      </w:r>
    </w:p>
    <w:p w:rsidR="00501570" w:rsidRPr="00501570" w:rsidRDefault="00501570" w:rsidP="00501570">
      <w:pPr>
        <w:keepNext/>
        <w:shd w:val="clear" w:color="auto" w:fill="FFFFFF"/>
        <w:spacing w:before="100" w:beforeAutospacing="1" w:after="240" w:line="240" w:lineRule="auto"/>
        <w:jc w:val="both"/>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Regulation Impact Statement (RIS)</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This </w:t>
      </w:r>
      <w:r w:rsidR="001E6B01">
        <w:rPr>
          <w:rFonts w:eastAsia="Times New Roman" w:cs="Arial"/>
          <w:sz w:val="24"/>
          <w:szCs w:val="24"/>
          <w:lang w:eastAsia="en-AU"/>
        </w:rPr>
        <w:t>Amend</w:t>
      </w:r>
      <w:r w:rsidR="00BF4FB4">
        <w:rPr>
          <w:rFonts w:eastAsia="Times New Roman" w:cs="Arial"/>
          <w:sz w:val="24"/>
          <w:szCs w:val="24"/>
          <w:lang w:eastAsia="en-AU"/>
        </w:rPr>
        <w:t xml:space="preserve">ment </w:t>
      </w:r>
      <w:r w:rsidRPr="00501570">
        <w:rPr>
          <w:rFonts w:eastAsia="Times New Roman" w:cs="Arial"/>
          <w:sz w:val="24"/>
          <w:szCs w:val="24"/>
          <w:lang w:eastAsia="en-AU"/>
        </w:rPr>
        <w:t>Determination is not regulatory in nature, will have minimal impact on business activity and will have no, or minimal, compliance costs or competition impact.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Explanation of the provisions</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Section 1</w:t>
      </w:r>
      <w:r w:rsidRPr="00501570">
        <w:rPr>
          <w:rFonts w:eastAsia="Times New Roman" w:cs="Arial"/>
          <w:sz w:val="24"/>
          <w:szCs w:val="24"/>
          <w:lang w:eastAsia="en-AU"/>
        </w:rPr>
        <w:t xml:space="preserve"> states the name of the Amendment Determination.</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Section 2</w:t>
      </w:r>
      <w:r w:rsidRPr="00501570">
        <w:rPr>
          <w:rFonts w:eastAsia="Times New Roman" w:cs="Arial"/>
          <w:sz w:val="24"/>
          <w:szCs w:val="24"/>
          <w:lang w:eastAsia="en-AU"/>
        </w:rPr>
        <w:t xml:space="preserve"> provides for commencement of the Amendment Determination</w:t>
      </w:r>
      <w:r w:rsidR="00EC66E1">
        <w:rPr>
          <w:rFonts w:eastAsia="Times New Roman" w:cs="Arial"/>
          <w:sz w:val="24"/>
          <w:szCs w:val="24"/>
          <w:lang w:eastAsia="en-AU"/>
        </w:rPr>
        <w:t xml:space="preserve">. </w:t>
      </w:r>
      <w:r w:rsidRPr="00501570">
        <w:rPr>
          <w:rFonts w:eastAsia="Times New Roman" w:cs="Arial"/>
          <w:sz w:val="24"/>
          <w:szCs w:val="24"/>
          <w:lang w:eastAsia="en-AU"/>
        </w:rPr>
        <w:t>The instrument will be repealed on the day after its commencement by section 48A of the</w:t>
      </w:r>
      <w:r w:rsidRPr="00501570">
        <w:rPr>
          <w:rFonts w:eastAsia="Times New Roman" w:cs="Arial"/>
          <w:i/>
          <w:iCs/>
          <w:sz w:val="24"/>
          <w:szCs w:val="24"/>
          <w:lang w:eastAsia="en-AU"/>
        </w:rPr>
        <w:t xml:space="preserve"> Legislation Act 2003</w:t>
      </w:r>
      <w:r w:rsidRPr="00501570">
        <w:rPr>
          <w:rFonts w:eastAsia="Times New Roman" w:cs="Arial"/>
          <w:sz w:val="24"/>
          <w:szCs w:val="24"/>
          <w:lang w:eastAsia="en-AU"/>
        </w:rPr>
        <w:t>, as the only effect of the instrument is to amend another legislative instrument.</w:t>
      </w:r>
    </w:p>
    <w:p w:rsidR="00501570" w:rsidRPr="004E040F" w:rsidRDefault="00501570" w:rsidP="00501570">
      <w:pPr>
        <w:shd w:val="clear" w:color="auto" w:fill="FFFFFF"/>
        <w:spacing w:before="100" w:beforeAutospacing="1" w:after="100" w:afterAutospacing="1" w:line="240" w:lineRule="auto"/>
        <w:rPr>
          <w:rFonts w:eastAsia="Times New Roman" w:cs="Arial"/>
          <w:sz w:val="24"/>
          <w:szCs w:val="24"/>
          <w:lang w:eastAsia="en-AU"/>
        </w:rPr>
      </w:pPr>
      <w:r w:rsidRPr="00501570">
        <w:rPr>
          <w:rFonts w:eastAsia="Times New Roman" w:cs="Arial"/>
          <w:b/>
          <w:bCs/>
          <w:sz w:val="24"/>
          <w:szCs w:val="24"/>
          <w:lang w:eastAsia="en-AU"/>
        </w:rPr>
        <w:t>Section 3</w:t>
      </w:r>
      <w:r w:rsidRPr="00501570">
        <w:rPr>
          <w:rFonts w:eastAsia="Times New Roman" w:cs="Arial"/>
          <w:sz w:val="24"/>
          <w:szCs w:val="24"/>
          <w:lang w:eastAsia="en-AU"/>
        </w:rPr>
        <w:t xml:space="preserve"> provides that Schedule 1 amends the</w:t>
      </w:r>
      <w:r w:rsidR="00DD19C7">
        <w:rPr>
          <w:rFonts w:eastAsia="Times New Roman" w:cs="Arial"/>
          <w:sz w:val="24"/>
          <w:szCs w:val="24"/>
          <w:lang w:eastAsia="en-AU"/>
        </w:rPr>
        <w:t xml:space="preserve"> </w:t>
      </w:r>
      <w:r w:rsidR="004E040F">
        <w:rPr>
          <w:rFonts w:eastAsia="Times New Roman" w:cs="Arial"/>
          <w:sz w:val="24"/>
          <w:szCs w:val="24"/>
          <w:lang w:eastAsia="en-AU"/>
        </w:rPr>
        <w:t>Ceduna</w:t>
      </w:r>
      <w:r w:rsidR="00DD19C7">
        <w:rPr>
          <w:rFonts w:eastAsia="Times New Roman" w:cs="Arial"/>
          <w:sz w:val="24"/>
          <w:szCs w:val="24"/>
          <w:lang w:eastAsia="en-AU"/>
        </w:rPr>
        <w:t xml:space="preserve"> Determination</w:t>
      </w:r>
      <w:r w:rsidR="004E040F">
        <w:rPr>
          <w:rFonts w:eastAsia="Times New Roman" w:cs="Arial"/>
          <w:iCs/>
          <w:sz w:val="24"/>
          <w:szCs w:val="24"/>
          <w:lang w:eastAsia="en-AU"/>
        </w:rPr>
        <w:t>, and that Schedule 2 amends the East Kimberley Determination.</w:t>
      </w:r>
    </w:p>
    <w:p w:rsidR="00B91460" w:rsidRPr="00501570" w:rsidRDefault="00B9146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sz w:val="24"/>
          <w:szCs w:val="24"/>
          <w:lang w:eastAsia="en-AU"/>
        </w:rPr>
        <w:t xml:space="preserve">Subsection 33(3) of the </w:t>
      </w:r>
      <w:r w:rsidRPr="003871D0">
        <w:rPr>
          <w:rFonts w:eastAsia="Times New Roman" w:cs="Arial"/>
          <w:i/>
          <w:sz w:val="24"/>
          <w:szCs w:val="24"/>
          <w:lang w:eastAsia="en-AU"/>
        </w:rPr>
        <w:t>Acts Interpretation Act 1901</w:t>
      </w:r>
      <w:r w:rsidRPr="00501570">
        <w:rPr>
          <w:rFonts w:eastAsia="Times New Roman" w:cs="Arial"/>
          <w:sz w:val="24"/>
          <w:szCs w:val="24"/>
          <w:lang w:eastAsia="en-AU"/>
        </w:rPr>
        <w:t xml:space="preserve"> relevantly provides that where an Act confers a power to make any instrument of a legislative character, the power shall be construed as including a power exercisable in the like manner and subject to the like conditions (if any) to repeal, rescind, revoke, amend or vary any such instrument.</w:t>
      </w:r>
    </w:p>
    <w:p w:rsidR="00501570" w:rsidRPr="00501570" w:rsidRDefault="00501570" w:rsidP="0050157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Schedule 1</w:t>
      </w:r>
      <w:r w:rsidRPr="00501570">
        <w:rPr>
          <w:rFonts w:eastAsia="Times New Roman" w:cs="Arial"/>
          <w:sz w:val="24"/>
          <w:szCs w:val="24"/>
          <w:lang w:eastAsia="en-AU"/>
        </w:rPr>
        <w:t xml:space="preserve"> to the Amendment Deter</w:t>
      </w:r>
      <w:r w:rsidR="00DD19C7">
        <w:rPr>
          <w:rFonts w:eastAsia="Times New Roman" w:cs="Arial"/>
          <w:sz w:val="24"/>
          <w:szCs w:val="24"/>
          <w:lang w:eastAsia="en-AU"/>
        </w:rPr>
        <w:t>mination sets out the amendment</w:t>
      </w:r>
      <w:r w:rsidRPr="00501570">
        <w:rPr>
          <w:rFonts w:eastAsia="Times New Roman" w:cs="Arial"/>
          <w:sz w:val="24"/>
          <w:szCs w:val="24"/>
          <w:lang w:eastAsia="en-AU"/>
        </w:rPr>
        <w:t xml:space="preserve"> to the </w:t>
      </w:r>
      <w:r w:rsidR="004E040F">
        <w:rPr>
          <w:rFonts w:eastAsia="Times New Roman" w:cs="Arial"/>
          <w:sz w:val="24"/>
          <w:szCs w:val="24"/>
          <w:lang w:eastAsia="en-AU"/>
        </w:rPr>
        <w:t>Ceduna</w:t>
      </w:r>
      <w:r w:rsidRPr="00501570">
        <w:rPr>
          <w:rFonts w:eastAsia="Times New Roman" w:cs="Arial"/>
          <w:sz w:val="24"/>
          <w:szCs w:val="24"/>
          <w:lang w:eastAsia="en-AU"/>
        </w:rPr>
        <w:t xml:space="preserve"> Determination.</w:t>
      </w:r>
    </w:p>
    <w:p w:rsidR="00E649FE" w:rsidRDefault="00EB36E5" w:rsidP="00266BAD">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b/>
          <w:bCs/>
          <w:sz w:val="24"/>
          <w:szCs w:val="24"/>
          <w:lang w:eastAsia="en-AU"/>
        </w:rPr>
        <w:t>Item [1</w:t>
      </w:r>
      <w:r w:rsidR="00501570" w:rsidRPr="00501570">
        <w:rPr>
          <w:rFonts w:eastAsia="Times New Roman" w:cs="Arial"/>
          <w:b/>
          <w:bCs/>
          <w:sz w:val="24"/>
          <w:szCs w:val="24"/>
          <w:lang w:eastAsia="en-AU"/>
        </w:rPr>
        <w:t xml:space="preserve">] </w:t>
      </w:r>
      <w:r w:rsidR="00DB1E92">
        <w:rPr>
          <w:rFonts w:eastAsia="Times New Roman" w:cs="Arial"/>
          <w:bCs/>
          <w:sz w:val="24"/>
          <w:szCs w:val="24"/>
          <w:lang w:eastAsia="en-AU"/>
        </w:rPr>
        <w:t xml:space="preserve">omits the phrase “This Determination ceases on 14 March 2017” and substitutes “This Determination ceases on 14 September 2017”. </w:t>
      </w:r>
      <w:r w:rsidR="001E6B01">
        <w:rPr>
          <w:rFonts w:eastAsia="Times New Roman" w:cs="Arial"/>
          <w:sz w:val="24"/>
          <w:szCs w:val="24"/>
          <w:lang w:eastAsia="en-AU"/>
        </w:rPr>
        <w:t xml:space="preserve">This </w:t>
      </w:r>
      <w:r w:rsidR="00DB1E92">
        <w:rPr>
          <w:rFonts w:eastAsia="Times New Roman" w:cs="Arial"/>
          <w:sz w:val="24"/>
          <w:szCs w:val="24"/>
          <w:lang w:eastAsia="en-AU"/>
        </w:rPr>
        <w:t xml:space="preserve">amendment </w:t>
      </w:r>
      <w:r w:rsidR="001E6B01">
        <w:rPr>
          <w:rFonts w:eastAsia="Times New Roman" w:cs="Arial"/>
          <w:sz w:val="24"/>
          <w:szCs w:val="24"/>
          <w:lang w:eastAsia="en-AU"/>
        </w:rPr>
        <w:t xml:space="preserve">is necessary to </w:t>
      </w:r>
      <w:r w:rsidR="00E649FE">
        <w:rPr>
          <w:rFonts w:eastAsia="Times New Roman" w:cs="Arial"/>
          <w:sz w:val="24"/>
          <w:szCs w:val="24"/>
          <w:lang w:eastAsia="en-AU"/>
        </w:rPr>
        <w:t>extend the</w:t>
      </w:r>
      <w:r w:rsidR="00A00069">
        <w:rPr>
          <w:rFonts w:eastAsia="Times New Roman" w:cs="Arial"/>
          <w:sz w:val="24"/>
          <w:szCs w:val="24"/>
          <w:lang w:eastAsia="en-AU"/>
        </w:rPr>
        <w:t xml:space="preserve"> duration of the</w:t>
      </w:r>
      <w:r w:rsidR="00E649FE">
        <w:rPr>
          <w:rFonts w:eastAsia="Times New Roman" w:cs="Arial"/>
          <w:sz w:val="24"/>
          <w:szCs w:val="24"/>
          <w:lang w:eastAsia="en-AU"/>
        </w:rPr>
        <w:t xml:space="preserve"> Trial in</w:t>
      </w:r>
      <w:r w:rsidR="001E6B01">
        <w:rPr>
          <w:rFonts w:eastAsia="Times New Roman" w:cs="Arial"/>
          <w:sz w:val="24"/>
          <w:szCs w:val="24"/>
          <w:lang w:eastAsia="en-AU"/>
        </w:rPr>
        <w:t xml:space="preserve"> </w:t>
      </w:r>
      <w:r w:rsidR="001069DB">
        <w:rPr>
          <w:rFonts w:eastAsia="Times New Roman" w:cs="Arial"/>
          <w:sz w:val="24"/>
          <w:szCs w:val="24"/>
          <w:lang w:eastAsia="en-AU"/>
        </w:rPr>
        <w:t xml:space="preserve">the </w:t>
      </w:r>
      <w:r w:rsidR="000F7490">
        <w:rPr>
          <w:rFonts w:eastAsia="Times New Roman" w:cs="Arial"/>
          <w:sz w:val="24"/>
          <w:szCs w:val="24"/>
          <w:lang w:eastAsia="en-AU"/>
        </w:rPr>
        <w:t xml:space="preserve">Ceduna </w:t>
      </w:r>
      <w:r w:rsidR="00D16222">
        <w:rPr>
          <w:rFonts w:eastAsia="Times New Roman" w:cs="Arial"/>
          <w:sz w:val="24"/>
          <w:szCs w:val="24"/>
          <w:lang w:eastAsia="en-AU"/>
        </w:rPr>
        <w:t>region</w:t>
      </w:r>
      <w:r w:rsidR="00DB1E92">
        <w:rPr>
          <w:rFonts w:eastAsia="Times New Roman" w:cs="Arial"/>
          <w:sz w:val="24"/>
          <w:szCs w:val="24"/>
          <w:lang w:eastAsia="en-AU"/>
        </w:rPr>
        <w:t xml:space="preserve"> for a period of six months</w:t>
      </w:r>
      <w:r w:rsidR="004E040F">
        <w:rPr>
          <w:rFonts w:eastAsia="Times New Roman" w:cs="Arial"/>
          <w:sz w:val="24"/>
          <w:szCs w:val="24"/>
          <w:lang w:eastAsia="en-AU"/>
        </w:rPr>
        <w:t xml:space="preserve">. </w:t>
      </w:r>
    </w:p>
    <w:p w:rsidR="004E040F" w:rsidRPr="00501570" w:rsidRDefault="004E040F" w:rsidP="004E040F">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501570">
        <w:rPr>
          <w:rFonts w:eastAsia="Times New Roman" w:cs="Arial"/>
          <w:b/>
          <w:bCs/>
          <w:sz w:val="24"/>
          <w:szCs w:val="24"/>
          <w:lang w:eastAsia="en-AU"/>
        </w:rPr>
        <w:t xml:space="preserve">Schedule </w:t>
      </w:r>
      <w:r>
        <w:rPr>
          <w:rFonts w:eastAsia="Times New Roman" w:cs="Arial"/>
          <w:b/>
          <w:bCs/>
          <w:sz w:val="24"/>
          <w:szCs w:val="24"/>
          <w:lang w:eastAsia="en-AU"/>
        </w:rPr>
        <w:t>2</w:t>
      </w:r>
      <w:r w:rsidRPr="00501570">
        <w:rPr>
          <w:rFonts w:eastAsia="Times New Roman" w:cs="Arial"/>
          <w:sz w:val="24"/>
          <w:szCs w:val="24"/>
          <w:lang w:eastAsia="en-AU"/>
        </w:rPr>
        <w:t xml:space="preserve"> to the Amendment Deter</w:t>
      </w:r>
      <w:r>
        <w:rPr>
          <w:rFonts w:eastAsia="Times New Roman" w:cs="Arial"/>
          <w:sz w:val="24"/>
          <w:szCs w:val="24"/>
          <w:lang w:eastAsia="en-AU"/>
        </w:rPr>
        <w:t>mination sets out the amendment</w:t>
      </w:r>
      <w:r w:rsidRPr="00501570">
        <w:rPr>
          <w:rFonts w:eastAsia="Times New Roman" w:cs="Arial"/>
          <w:sz w:val="24"/>
          <w:szCs w:val="24"/>
          <w:lang w:eastAsia="en-AU"/>
        </w:rPr>
        <w:t xml:space="preserve"> to the </w:t>
      </w:r>
      <w:r>
        <w:rPr>
          <w:rFonts w:eastAsia="Times New Roman" w:cs="Arial"/>
          <w:sz w:val="24"/>
          <w:szCs w:val="24"/>
          <w:lang w:eastAsia="en-AU"/>
        </w:rPr>
        <w:t>East Kimberley</w:t>
      </w:r>
      <w:r w:rsidRPr="00501570">
        <w:rPr>
          <w:rFonts w:eastAsia="Times New Roman" w:cs="Arial"/>
          <w:sz w:val="24"/>
          <w:szCs w:val="24"/>
          <w:lang w:eastAsia="en-AU"/>
        </w:rPr>
        <w:t xml:space="preserve"> Determination.</w:t>
      </w:r>
    </w:p>
    <w:p w:rsidR="004E040F" w:rsidRDefault="004E040F" w:rsidP="004E040F">
      <w:pPr>
        <w:shd w:val="clear" w:color="auto" w:fill="FFFFFF"/>
        <w:spacing w:before="100" w:beforeAutospacing="1" w:after="100" w:afterAutospacing="1" w:line="240" w:lineRule="auto"/>
        <w:rPr>
          <w:rFonts w:eastAsia="Times New Roman" w:cs="Arial"/>
          <w:sz w:val="24"/>
          <w:szCs w:val="24"/>
          <w:lang w:eastAsia="en-AU"/>
        </w:rPr>
      </w:pPr>
      <w:r>
        <w:rPr>
          <w:rFonts w:eastAsia="Times New Roman" w:cs="Arial"/>
          <w:b/>
          <w:bCs/>
          <w:sz w:val="24"/>
          <w:szCs w:val="24"/>
          <w:lang w:eastAsia="en-AU"/>
        </w:rPr>
        <w:lastRenderedPageBreak/>
        <w:t>Item [1</w:t>
      </w:r>
      <w:r w:rsidRPr="00501570">
        <w:rPr>
          <w:rFonts w:eastAsia="Times New Roman" w:cs="Arial"/>
          <w:b/>
          <w:bCs/>
          <w:sz w:val="24"/>
          <w:szCs w:val="24"/>
          <w:lang w:eastAsia="en-AU"/>
        </w:rPr>
        <w:t xml:space="preserve">] </w:t>
      </w:r>
      <w:r w:rsidR="00DB1E92">
        <w:rPr>
          <w:rFonts w:eastAsia="Times New Roman" w:cs="Arial"/>
          <w:bCs/>
          <w:sz w:val="24"/>
          <w:szCs w:val="24"/>
          <w:lang w:eastAsia="en-AU"/>
        </w:rPr>
        <w:t>omits the phrase “This Determination ceases on 25 April 2017” and substitutes “This Determination ceases on 25 October 2017.</w:t>
      </w:r>
      <w:r>
        <w:rPr>
          <w:rFonts w:eastAsia="Times New Roman" w:cs="Arial"/>
          <w:sz w:val="24"/>
          <w:szCs w:val="24"/>
          <w:lang w:eastAsia="en-AU"/>
        </w:rPr>
        <w:t xml:space="preserve"> This </w:t>
      </w:r>
      <w:r w:rsidR="00DB1E92">
        <w:rPr>
          <w:rFonts w:eastAsia="Times New Roman" w:cs="Arial"/>
          <w:sz w:val="24"/>
          <w:szCs w:val="24"/>
          <w:lang w:eastAsia="en-AU"/>
        </w:rPr>
        <w:t xml:space="preserve">amendment </w:t>
      </w:r>
      <w:r>
        <w:rPr>
          <w:rFonts w:eastAsia="Times New Roman" w:cs="Arial"/>
          <w:sz w:val="24"/>
          <w:szCs w:val="24"/>
          <w:lang w:eastAsia="en-AU"/>
        </w:rPr>
        <w:t>is necessary to extend the duration of the Trial in East Kimberley</w:t>
      </w:r>
      <w:r w:rsidR="00DB1E92">
        <w:rPr>
          <w:rFonts w:eastAsia="Times New Roman" w:cs="Arial"/>
          <w:sz w:val="24"/>
          <w:szCs w:val="24"/>
          <w:lang w:eastAsia="en-AU"/>
        </w:rPr>
        <w:t xml:space="preserve"> for a period of six months.</w:t>
      </w:r>
    </w:p>
    <w:p w:rsidR="00043180" w:rsidRDefault="00043180" w:rsidP="00266BAD">
      <w:pPr>
        <w:shd w:val="clear" w:color="auto" w:fill="FFFFFF"/>
        <w:spacing w:before="100" w:beforeAutospacing="1" w:after="100" w:afterAutospacing="1" w:line="240" w:lineRule="auto"/>
        <w:rPr>
          <w:rStyle w:val="BookTitle"/>
          <w:rFonts w:ascii="Times New Roman" w:eastAsia="Times New Roman" w:hAnsi="Times New Roman" w:cs="Times New Roman"/>
          <w:i w:val="0"/>
          <w:iCs w:val="0"/>
          <w:smallCaps w:val="0"/>
          <w:spacing w:val="0"/>
          <w:sz w:val="24"/>
          <w:szCs w:val="24"/>
          <w:lang w:val="en-US" w:eastAsia="en-AU"/>
        </w:rPr>
      </w:pPr>
    </w:p>
    <w:p w:rsidR="003A47E4" w:rsidRPr="00266BAD" w:rsidRDefault="003A47E4" w:rsidP="001069D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3A47E4">
        <w:rPr>
          <w:rFonts w:eastAsia="Times New Roman" w:cs="Arial"/>
          <w:b/>
          <w:sz w:val="24"/>
          <w:szCs w:val="20"/>
          <w:lang w:eastAsia="en-AU"/>
        </w:rPr>
        <w:t>STATEMENT OF COMPATIBILITY WITH HUMAN RIGHTS</w:t>
      </w:r>
    </w:p>
    <w:p w:rsidR="003A47E4" w:rsidRPr="003A47E4" w:rsidRDefault="003A47E4" w:rsidP="003A47E4">
      <w:pPr>
        <w:spacing w:after="0" w:line="240" w:lineRule="auto"/>
        <w:jc w:val="center"/>
        <w:rPr>
          <w:rFonts w:eastAsia="Times New Roman" w:cs="Arial"/>
          <w:i/>
          <w:sz w:val="24"/>
          <w:szCs w:val="20"/>
          <w:lang w:eastAsia="en-AU"/>
        </w:rPr>
      </w:pPr>
      <w:r w:rsidRPr="003A47E4">
        <w:rPr>
          <w:rFonts w:eastAsia="Times New Roman" w:cs="Arial"/>
          <w:i/>
          <w:sz w:val="24"/>
          <w:szCs w:val="20"/>
          <w:lang w:eastAsia="en-AU"/>
        </w:rPr>
        <w:t>Prepared in accordance with Part 3 of the</w:t>
      </w:r>
    </w:p>
    <w:p w:rsidR="003A47E4" w:rsidRPr="003A47E4" w:rsidRDefault="003A47E4" w:rsidP="003A47E4">
      <w:pPr>
        <w:spacing w:after="0" w:line="240" w:lineRule="auto"/>
        <w:jc w:val="center"/>
        <w:rPr>
          <w:rFonts w:eastAsia="Times New Roman" w:cs="Arial"/>
          <w:i/>
          <w:sz w:val="24"/>
          <w:szCs w:val="20"/>
          <w:lang w:eastAsia="en-AU"/>
        </w:rPr>
      </w:pPr>
      <w:r w:rsidRPr="003A47E4">
        <w:rPr>
          <w:rFonts w:eastAsia="Times New Roman" w:cs="Arial"/>
          <w:i/>
          <w:sz w:val="24"/>
          <w:szCs w:val="20"/>
          <w:lang w:eastAsia="en-AU"/>
        </w:rPr>
        <w:t>Human Rights (Parliamentary Scrutiny) Act 2011</w:t>
      </w:r>
    </w:p>
    <w:p w:rsidR="003A47E4" w:rsidRPr="003A47E4" w:rsidRDefault="003A47E4" w:rsidP="003A47E4">
      <w:pPr>
        <w:spacing w:after="0" w:line="240" w:lineRule="auto"/>
        <w:jc w:val="both"/>
        <w:rPr>
          <w:rFonts w:eastAsia="Times New Roman" w:cs="Arial"/>
          <w:sz w:val="24"/>
          <w:szCs w:val="20"/>
          <w:lang w:eastAsia="en-AU"/>
        </w:rPr>
      </w:pPr>
    </w:p>
    <w:p w:rsidR="00597BB3" w:rsidRPr="00501570" w:rsidRDefault="00597BB3" w:rsidP="00597BB3">
      <w:pPr>
        <w:shd w:val="clear" w:color="auto" w:fill="FFFFFF"/>
        <w:spacing w:after="0" w:line="240" w:lineRule="auto"/>
        <w:ind w:right="91"/>
        <w:jc w:val="center"/>
        <w:rPr>
          <w:rFonts w:ascii="Times New Roman" w:eastAsia="Times New Roman" w:hAnsi="Times New Roman" w:cs="Times New Roman"/>
          <w:sz w:val="24"/>
          <w:szCs w:val="24"/>
          <w:lang w:val="en-US" w:eastAsia="en-AU"/>
        </w:rPr>
      </w:pPr>
      <w:r w:rsidRPr="00501570">
        <w:rPr>
          <w:rFonts w:eastAsia="Times New Roman" w:cs="Arial"/>
          <w:i/>
          <w:iCs/>
          <w:sz w:val="24"/>
          <w:szCs w:val="24"/>
          <w:lang w:eastAsia="en-AU"/>
        </w:rPr>
        <w:t>Social Secur</w:t>
      </w:r>
      <w:r w:rsidR="004E040F">
        <w:rPr>
          <w:rFonts w:eastAsia="Times New Roman" w:cs="Arial"/>
          <w:i/>
          <w:iCs/>
          <w:sz w:val="24"/>
          <w:szCs w:val="24"/>
          <w:lang w:eastAsia="en-AU"/>
        </w:rPr>
        <w:t>ity (Administration) (Trial Area) Amendment Determination 2017</w:t>
      </w:r>
    </w:p>
    <w:p w:rsidR="003A47E4" w:rsidRPr="003A47E4" w:rsidRDefault="003A47E4" w:rsidP="003A47E4">
      <w:pPr>
        <w:spacing w:after="0" w:line="240" w:lineRule="auto"/>
        <w:jc w:val="center"/>
        <w:rPr>
          <w:rFonts w:eastAsia="Times New Roman" w:cs="Arial"/>
          <w:sz w:val="24"/>
          <w:szCs w:val="20"/>
          <w:lang w:eastAsia="en-AU"/>
        </w:rPr>
      </w:pPr>
    </w:p>
    <w:p w:rsidR="003A47E4" w:rsidRPr="003A47E4" w:rsidRDefault="003A47E4" w:rsidP="00B40C39">
      <w:pPr>
        <w:spacing w:after="0" w:line="240" w:lineRule="auto"/>
        <w:rPr>
          <w:rFonts w:eastAsia="Times New Roman" w:cs="Arial"/>
          <w:i/>
          <w:sz w:val="24"/>
          <w:szCs w:val="20"/>
          <w:lang w:eastAsia="en-AU"/>
        </w:rPr>
      </w:pPr>
      <w:r w:rsidRPr="003A47E4">
        <w:rPr>
          <w:rFonts w:eastAsia="Times New Roman" w:cs="Arial"/>
          <w:sz w:val="24"/>
          <w:szCs w:val="20"/>
          <w:lang w:eastAsia="en-AU"/>
        </w:rPr>
        <w:t xml:space="preserve">This Amendment Determination is compatible with the human rights and freedoms recognised or declared in the international instruments listed in section 3 of the </w:t>
      </w:r>
      <w:r w:rsidRPr="003A47E4">
        <w:rPr>
          <w:rFonts w:eastAsia="Times New Roman" w:cs="Arial"/>
          <w:i/>
          <w:sz w:val="24"/>
          <w:szCs w:val="20"/>
          <w:lang w:eastAsia="en-AU"/>
        </w:rPr>
        <w:t>Human Rights (Parliamentary Scrutiny) Act 2011.</w:t>
      </w:r>
    </w:p>
    <w:p w:rsidR="003A47E4" w:rsidRPr="003A47E4" w:rsidRDefault="003A47E4" w:rsidP="003A47E4">
      <w:pPr>
        <w:spacing w:after="0" w:line="240" w:lineRule="auto"/>
        <w:jc w:val="both"/>
        <w:rPr>
          <w:rFonts w:eastAsia="Times New Roman" w:cs="Arial"/>
          <w:i/>
          <w:sz w:val="24"/>
          <w:szCs w:val="20"/>
          <w:highlight w:val="yellow"/>
          <w:lang w:eastAsia="en-AU"/>
        </w:rPr>
      </w:pPr>
    </w:p>
    <w:p w:rsidR="003A47E4" w:rsidRPr="003A47E4" w:rsidRDefault="003A47E4" w:rsidP="003A47E4">
      <w:pPr>
        <w:spacing w:after="0" w:line="240" w:lineRule="auto"/>
        <w:jc w:val="both"/>
        <w:rPr>
          <w:rFonts w:eastAsia="Times New Roman" w:cs="Arial"/>
          <w:sz w:val="24"/>
          <w:szCs w:val="20"/>
          <w:highlight w:val="yellow"/>
          <w:lang w:eastAsia="en-AU"/>
        </w:rPr>
      </w:pPr>
      <w:r w:rsidRPr="003A47E4">
        <w:rPr>
          <w:rFonts w:eastAsia="Times New Roman" w:cs="Arial"/>
          <w:b/>
          <w:i/>
          <w:sz w:val="24"/>
          <w:szCs w:val="20"/>
          <w:lang w:eastAsia="en-AU"/>
        </w:rPr>
        <w:t>Overview of the Legislative Instrument</w:t>
      </w:r>
    </w:p>
    <w:p w:rsidR="00597BB3" w:rsidRPr="00BF4FB4" w:rsidRDefault="00597BB3" w:rsidP="00B40C3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The</w:t>
      </w:r>
      <w:r w:rsidR="00755225">
        <w:rPr>
          <w:rFonts w:eastAsia="Times New Roman" w:cs="Arial"/>
          <w:sz w:val="24"/>
          <w:szCs w:val="24"/>
          <w:lang w:eastAsia="en-AU"/>
        </w:rPr>
        <w:t xml:space="preserve"> Cashless</w:t>
      </w:r>
      <w:r w:rsidR="00145B6D">
        <w:rPr>
          <w:rFonts w:eastAsia="Times New Roman" w:cs="Arial"/>
          <w:sz w:val="24"/>
          <w:szCs w:val="24"/>
          <w:lang w:eastAsia="en-AU"/>
        </w:rPr>
        <w:t xml:space="preserve"> </w:t>
      </w:r>
      <w:r w:rsidR="00755225">
        <w:rPr>
          <w:rFonts w:eastAsia="Times New Roman" w:cs="Arial"/>
          <w:sz w:val="24"/>
          <w:szCs w:val="24"/>
          <w:lang w:eastAsia="en-AU"/>
        </w:rPr>
        <w:t>D</w:t>
      </w:r>
      <w:r w:rsidR="00145B6D">
        <w:rPr>
          <w:rFonts w:eastAsia="Times New Roman" w:cs="Arial"/>
          <w:sz w:val="24"/>
          <w:szCs w:val="24"/>
          <w:lang w:eastAsia="en-AU"/>
        </w:rPr>
        <w:t xml:space="preserve">ebit </w:t>
      </w:r>
      <w:r w:rsidR="00755225">
        <w:rPr>
          <w:rFonts w:eastAsia="Times New Roman" w:cs="Arial"/>
          <w:sz w:val="24"/>
          <w:szCs w:val="24"/>
          <w:lang w:eastAsia="en-AU"/>
        </w:rPr>
        <w:t>D</w:t>
      </w:r>
      <w:r w:rsidR="00145B6D">
        <w:rPr>
          <w:rFonts w:eastAsia="Times New Roman" w:cs="Arial"/>
          <w:sz w:val="24"/>
          <w:szCs w:val="24"/>
          <w:lang w:eastAsia="en-AU"/>
        </w:rPr>
        <w:t>ard Trial (the</w:t>
      </w:r>
      <w:r w:rsidRPr="00BF4FB4">
        <w:rPr>
          <w:rFonts w:eastAsia="Times New Roman" w:cs="Arial"/>
          <w:sz w:val="24"/>
          <w:szCs w:val="24"/>
          <w:lang w:eastAsia="en-AU"/>
        </w:rPr>
        <w:t xml:space="preserve"> </w:t>
      </w:r>
      <w:r>
        <w:rPr>
          <w:rFonts w:eastAsia="Times New Roman" w:cs="Arial"/>
          <w:sz w:val="24"/>
          <w:szCs w:val="24"/>
          <w:lang w:eastAsia="en-AU"/>
        </w:rPr>
        <w:t>Trial</w:t>
      </w:r>
      <w:r w:rsidR="00145B6D">
        <w:rPr>
          <w:rFonts w:eastAsia="Times New Roman" w:cs="Arial"/>
          <w:sz w:val="24"/>
          <w:szCs w:val="24"/>
          <w:lang w:eastAsia="en-AU"/>
        </w:rPr>
        <w:t>)</w:t>
      </w:r>
      <w:r>
        <w:rPr>
          <w:rFonts w:eastAsia="Times New Roman" w:cs="Arial"/>
          <w:sz w:val="24"/>
          <w:szCs w:val="24"/>
          <w:lang w:eastAsia="en-AU"/>
        </w:rPr>
        <w:t xml:space="preserve"> established by Part 3D of the Act </w:t>
      </w:r>
      <w:r w:rsidRPr="00BF4FB4">
        <w:rPr>
          <w:rFonts w:eastAsia="Times New Roman" w:cs="Arial"/>
          <w:sz w:val="24"/>
          <w:szCs w:val="24"/>
          <w:lang w:eastAsia="en-AU"/>
        </w:rPr>
        <w:t>test</w:t>
      </w:r>
      <w:r>
        <w:rPr>
          <w:rFonts w:eastAsia="Times New Roman" w:cs="Arial"/>
          <w:sz w:val="24"/>
          <w:szCs w:val="24"/>
          <w:lang w:eastAsia="en-AU"/>
        </w:rPr>
        <w:t>s</w:t>
      </w:r>
      <w:r w:rsidRPr="00BF4FB4">
        <w:rPr>
          <w:rFonts w:eastAsia="Times New Roman" w:cs="Arial"/>
          <w:sz w:val="24"/>
          <w:szCs w:val="24"/>
          <w:lang w:eastAsia="en-AU"/>
        </w:rPr>
        <w:t xml:space="preserve"> the concept of cashless welfare arrangements by disbursing </w:t>
      </w:r>
      <w:r>
        <w:rPr>
          <w:rFonts w:eastAsia="Times New Roman" w:cs="Arial"/>
          <w:sz w:val="24"/>
          <w:szCs w:val="24"/>
          <w:lang w:eastAsia="en-AU"/>
        </w:rPr>
        <w:t xml:space="preserve">a percentage of particular welfare payments to a </w:t>
      </w:r>
      <w:r w:rsidRPr="00BF4FB4">
        <w:rPr>
          <w:rFonts w:eastAsia="Times New Roman" w:cs="Arial"/>
          <w:sz w:val="24"/>
          <w:szCs w:val="24"/>
          <w:lang w:eastAsia="en-AU"/>
        </w:rPr>
        <w:t xml:space="preserve">welfare </w:t>
      </w:r>
      <w:r>
        <w:rPr>
          <w:rFonts w:eastAsia="Times New Roman" w:cs="Arial"/>
          <w:sz w:val="24"/>
          <w:szCs w:val="24"/>
          <w:lang w:eastAsia="en-AU"/>
        </w:rPr>
        <w:t xml:space="preserve">restricted </w:t>
      </w:r>
      <w:r w:rsidRPr="00BF4FB4">
        <w:rPr>
          <w:rFonts w:eastAsia="Times New Roman" w:cs="Arial"/>
          <w:sz w:val="24"/>
          <w:szCs w:val="24"/>
          <w:lang w:eastAsia="en-AU"/>
        </w:rPr>
        <w:t>bank account, accessed by a debit card which does not allow</w:t>
      </w:r>
      <w:r w:rsidR="005E22FB">
        <w:rPr>
          <w:rFonts w:eastAsia="Times New Roman" w:cs="Arial"/>
          <w:sz w:val="24"/>
          <w:szCs w:val="24"/>
          <w:lang w:eastAsia="en-AU"/>
        </w:rPr>
        <w:t xml:space="preserve"> the purchase of alcohol or gambling products, or</w:t>
      </w:r>
      <w:r w:rsidRPr="00BF4FB4">
        <w:rPr>
          <w:rFonts w:eastAsia="Times New Roman" w:cs="Arial"/>
          <w:sz w:val="24"/>
          <w:szCs w:val="24"/>
          <w:lang w:eastAsia="en-AU"/>
        </w:rPr>
        <w:t xml:space="preserve"> cash withdrawals</w:t>
      </w:r>
      <w:r w:rsidR="00EC66E1">
        <w:rPr>
          <w:rFonts w:eastAsia="Times New Roman" w:cs="Arial"/>
          <w:sz w:val="24"/>
          <w:szCs w:val="24"/>
          <w:lang w:eastAsia="en-AU"/>
        </w:rPr>
        <w:t xml:space="preserve">. </w:t>
      </w:r>
    </w:p>
    <w:p w:rsidR="00597BB3" w:rsidRPr="00BF4FB4" w:rsidRDefault="00597BB3" w:rsidP="00B40C3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F4FB4">
        <w:rPr>
          <w:rFonts w:eastAsia="Times New Roman" w:cs="Arial"/>
          <w:sz w:val="24"/>
          <w:szCs w:val="24"/>
          <w:lang w:eastAsia="en-AU"/>
        </w:rPr>
        <w:t xml:space="preserve">The </w:t>
      </w:r>
      <w:r>
        <w:rPr>
          <w:rFonts w:eastAsia="Times New Roman" w:cs="Arial"/>
          <w:sz w:val="24"/>
          <w:szCs w:val="24"/>
          <w:lang w:eastAsia="en-AU"/>
        </w:rPr>
        <w:t>T</w:t>
      </w:r>
      <w:r w:rsidRPr="00BF4FB4">
        <w:rPr>
          <w:rFonts w:eastAsia="Times New Roman" w:cs="Arial"/>
          <w:sz w:val="24"/>
          <w:szCs w:val="24"/>
          <w:lang w:eastAsia="en-AU"/>
        </w:rPr>
        <w:t xml:space="preserve">rial </w:t>
      </w:r>
      <w:r>
        <w:rPr>
          <w:rFonts w:eastAsia="Times New Roman" w:cs="Arial"/>
          <w:sz w:val="24"/>
          <w:szCs w:val="24"/>
          <w:lang w:eastAsia="en-AU"/>
        </w:rPr>
        <w:t>tests</w:t>
      </w:r>
      <w:r w:rsidRPr="00BF4FB4">
        <w:rPr>
          <w:rFonts w:eastAsia="Times New Roman" w:cs="Arial"/>
          <w:sz w:val="24"/>
          <w:szCs w:val="24"/>
          <w:lang w:eastAsia="en-AU"/>
        </w:rPr>
        <w:t xml:space="preserve"> whether significantly reducing access to discretionary cash, by placing a significant proportion of a person’s welfare payments into a restricted bank account, can reduce the habitual abuse and associated community level harm resulting from alcohol, gambling and drug</w:t>
      </w:r>
      <w:r w:rsidR="003C4767">
        <w:rPr>
          <w:rFonts w:eastAsia="Times New Roman" w:cs="Arial"/>
          <w:sz w:val="24"/>
          <w:szCs w:val="24"/>
          <w:lang w:eastAsia="en-AU"/>
        </w:rPr>
        <w:t xml:space="preserve"> u</w:t>
      </w:r>
      <w:r w:rsidRPr="00BF4FB4">
        <w:rPr>
          <w:rFonts w:eastAsia="Times New Roman" w:cs="Arial"/>
          <w:sz w:val="24"/>
          <w:szCs w:val="24"/>
          <w:lang w:eastAsia="en-AU"/>
        </w:rPr>
        <w:t>s</w:t>
      </w:r>
      <w:r w:rsidR="003C4767">
        <w:rPr>
          <w:rFonts w:eastAsia="Times New Roman" w:cs="Arial"/>
          <w:sz w:val="24"/>
          <w:szCs w:val="24"/>
          <w:lang w:eastAsia="en-AU"/>
        </w:rPr>
        <w:t>e</w:t>
      </w:r>
      <w:r w:rsidR="00EC66E1">
        <w:rPr>
          <w:rFonts w:eastAsia="Times New Roman" w:cs="Arial"/>
          <w:sz w:val="24"/>
          <w:szCs w:val="24"/>
          <w:lang w:eastAsia="en-AU"/>
        </w:rPr>
        <w:t xml:space="preserve">. </w:t>
      </w:r>
      <w:r w:rsidRPr="00BF4FB4">
        <w:rPr>
          <w:rFonts w:eastAsia="Times New Roman" w:cs="Arial"/>
          <w:sz w:val="24"/>
          <w:szCs w:val="24"/>
          <w:lang w:eastAsia="en-AU"/>
        </w:rPr>
        <w:t>It also test</w:t>
      </w:r>
      <w:r w:rsidR="00755225">
        <w:rPr>
          <w:rFonts w:eastAsia="Times New Roman" w:cs="Arial"/>
          <w:sz w:val="24"/>
          <w:szCs w:val="24"/>
          <w:lang w:eastAsia="en-AU"/>
        </w:rPr>
        <w:t>s</w:t>
      </w:r>
      <w:r w:rsidRPr="00BF4FB4">
        <w:rPr>
          <w:rFonts w:eastAsia="Times New Roman" w:cs="Arial"/>
          <w:sz w:val="24"/>
          <w:szCs w:val="24"/>
          <w:lang w:eastAsia="en-AU"/>
        </w:rPr>
        <w:t xml:space="preserve"> whether cashless welfare arrangements are more effective when community bodies are involved.</w:t>
      </w:r>
    </w:p>
    <w:p w:rsidR="00597BB3" w:rsidRDefault="00597BB3" w:rsidP="00B40C39">
      <w:pPr>
        <w:shd w:val="clear" w:color="auto" w:fill="FFFFFF"/>
        <w:spacing w:before="100" w:beforeAutospacing="1" w:after="100" w:afterAutospacing="1" w:line="240" w:lineRule="auto"/>
        <w:rPr>
          <w:rFonts w:eastAsia="Times New Roman" w:cs="Arial"/>
          <w:sz w:val="24"/>
          <w:szCs w:val="24"/>
          <w:lang w:eastAsia="en-AU"/>
        </w:rPr>
      </w:pPr>
      <w:r w:rsidRPr="00BF4FB4">
        <w:rPr>
          <w:rFonts w:eastAsia="Times New Roman" w:cs="Arial"/>
          <w:sz w:val="24"/>
          <w:szCs w:val="24"/>
          <w:lang w:eastAsia="en-AU"/>
        </w:rPr>
        <w:t xml:space="preserve">The </w:t>
      </w:r>
      <w:r w:rsidR="007B4B74">
        <w:rPr>
          <w:rFonts w:eastAsia="Times New Roman" w:cs="Arial"/>
          <w:sz w:val="24"/>
          <w:szCs w:val="24"/>
          <w:lang w:eastAsia="en-AU"/>
        </w:rPr>
        <w:t>T</w:t>
      </w:r>
      <w:r w:rsidRPr="00BF4FB4">
        <w:rPr>
          <w:rFonts w:eastAsia="Times New Roman" w:cs="Arial"/>
          <w:sz w:val="24"/>
          <w:szCs w:val="24"/>
          <w:lang w:eastAsia="en-AU"/>
        </w:rPr>
        <w:t xml:space="preserve">rial </w:t>
      </w:r>
      <w:r>
        <w:rPr>
          <w:rFonts w:eastAsia="Times New Roman" w:cs="Arial"/>
          <w:sz w:val="24"/>
          <w:szCs w:val="24"/>
          <w:lang w:eastAsia="en-AU"/>
        </w:rPr>
        <w:t>has been conducted in two locations,</w:t>
      </w:r>
      <w:r w:rsidRPr="00BF4FB4">
        <w:rPr>
          <w:rFonts w:eastAsia="Times New Roman" w:cs="Arial"/>
          <w:sz w:val="24"/>
          <w:szCs w:val="24"/>
          <w:lang w:eastAsia="en-AU"/>
        </w:rPr>
        <w:t xml:space="preserve"> </w:t>
      </w:r>
      <w:r w:rsidR="001069DB">
        <w:rPr>
          <w:rFonts w:eastAsia="Times New Roman" w:cs="Arial"/>
          <w:sz w:val="24"/>
          <w:szCs w:val="24"/>
          <w:lang w:eastAsia="en-AU"/>
        </w:rPr>
        <w:t xml:space="preserve">the East Kimberley and Ceduna regions, </w:t>
      </w:r>
      <w:r w:rsidRPr="00BF4FB4">
        <w:rPr>
          <w:rFonts w:eastAsia="Times New Roman" w:cs="Arial"/>
          <w:sz w:val="24"/>
          <w:szCs w:val="24"/>
          <w:lang w:eastAsia="en-AU"/>
        </w:rPr>
        <w:t>selected on the basis of community support, high levels of welfare dependence and where gambling, alcohol and/or drug abuse are causing unacceptable levels of harm within the community</w:t>
      </w:r>
      <w:r w:rsidR="001069DB">
        <w:rPr>
          <w:rFonts w:eastAsia="Times New Roman" w:cs="Arial"/>
          <w:sz w:val="24"/>
          <w:szCs w:val="24"/>
          <w:lang w:eastAsia="en-AU"/>
        </w:rPr>
        <w:t xml:space="preserve">. </w:t>
      </w:r>
    </w:p>
    <w:p w:rsidR="00597BB3" w:rsidRPr="00597BB3" w:rsidRDefault="00597BB3" w:rsidP="00597BB3">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 xml:space="preserve">It </w:t>
      </w:r>
      <w:r w:rsidR="00755225">
        <w:rPr>
          <w:rFonts w:eastAsia="Times New Roman" w:cs="Times New Roman"/>
          <w:sz w:val="24"/>
          <w:szCs w:val="20"/>
          <w:lang w:eastAsia="en-AU"/>
        </w:rPr>
        <w:t xml:space="preserve">is </w:t>
      </w:r>
      <w:r w:rsidR="00743D09">
        <w:rPr>
          <w:rFonts w:eastAsia="Times New Roman" w:cs="Times New Roman"/>
          <w:sz w:val="24"/>
          <w:szCs w:val="20"/>
          <w:lang w:eastAsia="en-AU"/>
        </w:rPr>
        <w:t xml:space="preserve">not </w:t>
      </w:r>
      <w:r w:rsidRPr="00597BB3">
        <w:rPr>
          <w:rFonts w:eastAsia="Times New Roman" w:cs="Times New Roman"/>
          <w:sz w:val="24"/>
          <w:szCs w:val="20"/>
          <w:lang w:eastAsia="en-AU"/>
        </w:rPr>
        <w:t>appropriate for some persons to be trial participants, because their particular circumstances may make certain aspects of the cashless debit card impractical</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Persons who live outside the trial area during term time for the purposes of completing their course of study may find it impractical to use a cashless debit card outside the trial area. For example, they will not have access to the same support services as trial participants who live within the trial area. Such students will not be within the class of trial participants.</w:t>
      </w:r>
    </w:p>
    <w:p w:rsidR="00597BB3" w:rsidRPr="00597BB3" w:rsidRDefault="00597BB3" w:rsidP="00597BB3">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Some welfare recipients are subject to income management under Part 3B of the Act. Persons whose usual place of residence is in</w:t>
      </w:r>
      <w:r w:rsidR="004E040F">
        <w:rPr>
          <w:rFonts w:eastAsia="Times New Roman" w:cs="Times New Roman"/>
          <w:sz w:val="24"/>
          <w:szCs w:val="20"/>
          <w:lang w:eastAsia="en-AU"/>
        </w:rPr>
        <w:t xml:space="preserve"> East Kimberley,</w:t>
      </w:r>
      <w:r w:rsidRPr="00597BB3">
        <w:rPr>
          <w:rFonts w:eastAsia="Times New Roman" w:cs="Times New Roman"/>
          <w:sz w:val="24"/>
          <w:szCs w:val="20"/>
          <w:lang w:eastAsia="en-AU"/>
        </w:rPr>
        <w:t xml:space="preserve"> Ceduna or the surrounding region may be subject to income management under the child protection measure of income management (section 123UC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 xml:space="preserve">Such persons will not </w:t>
      </w:r>
      <w:r w:rsidRPr="00597BB3">
        <w:rPr>
          <w:rFonts w:eastAsia="Times New Roman" w:cs="Times New Roman"/>
          <w:sz w:val="24"/>
          <w:szCs w:val="20"/>
          <w:lang w:eastAsia="en-AU"/>
        </w:rPr>
        <w:lastRenderedPageBreak/>
        <w:t>be trial participants while they remain subject to this measure of income management</w:t>
      </w:r>
      <w:r w:rsidR="00EC66E1">
        <w:rPr>
          <w:rFonts w:eastAsia="Times New Roman" w:cs="Times New Roman"/>
          <w:sz w:val="24"/>
          <w:szCs w:val="20"/>
          <w:lang w:eastAsia="en-AU"/>
        </w:rPr>
        <w:t xml:space="preserve">. </w:t>
      </w:r>
    </w:p>
    <w:p w:rsidR="00597BB3" w:rsidRPr="00597BB3" w:rsidRDefault="00597BB3" w:rsidP="00597BB3">
      <w:pPr>
        <w:keepLines/>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 xml:space="preserve">Similarly, a person who was formerly a resident of the Northern Territory may be subject to income management under the disengaged youth or long-term welfare payment recipient measures (under </w:t>
      </w:r>
      <w:r w:rsidR="00FF0C03">
        <w:rPr>
          <w:rFonts w:eastAsia="Times New Roman" w:cs="Times New Roman"/>
          <w:sz w:val="24"/>
          <w:szCs w:val="20"/>
          <w:lang w:eastAsia="en-AU"/>
        </w:rPr>
        <w:t xml:space="preserve">section 123UCB or 123UCC of the </w:t>
      </w:r>
      <w:r w:rsidRPr="00597BB3">
        <w:rPr>
          <w:rFonts w:eastAsia="Times New Roman" w:cs="Times New Roman"/>
          <w:sz w:val="24"/>
          <w:szCs w:val="20"/>
          <w:lang w:eastAsia="en-AU"/>
        </w:rPr>
        <w:t>Act)</w:t>
      </w:r>
      <w:r w:rsidR="00FF0C03">
        <w:rPr>
          <w:rFonts w:eastAsia="Times New Roman" w:cs="Times New Roman"/>
          <w:sz w:val="24"/>
          <w:szCs w:val="20"/>
          <w:lang w:eastAsia="en-AU"/>
        </w:rPr>
        <w:t>. Such </w:t>
      </w:r>
      <w:r w:rsidRPr="00597BB3">
        <w:rPr>
          <w:rFonts w:eastAsia="Times New Roman" w:cs="Times New Roman"/>
          <w:sz w:val="24"/>
          <w:szCs w:val="20"/>
          <w:lang w:eastAsia="en-AU"/>
        </w:rPr>
        <w:t>persons may remain subject to income management for 13 weeks despite their usual place of residence ceasing to be within a specified income management area</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 xml:space="preserve">Such persons who take up residence in the trial area will not be trial participants while they remain subject to income management. </w:t>
      </w:r>
    </w:p>
    <w:p w:rsidR="00597BB3" w:rsidRPr="00597BB3" w:rsidRDefault="00597BB3" w:rsidP="00597BB3">
      <w:pPr>
        <w:spacing w:before="240" w:after="0" w:line="240" w:lineRule="auto"/>
        <w:rPr>
          <w:rFonts w:eastAsia="Times New Roman" w:cs="Times New Roman"/>
          <w:sz w:val="24"/>
          <w:szCs w:val="20"/>
          <w:lang w:eastAsia="en-AU"/>
        </w:rPr>
      </w:pPr>
      <w:r w:rsidRPr="00597BB3">
        <w:rPr>
          <w:rFonts w:eastAsia="Times New Roman" w:cs="Times New Roman"/>
          <w:sz w:val="24"/>
          <w:szCs w:val="20"/>
          <w:lang w:eastAsia="en-AU"/>
        </w:rPr>
        <w:t>Similarly, a person who was formerly a resident of Queensland may be subject to income management under the Queensland Family Responsibilities Commission measure of income management (section 123UF of the Act)</w:t>
      </w:r>
      <w:r w:rsidR="00EC66E1">
        <w:rPr>
          <w:rFonts w:eastAsia="Times New Roman" w:cs="Times New Roman"/>
          <w:sz w:val="24"/>
          <w:szCs w:val="20"/>
          <w:lang w:eastAsia="en-AU"/>
        </w:rPr>
        <w:t xml:space="preserve">. </w:t>
      </w:r>
      <w:r w:rsidRPr="00597BB3">
        <w:rPr>
          <w:rFonts w:eastAsia="Times New Roman" w:cs="Times New Roman"/>
          <w:sz w:val="24"/>
          <w:szCs w:val="20"/>
          <w:lang w:eastAsia="en-AU"/>
        </w:rPr>
        <w:t>If such a person relocates to the trial area, they will not be a trial participant while they remain subject to income management.</w:t>
      </w:r>
    </w:p>
    <w:p w:rsidR="00597BB3" w:rsidRPr="00597BB3" w:rsidRDefault="00597BB3" w:rsidP="00597BB3">
      <w:pPr>
        <w:spacing w:before="240" w:after="0" w:line="240" w:lineRule="auto"/>
        <w:rPr>
          <w:rFonts w:eastAsia="Times New Roman" w:cs="Arial"/>
          <w:sz w:val="24"/>
          <w:szCs w:val="24"/>
          <w:lang w:eastAsia="en-AU"/>
        </w:rPr>
      </w:pPr>
      <w:r w:rsidRPr="00597BB3">
        <w:rPr>
          <w:rFonts w:eastAsia="Times New Roman" w:cs="Arial"/>
          <w:sz w:val="24"/>
          <w:szCs w:val="24"/>
          <w:lang w:eastAsia="en-AU"/>
        </w:rPr>
        <w:t>For some persons, being a trial participant may seriously risk the person’s mental, physical or emotional wellbeing</w:t>
      </w:r>
      <w:r w:rsidR="00EC66E1">
        <w:rPr>
          <w:rFonts w:eastAsia="Times New Roman" w:cs="Arial"/>
          <w:sz w:val="24"/>
          <w:szCs w:val="24"/>
          <w:lang w:eastAsia="en-AU"/>
        </w:rPr>
        <w:t xml:space="preserve">. </w:t>
      </w:r>
      <w:r w:rsidRPr="00597BB3">
        <w:rPr>
          <w:rFonts w:eastAsia="Times New Roman" w:cs="Arial"/>
          <w:sz w:val="24"/>
          <w:szCs w:val="24"/>
          <w:lang w:eastAsia="en-AU"/>
        </w:rPr>
        <w:t>Where an officer of the Department of Social Services (</w:t>
      </w:r>
      <w:r w:rsidR="00AB38ED">
        <w:rPr>
          <w:rFonts w:eastAsia="Times New Roman" w:cs="Arial"/>
          <w:sz w:val="24"/>
          <w:szCs w:val="24"/>
          <w:lang w:eastAsia="en-AU"/>
        </w:rPr>
        <w:t xml:space="preserve">who is a </w:t>
      </w:r>
      <w:r w:rsidRPr="00597BB3">
        <w:rPr>
          <w:rFonts w:eastAsia="Times New Roman" w:cs="Arial"/>
          <w:sz w:val="24"/>
          <w:szCs w:val="24"/>
          <w:lang w:eastAsia="en-AU"/>
        </w:rPr>
        <w:t>delegate of the Secretary) is satisfied that being a trial participant is seriously risking a person’s mental, physical or emotional wellbeing, the officer may make an administrative decision resulting in that person no longer falling within the class of persons who are trial participants</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Officers do not need to conduct an investigation into the mental, physical or emotional wellbeing of every prospective trial participant. It is only where officers are made aware of specific facts which indicate that an individual’s trial participation may seriously risk that person’s mental, physical or emotional wellbeing that they need to consider making the administrative decision resulting in that person no longer falling within the class of persons who are trial participants. </w:t>
      </w:r>
    </w:p>
    <w:p w:rsidR="00597BB3" w:rsidRPr="00597BB3" w:rsidRDefault="00597BB3" w:rsidP="00597BB3">
      <w:pPr>
        <w:spacing w:before="240" w:after="0" w:line="240" w:lineRule="auto"/>
        <w:rPr>
          <w:rFonts w:eastAsia="Times New Roman" w:cs="Arial"/>
          <w:sz w:val="24"/>
          <w:szCs w:val="24"/>
          <w:lang w:eastAsia="en-AU"/>
        </w:rPr>
      </w:pPr>
      <w:r w:rsidRPr="00597BB3">
        <w:rPr>
          <w:rFonts w:eastAsia="Times New Roman" w:cs="Arial"/>
          <w:sz w:val="24"/>
          <w:szCs w:val="24"/>
          <w:lang w:eastAsia="en-AU"/>
        </w:rPr>
        <w:t>Officers will consider making this determination once they are made aware of facts which indicate that being a trial participant may seriously risk a person’s mental, physical or emotional wellbeing</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Where an officer is satisfied that being a trial participant would seriously risk that person's mental, physical or emotional wellbeing at the beginning of the </w:t>
      </w:r>
      <w:r w:rsidR="00337303">
        <w:rPr>
          <w:rFonts w:eastAsia="Times New Roman" w:cs="Arial"/>
          <w:sz w:val="24"/>
          <w:szCs w:val="24"/>
          <w:lang w:eastAsia="en-AU"/>
        </w:rPr>
        <w:t>T</w:t>
      </w:r>
      <w:r w:rsidRPr="00597BB3">
        <w:rPr>
          <w:rFonts w:eastAsia="Times New Roman" w:cs="Arial"/>
          <w:sz w:val="24"/>
          <w:szCs w:val="24"/>
          <w:lang w:eastAsia="en-AU"/>
        </w:rPr>
        <w:t>rial and makes a determination to this effect, the person will not be a trial participan</w:t>
      </w:r>
      <w:r w:rsidR="00337303">
        <w:rPr>
          <w:rFonts w:eastAsia="Times New Roman" w:cs="Arial"/>
          <w:sz w:val="24"/>
          <w:szCs w:val="24"/>
          <w:lang w:eastAsia="en-AU"/>
        </w:rPr>
        <w:t>t from the commencement of the T</w:t>
      </w:r>
      <w:r w:rsidRPr="00597BB3">
        <w:rPr>
          <w:rFonts w:eastAsia="Times New Roman" w:cs="Arial"/>
          <w:sz w:val="24"/>
          <w:szCs w:val="24"/>
          <w:lang w:eastAsia="en-AU"/>
        </w:rPr>
        <w:t>rial while that condition is met</w:t>
      </w:r>
      <w:r w:rsidR="00EC66E1">
        <w:rPr>
          <w:rFonts w:eastAsia="Times New Roman" w:cs="Arial"/>
          <w:sz w:val="24"/>
          <w:szCs w:val="24"/>
          <w:lang w:eastAsia="en-AU"/>
        </w:rPr>
        <w:t xml:space="preserve">. </w:t>
      </w:r>
      <w:r w:rsidRPr="00597BB3">
        <w:rPr>
          <w:rFonts w:eastAsia="Times New Roman" w:cs="Arial"/>
          <w:sz w:val="24"/>
          <w:szCs w:val="24"/>
          <w:lang w:eastAsia="en-AU"/>
        </w:rPr>
        <w:t xml:space="preserve">If the serious risk to the person is only brought to an officer’s attention during the </w:t>
      </w:r>
      <w:r w:rsidR="00337303">
        <w:rPr>
          <w:rFonts w:eastAsia="Times New Roman" w:cs="Arial"/>
          <w:sz w:val="24"/>
          <w:szCs w:val="24"/>
          <w:lang w:eastAsia="en-AU"/>
        </w:rPr>
        <w:t>course of the T</w:t>
      </w:r>
      <w:r w:rsidRPr="00597BB3">
        <w:rPr>
          <w:rFonts w:eastAsia="Times New Roman" w:cs="Arial"/>
          <w:sz w:val="24"/>
          <w:szCs w:val="24"/>
          <w:lang w:eastAsia="en-AU"/>
        </w:rPr>
        <w:t>rial, the determination may be made, resulting in the person not being a trial participant while that condition is met.</w:t>
      </w:r>
    </w:p>
    <w:p w:rsidR="00597BB3" w:rsidRPr="00597BB3" w:rsidRDefault="00A6045E" w:rsidP="00597BB3">
      <w:pPr>
        <w:spacing w:before="240" w:after="0" w:line="240" w:lineRule="auto"/>
        <w:rPr>
          <w:rFonts w:eastAsia="Times New Roman" w:cs="Arial"/>
          <w:sz w:val="24"/>
          <w:szCs w:val="24"/>
          <w:lang w:eastAsia="en-AU"/>
        </w:rPr>
      </w:pPr>
      <w:r>
        <w:rPr>
          <w:rFonts w:eastAsia="Times New Roman" w:cs="Arial"/>
          <w:sz w:val="24"/>
          <w:szCs w:val="24"/>
          <w:lang w:eastAsia="en-AU"/>
        </w:rPr>
        <w:t>This</w:t>
      </w:r>
      <w:r w:rsidR="00597BB3" w:rsidRPr="00597BB3">
        <w:rPr>
          <w:rFonts w:eastAsia="Times New Roman" w:cs="Arial"/>
          <w:sz w:val="24"/>
          <w:szCs w:val="24"/>
          <w:lang w:eastAsia="en-AU"/>
        </w:rPr>
        <w:t xml:space="preserve"> Amendment Determination </w:t>
      </w:r>
      <w:r w:rsidR="00337303">
        <w:rPr>
          <w:rFonts w:eastAsia="Times New Roman" w:cs="Arial"/>
          <w:sz w:val="24"/>
          <w:szCs w:val="24"/>
          <w:lang w:eastAsia="en-AU"/>
        </w:rPr>
        <w:t>extends the T</w:t>
      </w:r>
      <w:r>
        <w:rPr>
          <w:rFonts w:eastAsia="Times New Roman" w:cs="Arial"/>
          <w:sz w:val="24"/>
          <w:szCs w:val="24"/>
          <w:lang w:eastAsia="en-AU"/>
        </w:rPr>
        <w:t xml:space="preserve">rial in the </w:t>
      </w:r>
      <w:r w:rsidR="004E040F">
        <w:rPr>
          <w:rFonts w:eastAsia="Times New Roman" w:cs="Arial"/>
          <w:sz w:val="24"/>
          <w:szCs w:val="24"/>
          <w:lang w:eastAsia="en-AU"/>
        </w:rPr>
        <w:t xml:space="preserve">Kimberley and </w:t>
      </w:r>
      <w:r w:rsidR="001069DB">
        <w:rPr>
          <w:rFonts w:eastAsia="Times New Roman" w:cs="Arial"/>
          <w:sz w:val="24"/>
          <w:szCs w:val="24"/>
          <w:lang w:eastAsia="en-AU"/>
        </w:rPr>
        <w:t>Ceduna</w:t>
      </w:r>
      <w:r>
        <w:rPr>
          <w:rFonts w:eastAsia="Times New Roman" w:cs="Arial"/>
          <w:sz w:val="24"/>
          <w:szCs w:val="24"/>
          <w:lang w:eastAsia="en-AU"/>
        </w:rPr>
        <w:t xml:space="preserve"> region</w:t>
      </w:r>
      <w:r w:rsidR="004E040F">
        <w:rPr>
          <w:rFonts w:eastAsia="Times New Roman" w:cs="Arial"/>
          <w:sz w:val="24"/>
          <w:szCs w:val="24"/>
          <w:lang w:eastAsia="en-AU"/>
        </w:rPr>
        <w:t>s</w:t>
      </w:r>
      <w:r w:rsidR="00DB1E92">
        <w:rPr>
          <w:rFonts w:eastAsia="Times New Roman" w:cs="Arial"/>
          <w:sz w:val="24"/>
          <w:szCs w:val="24"/>
          <w:lang w:eastAsia="en-AU"/>
        </w:rPr>
        <w:t xml:space="preserve"> for a period of six months.</w:t>
      </w:r>
    </w:p>
    <w:p w:rsidR="00597BB3" w:rsidRDefault="00597BB3" w:rsidP="003A47E4">
      <w:pPr>
        <w:spacing w:after="0" w:line="240" w:lineRule="auto"/>
        <w:jc w:val="both"/>
        <w:rPr>
          <w:rFonts w:eastAsia="Times New Roman" w:cs="Arial"/>
          <w:b/>
          <w:i/>
          <w:sz w:val="24"/>
          <w:szCs w:val="20"/>
          <w:lang w:eastAsia="en-AU"/>
        </w:rPr>
      </w:pPr>
    </w:p>
    <w:p w:rsidR="003A47E4" w:rsidRPr="00A35F0D" w:rsidRDefault="001069DB" w:rsidP="00A35F0D">
      <w:pPr>
        <w:rPr>
          <w:rFonts w:eastAsia="Times New Roman" w:cs="Arial"/>
          <w:b/>
          <w:i/>
          <w:sz w:val="24"/>
          <w:szCs w:val="20"/>
          <w:lang w:eastAsia="en-AU"/>
        </w:rPr>
      </w:pPr>
      <w:r>
        <w:rPr>
          <w:rFonts w:eastAsia="Times New Roman" w:cs="Arial"/>
          <w:b/>
          <w:i/>
          <w:sz w:val="24"/>
          <w:szCs w:val="20"/>
          <w:lang w:eastAsia="en-AU"/>
        </w:rPr>
        <w:br w:type="page"/>
      </w:r>
      <w:r w:rsidR="003A47E4" w:rsidRPr="003A47E4">
        <w:rPr>
          <w:rFonts w:eastAsia="Times New Roman" w:cs="Arial"/>
          <w:b/>
          <w:i/>
          <w:sz w:val="24"/>
          <w:szCs w:val="20"/>
          <w:lang w:eastAsia="en-AU"/>
        </w:rPr>
        <w:lastRenderedPageBreak/>
        <w:t>Human rights implications</w:t>
      </w:r>
    </w:p>
    <w:p w:rsidR="003A47E4" w:rsidRPr="003A47E4" w:rsidRDefault="003A47E4" w:rsidP="003A47E4">
      <w:pPr>
        <w:spacing w:after="0" w:line="240" w:lineRule="auto"/>
        <w:jc w:val="both"/>
        <w:rPr>
          <w:rFonts w:eastAsia="Times New Roman" w:cs="Times New Roman"/>
          <w:i/>
          <w:sz w:val="24"/>
          <w:szCs w:val="20"/>
          <w:u w:val="single"/>
          <w:lang w:eastAsia="en-AU"/>
        </w:rPr>
      </w:pPr>
      <w:r w:rsidRPr="003A47E4">
        <w:rPr>
          <w:rFonts w:eastAsia="Times New Roman" w:cs="Times New Roman"/>
          <w:i/>
          <w:sz w:val="24"/>
          <w:szCs w:val="20"/>
          <w:u w:val="single"/>
          <w:lang w:eastAsia="en-AU"/>
        </w:rPr>
        <w:t>Objectives</w:t>
      </w:r>
    </w:p>
    <w:p w:rsidR="003A47E4" w:rsidRPr="003A47E4" w:rsidRDefault="003A47E4" w:rsidP="003A47E4">
      <w:pPr>
        <w:spacing w:after="0" w:line="240" w:lineRule="auto"/>
        <w:jc w:val="both"/>
        <w:rPr>
          <w:rFonts w:eastAsia="Times New Roman" w:cs="Times New Roman"/>
          <w:sz w:val="24"/>
          <w:szCs w:val="20"/>
          <w:lang w:eastAsia="en-AU"/>
        </w:rPr>
      </w:pPr>
    </w:p>
    <w:p w:rsidR="003A47E4" w:rsidRPr="003A47E4" w:rsidRDefault="003A47E4" w:rsidP="003A47E4">
      <w:pPr>
        <w:spacing w:after="0" w:line="240" w:lineRule="auto"/>
        <w:rPr>
          <w:rFonts w:eastAsia="Times New Roman" w:cs="Arial"/>
          <w:sz w:val="24"/>
          <w:szCs w:val="20"/>
          <w:lang w:val="en-US" w:eastAsia="en-AU"/>
        </w:rPr>
      </w:pPr>
      <w:r w:rsidRPr="003A47E4">
        <w:rPr>
          <w:rFonts w:eastAsia="Times New Roman" w:cs="Arial"/>
          <w:sz w:val="24"/>
          <w:szCs w:val="20"/>
          <w:lang w:val="en-US" w:eastAsia="en-AU"/>
        </w:rPr>
        <w:t>The Objectives of Part 3D of the Act and this Amendment Determination are to:</w:t>
      </w:r>
    </w:p>
    <w:p w:rsidR="003A47E4" w:rsidRPr="003A47E4" w:rsidRDefault="003A47E4" w:rsidP="003A47E4">
      <w:pPr>
        <w:spacing w:after="0" w:line="240" w:lineRule="auto"/>
        <w:rPr>
          <w:rFonts w:eastAsia="Times New Roman" w:cs="Arial"/>
          <w:sz w:val="24"/>
          <w:szCs w:val="20"/>
          <w:lang w:val="en-US" w:eastAsia="en-AU"/>
        </w:rPr>
      </w:pPr>
    </w:p>
    <w:p w:rsidR="003A47E4" w:rsidRPr="001069DB" w:rsidRDefault="003A47E4" w:rsidP="001069DB">
      <w:pPr>
        <w:pStyle w:val="ListParagraph"/>
        <w:numPr>
          <w:ilvl w:val="0"/>
          <w:numId w:val="3"/>
        </w:numPr>
        <w:spacing w:after="0" w:line="240" w:lineRule="auto"/>
        <w:rPr>
          <w:rFonts w:eastAsia="Times New Roman" w:cs="Arial"/>
          <w:sz w:val="24"/>
          <w:szCs w:val="20"/>
          <w:lang w:val="en-US" w:eastAsia="en-AU"/>
        </w:rPr>
      </w:pPr>
      <w:r w:rsidRPr="001069DB">
        <w:rPr>
          <w:rFonts w:eastAsia="Times New Roman" w:cs="Arial"/>
          <w:sz w:val="24"/>
          <w:szCs w:val="20"/>
          <w:lang w:val="en-US" w:eastAsia="en-AU"/>
        </w:rPr>
        <w:t xml:space="preserve">reduce the amount of certain restrictable payments available to be spent on alcoholic beverages, gambling and illegal drugs; and </w:t>
      </w:r>
    </w:p>
    <w:p w:rsidR="003A47E4" w:rsidRPr="001069DB" w:rsidRDefault="003A47E4" w:rsidP="001069DB">
      <w:pPr>
        <w:pStyle w:val="ListParagraph"/>
        <w:numPr>
          <w:ilvl w:val="0"/>
          <w:numId w:val="3"/>
        </w:numPr>
        <w:spacing w:after="0" w:line="240" w:lineRule="auto"/>
        <w:rPr>
          <w:rFonts w:eastAsia="Times New Roman" w:cs="Arial"/>
          <w:sz w:val="24"/>
          <w:szCs w:val="20"/>
          <w:lang w:val="en-US" w:eastAsia="en-AU"/>
        </w:rPr>
      </w:pPr>
      <w:r w:rsidRPr="001069DB">
        <w:rPr>
          <w:rFonts w:eastAsia="Times New Roman" w:cs="Arial"/>
          <w:sz w:val="24"/>
          <w:szCs w:val="20"/>
          <w:lang w:val="en-US" w:eastAsia="en-AU"/>
        </w:rPr>
        <w:t xml:space="preserve">determine whether such a reduction decreases violence or harm in the Region; and </w:t>
      </w:r>
    </w:p>
    <w:p w:rsidR="003A47E4" w:rsidRPr="001069DB" w:rsidRDefault="003A47E4" w:rsidP="001069DB">
      <w:pPr>
        <w:pStyle w:val="ListParagraph"/>
        <w:numPr>
          <w:ilvl w:val="0"/>
          <w:numId w:val="3"/>
        </w:numPr>
        <w:spacing w:after="0" w:line="240" w:lineRule="auto"/>
        <w:rPr>
          <w:rFonts w:eastAsia="Times New Roman" w:cs="Arial"/>
          <w:sz w:val="24"/>
          <w:szCs w:val="20"/>
          <w:lang w:val="en-US" w:eastAsia="en-AU"/>
        </w:rPr>
      </w:pPr>
      <w:r w:rsidRPr="001069DB">
        <w:rPr>
          <w:rFonts w:eastAsia="Times New Roman" w:cs="Arial"/>
          <w:sz w:val="24"/>
          <w:szCs w:val="20"/>
          <w:lang w:val="en-US" w:eastAsia="en-AU"/>
        </w:rPr>
        <w:t xml:space="preserve">determine whether such arrangements are more effective when community bodies are involved; and </w:t>
      </w:r>
    </w:p>
    <w:p w:rsidR="003A47E4" w:rsidRPr="001069DB" w:rsidRDefault="003A47E4" w:rsidP="001069DB">
      <w:pPr>
        <w:pStyle w:val="ListParagraph"/>
        <w:numPr>
          <w:ilvl w:val="0"/>
          <w:numId w:val="3"/>
        </w:numPr>
        <w:spacing w:after="0" w:line="240" w:lineRule="auto"/>
        <w:rPr>
          <w:rFonts w:eastAsia="Times New Roman" w:cs="Arial"/>
          <w:sz w:val="24"/>
          <w:szCs w:val="20"/>
          <w:lang w:val="en-US" w:eastAsia="en-AU"/>
        </w:rPr>
      </w:pPr>
      <w:proofErr w:type="gramStart"/>
      <w:r w:rsidRPr="001069DB">
        <w:rPr>
          <w:rFonts w:eastAsia="Times New Roman" w:cs="Arial"/>
          <w:sz w:val="24"/>
          <w:szCs w:val="20"/>
          <w:lang w:val="en-US" w:eastAsia="en-AU"/>
        </w:rPr>
        <w:t>encourage</w:t>
      </w:r>
      <w:proofErr w:type="gramEnd"/>
      <w:r w:rsidRPr="001069DB">
        <w:rPr>
          <w:rFonts w:eastAsia="Times New Roman" w:cs="Arial"/>
          <w:sz w:val="24"/>
          <w:szCs w:val="20"/>
          <w:lang w:val="en-US" w:eastAsia="en-AU"/>
        </w:rPr>
        <w:t xml:space="preserve"> socially responsible </w:t>
      </w:r>
      <w:proofErr w:type="spellStart"/>
      <w:r w:rsidRPr="001069DB">
        <w:rPr>
          <w:rFonts w:eastAsia="Times New Roman" w:cs="Arial"/>
          <w:sz w:val="24"/>
          <w:szCs w:val="20"/>
          <w:lang w:val="en-US" w:eastAsia="en-AU"/>
        </w:rPr>
        <w:t>behavio</w:t>
      </w:r>
      <w:r w:rsidR="00BA5801" w:rsidRPr="001069DB">
        <w:rPr>
          <w:rFonts w:eastAsia="Times New Roman" w:cs="Arial"/>
          <w:sz w:val="24"/>
          <w:szCs w:val="20"/>
          <w:lang w:val="en-US" w:eastAsia="en-AU"/>
        </w:rPr>
        <w:t>u</w:t>
      </w:r>
      <w:r w:rsidRPr="001069DB">
        <w:rPr>
          <w:rFonts w:eastAsia="Times New Roman" w:cs="Arial"/>
          <w:sz w:val="24"/>
          <w:szCs w:val="20"/>
          <w:lang w:val="en-US" w:eastAsia="en-AU"/>
        </w:rPr>
        <w:t>r</w:t>
      </w:r>
      <w:proofErr w:type="spellEnd"/>
      <w:r w:rsidRPr="001069DB">
        <w:rPr>
          <w:rFonts w:eastAsia="Times New Roman" w:cs="Arial"/>
          <w:sz w:val="24"/>
          <w:szCs w:val="20"/>
          <w:lang w:val="en-US" w:eastAsia="en-AU"/>
        </w:rPr>
        <w:t>.</w:t>
      </w:r>
    </w:p>
    <w:p w:rsidR="003A47E4" w:rsidRPr="003A47E4" w:rsidRDefault="003A47E4" w:rsidP="003A47E4">
      <w:pPr>
        <w:spacing w:after="0" w:line="240" w:lineRule="auto"/>
        <w:rPr>
          <w:rFonts w:eastAsia="Times New Roman" w:cs="Arial"/>
          <w:sz w:val="24"/>
          <w:szCs w:val="20"/>
          <w:lang w:val="en-US" w:eastAsia="en-AU"/>
        </w:rPr>
      </w:pPr>
    </w:p>
    <w:p w:rsidR="003A47E4" w:rsidRPr="003A47E4" w:rsidRDefault="003A47E4" w:rsidP="003A47E4">
      <w:pPr>
        <w:spacing w:after="0" w:line="240" w:lineRule="auto"/>
        <w:rPr>
          <w:rFonts w:eastAsia="Times New Roman" w:cs="Arial"/>
          <w:sz w:val="24"/>
          <w:szCs w:val="24"/>
          <w:lang w:val="en-US"/>
        </w:rPr>
      </w:pPr>
      <w:r w:rsidRPr="003A47E4">
        <w:rPr>
          <w:rFonts w:eastAsia="Times New Roman" w:cs="Arial"/>
          <w:sz w:val="24"/>
          <w:szCs w:val="24"/>
          <w:lang w:val="en-US"/>
        </w:rPr>
        <w:t xml:space="preserve">In other words, the debit card has the objectives of reducing immediate hardship and deprivation, reducing violence and harm, encouraging socially responsible </w:t>
      </w:r>
      <w:proofErr w:type="spellStart"/>
      <w:r w:rsidRPr="003A47E4">
        <w:rPr>
          <w:rFonts w:eastAsia="Times New Roman" w:cs="Arial"/>
          <w:sz w:val="24"/>
          <w:szCs w:val="24"/>
          <w:lang w:val="en-US"/>
        </w:rPr>
        <w:t>behavio</w:t>
      </w:r>
      <w:r w:rsidR="00AB38ED">
        <w:rPr>
          <w:rFonts w:eastAsia="Times New Roman" w:cs="Arial"/>
          <w:sz w:val="24"/>
          <w:szCs w:val="24"/>
          <w:lang w:val="en-US"/>
        </w:rPr>
        <w:t>u</w:t>
      </w:r>
      <w:r w:rsidRPr="003A47E4">
        <w:rPr>
          <w:rFonts w:eastAsia="Times New Roman" w:cs="Arial"/>
          <w:sz w:val="24"/>
          <w:szCs w:val="24"/>
          <w:lang w:val="en-US"/>
        </w:rPr>
        <w:t>r</w:t>
      </w:r>
      <w:proofErr w:type="spellEnd"/>
      <w:r w:rsidRPr="003A47E4">
        <w:rPr>
          <w:rFonts w:eastAsia="Times New Roman" w:cs="Arial"/>
          <w:sz w:val="24"/>
          <w:szCs w:val="24"/>
          <w:lang w:val="en-US"/>
        </w:rPr>
        <w:t>, and reducing the likelihood that welfare payment recipients will be subject to harassment and abuse in relation to their welfare payments.</w:t>
      </w:r>
      <w:r w:rsidRPr="003A47E4">
        <w:rPr>
          <w:rFonts w:eastAsia="Times New Roman" w:cs="Arial"/>
          <w:sz w:val="24"/>
          <w:szCs w:val="24"/>
          <w:vertAlign w:val="superscript"/>
          <w:lang w:val="en-US"/>
        </w:rPr>
        <w:footnoteReference w:id="1"/>
      </w:r>
    </w:p>
    <w:p w:rsidR="003A47E4" w:rsidRPr="003A47E4" w:rsidRDefault="003A47E4" w:rsidP="003A47E4">
      <w:pPr>
        <w:spacing w:after="0" w:line="240" w:lineRule="auto"/>
        <w:rPr>
          <w:rFonts w:eastAsia="Times New Roman" w:cs="Arial"/>
          <w:sz w:val="24"/>
          <w:szCs w:val="20"/>
          <w:lang w:val="en-US"/>
        </w:rPr>
      </w:pPr>
    </w:p>
    <w:p w:rsidR="001069DB" w:rsidRPr="004E040F" w:rsidRDefault="001069DB" w:rsidP="001069DB">
      <w:pPr>
        <w:autoSpaceDE w:val="0"/>
        <w:autoSpaceDN w:val="0"/>
        <w:adjustRightInd w:val="0"/>
        <w:spacing w:after="0" w:line="240" w:lineRule="auto"/>
        <w:rPr>
          <w:rFonts w:ascii="Calibri" w:hAnsi="Calibri" w:cs="Calibri"/>
        </w:rPr>
      </w:pPr>
      <w:r>
        <w:rPr>
          <w:rFonts w:eastAsia="Times New Roman" w:cs="Arial"/>
          <w:sz w:val="24"/>
          <w:szCs w:val="24"/>
          <w:lang w:val="en-US"/>
        </w:rPr>
        <w:t>In East Kimberley, there is clear evidence of the harm caused by alcohol. For example, Western Australia (WA) Police data demonstrates that in 2013-14 there were 1,456 offences against the person for every 100,000 people in the East Kimberly region. The Kimberley region had offence rates against the person 4.5 times that of overall WA figures</w:t>
      </w:r>
      <w:r>
        <w:rPr>
          <w:rFonts w:cs="Arial"/>
          <w:sz w:val="24"/>
          <w:szCs w:val="24"/>
        </w:rPr>
        <w:t xml:space="preserve">. </w:t>
      </w:r>
      <w:r>
        <w:rPr>
          <w:rFonts w:eastAsia="Times New Roman" w:cs="Arial"/>
          <w:sz w:val="24"/>
          <w:szCs w:val="24"/>
          <w:lang w:val="en-US"/>
        </w:rPr>
        <w:t>In 2012-13, there were 100 reported incidents of family violence per 1,000 people in the Kimberley, as compared to the next highest of rate of family violence which was 43 per 1,000 people.</w:t>
      </w:r>
      <w:r>
        <w:rPr>
          <w:rFonts w:eastAsia="Times New Roman" w:cs="Arial"/>
          <w:sz w:val="24"/>
          <w:szCs w:val="24"/>
          <w:vertAlign w:val="superscript"/>
          <w:lang w:val="en-US"/>
        </w:rPr>
        <w:footnoteReference w:id="2"/>
      </w:r>
      <w:r>
        <w:rPr>
          <w:rFonts w:eastAsia="Times New Roman" w:cs="Arial"/>
          <w:sz w:val="24"/>
          <w:szCs w:val="24"/>
          <w:lang w:val="en-US"/>
        </w:rPr>
        <w:t xml:space="preserve"> </w:t>
      </w:r>
    </w:p>
    <w:p w:rsidR="001069DB" w:rsidRDefault="001069DB" w:rsidP="00093015">
      <w:pPr>
        <w:spacing w:after="0" w:line="240" w:lineRule="auto"/>
        <w:rPr>
          <w:rFonts w:eastAsia="Times New Roman" w:cs="Arial"/>
          <w:sz w:val="24"/>
          <w:szCs w:val="20"/>
          <w:lang w:val="en-US"/>
        </w:rPr>
      </w:pPr>
    </w:p>
    <w:p w:rsidR="004E040F" w:rsidRDefault="00093015" w:rsidP="00093015">
      <w:pPr>
        <w:spacing w:after="0" w:line="240" w:lineRule="auto"/>
        <w:rPr>
          <w:rFonts w:eastAsia="Times New Roman" w:cs="Arial"/>
          <w:sz w:val="24"/>
          <w:szCs w:val="20"/>
          <w:lang w:val="en-US"/>
        </w:rPr>
      </w:pPr>
      <w:r w:rsidRPr="00093015">
        <w:rPr>
          <w:rFonts w:eastAsia="Times New Roman" w:cs="Arial"/>
          <w:sz w:val="24"/>
          <w:szCs w:val="20"/>
          <w:lang w:val="en-US"/>
        </w:rPr>
        <w:t>In</w:t>
      </w:r>
      <w:r w:rsidR="004E040F">
        <w:rPr>
          <w:rFonts w:eastAsia="Times New Roman" w:cs="Arial"/>
          <w:sz w:val="24"/>
          <w:szCs w:val="20"/>
          <w:lang w:val="en-US"/>
        </w:rPr>
        <w:t xml:space="preserve"> </w:t>
      </w:r>
      <w:r w:rsidR="001069DB">
        <w:rPr>
          <w:rFonts w:eastAsia="Times New Roman" w:cs="Arial"/>
          <w:sz w:val="24"/>
          <w:szCs w:val="20"/>
          <w:lang w:val="en-US"/>
        </w:rPr>
        <w:t xml:space="preserve">the </w:t>
      </w:r>
      <w:proofErr w:type="spellStart"/>
      <w:r w:rsidR="001069DB">
        <w:rPr>
          <w:rFonts w:eastAsia="Times New Roman" w:cs="Arial"/>
          <w:sz w:val="24"/>
          <w:szCs w:val="20"/>
          <w:lang w:val="en-US"/>
        </w:rPr>
        <w:t>Ceduna</w:t>
      </w:r>
      <w:proofErr w:type="spellEnd"/>
      <w:r w:rsidRPr="00093015">
        <w:rPr>
          <w:rFonts w:eastAsia="Times New Roman" w:cs="Arial"/>
          <w:sz w:val="24"/>
          <w:szCs w:val="20"/>
          <w:lang w:val="en-US"/>
        </w:rPr>
        <w:t xml:space="preserve"> </w:t>
      </w:r>
      <w:r w:rsidR="00AD5236">
        <w:rPr>
          <w:rFonts w:eastAsia="Times New Roman" w:cs="Arial"/>
          <w:sz w:val="24"/>
          <w:szCs w:val="20"/>
          <w:lang w:val="en-US"/>
        </w:rPr>
        <w:t>r</w:t>
      </w:r>
      <w:r w:rsidRPr="00093015">
        <w:rPr>
          <w:rFonts w:eastAsia="Times New Roman" w:cs="Arial"/>
          <w:sz w:val="24"/>
          <w:szCs w:val="20"/>
          <w:lang w:val="en-US"/>
        </w:rPr>
        <w:t>egion</w:t>
      </w:r>
      <w:r w:rsidR="001069DB">
        <w:rPr>
          <w:rFonts w:eastAsia="Times New Roman" w:cs="Arial"/>
          <w:sz w:val="24"/>
          <w:szCs w:val="20"/>
          <w:lang w:val="en-US"/>
        </w:rPr>
        <w:t>,</w:t>
      </w:r>
      <w:r w:rsidRPr="00093015">
        <w:rPr>
          <w:rFonts w:eastAsia="Times New Roman" w:cs="Arial"/>
          <w:sz w:val="24"/>
          <w:szCs w:val="20"/>
          <w:lang w:val="en-US"/>
        </w:rPr>
        <w:t xml:space="preserve"> there is </w:t>
      </w:r>
      <w:r w:rsidR="001069DB">
        <w:rPr>
          <w:rFonts w:eastAsia="Times New Roman" w:cs="Arial"/>
          <w:sz w:val="24"/>
          <w:szCs w:val="20"/>
          <w:lang w:val="en-US"/>
        </w:rPr>
        <w:t xml:space="preserve">also </w:t>
      </w:r>
      <w:r w:rsidRPr="00093015">
        <w:rPr>
          <w:rFonts w:eastAsia="Times New Roman" w:cs="Arial"/>
          <w:sz w:val="24"/>
          <w:szCs w:val="20"/>
          <w:lang w:val="en-US"/>
        </w:rPr>
        <w:t>clear evidence of the harm caused by alcohol in the community. The deaths of six Indigenous people related to alcohol abuse and sleeping rough were the subject of a coronial inquest in 2011</w:t>
      </w:r>
      <w:r w:rsidR="00EC66E1">
        <w:rPr>
          <w:rFonts w:eastAsia="Times New Roman" w:cs="Arial"/>
          <w:sz w:val="24"/>
          <w:szCs w:val="20"/>
          <w:lang w:val="en-US"/>
        </w:rPr>
        <w:t xml:space="preserve">. </w:t>
      </w:r>
      <w:r w:rsidRPr="00093015">
        <w:rPr>
          <w:rFonts w:eastAsia="Times New Roman" w:cs="Arial"/>
          <w:sz w:val="24"/>
          <w:szCs w:val="20"/>
          <w:lang w:val="en-US"/>
        </w:rPr>
        <w:t xml:space="preserve">In March 2013, the </w:t>
      </w:r>
      <w:proofErr w:type="spellStart"/>
      <w:r w:rsidRPr="00093015">
        <w:rPr>
          <w:rFonts w:eastAsia="Times New Roman" w:cs="Arial"/>
          <w:sz w:val="24"/>
          <w:szCs w:val="20"/>
          <w:lang w:val="en-US"/>
        </w:rPr>
        <w:t>Ceduna</w:t>
      </w:r>
      <w:proofErr w:type="spellEnd"/>
      <w:r w:rsidRPr="00093015">
        <w:rPr>
          <w:rFonts w:eastAsia="Times New Roman" w:cs="Arial"/>
          <w:sz w:val="24"/>
          <w:szCs w:val="20"/>
          <w:lang w:val="en-US"/>
        </w:rPr>
        <w:t xml:space="preserve"> Sobering </w:t>
      </w:r>
      <w:proofErr w:type="gramStart"/>
      <w:r w:rsidRPr="00093015">
        <w:rPr>
          <w:rFonts w:eastAsia="Times New Roman" w:cs="Arial"/>
          <w:sz w:val="24"/>
          <w:szCs w:val="20"/>
          <w:lang w:val="en-US"/>
        </w:rPr>
        <w:t>Up</w:t>
      </w:r>
      <w:proofErr w:type="gramEnd"/>
      <w:r w:rsidRPr="00093015">
        <w:rPr>
          <w:rFonts w:eastAsia="Times New Roman" w:cs="Arial"/>
          <w:sz w:val="24"/>
          <w:szCs w:val="20"/>
          <w:lang w:val="en-US"/>
        </w:rPr>
        <w:t xml:space="preserve"> Unit had 89.7% occupancy, there were breath alcohol readings of 0.40 which is as high as the machine measures, as well as many readings in the 0.30 to 0.40 range.</w:t>
      </w:r>
      <w:r w:rsidRPr="00093015">
        <w:rPr>
          <w:rFonts w:eastAsia="Times New Roman" w:cs="Arial"/>
          <w:sz w:val="24"/>
          <w:szCs w:val="20"/>
          <w:vertAlign w:val="superscript"/>
          <w:lang w:val="en-US"/>
        </w:rPr>
        <w:footnoteReference w:id="3"/>
      </w:r>
      <w:r w:rsidRPr="00093015">
        <w:rPr>
          <w:rFonts w:eastAsia="Times New Roman" w:cs="Arial"/>
          <w:sz w:val="24"/>
          <w:szCs w:val="20"/>
          <w:lang w:val="en-US"/>
        </w:rPr>
        <w:t xml:space="preserve"> </w:t>
      </w:r>
    </w:p>
    <w:p w:rsidR="00093015" w:rsidRPr="00093015" w:rsidRDefault="00093015" w:rsidP="00093015">
      <w:pPr>
        <w:spacing w:after="0" w:line="240" w:lineRule="auto"/>
        <w:rPr>
          <w:rFonts w:eastAsia="Times New Roman" w:cs="Arial"/>
          <w:sz w:val="24"/>
          <w:szCs w:val="20"/>
          <w:lang w:val="en-US"/>
        </w:rPr>
      </w:pPr>
    </w:p>
    <w:p w:rsidR="00093015" w:rsidRPr="00093015" w:rsidRDefault="00093015" w:rsidP="00093015">
      <w:pPr>
        <w:spacing w:after="0" w:line="240" w:lineRule="auto"/>
        <w:rPr>
          <w:rFonts w:eastAsia="Times New Roman" w:cs="Arial"/>
          <w:sz w:val="24"/>
          <w:szCs w:val="20"/>
          <w:lang w:val="en-US"/>
        </w:rPr>
      </w:pPr>
      <w:r w:rsidRPr="00093015">
        <w:rPr>
          <w:rFonts w:eastAsia="Times New Roman" w:cs="Arial"/>
          <w:sz w:val="24"/>
          <w:szCs w:val="20"/>
          <w:lang w:val="en-US"/>
        </w:rPr>
        <w:t xml:space="preserve">In a submission to the Senate Standing Committee on Community Affairs, the Mayor of </w:t>
      </w:r>
      <w:proofErr w:type="spellStart"/>
      <w:r w:rsidRPr="00093015">
        <w:rPr>
          <w:rFonts w:eastAsia="Times New Roman" w:cs="Arial"/>
          <w:sz w:val="24"/>
          <w:szCs w:val="20"/>
          <w:lang w:val="en-US"/>
        </w:rPr>
        <w:t>Ceduna</w:t>
      </w:r>
      <w:proofErr w:type="spellEnd"/>
      <w:r w:rsidRPr="00093015">
        <w:rPr>
          <w:rFonts w:eastAsia="Times New Roman" w:cs="Arial"/>
          <w:sz w:val="24"/>
          <w:szCs w:val="20"/>
          <w:lang w:val="en-US"/>
        </w:rPr>
        <w:t xml:space="preserve">, </w:t>
      </w:r>
      <w:proofErr w:type="spellStart"/>
      <w:r w:rsidRPr="00093015">
        <w:rPr>
          <w:rFonts w:eastAsia="Times New Roman" w:cs="Arial"/>
          <w:sz w:val="24"/>
          <w:szCs w:val="20"/>
          <w:lang w:val="en-US"/>
        </w:rPr>
        <w:t>Mr</w:t>
      </w:r>
      <w:proofErr w:type="spellEnd"/>
      <w:r w:rsidRPr="00093015">
        <w:rPr>
          <w:rFonts w:eastAsia="Times New Roman" w:cs="Arial"/>
          <w:sz w:val="24"/>
          <w:szCs w:val="20"/>
          <w:lang w:val="en-US"/>
        </w:rPr>
        <w:t xml:space="preserve"> Alan </w:t>
      </w:r>
      <w:proofErr w:type="spellStart"/>
      <w:r w:rsidRPr="00093015">
        <w:rPr>
          <w:rFonts w:eastAsia="Times New Roman" w:cs="Arial"/>
          <w:sz w:val="24"/>
          <w:szCs w:val="20"/>
          <w:lang w:val="en-US"/>
        </w:rPr>
        <w:t>Suter</w:t>
      </w:r>
      <w:proofErr w:type="spellEnd"/>
      <w:r w:rsidRPr="00093015">
        <w:rPr>
          <w:rFonts w:eastAsia="Times New Roman" w:cs="Arial"/>
          <w:sz w:val="24"/>
          <w:szCs w:val="20"/>
          <w:lang w:val="en-US"/>
        </w:rPr>
        <w:t xml:space="preserve">, provided an unsigned affidavit stating that in his role, he has participated in various initiatives to assist with the problems caused by alcohol abuse in </w:t>
      </w:r>
      <w:proofErr w:type="spellStart"/>
      <w:r w:rsidRPr="00093015">
        <w:rPr>
          <w:rFonts w:eastAsia="Times New Roman" w:cs="Arial"/>
          <w:sz w:val="24"/>
          <w:szCs w:val="20"/>
          <w:lang w:val="en-US"/>
        </w:rPr>
        <w:t>Ceduna</w:t>
      </w:r>
      <w:proofErr w:type="spellEnd"/>
      <w:r w:rsidR="00EC66E1">
        <w:rPr>
          <w:rFonts w:eastAsia="Times New Roman" w:cs="Arial"/>
          <w:sz w:val="24"/>
          <w:szCs w:val="20"/>
          <w:lang w:val="en-US"/>
        </w:rPr>
        <w:t xml:space="preserve">. </w:t>
      </w:r>
      <w:proofErr w:type="spellStart"/>
      <w:r w:rsidRPr="00093015">
        <w:rPr>
          <w:rFonts w:eastAsia="Times New Roman" w:cs="Arial"/>
          <w:sz w:val="24"/>
          <w:szCs w:val="20"/>
          <w:lang w:val="en-US"/>
        </w:rPr>
        <w:t>Mr</w:t>
      </w:r>
      <w:proofErr w:type="spellEnd"/>
      <w:r w:rsidRPr="00093015">
        <w:rPr>
          <w:rFonts w:eastAsia="Times New Roman" w:cs="Arial"/>
          <w:sz w:val="24"/>
          <w:szCs w:val="20"/>
          <w:lang w:val="en-US"/>
        </w:rPr>
        <w:t xml:space="preserve"> </w:t>
      </w:r>
      <w:proofErr w:type="spellStart"/>
      <w:r w:rsidRPr="00093015">
        <w:rPr>
          <w:rFonts w:eastAsia="Times New Roman" w:cs="Arial"/>
          <w:sz w:val="24"/>
          <w:szCs w:val="20"/>
          <w:lang w:val="en-US"/>
        </w:rPr>
        <w:t>Suter</w:t>
      </w:r>
      <w:proofErr w:type="spellEnd"/>
      <w:r w:rsidRPr="00093015">
        <w:rPr>
          <w:rFonts w:eastAsia="Times New Roman" w:cs="Arial"/>
          <w:sz w:val="24"/>
          <w:szCs w:val="20"/>
          <w:lang w:val="en-US"/>
        </w:rPr>
        <w:t xml:space="preserve"> stated that the most effective attempt ‘was a restriction of sales …. [</w:t>
      </w:r>
      <w:proofErr w:type="gramStart"/>
      <w:r w:rsidRPr="00093015">
        <w:rPr>
          <w:rFonts w:eastAsia="Times New Roman" w:cs="Arial"/>
          <w:sz w:val="24"/>
          <w:szCs w:val="20"/>
          <w:lang w:val="en-US"/>
        </w:rPr>
        <w:t>which</w:t>
      </w:r>
      <w:proofErr w:type="gramEnd"/>
      <w:r w:rsidRPr="00093015">
        <w:rPr>
          <w:rFonts w:eastAsia="Times New Roman" w:cs="Arial"/>
          <w:sz w:val="24"/>
          <w:szCs w:val="20"/>
          <w:lang w:val="en-US"/>
        </w:rPr>
        <w:t>] reduced the availability of take away alcohol and helped considerably until it was withdrawn by the licensees.’</w:t>
      </w:r>
      <w:r w:rsidRPr="00093015">
        <w:rPr>
          <w:rFonts w:eastAsia="Times New Roman" w:cs="Arial"/>
          <w:sz w:val="24"/>
          <w:szCs w:val="20"/>
          <w:vertAlign w:val="superscript"/>
          <w:lang w:val="en-US"/>
        </w:rPr>
        <w:footnoteReference w:id="4"/>
      </w:r>
    </w:p>
    <w:p w:rsidR="00093015" w:rsidRPr="00093015" w:rsidRDefault="00093015" w:rsidP="00093015">
      <w:pPr>
        <w:spacing w:after="0" w:line="240" w:lineRule="auto"/>
        <w:rPr>
          <w:rFonts w:eastAsia="Times New Roman" w:cs="Arial"/>
          <w:sz w:val="24"/>
          <w:szCs w:val="20"/>
          <w:lang w:val="en-US" w:eastAsia="en-AU"/>
        </w:rPr>
      </w:pPr>
    </w:p>
    <w:p w:rsidR="001069DB" w:rsidRDefault="00093015" w:rsidP="003A47E4">
      <w:pPr>
        <w:spacing w:after="0" w:line="240" w:lineRule="auto"/>
        <w:rPr>
          <w:rFonts w:eastAsia="Times New Roman" w:cs="Arial"/>
          <w:sz w:val="24"/>
          <w:szCs w:val="20"/>
          <w:lang w:val="en-US" w:eastAsia="en-AU"/>
        </w:rPr>
      </w:pPr>
      <w:r w:rsidRPr="00093015">
        <w:rPr>
          <w:rFonts w:eastAsia="Times New Roman" w:cs="Arial"/>
          <w:sz w:val="24"/>
          <w:szCs w:val="20"/>
          <w:lang w:val="en-US" w:eastAsia="en-AU"/>
        </w:rPr>
        <w:t>As well as alcohol, illegal drug use and gambling are also causing unacceptable levels of harm in</w:t>
      </w:r>
      <w:r w:rsidR="001069DB">
        <w:rPr>
          <w:rFonts w:eastAsia="Times New Roman" w:cs="Arial"/>
          <w:sz w:val="24"/>
          <w:szCs w:val="20"/>
          <w:lang w:val="en-US" w:eastAsia="en-AU"/>
        </w:rPr>
        <w:t xml:space="preserve"> the</w:t>
      </w:r>
      <w:r w:rsidRPr="00093015">
        <w:rPr>
          <w:rFonts w:eastAsia="Times New Roman" w:cs="Arial"/>
          <w:sz w:val="24"/>
          <w:szCs w:val="20"/>
          <w:lang w:val="en-US" w:eastAsia="en-AU"/>
        </w:rPr>
        <w:t xml:space="preserve"> </w:t>
      </w:r>
      <w:proofErr w:type="spellStart"/>
      <w:r w:rsidRPr="00093015">
        <w:rPr>
          <w:rFonts w:eastAsia="Times New Roman" w:cs="Arial"/>
          <w:sz w:val="24"/>
          <w:szCs w:val="20"/>
          <w:lang w:val="en-US" w:eastAsia="en-AU"/>
        </w:rPr>
        <w:t>Ceduna</w:t>
      </w:r>
      <w:proofErr w:type="spellEnd"/>
      <w:r w:rsidRPr="00093015">
        <w:rPr>
          <w:rFonts w:eastAsia="Times New Roman" w:cs="Arial"/>
          <w:sz w:val="24"/>
          <w:szCs w:val="20"/>
          <w:lang w:val="en-US" w:eastAsia="en-AU"/>
        </w:rPr>
        <w:t xml:space="preserve"> </w:t>
      </w:r>
      <w:r w:rsidR="00AD5236">
        <w:rPr>
          <w:rFonts w:eastAsia="Times New Roman" w:cs="Arial"/>
          <w:sz w:val="24"/>
          <w:szCs w:val="20"/>
          <w:lang w:val="en-US" w:eastAsia="en-AU"/>
        </w:rPr>
        <w:t>r</w:t>
      </w:r>
      <w:r w:rsidRPr="00093015">
        <w:rPr>
          <w:rFonts w:eastAsia="Times New Roman" w:cs="Arial"/>
          <w:sz w:val="24"/>
          <w:szCs w:val="20"/>
          <w:lang w:val="en-US" w:eastAsia="en-AU"/>
        </w:rPr>
        <w:t xml:space="preserve">egion. </w:t>
      </w:r>
      <w:r w:rsidR="001069DB">
        <w:rPr>
          <w:rFonts w:eastAsia="Times New Roman" w:cs="Arial"/>
          <w:sz w:val="24"/>
          <w:szCs w:val="20"/>
          <w:lang w:val="en-US" w:eastAsia="en-AU"/>
        </w:rPr>
        <w:t xml:space="preserve">The </w:t>
      </w:r>
      <w:proofErr w:type="spellStart"/>
      <w:r w:rsidRPr="00093015">
        <w:rPr>
          <w:rFonts w:eastAsia="Times New Roman" w:cs="Arial"/>
          <w:sz w:val="24"/>
          <w:szCs w:val="20"/>
          <w:lang w:val="en-US" w:eastAsia="en-AU"/>
        </w:rPr>
        <w:t>Ceduna</w:t>
      </w:r>
      <w:proofErr w:type="spellEnd"/>
      <w:r w:rsidRPr="00093015">
        <w:rPr>
          <w:rFonts w:eastAsia="Times New Roman" w:cs="Arial"/>
          <w:sz w:val="24"/>
          <w:szCs w:val="20"/>
          <w:lang w:val="en-US" w:eastAsia="en-AU"/>
        </w:rPr>
        <w:t xml:space="preserve"> </w:t>
      </w:r>
      <w:r w:rsidR="00AD5236">
        <w:rPr>
          <w:rFonts w:eastAsia="Times New Roman" w:cs="Arial"/>
          <w:sz w:val="24"/>
          <w:szCs w:val="20"/>
          <w:lang w:val="en-US" w:eastAsia="en-AU"/>
        </w:rPr>
        <w:t>r</w:t>
      </w:r>
      <w:r w:rsidRPr="00093015">
        <w:rPr>
          <w:rFonts w:eastAsia="Times New Roman" w:cs="Arial"/>
          <w:sz w:val="24"/>
          <w:szCs w:val="20"/>
          <w:lang w:val="en-US" w:eastAsia="en-AU"/>
        </w:rPr>
        <w:t xml:space="preserve">egion has a high level of welfare </w:t>
      </w:r>
      <w:r w:rsidRPr="00093015">
        <w:rPr>
          <w:rFonts w:eastAsia="Times New Roman" w:cs="Arial"/>
          <w:sz w:val="24"/>
          <w:szCs w:val="20"/>
          <w:lang w:val="en-US" w:eastAsia="en-AU"/>
        </w:rPr>
        <w:lastRenderedPageBreak/>
        <w:t xml:space="preserve">dependence, and, importantly, there is an openness to participate from within the community. </w:t>
      </w:r>
    </w:p>
    <w:p w:rsidR="001069DB" w:rsidRDefault="001069DB" w:rsidP="003A47E4">
      <w:pPr>
        <w:spacing w:after="0" w:line="240" w:lineRule="auto"/>
        <w:rPr>
          <w:rFonts w:eastAsia="Times New Roman" w:cs="Arial"/>
          <w:sz w:val="24"/>
          <w:szCs w:val="20"/>
          <w:lang w:val="en-US" w:eastAsia="en-AU"/>
        </w:rPr>
      </w:pPr>
    </w:p>
    <w:p w:rsidR="003A47E4" w:rsidRPr="001069DB" w:rsidRDefault="003A47E4" w:rsidP="003A47E4">
      <w:pPr>
        <w:spacing w:after="0" w:line="240" w:lineRule="auto"/>
        <w:rPr>
          <w:rFonts w:eastAsia="Times New Roman" w:cs="Arial"/>
          <w:sz w:val="24"/>
          <w:szCs w:val="20"/>
          <w:lang w:val="en-US" w:eastAsia="en-AU"/>
        </w:rPr>
      </w:pPr>
      <w:r w:rsidRPr="003A47E4">
        <w:rPr>
          <w:rFonts w:eastAsia="Times New Roman" w:cs="Arial"/>
          <w:i/>
          <w:sz w:val="24"/>
          <w:szCs w:val="20"/>
          <w:u w:val="single"/>
          <w:lang w:val="en-US"/>
        </w:rPr>
        <w:t>General Safeguards</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A number of general safeguards that help to protect human rights have been incorporated into the Trial. First, the roll-out of the Trial in </w:t>
      </w:r>
      <w:r w:rsidR="00093015">
        <w:rPr>
          <w:rFonts w:eastAsia="Times New Roman" w:cs="Arial"/>
          <w:sz w:val="24"/>
          <w:szCs w:val="20"/>
          <w:lang w:val="en-US"/>
        </w:rPr>
        <w:t>trial area</w:t>
      </w:r>
      <w:r w:rsidR="00145B6D">
        <w:rPr>
          <w:rFonts w:eastAsia="Times New Roman" w:cs="Arial"/>
          <w:sz w:val="24"/>
          <w:szCs w:val="20"/>
          <w:lang w:val="en-US"/>
        </w:rPr>
        <w:t>s</w:t>
      </w:r>
      <w:r w:rsidRPr="003A47E4">
        <w:rPr>
          <w:rFonts w:eastAsia="Times New Roman" w:cs="Arial"/>
          <w:sz w:val="24"/>
          <w:szCs w:val="20"/>
          <w:lang w:val="en-US"/>
        </w:rPr>
        <w:t xml:space="preserve"> has been subject to an extensive consultation process. </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The second safeguard is the power </w:t>
      </w:r>
      <w:r w:rsidR="00145B6D">
        <w:rPr>
          <w:rFonts w:eastAsia="Times New Roman" w:cs="Arial"/>
          <w:sz w:val="24"/>
          <w:szCs w:val="20"/>
          <w:lang w:val="en-US"/>
        </w:rPr>
        <w:t>delegated to</w:t>
      </w:r>
      <w:r w:rsidRPr="003A47E4">
        <w:rPr>
          <w:rFonts w:eastAsia="Times New Roman" w:cs="Arial"/>
          <w:sz w:val="24"/>
          <w:szCs w:val="20"/>
          <w:lang w:val="en-US"/>
        </w:rPr>
        <w:t xml:space="preserve"> community bodies to vary</w:t>
      </w:r>
      <w:r w:rsidR="00145B6D">
        <w:rPr>
          <w:rFonts w:eastAsia="Times New Roman" w:cs="Arial"/>
          <w:sz w:val="24"/>
          <w:szCs w:val="20"/>
          <w:lang w:val="en-US"/>
        </w:rPr>
        <w:t xml:space="preserve"> a participant’s restricted percentage, </w:t>
      </w:r>
      <w:r w:rsidRPr="003A47E4">
        <w:rPr>
          <w:rFonts w:eastAsia="Times New Roman" w:cs="Arial"/>
          <w:sz w:val="24"/>
          <w:szCs w:val="20"/>
          <w:lang w:val="en-US"/>
        </w:rPr>
        <w:t>subject to th</w:t>
      </w:r>
      <w:r w:rsidR="00145B6D">
        <w:rPr>
          <w:rFonts w:eastAsia="Times New Roman" w:cs="Arial"/>
          <w:sz w:val="24"/>
          <w:szCs w:val="20"/>
          <w:lang w:val="en-US"/>
        </w:rPr>
        <w:t>e participant’s</w:t>
      </w:r>
      <w:r w:rsidRPr="003A47E4">
        <w:rPr>
          <w:rFonts w:eastAsia="Times New Roman" w:cs="Arial"/>
          <w:sz w:val="24"/>
          <w:szCs w:val="20"/>
          <w:lang w:val="en-US"/>
        </w:rPr>
        <w:t xml:space="preserve"> agreement (as provided for under section 124PK of the Act). </w:t>
      </w:r>
      <w:proofErr w:type="gramStart"/>
      <w:r w:rsidRPr="003A47E4">
        <w:rPr>
          <w:rFonts w:eastAsia="Times New Roman" w:cs="Arial"/>
          <w:sz w:val="24"/>
          <w:szCs w:val="20"/>
          <w:lang w:val="en-US"/>
        </w:rPr>
        <w:t>This  provide</w:t>
      </w:r>
      <w:r w:rsidR="00145B6D">
        <w:rPr>
          <w:rFonts w:eastAsia="Times New Roman" w:cs="Arial"/>
          <w:sz w:val="24"/>
          <w:szCs w:val="20"/>
          <w:lang w:val="en-US"/>
        </w:rPr>
        <w:t>s</w:t>
      </w:r>
      <w:proofErr w:type="gramEnd"/>
      <w:r w:rsidRPr="003A47E4">
        <w:rPr>
          <w:rFonts w:eastAsia="Times New Roman" w:cs="Arial"/>
          <w:sz w:val="24"/>
          <w:szCs w:val="20"/>
          <w:lang w:val="en-US"/>
        </w:rPr>
        <w:t xml:space="preserve"> an ongoing mechanism to ensure flexibility</w:t>
      </w:r>
      <w:r w:rsidR="00145B6D">
        <w:rPr>
          <w:rFonts w:eastAsia="Times New Roman" w:cs="Arial"/>
          <w:sz w:val="24"/>
          <w:szCs w:val="20"/>
          <w:lang w:val="en-US"/>
        </w:rPr>
        <w:t xml:space="preserve"> when looking at individual cases.</w:t>
      </w:r>
      <w:r w:rsidRPr="003A47E4">
        <w:rPr>
          <w:rFonts w:eastAsia="Times New Roman" w:cs="Arial"/>
          <w:sz w:val="24"/>
          <w:szCs w:val="20"/>
          <w:lang w:val="en-US"/>
        </w:rPr>
        <w:t xml:space="preserve"> </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A third safeguard lies in the Trial being subject to an independent, comprehensive evaluation that will consider the impacts of limiting the amount of welfare funds that may contribute to community-level harm. The evaluation will use both quantitative and qualitative information to explore perceived and measurable social changes in trial communities.</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Finally, subsection </w:t>
      </w:r>
      <w:proofErr w:type="gramStart"/>
      <w:r w:rsidRPr="003A47E4">
        <w:rPr>
          <w:rFonts w:eastAsia="Times New Roman" w:cs="Arial"/>
          <w:sz w:val="24"/>
          <w:szCs w:val="20"/>
          <w:lang w:val="en-US"/>
        </w:rPr>
        <w:t>124PF(</w:t>
      </w:r>
      <w:proofErr w:type="gramEnd"/>
      <w:r w:rsidRPr="003A47E4">
        <w:rPr>
          <w:rFonts w:eastAsia="Times New Roman" w:cs="Arial"/>
          <w:sz w:val="24"/>
          <w:szCs w:val="20"/>
          <w:lang w:val="en-US"/>
        </w:rPr>
        <w:t xml:space="preserve">1) of the Act acts as an appropriate and effective safeguard as Parliament must amend the legislation to continue the Trial beyond 2018. </w:t>
      </w:r>
      <w:r w:rsidRPr="003A47E4">
        <w:rPr>
          <w:rFonts w:eastAsia="Times New Roman" w:cs="Arial"/>
          <w:sz w:val="24"/>
          <w:szCs w:val="20"/>
          <w:lang w:val="en-US"/>
        </w:rPr>
        <w:br/>
      </w:r>
    </w:p>
    <w:p w:rsidR="003A47E4" w:rsidRPr="003A47E4" w:rsidRDefault="003A47E4" w:rsidP="003A47E4">
      <w:pPr>
        <w:autoSpaceDE w:val="0"/>
        <w:autoSpaceDN w:val="0"/>
        <w:adjustRightInd w:val="0"/>
        <w:spacing w:after="0" w:line="240" w:lineRule="auto"/>
        <w:jc w:val="both"/>
        <w:rPr>
          <w:rFonts w:eastAsia="Calibri" w:cs="Arial"/>
          <w:sz w:val="24"/>
          <w:szCs w:val="20"/>
          <w:u w:val="single"/>
          <w:lang w:eastAsia="en-AU"/>
        </w:rPr>
      </w:pPr>
      <w:r w:rsidRPr="003A47E4">
        <w:rPr>
          <w:rFonts w:eastAsia="Calibri" w:cs="Arial"/>
          <w:i/>
          <w:sz w:val="24"/>
          <w:szCs w:val="20"/>
          <w:u w:val="single"/>
          <w:lang w:eastAsia="en-AU"/>
        </w:rPr>
        <w:t xml:space="preserve">The right to a private life </w:t>
      </w:r>
    </w:p>
    <w:p w:rsidR="003A47E4" w:rsidRPr="003A47E4" w:rsidRDefault="003A47E4" w:rsidP="003A47E4">
      <w:pPr>
        <w:autoSpaceDE w:val="0"/>
        <w:autoSpaceDN w:val="0"/>
        <w:adjustRightInd w:val="0"/>
        <w:spacing w:after="0" w:line="240" w:lineRule="auto"/>
        <w:jc w:val="both"/>
        <w:rPr>
          <w:rFonts w:eastAsia="Calibri" w:cs="Arial"/>
          <w:sz w:val="24"/>
          <w:szCs w:val="20"/>
          <w:highlight w:val="yellow"/>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proofErr w:type="gramStart"/>
      <w:r w:rsidRPr="003A47E4">
        <w:rPr>
          <w:rFonts w:eastAsia="Calibri" w:cs="Arial"/>
          <w:sz w:val="24"/>
          <w:szCs w:val="20"/>
          <w:lang w:eastAsia="en-AU"/>
        </w:rPr>
        <w:t xml:space="preserve">Article 17 of the </w:t>
      </w:r>
      <w:r w:rsidRPr="003A47E4">
        <w:rPr>
          <w:rFonts w:eastAsia="Calibri" w:cs="Arial"/>
          <w:i/>
          <w:sz w:val="24"/>
          <w:szCs w:val="20"/>
          <w:lang w:eastAsia="en-AU"/>
        </w:rPr>
        <w:t>International Covenant on Civil and Political Rights</w:t>
      </w:r>
      <w:r w:rsidRPr="003A47E4">
        <w:rPr>
          <w:rFonts w:eastAsia="Calibri" w:cs="Arial"/>
          <w:sz w:val="24"/>
          <w:szCs w:val="20"/>
          <w:lang w:eastAsia="en-AU"/>
        </w:rPr>
        <w:t xml:space="preserve"> (</w:t>
      </w:r>
      <w:r w:rsidRPr="003A47E4">
        <w:rPr>
          <w:rFonts w:eastAsia="Calibri" w:cs="Arial"/>
          <w:i/>
          <w:sz w:val="24"/>
          <w:szCs w:val="20"/>
          <w:lang w:eastAsia="en-AU"/>
        </w:rPr>
        <w:t>ICCPR)</w:t>
      </w:r>
      <w:r w:rsidRPr="003A47E4">
        <w:rPr>
          <w:rFonts w:eastAsia="Calibri" w:cs="Arial"/>
          <w:sz w:val="24"/>
          <w:szCs w:val="20"/>
          <w:lang w:eastAsia="en-AU"/>
        </w:rPr>
        <w:t xml:space="preserve"> sets out the right to a private life.</w:t>
      </w:r>
      <w:proofErr w:type="gramEnd"/>
      <w:r w:rsidRPr="003A47E4">
        <w:rPr>
          <w:rFonts w:eastAsia="Calibri" w:cs="Arial"/>
          <w:sz w:val="24"/>
          <w:szCs w:val="20"/>
          <w:lang w:eastAsia="en-AU"/>
        </w:rPr>
        <w:t xml:space="preserve"> It prohibits arbitrary or unlawful interferences with an individual’s privacy, family, correspondence or home.</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 xml:space="preserve">The Trial seeks to achieve the legitimate objectives of reducing immediate hardship and deprivation, reducing violence and harm, encouraging socially responsible </w:t>
      </w:r>
      <w:proofErr w:type="spellStart"/>
      <w:r w:rsidRPr="003A47E4">
        <w:rPr>
          <w:rFonts w:eastAsia="Times New Roman" w:cs="Arial"/>
          <w:sz w:val="24"/>
          <w:szCs w:val="20"/>
          <w:lang w:val="en-US"/>
        </w:rPr>
        <w:t>behavio</w:t>
      </w:r>
      <w:r w:rsidR="00AB38ED">
        <w:rPr>
          <w:rFonts w:eastAsia="Times New Roman" w:cs="Arial"/>
          <w:sz w:val="24"/>
          <w:szCs w:val="20"/>
          <w:lang w:val="en-US"/>
        </w:rPr>
        <w:t>u</w:t>
      </w:r>
      <w:r w:rsidRPr="003A47E4">
        <w:rPr>
          <w:rFonts w:eastAsia="Times New Roman" w:cs="Arial"/>
          <w:sz w:val="24"/>
          <w:szCs w:val="20"/>
          <w:lang w:val="en-US"/>
        </w:rPr>
        <w:t>r</w:t>
      </w:r>
      <w:proofErr w:type="spellEnd"/>
      <w:r w:rsidRPr="003A47E4">
        <w:rPr>
          <w:rFonts w:eastAsia="Times New Roman" w:cs="Arial"/>
          <w:sz w:val="24"/>
          <w:szCs w:val="20"/>
          <w:lang w:val="en-US"/>
        </w:rPr>
        <w:t>, and reducing the likelihood that welfare payment recipients will be subject to harassment and abuse in relation to their welfare payments.</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Times New Roman" w:cs="Times New Roman"/>
          <w:sz w:val="24"/>
          <w:szCs w:val="20"/>
        </w:rPr>
      </w:pPr>
      <w:r w:rsidRPr="003A47E4">
        <w:rPr>
          <w:rFonts w:eastAsia="Times New Roman" w:cs="Arial"/>
          <w:sz w:val="24"/>
          <w:szCs w:val="20"/>
          <w:lang w:val="en-US"/>
        </w:rPr>
        <w:t>In order to achieve these objectives, the Trial place</w:t>
      </w:r>
      <w:r w:rsidR="00145B6D">
        <w:rPr>
          <w:rFonts w:eastAsia="Times New Roman" w:cs="Arial"/>
          <w:sz w:val="24"/>
          <w:szCs w:val="20"/>
          <w:lang w:val="en-US"/>
        </w:rPr>
        <w:t>s</w:t>
      </w:r>
      <w:r w:rsidRPr="003A47E4">
        <w:rPr>
          <w:rFonts w:eastAsia="Times New Roman" w:cs="Arial"/>
          <w:sz w:val="24"/>
          <w:szCs w:val="20"/>
          <w:lang w:val="en-US"/>
        </w:rPr>
        <w:t xml:space="preserve"> 80 per cent of restrictable payments received by a person on a trigger payment into a restricted bank account. Funds held in this bank account </w:t>
      </w:r>
      <w:r w:rsidR="00145B6D">
        <w:rPr>
          <w:rFonts w:eastAsia="Times New Roman" w:cs="Arial"/>
          <w:sz w:val="24"/>
          <w:szCs w:val="20"/>
          <w:lang w:val="en-US"/>
        </w:rPr>
        <w:t>are</w:t>
      </w:r>
      <w:r w:rsidRPr="003A47E4">
        <w:rPr>
          <w:rFonts w:eastAsia="Times New Roman" w:cs="Arial"/>
          <w:sz w:val="24"/>
          <w:szCs w:val="20"/>
          <w:lang w:val="en-US"/>
        </w:rPr>
        <w:t xml:space="preserve"> not able to be withdrawn as cash, or to be spent on alcohol or gambling products. </w:t>
      </w:r>
      <w:r w:rsidRPr="003A47E4">
        <w:rPr>
          <w:rFonts w:eastAsia="Times New Roman" w:cs="Times New Roman"/>
          <w:sz w:val="24"/>
          <w:szCs w:val="20"/>
        </w:rPr>
        <w:t>There is a clear, rational connection between these objectives and the restrictions on the right to a private life – the restrictions on the purchase of alcohol, illegal drugs and gambling products by trial participants in the trial area are designed to reduce alcohol fuelled violence and harm, and to encourage socially responsible behaviour.</w:t>
      </w:r>
    </w:p>
    <w:p w:rsidR="003A47E4" w:rsidRPr="003A47E4" w:rsidRDefault="003A47E4" w:rsidP="003A47E4">
      <w:pPr>
        <w:spacing w:after="0" w:line="240" w:lineRule="auto"/>
        <w:rPr>
          <w:rFonts w:eastAsia="Times New Roman" w:cs="Times New Roman"/>
          <w:sz w:val="24"/>
          <w:szCs w:val="20"/>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Times New Roman"/>
          <w:sz w:val="24"/>
          <w:szCs w:val="20"/>
        </w:rPr>
        <w:t>This Amendment Determination</w:t>
      </w:r>
      <w:r w:rsidR="00597BB3">
        <w:rPr>
          <w:rFonts w:eastAsia="Times New Roman" w:cs="Times New Roman"/>
          <w:sz w:val="24"/>
          <w:szCs w:val="20"/>
        </w:rPr>
        <w:t xml:space="preserve"> </w:t>
      </w:r>
      <w:r w:rsidR="00337303">
        <w:rPr>
          <w:rFonts w:eastAsia="Times New Roman" w:cs="Times New Roman"/>
          <w:sz w:val="24"/>
          <w:szCs w:val="20"/>
        </w:rPr>
        <w:t>extends the T</w:t>
      </w:r>
      <w:r w:rsidR="003B0C85">
        <w:rPr>
          <w:rFonts w:eastAsia="Times New Roman" w:cs="Times New Roman"/>
          <w:sz w:val="24"/>
          <w:szCs w:val="20"/>
        </w:rPr>
        <w:t xml:space="preserve">rial in the </w:t>
      </w:r>
      <w:r w:rsidR="004E040F">
        <w:rPr>
          <w:rFonts w:eastAsia="Times New Roman" w:cs="Times New Roman"/>
          <w:sz w:val="24"/>
          <w:szCs w:val="20"/>
        </w:rPr>
        <w:t xml:space="preserve">East Kimberley and </w:t>
      </w:r>
      <w:r w:rsidR="003B0C85">
        <w:rPr>
          <w:rFonts w:eastAsia="Times New Roman" w:cs="Times New Roman"/>
          <w:sz w:val="24"/>
          <w:szCs w:val="20"/>
        </w:rPr>
        <w:t>Ceduna region</w:t>
      </w:r>
      <w:r w:rsidR="004E040F">
        <w:rPr>
          <w:rFonts w:eastAsia="Times New Roman" w:cs="Times New Roman"/>
          <w:sz w:val="24"/>
          <w:szCs w:val="20"/>
        </w:rPr>
        <w:t>s</w:t>
      </w:r>
      <w:r w:rsidR="003B0C85">
        <w:rPr>
          <w:rFonts w:eastAsia="Times New Roman" w:cs="Times New Roman"/>
          <w:sz w:val="24"/>
          <w:szCs w:val="20"/>
        </w:rPr>
        <w:t xml:space="preserve"> for </w:t>
      </w:r>
      <w:r w:rsidR="00DB1E92">
        <w:rPr>
          <w:rFonts w:eastAsia="Times New Roman" w:cs="Times New Roman"/>
          <w:sz w:val="24"/>
          <w:szCs w:val="20"/>
        </w:rPr>
        <w:t>a period of six months</w:t>
      </w:r>
      <w:r w:rsidR="003B0C85">
        <w:rPr>
          <w:rFonts w:eastAsia="Times New Roman" w:cs="Times New Roman"/>
          <w:sz w:val="24"/>
          <w:szCs w:val="20"/>
        </w:rPr>
        <w:t xml:space="preserve"> and in doing so </w:t>
      </w:r>
      <w:r w:rsidR="00597BB3">
        <w:rPr>
          <w:rFonts w:eastAsia="Times New Roman" w:cs="Times New Roman"/>
          <w:sz w:val="24"/>
          <w:szCs w:val="20"/>
        </w:rPr>
        <w:t xml:space="preserve">contributes to </w:t>
      </w:r>
      <w:r w:rsidR="003B0C85">
        <w:rPr>
          <w:rFonts w:eastAsia="Times New Roman" w:cs="Times New Roman"/>
          <w:sz w:val="24"/>
          <w:szCs w:val="20"/>
        </w:rPr>
        <w:t>continuing to limit</w:t>
      </w:r>
      <w:r w:rsidRPr="003A47E4">
        <w:rPr>
          <w:rFonts w:eastAsia="Times New Roman" w:cs="Times New Roman"/>
          <w:sz w:val="24"/>
          <w:szCs w:val="20"/>
        </w:rPr>
        <w:t xml:space="preserve"> how, and at what businesses, trial participants can spend their welfare payment. It does this by ensuring that transactions performed at businesses that sell certain products, including alcoholic beverages, gambling or gift cards that could provide access to cash, alcoholic beverages or gambling, are declined. In doing so, </w:t>
      </w:r>
      <w:r w:rsidR="003B0C85">
        <w:rPr>
          <w:rFonts w:eastAsia="Times New Roman" w:cs="Times New Roman"/>
          <w:sz w:val="24"/>
          <w:szCs w:val="20"/>
        </w:rPr>
        <w:t>this</w:t>
      </w:r>
      <w:r w:rsidRPr="003A47E4">
        <w:rPr>
          <w:rFonts w:eastAsia="Times New Roman" w:cs="Times New Roman"/>
          <w:sz w:val="24"/>
          <w:szCs w:val="20"/>
        </w:rPr>
        <w:t xml:space="preserve"> </w:t>
      </w:r>
      <w:r w:rsidRPr="003A47E4">
        <w:rPr>
          <w:rFonts w:eastAsia="Times New Roman" w:cs="Times New Roman"/>
          <w:sz w:val="24"/>
          <w:szCs w:val="20"/>
        </w:rPr>
        <w:lastRenderedPageBreak/>
        <w:t>Amendment Determination</w:t>
      </w:r>
      <w:r w:rsidRPr="003A47E4">
        <w:rPr>
          <w:rFonts w:eastAsia="Times New Roman" w:cs="Arial"/>
          <w:sz w:val="24"/>
          <w:szCs w:val="20"/>
          <w:lang w:val="en-US"/>
        </w:rPr>
        <w:t xml:space="preserve"> engages the right to a private life. This limitation on a person’s right to a private life is reasonable and proportionate given the extensive harm caused by alcohol and gambling in the trial areas (as discussed above). The limitations are also directly related to </w:t>
      </w:r>
      <w:proofErr w:type="spellStart"/>
      <w:r w:rsidRPr="003A47E4">
        <w:rPr>
          <w:rFonts w:eastAsia="Times New Roman" w:cs="Arial"/>
          <w:sz w:val="24"/>
          <w:szCs w:val="20"/>
          <w:lang w:val="en-US"/>
        </w:rPr>
        <w:t>minimising</w:t>
      </w:r>
      <w:proofErr w:type="spellEnd"/>
      <w:r w:rsidRPr="003A47E4">
        <w:rPr>
          <w:rFonts w:eastAsia="Times New Roman" w:cs="Arial"/>
          <w:sz w:val="24"/>
          <w:szCs w:val="20"/>
          <w:lang w:val="en-US"/>
        </w:rPr>
        <w:t xml:space="preserve"> such harms given they are placed on the execution of </w:t>
      </w:r>
      <w:r w:rsidRPr="003A47E4">
        <w:rPr>
          <w:rFonts w:eastAsia="Times New Roman" w:cs="Times New Roman"/>
          <w:sz w:val="24"/>
          <w:szCs w:val="20"/>
        </w:rPr>
        <w:t xml:space="preserve">transactions at businesses that sell those certain products. </w:t>
      </w:r>
    </w:p>
    <w:p w:rsidR="003A47E4" w:rsidRDefault="003A47E4" w:rsidP="003A47E4">
      <w:pPr>
        <w:spacing w:after="0" w:line="240" w:lineRule="auto"/>
        <w:rPr>
          <w:rFonts w:eastAsia="Times New Roman" w:cs="Arial"/>
          <w:sz w:val="24"/>
          <w:szCs w:val="20"/>
          <w:lang w:val="en-US"/>
        </w:rPr>
      </w:pPr>
    </w:p>
    <w:p w:rsidR="009E1C6F" w:rsidRPr="009E1C6F" w:rsidRDefault="009E1C6F" w:rsidP="009E1C6F">
      <w:pPr>
        <w:keepNext/>
        <w:autoSpaceDE w:val="0"/>
        <w:autoSpaceDN w:val="0"/>
        <w:adjustRightInd w:val="0"/>
        <w:spacing w:after="0" w:line="240" w:lineRule="auto"/>
        <w:rPr>
          <w:rFonts w:eastAsia="Calibri" w:cs="Arial"/>
          <w:i/>
          <w:strike/>
          <w:sz w:val="24"/>
          <w:szCs w:val="20"/>
          <w:u w:val="single"/>
          <w:lang w:eastAsia="en-AU"/>
        </w:rPr>
      </w:pPr>
      <w:r w:rsidRPr="009E1C6F">
        <w:rPr>
          <w:rFonts w:eastAsia="Calibri" w:cs="Arial"/>
          <w:i/>
          <w:sz w:val="24"/>
          <w:szCs w:val="20"/>
          <w:u w:val="single"/>
          <w:lang w:eastAsia="en-AU"/>
        </w:rPr>
        <w:t>The right to social security</w:t>
      </w:r>
    </w:p>
    <w:p w:rsidR="009E1C6F" w:rsidRPr="009E1C6F" w:rsidRDefault="009E1C6F" w:rsidP="009E1C6F">
      <w:pPr>
        <w:keepNext/>
        <w:autoSpaceDE w:val="0"/>
        <w:autoSpaceDN w:val="0"/>
        <w:adjustRightInd w:val="0"/>
        <w:spacing w:after="0" w:line="240" w:lineRule="auto"/>
        <w:rPr>
          <w:rFonts w:eastAsia="Calibri" w:cs="Arial"/>
          <w:sz w:val="24"/>
          <w:szCs w:val="20"/>
          <w:lang w:eastAsia="en-AU"/>
        </w:rPr>
      </w:pPr>
    </w:p>
    <w:p w:rsidR="009E1C6F" w:rsidRPr="009E1C6F" w:rsidRDefault="009E1C6F" w:rsidP="009E1C6F">
      <w:pPr>
        <w:keepLines/>
        <w:spacing w:after="0" w:line="240" w:lineRule="auto"/>
        <w:rPr>
          <w:rFonts w:eastAsia="Times New Roman" w:cs="Arial"/>
          <w:sz w:val="24"/>
          <w:szCs w:val="20"/>
          <w:lang w:val="en-US"/>
        </w:rPr>
      </w:pPr>
      <w:r w:rsidRPr="009E1C6F">
        <w:rPr>
          <w:rFonts w:eastAsia="Calibri" w:cs="Arial"/>
          <w:sz w:val="24"/>
          <w:szCs w:val="20"/>
        </w:rPr>
        <w:t xml:space="preserve">Article 9 of the </w:t>
      </w:r>
      <w:r w:rsidRPr="009E1C6F">
        <w:rPr>
          <w:rFonts w:eastAsia="Calibri" w:cs="Arial"/>
          <w:i/>
          <w:sz w:val="24"/>
          <w:szCs w:val="20"/>
        </w:rPr>
        <w:t>International Covenant on Economic, Social and Cultural Rights</w:t>
      </w:r>
      <w:r w:rsidRPr="009E1C6F">
        <w:rPr>
          <w:rFonts w:eastAsia="Calibri" w:cs="Arial"/>
          <w:sz w:val="24"/>
          <w:szCs w:val="20"/>
        </w:rPr>
        <w:t xml:space="preserve"> (</w:t>
      </w:r>
      <w:r w:rsidRPr="009E1C6F">
        <w:rPr>
          <w:rFonts w:eastAsia="Calibri" w:cs="Arial"/>
          <w:i/>
          <w:sz w:val="24"/>
          <w:szCs w:val="20"/>
        </w:rPr>
        <w:t>ICESCR</w:t>
      </w:r>
      <w:r w:rsidRPr="009E1C6F">
        <w:rPr>
          <w:rFonts w:eastAsia="Calibri" w:cs="Arial"/>
          <w:sz w:val="24"/>
          <w:szCs w:val="20"/>
        </w:rPr>
        <w:t>) recognises ‘the right of everyone to social security, including social insurance’</w:t>
      </w:r>
      <w:r w:rsidR="00EC66E1">
        <w:rPr>
          <w:rFonts w:eastAsia="Calibri" w:cs="Arial"/>
          <w:sz w:val="24"/>
          <w:szCs w:val="20"/>
        </w:rPr>
        <w:t xml:space="preserve">. </w:t>
      </w:r>
      <w:r w:rsidRPr="009E1C6F">
        <w:rPr>
          <w:rFonts w:eastAsia="Calibri" w:cs="Arial"/>
          <w:sz w:val="24"/>
          <w:szCs w:val="20"/>
        </w:rPr>
        <w:t>The United Nations Committee of Economic, Social and Cultural Rights (the UN Committee) has stated that implementing this right requires a country, within its maximum available resources, to provide ‘a minimum essential level of benefits to all individuals and families that will enable them to acquire at least essential health care, basic shelter and housing, water and sanitation, foodstuffs, and the most basic form of education’</w:t>
      </w:r>
      <w:r w:rsidR="00EC66E1">
        <w:rPr>
          <w:rFonts w:eastAsia="Calibri" w:cs="Arial"/>
          <w:sz w:val="24"/>
          <w:szCs w:val="20"/>
        </w:rPr>
        <w:t xml:space="preserve">. </w:t>
      </w:r>
    </w:p>
    <w:p w:rsidR="009E1C6F" w:rsidRPr="009E1C6F" w:rsidRDefault="009E1C6F" w:rsidP="009E1C6F">
      <w:pPr>
        <w:autoSpaceDE w:val="0"/>
        <w:autoSpaceDN w:val="0"/>
        <w:adjustRightInd w:val="0"/>
        <w:spacing w:after="0" w:line="240" w:lineRule="auto"/>
        <w:rPr>
          <w:rFonts w:eastAsia="Calibri" w:cs="Arial"/>
          <w:sz w:val="24"/>
          <w:szCs w:val="20"/>
          <w:lang w:eastAsia="en-AU"/>
        </w:rPr>
      </w:pPr>
    </w:p>
    <w:p w:rsidR="009E1C6F" w:rsidRPr="009E1C6F" w:rsidRDefault="00337303" w:rsidP="009E1C6F">
      <w:pPr>
        <w:keepLines/>
        <w:autoSpaceDE w:val="0"/>
        <w:autoSpaceDN w:val="0"/>
        <w:adjustRightInd w:val="0"/>
        <w:spacing w:after="0" w:line="240" w:lineRule="auto"/>
        <w:rPr>
          <w:rFonts w:eastAsia="Calibri" w:cs="Arial"/>
          <w:sz w:val="24"/>
          <w:szCs w:val="20"/>
          <w:lang w:eastAsia="en-AU"/>
        </w:rPr>
      </w:pPr>
      <w:r>
        <w:rPr>
          <w:rFonts w:eastAsia="Calibri" w:cs="Arial"/>
          <w:sz w:val="24"/>
          <w:szCs w:val="20"/>
          <w:lang w:eastAsia="en-AU"/>
        </w:rPr>
        <w:t>The T</w:t>
      </w:r>
      <w:r w:rsidR="009E1C6F" w:rsidRPr="009E1C6F">
        <w:rPr>
          <w:rFonts w:eastAsia="Calibri" w:cs="Arial"/>
          <w:sz w:val="24"/>
          <w:szCs w:val="20"/>
          <w:lang w:eastAsia="en-AU"/>
        </w:rPr>
        <w:t xml:space="preserve">rial </w:t>
      </w:r>
      <w:r w:rsidR="00FA183E">
        <w:rPr>
          <w:rFonts w:eastAsia="Calibri" w:cs="Arial"/>
          <w:sz w:val="24"/>
          <w:szCs w:val="20"/>
          <w:lang w:eastAsia="en-AU"/>
        </w:rPr>
        <w:t>does</w:t>
      </w:r>
      <w:r w:rsidR="009E1C6F" w:rsidRPr="009E1C6F">
        <w:rPr>
          <w:rFonts w:eastAsia="Calibri" w:cs="Arial"/>
          <w:sz w:val="24"/>
          <w:szCs w:val="20"/>
          <w:lang w:eastAsia="en-AU"/>
        </w:rPr>
        <w:t xml:space="preserve"> not detract from the eligibility of a person to receive welfare nor reduce the amount of a person’s welfare entitlement</w:t>
      </w:r>
      <w:r w:rsidR="00EC66E1">
        <w:rPr>
          <w:rFonts w:eastAsia="Calibri" w:cs="Arial"/>
          <w:sz w:val="24"/>
          <w:szCs w:val="20"/>
          <w:lang w:eastAsia="en-AU"/>
        </w:rPr>
        <w:t xml:space="preserve">. </w:t>
      </w:r>
      <w:r w:rsidR="009E1C6F" w:rsidRPr="009E1C6F">
        <w:rPr>
          <w:rFonts w:eastAsia="Calibri" w:cs="Arial"/>
          <w:sz w:val="24"/>
          <w:szCs w:val="20"/>
          <w:lang w:eastAsia="en-AU"/>
        </w:rPr>
        <w:t>Instead, th</w:t>
      </w:r>
      <w:r>
        <w:rPr>
          <w:rFonts w:eastAsia="Calibri" w:cs="Arial"/>
          <w:sz w:val="24"/>
          <w:szCs w:val="20"/>
          <w:lang w:eastAsia="en-AU"/>
        </w:rPr>
        <w:t>e T</w:t>
      </w:r>
      <w:r w:rsidR="009E1C6F" w:rsidRPr="009E1C6F">
        <w:rPr>
          <w:rFonts w:eastAsia="Calibri" w:cs="Arial"/>
          <w:sz w:val="24"/>
          <w:szCs w:val="20"/>
          <w:lang w:eastAsia="en-AU"/>
        </w:rPr>
        <w:t>rial restricts the ability of trial participants from spending money on alcohol, gambling and illegal drugs. The UN Committee has stated that the right to social security encompasses the right to access and maintain benefits ‘in cash or in kind’</w:t>
      </w:r>
      <w:r w:rsidR="00EC66E1">
        <w:rPr>
          <w:rFonts w:eastAsia="Calibri" w:cs="Arial"/>
          <w:sz w:val="24"/>
          <w:szCs w:val="20"/>
          <w:lang w:eastAsia="en-AU"/>
        </w:rPr>
        <w:t xml:space="preserve">. </w:t>
      </w:r>
      <w:r w:rsidR="009E1C6F" w:rsidRPr="009E1C6F">
        <w:rPr>
          <w:rFonts w:eastAsia="Calibri" w:cs="Arial"/>
          <w:sz w:val="24"/>
          <w:szCs w:val="20"/>
          <w:lang w:eastAsia="en-AU"/>
        </w:rPr>
        <w:t>In ot</w:t>
      </w:r>
      <w:r>
        <w:rPr>
          <w:rFonts w:eastAsia="Calibri" w:cs="Arial"/>
          <w:sz w:val="24"/>
          <w:szCs w:val="20"/>
          <w:lang w:eastAsia="en-AU"/>
        </w:rPr>
        <w:t>her words, the T</w:t>
      </w:r>
      <w:r w:rsidR="009E1C6F" w:rsidRPr="009E1C6F">
        <w:rPr>
          <w:rFonts w:eastAsia="Calibri" w:cs="Arial"/>
          <w:sz w:val="24"/>
          <w:szCs w:val="20"/>
          <w:lang w:eastAsia="en-AU"/>
        </w:rPr>
        <w:t>rial does not detract from situations in which someone has the right to social security, such as unemployment and workplace injury, and family and child support; it simply supports a person further once they have achieved their right to receive social security</w:t>
      </w:r>
      <w:r w:rsidR="00EC66E1">
        <w:rPr>
          <w:rFonts w:eastAsia="Calibri" w:cs="Arial"/>
          <w:sz w:val="24"/>
          <w:szCs w:val="20"/>
          <w:lang w:eastAsia="en-AU"/>
        </w:rPr>
        <w:t xml:space="preserve">. </w:t>
      </w:r>
    </w:p>
    <w:p w:rsidR="009E1C6F" w:rsidRPr="009E1C6F" w:rsidRDefault="009E1C6F" w:rsidP="009E1C6F">
      <w:pPr>
        <w:autoSpaceDE w:val="0"/>
        <w:autoSpaceDN w:val="0"/>
        <w:adjustRightInd w:val="0"/>
        <w:spacing w:after="0" w:line="240" w:lineRule="auto"/>
        <w:rPr>
          <w:rFonts w:eastAsia="Calibri" w:cs="Arial"/>
          <w:sz w:val="24"/>
          <w:szCs w:val="20"/>
          <w:lang w:eastAsia="en-AU"/>
        </w:rPr>
      </w:pPr>
    </w:p>
    <w:p w:rsidR="009E1C6F" w:rsidRPr="009E1C6F" w:rsidRDefault="009E1C6F" w:rsidP="009E1C6F">
      <w:pPr>
        <w:autoSpaceDE w:val="0"/>
        <w:autoSpaceDN w:val="0"/>
        <w:adjustRightInd w:val="0"/>
        <w:spacing w:after="0" w:line="240" w:lineRule="auto"/>
        <w:rPr>
          <w:rFonts w:ascii="Times New Roman" w:eastAsia="Times New Roman" w:hAnsi="Times New Roman" w:cs="Times New Roman"/>
          <w:sz w:val="24"/>
          <w:szCs w:val="20"/>
          <w:lang w:val="en-US" w:eastAsia="en-AU"/>
        </w:rPr>
      </w:pPr>
      <w:r w:rsidRPr="009E1C6F">
        <w:rPr>
          <w:rFonts w:eastAsia="Calibri" w:cs="Arial"/>
          <w:sz w:val="24"/>
          <w:szCs w:val="20"/>
          <w:lang w:eastAsia="en-AU"/>
        </w:rPr>
        <w:t>The exemptions</w:t>
      </w:r>
      <w:r w:rsidRPr="009E1C6F">
        <w:rPr>
          <w:rFonts w:eastAsia="Times New Roman" w:cs="Arial"/>
          <w:sz w:val="24"/>
          <w:szCs w:val="20"/>
          <w:lang w:eastAsia="en-AU"/>
        </w:rPr>
        <w:t xml:space="preserve"> to the classes of persons who are trial participants recognise and promote this right as they are all designed to ensure individuals, who coul</w:t>
      </w:r>
      <w:r w:rsidR="00337303">
        <w:rPr>
          <w:rFonts w:eastAsia="Times New Roman" w:cs="Arial"/>
          <w:sz w:val="24"/>
          <w:szCs w:val="20"/>
          <w:lang w:eastAsia="en-AU"/>
        </w:rPr>
        <w:t>d not fully participate in the T</w:t>
      </w:r>
      <w:r w:rsidRPr="009E1C6F">
        <w:rPr>
          <w:rFonts w:eastAsia="Times New Roman" w:cs="Arial"/>
          <w:sz w:val="24"/>
          <w:szCs w:val="20"/>
          <w:lang w:eastAsia="en-AU"/>
        </w:rPr>
        <w:t>rial due to location, the fact they are subject to income management measures, are nearing pension age, or have payment nominees receive welfare payments in the routine manner and are not subject to any restrictions on how they spend their welfare payments.</w:t>
      </w:r>
    </w:p>
    <w:p w:rsidR="009E1C6F" w:rsidRPr="003A47E4" w:rsidRDefault="009E1C6F" w:rsidP="003A47E4">
      <w:pPr>
        <w:spacing w:after="0" w:line="240" w:lineRule="auto"/>
        <w:rPr>
          <w:rFonts w:eastAsia="Times New Roman" w:cs="Arial"/>
          <w:sz w:val="24"/>
          <w:szCs w:val="20"/>
          <w:lang w:val="en-US"/>
        </w:rPr>
      </w:pPr>
    </w:p>
    <w:p w:rsidR="003A47E4" w:rsidRPr="003A47E4" w:rsidRDefault="003A47E4" w:rsidP="003A47E4">
      <w:pPr>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 to an adequate standard of living</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Article 11(1) of the</w:t>
      </w:r>
      <w:r w:rsidR="00FA183E">
        <w:rPr>
          <w:rFonts w:eastAsia="Calibri" w:cs="Arial"/>
          <w:sz w:val="24"/>
          <w:szCs w:val="20"/>
          <w:lang w:eastAsia="en-AU"/>
        </w:rPr>
        <w:t xml:space="preserve"> International Covenant on Economic, Social and Cultural Rights</w:t>
      </w:r>
      <w:r w:rsidRPr="003A47E4">
        <w:rPr>
          <w:rFonts w:eastAsia="Calibri" w:cs="Arial"/>
          <w:sz w:val="24"/>
          <w:szCs w:val="20"/>
          <w:lang w:eastAsia="en-AU"/>
        </w:rPr>
        <w:t xml:space="preserve"> </w:t>
      </w:r>
      <w:r w:rsidR="00FA183E">
        <w:rPr>
          <w:rFonts w:eastAsia="Calibri" w:cs="Arial"/>
          <w:sz w:val="24"/>
          <w:szCs w:val="20"/>
          <w:lang w:eastAsia="en-AU"/>
        </w:rPr>
        <w:t>(</w:t>
      </w:r>
      <w:r w:rsidRPr="003A47E4">
        <w:rPr>
          <w:rFonts w:eastAsia="Calibri" w:cs="Arial"/>
          <w:i/>
          <w:sz w:val="24"/>
          <w:szCs w:val="20"/>
          <w:lang w:eastAsia="en-AU"/>
        </w:rPr>
        <w:t>ICESCR</w:t>
      </w:r>
      <w:r w:rsidR="00FA183E">
        <w:rPr>
          <w:rFonts w:eastAsia="Calibri" w:cs="Arial"/>
          <w:i/>
          <w:sz w:val="24"/>
          <w:szCs w:val="20"/>
          <w:lang w:eastAsia="en-AU"/>
        </w:rPr>
        <w:t>)</w:t>
      </w:r>
      <w:r w:rsidRPr="003A47E4">
        <w:rPr>
          <w:rFonts w:eastAsia="Calibri" w:cs="Arial"/>
          <w:sz w:val="24"/>
          <w:szCs w:val="20"/>
          <w:lang w:eastAsia="en-AU"/>
        </w:rPr>
        <w:t xml:space="preserve"> states that everyone has the right to ‘an adequate standard of living for himself and his family, including adequate food, clothing and housing, and to the continuous improvement of living conditions’ and that ‘appropriate steps’ be taken to ‘ensure realisation of this right’. Further to this, article 11(2) of the </w:t>
      </w:r>
      <w:r w:rsidRPr="003A47E4">
        <w:rPr>
          <w:rFonts w:eastAsia="Calibri" w:cs="Arial"/>
          <w:i/>
          <w:sz w:val="24"/>
          <w:szCs w:val="20"/>
          <w:lang w:eastAsia="en-AU"/>
        </w:rPr>
        <w:t>ICESCR</w:t>
      </w:r>
      <w:r w:rsidRPr="003A47E4">
        <w:rPr>
          <w:rFonts w:eastAsia="Calibri" w:cs="Arial"/>
          <w:sz w:val="24"/>
          <w:szCs w:val="20"/>
          <w:lang w:eastAsia="en-AU"/>
        </w:rPr>
        <w:t xml:space="preserve"> states that ‘measures, including specific programmes,’ should be taken in ‘recognising the fundamental right of everyone to be free from hunger’. </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407C51" w:rsidP="003A47E4">
      <w:pPr>
        <w:spacing w:after="0" w:line="240" w:lineRule="auto"/>
        <w:rPr>
          <w:rFonts w:eastAsia="Calibri" w:cs="Arial"/>
          <w:sz w:val="24"/>
          <w:szCs w:val="20"/>
          <w:lang w:eastAsia="en-AU"/>
        </w:rPr>
      </w:pPr>
      <w:r w:rsidRPr="003A47E4">
        <w:rPr>
          <w:rFonts w:eastAsia="Times New Roman" w:cs="Times New Roman"/>
          <w:sz w:val="24"/>
          <w:szCs w:val="20"/>
        </w:rPr>
        <w:t>This Amendment Determination</w:t>
      </w:r>
      <w:r w:rsidR="00337303">
        <w:rPr>
          <w:rFonts w:eastAsia="Times New Roman" w:cs="Times New Roman"/>
          <w:sz w:val="24"/>
          <w:szCs w:val="20"/>
        </w:rPr>
        <w:t xml:space="preserve"> extends the T</w:t>
      </w:r>
      <w:r>
        <w:rPr>
          <w:rFonts w:eastAsia="Times New Roman" w:cs="Times New Roman"/>
          <w:sz w:val="24"/>
          <w:szCs w:val="20"/>
        </w:rPr>
        <w:t xml:space="preserve">rial in the </w:t>
      </w:r>
      <w:r w:rsidR="00B10B8C">
        <w:rPr>
          <w:rFonts w:eastAsia="Times New Roman" w:cs="Times New Roman"/>
          <w:sz w:val="24"/>
          <w:szCs w:val="20"/>
        </w:rPr>
        <w:t xml:space="preserve">East Kimberly and </w:t>
      </w:r>
      <w:r>
        <w:rPr>
          <w:rFonts w:eastAsia="Times New Roman" w:cs="Times New Roman"/>
          <w:sz w:val="24"/>
          <w:szCs w:val="20"/>
        </w:rPr>
        <w:t>Ceduna region</w:t>
      </w:r>
      <w:r w:rsidR="00B10B8C">
        <w:rPr>
          <w:rFonts w:eastAsia="Times New Roman" w:cs="Times New Roman"/>
          <w:sz w:val="24"/>
          <w:szCs w:val="20"/>
        </w:rPr>
        <w:t>s</w:t>
      </w:r>
      <w:r>
        <w:rPr>
          <w:rFonts w:eastAsia="Times New Roman" w:cs="Times New Roman"/>
          <w:sz w:val="24"/>
          <w:szCs w:val="20"/>
        </w:rPr>
        <w:t xml:space="preserve"> for </w:t>
      </w:r>
      <w:r w:rsidR="00DB1E92">
        <w:rPr>
          <w:rFonts w:eastAsia="Times New Roman" w:cs="Times New Roman"/>
          <w:sz w:val="24"/>
          <w:szCs w:val="20"/>
        </w:rPr>
        <w:t>a period of six months</w:t>
      </w:r>
      <w:r>
        <w:rPr>
          <w:rFonts w:eastAsia="Times New Roman" w:cs="Times New Roman"/>
          <w:sz w:val="24"/>
          <w:szCs w:val="20"/>
        </w:rPr>
        <w:t xml:space="preserve"> and in doing so contributes to continuing to limit</w:t>
      </w:r>
      <w:r w:rsidRPr="003A47E4">
        <w:rPr>
          <w:rFonts w:eastAsia="Times New Roman" w:cs="Times New Roman"/>
          <w:sz w:val="24"/>
          <w:szCs w:val="20"/>
        </w:rPr>
        <w:t xml:space="preserve"> how, and at what businesses, trial participants can spend their welfare payment. </w:t>
      </w:r>
      <w:r w:rsidR="003A47E4" w:rsidRPr="003A47E4">
        <w:rPr>
          <w:rFonts w:eastAsia="Calibri" w:cs="Arial"/>
          <w:sz w:val="24"/>
          <w:szCs w:val="20"/>
          <w:lang w:eastAsia="en-AU"/>
        </w:rPr>
        <w:t xml:space="preserve">This promotes the right to an adequate standard of living. </w:t>
      </w:r>
      <w:proofErr w:type="gramStart"/>
      <w:r w:rsidR="003A47E4" w:rsidRPr="003A47E4">
        <w:rPr>
          <w:rFonts w:eastAsia="Calibri" w:cs="Arial"/>
          <w:sz w:val="24"/>
          <w:szCs w:val="20"/>
          <w:lang w:eastAsia="en-AU"/>
        </w:rPr>
        <w:t>It  mean</w:t>
      </w:r>
      <w:r w:rsidR="00FA183E">
        <w:rPr>
          <w:rFonts w:eastAsia="Calibri" w:cs="Arial"/>
          <w:sz w:val="24"/>
          <w:szCs w:val="20"/>
          <w:lang w:eastAsia="en-AU"/>
        </w:rPr>
        <w:t>s</w:t>
      </w:r>
      <w:proofErr w:type="gramEnd"/>
      <w:r w:rsidR="003A47E4" w:rsidRPr="003A47E4">
        <w:rPr>
          <w:rFonts w:eastAsia="Calibri" w:cs="Arial"/>
          <w:sz w:val="24"/>
          <w:szCs w:val="20"/>
          <w:lang w:eastAsia="en-AU"/>
        </w:rPr>
        <w:t xml:space="preserve"> that people </w:t>
      </w:r>
      <w:r w:rsidR="00FA183E">
        <w:rPr>
          <w:rFonts w:eastAsia="Calibri" w:cs="Arial"/>
          <w:sz w:val="24"/>
          <w:szCs w:val="20"/>
          <w:lang w:eastAsia="en-AU"/>
        </w:rPr>
        <w:t xml:space="preserve">are </w:t>
      </w:r>
      <w:r w:rsidR="003A47E4" w:rsidRPr="003A47E4">
        <w:rPr>
          <w:rFonts w:eastAsia="Calibri" w:cs="Arial"/>
          <w:sz w:val="24"/>
          <w:szCs w:val="20"/>
          <w:lang w:eastAsia="en-AU"/>
        </w:rPr>
        <w:t xml:space="preserve">able to use restricted funds to access any goods, with the exception of alcohol and gambling products, with the aim of reducing abuse of these goods and the </w:t>
      </w:r>
      <w:r w:rsidR="003A47E4" w:rsidRPr="003A47E4">
        <w:rPr>
          <w:rFonts w:eastAsia="Calibri" w:cs="Arial"/>
          <w:sz w:val="24"/>
          <w:szCs w:val="20"/>
          <w:lang w:eastAsia="en-AU"/>
        </w:rPr>
        <w:lastRenderedPageBreak/>
        <w:t xml:space="preserve">associated harm and violence. This Amendment Determination will not have the effect of restricting access to essential needs required to maintain an adequate standard of living. Access to some discretionary </w:t>
      </w:r>
      <w:proofErr w:type="gramStart"/>
      <w:r w:rsidR="003A47E4" w:rsidRPr="003A47E4">
        <w:rPr>
          <w:rFonts w:eastAsia="Calibri" w:cs="Arial"/>
          <w:sz w:val="24"/>
          <w:szCs w:val="20"/>
          <w:lang w:eastAsia="en-AU"/>
        </w:rPr>
        <w:t xml:space="preserve">cash </w:t>
      </w:r>
      <w:r>
        <w:rPr>
          <w:rFonts w:eastAsia="Calibri" w:cs="Arial"/>
          <w:sz w:val="24"/>
          <w:szCs w:val="20"/>
          <w:lang w:eastAsia="en-AU"/>
        </w:rPr>
        <w:t xml:space="preserve"> continue</w:t>
      </w:r>
      <w:r w:rsidR="00755225">
        <w:rPr>
          <w:rFonts w:eastAsia="Calibri" w:cs="Arial"/>
          <w:sz w:val="24"/>
          <w:szCs w:val="20"/>
          <w:lang w:eastAsia="en-AU"/>
        </w:rPr>
        <w:t>s</w:t>
      </w:r>
      <w:proofErr w:type="gramEnd"/>
      <w:r>
        <w:rPr>
          <w:rFonts w:eastAsia="Calibri" w:cs="Arial"/>
          <w:sz w:val="24"/>
          <w:szCs w:val="20"/>
          <w:lang w:eastAsia="en-AU"/>
        </w:rPr>
        <w:t xml:space="preserve"> to</w:t>
      </w:r>
      <w:r w:rsidR="003A47E4" w:rsidRPr="003A47E4">
        <w:rPr>
          <w:rFonts w:eastAsia="Calibri" w:cs="Arial"/>
          <w:sz w:val="24"/>
          <w:szCs w:val="20"/>
          <w:lang w:eastAsia="en-AU"/>
        </w:rPr>
        <w:t xml:space="preserve"> be available, ensuring that people can still participate in cash economies to purchase items which contribute to an adequate standard of living.</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3A47E4">
      <w:pPr>
        <w:keepNext/>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rights of equality and non-discrimination</w:t>
      </w:r>
    </w:p>
    <w:p w:rsidR="003A47E4" w:rsidRPr="003A47E4" w:rsidRDefault="003A47E4" w:rsidP="003A47E4">
      <w:pPr>
        <w:keepNext/>
        <w:autoSpaceDE w:val="0"/>
        <w:autoSpaceDN w:val="0"/>
        <w:adjustRightInd w:val="0"/>
        <w:spacing w:after="0" w:line="240" w:lineRule="auto"/>
        <w:jc w:val="both"/>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The rights of equality and non-discrimination are provided for in several of the seven core international human rights treaties to which Australia is a party, most relevantly the </w:t>
      </w:r>
      <w:r w:rsidRPr="003A47E4">
        <w:rPr>
          <w:rFonts w:eastAsia="Calibri" w:cs="Arial"/>
          <w:i/>
          <w:sz w:val="24"/>
          <w:szCs w:val="20"/>
          <w:lang w:eastAsia="en-AU"/>
        </w:rPr>
        <w:t>ICCPR</w:t>
      </w:r>
      <w:r w:rsidRPr="003A47E4">
        <w:rPr>
          <w:rFonts w:eastAsia="Calibri" w:cs="Arial"/>
          <w:sz w:val="24"/>
          <w:szCs w:val="20"/>
          <w:lang w:eastAsia="en-AU"/>
        </w:rPr>
        <w:t xml:space="preserve"> and the </w:t>
      </w:r>
      <w:r w:rsidRPr="003A47E4">
        <w:rPr>
          <w:rFonts w:eastAsia="Calibri" w:cs="Arial"/>
          <w:i/>
          <w:sz w:val="24"/>
          <w:szCs w:val="20"/>
          <w:lang w:eastAsia="en-AU"/>
        </w:rPr>
        <w:t>Convention on the Elimination of All Forms of Racial Discrimination</w:t>
      </w:r>
      <w:r w:rsidRPr="003A47E4">
        <w:rPr>
          <w:rFonts w:eastAsia="Calibri" w:cs="Arial"/>
          <w:sz w:val="24"/>
          <w:szCs w:val="20"/>
          <w:lang w:eastAsia="en-AU"/>
        </w:rPr>
        <w:t xml:space="preserve"> (the </w:t>
      </w:r>
      <w:r w:rsidRPr="003A47E4">
        <w:rPr>
          <w:rFonts w:eastAsia="Calibri" w:cs="Arial"/>
          <w:i/>
          <w:sz w:val="24"/>
          <w:szCs w:val="20"/>
          <w:lang w:eastAsia="en-AU"/>
        </w:rPr>
        <w:t>CERD</w:t>
      </w:r>
      <w:r w:rsidRPr="003A47E4">
        <w:rPr>
          <w:rFonts w:eastAsia="Calibri" w:cs="Arial"/>
          <w:sz w:val="24"/>
          <w:szCs w:val="20"/>
          <w:lang w:eastAsia="en-AU"/>
        </w:rPr>
        <w:t xml:space="preserve">). In particular, article 5 of the </w:t>
      </w:r>
      <w:r w:rsidRPr="003A47E4">
        <w:rPr>
          <w:rFonts w:eastAsia="Calibri" w:cs="Arial"/>
          <w:i/>
          <w:sz w:val="24"/>
          <w:szCs w:val="20"/>
          <w:lang w:eastAsia="en-AU"/>
        </w:rPr>
        <w:t>CERD</w:t>
      </w:r>
      <w:r w:rsidRPr="003A47E4">
        <w:rPr>
          <w:rFonts w:eastAsia="Calibri" w:cs="Arial"/>
          <w:sz w:val="24"/>
          <w:szCs w:val="20"/>
          <w:lang w:eastAsia="en-AU"/>
        </w:rPr>
        <w:t xml:space="preserve"> requires parties ‘to prohibit and eliminate racial discrimination in all its forms and to guarantee the right of ev</w:t>
      </w:r>
      <w:r w:rsidR="00884061">
        <w:rPr>
          <w:rFonts w:eastAsia="Calibri" w:cs="Arial"/>
          <w:sz w:val="24"/>
          <w:szCs w:val="20"/>
          <w:lang w:eastAsia="en-AU"/>
        </w:rPr>
        <w:t>eryone, without distinction as</w:t>
      </w:r>
      <w:r w:rsidRPr="003A47E4">
        <w:rPr>
          <w:rFonts w:eastAsia="Calibri" w:cs="Arial"/>
          <w:sz w:val="24"/>
          <w:szCs w:val="20"/>
          <w:lang w:eastAsia="en-AU"/>
        </w:rPr>
        <w:t xml:space="preserve"> to race, colour or national or ethnic origin, to equality before the law’, notably in the enjoyment of ‘the right to…social security and social services’ (article 5(e)(iv)). </w:t>
      </w:r>
    </w:p>
    <w:p w:rsidR="003A47E4" w:rsidRPr="003A47E4" w:rsidRDefault="003A47E4" w:rsidP="00B40C39">
      <w:pPr>
        <w:autoSpaceDE w:val="0"/>
        <w:autoSpaceDN w:val="0"/>
        <w:adjustRightInd w:val="0"/>
        <w:spacing w:after="0" w:line="240" w:lineRule="auto"/>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Discrimination is impermissible differential treatment among persons or groups that result in a person or a group being treated less favourably than others, based on a prohibited ground for discrimination such as race. However, the UN Human Rights Committee has recognised that ‘not every differentiation of treatment will constitute discrimination, if the criteria for such differentiation are reasonable and objective, and if the aim is to achieve a purpose which is legitimate under the Covenant’. </w:t>
      </w:r>
    </w:p>
    <w:p w:rsidR="003A47E4" w:rsidRPr="003A47E4" w:rsidRDefault="003A47E4" w:rsidP="00B40C39">
      <w:pPr>
        <w:autoSpaceDE w:val="0"/>
        <w:autoSpaceDN w:val="0"/>
        <w:adjustRightInd w:val="0"/>
        <w:spacing w:after="0" w:line="240" w:lineRule="auto"/>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The rights to equality and non-discrimination are not directly limited by this Amendment Determination. This is because, as set out in this Amendment Determination, anyone who is a trial participant </w:t>
      </w:r>
      <w:r w:rsidR="00FA183E">
        <w:rPr>
          <w:rFonts w:eastAsia="Calibri" w:cs="Arial"/>
          <w:sz w:val="24"/>
          <w:szCs w:val="20"/>
          <w:lang w:eastAsia="en-AU"/>
        </w:rPr>
        <w:t>is</w:t>
      </w:r>
      <w:r w:rsidRPr="003A47E4">
        <w:rPr>
          <w:rFonts w:eastAsia="Calibri" w:cs="Arial"/>
          <w:sz w:val="24"/>
          <w:szCs w:val="20"/>
          <w:lang w:eastAsia="en-AU"/>
        </w:rPr>
        <w:t xml:space="preserve"> subject to the same restrictions on </w:t>
      </w:r>
      <w:r w:rsidRPr="003A47E4">
        <w:rPr>
          <w:rFonts w:eastAsia="Times New Roman" w:cs="Times New Roman"/>
          <w:sz w:val="24"/>
          <w:szCs w:val="20"/>
        </w:rPr>
        <w:t xml:space="preserve">how and at what businesses they can spend their welfare payment. </w:t>
      </w:r>
      <w:r w:rsidRPr="003A47E4">
        <w:rPr>
          <w:rFonts w:eastAsia="Calibri" w:cs="Arial"/>
          <w:sz w:val="24"/>
          <w:szCs w:val="20"/>
          <w:lang w:eastAsia="en-AU"/>
        </w:rPr>
        <w:t xml:space="preserve">This Amendment Determination is not targeted at people of a particular race, gender or cultural </w:t>
      </w:r>
      <w:r w:rsidRPr="003A47E4">
        <w:rPr>
          <w:rFonts w:eastAsia="Calibri" w:cs="Arial"/>
          <w:sz w:val="24"/>
          <w:szCs w:val="20"/>
          <w:shd w:val="clear" w:color="auto" w:fill="FFFFFF" w:themeFill="background1"/>
          <w:lang w:eastAsia="en-AU"/>
        </w:rPr>
        <w:t>characteristic, but</w:t>
      </w:r>
      <w:r w:rsidRPr="003A47E4">
        <w:rPr>
          <w:rFonts w:eastAsia="Calibri" w:cs="Arial"/>
          <w:sz w:val="24"/>
          <w:szCs w:val="20"/>
          <w:lang w:eastAsia="en-AU"/>
        </w:rPr>
        <w:t xml:space="preserve"> to trial participants and voluntary trial participants. </w:t>
      </w:r>
    </w:p>
    <w:p w:rsidR="003A47E4" w:rsidRPr="003A47E4" w:rsidRDefault="003A47E4" w:rsidP="00B40C39">
      <w:pPr>
        <w:autoSpaceDE w:val="0"/>
        <w:autoSpaceDN w:val="0"/>
        <w:adjustRightInd w:val="0"/>
        <w:spacing w:after="0" w:line="240" w:lineRule="auto"/>
        <w:rPr>
          <w:rFonts w:eastAsia="Calibri" w:cs="Arial"/>
          <w:sz w:val="24"/>
          <w:szCs w:val="20"/>
          <w:lang w:eastAsia="en-AU"/>
        </w:rPr>
      </w:pPr>
    </w:p>
    <w:p w:rsidR="003A47E4" w:rsidRPr="003A47E4" w:rsidRDefault="003A47E4" w:rsidP="00B40C39">
      <w:pPr>
        <w:spacing w:after="0" w:line="240" w:lineRule="auto"/>
        <w:rPr>
          <w:rFonts w:eastAsia="Times New Roman" w:cs="Arial"/>
          <w:sz w:val="24"/>
          <w:szCs w:val="20"/>
          <w:lang w:eastAsia="en-AU"/>
        </w:rPr>
      </w:pPr>
      <w:r w:rsidRPr="00337303">
        <w:rPr>
          <w:rFonts w:eastAsia="Calibri" w:cs="Arial"/>
          <w:sz w:val="24"/>
          <w:szCs w:val="20"/>
          <w:lang w:eastAsia="en-AU"/>
        </w:rPr>
        <w:t xml:space="preserve">While this Amendment Determination does not directly limit the rights to equality and non-discrimination, it may indirectly limit these rights. </w:t>
      </w:r>
      <w:r w:rsidRPr="00337303">
        <w:rPr>
          <w:rFonts w:eastAsia="Times New Roman" w:cs="Arial"/>
          <w:sz w:val="24"/>
          <w:szCs w:val="20"/>
          <w:lang w:val="en-US" w:eastAsia="en-AU"/>
        </w:rPr>
        <w:t xml:space="preserve">In </w:t>
      </w:r>
      <w:r w:rsidR="00337303" w:rsidRPr="00337303">
        <w:rPr>
          <w:rFonts w:eastAsia="Times New Roman" w:cs="Arial"/>
          <w:sz w:val="24"/>
          <w:szCs w:val="20"/>
          <w:lang w:val="en-US" w:eastAsia="en-AU"/>
        </w:rPr>
        <w:t>the</w:t>
      </w:r>
      <w:r w:rsidR="00B10B8C">
        <w:rPr>
          <w:rFonts w:eastAsia="Times New Roman" w:cs="Arial"/>
          <w:sz w:val="24"/>
          <w:szCs w:val="20"/>
          <w:lang w:val="en-US" w:eastAsia="en-AU"/>
        </w:rPr>
        <w:t xml:space="preserve"> East Kimberley and</w:t>
      </w:r>
      <w:r w:rsidR="00337303" w:rsidRPr="00337303">
        <w:rPr>
          <w:rFonts w:eastAsia="Times New Roman" w:cs="Arial"/>
          <w:sz w:val="24"/>
          <w:szCs w:val="20"/>
          <w:lang w:val="en-US" w:eastAsia="en-AU"/>
        </w:rPr>
        <w:t xml:space="preserve"> </w:t>
      </w:r>
      <w:proofErr w:type="spellStart"/>
      <w:r w:rsidR="00337303" w:rsidRPr="00337303">
        <w:rPr>
          <w:rFonts w:eastAsia="Times New Roman" w:cs="Arial"/>
          <w:sz w:val="24"/>
          <w:szCs w:val="20"/>
          <w:lang w:val="en-US" w:eastAsia="en-AU"/>
        </w:rPr>
        <w:t>Ceduna</w:t>
      </w:r>
      <w:proofErr w:type="spellEnd"/>
      <w:r w:rsidR="00337303" w:rsidRPr="00337303">
        <w:rPr>
          <w:rFonts w:eastAsia="Times New Roman" w:cs="Arial"/>
          <w:sz w:val="24"/>
          <w:szCs w:val="20"/>
          <w:lang w:val="en-US" w:eastAsia="en-AU"/>
        </w:rPr>
        <w:t xml:space="preserve"> </w:t>
      </w:r>
      <w:r w:rsidR="00B10B8C">
        <w:rPr>
          <w:rFonts w:eastAsia="Times New Roman" w:cs="Arial"/>
          <w:sz w:val="24"/>
          <w:szCs w:val="20"/>
          <w:lang w:val="en-US" w:eastAsia="en-AU"/>
        </w:rPr>
        <w:t>regions</w:t>
      </w:r>
      <w:r w:rsidRPr="00337303">
        <w:rPr>
          <w:rFonts w:eastAsia="Times New Roman" w:cs="Arial"/>
          <w:sz w:val="24"/>
          <w:szCs w:val="20"/>
          <w:lang w:val="en-US" w:eastAsia="en-AU"/>
        </w:rPr>
        <w:t xml:space="preserve">, Indigenous people make up a substantial majority of the total income support payment population who </w:t>
      </w:r>
      <w:r w:rsidR="00337303" w:rsidRPr="00337303">
        <w:rPr>
          <w:rFonts w:eastAsia="Times New Roman" w:cs="Arial"/>
          <w:sz w:val="24"/>
          <w:szCs w:val="20"/>
          <w:lang w:val="en-US" w:eastAsia="en-AU"/>
        </w:rPr>
        <w:t>are</w:t>
      </w:r>
      <w:r w:rsidRPr="00337303">
        <w:rPr>
          <w:rFonts w:eastAsia="Times New Roman" w:cs="Arial"/>
          <w:sz w:val="24"/>
          <w:szCs w:val="20"/>
          <w:lang w:val="en-US" w:eastAsia="en-AU"/>
        </w:rPr>
        <w:t xml:space="preserve"> trial participants and who will be affected by this Amendment Determination.</w:t>
      </w:r>
      <w:r w:rsidRPr="003A47E4">
        <w:rPr>
          <w:rFonts w:eastAsia="Times New Roman" w:cs="Arial"/>
          <w:sz w:val="24"/>
          <w:szCs w:val="20"/>
          <w:lang w:val="en-US" w:eastAsia="en-AU"/>
        </w:rPr>
        <w:t xml:space="preserve"> </w:t>
      </w:r>
    </w:p>
    <w:p w:rsidR="003A47E4" w:rsidRPr="003A47E4" w:rsidRDefault="003A47E4" w:rsidP="003A47E4">
      <w:pPr>
        <w:spacing w:after="0" w:line="240" w:lineRule="auto"/>
        <w:rPr>
          <w:rFonts w:eastAsia="Times New Roman" w:cs="Arial"/>
          <w:sz w:val="24"/>
          <w:szCs w:val="20"/>
          <w:lang w:val="en-US"/>
        </w:rPr>
      </w:pPr>
    </w:p>
    <w:p w:rsidR="003A47E4" w:rsidRPr="003A47E4" w:rsidRDefault="003A47E4" w:rsidP="003A47E4">
      <w:pPr>
        <w:spacing w:after="0" w:line="240" w:lineRule="auto"/>
        <w:rPr>
          <w:rFonts w:eastAsia="Calibri" w:cs="Arial"/>
          <w:sz w:val="24"/>
          <w:szCs w:val="20"/>
        </w:rPr>
      </w:pPr>
      <w:r w:rsidRPr="003A47E4">
        <w:rPr>
          <w:rFonts w:eastAsia="Times New Roman" w:cs="Arial"/>
          <w:sz w:val="24"/>
          <w:szCs w:val="20"/>
          <w:lang w:val="en-US"/>
        </w:rPr>
        <w:t>It is acknowledged that Indigenous Australians comp</w:t>
      </w:r>
      <w:r w:rsidR="00337303">
        <w:rPr>
          <w:rFonts w:eastAsia="Times New Roman" w:cs="Arial"/>
          <w:sz w:val="24"/>
          <w:szCs w:val="20"/>
          <w:lang w:val="en-US"/>
        </w:rPr>
        <w:t xml:space="preserve">rise a large proportion of </w:t>
      </w:r>
      <w:r w:rsidRPr="003A47E4">
        <w:rPr>
          <w:rFonts w:eastAsia="Times New Roman" w:cs="Arial"/>
          <w:sz w:val="24"/>
          <w:szCs w:val="20"/>
          <w:lang w:val="en-US"/>
        </w:rPr>
        <w:t>trial participants</w:t>
      </w:r>
      <w:r w:rsidR="00FA183E">
        <w:rPr>
          <w:rFonts w:eastAsia="Times New Roman" w:cs="Arial"/>
          <w:sz w:val="24"/>
          <w:szCs w:val="20"/>
          <w:lang w:val="en-US"/>
        </w:rPr>
        <w:t xml:space="preserve"> and those</w:t>
      </w:r>
      <w:r w:rsidRPr="003A47E4">
        <w:rPr>
          <w:rFonts w:eastAsia="Times New Roman" w:cs="Arial"/>
          <w:sz w:val="24"/>
          <w:szCs w:val="20"/>
          <w:lang w:val="en-US"/>
        </w:rPr>
        <w:t xml:space="preserve"> who will be affected by this Amendment Determin</w:t>
      </w:r>
      <w:r w:rsidR="00812DAF">
        <w:rPr>
          <w:rFonts w:eastAsia="Times New Roman" w:cs="Arial"/>
          <w:sz w:val="24"/>
          <w:szCs w:val="20"/>
          <w:lang w:val="en-US"/>
        </w:rPr>
        <w:t>ation. However, the trial area</w:t>
      </w:r>
      <w:r w:rsidR="00FA183E">
        <w:rPr>
          <w:rFonts w:eastAsia="Times New Roman" w:cs="Arial"/>
          <w:sz w:val="24"/>
          <w:szCs w:val="20"/>
          <w:lang w:val="en-US"/>
        </w:rPr>
        <w:t>s have</w:t>
      </w:r>
      <w:r w:rsidR="00812DAF">
        <w:rPr>
          <w:rFonts w:eastAsia="Times New Roman" w:cs="Arial"/>
          <w:sz w:val="24"/>
          <w:szCs w:val="20"/>
          <w:lang w:val="en-US"/>
        </w:rPr>
        <w:t xml:space="preserve"> </w:t>
      </w:r>
      <w:r w:rsidRPr="003A47E4">
        <w:rPr>
          <w:rFonts w:eastAsia="Times New Roman" w:cs="Arial"/>
          <w:sz w:val="24"/>
          <w:szCs w:val="20"/>
          <w:lang w:val="en-US"/>
        </w:rPr>
        <w:t xml:space="preserve">been chosen as </w:t>
      </w:r>
      <w:r w:rsidR="008D7253">
        <w:rPr>
          <w:rFonts w:eastAsia="Times New Roman" w:cs="Arial"/>
          <w:sz w:val="24"/>
          <w:szCs w:val="20"/>
          <w:lang w:val="en-US"/>
        </w:rPr>
        <w:t>a location</w:t>
      </w:r>
      <w:r w:rsidRPr="003A47E4">
        <w:rPr>
          <w:rFonts w:eastAsia="Times New Roman" w:cs="Arial"/>
          <w:sz w:val="24"/>
          <w:szCs w:val="20"/>
          <w:lang w:val="en-US"/>
        </w:rPr>
        <w:t xml:space="preserve"> based on objective criteria, such as ‘high levels of welfare dependence and community harm, as well as the outcomes of comprehensive consultation with prospective communities.’</w:t>
      </w:r>
      <w:r w:rsidRPr="003A47E4">
        <w:rPr>
          <w:rFonts w:eastAsia="Times New Roman" w:cs="Arial"/>
          <w:sz w:val="24"/>
          <w:szCs w:val="20"/>
          <w:vertAlign w:val="superscript"/>
          <w:lang w:val="en-US"/>
        </w:rPr>
        <w:footnoteReference w:id="5"/>
      </w:r>
      <w:r w:rsidRPr="003A47E4">
        <w:rPr>
          <w:rFonts w:eastAsia="Times New Roman" w:cs="Arial"/>
          <w:sz w:val="24"/>
          <w:szCs w:val="20"/>
          <w:lang w:val="en-US"/>
        </w:rPr>
        <w:t xml:space="preserve"> These criteria clearly relate to the legitimate objectives of this Amendment Determination. In turn, this Amendment Determination affects</w:t>
      </w:r>
      <w:r w:rsidR="00812DAF">
        <w:rPr>
          <w:rFonts w:eastAsia="Times New Roman" w:cs="Arial"/>
          <w:sz w:val="24"/>
          <w:szCs w:val="20"/>
          <w:lang w:val="en-US"/>
        </w:rPr>
        <w:t xml:space="preserve"> only those in the trial region</w:t>
      </w:r>
      <w:r w:rsidR="00FA183E">
        <w:rPr>
          <w:rFonts w:eastAsia="Times New Roman" w:cs="Arial"/>
          <w:sz w:val="24"/>
          <w:szCs w:val="20"/>
          <w:lang w:val="en-US"/>
        </w:rPr>
        <w:t>s</w:t>
      </w:r>
      <w:r w:rsidRPr="003A47E4">
        <w:rPr>
          <w:rFonts w:eastAsia="Times New Roman" w:cs="Arial"/>
          <w:sz w:val="24"/>
          <w:szCs w:val="20"/>
          <w:lang w:val="en-US"/>
        </w:rPr>
        <w:t xml:space="preserve"> and those who volunteer for the Trial. Therefore, there is a rational connection between any limitation on the right to social security and the objectives of this Amendment Determination.</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Default="003A47E4" w:rsidP="0060135E">
      <w:pPr>
        <w:spacing w:after="0" w:line="240" w:lineRule="auto"/>
        <w:rPr>
          <w:rFonts w:eastAsia="Calibri" w:cs="Arial"/>
          <w:i/>
          <w:sz w:val="24"/>
          <w:szCs w:val="20"/>
          <w:u w:val="single"/>
          <w:lang w:eastAsia="en-AU"/>
        </w:rPr>
      </w:pPr>
      <w:r w:rsidRPr="003A47E4">
        <w:rPr>
          <w:rFonts w:eastAsia="Calibri" w:cs="Arial"/>
          <w:sz w:val="24"/>
          <w:szCs w:val="20"/>
        </w:rPr>
        <w:t>Finally</w:t>
      </w:r>
      <w:r w:rsidRPr="003A47E4">
        <w:rPr>
          <w:rFonts w:eastAsia="Times New Roman" w:cs="Arial"/>
          <w:sz w:val="24"/>
          <w:szCs w:val="20"/>
          <w:lang w:val="en-US"/>
        </w:rPr>
        <w:t xml:space="preserve">, given the objectives of the Act and this Amendment Determination, as well as the scale of unacceptable harm in </w:t>
      </w:r>
      <w:r w:rsidR="008D7253">
        <w:rPr>
          <w:rFonts w:eastAsia="Times New Roman" w:cs="Arial"/>
          <w:sz w:val="24"/>
          <w:szCs w:val="20"/>
          <w:lang w:val="en-US"/>
        </w:rPr>
        <w:t>the trial area</w:t>
      </w:r>
      <w:r w:rsidR="00FA183E">
        <w:rPr>
          <w:rFonts w:eastAsia="Times New Roman" w:cs="Arial"/>
          <w:sz w:val="24"/>
          <w:szCs w:val="20"/>
          <w:lang w:val="en-US"/>
        </w:rPr>
        <w:t>s</w:t>
      </w:r>
      <w:r w:rsidRPr="003A47E4">
        <w:rPr>
          <w:rFonts w:eastAsia="Times New Roman" w:cs="Arial"/>
          <w:sz w:val="24"/>
          <w:szCs w:val="20"/>
          <w:lang w:val="en-US"/>
        </w:rPr>
        <w:t xml:space="preserve"> as discussed above, any limitation on the right to equality and non-discrimination is reasonable and proportionate. </w:t>
      </w:r>
    </w:p>
    <w:p w:rsidR="00D42C26" w:rsidRPr="003A47E4" w:rsidRDefault="00D42C26" w:rsidP="003A47E4">
      <w:pPr>
        <w:autoSpaceDE w:val="0"/>
        <w:autoSpaceDN w:val="0"/>
        <w:adjustRightInd w:val="0"/>
        <w:spacing w:after="0" w:line="240" w:lineRule="auto"/>
        <w:jc w:val="both"/>
        <w:rPr>
          <w:rFonts w:eastAsia="Calibri" w:cs="Arial"/>
          <w:i/>
          <w:sz w:val="24"/>
          <w:szCs w:val="20"/>
          <w:u w:val="single"/>
          <w:lang w:eastAsia="en-AU"/>
        </w:rPr>
      </w:pPr>
    </w:p>
    <w:p w:rsidR="003A47E4" w:rsidRPr="003A47E4" w:rsidRDefault="003A47E4" w:rsidP="003A47E4">
      <w:pPr>
        <w:autoSpaceDE w:val="0"/>
        <w:autoSpaceDN w:val="0"/>
        <w:adjustRightInd w:val="0"/>
        <w:spacing w:after="0" w:line="240" w:lineRule="auto"/>
        <w:jc w:val="both"/>
        <w:rPr>
          <w:rFonts w:eastAsia="Calibri" w:cs="Arial"/>
          <w:i/>
          <w:sz w:val="24"/>
          <w:szCs w:val="20"/>
          <w:u w:val="single"/>
          <w:lang w:eastAsia="en-AU"/>
        </w:rPr>
      </w:pPr>
      <w:r w:rsidRPr="003A47E4">
        <w:rPr>
          <w:rFonts w:eastAsia="Calibri" w:cs="Arial"/>
          <w:i/>
          <w:sz w:val="24"/>
          <w:szCs w:val="20"/>
          <w:u w:val="single"/>
          <w:lang w:eastAsia="en-AU"/>
        </w:rPr>
        <w:t>The right to self-determination</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B40C39">
      <w:pPr>
        <w:autoSpaceDE w:val="0"/>
        <w:autoSpaceDN w:val="0"/>
        <w:adjustRightInd w:val="0"/>
        <w:spacing w:after="0" w:line="240" w:lineRule="auto"/>
        <w:rPr>
          <w:rFonts w:eastAsia="Calibri" w:cs="Arial"/>
          <w:sz w:val="24"/>
          <w:szCs w:val="20"/>
          <w:lang w:eastAsia="en-AU"/>
        </w:rPr>
      </w:pPr>
      <w:r w:rsidRPr="003A47E4">
        <w:rPr>
          <w:rFonts w:eastAsia="Calibri" w:cs="Arial"/>
          <w:sz w:val="24"/>
          <w:szCs w:val="20"/>
          <w:lang w:eastAsia="en-AU"/>
        </w:rPr>
        <w:t xml:space="preserve">Article 1 of the </w:t>
      </w:r>
      <w:r w:rsidRPr="003A47E4">
        <w:rPr>
          <w:rFonts w:eastAsia="Calibri" w:cs="Arial"/>
          <w:i/>
          <w:sz w:val="24"/>
          <w:szCs w:val="20"/>
          <w:lang w:eastAsia="en-AU"/>
        </w:rPr>
        <w:t>ICESCR</w:t>
      </w:r>
      <w:r w:rsidRPr="003A47E4">
        <w:rPr>
          <w:rFonts w:eastAsia="Calibri" w:cs="Arial"/>
          <w:sz w:val="24"/>
          <w:szCs w:val="20"/>
          <w:lang w:eastAsia="en-AU"/>
        </w:rPr>
        <w:t xml:space="preserve"> states that ‘all peoples have the right of self-determination. By virtue of that right they freely determine their political status and freely pursue their economic, social and cultural development’. </w:t>
      </w:r>
    </w:p>
    <w:p w:rsidR="003A47E4" w:rsidRPr="003A47E4" w:rsidRDefault="003A47E4" w:rsidP="003A47E4">
      <w:pPr>
        <w:autoSpaceDE w:val="0"/>
        <w:autoSpaceDN w:val="0"/>
        <w:adjustRightInd w:val="0"/>
        <w:spacing w:after="0" w:line="240" w:lineRule="auto"/>
        <w:jc w:val="both"/>
        <w:rPr>
          <w:rFonts w:eastAsia="Calibri" w:cs="Arial"/>
          <w:sz w:val="24"/>
          <w:szCs w:val="20"/>
          <w:lang w:eastAsia="en-AU"/>
        </w:rPr>
      </w:pPr>
    </w:p>
    <w:p w:rsidR="003A47E4" w:rsidRPr="003A47E4" w:rsidRDefault="003A47E4" w:rsidP="003A47E4">
      <w:pPr>
        <w:spacing w:after="0" w:line="240" w:lineRule="auto"/>
        <w:rPr>
          <w:rFonts w:eastAsia="Times New Roman" w:cs="Arial"/>
          <w:sz w:val="24"/>
          <w:szCs w:val="20"/>
          <w:lang w:val="en-US"/>
        </w:rPr>
      </w:pPr>
      <w:r w:rsidRPr="003A47E4">
        <w:rPr>
          <w:rFonts w:eastAsia="Times New Roman" w:cs="Arial"/>
          <w:sz w:val="24"/>
          <w:szCs w:val="20"/>
          <w:lang w:val="en-US"/>
        </w:rPr>
        <w:t>It may appear that the right to self-determination is engaged by this Amendment Determination. However, any such engagement of this right is reasonable and proportionate given the extensive harm caused by alcohol</w:t>
      </w:r>
      <w:r w:rsidR="008D7253">
        <w:rPr>
          <w:rFonts w:eastAsia="Times New Roman" w:cs="Arial"/>
          <w:sz w:val="24"/>
          <w:szCs w:val="20"/>
          <w:lang w:val="en-US"/>
        </w:rPr>
        <w:t xml:space="preserve"> and gambling in the trial area</w:t>
      </w:r>
      <w:r w:rsidR="00FA183E">
        <w:rPr>
          <w:rFonts w:eastAsia="Times New Roman" w:cs="Arial"/>
          <w:sz w:val="24"/>
          <w:szCs w:val="20"/>
          <w:lang w:val="en-US"/>
        </w:rPr>
        <w:t>s</w:t>
      </w:r>
      <w:r w:rsidRPr="003A47E4">
        <w:rPr>
          <w:rFonts w:eastAsia="Times New Roman" w:cs="Arial"/>
          <w:sz w:val="24"/>
          <w:szCs w:val="20"/>
          <w:lang w:val="en-US"/>
        </w:rPr>
        <w:t xml:space="preserve"> (again, as discussed above)</w:t>
      </w:r>
      <w:r w:rsidRPr="003A47E4">
        <w:rPr>
          <w:rFonts w:eastAsia="Calibri" w:cs="Arial"/>
          <w:sz w:val="24"/>
          <w:szCs w:val="20"/>
          <w:lang w:eastAsia="en-AU"/>
        </w:rPr>
        <w:t xml:space="preserve">. </w:t>
      </w:r>
      <w:r w:rsidRPr="003A47E4">
        <w:rPr>
          <w:rFonts w:eastAsia="Times New Roman" w:cs="Arial"/>
          <w:sz w:val="24"/>
          <w:szCs w:val="20"/>
          <w:lang w:val="en-US"/>
        </w:rPr>
        <w:t xml:space="preserve">Any limitation of this right is also directly related to limiting such harm, given the restrictions in this Amendment Determination being placed on the execution of </w:t>
      </w:r>
      <w:r w:rsidRPr="003A47E4">
        <w:rPr>
          <w:rFonts w:eastAsia="Times New Roman" w:cs="Times New Roman"/>
          <w:sz w:val="24"/>
          <w:szCs w:val="20"/>
        </w:rPr>
        <w:t xml:space="preserve">transactions at businesses that sell certain products including alcoholic beverages, gambling or gift cards. </w:t>
      </w:r>
    </w:p>
    <w:p w:rsidR="003A47E4" w:rsidRPr="003A47E4" w:rsidRDefault="003A47E4" w:rsidP="003A47E4">
      <w:pPr>
        <w:spacing w:after="0" w:line="240" w:lineRule="auto"/>
        <w:jc w:val="both"/>
        <w:rPr>
          <w:rFonts w:eastAsia="Times New Roman" w:cs="Arial"/>
          <w:sz w:val="24"/>
          <w:szCs w:val="20"/>
          <w:lang w:val="en-US"/>
        </w:rPr>
      </w:pPr>
    </w:p>
    <w:p w:rsidR="003A47E4" w:rsidRPr="003A47E4" w:rsidRDefault="003A47E4" w:rsidP="003A47E4">
      <w:pPr>
        <w:spacing w:after="0" w:line="240" w:lineRule="auto"/>
        <w:jc w:val="both"/>
        <w:rPr>
          <w:rFonts w:eastAsia="Times New Roman" w:cs="Arial"/>
          <w:b/>
          <w:i/>
          <w:sz w:val="24"/>
          <w:szCs w:val="20"/>
          <w:lang w:eastAsia="en-AU"/>
        </w:rPr>
      </w:pPr>
      <w:r w:rsidRPr="003A47E4">
        <w:rPr>
          <w:rFonts w:eastAsia="Times New Roman" w:cs="Arial"/>
          <w:b/>
          <w:i/>
          <w:sz w:val="24"/>
          <w:szCs w:val="20"/>
          <w:lang w:eastAsia="en-AU"/>
        </w:rPr>
        <w:t>Conclusion</w:t>
      </w:r>
    </w:p>
    <w:p w:rsidR="003A47E4" w:rsidRPr="003A47E4" w:rsidRDefault="003A47E4" w:rsidP="003A47E4">
      <w:pPr>
        <w:spacing w:after="0" w:line="240" w:lineRule="auto"/>
        <w:jc w:val="both"/>
        <w:rPr>
          <w:rFonts w:eastAsia="Times New Roman" w:cs="Arial"/>
          <w:sz w:val="24"/>
          <w:szCs w:val="20"/>
          <w:lang w:eastAsia="en-AU"/>
        </w:rPr>
      </w:pPr>
    </w:p>
    <w:p w:rsidR="003A47E4" w:rsidRPr="00812DAF" w:rsidRDefault="003A47E4" w:rsidP="00B40C39">
      <w:pPr>
        <w:autoSpaceDE w:val="0"/>
        <w:autoSpaceDN w:val="0"/>
        <w:adjustRightInd w:val="0"/>
        <w:spacing w:after="0" w:line="240" w:lineRule="auto"/>
        <w:rPr>
          <w:rStyle w:val="BookTitle"/>
          <w:rFonts w:eastAsia="Calibri" w:cs="Arial"/>
          <w:i w:val="0"/>
          <w:iCs w:val="0"/>
          <w:smallCaps w:val="0"/>
          <w:spacing w:val="0"/>
          <w:sz w:val="24"/>
          <w:szCs w:val="20"/>
          <w:lang w:eastAsia="en-AU"/>
        </w:rPr>
      </w:pPr>
      <w:r w:rsidRPr="003A47E4">
        <w:rPr>
          <w:rFonts w:eastAsia="Calibri" w:cs="Arial"/>
          <w:sz w:val="24"/>
          <w:szCs w:val="20"/>
          <w:lang w:eastAsia="en-AU"/>
        </w:rPr>
        <w:t>This Amendment Determination is compatible with human rights. A</w:t>
      </w:r>
      <w:r w:rsidR="00812DAF">
        <w:rPr>
          <w:rFonts w:eastAsia="Calibri" w:cs="Arial"/>
          <w:sz w:val="24"/>
          <w:szCs w:val="20"/>
          <w:lang w:eastAsia="en-AU"/>
        </w:rPr>
        <w:t>n extension of the</w:t>
      </w:r>
      <w:r w:rsidRPr="003A47E4">
        <w:rPr>
          <w:rFonts w:eastAsia="Calibri" w:cs="Arial"/>
          <w:sz w:val="24"/>
          <w:szCs w:val="20"/>
          <w:lang w:eastAsia="en-AU"/>
        </w:rPr>
        <w:t xml:space="preserve"> </w:t>
      </w:r>
      <w:r w:rsidR="004A20A4">
        <w:rPr>
          <w:rFonts w:eastAsia="Calibri" w:cs="Arial"/>
          <w:sz w:val="24"/>
          <w:szCs w:val="20"/>
          <w:lang w:eastAsia="en-AU"/>
        </w:rPr>
        <w:t xml:space="preserve">Trial </w:t>
      </w:r>
      <w:r w:rsidRPr="003A47E4">
        <w:rPr>
          <w:rFonts w:eastAsia="Calibri" w:cs="Arial"/>
          <w:sz w:val="24"/>
          <w:szCs w:val="20"/>
          <w:lang w:eastAsia="en-AU"/>
        </w:rPr>
        <w:t xml:space="preserve">will advance the protection of human rights by ensuring that income support payments are spent in the best interests of welfare payment recipients and their dependents. To the extent that they may limit human rights, those limitations are reasonable, necessary and proportionate to achieving the legitimate objectives of reducing immediate hardship and deprivation, reducing violence and harm, encouraging socially responsible behaviour, and reducing the likelihood that welfare payment recipients will be subject to harassment and abuse in relation to their welfare payments. </w:t>
      </w:r>
    </w:p>
    <w:sectPr w:rsidR="003A47E4" w:rsidRPr="00812D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8F" w:rsidRDefault="006C4E8F" w:rsidP="003A47E4">
      <w:pPr>
        <w:spacing w:after="0" w:line="240" w:lineRule="auto"/>
      </w:pPr>
      <w:r>
        <w:separator/>
      </w:r>
    </w:p>
  </w:endnote>
  <w:endnote w:type="continuationSeparator" w:id="0">
    <w:p w:rsidR="006C4E8F" w:rsidRDefault="006C4E8F" w:rsidP="003A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8F" w:rsidRDefault="006C4E8F" w:rsidP="003A47E4">
      <w:pPr>
        <w:spacing w:after="0" w:line="240" w:lineRule="auto"/>
      </w:pPr>
      <w:r>
        <w:separator/>
      </w:r>
    </w:p>
  </w:footnote>
  <w:footnote w:type="continuationSeparator" w:id="0">
    <w:p w:rsidR="006C4E8F" w:rsidRDefault="006C4E8F" w:rsidP="003A47E4">
      <w:pPr>
        <w:spacing w:after="0" w:line="240" w:lineRule="auto"/>
      </w:pPr>
      <w:r>
        <w:continuationSeparator/>
      </w:r>
    </w:p>
  </w:footnote>
  <w:footnote w:id="1">
    <w:p w:rsidR="003A47E4" w:rsidRPr="0020488F" w:rsidRDefault="003A47E4" w:rsidP="003A47E4">
      <w:pPr>
        <w:pStyle w:val="FootnoteText"/>
        <w:rPr>
          <w:rFonts w:ascii="Arial" w:hAnsi="Arial" w:cs="Arial"/>
        </w:rPr>
      </w:pPr>
      <w:r w:rsidRPr="0020488F">
        <w:rPr>
          <w:rStyle w:val="FootnoteReference"/>
          <w:rFonts w:ascii="Arial" w:hAnsi="Arial" w:cs="Arial"/>
        </w:rPr>
        <w:footnoteRef/>
      </w:r>
      <w:r w:rsidRPr="003C6E56">
        <w:rPr>
          <w:rFonts w:ascii="Arial" w:hAnsi="Arial" w:cs="Arial"/>
        </w:rPr>
        <w:t xml:space="preserve"> </w:t>
      </w:r>
      <w:r w:rsidRPr="003C6E56">
        <w:rPr>
          <w:rFonts w:ascii="Arial" w:hAnsi="Arial" w:cs="Arial"/>
          <w:i/>
        </w:rPr>
        <w:t xml:space="preserve">Social Services Legislation Amendment (Debit Card Trial) Bill 2015, </w:t>
      </w:r>
      <w:r w:rsidRPr="003C6E56">
        <w:rPr>
          <w:rFonts w:ascii="Arial" w:hAnsi="Arial" w:cs="Arial"/>
        </w:rPr>
        <w:t>Explanatory Memorandum, Statement of Compatibility, p. 4.</w:t>
      </w:r>
    </w:p>
  </w:footnote>
  <w:footnote w:id="2">
    <w:p w:rsidR="001069DB" w:rsidRDefault="001069DB" w:rsidP="001069DB">
      <w:pPr>
        <w:pStyle w:val="FootnoteText"/>
      </w:pPr>
      <w:r>
        <w:rPr>
          <w:rStyle w:val="FootnoteReference"/>
          <w:rFonts w:ascii="Arial" w:hAnsi="Arial" w:cs="Arial"/>
        </w:rPr>
        <w:footnoteRef/>
      </w:r>
      <w:r>
        <w:rPr>
          <w:rFonts w:ascii="Arial" w:hAnsi="Arial" w:cs="Arial"/>
        </w:rPr>
        <w:t xml:space="preserve"> Western Australia Department of Child Protection and Family Support, </w:t>
      </w:r>
      <w:r>
        <w:rPr>
          <w:rFonts w:ascii="Arial" w:hAnsi="Arial" w:cs="Arial"/>
          <w:i/>
          <w:lang w:val="en-US"/>
        </w:rPr>
        <w:t>Western Australia’s Family &amp; Domestic Violence Prevention Strategy to 2022, Achievement Report to 2013</w:t>
      </w:r>
      <w:r>
        <w:rPr>
          <w:rFonts w:ascii="Arial" w:hAnsi="Arial" w:cs="Arial"/>
          <w:lang w:val="en-US"/>
        </w:rPr>
        <w:t xml:space="preserve"> (2013).</w:t>
      </w:r>
    </w:p>
  </w:footnote>
  <w:footnote w:id="3">
    <w:p w:rsidR="00093015" w:rsidRPr="00171BE6" w:rsidRDefault="00093015" w:rsidP="00093015">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Submission to the Senate Standing Committee on Community Affairs inquiry to the </w:t>
      </w:r>
      <w:r w:rsidRPr="00171BE6">
        <w:rPr>
          <w:rFonts w:ascii="Arial" w:hAnsi="Arial" w:cs="Arial"/>
          <w:i/>
        </w:rPr>
        <w:t>Social Services Legislation Amendment (Debit Card Trial) Bill 2015</w:t>
      </w:r>
      <w:r w:rsidRPr="00171BE6">
        <w:rPr>
          <w:rFonts w:ascii="Arial" w:hAnsi="Arial" w:cs="Arial"/>
        </w:rPr>
        <w:t xml:space="preserve">, District Council of Ceduna, Annexure 1, p. 3. </w:t>
      </w:r>
    </w:p>
  </w:footnote>
  <w:footnote w:id="4">
    <w:p w:rsidR="00093015" w:rsidRPr="00171BE6" w:rsidRDefault="00093015" w:rsidP="00093015">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Submission to the Senate Standing Committee on Community Affairs inquiry to the </w:t>
      </w:r>
      <w:r w:rsidRPr="00171BE6">
        <w:rPr>
          <w:rFonts w:ascii="Arial" w:hAnsi="Arial" w:cs="Arial"/>
          <w:i/>
        </w:rPr>
        <w:t>Social Services Legislation Amendment (Debit Card Trial) Bill 2015</w:t>
      </w:r>
      <w:r w:rsidRPr="00171BE6">
        <w:rPr>
          <w:rFonts w:ascii="Arial" w:hAnsi="Arial" w:cs="Arial"/>
        </w:rPr>
        <w:t>, District Council of Ceduna, Annexure 3, p. 2.</w:t>
      </w:r>
    </w:p>
  </w:footnote>
  <w:footnote w:id="5">
    <w:p w:rsidR="003A47E4" w:rsidRPr="00171BE6" w:rsidRDefault="003A47E4" w:rsidP="003A47E4">
      <w:pPr>
        <w:pStyle w:val="FootnoteText"/>
        <w:rPr>
          <w:rFonts w:ascii="Arial" w:hAnsi="Arial" w:cs="Arial"/>
        </w:rPr>
      </w:pPr>
      <w:r w:rsidRPr="00171BE6">
        <w:rPr>
          <w:rStyle w:val="FootnoteReference"/>
          <w:rFonts w:ascii="Arial" w:hAnsi="Arial" w:cs="Arial"/>
        </w:rPr>
        <w:footnoteRef/>
      </w:r>
      <w:r w:rsidRPr="00171BE6">
        <w:rPr>
          <w:rFonts w:ascii="Arial" w:hAnsi="Arial" w:cs="Arial"/>
        </w:rPr>
        <w:t xml:space="preserve"> </w:t>
      </w:r>
      <w:r w:rsidRPr="00171BE6">
        <w:rPr>
          <w:rFonts w:ascii="Arial" w:hAnsi="Arial" w:cs="Arial"/>
          <w:i/>
        </w:rPr>
        <w:t xml:space="preserve">Social Services Legislation Amendment (Debit Card Trial) Bill 2015, </w:t>
      </w:r>
      <w:r w:rsidRPr="00171BE6">
        <w:rPr>
          <w:rFonts w:ascii="Arial" w:hAnsi="Arial" w:cs="Arial"/>
        </w:rPr>
        <w:t>Explanatory Memorandum, Statement of Compatibility,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E03"/>
    <w:multiLevelType w:val="hybridMultilevel"/>
    <w:tmpl w:val="C12688D2"/>
    <w:lvl w:ilvl="0" w:tplc="597C6C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E86DA7"/>
    <w:multiLevelType w:val="hybridMultilevel"/>
    <w:tmpl w:val="DDA82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E6416DF"/>
    <w:multiLevelType w:val="hybridMultilevel"/>
    <w:tmpl w:val="5CEA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B70229"/>
    <w:multiLevelType w:val="hybridMultilevel"/>
    <w:tmpl w:val="7E8658DE"/>
    <w:lvl w:ilvl="0" w:tplc="CCC08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01570"/>
    <w:rsid w:val="00041D21"/>
    <w:rsid w:val="00043180"/>
    <w:rsid w:val="00051905"/>
    <w:rsid w:val="0005536C"/>
    <w:rsid w:val="00093015"/>
    <w:rsid w:val="000A4A90"/>
    <w:rsid w:val="000F46FD"/>
    <w:rsid w:val="000F7490"/>
    <w:rsid w:val="001069DB"/>
    <w:rsid w:val="00145B6D"/>
    <w:rsid w:val="0015435D"/>
    <w:rsid w:val="00164E6D"/>
    <w:rsid w:val="001967E7"/>
    <w:rsid w:val="001E630D"/>
    <w:rsid w:val="001E6B01"/>
    <w:rsid w:val="002660D8"/>
    <w:rsid w:val="00266BAD"/>
    <w:rsid w:val="0026786D"/>
    <w:rsid w:val="00290575"/>
    <w:rsid w:val="002A073B"/>
    <w:rsid w:val="002E6905"/>
    <w:rsid w:val="00337303"/>
    <w:rsid w:val="00376B0B"/>
    <w:rsid w:val="00383213"/>
    <w:rsid w:val="003871D0"/>
    <w:rsid w:val="003A47E4"/>
    <w:rsid w:val="003B0C85"/>
    <w:rsid w:val="003B2BB8"/>
    <w:rsid w:val="003C4767"/>
    <w:rsid w:val="003D34FF"/>
    <w:rsid w:val="00403D5F"/>
    <w:rsid w:val="00407C51"/>
    <w:rsid w:val="004155B7"/>
    <w:rsid w:val="00433745"/>
    <w:rsid w:val="0043737A"/>
    <w:rsid w:val="004750B3"/>
    <w:rsid w:val="00486F90"/>
    <w:rsid w:val="004A20A4"/>
    <w:rsid w:val="004B54CA"/>
    <w:rsid w:val="004E040F"/>
    <w:rsid w:val="004E16F4"/>
    <w:rsid w:val="004E5CBF"/>
    <w:rsid w:val="004F0F0E"/>
    <w:rsid w:val="00501570"/>
    <w:rsid w:val="00511AE6"/>
    <w:rsid w:val="00524A8F"/>
    <w:rsid w:val="00555C79"/>
    <w:rsid w:val="0056078C"/>
    <w:rsid w:val="00593402"/>
    <w:rsid w:val="00597BB3"/>
    <w:rsid w:val="005C3AA9"/>
    <w:rsid w:val="005E22FB"/>
    <w:rsid w:val="005F238A"/>
    <w:rsid w:val="0060135E"/>
    <w:rsid w:val="0064376A"/>
    <w:rsid w:val="006A4CE7"/>
    <w:rsid w:val="006C4E8F"/>
    <w:rsid w:val="006F56BE"/>
    <w:rsid w:val="00743D09"/>
    <w:rsid w:val="007514C1"/>
    <w:rsid w:val="00755225"/>
    <w:rsid w:val="00785261"/>
    <w:rsid w:val="007B0256"/>
    <w:rsid w:val="007B4B74"/>
    <w:rsid w:val="007D22ED"/>
    <w:rsid w:val="00812DAF"/>
    <w:rsid w:val="00823A6B"/>
    <w:rsid w:val="0085345A"/>
    <w:rsid w:val="00884061"/>
    <w:rsid w:val="008A0CEC"/>
    <w:rsid w:val="008B2B43"/>
    <w:rsid w:val="008D7253"/>
    <w:rsid w:val="00920DB4"/>
    <w:rsid w:val="009225F0"/>
    <w:rsid w:val="0095564F"/>
    <w:rsid w:val="009E1C6F"/>
    <w:rsid w:val="00A00069"/>
    <w:rsid w:val="00A03496"/>
    <w:rsid w:val="00A35F0D"/>
    <w:rsid w:val="00A6045E"/>
    <w:rsid w:val="00A649FB"/>
    <w:rsid w:val="00AA73ED"/>
    <w:rsid w:val="00AB38ED"/>
    <w:rsid w:val="00AD5236"/>
    <w:rsid w:val="00B10B8C"/>
    <w:rsid w:val="00B34D9F"/>
    <w:rsid w:val="00B40C39"/>
    <w:rsid w:val="00B57730"/>
    <w:rsid w:val="00B91460"/>
    <w:rsid w:val="00BA2DB9"/>
    <w:rsid w:val="00BA5801"/>
    <w:rsid w:val="00BC42AF"/>
    <w:rsid w:val="00BD3DE7"/>
    <w:rsid w:val="00BE049C"/>
    <w:rsid w:val="00BE7148"/>
    <w:rsid w:val="00BF4FB4"/>
    <w:rsid w:val="00C05F7D"/>
    <w:rsid w:val="00C453AE"/>
    <w:rsid w:val="00C95C7E"/>
    <w:rsid w:val="00D16222"/>
    <w:rsid w:val="00D42C26"/>
    <w:rsid w:val="00DB1E92"/>
    <w:rsid w:val="00DD19C7"/>
    <w:rsid w:val="00E409B3"/>
    <w:rsid w:val="00E50472"/>
    <w:rsid w:val="00E57716"/>
    <w:rsid w:val="00E649FE"/>
    <w:rsid w:val="00E75749"/>
    <w:rsid w:val="00EB36E5"/>
    <w:rsid w:val="00EC66E1"/>
    <w:rsid w:val="00EF5EF3"/>
    <w:rsid w:val="00F94807"/>
    <w:rsid w:val="00FA183E"/>
    <w:rsid w:val="00FF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86F90"/>
    <w:rPr>
      <w:sz w:val="16"/>
      <w:szCs w:val="16"/>
    </w:rPr>
  </w:style>
  <w:style w:type="paragraph" w:styleId="CommentText">
    <w:name w:val="annotation text"/>
    <w:basedOn w:val="Normal"/>
    <w:link w:val="CommentTextChar"/>
    <w:uiPriority w:val="99"/>
    <w:semiHidden/>
    <w:unhideWhenUsed/>
    <w:rsid w:val="00486F90"/>
    <w:pPr>
      <w:spacing w:line="240" w:lineRule="auto"/>
    </w:pPr>
    <w:rPr>
      <w:sz w:val="20"/>
      <w:szCs w:val="20"/>
    </w:rPr>
  </w:style>
  <w:style w:type="character" w:customStyle="1" w:styleId="CommentTextChar">
    <w:name w:val="Comment Text Char"/>
    <w:basedOn w:val="DefaultParagraphFont"/>
    <w:link w:val="CommentText"/>
    <w:uiPriority w:val="99"/>
    <w:semiHidden/>
    <w:rsid w:val="00486F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6F90"/>
    <w:rPr>
      <w:b/>
      <w:bCs/>
    </w:rPr>
  </w:style>
  <w:style w:type="character" w:customStyle="1" w:styleId="CommentSubjectChar">
    <w:name w:val="Comment Subject Char"/>
    <w:basedOn w:val="CommentTextChar"/>
    <w:link w:val="CommentSubject"/>
    <w:uiPriority w:val="99"/>
    <w:semiHidden/>
    <w:rsid w:val="00486F90"/>
    <w:rPr>
      <w:rFonts w:ascii="Arial" w:hAnsi="Arial"/>
      <w:b/>
      <w:bCs/>
      <w:sz w:val="20"/>
      <w:szCs w:val="20"/>
    </w:rPr>
  </w:style>
  <w:style w:type="paragraph" w:styleId="BalloonText">
    <w:name w:val="Balloon Text"/>
    <w:basedOn w:val="Normal"/>
    <w:link w:val="BalloonTextChar"/>
    <w:uiPriority w:val="99"/>
    <w:semiHidden/>
    <w:unhideWhenUsed/>
    <w:rsid w:val="004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90"/>
    <w:rPr>
      <w:rFonts w:ascii="Tahoma" w:hAnsi="Tahoma" w:cs="Tahoma"/>
      <w:sz w:val="16"/>
      <w:szCs w:val="16"/>
    </w:rPr>
  </w:style>
  <w:style w:type="paragraph" w:styleId="FootnoteText">
    <w:name w:val="footnote text"/>
    <w:basedOn w:val="Normal"/>
    <w:link w:val="FootnoteTextChar"/>
    <w:uiPriority w:val="99"/>
    <w:rsid w:val="003A47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A47E4"/>
    <w:rPr>
      <w:rFonts w:ascii="Times New Roman" w:eastAsia="Times New Roman" w:hAnsi="Times New Roman" w:cs="Times New Roman"/>
      <w:sz w:val="20"/>
      <w:szCs w:val="20"/>
    </w:rPr>
  </w:style>
  <w:style w:type="character" w:styleId="FootnoteReference">
    <w:name w:val="footnote reference"/>
    <w:uiPriority w:val="99"/>
    <w:rsid w:val="003A47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486F90"/>
    <w:rPr>
      <w:sz w:val="16"/>
      <w:szCs w:val="16"/>
    </w:rPr>
  </w:style>
  <w:style w:type="paragraph" w:styleId="CommentText">
    <w:name w:val="annotation text"/>
    <w:basedOn w:val="Normal"/>
    <w:link w:val="CommentTextChar"/>
    <w:uiPriority w:val="99"/>
    <w:semiHidden/>
    <w:unhideWhenUsed/>
    <w:rsid w:val="00486F90"/>
    <w:pPr>
      <w:spacing w:line="240" w:lineRule="auto"/>
    </w:pPr>
    <w:rPr>
      <w:sz w:val="20"/>
      <w:szCs w:val="20"/>
    </w:rPr>
  </w:style>
  <w:style w:type="character" w:customStyle="1" w:styleId="CommentTextChar">
    <w:name w:val="Comment Text Char"/>
    <w:basedOn w:val="DefaultParagraphFont"/>
    <w:link w:val="CommentText"/>
    <w:uiPriority w:val="99"/>
    <w:semiHidden/>
    <w:rsid w:val="00486F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6F90"/>
    <w:rPr>
      <w:b/>
      <w:bCs/>
    </w:rPr>
  </w:style>
  <w:style w:type="character" w:customStyle="1" w:styleId="CommentSubjectChar">
    <w:name w:val="Comment Subject Char"/>
    <w:basedOn w:val="CommentTextChar"/>
    <w:link w:val="CommentSubject"/>
    <w:uiPriority w:val="99"/>
    <w:semiHidden/>
    <w:rsid w:val="00486F90"/>
    <w:rPr>
      <w:rFonts w:ascii="Arial" w:hAnsi="Arial"/>
      <w:b/>
      <w:bCs/>
      <w:sz w:val="20"/>
      <w:szCs w:val="20"/>
    </w:rPr>
  </w:style>
  <w:style w:type="paragraph" w:styleId="BalloonText">
    <w:name w:val="Balloon Text"/>
    <w:basedOn w:val="Normal"/>
    <w:link w:val="BalloonTextChar"/>
    <w:uiPriority w:val="99"/>
    <w:semiHidden/>
    <w:unhideWhenUsed/>
    <w:rsid w:val="0048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90"/>
    <w:rPr>
      <w:rFonts w:ascii="Tahoma" w:hAnsi="Tahoma" w:cs="Tahoma"/>
      <w:sz w:val="16"/>
      <w:szCs w:val="16"/>
    </w:rPr>
  </w:style>
  <w:style w:type="paragraph" w:styleId="FootnoteText">
    <w:name w:val="footnote text"/>
    <w:basedOn w:val="Normal"/>
    <w:link w:val="FootnoteTextChar"/>
    <w:uiPriority w:val="99"/>
    <w:rsid w:val="003A47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A47E4"/>
    <w:rPr>
      <w:rFonts w:ascii="Times New Roman" w:eastAsia="Times New Roman" w:hAnsi="Times New Roman" w:cs="Times New Roman"/>
      <w:sz w:val="20"/>
      <w:szCs w:val="20"/>
    </w:rPr>
  </w:style>
  <w:style w:type="character" w:styleId="FootnoteReference">
    <w:name w:val="footnote reference"/>
    <w:uiPriority w:val="99"/>
    <w:rsid w:val="003A4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4274">
      <w:bodyDiv w:val="1"/>
      <w:marLeft w:val="0"/>
      <w:marRight w:val="0"/>
      <w:marTop w:val="0"/>
      <w:marBottom w:val="0"/>
      <w:divBdr>
        <w:top w:val="none" w:sz="0" w:space="0" w:color="auto"/>
        <w:left w:val="none" w:sz="0" w:space="0" w:color="auto"/>
        <w:bottom w:val="none" w:sz="0" w:space="0" w:color="auto"/>
        <w:right w:val="none" w:sz="0" w:space="0" w:color="auto"/>
      </w:divBdr>
      <w:divsChild>
        <w:div w:id="1769957681">
          <w:marLeft w:val="0"/>
          <w:marRight w:val="0"/>
          <w:marTop w:val="0"/>
          <w:marBottom w:val="0"/>
          <w:divBdr>
            <w:top w:val="none" w:sz="0" w:space="0" w:color="auto"/>
            <w:left w:val="none" w:sz="0" w:space="0" w:color="auto"/>
            <w:bottom w:val="none" w:sz="0" w:space="0" w:color="auto"/>
            <w:right w:val="none" w:sz="0" w:space="0" w:color="auto"/>
          </w:divBdr>
          <w:divsChild>
            <w:div w:id="820342094">
              <w:marLeft w:val="0"/>
              <w:marRight w:val="0"/>
              <w:marTop w:val="0"/>
              <w:marBottom w:val="0"/>
              <w:divBdr>
                <w:top w:val="none" w:sz="0" w:space="0" w:color="auto"/>
                <w:left w:val="none" w:sz="0" w:space="0" w:color="auto"/>
                <w:bottom w:val="none" w:sz="0" w:space="0" w:color="auto"/>
                <w:right w:val="none" w:sz="0" w:space="0" w:color="auto"/>
              </w:divBdr>
              <w:divsChild>
                <w:div w:id="764154896">
                  <w:marLeft w:val="0"/>
                  <w:marRight w:val="0"/>
                  <w:marTop w:val="0"/>
                  <w:marBottom w:val="0"/>
                  <w:divBdr>
                    <w:top w:val="none" w:sz="0" w:space="0" w:color="auto"/>
                    <w:left w:val="none" w:sz="0" w:space="0" w:color="auto"/>
                    <w:bottom w:val="none" w:sz="0" w:space="0" w:color="auto"/>
                    <w:right w:val="none" w:sz="0" w:space="0" w:color="auto"/>
                  </w:divBdr>
                  <w:divsChild>
                    <w:div w:id="2002543597">
                      <w:marLeft w:val="0"/>
                      <w:marRight w:val="0"/>
                      <w:marTop w:val="0"/>
                      <w:marBottom w:val="0"/>
                      <w:divBdr>
                        <w:top w:val="none" w:sz="0" w:space="0" w:color="auto"/>
                        <w:left w:val="none" w:sz="0" w:space="0" w:color="auto"/>
                        <w:bottom w:val="none" w:sz="0" w:space="0" w:color="auto"/>
                        <w:right w:val="none" w:sz="0" w:space="0" w:color="auto"/>
                      </w:divBdr>
                      <w:divsChild>
                        <w:div w:id="1582521544">
                          <w:marLeft w:val="0"/>
                          <w:marRight w:val="0"/>
                          <w:marTop w:val="0"/>
                          <w:marBottom w:val="0"/>
                          <w:divBdr>
                            <w:top w:val="none" w:sz="0" w:space="0" w:color="auto"/>
                            <w:left w:val="none" w:sz="0" w:space="0" w:color="auto"/>
                            <w:bottom w:val="none" w:sz="0" w:space="0" w:color="auto"/>
                            <w:right w:val="none" w:sz="0" w:space="0" w:color="auto"/>
                          </w:divBdr>
                          <w:divsChild>
                            <w:div w:id="557013411">
                              <w:marLeft w:val="0"/>
                              <w:marRight w:val="0"/>
                              <w:marTop w:val="0"/>
                              <w:marBottom w:val="0"/>
                              <w:divBdr>
                                <w:top w:val="none" w:sz="0" w:space="0" w:color="auto"/>
                                <w:left w:val="none" w:sz="0" w:space="0" w:color="auto"/>
                                <w:bottom w:val="none" w:sz="0" w:space="0" w:color="auto"/>
                                <w:right w:val="none" w:sz="0" w:space="0" w:color="auto"/>
                              </w:divBdr>
                              <w:divsChild>
                                <w:div w:id="1581986944">
                                  <w:marLeft w:val="0"/>
                                  <w:marRight w:val="0"/>
                                  <w:marTop w:val="0"/>
                                  <w:marBottom w:val="0"/>
                                  <w:divBdr>
                                    <w:top w:val="none" w:sz="0" w:space="0" w:color="auto"/>
                                    <w:left w:val="none" w:sz="0" w:space="0" w:color="auto"/>
                                    <w:bottom w:val="none" w:sz="0" w:space="0" w:color="auto"/>
                                    <w:right w:val="none" w:sz="0" w:space="0" w:color="auto"/>
                                  </w:divBdr>
                                  <w:divsChild>
                                    <w:div w:id="448167153">
                                      <w:marLeft w:val="0"/>
                                      <w:marRight w:val="0"/>
                                      <w:marTop w:val="0"/>
                                      <w:marBottom w:val="0"/>
                                      <w:divBdr>
                                        <w:top w:val="none" w:sz="0" w:space="0" w:color="auto"/>
                                        <w:left w:val="none" w:sz="0" w:space="0" w:color="auto"/>
                                        <w:bottom w:val="none" w:sz="0" w:space="0" w:color="auto"/>
                                        <w:right w:val="none" w:sz="0" w:space="0" w:color="auto"/>
                                      </w:divBdr>
                                      <w:divsChild>
                                        <w:div w:id="723875142">
                                          <w:marLeft w:val="0"/>
                                          <w:marRight w:val="0"/>
                                          <w:marTop w:val="0"/>
                                          <w:marBottom w:val="0"/>
                                          <w:divBdr>
                                            <w:top w:val="none" w:sz="0" w:space="0" w:color="auto"/>
                                            <w:left w:val="none" w:sz="0" w:space="0" w:color="auto"/>
                                            <w:bottom w:val="none" w:sz="0" w:space="0" w:color="auto"/>
                                            <w:right w:val="none" w:sz="0" w:space="0" w:color="auto"/>
                                          </w:divBdr>
                                          <w:divsChild>
                                            <w:div w:id="4987260">
                                              <w:marLeft w:val="0"/>
                                              <w:marRight w:val="0"/>
                                              <w:marTop w:val="0"/>
                                              <w:marBottom w:val="0"/>
                                              <w:divBdr>
                                                <w:top w:val="none" w:sz="0" w:space="0" w:color="auto"/>
                                                <w:left w:val="none" w:sz="0" w:space="0" w:color="auto"/>
                                                <w:bottom w:val="none" w:sz="0" w:space="0" w:color="auto"/>
                                                <w:right w:val="none" w:sz="0" w:space="0" w:color="auto"/>
                                              </w:divBdr>
                                              <w:divsChild>
                                                <w:div w:id="1351178753">
                                                  <w:marLeft w:val="0"/>
                                                  <w:marRight w:val="0"/>
                                                  <w:marTop w:val="0"/>
                                                  <w:marBottom w:val="0"/>
                                                  <w:divBdr>
                                                    <w:top w:val="none" w:sz="0" w:space="0" w:color="auto"/>
                                                    <w:left w:val="none" w:sz="0" w:space="0" w:color="auto"/>
                                                    <w:bottom w:val="none" w:sz="0" w:space="0" w:color="auto"/>
                                                    <w:right w:val="none" w:sz="0" w:space="0" w:color="auto"/>
                                                  </w:divBdr>
                                                  <w:divsChild>
                                                    <w:div w:id="768350382">
                                                      <w:marLeft w:val="0"/>
                                                      <w:marRight w:val="0"/>
                                                      <w:marTop w:val="0"/>
                                                      <w:marBottom w:val="0"/>
                                                      <w:divBdr>
                                                        <w:top w:val="none" w:sz="0" w:space="0" w:color="auto"/>
                                                        <w:left w:val="none" w:sz="0" w:space="0" w:color="auto"/>
                                                        <w:bottom w:val="none" w:sz="0" w:space="0" w:color="auto"/>
                                                        <w:right w:val="none" w:sz="0" w:space="0" w:color="auto"/>
                                                      </w:divBdr>
                                                      <w:divsChild>
                                                        <w:div w:id="3928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370323">
      <w:bodyDiv w:val="1"/>
      <w:marLeft w:val="0"/>
      <w:marRight w:val="0"/>
      <w:marTop w:val="0"/>
      <w:marBottom w:val="0"/>
      <w:divBdr>
        <w:top w:val="none" w:sz="0" w:space="0" w:color="auto"/>
        <w:left w:val="none" w:sz="0" w:space="0" w:color="auto"/>
        <w:bottom w:val="none" w:sz="0" w:space="0" w:color="auto"/>
        <w:right w:val="none" w:sz="0" w:space="0" w:color="auto"/>
      </w:divBdr>
    </w:div>
    <w:div w:id="1078751905">
      <w:bodyDiv w:val="1"/>
      <w:marLeft w:val="0"/>
      <w:marRight w:val="0"/>
      <w:marTop w:val="0"/>
      <w:marBottom w:val="0"/>
      <w:divBdr>
        <w:top w:val="none" w:sz="0" w:space="0" w:color="auto"/>
        <w:left w:val="none" w:sz="0" w:space="0" w:color="auto"/>
        <w:bottom w:val="none" w:sz="0" w:space="0" w:color="auto"/>
        <w:right w:val="none" w:sz="0" w:space="0" w:color="auto"/>
      </w:divBdr>
    </w:div>
    <w:div w:id="1774546235">
      <w:bodyDiv w:val="1"/>
      <w:marLeft w:val="0"/>
      <w:marRight w:val="0"/>
      <w:marTop w:val="0"/>
      <w:marBottom w:val="0"/>
      <w:divBdr>
        <w:top w:val="none" w:sz="0" w:space="0" w:color="auto"/>
        <w:left w:val="none" w:sz="0" w:space="0" w:color="auto"/>
        <w:bottom w:val="none" w:sz="0" w:space="0" w:color="auto"/>
        <w:right w:val="none" w:sz="0" w:space="0" w:color="auto"/>
      </w:divBdr>
    </w:div>
    <w:div w:id="1852134860">
      <w:bodyDiv w:val="1"/>
      <w:marLeft w:val="0"/>
      <w:marRight w:val="0"/>
      <w:marTop w:val="0"/>
      <w:marBottom w:val="0"/>
      <w:divBdr>
        <w:top w:val="none" w:sz="0" w:space="0" w:color="auto"/>
        <w:left w:val="none" w:sz="0" w:space="0" w:color="auto"/>
        <w:bottom w:val="none" w:sz="0" w:space="0" w:color="auto"/>
        <w:right w:val="none" w:sz="0" w:space="0" w:color="auto"/>
      </w:divBdr>
    </w:div>
    <w:div w:id="1939947614">
      <w:bodyDiv w:val="1"/>
      <w:marLeft w:val="0"/>
      <w:marRight w:val="0"/>
      <w:marTop w:val="0"/>
      <w:marBottom w:val="0"/>
      <w:divBdr>
        <w:top w:val="none" w:sz="0" w:space="0" w:color="auto"/>
        <w:left w:val="none" w:sz="0" w:space="0" w:color="auto"/>
        <w:bottom w:val="none" w:sz="0" w:space="0" w:color="auto"/>
        <w:right w:val="none" w:sz="0" w:space="0" w:color="auto"/>
      </w:divBdr>
      <w:divsChild>
        <w:div w:id="805851228">
          <w:marLeft w:val="0"/>
          <w:marRight w:val="0"/>
          <w:marTop w:val="0"/>
          <w:marBottom w:val="0"/>
          <w:divBdr>
            <w:top w:val="none" w:sz="0" w:space="0" w:color="auto"/>
            <w:left w:val="none" w:sz="0" w:space="0" w:color="auto"/>
            <w:bottom w:val="none" w:sz="0" w:space="0" w:color="auto"/>
            <w:right w:val="none" w:sz="0" w:space="0" w:color="auto"/>
          </w:divBdr>
          <w:divsChild>
            <w:div w:id="1173489452">
              <w:marLeft w:val="0"/>
              <w:marRight w:val="0"/>
              <w:marTop w:val="0"/>
              <w:marBottom w:val="0"/>
              <w:divBdr>
                <w:top w:val="none" w:sz="0" w:space="0" w:color="auto"/>
                <w:left w:val="none" w:sz="0" w:space="0" w:color="auto"/>
                <w:bottom w:val="none" w:sz="0" w:space="0" w:color="auto"/>
                <w:right w:val="none" w:sz="0" w:space="0" w:color="auto"/>
              </w:divBdr>
              <w:divsChild>
                <w:div w:id="313608496">
                  <w:marLeft w:val="0"/>
                  <w:marRight w:val="0"/>
                  <w:marTop w:val="0"/>
                  <w:marBottom w:val="0"/>
                  <w:divBdr>
                    <w:top w:val="none" w:sz="0" w:space="0" w:color="auto"/>
                    <w:left w:val="none" w:sz="0" w:space="0" w:color="auto"/>
                    <w:bottom w:val="none" w:sz="0" w:space="0" w:color="auto"/>
                    <w:right w:val="none" w:sz="0" w:space="0" w:color="auto"/>
                  </w:divBdr>
                  <w:divsChild>
                    <w:div w:id="1376851339">
                      <w:marLeft w:val="0"/>
                      <w:marRight w:val="0"/>
                      <w:marTop w:val="0"/>
                      <w:marBottom w:val="0"/>
                      <w:divBdr>
                        <w:top w:val="none" w:sz="0" w:space="0" w:color="auto"/>
                        <w:left w:val="none" w:sz="0" w:space="0" w:color="auto"/>
                        <w:bottom w:val="none" w:sz="0" w:space="0" w:color="auto"/>
                        <w:right w:val="none" w:sz="0" w:space="0" w:color="auto"/>
                      </w:divBdr>
                      <w:divsChild>
                        <w:div w:id="1722745668">
                          <w:marLeft w:val="0"/>
                          <w:marRight w:val="0"/>
                          <w:marTop w:val="0"/>
                          <w:marBottom w:val="0"/>
                          <w:divBdr>
                            <w:top w:val="none" w:sz="0" w:space="0" w:color="auto"/>
                            <w:left w:val="none" w:sz="0" w:space="0" w:color="auto"/>
                            <w:bottom w:val="none" w:sz="0" w:space="0" w:color="auto"/>
                            <w:right w:val="none" w:sz="0" w:space="0" w:color="auto"/>
                          </w:divBdr>
                          <w:divsChild>
                            <w:div w:id="143859320">
                              <w:marLeft w:val="0"/>
                              <w:marRight w:val="0"/>
                              <w:marTop w:val="0"/>
                              <w:marBottom w:val="0"/>
                              <w:divBdr>
                                <w:top w:val="none" w:sz="0" w:space="0" w:color="auto"/>
                                <w:left w:val="none" w:sz="0" w:space="0" w:color="auto"/>
                                <w:bottom w:val="none" w:sz="0" w:space="0" w:color="auto"/>
                                <w:right w:val="none" w:sz="0" w:space="0" w:color="auto"/>
                              </w:divBdr>
                              <w:divsChild>
                                <w:div w:id="130825474">
                                  <w:marLeft w:val="0"/>
                                  <w:marRight w:val="0"/>
                                  <w:marTop w:val="0"/>
                                  <w:marBottom w:val="0"/>
                                  <w:divBdr>
                                    <w:top w:val="none" w:sz="0" w:space="0" w:color="auto"/>
                                    <w:left w:val="none" w:sz="0" w:space="0" w:color="auto"/>
                                    <w:bottom w:val="none" w:sz="0" w:space="0" w:color="auto"/>
                                    <w:right w:val="none" w:sz="0" w:space="0" w:color="auto"/>
                                  </w:divBdr>
                                  <w:divsChild>
                                    <w:div w:id="1673602808">
                                      <w:marLeft w:val="0"/>
                                      <w:marRight w:val="0"/>
                                      <w:marTop w:val="0"/>
                                      <w:marBottom w:val="0"/>
                                      <w:divBdr>
                                        <w:top w:val="none" w:sz="0" w:space="0" w:color="auto"/>
                                        <w:left w:val="none" w:sz="0" w:space="0" w:color="auto"/>
                                        <w:bottom w:val="none" w:sz="0" w:space="0" w:color="auto"/>
                                        <w:right w:val="none" w:sz="0" w:space="0" w:color="auto"/>
                                      </w:divBdr>
                                      <w:divsChild>
                                        <w:div w:id="1021662507">
                                          <w:marLeft w:val="0"/>
                                          <w:marRight w:val="0"/>
                                          <w:marTop w:val="0"/>
                                          <w:marBottom w:val="0"/>
                                          <w:divBdr>
                                            <w:top w:val="none" w:sz="0" w:space="0" w:color="auto"/>
                                            <w:left w:val="none" w:sz="0" w:space="0" w:color="auto"/>
                                            <w:bottom w:val="none" w:sz="0" w:space="0" w:color="auto"/>
                                            <w:right w:val="none" w:sz="0" w:space="0" w:color="auto"/>
                                          </w:divBdr>
                                          <w:divsChild>
                                            <w:div w:id="194078252">
                                              <w:marLeft w:val="0"/>
                                              <w:marRight w:val="0"/>
                                              <w:marTop w:val="0"/>
                                              <w:marBottom w:val="0"/>
                                              <w:divBdr>
                                                <w:top w:val="none" w:sz="0" w:space="0" w:color="auto"/>
                                                <w:left w:val="none" w:sz="0" w:space="0" w:color="auto"/>
                                                <w:bottom w:val="none" w:sz="0" w:space="0" w:color="auto"/>
                                                <w:right w:val="none" w:sz="0" w:space="0" w:color="auto"/>
                                              </w:divBdr>
                                              <w:divsChild>
                                                <w:div w:id="648244502">
                                                  <w:marLeft w:val="0"/>
                                                  <w:marRight w:val="0"/>
                                                  <w:marTop w:val="0"/>
                                                  <w:marBottom w:val="0"/>
                                                  <w:divBdr>
                                                    <w:top w:val="none" w:sz="0" w:space="0" w:color="auto"/>
                                                    <w:left w:val="none" w:sz="0" w:space="0" w:color="auto"/>
                                                    <w:bottom w:val="none" w:sz="0" w:space="0" w:color="auto"/>
                                                    <w:right w:val="none" w:sz="0" w:space="0" w:color="auto"/>
                                                  </w:divBdr>
                                                  <w:divsChild>
                                                    <w:div w:id="1732196030">
                                                      <w:marLeft w:val="0"/>
                                                      <w:marRight w:val="0"/>
                                                      <w:marTop w:val="0"/>
                                                      <w:marBottom w:val="0"/>
                                                      <w:divBdr>
                                                        <w:top w:val="none" w:sz="0" w:space="0" w:color="auto"/>
                                                        <w:left w:val="none" w:sz="0" w:space="0" w:color="auto"/>
                                                        <w:bottom w:val="none" w:sz="0" w:space="0" w:color="auto"/>
                                                        <w:right w:val="none" w:sz="0" w:space="0" w:color="auto"/>
                                                      </w:divBdr>
                                                      <w:divsChild>
                                                        <w:div w:id="15862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3925</Words>
  <Characters>21580</Characters>
  <Application>Microsoft Office Word</Application>
  <DocSecurity>4</DocSecurity>
  <Lines>412</Lines>
  <Paragraphs>102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Ronan</dc:creator>
  <cp:lastModifiedBy>MCNAMARA, Silvia</cp:lastModifiedBy>
  <cp:revision>2</cp:revision>
  <cp:lastPrinted>2017-02-23T03:37:00Z</cp:lastPrinted>
  <dcterms:created xsi:type="dcterms:W3CDTF">2017-03-09T03:32:00Z</dcterms:created>
  <dcterms:modified xsi:type="dcterms:W3CDTF">2017-03-09T03:32:00Z</dcterms:modified>
</cp:coreProperties>
</file>