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28" w:rsidRPr="00CE5798" w:rsidRDefault="00BF4128" w:rsidP="00BF4128">
      <w:pPr>
        <w:spacing w:after="120"/>
        <w:jc w:val="center"/>
        <w:rPr>
          <w:b/>
        </w:rPr>
      </w:pPr>
      <w:bookmarkStart w:id="0" w:name="_GoBack"/>
      <w:bookmarkEnd w:id="0"/>
      <w:r w:rsidRPr="00CE5798">
        <w:rPr>
          <w:b/>
        </w:rPr>
        <w:t>EXPLANATORY STATEMENT</w:t>
      </w:r>
    </w:p>
    <w:p w:rsidR="00BF4128" w:rsidRPr="001F0B6F" w:rsidRDefault="00BF4128" w:rsidP="00BF4128">
      <w:pPr>
        <w:spacing w:after="120"/>
        <w:jc w:val="center"/>
        <w:rPr>
          <w:b/>
          <w:i/>
        </w:rPr>
      </w:pPr>
      <w:r w:rsidRPr="001F0B6F">
        <w:rPr>
          <w:b/>
          <w:i/>
        </w:rPr>
        <w:t>NATIONAL HEALTH ACT 1953</w:t>
      </w:r>
    </w:p>
    <w:p w:rsidR="002B36C4" w:rsidRPr="00B97D51" w:rsidRDefault="00CE5798" w:rsidP="002B36C4">
      <w:pPr>
        <w:jc w:val="center"/>
        <w:rPr>
          <w:b/>
          <w:i/>
        </w:rPr>
      </w:pPr>
      <w:r w:rsidRPr="00B97D51">
        <w:rPr>
          <w:b/>
          <w:i/>
        </w:rPr>
        <w:t xml:space="preserve">National Health </w:t>
      </w:r>
      <w:r w:rsidR="00F05D59" w:rsidRPr="00B97D51">
        <w:rPr>
          <w:b/>
          <w:i/>
        </w:rPr>
        <w:t xml:space="preserve">(Claims and under co-payment data) </w:t>
      </w:r>
      <w:r w:rsidR="009D2E8A">
        <w:rPr>
          <w:b/>
          <w:i/>
        </w:rPr>
        <w:t xml:space="preserve">Amendment </w:t>
      </w:r>
      <w:r w:rsidR="001B7DF4" w:rsidRPr="00B97D51">
        <w:rPr>
          <w:b/>
          <w:i/>
        </w:rPr>
        <w:t>(Extension of exceptional circumstance</w:t>
      </w:r>
      <w:r w:rsidR="00E3360F">
        <w:rPr>
          <w:b/>
          <w:i/>
        </w:rPr>
        <w:t>s</w:t>
      </w:r>
      <w:r w:rsidR="001B7DF4" w:rsidRPr="00B97D51">
        <w:rPr>
          <w:b/>
          <w:i/>
        </w:rPr>
        <w:t xml:space="preserve"> dates) Rule 2017</w:t>
      </w:r>
    </w:p>
    <w:p w:rsidR="00BF4128" w:rsidRPr="00B97D51" w:rsidRDefault="00BF4128" w:rsidP="00BF4128">
      <w:pPr>
        <w:spacing w:after="120"/>
        <w:jc w:val="center"/>
        <w:rPr>
          <w:b/>
          <w:i/>
        </w:rPr>
      </w:pPr>
    </w:p>
    <w:p w:rsidR="00BF4128" w:rsidRPr="001F0B6F" w:rsidRDefault="0000524E" w:rsidP="00D23EEA">
      <w:pPr>
        <w:jc w:val="center"/>
        <w:rPr>
          <w:b/>
        </w:rPr>
      </w:pPr>
      <w:r w:rsidRPr="00B97D51">
        <w:rPr>
          <w:b/>
        </w:rPr>
        <w:t xml:space="preserve">PB </w:t>
      </w:r>
      <w:r w:rsidR="00F05D59" w:rsidRPr="00B97D51">
        <w:rPr>
          <w:b/>
        </w:rPr>
        <w:t>24</w:t>
      </w:r>
      <w:r w:rsidR="003C781F" w:rsidRPr="00B97D51">
        <w:rPr>
          <w:b/>
        </w:rPr>
        <w:t xml:space="preserve"> of 201</w:t>
      </w:r>
      <w:r w:rsidR="00CE736A" w:rsidRPr="00B97D51">
        <w:rPr>
          <w:b/>
        </w:rPr>
        <w:t>7</w:t>
      </w:r>
    </w:p>
    <w:p w:rsidR="00C50711" w:rsidRPr="001F0B6F" w:rsidRDefault="00C50711" w:rsidP="00D23EEA">
      <w:pPr>
        <w:rPr>
          <w:b/>
        </w:rPr>
      </w:pPr>
    </w:p>
    <w:p w:rsidR="00BF4128" w:rsidRPr="001F0B6F" w:rsidRDefault="00BF4128" w:rsidP="00414323">
      <w:pPr>
        <w:spacing w:after="120"/>
        <w:rPr>
          <w:b/>
        </w:rPr>
      </w:pPr>
      <w:r w:rsidRPr="001F0B6F">
        <w:rPr>
          <w:b/>
        </w:rPr>
        <w:t>Authority</w:t>
      </w:r>
    </w:p>
    <w:p w:rsidR="005E6BB4" w:rsidRPr="001F0B6F" w:rsidRDefault="002E5C9C" w:rsidP="00D23EEA">
      <w:r>
        <w:t xml:space="preserve">This </w:t>
      </w:r>
      <w:r w:rsidR="009D2E8A">
        <w:t xml:space="preserve">Instrument </w:t>
      </w:r>
      <w:r>
        <w:t>is made under subsection</w:t>
      </w:r>
      <w:r w:rsidR="003C72A6">
        <w:t>s</w:t>
      </w:r>
      <w:r>
        <w:t xml:space="preserve"> 98AC(4) and 99AAA(8) of the </w:t>
      </w:r>
      <w:r>
        <w:rPr>
          <w:i/>
        </w:rPr>
        <w:t xml:space="preserve">National Health Act 1953 </w:t>
      </w:r>
      <w:r>
        <w:t>(the Act).</w:t>
      </w:r>
      <w:r w:rsidR="005E6BB4" w:rsidRPr="001F0B6F">
        <w:t xml:space="preserve">  </w:t>
      </w:r>
    </w:p>
    <w:p w:rsidR="005E6BB4" w:rsidRPr="001F0B6F" w:rsidRDefault="005E6BB4" w:rsidP="00D23EEA"/>
    <w:p w:rsidR="00BF4128" w:rsidRPr="00B97D51" w:rsidRDefault="00BF4128" w:rsidP="00414323">
      <w:pPr>
        <w:spacing w:after="120"/>
        <w:rPr>
          <w:b/>
        </w:rPr>
      </w:pPr>
      <w:r w:rsidRPr="00B97D51">
        <w:rPr>
          <w:b/>
        </w:rPr>
        <w:t>Purpose</w:t>
      </w:r>
    </w:p>
    <w:p w:rsidR="006E6C79" w:rsidRPr="00B97D51" w:rsidRDefault="00D4172E" w:rsidP="00D23EEA">
      <w:pPr>
        <w:rPr>
          <w:i/>
        </w:rPr>
      </w:pPr>
      <w:r w:rsidRPr="00B97D51">
        <w:t xml:space="preserve">The purpose of this </w:t>
      </w:r>
      <w:r w:rsidR="009D2E8A">
        <w:t>Instrument</w:t>
      </w:r>
      <w:r w:rsidR="009D2E8A" w:rsidRPr="00B97D51">
        <w:t xml:space="preserve"> </w:t>
      </w:r>
      <w:r w:rsidRPr="00B97D51">
        <w:t xml:space="preserve">is to amend the </w:t>
      </w:r>
      <w:r w:rsidRPr="00B97D51">
        <w:rPr>
          <w:i/>
        </w:rPr>
        <w:t>National Health (Claims and under co</w:t>
      </w:r>
      <w:r w:rsidRPr="00B97D51">
        <w:rPr>
          <w:i/>
        </w:rPr>
        <w:noBreakHyphen/>
        <w:t xml:space="preserve">payment data) Rules 2012 </w:t>
      </w:r>
      <w:r w:rsidRPr="00B97D51">
        <w:t>(PB 19 of 2012) (the Principal Rules)</w:t>
      </w:r>
      <w:r w:rsidR="009D2E8A">
        <w:t xml:space="preserve"> </w:t>
      </w:r>
      <w:r w:rsidR="00E31A50">
        <w:t xml:space="preserve">to extend the cut-off date from 1 April 2017 to 1 February 2018 </w:t>
      </w:r>
      <w:r w:rsidR="00602D09">
        <w:t xml:space="preserve">allowing </w:t>
      </w:r>
      <w:r w:rsidR="00E31A50">
        <w:t xml:space="preserve">approved suppliers to </w:t>
      </w:r>
      <w:r w:rsidR="00602D09">
        <w:t xml:space="preserve">continue to </w:t>
      </w:r>
      <w:r w:rsidR="00E31A50">
        <w:t xml:space="preserve">comply with the old Principal Rules and not the current </w:t>
      </w:r>
      <w:r w:rsidR="00602D09">
        <w:t>Principal R</w:t>
      </w:r>
      <w:r w:rsidR="00E31A50">
        <w:t xml:space="preserve">ules for certain </w:t>
      </w:r>
      <w:r w:rsidR="00602D09">
        <w:t>information</w:t>
      </w:r>
      <w:r w:rsidR="00E31A50">
        <w:t>, provided that the Chief Executive Medicare is satisfied that exceptional circumstances exist in relation to that approved supplier.</w:t>
      </w:r>
    </w:p>
    <w:p w:rsidR="00E31A50" w:rsidRDefault="00E31A50" w:rsidP="00FA1561">
      <w:pPr>
        <w:rPr>
          <w:b/>
          <w:color w:val="000000"/>
        </w:rPr>
      </w:pPr>
    </w:p>
    <w:p w:rsidR="00FA1561" w:rsidRPr="00FA1561" w:rsidRDefault="00FA1561" w:rsidP="00FA1561">
      <w:pPr>
        <w:rPr>
          <w:color w:val="000000"/>
        </w:rPr>
      </w:pPr>
      <w:r w:rsidRPr="00FA1561">
        <w:rPr>
          <w:color w:val="000000"/>
        </w:rPr>
        <w:t xml:space="preserve">The </w:t>
      </w:r>
      <w:r w:rsidRPr="00FA1561">
        <w:t>Principal</w:t>
      </w:r>
      <w:r w:rsidRPr="00FA1561">
        <w:rPr>
          <w:color w:val="000000"/>
        </w:rPr>
        <w:t xml:space="preserve"> Rules </w:t>
      </w:r>
      <w:r w:rsidR="00602D09">
        <w:rPr>
          <w:color w:val="000000"/>
        </w:rPr>
        <w:t xml:space="preserve">specify the information and procedures </w:t>
      </w:r>
      <w:r w:rsidR="00B25674">
        <w:rPr>
          <w:color w:val="000000"/>
        </w:rPr>
        <w:t>for</w:t>
      </w:r>
      <w:r w:rsidRPr="00FA1561">
        <w:rPr>
          <w:color w:val="000000"/>
        </w:rPr>
        <w:t xml:space="preserve"> claims for payment for pharmaceutical benefits or providing information on under co</w:t>
      </w:r>
      <w:r w:rsidRPr="00FA1561">
        <w:rPr>
          <w:color w:val="000000"/>
        </w:rPr>
        <w:noBreakHyphen/>
        <w:t>payment prescriptions to the Commonwealth.</w:t>
      </w:r>
    </w:p>
    <w:p w:rsidR="00FA1561" w:rsidRPr="00FA1561" w:rsidRDefault="00FA1561" w:rsidP="00FA1561">
      <w:pPr>
        <w:rPr>
          <w:color w:val="000000"/>
          <w:highlight w:val="yellow"/>
        </w:rPr>
      </w:pPr>
    </w:p>
    <w:p w:rsidR="00C71106" w:rsidRDefault="006E6C79" w:rsidP="00D23EEA">
      <w:r w:rsidRPr="00B97D51">
        <w:t xml:space="preserve">The </w:t>
      </w:r>
      <w:r w:rsidR="00234154">
        <w:t>Principal R</w:t>
      </w:r>
      <w:r w:rsidRPr="00B97D51">
        <w:t xml:space="preserve">ules </w:t>
      </w:r>
      <w:r w:rsidR="00234154">
        <w:t>include</w:t>
      </w:r>
      <w:r w:rsidR="00FA1561">
        <w:t xml:space="preserve"> a transitional period</w:t>
      </w:r>
      <w:r w:rsidR="00C71106">
        <w:t xml:space="preserve"> within which approved suppliers can </w:t>
      </w:r>
      <w:r w:rsidR="000A21C5">
        <w:t xml:space="preserve">choose to continue to </w:t>
      </w:r>
      <w:r w:rsidR="00C71106">
        <w:t xml:space="preserve">submit information </w:t>
      </w:r>
      <w:r w:rsidR="00C12D50">
        <w:t xml:space="preserve">and follow procedures </w:t>
      </w:r>
      <w:r w:rsidR="00C71106">
        <w:t xml:space="preserve">for </w:t>
      </w:r>
      <w:r w:rsidR="00C12D50">
        <w:t>Pharmaceutical Benefit</w:t>
      </w:r>
      <w:r w:rsidR="00487428">
        <w:t>s</w:t>
      </w:r>
      <w:r w:rsidR="00C12D50">
        <w:t xml:space="preserve"> Scheme</w:t>
      </w:r>
      <w:r w:rsidR="00D62C65">
        <w:t xml:space="preserve">/Repatriation Pharmaceutical </w:t>
      </w:r>
      <w:r w:rsidR="000A21C5">
        <w:t xml:space="preserve">Benefits </w:t>
      </w:r>
      <w:r w:rsidR="00D62C65">
        <w:t>Scheme</w:t>
      </w:r>
      <w:r w:rsidR="00C12D50">
        <w:t xml:space="preserve"> (</w:t>
      </w:r>
      <w:r w:rsidR="00C71106">
        <w:t>PBS</w:t>
      </w:r>
      <w:r w:rsidR="00D62C65">
        <w:t>/RPBS</w:t>
      </w:r>
      <w:r w:rsidR="00C12D50">
        <w:t>)</w:t>
      </w:r>
      <w:r w:rsidR="00C71106">
        <w:t xml:space="preserve"> supplies in accordance with </w:t>
      </w:r>
      <w:r w:rsidR="000A21C5">
        <w:t>the old Principal Rules</w:t>
      </w:r>
      <w:r w:rsidR="00F273DF">
        <w:t xml:space="preserve"> regarding</w:t>
      </w:r>
      <w:r w:rsidR="00C71106">
        <w:t>:</w:t>
      </w:r>
    </w:p>
    <w:p w:rsidR="00C71106" w:rsidRDefault="00C71106" w:rsidP="00C71106">
      <w:pPr>
        <w:pStyle w:val="ListParagraph"/>
        <w:numPr>
          <w:ilvl w:val="0"/>
          <w:numId w:val="35"/>
        </w:numPr>
      </w:pPr>
      <w:r>
        <w:t xml:space="preserve">removal of </w:t>
      </w:r>
      <w:r w:rsidR="009D2E8A">
        <w:t xml:space="preserve">the </w:t>
      </w:r>
      <w:r>
        <w:t xml:space="preserve">requirement to send prescriptions </w:t>
      </w:r>
      <w:r w:rsidR="00F273DF">
        <w:t xml:space="preserve">to the Commonwealth, </w:t>
      </w:r>
      <w:r>
        <w:t>and the introduction of electronic certification</w:t>
      </w:r>
      <w:r w:rsidR="00F273DF">
        <w:t xml:space="preserve"> instead</w:t>
      </w:r>
      <w:r>
        <w:t>; and</w:t>
      </w:r>
    </w:p>
    <w:p w:rsidR="00C71106" w:rsidRDefault="00C71106" w:rsidP="00C71106">
      <w:pPr>
        <w:pStyle w:val="ListParagraph"/>
        <w:numPr>
          <w:ilvl w:val="0"/>
          <w:numId w:val="35"/>
        </w:numPr>
      </w:pPr>
      <w:proofErr w:type="gramStart"/>
      <w:r>
        <w:t>provision</w:t>
      </w:r>
      <w:proofErr w:type="gramEnd"/>
      <w:r>
        <w:t xml:space="preserve"> of information relating to </w:t>
      </w:r>
      <w:r w:rsidR="00F273DF">
        <w:t>‘actual patient contribution’ and ‘contribution discount’.</w:t>
      </w:r>
    </w:p>
    <w:p w:rsidR="00F273DF" w:rsidRDefault="00F273DF" w:rsidP="00F273DF"/>
    <w:p w:rsidR="005E706E" w:rsidRPr="001362AA" w:rsidRDefault="005E706E" w:rsidP="00414323">
      <w:pPr>
        <w:keepNext/>
        <w:spacing w:after="120"/>
      </w:pPr>
      <w:r w:rsidRPr="00B97D51">
        <w:rPr>
          <w:b/>
        </w:rPr>
        <w:t>Consultation</w:t>
      </w:r>
    </w:p>
    <w:p w:rsidR="006B4F63" w:rsidRDefault="006B4F63" w:rsidP="009D2E8A">
      <w:r>
        <w:t xml:space="preserve">A number of </w:t>
      </w:r>
      <w:r w:rsidR="00487428">
        <w:t>S</w:t>
      </w:r>
      <w:r>
        <w:t xml:space="preserve">tate and </w:t>
      </w:r>
      <w:r w:rsidR="00487428">
        <w:t>T</w:t>
      </w:r>
      <w:r>
        <w:t xml:space="preserve">erritory Departments of Health have </w:t>
      </w:r>
      <w:proofErr w:type="gramStart"/>
      <w:r>
        <w:t>raised</w:t>
      </w:r>
      <w:proofErr w:type="gramEnd"/>
      <w:r>
        <w:t xml:space="preserve"> with the Department of Health that they will be unable to meet the 1 April 2017 </w:t>
      </w:r>
      <w:r w:rsidR="00034C93">
        <w:t>deadline</w:t>
      </w:r>
      <w:r w:rsidR="00C71106">
        <w:t xml:space="preserve"> to comply with the requirements of the </w:t>
      </w:r>
      <w:r w:rsidR="00034C93">
        <w:t>current Principal Rules</w:t>
      </w:r>
      <w:r>
        <w:t xml:space="preserve"> due to difficulties with implementation of pharmacy software updates necessary to support the changes.</w:t>
      </w:r>
      <w:r w:rsidR="00034C93">
        <w:t xml:space="preserve"> </w:t>
      </w:r>
    </w:p>
    <w:p w:rsidR="006B4F63" w:rsidRDefault="006B4F63" w:rsidP="009D2E8A"/>
    <w:p w:rsidR="007B0998" w:rsidRDefault="006B4F63" w:rsidP="006E2511">
      <w:r>
        <w:t xml:space="preserve">After consultation with the Department of Human Services, the Department of Health </w:t>
      </w:r>
      <w:r w:rsidR="00034C93">
        <w:t>considers it appropriate to</w:t>
      </w:r>
      <w:r>
        <w:t xml:space="preserve"> extend the transitional arrangements until 1 February 2018</w:t>
      </w:r>
      <w:r w:rsidR="006E3051">
        <w:t xml:space="preserve">.  This will ensure </w:t>
      </w:r>
      <w:r>
        <w:t>sufficient time for necessary software implementation</w:t>
      </w:r>
      <w:r w:rsidR="006E3051">
        <w:t xml:space="preserve"> and will prevent any adverse access to medicines issues that may result for patients should the extension not be granted.</w:t>
      </w:r>
      <w:r w:rsidR="007B0998">
        <w:t xml:space="preserve"> </w:t>
      </w:r>
    </w:p>
    <w:p w:rsidR="007B0998" w:rsidRDefault="007B0998" w:rsidP="00D23EEA"/>
    <w:p w:rsidR="00BF4128" w:rsidRPr="001F0B6F" w:rsidRDefault="00BF4128" w:rsidP="00D23EEA">
      <w:r w:rsidRPr="001F0B6F">
        <w:t>Th</w:t>
      </w:r>
      <w:r w:rsidR="0000524E" w:rsidRPr="001F0B6F">
        <w:t xml:space="preserve">is </w:t>
      </w:r>
      <w:r w:rsidR="00CA4FCB">
        <w:t>I</w:t>
      </w:r>
      <w:r w:rsidR="00B742B6" w:rsidRPr="001F0B6F">
        <w:t>nst</w:t>
      </w:r>
      <w:r w:rsidR="007B0998">
        <w:t xml:space="preserve">rument commences </w:t>
      </w:r>
      <w:r w:rsidR="009D2E8A">
        <w:t xml:space="preserve">on </w:t>
      </w:r>
      <w:r w:rsidR="0042561B">
        <w:t>the day after registration</w:t>
      </w:r>
      <w:r w:rsidRPr="001F0B6F">
        <w:t xml:space="preserve">. </w:t>
      </w:r>
    </w:p>
    <w:p w:rsidR="00D76BE4" w:rsidRPr="001F0B6F" w:rsidRDefault="00D76BE4" w:rsidP="00D23EEA"/>
    <w:p w:rsidR="00E44780" w:rsidRDefault="00BF4128" w:rsidP="00D23EEA">
      <w:r w:rsidRPr="001F0B6F">
        <w:t xml:space="preserve">This </w:t>
      </w:r>
      <w:r w:rsidR="00CA4FCB">
        <w:t>I</w:t>
      </w:r>
      <w:r w:rsidRPr="001F0B6F">
        <w:t xml:space="preserve">nstrument is a legislative instrument for the purposes of the </w:t>
      </w:r>
      <w:r w:rsidRPr="00E44780">
        <w:rPr>
          <w:i/>
        </w:rPr>
        <w:t>Legislat</w:t>
      </w:r>
      <w:r w:rsidR="00933A34" w:rsidRPr="00E44780">
        <w:rPr>
          <w:i/>
        </w:rPr>
        <w:t>ion Act 2003</w:t>
      </w:r>
      <w:r w:rsidR="00933A34" w:rsidRPr="00487A02">
        <w:t>.</w:t>
      </w:r>
      <w:r w:rsidR="00E44780">
        <w:br w:type="page"/>
      </w:r>
    </w:p>
    <w:p w:rsidR="00613A31" w:rsidRPr="001F0B6F" w:rsidRDefault="00613A31" w:rsidP="00613A31">
      <w:pPr>
        <w:spacing w:after="120"/>
        <w:jc w:val="right"/>
        <w:rPr>
          <w:b/>
        </w:rPr>
      </w:pPr>
      <w:r w:rsidRPr="001F0B6F">
        <w:rPr>
          <w:b/>
        </w:rPr>
        <w:lastRenderedPageBreak/>
        <w:t>ATTACHMENT</w:t>
      </w:r>
      <w:r w:rsidR="00B62DC6">
        <w:rPr>
          <w:b/>
        </w:rPr>
        <w:t xml:space="preserve"> </w:t>
      </w:r>
    </w:p>
    <w:p w:rsidR="0084549B" w:rsidRDefault="0084549B" w:rsidP="00613A31">
      <w:pPr>
        <w:spacing w:after="120"/>
        <w:rPr>
          <w:b/>
          <w:i/>
        </w:rPr>
      </w:pPr>
    </w:p>
    <w:p w:rsidR="00613A31" w:rsidRPr="001F0B6F" w:rsidRDefault="009D2E8A" w:rsidP="00613A31">
      <w:pPr>
        <w:spacing w:after="120"/>
        <w:rPr>
          <w:b/>
          <w:i/>
        </w:rPr>
      </w:pPr>
      <w:r>
        <w:rPr>
          <w:b/>
        </w:rPr>
        <w:t>DETAILS</w:t>
      </w:r>
      <w:r w:rsidR="00613A31" w:rsidRPr="00487428">
        <w:rPr>
          <w:b/>
        </w:rPr>
        <w:t xml:space="preserve"> OF THE</w:t>
      </w:r>
      <w:r w:rsidR="00613A31" w:rsidRPr="00B97D51">
        <w:rPr>
          <w:b/>
          <w:i/>
        </w:rPr>
        <w:t xml:space="preserve"> NATIONAL HEALTH </w:t>
      </w:r>
      <w:r>
        <w:rPr>
          <w:b/>
          <w:i/>
        </w:rPr>
        <w:t xml:space="preserve">(CLAIMS AND UNDER CO-PAYMENT DATA) AMENDMENT </w:t>
      </w:r>
      <w:r w:rsidR="00B97D51" w:rsidRPr="00B97D51">
        <w:rPr>
          <w:b/>
          <w:i/>
        </w:rPr>
        <w:t>(EXTENSION OF EXCEPTIONAL CIRCUMSTANCE</w:t>
      </w:r>
      <w:r w:rsidR="00060D00">
        <w:rPr>
          <w:b/>
          <w:i/>
        </w:rPr>
        <w:t>S</w:t>
      </w:r>
      <w:r w:rsidR="00B97D51" w:rsidRPr="00B97D51">
        <w:rPr>
          <w:b/>
          <w:i/>
        </w:rPr>
        <w:t xml:space="preserve"> DATES)</w:t>
      </w:r>
      <w:r w:rsidR="00613A31" w:rsidRPr="00B97D51">
        <w:rPr>
          <w:b/>
          <w:i/>
        </w:rPr>
        <w:t xml:space="preserve"> </w:t>
      </w:r>
      <w:r>
        <w:rPr>
          <w:b/>
          <w:i/>
        </w:rPr>
        <w:t>RULE</w:t>
      </w:r>
      <w:r w:rsidR="001765B4" w:rsidRPr="00B97D51">
        <w:rPr>
          <w:b/>
          <w:i/>
        </w:rPr>
        <w:t xml:space="preserve"> 20</w:t>
      </w:r>
      <w:r w:rsidR="00A84A9D" w:rsidRPr="00B97D51">
        <w:rPr>
          <w:b/>
          <w:i/>
        </w:rPr>
        <w:t>17</w:t>
      </w:r>
    </w:p>
    <w:p w:rsidR="00613A31" w:rsidRPr="001F0B6F" w:rsidRDefault="002E5C9C" w:rsidP="00BF4569">
      <w:pPr>
        <w:spacing w:before="240" w:after="120"/>
        <w:rPr>
          <w:b/>
        </w:rPr>
      </w:pPr>
      <w:r>
        <w:rPr>
          <w:b/>
        </w:rPr>
        <w:t>Rule</w:t>
      </w:r>
      <w:r w:rsidR="0084549B">
        <w:rPr>
          <w:b/>
        </w:rPr>
        <w:t xml:space="preserve"> 1</w:t>
      </w:r>
      <w:r w:rsidR="0084549B">
        <w:rPr>
          <w:b/>
        </w:rPr>
        <w:tab/>
      </w:r>
      <w:r>
        <w:rPr>
          <w:b/>
        </w:rPr>
        <w:t xml:space="preserve">Name </w:t>
      </w:r>
    </w:p>
    <w:p w:rsidR="00613A31" w:rsidRPr="00B97D51" w:rsidRDefault="00613A31" w:rsidP="00613A31">
      <w:pPr>
        <w:spacing w:after="120"/>
      </w:pPr>
      <w:r w:rsidRPr="00B97D51">
        <w:t xml:space="preserve">This </w:t>
      </w:r>
      <w:r w:rsidR="002E5C9C" w:rsidRPr="00B97D51">
        <w:t xml:space="preserve">rule provides that the name of this </w:t>
      </w:r>
      <w:r w:rsidR="009D2E8A">
        <w:t>Instrument</w:t>
      </w:r>
      <w:r w:rsidR="009D2E8A" w:rsidRPr="00B97D51">
        <w:t xml:space="preserve"> </w:t>
      </w:r>
      <w:r w:rsidR="002E5C9C" w:rsidRPr="00B97D51">
        <w:t xml:space="preserve">is the </w:t>
      </w:r>
      <w:r w:rsidRPr="00B97D51">
        <w:rPr>
          <w:i/>
        </w:rPr>
        <w:t>National Health (</w:t>
      </w:r>
      <w:r w:rsidR="002E5C9C" w:rsidRPr="00B97D51">
        <w:rPr>
          <w:i/>
        </w:rPr>
        <w:t>Claims and under co-payment data) Amendment (</w:t>
      </w:r>
      <w:r w:rsidR="00B97D51" w:rsidRPr="00B97D51">
        <w:rPr>
          <w:i/>
        </w:rPr>
        <w:t>Extension of exceptional circumstances dates) Rule 2017</w:t>
      </w:r>
      <w:r w:rsidR="002E5C9C" w:rsidRPr="00B97D51">
        <w:rPr>
          <w:i/>
        </w:rPr>
        <w:t xml:space="preserve">.  </w:t>
      </w:r>
      <w:r w:rsidR="002E5C9C" w:rsidRPr="00B97D51">
        <w:t>It can also be cited as PB 24 of 2016.</w:t>
      </w:r>
    </w:p>
    <w:p w:rsidR="00613A31" w:rsidRPr="001F0B6F" w:rsidRDefault="002E5C9C" w:rsidP="00613A31">
      <w:pPr>
        <w:spacing w:after="120"/>
        <w:rPr>
          <w:b/>
        </w:rPr>
      </w:pPr>
      <w:r w:rsidRPr="00B97D51">
        <w:rPr>
          <w:b/>
        </w:rPr>
        <w:t>Rule</w:t>
      </w:r>
      <w:r w:rsidR="0084549B" w:rsidRPr="00B97D51">
        <w:rPr>
          <w:b/>
        </w:rPr>
        <w:t xml:space="preserve"> 2</w:t>
      </w:r>
      <w:r w:rsidR="0084549B" w:rsidRPr="00B97D51">
        <w:rPr>
          <w:b/>
        </w:rPr>
        <w:tab/>
      </w:r>
      <w:r w:rsidR="00613A31" w:rsidRPr="00B97D51">
        <w:rPr>
          <w:b/>
        </w:rPr>
        <w:t>Commencement</w:t>
      </w:r>
    </w:p>
    <w:p w:rsidR="00613A31" w:rsidRPr="001F0B6F" w:rsidRDefault="00613A31" w:rsidP="00613A31">
      <w:pPr>
        <w:spacing w:after="120"/>
      </w:pPr>
      <w:r w:rsidRPr="001F0B6F">
        <w:t xml:space="preserve">This section provides that this Instrument commences on </w:t>
      </w:r>
      <w:r w:rsidR="00C71106">
        <w:t>the day after the instrument is registered</w:t>
      </w:r>
      <w:r w:rsidR="009D2E8A">
        <w:t xml:space="preserve"> on the Federal Register of Legislation</w:t>
      </w:r>
      <w:r w:rsidRPr="001F0B6F">
        <w:t xml:space="preserve">. </w:t>
      </w:r>
    </w:p>
    <w:p w:rsidR="00613A31" w:rsidRPr="001F0B6F" w:rsidRDefault="002E5C9C" w:rsidP="00613A31">
      <w:pPr>
        <w:spacing w:after="120"/>
        <w:rPr>
          <w:b/>
        </w:rPr>
      </w:pPr>
      <w:r>
        <w:rPr>
          <w:b/>
        </w:rPr>
        <w:t>Rule</w:t>
      </w:r>
      <w:r w:rsidR="0084549B">
        <w:rPr>
          <w:b/>
        </w:rPr>
        <w:t xml:space="preserve"> 3</w:t>
      </w:r>
      <w:r w:rsidR="0084549B">
        <w:rPr>
          <w:b/>
        </w:rPr>
        <w:tab/>
      </w:r>
      <w:r>
        <w:rPr>
          <w:b/>
        </w:rPr>
        <w:t>Authority</w:t>
      </w:r>
    </w:p>
    <w:p w:rsidR="00CA79FD" w:rsidRDefault="00466D9B" w:rsidP="00CA79FD">
      <w:pPr>
        <w:spacing w:after="120"/>
      </w:pPr>
      <w:r>
        <w:t xml:space="preserve">This </w:t>
      </w:r>
      <w:r w:rsidR="005E7F82">
        <w:t xml:space="preserve">rule provides that this </w:t>
      </w:r>
      <w:r w:rsidR="009D2E8A">
        <w:t>I</w:t>
      </w:r>
      <w:r w:rsidR="005E7F82">
        <w:t xml:space="preserve">nstrument is made under subsections </w:t>
      </w:r>
      <w:proofErr w:type="gramStart"/>
      <w:r w:rsidR="005E7F82">
        <w:t>98AC(</w:t>
      </w:r>
      <w:proofErr w:type="gramEnd"/>
      <w:r w:rsidR="005E7F82">
        <w:t>4) and 99AAA(8) of the</w:t>
      </w:r>
      <w:r w:rsidR="00034C93">
        <w:t xml:space="preserve"> Act.</w:t>
      </w:r>
    </w:p>
    <w:p w:rsidR="005E7F82" w:rsidRPr="005E7F82" w:rsidRDefault="005E7F82" w:rsidP="00CA79FD">
      <w:pPr>
        <w:spacing w:after="120"/>
        <w:rPr>
          <w:b/>
        </w:rPr>
      </w:pPr>
      <w:r w:rsidRPr="005E7F82">
        <w:rPr>
          <w:b/>
        </w:rPr>
        <w:t>Rule 4 Schedules</w:t>
      </w:r>
    </w:p>
    <w:p w:rsidR="005E7F82" w:rsidRPr="005E7F82" w:rsidRDefault="005E7F82" w:rsidP="00CA79FD">
      <w:pPr>
        <w:spacing w:after="120"/>
      </w:pPr>
      <w:r>
        <w:t>This rule provides that each instrument that is specified in a Schedule to this instrument is amended or repealed as set out in the applicable items in the Schedule concerned, and any other item in a Schedule to this instrument has effect according to its terms.</w:t>
      </w:r>
    </w:p>
    <w:p w:rsidR="00743991" w:rsidRDefault="00743991" w:rsidP="00202182">
      <w:pPr>
        <w:spacing w:after="120"/>
        <w:rPr>
          <w:b/>
        </w:rPr>
      </w:pPr>
    </w:p>
    <w:p w:rsidR="003A695B" w:rsidRDefault="0084549B" w:rsidP="00202182">
      <w:pPr>
        <w:spacing w:after="120"/>
        <w:rPr>
          <w:b/>
        </w:rPr>
      </w:pPr>
      <w:r>
        <w:rPr>
          <w:b/>
        </w:rPr>
        <w:t>Schedule 1</w:t>
      </w:r>
      <w:r>
        <w:rPr>
          <w:b/>
        </w:rPr>
        <w:tab/>
      </w:r>
      <w:r w:rsidR="003A695B" w:rsidRPr="003A695B">
        <w:rPr>
          <w:b/>
        </w:rPr>
        <w:t>Amendments</w:t>
      </w:r>
    </w:p>
    <w:p w:rsidR="009D2E8A" w:rsidRPr="00487428" w:rsidRDefault="009D2E8A" w:rsidP="00274C79">
      <w:pPr>
        <w:spacing w:before="40"/>
        <w:rPr>
          <w:b/>
          <w:i/>
        </w:rPr>
      </w:pPr>
      <w:r>
        <w:rPr>
          <w:b/>
          <w:i/>
        </w:rPr>
        <w:t>National Health (Claims and under co-payment data) Rules 2012</w:t>
      </w:r>
    </w:p>
    <w:p w:rsidR="00A008A1" w:rsidRDefault="00A008A1" w:rsidP="00274C79">
      <w:pPr>
        <w:spacing w:before="40"/>
        <w:rPr>
          <w:b/>
        </w:rPr>
      </w:pPr>
    </w:p>
    <w:p w:rsidR="00274C79" w:rsidRPr="001521F4" w:rsidRDefault="00286AC2" w:rsidP="00274C79">
      <w:pPr>
        <w:spacing w:before="40"/>
        <w:rPr>
          <w:b/>
        </w:rPr>
      </w:pPr>
      <w:r w:rsidRPr="001521F4">
        <w:rPr>
          <w:b/>
        </w:rPr>
        <w:t>Item</w:t>
      </w:r>
      <w:r w:rsidR="00274C79" w:rsidRPr="001521F4">
        <w:rPr>
          <w:b/>
        </w:rPr>
        <w:t xml:space="preserve"> 1 </w:t>
      </w:r>
      <w:proofErr w:type="spellStart"/>
      <w:r w:rsidR="00A008A1">
        <w:rPr>
          <w:b/>
        </w:rPr>
        <w:t>Sub</w:t>
      </w:r>
      <w:r w:rsidR="00C9769D" w:rsidRPr="001521F4">
        <w:rPr>
          <w:b/>
        </w:rPr>
        <w:t>rule</w:t>
      </w:r>
      <w:proofErr w:type="spellEnd"/>
      <w:r w:rsidR="00C9769D" w:rsidRPr="001521F4">
        <w:rPr>
          <w:b/>
        </w:rPr>
        <w:t xml:space="preserve"> 12(3)</w:t>
      </w:r>
    </w:p>
    <w:p w:rsidR="00C9769D" w:rsidRDefault="00A008A1" w:rsidP="00274C79">
      <w:pPr>
        <w:spacing w:before="40"/>
      </w:pPr>
      <w:r>
        <w:t xml:space="preserve">Item 1 amends current </w:t>
      </w:r>
      <w:proofErr w:type="spellStart"/>
      <w:r>
        <w:t>sub</w:t>
      </w:r>
      <w:r w:rsidR="00C9769D">
        <w:t>rule</w:t>
      </w:r>
      <w:proofErr w:type="spellEnd"/>
      <w:r w:rsidR="00C9769D">
        <w:t xml:space="preserve"> 12(3) </w:t>
      </w:r>
      <w:r w:rsidR="009D2E8A">
        <w:t xml:space="preserve">of the Principal Rules </w:t>
      </w:r>
      <w:r w:rsidR="00C9769D">
        <w:t>to change the date from 1 April 2017 to 1 February 2018.</w:t>
      </w:r>
    </w:p>
    <w:p w:rsidR="00A008A1" w:rsidRDefault="00C9769D" w:rsidP="00B63D5D">
      <w:pPr>
        <w:spacing w:before="120"/>
      </w:pPr>
      <w:r>
        <w:t xml:space="preserve">Rule 12 is a transitional provision </w:t>
      </w:r>
      <w:r w:rsidR="00A008A1">
        <w:t>relating to</w:t>
      </w:r>
      <w:r w:rsidR="00B63D5D">
        <w:t xml:space="preserve"> the removal of the requirement for approved suppliers to send prescriptions </w:t>
      </w:r>
      <w:r w:rsidR="00A008A1">
        <w:t xml:space="preserve">to the Commonwealth </w:t>
      </w:r>
      <w:r w:rsidR="00B63D5D">
        <w:t>and the introduction of electronic certification</w:t>
      </w:r>
      <w:r w:rsidR="00A008A1">
        <w:t xml:space="preserve"> instead</w:t>
      </w:r>
      <w:r w:rsidR="00B63D5D">
        <w:t>.</w:t>
      </w:r>
      <w:r w:rsidR="00B63D5D" w:rsidRPr="00B63D5D">
        <w:t xml:space="preserve"> </w:t>
      </w:r>
    </w:p>
    <w:p w:rsidR="00A008A1" w:rsidRDefault="00A008A1" w:rsidP="00B63D5D">
      <w:pPr>
        <w:spacing w:before="120"/>
      </w:pPr>
      <w:proofErr w:type="spellStart"/>
      <w:r>
        <w:t>Subrule</w:t>
      </w:r>
      <w:proofErr w:type="spellEnd"/>
      <w:r>
        <w:t xml:space="preserve"> 12(2) of the transitional rule</w:t>
      </w:r>
      <w:r w:rsidR="009D2E8A">
        <w:t xml:space="preserve"> allows approved suppliers of a pharmaceutical benefit to </w:t>
      </w:r>
      <w:r>
        <w:t>continue to give</w:t>
      </w:r>
      <w:r w:rsidR="009D2E8A">
        <w:t xml:space="preserve"> information in accordance with the old </w:t>
      </w:r>
      <w:r>
        <w:t>Principal</w:t>
      </w:r>
      <w:r w:rsidR="009D2E8A">
        <w:t xml:space="preserve"> Rules if at least one of the supplies was made </w:t>
      </w:r>
      <w:r w:rsidR="00487428">
        <w:t xml:space="preserve">before </w:t>
      </w:r>
      <w:r w:rsidR="009D2E8A">
        <w:t xml:space="preserve">1 July 2015. </w:t>
      </w:r>
    </w:p>
    <w:p w:rsidR="00C9769D" w:rsidRDefault="00A008A1" w:rsidP="00B63D5D">
      <w:pPr>
        <w:spacing w:before="120"/>
      </w:pPr>
      <w:proofErr w:type="spellStart"/>
      <w:r>
        <w:t>Sub</w:t>
      </w:r>
      <w:r w:rsidR="00B63D5D">
        <w:t>rule</w:t>
      </w:r>
      <w:proofErr w:type="spellEnd"/>
      <w:r w:rsidR="00B63D5D">
        <w:t xml:space="preserve"> 12(3) currently permits the Chief Executive Medicare to </w:t>
      </w:r>
      <w:r w:rsidR="006E2511">
        <w:t xml:space="preserve">determine a </w:t>
      </w:r>
      <w:r>
        <w:t xml:space="preserve">date later than 1 July 2015 </w:t>
      </w:r>
      <w:r w:rsidR="00B63D5D">
        <w:t xml:space="preserve">for these transitional arrangements if the Chief Executive Medicare is satisfied </w:t>
      </w:r>
      <w:proofErr w:type="gramStart"/>
      <w:r w:rsidR="00B63D5D">
        <w:t>that exceptional circumstances</w:t>
      </w:r>
      <w:proofErr w:type="gramEnd"/>
      <w:r w:rsidR="00B63D5D">
        <w:t xml:space="preserve"> exist</w:t>
      </w:r>
      <w:r>
        <w:t xml:space="preserve"> in relation to the approved supplier</w:t>
      </w:r>
      <w:r w:rsidR="00B63D5D">
        <w:t xml:space="preserve">.  However, current </w:t>
      </w:r>
      <w:proofErr w:type="spellStart"/>
      <w:r w:rsidR="00B63D5D">
        <w:t>subrule</w:t>
      </w:r>
      <w:proofErr w:type="spellEnd"/>
      <w:r w:rsidR="00B63D5D">
        <w:t xml:space="preserve"> 12(3) only enables the </w:t>
      </w:r>
      <w:r w:rsidR="0042561B">
        <w:t xml:space="preserve">Chief </w:t>
      </w:r>
      <w:r w:rsidR="00B63D5D">
        <w:t>Executive Medicare to set a date that is before 1 April 2017.  These amendments have the effect that the Chief Executive Medicare may set a date after 1 April 2017 providing that the date is before 1 February 2018.</w:t>
      </w:r>
    </w:p>
    <w:p w:rsidR="00BF4569" w:rsidRDefault="00BF4569" w:rsidP="00E92BE3">
      <w:pPr>
        <w:spacing w:before="120"/>
        <w:rPr>
          <w:b/>
        </w:rPr>
      </w:pPr>
    </w:p>
    <w:p w:rsidR="00C9769D" w:rsidRDefault="00807249" w:rsidP="00E92BE3">
      <w:pPr>
        <w:spacing w:before="120"/>
      </w:pPr>
      <w:r w:rsidRPr="00807249">
        <w:rPr>
          <w:b/>
        </w:rPr>
        <w:lastRenderedPageBreak/>
        <w:t>Item 2</w:t>
      </w:r>
      <w:r w:rsidRPr="00E92BE3">
        <w:rPr>
          <w:b/>
        </w:rPr>
        <w:t xml:space="preserve"> </w:t>
      </w:r>
      <w:proofErr w:type="spellStart"/>
      <w:r w:rsidR="00A008A1">
        <w:rPr>
          <w:b/>
        </w:rPr>
        <w:t>Sub</w:t>
      </w:r>
      <w:r w:rsidR="005E7F82">
        <w:rPr>
          <w:b/>
        </w:rPr>
        <w:t>rule</w:t>
      </w:r>
      <w:proofErr w:type="spellEnd"/>
      <w:r w:rsidR="005E7F82">
        <w:rPr>
          <w:b/>
        </w:rPr>
        <w:t xml:space="preserve"> 13(2)</w:t>
      </w:r>
    </w:p>
    <w:p w:rsidR="00C9769D" w:rsidRDefault="00A008A1" w:rsidP="00E92BE3">
      <w:pPr>
        <w:spacing w:before="120"/>
      </w:pPr>
      <w:r>
        <w:t xml:space="preserve">Item 2 amends current </w:t>
      </w:r>
      <w:proofErr w:type="spellStart"/>
      <w:r>
        <w:t>sub</w:t>
      </w:r>
      <w:r w:rsidR="00C9769D">
        <w:t>rule</w:t>
      </w:r>
      <w:proofErr w:type="spellEnd"/>
      <w:r w:rsidR="00C9769D">
        <w:t xml:space="preserve"> 13(2) to change the date from 1 April 2017 to 1 February 2018.</w:t>
      </w:r>
    </w:p>
    <w:p w:rsidR="00040A7A" w:rsidRDefault="00C9769D" w:rsidP="00E92BE3">
      <w:pPr>
        <w:spacing w:before="120"/>
      </w:pPr>
      <w:r>
        <w:t xml:space="preserve">Rule 13 is a transitional provision </w:t>
      </w:r>
      <w:r w:rsidR="00040A7A">
        <w:t xml:space="preserve">relating to changes introduced by the </w:t>
      </w:r>
      <w:r w:rsidR="00040A7A" w:rsidRPr="00040A7A">
        <w:rPr>
          <w:i/>
        </w:rPr>
        <w:t>National Health (Claims and under co-payment data) Amendment (Discount co-payment and patient charges data) Rule 2015</w:t>
      </w:r>
      <w:r w:rsidR="00040A7A">
        <w:t xml:space="preserve">. This amendment introduced two new data fields called ‘Actual contribution’ and ‘Contribution discount’. </w:t>
      </w:r>
      <w:r w:rsidR="00E95F46">
        <w:t>The ‘Contribution discount’ field does not apply</w:t>
      </w:r>
      <w:r w:rsidR="00EB1D91">
        <w:t xml:space="preserve"> to approved hospital suppliers or when giving under co-payment data.</w:t>
      </w:r>
    </w:p>
    <w:p w:rsidR="0071099F" w:rsidRDefault="0071099F" w:rsidP="00E92BE3">
      <w:pPr>
        <w:spacing w:before="120"/>
      </w:pPr>
      <w:proofErr w:type="spellStart"/>
      <w:r>
        <w:t>Subrule</w:t>
      </w:r>
      <w:proofErr w:type="spellEnd"/>
      <w:r>
        <w:t xml:space="preserve"> 13(1) allows approved suppliers to continue to give information in accordance with the old Principal Rules if at least one of the supplies was made before 1</w:t>
      </w:r>
      <w:r w:rsidR="00487428">
        <w:t> </w:t>
      </w:r>
      <w:r>
        <w:t>March</w:t>
      </w:r>
      <w:r w:rsidR="00487428">
        <w:t> </w:t>
      </w:r>
      <w:r>
        <w:t>2016 by an approved pharmacist or approved medical practitioner, or before 1</w:t>
      </w:r>
      <w:r w:rsidR="00487428">
        <w:t> </w:t>
      </w:r>
      <w:r>
        <w:t>July</w:t>
      </w:r>
      <w:r w:rsidR="00487428">
        <w:t> </w:t>
      </w:r>
      <w:r>
        <w:t>2016 by an approved hospital authority.</w:t>
      </w:r>
    </w:p>
    <w:p w:rsidR="00C56B9A" w:rsidRDefault="0071099F" w:rsidP="00E92BE3">
      <w:pPr>
        <w:spacing w:before="120"/>
      </w:pPr>
      <w:proofErr w:type="spellStart"/>
      <w:r>
        <w:t>Subrule</w:t>
      </w:r>
      <w:proofErr w:type="spellEnd"/>
      <w:r>
        <w:t xml:space="preserve"> 13(2) currently permits </w:t>
      </w:r>
      <w:r w:rsidR="00C9769D">
        <w:t xml:space="preserve">the Chief Executive Medicare to </w:t>
      </w:r>
      <w:r w:rsidR="006E2511">
        <w:t xml:space="preserve">determine a </w:t>
      </w:r>
      <w:r w:rsidR="00C9769D">
        <w:t xml:space="preserve">date </w:t>
      </w:r>
      <w:r>
        <w:t xml:space="preserve">later than 1 March 2016 or 1 July 2016 (as applicable) </w:t>
      </w:r>
      <w:r w:rsidR="00C9769D">
        <w:t>if the Chief Executive Medicare is satisfied that exceptional circumstances exist</w:t>
      </w:r>
      <w:r>
        <w:t xml:space="preserve"> in relation to the approved supplier</w:t>
      </w:r>
      <w:r w:rsidR="00C9769D">
        <w:t xml:space="preserve">.  However, current </w:t>
      </w:r>
      <w:proofErr w:type="spellStart"/>
      <w:r w:rsidR="00C9769D">
        <w:t>subrule</w:t>
      </w:r>
      <w:proofErr w:type="spellEnd"/>
      <w:r w:rsidR="00C9769D">
        <w:t xml:space="preserve"> 13(2) only enables the </w:t>
      </w:r>
      <w:r w:rsidR="006E2511">
        <w:t>C</w:t>
      </w:r>
      <w:r w:rsidR="00C9769D">
        <w:t>hief Executive Medicare to set a date that is before 1 April 2017.  These amendments have the effect that the Chief Executive Medicare may set a date after 1 April 2017 providing that the date is before 1 February 2018.</w:t>
      </w:r>
      <w:r w:rsidR="00C56B9A">
        <w:br w:type="page"/>
      </w:r>
    </w:p>
    <w:p w:rsidR="00915D56" w:rsidRDefault="00CB3093" w:rsidP="00AB0841">
      <w:pPr>
        <w:pStyle w:val="ListParagraph"/>
        <w:numPr>
          <w:ilvl w:val="0"/>
          <w:numId w:val="27"/>
        </w:numPr>
        <w:spacing w:before="120" w:after="120"/>
        <w:ind w:left="714" w:hanging="357"/>
      </w:pPr>
      <w:r w:rsidRPr="001F0B6F">
        <w:rPr>
          <w:b/>
          <w:noProof/>
          <w:sz w:val="28"/>
          <w:szCs w:val="28"/>
          <w:lang w:eastAsia="en-AU"/>
        </w:rPr>
        <w:lastRenderedPageBreak/>
        <mc:AlternateContent>
          <mc:Choice Requires="wps">
            <w:drawing>
              <wp:anchor distT="0" distB="0" distL="114300" distR="114300" simplePos="0" relativeHeight="251658240" behindDoc="0" locked="0" layoutInCell="1" allowOverlap="1" wp14:anchorId="2694D019" wp14:editId="36000688">
                <wp:simplePos x="0" y="0"/>
                <wp:positionH relativeFrom="column">
                  <wp:posOffset>-383236</wp:posOffset>
                </wp:positionH>
                <wp:positionV relativeFrom="paragraph">
                  <wp:posOffset>-41910</wp:posOffset>
                </wp:positionV>
                <wp:extent cx="6118860" cy="9353550"/>
                <wp:effectExtent l="38100" t="38100" r="3429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353550"/>
                        </a:xfrm>
                        <a:prstGeom prst="rect">
                          <a:avLst/>
                        </a:prstGeom>
                        <a:solidFill>
                          <a:srgbClr val="FFFFFF"/>
                        </a:solidFill>
                        <a:ln w="76200" cmpd="tri">
                          <a:solidFill>
                            <a:srgbClr val="000000"/>
                          </a:solidFill>
                          <a:miter lim="800000"/>
                          <a:headEnd/>
                          <a:tailEnd/>
                        </a:ln>
                      </wps:spPr>
                      <wps:txbx>
                        <w:txbxContent>
                          <w:p w:rsidR="006F14CD" w:rsidRPr="00E57AE7" w:rsidRDefault="006F14CD" w:rsidP="0084549B">
                            <w:pPr>
                              <w:spacing w:before="120" w:after="120"/>
                              <w:jc w:val="center"/>
                              <w:rPr>
                                <w:b/>
                                <w:sz w:val="28"/>
                                <w:szCs w:val="28"/>
                              </w:rPr>
                            </w:pPr>
                            <w:r w:rsidRPr="00E57AE7">
                              <w:rPr>
                                <w:b/>
                                <w:sz w:val="28"/>
                                <w:szCs w:val="28"/>
                              </w:rPr>
                              <w:t>Statement of Compatibility with Human Rights</w:t>
                            </w:r>
                          </w:p>
                          <w:p w:rsidR="006F14CD" w:rsidRDefault="006F14CD" w:rsidP="00E57AE7">
                            <w:pPr>
                              <w:spacing w:after="120"/>
                              <w:jc w:val="center"/>
                              <w:rPr>
                                <w:i/>
                              </w:rPr>
                            </w:pPr>
                            <w:r w:rsidRPr="00E57AE7">
                              <w:rPr>
                                <w:i/>
                              </w:rPr>
                              <w:t>Prepared in accordance with Part 3 of the Human Rights (Parliamentary Scrutiny) Act 2011</w:t>
                            </w:r>
                          </w:p>
                          <w:p w:rsidR="0084549B" w:rsidRPr="0084549B" w:rsidRDefault="0084549B" w:rsidP="00E57AE7">
                            <w:pPr>
                              <w:spacing w:after="120"/>
                              <w:jc w:val="center"/>
                              <w:rPr>
                                <w:i/>
                              </w:rPr>
                            </w:pPr>
                          </w:p>
                          <w:p w:rsidR="006F14CD" w:rsidRPr="005A14F9" w:rsidRDefault="006F14CD" w:rsidP="00E57AE7">
                            <w:pPr>
                              <w:spacing w:before="120" w:after="120"/>
                              <w:jc w:val="center"/>
                              <w:rPr>
                                <w:b/>
                              </w:rPr>
                            </w:pPr>
                            <w:r w:rsidRPr="00E57AE7">
                              <w:rPr>
                                <w:b/>
                                <w:i/>
                              </w:rPr>
                              <w:t>National Health (</w:t>
                            </w:r>
                            <w:r w:rsidR="00B97D51">
                              <w:rPr>
                                <w:b/>
                                <w:i/>
                              </w:rPr>
                              <w:t>Claims and under co-payment data) Amendment (Extension of exceptional circumstances dates) Rule</w:t>
                            </w:r>
                            <w:r w:rsidR="0012756C">
                              <w:rPr>
                                <w:b/>
                                <w:i/>
                              </w:rPr>
                              <w:t xml:space="preserve"> 2017</w:t>
                            </w:r>
                          </w:p>
                          <w:p w:rsidR="00FD4BA2" w:rsidRDefault="006F14CD" w:rsidP="00FD4BA2">
                            <w:pPr>
                              <w:spacing w:before="120"/>
                              <w:jc w:val="center"/>
                            </w:pPr>
                            <w:r w:rsidRPr="00E57AE7">
                              <w:t xml:space="preserve">This Legislative Instrument is compatible with the human rights and freedoms recognised or declared in the international instruments listed in section 3 of the </w:t>
                            </w:r>
                          </w:p>
                          <w:p w:rsidR="006F14CD" w:rsidRDefault="006F14CD" w:rsidP="00FD4BA2">
                            <w:pPr>
                              <w:spacing w:after="120"/>
                              <w:jc w:val="center"/>
                            </w:pPr>
                            <w:proofErr w:type="gramStart"/>
                            <w:r w:rsidRPr="00E57AE7">
                              <w:rPr>
                                <w:i/>
                              </w:rPr>
                              <w:t>Human Rights (Parliamentary Scrutiny) Act 2011</w:t>
                            </w:r>
                            <w:r w:rsidRPr="00E57AE7">
                              <w:t>.</w:t>
                            </w:r>
                            <w:proofErr w:type="gramEnd"/>
                          </w:p>
                          <w:p w:rsidR="0084549B" w:rsidRPr="00E57AE7" w:rsidRDefault="0084549B" w:rsidP="00D71409">
                            <w:pPr>
                              <w:jc w:val="center"/>
                            </w:pPr>
                          </w:p>
                          <w:p w:rsidR="006F14CD" w:rsidRPr="00E57AE7" w:rsidRDefault="006F14CD" w:rsidP="00D71409">
                            <w:pPr>
                              <w:spacing w:before="120" w:after="120"/>
                              <w:jc w:val="both"/>
                              <w:rPr>
                                <w:b/>
                              </w:rPr>
                            </w:pPr>
                            <w:r w:rsidRPr="00E57AE7">
                              <w:rPr>
                                <w:b/>
                              </w:rPr>
                              <w:t>Overview of the Legislative Instrument</w:t>
                            </w:r>
                          </w:p>
                          <w:p w:rsidR="000B2381" w:rsidRPr="00B97D51" w:rsidRDefault="002742F0" w:rsidP="000B2381">
                            <w:pPr>
                              <w:spacing w:after="120"/>
                              <w:jc w:val="both"/>
                              <w:rPr>
                                <w:i/>
                              </w:rPr>
                            </w:pPr>
                            <w:r w:rsidRPr="001F0B6F">
                              <w:t xml:space="preserve">The purpose of this </w:t>
                            </w:r>
                            <w:r>
                              <w:t>L</w:t>
                            </w:r>
                            <w:r w:rsidRPr="001F0B6F">
                              <w:t xml:space="preserve">egislative </w:t>
                            </w:r>
                            <w:r>
                              <w:t>I</w:t>
                            </w:r>
                            <w:r w:rsidRPr="001F0B6F">
                              <w:t>nstrument, made under subsection</w:t>
                            </w:r>
                            <w:r>
                              <w:t xml:space="preserve"> </w:t>
                            </w:r>
                            <w:r w:rsidR="009D1A20">
                              <w:t>98AC(4</w:t>
                            </w:r>
                            <w:r w:rsidRPr="001F0B6F">
                              <w:t>)</w:t>
                            </w:r>
                            <w:r w:rsidR="009D1A20">
                              <w:t xml:space="preserve"> and 99AAA(8)</w:t>
                            </w:r>
                            <w:r w:rsidRPr="001F0B6F">
                              <w:t xml:space="preserve"> of </w:t>
                            </w:r>
                            <w:r w:rsidR="00C61B70">
                              <w:t xml:space="preserve">the </w:t>
                            </w:r>
                            <w:r w:rsidR="00C61B70" w:rsidRPr="00C61B70">
                              <w:rPr>
                                <w:i/>
                              </w:rPr>
                              <w:t>National Health Act 1953</w:t>
                            </w:r>
                            <w:r w:rsidRPr="001F0B6F">
                              <w:t xml:space="preserve">, is to amend the </w:t>
                            </w:r>
                            <w:r w:rsidRPr="001F0B6F">
                              <w:rPr>
                                <w:i/>
                              </w:rPr>
                              <w:t>National Health (</w:t>
                            </w:r>
                            <w:r w:rsidR="009D1A20">
                              <w:rPr>
                                <w:i/>
                              </w:rPr>
                              <w:t>Claims and under co-payment data</w:t>
                            </w:r>
                            <w:r w:rsidRPr="001F0B6F">
                              <w:rPr>
                                <w:i/>
                              </w:rPr>
                              <w:t>)</w:t>
                            </w:r>
                            <w:r w:rsidR="009D1A20">
                              <w:rPr>
                                <w:i/>
                              </w:rPr>
                              <w:t xml:space="preserve"> Rules 2012 </w:t>
                            </w:r>
                            <w:r w:rsidR="009D1A20">
                              <w:t xml:space="preserve">(the Principal Rules) </w:t>
                            </w:r>
                            <w:r w:rsidR="000B2381">
                              <w:t>to extend the cut-off date from 1 April 2017 to 1 February 2018 allowing approved suppliers to continue to comply with the old Principal Rules and not the current Principal Rules for certain information, provided that the Chief Executive Medicare is satisfied that exceptional circumstances exist in relation to that approved supplier.</w:t>
                            </w:r>
                          </w:p>
                          <w:p w:rsidR="000B2381" w:rsidRDefault="000B2381" w:rsidP="00D71409">
                            <w:pPr>
                              <w:spacing w:after="120"/>
                              <w:jc w:val="both"/>
                            </w:pPr>
                          </w:p>
                          <w:p w:rsidR="006F14CD" w:rsidRPr="00B66866" w:rsidRDefault="006F14CD" w:rsidP="00D71409">
                            <w:pPr>
                              <w:spacing w:before="240" w:after="120"/>
                              <w:jc w:val="both"/>
                              <w:rPr>
                                <w:b/>
                              </w:rPr>
                            </w:pPr>
                            <w:r w:rsidRPr="00B66866">
                              <w:rPr>
                                <w:b/>
                              </w:rPr>
                              <w:t xml:space="preserve">Human </w:t>
                            </w:r>
                            <w:r w:rsidR="002742F0">
                              <w:rPr>
                                <w:b/>
                              </w:rPr>
                              <w:t>R</w:t>
                            </w:r>
                            <w:r w:rsidRPr="00B66866">
                              <w:rPr>
                                <w:b/>
                              </w:rPr>
                              <w:t xml:space="preserve">ights </w:t>
                            </w:r>
                            <w:r w:rsidR="002742F0">
                              <w:rPr>
                                <w:b/>
                              </w:rPr>
                              <w:t>I</w:t>
                            </w:r>
                            <w:r w:rsidRPr="00B66866">
                              <w:rPr>
                                <w:b/>
                              </w:rPr>
                              <w:t>mplications</w:t>
                            </w:r>
                          </w:p>
                          <w:p w:rsidR="006F14CD" w:rsidRDefault="006F14CD" w:rsidP="00D71409">
                            <w:pPr>
                              <w:spacing w:before="120" w:after="120"/>
                              <w:jc w:val="both"/>
                            </w:pPr>
                            <w:r w:rsidRPr="00B66866">
                              <w:t xml:space="preserve">This </w:t>
                            </w:r>
                            <w:r w:rsidR="002742F0">
                              <w:t>L</w:t>
                            </w:r>
                            <w:r w:rsidRPr="00B66866">
                              <w:t xml:space="preserve">egislative </w:t>
                            </w:r>
                            <w:r w:rsidR="002742F0">
                              <w:t>I</w:t>
                            </w:r>
                            <w:r w:rsidRPr="00B66866">
                              <w:t>nstrument engages Article</w:t>
                            </w:r>
                            <w:r w:rsidR="000B2381">
                              <w:t>s</w:t>
                            </w:r>
                            <w:r w:rsidRPr="00B66866">
                              <w:t xml:space="preserve"> 2 and 12 of the International Covenant on Economic, Social and Cultural Rights (ICESCR) by assisting with the progressive realisation by all appropriate means of the right of everyone to the enjoyment of the highest attainable standard</w:t>
                            </w:r>
                            <w:r w:rsidR="002742F0">
                              <w:t xml:space="preserve"> of physical and mental health.</w:t>
                            </w:r>
                          </w:p>
                          <w:p w:rsidR="008B0502" w:rsidRPr="00B66866" w:rsidRDefault="0022226F" w:rsidP="00D71409">
                            <w:pPr>
                              <w:spacing w:before="120" w:after="120"/>
                              <w:jc w:val="both"/>
                            </w:pPr>
                            <w:r>
                              <w:t>The P</w:t>
                            </w:r>
                            <w:r w:rsidR="006E2511">
                              <w:t xml:space="preserve">harmaceutical </w:t>
                            </w:r>
                            <w:r>
                              <w:t>B</w:t>
                            </w:r>
                            <w:r w:rsidR="006E2511">
                              <w:t xml:space="preserve">enefits </w:t>
                            </w:r>
                            <w:r>
                              <w:t>S</w:t>
                            </w:r>
                            <w:r w:rsidR="006E2511">
                              <w:t>cheme</w:t>
                            </w:r>
                            <w:r>
                              <w:t xml:space="preserve"> assists with advancement of these human rights by providing for subsidised access to medicines.  </w:t>
                            </w:r>
                            <w:r w:rsidR="001A220F">
                              <w:t>T</w:t>
                            </w:r>
                            <w:r>
                              <w:t xml:space="preserve">his </w:t>
                            </w:r>
                            <w:r w:rsidR="001A220F">
                              <w:t>Legislative I</w:t>
                            </w:r>
                            <w:r>
                              <w:t xml:space="preserve">nstrument </w:t>
                            </w:r>
                            <w:r w:rsidR="001A220F">
                              <w:t>is</w:t>
                            </w:r>
                            <w:r>
                              <w:t xml:space="preserve"> a positive step towards attaining the highest standard of health for all Australians.  </w:t>
                            </w:r>
                            <w:r w:rsidR="001A220F">
                              <w:t>A</w:t>
                            </w:r>
                            <w:r>
                              <w:t xml:space="preserve">llowing </w:t>
                            </w:r>
                            <w:r w:rsidR="00435ED2">
                              <w:t>more transition time</w:t>
                            </w:r>
                            <w:r>
                              <w:t xml:space="preserve"> will ensure vital </w:t>
                            </w:r>
                            <w:r w:rsidR="00435ED2">
                              <w:t xml:space="preserve">IT </w:t>
                            </w:r>
                            <w:r>
                              <w:t>system testing occurs, resulting in robust dispensing software</w:t>
                            </w:r>
                            <w:r w:rsidR="007953A4">
                              <w:t xml:space="preserve"> and avoidance of rejected claims.</w:t>
                            </w:r>
                            <w:r>
                              <w:t xml:space="preserve"> This in turn can assist health professionals to achieve improved health outcomes for patients. </w:t>
                            </w:r>
                          </w:p>
                          <w:p w:rsidR="006F14CD" w:rsidRPr="00B66866" w:rsidRDefault="006F14CD" w:rsidP="00D71409">
                            <w:pPr>
                              <w:spacing w:before="240" w:after="120"/>
                              <w:jc w:val="both"/>
                              <w:rPr>
                                <w:b/>
                              </w:rPr>
                            </w:pPr>
                            <w:r w:rsidRPr="00B66866">
                              <w:rPr>
                                <w:b/>
                              </w:rPr>
                              <w:t>Conclusion</w:t>
                            </w:r>
                          </w:p>
                          <w:p w:rsidR="006F14CD" w:rsidRPr="008B0502" w:rsidRDefault="006F14CD" w:rsidP="00D71409">
                            <w:pPr>
                              <w:spacing w:before="120" w:after="120"/>
                              <w:jc w:val="both"/>
                            </w:pPr>
                            <w:r w:rsidRPr="00B66866">
                              <w:t>This Legislative Instrument is compatible with human rights because it advances the protection of human rights.</w:t>
                            </w:r>
                          </w:p>
                          <w:p w:rsidR="008B0502" w:rsidRDefault="008B0502" w:rsidP="008B0502">
                            <w:pPr>
                              <w:widowControl w:val="0"/>
                              <w:tabs>
                                <w:tab w:val="left" w:pos="3119"/>
                              </w:tabs>
                              <w:spacing w:line="300" w:lineRule="atLeast"/>
                              <w:rPr>
                                <w:b/>
                              </w:rPr>
                            </w:pPr>
                          </w:p>
                          <w:p w:rsidR="008A7380" w:rsidRDefault="008A7380" w:rsidP="008B0502">
                            <w:pPr>
                              <w:widowControl w:val="0"/>
                              <w:tabs>
                                <w:tab w:val="left" w:pos="3119"/>
                              </w:tabs>
                              <w:spacing w:line="300" w:lineRule="atLeast"/>
                              <w:rPr>
                                <w:b/>
                              </w:rPr>
                            </w:pPr>
                          </w:p>
                          <w:p w:rsidR="008A7380" w:rsidRDefault="008A7380" w:rsidP="008B0502">
                            <w:pPr>
                              <w:widowControl w:val="0"/>
                              <w:tabs>
                                <w:tab w:val="left" w:pos="3119"/>
                              </w:tabs>
                              <w:spacing w:line="300" w:lineRule="atLeast"/>
                              <w:rPr>
                                <w:b/>
                              </w:rPr>
                            </w:pPr>
                          </w:p>
                          <w:p w:rsidR="00C61B70" w:rsidRDefault="00B86D7D" w:rsidP="00C61B70">
                            <w:pPr>
                              <w:widowControl w:val="0"/>
                              <w:tabs>
                                <w:tab w:val="left" w:pos="3119"/>
                              </w:tabs>
                              <w:spacing w:line="300" w:lineRule="atLeast"/>
                              <w:jc w:val="center"/>
                              <w:rPr>
                                <w:b/>
                              </w:rPr>
                            </w:pPr>
                            <w:r>
                              <w:rPr>
                                <w:b/>
                              </w:rPr>
                              <w:t>Julianne Quaine</w:t>
                            </w:r>
                          </w:p>
                          <w:p w:rsidR="00C61B70" w:rsidRDefault="006F14CD" w:rsidP="001952EF">
                            <w:pPr>
                              <w:widowControl w:val="0"/>
                              <w:tabs>
                                <w:tab w:val="left" w:pos="3119"/>
                              </w:tabs>
                              <w:spacing w:line="300" w:lineRule="atLeast"/>
                              <w:jc w:val="center"/>
                              <w:rPr>
                                <w:b/>
                              </w:rPr>
                            </w:pPr>
                            <w:r w:rsidRPr="00376AF2">
                              <w:rPr>
                                <w:b/>
                              </w:rPr>
                              <w:t>Assistant Secretary</w:t>
                            </w:r>
                          </w:p>
                          <w:p w:rsidR="006F14CD" w:rsidRDefault="00C61B70" w:rsidP="001952EF">
                            <w:pPr>
                              <w:widowControl w:val="0"/>
                              <w:tabs>
                                <w:tab w:val="left" w:pos="3119"/>
                              </w:tabs>
                              <w:spacing w:line="300" w:lineRule="atLeast"/>
                              <w:jc w:val="center"/>
                              <w:rPr>
                                <w:b/>
                              </w:rPr>
                            </w:pPr>
                            <w:r>
                              <w:rPr>
                                <w:b/>
                              </w:rPr>
                              <w:t>Pharmaceutical Access Branch</w:t>
                            </w:r>
                          </w:p>
                          <w:p w:rsidR="006F14CD" w:rsidRPr="007A2BFA" w:rsidRDefault="006F14CD" w:rsidP="001952EF">
                            <w:pPr>
                              <w:widowControl w:val="0"/>
                              <w:tabs>
                                <w:tab w:val="left" w:pos="3119"/>
                              </w:tabs>
                              <w:spacing w:line="300" w:lineRule="atLeast"/>
                              <w:jc w:val="center"/>
                              <w:rPr>
                                <w:b/>
                              </w:rPr>
                            </w:pPr>
                            <w:r w:rsidRPr="00376AF2">
                              <w:rPr>
                                <w:b/>
                              </w:rPr>
                              <w:t>Pharmaceutical Benefits Division</w:t>
                            </w:r>
                            <w:r w:rsidRPr="00376AF2">
                              <w:rPr>
                                <w:b/>
                              </w:rPr>
                              <w:br/>
                            </w:r>
                            <w:r w:rsidR="00C61B70">
                              <w:rPr>
                                <w:b/>
                              </w:rPr>
                              <w:t>Department of Health</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2pt;margin-top:-3.3pt;width:481.8pt;height:7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VeLgIAAFYEAAAOAAAAZHJzL2Uyb0RvYy54bWysVNuO0zAQfUfiHyy/07Rd2i1R09WqSxHS&#10;AisWPmDiOI2Fb4zdpsvXM3a6pQWeEHmwfBkfnzlnJsubg9FsLzEoZys+GY05k1a4Rtltxb9+2bxa&#10;cBYi2Aa0s7LiTzLwm9XLF8vel3LqOqcbiYxAbCh7X/EuRl8WRRCdNBBGzktLh61DA5GWuC0ahJ7Q&#10;jS6m4/G86B02Hp2QIdDu3XDIVxm/baWIn9o2yMh0xYlbzCPmsU5jsVpCuUXwnRJHGvAPLAwoS4+e&#10;oO4gAtuh+gPKKIEuuDaOhDOFa1slZM6BspmMf8vmsQMvcy4kTvAnmcL/gxUf9w/IVFPxKWcWDFn0&#10;mUQDu9WSTZM8vQ8lRT36B0wJBn/vxLfArFt3FCVvEV3fSWiI1CTFFxcX0iLQVVb3H1xD6LCLLit1&#10;aNEkQNKAHbIhTydD5CEyQZvzyWSxmJNvgs7eXM2uZrNsWQHl83WPIb6TzrA0qTgS+QwP+/sQEx0o&#10;n0MyfadVs1Fa5wVu67VGtgeqjk3+cgaU5XmYtqyv+PWc6o2YGE9iRVT5lYu4cA43zt/f4IyKVPJa&#10;mYovTkFQJg3f2iYXZASlhznR1/YoatJx8CMe6sPRmto1TyQvuqG0qRVp0jn8wVlPZV3x8H0HKDnT&#10;722yKD9JjZBXr2fXU8oJL47q8yOwgsAoYc6G6ToO3bPzqLYdvTXJQlh3S8a2KkueTB94HZlT8WYn&#10;jo2WuuN8naN+/Q5WPwEAAP//AwBQSwMEFAAGAAgAAAAhABPb1ajgAAAACwEAAA8AAABkcnMvZG93&#10;bnJldi54bWxMj8FOwzAMhu9IvENkJG5bwloClKYTmkCTJu3AQOKaNqataJwqydbu7clOcLPlT7+/&#10;v1zPdmAn9KF3pOBuKYAhNc701Cr4/HhbPAILUZPRgyNUcMYA6+r6qtSFcRO94+kQW5ZCKBRaQRfj&#10;WHAemg6tDks3IqXbt/NWx7T6lhuvpxRuB74SQnKre0ofOj3ipsPm53C0CqZdtjl/Zfvt68N9Xo+S&#10;b3ezz5S6vZlfnoFFnOMfDBf9pA5VcqrdkUxgg4KFFHlCL4MEloAnka2A1YnMpcyBVyX/36H6BQAA&#10;//8DAFBLAQItABQABgAIAAAAIQC2gziS/gAAAOEBAAATAAAAAAAAAAAAAAAAAAAAAABbQ29udGVu&#10;dF9UeXBlc10ueG1sUEsBAi0AFAAGAAgAAAAhADj9If/WAAAAlAEAAAsAAAAAAAAAAAAAAAAALwEA&#10;AF9yZWxzLy5yZWxzUEsBAi0AFAAGAAgAAAAhAILwtV4uAgAAVgQAAA4AAAAAAAAAAAAAAAAALgIA&#10;AGRycy9lMm9Eb2MueG1sUEsBAi0AFAAGAAgAAAAhABPb1ajgAAAACwEAAA8AAAAAAAAAAAAAAAAA&#10;iAQAAGRycy9kb3ducmV2LnhtbFBLBQYAAAAABAAEAPMAAACVBQAAAAA=&#10;" strokeweight="6pt">
                <v:stroke linestyle="thickBetweenThin"/>
                <v:textbox inset="5mm,,5mm">
                  <w:txbxContent>
                    <w:p w:rsidR="006F14CD" w:rsidRPr="00E57AE7" w:rsidRDefault="006F14CD" w:rsidP="0084549B">
                      <w:pPr>
                        <w:spacing w:before="120" w:after="120"/>
                        <w:jc w:val="center"/>
                        <w:rPr>
                          <w:b/>
                          <w:sz w:val="28"/>
                          <w:szCs w:val="28"/>
                        </w:rPr>
                      </w:pPr>
                      <w:r w:rsidRPr="00E57AE7">
                        <w:rPr>
                          <w:b/>
                          <w:sz w:val="28"/>
                          <w:szCs w:val="28"/>
                        </w:rPr>
                        <w:t>Statement of Compatibility with Human Rights</w:t>
                      </w:r>
                    </w:p>
                    <w:p w:rsidR="006F14CD" w:rsidRDefault="006F14CD" w:rsidP="00E57AE7">
                      <w:pPr>
                        <w:spacing w:after="120"/>
                        <w:jc w:val="center"/>
                        <w:rPr>
                          <w:i/>
                        </w:rPr>
                      </w:pPr>
                      <w:r w:rsidRPr="00E57AE7">
                        <w:rPr>
                          <w:i/>
                        </w:rPr>
                        <w:t>Prepared in accordance with Part 3 of the Human Rights (Parliamentary Scrutiny) Act 2011</w:t>
                      </w:r>
                    </w:p>
                    <w:p w:rsidR="0084549B" w:rsidRPr="0084549B" w:rsidRDefault="0084549B" w:rsidP="00E57AE7">
                      <w:pPr>
                        <w:spacing w:after="120"/>
                        <w:jc w:val="center"/>
                        <w:rPr>
                          <w:i/>
                        </w:rPr>
                      </w:pPr>
                    </w:p>
                    <w:p w:rsidR="006F14CD" w:rsidRPr="005A14F9" w:rsidRDefault="006F14CD" w:rsidP="00E57AE7">
                      <w:pPr>
                        <w:spacing w:before="120" w:after="120"/>
                        <w:jc w:val="center"/>
                        <w:rPr>
                          <w:b/>
                        </w:rPr>
                      </w:pPr>
                      <w:r w:rsidRPr="00E57AE7">
                        <w:rPr>
                          <w:b/>
                          <w:i/>
                        </w:rPr>
                        <w:t>National Health (</w:t>
                      </w:r>
                      <w:r w:rsidR="00B97D51">
                        <w:rPr>
                          <w:b/>
                          <w:i/>
                        </w:rPr>
                        <w:t>Claims and under co-payment data) Amendment (Extension of exceptional circumstances dates) Rule</w:t>
                      </w:r>
                      <w:r w:rsidR="0012756C">
                        <w:rPr>
                          <w:b/>
                          <w:i/>
                        </w:rPr>
                        <w:t xml:space="preserve"> 2017</w:t>
                      </w:r>
                    </w:p>
                    <w:p w:rsidR="00FD4BA2" w:rsidRDefault="006F14CD" w:rsidP="00FD4BA2">
                      <w:pPr>
                        <w:spacing w:before="120"/>
                        <w:jc w:val="center"/>
                      </w:pPr>
                      <w:r w:rsidRPr="00E57AE7">
                        <w:t xml:space="preserve">This Legislative Instrument is compatible with the human rights and freedoms recognised or declared in the international instruments listed in section 3 of the </w:t>
                      </w:r>
                    </w:p>
                    <w:p w:rsidR="006F14CD" w:rsidRDefault="006F14CD" w:rsidP="00FD4BA2">
                      <w:pPr>
                        <w:spacing w:after="120"/>
                        <w:jc w:val="center"/>
                      </w:pPr>
                      <w:proofErr w:type="gramStart"/>
                      <w:r w:rsidRPr="00E57AE7">
                        <w:rPr>
                          <w:i/>
                        </w:rPr>
                        <w:t>Human Rights (Parliamentary Scrutiny) Act 2011</w:t>
                      </w:r>
                      <w:r w:rsidRPr="00E57AE7">
                        <w:t>.</w:t>
                      </w:r>
                      <w:proofErr w:type="gramEnd"/>
                    </w:p>
                    <w:p w:rsidR="0084549B" w:rsidRPr="00E57AE7" w:rsidRDefault="0084549B" w:rsidP="00D71409">
                      <w:pPr>
                        <w:jc w:val="center"/>
                      </w:pPr>
                    </w:p>
                    <w:p w:rsidR="006F14CD" w:rsidRPr="00E57AE7" w:rsidRDefault="006F14CD" w:rsidP="00D71409">
                      <w:pPr>
                        <w:spacing w:before="120" w:after="120"/>
                        <w:jc w:val="both"/>
                        <w:rPr>
                          <w:b/>
                        </w:rPr>
                      </w:pPr>
                      <w:r w:rsidRPr="00E57AE7">
                        <w:rPr>
                          <w:b/>
                        </w:rPr>
                        <w:t>Overview of the Legislative Instrument</w:t>
                      </w:r>
                    </w:p>
                    <w:p w:rsidR="000B2381" w:rsidRPr="00B97D51" w:rsidRDefault="002742F0" w:rsidP="000B2381">
                      <w:pPr>
                        <w:spacing w:after="120"/>
                        <w:jc w:val="both"/>
                        <w:rPr>
                          <w:i/>
                        </w:rPr>
                      </w:pPr>
                      <w:r w:rsidRPr="001F0B6F">
                        <w:t xml:space="preserve">The purpose of this </w:t>
                      </w:r>
                      <w:r>
                        <w:t>L</w:t>
                      </w:r>
                      <w:r w:rsidRPr="001F0B6F">
                        <w:t xml:space="preserve">egislative </w:t>
                      </w:r>
                      <w:r>
                        <w:t>I</w:t>
                      </w:r>
                      <w:r w:rsidRPr="001F0B6F">
                        <w:t>nstrument, made under subsection</w:t>
                      </w:r>
                      <w:r>
                        <w:t xml:space="preserve"> </w:t>
                      </w:r>
                      <w:r w:rsidR="009D1A20">
                        <w:t>98AC(4</w:t>
                      </w:r>
                      <w:r w:rsidRPr="001F0B6F">
                        <w:t>)</w:t>
                      </w:r>
                      <w:r w:rsidR="009D1A20">
                        <w:t xml:space="preserve"> and 99AAA(8)</w:t>
                      </w:r>
                      <w:r w:rsidRPr="001F0B6F">
                        <w:t xml:space="preserve"> of </w:t>
                      </w:r>
                      <w:r w:rsidR="00C61B70">
                        <w:t xml:space="preserve">the </w:t>
                      </w:r>
                      <w:r w:rsidR="00C61B70" w:rsidRPr="00C61B70">
                        <w:rPr>
                          <w:i/>
                        </w:rPr>
                        <w:t>National Health Act 1953</w:t>
                      </w:r>
                      <w:r w:rsidRPr="001F0B6F">
                        <w:t xml:space="preserve">, is to amend the </w:t>
                      </w:r>
                      <w:r w:rsidRPr="001F0B6F">
                        <w:rPr>
                          <w:i/>
                        </w:rPr>
                        <w:t>National Health (</w:t>
                      </w:r>
                      <w:r w:rsidR="009D1A20">
                        <w:rPr>
                          <w:i/>
                        </w:rPr>
                        <w:t>Claims and under co-payment data</w:t>
                      </w:r>
                      <w:r w:rsidRPr="001F0B6F">
                        <w:rPr>
                          <w:i/>
                        </w:rPr>
                        <w:t>)</w:t>
                      </w:r>
                      <w:r w:rsidR="009D1A20">
                        <w:rPr>
                          <w:i/>
                        </w:rPr>
                        <w:t xml:space="preserve"> Rules 2012</w:t>
                      </w:r>
                      <w:r w:rsidR="009D1A20">
                        <w:rPr>
                          <w:i/>
                        </w:rPr>
                        <w:t xml:space="preserve"> </w:t>
                      </w:r>
                      <w:r w:rsidR="009D1A20">
                        <w:t>(the Principal Rules)</w:t>
                      </w:r>
                      <w:r w:rsidR="009D1A20">
                        <w:t xml:space="preserve"> </w:t>
                      </w:r>
                      <w:r w:rsidR="000B2381">
                        <w:t>to extend the cut-off date from 1 April 2017 to 1 February 2018 allowing approved suppliers to continue to comply with the old Principal Rules and not the current Principal Rules for certain information, provided that the Chief Executive Medicare is satisfied that exceptional circumstances exist in relation to that approved supplie</w:t>
                      </w:r>
                      <w:r w:rsidR="000B2381">
                        <w:t>r.</w:t>
                      </w:r>
                    </w:p>
                    <w:p w:rsidR="000B2381" w:rsidRDefault="000B2381" w:rsidP="00D71409">
                      <w:pPr>
                        <w:spacing w:after="120"/>
                        <w:jc w:val="both"/>
                      </w:pPr>
                    </w:p>
                    <w:p w:rsidR="006F14CD" w:rsidRPr="00B66866" w:rsidRDefault="006F14CD" w:rsidP="00D71409">
                      <w:pPr>
                        <w:spacing w:before="240" w:after="120"/>
                        <w:jc w:val="both"/>
                        <w:rPr>
                          <w:b/>
                        </w:rPr>
                      </w:pPr>
                      <w:r w:rsidRPr="00B66866">
                        <w:rPr>
                          <w:b/>
                        </w:rPr>
                        <w:t xml:space="preserve">Human </w:t>
                      </w:r>
                      <w:r w:rsidR="002742F0">
                        <w:rPr>
                          <w:b/>
                        </w:rPr>
                        <w:t>R</w:t>
                      </w:r>
                      <w:r w:rsidRPr="00B66866">
                        <w:rPr>
                          <w:b/>
                        </w:rPr>
                        <w:t xml:space="preserve">ights </w:t>
                      </w:r>
                      <w:r w:rsidR="002742F0">
                        <w:rPr>
                          <w:b/>
                        </w:rPr>
                        <w:t>I</w:t>
                      </w:r>
                      <w:r w:rsidRPr="00B66866">
                        <w:rPr>
                          <w:b/>
                        </w:rPr>
                        <w:t>mplications</w:t>
                      </w:r>
                    </w:p>
                    <w:p w:rsidR="006F14CD" w:rsidRDefault="006F14CD" w:rsidP="00D71409">
                      <w:pPr>
                        <w:spacing w:before="120" w:after="120"/>
                        <w:jc w:val="both"/>
                      </w:pPr>
                      <w:r w:rsidRPr="00B66866">
                        <w:t xml:space="preserve">This </w:t>
                      </w:r>
                      <w:r w:rsidR="002742F0">
                        <w:t>L</w:t>
                      </w:r>
                      <w:r w:rsidRPr="00B66866">
                        <w:t xml:space="preserve">egislative </w:t>
                      </w:r>
                      <w:r w:rsidR="002742F0">
                        <w:t>I</w:t>
                      </w:r>
                      <w:r w:rsidRPr="00B66866">
                        <w:t>nstrument engages Article</w:t>
                      </w:r>
                      <w:r w:rsidR="000B2381">
                        <w:t>s</w:t>
                      </w:r>
                      <w:r w:rsidRPr="00B66866">
                        <w:t xml:space="preserve"> 2 and 12 of the International Covenant on Economic, Social and Cultural Rights (ICESCR) by assisting with the progressive realisation by all appropriate means of the right of everyone to the enjoyment of the highest attainable standard</w:t>
                      </w:r>
                      <w:r w:rsidR="002742F0">
                        <w:t xml:space="preserve"> of physical and mental health.</w:t>
                      </w:r>
                    </w:p>
                    <w:p w:rsidR="008B0502" w:rsidRPr="00B66866" w:rsidRDefault="0022226F" w:rsidP="00D71409">
                      <w:pPr>
                        <w:spacing w:before="120" w:after="120"/>
                        <w:jc w:val="both"/>
                      </w:pPr>
                      <w:r>
                        <w:t xml:space="preserve">The </w:t>
                      </w:r>
                      <w:r>
                        <w:t>P</w:t>
                      </w:r>
                      <w:r w:rsidR="006E2511">
                        <w:t xml:space="preserve">harmaceutical </w:t>
                      </w:r>
                      <w:r>
                        <w:t>B</w:t>
                      </w:r>
                      <w:r w:rsidR="006E2511">
                        <w:t xml:space="preserve">enefits </w:t>
                      </w:r>
                      <w:r>
                        <w:t>S</w:t>
                      </w:r>
                      <w:r w:rsidR="006E2511">
                        <w:t>cheme</w:t>
                      </w:r>
                      <w:r>
                        <w:t xml:space="preserve"> </w:t>
                      </w:r>
                      <w:r>
                        <w:t xml:space="preserve">assists with advancement of these human rights by providing for subsidised access to medicines.  </w:t>
                      </w:r>
                      <w:r w:rsidR="001A220F">
                        <w:t>T</w:t>
                      </w:r>
                      <w:r>
                        <w:t xml:space="preserve">his </w:t>
                      </w:r>
                      <w:r w:rsidR="001A220F">
                        <w:t>Legislative I</w:t>
                      </w:r>
                      <w:r>
                        <w:t xml:space="preserve">nstrument </w:t>
                      </w:r>
                      <w:r w:rsidR="001A220F">
                        <w:t>is</w:t>
                      </w:r>
                      <w:r>
                        <w:t xml:space="preserve"> </w:t>
                      </w:r>
                      <w:r>
                        <w:t xml:space="preserve">a positive step towards attaining the highest standard of health for all Australians.  </w:t>
                      </w:r>
                      <w:r w:rsidR="001A220F">
                        <w:t>A</w:t>
                      </w:r>
                      <w:r>
                        <w:t xml:space="preserve">llowing </w:t>
                      </w:r>
                      <w:r w:rsidR="00435ED2">
                        <w:t>more transition time</w:t>
                      </w:r>
                      <w:r>
                        <w:t xml:space="preserve"> will ensure vital </w:t>
                      </w:r>
                      <w:r w:rsidR="00435ED2">
                        <w:t xml:space="preserve">IT </w:t>
                      </w:r>
                      <w:r>
                        <w:t>system testing occurs, resulting in robust</w:t>
                      </w:r>
                      <w:bookmarkStart w:id="2" w:name="_GoBack"/>
                      <w:bookmarkEnd w:id="2"/>
                      <w:r>
                        <w:t xml:space="preserve"> dispensing software</w:t>
                      </w:r>
                      <w:r w:rsidR="007953A4">
                        <w:t xml:space="preserve"> and avoidance of rejected claims.</w:t>
                      </w:r>
                      <w:r>
                        <w:t xml:space="preserve"> This in turn can assist health professionals to achieve improved health outcomes for patients. </w:t>
                      </w:r>
                    </w:p>
                    <w:p w:rsidR="006F14CD" w:rsidRPr="00B66866" w:rsidRDefault="006F14CD" w:rsidP="00D71409">
                      <w:pPr>
                        <w:spacing w:before="240" w:after="120"/>
                        <w:jc w:val="both"/>
                        <w:rPr>
                          <w:b/>
                        </w:rPr>
                      </w:pPr>
                      <w:r w:rsidRPr="00B66866">
                        <w:rPr>
                          <w:b/>
                        </w:rPr>
                        <w:t>Conclusion</w:t>
                      </w:r>
                    </w:p>
                    <w:p w:rsidR="006F14CD" w:rsidRPr="008B0502" w:rsidRDefault="006F14CD" w:rsidP="00D71409">
                      <w:pPr>
                        <w:spacing w:before="120" w:after="120"/>
                        <w:jc w:val="both"/>
                      </w:pPr>
                      <w:r w:rsidRPr="00B66866">
                        <w:t>This Legislative Instrument is compatible with human rights because it advances the protection of human rights.</w:t>
                      </w:r>
                    </w:p>
                    <w:p w:rsidR="008B0502" w:rsidRDefault="008B0502" w:rsidP="008B0502">
                      <w:pPr>
                        <w:widowControl w:val="0"/>
                        <w:tabs>
                          <w:tab w:val="left" w:pos="3119"/>
                        </w:tabs>
                        <w:spacing w:line="300" w:lineRule="atLeast"/>
                        <w:rPr>
                          <w:b/>
                        </w:rPr>
                      </w:pPr>
                    </w:p>
                    <w:p w:rsidR="008A7380" w:rsidRDefault="008A7380" w:rsidP="008B0502">
                      <w:pPr>
                        <w:widowControl w:val="0"/>
                        <w:tabs>
                          <w:tab w:val="left" w:pos="3119"/>
                        </w:tabs>
                        <w:spacing w:line="300" w:lineRule="atLeast"/>
                        <w:rPr>
                          <w:b/>
                        </w:rPr>
                      </w:pPr>
                    </w:p>
                    <w:p w:rsidR="008A7380" w:rsidRDefault="008A7380" w:rsidP="008B0502">
                      <w:pPr>
                        <w:widowControl w:val="0"/>
                        <w:tabs>
                          <w:tab w:val="left" w:pos="3119"/>
                        </w:tabs>
                        <w:spacing w:line="300" w:lineRule="atLeast"/>
                        <w:rPr>
                          <w:b/>
                        </w:rPr>
                      </w:pPr>
                    </w:p>
                    <w:p w:rsidR="00C61B70" w:rsidRDefault="00B86D7D" w:rsidP="00C61B70">
                      <w:pPr>
                        <w:widowControl w:val="0"/>
                        <w:tabs>
                          <w:tab w:val="left" w:pos="3119"/>
                        </w:tabs>
                        <w:spacing w:line="300" w:lineRule="atLeast"/>
                        <w:jc w:val="center"/>
                        <w:rPr>
                          <w:b/>
                        </w:rPr>
                      </w:pPr>
                      <w:r>
                        <w:rPr>
                          <w:b/>
                        </w:rPr>
                        <w:t>Julianne Quaine</w:t>
                      </w:r>
                    </w:p>
                    <w:p w:rsidR="00C61B70" w:rsidRDefault="006F14CD" w:rsidP="001952EF">
                      <w:pPr>
                        <w:widowControl w:val="0"/>
                        <w:tabs>
                          <w:tab w:val="left" w:pos="3119"/>
                        </w:tabs>
                        <w:spacing w:line="300" w:lineRule="atLeast"/>
                        <w:jc w:val="center"/>
                        <w:rPr>
                          <w:b/>
                        </w:rPr>
                      </w:pPr>
                      <w:r w:rsidRPr="00376AF2">
                        <w:rPr>
                          <w:b/>
                        </w:rPr>
                        <w:t>Assistant Secretary</w:t>
                      </w:r>
                    </w:p>
                    <w:p w:rsidR="006F14CD" w:rsidRDefault="00C61B70" w:rsidP="001952EF">
                      <w:pPr>
                        <w:widowControl w:val="0"/>
                        <w:tabs>
                          <w:tab w:val="left" w:pos="3119"/>
                        </w:tabs>
                        <w:spacing w:line="300" w:lineRule="atLeast"/>
                        <w:jc w:val="center"/>
                        <w:rPr>
                          <w:b/>
                        </w:rPr>
                      </w:pPr>
                      <w:r>
                        <w:rPr>
                          <w:b/>
                        </w:rPr>
                        <w:t>Pharmaceutical Access Branch</w:t>
                      </w:r>
                    </w:p>
                    <w:p w:rsidR="006F14CD" w:rsidRPr="007A2BFA" w:rsidRDefault="006F14CD" w:rsidP="001952EF">
                      <w:pPr>
                        <w:widowControl w:val="0"/>
                        <w:tabs>
                          <w:tab w:val="left" w:pos="3119"/>
                        </w:tabs>
                        <w:spacing w:line="300" w:lineRule="atLeast"/>
                        <w:jc w:val="center"/>
                        <w:rPr>
                          <w:b/>
                        </w:rPr>
                      </w:pPr>
                      <w:r w:rsidRPr="00376AF2">
                        <w:rPr>
                          <w:b/>
                        </w:rPr>
                        <w:t>Pharmaceutical Benefits Division</w:t>
                      </w:r>
                      <w:r w:rsidRPr="00376AF2">
                        <w:rPr>
                          <w:b/>
                        </w:rPr>
                        <w:br/>
                      </w:r>
                      <w:r w:rsidR="00C61B70">
                        <w:rPr>
                          <w:b/>
                        </w:rPr>
                        <w:t>Department of Health</w:t>
                      </w:r>
                    </w:p>
                  </w:txbxContent>
                </v:textbox>
              </v:rect>
            </w:pict>
          </mc:Fallback>
        </mc:AlternateContent>
      </w:r>
    </w:p>
    <w:p w:rsidR="00172517" w:rsidRDefault="00172517"/>
    <w:p w:rsidR="00CA79FD" w:rsidRPr="001F0B6F" w:rsidRDefault="00CA79FD" w:rsidP="0078600F">
      <w:pPr>
        <w:spacing w:after="120"/>
      </w:pPr>
    </w:p>
    <w:p w:rsidR="0000405E" w:rsidRPr="001F0B6F" w:rsidRDefault="0000405E" w:rsidP="0000405E">
      <w:pPr>
        <w:spacing w:after="120"/>
      </w:pPr>
    </w:p>
    <w:p w:rsidR="00F81469" w:rsidRPr="001F0B6F" w:rsidRDefault="00F81469" w:rsidP="0000405E">
      <w:pPr>
        <w:spacing w:after="120"/>
      </w:pPr>
    </w:p>
    <w:p w:rsidR="006D2A6A" w:rsidRPr="001F0B6F" w:rsidRDefault="006D2A6A"/>
    <w:p w:rsidR="007273D0" w:rsidRPr="001F0B6F" w:rsidRDefault="007273D0" w:rsidP="00521278">
      <w:pPr>
        <w:rPr>
          <w:b/>
          <w:color w:val="FF0000"/>
        </w:rPr>
      </w:pPr>
    </w:p>
    <w:p w:rsidR="00613A31" w:rsidRPr="001F0B6F" w:rsidRDefault="00613A31" w:rsidP="00613A31">
      <w:pPr>
        <w:spacing w:before="480"/>
        <w:jc w:val="center"/>
        <w:rPr>
          <w:b/>
          <w:sz w:val="28"/>
          <w:szCs w:val="28"/>
        </w:rPr>
      </w:pPr>
      <w:r w:rsidRPr="001F0B6F">
        <w:rPr>
          <w:b/>
          <w:sz w:val="28"/>
          <w:szCs w:val="28"/>
        </w:rPr>
        <w:t>Statement of Compatibility with Human Rights</w:t>
      </w:r>
    </w:p>
    <w:p w:rsidR="00613A31" w:rsidRPr="001F0B6F" w:rsidRDefault="00613A31" w:rsidP="00613A31">
      <w:pPr>
        <w:spacing w:after="120"/>
        <w:jc w:val="center"/>
      </w:pPr>
      <w:r w:rsidRPr="001F0B6F">
        <w:rPr>
          <w:i/>
        </w:rPr>
        <w:t>Prepared in accordance with Part 3 of the Human Rights (Parliamentary Scrutiny) Act 2011</w:t>
      </w:r>
    </w:p>
    <w:p w:rsidR="00613A31" w:rsidRPr="001F0B6F" w:rsidRDefault="00613A31" w:rsidP="00613A31">
      <w:pPr>
        <w:spacing w:before="120" w:after="120"/>
        <w:jc w:val="center"/>
        <w:rPr>
          <w:b/>
        </w:rPr>
      </w:pPr>
      <w:r w:rsidRPr="001F0B6F">
        <w:rPr>
          <w:b/>
          <w:i/>
        </w:rPr>
        <w:t>National Health (Efficient Funding of Chemotherapy) Special Arrangement Amendment Instrument 2013 (No. 4)</w:t>
      </w:r>
    </w:p>
    <w:p w:rsidR="00613A31" w:rsidRPr="001F0B6F" w:rsidRDefault="00613A31" w:rsidP="00613A31">
      <w:pPr>
        <w:spacing w:before="120" w:after="120"/>
        <w:jc w:val="center"/>
      </w:pPr>
      <w:r w:rsidRPr="001F0B6F">
        <w:t xml:space="preserve">This Legislative Instrument is compatible with the human rights and freedoms recognised or declared in the international instruments listed in section 3 of the </w:t>
      </w:r>
      <w:r w:rsidRPr="001F0B6F">
        <w:rPr>
          <w:i/>
        </w:rPr>
        <w:t>Human Rights (Parliamentary Scrutiny) Act 2011</w:t>
      </w:r>
      <w:r w:rsidRPr="001F0B6F">
        <w:t>.</w:t>
      </w:r>
    </w:p>
    <w:p w:rsidR="00613A31" w:rsidRPr="001F0B6F" w:rsidRDefault="00613A31" w:rsidP="00613A31">
      <w:pPr>
        <w:spacing w:before="120" w:after="120"/>
        <w:jc w:val="both"/>
        <w:rPr>
          <w:b/>
        </w:rPr>
      </w:pPr>
      <w:r w:rsidRPr="001F0B6F">
        <w:rPr>
          <w:b/>
        </w:rPr>
        <w:t>Overview of the Legislative Instrument</w:t>
      </w:r>
    </w:p>
    <w:p w:rsidR="00613A31" w:rsidRPr="001F0B6F" w:rsidRDefault="00613A31" w:rsidP="00613A31">
      <w:pPr>
        <w:spacing w:after="120"/>
      </w:pPr>
      <w:r w:rsidRPr="001F0B6F">
        <w:t xml:space="preserve">The purpose of this legislative instrument, made under subsections 100(1) and 100(2) of the Act, is to amend the </w:t>
      </w:r>
      <w:r w:rsidRPr="001F0B6F">
        <w:rPr>
          <w:i/>
        </w:rPr>
        <w:t>National Health (Efficient Funding of Chemotherapy) Special Arrangement 2011</w:t>
      </w:r>
      <w:r w:rsidRPr="001F0B6F">
        <w:t xml:space="preserve"> (PB 79 of 2011) (the Special Arrangement), to make changes to the special arrangement relating to the efficient funding of chemotherapy. </w:t>
      </w:r>
    </w:p>
    <w:p w:rsidR="00613A31" w:rsidRPr="001F0B6F" w:rsidRDefault="00613A31" w:rsidP="00613A31">
      <w:pPr>
        <w:spacing w:after="120"/>
      </w:pPr>
      <w:r w:rsidRPr="001F0B6F">
        <w:t>The Special Arrangement achieves greater efficiency in payment for the supply of injected or infused chemotherapy medicines (</w:t>
      </w:r>
      <w:r w:rsidR="0070095B" w:rsidRPr="001F0B6F">
        <w:t>‘</w:t>
      </w:r>
      <w:r w:rsidRPr="001F0B6F">
        <w:t>chemotherapy pharmaceutical benefits</w:t>
      </w:r>
      <w:r w:rsidR="0070095B" w:rsidRPr="001F0B6F">
        <w:t>’</w:t>
      </w:r>
      <w:r w:rsidRPr="001F0B6F">
        <w:t>) to eligible patients being treated for cancer, to reflect the 2010 budget measure titled ‘Revised arrangements for the efficient funding of chemotherapy drugs’. This Special Arrangement also relates to the supply of medicines associated with the side-effects of cancer and cancer treatment (</w:t>
      </w:r>
      <w:r w:rsidR="0070095B" w:rsidRPr="001F0B6F">
        <w:t>‘</w:t>
      </w:r>
      <w:r w:rsidRPr="001F0B6F">
        <w:t>related pharmaceutical benefits</w:t>
      </w:r>
      <w:r w:rsidR="0070095B" w:rsidRPr="001F0B6F">
        <w:t>’</w:t>
      </w:r>
      <w:r w:rsidRPr="001F0B6F">
        <w:t>) at certain public hospitals.</w:t>
      </w:r>
    </w:p>
    <w:p w:rsidR="00613A31" w:rsidRPr="001F0B6F" w:rsidRDefault="00613A31" w:rsidP="00613A31">
      <w:pPr>
        <w:spacing w:after="120"/>
      </w:pPr>
      <w:r w:rsidRPr="001F0B6F">
        <w:t>This Instrument:</w:t>
      </w:r>
    </w:p>
    <w:p w:rsidR="00613A31" w:rsidRPr="001F0B6F" w:rsidRDefault="00613A31" w:rsidP="00613A31">
      <w:pPr>
        <w:numPr>
          <w:ilvl w:val="0"/>
          <w:numId w:val="4"/>
        </w:numPr>
        <w:spacing w:after="120"/>
      </w:pPr>
      <w:r w:rsidRPr="001F0B6F">
        <w:t>adds 4 new listed brands for the listed drugs ‘Doxorubicin’, and ‘Gemcitabine’;</w:t>
      </w:r>
    </w:p>
    <w:p w:rsidR="00613A31" w:rsidRPr="001F0B6F" w:rsidRDefault="00613A31" w:rsidP="00613A31">
      <w:pPr>
        <w:numPr>
          <w:ilvl w:val="0"/>
          <w:numId w:val="4"/>
        </w:numPr>
        <w:spacing w:after="120"/>
      </w:pPr>
      <w:r w:rsidRPr="001F0B6F">
        <w:t>adds 1 new listed form for the listed drug ‘</w:t>
      </w:r>
      <w:proofErr w:type="spellStart"/>
      <w:r w:rsidRPr="001F0B6F">
        <w:t>Aprepitant</w:t>
      </w:r>
      <w:proofErr w:type="spellEnd"/>
      <w:r w:rsidRPr="001F0B6F">
        <w:t xml:space="preserve">’; </w:t>
      </w:r>
    </w:p>
    <w:p w:rsidR="00613A31" w:rsidRPr="001F0B6F" w:rsidRDefault="00613A31" w:rsidP="00613A31">
      <w:pPr>
        <w:numPr>
          <w:ilvl w:val="0"/>
          <w:numId w:val="4"/>
        </w:numPr>
        <w:spacing w:after="120"/>
      </w:pPr>
      <w:r w:rsidRPr="001F0B6F">
        <w:t>removes 2 listed brands for the listed drug ‘</w:t>
      </w:r>
      <w:proofErr w:type="spellStart"/>
      <w:r w:rsidRPr="001F0B6F">
        <w:t>Docetaxel</w:t>
      </w:r>
      <w:proofErr w:type="spellEnd"/>
      <w:r w:rsidRPr="001F0B6F">
        <w:t>’; and</w:t>
      </w:r>
    </w:p>
    <w:p w:rsidR="00613A31" w:rsidRPr="001F0B6F" w:rsidRDefault="00613A31" w:rsidP="00613A31">
      <w:pPr>
        <w:numPr>
          <w:ilvl w:val="0"/>
          <w:numId w:val="4"/>
        </w:numPr>
        <w:spacing w:after="120"/>
      </w:pPr>
      <w:proofErr w:type="gramStart"/>
      <w:r w:rsidRPr="001F0B6F">
        <w:t>adds</w:t>
      </w:r>
      <w:proofErr w:type="gramEnd"/>
      <w:r w:rsidRPr="001F0B6F">
        <w:t xml:space="preserve"> new circumstance codes and the associated circumstances for  the listed drug ‘</w:t>
      </w:r>
      <w:proofErr w:type="spellStart"/>
      <w:r w:rsidRPr="001F0B6F">
        <w:t>Aprepitant</w:t>
      </w:r>
      <w:proofErr w:type="spellEnd"/>
      <w:r w:rsidRPr="001F0B6F">
        <w:t>’.</w:t>
      </w:r>
    </w:p>
    <w:p w:rsidR="00613A31" w:rsidRPr="001F0B6F" w:rsidRDefault="00613A31" w:rsidP="00613A31">
      <w:pPr>
        <w:spacing w:after="120"/>
        <w:rPr>
          <w:b/>
        </w:rPr>
      </w:pPr>
      <w:r w:rsidRPr="001F0B6F">
        <w:rPr>
          <w:b/>
        </w:rPr>
        <w:t>Human rights implications</w:t>
      </w:r>
    </w:p>
    <w:p w:rsidR="00613A31" w:rsidRPr="001F0B6F" w:rsidRDefault="00613A31" w:rsidP="00613A31">
      <w:pPr>
        <w:spacing w:before="120" w:after="120"/>
      </w:pPr>
      <w:r w:rsidRPr="001F0B6F">
        <w:t xml:space="preserve">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538AB" w:rsidRPr="00694802" w:rsidRDefault="00613A31" w:rsidP="00552AE0">
      <w:pPr>
        <w:spacing w:before="120" w:after="120"/>
        <w:rPr>
          <w:b/>
        </w:rPr>
      </w:pPr>
      <w:r w:rsidRPr="001F0B6F">
        <w:t xml:space="preserve">The Pharmaceutical Benefits Scheme (PBS) is a benefit scheme which assists with advancement of this human right by providing for subsidised access by patients to medicines. The recommendatory role of the Pharmaceutical Benefits Advisory </w:t>
      </w:r>
    </w:p>
    <w:sectPr w:rsidR="000538AB" w:rsidRPr="00694802" w:rsidSect="002B36C4">
      <w:headerReference w:type="default" r:id="rId9"/>
      <w:footerReference w:type="even" r:id="rId10"/>
      <w:pgSz w:w="11906" w:h="16838"/>
      <w:pgMar w:top="1440" w:right="170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3E" w:rsidRDefault="0024233E">
      <w:r>
        <w:separator/>
      </w:r>
    </w:p>
  </w:endnote>
  <w:endnote w:type="continuationSeparator" w:id="0">
    <w:p w:rsidR="0024233E" w:rsidRDefault="0024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14CD" w:rsidRDefault="006F1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3E" w:rsidRDefault="0024233E">
      <w:r>
        <w:separator/>
      </w:r>
    </w:p>
  </w:footnote>
  <w:footnote w:type="continuationSeparator" w:id="0">
    <w:p w:rsidR="0024233E" w:rsidRDefault="0024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CD" w:rsidRDefault="006F14CD">
    <w:pPr>
      <w:pStyle w:val="Header"/>
      <w:jc w:val="center"/>
    </w:pPr>
    <w:r>
      <w:fldChar w:fldCharType="begin"/>
    </w:r>
    <w:r>
      <w:instrText xml:space="preserve"> PAGE   \* MERGEFORMAT </w:instrText>
    </w:r>
    <w:r>
      <w:fldChar w:fldCharType="separate"/>
    </w:r>
    <w:r w:rsidR="00E7695A">
      <w:rPr>
        <w:noProof/>
      </w:rPr>
      <w:t>2</w:t>
    </w:r>
    <w:r>
      <w:rPr>
        <w:noProof/>
      </w:rPr>
      <w:fldChar w:fldCharType="end"/>
    </w:r>
  </w:p>
  <w:p w:rsidR="006F14CD" w:rsidRDefault="006F1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3">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5F69A2"/>
    <w:multiLevelType w:val="multilevel"/>
    <w:tmpl w:val="4DF4DF16"/>
    <w:numStyleLink w:val="StyleNumberedArial10ptBold"/>
  </w:abstractNum>
  <w:abstractNum w:abstractNumId="8">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7D389B"/>
    <w:multiLevelType w:val="hybridMultilevel"/>
    <w:tmpl w:val="9C8C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24">
    <w:nsid w:val="73BD70AD"/>
    <w:multiLevelType w:val="hybridMultilevel"/>
    <w:tmpl w:val="BF24808C"/>
    <w:lvl w:ilvl="0" w:tplc="95B8442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A40426"/>
    <w:multiLevelType w:val="hybridMultilevel"/>
    <w:tmpl w:val="1256C500"/>
    <w:lvl w:ilvl="0" w:tplc="95B8442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25"/>
  </w:num>
  <w:num w:numId="4">
    <w:abstractNumId w:val="16"/>
  </w:num>
  <w:num w:numId="5">
    <w:abstractNumId w:val="7"/>
    <w:lvlOverride w:ilvl="0">
      <w:lvl w:ilvl="0">
        <w:start w:val="1"/>
        <w:numFmt w:val="decimal"/>
        <w:lvlText w:val="[%1]"/>
        <w:lvlJc w:val="left"/>
        <w:pPr>
          <w:tabs>
            <w:tab w:val="num" w:pos="-818"/>
          </w:tabs>
          <w:ind w:left="543" w:hanging="401"/>
        </w:pPr>
        <w:rPr>
          <w:rFonts w:ascii="Arial" w:hAnsi="Arial"/>
          <w:b/>
          <w:bCs/>
          <w:sz w:val="20"/>
          <w:szCs w:val="20"/>
        </w:rPr>
      </w:lvl>
    </w:lvlOverride>
  </w:num>
  <w:num w:numId="6">
    <w:abstractNumId w:val="23"/>
  </w:num>
  <w:num w:numId="7">
    <w:abstractNumId w:val="7"/>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abstractNumId w:val="16"/>
  </w:num>
  <w:num w:numId="9">
    <w:abstractNumId w:val="16"/>
  </w:num>
  <w:num w:numId="10">
    <w:abstractNumId w:val="3"/>
  </w:num>
  <w:num w:numId="11">
    <w:abstractNumId w:val="2"/>
  </w:num>
  <w:num w:numId="12">
    <w:abstractNumId w:val="27"/>
  </w:num>
  <w:num w:numId="13">
    <w:abstractNumId w:val="26"/>
  </w:num>
  <w:num w:numId="14">
    <w:abstractNumId w:val="9"/>
  </w:num>
  <w:num w:numId="15">
    <w:abstractNumId w:val="8"/>
  </w:num>
  <w:num w:numId="16">
    <w:abstractNumId w:val="7"/>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13"/>
  </w:num>
  <w:num w:numId="21">
    <w:abstractNumId w:val="21"/>
  </w:num>
  <w:num w:numId="22">
    <w:abstractNumId w:val="19"/>
  </w:num>
  <w:num w:numId="23">
    <w:abstractNumId w:val="5"/>
  </w:num>
  <w:num w:numId="24">
    <w:abstractNumId w:val="28"/>
  </w:num>
  <w:num w:numId="25">
    <w:abstractNumId w:val="1"/>
  </w:num>
  <w:num w:numId="26">
    <w:abstractNumId w:val="20"/>
  </w:num>
  <w:num w:numId="27">
    <w:abstractNumId w:val="12"/>
  </w:num>
  <w:num w:numId="28">
    <w:abstractNumId w:val="18"/>
  </w:num>
  <w:num w:numId="29">
    <w:abstractNumId w:val="17"/>
  </w:num>
  <w:num w:numId="30">
    <w:abstractNumId w:val="22"/>
  </w:num>
  <w:num w:numId="31">
    <w:abstractNumId w:val="10"/>
  </w:num>
  <w:num w:numId="32">
    <w:abstractNumId w:val="6"/>
  </w:num>
  <w:num w:numId="33">
    <w:abstractNumId w:val="29"/>
  </w:num>
  <w:num w:numId="34">
    <w:abstractNumId w:val="1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28"/>
    <w:rsid w:val="00001255"/>
    <w:rsid w:val="000034F6"/>
    <w:rsid w:val="0000405E"/>
    <w:rsid w:val="0000524E"/>
    <w:rsid w:val="0000561D"/>
    <w:rsid w:val="00005D9D"/>
    <w:rsid w:val="00007E72"/>
    <w:rsid w:val="00011A20"/>
    <w:rsid w:val="00011D88"/>
    <w:rsid w:val="00012710"/>
    <w:rsid w:val="00012B67"/>
    <w:rsid w:val="000131D0"/>
    <w:rsid w:val="00015C44"/>
    <w:rsid w:val="0001651D"/>
    <w:rsid w:val="00016944"/>
    <w:rsid w:val="00020283"/>
    <w:rsid w:val="000205C7"/>
    <w:rsid w:val="00020A3C"/>
    <w:rsid w:val="00020D0F"/>
    <w:rsid w:val="0002105C"/>
    <w:rsid w:val="0002125F"/>
    <w:rsid w:val="00021A31"/>
    <w:rsid w:val="00022505"/>
    <w:rsid w:val="00022656"/>
    <w:rsid w:val="00022DAF"/>
    <w:rsid w:val="0002389E"/>
    <w:rsid w:val="000265BD"/>
    <w:rsid w:val="00030051"/>
    <w:rsid w:val="0003109F"/>
    <w:rsid w:val="000316AD"/>
    <w:rsid w:val="00031A20"/>
    <w:rsid w:val="00031D12"/>
    <w:rsid w:val="00031D2B"/>
    <w:rsid w:val="00032EFF"/>
    <w:rsid w:val="00033AE2"/>
    <w:rsid w:val="000342E7"/>
    <w:rsid w:val="00034925"/>
    <w:rsid w:val="00034C93"/>
    <w:rsid w:val="00034DBB"/>
    <w:rsid w:val="00034E80"/>
    <w:rsid w:val="00035E93"/>
    <w:rsid w:val="00036191"/>
    <w:rsid w:val="00036925"/>
    <w:rsid w:val="00036F1C"/>
    <w:rsid w:val="00037C29"/>
    <w:rsid w:val="00040A7A"/>
    <w:rsid w:val="00040B9E"/>
    <w:rsid w:val="0004198A"/>
    <w:rsid w:val="000428E7"/>
    <w:rsid w:val="00042E9D"/>
    <w:rsid w:val="0004306F"/>
    <w:rsid w:val="000441AC"/>
    <w:rsid w:val="00044FD2"/>
    <w:rsid w:val="00045046"/>
    <w:rsid w:val="00045D1E"/>
    <w:rsid w:val="00045D5C"/>
    <w:rsid w:val="00046040"/>
    <w:rsid w:val="00052BAA"/>
    <w:rsid w:val="00052D1B"/>
    <w:rsid w:val="00053202"/>
    <w:rsid w:val="000538AB"/>
    <w:rsid w:val="00053BDE"/>
    <w:rsid w:val="00056F8C"/>
    <w:rsid w:val="00060D00"/>
    <w:rsid w:val="000610FB"/>
    <w:rsid w:val="0006126F"/>
    <w:rsid w:val="00063F4A"/>
    <w:rsid w:val="00064A1C"/>
    <w:rsid w:val="00065647"/>
    <w:rsid w:val="00065772"/>
    <w:rsid w:val="000663F9"/>
    <w:rsid w:val="00067B7A"/>
    <w:rsid w:val="00067F7C"/>
    <w:rsid w:val="000714B3"/>
    <w:rsid w:val="00071594"/>
    <w:rsid w:val="00071688"/>
    <w:rsid w:val="00071F22"/>
    <w:rsid w:val="00075C05"/>
    <w:rsid w:val="00077FF7"/>
    <w:rsid w:val="000829DF"/>
    <w:rsid w:val="0008374C"/>
    <w:rsid w:val="00083E5E"/>
    <w:rsid w:val="00085E30"/>
    <w:rsid w:val="000909C1"/>
    <w:rsid w:val="000926BC"/>
    <w:rsid w:val="00093B96"/>
    <w:rsid w:val="00093F68"/>
    <w:rsid w:val="000A21C5"/>
    <w:rsid w:val="000A2753"/>
    <w:rsid w:val="000A3C23"/>
    <w:rsid w:val="000A4A77"/>
    <w:rsid w:val="000A59CE"/>
    <w:rsid w:val="000B1EE7"/>
    <w:rsid w:val="000B2381"/>
    <w:rsid w:val="000B241B"/>
    <w:rsid w:val="000B3057"/>
    <w:rsid w:val="000B5909"/>
    <w:rsid w:val="000B5EEB"/>
    <w:rsid w:val="000B704C"/>
    <w:rsid w:val="000C3744"/>
    <w:rsid w:val="000C4ABD"/>
    <w:rsid w:val="000C4C8C"/>
    <w:rsid w:val="000C5864"/>
    <w:rsid w:val="000C5DFA"/>
    <w:rsid w:val="000C604C"/>
    <w:rsid w:val="000C7A0F"/>
    <w:rsid w:val="000C7B70"/>
    <w:rsid w:val="000D0260"/>
    <w:rsid w:val="000D222F"/>
    <w:rsid w:val="000D39B4"/>
    <w:rsid w:val="000D3AA0"/>
    <w:rsid w:val="000D4367"/>
    <w:rsid w:val="000D4492"/>
    <w:rsid w:val="000D6684"/>
    <w:rsid w:val="000D758A"/>
    <w:rsid w:val="000E2A5A"/>
    <w:rsid w:val="000E2DAD"/>
    <w:rsid w:val="000E3553"/>
    <w:rsid w:val="000E35E8"/>
    <w:rsid w:val="000E4395"/>
    <w:rsid w:val="000E4EEB"/>
    <w:rsid w:val="000E7317"/>
    <w:rsid w:val="000E78B4"/>
    <w:rsid w:val="000E7926"/>
    <w:rsid w:val="000F0E0D"/>
    <w:rsid w:val="000F1014"/>
    <w:rsid w:val="000F1E0E"/>
    <w:rsid w:val="000F2C8C"/>
    <w:rsid w:val="000F31FE"/>
    <w:rsid w:val="000F42A2"/>
    <w:rsid w:val="000F60CC"/>
    <w:rsid w:val="00104E64"/>
    <w:rsid w:val="001059D3"/>
    <w:rsid w:val="00105A1F"/>
    <w:rsid w:val="0010608B"/>
    <w:rsid w:val="001061B0"/>
    <w:rsid w:val="00106A12"/>
    <w:rsid w:val="00106E88"/>
    <w:rsid w:val="00106EEB"/>
    <w:rsid w:val="00106FC3"/>
    <w:rsid w:val="0010793C"/>
    <w:rsid w:val="00110D37"/>
    <w:rsid w:val="00111B7E"/>
    <w:rsid w:val="00113C81"/>
    <w:rsid w:val="00116A6E"/>
    <w:rsid w:val="00116D38"/>
    <w:rsid w:val="00117889"/>
    <w:rsid w:val="00117A8B"/>
    <w:rsid w:val="001204F5"/>
    <w:rsid w:val="00120771"/>
    <w:rsid w:val="00120C5B"/>
    <w:rsid w:val="001217F7"/>
    <w:rsid w:val="0012186F"/>
    <w:rsid w:val="00121D44"/>
    <w:rsid w:val="00122E14"/>
    <w:rsid w:val="00124938"/>
    <w:rsid w:val="00125C59"/>
    <w:rsid w:val="0012612B"/>
    <w:rsid w:val="00126AD1"/>
    <w:rsid w:val="0012756C"/>
    <w:rsid w:val="00130DAA"/>
    <w:rsid w:val="0013188F"/>
    <w:rsid w:val="00131CD1"/>
    <w:rsid w:val="00133613"/>
    <w:rsid w:val="0013377F"/>
    <w:rsid w:val="00134C60"/>
    <w:rsid w:val="00135BB9"/>
    <w:rsid w:val="001362AA"/>
    <w:rsid w:val="00136E2C"/>
    <w:rsid w:val="001408A8"/>
    <w:rsid w:val="00141203"/>
    <w:rsid w:val="00141CFC"/>
    <w:rsid w:val="00142A97"/>
    <w:rsid w:val="00143767"/>
    <w:rsid w:val="00144025"/>
    <w:rsid w:val="0014418B"/>
    <w:rsid w:val="0014474F"/>
    <w:rsid w:val="00144D45"/>
    <w:rsid w:val="00145B13"/>
    <w:rsid w:val="00146E0A"/>
    <w:rsid w:val="001470EF"/>
    <w:rsid w:val="0014723B"/>
    <w:rsid w:val="00147347"/>
    <w:rsid w:val="001477DA"/>
    <w:rsid w:val="001521F4"/>
    <w:rsid w:val="00153F5F"/>
    <w:rsid w:val="00154B73"/>
    <w:rsid w:val="001603B0"/>
    <w:rsid w:val="00161CDD"/>
    <w:rsid w:val="00163793"/>
    <w:rsid w:val="00163797"/>
    <w:rsid w:val="00164129"/>
    <w:rsid w:val="00164231"/>
    <w:rsid w:val="0016544B"/>
    <w:rsid w:val="00165794"/>
    <w:rsid w:val="001675D2"/>
    <w:rsid w:val="00167616"/>
    <w:rsid w:val="00167882"/>
    <w:rsid w:val="00170E66"/>
    <w:rsid w:val="00170EAE"/>
    <w:rsid w:val="00170F23"/>
    <w:rsid w:val="00171B7A"/>
    <w:rsid w:val="00172517"/>
    <w:rsid w:val="001744AB"/>
    <w:rsid w:val="001765B4"/>
    <w:rsid w:val="0017712D"/>
    <w:rsid w:val="00177337"/>
    <w:rsid w:val="0017743A"/>
    <w:rsid w:val="00177DE3"/>
    <w:rsid w:val="00180B14"/>
    <w:rsid w:val="00181C41"/>
    <w:rsid w:val="001850CE"/>
    <w:rsid w:val="00187E9B"/>
    <w:rsid w:val="00191F57"/>
    <w:rsid w:val="001923F7"/>
    <w:rsid w:val="00193F6E"/>
    <w:rsid w:val="001952EF"/>
    <w:rsid w:val="0019690E"/>
    <w:rsid w:val="00196AAA"/>
    <w:rsid w:val="001A220F"/>
    <w:rsid w:val="001A315D"/>
    <w:rsid w:val="001A4413"/>
    <w:rsid w:val="001A4C1E"/>
    <w:rsid w:val="001A5CED"/>
    <w:rsid w:val="001A5E2E"/>
    <w:rsid w:val="001B0B2B"/>
    <w:rsid w:val="001B0F80"/>
    <w:rsid w:val="001B1CA5"/>
    <w:rsid w:val="001B1DCC"/>
    <w:rsid w:val="001B2081"/>
    <w:rsid w:val="001B30A3"/>
    <w:rsid w:val="001B31C9"/>
    <w:rsid w:val="001B3747"/>
    <w:rsid w:val="001B4708"/>
    <w:rsid w:val="001B5247"/>
    <w:rsid w:val="001B599F"/>
    <w:rsid w:val="001B7007"/>
    <w:rsid w:val="001B7881"/>
    <w:rsid w:val="001B7DF4"/>
    <w:rsid w:val="001C139F"/>
    <w:rsid w:val="001C1663"/>
    <w:rsid w:val="001C2CED"/>
    <w:rsid w:val="001C33C0"/>
    <w:rsid w:val="001C3414"/>
    <w:rsid w:val="001C4E75"/>
    <w:rsid w:val="001C604D"/>
    <w:rsid w:val="001C6652"/>
    <w:rsid w:val="001C67C5"/>
    <w:rsid w:val="001C7EAE"/>
    <w:rsid w:val="001D0922"/>
    <w:rsid w:val="001D0DEB"/>
    <w:rsid w:val="001D1A78"/>
    <w:rsid w:val="001D2084"/>
    <w:rsid w:val="001D3D29"/>
    <w:rsid w:val="001D43B9"/>
    <w:rsid w:val="001D4B08"/>
    <w:rsid w:val="001D4F3C"/>
    <w:rsid w:val="001D4F5A"/>
    <w:rsid w:val="001D5067"/>
    <w:rsid w:val="001D7AA7"/>
    <w:rsid w:val="001E0D45"/>
    <w:rsid w:val="001E0E84"/>
    <w:rsid w:val="001E48BB"/>
    <w:rsid w:val="001E5328"/>
    <w:rsid w:val="001E6FC2"/>
    <w:rsid w:val="001E71EC"/>
    <w:rsid w:val="001E7B41"/>
    <w:rsid w:val="001F0B6F"/>
    <w:rsid w:val="001F1742"/>
    <w:rsid w:val="001F3619"/>
    <w:rsid w:val="001F3D10"/>
    <w:rsid w:val="001F57E5"/>
    <w:rsid w:val="001F5BCF"/>
    <w:rsid w:val="001F6BBC"/>
    <w:rsid w:val="001F7D3A"/>
    <w:rsid w:val="00201F79"/>
    <w:rsid w:val="00202182"/>
    <w:rsid w:val="002021BB"/>
    <w:rsid w:val="00204D0F"/>
    <w:rsid w:val="00204D6D"/>
    <w:rsid w:val="00205E37"/>
    <w:rsid w:val="002073B3"/>
    <w:rsid w:val="0021020E"/>
    <w:rsid w:val="00211AEA"/>
    <w:rsid w:val="00212190"/>
    <w:rsid w:val="002121F8"/>
    <w:rsid w:val="002129D6"/>
    <w:rsid w:val="00212D02"/>
    <w:rsid w:val="00215960"/>
    <w:rsid w:val="00216238"/>
    <w:rsid w:val="002167C3"/>
    <w:rsid w:val="00217E25"/>
    <w:rsid w:val="002203BF"/>
    <w:rsid w:val="002206A3"/>
    <w:rsid w:val="00220DA9"/>
    <w:rsid w:val="0022128D"/>
    <w:rsid w:val="0022137D"/>
    <w:rsid w:val="00221BE8"/>
    <w:rsid w:val="0022226F"/>
    <w:rsid w:val="0022406A"/>
    <w:rsid w:val="00224177"/>
    <w:rsid w:val="00224306"/>
    <w:rsid w:val="002249C1"/>
    <w:rsid w:val="002251A3"/>
    <w:rsid w:val="00226107"/>
    <w:rsid w:val="002262B6"/>
    <w:rsid w:val="00227A09"/>
    <w:rsid w:val="002309EC"/>
    <w:rsid w:val="00230EA8"/>
    <w:rsid w:val="002331B3"/>
    <w:rsid w:val="00233BA4"/>
    <w:rsid w:val="00234154"/>
    <w:rsid w:val="00234BAB"/>
    <w:rsid w:val="002358F8"/>
    <w:rsid w:val="002364BB"/>
    <w:rsid w:val="00236946"/>
    <w:rsid w:val="0024045E"/>
    <w:rsid w:val="00240E7E"/>
    <w:rsid w:val="00241D3A"/>
    <w:rsid w:val="00242284"/>
    <w:rsid w:val="0024233E"/>
    <w:rsid w:val="00244260"/>
    <w:rsid w:val="0024461E"/>
    <w:rsid w:val="00244839"/>
    <w:rsid w:val="00244EEE"/>
    <w:rsid w:val="00245172"/>
    <w:rsid w:val="00246390"/>
    <w:rsid w:val="00246BBF"/>
    <w:rsid w:val="00247220"/>
    <w:rsid w:val="0025087C"/>
    <w:rsid w:val="00251F7C"/>
    <w:rsid w:val="00253859"/>
    <w:rsid w:val="00253F8E"/>
    <w:rsid w:val="00254AF4"/>
    <w:rsid w:val="0026113D"/>
    <w:rsid w:val="002620FC"/>
    <w:rsid w:val="00262DB0"/>
    <w:rsid w:val="002635F9"/>
    <w:rsid w:val="002659D2"/>
    <w:rsid w:val="00267164"/>
    <w:rsid w:val="00267F98"/>
    <w:rsid w:val="002713CD"/>
    <w:rsid w:val="0027254E"/>
    <w:rsid w:val="00274113"/>
    <w:rsid w:val="002742F0"/>
    <w:rsid w:val="00274626"/>
    <w:rsid w:val="00274A7B"/>
    <w:rsid w:val="00274C79"/>
    <w:rsid w:val="00274FAA"/>
    <w:rsid w:val="0027501B"/>
    <w:rsid w:val="00275A88"/>
    <w:rsid w:val="00276071"/>
    <w:rsid w:val="0028020F"/>
    <w:rsid w:val="002818AE"/>
    <w:rsid w:val="002818C3"/>
    <w:rsid w:val="00282000"/>
    <w:rsid w:val="00282357"/>
    <w:rsid w:val="00283363"/>
    <w:rsid w:val="00284372"/>
    <w:rsid w:val="00284E3A"/>
    <w:rsid w:val="00285169"/>
    <w:rsid w:val="0028669C"/>
    <w:rsid w:val="00286AC2"/>
    <w:rsid w:val="00286C0F"/>
    <w:rsid w:val="0028749C"/>
    <w:rsid w:val="0029088A"/>
    <w:rsid w:val="00290FC4"/>
    <w:rsid w:val="002918E7"/>
    <w:rsid w:val="00291C00"/>
    <w:rsid w:val="00291E91"/>
    <w:rsid w:val="00291FF1"/>
    <w:rsid w:val="0029393E"/>
    <w:rsid w:val="00293CCE"/>
    <w:rsid w:val="00295DA2"/>
    <w:rsid w:val="002975C0"/>
    <w:rsid w:val="00297F0C"/>
    <w:rsid w:val="002A0849"/>
    <w:rsid w:val="002A0C64"/>
    <w:rsid w:val="002A2A29"/>
    <w:rsid w:val="002A3C0D"/>
    <w:rsid w:val="002A4B98"/>
    <w:rsid w:val="002A5174"/>
    <w:rsid w:val="002A6FBD"/>
    <w:rsid w:val="002A7772"/>
    <w:rsid w:val="002A7E03"/>
    <w:rsid w:val="002B1712"/>
    <w:rsid w:val="002B31FE"/>
    <w:rsid w:val="002B36C4"/>
    <w:rsid w:val="002B4528"/>
    <w:rsid w:val="002B52FC"/>
    <w:rsid w:val="002B56B5"/>
    <w:rsid w:val="002B58E7"/>
    <w:rsid w:val="002B7597"/>
    <w:rsid w:val="002C028A"/>
    <w:rsid w:val="002C06E2"/>
    <w:rsid w:val="002C0C89"/>
    <w:rsid w:val="002C0CCF"/>
    <w:rsid w:val="002C2D62"/>
    <w:rsid w:val="002C385F"/>
    <w:rsid w:val="002C53CD"/>
    <w:rsid w:val="002C5F28"/>
    <w:rsid w:val="002C69EF"/>
    <w:rsid w:val="002C6C89"/>
    <w:rsid w:val="002C7C59"/>
    <w:rsid w:val="002C7EF9"/>
    <w:rsid w:val="002D0F84"/>
    <w:rsid w:val="002D1264"/>
    <w:rsid w:val="002D30F5"/>
    <w:rsid w:val="002D32CE"/>
    <w:rsid w:val="002D3988"/>
    <w:rsid w:val="002D4EE9"/>
    <w:rsid w:val="002D556B"/>
    <w:rsid w:val="002D58DE"/>
    <w:rsid w:val="002D607E"/>
    <w:rsid w:val="002D7EEB"/>
    <w:rsid w:val="002E13FE"/>
    <w:rsid w:val="002E3394"/>
    <w:rsid w:val="002E3CC1"/>
    <w:rsid w:val="002E47AF"/>
    <w:rsid w:val="002E4A70"/>
    <w:rsid w:val="002E5477"/>
    <w:rsid w:val="002E5C9C"/>
    <w:rsid w:val="002E7320"/>
    <w:rsid w:val="002F0E48"/>
    <w:rsid w:val="002F2621"/>
    <w:rsid w:val="002F2AAF"/>
    <w:rsid w:val="002F50C8"/>
    <w:rsid w:val="002F5AC4"/>
    <w:rsid w:val="002F621C"/>
    <w:rsid w:val="002F655E"/>
    <w:rsid w:val="002F68ED"/>
    <w:rsid w:val="002F693A"/>
    <w:rsid w:val="002F70E8"/>
    <w:rsid w:val="0030099A"/>
    <w:rsid w:val="00303D84"/>
    <w:rsid w:val="00304E50"/>
    <w:rsid w:val="0030559F"/>
    <w:rsid w:val="00306CE5"/>
    <w:rsid w:val="00307F4D"/>
    <w:rsid w:val="0031065B"/>
    <w:rsid w:val="003109A1"/>
    <w:rsid w:val="00311886"/>
    <w:rsid w:val="00312101"/>
    <w:rsid w:val="00312FAB"/>
    <w:rsid w:val="00315147"/>
    <w:rsid w:val="00320CEB"/>
    <w:rsid w:val="003211F2"/>
    <w:rsid w:val="0032184C"/>
    <w:rsid w:val="0032223F"/>
    <w:rsid w:val="00326851"/>
    <w:rsid w:val="00327117"/>
    <w:rsid w:val="0032727D"/>
    <w:rsid w:val="003275C3"/>
    <w:rsid w:val="00327DD9"/>
    <w:rsid w:val="003311D8"/>
    <w:rsid w:val="00332DC8"/>
    <w:rsid w:val="00334B78"/>
    <w:rsid w:val="00334EF7"/>
    <w:rsid w:val="00335D10"/>
    <w:rsid w:val="00344F0E"/>
    <w:rsid w:val="003450A5"/>
    <w:rsid w:val="00350E54"/>
    <w:rsid w:val="003510CF"/>
    <w:rsid w:val="003514A5"/>
    <w:rsid w:val="0035282E"/>
    <w:rsid w:val="00352AE6"/>
    <w:rsid w:val="00352D16"/>
    <w:rsid w:val="003544F3"/>
    <w:rsid w:val="00354522"/>
    <w:rsid w:val="003550DA"/>
    <w:rsid w:val="00355E63"/>
    <w:rsid w:val="00356D5B"/>
    <w:rsid w:val="00357ECD"/>
    <w:rsid w:val="00357F0E"/>
    <w:rsid w:val="00363284"/>
    <w:rsid w:val="00363620"/>
    <w:rsid w:val="00364150"/>
    <w:rsid w:val="00365A67"/>
    <w:rsid w:val="00366AD0"/>
    <w:rsid w:val="003678C5"/>
    <w:rsid w:val="00371AA6"/>
    <w:rsid w:val="00373083"/>
    <w:rsid w:val="003734AB"/>
    <w:rsid w:val="0037371A"/>
    <w:rsid w:val="00373F64"/>
    <w:rsid w:val="0037556D"/>
    <w:rsid w:val="00376208"/>
    <w:rsid w:val="00376898"/>
    <w:rsid w:val="00376AF2"/>
    <w:rsid w:val="003814F2"/>
    <w:rsid w:val="00381836"/>
    <w:rsid w:val="00381A07"/>
    <w:rsid w:val="00382A29"/>
    <w:rsid w:val="00383837"/>
    <w:rsid w:val="003842E9"/>
    <w:rsid w:val="00385395"/>
    <w:rsid w:val="00386182"/>
    <w:rsid w:val="00386AFE"/>
    <w:rsid w:val="00387429"/>
    <w:rsid w:val="00387725"/>
    <w:rsid w:val="003911B7"/>
    <w:rsid w:val="00392936"/>
    <w:rsid w:val="00394433"/>
    <w:rsid w:val="00394E47"/>
    <w:rsid w:val="00394FA6"/>
    <w:rsid w:val="003952A2"/>
    <w:rsid w:val="00395781"/>
    <w:rsid w:val="003963DC"/>
    <w:rsid w:val="00397F6E"/>
    <w:rsid w:val="003A092A"/>
    <w:rsid w:val="003A2303"/>
    <w:rsid w:val="003A4CA2"/>
    <w:rsid w:val="003A61DE"/>
    <w:rsid w:val="003A695B"/>
    <w:rsid w:val="003A6995"/>
    <w:rsid w:val="003A6C47"/>
    <w:rsid w:val="003A76D7"/>
    <w:rsid w:val="003B0653"/>
    <w:rsid w:val="003B0874"/>
    <w:rsid w:val="003B2F22"/>
    <w:rsid w:val="003B4525"/>
    <w:rsid w:val="003B49C7"/>
    <w:rsid w:val="003B59AD"/>
    <w:rsid w:val="003B7B5D"/>
    <w:rsid w:val="003C067E"/>
    <w:rsid w:val="003C0D9D"/>
    <w:rsid w:val="003C0E1C"/>
    <w:rsid w:val="003C1435"/>
    <w:rsid w:val="003C1E7B"/>
    <w:rsid w:val="003C39BC"/>
    <w:rsid w:val="003C5232"/>
    <w:rsid w:val="003C619E"/>
    <w:rsid w:val="003C63A3"/>
    <w:rsid w:val="003C6FC7"/>
    <w:rsid w:val="003C72A6"/>
    <w:rsid w:val="003C77DD"/>
    <w:rsid w:val="003C781F"/>
    <w:rsid w:val="003D1450"/>
    <w:rsid w:val="003D196F"/>
    <w:rsid w:val="003D2469"/>
    <w:rsid w:val="003D2A61"/>
    <w:rsid w:val="003D2DF5"/>
    <w:rsid w:val="003D4142"/>
    <w:rsid w:val="003D47C8"/>
    <w:rsid w:val="003D51BB"/>
    <w:rsid w:val="003E0002"/>
    <w:rsid w:val="003E09C0"/>
    <w:rsid w:val="003E166A"/>
    <w:rsid w:val="003E1CE4"/>
    <w:rsid w:val="003E298E"/>
    <w:rsid w:val="003E3456"/>
    <w:rsid w:val="003E4DC6"/>
    <w:rsid w:val="003E51E6"/>
    <w:rsid w:val="003E7B23"/>
    <w:rsid w:val="003F0881"/>
    <w:rsid w:val="003F36C1"/>
    <w:rsid w:val="003F4951"/>
    <w:rsid w:val="003F527A"/>
    <w:rsid w:val="003F6533"/>
    <w:rsid w:val="003F7082"/>
    <w:rsid w:val="003F7300"/>
    <w:rsid w:val="003F7C84"/>
    <w:rsid w:val="003F7E15"/>
    <w:rsid w:val="004007CD"/>
    <w:rsid w:val="00401E27"/>
    <w:rsid w:val="00403A33"/>
    <w:rsid w:val="00405763"/>
    <w:rsid w:val="004058A7"/>
    <w:rsid w:val="004108FB"/>
    <w:rsid w:val="0041188F"/>
    <w:rsid w:val="00412677"/>
    <w:rsid w:val="00412FF3"/>
    <w:rsid w:val="00414323"/>
    <w:rsid w:val="00414F6B"/>
    <w:rsid w:val="00415329"/>
    <w:rsid w:val="00415A40"/>
    <w:rsid w:val="00415BB1"/>
    <w:rsid w:val="0041652E"/>
    <w:rsid w:val="00416A0E"/>
    <w:rsid w:val="00416CD2"/>
    <w:rsid w:val="00416E03"/>
    <w:rsid w:val="00417283"/>
    <w:rsid w:val="004200CA"/>
    <w:rsid w:val="004203C1"/>
    <w:rsid w:val="004213C0"/>
    <w:rsid w:val="00422022"/>
    <w:rsid w:val="004228DF"/>
    <w:rsid w:val="00424AA1"/>
    <w:rsid w:val="0042561B"/>
    <w:rsid w:val="00425CD7"/>
    <w:rsid w:val="00426036"/>
    <w:rsid w:val="00426373"/>
    <w:rsid w:val="00426F7D"/>
    <w:rsid w:val="00430BFA"/>
    <w:rsid w:val="0043142F"/>
    <w:rsid w:val="00433135"/>
    <w:rsid w:val="00433B8F"/>
    <w:rsid w:val="004347D8"/>
    <w:rsid w:val="004347E1"/>
    <w:rsid w:val="00434F8A"/>
    <w:rsid w:val="0043559F"/>
    <w:rsid w:val="00435CA9"/>
    <w:rsid w:val="00435ED2"/>
    <w:rsid w:val="004368DE"/>
    <w:rsid w:val="0044050F"/>
    <w:rsid w:val="004410BF"/>
    <w:rsid w:val="0044175E"/>
    <w:rsid w:val="00441C95"/>
    <w:rsid w:val="00441E25"/>
    <w:rsid w:val="00443278"/>
    <w:rsid w:val="00443465"/>
    <w:rsid w:val="00443C3C"/>
    <w:rsid w:val="00444234"/>
    <w:rsid w:val="0044442C"/>
    <w:rsid w:val="00451219"/>
    <w:rsid w:val="0045167D"/>
    <w:rsid w:val="00451D96"/>
    <w:rsid w:val="0045428B"/>
    <w:rsid w:val="0045475A"/>
    <w:rsid w:val="00455BC2"/>
    <w:rsid w:val="004565BC"/>
    <w:rsid w:val="004602A2"/>
    <w:rsid w:val="0046143D"/>
    <w:rsid w:val="00461924"/>
    <w:rsid w:val="00461B43"/>
    <w:rsid w:val="00461D02"/>
    <w:rsid w:val="00462343"/>
    <w:rsid w:val="00462A90"/>
    <w:rsid w:val="00463F87"/>
    <w:rsid w:val="00464AD9"/>
    <w:rsid w:val="00464C3D"/>
    <w:rsid w:val="00465C97"/>
    <w:rsid w:val="00466D9B"/>
    <w:rsid w:val="004676A2"/>
    <w:rsid w:val="004707B4"/>
    <w:rsid w:val="0047200B"/>
    <w:rsid w:val="0047249A"/>
    <w:rsid w:val="00472893"/>
    <w:rsid w:val="004766A9"/>
    <w:rsid w:val="00477541"/>
    <w:rsid w:val="00477AF5"/>
    <w:rsid w:val="00480D4E"/>
    <w:rsid w:val="00481B98"/>
    <w:rsid w:val="0048377D"/>
    <w:rsid w:val="00483973"/>
    <w:rsid w:val="00484918"/>
    <w:rsid w:val="00487428"/>
    <w:rsid w:val="00487A02"/>
    <w:rsid w:val="004920C0"/>
    <w:rsid w:val="004925E7"/>
    <w:rsid w:val="00494C6A"/>
    <w:rsid w:val="00494FAE"/>
    <w:rsid w:val="004A25EA"/>
    <w:rsid w:val="004A3840"/>
    <w:rsid w:val="004A55AC"/>
    <w:rsid w:val="004A644E"/>
    <w:rsid w:val="004A69D2"/>
    <w:rsid w:val="004A7852"/>
    <w:rsid w:val="004B04BB"/>
    <w:rsid w:val="004B1B43"/>
    <w:rsid w:val="004B2B47"/>
    <w:rsid w:val="004B31B9"/>
    <w:rsid w:val="004B3366"/>
    <w:rsid w:val="004B6737"/>
    <w:rsid w:val="004B7691"/>
    <w:rsid w:val="004C0FD0"/>
    <w:rsid w:val="004C2CFB"/>
    <w:rsid w:val="004C404D"/>
    <w:rsid w:val="004C45BA"/>
    <w:rsid w:val="004C5CA6"/>
    <w:rsid w:val="004C617B"/>
    <w:rsid w:val="004C695B"/>
    <w:rsid w:val="004C71EA"/>
    <w:rsid w:val="004C7C14"/>
    <w:rsid w:val="004D0B09"/>
    <w:rsid w:val="004D21C7"/>
    <w:rsid w:val="004D3122"/>
    <w:rsid w:val="004D5123"/>
    <w:rsid w:val="004D5BED"/>
    <w:rsid w:val="004D6303"/>
    <w:rsid w:val="004D6615"/>
    <w:rsid w:val="004D6D7A"/>
    <w:rsid w:val="004D7525"/>
    <w:rsid w:val="004E18B5"/>
    <w:rsid w:val="004E18E4"/>
    <w:rsid w:val="004E2B3C"/>
    <w:rsid w:val="004E33A8"/>
    <w:rsid w:val="004E50CF"/>
    <w:rsid w:val="004E5696"/>
    <w:rsid w:val="004E5CFC"/>
    <w:rsid w:val="004E5F76"/>
    <w:rsid w:val="004E6864"/>
    <w:rsid w:val="004F1030"/>
    <w:rsid w:val="004F10FC"/>
    <w:rsid w:val="004F1F8A"/>
    <w:rsid w:val="004F3E74"/>
    <w:rsid w:val="004F4248"/>
    <w:rsid w:val="004F4EE6"/>
    <w:rsid w:val="004F55E2"/>
    <w:rsid w:val="004F6103"/>
    <w:rsid w:val="00501B0E"/>
    <w:rsid w:val="00502CAB"/>
    <w:rsid w:val="00502E31"/>
    <w:rsid w:val="005037A6"/>
    <w:rsid w:val="0050600C"/>
    <w:rsid w:val="00506412"/>
    <w:rsid w:val="00506C15"/>
    <w:rsid w:val="00507F28"/>
    <w:rsid w:val="005105C7"/>
    <w:rsid w:val="00510714"/>
    <w:rsid w:val="005125C6"/>
    <w:rsid w:val="00512E57"/>
    <w:rsid w:val="00513131"/>
    <w:rsid w:val="00513F5D"/>
    <w:rsid w:val="00514230"/>
    <w:rsid w:val="005142A9"/>
    <w:rsid w:val="0051502C"/>
    <w:rsid w:val="00515462"/>
    <w:rsid w:val="0051547F"/>
    <w:rsid w:val="00515A4A"/>
    <w:rsid w:val="00516426"/>
    <w:rsid w:val="00516487"/>
    <w:rsid w:val="0051758D"/>
    <w:rsid w:val="00517C43"/>
    <w:rsid w:val="00520114"/>
    <w:rsid w:val="00521278"/>
    <w:rsid w:val="00523069"/>
    <w:rsid w:val="00524E8E"/>
    <w:rsid w:val="00525A79"/>
    <w:rsid w:val="00526C28"/>
    <w:rsid w:val="0052764B"/>
    <w:rsid w:val="0052778F"/>
    <w:rsid w:val="00527AD2"/>
    <w:rsid w:val="005309F9"/>
    <w:rsid w:val="00531527"/>
    <w:rsid w:val="00531A1D"/>
    <w:rsid w:val="00534A4E"/>
    <w:rsid w:val="00534BC0"/>
    <w:rsid w:val="00535786"/>
    <w:rsid w:val="005360C2"/>
    <w:rsid w:val="00536570"/>
    <w:rsid w:val="00536E2F"/>
    <w:rsid w:val="00537B7A"/>
    <w:rsid w:val="00540B19"/>
    <w:rsid w:val="00542059"/>
    <w:rsid w:val="0054269E"/>
    <w:rsid w:val="00543F50"/>
    <w:rsid w:val="0054552D"/>
    <w:rsid w:val="00545637"/>
    <w:rsid w:val="005462E4"/>
    <w:rsid w:val="005466FB"/>
    <w:rsid w:val="0055100E"/>
    <w:rsid w:val="00551D10"/>
    <w:rsid w:val="00552348"/>
    <w:rsid w:val="00552AE0"/>
    <w:rsid w:val="0055377E"/>
    <w:rsid w:val="00556F91"/>
    <w:rsid w:val="0055702B"/>
    <w:rsid w:val="00557761"/>
    <w:rsid w:val="005600F9"/>
    <w:rsid w:val="005608C0"/>
    <w:rsid w:val="005608FA"/>
    <w:rsid w:val="005609FC"/>
    <w:rsid w:val="00561900"/>
    <w:rsid w:val="00562D0E"/>
    <w:rsid w:val="00562D81"/>
    <w:rsid w:val="00562EE1"/>
    <w:rsid w:val="005642D5"/>
    <w:rsid w:val="00564D76"/>
    <w:rsid w:val="005652B9"/>
    <w:rsid w:val="00567669"/>
    <w:rsid w:val="00567D7B"/>
    <w:rsid w:val="00571500"/>
    <w:rsid w:val="00572830"/>
    <w:rsid w:val="00573227"/>
    <w:rsid w:val="005746AF"/>
    <w:rsid w:val="00576EC5"/>
    <w:rsid w:val="00577751"/>
    <w:rsid w:val="005779AC"/>
    <w:rsid w:val="00577AA2"/>
    <w:rsid w:val="00577E42"/>
    <w:rsid w:val="0058055A"/>
    <w:rsid w:val="005846B1"/>
    <w:rsid w:val="005860CA"/>
    <w:rsid w:val="00586D3A"/>
    <w:rsid w:val="00587A4A"/>
    <w:rsid w:val="005902EE"/>
    <w:rsid w:val="0059054D"/>
    <w:rsid w:val="0059131F"/>
    <w:rsid w:val="005918C3"/>
    <w:rsid w:val="00591A3E"/>
    <w:rsid w:val="00592918"/>
    <w:rsid w:val="00593041"/>
    <w:rsid w:val="00593A5B"/>
    <w:rsid w:val="00594149"/>
    <w:rsid w:val="005948B3"/>
    <w:rsid w:val="00595AF4"/>
    <w:rsid w:val="005974A5"/>
    <w:rsid w:val="00597902"/>
    <w:rsid w:val="005A0A8A"/>
    <w:rsid w:val="005A0B51"/>
    <w:rsid w:val="005A0DBD"/>
    <w:rsid w:val="005A0DF0"/>
    <w:rsid w:val="005A0E2A"/>
    <w:rsid w:val="005A14F9"/>
    <w:rsid w:val="005A3232"/>
    <w:rsid w:val="005A331A"/>
    <w:rsid w:val="005A44EE"/>
    <w:rsid w:val="005A453F"/>
    <w:rsid w:val="005A4C38"/>
    <w:rsid w:val="005A4E90"/>
    <w:rsid w:val="005A5D50"/>
    <w:rsid w:val="005A76C7"/>
    <w:rsid w:val="005A7720"/>
    <w:rsid w:val="005A7730"/>
    <w:rsid w:val="005A7FAE"/>
    <w:rsid w:val="005B251F"/>
    <w:rsid w:val="005B3123"/>
    <w:rsid w:val="005B4F16"/>
    <w:rsid w:val="005B5C34"/>
    <w:rsid w:val="005B66E2"/>
    <w:rsid w:val="005B702B"/>
    <w:rsid w:val="005B79AA"/>
    <w:rsid w:val="005C03EA"/>
    <w:rsid w:val="005C03EE"/>
    <w:rsid w:val="005C07C4"/>
    <w:rsid w:val="005C0B52"/>
    <w:rsid w:val="005C4AE0"/>
    <w:rsid w:val="005C4C97"/>
    <w:rsid w:val="005C4E9B"/>
    <w:rsid w:val="005C723F"/>
    <w:rsid w:val="005C7794"/>
    <w:rsid w:val="005D0639"/>
    <w:rsid w:val="005D139A"/>
    <w:rsid w:val="005D2FC8"/>
    <w:rsid w:val="005D410C"/>
    <w:rsid w:val="005D4293"/>
    <w:rsid w:val="005D4465"/>
    <w:rsid w:val="005D4C1C"/>
    <w:rsid w:val="005D4F97"/>
    <w:rsid w:val="005D4FD2"/>
    <w:rsid w:val="005D602C"/>
    <w:rsid w:val="005D6626"/>
    <w:rsid w:val="005D681E"/>
    <w:rsid w:val="005D6C3B"/>
    <w:rsid w:val="005D6D8B"/>
    <w:rsid w:val="005D773E"/>
    <w:rsid w:val="005D7CC4"/>
    <w:rsid w:val="005E1B8B"/>
    <w:rsid w:val="005E3253"/>
    <w:rsid w:val="005E344A"/>
    <w:rsid w:val="005E509B"/>
    <w:rsid w:val="005E646D"/>
    <w:rsid w:val="005E6BB4"/>
    <w:rsid w:val="005E706E"/>
    <w:rsid w:val="005E7F82"/>
    <w:rsid w:val="005F279E"/>
    <w:rsid w:val="005F2FAA"/>
    <w:rsid w:val="0060081E"/>
    <w:rsid w:val="00600A33"/>
    <w:rsid w:val="00602D09"/>
    <w:rsid w:val="00603194"/>
    <w:rsid w:val="00604DF1"/>
    <w:rsid w:val="006058C2"/>
    <w:rsid w:val="0060686B"/>
    <w:rsid w:val="006069A2"/>
    <w:rsid w:val="006079AC"/>
    <w:rsid w:val="00610EF6"/>
    <w:rsid w:val="006113C6"/>
    <w:rsid w:val="0061153B"/>
    <w:rsid w:val="00612964"/>
    <w:rsid w:val="00612E10"/>
    <w:rsid w:val="00613A31"/>
    <w:rsid w:val="00613EA6"/>
    <w:rsid w:val="006154AA"/>
    <w:rsid w:val="006201B7"/>
    <w:rsid w:val="0062039C"/>
    <w:rsid w:val="00622540"/>
    <w:rsid w:val="00623DD0"/>
    <w:rsid w:val="006245FE"/>
    <w:rsid w:val="0062515B"/>
    <w:rsid w:val="00627724"/>
    <w:rsid w:val="00631813"/>
    <w:rsid w:val="00632F35"/>
    <w:rsid w:val="0063397E"/>
    <w:rsid w:val="0063449E"/>
    <w:rsid w:val="0063713A"/>
    <w:rsid w:val="00637545"/>
    <w:rsid w:val="0064367C"/>
    <w:rsid w:val="00643952"/>
    <w:rsid w:val="006471A9"/>
    <w:rsid w:val="0064743D"/>
    <w:rsid w:val="006500F5"/>
    <w:rsid w:val="006500F8"/>
    <w:rsid w:val="00650CBF"/>
    <w:rsid w:val="006515E8"/>
    <w:rsid w:val="0065167A"/>
    <w:rsid w:val="0065598A"/>
    <w:rsid w:val="00656222"/>
    <w:rsid w:val="006567F3"/>
    <w:rsid w:val="00656B8E"/>
    <w:rsid w:val="00661C0D"/>
    <w:rsid w:val="00662F50"/>
    <w:rsid w:val="006647BB"/>
    <w:rsid w:val="00666A74"/>
    <w:rsid w:val="00666C9D"/>
    <w:rsid w:val="00666F38"/>
    <w:rsid w:val="00670F78"/>
    <w:rsid w:val="0067272A"/>
    <w:rsid w:val="006743D5"/>
    <w:rsid w:val="00675027"/>
    <w:rsid w:val="006751A1"/>
    <w:rsid w:val="00675872"/>
    <w:rsid w:val="006761EC"/>
    <w:rsid w:val="006776BE"/>
    <w:rsid w:val="006778D8"/>
    <w:rsid w:val="00677ED5"/>
    <w:rsid w:val="0068219B"/>
    <w:rsid w:val="00683440"/>
    <w:rsid w:val="00683AB8"/>
    <w:rsid w:val="0068432D"/>
    <w:rsid w:val="00684AE4"/>
    <w:rsid w:val="00685424"/>
    <w:rsid w:val="0068569A"/>
    <w:rsid w:val="00686E10"/>
    <w:rsid w:val="00686E27"/>
    <w:rsid w:val="006870D4"/>
    <w:rsid w:val="0068772C"/>
    <w:rsid w:val="00687EDD"/>
    <w:rsid w:val="006913F1"/>
    <w:rsid w:val="00693324"/>
    <w:rsid w:val="006934C1"/>
    <w:rsid w:val="00693DE1"/>
    <w:rsid w:val="006943BC"/>
    <w:rsid w:val="00694802"/>
    <w:rsid w:val="00694E8D"/>
    <w:rsid w:val="00695254"/>
    <w:rsid w:val="00695654"/>
    <w:rsid w:val="0069570C"/>
    <w:rsid w:val="00695F2A"/>
    <w:rsid w:val="00696199"/>
    <w:rsid w:val="006964E4"/>
    <w:rsid w:val="0069667D"/>
    <w:rsid w:val="00696C35"/>
    <w:rsid w:val="00697C5B"/>
    <w:rsid w:val="006A2B2D"/>
    <w:rsid w:val="006A2F94"/>
    <w:rsid w:val="006A372B"/>
    <w:rsid w:val="006A3750"/>
    <w:rsid w:val="006A3E2B"/>
    <w:rsid w:val="006A40C9"/>
    <w:rsid w:val="006A41D9"/>
    <w:rsid w:val="006A4413"/>
    <w:rsid w:val="006A4E54"/>
    <w:rsid w:val="006A522A"/>
    <w:rsid w:val="006A60A2"/>
    <w:rsid w:val="006A66E5"/>
    <w:rsid w:val="006A7D64"/>
    <w:rsid w:val="006B041A"/>
    <w:rsid w:val="006B0B09"/>
    <w:rsid w:val="006B0FD9"/>
    <w:rsid w:val="006B2067"/>
    <w:rsid w:val="006B3761"/>
    <w:rsid w:val="006B4F63"/>
    <w:rsid w:val="006B5E19"/>
    <w:rsid w:val="006B7770"/>
    <w:rsid w:val="006B7E17"/>
    <w:rsid w:val="006C1777"/>
    <w:rsid w:val="006C1CDE"/>
    <w:rsid w:val="006C254D"/>
    <w:rsid w:val="006C3B72"/>
    <w:rsid w:val="006C4673"/>
    <w:rsid w:val="006C6383"/>
    <w:rsid w:val="006C6592"/>
    <w:rsid w:val="006C69F9"/>
    <w:rsid w:val="006C6AA6"/>
    <w:rsid w:val="006C70C9"/>
    <w:rsid w:val="006D0734"/>
    <w:rsid w:val="006D0E78"/>
    <w:rsid w:val="006D1539"/>
    <w:rsid w:val="006D1F24"/>
    <w:rsid w:val="006D2A6A"/>
    <w:rsid w:val="006D306D"/>
    <w:rsid w:val="006D33CA"/>
    <w:rsid w:val="006D43B3"/>
    <w:rsid w:val="006D48F3"/>
    <w:rsid w:val="006D4C5C"/>
    <w:rsid w:val="006D6BDF"/>
    <w:rsid w:val="006E06A9"/>
    <w:rsid w:val="006E0710"/>
    <w:rsid w:val="006E1A06"/>
    <w:rsid w:val="006E2511"/>
    <w:rsid w:val="006E3051"/>
    <w:rsid w:val="006E31C5"/>
    <w:rsid w:val="006E6C2E"/>
    <w:rsid w:val="006E6C79"/>
    <w:rsid w:val="006F1086"/>
    <w:rsid w:val="006F14CD"/>
    <w:rsid w:val="006F17F8"/>
    <w:rsid w:val="006F590F"/>
    <w:rsid w:val="006F73B5"/>
    <w:rsid w:val="0070020E"/>
    <w:rsid w:val="0070095B"/>
    <w:rsid w:val="00703396"/>
    <w:rsid w:val="00705783"/>
    <w:rsid w:val="007064D6"/>
    <w:rsid w:val="007107A9"/>
    <w:rsid w:val="0071093D"/>
    <w:rsid w:val="0071099F"/>
    <w:rsid w:val="00710ABA"/>
    <w:rsid w:val="0071125B"/>
    <w:rsid w:val="007114F6"/>
    <w:rsid w:val="007122FF"/>
    <w:rsid w:val="007127BC"/>
    <w:rsid w:val="007139A1"/>
    <w:rsid w:val="00715652"/>
    <w:rsid w:val="00715B25"/>
    <w:rsid w:val="00716035"/>
    <w:rsid w:val="0071716B"/>
    <w:rsid w:val="007172C9"/>
    <w:rsid w:val="00717AC2"/>
    <w:rsid w:val="00720245"/>
    <w:rsid w:val="00720D75"/>
    <w:rsid w:val="0072128C"/>
    <w:rsid w:val="007228F1"/>
    <w:rsid w:val="00722BBD"/>
    <w:rsid w:val="00723BC6"/>
    <w:rsid w:val="00723F73"/>
    <w:rsid w:val="0072494A"/>
    <w:rsid w:val="00725041"/>
    <w:rsid w:val="00725097"/>
    <w:rsid w:val="00725DA7"/>
    <w:rsid w:val="0072696A"/>
    <w:rsid w:val="007273D0"/>
    <w:rsid w:val="007315EF"/>
    <w:rsid w:val="00731846"/>
    <w:rsid w:val="007343D3"/>
    <w:rsid w:val="00735158"/>
    <w:rsid w:val="00735CDD"/>
    <w:rsid w:val="00736569"/>
    <w:rsid w:val="00736687"/>
    <w:rsid w:val="0073777F"/>
    <w:rsid w:val="00743408"/>
    <w:rsid w:val="00743991"/>
    <w:rsid w:val="0074522B"/>
    <w:rsid w:val="00747229"/>
    <w:rsid w:val="007479DC"/>
    <w:rsid w:val="00747D4A"/>
    <w:rsid w:val="0075199D"/>
    <w:rsid w:val="00751D90"/>
    <w:rsid w:val="00751EDD"/>
    <w:rsid w:val="00752F08"/>
    <w:rsid w:val="00753135"/>
    <w:rsid w:val="0075468C"/>
    <w:rsid w:val="00754BFB"/>
    <w:rsid w:val="007565CE"/>
    <w:rsid w:val="0075738F"/>
    <w:rsid w:val="00757507"/>
    <w:rsid w:val="00757B6B"/>
    <w:rsid w:val="00761857"/>
    <w:rsid w:val="00761913"/>
    <w:rsid w:val="00764C2D"/>
    <w:rsid w:val="007676FF"/>
    <w:rsid w:val="00767A9A"/>
    <w:rsid w:val="00770070"/>
    <w:rsid w:val="00771126"/>
    <w:rsid w:val="00771295"/>
    <w:rsid w:val="007723E7"/>
    <w:rsid w:val="00774FED"/>
    <w:rsid w:val="0077578E"/>
    <w:rsid w:val="007761BE"/>
    <w:rsid w:val="00777F37"/>
    <w:rsid w:val="00780650"/>
    <w:rsid w:val="0078116D"/>
    <w:rsid w:val="00782080"/>
    <w:rsid w:val="00785F2E"/>
    <w:rsid w:val="0078600F"/>
    <w:rsid w:val="007874EA"/>
    <w:rsid w:val="007953A4"/>
    <w:rsid w:val="00796E98"/>
    <w:rsid w:val="00797DCC"/>
    <w:rsid w:val="007A0198"/>
    <w:rsid w:val="007A082C"/>
    <w:rsid w:val="007A2BFA"/>
    <w:rsid w:val="007A4808"/>
    <w:rsid w:val="007A65F8"/>
    <w:rsid w:val="007A6A5E"/>
    <w:rsid w:val="007B08B3"/>
    <w:rsid w:val="007B0998"/>
    <w:rsid w:val="007B436C"/>
    <w:rsid w:val="007B5ECD"/>
    <w:rsid w:val="007B68F9"/>
    <w:rsid w:val="007B7BE8"/>
    <w:rsid w:val="007B7BF5"/>
    <w:rsid w:val="007B7F2D"/>
    <w:rsid w:val="007C12D3"/>
    <w:rsid w:val="007C23EE"/>
    <w:rsid w:val="007C274D"/>
    <w:rsid w:val="007C5D33"/>
    <w:rsid w:val="007C7F96"/>
    <w:rsid w:val="007D43A7"/>
    <w:rsid w:val="007D6370"/>
    <w:rsid w:val="007D66E1"/>
    <w:rsid w:val="007D69BF"/>
    <w:rsid w:val="007D7372"/>
    <w:rsid w:val="007E034D"/>
    <w:rsid w:val="007E0B21"/>
    <w:rsid w:val="007E367E"/>
    <w:rsid w:val="007E386B"/>
    <w:rsid w:val="007E3BFA"/>
    <w:rsid w:val="007E3CC6"/>
    <w:rsid w:val="007E4887"/>
    <w:rsid w:val="007E5597"/>
    <w:rsid w:val="007E69D7"/>
    <w:rsid w:val="007E6FF8"/>
    <w:rsid w:val="007E7C25"/>
    <w:rsid w:val="007F166A"/>
    <w:rsid w:val="007F3381"/>
    <w:rsid w:val="007F3B0E"/>
    <w:rsid w:val="007F45FF"/>
    <w:rsid w:val="007F4A16"/>
    <w:rsid w:val="00802434"/>
    <w:rsid w:val="00803533"/>
    <w:rsid w:val="008045E8"/>
    <w:rsid w:val="0080527A"/>
    <w:rsid w:val="00806A93"/>
    <w:rsid w:val="00806F33"/>
    <w:rsid w:val="00807249"/>
    <w:rsid w:val="00807A45"/>
    <w:rsid w:val="008117B6"/>
    <w:rsid w:val="008120D4"/>
    <w:rsid w:val="008141C8"/>
    <w:rsid w:val="00814268"/>
    <w:rsid w:val="00815B61"/>
    <w:rsid w:val="00815D8F"/>
    <w:rsid w:val="008168F4"/>
    <w:rsid w:val="0082062C"/>
    <w:rsid w:val="0082078E"/>
    <w:rsid w:val="00820B43"/>
    <w:rsid w:val="008212E7"/>
    <w:rsid w:val="00821A03"/>
    <w:rsid w:val="008246EF"/>
    <w:rsid w:val="008249EE"/>
    <w:rsid w:val="00824AA5"/>
    <w:rsid w:val="00825551"/>
    <w:rsid w:val="008258E9"/>
    <w:rsid w:val="00831C0F"/>
    <w:rsid w:val="00831D9E"/>
    <w:rsid w:val="00835748"/>
    <w:rsid w:val="00836150"/>
    <w:rsid w:val="008403D6"/>
    <w:rsid w:val="008438AB"/>
    <w:rsid w:val="00843DE3"/>
    <w:rsid w:val="0084549B"/>
    <w:rsid w:val="008462F2"/>
    <w:rsid w:val="00846482"/>
    <w:rsid w:val="00850CCC"/>
    <w:rsid w:val="00852350"/>
    <w:rsid w:val="008528D9"/>
    <w:rsid w:val="0085297B"/>
    <w:rsid w:val="00853D97"/>
    <w:rsid w:val="008545B9"/>
    <w:rsid w:val="008578F6"/>
    <w:rsid w:val="00857BAA"/>
    <w:rsid w:val="0086079F"/>
    <w:rsid w:val="0086096C"/>
    <w:rsid w:val="00864E0C"/>
    <w:rsid w:val="00865258"/>
    <w:rsid w:val="008670BE"/>
    <w:rsid w:val="00867FA7"/>
    <w:rsid w:val="008731BB"/>
    <w:rsid w:val="008743D7"/>
    <w:rsid w:val="0087441A"/>
    <w:rsid w:val="00874CE9"/>
    <w:rsid w:val="008752A0"/>
    <w:rsid w:val="008758E3"/>
    <w:rsid w:val="008761C5"/>
    <w:rsid w:val="00876933"/>
    <w:rsid w:val="00876BDE"/>
    <w:rsid w:val="0088052B"/>
    <w:rsid w:val="00880786"/>
    <w:rsid w:val="00880AD1"/>
    <w:rsid w:val="00881E2F"/>
    <w:rsid w:val="00883843"/>
    <w:rsid w:val="00883C2A"/>
    <w:rsid w:val="00883D7E"/>
    <w:rsid w:val="008848D0"/>
    <w:rsid w:val="0088622E"/>
    <w:rsid w:val="00886639"/>
    <w:rsid w:val="00891202"/>
    <w:rsid w:val="0089363A"/>
    <w:rsid w:val="0089391C"/>
    <w:rsid w:val="00893F74"/>
    <w:rsid w:val="008942DE"/>
    <w:rsid w:val="00894734"/>
    <w:rsid w:val="008A12C9"/>
    <w:rsid w:val="008A1852"/>
    <w:rsid w:val="008A1CC3"/>
    <w:rsid w:val="008A327A"/>
    <w:rsid w:val="008A3934"/>
    <w:rsid w:val="008A41EB"/>
    <w:rsid w:val="008A6009"/>
    <w:rsid w:val="008A6B20"/>
    <w:rsid w:val="008A7003"/>
    <w:rsid w:val="008A7053"/>
    <w:rsid w:val="008A7380"/>
    <w:rsid w:val="008A7A22"/>
    <w:rsid w:val="008B0502"/>
    <w:rsid w:val="008B10B3"/>
    <w:rsid w:val="008B2229"/>
    <w:rsid w:val="008B31B2"/>
    <w:rsid w:val="008B34EC"/>
    <w:rsid w:val="008B5346"/>
    <w:rsid w:val="008B6F24"/>
    <w:rsid w:val="008B7787"/>
    <w:rsid w:val="008B7A92"/>
    <w:rsid w:val="008C199D"/>
    <w:rsid w:val="008C19A1"/>
    <w:rsid w:val="008C6206"/>
    <w:rsid w:val="008C703C"/>
    <w:rsid w:val="008C760D"/>
    <w:rsid w:val="008D34CC"/>
    <w:rsid w:val="008D3BAC"/>
    <w:rsid w:val="008E00BC"/>
    <w:rsid w:val="008E0E7A"/>
    <w:rsid w:val="008E10F6"/>
    <w:rsid w:val="008E18F5"/>
    <w:rsid w:val="008E1FB2"/>
    <w:rsid w:val="008E2F00"/>
    <w:rsid w:val="008E3561"/>
    <w:rsid w:val="008E38F7"/>
    <w:rsid w:val="008E3B54"/>
    <w:rsid w:val="008E4837"/>
    <w:rsid w:val="008E49DD"/>
    <w:rsid w:val="008E5F56"/>
    <w:rsid w:val="008E68C3"/>
    <w:rsid w:val="008E722E"/>
    <w:rsid w:val="008E7DC6"/>
    <w:rsid w:val="008F058E"/>
    <w:rsid w:val="008F0B7B"/>
    <w:rsid w:val="008F291E"/>
    <w:rsid w:val="008F6A15"/>
    <w:rsid w:val="008F6CD5"/>
    <w:rsid w:val="008F7435"/>
    <w:rsid w:val="008F7D91"/>
    <w:rsid w:val="00900E3F"/>
    <w:rsid w:val="00901F8E"/>
    <w:rsid w:val="00902BBF"/>
    <w:rsid w:val="00902E49"/>
    <w:rsid w:val="00903425"/>
    <w:rsid w:val="00903497"/>
    <w:rsid w:val="00903A28"/>
    <w:rsid w:val="009040E5"/>
    <w:rsid w:val="00905D8F"/>
    <w:rsid w:val="00907F23"/>
    <w:rsid w:val="00910F1A"/>
    <w:rsid w:val="00910FDE"/>
    <w:rsid w:val="009121F2"/>
    <w:rsid w:val="009125AD"/>
    <w:rsid w:val="00912CF6"/>
    <w:rsid w:val="00913562"/>
    <w:rsid w:val="00913C74"/>
    <w:rsid w:val="00914D75"/>
    <w:rsid w:val="00915246"/>
    <w:rsid w:val="00915511"/>
    <w:rsid w:val="00915694"/>
    <w:rsid w:val="00915A71"/>
    <w:rsid w:val="00915D56"/>
    <w:rsid w:val="009178CE"/>
    <w:rsid w:val="009211C2"/>
    <w:rsid w:val="00921578"/>
    <w:rsid w:val="0092276A"/>
    <w:rsid w:val="009233E1"/>
    <w:rsid w:val="00923E43"/>
    <w:rsid w:val="0092420A"/>
    <w:rsid w:val="0092432A"/>
    <w:rsid w:val="009251A9"/>
    <w:rsid w:val="00926998"/>
    <w:rsid w:val="00927A50"/>
    <w:rsid w:val="00930233"/>
    <w:rsid w:val="00930AFF"/>
    <w:rsid w:val="0093183E"/>
    <w:rsid w:val="00932A4A"/>
    <w:rsid w:val="00933A34"/>
    <w:rsid w:val="00934BD6"/>
    <w:rsid w:val="0093521A"/>
    <w:rsid w:val="009358A1"/>
    <w:rsid w:val="00942C0F"/>
    <w:rsid w:val="009441B0"/>
    <w:rsid w:val="0094497C"/>
    <w:rsid w:val="00944AE3"/>
    <w:rsid w:val="00945497"/>
    <w:rsid w:val="00945BF2"/>
    <w:rsid w:val="00947E59"/>
    <w:rsid w:val="00951501"/>
    <w:rsid w:val="0095183B"/>
    <w:rsid w:val="00951BE9"/>
    <w:rsid w:val="00952227"/>
    <w:rsid w:val="0095396E"/>
    <w:rsid w:val="00954EAD"/>
    <w:rsid w:val="00955404"/>
    <w:rsid w:val="00956703"/>
    <w:rsid w:val="00957282"/>
    <w:rsid w:val="0096080F"/>
    <w:rsid w:val="00962973"/>
    <w:rsid w:val="00963AC1"/>
    <w:rsid w:val="0096619E"/>
    <w:rsid w:val="009668E4"/>
    <w:rsid w:val="00967977"/>
    <w:rsid w:val="00967A1B"/>
    <w:rsid w:val="0097106E"/>
    <w:rsid w:val="00971D03"/>
    <w:rsid w:val="00977A1D"/>
    <w:rsid w:val="0098138C"/>
    <w:rsid w:val="00981752"/>
    <w:rsid w:val="009821DF"/>
    <w:rsid w:val="009830E6"/>
    <w:rsid w:val="009833E9"/>
    <w:rsid w:val="009834DF"/>
    <w:rsid w:val="009834F4"/>
    <w:rsid w:val="00983569"/>
    <w:rsid w:val="00984FE9"/>
    <w:rsid w:val="0098588C"/>
    <w:rsid w:val="009858FC"/>
    <w:rsid w:val="00985B16"/>
    <w:rsid w:val="00987D13"/>
    <w:rsid w:val="00990EE1"/>
    <w:rsid w:val="00992119"/>
    <w:rsid w:val="00992497"/>
    <w:rsid w:val="009948AF"/>
    <w:rsid w:val="00996144"/>
    <w:rsid w:val="009A0A5C"/>
    <w:rsid w:val="009A2B06"/>
    <w:rsid w:val="009A393F"/>
    <w:rsid w:val="009A4056"/>
    <w:rsid w:val="009A432E"/>
    <w:rsid w:val="009A528B"/>
    <w:rsid w:val="009A5A1D"/>
    <w:rsid w:val="009A5C39"/>
    <w:rsid w:val="009B10F7"/>
    <w:rsid w:val="009B4B0F"/>
    <w:rsid w:val="009B518B"/>
    <w:rsid w:val="009B61AB"/>
    <w:rsid w:val="009B73FC"/>
    <w:rsid w:val="009B7FDA"/>
    <w:rsid w:val="009C1A30"/>
    <w:rsid w:val="009C2F53"/>
    <w:rsid w:val="009C4A2D"/>
    <w:rsid w:val="009C6A9D"/>
    <w:rsid w:val="009D1204"/>
    <w:rsid w:val="009D1A20"/>
    <w:rsid w:val="009D2665"/>
    <w:rsid w:val="009D2DB3"/>
    <w:rsid w:val="009D2E8A"/>
    <w:rsid w:val="009D5660"/>
    <w:rsid w:val="009E0625"/>
    <w:rsid w:val="009E0EE3"/>
    <w:rsid w:val="009E18A1"/>
    <w:rsid w:val="009E1C84"/>
    <w:rsid w:val="009E5967"/>
    <w:rsid w:val="009E6422"/>
    <w:rsid w:val="009F2500"/>
    <w:rsid w:val="009F328F"/>
    <w:rsid w:val="009F7DB9"/>
    <w:rsid w:val="00A008A1"/>
    <w:rsid w:val="00A013EA"/>
    <w:rsid w:val="00A01774"/>
    <w:rsid w:val="00A0264E"/>
    <w:rsid w:val="00A02CDF"/>
    <w:rsid w:val="00A03998"/>
    <w:rsid w:val="00A03B29"/>
    <w:rsid w:val="00A06676"/>
    <w:rsid w:val="00A10E2F"/>
    <w:rsid w:val="00A14E63"/>
    <w:rsid w:val="00A16287"/>
    <w:rsid w:val="00A177AA"/>
    <w:rsid w:val="00A20F2F"/>
    <w:rsid w:val="00A20F8F"/>
    <w:rsid w:val="00A2132B"/>
    <w:rsid w:val="00A213C6"/>
    <w:rsid w:val="00A22B2C"/>
    <w:rsid w:val="00A23ACE"/>
    <w:rsid w:val="00A23FF6"/>
    <w:rsid w:val="00A248B5"/>
    <w:rsid w:val="00A24914"/>
    <w:rsid w:val="00A2503C"/>
    <w:rsid w:val="00A26FDD"/>
    <w:rsid w:val="00A27BE6"/>
    <w:rsid w:val="00A30718"/>
    <w:rsid w:val="00A31A4E"/>
    <w:rsid w:val="00A32446"/>
    <w:rsid w:val="00A32A11"/>
    <w:rsid w:val="00A33D32"/>
    <w:rsid w:val="00A360AA"/>
    <w:rsid w:val="00A3724B"/>
    <w:rsid w:val="00A40905"/>
    <w:rsid w:val="00A40CAF"/>
    <w:rsid w:val="00A414F4"/>
    <w:rsid w:val="00A448AF"/>
    <w:rsid w:val="00A469BC"/>
    <w:rsid w:val="00A46B2B"/>
    <w:rsid w:val="00A5044A"/>
    <w:rsid w:val="00A50CF5"/>
    <w:rsid w:val="00A5137D"/>
    <w:rsid w:val="00A530C5"/>
    <w:rsid w:val="00A531E5"/>
    <w:rsid w:val="00A54094"/>
    <w:rsid w:val="00A542D0"/>
    <w:rsid w:val="00A54976"/>
    <w:rsid w:val="00A602D6"/>
    <w:rsid w:val="00A6074B"/>
    <w:rsid w:val="00A626E4"/>
    <w:rsid w:val="00A630EC"/>
    <w:rsid w:val="00A63DE2"/>
    <w:rsid w:val="00A6427D"/>
    <w:rsid w:val="00A64639"/>
    <w:rsid w:val="00A64AB0"/>
    <w:rsid w:val="00A65A15"/>
    <w:rsid w:val="00A65D71"/>
    <w:rsid w:val="00A6603E"/>
    <w:rsid w:val="00A727B3"/>
    <w:rsid w:val="00A734D4"/>
    <w:rsid w:val="00A738DC"/>
    <w:rsid w:val="00A743C5"/>
    <w:rsid w:val="00A750DC"/>
    <w:rsid w:val="00A76CAD"/>
    <w:rsid w:val="00A77005"/>
    <w:rsid w:val="00A7719B"/>
    <w:rsid w:val="00A80D99"/>
    <w:rsid w:val="00A843E3"/>
    <w:rsid w:val="00A84A9D"/>
    <w:rsid w:val="00A84B1C"/>
    <w:rsid w:val="00A865D3"/>
    <w:rsid w:val="00A906ED"/>
    <w:rsid w:val="00A91EEF"/>
    <w:rsid w:val="00A926FF"/>
    <w:rsid w:val="00A92B95"/>
    <w:rsid w:val="00A9479D"/>
    <w:rsid w:val="00A94F29"/>
    <w:rsid w:val="00A94FE8"/>
    <w:rsid w:val="00A97467"/>
    <w:rsid w:val="00A97678"/>
    <w:rsid w:val="00AA0B4E"/>
    <w:rsid w:val="00AA1232"/>
    <w:rsid w:val="00AA236C"/>
    <w:rsid w:val="00AA2E21"/>
    <w:rsid w:val="00AA3EFB"/>
    <w:rsid w:val="00AA408B"/>
    <w:rsid w:val="00AA4F07"/>
    <w:rsid w:val="00AA6BF6"/>
    <w:rsid w:val="00AA6F30"/>
    <w:rsid w:val="00AB0841"/>
    <w:rsid w:val="00AB0D7D"/>
    <w:rsid w:val="00AB2838"/>
    <w:rsid w:val="00AB31DB"/>
    <w:rsid w:val="00AB39F2"/>
    <w:rsid w:val="00AB454E"/>
    <w:rsid w:val="00AB4AF6"/>
    <w:rsid w:val="00AB5C5D"/>
    <w:rsid w:val="00AB7037"/>
    <w:rsid w:val="00AB7ACB"/>
    <w:rsid w:val="00AC1C44"/>
    <w:rsid w:val="00AC23C0"/>
    <w:rsid w:val="00AC26B5"/>
    <w:rsid w:val="00AC479A"/>
    <w:rsid w:val="00AC52D8"/>
    <w:rsid w:val="00AC5744"/>
    <w:rsid w:val="00AC6A9E"/>
    <w:rsid w:val="00AC72B8"/>
    <w:rsid w:val="00AD0D63"/>
    <w:rsid w:val="00AD15B0"/>
    <w:rsid w:val="00AD1DD0"/>
    <w:rsid w:val="00AD1E55"/>
    <w:rsid w:val="00AD2793"/>
    <w:rsid w:val="00AD2808"/>
    <w:rsid w:val="00AD3782"/>
    <w:rsid w:val="00AD3ED2"/>
    <w:rsid w:val="00AD6800"/>
    <w:rsid w:val="00AD6830"/>
    <w:rsid w:val="00AD75FF"/>
    <w:rsid w:val="00AD7CB0"/>
    <w:rsid w:val="00AE180C"/>
    <w:rsid w:val="00AE40E3"/>
    <w:rsid w:val="00AE58D3"/>
    <w:rsid w:val="00AE5AB5"/>
    <w:rsid w:val="00AE621E"/>
    <w:rsid w:val="00AE6348"/>
    <w:rsid w:val="00AE6508"/>
    <w:rsid w:val="00AE7608"/>
    <w:rsid w:val="00AF0064"/>
    <w:rsid w:val="00AF00AD"/>
    <w:rsid w:val="00AF0D7F"/>
    <w:rsid w:val="00AF15B9"/>
    <w:rsid w:val="00AF2E52"/>
    <w:rsid w:val="00AF3000"/>
    <w:rsid w:val="00AF3E21"/>
    <w:rsid w:val="00AF4276"/>
    <w:rsid w:val="00AF53F2"/>
    <w:rsid w:val="00AF562B"/>
    <w:rsid w:val="00AF6E6C"/>
    <w:rsid w:val="00AF6FB0"/>
    <w:rsid w:val="00AF781D"/>
    <w:rsid w:val="00B01814"/>
    <w:rsid w:val="00B01AAE"/>
    <w:rsid w:val="00B02E2A"/>
    <w:rsid w:val="00B0314C"/>
    <w:rsid w:val="00B03E4C"/>
    <w:rsid w:val="00B03FAE"/>
    <w:rsid w:val="00B04B9C"/>
    <w:rsid w:val="00B04EC9"/>
    <w:rsid w:val="00B0583D"/>
    <w:rsid w:val="00B05D1C"/>
    <w:rsid w:val="00B076F8"/>
    <w:rsid w:val="00B10338"/>
    <w:rsid w:val="00B10661"/>
    <w:rsid w:val="00B116B4"/>
    <w:rsid w:val="00B126FB"/>
    <w:rsid w:val="00B15107"/>
    <w:rsid w:val="00B16288"/>
    <w:rsid w:val="00B206D8"/>
    <w:rsid w:val="00B20B98"/>
    <w:rsid w:val="00B210B9"/>
    <w:rsid w:val="00B211B2"/>
    <w:rsid w:val="00B21881"/>
    <w:rsid w:val="00B218A5"/>
    <w:rsid w:val="00B2372A"/>
    <w:rsid w:val="00B23A72"/>
    <w:rsid w:val="00B25674"/>
    <w:rsid w:val="00B27014"/>
    <w:rsid w:val="00B2732A"/>
    <w:rsid w:val="00B278CD"/>
    <w:rsid w:val="00B27FD5"/>
    <w:rsid w:val="00B303FB"/>
    <w:rsid w:val="00B30BFF"/>
    <w:rsid w:val="00B315F6"/>
    <w:rsid w:val="00B31C12"/>
    <w:rsid w:val="00B3253D"/>
    <w:rsid w:val="00B3319B"/>
    <w:rsid w:val="00B34491"/>
    <w:rsid w:val="00B344AC"/>
    <w:rsid w:val="00B345F7"/>
    <w:rsid w:val="00B37912"/>
    <w:rsid w:val="00B4135D"/>
    <w:rsid w:val="00B422C2"/>
    <w:rsid w:val="00B42BA8"/>
    <w:rsid w:val="00B44F2D"/>
    <w:rsid w:val="00B456D6"/>
    <w:rsid w:val="00B45E00"/>
    <w:rsid w:val="00B5134A"/>
    <w:rsid w:val="00B526D7"/>
    <w:rsid w:val="00B53F94"/>
    <w:rsid w:val="00B54FC5"/>
    <w:rsid w:val="00B568EA"/>
    <w:rsid w:val="00B62753"/>
    <w:rsid w:val="00B628F6"/>
    <w:rsid w:val="00B62B3C"/>
    <w:rsid w:val="00B62DC6"/>
    <w:rsid w:val="00B63447"/>
    <w:rsid w:val="00B63D5D"/>
    <w:rsid w:val="00B653DF"/>
    <w:rsid w:val="00B667D3"/>
    <w:rsid w:val="00B66866"/>
    <w:rsid w:val="00B7167C"/>
    <w:rsid w:val="00B71CA4"/>
    <w:rsid w:val="00B72434"/>
    <w:rsid w:val="00B742B6"/>
    <w:rsid w:val="00B74B10"/>
    <w:rsid w:val="00B75951"/>
    <w:rsid w:val="00B764DA"/>
    <w:rsid w:val="00B768A2"/>
    <w:rsid w:val="00B778CC"/>
    <w:rsid w:val="00B8003D"/>
    <w:rsid w:val="00B8052E"/>
    <w:rsid w:val="00B82285"/>
    <w:rsid w:val="00B83B7C"/>
    <w:rsid w:val="00B84661"/>
    <w:rsid w:val="00B855E5"/>
    <w:rsid w:val="00B8595B"/>
    <w:rsid w:val="00B85B30"/>
    <w:rsid w:val="00B86D7D"/>
    <w:rsid w:val="00B90D20"/>
    <w:rsid w:val="00B914CC"/>
    <w:rsid w:val="00B922A0"/>
    <w:rsid w:val="00B92E2D"/>
    <w:rsid w:val="00B9436C"/>
    <w:rsid w:val="00B951F6"/>
    <w:rsid w:val="00B95276"/>
    <w:rsid w:val="00B96BA5"/>
    <w:rsid w:val="00B96C85"/>
    <w:rsid w:val="00B96F89"/>
    <w:rsid w:val="00B96FCD"/>
    <w:rsid w:val="00B97A3B"/>
    <w:rsid w:val="00B97D51"/>
    <w:rsid w:val="00BA0071"/>
    <w:rsid w:val="00BA2869"/>
    <w:rsid w:val="00BA3A6B"/>
    <w:rsid w:val="00BA4714"/>
    <w:rsid w:val="00BA505A"/>
    <w:rsid w:val="00BA5E75"/>
    <w:rsid w:val="00BA6F51"/>
    <w:rsid w:val="00BA7602"/>
    <w:rsid w:val="00BB182F"/>
    <w:rsid w:val="00BB19E5"/>
    <w:rsid w:val="00BB24A0"/>
    <w:rsid w:val="00BB3BDB"/>
    <w:rsid w:val="00BB4898"/>
    <w:rsid w:val="00BB4CB4"/>
    <w:rsid w:val="00BB62DA"/>
    <w:rsid w:val="00BB65E4"/>
    <w:rsid w:val="00BB7CD2"/>
    <w:rsid w:val="00BC0AC9"/>
    <w:rsid w:val="00BC2234"/>
    <w:rsid w:val="00BC2292"/>
    <w:rsid w:val="00BC25D8"/>
    <w:rsid w:val="00BC28C9"/>
    <w:rsid w:val="00BC320B"/>
    <w:rsid w:val="00BC33E0"/>
    <w:rsid w:val="00BC4D61"/>
    <w:rsid w:val="00BC5581"/>
    <w:rsid w:val="00BC575E"/>
    <w:rsid w:val="00BC5B11"/>
    <w:rsid w:val="00BC6152"/>
    <w:rsid w:val="00BC669C"/>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F1000"/>
    <w:rsid w:val="00BF16D5"/>
    <w:rsid w:val="00BF2B2C"/>
    <w:rsid w:val="00BF2C37"/>
    <w:rsid w:val="00BF4128"/>
    <w:rsid w:val="00BF4198"/>
    <w:rsid w:val="00BF427B"/>
    <w:rsid w:val="00BF4569"/>
    <w:rsid w:val="00C0181B"/>
    <w:rsid w:val="00C030BE"/>
    <w:rsid w:val="00C030D3"/>
    <w:rsid w:val="00C035A8"/>
    <w:rsid w:val="00C04D8B"/>
    <w:rsid w:val="00C06C09"/>
    <w:rsid w:val="00C112D1"/>
    <w:rsid w:val="00C118F2"/>
    <w:rsid w:val="00C11975"/>
    <w:rsid w:val="00C12D50"/>
    <w:rsid w:val="00C13268"/>
    <w:rsid w:val="00C134F4"/>
    <w:rsid w:val="00C16396"/>
    <w:rsid w:val="00C202AB"/>
    <w:rsid w:val="00C20851"/>
    <w:rsid w:val="00C217A0"/>
    <w:rsid w:val="00C21B65"/>
    <w:rsid w:val="00C22846"/>
    <w:rsid w:val="00C22ABA"/>
    <w:rsid w:val="00C238C1"/>
    <w:rsid w:val="00C23B39"/>
    <w:rsid w:val="00C24112"/>
    <w:rsid w:val="00C24702"/>
    <w:rsid w:val="00C24FE1"/>
    <w:rsid w:val="00C254B9"/>
    <w:rsid w:val="00C26FAE"/>
    <w:rsid w:val="00C27EDD"/>
    <w:rsid w:val="00C27F75"/>
    <w:rsid w:val="00C31734"/>
    <w:rsid w:val="00C31A3E"/>
    <w:rsid w:val="00C326E4"/>
    <w:rsid w:val="00C329D0"/>
    <w:rsid w:val="00C338AB"/>
    <w:rsid w:val="00C34C25"/>
    <w:rsid w:val="00C36CA1"/>
    <w:rsid w:val="00C410E9"/>
    <w:rsid w:val="00C41EBB"/>
    <w:rsid w:val="00C429E4"/>
    <w:rsid w:val="00C461D8"/>
    <w:rsid w:val="00C461E8"/>
    <w:rsid w:val="00C46BDB"/>
    <w:rsid w:val="00C47DF5"/>
    <w:rsid w:val="00C47E10"/>
    <w:rsid w:val="00C502A6"/>
    <w:rsid w:val="00C50711"/>
    <w:rsid w:val="00C511CC"/>
    <w:rsid w:val="00C526FE"/>
    <w:rsid w:val="00C52DC1"/>
    <w:rsid w:val="00C5302C"/>
    <w:rsid w:val="00C5426A"/>
    <w:rsid w:val="00C54A1A"/>
    <w:rsid w:val="00C54BCD"/>
    <w:rsid w:val="00C55139"/>
    <w:rsid w:val="00C55271"/>
    <w:rsid w:val="00C552FD"/>
    <w:rsid w:val="00C56B9A"/>
    <w:rsid w:val="00C60871"/>
    <w:rsid w:val="00C61873"/>
    <w:rsid w:val="00C61B70"/>
    <w:rsid w:val="00C621C0"/>
    <w:rsid w:val="00C626BB"/>
    <w:rsid w:val="00C65E5A"/>
    <w:rsid w:val="00C6600D"/>
    <w:rsid w:val="00C66B72"/>
    <w:rsid w:val="00C66B92"/>
    <w:rsid w:val="00C66D57"/>
    <w:rsid w:val="00C67FA5"/>
    <w:rsid w:val="00C70156"/>
    <w:rsid w:val="00C7071B"/>
    <w:rsid w:val="00C70C52"/>
    <w:rsid w:val="00C70DD0"/>
    <w:rsid w:val="00C71106"/>
    <w:rsid w:val="00C71179"/>
    <w:rsid w:val="00C72D6B"/>
    <w:rsid w:val="00C72E24"/>
    <w:rsid w:val="00C73EE2"/>
    <w:rsid w:val="00C74990"/>
    <w:rsid w:val="00C74C12"/>
    <w:rsid w:val="00C74CA1"/>
    <w:rsid w:val="00C75B76"/>
    <w:rsid w:val="00C771B3"/>
    <w:rsid w:val="00C77608"/>
    <w:rsid w:val="00C8273C"/>
    <w:rsid w:val="00C82AEB"/>
    <w:rsid w:val="00C82BC4"/>
    <w:rsid w:val="00C8357D"/>
    <w:rsid w:val="00C847BB"/>
    <w:rsid w:val="00C84ED8"/>
    <w:rsid w:val="00C8718E"/>
    <w:rsid w:val="00C873C8"/>
    <w:rsid w:val="00C87E67"/>
    <w:rsid w:val="00C87EAD"/>
    <w:rsid w:val="00C90B24"/>
    <w:rsid w:val="00C914F3"/>
    <w:rsid w:val="00C925A3"/>
    <w:rsid w:val="00C92654"/>
    <w:rsid w:val="00C92F8C"/>
    <w:rsid w:val="00C95711"/>
    <w:rsid w:val="00C95E5E"/>
    <w:rsid w:val="00C96B09"/>
    <w:rsid w:val="00C96C49"/>
    <w:rsid w:val="00C96D19"/>
    <w:rsid w:val="00C96EC7"/>
    <w:rsid w:val="00C9769D"/>
    <w:rsid w:val="00CA21EE"/>
    <w:rsid w:val="00CA2AC8"/>
    <w:rsid w:val="00CA4B23"/>
    <w:rsid w:val="00CA4F66"/>
    <w:rsid w:val="00CA4FCB"/>
    <w:rsid w:val="00CA5DD3"/>
    <w:rsid w:val="00CA6976"/>
    <w:rsid w:val="00CA6E59"/>
    <w:rsid w:val="00CA71E2"/>
    <w:rsid w:val="00CA79FD"/>
    <w:rsid w:val="00CB00B5"/>
    <w:rsid w:val="00CB0C3C"/>
    <w:rsid w:val="00CB142B"/>
    <w:rsid w:val="00CB1BB0"/>
    <w:rsid w:val="00CB3093"/>
    <w:rsid w:val="00CB4A79"/>
    <w:rsid w:val="00CB795A"/>
    <w:rsid w:val="00CC02DD"/>
    <w:rsid w:val="00CC3F67"/>
    <w:rsid w:val="00CC4079"/>
    <w:rsid w:val="00CD3981"/>
    <w:rsid w:val="00CE0536"/>
    <w:rsid w:val="00CE0FCA"/>
    <w:rsid w:val="00CE1547"/>
    <w:rsid w:val="00CE43E7"/>
    <w:rsid w:val="00CE4654"/>
    <w:rsid w:val="00CE540D"/>
    <w:rsid w:val="00CE55D8"/>
    <w:rsid w:val="00CE5798"/>
    <w:rsid w:val="00CE693F"/>
    <w:rsid w:val="00CE6CCE"/>
    <w:rsid w:val="00CE6F41"/>
    <w:rsid w:val="00CE736A"/>
    <w:rsid w:val="00CE7615"/>
    <w:rsid w:val="00CE79F3"/>
    <w:rsid w:val="00CE7EB6"/>
    <w:rsid w:val="00CF061C"/>
    <w:rsid w:val="00CF1B8D"/>
    <w:rsid w:val="00CF2173"/>
    <w:rsid w:val="00CF3251"/>
    <w:rsid w:val="00CF3B36"/>
    <w:rsid w:val="00CF5280"/>
    <w:rsid w:val="00CF6787"/>
    <w:rsid w:val="00CF7D91"/>
    <w:rsid w:val="00D0066E"/>
    <w:rsid w:val="00D01245"/>
    <w:rsid w:val="00D01827"/>
    <w:rsid w:val="00D0243C"/>
    <w:rsid w:val="00D031B0"/>
    <w:rsid w:val="00D032C4"/>
    <w:rsid w:val="00D0330F"/>
    <w:rsid w:val="00D03334"/>
    <w:rsid w:val="00D03996"/>
    <w:rsid w:val="00D04CF3"/>
    <w:rsid w:val="00D05857"/>
    <w:rsid w:val="00D07392"/>
    <w:rsid w:val="00D0766B"/>
    <w:rsid w:val="00D07F1B"/>
    <w:rsid w:val="00D10314"/>
    <w:rsid w:val="00D11027"/>
    <w:rsid w:val="00D110A1"/>
    <w:rsid w:val="00D11AC2"/>
    <w:rsid w:val="00D11DB0"/>
    <w:rsid w:val="00D148C0"/>
    <w:rsid w:val="00D151B2"/>
    <w:rsid w:val="00D1678C"/>
    <w:rsid w:val="00D176A8"/>
    <w:rsid w:val="00D17E64"/>
    <w:rsid w:val="00D17EC8"/>
    <w:rsid w:val="00D21988"/>
    <w:rsid w:val="00D23EEA"/>
    <w:rsid w:val="00D24ED8"/>
    <w:rsid w:val="00D25145"/>
    <w:rsid w:val="00D252D4"/>
    <w:rsid w:val="00D26159"/>
    <w:rsid w:val="00D30E6C"/>
    <w:rsid w:val="00D319EA"/>
    <w:rsid w:val="00D320DB"/>
    <w:rsid w:val="00D32645"/>
    <w:rsid w:val="00D33350"/>
    <w:rsid w:val="00D34172"/>
    <w:rsid w:val="00D34C2D"/>
    <w:rsid w:val="00D34FF4"/>
    <w:rsid w:val="00D35354"/>
    <w:rsid w:val="00D35E92"/>
    <w:rsid w:val="00D37757"/>
    <w:rsid w:val="00D40D22"/>
    <w:rsid w:val="00D4172E"/>
    <w:rsid w:val="00D41B49"/>
    <w:rsid w:val="00D41E5C"/>
    <w:rsid w:val="00D41F33"/>
    <w:rsid w:val="00D43C46"/>
    <w:rsid w:val="00D4414B"/>
    <w:rsid w:val="00D4455A"/>
    <w:rsid w:val="00D46B75"/>
    <w:rsid w:val="00D47612"/>
    <w:rsid w:val="00D47E29"/>
    <w:rsid w:val="00D50620"/>
    <w:rsid w:val="00D5118D"/>
    <w:rsid w:val="00D52503"/>
    <w:rsid w:val="00D52866"/>
    <w:rsid w:val="00D52E29"/>
    <w:rsid w:val="00D53416"/>
    <w:rsid w:val="00D53495"/>
    <w:rsid w:val="00D541D1"/>
    <w:rsid w:val="00D54204"/>
    <w:rsid w:val="00D556CA"/>
    <w:rsid w:val="00D57B3E"/>
    <w:rsid w:val="00D60B71"/>
    <w:rsid w:val="00D620BD"/>
    <w:rsid w:val="00D6218B"/>
    <w:rsid w:val="00D62C65"/>
    <w:rsid w:val="00D63509"/>
    <w:rsid w:val="00D64EC5"/>
    <w:rsid w:val="00D65ECD"/>
    <w:rsid w:val="00D6774B"/>
    <w:rsid w:val="00D7015F"/>
    <w:rsid w:val="00D706E8"/>
    <w:rsid w:val="00D71409"/>
    <w:rsid w:val="00D72AEC"/>
    <w:rsid w:val="00D7582F"/>
    <w:rsid w:val="00D75B4C"/>
    <w:rsid w:val="00D76BE4"/>
    <w:rsid w:val="00D76EF0"/>
    <w:rsid w:val="00D77659"/>
    <w:rsid w:val="00D8000C"/>
    <w:rsid w:val="00D80C87"/>
    <w:rsid w:val="00D8124D"/>
    <w:rsid w:val="00D8210D"/>
    <w:rsid w:val="00D82CB9"/>
    <w:rsid w:val="00D8364E"/>
    <w:rsid w:val="00D844D1"/>
    <w:rsid w:val="00D8462F"/>
    <w:rsid w:val="00D84865"/>
    <w:rsid w:val="00D85787"/>
    <w:rsid w:val="00D85879"/>
    <w:rsid w:val="00D85A62"/>
    <w:rsid w:val="00D90FC9"/>
    <w:rsid w:val="00D91158"/>
    <w:rsid w:val="00D91EB5"/>
    <w:rsid w:val="00D926AA"/>
    <w:rsid w:val="00D939FD"/>
    <w:rsid w:val="00D93BD0"/>
    <w:rsid w:val="00D93BD3"/>
    <w:rsid w:val="00D95EFD"/>
    <w:rsid w:val="00D96225"/>
    <w:rsid w:val="00D96809"/>
    <w:rsid w:val="00D973CA"/>
    <w:rsid w:val="00DA034F"/>
    <w:rsid w:val="00DA05BD"/>
    <w:rsid w:val="00DA0B31"/>
    <w:rsid w:val="00DA17B8"/>
    <w:rsid w:val="00DA1ACD"/>
    <w:rsid w:val="00DA1FC5"/>
    <w:rsid w:val="00DA2147"/>
    <w:rsid w:val="00DA2F0D"/>
    <w:rsid w:val="00DA4E6F"/>
    <w:rsid w:val="00DA5D1E"/>
    <w:rsid w:val="00DA69D8"/>
    <w:rsid w:val="00DA7D3B"/>
    <w:rsid w:val="00DB0FF3"/>
    <w:rsid w:val="00DB1935"/>
    <w:rsid w:val="00DB1DA6"/>
    <w:rsid w:val="00DB3535"/>
    <w:rsid w:val="00DB3721"/>
    <w:rsid w:val="00DB40CF"/>
    <w:rsid w:val="00DB53FB"/>
    <w:rsid w:val="00DB67A7"/>
    <w:rsid w:val="00DB684B"/>
    <w:rsid w:val="00DB7FEA"/>
    <w:rsid w:val="00DC2ADF"/>
    <w:rsid w:val="00DC3247"/>
    <w:rsid w:val="00DC3DB5"/>
    <w:rsid w:val="00DC4E4A"/>
    <w:rsid w:val="00DC664F"/>
    <w:rsid w:val="00DC6BE7"/>
    <w:rsid w:val="00DC7371"/>
    <w:rsid w:val="00DD0014"/>
    <w:rsid w:val="00DD1969"/>
    <w:rsid w:val="00DD2239"/>
    <w:rsid w:val="00DD6CBF"/>
    <w:rsid w:val="00DE0BCB"/>
    <w:rsid w:val="00DE337B"/>
    <w:rsid w:val="00DE356D"/>
    <w:rsid w:val="00DE384D"/>
    <w:rsid w:val="00DE4AC6"/>
    <w:rsid w:val="00DE5B36"/>
    <w:rsid w:val="00DE75BA"/>
    <w:rsid w:val="00DE7B52"/>
    <w:rsid w:val="00DF003A"/>
    <w:rsid w:val="00DF2272"/>
    <w:rsid w:val="00DF2C96"/>
    <w:rsid w:val="00DF2EF0"/>
    <w:rsid w:val="00DF3398"/>
    <w:rsid w:val="00DF6090"/>
    <w:rsid w:val="00DF68C7"/>
    <w:rsid w:val="00DF7A0C"/>
    <w:rsid w:val="00E007B8"/>
    <w:rsid w:val="00E01203"/>
    <w:rsid w:val="00E01ABF"/>
    <w:rsid w:val="00E02280"/>
    <w:rsid w:val="00E03214"/>
    <w:rsid w:val="00E0441B"/>
    <w:rsid w:val="00E04714"/>
    <w:rsid w:val="00E11AA0"/>
    <w:rsid w:val="00E12096"/>
    <w:rsid w:val="00E1482B"/>
    <w:rsid w:val="00E14FE7"/>
    <w:rsid w:val="00E15C0E"/>
    <w:rsid w:val="00E15E5E"/>
    <w:rsid w:val="00E16C2D"/>
    <w:rsid w:val="00E200C5"/>
    <w:rsid w:val="00E2185B"/>
    <w:rsid w:val="00E21B5C"/>
    <w:rsid w:val="00E224FD"/>
    <w:rsid w:val="00E22A0F"/>
    <w:rsid w:val="00E22C86"/>
    <w:rsid w:val="00E23DA5"/>
    <w:rsid w:val="00E2508A"/>
    <w:rsid w:val="00E25D80"/>
    <w:rsid w:val="00E2616A"/>
    <w:rsid w:val="00E2685B"/>
    <w:rsid w:val="00E3089F"/>
    <w:rsid w:val="00E31136"/>
    <w:rsid w:val="00E31A2F"/>
    <w:rsid w:val="00E31A50"/>
    <w:rsid w:val="00E3360F"/>
    <w:rsid w:val="00E33FC5"/>
    <w:rsid w:val="00E35BBB"/>
    <w:rsid w:val="00E363B4"/>
    <w:rsid w:val="00E36D2E"/>
    <w:rsid w:val="00E378D3"/>
    <w:rsid w:val="00E40233"/>
    <w:rsid w:val="00E40B8F"/>
    <w:rsid w:val="00E42147"/>
    <w:rsid w:val="00E42939"/>
    <w:rsid w:val="00E43040"/>
    <w:rsid w:val="00E4322B"/>
    <w:rsid w:val="00E43BC2"/>
    <w:rsid w:val="00E44230"/>
    <w:rsid w:val="00E44780"/>
    <w:rsid w:val="00E46487"/>
    <w:rsid w:val="00E46AE9"/>
    <w:rsid w:val="00E47BF9"/>
    <w:rsid w:val="00E52AB5"/>
    <w:rsid w:val="00E543E3"/>
    <w:rsid w:val="00E5449D"/>
    <w:rsid w:val="00E547B5"/>
    <w:rsid w:val="00E57181"/>
    <w:rsid w:val="00E572CD"/>
    <w:rsid w:val="00E57AE7"/>
    <w:rsid w:val="00E61F4D"/>
    <w:rsid w:val="00E629B0"/>
    <w:rsid w:val="00E64E3C"/>
    <w:rsid w:val="00E65561"/>
    <w:rsid w:val="00E70615"/>
    <w:rsid w:val="00E71AF3"/>
    <w:rsid w:val="00E72CA1"/>
    <w:rsid w:val="00E72CE9"/>
    <w:rsid w:val="00E7350A"/>
    <w:rsid w:val="00E74846"/>
    <w:rsid w:val="00E75213"/>
    <w:rsid w:val="00E757F1"/>
    <w:rsid w:val="00E7695A"/>
    <w:rsid w:val="00E76D1C"/>
    <w:rsid w:val="00E77D3F"/>
    <w:rsid w:val="00E8077E"/>
    <w:rsid w:val="00E80859"/>
    <w:rsid w:val="00E80BB0"/>
    <w:rsid w:val="00E8287C"/>
    <w:rsid w:val="00E82FB6"/>
    <w:rsid w:val="00E83602"/>
    <w:rsid w:val="00E850FE"/>
    <w:rsid w:val="00E86BB0"/>
    <w:rsid w:val="00E86E97"/>
    <w:rsid w:val="00E870F0"/>
    <w:rsid w:val="00E87319"/>
    <w:rsid w:val="00E87A38"/>
    <w:rsid w:val="00E9021D"/>
    <w:rsid w:val="00E90CAE"/>
    <w:rsid w:val="00E92BE3"/>
    <w:rsid w:val="00E945F5"/>
    <w:rsid w:val="00E951DF"/>
    <w:rsid w:val="00E95A2E"/>
    <w:rsid w:val="00E95F46"/>
    <w:rsid w:val="00E96A10"/>
    <w:rsid w:val="00EA208D"/>
    <w:rsid w:val="00EA2097"/>
    <w:rsid w:val="00EA30BF"/>
    <w:rsid w:val="00EA51A8"/>
    <w:rsid w:val="00EA5FEE"/>
    <w:rsid w:val="00EA6C0F"/>
    <w:rsid w:val="00EA7317"/>
    <w:rsid w:val="00EA7CFC"/>
    <w:rsid w:val="00EB1D91"/>
    <w:rsid w:val="00EB2ABD"/>
    <w:rsid w:val="00EB30F1"/>
    <w:rsid w:val="00EB3988"/>
    <w:rsid w:val="00EB3B15"/>
    <w:rsid w:val="00EB3CD1"/>
    <w:rsid w:val="00EB4908"/>
    <w:rsid w:val="00EB5217"/>
    <w:rsid w:val="00EB6D5D"/>
    <w:rsid w:val="00EC0D0A"/>
    <w:rsid w:val="00EC1D4E"/>
    <w:rsid w:val="00EC2165"/>
    <w:rsid w:val="00EC244B"/>
    <w:rsid w:val="00EC28BC"/>
    <w:rsid w:val="00EC2F3F"/>
    <w:rsid w:val="00EC33A0"/>
    <w:rsid w:val="00EC4443"/>
    <w:rsid w:val="00EC4D14"/>
    <w:rsid w:val="00EC5056"/>
    <w:rsid w:val="00EC69E6"/>
    <w:rsid w:val="00EC7B4E"/>
    <w:rsid w:val="00ED1391"/>
    <w:rsid w:val="00ED1B51"/>
    <w:rsid w:val="00ED2133"/>
    <w:rsid w:val="00ED3232"/>
    <w:rsid w:val="00ED554B"/>
    <w:rsid w:val="00ED56EF"/>
    <w:rsid w:val="00ED5A54"/>
    <w:rsid w:val="00ED7A2A"/>
    <w:rsid w:val="00EE0DB3"/>
    <w:rsid w:val="00EE1506"/>
    <w:rsid w:val="00EE1978"/>
    <w:rsid w:val="00EE3018"/>
    <w:rsid w:val="00EE4351"/>
    <w:rsid w:val="00EE4365"/>
    <w:rsid w:val="00EE48A2"/>
    <w:rsid w:val="00EE5519"/>
    <w:rsid w:val="00EE5799"/>
    <w:rsid w:val="00EE57DC"/>
    <w:rsid w:val="00EE601A"/>
    <w:rsid w:val="00EE68AD"/>
    <w:rsid w:val="00EF16B1"/>
    <w:rsid w:val="00EF1F87"/>
    <w:rsid w:val="00EF3CDD"/>
    <w:rsid w:val="00EF4C47"/>
    <w:rsid w:val="00EF4C4A"/>
    <w:rsid w:val="00EF51B1"/>
    <w:rsid w:val="00EF709F"/>
    <w:rsid w:val="00F00B46"/>
    <w:rsid w:val="00F0267C"/>
    <w:rsid w:val="00F027E1"/>
    <w:rsid w:val="00F034A3"/>
    <w:rsid w:val="00F034FD"/>
    <w:rsid w:val="00F04447"/>
    <w:rsid w:val="00F04948"/>
    <w:rsid w:val="00F05124"/>
    <w:rsid w:val="00F05BAE"/>
    <w:rsid w:val="00F05D59"/>
    <w:rsid w:val="00F05EA6"/>
    <w:rsid w:val="00F05FEA"/>
    <w:rsid w:val="00F0637D"/>
    <w:rsid w:val="00F0677C"/>
    <w:rsid w:val="00F07544"/>
    <w:rsid w:val="00F105A4"/>
    <w:rsid w:val="00F10CF2"/>
    <w:rsid w:val="00F11D1D"/>
    <w:rsid w:val="00F12742"/>
    <w:rsid w:val="00F1288D"/>
    <w:rsid w:val="00F15530"/>
    <w:rsid w:val="00F1599B"/>
    <w:rsid w:val="00F16790"/>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3DF"/>
    <w:rsid w:val="00F27503"/>
    <w:rsid w:val="00F27679"/>
    <w:rsid w:val="00F318F1"/>
    <w:rsid w:val="00F31B2F"/>
    <w:rsid w:val="00F3324B"/>
    <w:rsid w:val="00F343BB"/>
    <w:rsid w:val="00F35397"/>
    <w:rsid w:val="00F36AFD"/>
    <w:rsid w:val="00F36DAC"/>
    <w:rsid w:val="00F42166"/>
    <w:rsid w:val="00F42817"/>
    <w:rsid w:val="00F428D7"/>
    <w:rsid w:val="00F430CB"/>
    <w:rsid w:val="00F432E7"/>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806"/>
    <w:rsid w:val="00F5698B"/>
    <w:rsid w:val="00F57028"/>
    <w:rsid w:val="00F57ADD"/>
    <w:rsid w:val="00F6099B"/>
    <w:rsid w:val="00F616B3"/>
    <w:rsid w:val="00F62468"/>
    <w:rsid w:val="00F630FA"/>
    <w:rsid w:val="00F64641"/>
    <w:rsid w:val="00F665FC"/>
    <w:rsid w:val="00F66D7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606D"/>
    <w:rsid w:val="00F86D07"/>
    <w:rsid w:val="00F87416"/>
    <w:rsid w:val="00F90AC6"/>
    <w:rsid w:val="00F91C9D"/>
    <w:rsid w:val="00F91E16"/>
    <w:rsid w:val="00F92273"/>
    <w:rsid w:val="00F92B7B"/>
    <w:rsid w:val="00F93876"/>
    <w:rsid w:val="00F946C1"/>
    <w:rsid w:val="00F972E2"/>
    <w:rsid w:val="00FA0585"/>
    <w:rsid w:val="00FA1561"/>
    <w:rsid w:val="00FA1D18"/>
    <w:rsid w:val="00FA1EFB"/>
    <w:rsid w:val="00FA250D"/>
    <w:rsid w:val="00FA4012"/>
    <w:rsid w:val="00FA408E"/>
    <w:rsid w:val="00FB2452"/>
    <w:rsid w:val="00FB28C5"/>
    <w:rsid w:val="00FB477D"/>
    <w:rsid w:val="00FB4A09"/>
    <w:rsid w:val="00FB4E23"/>
    <w:rsid w:val="00FB615A"/>
    <w:rsid w:val="00FB71A0"/>
    <w:rsid w:val="00FB77E9"/>
    <w:rsid w:val="00FC2614"/>
    <w:rsid w:val="00FC28B5"/>
    <w:rsid w:val="00FC461F"/>
    <w:rsid w:val="00FC4C01"/>
    <w:rsid w:val="00FC5FD4"/>
    <w:rsid w:val="00FC7C0C"/>
    <w:rsid w:val="00FC7C2E"/>
    <w:rsid w:val="00FD006B"/>
    <w:rsid w:val="00FD1CB9"/>
    <w:rsid w:val="00FD21F7"/>
    <w:rsid w:val="00FD3CE2"/>
    <w:rsid w:val="00FD4BA2"/>
    <w:rsid w:val="00FD5606"/>
    <w:rsid w:val="00FD6043"/>
    <w:rsid w:val="00FD7340"/>
    <w:rsid w:val="00FD7F84"/>
    <w:rsid w:val="00FE0CA8"/>
    <w:rsid w:val="00FE15B5"/>
    <w:rsid w:val="00FE1FBD"/>
    <w:rsid w:val="00FE2A7E"/>
    <w:rsid w:val="00FE305E"/>
    <w:rsid w:val="00FE3772"/>
    <w:rsid w:val="00FE438F"/>
    <w:rsid w:val="00FE49BF"/>
    <w:rsid w:val="00FE514A"/>
    <w:rsid w:val="00FE6904"/>
    <w:rsid w:val="00FF059F"/>
    <w:rsid w:val="00FF32C6"/>
    <w:rsid w:val="00FF4531"/>
    <w:rsid w:val="00FF4E33"/>
    <w:rsid w:val="00FF5D65"/>
    <w:rsid w:val="00FF6622"/>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uiPriority w:val="34"/>
    <w:qFormat/>
    <w:rsid w:val="00613A31"/>
    <w:pPr>
      <w:ind w:left="720"/>
      <w:contextualSpacing/>
    </w:pPr>
  </w:style>
  <w:style w:type="character" w:customStyle="1" w:styleId="ListParagraphChar">
    <w:name w:val="List Paragraph Char"/>
    <w:basedOn w:val="DefaultParagraphFont"/>
    <w:link w:val="ListParagraph"/>
    <w:uiPriority w:val="34"/>
    <w:locked/>
    <w:rsid w:val="0088052B"/>
    <w:rPr>
      <w:sz w:val="24"/>
      <w:szCs w:val="24"/>
      <w:lang w:eastAsia="en-US"/>
    </w:rPr>
  </w:style>
  <w:style w:type="table" w:styleId="TableGrid">
    <w:name w:val="Table Grid"/>
    <w:basedOn w:val="TableNormal"/>
    <w:rsid w:val="00487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0D0260"/>
    <w:rPr>
      <w:sz w:val="16"/>
      <w:szCs w:val="16"/>
    </w:rPr>
  </w:style>
  <w:style w:type="paragraph" w:styleId="CommentText">
    <w:name w:val="annotation text"/>
    <w:basedOn w:val="Normal"/>
    <w:link w:val="CommentTextChar"/>
    <w:rsid w:val="000D0260"/>
    <w:rPr>
      <w:sz w:val="20"/>
      <w:szCs w:val="20"/>
    </w:rPr>
  </w:style>
  <w:style w:type="character" w:customStyle="1" w:styleId="CommentTextChar">
    <w:name w:val="Comment Text Char"/>
    <w:basedOn w:val="DefaultParagraphFont"/>
    <w:link w:val="CommentText"/>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uiPriority w:val="34"/>
    <w:qFormat/>
    <w:rsid w:val="00613A31"/>
    <w:pPr>
      <w:ind w:left="720"/>
      <w:contextualSpacing/>
    </w:pPr>
  </w:style>
  <w:style w:type="character" w:customStyle="1" w:styleId="ListParagraphChar">
    <w:name w:val="List Paragraph Char"/>
    <w:basedOn w:val="DefaultParagraphFont"/>
    <w:link w:val="ListParagraph"/>
    <w:uiPriority w:val="34"/>
    <w:locked/>
    <w:rsid w:val="0088052B"/>
    <w:rPr>
      <w:sz w:val="24"/>
      <w:szCs w:val="24"/>
      <w:lang w:eastAsia="en-US"/>
    </w:rPr>
  </w:style>
  <w:style w:type="table" w:styleId="TableGrid">
    <w:name w:val="Table Grid"/>
    <w:basedOn w:val="TableNormal"/>
    <w:rsid w:val="00487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0D0260"/>
    <w:rPr>
      <w:sz w:val="16"/>
      <w:szCs w:val="16"/>
    </w:rPr>
  </w:style>
  <w:style w:type="paragraph" w:styleId="CommentText">
    <w:name w:val="annotation text"/>
    <w:basedOn w:val="Normal"/>
    <w:link w:val="CommentTextChar"/>
    <w:rsid w:val="000D0260"/>
    <w:rPr>
      <w:sz w:val="20"/>
      <w:szCs w:val="20"/>
    </w:rPr>
  </w:style>
  <w:style w:type="character" w:customStyle="1" w:styleId="CommentTextChar">
    <w:name w:val="Comment Text Char"/>
    <w:basedOn w:val="DefaultParagraphFont"/>
    <w:link w:val="CommentText"/>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800339786">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B8BD-59C4-47A7-BECB-B876BA7B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68D818E6.dotm</Template>
  <TotalTime>0</TotalTime>
  <Pages>4</Pages>
  <Words>1214</Words>
  <Characters>6853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joestj</dc:creator>
  <cp:lastModifiedBy>Ryan Damien</cp:lastModifiedBy>
  <cp:revision>2</cp:revision>
  <cp:lastPrinted>2017-03-07T05:14:00Z</cp:lastPrinted>
  <dcterms:created xsi:type="dcterms:W3CDTF">2017-03-10T00:43:00Z</dcterms:created>
  <dcterms:modified xsi:type="dcterms:W3CDTF">2017-03-10T00:43:00Z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