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AC" w:rsidRPr="00176E1C" w:rsidRDefault="00097318" w:rsidP="001D5FB5">
      <w:pPr>
        <w:jc w:val="center"/>
        <w:rPr>
          <w:rFonts w:cs="Arial"/>
          <w:b/>
          <w:bCs/>
          <w:szCs w:val="24"/>
        </w:rPr>
      </w:pPr>
      <w:r w:rsidRPr="00176E1C">
        <w:rPr>
          <w:rFonts w:cs="Arial"/>
          <w:b/>
          <w:bCs/>
          <w:szCs w:val="24"/>
        </w:rPr>
        <w:t>EXPLANATORY STATEMENT</w:t>
      </w:r>
    </w:p>
    <w:p w:rsidR="00097318" w:rsidRPr="00176E1C" w:rsidRDefault="00097318" w:rsidP="00E65DE5">
      <w:pPr>
        <w:rPr>
          <w:rFonts w:cs="Arial"/>
          <w:b/>
          <w:bCs/>
          <w:szCs w:val="24"/>
          <w:u w:val="single"/>
        </w:rPr>
      </w:pPr>
    </w:p>
    <w:p w:rsidR="00097318" w:rsidRPr="00176E1C" w:rsidRDefault="005C7C12" w:rsidP="006734FB">
      <w:pPr>
        <w:jc w:val="center"/>
        <w:rPr>
          <w:rFonts w:cs="Arial"/>
          <w:b/>
          <w:bCs/>
          <w:szCs w:val="24"/>
        </w:rPr>
      </w:pPr>
      <w:r w:rsidRPr="00176E1C">
        <w:rPr>
          <w:rFonts w:cs="Arial"/>
          <w:b/>
          <w:bCs/>
          <w:szCs w:val="24"/>
        </w:rPr>
        <w:t>GST-free Supply (Long Day Care and In-home Care) Determination 2017</w:t>
      </w:r>
    </w:p>
    <w:p w:rsidR="00D727E4" w:rsidRPr="00176E1C" w:rsidRDefault="00D727E4" w:rsidP="00E65DE5">
      <w:pPr>
        <w:rPr>
          <w:rFonts w:cs="Arial"/>
          <w:b/>
          <w:bCs/>
          <w:szCs w:val="24"/>
        </w:rPr>
      </w:pPr>
    </w:p>
    <w:p w:rsidR="00297A26" w:rsidRPr="00176E1C" w:rsidRDefault="00297A26" w:rsidP="00E65DE5">
      <w:pPr>
        <w:rPr>
          <w:rFonts w:cs="Arial"/>
          <w:b/>
          <w:bCs/>
          <w:szCs w:val="24"/>
        </w:rPr>
      </w:pPr>
      <w:r w:rsidRPr="00176E1C">
        <w:rPr>
          <w:rFonts w:cs="Arial"/>
          <w:b/>
          <w:bCs/>
          <w:szCs w:val="24"/>
        </w:rPr>
        <w:t>Summary</w:t>
      </w:r>
    </w:p>
    <w:p w:rsidR="00297A26" w:rsidRPr="00176E1C" w:rsidRDefault="00297A26" w:rsidP="00E65DE5">
      <w:pPr>
        <w:rPr>
          <w:rFonts w:cs="Arial"/>
          <w:bCs/>
          <w:szCs w:val="24"/>
        </w:rPr>
      </w:pPr>
    </w:p>
    <w:p w:rsidR="00CE110B" w:rsidRPr="00176E1C" w:rsidRDefault="00297A26" w:rsidP="00297A26">
      <w:pPr>
        <w:rPr>
          <w:rFonts w:cs="Arial"/>
          <w:bCs/>
          <w:szCs w:val="24"/>
        </w:rPr>
      </w:pPr>
      <w:r w:rsidRPr="00176E1C">
        <w:rPr>
          <w:rFonts w:cs="Arial"/>
          <w:bCs/>
          <w:szCs w:val="24"/>
        </w:rPr>
        <w:t xml:space="preserve">The </w:t>
      </w:r>
      <w:r w:rsidRPr="00176E1C">
        <w:rPr>
          <w:rFonts w:cs="Arial"/>
          <w:bCs/>
          <w:i/>
          <w:szCs w:val="24"/>
        </w:rPr>
        <w:t>GST-free Supply (Long Day Care and In-home Care) Determination 2017</w:t>
      </w:r>
      <w:r w:rsidRPr="00176E1C">
        <w:rPr>
          <w:rFonts w:cs="Arial"/>
          <w:bCs/>
          <w:szCs w:val="24"/>
        </w:rPr>
        <w:t xml:space="preserve"> (the Determination) is made </w:t>
      </w:r>
      <w:r w:rsidR="007308B9" w:rsidRPr="00176E1C">
        <w:rPr>
          <w:rFonts w:cs="Arial"/>
          <w:bCs/>
          <w:szCs w:val="24"/>
        </w:rPr>
        <w:t xml:space="preserve">by the Minister for </w:t>
      </w:r>
      <w:r w:rsidR="005C7C12" w:rsidRPr="00176E1C">
        <w:rPr>
          <w:rFonts w:cs="Arial"/>
          <w:bCs/>
          <w:szCs w:val="24"/>
        </w:rPr>
        <w:t xml:space="preserve">Education </w:t>
      </w:r>
      <w:r w:rsidR="0094778D">
        <w:rPr>
          <w:rFonts w:cs="Arial"/>
          <w:bCs/>
          <w:szCs w:val="24"/>
        </w:rPr>
        <w:t>and Training under paragraph 38</w:t>
      </w:r>
      <w:r w:rsidR="0094778D">
        <w:rPr>
          <w:rFonts w:cs="Arial"/>
          <w:bCs/>
          <w:szCs w:val="24"/>
        </w:rPr>
        <w:noBreakHyphen/>
      </w:r>
      <w:proofErr w:type="gramStart"/>
      <w:r w:rsidR="005C7C12" w:rsidRPr="00176E1C">
        <w:rPr>
          <w:rFonts w:cs="Arial"/>
          <w:bCs/>
          <w:szCs w:val="24"/>
        </w:rPr>
        <w:t>150(</w:t>
      </w:r>
      <w:proofErr w:type="gramEnd"/>
      <w:r w:rsidR="005C7C12" w:rsidRPr="00176E1C">
        <w:rPr>
          <w:rFonts w:cs="Arial"/>
          <w:bCs/>
          <w:szCs w:val="24"/>
        </w:rPr>
        <w:t xml:space="preserve">e) of the </w:t>
      </w:r>
      <w:r w:rsidR="005C7C12" w:rsidRPr="00176E1C">
        <w:rPr>
          <w:rFonts w:cs="Arial"/>
          <w:bCs/>
          <w:i/>
          <w:szCs w:val="24"/>
        </w:rPr>
        <w:t>A New Tax System (Goods and Services Tax) Act 1999</w:t>
      </w:r>
      <w:r w:rsidR="00176E1C">
        <w:rPr>
          <w:rFonts w:cs="Arial"/>
          <w:bCs/>
          <w:szCs w:val="24"/>
        </w:rPr>
        <w:t xml:space="preserve"> (the Act)</w:t>
      </w:r>
      <w:r w:rsidR="005C7C12" w:rsidRPr="00176E1C">
        <w:rPr>
          <w:rFonts w:cs="Arial"/>
          <w:bCs/>
          <w:szCs w:val="24"/>
        </w:rPr>
        <w:t>.</w:t>
      </w:r>
    </w:p>
    <w:p w:rsidR="00CE110B" w:rsidRPr="00176E1C" w:rsidRDefault="00CE110B" w:rsidP="00E65DE5">
      <w:pPr>
        <w:rPr>
          <w:rFonts w:cs="Arial"/>
          <w:bCs/>
          <w:szCs w:val="24"/>
        </w:rPr>
      </w:pPr>
    </w:p>
    <w:p w:rsidR="00FD459A" w:rsidRPr="00176E1C" w:rsidRDefault="001D5FB5" w:rsidP="00E65DE5">
      <w:pPr>
        <w:rPr>
          <w:rFonts w:cs="Arial"/>
          <w:b/>
          <w:bCs/>
          <w:szCs w:val="24"/>
        </w:rPr>
      </w:pPr>
      <w:r w:rsidRPr="00176E1C">
        <w:rPr>
          <w:rFonts w:cs="Arial"/>
          <w:b/>
          <w:bCs/>
          <w:szCs w:val="24"/>
        </w:rPr>
        <w:t>Purpose</w:t>
      </w:r>
      <w:r w:rsidR="00930EA7" w:rsidRPr="00176E1C">
        <w:rPr>
          <w:rFonts w:cs="Arial"/>
          <w:b/>
          <w:bCs/>
          <w:szCs w:val="24"/>
        </w:rPr>
        <w:t xml:space="preserve"> </w:t>
      </w:r>
    </w:p>
    <w:p w:rsidR="00CE110B" w:rsidRPr="00176E1C" w:rsidRDefault="00CE110B" w:rsidP="00E65DE5">
      <w:pPr>
        <w:rPr>
          <w:rFonts w:cs="Arial"/>
          <w:bCs/>
          <w:szCs w:val="24"/>
        </w:rPr>
      </w:pPr>
    </w:p>
    <w:p w:rsidR="00297A26" w:rsidRPr="00176E1C" w:rsidRDefault="003F78FA" w:rsidP="00297A26">
      <w:pPr>
        <w:rPr>
          <w:rFonts w:cs="Arial"/>
          <w:bCs/>
          <w:szCs w:val="24"/>
        </w:rPr>
      </w:pPr>
      <w:r w:rsidRPr="00176E1C">
        <w:rPr>
          <w:rFonts w:cs="Arial"/>
          <w:bCs/>
          <w:szCs w:val="24"/>
        </w:rPr>
        <w:t xml:space="preserve">The purpose of the </w:t>
      </w:r>
      <w:r w:rsidR="006734FB" w:rsidRPr="00176E1C">
        <w:rPr>
          <w:rFonts w:cs="Arial"/>
          <w:bCs/>
          <w:szCs w:val="24"/>
        </w:rPr>
        <w:t>Determination</w:t>
      </w:r>
      <w:r w:rsidR="00FD459A" w:rsidRPr="00176E1C">
        <w:rPr>
          <w:rFonts w:cs="Arial"/>
          <w:bCs/>
          <w:szCs w:val="24"/>
        </w:rPr>
        <w:t xml:space="preserve"> is to </w:t>
      </w:r>
      <w:r w:rsidR="00297A26" w:rsidRPr="00176E1C">
        <w:rPr>
          <w:rFonts w:cs="Arial"/>
          <w:bCs/>
          <w:szCs w:val="24"/>
        </w:rPr>
        <w:t xml:space="preserve">repeal and consolidate the </w:t>
      </w:r>
      <w:r w:rsidR="00297A26" w:rsidRPr="00176E1C">
        <w:rPr>
          <w:rFonts w:cs="Arial"/>
          <w:bCs/>
          <w:i/>
          <w:szCs w:val="24"/>
        </w:rPr>
        <w:t>GST-free Supply (In-home Care) Determination 2001</w:t>
      </w:r>
      <w:r w:rsidR="00297A26" w:rsidRPr="00176E1C">
        <w:rPr>
          <w:rFonts w:cs="Arial"/>
          <w:bCs/>
          <w:szCs w:val="24"/>
        </w:rPr>
        <w:t xml:space="preserve"> and the </w:t>
      </w:r>
      <w:r w:rsidR="00297A26" w:rsidRPr="00176E1C">
        <w:rPr>
          <w:rFonts w:cs="Arial"/>
          <w:bCs/>
          <w:i/>
          <w:szCs w:val="24"/>
        </w:rPr>
        <w:t>GST-free Supply (Long Day Care) Determination 2002</w:t>
      </w:r>
      <w:r w:rsidR="00297A26" w:rsidRPr="00176E1C">
        <w:rPr>
          <w:rFonts w:cs="Arial"/>
          <w:bCs/>
          <w:szCs w:val="24"/>
        </w:rPr>
        <w:t xml:space="preserve"> (the </w:t>
      </w:r>
      <w:r w:rsidR="0094778D">
        <w:rPr>
          <w:rFonts w:cs="Arial"/>
          <w:bCs/>
          <w:szCs w:val="24"/>
        </w:rPr>
        <w:t>old</w:t>
      </w:r>
      <w:r w:rsidR="00297A26" w:rsidRPr="00176E1C">
        <w:rPr>
          <w:rFonts w:cs="Arial"/>
          <w:bCs/>
          <w:szCs w:val="24"/>
        </w:rPr>
        <w:t xml:space="preserve"> instruments)</w:t>
      </w:r>
      <w:r w:rsidR="006734FB" w:rsidRPr="00176E1C">
        <w:rPr>
          <w:rFonts w:cs="Arial"/>
          <w:bCs/>
          <w:szCs w:val="24"/>
        </w:rPr>
        <w:t>.</w:t>
      </w:r>
      <w:r w:rsidR="00384C27">
        <w:rPr>
          <w:rFonts w:cs="Arial"/>
          <w:bCs/>
          <w:szCs w:val="24"/>
        </w:rPr>
        <w:t xml:space="preserve"> </w:t>
      </w:r>
      <w:r w:rsidR="00297A26" w:rsidRPr="00176E1C">
        <w:rPr>
          <w:rFonts w:cs="Arial"/>
          <w:bCs/>
          <w:szCs w:val="24"/>
        </w:rPr>
        <w:t xml:space="preserve">In doing so, the Determination relies on subsection 33(3) of the </w:t>
      </w:r>
      <w:r w:rsidR="00297A26" w:rsidRPr="00176E1C">
        <w:rPr>
          <w:rFonts w:cs="Arial"/>
          <w:bCs/>
          <w:i/>
          <w:szCs w:val="24"/>
        </w:rPr>
        <w:t>Acts Interpretation Act 1901</w:t>
      </w:r>
      <w:r w:rsidR="00297A26" w:rsidRPr="00176E1C">
        <w:rPr>
          <w:rFonts w:cs="Arial"/>
          <w:bCs/>
          <w:szCs w:val="24"/>
        </w:rPr>
        <w:t>, which states that,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297A26" w:rsidRPr="00176E1C" w:rsidRDefault="00297A26" w:rsidP="00843302">
      <w:pPr>
        <w:rPr>
          <w:rFonts w:cs="Arial"/>
          <w:bCs/>
          <w:szCs w:val="24"/>
        </w:rPr>
      </w:pPr>
    </w:p>
    <w:p w:rsidR="00A5713B" w:rsidRPr="00176E1C" w:rsidRDefault="00297A26" w:rsidP="00843302">
      <w:pPr>
        <w:rPr>
          <w:rFonts w:cs="Arial"/>
          <w:bCs/>
          <w:szCs w:val="24"/>
        </w:rPr>
      </w:pPr>
      <w:r w:rsidRPr="00176E1C">
        <w:rPr>
          <w:rFonts w:cs="Arial"/>
          <w:bCs/>
          <w:szCs w:val="24"/>
        </w:rPr>
        <w:t>The</w:t>
      </w:r>
      <w:r w:rsidR="00F974A7">
        <w:rPr>
          <w:rFonts w:cs="Arial"/>
          <w:bCs/>
          <w:szCs w:val="24"/>
        </w:rPr>
        <w:t xml:space="preserve"> previous instruments</w:t>
      </w:r>
      <w:r w:rsidR="0094778D">
        <w:rPr>
          <w:rFonts w:cs="Arial"/>
          <w:bCs/>
          <w:szCs w:val="24"/>
        </w:rPr>
        <w:t xml:space="preserve"> were made in 2001 and 2002 and</w:t>
      </w:r>
      <w:r w:rsidR="00384C27">
        <w:rPr>
          <w:rFonts w:cs="Arial"/>
          <w:bCs/>
          <w:szCs w:val="24"/>
        </w:rPr>
        <w:t>, at the time of making this Determination, were</w:t>
      </w:r>
      <w:r w:rsidR="0094778D">
        <w:rPr>
          <w:rFonts w:cs="Arial"/>
          <w:bCs/>
          <w:szCs w:val="24"/>
        </w:rPr>
        <w:t xml:space="preserve"> due to sunset under section 50 of the </w:t>
      </w:r>
      <w:r w:rsidR="0094778D">
        <w:rPr>
          <w:rFonts w:cs="Arial"/>
          <w:bCs/>
          <w:i/>
          <w:szCs w:val="24"/>
        </w:rPr>
        <w:t>Legislation Act 2003</w:t>
      </w:r>
      <w:r w:rsidR="0094778D">
        <w:rPr>
          <w:rFonts w:cs="Arial"/>
          <w:bCs/>
          <w:szCs w:val="24"/>
        </w:rPr>
        <w:t>.  The</w:t>
      </w:r>
      <w:r w:rsidRPr="00176E1C">
        <w:rPr>
          <w:rFonts w:cs="Arial"/>
          <w:bCs/>
          <w:szCs w:val="24"/>
        </w:rPr>
        <w:t xml:space="preserve"> Determination </w:t>
      </w:r>
      <w:r w:rsidR="0094778D">
        <w:rPr>
          <w:rFonts w:cs="Arial"/>
          <w:bCs/>
          <w:szCs w:val="24"/>
        </w:rPr>
        <w:t>seeks to continue t</w:t>
      </w:r>
      <w:r w:rsidR="002A4F3A">
        <w:rPr>
          <w:rFonts w:cs="Arial"/>
          <w:bCs/>
          <w:szCs w:val="24"/>
        </w:rPr>
        <w:t>he</w:t>
      </w:r>
      <w:bookmarkStart w:id="0" w:name="_GoBack"/>
      <w:bookmarkEnd w:id="0"/>
      <w:r w:rsidR="0094778D">
        <w:rPr>
          <w:rFonts w:cs="Arial"/>
          <w:bCs/>
          <w:szCs w:val="24"/>
        </w:rPr>
        <w:t xml:space="preserve"> current effect of the old determinations and consolidate them into a single instrument</w:t>
      </w:r>
      <w:r w:rsidR="00843302" w:rsidRPr="00176E1C">
        <w:rPr>
          <w:rFonts w:cs="Arial"/>
          <w:bCs/>
          <w:szCs w:val="24"/>
        </w:rPr>
        <w:t>.</w:t>
      </w:r>
      <w:r w:rsidR="00FF0968">
        <w:rPr>
          <w:rFonts w:cs="Arial"/>
          <w:bCs/>
          <w:szCs w:val="24"/>
        </w:rPr>
        <w:t xml:space="preserve"> </w:t>
      </w:r>
      <w:r w:rsidR="0094778D">
        <w:rPr>
          <w:rFonts w:cs="Arial"/>
          <w:bCs/>
          <w:szCs w:val="24"/>
        </w:rPr>
        <w:t xml:space="preserve">The Determination will ensure that supplies of child care will remain GST-free where funding is provided by the Commonwealth for In-home care or Long day care services.  The Determination will not cover supplies of </w:t>
      </w:r>
      <w:r w:rsidR="00384C27">
        <w:rPr>
          <w:rFonts w:cs="Arial"/>
          <w:bCs/>
          <w:szCs w:val="24"/>
        </w:rPr>
        <w:t>c</w:t>
      </w:r>
      <w:r w:rsidR="0094778D">
        <w:rPr>
          <w:rFonts w:cs="Arial"/>
          <w:bCs/>
          <w:szCs w:val="24"/>
        </w:rPr>
        <w:t xml:space="preserve">hild care by services approved under the </w:t>
      </w:r>
      <w:r w:rsidR="0094778D">
        <w:rPr>
          <w:rFonts w:cs="Arial"/>
          <w:bCs/>
          <w:i/>
          <w:szCs w:val="24"/>
        </w:rPr>
        <w:t>A New Tax System (Family Assistance) (Administration) Act 1999</w:t>
      </w:r>
      <w:r w:rsidR="00384C27">
        <w:rPr>
          <w:rFonts w:cs="Arial"/>
          <w:bCs/>
          <w:szCs w:val="24"/>
        </w:rPr>
        <w:t>, as supplies of child care provided by approved services are already GST free because of section 38-145 of the Act.</w:t>
      </w:r>
    </w:p>
    <w:p w:rsidR="008043DE" w:rsidRPr="00176E1C" w:rsidRDefault="008043DE" w:rsidP="00843302">
      <w:pPr>
        <w:rPr>
          <w:rFonts w:cs="Arial"/>
          <w:bCs/>
          <w:szCs w:val="24"/>
        </w:rPr>
      </w:pPr>
    </w:p>
    <w:p w:rsidR="008043DE" w:rsidRPr="00176E1C" w:rsidRDefault="008043DE" w:rsidP="00A32341">
      <w:r w:rsidRPr="00176E1C">
        <w:t xml:space="preserve">The Determination is a legislative instrument for the purposes of the </w:t>
      </w:r>
      <w:r w:rsidRPr="00176E1C">
        <w:rPr>
          <w:i/>
        </w:rPr>
        <w:t>Legislation Act 2003</w:t>
      </w:r>
      <w:r w:rsidRPr="00176E1C">
        <w:t xml:space="preserve">. </w:t>
      </w:r>
    </w:p>
    <w:p w:rsidR="00AF6C7C" w:rsidRPr="00176E1C" w:rsidRDefault="00AF6C7C" w:rsidP="00AF6C7C">
      <w:pPr>
        <w:rPr>
          <w:rFonts w:cs="Arial"/>
          <w:bCs/>
          <w:szCs w:val="24"/>
        </w:rPr>
      </w:pPr>
    </w:p>
    <w:p w:rsidR="00E1560F" w:rsidRPr="00176E1C" w:rsidRDefault="00671D14" w:rsidP="00E65DE5">
      <w:pPr>
        <w:rPr>
          <w:rFonts w:cs="Arial"/>
          <w:b/>
          <w:bCs/>
          <w:szCs w:val="24"/>
        </w:rPr>
      </w:pPr>
      <w:r w:rsidRPr="00176E1C">
        <w:rPr>
          <w:rFonts w:cs="Arial"/>
          <w:b/>
          <w:bCs/>
          <w:szCs w:val="24"/>
        </w:rPr>
        <w:t xml:space="preserve">Commencement </w:t>
      </w:r>
    </w:p>
    <w:p w:rsidR="003F78FA" w:rsidRPr="00176E1C" w:rsidRDefault="003F78FA" w:rsidP="00E65DE5">
      <w:pPr>
        <w:rPr>
          <w:rFonts w:cs="Arial"/>
          <w:bCs/>
          <w:szCs w:val="24"/>
        </w:rPr>
      </w:pPr>
    </w:p>
    <w:p w:rsidR="00671D14" w:rsidRPr="00176E1C" w:rsidRDefault="005C7C12" w:rsidP="005C7C12">
      <w:pPr>
        <w:rPr>
          <w:rFonts w:cs="Arial"/>
          <w:bCs/>
          <w:szCs w:val="24"/>
        </w:rPr>
      </w:pPr>
      <w:r w:rsidRPr="00176E1C">
        <w:rPr>
          <w:rFonts w:cs="Arial"/>
          <w:bCs/>
          <w:szCs w:val="24"/>
        </w:rPr>
        <w:t xml:space="preserve">The </w:t>
      </w:r>
      <w:r w:rsidR="00843302" w:rsidRPr="00176E1C">
        <w:rPr>
          <w:rFonts w:cs="Arial"/>
          <w:bCs/>
          <w:szCs w:val="24"/>
        </w:rPr>
        <w:t>Determination</w:t>
      </w:r>
      <w:r w:rsidR="00671D14" w:rsidRPr="00176E1C">
        <w:rPr>
          <w:rFonts w:cs="Arial"/>
          <w:bCs/>
          <w:szCs w:val="24"/>
        </w:rPr>
        <w:t xml:space="preserve"> commenced on the day after it was registered on the Federal Register of Instruments  </w:t>
      </w:r>
    </w:p>
    <w:p w:rsidR="00671D14" w:rsidRPr="00176E1C" w:rsidRDefault="00671D14" w:rsidP="00E65DE5">
      <w:pPr>
        <w:rPr>
          <w:rFonts w:cs="Arial"/>
          <w:bCs/>
          <w:szCs w:val="24"/>
        </w:rPr>
      </w:pPr>
    </w:p>
    <w:p w:rsidR="007A33D9" w:rsidRPr="00176E1C" w:rsidRDefault="007A33D9" w:rsidP="007A33D9">
      <w:pPr>
        <w:rPr>
          <w:rFonts w:cs="Arial"/>
          <w:b/>
          <w:szCs w:val="24"/>
        </w:rPr>
      </w:pPr>
      <w:r w:rsidRPr="00176E1C">
        <w:rPr>
          <w:rFonts w:cs="Arial"/>
          <w:b/>
          <w:szCs w:val="24"/>
        </w:rPr>
        <w:t>Consultation</w:t>
      </w:r>
    </w:p>
    <w:p w:rsidR="007A33D9" w:rsidRPr="00176E1C" w:rsidRDefault="007A33D9" w:rsidP="00A32341"/>
    <w:p w:rsidR="007A33D9" w:rsidRPr="00176E1C" w:rsidRDefault="005C7C12" w:rsidP="00A32341">
      <w:r w:rsidRPr="00176E1C">
        <w:t>The Treasurer</w:t>
      </w:r>
      <w:r w:rsidR="00384C27">
        <w:t xml:space="preserve"> and his Department</w:t>
      </w:r>
      <w:r w:rsidRPr="00176E1C">
        <w:t xml:space="preserve"> were consulted</w:t>
      </w:r>
      <w:r w:rsidR="006734FB" w:rsidRPr="00176E1C">
        <w:t xml:space="preserve"> in the making of this Determination.</w:t>
      </w:r>
    </w:p>
    <w:p w:rsidR="00911A65" w:rsidRPr="00176E1C" w:rsidRDefault="00911A65" w:rsidP="00A32341"/>
    <w:p w:rsidR="007A33D9" w:rsidRPr="00176E1C" w:rsidRDefault="007A33D9" w:rsidP="007A33D9">
      <w:pPr>
        <w:rPr>
          <w:rFonts w:cs="Arial"/>
          <w:b/>
          <w:szCs w:val="24"/>
        </w:rPr>
      </w:pPr>
      <w:r w:rsidRPr="00176E1C">
        <w:rPr>
          <w:rFonts w:cs="Arial"/>
          <w:b/>
          <w:szCs w:val="24"/>
        </w:rPr>
        <w:t>Regulation Impact Statement</w:t>
      </w:r>
    </w:p>
    <w:p w:rsidR="007A33D9" w:rsidRPr="00176E1C" w:rsidRDefault="007A33D9" w:rsidP="007A33D9">
      <w:pPr>
        <w:rPr>
          <w:rFonts w:cs="Arial"/>
          <w:b/>
          <w:i/>
          <w:szCs w:val="24"/>
        </w:rPr>
      </w:pPr>
    </w:p>
    <w:p w:rsidR="007A33D9" w:rsidRPr="00FD7579" w:rsidRDefault="00D10B59" w:rsidP="007A33D9">
      <w:pPr>
        <w:rPr>
          <w:rFonts w:cs="Arial"/>
          <w:szCs w:val="24"/>
        </w:rPr>
      </w:pPr>
      <w:r w:rsidRPr="008C01E5">
        <w:rPr>
          <w:rFonts w:cs="Arial"/>
          <w:szCs w:val="24"/>
        </w:rPr>
        <w:t xml:space="preserve">The </w:t>
      </w:r>
      <w:r w:rsidR="007A33D9" w:rsidRPr="008C01E5">
        <w:rPr>
          <w:rFonts w:cs="Arial"/>
          <w:szCs w:val="24"/>
        </w:rPr>
        <w:t xml:space="preserve">Office of Best Practice regulation was consulted in the preparation of the </w:t>
      </w:r>
      <w:r w:rsidR="006734FB" w:rsidRPr="008C01E5">
        <w:rPr>
          <w:rFonts w:cs="Arial"/>
          <w:szCs w:val="24"/>
        </w:rPr>
        <w:t>Determination</w:t>
      </w:r>
      <w:r w:rsidR="007A33D9" w:rsidRPr="008C01E5">
        <w:rPr>
          <w:rFonts w:cs="Arial"/>
          <w:szCs w:val="24"/>
        </w:rPr>
        <w:t xml:space="preserve"> and </w:t>
      </w:r>
      <w:r w:rsidR="008043DE" w:rsidRPr="008C01E5">
        <w:rPr>
          <w:rFonts w:cs="Arial"/>
          <w:szCs w:val="24"/>
        </w:rPr>
        <w:t>advised that a Regulation Impact Statement is not required for the Determination</w:t>
      </w:r>
      <w:r w:rsidR="00D6359D">
        <w:rPr>
          <w:rFonts w:cs="Arial"/>
          <w:szCs w:val="24"/>
        </w:rPr>
        <w:t xml:space="preserve"> as </w:t>
      </w:r>
      <w:r w:rsidR="004D7FE0">
        <w:rPr>
          <w:rFonts w:cs="Arial"/>
          <w:szCs w:val="24"/>
        </w:rPr>
        <w:t>the measure is not regulatory</w:t>
      </w:r>
      <w:r w:rsidR="008043DE" w:rsidRPr="008C01E5">
        <w:rPr>
          <w:rFonts w:cs="Arial"/>
          <w:szCs w:val="24"/>
        </w:rPr>
        <w:t>.</w:t>
      </w:r>
    </w:p>
    <w:p w:rsidR="007A33D9" w:rsidRPr="00FD7579" w:rsidRDefault="007A33D9" w:rsidP="007A33D9">
      <w:pPr>
        <w:rPr>
          <w:rFonts w:cs="Arial"/>
          <w:szCs w:val="24"/>
        </w:rPr>
      </w:pPr>
    </w:p>
    <w:p w:rsidR="00FD7579" w:rsidRPr="00176E1C" w:rsidRDefault="00FD7579" w:rsidP="007A33D9">
      <w:pPr>
        <w:rPr>
          <w:rFonts w:cs="Arial"/>
          <w:szCs w:val="24"/>
        </w:rPr>
      </w:pPr>
    </w:p>
    <w:p w:rsidR="007A33D9" w:rsidRPr="00176E1C" w:rsidRDefault="007A33D9" w:rsidP="00E65DE5">
      <w:pPr>
        <w:rPr>
          <w:rFonts w:cs="Arial"/>
          <w:szCs w:val="24"/>
        </w:rPr>
      </w:pPr>
    </w:p>
    <w:p w:rsidR="00BF7D20" w:rsidRPr="00D6359D" w:rsidRDefault="00BF7D20" w:rsidP="00E65DE5">
      <w:pPr>
        <w:rPr>
          <w:rFonts w:cs="Arial"/>
          <w:b/>
          <w:szCs w:val="24"/>
        </w:rPr>
      </w:pPr>
      <w:r w:rsidRPr="00D6359D">
        <w:rPr>
          <w:rFonts w:cs="Arial"/>
          <w:b/>
          <w:szCs w:val="24"/>
        </w:rPr>
        <w:t>Explanation of provisions</w:t>
      </w:r>
    </w:p>
    <w:p w:rsidR="00671D14" w:rsidRPr="00176E1C" w:rsidRDefault="00671D14" w:rsidP="00E65DE5">
      <w:pPr>
        <w:rPr>
          <w:rFonts w:cs="Arial"/>
          <w:b/>
          <w:bCs/>
          <w:szCs w:val="24"/>
        </w:rPr>
      </w:pPr>
    </w:p>
    <w:p w:rsidR="00671D14" w:rsidRPr="00176E1C" w:rsidRDefault="00671D14" w:rsidP="00671D14">
      <w:pPr>
        <w:rPr>
          <w:rFonts w:cs="Arial"/>
          <w:szCs w:val="24"/>
        </w:rPr>
      </w:pPr>
      <w:r w:rsidRPr="00176E1C">
        <w:rPr>
          <w:rFonts w:cs="Arial"/>
          <w:b/>
          <w:bCs/>
          <w:szCs w:val="24"/>
        </w:rPr>
        <w:t xml:space="preserve">Section 1 </w:t>
      </w:r>
      <w:r w:rsidRPr="00176E1C">
        <w:rPr>
          <w:rFonts w:cs="Arial"/>
          <w:szCs w:val="24"/>
        </w:rPr>
        <w:t>of the Determination states the name of the Determination.</w:t>
      </w:r>
    </w:p>
    <w:p w:rsidR="00671D14" w:rsidRPr="00176E1C" w:rsidRDefault="00671D14" w:rsidP="00671D14">
      <w:pPr>
        <w:rPr>
          <w:rFonts w:cs="Arial"/>
          <w:szCs w:val="24"/>
          <w:highlight w:val="yellow"/>
        </w:rPr>
      </w:pPr>
    </w:p>
    <w:p w:rsidR="00671D14" w:rsidRPr="00176E1C" w:rsidRDefault="00671D14" w:rsidP="00671D14">
      <w:pPr>
        <w:rPr>
          <w:rFonts w:cs="Arial"/>
          <w:szCs w:val="24"/>
        </w:rPr>
      </w:pPr>
      <w:r w:rsidRPr="00176E1C">
        <w:rPr>
          <w:rFonts w:cs="Arial"/>
          <w:b/>
          <w:bCs/>
          <w:szCs w:val="24"/>
        </w:rPr>
        <w:t xml:space="preserve">Section 2 </w:t>
      </w:r>
      <w:r w:rsidRPr="00176E1C">
        <w:rPr>
          <w:rFonts w:cs="Arial"/>
          <w:szCs w:val="24"/>
        </w:rPr>
        <w:t>states that the Determination commences on the day after it is registered.</w:t>
      </w:r>
    </w:p>
    <w:p w:rsidR="00671D14" w:rsidRPr="00176E1C" w:rsidRDefault="00671D14" w:rsidP="00671D14">
      <w:pPr>
        <w:rPr>
          <w:rFonts w:cs="Arial"/>
          <w:szCs w:val="24"/>
          <w:highlight w:val="yellow"/>
        </w:rPr>
      </w:pPr>
    </w:p>
    <w:p w:rsidR="00671D14" w:rsidRPr="00176E1C" w:rsidRDefault="00671D14" w:rsidP="00671D14">
      <w:pPr>
        <w:rPr>
          <w:rFonts w:cs="Arial"/>
          <w:bCs/>
          <w:szCs w:val="24"/>
        </w:rPr>
      </w:pPr>
      <w:r w:rsidRPr="00176E1C">
        <w:rPr>
          <w:rFonts w:cs="Arial"/>
          <w:b/>
          <w:bCs/>
          <w:szCs w:val="24"/>
        </w:rPr>
        <w:t xml:space="preserve">Section 3 </w:t>
      </w:r>
      <w:r w:rsidR="006734FB" w:rsidRPr="00176E1C">
        <w:rPr>
          <w:rFonts w:cs="Arial"/>
          <w:bCs/>
          <w:szCs w:val="24"/>
        </w:rPr>
        <w:t>states the authority for the making of the Determination.</w:t>
      </w:r>
    </w:p>
    <w:p w:rsidR="00671D14" w:rsidRPr="00176E1C" w:rsidRDefault="00671D14" w:rsidP="00671D14">
      <w:pPr>
        <w:rPr>
          <w:rFonts w:cs="Arial"/>
          <w:bCs/>
          <w:szCs w:val="24"/>
        </w:rPr>
      </w:pPr>
    </w:p>
    <w:p w:rsidR="002F4008" w:rsidRPr="00176E1C" w:rsidRDefault="00671D14" w:rsidP="002F4008">
      <w:pPr>
        <w:rPr>
          <w:rFonts w:cs="Arial"/>
          <w:bCs/>
          <w:szCs w:val="24"/>
        </w:rPr>
      </w:pPr>
      <w:r w:rsidRPr="00176E1C">
        <w:rPr>
          <w:rFonts w:cs="Arial"/>
          <w:b/>
          <w:bCs/>
          <w:szCs w:val="24"/>
        </w:rPr>
        <w:t>Section 4</w:t>
      </w:r>
      <w:r w:rsidRPr="00176E1C">
        <w:rPr>
          <w:rFonts w:cs="Arial"/>
          <w:bCs/>
          <w:szCs w:val="24"/>
        </w:rPr>
        <w:t xml:space="preserve"> </w:t>
      </w:r>
      <w:r w:rsidR="006734FB" w:rsidRPr="00176E1C">
        <w:rPr>
          <w:rFonts w:cs="Arial"/>
          <w:bCs/>
          <w:szCs w:val="24"/>
        </w:rPr>
        <w:t>contains interpretation provisions.</w:t>
      </w:r>
    </w:p>
    <w:p w:rsidR="002F4008" w:rsidRPr="00176E1C" w:rsidRDefault="002F4008" w:rsidP="002F4008">
      <w:pPr>
        <w:rPr>
          <w:rFonts w:cs="Arial"/>
          <w:bCs/>
          <w:szCs w:val="24"/>
        </w:rPr>
      </w:pPr>
    </w:p>
    <w:p w:rsidR="00FD7579" w:rsidRDefault="00FD7579" w:rsidP="00FD7579">
      <w:pPr>
        <w:rPr>
          <w:rFonts w:cs="Arial"/>
          <w:bCs/>
          <w:szCs w:val="24"/>
        </w:rPr>
      </w:pPr>
      <w:r w:rsidRPr="00FD7579">
        <w:rPr>
          <w:rFonts w:cs="Arial"/>
          <w:bCs/>
          <w:szCs w:val="24"/>
        </w:rPr>
        <w:t>“In-home care” is defined in section 3 as child care provided to one or more children</w:t>
      </w:r>
      <w:r>
        <w:rPr>
          <w:rFonts w:cs="Arial"/>
          <w:bCs/>
          <w:szCs w:val="24"/>
        </w:rPr>
        <w:t xml:space="preserve"> </w:t>
      </w:r>
      <w:r w:rsidRPr="00FD7579">
        <w:rPr>
          <w:rFonts w:cs="Arial"/>
          <w:bCs/>
          <w:szCs w:val="24"/>
        </w:rPr>
        <w:t>that takes place in the home of one of the children being cared for.</w:t>
      </w:r>
      <w:r w:rsidR="00FF0968">
        <w:rPr>
          <w:rFonts w:cs="Arial"/>
          <w:bCs/>
          <w:szCs w:val="24"/>
        </w:rPr>
        <w:t xml:space="preserve"> </w:t>
      </w:r>
      <w:r w:rsidR="00384C27">
        <w:rPr>
          <w:rFonts w:cs="Arial"/>
          <w:bCs/>
          <w:szCs w:val="24"/>
        </w:rPr>
        <w:t>This term is intended to cover nannies and other kinds of care provided by an educator who visits the home of the children they are caring for to provide care.</w:t>
      </w:r>
    </w:p>
    <w:p w:rsidR="00FD7579" w:rsidRDefault="00FD7579" w:rsidP="002F4008">
      <w:pPr>
        <w:rPr>
          <w:rFonts w:cs="Arial"/>
          <w:bCs/>
          <w:szCs w:val="24"/>
        </w:rPr>
      </w:pPr>
    </w:p>
    <w:p w:rsidR="002F4008" w:rsidRPr="00176E1C" w:rsidRDefault="002F4008" w:rsidP="002F4008">
      <w:pPr>
        <w:rPr>
          <w:rFonts w:cs="Arial"/>
          <w:bCs/>
          <w:szCs w:val="24"/>
        </w:rPr>
      </w:pPr>
      <w:r w:rsidRPr="00176E1C">
        <w:rPr>
          <w:rFonts w:cs="Arial"/>
          <w:bCs/>
          <w:szCs w:val="24"/>
        </w:rPr>
        <w:t>“Long day care” is defined as all-day or part-time child care provided to predominantly below school age children in premises other than a home of any of the children being cared for.</w:t>
      </w:r>
    </w:p>
    <w:p w:rsidR="00B86AF6" w:rsidRPr="00176E1C" w:rsidRDefault="00B86AF6" w:rsidP="00671D14">
      <w:pPr>
        <w:rPr>
          <w:rFonts w:cs="Arial"/>
          <w:bCs/>
          <w:szCs w:val="24"/>
        </w:rPr>
      </w:pPr>
    </w:p>
    <w:p w:rsidR="00B86AF6" w:rsidRPr="00176E1C" w:rsidRDefault="00B86AF6" w:rsidP="00671D14">
      <w:pPr>
        <w:rPr>
          <w:rFonts w:cs="Arial"/>
          <w:bCs/>
          <w:szCs w:val="24"/>
        </w:rPr>
      </w:pPr>
      <w:r w:rsidRPr="00176E1C">
        <w:rPr>
          <w:rFonts w:cs="Arial"/>
          <w:b/>
          <w:bCs/>
          <w:szCs w:val="24"/>
        </w:rPr>
        <w:t>Section 5</w:t>
      </w:r>
      <w:r w:rsidRPr="00176E1C">
        <w:rPr>
          <w:rFonts w:cs="Arial"/>
          <w:bCs/>
          <w:szCs w:val="24"/>
        </w:rPr>
        <w:t xml:space="preserve"> </w:t>
      </w:r>
      <w:r w:rsidR="00384C27">
        <w:rPr>
          <w:rFonts w:cs="Arial"/>
          <w:bCs/>
          <w:szCs w:val="24"/>
        </w:rPr>
        <w:t xml:space="preserve">(along with the Schedule) </w:t>
      </w:r>
      <w:r w:rsidRPr="00176E1C">
        <w:rPr>
          <w:rFonts w:cs="Arial"/>
          <w:bCs/>
          <w:szCs w:val="24"/>
        </w:rPr>
        <w:t xml:space="preserve">provides for the repeal of the </w:t>
      </w:r>
      <w:r w:rsidR="00384C27">
        <w:rPr>
          <w:rFonts w:cs="Arial"/>
          <w:bCs/>
          <w:szCs w:val="24"/>
        </w:rPr>
        <w:t>old</w:t>
      </w:r>
      <w:r w:rsidRPr="00176E1C">
        <w:rPr>
          <w:rFonts w:cs="Arial"/>
          <w:bCs/>
          <w:szCs w:val="24"/>
        </w:rPr>
        <w:t xml:space="preserve"> instruments.</w:t>
      </w:r>
    </w:p>
    <w:p w:rsidR="002F4008" w:rsidRPr="00176E1C" w:rsidRDefault="002F4008" w:rsidP="00671D14">
      <w:pPr>
        <w:rPr>
          <w:rFonts w:cs="Arial"/>
          <w:bCs/>
          <w:szCs w:val="24"/>
        </w:rPr>
      </w:pPr>
    </w:p>
    <w:p w:rsidR="002F4008" w:rsidRPr="00176E1C" w:rsidRDefault="002F4008" w:rsidP="002F4008">
      <w:pPr>
        <w:rPr>
          <w:rFonts w:cs="Arial"/>
          <w:bCs/>
          <w:szCs w:val="24"/>
        </w:rPr>
      </w:pPr>
      <w:r w:rsidRPr="00176E1C">
        <w:rPr>
          <w:rFonts w:cs="Arial"/>
          <w:b/>
          <w:bCs/>
          <w:szCs w:val="24"/>
        </w:rPr>
        <w:t>Section 6</w:t>
      </w:r>
      <w:r w:rsidRPr="00176E1C">
        <w:rPr>
          <w:rFonts w:cs="Arial"/>
          <w:bCs/>
          <w:szCs w:val="24"/>
        </w:rPr>
        <w:t xml:space="preserve"> </w:t>
      </w:r>
      <w:r w:rsidR="00384C27">
        <w:rPr>
          <w:rFonts w:cs="Arial"/>
          <w:bCs/>
          <w:szCs w:val="24"/>
        </w:rPr>
        <w:t>determines,</w:t>
      </w:r>
      <w:r w:rsidRPr="00176E1C">
        <w:rPr>
          <w:rFonts w:cs="Arial"/>
          <w:bCs/>
          <w:szCs w:val="24"/>
        </w:rPr>
        <w:t xml:space="preserve"> under paragraph 38-150(e) of the Act</w:t>
      </w:r>
      <w:r w:rsidR="00384C27">
        <w:rPr>
          <w:rFonts w:cs="Arial"/>
          <w:bCs/>
          <w:szCs w:val="24"/>
        </w:rPr>
        <w:t>, In-home care and Long-day care as types of care.  This means that supplies</w:t>
      </w:r>
      <w:r w:rsidR="00C91940">
        <w:rPr>
          <w:rFonts w:cs="Arial"/>
          <w:bCs/>
          <w:szCs w:val="24"/>
        </w:rPr>
        <w:t xml:space="preserve"> of these care types (</w:t>
      </w:r>
      <w:r w:rsidR="00384C27">
        <w:rPr>
          <w:rFonts w:cs="Arial"/>
          <w:bCs/>
          <w:szCs w:val="24"/>
        </w:rPr>
        <w:t>fees for services provid</w:t>
      </w:r>
      <w:r w:rsidR="00C91940">
        <w:rPr>
          <w:rFonts w:cs="Arial"/>
          <w:bCs/>
          <w:szCs w:val="24"/>
        </w:rPr>
        <w:t>ed by these care types) are GST-</w:t>
      </w:r>
      <w:r w:rsidR="00384C27">
        <w:rPr>
          <w:rFonts w:cs="Arial"/>
          <w:bCs/>
          <w:szCs w:val="24"/>
        </w:rPr>
        <w:t>free where the funding for these care types is provided under guidelines made by the Child Care Minister (the Minister for Education and Training).</w:t>
      </w:r>
    </w:p>
    <w:p w:rsidR="002F4008" w:rsidRPr="00176E1C" w:rsidRDefault="002F4008" w:rsidP="002F4008">
      <w:pPr>
        <w:rPr>
          <w:rFonts w:cs="Arial"/>
          <w:bCs/>
          <w:szCs w:val="24"/>
        </w:rPr>
      </w:pPr>
    </w:p>
    <w:p w:rsidR="00B86AF6" w:rsidRPr="00176E1C" w:rsidRDefault="00B86AF6" w:rsidP="00671D14">
      <w:pPr>
        <w:rPr>
          <w:rFonts w:cs="Arial"/>
          <w:bCs/>
          <w:szCs w:val="24"/>
        </w:rPr>
      </w:pPr>
    </w:p>
    <w:p w:rsidR="00176E1C" w:rsidRPr="00176E1C" w:rsidRDefault="00176E1C">
      <w:pPr>
        <w:rPr>
          <w:rFonts w:cs="Arial"/>
          <w:bCs/>
          <w:szCs w:val="24"/>
        </w:rPr>
      </w:pPr>
      <w:r w:rsidRPr="00176E1C">
        <w:rPr>
          <w:rFonts w:cs="Arial"/>
          <w:bCs/>
          <w:szCs w:val="24"/>
        </w:rPr>
        <w:br w:type="page"/>
      </w:r>
    </w:p>
    <w:p w:rsidR="00176E1C" w:rsidRPr="00176E1C" w:rsidRDefault="00176E1C" w:rsidP="008E6BD3">
      <w:pPr>
        <w:shd w:val="clear" w:color="auto" w:fill="FFFFFF"/>
        <w:spacing w:before="100" w:beforeAutospacing="1" w:after="200" w:line="276" w:lineRule="auto"/>
        <w:jc w:val="center"/>
        <w:rPr>
          <w:rFonts w:cs="Arial"/>
          <w:szCs w:val="24"/>
          <w:lang w:eastAsia="en-AU"/>
        </w:rPr>
      </w:pPr>
      <w:r w:rsidRPr="00176E1C">
        <w:rPr>
          <w:rFonts w:cs="Arial"/>
          <w:b/>
          <w:bCs/>
          <w:szCs w:val="24"/>
          <w:lang w:eastAsia="en-AU"/>
        </w:rPr>
        <w:lastRenderedPageBreak/>
        <w:t>Statement of Compatibility with Human Rights</w:t>
      </w:r>
      <w:r w:rsidRPr="00176E1C">
        <w:rPr>
          <w:rFonts w:cs="Arial"/>
          <w:szCs w:val="24"/>
          <w:lang w:eastAsia="en-AU"/>
        </w:rPr>
        <w:t> </w:t>
      </w:r>
    </w:p>
    <w:p w:rsidR="00A32341" w:rsidRDefault="00176E1C" w:rsidP="00176E1C">
      <w:pPr>
        <w:shd w:val="clear" w:color="auto" w:fill="FFFFFF"/>
        <w:spacing w:before="100" w:beforeAutospacing="1" w:after="100" w:afterAutospacing="1"/>
        <w:contextualSpacing/>
        <w:jc w:val="center"/>
        <w:rPr>
          <w:rFonts w:cs="Arial"/>
          <w:i/>
          <w:iCs/>
          <w:szCs w:val="24"/>
          <w:lang w:eastAsia="en-AU"/>
        </w:rPr>
      </w:pPr>
      <w:r w:rsidRPr="00176E1C">
        <w:rPr>
          <w:rFonts w:cs="Arial"/>
          <w:iCs/>
          <w:szCs w:val="24"/>
          <w:lang w:eastAsia="en-AU"/>
        </w:rPr>
        <w:t>Prepared in accordance with Part 3 of the</w:t>
      </w:r>
    </w:p>
    <w:p w:rsidR="00176E1C" w:rsidRPr="00176E1C" w:rsidRDefault="00176E1C" w:rsidP="00176E1C">
      <w:pPr>
        <w:shd w:val="clear" w:color="auto" w:fill="FFFFFF"/>
        <w:spacing w:before="100" w:beforeAutospacing="1" w:after="100" w:afterAutospacing="1"/>
        <w:jc w:val="center"/>
        <w:rPr>
          <w:rFonts w:cs="Arial"/>
          <w:iCs/>
          <w:szCs w:val="24"/>
          <w:lang w:eastAsia="en-AU"/>
        </w:rPr>
      </w:pPr>
      <w:r w:rsidRPr="00176E1C">
        <w:rPr>
          <w:rFonts w:cs="Arial"/>
          <w:i/>
          <w:iCs/>
          <w:szCs w:val="24"/>
          <w:lang w:eastAsia="en-AU"/>
        </w:rPr>
        <w:t>Human Rights (Parliamentary Scrutiny) Ac</w:t>
      </w:r>
      <w:r w:rsidR="00A32341">
        <w:rPr>
          <w:rFonts w:cs="Arial"/>
          <w:i/>
          <w:iCs/>
          <w:szCs w:val="24"/>
          <w:lang w:eastAsia="en-AU"/>
        </w:rPr>
        <w:t>t </w:t>
      </w:r>
      <w:r w:rsidRPr="00176E1C">
        <w:rPr>
          <w:rFonts w:cs="Arial"/>
          <w:i/>
          <w:iCs/>
          <w:szCs w:val="24"/>
          <w:lang w:eastAsia="en-AU"/>
        </w:rPr>
        <w:t>2011</w:t>
      </w:r>
    </w:p>
    <w:p w:rsidR="00176E1C" w:rsidRPr="00176E1C" w:rsidRDefault="00176E1C" w:rsidP="00176E1C">
      <w:pPr>
        <w:pStyle w:val="BodyText"/>
        <w:keepNext/>
        <w:keepLines/>
        <w:spacing w:before="0" w:after="240"/>
        <w:rPr>
          <w:rFonts w:ascii="Arial" w:hAnsi="Arial" w:cs="Arial"/>
          <w:szCs w:val="24"/>
        </w:rPr>
      </w:pPr>
      <w:r w:rsidRPr="00176E1C">
        <w:rPr>
          <w:rFonts w:ascii="Arial" w:hAnsi="Arial" w:cs="Arial"/>
          <w:szCs w:val="24"/>
        </w:rPr>
        <w:t>Child Care Benefit (Session of Care) Determination 2016</w:t>
      </w:r>
    </w:p>
    <w:p w:rsidR="00176E1C" w:rsidRPr="00176E1C" w:rsidRDefault="00176E1C" w:rsidP="002C5E9C">
      <w:pPr>
        <w:keepNext/>
        <w:keepLines/>
        <w:spacing w:after="240"/>
        <w:rPr>
          <w:rFonts w:cs="Arial"/>
          <w:szCs w:val="24"/>
        </w:rPr>
      </w:pPr>
      <w:r w:rsidRPr="00176E1C">
        <w:rPr>
          <w:rFonts w:cs="Arial"/>
          <w:szCs w:val="24"/>
          <w:lang w:eastAsia="en-AU"/>
        </w:rPr>
        <w:t xml:space="preserve">This </w:t>
      </w:r>
      <w:r>
        <w:rPr>
          <w:rFonts w:cs="Arial"/>
          <w:szCs w:val="24"/>
          <w:lang w:eastAsia="en-AU"/>
        </w:rPr>
        <w:t>Determination</w:t>
      </w:r>
      <w:r w:rsidRPr="00176E1C">
        <w:rPr>
          <w:rFonts w:cs="Arial"/>
          <w:szCs w:val="24"/>
          <w:lang w:eastAsia="en-AU"/>
        </w:rPr>
        <w:t xml:space="preserve"> is compatible with the human rights and freedoms recognised or declared in the international instruments listed in section 3 of the </w:t>
      </w:r>
      <w:r w:rsidRPr="00176E1C">
        <w:rPr>
          <w:rFonts w:cs="Arial"/>
          <w:i/>
          <w:iCs/>
          <w:szCs w:val="24"/>
          <w:lang w:eastAsia="en-AU"/>
        </w:rPr>
        <w:t>Human Rights (Parliamentary Scrutiny) Act 2011</w:t>
      </w:r>
      <w:r w:rsidRPr="00176E1C">
        <w:rPr>
          <w:rFonts w:cs="Arial"/>
          <w:szCs w:val="24"/>
          <w:lang w:eastAsia="en-AU"/>
        </w:rPr>
        <w:t>.</w:t>
      </w:r>
    </w:p>
    <w:p w:rsidR="00176E1C" w:rsidRPr="00176E1C" w:rsidRDefault="00176E1C" w:rsidP="002C5E9C">
      <w:pPr>
        <w:keepNext/>
        <w:keepLines/>
        <w:spacing w:after="240"/>
        <w:rPr>
          <w:rFonts w:cs="Arial"/>
          <w:szCs w:val="24"/>
        </w:rPr>
      </w:pPr>
      <w:r w:rsidRPr="00176E1C">
        <w:rPr>
          <w:rFonts w:cs="Arial"/>
          <w:szCs w:val="24"/>
        </w:rPr>
        <w:t xml:space="preserve">The Determination </w:t>
      </w:r>
      <w:r w:rsidR="00C91940">
        <w:rPr>
          <w:rFonts w:cs="Arial"/>
          <w:szCs w:val="24"/>
        </w:rPr>
        <w:t>maintains the existing law by ensuring</w:t>
      </w:r>
      <w:r w:rsidRPr="00176E1C">
        <w:rPr>
          <w:rFonts w:cs="Arial"/>
          <w:szCs w:val="24"/>
        </w:rPr>
        <w:t xml:space="preserve"> </w:t>
      </w:r>
      <w:r w:rsidR="008E6BD3">
        <w:rPr>
          <w:rFonts w:cs="Arial"/>
          <w:szCs w:val="24"/>
        </w:rPr>
        <w:t xml:space="preserve">that supplies of child care provided by </w:t>
      </w:r>
      <w:r w:rsidR="00C91940">
        <w:rPr>
          <w:rFonts w:cs="Arial"/>
          <w:szCs w:val="24"/>
        </w:rPr>
        <w:t xml:space="preserve">certain child care </w:t>
      </w:r>
      <w:r w:rsidR="008E6BD3">
        <w:rPr>
          <w:rFonts w:cs="Arial"/>
          <w:szCs w:val="24"/>
        </w:rPr>
        <w:t>services that are supporte</w:t>
      </w:r>
      <w:r w:rsidR="00C91940">
        <w:rPr>
          <w:rFonts w:cs="Arial"/>
          <w:szCs w:val="24"/>
        </w:rPr>
        <w:t>d by Commonwealth funding are GST-free</w:t>
      </w:r>
      <w:r w:rsidR="008E6BD3">
        <w:rPr>
          <w:rFonts w:cs="Arial"/>
          <w:szCs w:val="24"/>
        </w:rPr>
        <w:t>.</w:t>
      </w:r>
    </w:p>
    <w:p w:rsidR="00176E1C" w:rsidRPr="00176E1C" w:rsidRDefault="00176E1C" w:rsidP="00176E1C">
      <w:pPr>
        <w:keepLines/>
        <w:spacing w:after="240"/>
        <w:jc w:val="both"/>
        <w:rPr>
          <w:rFonts w:cs="Arial"/>
          <w:bCs/>
          <w:szCs w:val="24"/>
          <w:lang w:eastAsia="en-AU"/>
        </w:rPr>
      </w:pPr>
      <w:r w:rsidRPr="00176E1C">
        <w:rPr>
          <w:rFonts w:cs="Arial"/>
          <w:b/>
          <w:bCs/>
          <w:szCs w:val="24"/>
          <w:lang w:eastAsia="en-AU"/>
        </w:rPr>
        <w:t>Human rights implications</w:t>
      </w:r>
    </w:p>
    <w:p w:rsidR="00176E1C" w:rsidRPr="00176E1C" w:rsidRDefault="00176E1C" w:rsidP="002C5E9C">
      <w:pPr>
        <w:keepLines/>
        <w:spacing w:after="240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szCs w:val="24"/>
          <w:lang w:eastAsia="en-AU"/>
        </w:rPr>
        <w:t>The Determination engages the following rights:</w:t>
      </w:r>
    </w:p>
    <w:p w:rsidR="00176E1C" w:rsidRPr="00176E1C" w:rsidRDefault="00176E1C" w:rsidP="00176E1C">
      <w:pPr>
        <w:keepLines/>
        <w:numPr>
          <w:ilvl w:val="0"/>
          <w:numId w:val="2"/>
        </w:numPr>
        <w:spacing w:after="240"/>
        <w:ind w:left="714" w:hanging="357"/>
        <w:jc w:val="both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szCs w:val="24"/>
          <w:lang w:eastAsia="en-AU"/>
        </w:rPr>
        <w:t xml:space="preserve">rights of the child under the </w:t>
      </w:r>
      <w:r w:rsidRPr="00176E1C">
        <w:rPr>
          <w:rFonts w:cs="Arial"/>
          <w:bCs/>
          <w:i/>
          <w:szCs w:val="24"/>
          <w:lang w:eastAsia="en-AU"/>
        </w:rPr>
        <w:t>Convention on the Rights of the Child</w:t>
      </w:r>
      <w:r w:rsidRPr="00176E1C">
        <w:rPr>
          <w:rFonts w:cs="Arial"/>
          <w:bCs/>
          <w:szCs w:val="24"/>
          <w:lang w:eastAsia="en-AU"/>
        </w:rPr>
        <w:t xml:space="preserve"> (CRC), particularly Article 18(2);</w:t>
      </w:r>
    </w:p>
    <w:p w:rsidR="00176E1C" w:rsidRPr="00176E1C" w:rsidRDefault="00176E1C" w:rsidP="00176E1C">
      <w:pPr>
        <w:keepLines/>
        <w:numPr>
          <w:ilvl w:val="0"/>
          <w:numId w:val="2"/>
        </w:numPr>
        <w:spacing w:after="240"/>
        <w:ind w:left="714" w:hanging="357"/>
        <w:jc w:val="both"/>
        <w:rPr>
          <w:rFonts w:cs="Arial"/>
          <w:bCs/>
          <w:szCs w:val="24"/>
          <w:lang w:eastAsia="en-AU"/>
        </w:rPr>
      </w:pPr>
      <w:proofErr w:type="gramStart"/>
      <w:r w:rsidRPr="00176E1C">
        <w:rPr>
          <w:rFonts w:cs="Arial"/>
          <w:bCs/>
          <w:szCs w:val="24"/>
          <w:lang w:eastAsia="en-AU"/>
        </w:rPr>
        <w:t>right</w:t>
      </w:r>
      <w:proofErr w:type="gramEnd"/>
      <w:r w:rsidRPr="00176E1C">
        <w:rPr>
          <w:rFonts w:cs="Arial"/>
          <w:bCs/>
          <w:szCs w:val="24"/>
          <w:lang w:eastAsia="en-AU"/>
        </w:rPr>
        <w:t xml:space="preserve"> to work under the </w:t>
      </w:r>
      <w:r w:rsidRPr="00176E1C">
        <w:rPr>
          <w:rFonts w:cs="Arial"/>
          <w:bCs/>
          <w:i/>
          <w:szCs w:val="24"/>
          <w:lang w:eastAsia="en-AU"/>
        </w:rPr>
        <w:t xml:space="preserve">International Covenant on Economic, Social and Cultural Rights </w:t>
      </w:r>
      <w:r w:rsidRPr="00176E1C">
        <w:rPr>
          <w:rFonts w:cs="Arial"/>
          <w:bCs/>
          <w:szCs w:val="24"/>
          <w:lang w:eastAsia="en-AU"/>
        </w:rPr>
        <w:t>(ICESCR).</w:t>
      </w:r>
    </w:p>
    <w:p w:rsidR="00176E1C" w:rsidRPr="00176E1C" w:rsidRDefault="00176E1C" w:rsidP="00176E1C">
      <w:pPr>
        <w:keepNext/>
        <w:keepLines/>
        <w:spacing w:after="240"/>
        <w:jc w:val="both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i/>
          <w:szCs w:val="24"/>
          <w:lang w:eastAsia="en-AU"/>
        </w:rPr>
        <w:t>Rights of the child</w:t>
      </w:r>
      <w:bookmarkStart w:id="1" w:name="Citation"/>
    </w:p>
    <w:p w:rsidR="00176E1C" w:rsidRPr="00176E1C" w:rsidRDefault="00176E1C" w:rsidP="002C5E9C">
      <w:pPr>
        <w:keepLines/>
        <w:spacing w:after="240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szCs w:val="24"/>
          <w:lang w:eastAsia="en-AU"/>
        </w:rPr>
        <w:t>Article 3 of the CRC requires that in all actions concerning children, the best interests of the child shall be a primary consideration and Article 18(2) of the CRC requires State Parties to provide appropriate assistance to parents and legal guardians in the performance of their child-rearing responsibilities and ensure the development of institutions, facilities and services for the care of children.</w:t>
      </w:r>
    </w:p>
    <w:p w:rsidR="00176E1C" w:rsidRPr="00176E1C" w:rsidRDefault="00176E1C" w:rsidP="002C5E9C">
      <w:pPr>
        <w:keepLines/>
        <w:spacing w:after="240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szCs w:val="24"/>
          <w:lang w:eastAsia="en-AU"/>
        </w:rPr>
        <w:t>The Determination</w:t>
      </w:r>
      <w:r w:rsidR="008E6BD3">
        <w:rPr>
          <w:rFonts w:cs="Arial"/>
          <w:bCs/>
          <w:szCs w:val="24"/>
          <w:lang w:eastAsia="en-AU"/>
        </w:rPr>
        <w:t xml:space="preserve"> furthers the best interests of the child by</w:t>
      </w:r>
      <w:r w:rsidRPr="00176E1C">
        <w:rPr>
          <w:rFonts w:cs="Arial"/>
          <w:bCs/>
          <w:szCs w:val="24"/>
          <w:lang w:eastAsia="en-AU"/>
        </w:rPr>
        <w:t xml:space="preserve"> </w:t>
      </w:r>
      <w:r w:rsidR="008E6BD3">
        <w:rPr>
          <w:rFonts w:cs="Arial"/>
          <w:bCs/>
          <w:szCs w:val="24"/>
          <w:lang w:eastAsia="en-AU"/>
        </w:rPr>
        <w:t xml:space="preserve">promoting access to child care in ensuring that particular types of care remain </w:t>
      </w:r>
      <w:r w:rsidR="00C91940">
        <w:rPr>
          <w:rFonts w:cs="Arial"/>
          <w:bCs/>
          <w:szCs w:val="24"/>
          <w:lang w:eastAsia="en-AU"/>
        </w:rPr>
        <w:t>GST-free</w:t>
      </w:r>
      <w:r w:rsidR="008E6BD3">
        <w:rPr>
          <w:rFonts w:cs="Arial"/>
          <w:bCs/>
          <w:szCs w:val="24"/>
          <w:lang w:eastAsia="en-AU"/>
        </w:rPr>
        <w:t xml:space="preserve">. </w:t>
      </w:r>
    </w:p>
    <w:bookmarkEnd w:id="1"/>
    <w:p w:rsidR="00176E1C" w:rsidRPr="00176E1C" w:rsidRDefault="00176E1C" w:rsidP="00176E1C">
      <w:pPr>
        <w:keepLines/>
        <w:spacing w:after="240"/>
        <w:jc w:val="both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i/>
          <w:szCs w:val="24"/>
          <w:lang w:eastAsia="en-AU"/>
        </w:rPr>
        <w:t>Right to work</w:t>
      </w:r>
    </w:p>
    <w:p w:rsidR="00176E1C" w:rsidRPr="00176E1C" w:rsidRDefault="00176E1C" w:rsidP="002C5E9C">
      <w:pPr>
        <w:keepLines/>
        <w:spacing w:after="240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szCs w:val="24"/>
          <w:lang w:eastAsia="en-AU"/>
        </w:rPr>
        <w:t>Article 6 of the ICESCR requires that a person has a right to work, which includes the right of everyone to have the opportunity to gain his/her living by work which he/she freely chooses or accepts, and appropriate steps are taken to safeguard this right.</w:t>
      </w:r>
    </w:p>
    <w:p w:rsidR="00176E1C" w:rsidRPr="00176E1C" w:rsidRDefault="00176E1C" w:rsidP="002C5E9C">
      <w:pPr>
        <w:keepLines/>
        <w:spacing w:after="240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szCs w:val="24"/>
          <w:lang w:eastAsia="en-AU"/>
        </w:rPr>
        <w:t xml:space="preserve">The Government is maintaining its commitment to support workforce participation and assist working families with the cost of child care </w:t>
      </w:r>
      <w:r w:rsidR="008E6BD3">
        <w:rPr>
          <w:rFonts w:cs="Arial"/>
          <w:bCs/>
          <w:szCs w:val="24"/>
          <w:lang w:eastAsia="en-AU"/>
        </w:rPr>
        <w:t>by maintaining the GST-free status of these types of child care</w:t>
      </w:r>
      <w:r w:rsidRPr="00176E1C">
        <w:rPr>
          <w:rFonts w:cs="Arial"/>
          <w:bCs/>
          <w:szCs w:val="24"/>
          <w:lang w:eastAsia="en-AU"/>
        </w:rPr>
        <w:t>.</w:t>
      </w:r>
    </w:p>
    <w:p w:rsidR="00176E1C" w:rsidRPr="00176E1C" w:rsidRDefault="00176E1C" w:rsidP="00176E1C">
      <w:pPr>
        <w:keepNext/>
        <w:keepLines/>
        <w:spacing w:after="240"/>
        <w:jc w:val="both"/>
        <w:rPr>
          <w:rFonts w:cs="Arial"/>
          <w:bCs/>
          <w:szCs w:val="24"/>
          <w:lang w:eastAsia="en-AU"/>
        </w:rPr>
      </w:pPr>
      <w:r w:rsidRPr="00176E1C">
        <w:rPr>
          <w:rFonts w:cs="Arial"/>
          <w:b/>
          <w:bCs/>
          <w:szCs w:val="24"/>
          <w:lang w:eastAsia="en-AU"/>
        </w:rPr>
        <w:t>Conclusion</w:t>
      </w:r>
    </w:p>
    <w:p w:rsidR="00176E1C" w:rsidRPr="00C91940" w:rsidRDefault="00176E1C" w:rsidP="002C5E9C">
      <w:pPr>
        <w:keepLines/>
        <w:spacing w:after="240"/>
        <w:rPr>
          <w:rFonts w:cs="Arial"/>
          <w:bCs/>
          <w:szCs w:val="24"/>
          <w:lang w:eastAsia="en-AU"/>
        </w:rPr>
      </w:pPr>
      <w:r w:rsidRPr="00176E1C">
        <w:rPr>
          <w:rFonts w:cs="Arial"/>
          <w:bCs/>
          <w:szCs w:val="24"/>
          <w:lang w:eastAsia="en-AU"/>
        </w:rPr>
        <w:t>The Determination</w:t>
      </w:r>
      <w:r w:rsidRPr="00176E1C">
        <w:rPr>
          <w:rFonts w:cs="Arial"/>
          <w:bCs/>
          <w:i/>
          <w:szCs w:val="24"/>
          <w:lang w:eastAsia="en-AU"/>
        </w:rPr>
        <w:t xml:space="preserve"> </w:t>
      </w:r>
      <w:r w:rsidRPr="00176E1C">
        <w:rPr>
          <w:rFonts w:cs="Arial"/>
          <w:bCs/>
          <w:szCs w:val="24"/>
          <w:lang w:eastAsia="en-AU"/>
        </w:rPr>
        <w:t xml:space="preserve">is compatible with human rights, particularly the rights of the child and the right to work. </w:t>
      </w:r>
    </w:p>
    <w:p w:rsidR="00AB1CAA" w:rsidRPr="00C91940" w:rsidRDefault="00176E1C" w:rsidP="00C91940">
      <w:pPr>
        <w:spacing w:line="276" w:lineRule="auto"/>
        <w:jc w:val="center"/>
        <w:rPr>
          <w:rFonts w:cs="Arial"/>
          <w:szCs w:val="24"/>
        </w:rPr>
      </w:pPr>
      <w:r w:rsidRPr="00176E1C">
        <w:rPr>
          <w:rFonts w:cs="Arial"/>
          <w:b/>
          <w:bCs/>
          <w:szCs w:val="24"/>
        </w:rPr>
        <w:t>Senator the Hon Simon Birmingham, Minister for Education and Training</w:t>
      </w:r>
    </w:p>
    <w:sectPr w:rsidR="00AB1CAA" w:rsidRPr="00C91940" w:rsidSect="00B441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D3" w:rsidRDefault="008E6BD3" w:rsidP="008E6BD3">
      <w:r>
        <w:separator/>
      </w:r>
    </w:p>
  </w:endnote>
  <w:endnote w:type="continuationSeparator" w:id="0">
    <w:p w:rsidR="008E6BD3" w:rsidRDefault="008E6BD3" w:rsidP="008E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D3" w:rsidRDefault="008E6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D3" w:rsidRDefault="008E6B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D3" w:rsidRDefault="008E6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D3" w:rsidRDefault="008E6BD3" w:rsidP="008E6BD3">
      <w:r>
        <w:separator/>
      </w:r>
    </w:p>
  </w:footnote>
  <w:footnote w:type="continuationSeparator" w:id="0">
    <w:p w:rsidR="008E6BD3" w:rsidRDefault="008E6BD3" w:rsidP="008E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D3" w:rsidRDefault="008E6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D3" w:rsidRDefault="008E6B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D3" w:rsidRDefault="008E6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7EE4"/>
    <w:multiLevelType w:val="hybridMultilevel"/>
    <w:tmpl w:val="7A6CE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A05EA"/>
    <w:multiLevelType w:val="hybridMultilevel"/>
    <w:tmpl w:val="A7D411F2"/>
    <w:lvl w:ilvl="0" w:tplc="A3A80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AC"/>
    <w:rsid w:val="00025508"/>
    <w:rsid w:val="00054018"/>
    <w:rsid w:val="00097318"/>
    <w:rsid w:val="000A6FE1"/>
    <w:rsid w:val="000B092B"/>
    <w:rsid w:val="000B7C69"/>
    <w:rsid w:val="000C60F9"/>
    <w:rsid w:val="0010050A"/>
    <w:rsid w:val="00104831"/>
    <w:rsid w:val="00151E72"/>
    <w:rsid w:val="001721AD"/>
    <w:rsid w:val="00176E1C"/>
    <w:rsid w:val="001B56BD"/>
    <w:rsid w:val="001D5FB5"/>
    <w:rsid w:val="001E25F1"/>
    <w:rsid w:val="00226F77"/>
    <w:rsid w:val="00256897"/>
    <w:rsid w:val="002646A9"/>
    <w:rsid w:val="00266C74"/>
    <w:rsid w:val="002813B7"/>
    <w:rsid w:val="00287BA1"/>
    <w:rsid w:val="00297A26"/>
    <w:rsid w:val="002A4F3A"/>
    <w:rsid w:val="002A7332"/>
    <w:rsid w:val="002C5E9C"/>
    <w:rsid w:val="002F4008"/>
    <w:rsid w:val="0030101D"/>
    <w:rsid w:val="003035B5"/>
    <w:rsid w:val="003249A1"/>
    <w:rsid w:val="0033240B"/>
    <w:rsid w:val="003349AC"/>
    <w:rsid w:val="00340A35"/>
    <w:rsid w:val="00384C27"/>
    <w:rsid w:val="003F60C0"/>
    <w:rsid w:val="003F78FA"/>
    <w:rsid w:val="00461D73"/>
    <w:rsid w:val="004A179A"/>
    <w:rsid w:val="004A76DA"/>
    <w:rsid w:val="004B0427"/>
    <w:rsid w:val="004D7FE0"/>
    <w:rsid w:val="004E1B70"/>
    <w:rsid w:val="004E7CF2"/>
    <w:rsid w:val="004F44E2"/>
    <w:rsid w:val="00512557"/>
    <w:rsid w:val="005126AB"/>
    <w:rsid w:val="00514303"/>
    <w:rsid w:val="005335FD"/>
    <w:rsid w:val="0053555B"/>
    <w:rsid w:val="00537690"/>
    <w:rsid w:val="00553C47"/>
    <w:rsid w:val="00560EAD"/>
    <w:rsid w:val="005710E1"/>
    <w:rsid w:val="005837C6"/>
    <w:rsid w:val="005A0A01"/>
    <w:rsid w:val="005C7C12"/>
    <w:rsid w:val="005D236C"/>
    <w:rsid w:val="0061113A"/>
    <w:rsid w:val="006222AD"/>
    <w:rsid w:val="00664E53"/>
    <w:rsid w:val="00671D14"/>
    <w:rsid w:val="006734FB"/>
    <w:rsid w:val="006942C1"/>
    <w:rsid w:val="006A11EB"/>
    <w:rsid w:val="006D11A9"/>
    <w:rsid w:val="006D7AC5"/>
    <w:rsid w:val="00723C27"/>
    <w:rsid w:val="007308B9"/>
    <w:rsid w:val="00732A1D"/>
    <w:rsid w:val="00737AB0"/>
    <w:rsid w:val="00745098"/>
    <w:rsid w:val="00750D51"/>
    <w:rsid w:val="0075486C"/>
    <w:rsid w:val="00781474"/>
    <w:rsid w:val="007A33D9"/>
    <w:rsid w:val="007C6D96"/>
    <w:rsid w:val="007D3DE9"/>
    <w:rsid w:val="007F01A2"/>
    <w:rsid w:val="00800602"/>
    <w:rsid w:val="008043DE"/>
    <w:rsid w:val="0080542E"/>
    <w:rsid w:val="00823760"/>
    <w:rsid w:val="00827600"/>
    <w:rsid w:val="00843302"/>
    <w:rsid w:val="008533A7"/>
    <w:rsid w:val="008637A9"/>
    <w:rsid w:val="008647C9"/>
    <w:rsid w:val="008C01E5"/>
    <w:rsid w:val="008E6BD3"/>
    <w:rsid w:val="008E75C9"/>
    <w:rsid w:val="008E7EEB"/>
    <w:rsid w:val="00911A65"/>
    <w:rsid w:val="00930EA7"/>
    <w:rsid w:val="0094778D"/>
    <w:rsid w:val="009835B9"/>
    <w:rsid w:val="009A4B43"/>
    <w:rsid w:val="009A7101"/>
    <w:rsid w:val="009B10DE"/>
    <w:rsid w:val="009B172C"/>
    <w:rsid w:val="00A24509"/>
    <w:rsid w:val="00A32341"/>
    <w:rsid w:val="00A35BAC"/>
    <w:rsid w:val="00A453B7"/>
    <w:rsid w:val="00A5713B"/>
    <w:rsid w:val="00A92D9E"/>
    <w:rsid w:val="00AA19D4"/>
    <w:rsid w:val="00AB1CAA"/>
    <w:rsid w:val="00AF549F"/>
    <w:rsid w:val="00AF6C7C"/>
    <w:rsid w:val="00AF784F"/>
    <w:rsid w:val="00B07208"/>
    <w:rsid w:val="00B17D21"/>
    <w:rsid w:val="00B4410E"/>
    <w:rsid w:val="00B5462F"/>
    <w:rsid w:val="00B56F6E"/>
    <w:rsid w:val="00B7301E"/>
    <w:rsid w:val="00B77DCD"/>
    <w:rsid w:val="00B86AF6"/>
    <w:rsid w:val="00B90DB4"/>
    <w:rsid w:val="00BF7D20"/>
    <w:rsid w:val="00C15ED9"/>
    <w:rsid w:val="00C32C95"/>
    <w:rsid w:val="00C67AB6"/>
    <w:rsid w:val="00C7392B"/>
    <w:rsid w:val="00C91940"/>
    <w:rsid w:val="00CB063C"/>
    <w:rsid w:val="00CC7B57"/>
    <w:rsid w:val="00CE110B"/>
    <w:rsid w:val="00CE413C"/>
    <w:rsid w:val="00D0411B"/>
    <w:rsid w:val="00D10B59"/>
    <w:rsid w:val="00D14573"/>
    <w:rsid w:val="00D235A6"/>
    <w:rsid w:val="00D23F45"/>
    <w:rsid w:val="00D37916"/>
    <w:rsid w:val="00D43703"/>
    <w:rsid w:val="00D561C1"/>
    <w:rsid w:val="00D6359D"/>
    <w:rsid w:val="00D70983"/>
    <w:rsid w:val="00D727E4"/>
    <w:rsid w:val="00DA4AAF"/>
    <w:rsid w:val="00E1090E"/>
    <w:rsid w:val="00E1560F"/>
    <w:rsid w:val="00E23614"/>
    <w:rsid w:val="00E25F4E"/>
    <w:rsid w:val="00E65DE5"/>
    <w:rsid w:val="00E93CBB"/>
    <w:rsid w:val="00E96F71"/>
    <w:rsid w:val="00EC58B0"/>
    <w:rsid w:val="00EE17F2"/>
    <w:rsid w:val="00EE245A"/>
    <w:rsid w:val="00EE7081"/>
    <w:rsid w:val="00F2240D"/>
    <w:rsid w:val="00F45B4A"/>
    <w:rsid w:val="00F574A8"/>
    <w:rsid w:val="00F732F7"/>
    <w:rsid w:val="00F752D7"/>
    <w:rsid w:val="00F847CB"/>
    <w:rsid w:val="00F915CB"/>
    <w:rsid w:val="00F974A7"/>
    <w:rsid w:val="00FB2109"/>
    <w:rsid w:val="00FD16BC"/>
    <w:rsid w:val="00FD459A"/>
    <w:rsid w:val="00FD6C9D"/>
    <w:rsid w:val="00FD7579"/>
    <w:rsid w:val="00FF0968"/>
    <w:rsid w:val="00FF37A2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4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qFormat/>
    <w:rsid w:val="004A76DA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4A76DA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5B9"/>
    <w:rPr>
      <w:sz w:val="24"/>
    </w:rPr>
  </w:style>
  <w:style w:type="paragraph" w:customStyle="1" w:styleId="Default">
    <w:name w:val="Default"/>
    <w:rsid w:val="00CC7B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C74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A76DA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7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D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1D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43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43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43D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3DE"/>
    <w:rPr>
      <w:rFonts w:ascii="Arial" w:hAnsi="Arial"/>
      <w:b/>
      <w:bCs/>
      <w:lang w:eastAsia="en-US"/>
    </w:rPr>
  </w:style>
  <w:style w:type="paragraph" w:styleId="BodyText">
    <w:name w:val="Body Text"/>
    <w:basedOn w:val="Normal"/>
    <w:link w:val="BodyTextChar"/>
    <w:semiHidden/>
    <w:rsid w:val="00176E1C"/>
    <w:pPr>
      <w:spacing w:before="60" w:after="60"/>
      <w:jc w:val="center"/>
    </w:pPr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semiHidden/>
    <w:rsid w:val="00176E1C"/>
    <w:rPr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B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D3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B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BD3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4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qFormat/>
    <w:rsid w:val="004A76DA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4A76DA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5B9"/>
    <w:rPr>
      <w:sz w:val="24"/>
    </w:rPr>
  </w:style>
  <w:style w:type="paragraph" w:customStyle="1" w:styleId="Default">
    <w:name w:val="Default"/>
    <w:rsid w:val="00CC7B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C74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A76DA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7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D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1D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43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43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43D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3DE"/>
    <w:rPr>
      <w:rFonts w:ascii="Arial" w:hAnsi="Arial"/>
      <w:b/>
      <w:bCs/>
      <w:lang w:eastAsia="en-US"/>
    </w:rPr>
  </w:style>
  <w:style w:type="paragraph" w:styleId="BodyText">
    <w:name w:val="Body Text"/>
    <w:basedOn w:val="Normal"/>
    <w:link w:val="BodyTextChar"/>
    <w:semiHidden/>
    <w:rsid w:val="00176E1C"/>
    <w:pPr>
      <w:spacing w:before="60" w:after="60"/>
      <w:jc w:val="center"/>
    </w:pPr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semiHidden/>
    <w:rsid w:val="00176E1C"/>
    <w:rPr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B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D3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B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BD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6975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9231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8372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277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5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3193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20176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9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5276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FE1FD4576A90248BA28A368E6D4D955" ma:contentTypeVersion="" ma:contentTypeDescription="PDMS Documentation Content Type" ma:contentTypeScope="" ma:versionID="f502e9e88ed93586a68b2dd4adc78dbd">
  <xsd:schema xmlns:xsd="http://www.w3.org/2001/XMLSchema" xmlns:xs="http://www.w3.org/2001/XMLSchema" xmlns:p="http://schemas.microsoft.com/office/2006/metadata/properties" xmlns:ns2="40753B41-F69C-4F0E-9046-394C0A16F4EE" targetNamespace="http://schemas.microsoft.com/office/2006/metadata/properties" ma:root="true" ma:fieldsID="680b6beaf2e5c127e581480a5a47a750" ns2:_="">
    <xsd:import namespace="40753B41-F69C-4F0E-9046-394C0A16F4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3B41-F69C-4F0E-9046-394C0A16F4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0753B41-F69C-4F0E-9046-394C0A16F4EE" xsi:nil="true"/>
    <pdms_DocumentType xmlns="40753B41-F69C-4F0E-9046-394C0A16F4EE" xsi:nil="true"/>
    <pdms_SecurityClassification xmlns="40753B41-F69C-4F0E-9046-394C0A16F4EE" xsi:nil="true"/>
    <SecurityClassification xmlns="40753B41-F69C-4F0E-9046-394C0A16F4EE" xsi:nil="true"/>
    <pdms_Reason xmlns="40753B41-F69C-4F0E-9046-394C0A16F4EE" xsi:nil="true"/>
  </documentManagement>
</p:properties>
</file>

<file path=customXml/itemProps1.xml><?xml version="1.0" encoding="utf-8"?>
<ds:datastoreItem xmlns:ds="http://schemas.openxmlformats.org/officeDocument/2006/customXml" ds:itemID="{FF16C42C-C926-40E9-A137-D1BF00FEA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237FD-C6C3-47BD-A17D-D4975A96F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3B41-F69C-4F0E-9046-394C0A16F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465A6-8492-4927-B547-1E54683754A9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40753B41-F69C-4F0E-9046-394C0A16F4E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F1A946ED.dotm</Template>
  <TotalTime>0</TotalTime>
  <Pages>3</Pages>
  <Words>888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2017-03-16T00:21:00Z</dcterms:created>
  <dcterms:modified xsi:type="dcterms:W3CDTF">2017-03-21T01:53:00Z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0x010100266966F133664895A6EE3632470D45F501003FE1FD4576A90248BA28A368E6D4D955</vt:lpwstr>
  </property>
</Properties>
</file>