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83" w:rsidRPr="00826634" w:rsidRDefault="00643683" w:rsidP="00643683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26634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:rsidR="00643683" w:rsidRPr="00826634" w:rsidRDefault="00643683" w:rsidP="00643683">
      <w:pPr>
        <w:jc w:val="center"/>
        <w:rPr>
          <w:b/>
        </w:rPr>
      </w:pPr>
    </w:p>
    <w:p w:rsidR="00643683" w:rsidRPr="00826634" w:rsidRDefault="00643683" w:rsidP="00643683">
      <w:pPr>
        <w:jc w:val="center"/>
        <w:rPr>
          <w:b/>
        </w:rPr>
      </w:pPr>
      <w:r w:rsidRPr="00826634">
        <w:rPr>
          <w:b/>
        </w:rPr>
        <w:t>Issued by the Authority of the Minister for Finance</w:t>
      </w:r>
    </w:p>
    <w:p w:rsidR="00643683" w:rsidRPr="00826634" w:rsidRDefault="00643683" w:rsidP="00643683">
      <w:pPr>
        <w:jc w:val="center"/>
        <w:rPr>
          <w:b/>
        </w:rPr>
      </w:pPr>
    </w:p>
    <w:p w:rsidR="00643683" w:rsidRDefault="00643683" w:rsidP="00643683">
      <w:pPr>
        <w:jc w:val="center"/>
        <w:rPr>
          <w:i/>
        </w:rPr>
      </w:pPr>
      <w:r w:rsidRPr="00826634">
        <w:rPr>
          <w:i/>
        </w:rPr>
        <w:t xml:space="preserve">Public Governance, Performance and Accountability Act 2013 </w:t>
      </w:r>
    </w:p>
    <w:p w:rsidR="005211FB" w:rsidRDefault="005211FB" w:rsidP="00643683">
      <w:pPr>
        <w:jc w:val="center"/>
        <w:rPr>
          <w:i/>
        </w:rPr>
      </w:pPr>
    </w:p>
    <w:p w:rsidR="005211FB" w:rsidRPr="005211FB" w:rsidRDefault="005211FB" w:rsidP="00BC241D">
      <w:pPr>
        <w:pStyle w:val="ShortT"/>
        <w:jc w:val="center"/>
        <w:rPr>
          <w:i/>
        </w:rPr>
      </w:pP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Rule 201</w:t>
      </w:r>
      <w:r>
        <w:rPr>
          <w:rFonts w:eastAsiaTheme="minorEastAsia"/>
          <w:b w:val="0"/>
          <w:i/>
          <w:sz w:val="24"/>
          <w:szCs w:val="24"/>
          <w:lang w:eastAsia="en-US" w:bidi="en-US"/>
        </w:rPr>
        <w:t>6</w:t>
      </w:r>
    </w:p>
    <w:p w:rsidR="00643683" w:rsidRPr="00826634" w:rsidRDefault="00643683" w:rsidP="00643683">
      <w:pPr>
        <w:rPr>
          <w:i/>
        </w:rPr>
      </w:pPr>
    </w:p>
    <w:p w:rsidR="00DB0E6F" w:rsidRPr="00826634" w:rsidRDefault="00DB0E6F" w:rsidP="00DB0E6F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Public Governance, Performance and Accountability (Relevant Company) Amendment </w:t>
      </w:r>
      <w:r w:rsidR="00795306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(2017 Measures No.1) </w:t>
      </w: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Rule</w:t>
      </w:r>
      <w:bookmarkStart w:id="1" w:name="BK_S1P1L5C15"/>
      <w:bookmarkEnd w:id="1"/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s 201</w:t>
      </w:r>
      <w:r w:rsidR="001A14FB">
        <w:rPr>
          <w:rFonts w:eastAsiaTheme="minorEastAsia"/>
          <w:b w:val="0"/>
          <w:i/>
          <w:sz w:val="24"/>
          <w:szCs w:val="24"/>
          <w:lang w:eastAsia="en-US" w:bidi="en-US"/>
        </w:rPr>
        <w:t>7</w:t>
      </w:r>
    </w:p>
    <w:p w:rsidR="00643683" w:rsidRPr="00826634" w:rsidRDefault="00643683" w:rsidP="00643683">
      <w:pPr>
        <w:jc w:val="center"/>
      </w:pPr>
    </w:p>
    <w:p w:rsidR="009C15FC" w:rsidRDefault="00643683" w:rsidP="009C15FC">
      <w:r w:rsidRPr="00826634">
        <w:t xml:space="preserve">Section 85 of the </w:t>
      </w:r>
      <w:r w:rsidRPr="00826634">
        <w:rPr>
          <w:i/>
        </w:rPr>
        <w:t>Public Governance, Performance and Accountability Act 2013</w:t>
      </w:r>
      <w:r w:rsidRPr="00826634">
        <w:t xml:space="preserve"> (PGPA Act) provides the Finance Minister with the authority to form, or participate in forming a relevant company on behalf of the Commonwealth</w:t>
      </w:r>
      <w:r w:rsidR="004B5217">
        <w:t xml:space="preserve"> or</w:t>
      </w:r>
      <w:r w:rsidR="00795306" w:rsidRPr="00795306">
        <w:t xml:space="preserve"> to acquire shares or become a member of a relevant company in circumstances that would result in the relevant company becoming a Commonwealth company</w:t>
      </w:r>
      <w:r w:rsidRPr="00826634">
        <w:t xml:space="preserve">. </w:t>
      </w:r>
      <w:r w:rsidR="007131FC" w:rsidRPr="00826634">
        <w:t xml:space="preserve"> </w:t>
      </w:r>
    </w:p>
    <w:p w:rsidR="009C15FC" w:rsidRDefault="009C15FC" w:rsidP="009C15FC"/>
    <w:p w:rsidR="00643683" w:rsidRPr="009C15FC" w:rsidRDefault="00F66431" w:rsidP="009C15FC">
      <w:r w:rsidRPr="00826634">
        <w:t>S</w:t>
      </w:r>
      <w:r>
        <w:t>ubs</w:t>
      </w:r>
      <w:r w:rsidRPr="00826634">
        <w:t>ection 85</w:t>
      </w:r>
      <w:r>
        <w:t>(2)</w:t>
      </w:r>
      <w:r w:rsidRPr="00826634">
        <w:t xml:space="preserve"> of the </w:t>
      </w:r>
      <w:r>
        <w:t xml:space="preserve">PGPA Act </w:t>
      </w:r>
      <w:r w:rsidRPr="00826634">
        <w:t xml:space="preserve">provides </w:t>
      </w:r>
      <w:r w:rsidR="00D54A11">
        <w:t xml:space="preserve">that </w:t>
      </w:r>
      <w:r>
        <w:t>a</w:t>
      </w:r>
      <w:r w:rsidR="00643683" w:rsidRPr="00826634">
        <w:t xml:space="preserve"> relevant company is </w:t>
      </w:r>
      <w:r w:rsidR="00F75BBC">
        <w:t>prescribed</w:t>
      </w:r>
      <w:r w:rsidR="003F65E2">
        <w:t>,</w:t>
      </w:r>
      <w:r w:rsidR="00F75BBC">
        <w:t xml:space="preserve"> by kind and </w:t>
      </w:r>
      <w:r w:rsidR="00643683" w:rsidRPr="00826634">
        <w:t xml:space="preserve">its objects or proposed activities, by a rule. </w:t>
      </w:r>
      <w:r w:rsidR="007131FC" w:rsidRPr="00826634">
        <w:t xml:space="preserve"> </w:t>
      </w:r>
      <w:r w:rsidR="00643683" w:rsidRPr="00826634">
        <w:t>Section 101 of the PGPA Act provides that the Finance Minister may make rules by legislative instrument to prescribe matters giving effect to the Act.</w:t>
      </w:r>
      <w:r w:rsidR="009C15FC" w:rsidRPr="009C15FC">
        <w:t xml:space="preserve"> </w:t>
      </w:r>
      <w:r w:rsidR="00D54A11">
        <w:t>R</w:t>
      </w:r>
      <w:r w:rsidR="009C15FC">
        <w:t xml:space="preserve">elevant companies </w:t>
      </w:r>
      <w:r w:rsidR="00D54A11">
        <w:t xml:space="preserve">are prescribed </w:t>
      </w:r>
      <w:r w:rsidR="009C15FC">
        <w:t xml:space="preserve">in the </w:t>
      </w:r>
      <w:r w:rsidR="009C15FC" w:rsidRPr="002A1B1D">
        <w:rPr>
          <w:i/>
        </w:rPr>
        <w:t>Public Governance, Performance and Accountability (Relevant Company) Rule 2016</w:t>
      </w:r>
      <w:r w:rsidR="002A1B1D">
        <w:rPr>
          <w:i/>
        </w:rPr>
        <w:t xml:space="preserve"> </w:t>
      </w:r>
      <w:r w:rsidR="002A1B1D">
        <w:t>(the Relevant Company Rule)</w:t>
      </w:r>
      <w:r w:rsidR="009C15FC">
        <w:t>.</w:t>
      </w:r>
    </w:p>
    <w:p w:rsidR="004B5217" w:rsidRDefault="004B5217" w:rsidP="00826634">
      <w:pPr>
        <w:pStyle w:val="ShortT"/>
        <w:rPr>
          <w:rFonts w:eastAsiaTheme="minorEastAsia"/>
          <w:b w:val="0"/>
          <w:sz w:val="24"/>
          <w:szCs w:val="24"/>
          <w:lang w:eastAsia="en-US" w:bidi="en-US"/>
        </w:rPr>
      </w:pPr>
    </w:p>
    <w:p w:rsidR="00AF34D0" w:rsidRDefault="002A1B1D" w:rsidP="00826634">
      <w:pPr>
        <w:pStyle w:val="ShortT"/>
        <w:rPr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  <w:lang w:eastAsia="en-US" w:bidi="en-US"/>
        </w:rPr>
        <w:t>T</w:t>
      </w:r>
      <w:r w:rsidRPr="002A1B1D">
        <w:rPr>
          <w:rFonts w:eastAsiaTheme="minorEastAsia"/>
          <w:b w:val="0"/>
          <w:sz w:val="24"/>
          <w:szCs w:val="24"/>
          <w:lang w:eastAsia="en-US" w:bidi="en-US"/>
        </w:rPr>
        <w:t xml:space="preserve">he </w:t>
      </w:r>
      <w:r w:rsidR="00D54A11" w:rsidRPr="00D54A11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Amendment (2017 Measures No.1) Rules 2017</w:t>
      </w:r>
      <w:r w:rsidR="00D54A11" w:rsidRPr="00D54A11">
        <w:rPr>
          <w:rFonts w:eastAsiaTheme="minorEastAsia"/>
          <w:b w:val="0"/>
          <w:sz w:val="24"/>
          <w:szCs w:val="24"/>
          <w:lang w:eastAsia="en-US" w:bidi="en-US"/>
        </w:rPr>
        <w:t xml:space="preserve"> (the Amendment Rules) </w:t>
      </w:r>
      <w:r w:rsidR="00D54A11">
        <w:rPr>
          <w:rFonts w:eastAsiaTheme="minorEastAsia"/>
          <w:b w:val="0"/>
          <w:sz w:val="24"/>
          <w:szCs w:val="24"/>
          <w:lang w:eastAsia="en-US" w:bidi="en-US"/>
        </w:rPr>
        <w:t>a</w:t>
      </w:r>
      <w:r w:rsidRPr="002A1B1D">
        <w:rPr>
          <w:rFonts w:eastAsiaTheme="minorEastAsia"/>
          <w:b w:val="0"/>
          <w:sz w:val="24"/>
          <w:szCs w:val="24"/>
          <w:lang w:eastAsia="en-US" w:bidi="en-US"/>
        </w:rPr>
        <w:t>mend</w:t>
      </w:r>
      <w:r w:rsidR="00D54A11">
        <w:rPr>
          <w:rFonts w:eastAsiaTheme="minorEastAsia"/>
          <w:b w:val="0"/>
          <w:sz w:val="24"/>
          <w:szCs w:val="24"/>
          <w:lang w:eastAsia="en-US" w:bidi="en-US"/>
        </w:rPr>
        <w:t>s the Relevant Company</w:t>
      </w:r>
      <w:r w:rsidRPr="002A1B1D">
        <w:rPr>
          <w:rFonts w:eastAsiaTheme="minorEastAsia"/>
          <w:b w:val="0"/>
          <w:sz w:val="24"/>
          <w:szCs w:val="24"/>
          <w:lang w:eastAsia="en-US" w:bidi="en-US"/>
        </w:rPr>
        <w:t xml:space="preserve"> Rules </w:t>
      </w:r>
      <w:r w:rsidR="00D54A11">
        <w:rPr>
          <w:rFonts w:eastAsiaTheme="minorEastAsia"/>
          <w:b w:val="0"/>
          <w:sz w:val="24"/>
          <w:szCs w:val="24"/>
          <w:lang w:eastAsia="en-US" w:bidi="en-US"/>
        </w:rPr>
        <w:t xml:space="preserve">to </w:t>
      </w:r>
      <w:r>
        <w:rPr>
          <w:rFonts w:eastAsiaTheme="minorEastAsia"/>
          <w:b w:val="0"/>
          <w:sz w:val="24"/>
          <w:szCs w:val="24"/>
          <w:lang w:eastAsia="en-US" w:bidi="en-US"/>
        </w:rPr>
        <w:t>add t</w:t>
      </w:r>
      <w:r w:rsidR="00A71D53">
        <w:rPr>
          <w:rFonts w:eastAsiaTheme="minorEastAsia"/>
          <w:b w:val="0"/>
          <w:sz w:val="24"/>
          <w:szCs w:val="24"/>
          <w:lang w:eastAsia="en-US" w:bidi="en-US"/>
        </w:rPr>
        <w:t>wo relevant companies</w:t>
      </w:r>
      <w:r w:rsidR="00CE5CC3">
        <w:rPr>
          <w:rFonts w:eastAsiaTheme="minorEastAsia"/>
          <w:b w:val="0"/>
          <w:sz w:val="24"/>
          <w:szCs w:val="24"/>
          <w:lang w:eastAsia="en-US" w:bidi="en-US"/>
        </w:rPr>
        <w:t>:</w:t>
      </w:r>
      <w:r w:rsidR="009C15FC">
        <w:rPr>
          <w:rFonts w:eastAsiaTheme="minorEastAsia"/>
          <w:b w:val="0"/>
          <w:sz w:val="24"/>
          <w:szCs w:val="24"/>
          <w:lang w:eastAsia="en-US" w:bidi="en-US"/>
        </w:rPr>
        <w:t xml:space="preserve"> </w:t>
      </w:r>
      <w:r w:rsidR="00CE5CC3">
        <w:rPr>
          <w:rFonts w:eastAsiaTheme="minorEastAsia"/>
          <w:b w:val="0"/>
          <w:sz w:val="24"/>
          <w:szCs w:val="24"/>
          <w:lang w:eastAsia="en-US" w:bidi="en-US"/>
        </w:rPr>
        <w:t>t</w:t>
      </w:r>
      <w:r w:rsidR="009C15FC">
        <w:rPr>
          <w:rFonts w:eastAsiaTheme="minorEastAsia"/>
          <w:b w:val="0"/>
          <w:sz w:val="24"/>
          <w:szCs w:val="24"/>
          <w:lang w:eastAsia="en-US" w:bidi="en-US"/>
        </w:rPr>
        <w:t xml:space="preserve">he </w:t>
      </w:r>
      <w:r w:rsidR="00A71D53">
        <w:rPr>
          <w:rFonts w:eastAsiaTheme="minorEastAsia"/>
          <w:b w:val="0"/>
          <w:sz w:val="24"/>
          <w:szCs w:val="24"/>
          <w:lang w:eastAsia="en-US" w:bidi="en-US"/>
        </w:rPr>
        <w:t xml:space="preserve">first </w:t>
      </w:r>
      <w:r w:rsidR="00100924">
        <w:rPr>
          <w:rFonts w:eastAsiaTheme="minorEastAsia"/>
          <w:b w:val="0"/>
          <w:sz w:val="24"/>
          <w:szCs w:val="24"/>
          <w:lang w:eastAsia="en-US" w:bidi="en-US"/>
        </w:rPr>
        <w:t xml:space="preserve">to </w:t>
      </w:r>
      <w:r w:rsidR="00AF34D0">
        <w:rPr>
          <w:rFonts w:eastAsiaTheme="minorEastAsia"/>
          <w:b w:val="0"/>
          <w:sz w:val="24"/>
          <w:szCs w:val="24"/>
          <w:lang w:eastAsia="en-US" w:bidi="en-US"/>
        </w:rPr>
        <w:t xml:space="preserve">assist with </w:t>
      </w:r>
      <w:r w:rsidR="00100924" w:rsidRPr="00826634">
        <w:rPr>
          <w:b w:val="0"/>
          <w:sz w:val="24"/>
          <w:szCs w:val="24"/>
        </w:rPr>
        <w:t>increas</w:t>
      </w:r>
      <w:r w:rsidR="00AF34D0">
        <w:rPr>
          <w:b w:val="0"/>
          <w:sz w:val="24"/>
          <w:szCs w:val="24"/>
        </w:rPr>
        <w:t>ing</w:t>
      </w:r>
      <w:r w:rsidR="00100924" w:rsidRPr="00826634">
        <w:rPr>
          <w:b w:val="0"/>
          <w:sz w:val="24"/>
          <w:szCs w:val="24"/>
        </w:rPr>
        <w:t xml:space="preserve"> the professional standards of financial advisers</w:t>
      </w:r>
      <w:r w:rsidR="00CE5CC3">
        <w:rPr>
          <w:b w:val="0"/>
          <w:sz w:val="24"/>
          <w:szCs w:val="24"/>
        </w:rPr>
        <w:t>;</w:t>
      </w:r>
      <w:r w:rsidR="00100924">
        <w:rPr>
          <w:b w:val="0"/>
          <w:sz w:val="24"/>
          <w:szCs w:val="24"/>
        </w:rPr>
        <w:t xml:space="preserve"> the second to </w:t>
      </w:r>
      <w:r w:rsidR="00AF34D0">
        <w:rPr>
          <w:b w:val="0"/>
          <w:sz w:val="24"/>
          <w:szCs w:val="24"/>
        </w:rPr>
        <w:t>manage infrastructure to support shipbuilding and submarine programs.</w:t>
      </w:r>
    </w:p>
    <w:p w:rsidR="00100924" w:rsidRDefault="00100924" w:rsidP="00826634">
      <w:pPr>
        <w:pStyle w:val="ShortT"/>
        <w:rPr>
          <w:rFonts w:eastAsiaTheme="minorEastAsia"/>
          <w:b w:val="0"/>
          <w:sz w:val="24"/>
          <w:szCs w:val="24"/>
          <w:lang w:eastAsia="en-US" w:bidi="en-US"/>
        </w:rPr>
      </w:pPr>
    </w:p>
    <w:p w:rsidR="00A95071" w:rsidRPr="00826634" w:rsidRDefault="00A95071" w:rsidP="00A95071">
      <w:pPr>
        <w:pStyle w:val="Default"/>
        <w:rPr>
          <w:rFonts w:eastAsiaTheme="minorEastAsia"/>
          <w:color w:val="auto"/>
          <w:lang w:bidi="en-US"/>
        </w:rPr>
      </w:pPr>
      <w:r w:rsidRPr="00826634">
        <w:rPr>
          <w:rFonts w:eastAsiaTheme="minorEastAsia"/>
          <w:color w:val="auto"/>
          <w:lang w:bidi="en-US"/>
        </w:rPr>
        <w:t xml:space="preserve">Details of the </w:t>
      </w:r>
      <w:r w:rsidR="002A1B1D" w:rsidRPr="002A1B1D">
        <w:rPr>
          <w:rFonts w:eastAsiaTheme="minorEastAsia"/>
          <w:lang w:bidi="en-US"/>
        </w:rPr>
        <w:t xml:space="preserve">Amendment Rules </w:t>
      </w:r>
      <w:r w:rsidRPr="00826634">
        <w:rPr>
          <w:rFonts w:eastAsiaTheme="minorEastAsia"/>
          <w:color w:val="auto"/>
          <w:lang w:bidi="en-US"/>
        </w:rPr>
        <w:t xml:space="preserve">are set out at </w:t>
      </w:r>
      <w:r w:rsidRPr="00826634">
        <w:rPr>
          <w:rFonts w:eastAsiaTheme="minorEastAsia"/>
          <w:color w:val="auto"/>
          <w:u w:val="single"/>
          <w:lang w:bidi="en-US"/>
        </w:rPr>
        <w:t>Attachment A</w:t>
      </w:r>
      <w:r w:rsidR="00826634">
        <w:rPr>
          <w:rFonts w:eastAsiaTheme="minorEastAsia"/>
          <w:color w:val="auto"/>
          <w:lang w:bidi="en-US"/>
        </w:rPr>
        <w:t xml:space="preserve">.  </w:t>
      </w:r>
      <w:r w:rsidRPr="00826634">
        <w:rPr>
          <w:rFonts w:eastAsiaTheme="minorEastAsia"/>
          <w:color w:val="auto"/>
          <w:lang w:bidi="en-US"/>
        </w:rPr>
        <w:t xml:space="preserve">A Statement of Compatibility with Human Rights is at </w:t>
      </w:r>
      <w:r w:rsidRPr="00826634">
        <w:rPr>
          <w:rFonts w:eastAsiaTheme="minorEastAsia"/>
          <w:color w:val="auto"/>
          <w:u w:val="single"/>
          <w:lang w:bidi="en-US"/>
        </w:rPr>
        <w:t>Attachment B</w:t>
      </w:r>
      <w:r w:rsidRPr="00826634">
        <w:rPr>
          <w:rFonts w:eastAsiaTheme="minorEastAsia"/>
          <w:color w:val="auto"/>
          <w:lang w:bidi="en-US"/>
        </w:rPr>
        <w:t>.</w:t>
      </w:r>
    </w:p>
    <w:p w:rsidR="00A95071" w:rsidRPr="00826634" w:rsidRDefault="00A95071" w:rsidP="00A95071"/>
    <w:p w:rsidR="00A95071" w:rsidRPr="00826634" w:rsidRDefault="00A95071" w:rsidP="00A95071">
      <w:pPr>
        <w:autoSpaceDE w:val="0"/>
        <w:autoSpaceDN w:val="0"/>
        <w:adjustRightInd w:val="0"/>
        <w:rPr>
          <w:i/>
        </w:rPr>
      </w:pPr>
      <w:r w:rsidRPr="00826634">
        <w:t>The</w:t>
      </w:r>
      <w:r w:rsidR="00BC241D">
        <w:t xml:space="preserve"> </w:t>
      </w:r>
      <w:r w:rsidR="002A1B1D" w:rsidRPr="002A1B1D">
        <w:t xml:space="preserve">Amendment Rules </w:t>
      </w:r>
      <w:r w:rsidR="00BC241D">
        <w:t>are</w:t>
      </w:r>
      <w:r w:rsidRPr="00826634">
        <w:t xml:space="preserve"> a legislative instrument for the purposes of the </w:t>
      </w:r>
      <w:r w:rsidRPr="00826634">
        <w:rPr>
          <w:i/>
        </w:rPr>
        <w:t>Legislation Act</w:t>
      </w:r>
      <w:r w:rsidR="0012615B">
        <w:rPr>
          <w:i/>
        </w:rPr>
        <w:t> </w:t>
      </w:r>
      <w:r w:rsidRPr="00826634">
        <w:rPr>
          <w:i/>
        </w:rPr>
        <w:t>2003.</w:t>
      </w:r>
    </w:p>
    <w:p w:rsidR="00A95071" w:rsidRPr="00826634" w:rsidRDefault="00A95071" w:rsidP="00A95071">
      <w:pPr>
        <w:autoSpaceDE w:val="0"/>
        <w:autoSpaceDN w:val="0"/>
        <w:adjustRightInd w:val="0"/>
      </w:pPr>
    </w:p>
    <w:p w:rsidR="00A95071" w:rsidRPr="00826634" w:rsidRDefault="00A95071" w:rsidP="00A95071">
      <w:pPr>
        <w:autoSpaceDE w:val="0"/>
        <w:autoSpaceDN w:val="0"/>
        <w:adjustRightInd w:val="0"/>
      </w:pPr>
      <w:r w:rsidRPr="00826634">
        <w:t>The</w:t>
      </w:r>
      <w:r w:rsidR="00BC241D">
        <w:t xml:space="preserve"> </w:t>
      </w:r>
      <w:r w:rsidR="002A1B1D" w:rsidRPr="002A1B1D">
        <w:t xml:space="preserve">Amendment Rules </w:t>
      </w:r>
      <w:r w:rsidRPr="00826634">
        <w:t>commence on the day after registration on the Federal Register of Legislation.</w:t>
      </w:r>
    </w:p>
    <w:p w:rsidR="00A95071" w:rsidRPr="00826634" w:rsidRDefault="00A95071" w:rsidP="00A95071">
      <w:pPr>
        <w:rPr>
          <w:b/>
        </w:rPr>
      </w:pPr>
    </w:p>
    <w:p w:rsidR="00A95071" w:rsidRDefault="00A95071" w:rsidP="00A95071">
      <w:r w:rsidRPr="00826634">
        <w:rPr>
          <w:b/>
        </w:rPr>
        <w:t>Consultation</w:t>
      </w:r>
    </w:p>
    <w:p w:rsidR="00826634" w:rsidRDefault="00826634" w:rsidP="00A95071"/>
    <w:p w:rsidR="00826634" w:rsidRPr="00826634" w:rsidRDefault="002A5574" w:rsidP="00A95071">
      <w:r>
        <w:t xml:space="preserve">The Amendment Rules </w:t>
      </w:r>
      <w:r w:rsidR="00F95593">
        <w:t>have</w:t>
      </w:r>
      <w:r>
        <w:t xml:space="preserve"> been prepared in consultation with t</w:t>
      </w:r>
      <w:r w:rsidR="00826634">
        <w:t xml:space="preserve">he Department of </w:t>
      </w:r>
      <w:r>
        <w:t>the Treasury and relevant areas with</w:t>
      </w:r>
      <w:r w:rsidR="0012615B">
        <w:t>in</w:t>
      </w:r>
      <w:r>
        <w:t xml:space="preserve"> the Department of Finance.</w:t>
      </w:r>
    </w:p>
    <w:p w:rsidR="00A95071" w:rsidRPr="00826634" w:rsidRDefault="00A95071" w:rsidP="00A95071"/>
    <w:p w:rsidR="00AF34D0" w:rsidRDefault="00AF34D0">
      <w:pPr>
        <w:spacing w:after="160" w:line="259" w:lineRule="auto"/>
      </w:pPr>
      <w:r>
        <w:br w:type="page"/>
      </w:r>
    </w:p>
    <w:p w:rsidR="00A53951" w:rsidRPr="00826634" w:rsidRDefault="00A53951" w:rsidP="00A53951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A</w:t>
      </w:r>
    </w:p>
    <w:p w:rsidR="00A53951" w:rsidRPr="00826634" w:rsidRDefault="00A53951" w:rsidP="00A53951">
      <w:pPr>
        <w:autoSpaceDE w:val="0"/>
        <w:autoSpaceDN w:val="0"/>
        <w:adjustRightInd w:val="0"/>
        <w:jc w:val="right"/>
        <w:rPr>
          <w:rFonts w:eastAsiaTheme="minorHAnsi"/>
          <w:b/>
          <w:bCs/>
          <w:lang w:bidi="ar-SA"/>
        </w:rPr>
      </w:pPr>
    </w:p>
    <w:p w:rsidR="00826634" w:rsidRDefault="00A53951" w:rsidP="006527AD">
      <w:pPr>
        <w:pStyle w:val="ShortT"/>
        <w:spacing w:after="240"/>
        <w:rPr>
          <w:rFonts w:eastAsiaTheme="minorEastAsia"/>
          <w:b w:val="0"/>
          <w:sz w:val="24"/>
          <w:szCs w:val="24"/>
          <w:lang w:eastAsia="en-US" w:bidi="en-US"/>
        </w:rPr>
      </w:pPr>
      <w:r w:rsidRPr="00826634">
        <w:rPr>
          <w:sz w:val="24"/>
          <w:szCs w:val="24"/>
          <w:u w:val="single"/>
        </w:rPr>
        <w:t>Details of the</w:t>
      </w:r>
      <w:r w:rsidRPr="00826634">
        <w:rPr>
          <w:i/>
          <w:sz w:val="24"/>
          <w:szCs w:val="24"/>
          <w:u w:val="single"/>
        </w:rPr>
        <w:t xml:space="preserve"> </w:t>
      </w:r>
      <w:r w:rsidR="00361C2E" w:rsidRPr="00361C2E">
        <w:rPr>
          <w:rFonts w:eastAsiaTheme="minorEastAsia"/>
          <w:i/>
          <w:sz w:val="24"/>
          <w:szCs w:val="24"/>
          <w:u w:val="single"/>
          <w:lang w:eastAsia="en-US" w:bidi="en-US"/>
        </w:rPr>
        <w:t>Public Governance, Performance and Accountability (Relevant Company) Amendment (2017 Measures No.1) Rules 2017</w:t>
      </w:r>
    </w:p>
    <w:p w:rsidR="00826634" w:rsidRDefault="00826634" w:rsidP="00C174AE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Section 1</w:t>
      </w:r>
      <w:r w:rsidR="00361C2E" w:rsidRPr="002A5574">
        <w:rPr>
          <w:b/>
        </w:rPr>
        <w:t>—</w:t>
      </w:r>
      <w:r w:rsidRPr="00826634">
        <w:rPr>
          <w:b/>
        </w:rPr>
        <w:t xml:space="preserve">Name </w:t>
      </w:r>
    </w:p>
    <w:p w:rsidR="00826634" w:rsidRPr="007B57A6" w:rsidRDefault="00826634" w:rsidP="00826634">
      <w:pPr>
        <w:autoSpaceDE w:val="0"/>
        <w:autoSpaceDN w:val="0"/>
        <w:adjustRightInd w:val="0"/>
        <w:rPr>
          <w:i/>
        </w:rPr>
      </w:pPr>
      <w:r>
        <w:t>This section provides that the title of the</w:t>
      </w:r>
      <w:r w:rsidR="00DD44D7">
        <w:t xml:space="preserve"> Rules</w:t>
      </w:r>
      <w:r>
        <w:t xml:space="preserve"> is the</w:t>
      </w:r>
      <w:r w:rsidR="00DD44D7">
        <w:t xml:space="preserve"> </w:t>
      </w:r>
      <w:r w:rsidR="00DD44D7">
        <w:rPr>
          <w:i/>
        </w:rPr>
        <w:t xml:space="preserve">Public Governance, Performance and Accountability (Relevant Company) Amendment </w:t>
      </w:r>
      <w:r w:rsidR="0079369D">
        <w:rPr>
          <w:i/>
        </w:rPr>
        <w:t xml:space="preserve">(2017 Measures No. 1) </w:t>
      </w:r>
      <w:r w:rsidR="00DD44D7">
        <w:rPr>
          <w:i/>
        </w:rPr>
        <w:t>Rules 2017</w:t>
      </w:r>
      <w:r w:rsidR="009C15FC">
        <w:rPr>
          <w:i/>
        </w:rPr>
        <w:t xml:space="preserve"> </w:t>
      </w:r>
      <w:r w:rsidR="009C15FC">
        <w:t xml:space="preserve">(the </w:t>
      </w:r>
      <w:r w:rsidR="00AF34D0">
        <w:t xml:space="preserve">Amendment </w:t>
      </w:r>
      <w:r w:rsidR="009C15FC">
        <w:t>Rules)</w:t>
      </w:r>
      <w:r w:rsidR="00DD44D7">
        <w:rPr>
          <w:i/>
        </w:rPr>
        <w:t>.</w:t>
      </w:r>
    </w:p>
    <w:p w:rsidR="00826634" w:rsidRDefault="00826634" w:rsidP="00826634">
      <w:pPr>
        <w:autoSpaceDE w:val="0"/>
        <w:autoSpaceDN w:val="0"/>
        <w:adjustRightInd w:val="0"/>
      </w:pPr>
    </w:p>
    <w:p w:rsidR="00826634" w:rsidRDefault="00826634" w:rsidP="00C174AE">
      <w:pPr>
        <w:keepNext/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Section 2</w:t>
      </w:r>
      <w:r w:rsidR="00361C2E" w:rsidRPr="002A5574">
        <w:rPr>
          <w:b/>
        </w:rPr>
        <w:t>—</w:t>
      </w:r>
      <w:r>
        <w:rPr>
          <w:b/>
        </w:rPr>
        <w:t xml:space="preserve">Commencement </w:t>
      </w:r>
    </w:p>
    <w:p w:rsidR="00826634" w:rsidRPr="002A5574" w:rsidRDefault="00826634" w:rsidP="007B57A6">
      <w:pPr>
        <w:autoSpaceDE w:val="0"/>
        <w:autoSpaceDN w:val="0"/>
        <w:adjustRightInd w:val="0"/>
        <w:rPr>
          <w:b/>
        </w:rPr>
      </w:pPr>
      <w:r>
        <w:t>This section provides</w:t>
      </w:r>
      <w:r w:rsidR="00DD44D7">
        <w:t xml:space="preserve"> that the</w:t>
      </w:r>
      <w:r>
        <w:t xml:space="preserve"> </w:t>
      </w:r>
      <w:r w:rsidR="00AF34D0" w:rsidRPr="002A5574">
        <w:t xml:space="preserve">Amendment </w:t>
      </w:r>
      <w:r w:rsidR="00DD44D7" w:rsidRPr="002A5574">
        <w:t xml:space="preserve">Rules </w:t>
      </w:r>
      <w:r w:rsidRPr="002A5574">
        <w:t xml:space="preserve">will commence on the day after </w:t>
      </w:r>
      <w:r w:rsidR="00F95593">
        <w:t>they are</w:t>
      </w:r>
      <w:r w:rsidRPr="002A5574">
        <w:t xml:space="preserve"> registered on the Federal Register of Legislation.</w:t>
      </w:r>
    </w:p>
    <w:p w:rsidR="00826634" w:rsidRPr="002A5574" w:rsidRDefault="00826634" w:rsidP="00826634">
      <w:pPr>
        <w:autoSpaceDE w:val="0"/>
        <w:autoSpaceDN w:val="0"/>
        <w:adjustRightInd w:val="0"/>
      </w:pPr>
    </w:p>
    <w:p w:rsidR="00826634" w:rsidRPr="00C174AE" w:rsidRDefault="00826634" w:rsidP="00C174AE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Section 3</w:t>
      </w:r>
      <w:r w:rsidR="00361C2E" w:rsidRPr="002A5574">
        <w:rPr>
          <w:b/>
        </w:rPr>
        <w:t>—</w:t>
      </w:r>
      <w:r w:rsidRPr="002A5574">
        <w:rPr>
          <w:b/>
        </w:rPr>
        <w:t>Authority</w:t>
      </w:r>
    </w:p>
    <w:p w:rsidR="00826634" w:rsidRPr="002A5574" w:rsidRDefault="00826634" w:rsidP="00826634">
      <w:pPr>
        <w:autoSpaceDE w:val="0"/>
        <w:autoSpaceDN w:val="0"/>
        <w:adjustRightInd w:val="0"/>
        <w:rPr>
          <w:b/>
        </w:rPr>
      </w:pPr>
      <w:r w:rsidRPr="002A5574">
        <w:t xml:space="preserve">This section provides that the </w:t>
      </w:r>
      <w:r w:rsidR="00AF34D0" w:rsidRPr="002A5574">
        <w:t xml:space="preserve">Amendment </w:t>
      </w:r>
      <w:r w:rsidR="00DD44D7" w:rsidRPr="002A5574">
        <w:t>Rules are</w:t>
      </w:r>
      <w:r w:rsidRPr="002A5574">
        <w:t xml:space="preserve"> made under the </w:t>
      </w:r>
      <w:r w:rsidRPr="002A5574">
        <w:rPr>
          <w:i/>
          <w:iCs/>
        </w:rPr>
        <w:t>Public Governance, Performance and Accountability Act 2013</w:t>
      </w:r>
      <w:r w:rsidRPr="002A5574">
        <w:t xml:space="preserve"> (PGPA Act).</w:t>
      </w:r>
    </w:p>
    <w:p w:rsidR="00826634" w:rsidRPr="002A5574" w:rsidRDefault="00826634" w:rsidP="00826634">
      <w:pPr>
        <w:autoSpaceDE w:val="0"/>
        <w:autoSpaceDN w:val="0"/>
        <w:adjustRightInd w:val="0"/>
      </w:pPr>
    </w:p>
    <w:p w:rsidR="00826634" w:rsidRPr="002A5574" w:rsidRDefault="00826634" w:rsidP="00C174AE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Section 4</w:t>
      </w:r>
      <w:r w:rsidR="00361C2E" w:rsidRPr="002A5574">
        <w:rPr>
          <w:b/>
        </w:rPr>
        <w:t>—</w:t>
      </w:r>
      <w:r w:rsidRPr="002A5574">
        <w:rPr>
          <w:b/>
        </w:rPr>
        <w:t>Schedules</w:t>
      </w:r>
    </w:p>
    <w:p w:rsidR="00C174AE" w:rsidRPr="002A5574" w:rsidRDefault="00826634" w:rsidP="00C174AE">
      <w:pPr>
        <w:autoSpaceDE w:val="0"/>
        <w:autoSpaceDN w:val="0"/>
        <w:adjustRightInd w:val="0"/>
        <w:rPr>
          <w:b/>
        </w:rPr>
      </w:pPr>
      <w:r w:rsidRPr="002A5574">
        <w:t xml:space="preserve">This section provides that each instrument that is specified in a Schedule to </w:t>
      </w:r>
      <w:r w:rsidR="00DD44D7" w:rsidRPr="002A5574">
        <w:t xml:space="preserve">the </w:t>
      </w:r>
      <w:r w:rsidR="00AF34D0" w:rsidRPr="002A5574">
        <w:t xml:space="preserve">Amendment </w:t>
      </w:r>
      <w:r w:rsidR="00DD44D7" w:rsidRPr="002A5574">
        <w:t xml:space="preserve">Rules </w:t>
      </w:r>
      <w:r w:rsidRPr="002A5574">
        <w:t>is amended or repealed as set out in the applicable items in the Schedule concerned, and any other item in a Schedule to this instrument has effect according to its terms.</w:t>
      </w:r>
      <w:r w:rsidR="00C174AE" w:rsidRPr="00C174AE">
        <w:rPr>
          <w:b/>
        </w:rPr>
        <w:t xml:space="preserve"> </w:t>
      </w:r>
    </w:p>
    <w:p w:rsidR="00A53951" w:rsidRPr="002A5574" w:rsidRDefault="00A53951" w:rsidP="00826634">
      <w:pPr>
        <w:autoSpaceDE w:val="0"/>
        <w:autoSpaceDN w:val="0"/>
        <w:adjustRightInd w:val="0"/>
      </w:pPr>
    </w:p>
    <w:p w:rsidR="004B1D24" w:rsidRPr="002A5574" w:rsidRDefault="004B1D24" w:rsidP="00C174AE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Schedule 1—Amendments</w:t>
      </w:r>
    </w:p>
    <w:p w:rsidR="004B1D24" w:rsidRPr="00C174AE" w:rsidRDefault="004B1D24" w:rsidP="00C174AE">
      <w:pPr>
        <w:keepNext/>
        <w:autoSpaceDE w:val="0"/>
        <w:autoSpaceDN w:val="0"/>
        <w:adjustRightInd w:val="0"/>
        <w:spacing w:after="120"/>
        <w:rPr>
          <w:b/>
          <w:i/>
        </w:rPr>
      </w:pPr>
      <w:bookmarkStart w:id="2" w:name="_Toc405559622"/>
      <w:r w:rsidRPr="00C174AE">
        <w:rPr>
          <w:b/>
          <w:i/>
        </w:rPr>
        <w:t xml:space="preserve">Public Governance, Performance and Accountability (Relevant Company) </w:t>
      </w:r>
      <w:bookmarkEnd w:id="2"/>
      <w:r w:rsidRPr="00C174AE">
        <w:rPr>
          <w:b/>
          <w:i/>
        </w:rPr>
        <w:t>Rule 2016</w:t>
      </w:r>
    </w:p>
    <w:p w:rsidR="004B1D24" w:rsidRPr="00C174AE" w:rsidRDefault="004B1D24" w:rsidP="00C174AE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Item 1—Section 5 (at the end of the table)</w:t>
      </w:r>
    </w:p>
    <w:p w:rsidR="009C15FC" w:rsidRPr="002A5574" w:rsidRDefault="004B1D24" w:rsidP="007B57A6">
      <w:pPr>
        <w:tabs>
          <w:tab w:val="left" w:pos="426"/>
        </w:tabs>
        <w:spacing w:after="120" w:line="240" w:lineRule="atLeast"/>
      </w:pPr>
      <w:r w:rsidRPr="002A5574">
        <w:t xml:space="preserve">This item </w:t>
      </w:r>
      <w:r w:rsidR="00264C73">
        <w:t>prescribes</w:t>
      </w:r>
      <w:r w:rsidR="00795306" w:rsidRPr="002A5574">
        <w:t xml:space="preserve"> two </w:t>
      </w:r>
      <w:r w:rsidR="00AF34D0" w:rsidRPr="002A5574">
        <w:t xml:space="preserve">kinds of </w:t>
      </w:r>
      <w:r w:rsidR="00795306" w:rsidRPr="002A5574">
        <w:t>relevant compan</w:t>
      </w:r>
      <w:r w:rsidR="00F733F9">
        <w:t>ies</w:t>
      </w:r>
      <w:r w:rsidR="00795306" w:rsidRPr="002A5574">
        <w:t xml:space="preserve"> </w:t>
      </w:r>
      <w:r w:rsidRPr="002A5574">
        <w:t xml:space="preserve">to the table </w:t>
      </w:r>
      <w:r w:rsidR="00BC241D" w:rsidRPr="002A5574">
        <w:t xml:space="preserve">of relevant companies </w:t>
      </w:r>
      <w:r w:rsidR="002A5574">
        <w:t>in section </w:t>
      </w:r>
      <w:r w:rsidRPr="002A5574">
        <w:t>5 of the Relevant Company</w:t>
      </w:r>
      <w:r w:rsidR="000E2912" w:rsidRPr="002A5574">
        <w:t xml:space="preserve"> Rule</w:t>
      </w:r>
      <w:r w:rsidRPr="002A5574">
        <w:t xml:space="preserve">. </w:t>
      </w:r>
    </w:p>
    <w:p w:rsidR="004B1D24" w:rsidRDefault="0079369D" w:rsidP="007B57A6">
      <w:pPr>
        <w:tabs>
          <w:tab w:val="left" w:pos="426"/>
        </w:tabs>
        <w:spacing w:after="120" w:line="240" w:lineRule="atLeast"/>
      </w:pPr>
      <w:r w:rsidRPr="002A5574">
        <w:t xml:space="preserve">The first </w:t>
      </w:r>
      <w:r w:rsidR="000E2912" w:rsidRPr="002A5574">
        <w:t xml:space="preserve">relevant company </w:t>
      </w:r>
      <w:r w:rsidR="00264C73">
        <w:t>prescribed</w:t>
      </w:r>
      <w:r w:rsidR="00FC7636">
        <w:t xml:space="preserve"> </w:t>
      </w:r>
      <w:r w:rsidR="002A5574">
        <w:t xml:space="preserve">will </w:t>
      </w:r>
      <w:r w:rsidR="002A5574" w:rsidRPr="00875ED3">
        <w:t>assist</w:t>
      </w:r>
      <w:r w:rsidR="002A5574" w:rsidRPr="00826634">
        <w:t xml:space="preserve"> with increasing the professional standards of financial advisers, including by assisting with the setting of education and training standards and ethical standards</w:t>
      </w:r>
      <w:r w:rsidR="002A5574">
        <w:t xml:space="preserve">. </w:t>
      </w:r>
      <w:r w:rsidR="002A5574" w:rsidRPr="002A5574">
        <w:t xml:space="preserve"> </w:t>
      </w:r>
      <w:r w:rsidR="00FC7636">
        <w:t>Prescribing</w:t>
      </w:r>
      <w:r w:rsidR="00594CB5">
        <w:t xml:space="preserve"> this relevant company provides </w:t>
      </w:r>
      <w:r w:rsidR="00594CB5" w:rsidRPr="002A5574">
        <w:t xml:space="preserve">the Finance Minister </w:t>
      </w:r>
      <w:r w:rsidR="00594CB5">
        <w:t xml:space="preserve">with authority under </w:t>
      </w:r>
      <w:r w:rsidR="00594CB5" w:rsidRPr="002A5574">
        <w:t>paragraph</w:t>
      </w:r>
      <w:r w:rsidR="0012615B">
        <w:t> </w:t>
      </w:r>
      <w:r w:rsidR="00594CB5" w:rsidRPr="002A5574">
        <w:t xml:space="preserve">85(1)(a) of the PGPA Act to form or participate in forming a relevant company </w:t>
      </w:r>
      <w:r w:rsidR="00CF4482">
        <w:t>for th</w:t>
      </w:r>
      <w:r w:rsidR="00594CB5">
        <w:t>e</w:t>
      </w:r>
      <w:r w:rsidR="00556EB0" w:rsidRPr="002A5574">
        <w:t xml:space="preserve"> </w:t>
      </w:r>
      <w:r w:rsidR="006527AD">
        <w:t xml:space="preserve">prescribed </w:t>
      </w:r>
      <w:r w:rsidR="00556EB0" w:rsidRPr="002A5574">
        <w:t xml:space="preserve">purposes. </w:t>
      </w:r>
      <w:r w:rsidR="00FC7636">
        <w:t xml:space="preserve">Prescribing this relevant company </w:t>
      </w:r>
      <w:r w:rsidR="00556EB0" w:rsidRPr="002A5574">
        <w:t xml:space="preserve">also supports </w:t>
      </w:r>
      <w:r w:rsidR="00FC7636">
        <w:t>a</w:t>
      </w:r>
      <w:r w:rsidR="00556EB0" w:rsidRPr="002A5574">
        <w:t xml:space="preserve"> new power in the </w:t>
      </w:r>
      <w:r w:rsidR="00556EB0" w:rsidRPr="002A5574">
        <w:rPr>
          <w:i/>
        </w:rPr>
        <w:t xml:space="preserve">Corporations Act 2001 </w:t>
      </w:r>
      <w:r w:rsidR="00FC7636">
        <w:t>(</w:t>
      </w:r>
      <w:r w:rsidR="00556EB0" w:rsidRPr="002A5574">
        <w:t xml:space="preserve">added by </w:t>
      </w:r>
      <w:r w:rsidR="00556EB0" w:rsidRPr="002A5574">
        <w:rPr>
          <w:i/>
        </w:rPr>
        <w:t>Corporations Legislation Amendment (Professional Standards of Financial Advisers) Act 2017</w:t>
      </w:r>
      <w:r w:rsidR="00FC7636">
        <w:t>)</w:t>
      </w:r>
      <w:r w:rsidR="00CF4482">
        <w:t>,</w:t>
      </w:r>
      <w:r w:rsidR="00556EB0" w:rsidRPr="002A5574">
        <w:rPr>
          <w:i/>
        </w:rPr>
        <w:t xml:space="preserve"> </w:t>
      </w:r>
      <w:r w:rsidR="00556EB0" w:rsidRPr="002A5574">
        <w:t>wh</w:t>
      </w:r>
      <w:r w:rsidR="002A50B3" w:rsidRPr="002A5574">
        <w:t xml:space="preserve">ich </w:t>
      </w:r>
      <w:r w:rsidR="006527AD">
        <w:t>provides</w:t>
      </w:r>
      <w:r w:rsidR="002A50B3" w:rsidRPr="002A5574">
        <w:t xml:space="preserve"> the Minister for Revenue and Financial Services</w:t>
      </w:r>
      <w:r w:rsidR="00556EB0" w:rsidRPr="002A5574">
        <w:t xml:space="preserve"> </w:t>
      </w:r>
      <w:r w:rsidR="006527AD">
        <w:t xml:space="preserve">with the power </w:t>
      </w:r>
      <w:r w:rsidR="00556EB0" w:rsidRPr="002A5574">
        <w:t xml:space="preserve">to declare </w:t>
      </w:r>
      <w:r w:rsidR="006527AD">
        <w:t xml:space="preserve">any such </w:t>
      </w:r>
      <w:r w:rsidR="00FC7636">
        <w:t xml:space="preserve">relevant </w:t>
      </w:r>
      <w:r w:rsidR="00556EB0" w:rsidRPr="002A5574">
        <w:t xml:space="preserve">company </w:t>
      </w:r>
      <w:r w:rsidR="006527AD">
        <w:t xml:space="preserve">that is formed, </w:t>
      </w:r>
      <w:r w:rsidR="00556EB0" w:rsidRPr="002A5574">
        <w:t>to</w:t>
      </w:r>
      <w:r w:rsidR="00556EB0">
        <w:t xml:space="preserve"> be a financial </w:t>
      </w:r>
      <w:r w:rsidR="00F75BBC">
        <w:t xml:space="preserve">services </w:t>
      </w:r>
      <w:r w:rsidR="00556EB0">
        <w:t xml:space="preserve">standards body. </w:t>
      </w:r>
    </w:p>
    <w:p w:rsidR="00CF4482" w:rsidRDefault="00CF4482" w:rsidP="004B5217">
      <w:pPr>
        <w:tabs>
          <w:tab w:val="left" w:pos="426"/>
        </w:tabs>
        <w:spacing w:after="120" w:line="240" w:lineRule="atLeast"/>
      </w:pPr>
      <w:r>
        <w:t>The</w:t>
      </w:r>
      <w:r w:rsidR="00795306">
        <w:t xml:space="preserve"> second</w:t>
      </w:r>
      <w:r w:rsidR="004B5217">
        <w:t xml:space="preserve"> </w:t>
      </w:r>
      <w:r w:rsidR="00594CB5" w:rsidRPr="002A5574">
        <w:t xml:space="preserve">relevant company </w:t>
      </w:r>
      <w:r w:rsidR="00264C73">
        <w:t xml:space="preserve">prescribed </w:t>
      </w:r>
      <w:r w:rsidR="00594CB5">
        <w:t xml:space="preserve">will </w:t>
      </w:r>
      <w:r w:rsidR="00594CB5" w:rsidRPr="00875ED3">
        <w:t>assist</w:t>
      </w:r>
      <w:r w:rsidR="00594CB5" w:rsidRPr="00826634">
        <w:t xml:space="preserve"> </w:t>
      </w:r>
      <w:r w:rsidR="00594CB5">
        <w:t xml:space="preserve">with managing </w:t>
      </w:r>
      <w:r w:rsidR="00594CB5" w:rsidRPr="004B5217">
        <w:rPr>
          <w:lang w:eastAsia="en-AU" w:bidi="ar-SA"/>
        </w:rPr>
        <w:t>infrastructure assets to support current and future shipbuilding and submarine programs</w:t>
      </w:r>
      <w:r w:rsidR="00594CB5">
        <w:rPr>
          <w:lang w:eastAsia="en-AU" w:bidi="ar-SA"/>
        </w:rPr>
        <w:t xml:space="preserve">.  </w:t>
      </w:r>
      <w:r w:rsidR="00F5198E">
        <w:rPr>
          <w:lang w:eastAsia="en-AU" w:bidi="ar-SA"/>
        </w:rPr>
        <w:t>Prescribing</w:t>
      </w:r>
      <w:r w:rsidR="00594CB5">
        <w:rPr>
          <w:lang w:eastAsia="en-AU" w:bidi="ar-SA"/>
        </w:rPr>
        <w:t xml:space="preserve"> this relevant company will provide the Finance Minister with authority under </w:t>
      </w:r>
      <w:r w:rsidR="00594CB5">
        <w:t>paragraph 85(1)(b) of the PGPA</w:t>
      </w:r>
      <w:r w:rsidR="0040175C">
        <w:t> </w:t>
      </w:r>
      <w:r w:rsidR="00594CB5">
        <w:t xml:space="preserve">Act </w:t>
      </w:r>
      <w:r w:rsidR="004B5217">
        <w:t>to acquire shares or become a member of a</w:t>
      </w:r>
      <w:r>
        <w:t xml:space="preserve">n existing </w:t>
      </w:r>
      <w:r w:rsidR="004B5217">
        <w:t>company</w:t>
      </w:r>
      <w:r>
        <w:t xml:space="preserve">.  </w:t>
      </w:r>
      <w:r w:rsidR="00F5198E">
        <w:t xml:space="preserve">In particular </w:t>
      </w:r>
      <w:r w:rsidR="00F5198E">
        <w:rPr>
          <w:lang w:eastAsia="en-AU" w:bidi="ar-SA"/>
        </w:rPr>
        <w:t>prescribing this relevant company enable</w:t>
      </w:r>
      <w:r w:rsidR="00264C73">
        <w:rPr>
          <w:lang w:eastAsia="en-AU" w:bidi="ar-SA"/>
        </w:rPr>
        <w:t>s</w:t>
      </w:r>
      <w:r w:rsidR="00F5198E">
        <w:rPr>
          <w:lang w:eastAsia="en-AU" w:bidi="ar-SA"/>
        </w:rPr>
        <w:t xml:space="preserve"> </w:t>
      </w:r>
      <w:r w:rsidR="00F5198E">
        <w:t>the Finance Minister to acquire shares in subsidiary of the ASC</w:t>
      </w:r>
      <w:r w:rsidR="001E2EB9">
        <w:t> </w:t>
      </w:r>
      <w:r w:rsidR="00F5198E">
        <w:t>Pty Ltd</w:t>
      </w:r>
      <w:r w:rsidR="001E2EB9">
        <w:t xml:space="preserve"> to perform the prescribed purposes</w:t>
      </w:r>
      <w:r w:rsidR="0012615B">
        <w:t>.  The acquired company will become a Commonwealth company</w:t>
      </w:r>
      <w:r w:rsidR="00F5198E">
        <w:t xml:space="preserve">, and </w:t>
      </w:r>
      <w:r w:rsidR="00D54A11">
        <w:t>will be</w:t>
      </w:r>
      <w:r w:rsidR="00264C73">
        <w:t xml:space="preserve"> </w:t>
      </w:r>
      <w:r w:rsidR="00F5198E">
        <w:t>rename</w:t>
      </w:r>
      <w:r w:rsidR="00264C73">
        <w:t>d</w:t>
      </w:r>
      <w:r w:rsidR="00F5198E">
        <w:t xml:space="preserve"> </w:t>
      </w:r>
      <w:r w:rsidR="00F5198E">
        <w:rPr>
          <w:lang w:eastAsia="en-AU" w:bidi="ar-SA"/>
        </w:rPr>
        <w:t>Australian Naval Infrastructure Pty Ltd.</w:t>
      </w:r>
    </w:p>
    <w:p w:rsidR="006527AD" w:rsidRDefault="006527AD">
      <w:pPr>
        <w:spacing w:after="160" w:line="259" w:lineRule="auto"/>
      </w:pPr>
      <w:r>
        <w:br w:type="page"/>
      </w:r>
    </w:p>
    <w:p w:rsidR="00A53951" w:rsidRDefault="00A53951" w:rsidP="00A53951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B</w:t>
      </w:r>
    </w:p>
    <w:p w:rsidR="00361C2E" w:rsidRPr="00826634" w:rsidRDefault="00361C2E" w:rsidP="00A53951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</w:p>
    <w:p w:rsidR="00A53951" w:rsidRPr="00826634" w:rsidRDefault="00A53951" w:rsidP="00A539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  <w:r w:rsidRPr="00826634">
        <w:rPr>
          <w:rFonts w:eastAsiaTheme="minorHAnsi"/>
          <w:b/>
          <w:bCs/>
          <w:lang w:bidi="ar-SA"/>
        </w:rPr>
        <w:t>Statement of Compatibility with Human Rights</w:t>
      </w:r>
    </w:p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lang w:bidi="ar-SA"/>
        </w:rPr>
      </w:pPr>
    </w:p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  <w:r w:rsidRPr="00826634">
        <w:rPr>
          <w:rFonts w:eastAsiaTheme="minorHAnsi"/>
          <w:lang w:bidi="ar-SA"/>
        </w:rPr>
        <w:t xml:space="preserve">Prepared in accordance with Part 3 of the </w:t>
      </w:r>
      <w:r w:rsidRPr="00826634">
        <w:rPr>
          <w:rFonts w:eastAsiaTheme="minorHAnsi"/>
          <w:i/>
          <w:iCs/>
          <w:lang w:bidi="ar-SA"/>
        </w:rPr>
        <w:t>Human Rights (Parliamentary Scrutiny) Act 2011</w:t>
      </w:r>
    </w:p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lang w:bidi="ar-SA"/>
        </w:rPr>
      </w:pPr>
      <w:r w:rsidRPr="00826634">
        <w:rPr>
          <w:rFonts w:eastAsiaTheme="minorHAnsi"/>
          <w:lang w:bidi="ar-SA"/>
        </w:rPr>
        <w:t xml:space="preserve">The </w:t>
      </w:r>
      <w:r w:rsidRPr="00826634">
        <w:rPr>
          <w:i/>
        </w:rPr>
        <w:t xml:space="preserve">Public Governance, Performance and Accountability (Relevant Company) </w:t>
      </w:r>
      <w:r w:rsidR="007A63E0">
        <w:rPr>
          <w:i/>
        </w:rPr>
        <w:t xml:space="preserve">Amendment </w:t>
      </w:r>
      <w:r w:rsidR="00FB6EDB">
        <w:rPr>
          <w:i/>
        </w:rPr>
        <w:t>(2017</w:t>
      </w:r>
      <w:r w:rsidR="0012615B">
        <w:rPr>
          <w:i/>
        </w:rPr>
        <w:t> </w:t>
      </w:r>
      <w:r w:rsidR="00FB6EDB">
        <w:rPr>
          <w:i/>
        </w:rPr>
        <w:t xml:space="preserve">Measures No.1) </w:t>
      </w:r>
      <w:r w:rsidRPr="00826634">
        <w:rPr>
          <w:i/>
        </w:rPr>
        <w:t>Rule</w:t>
      </w:r>
      <w:r w:rsidR="00711DCD">
        <w:rPr>
          <w:i/>
        </w:rPr>
        <w:t>s</w:t>
      </w:r>
      <w:r w:rsidRPr="00826634">
        <w:rPr>
          <w:i/>
        </w:rPr>
        <w:t xml:space="preserve"> </w:t>
      </w:r>
      <w:r w:rsidR="003059C1" w:rsidRPr="00826634">
        <w:rPr>
          <w:i/>
        </w:rPr>
        <w:t>20</w:t>
      </w:r>
      <w:r w:rsidR="003059C1">
        <w:rPr>
          <w:i/>
        </w:rPr>
        <w:t>17</w:t>
      </w:r>
      <w:r w:rsidR="003059C1" w:rsidRPr="00826634">
        <w:t xml:space="preserve"> </w:t>
      </w:r>
      <w:r w:rsidR="00BC241D">
        <w:t>(the</w:t>
      </w:r>
      <w:r w:rsidR="00DE03F6">
        <w:t xml:space="preserve"> Amend</w:t>
      </w:r>
      <w:r w:rsidR="00FB6EDB">
        <w:t>ment</w:t>
      </w:r>
      <w:r w:rsidR="00BC241D">
        <w:t xml:space="preserve"> Rules) </w:t>
      </w:r>
      <w:r w:rsidR="00BC241D">
        <w:rPr>
          <w:rFonts w:eastAsiaTheme="minorHAnsi"/>
          <w:lang w:bidi="ar-SA"/>
        </w:rPr>
        <w:t>are</w:t>
      </w:r>
      <w:r w:rsidR="00BC241D" w:rsidRPr="00826634">
        <w:rPr>
          <w:rFonts w:eastAsiaTheme="minorHAnsi"/>
          <w:lang w:bidi="ar-SA"/>
        </w:rPr>
        <w:t xml:space="preserve"> </w:t>
      </w:r>
      <w:r w:rsidRPr="00826634">
        <w:rPr>
          <w:rFonts w:eastAsiaTheme="minorHAnsi"/>
          <w:lang w:bidi="ar-SA"/>
        </w:rPr>
        <w:t>compatible with the human rights and freedoms recognised or declared in the international instruments listed in section</w:t>
      </w:r>
      <w:r w:rsidR="00FB6EDB">
        <w:rPr>
          <w:rFonts w:eastAsiaTheme="minorHAnsi"/>
          <w:lang w:bidi="ar-SA"/>
        </w:rPr>
        <w:t> </w:t>
      </w:r>
      <w:r w:rsidRPr="00826634">
        <w:rPr>
          <w:rFonts w:eastAsiaTheme="minorHAnsi"/>
          <w:lang w:bidi="ar-SA"/>
        </w:rPr>
        <w:t xml:space="preserve">3 of the </w:t>
      </w:r>
      <w:r w:rsidRPr="00826634">
        <w:rPr>
          <w:rFonts w:eastAsiaTheme="minorHAnsi"/>
          <w:i/>
          <w:iCs/>
          <w:lang w:bidi="ar-SA"/>
        </w:rPr>
        <w:t>Human Rights (Parliamentary Scrutiny) Act 2011.</w:t>
      </w:r>
    </w:p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i/>
          <w:iCs/>
          <w:lang w:bidi="ar-SA"/>
        </w:rPr>
      </w:pPr>
    </w:p>
    <w:p w:rsidR="00A53951" w:rsidRPr="0012615B" w:rsidRDefault="00A53951" w:rsidP="0012615B">
      <w:pPr>
        <w:keepNext/>
        <w:autoSpaceDE w:val="0"/>
        <w:autoSpaceDN w:val="0"/>
        <w:adjustRightInd w:val="0"/>
        <w:spacing w:after="120"/>
        <w:rPr>
          <w:b/>
        </w:rPr>
      </w:pPr>
      <w:r w:rsidRPr="0012615B">
        <w:rPr>
          <w:b/>
        </w:rPr>
        <w:t>Overview of the legislative instrument</w:t>
      </w:r>
    </w:p>
    <w:p w:rsidR="00A53951" w:rsidRPr="00826634" w:rsidRDefault="00A53951" w:rsidP="00A53951">
      <w:r w:rsidRPr="00826634">
        <w:t xml:space="preserve">The </w:t>
      </w:r>
      <w:r w:rsidRPr="00826634">
        <w:rPr>
          <w:i/>
        </w:rPr>
        <w:t>Public Governance, Performance and Accountability Act 2013</w:t>
      </w:r>
      <w:r w:rsidRPr="00826634">
        <w:t xml:space="preserve"> (PGPA Act) establishes a framework for regulating resource management by the Commonwealth and relevant entities. Section</w:t>
      </w:r>
      <w:r w:rsidR="0012615B">
        <w:t> </w:t>
      </w:r>
      <w:r w:rsidRPr="00826634">
        <w:t>101 of the PGPA Act provides that the Finance Minister may make rules by legislative instrument to prescribe matters giving effect to the Act.</w:t>
      </w:r>
    </w:p>
    <w:p w:rsidR="00A53951" w:rsidRPr="00826634" w:rsidRDefault="00A53951" w:rsidP="00A53951"/>
    <w:p w:rsidR="00A53951" w:rsidRPr="00826634" w:rsidRDefault="00A53951" w:rsidP="00A53951">
      <w:r w:rsidRPr="00826634">
        <w:t xml:space="preserve">The </w:t>
      </w:r>
      <w:r w:rsidR="00FB6EDB">
        <w:t xml:space="preserve">Amendment </w:t>
      </w:r>
      <w:r w:rsidR="00BC241D">
        <w:t>Rules amend</w:t>
      </w:r>
      <w:r w:rsidR="007D3701">
        <w:t xml:space="preserve"> the</w:t>
      </w:r>
      <w:r w:rsidR="00BC241D">
        <w:t xml:space="preserve"> </w:t>
      </w:r>
      <w:r w:rsidR="00BC241D" w:rsidRPr="00826634">
        <w:rPr>
          <w:i/>
        </w:rPr>
        <w:t>Public Governance, Performance and Accountability (Relevant Company) Rule 20</w:t>
      </w:r>
      <w:r w:rsidR="00BC241D">
        <w:rPr>
          <w:i/>
        </w:rPr>
        <w:t>16</w:t>
      </w:r>
      <w:r w:rsidR="00BC241D" w:rsidRPr="00826634">
        <w:t xml:space="preserve"> </w:t>
      </w:r>
      <w:r w:rsidR="00BC241D">
        <w:t>to</w:t>
      </w:r>
      <w:r w:rsidRPr="00826634">
        <w:t xml:space="preserve"> provide the Commonwealth with the legislative authority to form, or participate in forming</w:t>
      </w:r>
      <w:r w:rsidR="00BC241D">
        <w:t xml:space="preserve"> in a new </w:t>
      </w:r>
      <w:r w:rsidRPr="00826634">
        <w:t>compan</w:t>
      </w:r>
      <w:r w:rsidR="00BC241D">
        <w:t xml:space="preserve">y to support increasing professional standards of financial advisers. </w:t>
      </w:r>
      <w:r w:rsidRPr="00826634">
        <w:t xml:space="preserve"> </w:t>
      </w:r>
    </w:p>
    <w:p w:rsidR="00A53951" w:rsidRPr="00826634" w:rsidRDefault="00A53951" w:rsidP="00A53951"/>
    <w:p w:rsidR="00A53951" w:rsidRPr="00826634" w:rsidRDefault="00A53951" w:rsidP="0012615B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Human rights implications</w:t>
      </w:r>
    </w:p>
    <w:p w:rsidR="00A53951" w:rsidRPr="00826634" w:rsidRDefault="00A53951" w:rsidP="00A53951">
      <w:r w:rsidRPr="00826634">
        <w:t xml:space="preserve">The </w:t>
      </w:r>
      <w:r w:rsidR="00FB6EDB">
        <w:t xml:space="preserve">Amendment Rules </w:t>
      </w:r>
      <w:r w:rsidRPr="00826634">
        <w:t>do not impinge on any applicable rights or freedoms.</w:t>
      </w:r>
    </w:p>
    <w:p w:rsidR="00A53951" w:rsidRPr="00826634" w:rsidRDefault="00A53951" w:rsidP="00A53951">
      <w:pPr>
        <w:rPr>
          <w:b/>
        </w:rPr>
      </w:pPr>
    </w:p>
    <w:p w:rsidR="00A53951" w:rsidRPr="00826634" w:rsidRDefault="00A53951" w:rsidP="0012615B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Conclusion</w:t>
      </w:r>
    </w:p>
    <w:p w:rsidR="00A53951" w:rsidRPr="00826634" w:rsidRDefault="00A53951" w:rsidP="00A53951">
      <w:r w:rsidRPr="00826634">
        <w:t xml:space="preserve">The </w:t>
      </w:r>
      <w:r w:rsidR="00FB6EDB">
        <w:t xml:space="preserve">Amendment Rules </w:t>
      </w:r>
      <w:r w:rsidR="00F95593">
        <w:t>are</w:t>
      </w:r>
      <w:r w:rsidRPr="00826634">
        <w:t xml:space="preserve"> compatible with human rights as </w:t>
      </w:r>
      <w:r w:rsidR="00F63504">
        <w:t>they</w:t>
      </w:r>
      <w:r w:rsidRPr="00826634">
        <w:t xml:space="preserve"> do not raise any human rights issues.</w:t>
      </w:r>
    </w:p>
    <w:p w:rsidR="00A53951" w:rsidRPr="00826634" w:rsidRDefault="00A53951" w:rsidP="00A53951"/>
    <w:p w:rsidR="00A53951" w:rsidRPr="00826634" w:rsidRDefault="00A53951" w:rsidP="00A53951"/>
    <w:p w:rsidR="00A53951" w:rsidRPr="00826634" w:rsidRDefault="00A53951" w:rsidP="00A53951"/>
    <w:p w:rsidR="00A53951" w:rsidRPr="00826634" w:rsidRDefault="00A53951" w:rsidP="00A53951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A53951" w:rsidRPr="00826634" w:rsidRDefault="00A53951" w:rsidP="00A53951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Senator the Hon Mathias Cormann</w:t>
      </w:r>
    </w:p>
    <w:p w:rsidR="00A53951" w:rsidRPr="00826634" w:rsidRDefault="00A53951" w:rsidP="00A53951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Minister for Finance</w:t>
      </w:r>
    </w:p>
    <w:p w:rsidR="00A53951" w:rsidRPr="00826634" w:rsidRDefault="00A53951" w:rsidP="00A95071"/>
    <w:sectPr w:rsidR="00A53951" w:rsidRPr="00826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6F"/>
    <w:rsid w:val="00007FFB"/>
    <w:rsid w:val="00047802"/>
    <w:rsid w:val="0005258A"/>
    <w:rsid w:val="000E2912"/>
    <w:rsid w:val="000E73D8"/>
    <w:rsid w:val="00100924"/>
    <w:rsid w:val="00103589"/>
    <w:rsid w:val="0010708E"/>
    <w:rsid w:val="0012615B"/>
    <w:rsid w:val="00175008"/>
    <w:rsid w:val="001A14FB"/>
    <w:rsid w:val="001E2EB9"/>
    <w:rsid w:val="0024644F"/>
    <w:rsid w:val="00264C73"/>
    <w:rsid w:val="002663E3"/>
    <w:rsid w:val="002A1B1D"/>
    <w:rsid w:val="002A50B3"/>
    <w:rsid w:val="002A5574"/>
    <w:rsid w:val="002B6964"/>
    <w:rsid w:val="003059C1"/>
    <w:rsid w:val="00361C2E"/>
    <w:rsid w:val="003F65E2"/>
    <w:rsid w:val="0040175C"/>
    <w:rsid w:val="0041348E"/>
    <w:rsid w:val="004B1D24"/>
    <w:rsid w:val="004B5217"/>
    <w:rsid w:val="004F6B22"/>
    <w:rsid w:val="005211FB"/>
    <w:rsid w:val="00556EB0"/>
    <w:rsid w:val="00565AD9"/>
    <w:rsid w:val="00594CB5"/>
    <w:rsid w:val="005E3E9D"/>
    <w:rsid w:val="00643683"/>
    <w:rsid w:val="006527AD"/>
    <w:rsid w:val="00673890"/>
    <w:rsid w:val="006C2365"/>
    <w:rsid w:val="006F1FFD"/>
    <w:rsid w:val="00711DCD"/>
    <w:rsid w:val="007131FC"/>
    <w:rsid w:val="007202E6"/>
    <w:rsid w:val="0079369D"/>
    <w:rsid w:val="00795306"/>
    <w:rsid w:val="007A63E0"/>
    <w:rsid w:val="007B57A6"/>
    <w:rsid w:val="007D3701"/>
    <w:rsid w:val="007F25CE"/>
    <w:rsid w:val="00826634"/>
    <w:rsid w:val="00875E7D"/>
    <w:rsid w:val="00875ED3"/>
    <w:rsid w:val="00880920"/>
    <w:rsid w:val="009C15FC"/>
    <w:rsid w:val="00A53951"/>
    <w:rsid w:val="00A55D6F"/>
    <w:rsid w:val="00A71D53"/>
    <w:rsid w:val="00A808E2"/>
    <w:rsid w:val="00A95071"/>
    <w:rsid w:val="00AF34D0"/>
    <w:rsid w:val="00B553F7"/>
    <w:rsid w:val="00BC241D"/>
    <w:rsid w:val="00C174AE"/>
    <w:rsid w:val="00C950CF"/>
    <w:rsid w:val="00CE5CC3"/>
    <w:rsid w:val="00CF4482"/>
    <w:rsid w:val="00D54A11"/>
    <w:rsid w:val="00DB0E6F"/>
    <w:rsid w:val="00DD44D7"/>
    <w:rsid w:val="00DE03F6"/>
    <w:rsid w:val="00DF23A4"/>
    <w:rsid w:val="00F0287A"/>
    <w:rsid w:val="00F5198E"/>
    <w:rsid w:val="00F63504"/>
    <w:rsid w:val="00F65307"/>
    <w:rsid w:val="00F66431"/>
    <w:rsid w:val="00F733F9"/>
    <w:rsid w:val="00F75BBC"/>
    <w:rsid w:val="00F85C0A"/>
    <w:rsid w:val="00F95593"/>
    <w:rsid w:val="00F95DD7"/>
    <w:rsid w:val="00FB6EDB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7F8F-0191-4BA0-B74F-4908827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68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683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Default">
    <w:name w:val="Default"/>
    <w:rsid w:val="00A95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numbering">
    <w:name w:val="paranumbering"/>
    <w:basedOn w:val="Normal"/>
    <w:uiPriority w:val="99"/>
    <w:rsid w:val="00A53951"/>
    <w:pPr>
      <w:spacing w:before="100" w:beforeAutospacing="1" w:after="100" w:afterAutospacing="1"/>
    </w:pPr>
    <w:rPr>
      <w:rFonts w:eastAsiaTheme="minorHAnsi"/>
      <w:lang w:eastAsia="en-AU" w:bidi="ar-SA"/>
    </w:rPr>
  </w:style>
  <w:style w:type="paragraph" w:customStyle="1" w:styleId="ShortT">
    <w:name w:val="ShortT"/>
    <w:basedOn w:val="Normal"/>
    <w:next w:val="Normal"/>
    <w:qFormat/>
    <w:rsid w:val="00DB0E6F"/>
    <w:rPr>
      <w:rFonts w:eastAsia="Times New Roman"/>
      <w:b/>
      <w:sz w:val="40"/>
      <w:szCs w:val="20"/>
      <w:lang w:eastAsia="en-AU" w:bidi="ar-SA"/>
    </w:rPr>
  </w:style>
  <w:style w:type="character" w:customStyle="1" w:styleId="subsectionChar">
    <w:name w:val="subsection Char"/>
    <w:aliases w:val="ss Char"/>
    <w:link w:val="subsection"/>
    <w:locked/>
    <w:rsid w:val="00826634"/>
    <w:rPr>
      <w:rFonts w:ascii="Times New Roman" w:eastAsia="Times New Roman" w:hAnsi="Times New Roman" w:cs="Times New Roman"/>
    </w:rPr>
  </w:style>
  <w:style w:type="paragraph" w:customStyle="1" w:styleId="subsection">
    <w:name w:val="subsection"/>
    <w:aliases w:val="ss"/>
    <w:basedOn w:val="Normal"/>
    <w:link w:val="subsectionChar"/>
    <w:rsid w:val="00826634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2"/>
      <w:lang w:bidi="ar-SA"/>
    </w:rPr>
  </w:style>
  <w:style w:type="paragraph" w:customStyle="1" w:styleId="ParaNumbering0">
    <w:name w:val="Para Numbering"/>
    <w:basedOn w:val="Normal"/>
    <w:rsid w:val="004B1D24"/>
    <w:pPr>
      <w:tabs>
        <w:tab w:val="num" w:pos="360"/>
        <w:tab w:val="left" w:pos="567"/>
      </w:tabs>
      <w:spacing w:line="240" w:lineRule="atLeast"/>
    </w:pPr>
    <w:rPr>
      <w:rFonts w:eastAsia="Times New Roman"/>
      <w:szCs w:val="20"/>
      <w:lang w:bidi="ar-SA"/>
    </w:rPr>
  </w:style>
  <w:style w:type="paragraph" w:customStyle="1" w:styleId="ActHead9">
    <w:name w:val="ActHead 9"/>
    <w:aliases w:val="aat"/>
    <w:basedOn w:val="Normal"/>
    <w:next w:val="Normal"/>
    <w:qFormat/>
    <w:rsid w:val="004B1D24"/>
    <w:pPr>
      <w:keepNext/>
      <w:keepLines/>
      <w:spacing w:before="280"/>
      <w:ind w:left="1134" w:hanging="1134"/>
      <w:outlineLvl w:val="8"/>
    </w:pPr>
    <w:rPr>
      <w:rFonts w:eastAsia="Times New Roman"/>
      <w:b/>
      <w:i/>
      <w:kern w:val="28"/>
      <w:sz w:val="28"/>
      <w:szCs w:val="20"/>
      <w:lang w:eastAsia="en-AU" w:bidi="ar-SA"/>
    </w:rPr>
  </w:style>
  <w:style w:type="paragraph" w:customStyle="1" w:styleId="Normal1">
    <w:name w:val="Normal1"/>
    <w:basedOn w:val="Normal"/>
    <w:link w:val="NormalChar"/>
    <w:qFormat/>
    <w:rsid w:val="004B1D24"/>
    <w:pPr>
      <w:spacing w:after="120"/>
    </w:pPr>
    <w:rPr>
      <w:rFonts w:eastAsiaTheme="minorHAnsi" w:cstheme="minorBidi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4B1D2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8E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33B86B6FFCFAC45B4AD65726CCF5BD4" ma:contentTypeVersion="" ma:contentTypeDescription="PDMS Documentation Content Type" ma:contentTypeScope="" ma:versionID="66ee2fe2d4ed4ad60b500bd211f7200d">
  <xsd:schema xmlns:xsd="http://www.w3.org/2001/XMLSchema" xmlns:xs="http://www.w3.org/2001/XMLSchema" xmlns:p="http://schemas.microsoft.com/office/2006/metadata/properties" xmlns:ns2="83A16BF4-2EAF-4B67-9FC0-3182C8C0EBF3" targetNamespace="http://schemas.microsoft.com/office/2006/metadata/properties" ma:root="true" ma:fieldsID="c3e72f8e98c749417f9e8b6da0c5741b" ns2:_="">
    <xsd:import namespace="83A16BF4-2EAF-4B67-9FC0-3182C8C0EB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6BF4-2EAF-4B67-9FC0-3182C8C0EB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83A16BF4-2EAF-4B67-9FC0-3182C8C0EBF3" xsi:nil="true"/>
    <pdms_AttachedBy xmlns="83A16BF4-2EAF-4B67-9FC0-3182C8C0EBF3" xsi:nil="true"/>
    <pdms_DocumentType xmlns="83A16BF4-2EAF-4B67-9FC0-3182C8C0EBF3" xsi:nil="true"/>
    <pdms_SecurityClassification xmlns="83A16BF4-2EAF-4B67-9FC0-3182C8C0EBF3" xsi:nil="true"/>
    <SecurityClassification xmlns="83A16BF4-2EAF-4B67-9FC0-3182C8C0E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14C7-9E3A-4EDC-83B6-FB91437F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6BF4-2EAF-4B67-9FC0-3182C8C0E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3BA49-EEB4-45D4-81D4-37F88F07A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41569-A1AC-4DD5-B099-C0FE8E73688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3A16BF4-2EAF-4B67-9FC0-3182C8C0EBF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2F157A-136D-4E89-B43F-04236187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3D64F436</Template>
  <TotalTime>0</TotalTime>
  <Pages>3</Pages>
  <Words>903</Words>
  <Characters>5149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Heath</dc:creator>
  <cp:keywords/>
  <dc:description/>
  <cp:lastModifiedBy>Doherty, Laura</cp:lastModifiedBy>
  <cp:revision>2</cp:revision>
  <cp:lastPrinted>2017-03-14T01:21:00Z</cp:lastPrinted>
  <dcterms:created xsi:type="dcterms:W3CDTF">2017-03-23T01:37:00Z</dcterms:created>
  <dcterms:modified xsi:type="dcterms:W3CDTF">2017-03-23T01:37:00Z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0x010100266966F133664895A6EE3632470D45F50100033B86B6FFCFAC45B4AD65726CCF5BD4</vt:lpwstr>
  </property>
</Properties>
</file>