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305" w14:textId="77777777" w:rsidR="00DF37FD" w:rsidRPr="00641906" w:rsidRDefault="004D2843" w:rsidP="00D06CF5">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D06CF5">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44767EE2" w:rsidR="004D2843" w:rsidRDefault="00422991" w:rsidP="00D06CF5">
      <w:pPr>
        <w:jc w:val="center"/>
        <w:rPr>
          <w:rFonts w:ascii="Times New Roman" w:hAnsi="Times New Roman" w:cs="Times New Roman"/>
          <w:i/>
        </w:rPr>
      </w:pPr>
      <w:r>
        <w:rPr>
          <w:rFonts w:ascii="Times New Roman" w:hAnsi="Times New Roman" w:cs="Times New Roman"/>
          <w:i/>
        </w:rPr>
        <w:t>Telecommunications Act 1997</w:t>
      </w:r>
    </w:p>
    <w:p w14:paraId="70EF6884" w14:textId="77777777" w:rsidR="00422991" w:rsidRPr="00422991" w:rsidRDefault="00422991" w:rsidP="00D06CF5">
      <w:pPr>
        <w:jc w:val="center"/>
        <w:rPr>
          <w:rFonts w:ascii="Times New Roman" w:hAnsi="Times New Roman" w:cs="Times New Roman"/>
          <w:b/>
          <w:i/>
          <w:u w:val="single"/>
        </w:rPr>
      </w:pPr>
      <w:r w:rsidRPr="00422991">
        <w:rPr>
          <w:rFonts w:ascii="Times New Roman" w:hAnsi="Times New Roman" w:cs="Times New Roman"/>
          <w:b/>
          <w:i/>
        </w:rPr>
        <w:t>Telecommunications Integrated Public Number Database Scheme 2017</w:t>
      </w:r>
    </w:p>
    <w:p w14:paraId="0EFEBE09" w14:textId="77777777" w:rsidR="004D2843" w:rsidRDefault="004D2843" w:rsidP="007419E7">
      <w:pPr>
        <w:spacing w:before="280"/>
        <w:rPr>
          <w:rFonts w:ascii="Times New Roman" w:hAnsi="Times New Roman" w:cs="Times New Roman"/>
          <w:b/>
        </w:rPr>
      </w:pPr>
      <w:r w:rsidRPr="004D2843">
        <w:rPr>
          <w:rFonts w:ascii="Times New Roman" w:hAnsi="Times New Roman" w:cs="Times New Roman"/>
          <w:b/>
        </w:rPr>
        <w:t>Authority</w:t>
      </w:r>
    </w:p>
    <w:p w14:paraId="5DCD23AD" w14:textId="1CE3203F" w:rsidR="000B4B6C" w:rsidRDefault="00B727F3" w:rsidP="007419E7">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91080B">
        <w:rPr>
          <w:rFonts w:ascii="Times New Roman" w:hAnsi="Times New Roman" w:cs="Times New Roman"/>
          <w:b/>
        </w:rPr>
        <w:t>the ACMA</w:t>
      </w:r>
      <w:r w:rsidR="0091080B">
        <w:rPr>
          <w:rFonts w:ascii="Times New Roman" w:hAnsi="Times New Roman" w:cs="Times New Roman"/>
        </w:rPr>
        <w:t xml:space="preserve">) </w:t>
      </w:r>
      <w:r w:rsidR="00A67075">
        <w:rPr>
          <w:rFonts w:ascii="Times New Roman" w:hAnsi="Times New Roman" w:cs="Times New Roman"/>
        </w:rPr>
        <w:t xml:space="preserve">has made </w:t>
      </w:r>
      <w:r w:rsidR="0091080B">
        <w:rPr>
          <w:rFonts w:ascii="Times New Roman" w:hAnsi="Times New Roman" w:cs="Times New Roman"/>
        </w:rPr>
        <w:t xml:space="preserve">the </w:t>
      </w:r>
      <w:r w:rsidR="00DC4883">
        <w:rPr>
          <w:rFonts w:ascii="Times New Roman" w:hAnsi="Times New Roman" w:cs="Times New Roman"/>
          <w:i/>
        </w:rPr>
        <w:t xml:space="preserve">Telecommunications Integrated Public Number Database Scheme 2017 </w:t>
      </w:r>
      <w:r w:rsidR="0091080B" w:rsidRPr="00C57E29">
        <w:rPr>
          <w:rFonts w:ascii="Times New Roman" w:hAnsi="Times New Roman" w:cs="Times New Roman"/>
        </w:rPr>
        <w:t>(</w:t>
      </w:r>
      <w:r w:rsidR="0091080B" w:rsidRPr="0091080B">
        <w:rPr>
          <w:rFonts w:ascii="Times New Roman" w:hAnsi="Times New Roman" w:cs="Times New Roman"/>
          <w:b/>
        </w:rPr>
        <w:t xml:space="preserve">the </w:t>
      </w:r>
      <w:r w:rsidR="00624A7F">
        <w:rPr>
          <w:rFonts w:ascii="Times New Roman" w:hAnsi="Times New Roman" w:cs="Times New Roman"/>
          <w:b/>
        </w:rPr>
        <w:t>instrument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DC4883">
        <w:rPr>
          <w:rFonts w:ascii="Times New Roman" w:hAnsi="Times New Roman" w:cs="Times New Roman"/>
        </w:rPr>
        <w:t xml:space="preserve">section 295A </w:t>
      </w:r>
      <w:r w:rsidR="0091080B" w:rsidRPr="0091080B">
        <w:rPr>
          <w:rFonts w:ascii="Times New Roman" w:hAnsi="Times New Roman" w:cs="Times New Roman"/>
        </w:rPr>
        <w:t xml:space="preserve">of the </w:t>
      </w:r>
      <w:r w:rsidR="00DC4883" w:rsidRPr="00D06CF5">
        <w:rPr>
          <w:rFonts w:ascii="Times New Roman" w:hAnsi="Times New Roman" w:cs="Times New Roman"/>
          <w:i/>
        </w:rPr>
        <w:t>Telecommunications Act 1997</w:t>
      </w:r>
      <w:r w:rsidR="0091080B">
        <w:rPr>
          <w:rFonts w:ascii="Times New Roman" w:hAnsi="Times New Roman" w:cs="Times New Roman"/>
        </w:rPr>
        <w:t xml:space="preserve"> (</w:t>
      </w:r>
      <w:r w:rsidR="0091080B" w:rsidRPr="0091080B">
        <w:rPr>
          <w:rFonts w:ascii="Times New Roman" w:hAnsi="Times New Roman" w:cs="Times New Roman"/>
          <w:b/>
        </w:rPr>
        <w:t>the Act</w:t>
      </w:r>
      <w:r w:rsidR="0091080B">
        <w:rPr>
          <w:rFonts w:ascii="Times New Roman" w:hAnsi="Times New Roman" w:cs="Times New Roman"/>
        </w:rPr>
        <w:t>)</w:t>
      </w:r>
      <w:r w:rsidR="0091080B" w:rsidRPr="0091080B">
        <w:rPr>
          <w:rFonts w:ascii="Times New Roman" w:hAnsi="Times New Roman" w:cs="Times New Roman"/>
        </w:rPr>
        <w:t>.</w:t>
      </w:r>
    </w:p>
    <w:p w14:paraId="319E88D4" w14:textId="65C147CB" w:rsidR="000F17B8" w:rsidRDefault="000F17B8" w:rsidP="007419E7">
      <w:pPr>
        <w:rPr>
          <w:rFonts w:ascii="Times New Roman" w:hAnsi="Times New Roman" w:cs="Times New Roman"/>
        </w:rPr>
      </w:pPr>
      <w:r w:rsidRPr="000F17B8">
        <w:rPr>
          <w:rFonts w:ascii="Times New Roman" w:hAnsi="Times New Roman" w:cs="Times New Roman"/>
        </w:rPr>
        <w:t xml:space="preserve">Under section 295A of the Act, the ACMA must make a scheme for the granting of authorisations to access the </w:t>
      </w:r>
      <w:r w:rsidR="00624A7F">
        <w:rPr>
          <w:rFonts w:ascii="Times New Roman" w:hAnsi="Times New Roman" w:cs="Times New Roman"/>
        </w:rPr>
        <w:t>integrated public number database (</w:t>
      </w:r>
      <w:r w:rsidRPr="00624A7F">
        <w:rPr>
          <w:rFonts w:ascii="Times New Roman" w:hAnsi="Times New Roman" w:cs="Times New Roman"/>
          <w:b/>
        </w:rPr>
        <w:t>IPND</w:t>
      </w:r>
      <w:r w:rsidR="00624A7F">
        <w:rPr>
          <w:rFonts w:ascii="Times New Roman" w:hAnsi="Times New Roman" w:cs="Times New Roman"/>
        </w:rPr>
        <w:t>)</w:t>
      </w:r>
      <w:r w:rsidRPr="000F17B8">
        <w:rPr>
          <w:rFonts w:ascii="Times New Roman" w:hAnsi="Times New Roman" w:cs="Times New Roman"/>
        </w:rPr>
        <w:t xml:space="preserve"> for the purposes of paragraph 285(1A)(d)</w:t>
      </w:r>
      <w:r w:rsidR="00624A7F">
        <w:rPr>
          <w:rFonts w:ascii="Times New Roman" w:hAnsi="Times New Roman" w:cs="Times New Roman"/>
        </w:rPr>
        <w:t xml:space="preserve"> of the Act</w:t>
      </w:r>
      <w:r w:rsidRPr="000F17B8">
        <w:rPr>
          <w:rFonts w:ascii="Times New Roman" w:hAnsi="Times New Roman" w:cs="Times New Roman"/>
        </w:rPr>
        <w:t>.</w:t>
      </w:r>
      <w:r w:rsidR="009D7E55">
        <w:rPr>
          <w:rFonts w:ascii="Times New Roman" w:hAnsi="Times New Roman" w:cs="Times New Roman"/>
        </w:rPr>
        <w:t xml:space="preserve"> </w:t>
      </w:r>
      <w:r w:rsidRPr="000F17B8">
        <w:rPr>
          <w:rFonts w:ascii="Times New Roman" w:hAnsi="Times New Roman" w:cs="Times New Roman"/>
        </w:rPr>
        <w:t xml:space="preserve"> Those purposes are the publication and maintenance of a public number directory and the conduct of research of a kind specified in a legislative instrument, by the Minister, where the Minister is satisfied that the kind of research is in the public interest. </w:t>
      </w:r>
    </w:p>
    <w:p w14:paraId="1764C1E8" w14:textId="1C6A48E7" w:rsidR="00624A7F" w:rsidRPr="00624A7F" w:rsidRDefault="00624A7F" w:rsidP="007419E7">
      <w:pPr>
        <w:rPr>
          <w:rFonts w:ascii="Times New Roman" w:hAnsi="Times New Roman" w:cs="Times New Roman"/>
        </w:rPr>
      </w:pPr>
      <w:r>
        <w:rPr>
          <w:rFonts w:ascii="Times New Roman" w:hAnsi="Times New Roman" w:cs="Times New Roman"/>
        </w:rPr>
        <w:t xml:space="preserve">The </w:t>
      </w:r>
      <w:r w:rsidRPr="00624A7F">
        <w:rPr>
          <w:rFonts w:ascii="Times New Roman" w:hAnsi="Times New Roman" w:cs="Times New Roman"/>
          <w:i/>
        </w:rPr>
        <w:t>Telecommunications Integrated Public Number Database Scheme 2007</w:t>
      </w:r>
      <w:r>
        <w:rPr>
          <w:rFonts w:ascii="Times New Roman" w:hAnsi="Times New Roman" w:cs="Times New Roman"/>
          <w:i/>
        </w:rPr>
        <w:t xml:space="preserve"> </w:t>
      </w:r>
      <w:r w:rsidR="00D06CF5">
        <w:rPr>
          <w:rFonts w:ascii="Times New Roman" w:hAnsi="Times New Roman" w:cs="Times New Roman"/>
        </w:rPr>
        <w:t xml:space="preserve">is </w:t>
      </w:r>
      <w:r>
        <w:rPr>
          <w:rFonts w:ascii="Times New Roman" w:hAnsi="Times New Roman" w:cs="Times New Roman"/>
        </w:rPr>
        <w:t xml:space="preserve">due to ‘sunset’ </w:t>
      </w:r>
      <w:r w:rsidRPr="00624A7F">
        <w:rPr>
          <w:rFonts w:ascii="Times New Roman" w:hAnsi="Times New Roman" w:cs="Times New Roman"/>
        </w:rPr>
        <w:t>(i.e. be automatically repealed) on 1 April 2017, under Part 6 of the Legislation Act 2003 (</w:t>
      </w:r>
      <w:r w:rsidRPr="00624A7F">
        <w:rPr>
          <w:rFonts w:ascii="Times New Roman" w:hAnsi="Times New Roman" w:cs="Times New Roman"/>
          <w:b/>
        </w:rPr>
        <w:t>the LA</w:t>
      </w:r>
      <w:r w:rsidRPr="00624A7F">
        <w:rPr>
          <w:rFonts w:ascii="Times New Roman" w:hAnsi="Times New Roman" w:cs="Times New Roman"/>
        </w:rPr>
        <w:t xml:space="preserve">).  Following review, and consultation as described below, the ACMA formed the view that </w:t>
      </w:r>
      <w:r>
        <w:rPr>
          <w:rFonts w:ascii="Times New Roman" w:hAnsi="Times New Roman" w:cs="Times New Roman"/>
        </w:rPr>
        <w:t xml:space="preserve">most of the provisions contained within </w:t>
      </w:r>
      <w:r w:rsidRPr="00624A7F">
        <w:rPr>
          <w:rFonts w:ascii="Times New Roman" w:hAnsi="Times New Roman" w:cs="Times New Roman"/>
        </w:rPr>
        <w:t xml:space="preserve">the </w:t>
      </w:r>
      <w:r w:rsidRPr="00624A7F">
        <w:rPr>
          <w:rFonts w:ascii="Times New Roman" w:hAnsi="Times New Roman" w:cs="Times New Roman"/>
          <w:i/>
        </w:rPr>
        <w:t>Telecommunications Integrated Public Number Database Scheme 2007</w:t>
      </w:r>
      <w:r>
        <w:rPr>
          <w:rFonts w:ascii="Times New Roman" w:hAnsi="Times New Roman" w:cs="Times New Roman"/>
          <w:i/>
        </w:rPr>
        <w:t xml:space="preserve"> </w:t>
      </w:r>
      <w:r w:rsidRPr="00624A7F">
        <w:rPr>
          <w:rFonts w:ascii="Times New Roman" w:hAnsi="Times New Roman" w:cs="Times New Roman"/>
        </w:rPr>
        <w:t>w</w:t>
      </w:r>
      <w:r>
        <w:rPr>
          <w:rFonts w:ascii="Times New Roman" w:hAnsi="Times New Roman" w:cs="Times New Roman"/>
        </w:rPr>
        <w:t xml:space="preserve">ere </w:t>
      </w:r>
      <w:r w:rsidRPr="00624A7F">
        <w:rPr>
          <w:rFonts w:ascii="Times New Roman" w:hAnsi="Times New Roman" w:cs="Times New Roman"/>
        </w:rPr>
        <w:t xml:space="preserve">operating effectively and efficiently, and continued to form a necessary and useful part of the legislative framework.  </w:t>
      </w:r>
      <w:r w:rsidR="006659A8">
        <w:rPr>
          <w:rFonts w:ascii="Times New Roman" w:hAnsi="Times New Roman" w:cs="Times New Roman"/>
        </w:rPr>
        <w:t>T</w:t>
      </w:r>
      <w:r w:rsidRPr="00624A7F">
        <w:rPr>
          <w:rFonts w:ascii="Times New Roman" w:hAnsi="Times New Roman" w:cs="Times New Roman"/>
        </w:rPr>
        <w:t xml:space="preserve">he instrument </w:t>
      </w:r>
      <w:r w:rsidR="00057943">
        <w:rPr>
          <w:rFonts w:ascii="Times New Roman" w:hAnsi="Times New Roman" w:cs="Times New Roman"/>
        </w:rPr>
        <w:t xml:space="preserve">largely replicates the </w:t>
      </w:r>
      <w:r w:rsidR="00057943" w:rsidRPr="00624A7F">
        <w:rPr>
          <w:rFonts w:ascii="Times New Roman" w:hAnsi="Times New Roman" w:cs="Times New Roman"/>
          <w:i/>
        </w:rPr>
        <w:t>Telecommunications Integrated Public Number Database Scheme 2007</w:t>
      </w:r>
      <w:r w:rsidR="00057943">
        <w:rPr>
          <w:rFonts w:ascii="Times New Roman" w:hAnsi="Times New Roman" w:cs="Times New Roman"/>
        </w:rPr>
        <w:t>, although the provisions relating to research authorisations have been amended to facilitate research industry management of access to IPND information and to allow the ACMA to grant a research authorisation on an ongoing basis</w:t>
      </w:r>
      <w:r w:rsidR="00EA2CEA">
        <w:rPr>
          <w:rFonts w:ascii="Times New Roman" w:hAnsi="Times New Roman" w:cs="Times New Roman"/>
        </w:rPr>
        <w:t>.</w:t>
      </w:r>
      <w:r w:rsidR="00D554C1">
        <w:rPr>
          <w:rFonts w:ascii="Times New Roman" w:hAnsi="Times New Roman" w:cs="Times New Roman"/>
        </w:rPr>
        <w:t xml:space="preserve">  These changes are supplemented by strict conditions on the uses which the holder of the research authorisation may make of that information.</w:t>
      </w:r>
    </w:p>
    <w:p w14:paraId="329F9F28" w14:textId="57039C5A" w:rsidR="00C57E29" w:rsidRDefault="00C57E29" w:rsidP="007419E7">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369AB5E5" w14:textId="19A6AEE1" w:rsidR="0034220A" w:rsidRDefault="0034220A" w:rsidP="007419E7">
      <w:pPr>
        <w:pStyle w:val="ListBullet"/>
        <w:numPr>
          <w:ilvl w:val="0"/>
          <w:numId w:val="0"/>
        </w:numPr>
        <w:rPr>
          <w:rFonts w:ascii="Times New Roman" w:hAnsi="Times New Roman"/>
          <w:sz w:val="22"/>
          <w:szCs w:val="22"/>
        </w:rPr>
      </w:pPr>
      <w:r w:rsidRPr="00BE586E">
        <w:rPr>
          <w:rFonts w:ascii="Times New Roman" w:hAnsi="Times New Roman"/>
          <w:sz w:val="22"/>
          <w:szCs w:val="22"/>
        </w:rPr>
        <w:t xml:space="preserve">Part 13 of the Act sets out a regime for protecting the confidentiality of certain information about the customers of carriage service providers, including information held in the IPND.  </w:t>
      </w:r>
    </w:p>
    <w:p w14:paraId="5CE38129" w14:textId="347B9139" w:rsidR="003112D8" w:rsidRPr="00BE586E" w:rsidRDefault="003112D8" w:rsidP="007419E7">
      <w:pPr>
        <w:pStyle w:val="ListBullet"/>
        <w:numPr>
          <w:ilvl w:val="0"/>
          <w:numId w:val="0"/>
        </w:numPr>
        <w:rPr>
          <w:rFonts w:ascii="Times New Roman" w:hAnsi="Times New Roman"/>
          <w:sz w:val="22"/>
          <w:szCs w:val="22"/>
        </w:rPr>
      </w:pPr>
      <w:r w:rsidRPr="00BE586E">
        <w:rPr>
          <w:rFonts w:ascii="Times New Roman" w:hAnsi="Times New Roman"/>
          <w:sz w:val="22"/>
          <w:szCs w:val="22"/>
        </w:rPr>
        <w:t>The IPND is an industry wide centralised database containing records of all Australian telephone numbers and associated customer details. The information in the IPND includes customer name</w:t>
      </w:r>
      <w:r w:rsidR="00624A7F">
        <w:rPr>
          <w:rFonts w:ascii="Times New Roman" w:hAnsi="Times New Roman"/>
          <w:sz w:val="22"/>
          <w:szCs w:val="22"/>
        </w:rPr>
        <w:t>s</w:t>
      </w:r>
      <w:r w:rsidRPr="00BE586E">
        <w:rPr>
          <w:rFonts w:ascii="Times New Roman" w:hAnsi="Times New Roman"/>
          <w:sz w:val="22"/>
          <w:szCs w:val="22"/>
        </w:rPr>
        <w:t>, address</w:t>
      </w:r>
      <w:r w:rsidR="00624A7F">
        <w:rPr>
          <w:rFonts w:ascii="Times New Roman" w:hAnsi="Times New Roman"/>
          <w:sz w:val="22"/>
          <w:szCs w:val="22"/>
        </w:rPr>
        <w:t>es</w:t>
      </w:r>
      <w:r w:rsidRPr="00BE586E">
        <w:rPr>
          <w:rFonts w:ascii="Times New Roman" w:hAnsi="Times New Roman"/>
          <w:sz w:val="22"/>
          <w:szCs w:val="22"/>
        </w:rPr>
        <w:t>, phone number</w:t>
      </w:r>
      <w:r w:rsidR="00624A7F">
        <w:rPr>
          <w:rFonts w:ascii="Times New Roman" w:hAnsi="Times New Roman"/>
          <w:sz w:val="22"/>
          <w:szCs w:val="22"/>
        </w:rPr>
        <w:t>s</w:t>
      </w:r>
      <w:r w:rsidRPr="00BE586E">
        <w:rPr>
          <w:rFonts w:ascii="Times New Roman" w:hAnsi="Times New Roman"/>
          <w:sz w:val="22"/>
          <w:szCs w:val="22"/>
        </w:rPr>
        <w:t xml:space="preserve">, whether the service is fixed or mobile, and whether the service is listed or unlisted. The IPND was established </w:t>
      </w:r>
      <w:r w:rsidR="00624A7F">
        <w:rPr>
          <w:rFonts w:ascii="Times New Roman" w:hAnsi="Times New Roman"/>
          <w:sz w:val="22"/>
          <w:szCs w:val="22"/>
        </w:rPr>
        <w:t xml:space="preserve">and is maintained </w:t>
      </w:r>
      <w:r w:rsidRPr="00BE586E">
        <w:rPr>
          <w:rFonts w:ascii="Times New Roman" w:hAnsi="Times New Roman"/>
          <w:sz w:val="22"/>
          <w:szCs w:val="22"/>
        </w:rPr>
        <w:t xml:space="preserve">by </w:t>
      </w:r>
      <w:r w:rsidRPr="00BE586E">
        <w:rPr>
          <w:rFonts w:ascii="Times New Roman" w:hAnsi="Times New Roman"/>
          <w:sz w:val="22"/>
          <w:szCs w:val="22"/>
        </w:rPr>
        <w:lastRenderedPageBreak/>
        <w:t xml:space="preserve">Telstra </w:t>
      </w:r>
      <w:r w:rsidR="001D5494">
        <w:rPr>
          <w:rFonts w:ascii="Times New Roman" w:hAnsi="Times New Roman"/>
          <w:sz w:val="22"/>
          <w:szCs w:val="22"/>
        </w:rPr>
        <w:t xml:space="preserve">in accordance with </w:t>
      </w:r>
      <w:r w:rsidR="00624A7F">
        <w:rPr>
          <w:rFonts w:ascii="Times New Roman" w:hAnsi="Times New Roman"/>
          <w:sz w:val="22"/>
          <w:szCs w:val="22"/>
        </w:rPr>
        <w:t xml:space="preserve">a condition of its carrier licence </w:t>
      </w:r>
      <w:r w:rsidRPr="00BE586E">
        <w:rPr>
          <w:rFonts w:ascii="Times New Roman" w:hAnsi="Times New Roman"/>
          <w:sz w:val="22"/>
          <w:szCs w:val="22"/>
        </w:rPr>
        <w:t xml:space="preserve">under the </w:t>
      </w:r>
      <w:r w:rsidRPr="00BE586E">
        <w:rPr>
          <w:rFonts w:ascii="Times New Roman" w:hAnsi="Times New Roman"/>
          <w:i/>
          <w:sz w:val="22"/>
          <w:szCs w:val="22"/>
        </w:rPr>
        <w:t>Carrier Licence Conditions (Telstra Corporation Limited) Declaration 1997</w:t>
      </w:r>
      <w:r w:rsidRPr="00BE586E">
        <w:rPr>
          <w:rFonts w:ascii="Times New Roman" w:hAnsi="Times New Roman"/>
          <w:sz w:val="22"/>
          <w:szCs w:val="22"/>
        </w:rPr>
        <w:t xml:space="preserve">. </w:t>
      </w:r>
    </w:p>
    <w:p w14:paraId="113FAB28" w14:textId="775C6DAD" w:rsidR="00EA2CEA" w:rsidRDefault="00EA2CEA" w:rsidP="007419E7">
      <w:pPr>
        <w:rPr>
          <w:rFonts w:ascii="Times New Roman" w:hAnsi="Times New Roman" w:cs="Times New Roman"/>
        </w:rPr>
      </w:pPr>
      <w:r>
        <w:rPr>
          <w:rFonts w:ascii="Times New Roman" w:hAnsi="Times New Roman" w:cs="Times New Roman"/>
        </w:rPr>
        <w:t xml:space="preserve">Under the Act, the ability of Telstra, as the IPND Manager, to disclose information to another person in order for that person to publish and maintain a directory of public numbers or to conduct research of </w:t>
      </w:r>
      <w:r w:rsidR="00FF4926">
        <w:rPr>
          <w:rFonts w:ascii="Times New Roman" w:hAnsi="Times New Roman" w:cs="Times New Roman"/>
        </w:rPr>
        <w:t xml:space="preserve">a </w:t>
      </w:r>
      <w:r>
        <w:rPr>
          <w:rFonts w:ascii="Times New Roman" w:hAnsi="Times New Roman" w:cs="Times New Roman"/>
        </w:rPr>
        <w:t xml:space="preserve">kind that has been specified by the Minister, is conditional upon that person holding an authorisation that has been granted by the ACMA to receive the IPND information.  </w:t>
      </w:r>
      <w:r w:rsidR="006C5B05" w:rsidRPr="00C52755">
        <w:rPr>
          <w:rFonts w:ascii="Times New Roman" w:hAnsi="Times New Roman" w:cs="Times New Roman"/>
        </w:rPr>
        <w:t xml:space="preserve">The </w:t>
      </w:r>
      <w:r w:rsidR="006C5B05" w:rsidRPr="00624A7F">
        <w:rPr>
          <w:rFonts w:ascii="Times New Roman" w:hAnsi="Times New Roman" w:cs="Times New Roman"/>
          <w:i/>
        </w:rPr>
        <w:t>Telecommunications Integrated Public Number Database Scheme 2007</w:t>
      </w:r>
      <w:r w:rsidR="006C5B05">
        <w:rPr>
          <w:rFonts w:ascii="Times New Roman" w:hAnsi="Times New Roman" w:cs="Times New Roman"/>
          <w:i/>
        </w:rPr>
        <w:t xml:space="preserve"> </w:t>
      </w:r>
      <w:r w:rsidR="006C5B05" w:rsidRPr="00C52755">
        <w:rPr>
          <w:rFonts w:ascii="Times New Roman" w:hAnsi="Times New Roman" w:cs="Times New Roman"/>
        </w:rPr>
        <w:t>was introduced in 2007 to address concerns that IPND information was being used for purposes not authorised under the Act, such as marketing, data</w:t>
      </w:r>
      <w:r w:rsidR="006C5B05">
        <w:rPr>
          <w:rFonts w:ascii="Times New Roman" w:hAnsi="Times New Roman" w:cs="Times New Roman"/>
        </w:rPr>
        <w:t xml:space="preserve"> cleansing and debt collection. </w:t>
      </w:r>
    </w:p>
    <w:p w14:paraId="2D9AB5DC" w14:textId="0D7EF3AD" w:rsidR="00EA2CEA" w:rsidRDefault="00E6340F" w:rsidP="007419E7">
      <w:pPr>
        <w:rPr>
          <w:rFonts w:ascii="Times New Roman" w:hAnsi="Times New Roman" w:cs="Times New Roman"/>
        </w:rPr>
      </w:pPr>
      <w:r>
        <w:rPr>
          <w:rFonts w:ascii="Times New Roman" w:hAnsi="Times New Roman" w:cs="Times New Roman"/>
        </w:rPr>
        <w:t>In accordance with section 295B of the Act, t</w:t>
      </w:r>
      <w:r w:rsidR="00981F0E">
        <w:rPr>
          <w:rFonts w:ascii="Times New Roman" w:hAnsi="Times New Roman" w:cs="Times New Roman"/>
        </w:rPr>
        <w:t xml:space="preserve">he </w:t>
      </w:r>
      <w:r w:rsidR="00624A7F">
        <w:rPr>
          <w:rFonts w:ascii="Times New Roman" w:hAnsi="Times New Roman" w:cs="Times New Roman"/>
        </w:rPr>
        <w:t xml:space="preserve">instrument </w:t>
      </w:r>
      <w:r w:rsidR="00EA2CEA">
        <w:rPr>
          <w:rFonts w:ascii="Times New Roman" w:hAnsi="Times New Roman" w:cs="Times New Roman"/>
        </w:rPr>
        <w:t xml:space="preserve">makes provision for and in relation to the following matters: </w:t>
      </w:r>
    </w:p>
    <w:p w14:paraId="56AC4E81" w14:textId="3FB236FB" w:rsidR="00EA2CEA" w:rsidRDefault="00EA2CEA" w:rsidP="00362B2C">
      <w:pPr>
        <w:pStyle w:val="ListParagraph"/>
        <w:numPr>
          <w:ilvl w:val="0"/>
          <w:numId w:val="23"/>
        </w:numPr>
        <w:rPr>
          <w:rFonts w:ascii="Times New Roman" w:hAnsi="Times New Roman" w:cs="Times New Roman"/>
        </w:rPr>
      </w:pPr>
      <w:r>
        <w:rPr>
          <w:rFonts w:ascii="Times New Roman" w:hAnsi="Times New Roman" w:cs="Times New Roman"/>
        </w:rPr>
        <w:t>the making of applications for authorisations;</w:t>
      </w:r>
    </w:p>
    <w:p w14:paraId="05419307" w14:textId="66C1A1E3" w:rsidR="00EA2CEA" w:rsidRDefault="00EA2CEA" w:rsidP="00362B2C">
      <w:pPr>
        <w:pStyle w:val="ListParagraph"/>
        <w:numPr>
          <w:ilvl w:val="0"/>
          <w:numId w:val="23"/>
        </w:numPr>
        <w:rPr>
          <w:rFonts w:ascii="Times New Roman" w:hAnsi="Times New Roman" w:cs="Times New Roman"/>
        </w:rPr>
      </w:pPr>
      <w:r>
        <w:rPr>
          <w:rFonts w:ascii="Times New Roman" w:hAnsi="Times New Roman" w:cs="Times New Roman"/>
        </w:rPr>
        <w:t xml:space="preserve">the assessment of applications; </w:t>
      </w:r>
    </w:p>
    <w:p w14:paraId="55D4FB83" w14:textId="316D6BB5" w:rsidR="00EA2CEA" w:rsidRDefault="00EA2CEA" w:rsidP="00362B2C">
      <w:pPr>
        <w:pStyle w:val="ListParagraph"/>
        <w:numPr>
          <w:ilvl w:val="0"/>
          <w:numId w:val="23"/>
        </w:numPr>
        <w:rPr>
          <w:rFonts w:ascii="Times New Roman" w:hAnsi="Times New Roman" w:cs="Times New Roman"/>
        </w:rPr>
      </w:pPr>
      <w:r>
        <w:rPr>
          <w:rFonts w:ascii="Times New Roman" w:hAnsi="Times New Roman" w:cs="Times New Roman"/>
        </w:rPr>
        <w:t xml:space="preserve">the period for which authorisations are to be in force; </w:t>
      </w:r>
    </w:p>
    <w:p w14:paraId="07538FD0" w14:textId="16B100E9" w:rsidR="00EA2CEA" w:rsidRDefault="00EA2CEA" w:rsidP="00362B2C">
      <w:pPr>
        <w:pStyle w:val="ListParagraph"/>
        <w:numPr>
          <w:ilvl w:val="0"/>
          <w:numId w:val="23"/>
        </w:numPr>
        <w:rPr>
          <w:rFonts w:ascii="Times New Roman" w:hAnsi="Times New Roman" w:cs="Times New Roman"/>
        </w:rPr>
      </w:pPr>
      <w:r>
        <w:rPr>
          <w:rFonts w:ascii="Times New Roman" w:hAnsi="Times New Roman" w:cs="Times New Roman"/>
        </w:rPr>
        <w:t>the notification of decisions under the scheme; and</w:t>
      </w:r>
    </w:p>
    <w:p w14:paraId="2D6C5E61" w14:textId="7415494D" w:rsidR="00EA2CEA" w:rsidRPr="00EA2CEA" w:rsidRDefault="00EA2CEA" w:rsidP="00362B2C">
      <w:pPr>
        <w:pStyle w:val="ListParagraph"/>
        <w:numPr>
          <w:ilvl w:val="0"/>
          <w:numId w:val="23"/>
        </w:numPr>
        <w:rPr>
          <w:rFonts w:ascii="Times New Roman" w:hAnsi="Times New Roman" w:cs="Times New Roman"/>
        </w:rPr>
      </w:pPr>
      <w:r>
        <w:rPr>
          <w:rFonts w:ascii="Times New Roman" w:hAnsi="Times New Roman" w:cs="Times New Roman"/>
        </w:rPr>
        <w:t xml:space="preserve">the requirement for applicants for an authorisation to specify the purpose for which the authorisation is sought. </w:t>
      </w:r>
    </w:p>
    <w:p w14:paraId="0A077416" w14:textId="7C750002" w:rsidR="00E6340F" w:rsidRDefault="00E6340F" w:rsidP="007419E7">
      <w:pPr>
        <w:rPr>
          <w:rFonts w:ascii="Times New Roman" w:hAnsi="Times New Roman" w:cs="Times New Roman"/>
        </w:rPr>
      </w:pPr>
      <w:r>
        <w:rPr>
          <w:rFonts w:ascii="Times New Roman" w:hAnsi="Times New Roman" w:cs="Times New Roman"/>
        </w:rPr>
        <w:t>T</w:t>
      </w:r>
      <w:r w:rsidR="00845A6E" w:rsidRPr="00845A6E">
        <w:rPr>
          <w:rFonts w:ascii="Times New Roman" w:hAnsi="Times New Roman" w:cs="Times New Roman"/>
        </w:rPr>
        <w:t xml:space="preserve">he </w:t>
      </w:r>
      <w:r w:rsidR="00D222F3">
        <w:rPr>
          <w:rFonts w:ascii="Times New Roman" w:hAnsi="Times New Roman" w:cs="Times New Roman"/>
        </w:rPr>
        <w:t xml:space="preserve">instrument </w:t>
      </w:r>
      <w:r>
        <w:rPr>
          <w:rFonts w:ascii="Times New Roman" w:hAnsi="Times New Roman" w:cs="Times New Roman"/>
        </w:rPr>
        <w:t xml:space="preserve">also </w:t>
      </w:r>
      <w:r w:rsidR="00845A6E" w:rsidRPr="00845A6E">
        <w:rPr>
          <w:rFonts w:ascii="Times New Roman" w:hAnsi="Times New Roman" w:cs="Times New Roman"/>
        </w:rPr>
        <w:t xml:space="preserve">imposes conditions on the grant of an authorisation in accordance with section 295F of the Act. </w:t>
      </w:r>
      <w:r>
        <w:rPr>
          <w:rFonts w:ascii="Times New Roman" w:hAnsi="Times New Roman" w:cs="Times New Roman"/>
        </w:rPr>
        <w:t xml:space="preserve"> </w:t>
      </w:r>
    </w:p>
    <w:p w14:paraId="57719F94" w14:textId="49491EA9" w:rsidR="00845A6E" w:rsidRPr="00845A6E" w:rsidRDefault="00845A6E" w:rsidP="007419E7">
      <w:pPr>
        <w:rPr>
          <w:rFonts w:ascii="Times New Roman" w:hAnsi="Times New Roman" w:cs="Times New Roman"/>
        </w:rPr>
      </w:pPr>
      <w:r w:rsidRPr="00845A6E">
        <w:rPr>
          <w:rFonts w:ascii="Times New Roman" w:hAnsi="Times New Roman" w:cs="Times New Roman"/>
        </w:rPr>
        <w:t xml:space="preserve">Section 285 of the Act limits the IPND data available under the </w:t>
      </w:r>
      <w:r w:rsidR="00D222F3">
        <w:rPr>
          <w:rFonts w:ascii="Times New Roman" w:hAnsi="Times New Roman" w:cs="Times New Roman"/>
        </w:rPr>
        <w:t xml:space="preserve">instrument </w:t>
      </w:r>
      <w:r w:rsidRPr="00845A6E">
        <w:rPr>
          <w:rFonts w:ascii="Times New Roman" w:hAnsi="Times New Roman" w:cs="Times New Roman"/>
        </w:rPr>
        <w:t>to listed numbers</w:t>
      </w:r>
      <w:r w:rsidR="00415B30">
        <w:rPr>
          <w:rFonts w:ascii="Times New Roman" w:hAnsi="Times New Roman" w:cs="Times New Roman"/>
        </w:rPr>
        <w:t xml:space="preserve">, </w:t>
      </w:r>
      <w:r w:rsidR="00A863D3">
        <w:rPr>
          <w:rFonts w:ascii="Times New Roman" w:hAnsi="Times New Roman" w:cs="Times New Roman"/>
        </w:rPr>
        <w:t>which</w:t>
      </w:r>
      <w:r w:rsidR="00E54CCA">
        <w:rPr>
          <w:rFonts w:ascii="Times New Roman" w:hAnsi="Times New Roman" w:cs="Times New Roman"/>
        </w:rPr>
        <w:t xml:space="preserve"> generally do not include mobile numbers.</w:t>
      </w:r>
      <w:r w:rsidR="0070031C">
        <w:rPr>
          <w:rFonts w:ascii="Times New Roman" w:hAnsi="Times New Roman" w:cs="Times New Roman"/>
        </w:rPr>
        <w:t xml:space="preserve"> </w:t>
      </w:r>
    </w:p>
    <w:p w14:paraId="3D03D5EB" w14:textId="3678230E" w:rsidR="00845A6E" w:rsidRPr="00845A6E" w:rsidRDefault="00845A6E" w:rsidP="007419E7">
      <w:pPr>
        <w:rPr>
          <w:rFonts w:ascii="Times New Roman" w:hAnsi="Times New Roman" w:cs="Times New Roman"/>
        </w:rPr>
      </w:pPr>
      <w:r w:rsidRPr="00845A6E">
        <w:rPr>
          <w:rFonts w:ascii="Times New Roman" w:hAnsi="Times New Roman" w:cs="Times New Roman"/>
        </w:rPr>
        <w:t xml:space="preserve">The </w:t>
      </w:r>
      <w:r w:rsidR="00D222F3">
        <w:rPr>
          <w:rFonts w:ascii="Times New Roman" w:hAnsi="Times New Roman" w:cs="Times New Roman"/>
        </w:rPr>
        <w:t xml:space="preserve">instrument </w:t>
      </w:r>
      <w:r w:rsidRPr="00845A6E">
        <w:rPr>
          <w:rFonts w:ascii="Times New Roman" w:hAnsi="Times New Roman" w:cs="Times New Roman"/>
        </w:rPr>
        <w:t xml:space="preserve">is supported by a range of ministerial instruments made under Part 13 of the Act, which </w:t>
      </w:r>
      <w:r w:rsidR="00256ACC">
        <w:rPr>
          <w:rFonts w:ascii="Times New Roman" w:hAnsi="Times New Roman" w:cs="Times New Roman"/>
        </w:rPr>
        <w:t xml:space="preserve">the ACMA is to have regard to in its consideration of whether to grant authorisations under the instrument.  The instruments </w:t>
      </w:r>
      <w:r w:rsidRPr="00845A6E">
        <w:rPr>
          <w:rFonts w:ascii="Times New Roman" w:hAnsi="Times New Roman" w:cs="Times New Roman"/>
        </w:rPr>
        <w:t>specify:</w:t>
      </w:r>
    </w:p>
    <w:p w14:paraId="6753D15F" w14:textId="152A19D5" w:rsidR="00845A6E" w:rsidRPr="00845A6E" w:rsidRDefault="00666104" w:rsidP="007419E7">
      <w:pPr>
        <w:pStyle w:val="ListBullet"/>
        <w:rPr>
          <w:rFonts w:ascii="Times New Roman" w:hAnsi="Times New Roman"/>
          <w:i/>
          <w:sz w:val="22"/>
          <w:szCs w:val="22"/>
        </w:rPr>
      </w:pPr>
      <w:r>
        <w:rPr>
          <w:rFonts w:ascii="Times New Roman" w:hAnsi="Times New Roman"/>
          <w:sz w:val="22"/>
          <w:szCs w:val="22"/>
        </w:rPr>
        <w:t>t</w:t>
      </w:r>
      <w:r w:rsidR="00845A6E" w:rsidRPr="00845A6E">
        <w:rPr>
          <w:rFonts w:ascii="Times New Roman" w:hAnsi="Times New Roman"/>
          <w:sz w:val="22"/>
          <w:szCs w:val="22"/>
        </w:rPr>
        <w:t>he</w:t>
      </w:r>
      <w:r w:rsidR="00845A6E" w:rsidRPr="00845A6E">
        <w:rPr>
          <w:rFonts w:ascii="Times New Roman" w:hAnsi="Times New Roman"/>
          <w:i/>
          <w:sz w:val="22"/>
          <w:szCs w:val="22"/>
        </w:rPr>
        <w:t xml:space="preserve"> </w:t>
      </w:r>
      <w:r w:rsidR="00845A6E" w:rsidRPr="00845A6E">
        <w:rPr>
          <w:rFonts w:ascii="Times New Roman" w:hAnsi="Times New Roman"/>
          <w:sz w:val="22"/>
          <w:szCs w:val="22"/>
        </w:rPr>
        <w:t xml:space="preserve">criteria that the ACMA is required to consider in deciding authorisation applications under the </w:t>
      </w:r>
      <w:r w:rsidR="00F32BCE">
        <w:rPr>
          <w:rFonts w:ascii="Times New Roman" w:hAnsi="Times New Roman"/>
          <w:sz w:val="22"/>
          <w:szCs w:val="22"/>
        </w:rPr>
        <w:t>s</w:t>
      </w:r>
      <w:r w:rsidR="00845A6E" w:rsidRPr="00845A6E">
        <w:rPr>
          <w:rFonts w:ascii="Times New Roman" w:hAnsi="Times New Roman"/>
          <w:sz w:val="22"/>
          <w:szCs w:val="22"/>
        </w:rPr>
        <w:t>cheme</w:t>
      </w:r>
      <w:r>
        <w:rPr>
          <w:rFonts w:ascii="Times New Roman" w:hAnsi="Times New Roman"/>
          <w:sz w:val="22"/>
          <w:szCs w:val="22"/>
        </w:rPr>
        <w:t>;</w:t>
      </w:r>
      <w:r w:rsidR="00845A6E" w:rsidRPr="00845A6E">
        <w:rPr>
          <w:rStyle w:val="FootnoteReference"/>
          <w:rFonts w:ascii="Times New Roman" w:hAnsi="Times New Roman"/>
          <w:iCs/>
          <w:sz w:val="22"/>
          <w:szCs w:val="22"/>
        </w:rPr>
        <w:footnoteReference w:id="1"/>
      </w:r>
      <w:r w:rsidR="00845A6E" w:rsidRPr="00845A6E">
        <w:rPr>
          <w:rFonts w:ascii="Times New Roman" w:hAnsi="Times New Roman"/>
          <w:sz w:val="22"/>
          <w:szCs w:val="22"/>
        </w:rPr>
        <w:t xml:space="preserve"> </w:t>
      </w:r>
    </w:p>
    <w:p w14:paraId="576E9EE8" w14:textId="014138BF" w:rsidR="00256ACC" w:rsidRDefault="00666104" w:rsidP="00256ACC">
      <w:pPr>
        <w:pStyle w:val="ListBulletLast"/>
        <w:rPr>
          <w:rFonts w:ascii="Times New Roman" w:hAnsi="Times New Roman" w:cs="Times New Roman"/>
          <w:sz w:val="22"/>
          <w:szCs w:val="22"/>
        </w:rPr>
      </w:pPr>
      <w:r>
        <w:rPr>
          <w:rFonts w:ascii="Times New Roman" w:hAnsi="Times New Roman" w:cs="Times New Roman"/>
          <w:sz w:val="22"/>
          <w:szCs w:val="22"/>
        </w:rPr>
        <w:t>t</w:t>
      </w:r>
      <w:r w:rsidR="00256ACC" w:rsidRPr="00845A6E">
        <w:rPr>
          <w:rFonts w:ascii="Times New Roman" w:hAnsi="Times New Roman" w:cs="Times New Roman"/>
          <w:sz w:val="22"/>
          <w:szCs w:val="22"/>
        </w:rPr>
        <w:t>he conditions that apply to all IPND authorisations or to particular kinds of IPND authorisations</w:t>
      </w:r>
      <w:r w:rsidR="00A863D3">
        <w:rPr>
          <w:rFonts w:ascii="Times New Roman" w:hAnsi="Times New Roman" w:cs="Times New Roman"/>
          <w:sz w:val="22"/>
          <w:szCs w:val="22"/>
        </w:rPr>
        <w:t>;</w:t>
      </w:r>
      <w:r w:rsidR="00256ACC" w:rsidRPr="00845A6E">
        <w:rPr>
          <w:rStyle w:val="FootnoteReference"/>
          <w:rFonts w:ascii="Times New Roman" w:hAnsi="Times New Roman" w:cs="Times New Roman"/>
          <w:iCs/>
          <w:sz w:val="22"/>
          <w:szCs w:val="22"/>
        </w:rPr>
        <w:footnoteReference w:id="2"/>
      </w:r>
    </w:p>
    <w:p w14:paraId="159418B5" w14:textId="6D8AD8CF" w:rsidR="00845A6E" w:rsidRPr="00845A6E" w:rsidRDefault="00666104" w:rsidP="007419E7">
      <w:pPr>
        <w:pStyle w:val="ListBullet"/>
        <w:rPr>
          <w:rFonts w:ascii="Times New Roman" w:hAnsi="Times New Roman"/>
          <w:i/>
          <w:sz w:val="22"/>
          <w:szCs w:val="22"/>
        </w:rPr>
      </w:pPr>
      <w:r>
        <w:rPr>
          <w:rFonts w:ascii="Times New Roman" w:hAnsi="Times New Roman"/>
          <w:sz w:val="22"/>
          <w:szCs w:val="22"/>
        </w:rPr>
        <w:lastRenderedPageBreak/>
        <w:t>t</w:t>
      </w:r>
      <w:r w:rsidR="00845A6E" w:rsidRPr="00845A6E">
        <w:rPr>
          <w:rFonts w:ascii="Times New Roman" w:hAnsi="Times New Roman"/>
          <w:sz w:val="22"/>
          <w:szCs w:val="22"/>
        </w:rPr>
        <w:t>he requirements that have to be met in order to satisfy the definition of a public number directory</w:t>
      </w:r>
      <w:r>
        <w:rPr>
          <w:rFonts w:ascii="Times New Roman" w:hAnsi="Times New Roman"/>
          <w:sz w:val="22"/>
          <w:szCs w:val="22"/>
        </w:rPr>
        <w:t>;</w:t>
      </w:r>
      <w:r w:rsidR="00845A6E" w:rsidRPr="00845A6E">
        <w:rPr>
          <w:rStyle w:val="FootnoteReference"/>
          <w:rFonts w:ascii="Times New Roman" w:hAnsi="Times New Roman"/>
          <w:iCs/>
          <w:sz w:val="22"/>
          <w:szCs w:val="22"/>
        </w:rPr>
        <w:footnoteReference w:id="3"/>
      </w:r>
      <w:r w:rsidR="00845A6E" w:rsidRPr="00845A6E">
        <w:rPr>
          <w:rFonts w:ascii="Times New Roman" w:hAnsi="Times New Roman"/>
          <w:sz w:val="22"/>
          <w:szCs w:val="22"/>
        </w:rPr>
        <w:t xml:space="preserve"> </w:t>
      </w:r>
    </w:p>
    <w:p w14:paraId="6D84A082" w14:textId="2DDAEF99" w:rsidR="00845A6E" w:rsidRPr="00845A6E" w:rsidRDefault="00666104" w:rsidP="007419E7">
      <w:pPr>
        <w:pStyle w:val="ListBullet"/>
        <w:rPr>
          <w:rFonts w:ascii="Times New Roman" w:hAnsi="Times New Roman"/>
          <w:sz w:val="22"/>
          <w:szCs w:val="22"/>
        </w:rPr>
      </w:pPr>
      <w:r>
        <w:rPr>
          <w:rFonts w:ascii="Times New Roman" w:hAnsi="Times New Roman"/>
          <w:sz w:val="22"/>
          <w:szCs w:val="22"/>
        </w:rPr>
        <w:t>a</w:t>
      </w:r>
      <w:r w:rsidR="00845A6E" w:rsidRPr="00845A6E">
        <w:rPr>
          <w:rFonts w:ascii="Times New Roman" w:hAnsi="Times New Roman"/>
          <w:sz w:val="22"/>
          <w:szCs w:val="22"/>
        </w:rPr>
        <w:t>dditional information that can be included in a public number directory</w:t>
      </w:r>
      <w:r>
        <w:rPr>
          <w:rFonts w:ascii="Times New Roman" w:hAnsi="Times New Roman"/>
          <w:sz w:val="22"/>
          <w:szCs w:val="22"/>
        </w:rPr>
        <w:t>;</w:t>
      </w:r>
      <w:r w:rsidR="00845A6E" w:rsidRPr="00845A6E">
        <w:rPr>
          <w:rStyle w:val="FootnoteReference"/>
          <w:rFonts w:ascii="Times New Roman" w:hAnsi="Times New Roman"/>
          <w:iCs/>
          <w:sz w:val="22"/>
          <w:szCs w:val="22"/>
        </w:rPr>
        <w:footnoteReference w:id="4"/>
      </w:r>
      <w:r>
        <w:rPr>
          <w:rFonts w:ascii="Times New Roman" w:hAnsi="Times New Roman"/>
          <w:sz w:val="22"/>
          <w:szCs w:val="22"/>
        </w:rPr>
        <w:t xml:space="preserve"> and</w:t>
      </w:r>
      <w:r w:rsidR="00845A6E" w:rsidRPr="00845A6E">
        <w:rPr>
          <w:rFonts w:ascii="Times New Roman" w:hAnsi="Times New Roman"/>
          <w:sz w:val="22"/>
          <w:szCs w:val="22"/>
        </w:rPr>
        <w:t xml:space="preserve"> </w:t>
      </w:r>
    </w:p>
    <w:p w14:paraId="35319212" w14:textId="3E2AA970" w:rsidR="00E6340F" w:rsidRPr="00845A6E" w:rsidRDefault="00666104" w:rsidP="00E6340F">
      <w:pPr>
        <w:pStyle w:val="ListBullet"/>
        <w:rPr>
          <w:rFonts w:ascii="Times New Roman" w:hAnsi="Times New Roman"/>
          <w:sz w:val="22"/>
          <w:szCs w:val="22"/>
          <w:u w:val="single"/>
        </w:rPr>
      </w:pPr>
      <w:r>
        <w:rPr>
          <w:rFonts w:ascii="Times New Roman" w:hAnsi="Times New Roman"/>
          <w:sz w:val="22"/>
          <w:szCs w:val="22"/>
        </w:rPr>
        <w:t>t</w:t>
      </w:r>
      <w:r w:rsidR="00E6340F" w:rsidRPr="00845A6E">
        <w:rPr>
          <w:rFonts w:ascii="Times New Roman" w:hAnsi="Times New Roman"/>
          <w:sz w:val="22"/>
          <w:szCs w:val="22"/>
        </w:rPr>
        <w:t xml:space="preserve">he types of research permitted under the </w:t>
      </w:r>
      <w:r w:rsidR="00F32BCE">
        <w:rPr>
          <w:rFonts w:ascii="Times New Roman" w:hAnsi="Times New Roman"/>
          <w:sz w:val="22"/>
          <w:szCs w:val="22"/>
        </w:rPr>
        <w:t>s</w:t>
      </w:r>
      <w:r w:rsidR="00E6340F" w:rsidRPr="00845A6E">
        <w:rPr>
          <w:rFonts w:ascii="Times New Roman" w:hAnsi="Times New Roman"/>
          <w:sz w:val="22"/>
          <w:szCs w:val="22"/>
        </w:rPr>
        <w:t>cheme</w:t>
      </w:r>
      <w:r>
        <w:rPr>
          <w:rFonts w:ascii="Times New Roman" w:hAnsi="Times New Roman"/>
          <w:sz w:val="22"/>
          <w:szCs w:val="22"/>
        </w:rPr>
        <w:t>.  Those are</w:t>
      </w:r>
      <w:r w:rsidR="00E6340F" w:rsidRPr="00845A6E">
        <w:rPr>
          <w:rFonts w:ascii="Times New Roman" w:hAnsi="Times New Roman"/>
          <w:sz w:val="22"/>
          <w:szCs w:val="22"/>
        </w:rPr>
        <w:t>:</w:t>
      </w:r>
    </w:p>
    <w:p w14:paraId="49BD7DA7" w14:textId="392A7EFD" w:rsidR="00E6340F" w:rsidRPr="00845A6E" w:rsidRDefault="009D7E55" w:rsidP="00E6340F">
      <w:pPr>
        <w:pStyle w:val="ListBullet2"/>
        <w:rPr>
          <w:rFonts w:ascii="Times New Roman" w:hAnsi="Times New Roman"/>
          <w:sz w:val="22"/>
          <w:szCs w:val="22"/>
        </w:rPr>
      </w:pPr>
      <w:r>
        <w:rPr>
          <w:rFonts w:ascii="Times New Roman" w:hAnsi="Times New Roman"/>
          <w:sz w:val="22"/>
          <w:szCs w:val="22"/>
        </w:rPr>
        <w:t xml:space="preserve">research, or the compilation or analysis of statistics, relevant to </w:t>
      </w:r>
      <w:r w:rsidR="00E6340F" w:rsidRPr="00845A6E">
        <w:rPr>
          <w:rFonts w:ascii="Times New Roman" w:hAnsi="Times New Roman"/>
          <w:sz w:val="22"/>
          <w:szCs w:val="22"/>
        </w:rPr>
        <w:t xml:space="preserve">public health, </w:t>
      </w:r>
      <w:r>
        <w:rPr>
          <w:rFonts w:ascii="Times New Roman" w:hAnsi="Times New Roman"/>
          <w:sz w:val="22"/>
          <w:szCs w:val="22"/>
        </w:rPr>
        <w:t xml:space="preserve">including epidemiological research, </w:t>
      </w:r>
      <w:r w:rsidR="00E6340F" w:rsidRPr="00845A6E">
        <w:rPr>
          <w:rFonts w:ascii="Times New Roman" w:hAnsi="Times New Roman"/>
          <w:sz w:val="22"/>
          <w:szCs w:val="22"/>
        </w:rPr>
        <w:t>where the research is not conducted for a primarily commercial purpose;</w:t>
      </w:r>
    </w:p>
    <w:p w14:paraId="058A4397" w14:textId="5A94E1F9" w:rsidR="00E6340F" w:rsidRPr="00845A6E" w:rsidRDefault="009D7E55" w:rsidP="00E6340F">
      <w:pPr>
        <w:pStyle w:val="ListBullet2"/>
        <w:rPr>
          <w:rFonts w:ascii="Times New Roman" w:hAnsi="Times New Roman"/>
          <w:sz w:val="22"/>
          <w:szCs w:val="22"/>
        </w:rPr>
      </w:pPr>
      <w:r>
        <w:rPr>
          <w:rFonts w:ascii="Times New Roman" w:hAnsi="Times New Roman"/>
          <w:sz w:val="22"/>
          <w:szCs w:val="22"/>
        </w:rPr>
        <w:t xml:space="preserve">research regarding an </w:t>
      </w:r>
      <w:r w:rsidR="00E6340F" w:rsidRPr="00845A6E">
        <w:rPr>
          <w:rFonts w:ascii="Times New Roman" w:hAnsi="Times New Roman"/>
          <w:sz w:val="22"/>
          <w:szCs w:val="22"/>
        </w:rPr>
        <w:t xml:space="preserve">electoral </w:t>
      </w:r>
      <w:r>
        <w:rPr>
          <w:rFonts w:ascii="Times New Roman" w:hAnsi="Times New Roman"/>
          <w:sz w:val="22"/>
          <w:szCs w:val="22"/>
        </w:rPr>
        <w:t xml:space="preserve">matter </w:t>
      </w:r>
      <w:r w:rsidR="00E6340F" w:rsidRPr="00845A6E">
        <w:rPr>
          <w:rFonts w:ascii="Times New Roman" w:hAnsi="Times New Roman"/>
          <w:sz w:val="22"/>
          <w:szCs w:val="22"/>
        </w:rPr>
        <w:t xml:space="preserve">conducted by a registered political party, a </w:t>
      </w:r>
      <w:r>
        <w:rPr>
          <w:rFonts w:ascii="Times New Roman" w:hAnsi="Times New Roman"/>
          <w:sz w:val="22"/>
          <w:szCs w:val="22"/>
        </w:rPr>
        <w:t xml:space="preserve">political representative, a </w:t>
      </w:r>
      <w:r w:rsidR="00E6340F" w:rsidRPr="00845A6E">
        <w:rPr>
          <w:rFonts w:ascii="Times New Roman" w:hAnsi="Times New Roman"/>
          <w:sz w:val="22"/>
          <w:szCs w:val="22"/>
        </w:rPr>
        <w:t>candidate in a</w:t>
      </w:r>
      <w:r>
        <w:rPr>
          <w:rFonts w:ascii="Times New Roman" w:hAnsi="Times New Roman"/>
          <w:sz w:val="22"/>
          <w:szCs w:val="22"/>
        </w:rPr>
        <w:t>n election for</w:t>
      </w:r>
      <w:r w:rsidR="00E6340F" w:rsidRPr="00845A6E">
        <w:rPr>
          <w:rFonts w:ascii="Times New Roman" w:hAnsi="Times New Roman"/>
          <w:sz w:val="22"/>
          <w:szCs w:val="22"/>
        </w:rPr>
        <w:t xml:space="preserve"> Parliament or </w:t>
      </w:r>
      <w:r>
        <w:rPr>
          <w:rFonts w:ascii="Times New Roman" w:hAnsi="Times New Roman"/>
          <w:sz w:val="22"/>
          <w:szCs w:val="22"/>
        </w:rPr>
        <w:t xml:space="preserve">a </w:t>
      </w:r>
      <w:r w:rsidR="00E6340F" w:rsidRPr="00845A6E">
        <w:rPr>
          <w:rFonts w:ascii="Times New Roman" w:hAnsi="Times New Roman"/>
          <w:sz w:val="22"/>
          <w:szCs w:val="22"/>
        </w:rPr>
        <w:t>local government authority</w:t>
      </w:r>
      <w:r>
        <w:rPr>
          <w:rFonts w:ascii="Times New Roman" w:hAnsi="Times New Roman"/>
          <w:sz w:val="22"/>
          <w:szCs w:val="22"/>
        </w:rPr>
        <w:t xml:space="preserve"> </w:t>
      </w:r>
      <w:r w:rsidR="00E6340F" w:rsidRPr="00845A6E">
        <w:rPr>
          <w:rFonts w:ascii="Times New Roman" w:hAnsi="Times New Roman"/>
          <w:sz w:val="22"/>
          <w:szCs w:val="22"/>
        </w:rPr>
        <w:t>or a person on behalf of such a party, representative or candidate</w:t>
      </w:r>
      <w:r>
        <w:rPr>
          <w:rFonts w:ascii="Times New Roman" w:hAnsi="Times New Roman"/>
          <w:sz w:val="22"/>
          <w:szCs w:val="22"/>
        </w:rPr>
        <w:t>, where the research is not conducted for a primarily commercial purpose</w:t>
      </w:r>
      <w:r w:rsidR="00E6340F" w:rsidRPr="00845A6E">
        <w:rPr>
          <w:rFonts w:ascii="Times New Roman" w:hAnsi="Times New Roman"/>
          <w:sz w:val="22"/>
          <w:szCs w:val="22"/>
        </w:rPr>
        <w:t>;</w:t>
      </w:r>
      <w:r>
        <w:rPr>
          <w:rFonts w:ascii="Times New Roman" w:hAnsi="Times New Roman"/>
          <w:sz w:val="22"/>
          <w:szCs w:val="22"/>
        </w:rPr>
        <w:t xml:space="preserve"> and </w:t>
      </w:r>
    </w:p>
    <w:p w14:paraId="244FBC1E" w14:textId="16A98138" w:rsidR="00E6340F" w:rsidRPr="00845A6E" w:rsidRDefault="00E6340F" w:rsidP="00E6340F">
      <w:pPr>
        <w:pStyle w:val="ListBullet2"/>
        <w:rPr>
          <w:rFonts w:ascii="Times New Roman" w:hAnsi="Times New Roman"/>
          <w:iCs/>
          <w:sz w:val="22"/>
          <w:szCs w:val="22"/>
          <w:u w:val="single"/>
        </w:rPr>
      </w:pPr>
      <w:r w:rsidRPr="00845A6E">
        <w:rPr>
          <w:rFonts w:ascii="Times New Roman" w:hAnsi="Times New Roman"/>
          <w:sz w:val="22"/>
          <w:szCs w:val="22"/>
        </w:rPr>
        <w:t>research</w:t>
      </w:r>
      <w:r w:rsidR="009D7E55">
        <w:rPr>
          <w:rFonts w:ascii="Times New Roman" w:hAnsi="Times New Roman"/>
          <w:sz w:val="22"/>
          <w:szCs w:val="22"/>
        </w:rPr>
        <w:t xml:space="preserve"> </w:t>
      </w:r>
      <w:r w:rsidRPr="00845A6E">
        <w:rPr>
          <w:rFonts w:ascii="Times New Roman" w:hAnsi="Times New Roman"/>
          <w:sz w:val="22"/>
          <w:szCs w:val="22"/>
        </w:rPr>
        <w:t>conducted by or on behalf of the Commonwealth, a Commonwealth authority or other prescribed agency</w:t>
      </w:r>
      <w:r w:rsidR="009D7E55">
        <w:rPr>
          <w:rFonts w:ascii="Times New Roman" w:hAnsi="Times New Roman"/>
          <w:sz w:val="22"/>
          <w:szCs w:val="22"/>
        </w:rPr>
        <w:t xml:space="preserve"> which will contribute to the development of public policy, where the research is not conducted for a primarily commercial purpose</w:t>
      </w:r>
      <w:r w:rsidRPr="00845A6E">
        <w:rPr>
          <w:rFonts w:ascii="Times New Roman" w:hAnsi="Times New Roman"/>
          <w:sz w:val="22"/>
          <w:szCs w:val="22"/>
        </w:rPr>
        <w:t>.</w:t>
      </w:r>
      <w:r w:rsidRPr="00845A6E">
        <w:rPr>
          <w:rStyle w:val="FootnoteReference"/>
          <w:rFonts w:ascii="Times New Roman" w:hAnsi="Times New Roman"/>
          <w:iCs/>
          <w:sz w:val="22"/>
          <w:szCs w:val="22"/>
        </w:rPr>
        <w:footnoteReference w:id="5"/>
      </w:r>
    </w:p>
    <w:p w14:paraId="7F9F1A7A" w14:textId="79E60EFD" w:rsidR="00805358" w:rsidRPr="00465F6F" w:rsidRDefault="00256ACC" w:rsidP="007419E7">
      <w:pPr>
        <w:rPr>
          <w:rFonts w:ascii="Times New Roman" w:hAnsi="Times New Roman" w:cs="Times New Roman"/>
        </w:rPr>
      </w:pPr>
      <w:r>
        <w:rPr>
          <w:rFonts w:ascii="Times New Roman" w:hAnsi="Times New Roman" w:cs="Times New Roman"/>
        </w:rPr>
        <w:t xml:space="preserve">Under the </w:t>
      </w:r>
      <w:r w:rsidRPr="00D06CF5">
        <w:rPr>
          <w:rFonts w:ascii="Times New Roman" w:hAnsi="Times New Roman" w:cs="Times New Roman"/>
          <w:i/>
        </w:rPr>
        <w:t>Telecommunications Integrated Public Number Database Scheme 2007</w:t>
      </w:r>
      <w:r w:rsidR="00666104">
        <w:rPr>
          <w:rFonts w:ascii="Times New Roman" w:hAnsi="Times New Roman" w:cs="Times New Roman"/>
          <w:i/>
        </w:rPr>
        <w:t xml:space="preserve"> </w:t>
      </w:r>
      <w:r w:rsidR="00C52755" w:rsidRPr="00C52755">
        <w:rPr>
          <w:rFonts w:ascii="Times New Roman" w:hAnsi="Times New Roman" w:cs="Times New Roman"/>
        </w:rPr>
        <w:t xml:space="preserve">the ACMA granted seven authorisations </w:t>
      </w:r>
      <w:r w:rsidR="006C5B05">
        <w:rPr>
          <w:rFonts w:ascii="Times New Roman" w:hAnsi="Times New Roman" w:cs="Times New Roman"/>
        </w:rPr>
        <w:t xml:space="preserve">enabling </w:t>
      </w:r>
      <w:r w:rsidR="00C52755" w:rsidRPr="00C52755">
        <w:rPr>
          <w:rFonts w:ascii="Times New Roman" w:hAnsi="Times New Roman" w:cs="Times New Roman"/>
        </w:rPr>
        <w:t xml:space="preserve">access to the IPND </w:t>
      </w:r>
      <w:r w:rsidR="006C5B05">
        <w:rPr>
          <w:rFonts w:ascii="Times New Roman" w:hAnsi="Times New Roman" w:cs="Times New Roman"/>
        </w:rPr>
        <w:t xml:space="preserve">by a public number directory publisher </w:t>
      </w:r>
      <w:r w:rsidR="00C52755" w:rsidRPr="00C52755">
        <w:rPr>
          <w:rFonts w:ascii="Times New Roman" w:hAnsi="Times New Roman" w:cs="Times New Roman"/>
        </w:rPr>
        <w:t>for the purposes of the publication and maintenance of a public number directory</w:t>
      </w:r>
      <w:r w:rsidR="00666104">
        <w:rPr>
          <w:rFonts w:ascii="Times New Roman" w:hAnsi="Times New Roman" w:cs="Times New Roman"/>
        </w:rPr>
        <w:t xml:space="preserve">.  The ACMA also granted </w:t>
      </w:r>
      <w:r w:rsidR="00C52755" w:rsidRPr="00C52755">
        <w:rPr>
          <w:rFonts w:ascii="Times New Roman" w:hAnsi="Times New Roman" w:cs="Times New Roman"/>
        </w:rPr>
        <w:t>two authorisations granting access to the IPND for specified research purposes (</w:t>
      </w:r>
      <w:r w:rsidR="00C52755" w:rsidRPr="00362B2C">
        <w:rPr>
          <w:rFonts w:ascii="Times New Roman" w:hAnsi="Times New Roman" w:cs="Times New Roman"/>
          <w:b/>
        </w:rPr>
        <w:t>research authorisations</w:t>
      </w:r>
      <w:r w:rsidR="00C52755" w:rsidRPr="00C52755">
        <w:rPr>
          <w:rFonts w:ascii="Times New Roman" w:hAnsi="Times New Roman" w:cs="Times New Roman"/>
        </w:rPr>
        <w:t>).</w:t>
      </w:r>
      <w:r w:rsidR="00465F6F">
        <w:rPr>
          <w:rFonts w:ascii="Times New Roman" w:hAnsi="Times New Roman" w:cs="Times New Roman"/>
        </w:rPr>
        <w:t xml:space="preserve"> </w:t>
      </w:r>
      <w:r w:rsidR="006C5B05">
        <w:rPr>
          <w:rFonts w:ascii="Times New Roman" w:hAnsi="Times New Roman" w:cs="Times New Roman"/>
        </w:rPr>
        <w:t xml:space="preserve"> </w:t>
      </w:r>
      <w:r w:rsidR="00666104">
        <w:rPr>
          <w:rFonts w:ascii="Times New Roman" w:hAnsi="Times New Roman" w:cs="Times New Roman"/>
        </w:rPr>
        <w:t xml:space="preserve">The two research authorisations are no longer current.  </w:t>
      </w:r>
      <w:r w:rsidR="006C5B05">
        <w:rPr>
          <w:rFonts w:ascii="Times New Roman" w:hAnsi="Times New Roman" w:cs="Times New Roman"/>
        </w:rPr>
        <w:t xml:space="preserve">Transitional provisions contained at Part 6 of the instrument will mean that public number directory publishers who hold a current authorisation under the </w:t>
      </w:r>
      <w:r w:rsidR="006C5B05" w:rsidRPr="00153236">
        <w:rPr>
          <w:rFonts w:ascii="Times New Roman" w:hAnsi="Times New Roman" w:cs="Times New Roman"/>
          <w:i/>
        </w:rPr>
        <w:t>Telecommunications Integrated Public Number Database Scheme 2007</w:t>
      </w:r>
      <w:r w:rsidR="006C5B05">
        <w:rPr>
          <w:rFonts w:ascii="Times New Roman" w:hAnsi="Times New Roman" w:cs="Times New Roman"/>
          <w:i/>
        </w:rPr>
        <w:t xml:space="preserve"> </w:t>
      </w:r>
      <w:r w:rsidR="006C5B05">
        <w:rPr>
          <w:rFonts w:ascii="Times New Roman" w:hAnsi="Times New Roman" w:cs="Times New Roman"/>
        </w:rPr>
        <w:t>will continue to hold those authorisations as if those authorisations had been granted under the instrument.  Those a</w:t>
      </w:r>
      <w:r w:rsidR="00C52755" w:rsidRPr="00C52755">
        <w:rPr>
          <w:rFonts w:ascii="Times New Roman" w:hAnsi="Times New Roman" w:cs="Times New Roman"/>
        </w:rPr>
        <w:t xml:space="preserve">uthorisation holders </w:t>
      </w:r>
      <w:r w:rsidR="006C5B05">
        <w:rPr>
          <w:rFonts w:ascii="Times New Roman" w:hAnsi="Times New Roman" w:cs="Times New Roman"/>
        </w:rPr>
        <w:t xml:space="preserve">will be </w:t>
      </w:r>
      <w:r w:rsidR="00C52755" w:rsidRPr="00C52755">
        <w:rPr>
          <w:rFonts w:ascii="Times New Roman" w:hAnsi="Times New Roman" w:cs="Times New Roman"/>
        </w:rPr>
        <w:t xml:space="preserve">required to </w:t>
      </w:r>
      <w:r w:rsidR="00817C05">
        <w:rPr>
          <w:rFonts w:ascii="Times New Roman" w:hAnsi="Times New Roman" w:cs="Times New Roman"/>
        </w:rPr>
        <w:t xml:space="preserve">continue to </w:t>
      </w:r>
      <w:r w:rsidR="00C52755" w:rsidRPr="00C52755">
        <w:rPr>
          <w:rFonts w:ascii="Times New Roman" w:hAnsi="Times New Roman" w:cs="Times New Roman"/>
        </w:rPr>
        <w:t xml:space="preserve">comply with obligations under the </w:t>
      </w:r>
      <w:r w:rsidR="006C5B05">
        <w:rPr>
          <w:rFonts w:ascii="Times New Roman" w:hAnsi="Times New Roman" w:cs="Times New Roman"/>
        </w:rPr>
        <w:t>instrument</w:t>
      </w:r>
      <w:r w:rsidR="00C52755" w:rsidRPr="00C52755">
        <w:rPr>
          <w:rFonts w:ascii="Times New Roman" w:hAnsi="Times New Roman" w:cs="Times New Roman"/>
        </w:rPr>
        <w:t xml:space="preserve">, the Act and </w:t>
      </w:r>
      <w:r w:rsidR="002E3738">
        <w:rPr>
          <w:rFonts w:ascii="Times New Roman" w:hAnsi="Times New Roman" w:cs="Times New Roman"/>
        </w:rPr>
        <w:t>related instruments, including those specified by the Minister.</w:t>
      </w:r>
    </w:p>
    <w:p w14:paraId="01173E68" w14:textId="074CB2F2" w:rsidR="00805358" w:rsidRDefault="00025ACE" w:rsidP="007419E7">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0DC0780A" w14:textId="6D4E100D" w:rsidR="00FE29E8" w:rsidRDefault="00FE29E8" w:rsidP="007419E7">
      <w:pPr>
        <w:rPr>
          <w:rFonts w:ascii="Times New Roman" w:hAnsi="Times New Roman" w:cs="Times New Roman"/>
        </w:rPr>
      </w:pPr>
      <w:r>
        <w:rPr>
          <w:rFonts w:ascii="Times New Roman" w:hAnsi="Times New Roman" w:cs="Times New Roman"/>
        </w:rPr>
        <w:t xml:space="preserve">The instrument is a legislative instrument for the purposes of the LA.  </w:t>
      </w:r>
    </w:p>
    <w:p w14:paraId="6A2E8396" w14:textId="77777777" w:rsidR="00BB076E" w:rsidRDefault="00BB076E" w:rsidP="007419E7">
      <w:pPr>
        <w:rPr>
          <w:rFonts w:ascii="Times New Roman" w:hAnsi="Times New Roman" w:cs="Times New Roman"/>
          <w:b/>
        </w:rPr>
      </w:pPr>
      <w:r>
        <w:rPr>
          <w:rFonts w:ascii="Times New Roman" w:hAnsi="Times New Roman" w:cs="Times New Roman"/>
          <w:b/>
        </w:rPr>
        <w:lastRenderedPageBreak/>
        <w:t>Documents incorporated by reference</w:t>
      </w:r>
    </w:p>
    <w:p w14:paraId="693C829B" w14:textId="516B53D7" w:rsidR="00256ACC" w:rsidRDefault="00D66519" w:rsidP="00D66519">
      <w:pPr>
        <w:pStyle w:val="PlainText"/>
        <w:rPr>
          <w:rFonts w:ascii="Times New Roman" w:hAnsi="Times New Roman" w:cs="Times New Roman"/>
        </w:rPr>
      </w:pPr>
      <w:r w:rsidRPr="00D66519">
        <w:rPr>
          <w:rFonts w:ascii="Times New Roman" w:hAnsi="Times New Roman" w:cs="Times New Roman"/>
        </w:rPr>
        <w:t>This</w:t>
      </w:r>
      <w:r w:rsidR="0052687A" w:rsidRPr="00D66519">
        <w:rPr>
          <w:rFonts w:ascii="Times New Roman" w:hAnsi="Times New Roman" w:cs="Times New Roman"/>
        </w:rPr>
        <w:t xml:space="preserve"> </w:t>
      </w:r>
      <w:r w:rsidRPr="00D66519">
        <w:rPr>
          <w:rFonts w:ascii="Times New Roman" w:hAnsi="Times New Roman" w:cs="Times New Roman"/>
        </w:rPr>
        <w:t>instrument incorporates the following Acts and legislative instruments (including by the adoption of definitions), or otherwise refers to them:</w:t>
      </w:r>
    </w:p>
    <w:p w14:paraId="1D7C4FA6" w14:textId="77777777" w:rsidR="00256ACC" w:rsidRDefault="00256ACC" w:rsidP="00D66519">
      <w:pPr>
        <w:pStyle w:val="PlainText"/>
        <w:rPr>
          <w:rFonts w:ascii="Times New Roman" w:hAnsi="Times New Roman" w:cs="Times New Roman"/>
        </w:rPr>
      </w:pPr>
    </w:p>
    <w:p w14:paraId="0841A491" w14:textId="56BAA888" w:rsidR="00C17DC2" w:rsidRDefault="00C17DC2" w:rsidP="00362B2C">
      <w:pPr>
        <w:pStyle w:val="PlainText"/>
        <w:numPr>
          <w:ilvl w:val="0"/>
          <w:numId w:val="22"/>
        </w:numPr>
        <w:rPr>
          <w:rFonts w:ascii="Times New Roman" w:hAnsi="Times New Roman" w:cs="Times New Roman"/>
        </w:rPr>
      </w:pPr>
      <w:r>
        <w:rPr>
          <w:rFonts w:ascii="Times New Roman" w:hAnsi="Times New Roman" w:cs="Times New Roman"/>
        </w:rPr>
        <w:t xml:space="preserve">the </w:t>
      </w:r>
      <w:r w:rsidRPr="00FB7DF7">
        <w:rPr>
          <w:rFonts w:ascii="Times New Roman" w:hAnsi="Times New Roman" w:cs="Times New Roman"/>
          <w:i/>
        </w:rPr>
        <w:t xml:space="preserve">Australian </w:t>
      </w:r>
      <w:r>
        <w:rPr>
          <w:rFonts w:ascii="Times New Roman" w:hAnsi="Times New Roman" w:cs="Times New Roman"/>
          <w:i/>
        </w:rPr>
        <w:t>Communications and Media Authority</w:t>
      </w:r>
      <w:r w:rsidRPr="00FB7DF7">
        <w:rPr>
          <w:rFonts w:ascii="Times New Roman" w:hAnsi="Times New Roman" w:cs="Times New Roman"/>
          <w:i/>
        </w:rPr>
        <w:t xml:space="preserve"> Act 20</w:t>
      </w:r>
      <w:r>
        <w:rPr>
          <w:rFonts w:ascii="Times New Roman" w:hAnsi="Times New Roman" w:cs="Times New Roman"/>
          <w:i/>
        </w:rPr>
        <w:t>05</w:t>
      </w:r>
      <w:r w:rsidRPr="00362B2C">
        <w:rPr>
          <w:rFonts w:ascii="Times New Roman" w:hAnsi="Times New Roman" w:cs="Times New Roman"/>
          <w:i/>
        </w:rPr>
        <w:t>;</w:t>
      </w:r>
    </w:p>
    <w:p w14:paraId="567E2F13" w14:textId="77777777" w:rsidR="00256ACC" w:rsidRDefault="00256ACC" w:rsidP="00362B2C">
      <w:pPr>
        <w:pStyle w:val="PlainText"/>
        <w:numPr>
          <w:ilvl w:val="0"/>
          <w:numId w:val="22"/>
        </w:numPr>
        <w:rPr>
          <w:rFonts w:ascii="Times New Roman" w:hAnsi="Times New Roman" w:cs="Times New Roman"/>
        </w:rPr>
      </w:pPr>
      <w:r>
        <w:rPr>
          <w:rFonts w:ascii="Times New Roman" w:hAnsi="Times New Roman" w:cs="Times New Roman"/>
        </w:rPr>
        <w:t xml:space="preserve">the </w:t>
      </w:r>
      <w:r w:rsidRPr="00FB7DF7">
        <w:rPr>
          <w:rFonts w:ascii="Times New Roman" w:hAnsi="Times New Roman" w:cs="Times New Roman"/>
          <w:i/>
        </w:rPr>
        <w:t>Australian Information Commissioner Act 2010</w:t>
      </w:r>
      <w:r w:rsidRPr="00362B2C">
        <w:rPr>
          <w:rFonts w:ascii="Times New Roman" w:hAnsi="Times New Roman" w:cs="Times New Roman"/>
          <w:i/>
        </w:rPr>
        <w:t>;</w:t>
      </w:r>
    </w:p>
    <w:p w14:paraId="6A4527DB" w14:textId="77777777" w:rsidR="00C32740" w:rsidRPr="00006D58" w:rsidRDefault="00C32740" w:rsidP="00362B2C">
      <w:pPr>
        <w:pStyle w:val="PlainText"/>
        <w:numPr>
          <w:ilvl w:val="0"/>
          <w:numId w:val="22"/>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Do Not Call Register Act 2006;</w:t>
      </w:r>
    </w:p>
    <w:p w14:paraId="41E0D447" w14:textId="77777777" w:rsidR="00256ACC" w:rsidRDefault="00256ACC" w:rsidP="00362B2C">
      <w:pPr>
        <w:pStyle w:val="PlainText"/>
        <w:numPr>
          <w:ilvl w:val="0"/>
          <w:numId w:val="22"/>
        </w:numPr>
        <w:rPr>
          <w:rFonts w:ascii="Times New Roman" w:hAnsi="Times New Roman" w:cs="Times New Roman"/>
        </w:rPr>
      </w:pPr>
      <w:r>
        <w:rPr>
          <w:rFonts w:ascii="Times New Roman" w:hAnsi="Times New Roman" w:cs="Times New Roman"/>
        </w:rPr>
        <w:t xml:space="preserve">the </w:t>
      </w:r>
      <w:r w:rsidRPr="00FB7DF7">
        <w:rPr>
          <w:rFonts w:ascii="Times New Roman" w:hAnsi="Times New Roman" w:cs="Times New Roman"/>
          <w:i/>
        </w:rPr>
        <w:t>Privacy Act 1988</w:t>
      </w:r>
      <w:r w:rsidRPr="00DE3A27">
        <w:rPr>
          <w:rFonts w:ascii="Times New Roman" w:hAnsi="Times New Roman" w:cs="Times New Roman"/>
          <w:i/>
        </w:rPr>
        <w:t>;</w:t>
      </w:r>
    </w:p>
    <w:p w14:paraId="5C22B695" w14:textId="3F674F2B" w:rsidR="00C32740" w:rsidRDefault="00C32740" w:rsidP="00362B2C">
      <w:pPr>
        <w:pStyle w:val="PlainText"/>
        <w:numPr>
          <w:ilvl w:val="0"/>
          <w:numId w:val="22"/>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Spam Act 2003</w:t>
      </w:r>
      <w:r w:rsidRPr="00362B2C">
        <w:rPr>
          <w:rFonts w:ascii="Times New Roman" w:hAnsi="Times New Roman" w:cs="Times New Roman"/>
          <w:i/>
        </w:rPr>
        <w:t>;</w:t>
      </w:r>
    </w:p>
    <w:p w14:paraId="20782D70" w14:textId="77777777" w:rsidR="006C5B05" w:rsidRDefault="006C5B05" w:rsidP="00362B2C">
      <w:pPr>
        <w:pStyle w:val="PlainText"/>
        <w:numPr>
          <w:ilvl w:val="0"/>
          <w:numId w:val="22"/>
        </w:numPr>
        <w:rPr>
          <w:rFonts w:ascii="Times New Roman" w:hAnsi="Times New Roman" w:cs="Times New Roman"/>
        </w:rPr>
      </w:pPr>
      <w:r>
        <w:rPr>
          <w:rFonts w:ascii="Times New Roman" w:hAnsi="Times New Roman" w:cs="Times New Roman"/>
        </w:rPr>
        <w:t xml:space="preserve">the </w:t>
      </w:r>
      <w:r w:rsidRPr="00FB7DF7">
        <w:rPr>
          <w:rFonts w:ascii="Times New Roman" w:hAnsi="Times New Roman" w:cs="Times New Roman"/>
          <w:i/>
        </w:rPr>
        <w:t>Telecommunications Act 199</w:t>
      </w:r>
      <w:r w:rsidRPr="00FB7DF7">
        <w:rPr>
          <w:rFonts w:ascii="Times New Roman" w:hAnsi="Times New Roman" w:cs="Times New Roman"/>
        </w:rPr>
        <w:t>7</w:t>
      </w:r>
      <w:r w:rsidRPr="00362B2C">
        <w:rPr>
          <w:rFonts w:ascii="Times New Roman" w:hAnsi="Times New Roman" w:cs="Times New Roman"/>
          <w:i/>
        </w:rPr>
        <w:t>;</w:t>
      </w:r>
    </w:p>
    <w:p w14:paraId="07FD5A80" w14:textId="27692EBD" w:rsidR="00CE5063" w:rsidRDefault="005330CD" w:rsidP="00362B2C">
      <w:pPr>
        <w:pStyle w:val="PlainText"/>
        <w:numPr>
          <w:ilvl w:val="0"/>
          <w:numId w:val="22"/>
        </w:numPr>
        <w:rPr>
          <w:rFonts w:ascii="Times New Roman" w:hAnsi="Times New Roman" w:cs="Times New Roman"/>
        </w:rPr>
      </w:pPr>
      <w:r>
        <w:rPr>
          <w:rFonts w:ascii="Times New Roman" w:hAnsi="Times New Roman" w:cs="Times New Roman"/>
        </w:rPr>
        <w:t>t</w:t>
      </w:r>
      <w:r w:rsidR="00CE5063">
        <w:rPr>
          <w:rFonts w:ascii="Times New Roman" w:hAnsi="Times New Roman" w:cs="Times New Roman"/>
        </w:rPr>
        <w:t xml:space="preserve">he </w:t>
      </w:r>
      <w:r w:rsidR="00CE5063" w:rsidRPr="00FB7DF7">
        <w:rPr>
          <w:rFonts w:ascii="Times New Roman" w:hAnsi="Times New Roman" w:cs="Times New Roman"/>
          <w:i/>
        </w:rPr>
        <w:t>Telecommunications Integrated Public Number Database Scheme 2007;</w:t>
      </w:r>
    </w:p>
    <w:p w14:paraId="0D7A4582" w14:textId="7954F936" w:rsidR="00CE5063" w:rsidRDefault="005330CD" w:rsidP="00362B2C">
      <w:pPr>
        <w:pStyle w:val="PlainText"/>
        <w:numPr>
          <w:ilvl w:val="0"/>
          <w:numId w:val="22"/>
        </w:numPr>
        <w:rPr>
          <w:rFonts w:ascii="Times New Roman" w:hAnsi="Times New Roman" w:cs="Times New Roman"/>
        </w:rPr>
      </w:pPr>
      <w:r>
        <w:rPr>
          <w:rFonts w:ascii="Times New Roman" w:hAnsi="Times New Roman" w:cs="Times New Roman"/>
        </w:rPr>
        <w:t>t</w:t>
      </w:r>
      <w:r w:rsidR="00CE5063">
        <w:rPr>
          <w:rFonts w:ascii="Times New Roman" w:hAnsi="Times New Roman" w:cs="Times New Roman"/>
        </w:rPr>
        <w:t xml:space="preserve">he </w:t>
      </w:r>
      <w:r w:rsidR="00CE5063" w:rsidRPr="00FB7DF7">
        <w:rPr>
          <w:rFonts w:ascii="Times New Roman" w:hAnsi="Times New Roman" w:cs="Times New Roman"/>
          <w:i/>
        </w:rPr>
        <w:t>Telecommunications (Integrated Public Number Database Scheme—Conditions for Authorisations) Determinati</w:t>
      </w:r>
      <w:r w:rsidR="00FB7DF7" w:rsidRPr="00FB7DF7">
        <w:rPr>
          <w:rFonts w:ascii="Times New Roman" w:hAnsi="Times New Roman" w:cs="Times New Roman"/>
          <w:i/>
        </w:rPr>
        <w:t>o</w:t>
      </w:r>
      <w:r w:rsidR="00CE5063" w:rsidRPr="00FB7DF7">
        <w:rPr>
          <w:rFonts w:ascii="Times New Roman" w:hAnsi="Times New Roman" w:cs="Times New Roman"/>
          <w:i/>
        </w:rPr>
        <w:t>n 2007 (No.</w:t>
      </w:r>
      <w:r w:rsidR="00C32740">
        <w:rPr>
          <w:rFonts w:ascii="Times New Roman" w:hAnsi="Times New Roman" w:cs="Times New Roman"/>
          <w:i/>
        </w:rPr>
        <w:t xml:space="preserve"> </w:t>
      </w:r>
      <w:r w:rsidR="00CE5063" w:rsidRPr="00FB7DF7">
        <w:rPr>
          <w:rFonts w:ascii="Times New Roman" w:hAnsi="Times New Roman" w:cs="Times New Roman"/>
          <w:i/>
        </w:rPr>
        <w:t>1);</w:t>
      </w:r>
    </w:p>
    <w:p w14:paraId="5F0B2CAF" w14:textId="4BE98F97" w:rsidR="006C5B05" w:rsidRDefault="006C5B05" w:rsidP="00362B2C">
      <w:pPr>
        <w:pStyle w:val="PlainText"/>
        <w:numPr>
          <w:ilvl w:val="0"/>
          <w:numId w:val="22"/>
        </w:numPr>
        <w:rPr>
          <w:rFonts w:ascii="Times New Roman" w:hAnsi="Times New Roman" w:cs="Times New Roman"/>
        </w:rPr>
      </w:pPr>
      <w:r>
        <w:rPr>
          <w:rFonts w:ascii="Times New Roman" w:hAnsi="Times New Roman" w:cs="Times New Roman"/>
        </w:rPr>
        <w:t>t</w:t>
      </w:r>
      <w:r w:rsidRPr="00FB7DF7">
        <w:rPr>
          <w:rFonts w:ascii="Times New Roman" w:hAnsi="Times New Roman" w:cs="Times New Roman"/>
        </w:rPr>
        <w:t xml:space="preserve">he </w:t>
      </w:r>
      <w:r w:rsidRPr="00FB7DF7">
        <w:rPr>
          <w:rFonts w:ascii="Times New Roman" w:hAnsi="Times New Roman" w:cs="Times New Roman"/>
          <w:i/>
        </w:rPr>
        <w:t>Telecommunications (Integrated Public Number Database Scheme—Criteria for Deciding Authorisation Applications) Instrument 2007 (No.</w:t>
      </w:r>
      <w:r w:rsidR="00C32740">
        <w:rPr>
          <w:rFonts w:ascii="Times New Roman" w:hAnsi="Times New Roman" w:cs="Times New Roman"/>
          <w:i/>
        </w:rPr>
        <w:t xml:space="preserve"> </w:t>
      </w:r>
      <w:r w:rsidRPr="00FB7DF7">
        <w:rPr>
          <w:rFonts w:ascii="Times New Roman" w:hAnsi="Times New Roman" w:cs="Times New Roman"/>
          <w:i/>
        </w:rPr>
        <w:t>1);</w:t>
      </w:r>
    </w:p>
    <w:p w14:paraId="4ABE3075" w14:textId="5B7328CA" w:rsidR="006C5B05" w:rsidRPr="00FB7DF7" w:rsidRDefault="006C5B05" w:rsidP="00362B2C">
      <w:pPr>
        <w:pStyle w:val="PlainText"/>
        <w:numPr>
          <w:ilvl w:val="0"/>
          <w:numId w:val="22"/>
        </w:numPr>
        <w:rPr>
          <w:rFonts w:ascii="Times New Roman" w:hAnsi="Times New Roman" w:cs="Times New Roman"/>
        </w:rPr>
      </w:pPr>
      <w:r>
        <w:rPr>
          <w:rFonts w:ascii="Times New Roman" w:hAnsi="Times New Roman" w:cs="Times New Roman"/>
        </w:rPr>
        <w:t xml:space="preserve">the </w:t>
      </w:r>
      <w:r w:rsidRPr="00FB7DF7">
        <w:rPr>
          <w:rFonts w:ascii="Times New Roman" w:hAnsi="Times New Roman" w:cs="Times New Roman"/>
          <w:i/>
        </w:rPr>
        <w:t>Telecommunications (Integrated Public Number Database—Permitted Research Pu</w:t>
      </w:r>
      <w:r>
        <w:rPr>
          <w:rFonts w:ascii="Times New Roman" w:hAnsi="Times New Roman" w:cs="Times New Roman"/>
          <w:i/>
        </w:rPr>
        <w:t xml:space="preserve">rposes) Instrument 2007 (No. 1); </w:t>
      </w:r>
    </w:p>
    <w:p w14:paraId="27661AE6" w14:textId="5757A232" w:rsidR="00FB7DF7" w:rsidRDefault="005330CD" w:rsidP="00362B2C">
      <w:pPr>
        <w:pStyle w:val="PlainText"/>
        <w:numPr>
          <w:ilvl w:val="0"/>
          <w:numId w:val="22"/>
        </w:numPr>
        <w:rPr>
          <w:rFonts w:ascii="Times New Roman" w:hAnsi="Times New Roman" w:cs="Times New Roman"/>
        </w:rPr>
      </w:pPr>
      <w:r>
        <w:rPr>
          <w:rFonts w:ascii="Times New Roman" w:hAnsi="Times New Roman" w:cs="Times New Roman"/>
        </w:rPr>
        <w:t>t</w:t>
      </w:r>
      <w:r w:rsidR="00FB7DF7">
        <w:rPr>
          <w:rFonts w:ascii="Times New Roman" w:hAnsi="Times New Roman" w:cs="Times New Roman"/>
        </w:rPr>
        <w:t xml:space="preserve">he </w:t>
      </w:r>
      <w:r w:rsidR="00FB7DF7" w:rsidRPr="00FB7DF7">
        <w:rPr>
          <w:rFonts w:ascii="Times New Roman" w:hAnsi="Times New Roman" w:cs="Times New Roman"/>
          <w:i/>
        </w:rPr>
        <w:t>Telecommunications (Integrated Public Number Database—Public Number Directory Requirements) Instrument 2007 (No. 1);</w:t>
      </w:r>
      <w:r w:rsidR="00666104">
        <w:rPr>
          <w:rFonts w:ascii="Times New Roman" w:hAnsi="Times New Roman" w:cs="Times New Roman"/>
          <w:i/>
        </w:rPr>
        <w:t xml:space="preserve"> </w:t>
      </w:r>
      <w:r w:rsidR="00666104">
        <w:rPr>
          <w:rFonts w:ascii="Times New Roman" w:hAnsi="Times New Roman" w:cs="Times New Roman"/>
        </w:rPr>
        <w:t>and</w:t>
      </w:r>
    </w:p>
    <w:p w14:paraId="073F3989" w14:textId="6BF0A9D8" w:rsidR="00FB7DF7" w:rsidRDefault="005330CD" w:rsidP="00362B2C">
      <w:pPr>
        <w:pStyle w:val="PlainText"/>
        <w:numPr>
          <w:ilvl w:val="0"/>
          <w:numId w:val="22"/>
        </w:numPr>
        <w:rPr>
          <w:rFonts w:ascii="Times New Roman" w:hAnsi="Times New Roman" w:cs="Times New Roman"/>
        </w:rPr>
      </w:pPr>
      <w:r>
        <w:rPr>
          <w:rFonts w:ascii="Times New Roman" w:hAnsi="Times New Roman" w:cs="Times New Roman"/>
        </w:rPr>
        <w:t>t</w:t>
      </w:r>
      <w:r w:rsidR="00FB7DF7">
        <w:rPr>
          <w:rFonts w:ascii="Times New Roman" w:hAnsi="Times New Roman" w:cs="Times New Roman"/>
        </w:rPr>
        <w:t xml:space="preserve">he </w:t>
      </w:r>
      <w:r w:rsidR="00FB7DF7" w:rsidRPr="00FB7DF7">
        <w:rPr>
          <w:rFonts w:ascii="Times New Roman" w:hAnsi="Times New Roman" w:cs="Times New Roman"/>
          <w:i/>
        </w:rPr>
        <w:t>Telecommunications (Integrated Public Number Database—Public Number Directory Additional Information) Instrument 2007 (No. 1)</w:t>
      </w:r>
      <w:r w:rsidR="006C5B05">
        <w:rPr>
          <w:rFonts w:ascii="Times New Roman" w:hAnsi="Times New Roman" w:cs="Times New Roman"/>
          <w:i/>
        </w:rPr>
        <w:t>.</w:t>
      </w:r>
    </w:p>
    <w:p w14:paraId="406E597B" w14:textId="77777777" w:rsidR="00CE5063" w:rsidRDefault="00CE5063" w:rsidP="00CE5063">
      <w:pPr>
        <w:pStyle w:val="PlainText"/>
        <w:rPr>
          <w:rFonts w:ascii="Times New Roman" w:hAnsi="Times New Roman" w:cs="Times New Roman"/>
        </w:rPr>
      </w:pPr>
    </w:p>
    <w:p w14:paraId="5EB67B88" w14:textId="5C3E45AF" w:rsidR="00CE5063" w:rsidRPr="00CE5063" w:rsidRDefault="00CE5063" w:rsidP="00CE5063">
      <w:pPr>
        <w:pStyle w:val="PlainText"/>
        <w:rPr>
          <w:rFonts w:ascii="Times New Roman" w:hAnsi="Times New Roman" w:cs="Times New Roman"/>
        </w:rPr>
      </w:pPr>
      <w:r w:rsidRPr="00CE5063">
        <w:rPr>
          <w:rFonts w:ascii="Times New Roman" w:hAnsi="Times New Roman" w:cs="Times New Roman"/>
        </w:rPr>
        <w:t>The Acts and legislative instruments listed above may be obtained from the Federal Register of Legislation (</w:t>
      </w:r>
      <w:hyperlink r:id="rId8" w:history="1">
        <w:r w:rsidRPr="00CE5063">
          <w:rPr>
            <w:rStyle w:val="Hyperlink"/>
            <w:rFonts w:ascii="Times New Roman" w:hAnsi="Times New Roman" w:cs="Times New Roman"/>
          </w:rPr>
          <w:t>http://www.legislation.gov.au</w:t>
        </w:r>
      </w:hyperlink>
      <w:r w:rsidRPr="00CE5063">
        <w:rPr>
          <w:rFonts w:ascii="Times New Roman" w:hAnsi="Times New Roman" w:cs="Times New Roman"/>
        </w:rPr>
        <w:t xml:space="preserve">).  The Acts listed above are incorporated as in force from time to time, in accordance with section 10 of the </w:t>
      </w:r>
      <w:r w:rsidRPr="00817C05">
        <w:rPr>
          <w:rFonts w:ascii="Times New Roman" w:hAnsi="Times New Roman" w:cs="Times New Roman"/>
          <w:i/>
        </w:rPr>
        <w:t>Acts Interpretation Act 1901</w:t>
      </w:r>
      <w:r w:rsidRPr="00CE5063">
        <w:rPr>
          <w:rFonts w:ascii="Times New Roman" w:hAnsi="Times New Roman" w:cs="Times New Roman"/>
        </w:rPr>
        <w:t xml:space="preserve"> and subsection 13(1) of the LA. The legislative instruments listed above are incorporated as in force from time to time, in accordance with section </w:t>
      </w:r>
      <w:r w:rsidR="006C5B05">
        <w:rPr>
          <w:rFonts w:ascii="Times New Roman" w:hAnsi="Times New Roman" w:cs="Times New Roman"/>
        </w:rPr>
        <w:t>1.5</w:t>
      </w:r>
      <w:r w:rsidRPr="00CE5063">
        <w:rPr>
          <w:rFonts w:ascii="Times New Roman" w:hAnsi="Times New Roman" w:cs="Times New Roman"/>
        </w:rPr>
        <w:t xml:space="preserve"> of the instrument an</w:t>
      </w:r>
      <w:r>
        <w:rPr>
          <w:rFonts w:ascii="Times New Roman" w:hAnsi="Times New Roman" w:cs="Times New Roman"/>
        </w:rPr>
        <w:t>d subsection 14(1) of the LA.</w:t>
      </w:r>
    </w:p>
    <w:p w14:paraId="73151D45" w14:textId="77777777" w:rsidR="00CE5063" w:rsidRPr="00D66519" w:rsidRDefault="00CE5063" w:rsidP="00CE5063">
      <w:pPr>
        <w:pStyle w:val="PlainText"/>
        <w:rPr>
          <w:rFonts w:ascii="Times New Roman" w:hAnsi="Times New Roman" w:cs="Times New Roman"/>
        </w:rPr>
      </w:pPr>
    </w:p>
    <w:p w14:paraId="28832377" w14:textId="77777777" w:rsidR="00BB076E" w:rsidRPr="00BB076E" w:rsidRDefault="00BB076E" w:rsidP="007419E7">
      <w:pPr>
        <w:rPr>
          <w:rFonts w:ascii="Times New Roman" w:hAnsi="Times New Roman" w:cs="Times New Roman"/>
          <w:b/>
        </w:rPr>
      </w:pPr>
      <w:r w:rsidRPr="00BB076E">
        <w:rPr>
          <w:rFonts w:ascii="Times New Roman" w:hAnsi="Times New Roman" w:cs="Times New Roman"/>
          <w:b/>
        </w:rPr>
        <w:t>Consultation</w:t>
      </w:r>
    </w:p>
    <w:p w14:paraId="1EB4A0D6" w14:textId="73F09E3A" w:rsidR="00681986" w:rsidRDefault="00681986" w:rsidP="007419E7">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instrument</w:t>
      </w:r>
      <w:r w:rsidR="00CA40FA">
        <w:rPr>
          <w:rFonts w:ascii="Times New Roman" w:hAnsi="Times New Roman" w:cs="Times New Roman"/>
        </w:rPr>
        <w:t xml:space="preserve"> 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r w:rsidR="000C6436">
        <w:rPr>
          <w:rFonts w:ascii="Times New Roman" w:hAnsi="Times New Roman" w:cs="Times New Roman"/>
        </w:rPr>
        <w:t xml:space="preserve">  </w:t>
      </w:r>
    </w:p>
    <w:p w14:paraId="704F5953" w14:textId="292063B6" w:rsidR="00956EBF" w:rsidRDefault="00956EBF" w:rsidP="007419E7">
      <w:pPr>
        <w:rPr>
          <w:rFonts w:ascii="Times New Roman" w:hAnsi="Times New Roman" w:cs="Times New Roman"/>
        </w:rPr>
      </w:pPr>
      <w:r w:rsidRPr="00956EBF">
        <w:rPr>
          <w:rFonts w:ascii="Times New Roman" w:hAnsi="Times New Roman" w:cs="Times New Roman"/>
        </w:rPr>
        <w:t xml:space="preserve">The ACMA consulted with industry stakeholders and the general public on the making of the </w:t>
      </w:r>
      <w:r w:rsidR="006C5B05">
        <w:rPr>
          <w:rFonts w:ascii="Times New Roman" w:hAnsi="Times New Roman" w:cs="Times New Roman"/>
        </w:rPr>
        <w:t>instrument</w:t>
      </w:r>
      <w:r w:rsidRPr="00956EBF">
        <w:rPr>
          <w:rFonts w:ascii="Times New Roman" w:hAnsi="Times New Roman" w:cs="Times New Roman"/>
        </w:rPr>
        <w:t xml:space="preserve">. Between 19 December 2016 and 31 January 2017, the ACMA conducted a public consultation process inviting submissions on the proposed changes through the release of a draft instrument and a consultation paper on the ACMA’s website. </w:t>
      </w:r>
    </w:p>
    <w:p w14:paraId="25A1E8E3" w14:textId="10AA5B38" w:rsidR="00817C05" w:rsidRPr="00956EBF" w:rsidRDefault="00817C05" w:rsidP="00817C05">
      <w:pPr>
        <w:pStyle w:val="ACMABodyText"/>
        <w:spacing w:before="120" w:line="240" w:lineRule="auto"/>
      </w:pPr>
      <w:r w:rsidRPr="00956EBF">
        <w:rPr>
          <w:snapToGrid/>
          <w:sz w:val="22"/>
          <w:szCs w:val="22"/>
        </w:rPr>
        <w:lastRenderedPageBreak/>
        <w:t xml:space="preserve">As required under section 295M of the Act, the ACMA </w:t>
      </w:r>
      <w:r>
        <w:rPr>
          <w:snapToGrid/>
          <w:sz w:val="22"/>
          <w:szCs w:val="22"/>
        </w:rPr>
        <w:t xml:space="preserve">also </w:t>
      </w:r>
      <w:r w:rsidRPr="00956EBF">
        <w:rPr>
          <w:snapToGrid/>
          <w:sz w:val="22"/>
          <w:szCs w:val="22"/>
        </w:rPr>
        <w:t xml:space="preserve">consulted the Information Commissioner and Secretary of the Attorney-General’s Department on the proposed </w:t>
      </w:r>
      <w:r>
        <w:rPr>
          <w:snapToGrid/>
          <w:sz w:val="22"/>
          <w:szCs w:val="22"/>
        </w:rPr>
        <w:t>instrument</w:t>
      </w:r>
      <w:r w:rsidRPr="00956EBF">
        <w:rPr>
          <w:snapToGrid/>
          <w:sz w:val="22"/>
          <w:szCs w:val="22"/>
        </w:rPr>
        <w:t>. The ACMA also consulted the Department</w:t>
      </w:r>
      <w:r w:rsidR="0070031C">
        <w:rPr>
          <w:snapToGrid/>
          <w:sz w:val="22"/>
          <w:szCs w:val="22"/>
        </w:rPr>
        <w:t xml:space="preserve"> of Communications and the Arts (</w:t>
      </w:r>
      <w:r w:rsidR="00A863D3" w:rsidRPr="009B5430">
        <w:rPr>
          <w:b/>
          <w:snapToGrid/>
          <w:sz w:val="22"/>
          <w:szCs w:val="22"/>
        </w:rPr>
        <w:t>the</w:t>
      </w:r>
      <w:r w:rsidR="00A863D3">
        <w:rPr>
          <w:snapToGrid/>
          <w:sz w:val="22"/>
          <w:szCs w:val="22"/>
        </w:rPr>
        <w:t xml:space="preserve"> </w:t>
      </w:r>
      <w:r w:rsidR="0070031C" w:rsidRPr="0070031C">
        <w:rPr>
          <w:b/>
          <w:snapToGrid/>
          <w:sz w:val="22"/>
          <w:szCs w:val="22"/>
        </w:rPr>
        <w:t>Department</w:t>
      </w:r>
      <w:r w:rsidR="0070031C">
        <w:rPr>
          <w:snapToGrid/>
          <w:sz w:val="22"/>
          <w:szCs w:val="22"/>
        </w:rPr>
        <w:t>)</w:t>
      </w:r>
      <w:r w:rsidRPr="00956EBF">
        <w:rPr>
          <w:snapToGrid/>
          <w:sz w:val="22"/>
          <w:szCs w:val="22"/>
        </w:rPr>
        <w:t xml:space="preserve">, the IPND Manager and the Research Industry Council of Australia.  </w:t>
      </w:r>
    </w:p>
    <w:p w14:paraId="2F22A776" w14:textId="69C9ED4B" w:rsidR="00956EBF" w:rsidRPr="00956EBF" w:rsidRDefault="00956EBF" w:rsidP="007419E7">
      <w:pPr>
        <w:pStyle w:val="ACMABodyText"/>
        <w:rPr>
          <w:snapToGrid/>
          <w:sz w:val="22"/>
          <w:szCs w:val="22"/>
        </w:rPr>
      </w:pPr>
      <w:r w:rsidRPr="00956EBF">
        <w:rPr>
          <w:snapToGrid/>
          <w:sz w:val="22"/>
          <w:szCs w:val="22"/>
        </w:rPr>
        <w:t xml:space="preserve">The consultation paper </w:t>
      </w:r>
      <w:r w:rsidR="006C5B05">
        <w:rPr>
          <w:snapToGrid/>
          <w:sz w:val="22"/>
          <w:szCs w:val="22"/>
        </w:rPr>
        <w:t xml:space="preserve">outlined </w:t>
      </w:r>
      <w:r w:rsidRPr="00956EBF">
        <w:rPr>
          <w:snapToGrid/>
          <w:sz w:val="22"/>
          <w:szCs w:val="22"/>
        </w:rPr>
        <w:t xml:space="preserve">the </w:t>
      </w:r>
      <w:r w:rsidR="004267C1">
        <w:rPr>
          <w:snapToGrid/>
          <w:sz w:val="22"/>
          <w:szCs w:val="22"/>
        </w:rPr>
        <w:t>following</w:t>
      </w:r>
      <w:r w:rsidRPr="00956EBF">
        <w:rPr>
          <w:snapToGrid/>
          <w:sz w:val="22"/>
          <w:szCs w:val="22"/>
        </w:rPr>
        <w:t xml:space="preserve"> </w:t>
      </w:r>
      <w:r w:rsidR="006C5B05">
        <w:rPr>
          <w:snapToGrid/>
          <w:sz w:val="22"/>
          <w:szCs w:val="22"/>
        </w:rPr>
        <w:t xml:space="preserve">proposed </w:t>
      </w:r>
      <w:r w:rsidRPr="00956EBF">
        <w:rPr>
          <w:snapToGrid/>
          <w:sz w:val="22"/>
          <w:szCs w:val="22"/>
        </w:rPr>
        <w:t xml:space="preserve">changes to improve the operation of the </w:t>
      </w:r>
      <w:r w:rsidR="008971DC">
        <w:rPr>
          <w:snapToGrid/>
          <w:sz w:val="22"/>
          <w:szCs w:val="22"/>
        </w:rPr>
        <w:t>s</w:t>
      </w:r>
      <w:r w:rsidRPr="00956EBF">
        <w:rPr>
          <w:snapToGrid/>
          <w:sz w:val="22"/>
          <w:szCs w:val="22"/>
        </w:rPr>
        <w:t>cheme:</w:t>
      </w:r>
    </w:p>
    <w:p w14:paraId="39EC60AA" w14:textId="42230CEF" w:rsidR="009557AA" w:rsidRPr="00956EBF" w:rsidRDefault="009557AA" w:rsidP="00362B2C">
      <w:pPr>
        <w:pStyle w:val="ListParagraph"/>
        <w:numPr>
          <w:ilvl w:val="0"/>
          <w:numId w:val="9"/>
        </w:numPr>
        <w:spacing w:after="240"/>
        <w:rPr>
          <w:rFonts w:ascii="Times New Roman" w:hAnsi="Times New Roman" w:cs="Times New Roman"/>
        </w:rPr>
      </w:pPr>
      <w:r w:rsidRPr="00956EBF">
        <w:rPr>
          <w:rFonts w:ascii="Times New Roman" w:hAnsi="Times New Roman" w:cs="Times New Roman"/>
        </w:rPr>
        <w:t xml:space="preserve">allowing the ACMA to grant </w:t>
      </w:r>
      <w:r w:rsidR="008971DC">
        <w:rPr>
          <w:rFonts w:ascii="Times New Roman" w:hAnsi="Times New Roman" w:cs="Times New Roman"/>
        </w:rPr>
        <w:t>individual researchers</w:t>
      </w:r>
      <w:r w:rsidR="00D370F2">
        <w:rPr>
          <w:rFonts w:ascii="Times New Roman" w:hAnsi="Times New Roman" w:cs="Times New Roman"/>
        </w:rPr>
        <w:t xml:space="preserve"> and representative bodies</w:t>
      </w:r>
      <w:r w:rsidR="008971DC">
        <w:rPr>
          <w:rFonts w:ascii="Times New Roman" w:hAnsi="Times New Roman" w:cs="Times New Roman"/>
        </w:rPr>
        <w:t xml:space="preserve"> </w:t>
      </w:r>
      <w:r w:rsidR="00D370F2">
        <w:rPr>
          <w:rFonts w:ascii="Times New Roman" w:hAnsi="Times New Roman" w:cs="Times New Roman"/>
        </w:rPr>
        <w:t xml:space="preserve">for researchers </w:t>
      </w:r>
      <w:r w:rsidR="008971DC">
        <w:rPr>
          <w:rFonts w:ascii="Times New Roman" w:hAnsi="Times New Roman" w:cs="Times New Roman"/>
        </w:rPr>
        <w:t xml:space="preserve">with </w:t>
      </w:r>
      <w:r w:rsidRPr="00956EBF">
        <w:rPr>
          <w:rFonts w:ascii="Times New Roman" w:hAnsi="Times New Roman" w:cs="Times New Roman"/>
        </w:rPr>
        <w:t>ongoing access</w:t>
      </w:r>
      <w:r w:rsidR="008971DC">
        <w:rPr>
          <w:rFonts w:ascii="Times New Roman" w:hAnsi="Times New Roman" w:cs="Times New Roman"/>
        </w:rPr>
        <w:t xml:space="preserve"> to IPND </w:t>
      </w:r>
      <w:r w:rsidR="00A67075">
        <w:rPr>
          <w:rFonts w:ascii="Times New Roman" w:hAnsi="Times New Roman" w:cs="Times New Roman"/>
        </w:rPr>
        <w:t>information</w:t>
      </w:r>
      <w:r w:rsidRPr="00956EBF">
        <w:rPr>
          <w:rFonts w:ascii="Times New Roman" w:hAnsi="Times New Roman" w:cs="Times New Roman"/>
        </w:rPr>
        <w:t xml:space="preserve">, subject to requirements such as </w:t>
      </w:r>
      <w:r w:rsidR="008971DC">
        <w:rPr>
          <w:rFonts w:ascii="Times New Roman" w:hAnsi="Times New Roman" w:cs="Times New Roman"/>
        </w:rPr>
        <w:t xml:space="preserve">completion of </w:t>
      </w:r>
      <w:r w:rsidRPr="00956EBF">
        <w:rPr>
          <w:rFonts w:ascii="Times New Roman" w:hAnsi="Times New Roman" w:cs="Times New Roman"/>
        </w:rPr>
        <w:t>a privacy impact assessment;</w:t>
      </w:r>
    </w:p>
    <w:p w14:paraId="5F7F1954" w14:textId="54D3FBD4" w:rsidR="00956EBF" w:rsidRPr="00956EBF" w:rsidRDefault="00956EBF" w:rsidP="00362B2C">
      <w:pPr>
        <w:pStyle w:val="ListParagraph"/>
        <w:numPr>
          <w:ilvl w:val="0"/>
          <w:numId w:val="9"/>
        </w:numPr>
        <w:spacing w:after="240"/>
        <w:rPr>
          <w:rFonts w:ascii="Times New Roman" w:hAnsi="Times New Roman" w:cs="Times New Roman"/>
        </w:rPr>
      </w:pPr>
      <w:r w:rsidRPr="00956EBF">
        <w:rPr>
          <w:rFonts w:ascii="Times New Roman" w:hAnsi="Times New Roman" w:cs="Times New Roman"/>
        </w:rPr>
        <w:t xml:space="preserve">facilitating the management of applications from researchers to </w:t>
      </w:r>
      <w:r w:rsidR="008971DC">
        <w:rPr>
          <w:rFonts w:ascii="Times New Roman" w:hAnsi="Times New Roman" w:cs="Times New Roman"/>
        </w:rPr>
        <w:t xml:space="preserve">a research entity that has been granted an authorisation to </w:t>
      </w:r>
      <w:r w:rsidRPr="00956EBF">
        <w:rPr>
          <w:rFonts w:ascii="Times New Roman" w:hAnsi="Times New Roman" w:cs="Times New Roman"/>
        </w:rPr>
        <w:t xml:space="preserve">access IPND </w:t>
      </w:r>
      <w:r w:rsidR="00A67075">
        <w:rPr>
          <w:rFonts w:ascii="Times New Roman" w:hAnsi="Times New Roman" w:cs="Times New Roman"/>
        </w:rPr>
        <w:t xml:space="preserve">information </w:t>
      </w:r>
      <w:r w:rsidR="008971DC">
        <w:rPr>
          <w:rFonts w:ascii="Times New Roman" w:hAnsi="Times New Roman" w:cs="Times New Roman"/>
        </w:rPr>
        <w:t>on an ongoing basis</w:t>
      </w:r>
      <w:r w:rsidRPr="00956EBF">
        <w:rPr>
          <w:rFonts w:ascii="Times New Roman" w:hAnsi="Times New Roman" w:cs="Times New Roman"/>
        </w:rPr>
        <w:t xml:space="preserve">, in controlled circumstances; </w:t>
      </w:r>
    </w:p>
    <w:p w14:paraId="361A2D7A" w14:textId="77777777" w:rsidR="00956EBF" w:rsidRPr="00956EBF" w:rsidRDefault="00956EBF" w:rsidP="00362B2C">
      <w:pPr>
        <w:pStyle w:val="ListParagraph"/>
        <w:numPr>
          <w:ilvl w:val="0"/>
          <w:numId w:val="8"/>
        </w:numPr>
        <w:rPr>
          <w:rFonts w:ascii="Times New Roman" w:hAnsi="Times New Roman" w:cs="Times New Roman"/>
        </w:rPr>
      </w:pPr>
      <w:r w:rsidRPr="00956EBF">
        <w:rPr>
          <w:rFonts w:ascii="Times New Roman" w:hAnsi="Times New Roman" w:cs="Times New Roman"/>
        </w:rPr>
        <w:t>making minor changes to simplify and improve the administration of the scheme.</w:t>
      </w:r>
    </w:p>
    <w:p w14:paraId="254F5EC3" w14:textId="18916768" w:rsidR="00956EBF" w:rsidRPr="00956EBF" w:rsidRDefault="00956EBF" w:rsidP="007419E7">
      <w:pPr>
        <w:pStyle w:val="ACMABodyText"/>
        <w:spacing w:before="120" w:line="240" w:lineRule="auto"/>
        <w:rPr>
          <w:snapToGrid/>
          <w:sz w:val="22"/>
          <w:szCs w:val="22"/>
        </w:rPr>
      </w:pPr>
      <w:r w:rsidRPr="00956EBF">
        <w:rPr>
          <w:snapToGrid/>
          <w:sz w:val="22"/>
          <w:szCs w:val="22"/>
        </w:rPr>
        <w:t xml:space="preserve">The proposed changes take </w:t>
      </w:r>
      <w:r w:rsidR="008971DC">
        <w:rPr>
          <w:snapToGrid/>
          <w:sz w:val="22"/>
          <w:szCs w:val="22"/>
        </w:rPr>
        <w:t xml:space="preserve">into </w:t>
      </w:r>
      <w:r w:rsidRPr="00956EBF">
        <w:rPr>
          <w:snapToGrid/>
          <w:sz w:val="22"/>
          <w:szCs w:val="22"/>
        </w:rPr>
        <w:t xml:space="preserve">account recommendations made by the Department following its review into the effectiveness of, and continued need for, the IPND in </w:t>
      </w:r>
      <w:r w:rsidRPr="00956EBF">
        <w:rPr>
          <w:sz w:val="22"/>
          <w:szCs w:val="22"/>
        </w:rPr>
        <w:t>April 2015.</w:t>
      </w:r>
      <w:r w:rsidRPr="00956EBF">
        <w:rPr>
          <w:rStyle w:val="FootnoteReference"/>
          <w:rFonts w:ascii="Times New Roman" w:hAnsi="Times New Roman"/>
          <w:sz w:val="22"/>
          <w:szCs w:val="22"/>
        </w:rPr>
        <w:footnoteReference w:id="6"/>
      </w:r>
    </w:p>
    <w:p w14:paraId="70F33694" w14:textId="4A8CBA92" w:rsidR="00956EBF" w:rsidRPr="00956EBF" w:rsidRDefault="00956EBF" w:rsidP="007419E7">
      <w:pPr>
        <w:pStyle w:val="ACMABodyText"/>
        <w:spacing w:before="120" w:line="240" w:lineRule="auto"/>
        <w:rPr>
          <w:snapToGrid/>
          <w:sz w:val="22"/>
          <w:szCs w:val="22"/>
        </w:rPr>
      </w:pPr>
      <w:r w:rsidRPr="00956EBF">
        <w:rPr>
          <w:snapToGrid/>
          <w:sz w:val="22"/>
          <w:szCs w:val="22"/>
        </w:rPr>
        <w:t xml:space="preserve">The consultation paper also explained the </w:t>
      </w:r>
      <w:proofErr w:type="spellStart"/>
      <w:r w:rsidRPr="00956EBF">
        <w:rPr>
          <w:snapToGrid/>
          <w:sz w:val="22"/>
          <w:szCs w:val="22"/>
        </w:rPr>
        <w:t>sunsetting</w:t>
      </w:r>
      <w:proofErr w:type="spellEnd"/>
      <w:r w:rsidRPr="00956EBF">
        <w:rPr>
          <w:snapToGrid/>
          <w:sz w:val="22"/>
          <w:szCs w:val="22"/>
        </w:rPr>
        <w:t xml:space="preserve"> process and the ACMA’s preliminary view that </w:t>
      </w:r>
      <w:r w:rsidR="00CC76E6">
        <w:rPr>
          <w:snapToGrid/>
          <w:sz w:val="22"/>
          <w:szCs w:val="22"/>
        </w:rPr>
        <w:t xml:space="preserve">most of the provisions in the </w:t>
      </w:r>
      <w:r w:rsidR="00CC76E6" w:rsidRPr="00D06CF5">
        <w:rPr>
          <w:i/>
          <w:snapToGrid/>
          <w:sz w:val="22"/>
          <w:szCs w:val="22"/>
        </w:rPr>
        <w:t>Telecommunications Integrated Public Number Database Scheme 2007</w:t>
      </w:r>
      <w:r w:rsidR="00CC76E6">
        <w:rPr>
          <w:snapToGrid/>
          <w:sz w:val="22"/>
          <w:szCs w:val="22"/>
        </w:rPr>
        <w:t xml:space="preserve"> are </w:t>
      </w:r>
      <w:r w:rsidRPr="00956EBF">
        <w:rPr>
          <w:snapToGrid/>
          <w:sz w:val="22"/>
          <w:szCs w:val="22"/>
        </w:rPr>
        <w:t>operating efficiently</w:t>
      </w:r>
      <w:r w:rsidR="0070031C">
        <w:rPr>
          <w:snapToGrid/>
          <w:sz w:val="22"/>
          <w:szCs w:val="22"/>
        </w:rPr>
        <w:t xml:space="preserve"> and effectively</w:t>
      </w:r>
      <w:r w:rsidRPr="00956EBF">
        <w:rPr>
          <w:snapToGrid/>
          <w:sz w:val="22"/>
          <w:szCs w:val="22"/>
        </w:rPr>
        <w:t xml:space="preserve"> but changes could be made to improve access</w:t>
      </w:r>
      <w:r w:rsidR="003D549D">
        <w:rPr>
          <w:snapToGrid/>
          <w:sz w:val="22"/>
          <w:szCs w:val="22"/>
        </w:rPr>
        <w:t xml:space="preserve"> to the IPND</w:t>
      </w:r>
      <w:r w:rsidRPr="00956EBF">
        <w:rPr>
          <w:snapToGrid/>
          <w:sz w:val="22"/>
          <w:szCs w:val="22"/>
        </w:rPr>
        <w:t xml:space="preserve"> to assist researchers </w:t>
      </w:r>
      <w:r w:rsidR="00CC76E6">
        <w:rPr>
          <w:snapToGrid/>
          <w:sz w:val="22"/>
          <w:szCs w:val="22"/>
        </w:rPr>
        <w:t xml:space="preserve">to </w:t>
      </w:r>
      <w:r w:rsidRPr="00956EBF">
        <w:rPr>
          <w:snapToGrid/>
          <w:sz w:val="22"/>
          <w:szCs w:val="22"/>
        </w:rPr>
        <w:t>produc</w:t>
      </w:r>
      <w:r w:rsidR="00CC76E6">
        <w:rPr>
          <w:snapToGrid/>
          <w:sz w:val="22"/>
          <w:szCs w:val="22"/>
        </w:rPr>
        <w:t xml:space="preserve">e </w:t>
      </w:r>
      <w:r w:rsidRPr="00956EBF">
        <w:rPr>
          <w:snapToGrid/>
          <w:sz w:val="22"/>
          <w:szCs w:val="22"/>
        </w:rPr>
        <w:t xml:space="preserve">quality research that will be of benefit to the public. </w:t>
      </w:r>
    </w:p>
    <w:p w14:paraId="2C9B1179" w14:textId="1D38BC5A" w:rsidR="007A7D1A" w:rsidRDefault="00956EBF" w:rsidP="007419E7">
      <w:pPr>
        <w:pStyle w:val="ACMABodyText"/>
        <w:spacing w:before="120" w:line="240" w:lineRule="auto"/>
        <w:rPr>
          <w:sz w:val="22"/>
          <w:szCs w:val="22"/>
        </w:rPr>
      </w:pPr>
      <w:r w:rsidRPr="00956EBF">
        <w:rPr>
          <w:snapToGrid/>
          <w:sz w:val="22"/>
          <w:szCs w:val="22"/>
        </w:rPr>
        <w:t xml:space="preserve">The ACMA received </w:t>
      </w:r>
      <w:r w:rsidR="00D439BC">
        <w:rPr>
          <w:snapToGrid/>
          <w:sz w:val="22"/>
          <w:szCs w:val="22"/>
        </w:rPr>
        <w:t>7</w:t>
      </w:r>
      <w:r w:rsidRPr="00956EBF">
        <w:rPr>
          <w:snapToGrid/>
          <w:sz w:val="22"/>
          <w:szCs w:val="22"/>
        </w:rPr>
        <w:t xml:space="preserve"> submissions from</w:t>
      </w:r>
      <w:r w:rsidR="002D3AE4">
        <w:rPr>
          <w:snapToGrid/>
          <w:sz w:val="22"/>
          <w:szCs w:val="22"/>
        </w:rPr>
        <w:t xml:space="preserve"> representatives of the research industry and </w:t>
      </w:r>
      <w:r w:rsidR="00820D8B">
        <w:rPr>
          <w:snapToGrid/>
          <w:sz w:val="22"/>
          <w:szCs w:val="22"/>
        </w:rPr>
        <w:t>telecommunications industry</w:t>
      </w:r>
      <w:r w:rsidRPr="00956EBF">
        <w:rPr>
          <w:snapToGrid/>
          <w:sz w:val="22"/>
          <w:szCs w:val="22"/>
        </w:rPr>
        <w:t>,</w:t>
      </w:r>
      <w:r w:rsidR="00820D8B">
        <w:rPr>
          <w:snapToGrid/>
          <w:sz w:val="22"/>
          <w:szCs w:val="22"/>
        </w:rPr>
        <w:t xml:space="preserve"> </w:t>
      </w:r>
      <w:r w:rsidR="0070031C">
        <w:rPr>
          <w:snapToGrid/>
          <w:sz w:val="22"/>
          <w:szCs w:val="22"/>
        </w:rPr>
        <w:t xml:space="preserve">a </w:t>
      </w:r>
      <w:r w:rsidR="002D3AE4">
        <w:rPr>
          <w:snapToGrid/>
          <w:sz w:val="22"/>
          <w:szCs w:val="22"/>
        </w:rPr>
        <w:t xml:space="preserve">peak consumer representative body and </w:t>
      </w:r>
      <w:r w:rsidR="003611B2">
        <w:rPr>
          <w:snapToGrid/>
          <w:sz w:val="22"/>
          <w:szCs w:val="22"/>
        </w:rPr>
        <w:t xml:space="preserve">other interested parties. </w:t>
      </w:r>
      <w:r w:rsidR="003611B2" w:rsidRPr="00956EBF">
        <w:rPr>
          <w:sz w:val="22"/>
          <w:szCs w:val="22"/>
        </w:rPr>
        <w:t xml:space="preserve">The ACMA considered all relevant issues raised when making the </w:t>
      </w:r>
      <w:r w:rsidR="00824CDF">
        <w:rPr>
          <w:sz w:val="22"/>
          <w:szCs w:val="22"/>
        </w:rPr>
        <w:t>instrument</w:t>
      </w:r>
      <w:r w:rsidR="003611B2" w:rsidRPr="00956EBF">
        <w:rPr>
          <w:sz w:val="22"/>
          <w:szCs w:val="22"/>
        </w:rPr>
        <w:t xml:space="preserve">. </w:t>
      </w:r>
    </w:p>
    <w:p w14:paraId="03039BA8" w14:textId="7140E26E" w:rsidR="00956EBF" w:rsidRDefault="00956EBF" w:rsidP="007419E7">
      <w:pPr>
        <w:pStyle w:val="ACMABodyText"/>
        <w:spacing w:before="120" w:line="240" w:lineRule="auto"/>
        <w:rPr>
          <w:sz w:val="22"/>
          <w:szCs w:val="22"/>
        </w:rPr>
      </w:pPr>
      <w:r w:rsidRPr="00956EBF">
        <w:rPr>
          <w:sz w:val="22"/>
          <w:szCs w:val="22"/>
        </w:rPr>
        <w:t xml:space="preserve">The key issues to emerge from the consultation process </w:t>
      </w:r>
      <w:r w:rsidR="00696F91">
        <w:rPr>
          <w:sz w:val="22"/>
          <w:szCs w:val="22"/>
        </w:rPr>
        <w:t>were</w:t>
      </w:r>
      <w:r w:rsidR="00E61B3B">
        <w:rPr>
          <w:sz w:val="22"/>
          <w:szCs w:val="22"/>
        </w:rPr>
        <w:t xml:space="preserve"> </w:t>
      </w:r>
      <w:r w:rsidR="0070031C">
        <w:rPr>
          <w:sz w:val="22"/>
          <w:szCs w:val="22"/>
        </w:rPr>
        <w:t xml:space="preserve">matters </w:t>
      </w:r>
      <w:r w:rsidR="00696F91">
        <w:rPr>
          <w:sz w:val="22"/>
          <w:szCs w:val="22"/>
        </w:rPr>
        <w:t>related to</w:t>
      </w:r>
      <w:r w:rsidR="00082B60">
        <w:rPr>
          <w:sz w:val="22"/>
          <w:szCs w:val="22"/>
        </w:rPr>
        <w:t xml:space="preserve"> </w:t>
      </w:r>
      <w:r w:rsidR="00527870">
        <w:rPr>
          <w:sz w:val="22"/>
          <w:szCs w:val="22"/>
        </w:rPr>
        <w:t xml:space="preserve">the </w:t>
      </w:r>
      <w:r w:rsidR="0070031C">
        <w:rPr>
          <w:sz w:val="22"/>
          <w:szCs w:val="22"/>
        </w:rPr>
        <w:t xml:space="preserve">further protection of </w:t>
      </w:r>
      <w:r w:rsidR="00082B60">
        <w:rPr>
          <w:sz w:val="22"/>
          <w:szCs w:val="22"/>
        </w:rPr>
        <w:t xml:space="preserve">privacy </w:t>
      </w:r>
      <w:r w:rsidR="0070031C">
        <w:rPr>
          <w:sz w:val="22"/>
          <w:szCs w:val="22"/>
        </w:rPr>
        <w:t xml:space="preserve">as part of </w:t>
      </w:r>
      <w:r w:rsidR="00527870">
        <w:rPr>
          <w:sz w:val="22"/>
          <w:szCs w:val="22"/>
        </w:rPr>
        <w:t>the proposed changes</w:t>
      </w:r>
      <w:r w:rsidR="00082B60">
        <w:rPr>
          <w:sz w:val="22"/>
          <w:szCs w:val="22"/>
        </w:rPr>
        <w:t xml:space="preserve">. </w:t>
      </w:r>
      <w:r w:rsidR="003611B2" w:rsidRPr="00956EBF">
        <w:rPr>
          <w:sz w:val="22"/>
          <w:szCs w:val="22"/>
        </w:rPr>
        <w:t xml:space="preserve">In response to </w:t>
      </w:r>
      <w:r w:rsidR="003611B2">
        <w:rPr>
          <w:sz w:val="22"/>
          <w:szCs w:val="22"/>
        </w:rPr>
        <w:t>th</w:t>
      </w:r>
      <w:r w:rsidR="00817C05">
        <w:rPr>
          <w:sz w:val="22"/>
          <w:szCs w:val="22"/>
        </w:rPr>
        <w:t>o</w:t>
      </w:r>
      <w:r w:rsidR="003611B2">
        <w:rPr>
          <w:sz w:val="22"/>
          <w:szCs w:val="22"/>
        </w:rPr>
        <w:t>se</w:t>
      </w:r>
      <w:r w:rsidR="003611B2" w:rsidRPr="00956EBF">
        <w:rPr>
          <w:sz w:val="22"/>
          <w:szCs w:val="22"/>
        </w:rPr>
        <w:t xml:space="preserve"> </w:t>
      </w:r>
      <w:r w:rsidR="00CC0EB1">
        <w:rPr>
          <w:sz w:val="22"/>
          <w:szCs w:val="22"/>
        </w:rPr>
        <w:t>submissions</w:t>
      </w:r>
      <w:r w:rsidR="003611B2" w:rsidRPr="00956EBF">
        <w:rPr>
          <w:sz w:val="22"/>
          <w:szCs w:val="22"/>
        </w:rPr>
        <w:t xml:space="preserve">, the ACMA made further amendments to the </w:t>
      </w:r>
      <w:r w:rsidR="00CC76E6">
        <w:rPr>
          <w:sz w:val="22"/>
          <w:szCs w:val="22"/>
        </w:rPr>
        <w:t xml:space="preserve">instrument </w:t>
      </w:r>
      <w:r w:rsidR="003611B2" w:rsidRPr="00956EBF">
        <w:rPr>
          <w:sz w:val="22"/>
          <w:szCs w:val="22"/>
        </w:rPr>
        <w:t>in consultation with relevant parties and in line with the intent of policy and legislative requirements.</w:t>
      </w:r>
      <w:r w:rsidR="003611B2">
        <w:rPr>
          <w:sz w:val="22"/>
          <w:szCs w:val="22"/>
        </w:rPr>
        <w:t xml:space="preserve"> The subsequent changes incorporate </w:t>
      </w:r>
      <w:r w:rsidR="0070031C">
        <w:rPr>
          <w:sz w:val="22"/>
          <w:szCs w:val="22"/>
        </w:rPr>
        <w:t xml:space="preserve">additional </w:t>
      </w:r>
      <w:r w:rsidR="003611B2">
        <w:rPr>
          <w:sz w:val="22"/>
          <w:szCs w:val="22"/>
        </w:rPr>
        <w:t xml:space="preserve">appropriate privacy safeguards and stronger governance arrangements to mitigate privacy risks. </w:t>
      </w:r>
    </w:p>
    <w:p w14:paraId="3DBDAC14" w14:textId="2D5984CE" w:rsidR="0091080B" w:rsidRDefault="00FB4437" w:rsidP="007419E7">
      <w:pPr>
        <w:rPr>
          <w:rFonts w:ascii="Times New Roman" w:hAnsi="Times New Roman" w:cs="Times New Roman"/>
          <w:b/>
        </w:rPr>
      </w:pPr>
      <w:r>
        <w:rPr>
          <w:rFonts w:ascii="Times New Roman" w:hAnsi="Times New Roman" w:cs="Times New Roman"/>
          <w:b/>
        </w:rPr>
        <w:t>Regulatory impact assessment</w:t>
      </w:r>
    </w:p>
    <w:p w14:paraId="5E697BCB" w14:textId="231076CC" w:rsidR="008C64C3" w:rsidRDefault="008C64C3" w:rsidP="007419E7">
      <w:pPr>
        <w:rPr>
          <w:rFonts w:ascii="Times New Roman" w:hAnsi="Times New Roman" w:cs="Times New Roman"/>
        </w:rPr>
      </w:pPr>
      <w:r>
        <w:rPr>
          <w:rFonts w:ascii="Times New Roman" w:hAnsi="Times New Roman" w:cs="Times New Roman"/>
        </w:rPr>
        <w:t>A preliminary assessment of the proposal to make the instrument was conducted by t</w:t>
      </w:r>
      <w:r w:rsidRPr="00037F0E">
        <w:rPr>
          <w:rFonts w:ascii="Times New Roman" w:hAnsi="Times New Roman" w:cs="Times New Roman"/>
        </w:rPr>
        <w:t>he Office of Best Practice Regulation (</w:t>
      </w:r>
      <w:r w:rsidRPr="00037F0E">
        <w:rPr>
          <w:rFonts w:ascii="Times New Roman" w:hAnsi="Times New Roman" w:cs="Times New Roman"/>
          <w:b/>
        </w:rPr>
        <w:t>OBPR</w:t>
      </w:r>
      <w:r>
        <w:rPr>
          <w:rFonts w:ascii="Times New Roman" w:hAnsi="Times New Roman" w:cs="Times New Roman"/>
        </w:rPr>
        <w:t>), based on information provided by the ACMA, for the purposes of determining whether a Regulation Impact Statement (</w:t>
      </w:r>
      <w:r w:rsidRPr="00CA40FA">
        <w:rPr>
          <w:rFonts w:ascii="Times New Roman" w:hAnsi="Times New Roman" w:cs="Times New Roman"/>
          <w:b/>
        </w:rPr>
        <w:t>RIS</w:t>
      </w:r>
      <w:r>
        <w:rPr>
          <w:rFonts w:ascii="Times New Roman" w:hAnsi="Times New Roman" w:cs="Times New Roman"/>
        </w:rPr>
        <w:t xml:space="preserve">) would be </w:t>
      </w:r>
      <w:r>
        <w:rPr>
          <w:rFonts w:ascii="Times New Roman" w:hAnsi="Times New Roman" w:cs="Times New Roman"/>
        </w:rPr>
        <w:lastRenderedPageBreak/>
        <w:t>required.  OBPR advised that a RIS would</w:t>
      </w:r>
      <w:r w:rsidRPr="00037F0E">
        <w:rPr>
          <w:rFonts w:ascii="Times New Roman" w:hAnsi="Times New Roman" w:cs="Times New Roman"/>
        </w:rPr>
        <w:t xml:space="preserve"> not</w:t>
      </w:r>
      <w:r>
        <w:rPr>
          <w:rFonts w:ascii="Times New Roman" w:hAnsi="Times New Roman" w:cs="Times New Roman"/>
        </w:rPr>
        <w:t xml:space="preserve"> be </w:t>
      </w:r>
      <w:r w:rsidRPr="00037F0E">
        <w:rPr>
          <w:rFonts w:ascii="Times New Roman" w:hAnsi="Times New Roman" w:cs="Times New Roman"/>
        </w:rPr>
        <w:t>required</w:t>
      </w:r>
      <w:r>
        <w:rPr>
          <w:rFonts w:ascii="Times New Roman" w:hAnsi="Times New Roman" w:cs="Times New Roman"/>
        </w:rPr>
        <w:t xml:space="preserve"> </w:t>
      </w:r>
      <w:r w:rsidRPr="00037F0E">
        <w:rPr>
          <w:rFonts w:ascii="Times New Roman" w:hAnsi="Times New Roman" w:cs="Times New Roman"/>
        </w:rPr>
        <w:t xml:space="preserve">because </w:t>
      </w:r>
      <w:r>
        <w:rPr>
          <w:rFonts w:ascii="Times New Roman" w:hAnsi="Times New Roman" w:cs="Times New Roman"/>
        </w:rPr>
        <w:t xml:space="preserve">the instrument was expected to </w:t>
      </w:r>
      <w:r w:rsidR="00F533BE">
        <w:rPr>
          <w:rFonts w:ascii="Times New Roman" w:hAnsi="Times New Roman" w:cs="Times New Roman"/>
        </w:rPr>
        <w:t xml:space="preserve">have a minor </w:t>
      </w:r>
      <w:r w:rsidR="00CC76E6">
        <w:rPr>
          <w:rFonts w:ascii="Times New Roman" w:hAnsi="Times New Roman" w:cs="Times New Roman"/>
        </w:rPr>
        <w:t xml:space="preserve">and machinery </w:t>
      </w:r>
      <w:r w:rsidR="00F533BE">
        <w:rPr>
          <w:rFonts w:ascii="Times New Roman" w:hAnsi="Times New Roman" w:cs="Times New Roman"/>
        </w:rPr>
        <w:t>regulatory impact</w:t>
      </w:r>
      <w:r w:rsidR="00CC76E6">
        <w:rPr>
          <w:rFonts w:ascii="Times New Roman" w:hAnsi="Times New Roman" w:cs="Times New Roman"/>
        </w:rPr>
        <w:t xml:space="preserve"> (</w:t>
      </w:r>
      <w:r w:rsidR="00817C05">
        <w:rPr>
          <w:rFonts w:ascii="Times New Roman" w:hAnsi="Times New Roman" w:cs="Times New Roman"/>
        </w:rPr>
        <w:t>e</w:t>
      </w:r>
      <w:r w:rsidR="00CC76E6">
        <w:rPr>
          <w:rFonts w:ascii="Times New Roman" w:hAnsi="Times New Roman" w:cs="Times New Roman"/>
        </w:rPr>
        <w:t>xemption number 21271)</w:t>
      </w:r>
      <w:r w:rsidR="00F533BE">
        <w:rPr>
          <w:rFonts w:ascii="Times New Roman" w:hAnsi="Times New Roman" w:cs="Times New Roman"/>
        </w:rPr>
        <w:t>.</w:t>
      </w:r>
    </w:p>
    <w:p w14:paraId="16196173" w14:textId="77777777" w:rsidR="00FE29E8" w:rsidRDefault="00FE29E8" w:rsidP="00FE29E8">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66BC2D3A" w14:textId="77777777" w:rsidR="00FE29E8" w:rsidRDefault="00FE29E8" w:rsidP="00FE29E8">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Pr>
          <w:rFonts w:ascii="Times New Roman" w:hAnsi="Times New Roman" w:cs="Times New Roman"/>
        </w:rPr>
        <w:t xml:space="preserve">  </w:t>
      </w:r>
    </w:p>
    <w:p w14:paraId="6AA7E699" w14:textId="0F236B40" w:rsidR="00FE29E8" w:rsidRDefault="00FE29E8" w:rsidP="007419E7">
      <w:pPr>
        <w:rPr>
          <w:rFonts w:ascii="Times New Roman" w:hAnsi="Times New Roman" w:cs="Times New Roman"/>
        </w:rPr>
      </w:pPr>
      <w:r w:rsidRPr="00FE29E8">
        <w:rPr>
          <w:rFonts w:ascii="Times New Roman" w:hAnsi="Times New Roman" w:cs="Times New Roman"/>
        </w:rPr>
        <w:t xml:space="preserve">The statement of compatibility set out in </w:t>
      </w:r>
      <w:r w:rsidRPr="00FE29E8">
        <w:rPr>
          <w:rFonts w:ascii="Times New Roman" w:hAnsi="Times New Roman" w:cs="Times New Roman"/>
          <w:b/>
        </w:rPr>
        <w:t>Attachment B</w:t>
      </w:r>
      <w:r w:rsidRPr="00FE29E8">
        <w:rPr>
          <w:rFonts w:ascii="Times New Roman" w:hAnsi="Times New Roman" w:cs="Times New Roman"/>
        </w:rPr>
        <w:t xml:space="preserve"> has been prepared to meet that requirement</w:t>
      </w:r>
      <w:r>
        <w:rPr>
          <w:rFonts w:ascii="Times New Roman" w:hAnsi="Times New Roman" w:cs="Times New Roman"/>
        </w:rPr>
        <w:t>.</w:t>
      </w:r>
    </w:p>
    <w:p w14:paraId="2E013716" w14:textId="77777777" w:rsidR="00DB36EA" w:rsidRDefault="00DB36EA" w:rsidP="007419E7">
      <w:pPr>
        <w:rPr>
          <w:rFonts w:ascii="Times New Roman" w:hAnsi="Times New Roman" w:cs="Times New Roman"/>
          <w:b/>
          <w:sz w:val="28"/>
          <w:szCs w:val="28"/>
        </w:rPr>
      </w:pPr>
      <w:r>
        <w:rPr>
          <w:rFonts w:ascii="Times New Roman" w:hAnsi="Times New Roman" w:cs="Times New Roman"/>
          <w:b/>
          <w:sz w:val="28"/>
          <w:szCs w:val="28"/>
        </w:rPr>
        <w:br w:type="page"/>
      </w:r>
    </w:p>
    <w:p w14:paraId="337BADE1" w14:textId="77777777" w:rsidR="00362B2C" w:rsidRPr="00641906" w:rsidRDefault="00362B2C" w:rsidP="00362B2C">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2ACA66E8" w14:textId="77777777" w:rsidR="00362B2C" w:rsidRPr="00641906" w:rsidRDefault="00362B2C" w:rsidP="00362B2C">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Pr>
          <w:rFonts w:ascii="Times New Roman" w:hAnsi="Times New Roman" w:cs="Times New Roman"/>
          <w:b/>
          <w:i/>
          <w:sz w:val="28"/>
          <w:szCs w:val="28"/>
        </w:rPr>
        <w:t>Telecommunications Integrated Public Number Database Scheme 2017</w:t>
      </w:r>
    </w:p>
    <w:p w14:paraId="31DAA7C7" w14:textId="77777777" w:rsidR="00362B2C" w:rsidRDefault="00362B2C" w:rsidP="00362B2C">
      <w:pPr>
        <w:spacing w:before="280"/>
        <w:rPr>
          <w:rFonts w:ascii="Times New Roman" w:hAnsi="Times New Roman" w:cs="Times New Roman"/>
          <w:b/>
        </w:rPr>
      </w:pPr>
      <w:r>
        <w:rPr>
          <w:rFonts w:ascii="Times New Roman" w:hAnsi="Times New Roman" w:cs="Times New Roman"/>
          <w:b/>
        </w:rPr>
        <w:t>Part 1–Preliminary</w:t>
      </w:r>
    </w:p>
    <w:p w14:paraId="2C633A70" w14:textId="77777777" w:rsidR="00362B2C" w:rsidRDefault="00362B2C" w:rsidP="00362B2C">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t>Name</w:t>
      </w:r>
    </w:p>
    <w:p w14:paraId="75C5968D" w14:textId="77777777" w:rsidR="00362B2C" w:rsidRPr="006940DB" w:rsidRDefault="00362B2C" w:rsidP="00362B2C">
      <w:pPr>
        <w:rPr>
          <w:rFonts w:ascii="Times New Roman" w:hAnsi="Times New Roman" w:cs="Times New Roman"/>
        </w:rPr>
      </w:pPr>
      <w:r>
        <w:rPr>
          <w:rFonts w:ascii="Times New Roman" w:hAnsi="Times New Roman" w:cs="Times New Roman"/>
        </w:rPr>
        <w:t xml:space="preserve">This section provides for the instrument to be cited as the </w:t>
      </w:r>
      <w:r>
        <w:rPr>
          <w:rFonts w:ascii="Times New Roman" w:hAnsi="Times New Roman" w:cs="Times New Roman"/>
          <w:i/>
        </w:rPr>
        <w:t xml:space="preserve">Telecommunications Integrated Public Number Database Scheme 2017 </w:t>
      </w:r>
      <w:r>
        <w:rPr>
          <w:rFonts w:ascii="Times New Roman" w:hAnsi="Times New Roman" w:cs="Times New Roman"/>
        </w:rPr>
        <w:t>(</w:t>
      </w:r>
      <w:r w:rsidRPr="009255DA">
        <w:rPr>
          <w:rFonts w:ascii="Times New Roman" w:hAnsi="Times New Roman" w:cs="Times New Roman"/>
          <w:b/>
        </w:rPr>
        <w:t>the scheme</w:t>
      </w:r>
      <w:r>
        <w:rPr>
          <w:rFonts w:ascii="Times New Roman" w:hAnsi="Times New Roman" w:cs="Times New Roman"/>
        </w:rPr>
        <w:t>)</w:t>
      </w:r>
      <w:r>
        <w:rPr>
          <w:rFonts w:ascii="Times New Roman" w:hAnsi="Times New Roman" w:cs="Times New Roman"/>
          <w:i/>
        </w:rPr>
        <w:t>.</w:t>
      </w:r>
    </w:p>
    <w:p w14:paraId="382DA472" w14:textId="77777777" w:rsidR="00362B2C" w:rsidRDefault="00362B2C" w:rsidP="00362B2C">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t>Commencement</w:t>
      </w:r>
    </w:p>
    <w:p w14:paraId="4A0A81C1" w14:textId="77777777" w:rsidR="00362B2C" w:rsidRPr="0068714B" w:rsidRDefault="00362B2C" w:rsidP="00362B2C">
      <w:pPr>
        <w:spacing w:after="40"/>
        <w:rPr>
          <w:rFonts w:ascii="Times New Roman" w:hAnsi="Times New Roman" w:cs="Times New Roman"/>
        </w:rPr>
      </w:pPr>
      <w:r>
        <w:rPr>
          <w:rFonts w:ascii="Times New Roman" w:hAnsi="Times New Roman" w:cs="Times New Roman"/>
        </w:rPr>
        <w:t xml:space="preserve">This section provides for the scheme to </w:t>
      </w:r>
      <w:r w:rsidRPr="0068714B">
        <w:rPr>
          <w:rFonts w:ascii="Times New Roman" w:hAnsi="Times New Roman" w:cs="Times New Roman"/>
        </w:rPr>
        <w:t>commence on the later of:</w:t>
      </w:r>
    </w:p>
    <w:p w14:paraId="1020A8E0" w14:textId="77777777" w:rsidR="00362B2C" w:rsidRPr="0068714B" w:rsidRDefault="00362B2C" w:rsidP="00362B2C">
      <w:pPr>
        <w:pStyle w:val="ListParagraph"/>
        <w:numPr>
          <w:ilvl w:val="0"/>
          <w:numId w:val="4"/>
        </w:numPr>
        <w:spacing w:after="40"/>
        <w:ind w:left="714" w:hanging="357"/>
        <w:rPr>
          <w:rFonts w:ascii="Times New Roman" w:hAnsi="Times New Roman" w:cs="Times New Roman"/>
        </w:rPr>
      </w:pPr>
      <w:r w:rsidRPr="0068714B">
        <w:rPr>
          <w:rFonts w:ascii="Times New Roman" w:hAnsi="Times New Roman" w:cs="Times New Roman"/>
        </w:rPr>
        <w:t>the day after the scheme is registered on the Federal Register of Legislation;</w:t>
      </w:r>
    </w:p>
    <w:p w14:paraId="4FFB5218" w14:textId="77777777" w:rsidR="00362B2C" w:rsidRPr="0068714B" w:rsidRDefault="00362B2C" w:rsidP="00362B2C">
      <w:pPr>
        <w:pStyle w:val="ListParagraph"/>
        <w:numPr>
          <w:ilvl w:val="0"/>
          <w:numId w:val="4"/>
        </w:numPr>
        <w:ind w:left="714" w:hanging="357"/>
        <w:rPr>
          <w:rFonts w:ascii="Times New Roman" w:hAnsi="Times New Roman" w:cs="Times New Roman"/>
        </w:rPr>
      </w:pPr>
      <w:r w:rsidRPr="0068714B">
        <w:rPr>
          <w:rFonts w:ascii="Times New Roman" w:hAnsi="Times New Roman" w:cs="Times New Roman"/>
        </w:rPr>
        <w:t xml:space="preserve">the day on which the </w:t>
      </w:r>
      <w:r w:rsidRPr="004724CF">
        <w:rPr>
          <w:rFonts w:ascii="Times New Roman" w:hAnsi="Times New Roman" w:cs="Times New Roman"/>
          <w:i/>
        </w:rPr>
        <w:t>Telecommunications Integrated Public Number Database Scheme 2007</w:t>
      </w:r>
      <w:r w:rsidRPr="0068714B">
        <w:rPr>
          <w:rFonts w:ascii="Times New Roman" w:hAnsi="Times New Roman" w:cs="Times New Roman"/>
        </w:rPr>
        <w:t xml:space="preserve"> (</w:t>
      </w:r>
      <w:r>
        <w:rPr>
          <w:rFonts w:ascii="Times New Roman" w:hAnsi="Times New Roman" w:cs="Times New Roman"/>
        </w:rPr>
        <w:t>F2007L00813</w:t>
      </w:r>
      <w:r w:rsidRPr="0068714B">
        <w:rPr>
          <w:rFonts w:ascii="Times New Roman" w:hAnsi="Times New Roman" w:cs="Times New Roman"/>
        </w:rPr>
        <w:t xml:space="preserve">) is repealed.  </w:t>
      </w:r>
    </w:p>
    <w:p w14:paraId="69C7CA62" w14:textId="77777777" w:rsidR="00362B2C" w:rsidRDefault="00362B2C" w:rsidP="00362B2C">
      <w:pPr>
        <w:rPr>
          <w:rFonts w:ascii="Times New Roman" w:hAnsi="Times New Roman" w:cs="Times New Roman"/>
        </w:rPr>
      </w:pPr>
      <w:r>
        <w:rPr>
          <w:rFonts w:ascii="Times New Roman" w:hAnsi="Times New Roman" w:cs="Times New Roman"/>
        </w:rPr>
        <w:t>T</w:t>
      </w:r>
      <w:r w:rsidRPr="009255DA">
        <w:rPr>
          <w:rFonts w:ascii="Times New Roman" w:hAnsi="Times New Roman" w:cs="Times New Roman"/>
        </w:rPr>
        <w:t>he</w:t>
      </w:r>
      <w:r w:rsidRPr="0068714B">
        <w:rPr>
          <w:rFonts w:ascii="Times New Roman" w:hAnsi="Times New Roman" w:cs="Times New Roman"/>
        </w:rPr>
        <w:t xml:space="preserve"> </w:t>
      </w:r>
      <w:r w:rsidRPr="004724CF">
        <w:rPr>
          <w:rFonts w:ascii="Times New Roman" w:hAnsi="Times New Roman" w:cs="Times New Roman"/>
          <w:i/>
        </w:rPr>
        <w:t xml:space="preserve">Telecommunications Integrated Public Number Database Scheme </w:t>
      </w:r>
      <w:r w:rsidRPr="009255DA">
        <w:rPr>
          <w:rFonts w:ascii="Times New Roman" w:hAnsi="Times New Roman" w:cs="Times New Roman"/>
        </w:rPr>
        <w:t>2007</w:t>
      </w:r>
      <w:r>
        <w:rPr>
          <w:rFonts w:ascii="Times New Roman" w:hAnsi="Times New Roman" w:cs="Times New Roman"/>
        </w:rPr>
        <w:t xml:space="preserve"> </w:t>
      </w:r>
      <w:r w:rsidRPr="009255DA">
        <w:rPr>
          <w:rFonts w:ascii="Times New Roman" w:hAnsi="Times New Roman" w:cs="Times New Roman"/>
        </w:rPr>
        <w:t xml:space="preserve">is due to be automatically repealed by section 50 of the </w:t>
      </w:r>
      <w:r w:rsidRPr="009255DA">
        <w:rPr>
          <w:rFonts w:ascii="Times New Roman" w:hAnsi="Times New Roman" w:cs="Times New Roman"/>
          <w:i/>
        </w:rPr>
        <w:t>Legislation Act 2003</w:t>
      </w:r>
      <w:r w:rsidRPr="00BC289F">
        <w:rPr>
          <w:rFonts w:ascii="Times New Roman" w:hAnsi="Times New Roman" w:cs="Times New Roman"/>
        </w:rPr>
        <w:t xml:space="preserve"> on 1 April 2017.</w:t>
      </w:r>
    </w:p>
    <w:p w14:paraId="30ABFA21" w14:textId="77777777" w:rsidR="00362B2C" w:rsidRPr="009255DA" w:rsidRDefault="00362B2C" w:rsidP="00362B2C">
      <w:pPr>
        <w:rPr>
          <w:rFonts w:ascii="Times New Roman" w:hAnsi="Times New Roman" w:cs="Times New Roman"/>
        </w:rPr>
      </w:pPr>
      <w:r>
        <w:rPr>
          <w:rFonts w:ascii="Times New Roman" w:hAnsi="Times New Roman" w:cs="Times New Roman"/>
        </w:rPr>
        <w:t>B</w:t>
      </w:r>
      <w:r w:rsidRPr="009255DA">
        <w:rPr>
          <w:rFonts w:ascii="Times New Roman" w:hAnsi="Times New Roman" w:cs="Times New Roman"/>
        </w:rPr>
        <w:t>oth of the events mentioned in the section must occur before the scheme commences.</w:t>
      </w:r>
    </w:p>
    <w:p w14:paraId="50A78660" w14:textId="77777777" w:rsidR="00362B2C" w:rsidRDefault="00362B2C" w:rsidP="00362B2C">
      <w:pPr>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t>Authority</w:t>
      </w:r>
    </w:p>
    <w:p w14:paraId="45DAE82B" w14:textId="77777777" w:rsidR="00362B2C" w:rsidRPr="006940DB" w:rsidRDefault="00362B2C" w:rsidP="00362B2C">
      <w:pPr>
        <w:rPr>
          <w:rFonts w:ascii="Times New Roman" w:hAnsi="Times New Roman" w:cs="Times New Roman"/>
        </w:rPr>
      </w:pPr>
      <w:r>
        <w:rPr>
          <w:rFonts w:ascii="Times New Roman" w:hAnsi="Times New Roman" w:cs="Times New Roman"/>
        </w:rPr>
        <w:t xml:space="preserve">This section identifies the provision that authorises the making of the scheme, namely section 295A of the </w:t>
      </w:r>
      <w:r>
        <w:rPr>
          <w:rFonts w:ascii="Times New Roman" w:hAnsi="Times New Roman" w:cs="Times New Roman"/>
          <w:i/>
        </w:rPr>
        <w:t xml:space="preserve">Telecommunications Act 1997 </w:t>
      </w:r>
      <w:r>
        <w:rPr>
          <w:rFonts w:ascii="Times New Roman" w:hAnsi="Times New Roman" w:cs="Times New Roman"/>
        </w:rPr>
        <w:t>(</w:t>
      </w:r>
      <w:r w:rsidRPr="006940DB">
        <w:rPr>
          <w:rFonts w:ascii="Times New Roman" w:hAnsi="Times New Roman" w:cs="Times New Roman"/>
          <w:b/>
        </w:rPr>
        <w:t>the Act</w:t>
      </w:r>
      <w:r>
        <w:rPr>
          <w:rFonts w:ascii="Times New Roman" w:hAnsi="Times New Roman" w:cs="Times New Roman"/>
        </w:rPr>
        <w:t>).</w:t>
      </w:r>
    </w:p>
    <w:p w14:paraId="7A09848C" w14:textId="77777777" w:rsidR="00362B2C" w:rsidRDefault="00362B2C" w:rsidP="00362B2C">
      <w:pPr>
        <w:rPr>
          <w:rFonts w:ascii="Times New Roman" w:hAnsi="Times New Roman" w:cs="Times New Roman"/>
        </w:rPr>
      </w:pPr>
      <w:r>
        <w:rPr>
          <w:rFonts w:ascii="Times New Roman" w:hAnsi="Times New Roman" w:cs="Times New Roman"/>
          <w:b/>
        </w:rPr>
        <w:t>Section 1.4</w:t>
      </w:r>
      <w:r>
        <w:rPr>
          <w:rFonts w:ascii="Times New Roman" w:hAnsi="Times New Roman" w:cs="Times New Roman"/>
          <w:b/>
        </w:rPr>
        <w:tab/>
        <w:t>Definitions</w:t>
      </w:r>
    </w:p>
    <w:p w14:paraId="5A2EE146" w14:textId="77777777" w:rsidR="00362B2C" w:rsidRDefault="00362B2C" w:rsidP="00362B2C">
      <w:pPr>
        <w:rPr>
          <w:rFonts w:ascii="Times New Roman" w:hAnsi="Times New Roman" w:cs="Times New Roman"/>
        </w:rPr>
      </w:pPr>
      <w:r>
        <w:rPr>
          <w:rFonts w:ascii="Times New Roman" w:hAnsi="Times New Roman" w:cs="Times New Roman"/>
        </w:rPr>
        <w:t xml:space="preserve">This section defines a number of key terms used throughout the scheme.  </w:t>
      </w:r>
    </w:p>
    <w:p w14:paraId="5385225B" w14:textId="77777777" w:rsidR="00362B2C" w:rsidRPr="006940DB" w:rsidRDefault="00362B2C" w:rsidP="00362B2C">
      <w:pPr>
        <w:rPr>
          <w:rFonts w:ascii="Times New Roman" w:hAnsi="Times New Roman" w:cs="Times New Roman"/>
        </w:rPr>
      </w:pPr>
      <w:r>
        <w:rPr>
          <w:rFonts w:ascii="Times New Roman" w:hAnsi="Times New Roman" w:cs="Times New Roman"/>
        </w:rPr>
        <w:t>A number of other expressions used in the scheme are defined in the Act.</w:t>
      </w:r>
    </w:p>
    <w:p w14:paraId="3583D46D" w14:textId="77777777" w:rsidR="00362B2C" w:rsidRDefault="00362B2C" w:rsidP="00362B2C">
      <w:pPr>
        <w:rPr>
          <w:rFonts w:ascii="Times New Roman" w:hAnsi="Times New Roman" w:cs="Times New Roman"/>
          <w:b/>
        </w:rPr>
      </w:pPr>
      <w:r>
        <w:rPr>
          <w:rFonts w:ascii="Times New Roman" w:hAnsi="Times New Roman" w:cs="Times New Roman"/>
          <w:b/>
        </w:rPr>
        <w:t>Section 1.5</w:t>
      </w:r>
      <w:r>
        <w:rPr>
          <w:rFonts w:ascii="Times New Roman" w:hAnsi="Times New Roman" w:cs="Times New Roman"/>
          <w:b/>
        </w:rPr>
        <w:tab/>
        <w:t>References to other instruments</w:t>
      </w:r>
    </w:p>
    <w:p w14:paraId="1D792B7F" w14:textId="77777777" w:rsidR="00362B2C" w:rsidRDefault="00362B2C" w:rsidP="00362B2C">
      <w:pPr>
        <w:spacing w:after="40"/>
        <w:rPr>
          <w:rFonts w:ascii="Times New Roman" w:hAnsi="Times New Roman" w:cs="Times New Roman"/>
        </w:rPr>
      </w:pPr>
      <w:r>
        <w:rPr>
          <w:rFonts w:ascii="Times New Roman" w:hAnsi="Times New Roman" w:cs="Times New Roman"/>
        </w:rPr>
        <w:t>This section provides that in the scheme, unless the contrary intention appears:</w:t>
      </w:r>
    </w:p>
    <w:p w14:paraId="4C866F11" w14:textId="77777777" w:rsidR="00362B2C" w:rsidRPr="0036752E" w:rsidRDefault="00362B2C" w:rsidP="00362B2C">
      <w:pPr>
        <w:pStyle w:val="ListParagraph"/>
        <w:numPr>
          <w:ilvl w:val="0"/>
          <w:numId w:val="1"/>
        </w:numPr>
        <w:rPr>
          <w:rFonts w:ascii="Times New Roman" w:hAnsi="Times New Roman" w:cs="Times New Roman"/>
        </w:rPr>
      </w:pPr>
      <w:r w:rsidRPr="0036752E">
        <w:rPr>
          <w:rFonts w:ascii="Times New Roman" w:hAnsi="Times New Roman" w:cs="Times New Roman"/>
        </w:rPr>
        <w:t>a reference to any other legislative instrument is a reference to that other legislative instrument as in force from time to time; and</w:t>
      </w:r>
    </w:p>
    <w:p w14:paraId="5C5FC766" w14:textId="77777777" w:rsidR="00362B2C" w:rsidRPr="0036752E" w:rsidRDefault="00362B2C" w:rsidP="00362B2C">
      <w:pPr>
        <w:pStyle w:val="ListParagraph"/>
        <w:numPr>
          <w:ilvl w:val="0"/>
          <w:numId w:val="1"/>
        </w:numPr>
        <w:rPr>
          <w:rFonts w:ascii="Times New Roman" w:hAnsi="Times New Roman" w:cs="Times New Roman"/>
        </w:rPr>
      </w:pPr>
      <w:r w:rsidRPr="0036752E">
        <w:rPr>
          <w:rFonts w:ascii="Times New Roman" w:hAnsi="Times New Roman" w:cs="Times New Roman"/>
        </w:rPr>
        <w:t>a reference to any other kind of instrument is a reference to that other instrument</w:t>
      </w:r>
      <w:r>
        <w:rPr>
          <w:rFonts w:ascii="Times New Roman" w:hAnsi="Times New Roman" w:cs="Times New Roman"/>
        </w:rPr>
        <w:t xml:space="preserve"> as in force from time to time.</w:t>
      </w:r>
    </w:p>
    <w:p w14:paraId="6171874B" w14:textId="77777777" w:rsidR="00362B2C" w:rsidRDefault="00362B2C" w:rsidP="00362B2C">
      <w:pPr>
        <w:rPr>
          <w:rFonts w:ascii="Times New Roman" w:hAnsi="Times New Roman" w:cs="Times New Roman"/>
          <w:b/>
        </w:rPr>
      </w:pPr>
      <w:r>
        <w:rPr>
          <w:rFonts w:ascii="Times New Roman" w:hAnsi="Times New Roman" w:cs="Times New Roman"/>
          <w:b/>
        </w:rPr>
        <w:t>Part 2–Application of the scheme</w:t>
      </w:r>
    </w:p>
    <w:p w14:paraId="5B603005" w14:textId="77777777" w:rsidR="00362B2C" w:rsidRDefault="00362B2C" w:rsidP="00362B2C">
      <w:pPr>
        <w:rPr>
          <w:rFonts w:ascii="Times New Roman" w:hAnsi="Times New Roman" w:cs="Times New Roman"/>
          <w:b/>
        </w:rPr>
      </w:pPr>
      <w:r>
        <w:rPr>
          <w:rFonts w:ascii="Times New Roman" w:hAnsi="Times New Roman" w:cs="Times New Roman"/>
          <w:b/>
        </w:rPr>
        <w:t>Section 2.1</w:t>
      </w:r>
      <w:r>
        <w:rPr>
          <w:rFonts w:ascii="Times New Roman" w:hAnsi="Times New Roman" w:cs="Times New Roman"/>
          <w:b/>
        </w:rPr>
        <w:tab/>
        <w:t>Application</w:t>
      </w:r>
    </w:p>
    <w:p w14:paraId="141F1F9D" w14:textId="77777777" w:rsidR="00362B2C" w:rsidRDefault="00362B2C" w:rsidP="00362B2C">
      <w:pPr>
        <w:rPr>
          <w:rFonts w:ascii="Times New Roman" w:hAnsi="Times New Roman" w:cs="Times New Roman"/>
        </w:rPr>
      </w:pPr>
      <w:r>
        <w:rPr>
          <w:rFonts w:ascii="Times New Roman" w:hAnsi="Times New Roman" w:cs="Times New Roman"/>
        </w:rPr>
        <w:lastRenderedPageBreak/>
        <w:t xml:space="preserve">This section </w:t>
      </w:r>
      <w:r w:rsidRPr="00F56BC6">
        <w:rPr>
          <w:rFonts w:ascii="Times New Roman" w:hAnsi="Times New Roman" w:cs="Times New Roman"/>
        </w:rPr>
        <w:t xml:space="preserve">sets the scope of the </w:t>
      </w:r>
      <w:r>
        <w:rPr>
          <w:rFonts w:ascii="Times New Roman" w:hAnsi="Times New Roman" w:cs="Times New Roman"/>
        </w:rPr>
        <w:t>s</w:t>
      </w:r>
      <w:r w:rsidRPr="00F56BC6">
        <w:rPr>
          <w:rFonts w:ascii="Times New Roman" w:hAnsi="Times New Roman" w:cs="Times New Roman"/>
        </w:rPr>
        <w:t xml:space="preserve">cheme by providing that it applies to </w:t>
      </w:r>
      <w:r>
        <w:rPr>
          <w:rFonts w:ascii="Times New Roman" w:hAnsi="Times New Roman" w:cs="Times New Roman"/>
        </w:rPr>
        <w:t xml:space="preserve">a </w:t>
      </w:r>
      <w:r w:rsidRPr="00F56BC6">
        <w:rPr>
          <w:rFonts w:ascii="Times New Roman" w:hAnsi="Times New Roman" w:cs="Times New Roman"/>
        </w:rPr>
        <w:t>person seeking to be grant</w:t>
      </w:r>
      <w:r>
        <w:rPr>
          <w:rFonts w:ascii="Times New Roman" w:hAnsi="Times New Roman" w:cs="Times New Roman"/>
        </w:rPr>
        <w:t xml:space="preserve">ed an </w:t>
      </w:r>
      <w:r w:rsidRPr="00F56BC6">
        <w:rPr>
          <w:rFonts w:ascii="Times New Roman" w:hAnsi="Times New Roman" w:cs="Times New Roman"/>
        </w:rPr>
        <w:t>authorisation for the purposes of paragraph 285(1A)(d) of the Act</w:t>
      </w:r>
      <w:r>
        <w:rPr>
          <w:rFonts w:ascii="Times New Roman" w:hAnsi="Times New Roman" w:cs="Times New Roman"/>
        </w:rPr>
        <w:t xml:space="preserve"> and to a holder of an authorisation for those purposes.</w:t>
      </w:r>
    </w:p>
    <w:p w14:paraId="090C7DD0" w14:textId="77777777" w:rsidR="00362B2C" w:rsidRDefault="00362B2C" w:rsidP="00362B2C">
      <w:pPr>
        <w:rPr>
          <w:rFonts w:ascii="Times New Roman" w:hAnsi="Times New Roman" w:cs="Times New Roman"/>
        </w:rPr>
      </w:pPr>
      <w:r>
        <w:rPr>
          <w:rFonts w:ascii="Times New Roman" w:hAnsi="Times New Roman" w:cs="Times New Roman"/>
        </w:rPr>
        <w:t>An authorisation is granted under the scheme to permit the use and disclosure of certain information (</w:t>
      </w:r>
      <w:r w:rsidRPr="009255DA">
        <w:rPr>
          <w:rFonts w:ascii="Times New Roman" w:hAnsi="Times New Roman" w:cs="Times New Roman"/>
          <w:b/>
        </w:rPr>
        <w:t>customer data</w:t>
      </w:r>
      <w:r>
        <w:rPr>
          <w:rFonts w:ascii="Times New Roman" w:hAnsi="Times New Roman" w:cs="Times New Roman"/>
        </w:rPr>
        <w:t>) originating from the integrated public number database (</w:t>
      </w:r>
      <w:r w:rsidRPr="009255DA">
        <w:rPr>
          <w:rFonts w:ascii="Times New Roman" w:hAnsi="Times New Roman" w:cs="Times New Roman"/>
          <w:b/>
        </w:rPr>
        <w:t>the IPND</w:t>
      </w:r>
      <w:r>
        <w:rPr>
          <w:rFonts w:ascii="Times New Roman" w:hAnsi="Times New Roman" w:cs="Times New Roman"/>
        </w:rPr>
        <w:t>) relating to the listed telephone numbers (</w:t>
      </w:r>
      <w:r w:rsidRPr="009255DA">
        <w:rPr>
          <w:rFonts w:ascii="Times New Roman" w:hAnsi="Times New Roman" w:cs="Times New Roman"/>
          <w:b/>
        </w:rPr>
        <w:t>public numbers</w:t>
      </w:r>
      <w:r>
        <w:rPr>
          <w:rFonts w:ascii="Times New Roman" w:hAnsi="Times New Roman" w:cs="Times New Roman"/>
        </w:rPr>
        <w:t>) of persons who are supplied with carriage services (</w:t>
      </w:r>
      <w:r w:rsidRPr="0011045E">
        <w:rPr>
          <w:rFonts w:ascii="Times New Roman" w:hAnsi="Times New Roman" w:cs="Times New Roman"/>
          <w:b/>
        </w:rPr>
        <w:t>customer</w:t>
      </w:r>
      <w:r>
        <w:rPr>
          <w:rFonts w:ascii="Times New Roman" w:hAnsi="Times New Roman" w:cs="Times New Roman"/>
          <w:b/>
        </w:rPr>
        <w:t>s</w:t>
      </w:r>
      <w:r>
        <w:rPr>
          <w:rFonts w:ascii="Times New Roman" w:hAnsi="Times New Roman" w:cs="Times New Roman"/>
        </w:rPr>
        <w:t xml:space="preserve">) or their businesses.  The permission to use and disclose customer data does not extend to information relating to unlisted public numbers.  </w:t>
      </w:r>
    </w:p>
    <w:p w14:paraId="3F435BBF" w14:textId="77777777" w:rsidR="00362B2C" w:rsidRDefault="00362B2C" w:rsidP="00362B2C">
      <w:pPr>
        <w:spacing w:after="40"/>
        <w:rPr>
          <w:rFonts w:ascii="Times New Roman" w:hAnsi="Times New Roman" w:cs="Times New Roman"/>
        </w:rPr>
      </w:pPr>
      <w:r>
        <w:rPr>
          <w:rFonts w:ascii="Times New Roman" w:hAnsi="Times New Roman" w:cs="Times New Roman"/>
        </w:rPr>
        <w:t xml:space="preserve">An authorisation permits the use and disclosure of customer data for purposes connected with: </w:t>
      </w:r>
    </w:p>
    <w:p w14:paraId="1623774B" w14:textId="77777777" w:rsidR="00362B2C" w:rsidRPr="009255DA" w:rsidRDefault="00362B2C" w:rsidP="00362B2C">
      <w:pPr>
        <w:pStyle w:val="ListParagraph"/>
        <w:numPr>
          <w:ilvl w:val="0"/>
          <w:numId w:val="25"/>
        </w:numPr>
        <w:spacing w:after="40"/>
        <w:ind w:left="714" w:hanging="357"/>
        <w:rPr>
          <w:rFonts w:ascii="Times New Roman" w:hAnsi="Times New Roman" w:cs="Times New Roman"/>
        </w:rPr>
      </w:pPr>
      <w:r w:rsidRPr="009255DA">
        <w:rPr>
          <w:rFonts w:ascii="Times New Roman" w:hAnsi="Times New Roman" w:cs="Times New Roman"/>
        </w:rPr>
        <w:t>the publication and maintenance of a public number directory (</w:t>
      </w:r>
      <w:r w:rsidRPr="009255DA">
        <w:rPr>
          <w:rFonts w:ascii="Times New Roman" w:hAnsi="Times New Roman" w:cs="Times New Roman"/>
          <w:b/>
        </w:rPr>
        <w:t>PND</w:t>
      </w:r>
      <w:r w:rsidRPr="009255DA">
        <w:rPr>
          <w:rFonts w:ascii="Times New Roman" w:hAnsi="Times New Roman" w:cs="Times New Roman"/>
        </w:rPr>
        <w:t xml:space="preserve">); or </w:t>
      </w:r>
    </w:p>
    <w:p w14:paraId="69A447F8" w14:textId="77777777" w:rsidR="00362B2C" w:rsidRPr="009255DA" w:rsidRDefault="00362B2C" w:rsidP="00362B2C">
      <w:pPr>
        <w:pStyle w:val="ListParagraph"/>
        <w:numPr>
          <w:ilvl w:val="0"/>
          <w:numId w:val="25"/>
        </w:numPr>
        <w:rPr>
          <w:rFonts w:ascii="Times New Roman" w:hAnsi="Times New Roman" w:cs="Times New Roman"/>
        </w:rPr>
      </w:pPr>
      <w:r w:rsidRPr="009255DA">
        <w:rPr>
          <w:rFonts w:ascii="Times New Roman" w:hAnsi="Times New Roman" w:cs="Times New Roman"/>
        </w:rPr>
        <w:t>the conduct of research of a kind specified by the Minister in a legislative instrument under subsection 285(3) of the Act (</w:t>
      </w:r>
      <w:r w:rsidRPr="009255DA">
        <w:rPr>
          <w:rFonts w:ascii="Times New Roman" w:hAnsi="Times New Roman" w:cs="Times New Roman"/>
          <w:b/>
        </w:rPr>
        <w:t>research</w:t>
      </w:r>
      <w:r w:rsidRPr="009255DA">
        <w:rPr>
          <w:rFonts w:ascii="Times New Roman" w:hAnsi="Times New Roman" w:cs="Times New Roman"/>
        </w:rPr>
        <w:t>).</w:t>
      </w:r>
      <w:r>
        <w:rPr>
          <w:rStyle w:val="FootnoteReference"/>
          <w:rFonts w:cs="Times New Roman"/>
        </w:rPr>
        <w:footnoteReference w:id="7"/>
      </w:r>
    </w:p>
    <w:p w14:paraId="5E69D91F" w14:textId="77777777" w:rsidR="00362B2C" w:rsidRDefault="00362B2C" w:rsidP="00362B2C">
      <w:pPr>
        <w:rPr>
          <w:rFonts w:ascii="Times New Roman" w:hAnsi="Times New Roman" w:cs="Times New Roman"/>
          <w:b/>
        </w:rPr>
      </w:pPr>
      <w:r>
        <w:rPr>
          <w:rFonts w:ascii="Times New Roman" w:hAnsi="Times New Roman" w:cs="Times New Roman"/>
          <w:b/>
        </w:rPr>
        <w:t>Section 2.2</w:t>
      </w:r>
      <w:r>
        <w:rPr>
          <w:rFonts w:ascii="Times New Roman" w:hAnsi="Times New Roman" w:cs="Times New Roman"/>
          <w:b/>
        </w:rPr>
        <w:tab/>
        <w:t>Object of the scheme</w:t>
      </w:r>
    </w:p>
    <w:p w14:paraId="1DBB66E9" w14:textId="77777777" w:rsidR="00362B2C" w:rsidRPr="00F56BC6" w:rsidRDefault="00362B2C" w:rsidP="00362B2C">
      <w:pPr>
        <w:spacing w:after="40"/>
        <w:rPr>
          <w:rFonts w:ascii="Times New Roman" w:hAnsi="Times New Roman" w:cs="Times New Roman"/>
        </w:rPr>
      </w:pPr>
      <w:r w:rsidRPr="00F56BC6">
        <w:rPr>
          <w:rFonts w:ascii="Times New Roman" w:hAnsi="Times New Roman" w:cs="Times New Roman"/>
        </w:rPr>
        <w:t xml:space="preserve">This section identifies the object of the </w:t>
      </w:r>
      <w:r>
        <w:rPr>
          <w:rFonts w:ascii="Times New Roman" w:hAnsi="Times New Roman" w:cs="Times New Roman"/>
        </w:rPr>
        <w:t>s</w:t>
      </w:r>
      <w:r w:rsidRPr="00F56BC6">
        <w:rPr>
          <w:rFonts w:ascii="Times New Roman" w:hAnsi="Times New Roman" w:cs="Times New Roman"/>
        </w:rPr>
        <w:t>cheme</w:t>
      </w:r>
      <w:r>
        <w:rPr>
          <w:rFonts w:ascii="Times New Roman" w:hAnsi="Times New Roman" w:cs="Times New Roman"/>
        </w:rPr>
        <w:t xml:space="preserve"> which</w:t>
      </w:r>
      <w:r w:rsidRPr="00F56BC6">
        <w:rPr>
          <w:rFonts w:ascii="Times New Roman" w:hAnsi="Times New Roman" w:cs="Times New Roman"/>
        </w:rPr>
        <w:t xml:space="preserve"> </w:t>
      </w:r>
      <w:r>
        <w:rPr>
          <w:rFonts w:ascii="Times New Roman" w:hAnsi="Times New Roman" w:cs="Times New Roman"/>
        </w:rPr>
        <w:t>is</w:t>
      </w:r>
      <w:r w:rsidRPr="00F56BC6">
        <w:rPr>
          <w:rFonts w:ascii="Times New Roman" w:hAnsi="Times New Roman" w:cs="Times New Roman"/>
        </w:rPr>
        <w:t xml:space="preserve"> to provide for:</w:t>
      </w:r>
    </w:p>
    <w:p w14:paraId="3967BAA8" w14:textId="77777777" w:rsidR="00362B2C" w:rsidRPr="00F56BC6" w:rsidRDefault="00362B2C" w:rsidP="00362B2C">
      <w:pPr>
        <w:pStyle w:val="ListParagraph"/>
        <w:numPr>
          <w:ilvl w:val="0"/>
          <w:numId w:val="5"/>
        </w:numPr>
        <w:rPr>
          <w:rFonts w:ascii="Times New Roman" w:hAnsi="Times New Roman" w:cs="Times New Roman"/>
        </w:rPr>
      </w:pPr>
      <w:r>
        <w:rPr>
          <w:rFonts w:ascii="Times New Roman" w:hAnsi="Times New Roman" w:cs="Times New Roman"/>
        </w:rPr>
        <w:t xml:space="preserve">the </w:t>
      </w:r>
      <w:r w:rsidRPr="00F56BC6">
        <w:rPr>
          <w:rFonts w:ascii="Times New Roman" w:hAnsi="Times New Roman" w:cs="Times New Roman"/>
        </w:rPr>
        <w:t xml:space="preserve">grant of authorisations for the purposes of paragraph 285(1A)(d) of the Act; </w:t>
      </w:r>
    </w:p>
    <w:p w14:paraId="5B7099D8" w14:textId="77777777" w:rsidR="00362B2C" w:rsidRPr="00F56BC6" w:rsidRDefault="00362B2C" w:rsidP="00362B2C">
      <w:pPr>
        <w:pStyle w:val="ListParagraph"/>
        <w:numPr>
          <w:ilvl w:val="0"/>
          <w:numId w:val="5"/>
        </w:numPr>
        <w:rPr>
          <w:rFonts w:ascii="Times New Roman" w:hAnsi="Times New Roman" w:cs="Times New Roman"/>
        </w:rPr>
      </w:pPr>
      <w:r>
        <w:rPr>
          <w:rFonts w:ascii="Times New Roman" w:hAnsi="Times New Roman" w:cs="Times New Roman"/>
        </w:rPr>
        <w:t xml:space="preserve">the </w:t>
      </w:r>
      <w:r w:rsidRPr="00F56BC6">
        <w:rPr>
          <w:rFonts w:ascii="Times New Roman" w:hAnsi="Times New Roman" w:cs="Times New Roman"/>
        </w:rPr>
        <w:t>imposition of conditions on the grant of authorisations in accordance with section 295F of the Act;</w:t>
      </w:r>
      <w:r>
        <w:rPr>
          <w:rFonts w:ascii="Times New Roman" w:hAnsi="Times New Roman" w:cs="Times New Roman"/>
        </w:rPr>
        <w:t xml:space="preserve"> and</w:t>
      </w:r>
    </w:p>
    <w:p w14:paraId="09CAD302" w14:textId="77777777" w:rsidR="00362B2C" w:rsidRPr="00F56BC6" w:rsidRDefault="00362B2C" w:rsidP="00362B2C">
      <w:pPr>
        <w:pStyle w:val="ListParagraph"/>
        <w:numPr>
          <w:ilvl w:val="0"/>
          <w:numId w:val="5"/>
        </w:numPr>
        <w:rPr>
          <w:rFonts w:ascii="Times New Roman" w:hAnsi="Times New Roman" w:cs="Times New Roman"/>
        </w:rPr>
      </w:pPr>
      <w:r>
        <w:rPr>
          <w:rFonts w:ascii="Times New Roman" w:hAnsi="Times New Roman" w:cs="Times New Roman"/>
        </w:rPr>
        <w:t xml:space="preserve">the </w:t>
      </w:r>
      <w:r w:rsidRPr="00F56BC6">
        <w:rPr>
          <w:rFonts w:ascii="Times New Roman" w:hAnsi="Times New Roman" w:cs="Times New Roman"/>
        </w:rPr>
        <w:t>variation and revocation of authorisation</w:t>
      </w:r>
      <w:r>
        <w:rPr>
          <w:rFonts w:ascii="Times New Roman" w:hAnsi="Times New Roman" w:cs="Times New Roman"/>
        </w:rPr>
        <w:t>s</w:t>
      </w:r>
      <w:r w:rsidRPr="00F56BC6">
        <w:rPr>
          <w:rFonts w:ascii="Times New Roman" w:hAnsi="Times New Roman" w:cs="Times New Roman"/>
        </w:rPr>
        <w:t xml:space="preserve"> in accordance with section 295G of the Act. </w:t>
      </w:r>
    </w:p>
    <w:p w14:paraId="450D978B" w14:textId="77777777" w:rsidR="00362B2C" w:rsidRPr="00EB66AE" w:rsidRDefault="00362B2C" w:rsidP="00362B2C">
      <w:pPr>
        <w:rPr>
          <w:rFonts w:ascii="Times New Roman" w:hAnsi="Times New Roman" w:cs="Times New Roman"/>
          <w:b/>
        </w:rPr>
      </w:pPr>
      <w:r>
        <w:rPr>
          <w:rFonts w:ascii="Times New Roman" w:hAnsi="Times New Roman" w:cs="Times New Roman"/>
          <w:b/>
        </w:rPr>
        <w:t>Part 3–</w:t>
      </w:r>
      <w:r w:rsidRPr="00EB66AE">
        <w:rPr>
          <w:rFonts w:ascii="Times New Roman" w:hAnsi="Times New Roman" w:cs="Times New Roman"/>
          <w:b/>
        </w:rPr>
        <w:t>Authorisation to use and disclose customer data–public number directory publishers</w:t>
      </w:r>
    </w:p>
    <w:p w14:paraId="357B8298" w14:textId="77777777" w:rsidR="00362B2C" w:rsidRDefault="00362B2C" w:rsidP="00362B2C">
      <w:pPr>
        <w:rPr>
          <w:rFonts w:ascii="Times New Roman" w:hAnsi="Times New Roman" w:cs="Times New Roman"/>
        </w:rPr>
      </w:pPr>
      <w:r w:rsidRPr="00E4296A">
        <w:rPr>
          <w:rFonts w:ascii="Times New Roman" w:hAnsi="Times New Roman" w:cs="Times New Roman"/>
        </w:rPr>
        <w:t>Part 3 sets out the application and assessment processes for</w:t>
      </w:r>
      <w:r>
        <w:rPr>
          <w:rFonts w:ascii="Times New Roman" w:hAnsi="Times New Roman" w:cs="Times New Roman"/>
        </w:rPr>
        <w:t xml:space="preserve"> the grant of</w:t>
      </w:r>
      <w:r w:rsidRPr="00E4296A">
        <w:rPr>
          <w:rFonts w:ascii="Times New Roman" w:hAnsi="Times New Roman" w:cs="Times New Roman"/>
        </w:rPr>
        <w:t xml:space="preserve"> authoris</w:t>
      </w:r>
      <w:r>
        <w:rPr>
          <w:rFonts w:ascii="Times New Roman" w:hAnsi="Times New Roman" w:cs="Times New Roman"/>
        </w:rPr>
        <w:t>ations to</w:t>
      </w:r>
      <w:r w:rsidRPr="00E4296A">
        <w:rPr>
          <w:rFonts w:ascii="Times New Roman" w:hAnsi="Times New Roman" w:cs="Times New Roman"/>
        </w:rPr>
        <w:t xml:space="preserve"> use and disclos</w:t>
      </w:r>
      <w:r>
        <w:rPr>
          <w:rFonts w:ascii="Times New Roman" w:hAnsi="Times New Roman" w:cs="Times New Roman"/>
        </w:rPr>
        <w:t>e</w:t>
      </w:r>
      <w:r w:rsidRPr="00E4296A">
        <w:rPr>
          <w:rFonts w:ascii="Times New Roman" w:hAnsi="Times New Roman" w:cs="Times New Roman"/>
        </w:rPr>
        <w:t xml:space="preserve"> customer data </w:t>
      </w:r>
      <w:r>
        <w:rPr>
          <w:rFonts w:ascii="Times New Roman" w:hAnsi="Times New Roman" w:cs="Times New Roman"/>
        </w:rPr>
        <w:t>to</w:t>
      </w:r>
      <w:r w:rsidRPr="00E4296A">
        <w:rPr>
          <w:rFonts w:ascii="Times New Roman" w:hAnsi="Times New Roman" w:cs="Times New Roman"/>
        </w:rPr>
        <w:t xml:space="preserve"> publish</w:t>
      </w:r>
      <w:r>
        <w:rPr>
          <w:rFonts w:ascii="Times New Roman" w:hAnsi="Times New Roman" w:cs="Times New Roman"/>
        </w:rPr>
        <w:t xml:space="preserve"> and maintain</w:t>
      </w:r>
      <w:r w:rsidRPr="00E4296A">
        <w:rPr>
          <w:rFonts w:ascii="Times New Roman" w:hAnsi="Times New Roman" w:cs="Times New Roman"/>
        </w:rPr>
        <w:t xml:space="preserve"> a </w:t>
      </w:r>
      <w:r>
        <w:rPr>
          <w:rFonts w:ascii="Times New Roman" w:hAnsi="Times New Roman" w:cs="Times New Roman"/>
        </w:rPr>
        <w:t>PND, the duration of such authorisations, how the duration may be extended and the conditions to which the authorisations are subject.</w:t>
      </w:r>
      <w:r w:rsidRPr="00E4296A">
        <w:rPr>
          <w:rFonts w:ascii="Times New Roman" w:hAnsi="Times New Roman" w:cs="Times New Roman"/>
        </w:rPr>
        <w:t xml:space="preserve"> </w:t>
      </w:r>
    </w:p>
    <w:p w14:paraId="5E4DC58D" w14:textId="77777777" w:rsidR="00362B2C" w:rsidRPr="00E4296A" w:rsidRDefault="00362B2C" w:rsidP="00362B2C">
      <w:pPr>
        <w:rPr>
          <w:rFonts w:ascii="Times New Roman" w:hAnsi="Times New Roman" w:cs="Times New Roman"/>
        </w:rPr>
      </w:pPr>
      <w:r w:rsidRPr="00E4296A">
        <w:rPr>
          <w:rFonts w:ascii="Times New Roman" w:hAnsi="Times New Roman" w:cs="Times New Roman"/>
        </w:rPr>
        <w:t xml:space="preserve">There are two </w:t>
      </w:r>
      <w:r>
        <w:rPr>
          <w:rFonts w:ascii="Times New Roman" w:hAnsi="Times New Roman" w:cs="Times New Roman"/>
        </w:rPr>
        <w:t>kinds</w:t>
      </w:r>
      <w:r w:rsidRPr="00E4296A">
        <w:rPr>
          <w:rFonts w:ascii="Times New Roman" w:hAnsi="Times New Roman" w:cs="Times New Roman"/>
        </w:rPr>
        <w:t xml:space="preserve"> of authorisation</w:t>
      </w:r>
      <w:r>
        <w:rPr>
          <w:rFonts w:ascii="Times New Roman" w:hAnsi="Times New Roman" w:cs="Times New Roman"/>
        </w:rPr>
        <w:t xml:space="preserve">s granted under Part 3, namely </w:t>
      </w:r>
      <w:r w:rsidRPr="00E4296A">
        <w:rPr>
          <w:rFonts w:ascii="Times New Roman" w:hAnsi="Times New Roman" w:cs="Times New Roman"/>
        </w:rPr>
        <w:t xml:space="preserve">provisional </w:t>
      </w:r>
      <w:r>
        <w:rPr>
          <w:rFonts w:ascii="Times New Roman" w:hAnsi="Times New Roman" w:cs="Times New Roman"/>
        </w:rPr>
        <w:t xml:space="preserve">authorisations </w:t>
      </w:r>
      <w:r w:rsidRPr="00E4296A">
        <w:rPr>
          <w:rFonts w:ascii="Times New Roman" w:hAnsi="Times New Roman" w:cs="Times New Roman"/>
        </w:rPr>
        <w:t>and final</w:t>
      </w:r>
      <w:r>
        <w:rPr>
          <w:rFonts w:ascii="Times New Roman" w:hAnsi="Times New Roman" w:cs="Times New Roman"/>
        </w:rPr>
        <w:t xml:space="preserve"> authorisations</w:t>
      </w:r>
      <w:r w:rsidRPr="00E4296A">
        <w:rPr>
          <w:rFonts w:ascii="Times New Roman" w:hAnsi="Times New Roman" w:cs="Times New Roman"/>
        </w:rPr>
        <w:t xml:space="preserve">. </w:t>
      </w:r>
    </w:p>
    <w:p w14:paraId="68A0A53C" w14:textId="77777777" w:rsidR="00362B2C" w:rsidRDefault="00362B2C" w:rsidP="00362B2C">
      <w:pPr>
        <w:rPr>
          <w:rFonts w:ascii="Times New Roman" w:hAnsi="Times New Roman" w:cs="Times New Roman"/>
        </w:rPr>
      </w:pPr>
      <w:r>
        <w:rPr>
          <w:rFonts w:ascii="Times New Roman" w:hAnsi="Times New Roman" w:cs="Times New Roman"/>
        </w:rPr>
        <w:t>A person who wishes to use and disclose customer data to publish and maintain a PND must first</w:t>
      </w:r>
      <w:r w:rsidRPr="00E4296A">
        <w:rPr>
          <w:rFonts w:ascii="Times New Roman" w:hAnsi="Times New Roman" w:cs="Times New Roman"/>
        </w:rPr>
        <w:t xml:space="preserve"> apply</w:t>
      </w:r>
      <w:r>
        <w:rPr>
          <w:rFonts w:ascii="Times New Roman" w:hAnsi="Times New Roman" w:cs="Times New Roman"/>
        </w:rPr>
        <w:t xml:space="preserve"> to the ACMA</w:t>
      </w:r>
      <w:r w:rsidRPr="00E4296A">
        <w:rPr>
          <w:rFonts w:ascii="Times New Roman" w:hAnsi="Times New Roman" w:cs="Times New Roman"/>
        </w:rPr>
        <w:t xml:space="preserve"> for</w:t>
      </w:r>
      <w:r>
        <w:rPr>
          <w:rFonts w:ascii="Times New Roman" w:hAnsi="Times New Roman" w:cs="Times New Roman"/>
        </w:rPr>
        <w:t xml:space="preserve"> the grant of</w:t>
      </w:r>
      <w:r w:rsidRPr="00E4296A">
        <w:rPr>
          <w:rFonts w:ascii="Times New Roman" w:hAnsi="Times New Roman" w:cs="Times New Roman"/>
        </w:rPr>
        <w:t xml:space="preserve"> a provisional authorisat</w:t>
      </w:r>
      <w:r>
        <w:rPr>
          <w:rFonts w:ascii="Times New Roman" w:hAnsi="Times New Roman" w:cs="Times New Roman"/>
        </w:rPr>
        <w:t xml:space="preserve">ion, providing details of the proposed PND to be developed. If a provisional </w:t>
      </w:r>
      <w:r w:rsidRPr="00E4296A">
        <w:rPr>
          <w:rFonts w:ascii="Times New Roman" w:hAnsi="Times New Roman" w:cs="Times New Roman"/>
        </w:rPr>
        <w:t xml:space="preserve">authorisation is </w:t>
      </w:r>
      <w:r>
        <w:rPr>
          <w:rFonts w:ascii="Times New Roman" w:hAnsi="Times New Roman" w:cs="Times New Roman"/>
        </w:rPr>
        <w:t>granted</w:t>
      </w:r>
      <w:r w:rsidRPr="00E4296A">
        <w:rPr>
          <w:rFonts w:ascii="Times New Roman" w:hAnsi="Times New Roman" w:cs="Times New Roman"/>
        </w:rPr>
        <w:t xml:space="preserve">, the </w:t>
      </w:r>
      <w:r>
        <w:rPr>
          <w:rFonts w:ascii="Times New Roman" w:hAnsi="Times New Roman" w:cs="Times New Roman"/>
        </w:rPr>
        <w:lastRenderedPageBreak/>
        <w:t>holder of the authorisation</w:t>
      </w:r>
      <w:r w:rsidRPr="00E4296A">
        <w:rPr>
          <w:rFonts w:ascii="Times New Roman" w:hAnsi="Times New Roman" w:cs="Times New Roman"/>
        </w:rPr>
        <w:t xml:space="preserve"> </w:t>
      </w:r>
      <w:r>
        <w:rPr>
          <w:rFonts w:ascii="Times New Roman" w:hAnsi="Times New Roman" w:cs="Times New Roman"/>
        </w:rPr>
        <w:t xml:space="preserve">must </w:t>
      </w:r>
      <w:r w:rsidRPr="00E4296A">
        <w:rPr>
          <w:rFonts w:ascii="Times New Roman" w:hAnsi="Times New Roman" w:cs="Times New Roman"/>
        </w:rPr>
        <w:t>make arrangements with the</w:t>
      </w:r>
      <w:r>
        <w:rPr>
          <w:rFonts w:ascii="Times New Roman" w:hAnsi="Times New Roman" w:cs="Times New Roman"/>
        </w:rPr>
        <w:t xml:space="preserve"> person who for the time being maintains the IPND (</w:t>
      </w:r>
      <w:r w:rsidRPr="009255DA">
        <w:rPr>
          <w:rFonts w:ascii="Times New Roman" w:hAnsi="Times New Roman" w:cs="Times New Roman"/>
          <w:b/>
        </w:rPr>
        <w:t>the IPND Manager</w:t>
      </w:r>
      <w:r>
        <w:rPr>
          <w:rFonts w:ascii="Times New Roman" w:hAnsi="Times New Roman" w:cs="Times New Roman"/>
        </w:rPr>
        <w:t>)</w:t>
      </w:r>
      <w:r w:rsidRPr="00E4296A">
        <w:rPr>
          <w:rFonts w:ascii="Times New Roman" w:hAnsi="Times New Roman" w:cs="Times New Roman"/>
        </w:rPr>
        <w:t xml:space="preserve"> to access a</w:t>
      </w:r>
      <w:r>
        <w:rPr>
          <w:rFonts w:ascii="Times New Roman" w:hAnsi="Times New Roman" w:cs="Times New Roman"/>
        </w:rPr>
        <w:t xml:space="preserve"> restricted version of customer data (</w:t>
      </w:r>
      <w:r w:rsidRPr="009255DA">
        <w:rPr>
          <w:rFonts w:ascii="Times New Roman" w:hAnsi="Times New Roman" w:cs="Times New Roman"/>
          <w:b/>
        </w:rPr>
        <w:t>provisional IPND data source</w:t>
      </w:r>
      <w:r>
        <w:rPr>
          <w:rFonts w:ascii="Times New Roman" w:hAnsi="Times New Roman" w:cs="Times New Roman"/>
        </w:rPr>
        <w:t>)</w:t>
      </w:r>
      <w:r w:rsidRPr="00E4296A">
        <w:rPr>
          <w:rFonts w:ascii="Times New Roman" w:hAnsi="Times New Roman" w:cs="Times New Roman"/>
        </w:rPr>
        <w:t xml:space="preserve"> for use in developing a sample </w:t>
      </w:r>
      <w:r>
        <w:rPr>
          <w:rFonts w:ascii="Times New Roman" w:hAnsi="Times New Roman" w:cs="Times New Roman"/>
        </w:rPr>
        <w:t>PND</w:t>
      </w:r>
      <w:r w:rsidRPr="00E4296A">
        <w:rPr>
          <w:rFonts w:ascii="Times New Roman" w:hAnsi="Times New Roman" w:cs="Times New Roman"/>
        </w:rPr>
        <w:t>.</w:t>
      </w:r>
      <w:r>
        <w:rPr>
          <w:rFonts w:ascii="Times New Roman" w:hAnsi="Times New Roman" w:cs="Times New Roman"/>
        </w:rPr>
        <w:t xml:space="preserve">  </w:t>
      </w:r>
    </w:p>
    <w:p w14:paraId="75EFE807" w14:textId="77777777" w:rsidR="00362B2C" w:rsidRDefault="00362B2C" w:rsidP="00362B2C">
      <w:pPr>
        <w:rPr>
          <w:rFonts w:ascii="Times New Roman" w:hAnsi="Times New Roman" w:cs="Times New Roman"/>
        </w:rPr>
      </w:pPr>
      <w:r>
        <w:rPr>
          <w:rFonts w:ascii="Times New Roman" w:hAnsi="Times New Roman" w:cs="Times New Roman"/>
        </w:rPr>
        <w:t xml:space="preserve">If the holder of the provisional authorisation wishes to continue to use and disclose customer data to publish and maintain a PND, the holder must apply to the ACMA for the grant of a final authorisation (by giving access to the sample PND developed) before the provisional authorisation ends. The ACMA will consider the sample PND developed by the holder of the provisional authorisation as part of the assessment process for the grant of a final authorisation.  </w:t>
      </w:r>
      <w:r w:rsidRPr="00E4296A">
        <w:rPr>
          <w:rFonts w:ascii="Times New Roman" w:hAnsi="Times New Roman" w:cs="Times New Roman"/>
        </w:rPr>
        <w:t xml:space="preserve"> </w:t>
      </w:r>
    </w:p>
    <w:p w14:paraId="0FA550B4" w14:textId="77777777" w:rsidR="00362B2C" w:rsidRDefault="00362B2C" w:rsidP="00362B2C">
      <w:pPr>
        <w:pStyle w:val="ACMABodyText"/>
        <w:spacing w:before="0" w:after="160" w:line="259" w:lineRule="auto"/>
      </w:pPr>
      <w:r>
        <w:rPr>
          <w:sz w:val="22"/>
          <w:szCs w:val="22"/>
        </w:rPr>
        <w:t>The holder of a f</w:t>
      </w:r>
      <w:r w:rsidRPr="00332744">
        <w:rPr>
          <w:sz w:val="22"/>
          <w:szCs w:val="22"/>
        </w:rPr>
        <w:t xml:space="preserve">inal authorisation </w:t>
      </w:r>
      <w:r>
        <w:rPr>
          <w:sz w:val="22"/>
          <w:szCs w:val="22"/>
        </w:rPr>
        <w:t>may make arrangements with</w:t>
      </w:r>
      <w:r w:rsidRPr="00332744">
        <w:rPr>
          <w:sz w:val="22"/>
          <w:szCs w:val="22"/>
        </w:rPr>
        <w:t xml:space="preserve"> the IPND Manager for </w:t>
      </w:r>
      <w:r>
        <w:rPr>
          <w:sz w:val="22"/>
          <w:szCs w:val="22"/>
        </w:rPr>
        <w:t>the</w:t>
      </w:r>
      <w:r w:rsidRPr="00332744">
        <w:rPr>
          <w:sz w:val="22"/>
          <w:szCs w:val="22"/>
        </w:rPr>
        <w:t xml:space="preserve"> </w:t>
      </w:r>
      <w:r>
        <w:rPr>
          <w:sz w:val="22"/>
          <w:szCs w:val="22"/>
        </w:rPr>
        <w:t xml:space="preserve">ongoing </w:t>
      </w:r>
      <w:r w:rsidRPr="00332744">
        <w:rPr>
          <w:sz w:val="22"/>
          <w:szCs w:val="22"/>
        </w:rPr>
        <w:t>supply of customer data</w:t>
      </w:r>
      <w:r>
        <w:rPr>
          <w:sz w:val="22"/>
          <w:szCs w:val="22"/>
        </w:rPr>
        <w:t xml:space="preserve"> (which is not as limited as a provisional IPND data source and includes regular updates) to</w:t>
      </w:r>
      <w:r w:rsidRPr="00332744">
        <w:rPr>
          <w:sz w:val="22"/>
          <w:szCs w:val="22"/>
        </w:rPr>
        <w:t xml:space="preserve"> publish and maintain </w:t>
      </w:r>
      <w:r>
        <w:rPr>
          <w:sz w:val="22"/>
          <w:szCs w:val="22"/>
        </w:rPr>
        <w:t xml:space="preserve">a </w:t>
      </w:r>
      <w:r w:rsidRPr="00332744">
        <w:rPr>
          <w:sz w:val="22"/>
          <w:szCs w:val="22"/>
        </w:rPr>
        <w:t>PND</w:t>
      </w:r>
      <w:r>
        <w:rPr>
          <w:sz w:val="22"/>
          <w:szCs w:val="22"/>
        </w:rPr>
        <w:t>.</w:t>
      </w:r>
      <w:r w:rsidRPr="00332744">
        <w:rPr>
          <w:sz w:val="22"/>
          <w:szCs w:val="22"/>
        </w:rPr>
        <w:t xml:space="preserve"> </w:t>
      </w:r>
    </w:p>
    <w:p w14:paraId="5415BC1E" w14:textId="77777777" w:rsidR="00362B2C" w:rsidRPr="00CB4BDA" w:rsidRDefault="00362B2C" w:rsidP="00362B2C">
      <w:pPr>
        <w:pStyle w:val="ACMABodyText"/>
        <w:spacing w:before="0" w:after="160" w:line="259" w:lineRule="auto"/>
      </w:pPr>
      <w:r>
        <w:rPr>
          <w:sz w:val="22"/>
          <w:szCs w:val="22"/>
        </w:rPr>
        <w:t xml:space="preserve">The holder of </w:t>
      </w:r>
      <w:r w:rsidRPr="009255DA">
        <w:rPr>
          <w:sz w:val="22"/>
          <w:szCs w:val="22"/>
        </w:rPr>
        <w:t>a provisional authorisation or a final authorisation is treated in the scheme as being a public number directory publisher.</w:t>
      </w:r>
    </w:p>
    <w:p w14:paraId="60DEA39D" w14:textId="77777777" w:rsidR="00362B2C" w:rsidRDefault="00362B2C" w:rsidP="00362B2C">
      <w:pPr>
        <w:keepNext/>
        <w:rPr>
          <w:rFonts w:ascii="Times New Roman" w:hAnsi="Times New Roman" w:cs="Times New Roman"/>
          <w:b/>
        </w:rPr>
      </w:pPr>
      <w:r>
        <w:rPr>
          <w:rFonts w:ascii="Times New Roman" w:hAnsi="Times New Roman" w:cs="Times New Roman"/>
          <w:b/>
        </w:rPr>
        <w:t>Division 1</w:t>
      </w:r>
      <w:r>
        <w:rPr>
          <w:rFonts w:ascii="Times New Roman" w:hAnsi="Times New Roman" w:cs="Times New Roman"/>
          <w:b/>
        </w:rPr>
        <w:tab/>
        <w:t>Application of Part 3</w:t>
      </w:r>
    </w:p>
    <w:p w14:paraId="58379A45" w14:textId="77777777" w:rsidR="00362B2C" w:rsidRDefault="00362B2C" w:rsidP="00362B2C">
      <w:pPr>
        <w:keepNext/>
        <w:rPr>
          <w:rFonts w:ascii="Times New Roman" w:hAnsi="Times New Roman" w:cs="Times New Roman"/>
          <w:b/>
        </w:rPr>
      </w:pPr>
      <w:r>
        <w:rPr>
          <w:rFonts w:ascii="Times New Roman" w:hAnsi="Times New Roman" w:cs="Times New Roman"/>
          <w:b/>
        </w:rPr>
        <w:t>Section 3.1</w:t>
      </w:r>
      <w:r>
        <w:rPr>
          <w:rFonts w:ascii="Times New Roman" w:hAnsi="Times New Roman" w:cs="Times New Roman"/>
          <w:b/>
        </w:rPr>
        <w:tab/>
        <w:t>Application</w:t>
      </w:r>
    </w:p>
    <w:p w14:paraId="682639E8" w14:textId="77777777" w:rsidR="00362B2C" w:rsidRDefault="00362B2C" w:rsidP="00362B2C">
      <w:pPr>
        <w:rPr>
          <w:rFonts w:ascii="Times New Roman" w:hAnsi="Times New Roman" w:cs="Times New Roman"/>
        </w:rPr>
      </w:pPr>
      <w:r>
        <w:rPr>
          <w:rFonts w:ascii="Times New Roman" w:hAnsi="Times New Roman" w:cs="Times New Roman"/>
        </w:rPr>
        <w:t>This section provides that Part 3</w:t>
      </w:r>
      <w:r w:rsidDel="00150974">
        <w:rPr>
          <w:rFonts w:ascii="Times New Roman" w:hAnsi="Times New Roman" w:cs="Times New Roman"/>
        </w:rPr>
        <w:t xml:space="preserve"> </w:t>
      </w:r>
      <w:r w:rsidRPr="00A079BF">
        <w:rPr>
          <w:rFonts w:ascii="Times New Roman" w:hAnsi="Times New Roman" w:cs="Times New Roman"/>
        </w:rPr>
        <w:t xml:space="preserve">applies to a person seeking to be granted an authorisation to </w:t>
      </w:r>
      <w:r>
        <w:rPr>
          <w:rFonts w:ascii="Times New Roman" w:hAnsi="Times New Roman" w:cs="Times New Roman"/>
        </w:rPr>
        <w:t xml:space="preserve">use and disclose customer data to </w:t>
      </w:r>
      <w:r w:rsidRPr="00A079BF">
        <w:rPr>
          <w:rFonts w:ascii="Times New Roman" w:hAnsi="Times New Roman" w:cs="Times New Roman"/>
        </w:rPr>
        <w:t>publish</w:t>
      </w:r>
      <w:r>
        <w:rPr>
          <w:rFonts w:ascii="Times New Roman" w:hAnsi="Times New Roman" w:cs="Times New Roman"/>
        </w:rPr>
        <w:t xml:space="preserve"> and maintain</w:t>
      </w:r>
      <w:r w:rsidRPr="00A079BF">
        <w:rPr>
          <w:rFonts w:ascii="Times New Roman" w:hAnsi="Times New Roman" w:cs="Times New Roman"/>
        </w:rPr>
        <w:t xml:space="preserve"> a </w:t>
      </w:r>
      <w:r>
        <w:rPr>
          <w:rFonts w:ascii="Times New Roman" w:hAnsi="Times New Roman" w:cs="Times New Roman"/>
        </w:rPr>
        <w:t>PND,</w:t>
      </w:r>
      <w:r w:rsidRPr="00A079BF">
        <w:rPr>
          <w:rFonts w:ascii="Times New Roman" w:hAnsi="Times New Roman" w:cs="Times New Roman"/>
        </w:rPr>
        <w:t xml:space="preserve"> and to a public number directory publisher. </w:t>
      </w:r>
    </w:p>
    <w:p w14:paraId="1D886841" w14:textId="77777777" w:rsidR="00362B2C" w:rsidRDefault="00362B2C" w:rsidP="00362B2C">
      <w:pPr>
        <w:rPr>
          <w:rFonts w:ascii="Times New Roman" w:hAnsi="Times New Roman" w:cs="Times New Roman"/>
          <w:b/>
        </w:rPr>
      </w:pPr>
      <w:r w:rsidRPr="00FF4A77">
        <w:rPr>
          <w:rFonts w:ascii="Times New Roman" w:hAnsi="Times New Roman" w:cs="Times New Roman"/>
          <w:b/>
        </w:rPr>
        <w:t>Division 2</w:t>
      </w:r>
      <w:r w:rsidRPr="00FF4A77">
        <w:rPr>
          <w:rFonts w:ascii="Times New Roman" w:hAnsi="Times New Roman" w:cs="Times New Roman"/>
          <w:b/>
        </w:rPr>
        <w:tab/>
        <w:t>Provisional authorisation</w:t>
      </w:r>
    </w:p>
    <w:p w14:paraId="15143977" w14:textId="77777777" w:rsidR="00362B2C" w:rsidRPr="00FF4A77" w:rsidRDefault="00362B2C" w:rsidP="00362B2C">
      <w:pPr>
        <w:rPr>
          <w:rFonts w:ascii="Times New Roman" w:hAnsi="Times New Roman" w:cs="Times New Roman"/>
          <w:b/>
        </w:rPr>
      </w:pPr>
      <w:r>
        <w:rPr>
          <w:rFonts w:ascii="Times New Roman" w:hAnsi="Times New Roman" w:cs="Times New Roman"/>
          <w:b/>
        </w:rPr>
        <w:t xml:space="preserve">Subdivision </w:t>
      </w:r>
      <w:proofErr w:type="spellStart"/>
      <w:r>
        <w:rPr>
          <w:rFonts w:ascii="Times New Roman" w:hAnsi="Times New Roman" w:cs="Times New Roman"/>
          <w:b/>
        </w:rPr>
        <w:t>A</w:t>
      </w:r>
      <w:proofErr w:type="spellEnd"/>
      <w:r>
        <w:rPr>
          <w:rFonts w:ascii="Times New Roman" w:hAnsi="Times New Roman" w:cs="Times New Roman"/>
          <w:b/>
        </w:rPr>
        <w:t xml:space="preserve"> </w:t>
      </w:r>
      <w:r>
        <w:rPr>
          <w:rFonts w:ascii="Times New Roman" w:hAnsi="Times New Roman" w:cs="Times New Roman"/>
          <w:b/>
        </w:rPr>
        <w:tab/>
        <w:t>Application for provisional authorisation</w:t>
      </w:r>
    </w:p>
    <w:p w14:paraId="43ED5861" w14:textId="77777777" w:rsidR="00362B2C" w:rsidRPr="00FF4A77" w:rsidRDefault="00362B2C" w:rsidP="00362B2C">
      <w:pPr>
        <w:rPr>
          <w:rFonts w:ascii="Times New Roman" w:hAnsi="Times New Roman" w:cs="Times New Roman"/>
          <w:b/>
        </w:rPr>
      </w:pPr>
      <w:r w:rsidRPr="00FF4A77">
        <w:rPr>
          <w:rFonts w:ascii="Times New Roman" w:hAnsi="Times New Roman" w:cs="Times New Roman"/>
          <w:b/>
        </w:rPr>
        <w:t xml:space="preserve">Section </w:t>
      </w:r>
      <w:r>
        <w:rPr>
          <w:rFonts w:ascii="Times New Roman" w:hAnsi="Times New Roman" w:cs="Times New Roman"/>
          <w:b/>
        </w:rPr>
        <w:t>3.</w:t>
      </w:r>
      <w:r w:rsidRPr="00FF4A77">
        <w:rPr>
          <w:rFonts w:ascii="Times New Roman" w:hAnsi="Times New Roman" w:cs="Times New Roman"/>
          <w:b/>
        </w:rPr>
        <w:t>2</w:t>
      </w:r>
      <w:r w:rsidRPr="00FF4A77">
        <w:rPr>
          <w:rFonts w:ascii="Times New Roman" w:hAnsi="Times New Roman" w:cs="Times New Roman"/>
          <w:b/>
        </w:rPr>
        <w:tab/>
        <w:t>Making an application</w:t>
      </w:r>
    </w:p>
    <w:p w14:paraId="03646C64" w14:textId="77777777" w:rsidR="00362B2C" w:rsidRPr="00095ADA" w:rsidRDefault="00362B2C" w:rsidP="00362B2C">
      <w:pPr>
        <w:rPr>
          <w:rFonts w:ascii="Times New Roman" w:hAnsi="Times New Roman" w:cs="Times New Roman"/>
        </w:rPr>
      </w:pPr>
      <w:r w:rsidRPr="00095ADA">
        <w:rPr>
          <w:rFonts w:ascii="Times New Roman" w:hAnsi="Times New Roman" w:cs="Times New Roman"/>
        </w:rPr>
        <w:t>This section sets out the</w:t>
      </w:r>
      <w:r>
        <w:rPr>
          <w:rFonts w:ascii="Times New Roman" w:hAnsi="Times New Roman" w:cs="Times New Roman"/>
        </w:rPr>
        <w:t xml:space="preserve"> process for making an</w:t>
      </w:r>
      <w:r w:rsidRPr="00095ADA">
        <w:rPr>
          <w:rFonts w:ascii="Times New Roman" w:hAnsi="Times New Roman" w:cs="Times New Roman"/>
        </w:rPr>
        <w:t xml:space="preserve"> application for </w:t>
      </w:r>
      <w:r>
        <w:rPr>
          <w:rFonts w:ascii="Times New Roman" w:hAnsi="Times New Roman" w:cs="Times New Roman"/>
        </w:rPr>
        <w:t xml:space="preserve">the grant of </w:t>
      </w:r>
      <w:r w:rsidRPr="00095ADA">
        <w:rPr>
          <w:rFonts w:ascii="Times New Roman" w:hAnsi="Times New Roman" w:cs="Times New Roman"/>
        </w:rPr>
        <w:t xml:space="preserve">a provisional authorisation. </w:t>
      </w:r>
    </w:p>
    <w:p w14:paraId="3E9EE210" w14:textId="77777777" w:rsidR="00362B2C" w:rsidRPr="00095ADA" w:rsidRDefault="00362B2C" w:rsidP="00362B2C">
      <w:pPr>
        <w:spacing w:after="40"/>
        <w:rPr>
          <w:rFonts w:ascii="Times New Roman" w:hAnsi="Times New Roman" w:cs="Times New Roman"/>
        </w:rPr>
      </w:pPr>
      <w:r w:rsidRPr="00095ADA">
        <w:rPr>
          <w:rFonts w:ascii="Times New Roman" w:hAnsi="Times New Roman" w:cs="Times New Roman"/>
        </w:rPr>
        <w:t>Th</w:t>
      </w:r>
      <w:r>
        <w:rPr>
          <w:rFonts w:ascii="Times New Roman" w:hAnsi="Times New Roman" w:cs="Times New Roman"/>
        </w:rPr>
        <w:t>e</w:t>
      </w:r>
      <w:r w:rsidRPr="00095ADA">
        <w:rPr>
          <w:rFonts w:ascii="Times New Roman" w:hAnsi="Times New Roman" w:cs="Times New Roman"/>
        </w:rPr>
        <w:t xml:space="preserve"> section imposes the following application requirements:</w:t>
      </w:r>
    </w:p>
    <w:p w14:paraId="70536051" w14:textId="77777777" w:rsidR="00362B2C" w:rsidRPr="00095ADA" w:rsidRDefault="00362B2C" w:rsidP="00362B2C">
      <w:pPr>
        <w:pStyle w:val="ListParagraph"/>
        <w:numPr>
          <w:ilvl w:val="0"/>
          <w:numId w:val="6"/>
        </w:numPr>
        <w:spacing w:after="40"/>
        <w:ind w:left="714" w:hanging="357"/>
        <w:rPr>
          <w:rFonts w:ascii="Times New Roman" w:hAnsi="Times New Roman" w:cs="Times New Roman"/>
        </w:rPr>
      </w:pPr>
      <w:r>
        <w:rPr>
          <w:rFonts w:ascii="Times New Roman" w:hAnsi="Times New Roman" w:cs="Times New Roman"/>
        </w:rPr>
        <w:t>T</w:t>
      </w:r>
      <w:r w:rsidRPr="00095ADA">
        <w:rPr>
          <w:rFonts w:ascii="Times New Roman" w:hAnsi="Times New Roman" w:cs="Times New Roman"/>
        </w:rPr>
        <w:t>he application must be</w:t>
      </w:r>
      <w:r>
        <w:rPr>
          <w:rFonts w:ascii="Times New Roman" w:hAnsi="Times New Roman" w:cs="Times New Roman"/>
        </w:rPr>
        <w:t xml:space="preserve"> made to the ACMA using the</w:t>
      </w:r>
      <w:r w:rsidRPr="00095ADA">
        <w:rPr>
          <w:rFonts w:ascii="Times New Roman" w:hAnsi="Times New Roman" w:cs="Times New Roman"/>
        </w:rPr>
        <w:t xml:space="preserve"> form approved by the ACMA </w:t>
      </w:r>
      <w:r>
        <w:rPr>
          <w:rFonts w:ascii="Times New Roman" w:hAnsi="Times New Roman" w:cs="Times New Roman"/>
        </w:rPr>
        <w:t>which</w:t>
      </w:r>
      <w:r w:rsidRPr="00095ADA">
        <w:rPr>
          <w:rFonts w:ascii="Times New Roman" w:hAnsi="Times New Roman" w:cs="Times New Roman"/>
        </w:rPr>
        <w:t xml:space="preserve"> </w:t>
      </w:r>
      <w:r>
        <w:rPr>
          <w:rFonts w:ascii="Times New Roman" w:hAnsi="Times New Roman" w:cs="Times New Roman"/>
        </w:rPr>
        <w:t xml:space="preserve">is available on its website at </w:t>
      </w:r>
      <w:hyperlink r:id="rId9" w:history="1">
        <w:r w:rsidRPr="00AF16BD">
          <w:rPr>
            <w:rStyle w:val="Hyperlink"/>
            <w:rFonts w:ascii="Times New Roman" w:hAnsi="Times New Roman" w:cs="Times New Roman"/>
          </w:rPr>
          <w:t>www.acma.gov.au</w:t>
        </w:r>
      </w:hyperlink>
      <w:r>
        <w:rPr>
          <w:rFonts w:ascii="Times New Roman" w:hAnsi="Times New Roman" w:cs="Times New Roman"/>
        </w:rPr>
        <w:t xml:space="preserve"> (subsections (1) and (2)).</w:t>
      </w:r>
    </w:p>
    <w:p w14:paraId="49A301D4" w14:textId="77777777" w:rsidR="00362B2C" w:rsidRPr="00095ADA" w:rsidRDefault="00362B2C" w:rsidP="00362B2C">
      <w:pPr>
        <w:pStyle w:val="ListParagraph"/>
        <w:numPr>
          <w:ilvl w:val="0"/>
          <w:numId w:val="6"/>
        </w:numPr>
        <w:spacing w:after="40"/>
        <w:ind w:left="714" w:hanging="357"/>
        <w:rPr>
          <w:rFonts w:ascii="Times New Roman" w:hAnsi="Times New Roman" w:cs="Times New Roman"/>
        </w:rPr>
      </w:pPr>
      <w:r>
        <w:rPr>
          <w:rFonts w:ascii="Times New Roman" w:hAnsi="Times New Roman" w:cs="Times New Roman"/>
        </w:rPr>
        <w:t>T</w:t>
      </w:r>
      <w:r w:rsidRPr="00095ADA">
        <w:rPr>
          <w:rFonts w:ascii="Times New Roman" w:hAnsi="Times New Roman" w:cs="Times New Roman"/>
        </w:rPr>
        <w:t xml:space="preserve">he application must be accompanied by any applicable charge fixed by a determination under section 60 of the </w:t>
      </w:r>
      <w:r w:rsidRPr="00095ADA">
        <w:rPr>
          <w:rFonts w:ascii="Times New Roman" w:hAnsi="Times New Roman" w:cs="Times New Roman"/>
          <w:i/>
        </w:rPr>
        <w:t xml:space="preserve">Australian Communications and Media Authority Act 2005 </w:t>
      </w:r>
      <w:r>
        <w:rPr>
          <w:rFonts w:ascii="Times New Roman" w:hAnsi="Times New Roman" w:cs="Times New Roman"/>
        </w:rPr>
        <w:t>(</w:t>
      </w:r>
      <w:r w:rsidRPr="009255DA">
        <w:rPr>
          <w:rFonts w:ascii="Times New Roman" w:hAnsi="Times New Roman" w:cs="Times New Roman"/>
          <w:b/>
        </w:rPr>
        <w:t>the ACMA Act</w:t>
      </w:r>
      <w:r>
        <w:rPr>
          <w:rFonts w:ascii="Times New Roman" w:hAnsi="Times New Roman" w:cs="Times New Roman"/>
        </w:rPr>
        <w:t>) (paragraph (3)(a)).</w:t>
      </w:r>
    </w:p>
    <w:p w14:paraId="0D8A0C58" w14:textId="77777777" w:rsidR="00362B2C" w:rsidRPr="00A87BE8" w:rsidRDefault="00362B2C" w:rsidP="00362B2C">
      <w:pPr>
        <w:pStyle w:val="ListParagraph"/>
        <w:numPr>
          <w:ilvl w:val="0"/>
          <w:numId w:val="6"/>
        </w:numPr>
        <w:ind w:left="714" w:hanging="357"/>
        <w:rPr>
          <w:rFonts w:ascii="Times New Roman" w:hAnsi="Times New Roman" w:cs="Times New Roman"/>
        </w:rPr>
      </w:pPr>
      <w:r w:rsidRPr="00A87BE8">
        <w:rPr>
          <w:rFonts w:ascii="Times New Roman" w:hAnsi="Times New Roman" w:cs="Times New Roman"/>
        </w:rPr>
        <w:lastRenderedPageBreak/>
        <w:t>The application must</w:t>
      </w:r>
      <w:r>
        <w:rPr>
          <w:rFonts w:ascii="Times New Roman" w:hAnsi="Times New Roman" w:cs="Times New Roman"/>
        </w:rPr>
        <w:t xml:space="preserve"> also</w:t>
      </w:r>
      <w:r w:rsidRPr="00A87BE8">
        <w:rPr>
          <w:rFonts w:ascii="Times New Roman" w:hAnsi="Times New Roman" w:cs="Times New Roman"/>
        </w:rPr>
        <w:t xml:space="preserve"> be accompanied by a completed privacy impact assessment </w:t>
      </w:r>
      <w:r>
        <w:rPr>
          <w:rFonts w:ascii="Times New Roman" w:hAnsi="Times New Roman" w:cs="Times New Roman"/>
        </w:rPr>
        <w:t xml:space="preserve">using the </w:t>
      </w:r>
      <w:r w:rsidRPr="00A87BE8">
        <w:rPr>
          <w:rFonts w:ascii="Times New Roman" w:hAnsi="Times New Roman" w:cs="Times New Roman"/>
        </w:rPr>
        <w:t xml:space="preserve">form approved by the ACMA </w:t>
      </w:r>
      <w:r>
        <w:rPr>
          <w:rFonts w:ascii="Times New Roman" w:hAnsi="Times New Roman" w:cs="Times New Roman"/>
        </w:rPr>
        <w:t>which is</w:t>
      </w:r>
      <w:r w:rsidRPr="00A87BE8">
        <w:rPr>
          <w:rFonts w:ascii="Times New Roman" w:hAnsi="Times New Roman" w:cs="Times New Roman"/>
        </w:rPr>
        <w:t xml:space="preserve"> available on </w:t>
      </w:r>
      <w:r>
        <w:rPr>
          <w:rFonts w:ascii="Times New Roman" w:hAnsi="Times New Roman" w:cs="Times New Roman"/>
        </w:rPr>
        <w:t>its</w:t>
      </w:r>
      <w:r w:rsidRPr="00A87BE8">
        <w:rPr>
          <w:rFonts w:ascii="Times New Roman" w:hAnsi="Times New Roman" w:cs="Times New Roman"/>
        </w:rPr>
        <w:t xml:space="preserve"> website</w:t>
      </w:r>
      <w:r>
        <w:rPr>
          <w:rFonts w:ascii="Times New Roman" w:hAnsi="Times New Roman" w:cs="Times New Roman"/>
        </w:rPr>
        <w:t xml:space="preserve"> (paragraph (3)(b))</w:t>
      </w:r>
      <w:r w:rsidRPr="00A87BE8">
        <w:rPr>
          <w:rFonts w:ascii="Times New Roman" w:hAnsi="Times New Roman" w:cs="Times New Roman"/>
        </w:rPr>
        <w:t>.</w:t>
      </w:r>
      <w:r>
        <w:rPr>
          <w:rStyle w:val="FootnoteReference"/>
          <w:rFonts w:cs="Times New Roman"/>
        </w:rPr>
        <w:footnoteReference w:id="8"/>
      </w:r>
      <w:r w:rsidRPr="00A87BE8">
        <w:rPr>
          <w:rFonts w:ascii="Times New Roman" w:hAnsi="Times New Roman" w:cs="Times New Roman"/>
        </w:rPr>
        <w:t xml:space="preserve"> </w:t>
      </w:r>
      <w:r>
        <w:rPr>
          <w:rFonts w:ascii="Times New Roman" w:hAnsi="Times New Roman" w:cs="Times New Roman"/>
        </w:rPr>
        <w:t xml:space="preserve"> </w:t>
      </w:r>
    </w:p>
    <w:p w14:paraId="040835C8" w14:textId="77777777" w:rsidR="00362B2C" w:rsidRPr="00095ADA" w:rsidRDefault="00362B2C" w:rsidP="00362B2C">
      <w:r w:rsidRPr="00095ADA">
        <w:rPr>
          <w:rFonts w:ascii="Times New Roman" w:hAnsi="Times New Roman" w:cs="Times New Roman"/>
          <w:b/>
        </w:rPr>
        <w:t xml:space="preserve">Section </w:t>
      </w:r>
      <w:r>
        <w:rPr>
          <w:rFonts w:ascii="Times New Roman" w:hAnsi="Times New Roman" w:cs="Times New Roman"/>
          <w:b/>
        </w:rPr>
        <w:t>3.</w:t>
      </w:r>
      <w:r w:rsidRPr="00095ADA">
        <w:rPr>
          <w:rFonts w:ascii="Times New Roman" w:hAnsi="Times New Roman" w:cs="Times New Roman"/>
          <w:b/>
        </w:rPr>
        <w:t>3</w:t>
      </w:r>
      <w:r w:rsidRPr="00095ADA">
        <w:rPr>
          <w:rFonts w:ascii="Times New Roman" w:hAnsi="Times New Roman" w:cs="Times New Roman"/>
          <w:b/>
        </w:rPr>
        <w:tab/>
        <w:t>Decision on application</w:t>
      </w:r>
    </w:p>
    <w:p w14:paraId="4A03FAC5" w14:textId="77777777" w:rsidR="00362B2C" w:rsidRPr="009255DA" w:rsidRDefault="00362B2C" w:rsidP="00362B2C">
      <w:pPr>
        <w:pStyle w:val="FootnoteText"/>
        <w:spacing w:after="160" w:line="259" w:lineRule="auto"/>
        <w:rPr>
          <w:rFonts w:ascii="Times New Roman" w:hAnsi="Times New Roman"/>
          <w:sz w:val="22"/>
          <w:szCs w:val="22"/>
          <w:lang w:val="en-US"/>
        </w:rPr>
      </w:pPr>
      <w:r>
        <w:rPr>
          <w:rFonts w:ascii="Times New Roman" w:hAnsi="Times New Roman"/>
          <w:sz w:val="22"/>
          <w:szCs w:val="22"/>
        </w:rPr>
        <w:t>This section</w:t>
      </w:r>
      <w:r w:rsidRPr="00095ADA">
        <w:rPr>
          <w:rFonts w:ascii="Times New Roman" w:hAnsi="Times New Roman"/>
          <w:sz w:val="22"/>
          <w:szCs w:val="22"/>
        </w:rPr>
        <w:t xml:space="preserve"> enables the ACMA to </w:t>
      </w:r>
      <w:r>
        <w:rPr>
          <w:rFonts w:ascii="Times New Roman" w:hAnsi="Times New Roman"/>
          <w:sz w:val="22"/>
          <w:szCs w:val="22"/>
        </w:rPr>
        <w:t>ask an applicant</w:t>
      </w:r>
      <w:r w:rsidRPr="00095ADA">
        <w:rPr>
          <w:rFonts w:ascii="Times New Roman" w:hAnsi="Times New Roman"/>
          <w:sz w:val="22"/>
          <w:szCs w:val="22"/>
        </w:rPr>
        <w:t xml:space="preserve"> in writing </w:t>
      </w:r>
      <w:r>
        <w:rPr>
          <w:rFonts w:ascii="Times New Roman" w:hAnsi="Times New Roman"/>
          <w:sz w:val="22"/>
          <w:szCs w:val="22"/>
        </w:rPr>
        <w:t>to</w:t>
      </w:r>
      <w:r w:rsidRPr="00095ADA">
        <w:rPr>
          <w:rFonts w:ascii="Times New Roman" w:hAnsi="Times New Roman"/>
          <w:sz w:val="22"/>
          <w:szCs w:val="22"/>
        </w:rPr>
        <w:t xml:space="preserve"> </w:t>
      </w:r>
      <w:r>
        <w:rPr>
          <w:rFonts w:ascii="Times New Roman" w:hAnsi="Times New Roman"/>
          <w:sz w:val="22"/>
          <w:szCs w:val="22"/>
        </w:rPr>
        <w:t>give it</w:t>
      </w:r>
      <w:r w:rsidRPr="00095ADA">
        <w:rPr>
          <w:rFonts w:ascii="Times New Roman" w:hAnsi="Times New Roman"/>
          <w:sz w:val="22"/>
          <w:szCs w:val="22"/>
        </w:rPr>
        <w:t xml:space="preserve"> further information about </w:t>
      </w:r>
      <w:r>
        <w:rPr>
          <w:rFonts w:ascii="Times New Roman" w:hAnsi="Times New Roman"/>
          <w:sz w:val="22"/>
          <w:szCs w:val="22"/>
        </w:rPr>
        <w:t>an</w:t>
      </w:r>
      <w:r w:rsidRPr="00095ADA">
        <w:rPr>
          <w:rFonts w:ascii="Times New Roman" w:hAnsi="Times New Roman"/>
          <w:sz w:val="22"/>
          <w:szCs w:val="22"/>
        </w:rPr>
        <w:t xml:space="preserve"> application</w:t>
      </w:r>
      <w:r>
        <w:rPr>
          <w:rFonts w:ascii="Times New Roman" w:hAnsi="Times New Roman"/>
          <w:sz w:val="22"/>
          <w:szCs w:val="22"/>
        </w:rPr>
        <w:t xml:space="preserve"> for the grant of a provisional authorisation (subsection (1)). The section requires the applicant to give the information to the ACMA within 90 days and provides that the ACMA may treat the application as withdrawn if</w:t>
      </w:r>
      <w:r w:rsidRPr="00095ADA">
        <w:rPr>
          <w:rFonts w:ascii="Times New Roman" w:hAnsi="Times New Roman"/>
          <w:sz w:val="22"/>
          <w:szCs w:val="22"/>
        </w:rPr>
        <w:t xml:space="preserve"> </w:t>
      </w:r>
      <w:r>
        <w:rPr>
          <w:rFonts w:ascii="Times New Roman" w:hAnsi="Times New Roman"/>
          <w:sz w:val="22"/>
          <w:szCs w:val="22"/>
        </w:rPr>
        <w:t>the</w:t>
      </w:r>
      <w:r w:rsidRPr="00095ADA">
        <w:rPr>
          <w:rFonts w:ascii="Times New Roman" w:hAnsi="Times New Roman"/>
          <w:sz w:val="22"/>
          <w:szCs w:val="22"/>
        </w:rPr>
        <w:t xml:space="preserve"> information is not received within 90 days</w:t>
      </w:r>
      <w:r>
        <w:rPr>
          <w:rFonts w:ascii="Times New Roman" w:hAnsi="Times New Roman"/>
          <w:sz w:val="22"/>
          <w:szCs w:val="22"/>
        </w:rPr>
        <w:t xml:space="preserve"> (subsections (2) and (3))</w:t>
      </w:r>
      <w:r w:rsidRPr="00095ADA">
        <w:rPr>
          <w:rFonts w:ascii="Times New Roman" w:hAnsi="Times New Roman"/>
          <w:sz w:val="22"/>
          <w:szCs w:val="22"/>
        </w:rPr>
        <w:t xml:space="preserve">. </w:t>
      </w:r>
    </w:p>
    <w:p w14:paraId="15B82B7D" w14:textId="77777777" w:rsidR="00362B2C" w:rsidRDefault="00362B2C" w:rsidP="00362B2C">
      <w:pPr>
        <w:pStyle w:val="FootnoteText"/>
        <w:spacing w:after="160" w:line="259" w:lineRule="auto"/>
        <w:rPr>
          <w:rFonts w:ascii="Times New Roman" w:hAnsi="Times New Roman"/>
          <w:sz w:val="22"/>
          <w:szCs w:val="22"/>
        </w:rPr>
      </w:pPr>
      <w:r w:rsidRPr="00095ADA">
        <w:rPr>
          <w:rFonts w:ascii="Times New Roman" w:hAnsi="Times New Roman"/>
          <w:sz w:val="22"/>
          <w:szCs w:val="22"/>
        </w:rPr>
        <w:t>Th</w:t>
      </w:r>
      <w:r>
        <w:rPr>
          <w:rFonts w:ascii="Times New Roman" w:hAnsi="Times New Roman"/>
          <w:sz w:val="22"/>
          <w:szCs w:val="22"/>
        </w:rPr>
        <w:t>e</w:t>
      </w:r>
      <w:r w:rsidRPr="00095ADA">
        <w:rPr>
          <w:rFonts w:ascii="Times New Roman" w:hAnsi="Times New Roman"/>
          <w:sz w:val="22"/>
          <w:szCs w:val="22"/>
        </w:rPr>
        <w:t xml:space="preserve"> </w:t>
      </w:r>
      <w:r>
        <w:rPr>
          <w:rFonts w:ascii="Times New Roman" w:hAnsi="Times New Roman"/>
          <w:sz w:val="22"/>
          <w:szCs w:val="22"/>
        </w:rPr>
        <w:t xml:space="preserve">section provides that the ACMA must, unless the application is withdrawn, decide whether to grant a provisional authorisation (subsection (4)).  </w:t>
      </w:r>
    </w:p>
    <w:p w14:paraId="55691EAB" w14:textId="77777777" w:rsidR="00362B2C" w:rsidRPr="00095ADA" w:rsidRDefault="00362B2C" w:rsidP="00362B2C">
      <w:pPr>
        <w:pStyle w:val="FootnoteText"/>
        <w:spacing w:after="40" w:line="259" w:lineRule="auto"/>
        <w:rPr>
          <w:rFonts w:ascii="Times New Roman" w:hAnsi="Times New Roman"/>
          <w:sz w:val="22"/>
          <w:szCs w:val="22"/>
        </w:rPr>
      </w:pPr>
      <w:r>
        <w:rPr>
          <w:rFonts w:ascii="Times New Roman" w:hAnsi="Times New Roman"/>
          <w:sz w:val="22"/>
          <w:szCs w:val="22"/>
        </w:rPr>
        <w:t>The section</w:t>
      </w:r>
      <w:r w:rsidRPr="00095ADA">
        <w:rPr>
          <w:rFonts w:ascii="Times New Roman" w:hAnsi="Times New Roman"/>
          <w:sz w:val="22"/>
          <w:szCs w:val="22"/>
        </w:rPr>
        <w:t xml:space="preserve"> requires the ACMA to grant a provisional authorisation if </w:t>
      </w:r>
      <w:r>
        <w:rPr>
          <w:rFonts w:ascii="Times New Roman" w:hAnsi="Times New Roman"/>
          <w:sz w:val="22"/>
          <w:szCs w:val="22"/>
        </w:rPr>
        <w:t>it:</w:t>
      </w:r>
    </w:p>
    <w:p w14:paraId="3CCA722B" w14:textId="77777777" w:rsidR="00362B2C" w:rsidRPr="00095ADA" w:rsidRDefault="00362B2C" w:rsidP="00362B2C">
      <w:pPr>
        <w:pStyle w:val="FootnoteText"/>
        <w:numPr>
          <w:ilvl w:val="0"/>
          <w:numId w:val="7"/>
        </w:numPr>
        <w:spacing w:afterLines="200" w:after="480" w:line="259" w:lineRule="auto"/>
        <w:ind w:left="714" w:hanging="357"/>
        <w:contextualSpacing/>
        <w:rPr>
          <w:rFonts w:ascii="Times New Roman" w:hAnsi="Times New Roman"/>
          <w:sz w:val="22"/>
          <w:szCs w:val="22"/>
        </w:rPr>
      </w:pPr>
      <w:r w:rsidRPr="00095ADA">
        <w:rPr>
          <w:rFonts w:ascii="Times New Roman" w:hAnsi="Times New Roman"/>
          <w:sz w:val="22"/>
          <w:szCs w:val="22"/>
        </w:rPr>
        <w:t>has applied the criteria specified by the Minister</w:t>
      </w:r>
      <w:r>
        <w:rPr>
          <w:rFonts w:ascii="Times New Roman" w:hAnsi="Times New Roman"/>
          <w:sz w:val="22"/>
          <w:szCs w:val="22"/>
        </w:rPr>
        <w:t xml:space="preserve"> in a legislative instrument</w:t>
      </w:r>
      <w:r w:rsidRPr="00095ADA">
        <w:rPr>
          <w:rFonts w:ascii="Times New Roman" w:hAnsi="Times New Roman"/>
          <w:sz w:val="22"/>
          <w:szCs w:val="22"/>
        </w:rPr>
        <w:t xml:space="preserve"> under subsection 295N(1)</w:t>
      </w:r>
      <w:r>
        <w:rPr>
          <w:rFonts w:ascii="Times New Roman" w:hAnsi="Times New Roman"/>
          <w:sz w:val="22"/>
          <w:szCs w:val="22"/>
        </w:rPr>
        <w:t xml:space="preserve"> of the Act;</w:t>
      </w:r>
      <w:r>
        <w:rPr>
          <w:rStyle w:val="FootnoteReference"/>
          <w:sz w:val="22"/>
          <w:szCs w:val="22"/>
        </w:rPr>
        <w:footnoteReference w:id="9"/>
      </w:r>
    </w:p>
    <w:p w14:paraId="3D8AB29D" w14:textId="77777777" w:rsidR="00362B2C" w:rsidRPr="00095ADA" w:rsidRDefault="00362B2C" w:rsidP="00362B2C">
      <w:pPr>
        <w:pStyle w:val="FootnoteText"/>
        <w:numPr>
          <w:ilvl w:val="0"/>
          <w:numId w:val="7"/>
        </w:numPr>
        <w:spacing w:afterLines="200" w:after="480" w:line="259" w:lineRule="auto"/>
        <w:contextualSpacing/>
        <w:rPr>
          <w:rFonts w:ascii="Times New Roman" w:hAnsi="Times New Roman"/>
          <w:sz w:val="22"/>
          <w:szCs w:val="22"/>
        </w:rPr>
      </w:pPr>
      <w:r w:rsidRPr="00095ADA">
        <w:rPr>
          <w:rFonts w:ascii="Times New Roman" w:hAnsi="Times New Roman"/>
          <w:sz w:val="22"/>
          <w:szCs w:val="22"/>
        </w:rPr>
        <w:t xml:space="preserve">has </w:t>
      </w:r>
      <w:r>
        <w:rPr>
          <w:rFonts w:ascii="Times New Roman" w:hAnsi="Times New Roman"/>
          <w:sz w:val="22"/>
          <w:szCs w:val="22"/>
        </w:rPr>
        <w:t>had regard to</w:t>
      </w:r>
      <w:r w:rsidRPr="00095ADA">
        <w:rPr>
          <w:rFonts w:ascii="Times New Roman" w:hAnsi="Times New Roman"/>
          <w:sz w:val="22"/>
          <w:szCs w:val="22"/>
        </w:rPr>
        <w:t xml:space="preserve"> any other matters</w:t>
      </w:r>
      <w:r>
        <w:rPr>
          <w:rFonts w:ascii="Times New Roman" w:hAnsi="Times New Roman"/>
          <w:sz w:val="22"/>
          <w:szCs w:val="22"/>
        </w:rPr>
        <w:t xml:space="preserve"> the ACMA considers relevant</w:t>
      </w:r>
      <w:r w:rsidRPr="00095ADA">
        <w:rPr>
          <w:rFonts w:ascii="Times New Roman" w:hAnsi="Times New Roman"/>
          <w:sz w:val="22"/>
          <w:szCs w:val="22"/>
        </w:rPr>
        <w:t>;</w:t>
      </w:r>
    </w:p>
    <w:p w14:paraId="0CF30675" w14:textId="77777777" w:rsidR="00362B2C" w:rsidRPr="00095ADA" w:rsidRDefault="00362B2C" w:rsidP="00362B2C">
      <w:pPr>
        <w:pStyle w:val="FootnoteText"/>
        <w:numPr>
          <w:ilvl w:val="0"/>
          <w:numId w:val="7"/>
        </w:numPr>
        <w:spacing w:afterLines="200" w:after="480" w:line="259" w:lineRule="auto"/>
        <w:contextualSpacing/>
        <w:rPr>
          <w:rFonts w:ascii="Times New Roman" w:hAnsi="Times New Roman"/>
          <w:sz w:val="22"/>
          <w:szCs w:val="22"/>
        </w:rPr>
      </w:pPr>
      <w:r w:rsidRPr="00095ADA">
        <w:rPr>
          <w:rFonts w:ascii="Times New Roman" w:hAnsi="Times New Roman"/>
          <w:sz w:val="22"/>
          <w:szCs w:val="22"/>
        </w:rPr>
        <w:t xml:space="preserve">is </w:t>
      </w:r>
      <w:r>
        <w:rPr>
          <w:rFonts w:ascii="Times New Roman" w:hAnsi="Times New Roman"/>
          <w:sz w:val="22"/>
          <w:szCs w:val="22"/>
        </w:rPr>
        <w:t xml:space="preserve">reasonably </w:t>
      </w:r>
      <w:r w:rsidRPr="00095ADA">
        <w:rPr>
          <w:rFonts w:ascii="Times New Roman" w:hAnsi="Times New Roman"/>
          <w:sz w:val="22"/>
          <w:szCs w:val="22"/>
        </w:rPr>
        <w:t xml:space="preserve">satisfied that </w:t>
      </w:r>
      <w:r>
        <w:rPr>
          <w:rFonts w:ascii="Times New Roman" w:hAnsi="Times New Roman"/>
          <w:sz w:val="22"/>
          <w:szCs w:val="22"/>
        </w:rPr>
        <w:t xml:space="preserve">the applicant has demonstrated that the </w:t>
      </w:r>
      <w:r w:rsidRPr="00095ADA">
        <w:rPr>
          <w:rFonts w:ascii="Times New Roman" w:hAnsi="Times New Roman"/>
          <w:sz w:val="22"/>
          <w:szCs w:val="22"/>
        </w:rPr>
        <w:t xml:space="preserve">proposed PND will </w:t>
      </w:r>
      <w:r>
        <w:rPr>
          <w:rFonts w:ascii="Times New Roman" w:hAnsi="Times New Roman"/>
          <w:sz w:val="22"/>
          <w:szCs w:val="22"/>
        </w:rPr>
        <w:t>satisfy the requirements of</w:t>
      </w:r>
      <w:r w:rsidRPr="00095ADA">
        <w:rPr>
          <w:rFonts w:ascii="Times New Roman" w:hAnsi="Times New Roman"/>
          <w:sz w:val="22"/>
          <w:szCs w:val="22"/>
        </w:rPr>
        <w:t xml:space="preserve"> the definition of </w:t>
      </w:r>
      <w:r w:rsidRPr="009255DA">
        <w:rPr>
          <w:rFonts w:ascii="Times New Roman" w:hAnsi="Times New Roman"/>
          <w:b/>
          <w:i/>
          <w:sz w:val="22"/>
          <w:szCs w:val="22"/>
        </w:rPr>
        <w:t>public number directory</w:t>
      </w:r>
      <w:r w:rsidRPr="00095ADA">
        <w:rPr>
          <w:rFonts w:ascii="Times New Roman" w:hAnsi="Times New Roman"/>
          <w:sz w:val="22"/>
          <w:szCs w:val="22"/>
        </w:rPr>
        <w:t xml:space="preserve"> in subsection 285(2) of the Act</w:t>
      </w:r>
      <w:r>
        <w:rPr>
          <w:rFonts w:ascii="Times New Roman" w:hAnsi="Times New Roman"/>
          <w:sz w:val="22"/>
          <w:szCs w:val="22"/>
        </w:rPr>
        <w:t xml:space="preserve">, as modified by any legislative instrument that </w:t>
      </w:r>
      <w:r w:rsidRPr="006375B2">
        <w:rPr>
          <w:rFonts w:ascii="Times New Roman" w:hAnsi="Times New Roman"/>
          <w:sz w:val="22"/>
          <w:szCs w:val="22"/>
        </w:rPr>
        <w:t>the Minister may make under subsection 285(4), (5) or (6) of the Act</w:t>
      </w:r>
      <w:r>
        <w:rPr>
          <w:rFonts w:ascii="Times New Roman" w:hAnsi="Times New Roman"/>
          <w:sz w:val="22"/>
          <w:szCs w:val="22"/>
        </w:rPr>
        <w:t>;</w:t>
      </w:r>
      <w:r>
        <w:rPr>
          <w:rStyle w:val="FootnoteReference"/>
          <w:sz w:val="22"/>
          <w:szCs w:val="22"/>
        </w:rPr>
        <w:footnoteReference w:id="10"/>
      </w:r>
      <w:r>
        <w:rPr>
          <w:rFonts w:ascii="Times New Roman" w:hAnsi="Times New Roman"/>
          <w:sz w:val="22"/>
          <w:szCs w:val="22"/>
        </w:rPr>
        <w:t xml:space="preserve"> and</w:t>
      </w:r>
    </w:p>
    <w:p w14:paraId="624B6CAD" w14:textId="77777777" w:rsidR="00362B2C" w:rsidRPr="00AA4EE5" w:rsidRDefault="00362B2C" w:rsidP="00362B2C">
      <w:pPr>
        <w:pStyle w:val="FootnoteText"/>
        <w:numPr>
          <w:ilvl w:val="0"/>
          <w:numId w:val="7"/>
        </w:numPr>
        <w:spacing w:afterLines="200" w:after="480" w:line="259" w:lineRule="auto"/>
        <w:ind w:left="714" w:hanging="357"/>
        <w:contextualSpacing/>
        <w:rPr>
          <w:rFonts w:ascii="Times New Roman" w:hAnsi="Times New Roman"/>
          <w:sz w:val="22"/>
          <w:szCs w:val="22"/>
        </w:rPr>
      </w:pPr>
      <w:r w:rsidRPr="00095ADA">
        <w:rPr>
          <w:rFonts w:ascii="Times New Roman" w:hAnsi="Times New Roman"/>
          <w:sz w:val="22"/>
          <w:szCs w:val="22"/>
        </w:rPr>
        <w:t>is</w:t>
      </w:r>
      <w:r>
        <w:rPr>
          <w:rFonts w:ascii="Times New Roman" w:hAnsi="Times New Roman"/>
          <w:sz w:val="22"/>
          <w:szCs w:val="22"/>
        </w:rPr>
        <w:t xml:space="preserve"> reasonably</w:t>
      </w:r>
      <w:r w:rsidRPr="00095ADA">
        <w:rPr>
          <w:rFonts w:ascii="Times New Roman" w:hAnsi="Times New Roman"/>
          <w:sz w:val="22"/>
          <w:szCs w:val="22"/>
        </w:rPr>
        <w:t xml:space="preserve"> satisfied that the applicant </w:t>
      </w:r>
      <w:r>
        <w:rPr>
          <w:rFonts w:ascii="Times New Roman" w:hAnsi="Times New Roman"/>
          <w:sz w:val="22"/>
          <w:szCs w:val="22"/>
        </w:rPr>
        <w:t>is likely to</w:t>
      </w:r>
      <w:r w:rsidRPr="00095ADA">
        <w:rPr>
          <w:rFonts w:ascii="Times New Roman" w:hAnsi="Times New Roman"/>
          <w:sz w:val="22"/>
          <w:szCs w:val="22"/>
        </w:rPr>
        <w:t xml:space="preserve"> comply with the other relevant requirements</w:t>
      </w:r>
      <w:r>
        <w:rPr>
          <w:rFonts w:ascii="Times New Roman" w:hAnsi="Times New Roman"/>
          <w:sz w:val="22"/>
          <w:szCs w:val="22"/>
        </w:rPr>
        <w:t xml:space="preserve"> (subsection (5))</w:t>
      </w:r>
      <w:r w:rsidRPr="00095ADA">
        <w:rPr>
          <w:rFonts w:ascii="Times New Roman" w:hAnsi="Times New Roman"/>
          <w:sz w:val="22"/>
          <w:szCs w:val="22"/>
        </w:rPr>
        <w:t xml:space="preserve">.   </w:t>
      </w:r>
    </w:p>
    <w:p w14:paraId="02950F34" w14:textId="77777777" w:rsidR="00362B2C" w:rsidRDefault="00362B2C" w:rsidP="00362B2C">
      <w:pPr>
        <w:pStyle w:val="FootnoteText"/>
        <w:spacing w:after="160" w:line="259" w:lineRule="auto"/>
        <w:rPr>
          <w:rFonts w:ascii="Times New Roman" w:hAnsi="Times New Roman"/>
          <w:sz w:val="22"/>
          <w:szCs w:val="22"/>
        </w:rPr>
      </w:pPr>
      <w:r>
        <w:rPr>
          <w:rFonts w:ascii="Times New Roman" w:hAnsi="Times New Roman"/>
          <w:sz w:val="22"/>
          <w:szCs w:val="22"/>
        </w:rPr>
        <w:t>The section</w:t>
      </w:r>
      <w:r w:rsidRPr="00095ADA">
        <w:rPr>
          <w:rFonts w:ascii="Times New Roman" w:hAnsi="Times New Roman"/>
          <w:sz w:val="22"/>
          <w:szCs w:val="22"/>
        </w:rPr>
        <w:t xml:space="preserve"> </w:t>
      </w:r>
      <w:r>
        <w:rPr>
          <w:rFonts w:ascii="Times New Roman" w:hAnsi="Times New Roman"/>
          <w:sz w:val="22"/>
          <w:szCs w:val="22"/>
        </w:rPr>
        <w:t>provides</w:t>
      </w:r>
      <w:r w:rsidRPr="00095ADA">
        <w:rPr>
          <w:rFonts w:ascii="Times New Roman" w:hAnsi="Times New Roman"/>
          <w:sz w:val="22"/>
          <w:szCs w:val="22"/>
        </w:rPr>
        <w:t xml:space="preserve"> </w:t>
      </w:r>
      <w:r>
        <w:rPr>
          <w:rFonts w:ascii="Times New Roman" w:hAnsi="Times New Roman"/>
          <w:sz w:val="22"/>
          <w:szCs w:val="22"/>
        </w:rPr>
        <w:t xml:space="preserve">that </w:t>
      </w:r>
      <w:r w:rsidRPr="00095ADA">
        <w:rPr>
          <w:rFonts w:ascii="Times New Roman" w:hAnsi="Times New Roman"/>
          <w:sz w:val="22"/>
          <w:szCs w:val="22"/>
        </w:rPr>
        <w:t xml:space="preserve">the ACMA </w:t>
      </w:r>
      <w:r>
        <w:rPr>
          <w:rFonts w:ascii="Times New Roman" w:hAnsi="Times New Roman"/>
          <w:sz w:val="22"/>
          <w:szCs w:val="22"/>
        </w:rPr>
        <w:t xml:space="preserve">must, </w:t>
      </w:r>
      <w:r w:rsidRPr="00095ADA">
        <w:rPr>
          <w:rFonts w:ascii="Times New Roman" w:hAnsi="Times New Roman"/>
          <w:sz w:val="22"/>
          <w:szCs w:val="22"/>
        </w:rPr>
        <w:t>as soon</w:t>
      </w:r>
      <w:r>
        <w:rPr>
          <w:rFonts w:ascii="Times New Roman" w:hAnsi="Times New Roman"/>
          <w:sz w:val="22"/>
          <w:szCs w:val="22"/>
        </w:rPr>
        <w:t xml:space="preserve"> as practicable after making its</w:t>
      </w:r>
      <w:r w:rsidRPr="00095ADA">
        <w:rPr>
          <w:rFonts w:ascii="Times New Roman" w:hAnsi="Times New Roman"/>
          <w:sz w:val="22"/>
          <w:szCs w:val="22"/>
        </w:rPr>
        <w:t xml:space="preserve"> decision</w:t>
      </w:r>
      <w:r>
        <w:rPr>
          <w:rFonts w:ascii="Times New Roman" w:hAnsi="Times New Roman"/>
          <w:sz w:val="22"/>
          <w:szCs w:val="22"/>
        </w:rPr>
        <w:t xml:space="preserve">, </w:t>
      </w:r>
      <w:r w:rsidRPr="00095ADA">
        <w:rPr>
          <w:rFonts w:ascii="Times New Roman" w:hAnsi="Times New Roman"/>
          <w:sz w:val="22"/>
          <w:szCs w:val="22"/>
        </w:rPr>
        <w:t xml:space="preserve">notify the applicant in writing of </w:t>
      </w:r>
      <w:r>
        <w:rPr>
          <w:rFonts w:ascii="Times New Roman" w:hAnsi="Times New Roman"/>
          <w:sz w:val="22"/>
          <w:szCs w:val="22"/>
        </w:rPr>
        <w:t>the</w:t>
      </w:r>
      <w:r w:rsidRPr="00095ADA">
        <w:rPr>
          <w:rFonts w:ascii="Times New Roman" w:hAnsi="Times New Roman"/>
          <w:sz w:val="22"/>
          <w:szCs w:val="22"/>
        </w:rPr>
        <w:t xml:space="preserve"> decision </w:t>
      </w:r>
      <w:r>
        <w:rPr>
          <w:rFonts w:ascii="Times New Roman" w:hAnsi="Times New Roman"/>
          <w:sz w:val="22"/>
          <w:szCs w:val="22"/>
        </w:rPr>
        <w:t>and (for a refusal to grant a provisional authorisation) the reasons for the decision (paragraph (6)(a))</w:t>
      </w:r>
      <w:r w:rsidRPr="00095ADA">
        <w:rPr>
          <w:rFonts w:ascii="Times New Roman" w:hAnsi="Times New Roman"/>
          <w:sz w:val="22"/>
          <w:szCs w:val="22"/>
        </w:rPr>
        <w:t xml:space="preserve">. </w:t>
      </w:r>
    </w:p>
    <w:p w14:paraId="2B74F603" w14:textId="77777777" w:rsidR="00362B2C" w:rsidRDefault="00362B2C" w:rsidP="00362B2C">
      <w:pPr>
        <w:pStyle w:val="FootnoteText"/>
        <w:spacing w:after="160" w:line="259" w:lineRule="auto"/>
        <w:rPr>
          <w:rFonts w:ascii="Times New Roman" w:hAnsi="Times New Roman"/>
          <w:sz w:val="22"/>
          <w:szCs w:val="22"/>
        </w:rPr>
      </w:pPr>
      <w:r>
        <w:rPr>
          <w:rFonts w:ascii="Times New Roman" w:hAnsi="Times New Roman"/>
          <w:sz w:val="22"/>
          <w:szCs w:val="22"/>
        </w:rPr>
        <w:t>The</w:t>
      </w:r>
      <w:r w:rsidRPr="00095ADA">
        <w:rPr>
          <w:rFonts w:ascii="Times New Roman" w:hAnsi="Times New Roman"/>
          <w:sz w:val="22"/>
          <w:szCs w:val="22"/>
        </w:rPr>
        <w:t xml:space="preserve"> </w:t>
      </w:r>
      <w:r>
        <w:rPr>
          <w:rFonts w:ascii="Times New Roman" w:hAnsi="Times New Roman"/>
          <w:sz w:val="22"/>
          <w:szCs w:val="22"/>
        </w:rPr>
        <w:t>section provides that for a decision to grant a provisional authorisation,</w:t>
      </w:r>
      <w:r w:rsidRPr="00095ADA">
        <w:rPr>
          <w:rFonts w:ascii="Times New Roman" w:hAnsi="Times New Roman"/>
          <w:sz w:val="22"/>
          <w:szCs w:val="22"/>
        </w:rPr>
        <w:t xml:space="preserve"> </w:t>
      </w:r>
      <w:r>
        <w:rPr>
          <w:rFonts w:ascii="Times New Roman" w:hAnsi="Times New Roman"/>
          <w:sz w:val="22"/>
          <w:szCs w:val="22"/>
        </w:rPr>
        <w:t xml:space="preserve">the </w:t>
      </w:r>
      <w:r w:rsidRPr="00095ADA">
        <w:rPr>
          <w:rFonts w:ascii="Times New Roman" w:hAnsi="Times New Roman"/>
          <w:sz w:val="22"/>
          <w:szCs w:val="22"/>
        </w:rPr>
        <w:t xml:space="preserve">ACMA </w:t>
      </w:r>
      <w:r>
        <w:rPr>
          <w:rFonts w:ascii="Times New Roman" w:hAnsi="Times New Roman"/>
          <w:sz w:val="22"/>
          <w:szCs w:val="22"/>
        </w:rPr>
        <w:t xml:space="preserve">must also notify </w:t>
      </w:r>
      <w:r w:rsidRPr="00095ADA">
        <w:rPr>
          <w:rFonts w:ascii="Times New Roman" w:hAnsi="Times New Roman"/>
          <w:sz w:val="22"/>
          <w:szCs w:val="22"/>
        </w:rPr>
        <w:t>the IPND Manager</w:t>
      </w:r>
      <w:r>
        <w:rPr>
          <w:rFonts w:ascii="Times New Roman" w:hAnsi="Times New Roman"/>
          <w:sz w:val="22"/>
          <w:szCs w:val="22"/>
        </w:rPr>
        <w:t xml:space="preserve"> in writing of the decision as soon as practicable after </w:t>
      </w:r>
      <w:r>
        <w:rPr>
          <w:rFonts w:ascii="Times New Roman" w:hAnsi="Times New Roman"/>
          <w:sz w:val="22"/>
          <w:szCs w:val="22"/>
        </w:rPr>
        <w:lastRenderedPageBreak/>
        <w:t xml:space="preserve">making the decision (paragraph (6)(b)), </w:t>
      </w:r>
      <w:r w:rsidRPr="00095ADA">
        <w:rPr>
          <w:rFonts w:ascii="Times New Roman" w:hAnsi="Times New Roman"/>
          <w:sz w:val="22"/>
          <w:szCs w:val="22"/>
        </w:rPr>
        <w:t xml:space="preserve">and </w:t>
      </w:r>
      <w:r>
        <w:rPr>
          <w:rFonts w:ascii="Times New Roman" w:hAnsi="Times New Roman"/>
          <w:sz w:val="22"/>
          <w:szCs w:val="22"/>
        </w:rPr>
        <w:t xml:space="preserve">give the applicant (who is treated in the scheme as being a public number directory publisher) </w:t>
      </w:r>
      <w:r w:rsidRPr="00095ADA">
        <w:rPr>
          <w:rFonts w:ascii="Times New Roman" w:hAnsi="Times New Roman"/>
          <w:sz w:val="22"/>
          <w:szCs w:val="22"/>
        </w:rPr>
        <w:t xml:space="preserve">written confirmation </w:t>
      </w:r>
      <w:r>
        <w:rPr>
          <w:rFonts w:ascii="Times New Roman" w:hAnsi="Times New Roman"/>
          <w:sz w:val="22"/>
          <w:szCs w:val="22"/>
        </w:rPr>
        <w:t>of that notification as soon as practicable after it has occurred (subsection (7))</w:t>
      </w:r>
      <w:r w:rsidRPr="00095ADA">
        <w:rPr>
          <w:rFonts w:ascii="Times New Roman" w:hAnsi="Times New Roman"/>
          <w:sz w:val="22"/>
          <w:szCs w:val="22"/>
        </w:rPr>
        <w:t>.</w:t>
      </w:r>
      <w:r>
        <w:rPr>
          <w:rStyle w:val="FootnoteReference"/>
          <w:sz w:val="22"/>
          <w:szCs w:val="22"/>
        </w:rPr>
        <w:footnoteReference w:id="11"/>
      </w:r>
      <w:r w:rsidRPr="00095ADA">
        <w:rPr>
          <w:rFonts w:ascii="Times New Roman" w:hAnsi="Times New Roman"/>
          <w:sz w:val="22"/>
          <w:szCs w:val="22"/>
        </w:rPr>
        <w:t xml:space="preserve"> </w:t>
      </w:r>
    </w:p>
    <w:p w14:paraId="410EACCE" w14:textId="77777777" w:rsidR="00362B2C" w:rsidRPr="007B2031" w:rsidRDefault="00362B2C" w:rsidP="00362B2C">
      <w:pPr>
        <w:rPr>
          <w:rFonts w:ascii="Times New Roman" w:hAnsi="Times New Roman" w:cs="Times New Roman"/>
          <w:b/>
        </w:rPr>
      </w:pPr>
      <w:r w:rsidRPr="007B2031">
        <w:rPr>
          <w:rFonts w:ascii="Times New Roman" w:hAnsi="Times New Roman" w:cs="Times New Roman"/>
          <w:b/>
        </w:rPr>
        <w:t xml:space="preserve">Section </w:t>
      </w:r>
      <w:r>
        <w:rPr>
          <w:rFonts w:ascii="Times New Roman" w:hAnsi="Times New Roman" w:cs="Times New Roman"/>
          <w:b/>
        </w:rPr>
        <w:t>3.</w:t>
      </w:r>
      <w:r w:rsidRPr="007B2031">
        <w:rPr>
          <w:rFonts w:ascii="Times New Roman" w:hAnsi="Times New Roman" w:cs="Times New Roman"/>
          <w:b/>
        </w:rPr>
        <w:t>4</w:t>
      </w:r>
      <w:r w:rsidRPr="007B2031">
        <w:rPr>
          <w:rFonts w:ascii="Times New Roman" w:hAnsi="Times New Roman" w:cs="Times New Roman"/>
          <w:b/>
        </w:rPr>
        <w:tab/>
        <w:t>Duration of provisional authorisation</w:t>
      </w:r>
    </w:p>
    <w:p w14:paraId="6B0831E6" w14:textId="77777777" w:rsidR="00362B2C" w:rsidRDefault="00362B2C" w:rsidP="00362B2C">
      <w:pPr>
        <w:pStyle w:val="ACMABodyText"/>
        <w:spacing w:before="0" w:after="160" w:line="259" w:lineRule="auto"/>
        <w:rPr>
          <w:sz w:val="22"/>
          <w:szCs w:val="22"/>
          <w:lang w:val="en-US"/>
        </w:rPr>
      </w:pPr>
      <w:bookmarkStart w:id="0" w:name="OLE_LINK13"/>
      <w:bookmarkStart w:id="1" w:name="OLE_LINK14"/>
      <w:r>
        <w:rPr>
          <w:sz w:val="22"/>
          <w:szCs w:val="22"/>
          <w:lang w:val="en-US"/>
        </w:rPr>
        <w:t xml:space="preserve">This section </w:t>
      </w:r>
      <w:r w:rsidRPr="000E47F2">
        <w:rPr>
          <w:sz w:val="22"/>
          <w:szCs w:val="22"/>
          <w:lang w:val="en-US"/>
        </w:rPr>
        <w:t>provides that</w:t>
      </w:r>
      <w:r>
        <w:rPr>
          <w:sz w:val="22"/>
          <w:szCs w:val="22"/>
          <w:lang w:val="en-US"/>
        </w:rPr>
        <w:t xml:space="preserve"> a</w:t>
      </w:r>
      <w:r w:rsidRPr="000E47F2">
        <w:rPr>
          <w:sz w:val="22"/>
          <w:szCs w:val="22"/>
          <w:lang w:val="en-US"/>
        </w:rPr>
        <w:t xml:space="preserve"> provisional </w:t>
      </w:r>
      <w:proofErr w:type="spellStart"/>
      <w:r w:rsidRPr="000E47F2">
        <w:rPr>
          <w:sz w:val="22"/>
          <w:szCs w:val="22"/>
          <w:lang w:val="en-US"/>
        </w:rPr>
        <w:t>authorisation</w:t>
      </w:r>
      <w:proofErr w:type="spellEnd"/>
      <w:r w:rsidRPr="000E47F2">
        <w:rPr>
          <w:sz w:val="22"/>
          <w:szCs w:val="22"/>
          <w:lang w:val="en-US"/>
        </w:rPr>
        <w:t xml:space="preserve"> </w:t>
      </w:r>
      <w:r>
        <w:rPr>
          <w:sz w:val="22"/>
          <w:szCs w:val="22"/>
          <w:lang w:val="en-US"/>
        </w:rPr>
        <w:t xml:space="preserve">starts on the </w:t>
      </w:r>
      <w:r w:rsidRPr="000E47F2">
        <w:rPr>
          <w:sz w:val="22"/>
          <w:szCs w:val="22"/>
          <w:lang w:val="en-US"/>
        </w:rPr>
        <w:t xml:space="preserve">day on which the IPND Manager supplies the </w:t>
      </w:r>
      <w:r>
        <w:rPr>
          <w:sz w:val="22"/>
          <w:szCs w:val="22"/>
          <w:lang w:val="en-US"/>
        </w:rPr>
        <w:t xml:space="preserve">provisional IPND data source to the public number directory </w:t>
      </w:r>
      <w:r w:rsidRPr="000E47F2">
        <w:rPr>
          <w:sz w:val="22"/>
          <w:szCs w:val="22"/>
          <w:lang w:val="en-US"/>
        </w:rPr>
        <w:t>publisher</w:t>
      </w:r>
      <w:r w:rsidRPr="00736E52">
        <w:rPr>
          <w:sz w:val="22"/>
          <w:szCs w:val="22"/>
          <w:lang w:val="en-US"/>
        </w:rPr>
        <w:t xml:space="preserve"> </w:t>
      </w:r>
      <w:r>
        <w:rPr>
          <w:sz w:val="22"/>
          <w:szCs w:val="22"/>
          <w:lang w:val="en-US"/>
        </w:rPr>
        <w:t xml:space="preserve">and has effect for a period of 90 days. </w:t>
      </w:r>
      <w:bookmarkEnd w:id="0"/>
      <w:bookmarkEnd w:id="1"/>
    </w:p>
    <w:p w14:paraId="346F474E" w14:textId="77777777" w:rsidR="00362B2C" w:rsidRPr="000E47F2" w:rsidRDefault="00362B2C" w:rsidP="00362B2C">
      <w:pPr>
        <w:pStyle w:val="ACMABodyText"/>
        <w:spacing w:before="0" w:after="160" w:line="259" w:lineRule="auto"/>
        <w:rPr>
          <w:sz w:val="22"/>
          <w:szCs w:val="22"/>
          <w:lang w:val="en-US"/>
        </w:rPr>
      </w:pPr>
      <w:r w:rsidRPr="000E47F2">
        <w:rPr>
          <w:sz w:val="22"/>
          <w:szCs w:val="22"/>
          <w:lang w:val="en-US"/>
        </w:rPr>
        <w:t xml:space="preserve">It is expected that </w:t>
      </w:r>
      <w:r>
        <w:rPr>
          <w:sz w:val="22"/>
          <w:szCs w:val="22"/>
          <w:lang w:val="en-US"/>
        </w:rPr>
        <w:t>this is sufficient time for the public number directory</w:t>
      </w:r>
      <w:r w:rsidRPr="000E47F2">
        <w:rPr>
          <w:sz w:val="22"/>
          <w:szCs w:val="22"/>
          <w:lang w:val="en-US"/>
        </w:rPr>
        <w:t xml:space="preserve"> publisher to develop a sample PND and </w:t>
      </w:r>
      <w:r>
        <w:rPr>
          <w:sz w:val="22"/>
          <w:szCs w:val="22"/>
          <w:lang w:val="en-US"/>
        </w:rPr>
        <w:t xml:space="preserve">to </w:t>
      </w:r>
      <w:r w:rsidRPr="000E47F2">
        <w:rPr>
          <w:sz w:val="22"/>
          <w:szCs w:val="22"/>
          <w:lang w:val="en-US"/>
        </w:rPr>
        <w:t xml:space="preserve">demonstrate that the type of directory the </w:t>
      </w:r>
      <w:r>
        <w:rPr>
          <w:sz w:val="22"/>
          <w:szCs w:val="22"/>
          <w:lang w:val="en-US"/>
        </w:rPr>
        <w:t xml:space="preserve">publisher </w:t>
      </w:r>
      <w:r w:rsidRPr="000E47F2">
        <w:rPr>
          <w:sz w:val="22"/>
          <w:szCs w:val="22"/>
          <w:lang w:val="en-US"/>
        </w:rPr>
        <w:t>intend</w:t>
      </w:r>
      <w:r>
        <w:rPr>
          <w:sz w:val="22"/>
          <w:szCs w:val="22"/>
          <w:lang w:val="en-US"/>
        </w:rPr>
        <w:t>s</w:t>
      </w:r>
      <w:r w:rsidRPr="000E47F2">
        <w:rPr>
          <w:sz w:val="22"/>
          <w:szCs w:val="22"/>
          <w:lang w:val="en-US"/>
        </w:rPr>
        <w:t xml:space="preserve"> </w:t>
      </w:r>
      <w:r>
        <w:rPr>
          <w:sz w:val="22"/>
          <w:szCs w:val="22"/>
          <w:lang w:val="en-US"/>
        </w:rPr>
        <w:t>to develop</w:t>
      </w:r>
      <w:r w:rsidRPr="000E47F2">
        <w:rPr>
          <w:sz w:val="22"/>
          <w:szCs w:val="22"/>
          <w:lang w:val="en-US"/>
        </w:rPr>
        <w:t xml:space="preserve"> </w:t>
      </w:r>
      <w:r>
        <w:rPr>
          <w:sz w:val="22"/>
          <w:szCs w:val="22"/>
          <w:lang w:val="en-US"/>
        </w:rPr>
        <w:t xml:space="preserve">under a final </w:t>
      </w:r>
      <w:proofErr w:type="spellStart"/>
      <w:r>
        <w:rPr>
          <w:sz w:val="22"/>
          <w:szCs w:val="22"/>
          <w:lang w:val="en-US"/>
        </w:rPr>
        <w:t>authorisation</w:t>
      </w:r>
      <w:proofErr w:type="spellEnd"/>
      <w:r>
        <w:rPr>
          <w:sz w:val="22"/>
          <w:szCs w:val="22"/>
          <w:lang w:val="en-US"/>
        </w:rPr>
        <w:t xml:space="preserve"> </w:t>
      </w:r>
      <w:r w:rsidRPr="000E47F2">
        <w:rPr>
          <w:sz w:val="22"/>
          <w:szCs w:val="22"/>
          <w:lang w:val="en-US"/>
        </w:rPr>
        <w:t xml:space="preserve">will </w:t>
      </w:r>
      <w:r>
        <w:rPr>
          <w:sz w:val="22"/>
          <w:szCs w:val="22"/>
          <w:lang w:val="en-US"/>
        </w:rPr>
        <w:t>satisfy</w:t>
      </w:r>
      <w:r w:rsidRPr="000E47F2">
        <w:rPr>
          <w:sz w:val="22"/>
          <w:szCs w:val="22"/>
          <w:lang w:val="en-US"/>
        </w:rPr>
        <w:t xml:space="preserve"> the requirements of</w:t>
      </w:r>
      <w:r>
        <w:rPr>
          <w:sz w:val="22"/>
          <w:szCs w:val="22"/>
          <w:lang w:val="en-US"/>
        </w:rPr>
        <w:t xml:space="preserve"> the definition of</w:t>
      </w:r>
      <w:r w:rsidRPr="000E47F2">
        <w:rPr>
          <w:sz w:val="22"/>
          <w:szCs w:val="22"/>
          <w:lang w:val="en-US"/>
        </w:rPr>
        <w:t xml:space="preserve"> </w:t>
      </w:r>
      <w:r>
        <w:rPr>
          <w:b/>
          <w:i/>
          <w:sz w:val="22"/>
          <w:szCs w:val="22"/>
          <w:lang w:val="en-US"/>
        </w:rPr>
        <w:t xml:space="preserve">public number </w:t>
      </w:r>
      <w:r w:rsidRPr="000F2A4E">
        <w:rPr>
          <w:b/>
          <w:i/>
          <w:sz w:val="22"/>
          <w:szCs w:val="22"/>
          <w:lang w:val="en-US"/>
        </w:rPr>
        <w:t>directory</w:t>
      </w:r>
      <w:r w:rsidRPr="000E47F2">
        <w:rPr>
          <w:sz w:val="22"/>
          <w:szCs w:val="22"/>
          <w:lang w:val="en-US"/>
        </w:rPr>
        <w:t xml:space="preserve"> in </w:t>
      </w:r>
      <w:r>
        <w:rPr>
          <w:sz w:val="22"/>
          <w:szCs w:val="22"/>
          <w:lang w:val="en-US"/>
        </w:rPr>
        <w:t xml:space="preserve">subsection 285(2) </w:t>
      </w:r>
      <w:r w:rsidRPr="000E47F2">
        <w:rPr>
          <w:sz w:val="22"/>
          <w:szCs w:val="22"/>
          <w:lang w:val="en-US"/>
        </w:rPr>
        <w:t>the Act,</w:t>
      </w:r>
      <w:r w:rsidRPr="00582473">
        <w:rPr>
          <w:sz w:val="22"/>
          <w:szCs w:val="22"/>
        </w:rPr>
        <w:t xml:space="preserve"> </w:t>
      </w:r>
      <w:r>
        <w:rPr>
          <w:sz w:val="22"/>
          <w:szCs w:val="22"/>
        </w:rPr>
        <w:t xml:space="preserve">as modified by any legislative instrument that </w:t>
      </w:r>
      <w:r w:rsidRPr="006375B2">
        <w:rPr>
          <w:sz w:val="22"/>
          <w:szCs w:val="22"/>
        </w:rPr>
        <w:t>the Minister may make under subsection 285(4), (5) or (6) of the Act</w:t>
      </w:r>
      <w:r>
        <w:rPr>
          <w:sz w:val="22"/>
          <w:szCs w:val="22"/>
        </w:rPr>
        <w:t>,</w:t>
      </w:r>
      <w:r w:rsidRPr="000E47F2">
        <w:rPr>
          <w:sz w:val="22"/>
          <w:szCs w:val="22"/>
          <w:lang w:val="en-US"/>
        </w:rPr>
        <w:t xml:space="preserve"> </w:t>
      </w:r>
      <w:r>
        <w:rPr>
          <w:sz w:val="22"/>
          <w:szCs w:val="22"/>
          <w:lang w:val="en-US"/>
        </w:rPr>
        <w:t>and that the publisher is likely to comply with the other relevant requirements</w:t>
      </w:r>
      <w:r w:rsidRPr="000E47F2">
        <w:rPr>
          <w:sz w:val="22"/>
          <w:szCs w:val="22"/>
          <w:lang w:val="en-US"/>
        </w:rPr>
        <w:t>.</w:t>
      </w:r>
    </w:p>
    <w:p w14:paraId="2C0F53D4" w14:textId="77777777" w:rsidR="00362B2C" w:rsidRDefault="00362B2C" w:rsidP="00362B2C">
      <w:pPr>
        <w:pStyle w:val="ACMABodyText"/>
        <w:spacing w:before="0" w:after="160" w:line="259" w:lineRule="auto"/>
        <w:rPr>
          <w:sz w:val="22"/>
          <w:szCs w:val="22"/>
          <w:lang w:val="en-US"/>
        </w:rPr>
      </w:pPr>
      <w:r>
        <w:rPr>
          <w:sz w:val="22"/>
          <w:szCs w:val="22"/>
          <w:lang w:val="en-US"/>
        </w:rPr>
        <w:t xml:space="preserve">The duration of a provisional </w:t>
      </w:r>
      <w:proofErr w:type="spellStart"/>
      <w:r>
        <w:rPr>
          <w:sz w:val="22"/>
          <w:szCs w:val="22"/>
          <w:lang w:val="en-US"/>
        </w:rPr>
        <w:t>authorisation</w:t>
      </w:r>
      <w:proofErr w:type="spellEnd"/>
      <w:r>
        <w:rPr>
          <w:sz w:val="22"/>
          <w:szCs w:val="22"/>
          <w:lang w:val="en-US"/>
        </w:rPr>
        <w:t xml:space="preserve"> may be extended in accordance with Subdivision B and subsection 3.9(3), and may be ended earlier in accordance with Part 5. </w:t>
      </w:r>
      <w:r w:rsidRPr="000E47F2">
        <w:rPr>
          <w:sz w:val="22"/>
          <w:szCs w:val="22"/>
          <w:lang w:val="en-US"/>
        </w:rPr>
        <w:t xml:space="preserve"> </w:t>
      </w:r>
    </w:p>
    <w:p w14:paraId="630FB358" w14:textId="77777777" w:rsidR="00362B2C" w:rsidRDefault="00362B2C" w:rsidP="00362B2C">
      <w:pPr>
        <w:pStyle w:val="ACMABodyText"/>
        <w:spacing w:before="0" w:after="160" w:line="259" w:lineRule="auto"/>
        <w:rPr>
          <w:b/>
          <w:sz w:val="22"/>
          <w:szCs w:val="22"/>
          <w:lang w:val="en-US"/>
        </w:rPr>
      </w:pPr>
      <w:r w:rsidRPr="00502217">
        <w:rPr>
          <w:b/>
          <w:sz w:val="22"/>
          <w:szCs w:val="22"/>
          <w:lang w:val="en-US"/>
        </w:rPr>
        <w:t xml:space="preserve">Section </w:t>
      </w:r>
      <w:r>
        <w:rPr>
          <w:b/>
          <w:sz w:val="22"/>
          <w:szCs w:val="22"/>
          <w:lang w:val="en-US"/>
        </w:rPr>
        <w:t>3.</w:t>
      </w:r>
      <w:r w:rsidRPr="00502217">
        <w:rPr>
          <w:b/>
          <w:sz w:val="22"/>
          <w:szCs w:val="22"/>
          <w:lang w:val="en-US"/>
        </w:rPr>
        <w:t>5</w:t>
      </w:r>
      <w:r w:rsidRPr="00502217">
        <w:rPr>
          <w:b/>
          <w:sz w:val="22"/>
          <w:szCs w:val="22"/>
          <w:lang w:val="en-US"/>
        </w:rPr>
        <w:tab/>
        <w:t xml:space="preserve">Conditions to which provisional </w:t>
      </w:r>
      <w:proofErr w:type="spellStart"/>
      <w:r>
        <w:rPr>
          <w:b/>
          <w:sz w:val="22"/>
          <w:szCs w:val="22"/>
          <w:lang w:val="en-US"/>
        </w:rPr>
        <w:t>authoris</w:t>
      </w:r>
      <w:r w:rsidRPr="00502217">
        <w:rPr>
          <w:b/>
          <w:sz w:val="22"/>
          <w:szCs w:val="22"/>
          <w:lang w:val="en-US"/>
        </w:rPr>
        <w:t>ation</w:t>
      </w:r>
      <w:proofErr w:type="spellEnd"/>
      <w:r w:rsidRPr="00502217">
        <w:rPr>
          <w:b/>
          <w:sz w:val="22"/>
          <w:szCs w:val="22"/>
          <w:lang w:val="en-US"/>
        </w:rPr>
        <w:t xml:space="preserve"> is subject</w:t>
      </w:r>
    </w:p>
    <w:p w14:paraId="6C60342C" w14:textId="77777777" w:rsidR="00362B2C" w:rsidRDefault="00362B2C" w:rsidP="00362B2C">
      <w:pPr>
        <w:pStyle w:val="ACMABodyText"/>
        <w:spacing w:before="0" w:after="160" w:line="259" w:lineRule="auto"/>
        <w:rPr>
          <w:sz w:val="22"/>
          <w:szCs w:val="22"/>
        </w:rPr>
      </w:pPr>
      <w:r>
        <w:rPr>
          <w:sz w:val="22"/>
          <w:szCs w:val="22"/>
        </w:rPr>
        <w:t xml:space="preserve">This section sets out the </w:t>
      </w:r>
      <w:r w:rsidRPr="00502217">
        <w:rPr>
          <w:sz w:val="22"/>
          <w:szCs w:val="22"/>
        </w:rPr>
        <w:t xml:space="preserve">conditions to which </w:t>
      </w:r>
      <w:r>
        <w:rPr>
          <w:sz w:val="22"/>
          <w:szCs w:val="22"/>
        </w:rPr>
        <w:t>a provisional</w:t>
      </w:r>
      <w:r w:rsidRPr="00502217">
        <w:rPr>
          <w:sz w:val="22"/>
          <w:szCs w:val="22"/>
        </w:rPr>
        <w:t xml:space="preserve"> authorisation is subject</w:t>
      </w:r>
      <w:r>
        <w:rPr>
          <w:sz w:val="22"/>
          <w:szCs w:val="22"/>
        </w:rPr>
        <w:t xml:space="preserve"> under the scheme (subsection (1))</w:t>
      </w:r>
      <w:r w:rsidRPr="00502217">
        <w:rPr>
          <w:sz w:val="22"/>
          <w:szCs w:val="22"/>
        </w:rPr>
        <w:t>.</w:t>
      </w:r>
    </w:p>
    <w:p w14:paraId="41BE69D4" w14:textId="77777777" w:rsidR="00362B2C" w:rsidRDefault="00362B2C" w:rsidP="00362B2C">
      <w:pPr>
        <w:pStyle w:val="ACMABodyText"/>
        <w:spacing w:before="0" w:after="160" w:line="259" w:lineRule="auto"/>
        <w:rPr>
          <w:sz w:val="22"/>
          <w:szCs w:val="22"/>
        </w:rPr>
      </w:pPr>
      <w:r>
        <w:rPr>
          <w:sz w:val="22"/>
          <w:szCs w:val="22"/>
        </w:rPr>
        <w:t>The conditions are as follows:</w:t>
      </w:r>
    </w:p>
    <w:p w14:paraId="40EECEF2" w14:textId="77777777" w:rsidR="00362B2C" w:rsidRPr="009905D9" w:rsidRDefault="00362B2C" w:rsidP="00362B2C">
      <w:pPr>
        <w:pStyle w:val="ACMABodyText"/>
        <w:numPr>
          <w:ilvl w:val="0"/>
          <w:numId w:val="10"/>
        </w:numPr>
        <w:spacing w:before="0" w:after="40" w:line="259" w:lineRule="auto"/>
        <w:ind w:left="714" w:hanging="357"/>
        <w:rPr>
          <w:sz w:val="22"/>
          <w:szCs w:val="22"/>
          <w:lang w:val="en-US"/>
        </w:rPr>
      </w:pPr>
      <w:r>
        <w:rPr>
          <w:sz w:val="22"/>
          <w:szCs w:val="22"/>
        </w:rPr>
        <w:t>The public number directory publisher must:</w:t>
      </w:r>
    </w:p>
    <w:p w14:paraId="2485E718" w14:textId="77777777" w:rsidR="00362B2C" w:rsidRDefault="00362B2C" w:rsidP="00362B2C">
      <w:pPr>
        <w:pStyle w:val="ACMABodyText"/>
        <w:numPr>
          <w:ilvl w:val="0"/>
          <w:numId w:val="11"/>
        </w:numPr>
        <w:spacing w:before="0" w:after="40" w:line="259" w:lineRule="auto"/>
        <w:ind w:left="1077" w:hanging="357"/>
        <w:contextualSpacing/>
        <w:rPr>
          <w:sz w:val="22"/>
          <w:szCs w:val="22"/>
          <w:lang w:val="en-US"/>
        </w:rPr>
      </w:pPr>
      <w:r>
        <w:rPr>
          <w:sz w:val="22"/>
          <w:szCs w:val="22"/>
        </w:rPr>
        <w:t>m</w:t>
      </w:r>
      <w:r w:rsidRPr="009905D9">
        <w:rPr>
          <w:sz w:val="22"/>
          <w:szCs w:val="22"/>
        </w:rPr>
        <w:t xml:space="preserve">ake arrangements </w:t>
      </w:r>
      <w:r w:rsidRPr="009905D9">
        <w:rPr>
          <w:sz w:val="22"/>
          <w:szCs w:val="22"/>
          <w:lang w:val="en-US"/>
        </w:rPr>
        <w:t xml:space="preserve">with the IPND Manager for the supply of a provisional IPND data source as soon as practicable after receiving written confirmation from the ACMA that the </w:t>
      </w:r>
      <w:r>
        <w:rPr>
          <w:sz w:val="22"/>
          <w:szCs w:val="22"/>
          <w:lang w:val="en-US"/>
        </w:rPr>
        <w:t xml:space="preserve">IPND Manager has been notified of the decision to grant a </w:t>
      </w:r>
      <w:r w:rsidRPr="009905D9">
        <w:rPr>
          <w:sz w:val="22"/>
          <w:szCs w:val="22"/>
          <w:lang w:val="en-US"/>
        </w:rPr>
        <w:t xml:space="preserve">provisional </w:t>
      </w:r>
      <w:proofErr w:type="spellStart"/>
      <w:r w:rsidRPr="009905D9">
        <w:rPr>
          <w:sz w:val="22"/>
          <w:szCs w:val="22"/>
          <w:lang w:val="en-US"/>
        </w:rPr>
        <w:t>authorisation</w:t>
      </w:r>
      <w:proofErr w:type="spellEnd"/>
      <w:r>
        <w:rPr>
          <w:sz w:val="22"/>
          <w:szCs w:val="22"/>
          <w:lang w:val="en-US"/>
        </w:rPr>
        <w:t>; and</w:t>
      </w:r>
    </w:p>
    <w:p w14:paraId="3FFF3AA4" w14:textId="77777777" w:rsidR="00362B2C" w:rsidRPr="009905D9" w:rsidRDefault="00362B2C" w:rsidP="00362B2C">
      <w:pPr>
        <w:pStyle w:val="ACMABodyText"/>
        <w:numPr>
          <w:ilvl w:val="0"/>
          <w:numId w:val="11"/>
        </w:numPr>
        <w:spacing w:before="0" w:afterLines="40" w:after="96" w:line="259" w:lineRule="auto"/>
        <w:ind w:left="1077" w:hanging="357"/>
        <w:rPr>
          <w:sz w:val="22"/>
          <w:szCs w:val="22"/>
          <w:lang w:val="en-US"/>
        </w:rPr>
      </w:pPr>
      <w:r w:rsidRPr="009905D9">
        <w:rPr>
          <w:sz w:val="22"/>
          <w:szCs w:val="22"/>
          <w:lang w:val="en-US"/>
        </w:rPr>
        <w:t xml:space="preserve">notify </w:t>
      </w:r>
      <w:r>
        <w:rPr>
          <w:sz w:val="22"/>
          <w:szCs w:val="22"/>
          <w:lang w:val="en-US"/>
        </w:rPr>
        <w:t xml:space="preserve">the </w:t>
      </w:r>
      <w:r w:rsidRPr="009905D9">
        <w:rPr>
          <w:sz w:val="22"/>
          <w:szCs w:val="22"/>
          <w:lang w:val="en-US"/>
        </w:rPr>
        <w:t>ACMA</w:t>
      </w:r>
      <w:r>
        <w:rPr>
          <w:sz w:val="22"/>
          <w:szCs w:val="22"/>
          <w:lang w:val="en-US"/>
        </w:rPr>
        <w:t xml:space="preserve"> in writing</w:t>
      </w:r>
      <w:r w:rsidRPr="009905D9">
        <w:rPr>
          <w:sz w:val="22"/>
          <w:szCs w:val="22"/>
          <w:lang w:val="en-US"/>
        </w:rPr>
        <w:t xml:space="preserve"> of the date on which </w:t>
      </w:r>
      <w:r>
        <w:rPr>
          <w:sz w:val="22"/>
          <w:szCs w:val="22"/>
          <w:lang w:val="en-US"/>
        </w:rPr>
        <w:t>the publisher</w:t>
      </w:r>
      <w:r w:rsidRPr="009905D9">
        <w:rPr>
          <w:sz w:val="22"/>
          <w:szCs w:val="22"/>
          <w:lang w:val="en-US"/>
        </w:rPr>
        <w:t xml:space="preserve"> receives the provisional IPND data source within 10 </w:t>
      </w:r>
      <w:r>
        <w:rPr>
          <w:sz w:val="22"/>
          <w:szCs w:val="22"/>
          <w:lang w:val="en-US"/>
        </w:rPr>
        <w:t>business</w:t>
      </w:r>
      <w:r w:rsidRPr="009905D9">
        <w:rPr>
          <w:sz w:val="22"/>
          <w:szCs w:val="22"/>
          <w:lang w:val="en-US"/>
        </w:rPr>
        <w:t xml:space="preserve"> days</w:t>
      </w:r>
      <w:r>
        <w:rPr>
          <w:rStyle w:val="FootnoteReference"/>
          <w:sz w:val="22"/>
          <w:szCs w:val="22"/>
          <w:lang w:val="en-US"/>
        </w:rPr>
        <w:footnoteReference w:id="12"/>
      </w:r>
      <w:r w:rsidRPr="009905D9">
        <w:rPr>
          <w:sz w:val="22"/>
          <w:szCs w:val="22"/>
          <w:lang w:val="en-US"/>
        </w:rPr>
        <w:t xml:space="preserve"> </w:t>
      </w:r>
      <w:r>
        <w:rPr>
          <w:sz w:val="22"/>
          <w:szCs w:val="22"/>
          <w:lang w:val="en-US"/>
        </w:rPr>
        <w:t>after</w:t>
      </w:r>
      <w:r w:rsidRPr="009905D9">
        <w:rPr>
          <w:sz w:val="22"/>
          <w:szCs w:val="22"/>
          <w:lang w:val="en-US"/>
        </w:rPr>
        <w:t xml:space="preserve"> the start of </w:t>
      </w:r>
      <w:r>
        <w:rPr>
          <w:sz w:val="22"/>
          <w:szCs w:val="22"/>
          <w:lang w:val="en-US"/>
        </w:rPr>
        <w:t xml:space="preserve">the </w:t>
      </w:r>
      <w:r w:rsidRPr="009905D9">
        <w:rPr>
          <w:sz w:val="22"/>
          <w:szCs w:val="22"/>
          <w:lang w:val="en-US"/>
        </w:rPr>
        <w:t xml:space="preserve">provisional </w:t>
      </w:r>
      <w:proofErr w:type="spellStart"/>
      <w:r>
        <w:rPr>
          <w:sz w:val="22"/>
          <w:szCs w:val="22"/>
          <w:lang w:val="en-US"/>
        </w:rPr>
        <w:t>authorisation</w:t>
      </w:r>
      <w:proofErr w:type="spellEnd"/>
      <w:r>
        <w:rPr>
          <w:sz w:val="22"/>
          <w:szCs w:val="22"/>
          <w:lang w:val="en-US"/>
        </w:rPr>
        <w:t xml:space="preserve"> (subsection (2)).</w:t>
      </w:r>
    </w:p>
    <w:p w14:paraId="3D7984E3" w14:textId="77777777" w:rsidR="00362B2C" w:rsidRPr="009905D9" w:rsidRDefault="00362B2C" w:rsidP="00362B2C">
      <w:pPr>
        <w:pStyle w:val="ACMABodyText"/>
        <w:numPr>
          <w:ilvl w:val="0"/>
          <w:numId w:val="12"/>
        </w:numPr>
        <w:spacing w:before="0" w:after="160" w:line="259" w:lineRule="auto"/>
        <w:ind w:left="714" w:hanging="357"/>
        <w:rPr>
          <w:sz w:val="22"/>
          <w:szCs w:val="22"/>
        </w:rPr>
      </w:pPr>
      <w:r>
        <w:rPr>
          <w:sz w:val="22"/>
          <w:szCs w:val="22"/>
        </w:rPr>
        <w:t xml:space="preserve">The public number directory publisher must </w:t>
      </w:r>
      <w:r w:rsidRPr="009905D9">
        <w:rPr>
          <w:sz w:val="22"/>
          <w:szCs w:val="22"/>
        </w:rPr>
        <w:t xml:space="preserve">develop a sample PND within </w:t>
      </w:r>
      <w:r>
        <w:rPr>
          <w:sz w:val="22"/>
          <w:szCs w:val="22"/>
        </w:rPr>
        <w:t xml:space="preserve">a period of </w:t>
      </w:r>
      <w:r w:rsidRPr="009905D9">
        <w:rPr>
          <w:sz w:val="22"/>
          <w:szCs w:val="22"/>
        </w:rPr>
        <w:t xml:space="preserve">90 days </w:t>
      </w:r>
      <w:r>
        <w:rPr>
          <w:sz w:val="22"/>
          <w:szCs w:val="22"/>
        </w:rPr>
        <w:t>starting on the day on which the</w:t>
      </w:r>
      <w:r w:rsidRPr="009905D9">
        <w:rPr>
          <w:sz w:val="22"/>
          <w:szCs w:val="22"/>
        </w:rPr>
        <w:t xml:space="preserve"> provisional authorisation</w:t>
      </w:r>
      <w:r>
        <w:rPr>
          <w:sz w:val="22"/>
          <w:szCs w:val="22"/>
        </w:rPr>
        <w:t xml:space="preserve"> starts (subsection (3))</w:t>
      </w:r>
      <w:r w:rsidRPr="009905D9">
        <w:rPr>
          <w:sz w:val="22"/>
          <w:szCs w:val="22"/>
        </w:rPr>
        <w:t>.</w:t>
      </w:r>
    </w:p>
    <w:p w14:paraId="79EBD419" w14:textId="77777777" w:rsidR="00362B2C" w:rsidRPr="00AA4EE5" w:rsidRDefault="00362B2C" w:rsidP="00362B2C">
      <w:pPr>
        <w:pStyle w:val="ACMABodyText"/>
        <w:numPr>
          <w:ilvl w:val="0"/>
          <w:numId w:val="12"/>
        </w:numPr>
        <w:spacing w:before="0" w:after="160" w:line="259" w:lineRule="auto"/>
        <w:ind w:left="714" w:hanging="357"/>
        <w:rPr>
          <w:sz w:val="22"/>
          <w:szCs w:val="22"/>
        </w:rPr>
      </w:pPr>
      <w:r w:rsidRPr="00AA4EE5">
        <w:rPr>
          <w:sz w:val="22"/>
          <w:szCs w:val="22"/>
        </w:rPr>
        <w:lastRenderedPageBreak/>
        <w:t>The</w:t>
      </w:r>
      <w:r>
        <w:rPr>
          <w:sz w:val="22"/>
          <w:szCs w:val="22"/>
        </w:rPr>
        <w:t xml:space="preserve"> public number directory</w:t>
      </w:r>
      <w:r w:rsidRPr="00AA4EE5">
        <w:rPr>
          <w:sz w:val="22"/>
          <w:szCs w:val="22"/>
        </w:rPr>
        <w:t xml:space="preserve"> publisher must not publish a sample PND</w:t>
      </w:r>
      <w:r>
        <w:rPr>
          <w:sz w:val="22"/>
          <w:szCs w:val="22"/>
        </w:rPr>
        <w:t xml:space="preserve"> (subsection (4))</w:t>
      </w:r>
      <w:r w:rsidRPr="00AA4EE5">
        <w:rPr>
          <w:sz w:val="22"/>
          <w:szCs w:val="22"/>
        </w:rPr>
        <w:t xml:space="preserve">.  </w:t>
      </w:r>
      <w:r>
        <w:rPr>
          <w:sz w:val="22"/>
          <w:szCs w:val="22"/>
        </w:rPr>
        <w:t>T</w:t>
      </w:r>
      <w:r w:rsidRPr="006952AF">
        <w:rPr>
          <w:sz w:val="22"/>
          <w:szCs w:val="22"/>
        </w:rPr>
        <w:t>he publisher</w:t>
      </w:r>
      <w:r>
        <w:rPr>
          <w:sz w:val="22"/>
          <w:szCs w:val="22"/>
        </w:rPr>
        <w:t xml:space="preserve"> will, however, be able to</w:t>
      </w:r>
      <w:r w:rsidRPr="00AA4EE5">
        <w:rPr>
          <w:sz w:val="22"/>
          <w:szCs w:val="22"/>
        </w:rPr>
        <w:t xml:space="preserve"> use the architecture of a sample PND</w:t>
      </w:r>
      <w:r>
        <w:rPr>
          <w:sz w:val="22"/>
          <w:szCs w:val="22"/>
        </w:rPr>
        <w:t xml:space="preserve"> that</w:t>
      </w:r>
      <w:r w:rsidRPr="00AA4EE5">
        <w:rPr>
          <w:sz w:val="22"/>
          <w:szCs w:val="22"/>
        </w:rPr>
        <w:t xml:space="preserve"> it has developed as the basis for a PND</w:t>
      </w:r>
      <w:r>
        <w:rPr>
          <w:sz w:val="22"/>
          <w:szCs w:val="22"/>
        </w:rPr>
        <w:t xml:space="preserve"> </w:t>
      </w:r>
      <w:r w:rsidRPr="00AA4EE5">
        <w:rPr>
          <w:sz w:val="22"/>
          <w:szCs w:val="22"/>
        </w:rPr>
        <w:t xml:space="preserve">that </w:t>
      </w:r>
      <w:r>
        <w:rPr>
          <w:sz w:val="22"/>
          <w:szCs w:val="22"/>
        </w:rPr>
        <w:t>the publisher</w:t>
      </w:r>
      <w:r w:rsidRPr="00AA4EE5">
        <w:rPr>
          <w:sz w:val="22"/>
          <w:szCs w:val="22"/>
        </w:rPr>
        <w:t xml:space="preserve"> may publish if the ACMA grants a final authorisation.</w:t>
      </w:r>
    </w:p>
    <w:p w14:paraId="6734C8E7" w14:textId="77777777" w:rsidR="00362B2C" w:rsidRDefault="00362B2C" w:rsidP="00362B2C">
      <w:pPr>
        <w:pStyle w:val="ACMABodyText"/>
        <w:numPr>
          <w:ilvl w:val="0"/>
          <w:numId w:val="12"/>
        </w:numPr>
        <w:spacing w:before="0" w:after="160" w:line="259" w:lineRule="auto"/>
        <w:ind w:left="714" w:hanging="357"/>
        <w:rPr>
          <w:sz w:val="22"/>
          <w:szCs w:val="22"/>
        </w:rPr>
      </w:pPr>
      <w:r>
        <w:rPr>
          <w:sz w:val="22"/>
          <w:szCs w:val="22"/>
          <w:lang w:val="en-US"/>
        </w:rPr>
        <w:t>The</w:t>
      </w:r>
      <w:r w:rsidRPr="004371F0">
        <w:rPr>
          <w:sz w:val="22"/>
          <w:szCs w:val="22"/>
        </w:rPr>
        <w:t xml:space="preserve"> </w:t>
      </w:r>
      <w:r>
        <w:rPr>
          <w:sz w:val="22"/>
          <w:szCs w:val="22"/>
        </w:rPr>
        <w:t xml:space="preserve">public number directory </w:t>
      </w:r>
      <w:r w:rsidRPr="004371F0">
        <w:rPr>
          <w:sz w:val="22"/>
          <w:szCs w:val="22"/>
        </w:rPr>
        <w:t>publisher</w:t>
      </w:r>
      <w:r>
        <w:rPr>
          <w:sz w:val="22"/>
          <w:szCs w:val="22"/>
        </w:rPr>
        <w:t xml:space="preserve"> must not </w:t>
      </w:r>
      <w:r w:rsidRPr="004371F0">
        <w:rPr>
          <w:sz w:val="22"/>
          <w:szCs w:val="22"/>
        </w:rPr>
        <w:t>disclos</w:t>
      </w:r>
      <w:r>
        <w:rPr>
          <w:sz w:val="22"/>
          <w:szCs w:val="22"/>
        </w:rPr>
        <w:t>e</w:t>
      </w:r>
      <w:r w:rsidRPr="004371F0">
        <w:rPr>
          <w:sz w:val="22"/>
          <w:szCs w:val="22"/>
        </w:rPr>
        <w:t xml:space="preserve"> information held in </w:t>
      </w:r>
      <w:r>
        <w:rPr>
          <w:sz w:val="22"/>
          <w:szCs w:val="22"/>
        </w:rPr>
        <w:t>a</w:t>
      </w:r>
      <w:r w:rsidRPr="004371F0">
        <w:rPr>
          <w:sz w:val="22"/>
          <w:szCs w:val="22"/>
        </w:rPr>
        <w:t xml:space="preserve"> provisional IPND data source or </w:t>
      </w:r>
      <w:r>
        <w:rPr>
          <w:sz w:val="22"/>
          <w:szCs w:val="22"/>
        </w:rPr>
        <w:t>a</w:t>
      </w:r>
      <w:r w:rsidRPr="004371F0">
        <w:rPr>
          <w:sz w:val="22"/>
          <w:szCs w:val="22"/>
        </w:rPr>
        <w:t xml:space="preserve"> sample PND to any person other than </w:t>
      </w:r>
      <w:r>
        <w:rPr>
          <w:sz w:val="22"/>
          <w:szCs w:val="22"/>
        </w:rPr>
        <w:t xml:space="preserve">the </w:t>
      </w:r>
      <w:r w:rsidRPr="004371F0">
        <w:rPr>
          <w:sz w:val="22"/>
          <w:szCs w:val="22"/>
        </w:rPr>
        <w:t>ACMA or the publisher’s personnel, unless the disclosure is authorised</w:t>
      </w:r>
      <w:r>
        <w:rPr>
          <w:sz w:val="22"/>
          <w:szCs w:val="22"/>
        </w:rPr>
        <w:t xml:space="preserve"> or required by or under</w:t>
      </w:r>
      <w:r w:rsidRPr="004371F0">
        <w:rPr>
          <w:sz w:val="22"/>
          <w:szCs w:val="22"/>
        </w:rPr>
        <w:t xml:space="preserve"> law</w:t>
      </w:r>
      <w:r>
        <w:rPr>
          <w:sz w:val="22"/>
          <w:szCs w:val="22"/>
        </w:rPr>
        <w:t xml:space="preserve"> (subsection (5))</w:t>
      </w:r>
      <w:r w:rsidRPr="004371F0">
        <w:rPr>
          <w:sz w:val="22"/>
          <w:szCs w:val="22"/>
        </w:rPr>
        <w:t xml:space="preserve">. </w:t>
      </w:r>
    </w:p>
    <w:p w14:paraId="6F0C2FA4" w14:textId="77777777" w:rsidR="00362B2C" w:rsidRPr="00420B6E" w:rsidRDefault="00362B2C" w:rsidP="00362B2C">
      <w:pPr>
        <w:pStyle w:val="ACMABodyText"/>
        <w:numPr>
          <w:ilvl w:val="0"/>
          <w:numId w:val="12"/>
        </w:numPr>
        <w:spacing w:before="0" w:after="160" w:line="259" w:lineRule="auto"/>
        <w:ind w:left="714" w:hanging="357"/>
        <w:rPr>
          <w:sz w:val="22"/>
          <w:szCs w:val="22"/>
        </w:rPr>
      </w:pPr>
      <w:r>
        <w:rPr>
          <w:sz w:val="22"/>
          <w:szCs w:val="22"/>
        </w:rPr>
        <w:t>T</w:t>
      </w:r>
      <w:r w:rsidRPr="00420B6E">
        <w:rPr>
          <w:sz w:val="22"/>
          <w:szCs w:val="22"/>
        </w:rPr>
        <w:t xml:space="preserve">he </w:t>
      </w:r>
      <w:r>
        <w:rPr>
          <w:sz w:val="22"/>
          <w:szCs w:val="22"/>
        </w:rPr>
        <w:t>public number directory</w:t>
      </w:r>
      <w:r w:rsidRPr="00420B6E" w:rsidDel="001B3DDA">
        <w:rPr>
          <w:sz w:val="22"/>
          <w:szCs w:val="22"/>
        </w:rPr>
        <w:t xml:space="preserve"> </w:t>
      </w:r>
      <w:r w:rsidRPr="00420B6E">
        <w:rPr>
          <w:sz w:val="22"/>
          <w:szCs w:val="22"/>
        </w:rPr>
        <w:t xml:space="preserve">publisher must not use </w:t>
      </w:r>
      <w:r>
        <w:rPr>
          <w:sz w:val="22"/>
          <w:szCs w:val="22"/>
        </w:rPr>
        <w:t xml:space="preserve">the </w:t>
      </w:r>
      <w:r w:rsidRPr="00420B6E">
        <w:rPr>
          <w:sz w:val="22"/>
          <w:szCs w:val="22"/>
        </w:rPr>
        <w:t>customer data in a provisional IPND data source for any purpose other than the development of a sample PND</w:t>
      </w:r>
      <w:r>
        <w:rPr>
          <w:sz w:val="22"/>
          <w:szCs w:val="22"/>
        </w:rPr>
        <w:t xml:space="preserve"> (subsection (6))</w:t>
      </w:r>
      <w:r w:rsidRPr="00420B6E">
        <w:rPr>
          <w:sz w:val="22"/>
          <w:szCs w:val="22"/>
        </w:rPr>
        <w:t>.</w:t>
      </w:r>
    </w:p>
    <w:p w14:paraId="418C8BBB" w14:textId="77777777" w:rsidR="00362B2C" w:rsidRDefault="00362B2C" w:rsidP="00362B2C">
      <w:pPr>
        <w:pStyle w:val="ACMABodyText"/>
        <w:numPr>
          <w:ilvl w:val="0"/>
          <w:numId w:val="12"/>
        </w:numPr>
        <w:spacing w:before="0" w:after="160" w:line="259" w:lineRule="auto"/>
        <w:ind w:left="714" w:hanging="357"/>
        <w:rPr>
          <w:sz w:val="22"/>
          <w:szCs w:val="22"/>
        </w:rPr>
      </w:pPr>
      <w:r>
        <w:rPr>
          <w:sz w:val="22"/>
          <w:szCs w:val="22"/>
        </w:rPr>
        <w:t xml:space="preserve">The ACMA may </w:t>
      </w:r>
      <w:r w:rsidRPr="006559FB">
        <w:rPr>
          <w:sz w:val="22"/>
          <w:szCs w:val="22"/>
        </w:rPr>
        <w:t>specify</w:t>
      </w:r>
      <w:r>
        <w:rPr>
          <w:sz w:val="22"/>
          <w:szCs w:val="22"/>
        </w:rPr>
        <w:t xml:space="preserve"> in writing</w:t>
      </w:r>
      <w:r w:rsidRPr="006559FB">
        <w:rPr>
          <w:sz w:val="22"/>
          <w:szCs w:val="22"/>
        </w:rPr>
        <w:t xml:space="preserve"> other conditions</w:t>
      </w:r>
      <w:r>
        <w:rPr>
          <w:sz w:val="22"/>
          <w:szCs w:val="22"/>
        </w:rPr>
        <w:t xml:space="preserve"> to which</w:t>
      </w:r>
      <w:r w:rsidRPr="006559FB">
        <w:rPr>
          <w:sz w:val="22"/>
          <w:szCs w:val="22"/>
        </w:rPr>
        <w:t xml:space="preserve"> </w:t>
      </w:r>
      <w:r>
        <w:rPr>
          <w:sz w:val="22"/>
          <w:szCs w:val="22"/>
        </w:rPr>
        <w:t xml:space="preserve">the </w:t>
      </w:r>
      <w:r w:rsidRPr="006559FB">
        <w:rPr>
          <w:sz w:val="22"/>
          <w:szCs w:val="22"/>
        </w:rPr>
        <w:t>authorisation</w:t>
      </w:r>
      <w:r>
        <w:rPr>
          <w:sz w:val="22"/>
          <w:szCs w:val="22"/>
        </w:rPr>
        <w:t xml:space="preserve"> is subject (paragraph (7)(a))</w:t>
      </w:r>
      <w:r w:rsidRPr="006559FB">
        <w:rPr>
          <w:sz w:val="22"/>
          <w:szCs w:val="22"/>
        </w:rPr>
        <w:t>.</w:t>
      </w:r>
      <w:r w:rsidRPr="00502217">
        <w:rPr>
          <w:sz w:val="22"/>
          <w:szCs w:val="22"/>
        </w:rPr>
        <w:t xml:space="preserve"> </w:t>
      </w:r>
      <w:r>
        <w:rPr>
          <w:sz w:val="22"/>
          <w:szCs w:val="22"/>
        </w:rPr>
        <w:t xml:space="preserve">The ACMA may also vary or remove any condition so specified (paragraph (7)(b)). The ACMA must notify the public number directory publisher in writing of any specified condition, or of any variation or removal of such a condition, as soon as practicable and before the condition, or the variation or removal, is expressed to take effect (paragraph (7)(c)).  The ACMA must also notify the IPND Manager in writing of any specified condition, or of any variation or removal of </w:t>
      </w:r>
      <w:r w:rsidRPr="00C42B3D">
        <w:rPr>
          <w:sz w:val="22"/>
          <w:szCs w:val="22"/>
        </w:rPr>
        <w:t>such a condition</w:t>
      </w:r>
      <w:r>
        <w:rPr>
          <w:sz w:val="22"/>
          <w:szCs w:val="22"/>
        </w:rPr>
        <w:t>, that is relevant to its role as IPND Manager (paragraph (7)(d))</w:t>
      </w:r>
      <w:r w:rsidRPr="00C42B3D">
        <w:rPr>
          <w:sz w:val="22"/>
          <w:szCs w:val="22"/>
        </w:rPr>
        <w:t>.</w:t>
      </w:r>
      <w:r>
        <w:rPr>
          <w:rStyle w:val="FootnoteReference"/>
          <w:sz w:val="22"/>
          <w:szCs w:val="22"/>
        </w:rPr>
        <w:footnoteReference w:id="13"/>
      </w:r>
      <w:r w:rsidRPr="00C42B3D">
        <w:rPr>
          <w:sz w:val="22"/>
          <w:szCs w:val="22"/>
        </w:rPr>
        <w:t xml:space="preserve"> </w:t>
      </w:r>
    </w:p>
    <w:p w14:paraId="47D9672A" w14:textId="77777777" w:rsidR="00362B2C" w:rsidRPr="00C42B3D" w:rsidRDefault="00362B2C" w:rsidP="00362B2C">
      <w:pPr>
        <w:pStyle w:val="ACMABodyText"/>
        <w:numPr>
          <w:ilvl w:val="0"/>
          <w:numId w:val="12"/>
        </w:numPr>
        <w:spacing w:before="0" w:after="40" w:line="259" w:lineRule="auto"/>
        <w:ind w:left="714" w:hanging="357"/>
        <w:contextualSpacing/>
        <w:rPr>
          <w:sz w:val="22"/>
          <w:szCs w:val="22"/>
        </w:rPr>
      </w:pPr>
      <w:r>
        <w:rPr>
          <w:sz w:val="22"/>
          <w:szCs w:val="22"/>
        </w:rPr>
        <w:t>The</w:t>
      </w:r>
      <w:r w:rsidRPr="00C42B3D">
        <w:rPr>
          <w:sz w:val="22"/>
          <w:szCs w:val="22"/>
        </w:rPr>
        <w:t xml:space="preserve"> </w:t>
      </w:r>
      <w:r>
        <w:rPr>
          <w:sz w:val="22"/>
          <w:szCs w:val="22"/>
        </w:rPr>
        <w:t xml:space="preserve">public number directory </w:t>
      </w:r>
      <w:r w:rsidRPr="00C42B3D">
        <w:rPr>
          <w:sz w:val="22"/>
          <w:szCs w:val="22"/>
        </w:rPr>
        <w:t xml:space="preserve">publisher must comply with </w:t>
      </w:r>
      <w:r>
        <w:rPr>
          <w:sz w:val="22"/>
          <w:szCs w:val="22"/>
        </w:rPr>
        <w:t>the</w:t>
      </w:r>
      <w:r w:rsidRPr="00C42B3D">
        <w:rPr>
          <w:sz w:val="22"/>
          <w:szCs w:val="22"/>
        </w:rPr>
        <w:t xml:space="preserve"> relevant requirements</w:t>
      </w:r>
      <w:r>
        <w:rPr>
          <w:sz w:val="22"/>
          <w:szCs w:val="22"/>
        </w:rPr>
        <w:t>,</w:t>
      </w:r>
      <w:r w:rsidRPr="00C42B3D">
        <w:rPr>
          <w:sz w:val="22"/>
          <w:szCs w:val="22"/>
        </w:rPr>
        <w:t xml:space="preserve"> which are:</w:t>
      </w:r>
    </w:p>
    <w:p w14:paraId="7A57951D" w14:textId="77777777" w:rsidR="00362B2C" w:rsidRPr="00C42B3D" w:rsidRDefault="00362B2C" w:rsidP="00362B2C">
      <w:pPr>
        <w:pStyle w:val="ACMABodyText"/>
        <w:numPr>
          <w:ilvl w:val="0"/>
          <w:numId w:val="39"/>
        </w:numPr>
        <w:spacing w:before="0" w:after="40" w:line="259" w:lineRule="auto"/>
        <w:contextualSpacing/>
        <w:rPr>
          <w:sz w:val="22"/>
          <w:szCs w:val="22"/>
        </w:rPr>
      </w:pPr>
      <w:r>
        <w:rPr>
          <w:sz w:val="22"/>
          <w:szCs w:val="22"/>
        </w:rPr>
        <w:t>t</w:t>
      </w:r>
      <w:r w:rsidRPr="00C42B3D">
        <w:rPr>
          <w:sz w:val="22"/>
          <w:szCs w:val="22"/>
        </w:rPr>
        <w:t>he</w:t>
      </w:r>
      <w:r>
        <w:rPr>
          <w:sz w:val="22"/>
          <w:szCs w:val="22"/>
        </w:rPr>
        <w:t xml:space="preserve"> requirements of the</w:t>
      </w:r>
      <w:r w:rsidRPr="00C42B3D">
        <w:rPr>
          <w:sz w:val="22"/>
          <w:szCs w:val="22"/>
        </w:rPr>
        <w:t xml:space="preserve"> Act and </w:t>
      </w:r>
      <w:r>
        <w:rPr>
          <w:sz w:val="22"/>
          <w:szCs w:val="22"/>
        </w:rPr>
        <w:t xml:space="preserve">of </w:t>
      </w:r>
      <w:r w:rsidRPr="00C42B3D">
        <w:rPr>
          <w:sz w:val="22"/>
          <w:szCs w:val="22"/>
        </w:rPr>
        <w:t xml:space="preserve">any </w:t>
      </w:r>
      <w:r>
        <w:rPr>
          <w:sz w:val="22"/>
          <w:szCs w:val="22"/>
        </w:rPr>
        <w:t>legislative</w:t>
      </w:r>
      <w:r w:rsidRPr="00C42B3D">
        <w:rPr>
          <w:sz w:val="22"/>
          <w:szCs w:val="22"/>
        </w:rPr>
        <w:t xml:space="preserve"> instrument</w:t>
      </w:r>
      <w:r>
        <w:rPr>
          <w:sz w:val="22"/>
          <w:szCs w:val="22"/>
        </w:rPr>
        <w:t>s</w:t>
      </w:r>
      <w:r w:rsidRPr="00C42B3D">
        <w:rPr>
          <w:sz w:val="22"/>
          <w:szCs w:val="22"/>
        </w:rPr>
        <w:t xml:space="preserve"> made under the Act</w:t>
      </w:r>
      <w:r>
        <w:rPr>
          <w:sz w:val="22"/>
          <w:szCs w:val="22"/>
        </w:rPr>
        <w:t xml:space="preserve"> (including the scheme) that apply to the publisher</w:t>
      </w:r>
      <w:r w:rsidRPr="00C42B3D">
        <w:rPr>
          <w:sz w:val="22"/>
          <w:szCs w:val="22"/>
        </w:rPr>
        <w:t>;</w:t>
      </w:r>
      <w:r>
        <w:rPr>
          <w:sz w:val="22"/>
          <w:szCs w:val="22"/>
        </w:rPr>
        <w:t xml:space="preserve"> and</w:t>
      </w:r>
    </w:p>
    <w:p w14:paraId="0D007818" w14:textId="027C5A78" w:rsidR="00362B2C" w:rsidRPr="00C42B3D" w:rsidRDefault="00362B2C" w:rsidP="00362B2C">
      <w:pPr>
        <w:pStyle w:val="ACMABodyText"/>
        <w:numPr>
          <w:ilvl w:val="0"/>
          <w:numId w:val="39"/>
        </w:numPr>
        <w:spacing w:before="0" w:after="160" w:line="259" w:lineRule="auto"/>
        <w:ind w:left="1077" w:hanging="357"/>
        <w:rPr>
          <w:sz w:val="22"/>
          <w:szCs w:val="22"/>
        </w:rPr>
      </w:pPr>
      <w:r>
        <w:rPr>
          <w:sz w:val="22"/>
          <w:szCs w:val="22"/>
        </w:rPr>
        <w:t>any</w:t>
      </w:r>
      <w:r w:rsidRPr="00C42B3D">
        <w:rPr>
          <w:sz w:val="22"/>
          <w:szCs w:val="22"/>
        </w:rPr>
        <w:t xml:space="preserve"> conditions</w:t>
      </w:r>
      <w:r>
        <w:rPr>
          <w:sz w:val="22"/>
          <w:szCs w:val="22"/>
        </w:rPr>
        <w:t xml:space="preserve"> of the authorisation (</w:t>
      </w:r>
      <w:r w:rsidR="0070031C">
        <w:rPr>
          <w:sz w:val="22"/>
          <w:szCs w:val="22"/>
        </w:rPr>
        <w:t xml:space="preserve">see </w:t>
      </w:r>
      <w:r>
        <w:rPr>
          <w:sz w:val="22"/>
          <w:szCs w:val="22"/>
        </w:rPr>
        <w:t xml:space="preserve">subsection (8) and the definition of </w:t>
      </w:r>
      <w:r w:rsidRPr="00D76883">
        <w:rPr>
          <w:b/>
          <w:i/>
          <w:sz w:val="22"/>
          <w:szCs w:val="22"/>
        </w:rPr>
        <w:t>relevant requirements</w:t>
      </w:r>
      <w:r w:rsidRPr="00A0390F">
        <w:rPr>
          <w:sz w:val="22"/>
          <w:szCs w:val="22"/>
        </w:rPr>
        <w:t xml:space="preserve"> </w:t>
      </w:r>
      <w:r>
        <w:rPr>
          <w:sz w:val="22"/>
          <w:szCs w:val="22"/>
        </w:rPr>
        <w:t>in section 1.4 of the scheme).</w:t>
      </w:r>
      <w:r>
        <w:rPr>
          <w:rStyle w:val="FootnoteReference"/>
          <w:sz w:val="22"/>
          <w:szCs w:val="22"/>
        </w:rPr>
        <w:footnoteReference w:id="14"/>
      </w:r>
    </w:p>
    <w:p w14:paraId="660BDC40" w14:textId="77777777" w:rsidR="00362B2C" w:rsidRDefault="00362B2C" w:rsidP="00362B2C">
      <w:pPr>
        <w:pStyle w:val="ACMABodyText"/>
        <w:numPr>
          <w:ilvl w:val="0"/>
          <w:numId w:val="13"/>
        </w:numPr>
        <w:spacing w:before="0" w:after="40" w:line="22" w:lineRule="atLeast"/>
        <w:ind w:left="709" w:hanging="425"/>
        <w:rPr>
          <w:sz w:val="22"/>
          <w:szCs w:val="22"/>
        </w:rPr>
      </w:pPr>
      <w:r w:rsidRPr="00584FB0">
        <w:rPr>
          <w:sz w:val="22"/>
          <w:szCs w:val="22"/>
        </w:rPr>
        <w:t xml:space="preserve">The </w:t>
      </w:r>
      <w:r>
        <w:rPr>
          <w:sz w:val="22"/>
          <w:szCs w:val="22"/>
        </w:rPr>
        <w:t xml:space="preserve">public number directory </w:t>
      </w:r>
      <w:r w:rsidRPr="00A718E9">
        <w:rPr>
          <w:sz w:val="22"/>
          <w:szCs w:val="22"/>
        </w:rPr>
        <w:t>publisher must take all reasonable steps to ensure that any person who is one of its perso</w:t>
      </w:r>
      <w:r w:rsidRPr="00ED483D">
        <w:rPr>
          <w:sz w:val="22"/>
          <w:szCs w:val="22"/>
        </w:rPr>
        <w:t>nnel</w:t>
      </w:r>
      <w:r>
        <w:rPr>
          <w:sz w:val="22"/>
          <w:szCs w:val="22"/>
        </w:rPr>
        <w:t>:</w:t>
      </w:r>
      <w:r w:rsidRPr="00ED483D">
        <w:rPr>
          <w:sz w:val="22"/>
          <w:szCs w:val="22"/>
        </w:rPr>
        <w:t xml:space="preserve"> </w:t>
      </w:r>
    </w:p>
    <w:p w14:paraId="700D718B" w14:textId="77777777" w:rsidR="00362B2C" w:rsidRDefault="00362B2C" w:rsidP="00362B2C">
      <w:pPr>
        <w:pStyle w:val="ACMABodyText"/>
        <w:numPr>
          <w:ilvl w:val="0"/>
          <w:numId w:val="40"/>
        </w:numPr>
        <w:spacing w:before="0" w:after="40" w:line="259" w:lineRule="auto"/>
        <w:ind w:left="1077" w:hanging="357"/>
        <w:rPr>
          <w:sz w:val="22"/>
          <w:szCs w:val="22"/>
        </w:rPr>
      </w:pPr>
      <w:r w:rsidRPr="00ED483D">
        <w:rPr>
          <w:sz w:val="22"/>
          <w:szCs w:val="22"/>
        </w:rPr>
        <w:lastRenderedPageBreak/>
        <w:t>is made aware of the publisher</w:t>
      </w:r>
      <w:r>
        <w:rPr>
          <w:sz w:val="22"/>
          <w:szCs w:val="22"/>
        </w:rPr>
        <w:t xml:space="preserve">’s obligations to meet the relevant requirements; </w:t>
      </w:r>
    </w:p>
    <w:p w14:paraId="4EC9C9B9" w14:textId="77777777" w:rsidR="00362B2C" w:rsidRDefault="00362B2C" w:rsidP="00362B2C">
      <w:pPr>
        <w:pStyle w:val="ACMABodyText"/>
        <w:numPr>
          <w:ilvl w:val="0"/>
          <w:numId w:val="40"/>
        </w:numPr>
        <w:spacing w:before="0" w:after="40" w:line="259" w:lineRule="auto"/>
        <w:ind w:left="1077" w:hanging="357"/>
        <w:rPr>
          <w:sz w:val="22"/>
          <w:szCs w:val="22"/>
        </w:rPr>
      </w:pPr>
      <w:r>
        <w:rPr>
          <w:sz w:val="22"/>
          <w:szCs w:val="22"/>
        </w:rPr>
        <w:t xml:space="preserve">cooperates with the publisher in meeting those requirements; and </w:t>
      </w:r>
    </w:p>
    <w:p w14:paraId="2E4C8B29" w14:textId="77777777" w:rsidR="00362B2C" w:rsidRDefault="00362B2C" w:rsidP="00362B2C">
      <w:pPr>
        <w:pStyle w:val="ACMABodyText"/>
        <w:numPr>
          <w:ilvl w:val="0"/>
          <w:numId w:val="40"/>
        </w:numPr>
        <w:spacing w:before="0" w:after="160" w:line="259" w:lineRule="auto"/>
        <w:ind w:left="1077" w:hanging="357"/>
        <w:rPr>
          <w:sz w:val="22"/>
          <w:szCs w:val="22"/>
        </w:rPr>
      </w:pPr>
      <w:r>
        <w:rPr>
          <w:sz w:val="22"/>
          <w:szCs w:val="22"/>
        </w:rPr>
        <w:t>notifies the publisher in writing as soon as practicable after becoming aware that the person has done, or omitted to do, something that would have breached such a requirement if the person had been a public number directory publisher (subsection (9)).</w:t>
      </w:r>
    </w:p>
    <w:p w14:paraId="49836C46" w14:textId="77777777" w:rsidR="00362B2C" w:rsidRPr="00CB4BDA" w:rsidRDefault="00362B2C" w:rsidP="00362B2C">
      <w:pPr>
        <w:pStyle w:val="ACMABodyText"/>
        <w:numPr>
          <w:ilvl w:val="0"/>
          <w:numId w:val="13"/>
        </w:numPr>
        <w:spacing w:before="0" w:after="40" w:line="259" w:lineRule="auto"/>
        <w:ind w:left="709" w:hanging="425"/>
      </w:pPr>
      <w:r>
        <w:rPr>
          <w:sz w:val="22"/>
          <w:szCs w:val="22"/>
        </w:rPr>
        <w:t xml:space="preserve">If the public number directory publisher becomes aware that: </w:t>
      </w:r>
    </w:p>
    <w:p w14:paraId="51DDA51A" w14:textId="77777777" w:rsidR="00362B2C" w:rsidRPr="00CB4BDA" w:rsidRDefault="00362B2C" w:rsidP="00362B2C">
      <w:pPr>
        <w:pStyle w:val="ACMABodyText"/>
        <w:numPr>
          <w:ilvl w:val="0"/>
          <w:numId w:val="41"/>
        </w:numPr>
        <w:spacing w:before="0" w:after="40" w:line="22" w:lineRule="atLeast"/>
      </w:pPr>
      <w:r>
        <w:rPr>
          <w:sz w:val="22"/>
          <w:szCs w:val="22"/>
        </w:rPr>
        <w:t xml:space="preserve">it has breached a relevant requirement; or </w:t>
      </w:r>
    </w:p>
    <w:p w14:paraId="3F13B0F6" w14:textId="77777777" w:rsidR="00362B2C" w:rsidRPr="00CB4BDA" w:rsidRDefault="00362B2C" w:rsidP="00362B2C">
      <w:pPr>
        <w:pStyle w:val="ACMABodyText"/>
        <w:numPr>
          <w:ilvl w:val="0"/>
          <w:numId w:val="41"/>
        </w:numPr>
        <w:spacing w:before="0" w:after="40" w:line="22" w:lineRule="atLeast"/>
      </w:pPr>
      <w:r>
        <w:rPr>
          <w:sz w:val="22"/>
          <w:szCs w:val="22"/>
        </w:rPr>
        <w:t xml:space="preserve">a person who is one of its personnel has done, or omitted to do, something that would have breached such a requirement if the person had been a public number directory publisher; </w:t>
      </w:r>
    </w:p>
    <w:p w14:paraId="71789106" w14:textId="77777777" w:rsidR="00362B2C" w:rsidRDefault="00362B2C" w:rsidP="00362B2C">
      <w:pPr>
        <w:pStyle w:val="ACMABodyText"/>
        <w:tabs>
          <w:tab w:val="left" w:pos="709"/>
        </w:tabs>
        <w:spacing w:before="0" w:after="40" w:line="22" w:lineRule="atLeast"/>
        <w:ind w:left="709"/>
      </w:pPr>
      <w:r>
        <w:rPr>
          <w:sz w:val="22"/>
          <w:szCs w:val="22"/>
        </w:rPr>
        <w:t>the publisher must, as soon as practicable, notify the ACMA in writing of the issue and take all reasonable steps to minimise the effects of the issue (subsection (10)).</w:t>
      </w:r>
    </w:p>
    <w:p w14:paraId="39609435" w14:textId="77777777" w:rsidR="00362B2C" w:rsidRPr="006B75CE" w:rsidRDefault="00362B2C" w:rsidP="00362B2C">
      <w:pPr>
        <w:pStyle w:val="ACMABodyText"/>
        <w:tabs>
          <w:tab w:val="left" w:pos="709"/>
        </w:tabs>
        <w:spacing w:before="0" w:after="40" w:line="22" w:lineRule="atLeast"/>
        <w:ind w:left="709"/>
      </w:pPr>
    </w:p>
    <w:p w14:paraId="49228700" w14:textId="77777777" w:rsidR="00362B2C" w:rsidRDefault="00362B2C" w:rsidP="00362B2C">
      <w:pPr>
        <w:rPr>
          <w:rFonts w:ascii="Times New Roman" w:hAnsi="Times New Roman" w:cs="Times New Roman"/>
          <w:b/>
        </w:rPr>
      </w:pPr>
      <w:r>
        <w:rPr>
          <w:rFonts w:ascii="Times New Roman" w:hAnsi="Times New Roman" w:cs="Times New Roman"/>
          <w:b/>
        </w:rPr>
        <w:t>Subdivision B</w:t>
      </w:r>
      <w:r w:rsidRPr="00E45CDB">
        <w:rPr>
          <w:rFonts w:ascii="Times New Roman" w:hAnsi="Times New Roman" w:cs="Times New Roman"/>
          <w:b/>
        </w:rPr>
        <w:t xml:space="preserve"> </w:t>
      </w:r>
      <w:r w:rsidRPr="00E45CDB">
        <w:rPr>
          <w:rFonts w:ascii="Times New Roman" w:hAnsi="Times New Roman" w:cs="Times New Roman"/>
          <w:b/>
        </w:rPr>
        <w:tab/>
        <w:t>Application for</w:t>
      </w:r>
      <w:r>
        <w:rPr>
          <w:rFonts w:ascii="Times New Roman" w:hAnsi="Times New Roman" w:cs="Times New Roman"/>
          <w:b/>
        </w:rPr>
        <w:t xml:space="preserve"> extension of duration of</w:t>
      </w:r>
      <w:r w:rsidRPr="00E45CDB">
        <w:rPr>
          <w:rFonts w:ascii="Times New Roman" w:hAnsi="Times New Roman" w:cs="Times New Roman"/>
          <w:b/>
        </w:rPr>
        <w:t xml:space="preserve"> provisional authorisation</w:t>
      </w:r>
    </w:p>
    <w:p w14:paraId="4CA1EB5B" w14:textId="77777777" w:rsidR="00362B2C" w:rsidRPr="003C71F0" w:rsidRDefault="00362B2C" w:rsidP="00362B2C">
      <w:pPr>
        <w:rPr>
          <w:rFonts w:ascii="Times New Roman" w:hAnsi="Times New Roman" w:cs="Times New Roman"/>
          <w:b/>
        </w:rPr>
      </w:pPr>
      <w:r w:rsidRPr="003C71F0">
        <w:rPr>
          <w:rFonts w:ascii="Times New Roman" w:hAnsi="Times New Roman" w:cs="Times New Roman"/>
          <w:b/>
        </w:rPr>
        <w:t xml:space="preserve">Section </w:t>
      </w:r>
      <w:r>
        <w:rPr>
          <w:rFonts w:ascii="Times New Roman" w:hAnsi="Times New Roman" w:cs="Times New Roman"/>
          <w:b/>
        </w:rPr>
        <w:t>3.</w:t>
      </w:r>
      <w:r w:rsidRPr="003C71F0">
        <w:rPr>
          <w:rFonts w:ascii="Times New Roman" w:hAnsi="Times New Roman" w:cs="Times New Roman"/>
          <w:b/>
        </w:rPr>
        <w:t>6</w:t>
      </w:r>
      <w:r w:rsidRPr="003C71F0">
        <w:rPr>
          <w:rFonts w:ascii="Times New Roman" w:hAnsi="Times New Roman" w:cs="Times New Roman"/>
          <w:b/>
        </w:rPr>
        <w:tab/>
        <w:t>Making an application</w:t>
      </w:r>
    </w:p>
    <w:p w14:paraId="7ACEF286" w14:textId="77777777" w:rsidR="00362B2C" w:rsidRDefault="00362B2C" w:rsidP="00362B2C">
      <w:pPr>
        <w:pStyle w:val="ACMABodyText"/>
        <w:spacing w:before="0" w:after="160" w:line="259" w:lineRule="auto"/>
        <w:rPr>
          <w:sz w:val="22"/>
          <w:szCs w:val="22"/>
        </w:rPr>
      </w:pPr>
      <w:r>
        <w:rPr>
          <w:sz w:val="22"/>
          <w:szCs w:val="22"/>
        </w:rPr>
        <w:t>This s</w:t>
      </w:r>
      <w:r w:rsidRPr="003C71F0">
        <w:rPr>
          <w:sz w:val="22"/>
          <w:szCs w:val="22"/>
        </w:rPr>
        <w:t xml:space="preserve">ection </w:t>
      </w:r>
      <w:r>
        <w:rPr>
          <w:sz w:val="22"/>
          <w:szCs w:val="22"/>
        </w:rPr>
        <w:t>provides that a</w:t>
      </w:r>
      <w:r w:rsidRPr="003C71F0">
        <w:rPr>
          <w:sz w:val="22"/>
          <w:szCs w:val="22"/>
        </w:rPr>
        <w:t xml:space="preserve"> </w:t>
      </w:r>
      <w:r>
        <w:rPr>
          <w:sz w:val="22"/>
          <w:szCs w:val="22"/>
        </w:rPr>
        <w:t>public number directory</w:t>
      </w:r>
      <w:r w:rsidRPr="003C71F0">
        <w:rPr>
          <w:sz w:val="22"/>
          <w:szCs w:val="22"/>
        </w:rPr>
        <w:t xml:space="preserve"> publisher </w:t>
      </w:r>
      <w:r>
        <w:rPr>
          <w:sz w:val="22"/>
          <w:szCs w:val="22"/>
        </w:rPr>
        <w:t>may</w:t>
      </w:r>
      <w:r w:rsidRPr="003C71F0">
        <w:rPr>
          <w:sz w:val="22"/>
          <w:szCs w:val="22"/>
        </w:rPr>
        <w:t xml:space="preserve"> apply to </w:t>
      </w:r>
      <w:r>
        <w:rPr>
          <w:sz w:val="22"/>
          <w:szCs w:val="22"/>
        </w:rPr>
        <w:t xml:space="preserve">the </w:t>
      </w:r>
      <w:r w:rsidRPr="003C71F0">
        <w:rPr>
          <w:sz w:val="22"/>
          <w:szCs w:val="22"/>
        </w:rPr>
        <w:t xml:space="preserve">ACMA </w:t>
      </w:r>
      <w:r>
        <w:rPr>
          <w:sz w:val="22"/>
          <w:szCs w:val="22"/>
        </w:rPr>
        <w:t>to extend the duration of a provisional authorisation if the publisher is unable to complete</w:t>
      </w:r>
      <w:r w:rsidRPr="003C71F0">
        <w:rPr>
          <w:sz w:val="22"/>
          <w:szCs w:val="22"/>
        </w:rPr>
        <w:t xml:space="preserve"> </w:t>
      </w:r>
      <w:r>
        <w:rPr>
          <w:sz w:val="22"/>
          <w:szCs w:val="22"/>
        </w:rPr>
        <w:t xml:space="preserve">a </w:t>
      </w:r>
      <w:r w:rsidRPr="003C71F0">
        <w:rPr>
          <w:sz w:val="22"/>
          <w:szCs w:val="22"/>
        </w:rPr>
        <w:t xml:space="preserve">sample </w:t>
      </w:r>
      <w:r>
        <w:rPr>
          <w:sz w:val="22"/>
          <w:szCs w:val="22"/>
        </w:rPr>
        <w:t>PND before the end of the authorisation for a reason beyond the publisher’s control (subsection (1))</w:t>
      </w:r>
      <w:r w:rsidRPr="003C71F0">
        <w:rPr>
          <w:sz w:val="22"/>
          <w:szCs w:val="22"/>
        </w:rPr>
        <w:t xml:space="preserve">. </w:t>
      </w:r>
    </w:p>
    <w:p w14:paraId="703AF12B" w14:textId="77777777" w:rsidR="00362B2C" w:rsidRPr="00095ADA" w:rsidRDefault="00362B2C" w:rsidP="00362B2C">
      <w:pPr>
        <w:spacing w:after="40"/>
        <w:contextualSpacing/>
        <w:rPr>
          <w:rFonts w:ascii="Times New Roman" w:hAnsi="Times New Roman" w:cs="Times New Roman"/>
        </w:rPr>
      </w:pPr>
      <w:r w:rsidRPr="00095ADA">
        <w:rPr>
          <w:rFonts w:ascii="Times New Roman" w:hAnsi="Times New Roman" w:cs="Times New Roman"/>
        </w:rPr>
        <w:t>Th</w:t>
      </w:r>
      <w:r>
        <w:rPr>
          <w:rFonts w:ascii="Times New Roman" w:hAnsi="Times New Roman" w:cs="Times New Roman"/>
        </w:rPr>
        <w:t>e</w:t>
      </w:r>
      <w:r w:rsidRPr="00095ADA">
        <w:rPr>
          <w:rFonts w:ascii="Times New Roman" w:hAnsi="Times New Roman" w:cs="Times New Roman"/>
        </w:rPr>
        <w:t xml:space="preserve"> section imposes the following application requirements:</w:t>
      </w:r>
    </w:p>
    <w:p w14:paraId="2042ED71" w14:textId="77777777" w:rsidR="00362B2C" w:rsidRDefault="00362B2C" w:rsidP="00362B2C">
      <w:pPr>
        <w:pStyle w:val="ListParagraph"/>
        <w:numPr>
          <w:ilvl w:val="0"/>
          <w:numId w:val="6"/>
        </w:numPr>
        <w:spacing w:afterLines="40" w:after="96"/>
        <w:ind w:left="714" w:hanging="357"/>
        <w:rPr>
          <w:rFonts w:ascii="Times New Roman" w:hAnsi="Times New Roman" w:cs="Times New Roman"/>
        </w:rPr>
      </w:pPr>
      <w:r>
        <w:rPr>
          <w:rFonts w:ascii="Times New Roman" w:hAnsi="Times New Roman" w:cs="Times New Roman"/>
        </w:rPr>
        <w:t>T</w:t>
      </w:r>
      <w:r w:rsidRPr="00095ADA">
        <w:rPr>
          <w:rFonts w:ascii="Times New Roman" w:hAnsi="Times New Roman" w:cs="Times New Roman"/>
        </w:rPr>
        <w:t>he application must be</w:t>
      </w:r>
      <w:r>
        <w:rPr>
          <w:rFonts w:ascii="Times New Roman" w:hAnsi="Times New Roman" w:cs="Times New Roman"/>
        </w:rPr>
        <w:t xml:space="preserve"> made before the provisional authorisation ends (paragraph (2)(a)).</w:t>
      </w:r>
    </w:p>
    <w:p w14:paraId="429BD467" w14:textId="77777777" w:rsidR="00362B2C" w:rsidRPr="009255DA" w:rsidRDefault="00362B2C" w:rsidP="00362B2C">
      <w:pPr>
        <w:pStyle w:val="ListParagraph"/>
        <w:numPr>
          <w:ilvl w:val="0"/>
          <w:numId w:val="6"/>
        </w:numPr>
        <w:ind w:left="714" w:hanging="357"/>
        <w:rPr>
          <w:rFonts w:ascii="Times New Roman" w:hAnsi="Times New Roman" w:cs="Times New Roman"/>
        </w:rPr>
      </w:pPr>
      <w:r>
        <w:rPr>
          <w:rFonts w:ascii="Times New Roman" w:hAnsi="Times New Roman" w:cs="Times New Roman"/>
        </w:rPr>
        <w:t>The application must be made using the</w:t>
      </w:r>
      <w:r w:rsidRPr="00095ADA">
        <w:rPr>
          <w:rFonts w:ascii="Times New Roman" w:hAnsi="Times New Roman" w:cs="Times New Roman"/>
        </w:rPr>
        <w:t xml:space="preserve"> form approved by the ACMA </w:t>
      </w:r>
      <w:r>
        <w:rPr>
          <w:rFonts w:ascii="Times New Roman" w:hAnsi="Times New Roman" w:cs="Times New Roman"/>
        </w:rPr>
        <w:t>which</w:t>
      </w:r>
      <w:r w:rsidRPr="00095ADA">
        <w:rPr>
          <w:rFonts w:ascii="Times New Roman" w:hAnsi="Times New Roman" w:cs="Times New Roman"/>
        </w:rPr>
        <w:t xml:space="preserve"> </w:t>
      </w:r>
      <w:r>
        <w:rPr>
          <w:rFonts w:ascii="Times New Roman" w:hAnsi="Times New Roman" w:cs="Times New Roman"/>
        </w:rPr>
        <w:t xml:space="preserve">is available on its website at </w:t>
      </w:r>
      <w:hyperlink r:id="rId10" w:history="1">
        <w:r w:rsidRPr="00AF16BD">
          <w:rPr>
            <w:rStyle w:val="Hyperlink"/>
            <w:rFonts w:ascii="Times New Roman" w:hAnsi="Times New Roman" w:cs="Times New Roman"/>
          </w:rPr>
          <w:t>www.acma.gov.au</w:t>
        </w:r>
      </w:hyperlink>
      <w:r>
        <w:rPr>
          <w:rFonts w:ascii="Times New Roman" w:hAnsi="Times New Roman" w:cs="Times New Roman"/>
        </w:rPr>
        <w:t xml:space="preserve"> (paragraph (2)(b)).</w:t>
      </w:r>
    </w:p>
    <w:p w14:paraId="6F3050C7" w14:textId="77777777" w:rsidR="00362B2C" w:rsidRDefault="00362B2C" w:rsidP="00362B2C">
      <w:pPr>
        <w:pStyle w:val="subsection"/>
        <w:spacing w:before="0" w:after="40" w:line="259" w:lineRule="auto"/>
        <w:ind w:left="0" w:firstLine="0"/>
        <w:contextualSpacing/>
      </w:pPr>
      <w:r>
        <w:t>The section provides that i</w:t>
      </w:r>
      <w:r w:rsidRPr="006249BF">
        <w:t>f</w:t>
      </w:r>
      <w:r>
        <w:t xml:space="preserve">: </w:t>
      </w:r>
    </w:p>
    <w:p w14:paraId="2B97C892" w14:textId="77777777" w:rsidR="00362B2C" w:rsidRDefault="00362B2C" w:rsidP="00362B2C">
      <w:pPr>
        <w:pStyle w:val="subsection"/>
        <w:numPr>
          <w:ilvl w:val="0"/>
          <w:numId w:val="28"/>
        </w:numPr>
        <w:spacing w:before="0" w:after="40" w:line="259" w:lineRule="auto"/>
        <w:contextualSpacing/>
      </w:pPr>
      <w:r w:rsidRPr="006249BF">
        <w:t>a public number directory publisher applies to the ACMA to extend the</w:t>
      </w:r>
      <w:r w:rsidRPr="00DA0789">
        <w:t xml:space="preserve"> duration</w:t>
      </w:r>
      <w:r>
        <w:t xml:space="preserve"> of a provisional authorisation;</w:t>
      </w:r>
      <w:r w:rsidRPr="00DA0789">
        <w:t xml:space="preserve"> and</w:t>
      </w:r>
      <w:r>
        <w:t xml:space="preserve"> </w:t>
      </w:r>
    </w:p>
    <w:p w14:paraId="78F660A1" w14:textId="77777777" w:rsidR="00362B2C" w:rsidRDefault="00362B2C" w:rsidP="00362B2C">
      <w:pPr>
        <w:pStyle w:val="subsection"/>
        <w:numPr>
          <w:ilvl w:val="0"/>
          <w:numId w:val="28"/>
        </w:numPr>
        <w:spacing w:before="0" w:after="40" w:line="259" w:lineRule="auto"/>
        <w:ind w:left="714" w:hanging="357"/>
      </w:pPr>
      <w:r>
        <w:t xml:space="preserve">immediately before the authorisation is due to end, </w:t>
      </w:r>
      <w:r w:rsidRPr="00DA0789">
        <w:t xml:space="preserve">the </w:t>
      </w:r>
      <w:r>
        <w:t>application is not withdrawn</w:t>
      </w:r>
      <w:r w:rsidRPr="00C40731">
        <w:t xml:space="preserve"> and</w:t>
      </w:r>
      <w:r>
        <w:t xml:space="preserve"> the </w:t>
      </w:r>
      <w:r w:rsidRPr="00DA0789">
        <w:t>ACMA has not made a decision whether to extend the duration</w:t>
      </w:r>
      <w:r>
        <w:t xml:space="preserve">; </w:t>
      </w:r>
    </w:p>
    <w:p w14:paraId="1EE5E74B" w14:textId="77777777" w:rsidR="00362B2C" w:rsidRDefault="00362B2C" w:rsidP="00362B2C">
      <w:pPr>
        <w:pStyle w:val="subsection"/>
        <w:spacing w:before="0" w:after="40" w:line="259" w:lineRule="auto"/>
        <w:ind w:left="0" w:firstLine="0"/>
      </w:pPr>
      <w:r w:rsidRPr="0099093D">
        <w:t xml:space="preserve">the duration is taken to be extended until: </w:t>
      </w:r>
    </w:p>
    <w:p w14:paraId="74E6E3D0" w14:textId="77777777" w:rsidR="00362B2C" w:rsidRDefault="00362B2C" w:rsidP="00362B2C">
      <w:pPr>
        <w:pStyle w:val="subsection"/>
        <w:numPr>
          <w:ilvl w:val="0"/>
          <w:numId w:val="27"/>
        </w:numPr>
        <w:spacing w:before="0" w:after="40" w:line="259" w:lineRule="auto"/>
        <w:ind w:left="714" w:hanging="357"/>
        <w:contextualSpacing/>
      </w:pPr>
      <w:r>
        <w:t>i</w:t>
      </w:r>
      <w:r w:rsidRPr="00DA0789">
        <w:t>f</w:t>
      </w:r>
      <w:r>
        <w:t xml:space="preserve"> the ACMA asks the publisher to give it further information about the application and the information is not received within 10 business days – the tenth business day; or</w:t>
      </w:r>
    </w:p>
    <w:p w14:paraId="58BE8BE9" w14:textId="77777777" w:rsidR="00362B2C" w:rsidRDefault="00362B2C" w:rsidP="00362B2C">
      <w:pPr>
        <w:pStyle w:val="subsection"/>
        <w:numPr>
          <w:ilvl w:val="0"/>
          <w:numId w:val="27"/>
        </w:numPr>
        <w:spacing w:before="0" w:after="160" w:line="259" w:lineRule="auto"/>
        <w:ind w:left="714" w:hanging="357"/>
      </w:pPr>
      <w:r w:rsidRPr="00DA0789">
        <w:lastRenderedPageBreak/>
        <w:t>the day on which the AC</w:t>
      </w:r>
      <w:r>
        <w:t>MA makes a decision whether to extend the duration (subsection (3))</w:t>
      </w:r>
      <w:r w:rsidRPr="00DA0789">
        <w:t>.</w:t>
      </w:r>
    </w:p>
    <w:p w14:paraId="210A5279" w14:textId="77777777" w:rsidR="00362B2C" w:rsidRPr="00597A15" w:rsidRDefault="00362B2C" w:rsidP="00362B2C">
      <w:pPr>
        <w:rPr>
          <w:rFonts w:ascii="Times New Roman" w:hAnsi="Times New Roman" w:cs="Times New Roman"/>
          <w:b/>
        </w:rPr>
      </w:pPr>
      <w:r>
        <w:rPr>
          <w:rFonts w:ascii="Times New Roman" w:hAnsi="Times New Roman" w:cs="Times New Roman"/>
          <w:b/>
        </w:rPr>
        <w:t>Section 3.</w:t>
      </w:r>
      <w:r w:rsidRPr="00597A15">
        <w:rPr>
          <w:rFonts w:ascii="Times New Roman" w:hAnsi="Times New Roman" w:cs="Times New Roman"/>
          <w:b/>
        </w:rPr>
        <w:t>7</w:t>
      </w:r>
      <w:r w:rsidRPr="00597A15">
        <w:rPr>
          <w:rFonts w:ascii="Times New Roman" w:hAnsi="Times New Roman" w:cs="Times New Roman"/>
          <w:b/>
        </w:rPr>
        <w:tab/>
        <w:t>Decision on application</w:t>
      </w:r>
    </w:p>
    <w:p w14:paraId="240AA3DB" w14:textId="77777777" w:rsidR="00362B2C" w:rsidRPr="006375B2" w:rsidRDefault="00362B2C" w:rsidP="00362B2C">
      <w:pPr>
        <w:pStyle w:val="FootnoteText"/>
        <w:spacing w:after="160" w:line="259" w:lineRule="auto"/>
        <w:rPr>
          <w:rFonts w:ascii="Times New Roman" w:hAnsi="Times New Roman"/>
          <w:sz w:val="22"/>
          <w:szCs w:val="22"/>
          <w:lang w:val="en-US"/>
        </w:rPr>
      </w:pPr>
      <w:r>
        <w:rPr>
          <w:rFonts w:ascii="Times New Roman" w:hAnsi="Times New Roman"/>
          <w:sz w:val="22"/>
          <w:szCs w:val="22"/>
        </w:rPr>
        <w:t>This section</w:t>
      </w:r>
      <w:r w:rsidRPr="00095ADA">
        <w:rPr>
          <w:rFonts w:ascii="Times New Roman" w:hAnsi="Times New Roman"/>
          <w:sz w:val="22"/>
          <w:szCs w:val="22"/>
        </w:rPr>
        <w:t xml:space="preserve"> enables the ACMA to </w:t>
      </w:r>
      <w:r>
        <w:rPr>
          <w:rFonts w:ascii="Times New Roman" w:hAnsi="Times New Roman"/>
          <w:sz w:val="22"/>
          <w:szCs w:val="22"/>
        </w:rPr>
        <w:t>ask an applicant</w:t>
      </w:r>
      <w:r w:rsidRPr="00095ADA">
        <w:rPr>
          <w:rFonts w:ascii="Times New Roman" w:hAnsi="Times New Roman"/>
          <w:sz w:val="22"/>
          <w:szCs w:val="22"/>
        </w:rPr>
        <w:t xml:space="preserve"> in writing</w:t>
      </w:r>
      <w:r>
        <w:rPr>
          <w:rFonts w:ascii="Times New Roman" w:hAnsi="Times New Roman"/>
          <w:sz w:val="22"/>
          <w:szCs w:val="22"/>
        </w:rPr>
        <w:t xml:space="preserve"> to</w:t>
      </w:r>
      <w:r w:rsidRPr="00095ADA">
        <w:rPr>
          <w:rFonts w:ascii="Times New Roman" w:hAnsi="Times New Roman"/>
          <w:sz w:val="22"/>
          <w:szCs w:val="22"/>
        </w:rPr>
        <w:t xml:space="preserve"> </w:t>
      </w:r>
      <w:r>
        <w:rPr>
          <w:rFonts w:ascii="Times New Roman" w:hAnsi="Times New Roman"/>
          <w:sz w:val="22"/>
          <w:szCs w:val="22"/>
        </w:rPr>
        <w:t>give it</w:t>
      </w:r>
      <w:r w:rsidRPr="00095ADA">
        <w:rPr>
          <w:rFonts w:ascii="Times New Roman" w:hAnsi="Times New Roman"/>
          <w:sz w:val="22"/>
          <w:szCs w:val="22"/>
        </w:rPr>
        <w:t xml:space="preserve"> further information about </w:t>
      </w:r>
      <w:r>
        <w:rPr>
          <w:rFonts w:ascii="Times New Roman" w:hAnsi="Times New Roman"/>
          <w:sz w:val="22"/>
          <w:szCs w:val="22"/>
        </w:rPr>
        <w:t>an</w:t>
      </w:r>
      <w:r w:rsidRPr="00095ADA">
        <w:rPr>
          <w:rFonts w:ascii="Times New Roman" w:hAnsi="Times New Roman"/>
          <w:sz w:val="22"/>
          <w:szCs w:val="22"/>
        </w:rPr>
        <w:t xml:space="preserve"> application</w:t>
      </w:r>
      <w:r>
        <w:rPr>
          <w:rFonts w:ascii="Times New Roman" w:hAnsi="Times New Roman"/>
          <w:sz w:val="22"/>
          <w:szCs w:val="22"/>
        </w:rPr>
        <w:t xml:space="preserve"> for an extension of the duration of a provisional authorisation (subsection (1)). The section requires the applicant to give the information to the ACMA within 10 business days and provides that the ACMA may treat the application as withdrawn if</w:t>
      </w:r>
      <w:r w:rsidRPr="00095ADA">
        <w:rPr>
          <w:rFonts w:ascii="Times New Roman" w:hAnsi="Times New Roman"/>
          <w:sz w:val="22"/>
          <w:szCs w:val="22"/>
        </w:rPr>
        <w:t xml:space="preserve"> </w:t>
      </w:r>
      <w:r>
        <w:rPr>
          <w:rFonts w:ascii="Times New Roman" w:hAnsi="Times New Roman"/>
          <w:sz w:val="22"/>
          <w:szCs w:val="22"/>
        </w:rPr>
        <w:t>the</w:t>
      </w:r>
      <w:r w:rsidRPr="00095ADA">
        <w:rPr>
          <w:rFonts w:ascii="Times New Roman" w:hAnsi="Times New Roman"/>
          <w:sz w:val="22"/>
          <w:szCs w:val="22"/>
        </w:rPr>
        <w:t xml:space="preserve"> information is not received within </w:t>
      </w:r>
      <w:r>
        <w:rPr>
          <w:rFonts w:ascii="Times New Roman" w:hAnsi="Times New Roman"/>
          <w:sz w:val="22"/>
          <w:szCs w:val="22"/>
        </w:rPr>
        <w:t>10 business</w:t>
      </w:r>
      <w:r w:rsidRPr="00095ADA">
        <w:rPr>
          <w:rFonts w:ascii="Times New Roman" w:hAnsi="Times New Roman"/>
          <w:sz w:val="22"/>
          <w:szCs w:val="22"/>
        </w:rPr>
        <w:t xml:space="preserve"> days</w:t>
      </w:r>
      <w:r>
        <w:rPr>
          <w:rFonts w:ascii="Times New Roman" w:hAnsi="Times New Roman"/>
          <w:sz w:val="22"/>
          <w:szCs w:val="22"/>
        </w:rPr>
        <w:t xml:space="preserve"> (subsections (2) and (3))</w:t>
      </w:r>
      <w:r w:rsidRPr="00095ADA">
        <w:rPr>
          <w:rFonts w:ascii="Times New Roman" w:hAnsi="Times New Roman"/>
          <w:sz w:val="22"/>
          <w:szCs w:val="22"/>
        </w:rPr>
        <w:t xml:space="preserve">. </w:t>
      </w:r>
    </w:p>
    <w:p w14:paraId="473CCF5E" w14:textId="77777777" w:rsidR="00362B2C" w:rsidRDefault="00362B2C" w:rsidP="00362B2C">
      <w:pPr>
        <w:pStyle w:val="FootnoteText"/>
        <w:spacing w:after="40" w:line="259" w:lineRule="auto"/>
        <w:rPr>
          <w:rFonts w:ascii="Times New Roman" w:hAnsi="Times New Roman"/>
          <w:sz w:val="22"/>
          <w:szCs w:val="22"/>
        </w:rPr>
      </w:pPr>
      <w:r w:rsidRPr="00095ADA">
        <w:rPr>
          <w:rFonts w:ascii="Times New Roman" w:hAnsi="Times New Roman"/>
          <w:sz w:val="22"/>
          <w:szCs w:val="22"/>
        </w:rPr>
        <w:t>Th</w:t>
      </w:r>
      <w:r>
        <w:rPr>
          <w:rFonts w:ascii="Times New Roman" w:hAnsi="Times New Roman"/>
          <w:sz w:val="22"/>
          <w:szCs w:val="22"/>
        </w:rPr>
        <w:t>e</w:t>
      </w:r>
      <w:r w:rsidRPr="00095ADA">
        <w:rPr>
          <w:rFonts w:ascii="Times New Roman" w:hAnsi="Times New Roman"/>
          <w:sz w:val="22"/>
          <w:szCs w:val="22"/>
        </w:rPr>
        <w:t xml:space="preserve"> </w:t>
      </w:r>
      <w:r>
        <w:rPr>
          <w:rFonts w:ascii="Times New Roman" w:hAnsi="Times New Roman"/>
          <w:sz w:val="22"/>
          <w:szCs w:val="22"/>
        </w:rPr>
        <w:t xml:space="preserve">section provides that the ACMA must, unless the application is withdrawn, decide whether to extend the duration of the provisional authorisation: </w:t>
      </w:r>
    </w:p>
    <w:p w14:paraId="02EC1594" w14:textId="77777777" w:rsidR="00362B2C" w:rsidRDefault="00362B2C" w:rsidP="00362B2C">
      <w:pPr>
        <w:pStyle w:val="FootnoteText"/>
        <w:numPr>
          <w:ilvl w:val="0"/>
          <w:numId w:val="34"/>
        </w:numPr>
        <w:spacing w:after="40" w:line="259" w:lineRule="auto"/>
        <w:ind w:left="714" w:hanging="357"/>
        <w:rPr>
          <w:rFonts w:ascii="Times New Roman" w:hAnsi="Times New Roman"/>
          <w:sz w:val="22"/>
          <w:szCs w:val="22"/>
        </w:rPr>
      </w:pPr>
      <w:r>
        <w:rPr>
          <w:rFonts w:ascii="Times New Roman" w:hAnsi="Times New Roman"/>
          <w:sz w:val="22"/>
          <w:szCs w:val="22"/>
        </w:rPr>
        <w:t xml:space="preserve">as soon as practicable after receiving the application; or </w:t>
      </w:r>
    </w:p>
    <w:p w14:paraId="36048CBB" w14:textId="77777777" w:rsidR="00362B2C" w:rsidRPr="00DC1A01" w:rsidRDefault="00362B2C" w:rsidP="00362B2C">
      <w:pPr>
        <w:pStyle w:val="FootnoteText"/>
        <w:numPr>
          <w:ilvl w:val="0"/>
          <w:numId w:val="34"/>
        </w:numPr>
        <w:spacing w:after="160" w:line="259" w:lineRule="auto"/>
        <w:rPr>
          <w:rFonts w:ascii="Times New Roman" w:hAnsi="Times New Roman"/>
          <w:sz w:val="22"/>
          <w:szCs w:val="22"/>
        </w:rPr>
      </w:pPr>
      <w:r>
        <w:rPr>
          <w:rFonts w:ascii="Times New Roman" w:hAnsi="Times New Roman"/>
          <w:sz w:val="22"/>
          <w:szCs w:val="22"/>
        </w:rPr>
        <w:t>if the ACMA has asked for further information –</w:t>
      </w:r>
      <w:r w:rsidRPr="00DC1A01">
        <w:rPr>
          <w:rFonts w:ascii="Times New Roman" w:hAnsi="Times New Roman"/>
          <w:sz w:val="22"/>
          <w:szCs w:val="22"/>
        </w:rPr>
        <w:t xml:space="preserve"> as soon as practicable after receiving the information (subsection (4)).  </w:t>
      </w:r>
    </w:p>
    <w:p w14:paraId="6797C417" w14:textId="77777777" w:rsidR="00362B2C" w:rsidRDefault="00362B2C" w:rsidP="00362B2C">
      <w:pPr>
        <w:pStyle w:val="ACMABodyText"/>
        <w:spacing w:before="0" w:after="160" w:line="259" w:lineRule="auto"/>
        <w:rPr>
          <w:sz w:val="22"/>
          <w:szCs w:val="22"/>
        </w:rPr>
      </w:pPr>
      <w:r>
        <w:rPr>
          <w:sz w:val="22"/>
          <w:szCs w:val="22"/>
        </w:rPr>
        <w:t xml:space="preserve">The section requires the </w:t>
      </w:r>
      <w:r w:rsidRPr="00820AEA">
        <w:rPr>
          <w:sz w:val="22"/>
          <w:szCs w:val="22"/>
        </w:rPr>
        <w:t xml:space="preserve">ACMA </w:t>
      </w:r>
      <w:r>
        <w:rPr>
          <w:sz w:val="22"/>
          <w:szCs w:val="22"/>
        </w:rPr>
        <w:t xml:space="preserve">to extend the duration of the provisional authorisation </w:t>
      </w:r>
      <w:r w:rsidRPr="00820AEA">
        <w:rPr>
          <w:sz w:val="22"/>
          <w:szCs w:val="22"/>
        </w:rPr>
        <w:t xml:space="preserve">if it is satisfied that the reason why </w:t>
      </w:r>
      <w:r>
        <w:rPr>
          <w:sz w:val="22"/>
          <w:szCs w:val="22"/>
        </w:rPr>
        <w:t>a</w:t>
      </w:r>
      <w:r w:rsidRPr="00820AEA">
        <w:rPr>
          <w:sz w:val="22"/>
          <w:szCs w:val="22"/>
        </w:rPr>
        <w:t xml:space="preserve"> sample PND </w:t>
      </w:r>
      <w:r>
        <w:rPr>
          <w:sz w:val="22"/>
          <w:szCs w:val="22"/>
        </w:rPr>
        <w:t>is unable to be</w:t>
      </w:r>
      <w:r w:rsidRPr="00820AEA">
        <w:rPr>
          <w:sz w:val="22"/>
          <w:szCs w:val="22"/>
        </w:rPr>
        <w:t xml:space="preserve"> completed </w:t>
      </w:r>
      <w:r>
        <w:rPr>
          <w:sz w:val="22"/>
          <w:szCs w:val="22"/>
        </w:rPr>
        <w:t xml:space="preserve">before the end of the authorisation </w:t>
      </w:r>
      <w:r w:rsidRPr="00820AEA">
        <w:rPr>
          <w:sz w:val="22"/>
          <w:szCs w:val="22"/>
        </w:rPr>
        <w:t>is beyond the</w:t>
      </w:r>
      <w:r>
        <w:rPr>
          <w:sz w:val="22"/>
          <w:szCs w:val="22"/>
        </w:rPr>
        <w:t xml:space="preserve"> public number directory </w:t>
      </w:r>
      <w:r w:rsidRPr="00820AEA">
        <w:rPr>
          <w:sz w:val="22"/>
          <w:szCs w:val="22"/>
        </w:rPr>
        <w:t>publisher’s control</w:t>
      </w:r>
      <w:r>
        <w:rPr>
          <w:sz w:val="22"/>
          <w:szCs w:val="22"/>
        </w:rPr>
        <w:t xml:space="preserve"> and that the publisher has complied, and is likely to continue to comply, with the relevant requirements (subsection (5))</w:t>
      </w:r>
      <w:r w:rsidRPr="00820AEA">
        <w:rPr>
          <w:sz w:val="22"/>
          <w:szCs w:val="22"/>
        </w:rPr>
        <w:t xml:space="preserve">. </w:t>
      </w:r>
    </w:p>
    <w:p w14:paraId="444A9540" w14:textId="77777777" w:rsidR="00362B2C" w:rsidRDefault="00362B2C" w:rsidP="00362B2C">
      <w:pPr>
        <w:pStyle w:val="ACMABodyText"/>
        <w:spacing w:before="0" w:after="160" w:line="259" w:lineRule="auto"/>
        <w:rPr>
          <w:sz w:val="22"/>
          <w:szCs w:val="22"/>
        </w:rPr>
      </w:pPr>
      <w:r>
        <w:rPr>
          <w:sz w:val="22"/>
          <w:szCs w:val="22"/>
        </w:rPr>
        <w:t>If the</w:t>
      </w:r>
      <w:r w:rsidRPr="00820AEA">
        <w:rPr>
          <w:sz w:val="22"/>
          <w:szCs w:val="22"/>
        </w:rPr>
        <w:t xml:space="preserve"> ACMA </w:t>
      </w:r>
      <w:r>
        <w:rPr>
          <w:sz w:val="22"/>
          <w:szCs w:val="22"/>
        </w:rPr>
        <w:t xml:space="preserve">extends the duration of the provisional authorisation, the section requires the ACMA to </w:t>
      </w:r>
      <w:r w:rsidRPr="00820AEA">
        <w:rPr>
          <w:sz w:val="22"/>
          <w:szCs w:val="22"/>
        </w:rPr>
        <w:t>de</w:t>
      </w:r>
      <w:r>
        <w:rPr>
          <w:sz w:val="22"/>
          <w:szCs w:val="22"/>
        </w:rPr>
        <w:t>cide</w:t>
      </w:r>
      <w:r w:rsidRPr="00820AEA">
        <w:rPr>
          <w:sz w:val="22"/>
          <w:szCs w:val="22"/>
        </w:rPr>
        <w:t xml:space="preserve"> the </w:t>
      </w:r>
      <w:r>
        <w:rPr>
          <w:sz w:val="22"/>
          <w:szCs w:val="22"/>
        </w:rPr>
        <w:t>period</w:t>
      </w:r>
      <w:r w:rsidRPr="00820AEA">
        <w:rPr>
          <w:sz w:val="22"/>
          <w:szCs w:val="22"/>
        </w:rPr>
        <w:t xml:space="preserve"> of the extension (</w:t>
      </w:r>
      <w:r>
        <w:rPr>
          <w:sz w:val="22"/>
          <w:szCs w:val="22"/>
        </w:rPr>
        <w:t xml:space="preserve">being a period of </w:t>
      </w:r>
      <w:r w:rsidRPr="00820AEA">
        <w:rPr>
          <w:sz w:val="22"/>
          <w:szCs w:val="22"/>
        </w:rPr>
        <w:t>not more than 90 days)</w:t>
      </w:r>
      <w:r>
        <w:rPr>
          <w:sz w:val="22"/>
          <w:szCs w:val="22"/>
        </w:rPr>
        <w:t xml:space="preserve"> (paragraph (6)(a))</w:t>
      </w:r>
      <w:r w:rsidRPr="00820AEA">
        <w:rPr>
          <w:sz w:val="22"/>
          <w:szCs w:val="22"/>
        </w:rPr>
        <w:t xml:space="preserve">. </w:t>
      </w:r>
    </w:p>
    <w:p w14:paraId="7C4C8B7E" w14:textId="77777777" w:rsidR="00362B2C" w:rsidRDefault="00362B2C" w:rsidP="00362B2C">
      <w:pPr>
        <w:pStyle w:val="ACMABodyText"/>
        <w:spacing w:before="0" w:after="160" w:line="259" w:lineRule="auto"/>
        <w:rPr>
          <w:sz w:val="22"/>
          <w:szCs w:val="22"/>
        </w:rPr>
      </w:pPr>
      <w:r>
        <w:rPr>
          <w:sz w:val="22"/>
          <w:szCs w:val="22"/>
        </w:rPr>
        <w:t xml:space="preserve">The section makes clear that the </w:t>
      </w:r>
      <w:r w:rsidRPr="00820AEA">
        <w:rPr>
          <w:sz w:val="22"/>
          <w:szCs w:val="22"/>
        </w:rPr>
        <w:t xml:space="preserve">ACMA is not </w:t>
      </w:r>
      <w:r>
        <w:rPr>
          <w:sz w:val="22"/>
          <w:szCs w:val="22"/>
        </w:rPr>
        <w:t>obliged to extend the duration for any period requested by the public number directory publisher (paragraph (6)(b)).</w:t>
      </w:r>
    </w:p>
    <w:p w14:paraId="1F905969" w14:textId="77777777" w:rsidR="00362B2C" w:rsidRDefault="00362B2C" w:rsidP="00362B2C">
      <w:pPr>
        <w:pStyle w:val="ACMABodyText"/>
        <w:spacing w:before="0" w:after="160" w:line="259" w:lineRule="auto"/>
        <w:rPr>
          <w:sz w:val="22"/>
          <w:szCs w:val="22"/>
        </w:rPr>
      </w:pPr>
      <w:r>
        <w:rPr>
          <w:sz w:val="22"/>
          <w:szCs w:val="22"/>
        </w:rPr>
        <w:t>The section</w:t>
      </w:r>
      <w:r w:rsidRPr="00095ADA">
        <w:rPr>
          <w:sz w:val="22"/>
          <w:szCs w:val="22"/>
        </w:rPr>
        <w:t xml:space="preserve"> </w:t>
      </w:r>
      <w:r>
        <w:rPr>
          <w:sz w:val="22"/>
          <w:szCs w:val="22"/>
        </w:rPr>
        <w:t>provides</w:t>
      </w:r>
      <w:r w:rsidRPr="00095ADA">
        <w:rPr>
          <w:sz w:val="22"/>
          <w:szCs w:val="22"/>
        </w:rPr>
        <w:t xml:space="preserve"> </w:t>
      </w:r>
      <w:r>
        <w:rPr>
          <w:sz w:val="22"/>
          <w:szCs w:val="22"/>
        </w:rPr>
        <w:t xml:space="preserve">that </w:t>
      </w:r>
      <w:r w:rsidRPr="00095ADA">
        <w:rPr>
          <w:sz w:val="22"/>
          <w:szCs w:val="22"/>
        </w:rPr>
        <w:t xml:space="preserve">the ACMA </w:t>
      </w:r>
      <w:r>
        <w:rPr>
          <w:sz w:val="22"/>
          <w:szCs w:val="22"/>
        </w:rPr>
        <w:t xml:space="preserve">must, </w:t>
      </w:r>
      <w:r w:rsidRPr="00095ADA">
        <w:rPr>
          <w:sz w:val="22"/>
          <w:szCs w:val="22"/>
        </w:rPr>
        <w:t>as soon</w:t>
      </w:r>
      <w:r>
        <w:rPr>
          <w:sz w:val="22"/>
          <w:szCs w:val="22"/>
        </w:rPr>
        <w:t xml:space="preserve"> as practicable after making its</w:t>
      </w:r>
      <w:r w:rsidRPr="00095ADA">
        <w:rPr>
          <w:sz w:val="22"/>
          <w:szCs w:val="22"/>
        </w:rPr>
        <w:t xml:space="preserve"> decision</w:t>
      </w:r>
      <w:r>
        <w:rPr>
          <w:sz w:val="22"/>
          <w:szCs w:val="22"/>
        </w:rPr>
        <w:t xml:space="preserve">, </w:t>
      </w:r>
      <w:r w:rsidRPr="00095ADA">
        <w:rPr>
          <w:sz w:val="22"/>
          <w:szCs w:val="22"/>
        </w:rPr>
        <w:t>notify the</w:t>
      </w:r>
      <w:r>
        <w:rPr>
          <w:sz w:val="22"/>
          <w:szCs w:val="22"/>
        </w:rPr>
        <w:t xml:space="preserve"> public number directory</w:t>
      </w:r>
      <w:r w:rsidRPr="00095ADA">
        <w:rPr>
          <w:sz w:val="22"/>
          <w:szCs w:val="22"/>
        </w:rPr>
        <w:t xml:space="preserve"> </w:t>
      </w:r>
      <w:r>
        <w:rPr>
          <w:sz w:val="22"/>
          <w:szCs w:val="22"/>
        </w:rPr>
        <w:t>publisher</w:t>
      </w:r>
      <w:r w:rsidRPr="00095ADA">
        <w:rPr>
          <w:sz w:val="22"/>
          <w:szCs w:val="22"/>
        </w:rPr>
        <w:t xml:space="preserve"> in writing of </w:t>
      </w:r>
      <w:r>
        <w:rPr>
          <w:sz w:val="22"/>
          <w:szCs w:val="22"/>
        </w:rPr>
        <w:t>the</w:t>
      </w:r>
      <w:r w:rsidRPr="00095ADA">
        <w:rPr>
          <w:sz w:val="22"/>
          <w:szCs w:val="22"/>
        </w:rPr>
        <w:t xml:space="preserve"> decision </w:t>
      </w:r>
      <w:r>
        <w:rPr>
          <w:sz w:val="22"/>
          <w:szCs w:val="22"/>
        </w:rPr>
        <w:t>and (for a refusal to extend the duration or a decision to extend the duration for a period other than a period requested by the publisher) the reasons for the decision (paragraph (7)(a))</w:t>
      </w:r>
      <w:r w:rsidRPr="00095ADA">
        <w:rPr>
          <w:sz w:val="22"/>
          <w:szCs w:val="22"/>
        </w:rPr>
        <w:t xml:space="preserve">. </w:t>
      </w:r>
    </w:p>
    <w:p w14:paraId="7FC2D5B3" w14:textId="77777777" w:rsidR="00362B2C" w:rsidRDefault="00362B2C" w:rsidP="00362B2C">
      <w:pPr>
        <w:pStyle w:val="FootnoteText"/>
        <w:spacing w:after="160" w:line="259" w:lineRule="auto"/>
        <w:rPr>
          <w:rFonts w:ascii="Times New Roman" w:hAnsi="Times New Roman"/>
          <w:sz w:val="22"/>
          <w:szCs w:val="22"/>
        </w:rPr>
      </w:pPr>
      <w:r>
        <w:rPr>
          <w:rFonts w:ascii="Times New Roman" w:hAnsi="Times New Roman"/>
          <w:sz w:val="22"/>
          <w:szCs w:val="22"/>
        </w:rPr>
        <w:t>The</w:t>
      </w:r>
      <w:r w:rsidRPr="00095ADA">
        <w:rPr>
          <w:rFonts w:ascii="Times New Roman" w:hAnsi="Times New Roman"/>
          <w:sz w:val="22"/>
          <w:szCs w:val="22"/>
        </w:rPr>
        <w:t xml:space="preserve"> </w:t>
      </w:r>
      <w:r>
        <w:rPr>
          <w:rFonts w:ascii="Times New Roman" w:hAnsi="Times New Roman"/>
          <w:sz w:val="22"/>
          <w:szCs w:val="22"/>
        </w:rPr>
        <w:t>section provides that for a decision to extend the duration,</w:t>
      </w:r>
      <w:r w:rsidRPr="00095ADA">
        <w:rPr>
          <w:rFonts w:ascii="Times New Roman" w:hAnsi="Times New Roman"/>
          <w:sz w:val="22"/>
          <w:szCs w:val="22"/>
        </w:rPr>
        <w:t xml:space="preserve"> </w:t>
      </w:r>
      <w:r>
        <w:rPr>
          <w:rFonts w:ascii="Times New Roman" w:hAnsi="Times New Roman"/>
          <w:sz w:val="22"/>
          <w:szCs w:val="22"/>
        </w:rPr>
        <w:t xml:space="preserve">the </w:t>
      </w:r>
      <w:r w:rsidRPr="00095ADA">
        <w:rPr>
          <w:rFonts w:ascii="Times New Roman" w:hAnsi="Times New Roman"/>
          <w:sz w:val="22"/>
          <w:szCs w:val="22"/>
        </w:rPr>
        <w:t xml:space="preserve">ACMA </w:t>
      </w:r>
      <w:r>
        <w:rPr>
          <w:rFonts w:ascii="Times New Roman" w:hAnsi="Times New Roman"/>
          <w:sz w:val="22"/>
          <w:szCs w:val="22"/>
        </w:rPr>
        <w:t xml:space="preserve">must also notify </w:t>
      </w:r>
      <w:r w:rsidRPr="00095ADA">
        <w:rPr>
          <w:rFonts w:ascii="Times New Roman" w:hAnsi="Times New Roman"/>
          <w:sz w:val="22"/>
          <w:szCs w:val="22"/>
        </w:rPr>
        <w:t>the IPND Manager</w:t>
      </w:r>
      <w:r>
        <w:rPr>
          <w:rFonts w:ascii="Times New Roman" w:hAnsi="Times New Roman"/>
          <w:sz w:val="22"/>
          <w:szCs w:val="22"/>
        </w:rPr>
        <w:t xml:space="preserve"> in writing of the decision as soon as practicable after making the decision </w:t>
      </w:r>
      <w:r w:rsidRPr="009255DA">
        <w:rPr>
          <w:rFonts w:ascii="Times New Roman" w:hAnsi="Times New Roman"/>
          <w:sz w:val="22"/>
          <w:szCs w:val="22"/>
        </w:rPr>
        <w:t>(paragraph (7)(b))</w:t>
      </w:r>
      <w:r w:rsidRPr="00095ADA">
        <w:rPr>
          <w:rFonts w:ascii="Times New Roman" w:hAnsi="Times New Roman"/>
          <w:sz w:val="22"/>
          <w:szCs w:val="22"/>
        </w:rPr>
        <w:t>.</w:t>
      </w:r>
      <w:r>
        <w:rPr>
          <w:rStyle w:val="FootnoteReference"/>
          <w:sz w:val="22"/>
          <w:szCs w:val="22"/>
        </w:rPr>
        <w:footnoteReference w:id="15"/>
      </w:r>
    </w:p>
    <w:p w14:paraId="708D3BF2" w14:textId="77777777" w:rsidR="00362B2C" w:rsidRPr="00FC4209" w:rsidRDefault="00362B2C" w:rsidP="00362B2C">
      <w:pPr>
        <w:pStyle w:val="ACMABodyText"/>
        <w:spacing w:before="0" w:after="160" w:line="259" w:lineRule="auto"/>
        <w:rPr>
          <w:b/>
          <w:sz w:val="22"/>
          <w:szCs w:val="22"/>
        </w:rPr>
      </w:pPr>
      <w:r w:rsidRPr="00FC4209">
        <w:rPr>
          <w:b/>
          <w:sz w:val="22"/>
          <w:szCs w:val="22"/>
        </w:rPr>
        <w:t xml:space="preserve">Section </w:t>
      </w:r>
      <w:r>
        <w:rPr>
          <w:b/>
          <w:sz w:val="22"/>
          <w:szCs w:val="22"/>
        </w:rPr>
        <w:t>3.</w:t>
      </w:r>
      <w:r w:rsidRPr="00FC4209">
        <w:rPr>
          <w:b/>
          <w:sz w:val="22"/>
          <w:szCs w:val="22"/>
        </w:rPr>
        <w:t>8</w:t>
      </w:r>
      <w:r w:rsidRPr="00FC4209">
        <w:rPr>
          <w:b/>
          <w:sz w:val="22"/>
          <w:szCs w:val="22"/>
        </w:rPr>
        <w:tab/>
        <w:t>Start of extended duration of provisional authorisation</w:t>
      </w:r>
    </w:p>
    <w:p w14:paraId="75419FEF" w14:textId="77777777" w:rsidR="00362B2C" w:rsidRDefault="00362B2C" w:rsidP="00362B2C">
      <w:pPr>
        <w:pStyle w:val="ACMABodyText"/>
        <w:spacing w:before="0" w:after="40" w:line="259" w:lineRule="auto"/>
        <w:contextualSpacing/>
        <w:rPr>
          <w:sz w:val="22"/>
          <w:szCs w:val="22"/>
        </w:rPr>
      </w:pPr>
      <w:r>
        <w:rPr>
          <w:sz w:val="22"/>
          <w:szCs w:val="22"/>
        </w:rPr>
        <w:lastRenderedPageBreak/>
        <w:t xml:space="preserve">This section provides that an extension of the duration of a provisional authorisation starts on the later of: </w:t>
      </w:r>
    </w:p>
    <w:p w14:paraId="71A178C0" w14:textId="77777777" w:rsidR="00362B2C" w:rsidRDefault="00362B2C" w:rsidP="00362B2C">
      <w:pPr>
        <w:pStyle w:val="ACMABodyText"/>
        <w:numPr>
          <w:ilvl w:val="0"/>
          <w:numId w:val="29"/>
        </w:numPr>
        <w:spacing w:before="0" w:after="160" w:line="259" w:lineRule="auto"/>
        <w:contextualSpacing/>
        <w:rPr>
          <w:sz w:val="22"/>
          <w:szCs w:val="22"/>
        </w:rPr>
      </w:pPr>
      <w:r>
        <w:rPr>
          <w:sz w:val="22"/>
          <w:szCs w:val="22"/>
        </w:rPr>
        <w:t xml:space="preserve">the day after the day on which the ACMA makes the decision to extend the duration; and </w:t>
      </w:r>
    </w:p>
    <w:p w14:paraId="5AA2515D" w14:textId="77777777" w:rsidR="00362B2C" w:rsidRDefault="00362B2C" w:rsidP="00362B2C">
      <w:pPr>
        <w:pStyle w:val="ACMABodyText"/>
        <w:numPr>
          <w:ilvl w:val="0"/>
          <w:numId w:val="29"/>
        </w:numPr>
        <w:spacing w:before="0" w:after="160" w:line="259" w:lineRule="auto"/>
        <w:ind w:left="714" w:hanging="357"/>
        <w:rPr>
          <w:sz w:val="22"/>
          <w:szCs w:val="22"/>
        </w:rPr>
      </w:pPr>
      <w:r>
        <w:rPr>
          <w:sz w:val="22"/>
          <w:szCs w:val="22"/>
        </w:rPr>
        <w:t>the day after the day on which the authorisation would have ended if there had been no extension.</w:t>
      </w:r>
    </w:p>
    <w:p w14:paraId="2018411E" w14:textId="77777777" w:rsidR="00362B2C" w:rsidRDefault="00362B2C" w:rsidP="00362B2C">
      <w:pPr>
        <w:pStyle w:val="ACMABodyText"/>
        <w:spacing w:before="0" w:after="160" w:line="259" w:lineRule="auto"/>
        <w:rPr>
          <w:b/>
          <w:sz w:val="22"/>
          <w:szCs w:val="22"/>
        </w:rPr>
      </w:pPr>
      <w:r>
        <w:rPr>
          <w:b/>
          <w:sz w:val="22"/>
          <w:szCs w:val="22"/>
        </w:rPr>
        <w:t>Division 3</w:t>
      </w:r>
      <w:r>
        <w:rPr>
          <w:b/>
          <w:sz w:val="22"/>
          <w:szCs w:val="22"/>
        </w:rPr>
        <w:tab/>
        <w:t>Final authorisation</w:t>
      </w:r>
    </w:p>
    <w:p w14:paraId="5D86D7B1" w14:textId="77777777" w:rsidR="00362B2C" w:rsidRDefault="00362B2C" w:rsidP="00362B2C">
      <w:pPr>
        <w:pStyle w:val="ACMABodyText"/>
        <w:spacing w:before="0" w:after="160" w:line="259" w:lineRule="auto"/>
        <w:rPr>
          <w:b/>
          <w:sz w:val="22"/>
          <w:szCs w:val="22"/>
        </w:rPr>
      </w:pPr>
      <w:r>
        <w:rPr>
          <w:b/>
          <w:sz w:val="22"/>
          <w:szCs w:val="22"/>
        </w:rPr>
        <w:t xml:space="preserve">Subdivision </w:t>
      </w:r>
      <w:proofErr w:type="spellStart"/>
      <w:r>
        <w:rPr>
          <w:b/>
          <w:sz w:val="22"/>
          <w:szCs w:val="22"/>
        </w:rPr>
        <w:t>A</w:t>
      </w:r>
      <w:proofErr w:type="spellEnd"/>
      <w:r>
        <w:rPr>
          <w:b/>
          <w:sz w:val="22"/>
          <w:szCs w:val="22"/>
        </w:rPr>
        <w:tab/>
        <w:t>Application for final authorisation</w:t>
      </w:r>
    </w:p>
    <w:p w14:paraId="190D7932" w14:textId="77777777" w:rsidR="00362B2C" w:rsidRPr="005048B6" w:rsidRDefault="00362B2C" w:rsidP="00362B2C">
      <w:pPr>
        <w:pStyle w:val="ACMABodyText"/>
        <w:spacing w:before="0" w:after="160" w:line="259" w:lineRule="auto"/>
        <w:rPr>
          <w:b/>
          <w:sz w:val="22"/>
          <w:szCs w:val="22"/>
        </w:rPr>
      </w:pPr>
      <w:r w:rsidRPr="005048B6">
        <w:rPr>
          <w:b/>
          <w:sz w:val="22"/>
          <w:szCs w:val="22"/>
        </w:rPr>
        <w:t xml:space="preserve">Section </w:t>
      </w:r>
      <w:r>
        <w:rPr>
          <w:b/>
          <w:sz w:val="22"/>
          <w:szCs w:val="22"/>
        </w:rPr>
        <w:t>3.</w:t>
      </w:r>
      <w:r w:rsidRPr="005048B6">
        <w:rPr>
          <w:b/>
          <w:sz w:val="22"/>
          <w:szCs w:val="22"/>
        </w:rPr>
        <w:t>9</w:t>
      </w:r>
      <w:r w:rsidRPr="005048B6">
        <w:rPr>
          <w:b/>
          <w:sz w:val="22"/>
          <w:szCs w:val="22"/>
        </w:rPr>
        <w:tab/>
        <w:t>Making an application</w:t>
      </w:r>
    </w:p>
    <w:p w14:paraId="34EF291D" w14:textId="77777777" w:rsidR="00362B2C" w:rsidRDefault="00362B2C" w:rsidP="00362B2C">
      <w:pPr>
        <w:rPr>
          <w:rFonts w:ascii="Times New Roman" w:hAnsi="Times New Roman" w:cs="Times New Roman"/>
        </w:rPr>
      </w:pPr>
      <w:r w:rsidRPr="00095ADA">
        <w:rPr>
          <w:rFonts w:ascii="Times New Roman" w:hAnsi="Times New Roman" w:cs="Times New Roman"/>
        </w:rPr>
        <w:t>This section sets out the</w:t>
      </w:r>
      <w:r>
        <w:rPr>
          <w:rFonts w:ascii="Times New Roman" w:hAnsi="Times New Roman" w:cs="Times New Roman"/>
        </w:rPr>
        <w:t xml:space="preserve"> process for making an</w:t>
      </w:r>
      <w:r w:rsidRPr="00095ADA">
        <w:rPr>
          <w:rFonts w:ascii="Times New Roman" w:hAnsi="Times New Roman" w:cs="Times New Roman"/>
        </w:rPr>
        <w:t xml:space="preserve"> application for </w:t>
      </w:r>
      <w:r>
        <w:rPr>
          <w:rFonts w:ascii="Times New Roman" w:hAnsi="Times New Roman" w:cs="Times New Roman"/>
        </w:rPr>
        <w:t xml:space="preserve">the grant of a final authorisation. </w:t>
      </w:r>
    </w:p>
    <w:p w14:paraId="56090EFB" w14:textId="77777777" w:rsidR="00362B2C" w:rsidRPr="00095ADA" w:rsidRDefault="00362B2C" w:rsidP="00362B2C">
      <w:pPr>
        <w:spacing w:after="40"/>
        <w:rPr>
          <w:rFonts w:ascii="Times New Roman" w:hAnsi="Times New Roman" w:cs="Times New Roman"/>
        </w:rPr>
      </w:pPr>
      <w:r w:rsidRPr="00095ADA">
        <w:rPr>
          <w:rFonts w:ascii="Times New Roman" w:hAnsi="Times New Roman" w:cs="Times New Roman"/>
        </w:rPr>
        <w:t>Th</w:t>
      </w:r>
      <w:r>
        <w:rPr>
          <w:rFonts w:ascii="Times New Roman" w:hAnsi="Times New Roman" w:cs="Times New Roman"/>
        </w:rPr>
        <w:t>e</w:t>
      </w:r>
      <w:r w:rsidRPr="00095ADA">
        <w:rPr>
          <w:rFonts w:ascii="Times New Roman" w:hAnsi="Times New Roman" w:cs="Times New Roman"/>
        </w:rPr>
        <w:t xml:space="preserve"> section imposes the following application requirements:</w:t>
      </w:r>
    </w:p>
    <w:p w14:paraId="34909E08" w14:textId="77777777" w:rsidR="00362B2C" w:rsidRDefault="00362B2C" w:rsidP="00362B2C">
      <w:pPr>
        <w:pStyle w:val="ListParagraph"/>
        <w:numPr>
          <w:ilvl w:val="0"/>
          <w:numId w:val="6"/>
        </w:numPr>
        <w:rPr>
          <w:rFonts w:ascii="Times New Roman" w:hAnsi="Times New Roman" w:cs="Times New Roman"/>
        </w:rPr>
      </w:pPr>
      <w:r>
        <w:rPr>
          <w:rFonts w:ascii="Times New Roman" w:hAnsi="Times New Roman" w:cs="Times New Roman"/>
        </w:rPr>
        <w:t>The application may be made by a public number directory publisher that has only been granted a provisional authorisation and wishes to continue to use and disclose customer data to publish and maintain a PND (subsection (1)).</w:t>
      </w:r>
    </w:p>
    <w:p w14:paraId="2B0B737F" w14:textId="77777777" w:rsidR="00362B2C" w:rsidRPr="00095ADA" w:rsidRDefault="00362B2C" w:rsidP="00362B2C">
      <w:pPr>
        <w:pStyle w:val="ListParagraph"/>
        <w:numPr>
          <w:ilvl w:val="0"/>
          <w:numId w:val="6"/>
        </w:numPr>
        <w:rPr>
          <w:rFonts w:ascii="Times New Roman" w:hAnsi="Times New Roman" w:cs="Times New Roman"/>
        </w:rPr>
      </w:pPr>
      <w:r>
        <w:rPr>
          <w:rFonts w:ascii="Times New Roman" w:hAnsi="Times New Roman" w:cs="Times New Roman"/>
        </w:rPr>
        <w:t>T</w:t>
      </w:r>
      <w:r w:rsidRPr="00095ADA">
        <w:rPr>
          <w:rFonts w:ascii="Times New Roman" w:hAnsi="Times New Roman" w:cs="Times New Roman"/>
        </w:rPr>
        <w:t>he application must be</w:t>
      </w:r>
      <w:r>
        <w:rPr>
          <w:rFonts w:ascii="Times New Roman" w:hAnsi="Times New Roman" w:cs="Times New Roman"/>
        </w:rPr>
        <w:t xml:space="preserve"> made before the provisional authorisation ends and by giving the ACMA access to the sample PND developed by the publisher (subsection (2)).</w:t>
      </w:r>
    </w:p>
    <w:p w14:paraId="715A99C3" w14:textId="77777777" w:rsidR="00362B2C" w:rsidRPr="006B75CE" w:rsidRDefault="00362B2C" w:rsidP="00362B2C">
      <w:pPr>
        <w:pStyle w:val="ACMABodyText"/>
        <w:spacing w:before="0" w:after="40" w:line="259" w:lineRule="auto"/>
        <w:contextualSpacing/>
        <w:rPr>
          <w:szCs w:val="22"/>
        </w:rPr>
      </w:pPr>
      <w:r w:rsidRPr="009255DA">
        <w:rPr>
          <w:sz w:val="22"/>
          <w:szCs w:val="22"/>
        </w:rPr>
        <w:t>The section provides that if:</w:t>
      </w:r>
    </w:p>
    <w:p w14:paraId="3BC9CABF" w14:textId="77777777" w:rsidR="00362B2C" w:rsidRDefault="00362B2C" w:rsidP="00362B2C">
      <w:pPr>
        <w:pStyle w:val="subsection"/>
        <w:numPr>
          <w:ilvl w:val="0"/>
          <w:numId w:val="28"/>
        </w:numPr>
        <w:spacing w:before="0" w:after="40" w:line="259" w:lineRule="auto"/>
        <w:contextualSpacing/>
      </w:pPr>
      <w:r w:rsidRPr="006249BF">
        <w:t xml:space="preserve">a public number directory publisher applies to the ACMA </w:t>
      </w:r>
      <w:r>
        <w:t>for the grant of a final authorisation;</w:t>
      </w:r>
      <w:r w:rsidRPr="00DA0789">
        <w:t xml:space="preserve"> and</w:t>
      </w:r>
      <w:r>
        <w:t xml:space="preserve"> </w:t>
      </w:r>
    </w:p>
    <w:p w14:paraId="4773D36F" w14:textId="77777777" w:rsidR="00362B2C" w:rsidRDefault="00362B2C" w:rsidP="00362B2C">
      <w:pPr>
        <w:pStyle w:val="subsection"/>
        <w:numPr>
          <w:ilvl w:val="0"/>
          <w:numId w:val="28"/>
        </w:numPr>
        <w:spacing w:before="0" w:after="40" w:line="259" w:lineRule="auto"/>
        <w:ind w:left="714" w:hanging="357"/>
      </w:pPr>
      <w:r>
        <w:t xml:space="preserve">immediately before the provisional authorisation is due to end, </w:t>
      </w:r>
      <w:r w:rsidRPr="00DA0789">
        <w:t xml:space="preserve">the </w:t>
      </w:r>
      <w:r>
        <w:t>application is not withdrawn</w:t>
      </w:r>
      <w:r w:rsidRPr="00C40731">
        <w:t xml:space="preserve"> and</w:t>
      </w:r>
      <w:r>
        <w:t xml:space="preserve"> the </w:t>
      </w:r>
      <w:r w:rsidRPr="00DA0789">
        <w:t xml:space="preserve">ACMA has not made a decision whether to </w:t>
      </w:r>
      <w:r>
        <w:t xml:space="preserve">grant a final authorisation; </w:t>
      </w:r>
    </w:p>
    <w:p w14:paraId="41831F31" w14:textId="77777777" w:rsidR="00362B2C" w:rsidRDefault="00362B2C" w:rsidP="00362B2C">
      <w:pPr>
        <w:pStyle w:val="subsection"/>
        <w:spacing w:before="0" w:after="40" w:line="259" w:lineRule="auto"/>
        <w:ind w:left="0" w:firstLine="0"/>
      </w:pPr>
      <w:r w:rsidRPr="0099093D">
        <w:t>the duration</w:t>
      </w:r>
      <w:r>
        <w:t xml:space="preserve"> of the provisional authorisation</w:t>
      </w:r>
      <w:r w:rsidRPr="0099093D">
        <w:t xml:space="preserve"> is taken to be extended until: </w:t>
      </w:r>
    </w:p>
    <w:p w14:paraId="5E507AC8" w14:textId="77777777" w:rsidR="00362B2C" w:rsidRDefault="00362B2C" w:rsidP="00362B2C">
      <w:pPr>
        <w:pStyle w:val="subsection"/>
        <w:numPr>
          <w:ilvl w:val="0"/>
          <w:numId w:val="27"/>
        </w:numPr>
        <w:spacing w:before="0" w:after="40" w:line="259" w:lineRule="auto"/>
        <w:ind w:left="714" w:hanging="357"/>
        <w:contextualSpacing/>
      </w:pPr>
      <w:r>
        <w:t>i</w:t>
      </w:r>
      <w:r w:rsidRPr="00DA0789">
        <w:t>f</w:t>
      </w:r>
      <w:r>
        <w:t xml:space="preserve"> the ACMA asks the publisher to give it further information about the application and the information is not received within 10 business days – the tenth business day; or</w:t>
      </w:r>
    </w:p>
    <w:p w14:paraId="50833EA5" w14:textId="77777777" w:rsidR="00362B2C" w:rsidRDefault="00362B2C" w:rsidP="00362B2C">
      <w:pPr>
        <w:pStyle w:val="subsection"/>
        <w:numPr>
          <w:ilvl w:val="0"/>
          <w:numId w:val="27"/>
        </w:numPr>
        <w:spacing w:before="0" w:after="160" w:line="259" w:lineRule="auto"/>
        <w:ind w:left="714" w:hanging="357"/>
      </w:pPr>
      <w:r w:rsidRPr="00DA0789">
        <w:t>the day on which the AC</w:t>
      </w:r>
      <w:r>
        <w:t>MA makes a decision whether to grant a final authorisation (subsection (3))</w:t>
      </w:r>
      <w:r w:rsidRPr="00DA0789">
        <w:t>.</w:t>
      </w:r>
    </w:p>
    <w:p w14:paraId="560720AC" w14:textId="77777777" w:rsidR="00362B2C" w:rsidRPr="003E1262" w:rsidRDefault="00362B2C" w:rsidP="00362B2C">
      <w:pPr>
        <w:pStyle w:val="ACMABodyText"/>
        <w:spacing w:before="0" w:after="160" w:line="259" w:lineRule="auto"/>
        <w:rPr>
          <w:b/>
          <w:sz w:val="22"/>
          <w:szCs w:val="22"/>
        </w:rPr>
      </w:pPr>
      <w:r w:rsidRPr="003E1262">
        <w:rPr>
          <w:b/>
          <w:sz w:val="22"/>
          <w:szCs w:val="22"/>
        </w:rPr>
        <w:t xml:space="preserve">Section </w:t>
      </w:r>
      <w:r>
        <w:rPr>
          <w:b/>
          <w:sz w:val="22"/>
          <w:szCs w:val="22"/>
        </w:rPr>
        <w:t>3.</w:t>
      </w:r>
      <w:r w:rsidRPr="003E1262">
        <w:rPr>
          <w:b/>
          <w:sz w:val="22"/>
          <w:szCs w:val="22"/>
        </w:rPr>
        <w:t>10</w:t>
      </w:r>
      <w:r w:rsidRPr="003E1262">
        <w:rPr>
          <w:b/>
          <w:sz w:val="22"/>
          <w:szCs w:val="22"/>
        </w:rPr>
        <w:tab/>
        <w:t>Decision on application</w:t>
      </w:r>
    </w:p>
    <w:p w14:paraId="6A7D536E" w14:textId="77777777" w:rsidR="00362B2C" w:rsidRPr="00584FB0" w:rsidRDefault="00362B2C" w:rsidP="00362B2C">
      <w:pPr>
        <w:pStyle w:val="FootnoteText"/>
        <w:spacing w:after="160" w:line="259" w:lineRule="auto"/>
        <w:rPr>
          <w:rFonts w:ascii="Times New Roman" w:hAnsi="Times New Roman"/>
          <w:sz w:val="22"/>
          <w:szCs w:val="22"/>
          <w:lang w:val="en-US"/>
        </w:rPr>
      </w:pPr>
      <w:r w:rsidRPr="00EB7A28">
        <w:rPr>
          <w:rFonts w:ascii="Times New Roman" w:hAnsi="Times New Roman"/>
          <w:sz w:val="22"/>
          <w:szCs w:val="22"/>
        </w:rPr>
        <w:t xml:space="preserve">This section enables the ACMA to </w:t>
      </w:r>
      <w:r>
        <w:rPr>
          <w:rFonts w:ascii="Times New Roman" w:hAnsi="Times New Roman"/>
          <w:sz w:val="22"/>
          <w:szCs w:val="22"/>
        </w:rPr>
        <w:t>ask public number directory publisher</w:t>
      </w:r>
      <w:r w:rsidRPr="00EB7A28">
        <w:rPr>
          <w:rFonts w:ascii="Times New Roman" w:hAnsi="Times New Roman"/>
          <w:sz w:val="22"/>
          <w:szCs w:val="22"/>
        </w:rPr>
        <w:t xml:space="preserve"> in writing</w:t>
      </w:r>
      <w:r>
        <w:rPr>
          <w:rFonts w:ascii="Times New Roman" w:hAnsi="Times New Roman"/>
          <w:sz w:val="22"/>
          <w:szCs w:val="22"/>
        </w:rPr>
        <w:t xml:space="preserve"> to</w:t>
      </w:r>
      <w:r w:rsidRPr="00EB7A28">
        <w:rPr>
          <w:rFonts w:ascii="Times New Roman" w:hAnsi="Times New Roman"/>
          <w:sz w:val="22"/>
          <w:szCs w:val="22"/>
        </w:rPr>
        <w:t xml:space="preserve"> give it</w:t>
      </w:r>
      <w:r w:rsidRPr="00F047BC">
        <w:rPr>
          <w:rFonts w:ascii="Times New Roman" w:hAnsi="Times New Roman"/>
          <w:sz w:val="22"/>
          <w:szCs w:val="22"/>
        </w:rPr>
        <w:t xml:space="preserve"> further information about an</w:t>
      </w:r>
      <w:r w:rsidRPr="00584FB0">
        <w:rPr>
          <w:rFonts w:ascii="Times New Roman" w:hAnsi="Times New Roman"/>
          <w:sz w:val="22"/>
          <w:szCs w:val="22"/>
        </w:rPr>
        <w:t xml:space="preserve"> application for a </w:t>
      </w:r>
      <w:r w:rsidRPr="009255DA">
        <w:rPr>
          <w:rFonts w:ascii="Times New Roman" w:hAnsi="Times New Roman"/>
          <w:sz w:val="22"/>
          <w:szCs w:val="22"/>
        </w:rPr>
        <w:t>final</w:t>
      </w:r>
      <w:r w:rsidRPr="00EB7A28">
        <w:rPr>
          <w:rFonts w:ascii="Times New Roman" w:hAnsi="Times New Roman"/>
          <w:sz w:val="22"/>
          <w:szCs w:val="22"/>
        </w:rPr>
        <w:t xml:space="preserve"> authorisation</w:t>
      </w:r>
      <w:r>
        <w:rPr>
          <w:rFonts w:ascii="Times New Roman" w:hAnsi="Times New Roman"/>
          <w:sz w:val="22"/>
          <w:szCs w:val="22"/>
        </w:rPr>
        <w:t xml:space="preserve"> (subsection (1))</w:t>
      </w:r>
      <w:r w:rsidRPr="00EB7A28">
        <w:rPr>
          <w:rFonts w:ascii="Times New Roman" w:hAnsi="Times New Roman"/>
          <w:sz w:val="22"/>
          <w:szCs w:val="22"/>
        </w:rPr>
        <w:t xml:space="preserve">. The section requires the </w:t>
      </w:r>
      <w:r>
        <w:rPr>
          <w:rFonts w:ascii="Times New Roman" w:hAnsi="Times New Roman"/>
          <w:sz w:val="22"/>
          <w:szCs w:val="22"/>
        </w:rPr>
        <w:t>public number directory publisher</w:t>
      </w:r>
      <w:r w:rsidRPr="00EB7A28">
        <w:rPr>
          <w:rFonts w:ascii="Times New Roman" w:hAnsi="Times New Roman"/>
          <w:sz w:val="22"/>
          <w:szCs w:val="22"/>
        </w:rPr>
        <w:t xml:space="preserve"> to give the information to the </w:t>
      </w:r>
      <w:r w:rsidRPr="00EB7A28">
        <w:rPr>
          <w:rFonts w:ascii="Times New Roman" w:hAnsi="Times New Roman"/>
          <w:sz w:val="22"/>
          <w:szCs w:val="22"/>
        </w:rPr>
        <w:lastRenderedPageBreak/>
        <w:t>ACMA within 10 business days and provides that the ACMA may treat the application as withdrawn if</w:t>
      </w:r>
      <w:r w:rsidRPr="00584FB0">
        <w:rPr>
          <w:rFonts w:ascii="Times New Roman" w:hAnsi="Times New Roman"/>
          <w:sz w:val="22"/>
          <w:szCs w:val="22"/>
        </w:rPr>
        <w:t xml:space="preserve"> the information is not received within 10 business days</w:t>
      </w:r>
      <w:r>
        <w:rPr>
          <w:rFonts w:ascii="Times New Roman" w:hAnsi="Times New Roman"/>
          <w:sz w:val="22"/>
          <w:szCs w:val="22"/>
        </w:rPr>
        <w:t xml:space="preserve"> (subsections (2) and (3))</w:t>
      </w:r>
      <w:r w:rsidRPr="00584FB0">
        <w:rPr>
          <w:rFonts w:ascii="Times New Roman" w:hAnsi="Times New Roman"/>
          <w:sz w:val="22"/>
          <w:szCs w:val="22"/>
        </w:rPr>
        <w:t xml:space="preserve">. </w:t>
      </w:r>
    </w:p>
    <w:p w14:paraId="64F680D8" w14:textId="77777777" w:rsidR="00362B2C" w:rsidRDefault="00362B2C" w:rsidP="00362B2C">
      <w:pPr>
        <w:pStyle w:val="FootnoteText"/>
        <w:spacing w:after="40" w:line="259" w:lineRule="auto"/>
        <w:rPr>
          <w:rFonts w:ascii="Times New Roman" w:hAnsi="Times New Roman"/>
          <w:sz w:val="22"/>
          <w:szCs w:val="22"/>
        </w:rPr>
      </w:pPr>
      <w:r w:rsidRPr="00584FB0">
        <w:rPr>
          <w:rFonts w:ascii="Times New Roman" w:hAnsi="Times New Roman"/>
          <w:sz w:val="22"/>
          <w:szCs w:val="22"/>
        </w:rPr>
        <w:t xml:space="preserve">The section provides that the ACMA must, unless the application is withdrawn, decide whether to </w:t>
      </w:r>
      <w:r w:rsidRPr="009255DA">
        <w:rPr>
          <w:rFonts w:ascii="Times New Roman" w:hAnsi="Times New Roman"/>
          <w:sz w:val="22"/>
          <w:szCs w:val="22"/>
        </w:rPr>
        <w:t>grant a</w:t>
      </w:r>
      <w:r w:rsidRPr="00EB7A28">
        <w:rPr>
          <w:rFonts w:ascii="Times New Roman" w:hAnsi="Times New Roman"/>
          <w:sz w:val="22"/>
          <w:szCs w:val="22"/>
        </w:rPr>
        <w:t xml:space="preserve"> </w:t>
      </w:r>
      <w:r>
        <w:rPr>
          <w:rFonts w:ascii="Times New Roman" w:hAnsi="Times New Roman"/>
          <w:sz w:val="22"/>
          <w:szCs w:val="22"/>
        </w:rPr>
        <w:t>fina</w:t>
      </w:r>
      <w:r w:rsidRPr="00EB7A28">
        <w:rPr>
          <w:rFonts w:ascii="Times New Roman" w:hAnsi="Times New Roman"/>
          <w:sz w:val="22"/>
          <w:szCs w:val="22"/>
        </w:rPr>
        <w:t>l authorisation</w:t>
      </w:r>
      <w:r>
        <w:rPr>
          <w:rFonts w:ascii="Times New Roman" w:hAnsi="Times New Roman"/>
          <w:sz w:val="22"/>
          <w:szCs w:val="22"/>
        </w:rPr>
        <w:t>:</w:t>
      </w:r>
      <w:r w:rsidRPr="00EB7A28">
        <w:rPr>
          <w:rFonts w:ascii="Times New Roman" w:hAnsi="Times New Roman"/>
          <w:sz w:val="22"/>
          <w:szCs w:val="22"/>
        </w:rPr>
        <w:t xml:space="preserve"> </w:t>
      </w:r>
    </w:p>
    <w:p w14:paraId="5FB9CF29" w14:textId="77777777" w:rsidR="00362B2C" w:rsidRDefault="00362B2C" w:rsidP="00362B2C">
      <w:pPr>
        <w:pStyle w:val="FootnoteText"/>
        <w:numPr>
          <w:ilvl w:val="0"/>
          <w:numId w:val="35"/>
        </w:numPr>
        <w:spacing w:after="40" w:line="259" w:lineRule="auto"/>
        <w:ind w:left="714" w:hanging="357"/>
        <w:contextualSpacing/>
        <w:rPr>
          <w:rFonts w:ascii="Times New Roman" w:hAnsi="Times New Roman"/>
          <w:sz w:val="22"/>
          <w:szCs w:val="22"/>
        </w:rPr>
      </w:pPr>
      <w:r w:rsidRPr="00EB7A28">
        <w:rPr>
          <w:rFonts w:ascii="Times New Roman" w:hAnsi="Times New Roman"/>
          <w:sz w:val="22"/>
          <w:szCs w:val="22"/>
        </w:rPr>
        <w:t>as soon as practicable after receiving the application</w:t>
      </w:r>
      <w:r>
        <w:rPr>
          <w:rFonts w:ascii="Times New Roman" w:hAnsi="Times New Roman"/>
          <w:sz w:val="22"/>
          <w:szCs w:val="22"/>
        </w:rPr>
        <w:t>;</w:t>
      </w:r>
      <w:r w:rsidRPr="00F047BC">
        <w:rPr>
          <w:rFonts w:ascii="Times New Roman" w:hAnsi="Times New Roman"/>
          <w:sz w:val="22"/>
          <w:szCs w:val="22"/>
        </w:rPr>
        <w:t xml:space="preserve"> or </w:t>
      </w:r>
    </w:p>
    <w:p w14:paraId="764D38EC" w14:textId="77777777" w:rsidR="00362B2C" w:rsidRDefault="00362B2C" w:rsidP="00362B2C">
      <w:pPr>
        <w:pStyle w:val="FootnoteText"/>
        <w:numPr>
          <w:ilvl w:val="0"/>
          <w:numId w:val="35"/>
        </w:numPr>
        <w:spacing w:after="160" w:line="259" w:lineRule="auto"/>
        <w:ind w:left="714" w:hanging="357"/>
        <w:rPr>
          <w:rFonts w:ascii="Times New Roman" w:hAnsi="Times New Roman"/>
          <w:sz w:val="22"/>
          <w:szCs w:val="22"/>
        </w:rPr>
      </w:pPr>
      <w:r w:rsidRPr="00F047BC">
        <w:rPr>
          <w:rFonts w:ascii="Times New Roman" w:hAnsi="Times New Roman"/>
          <w:sz w:val="22"/>
          <w:szCs w:val="22"/>
        </w:rPr>
        <w:t xml:space="preserve">if the ACMA has </w:t>
      </w:r>
      <w:r>
        <w:rPr>
          <w:rFonts w:ascii="Times New Roman" w:hAnsi="Times New Roman"/>
          <w:sz w:val="22"/>
          <w:szCs w:val="22"/>
        </w:rPr>
        <w:t>asked for further information –</w:t>
      </w:r>
      <w:r w:rsidRPr="00F047BC">
        <w:rPr>
          <w:rFonts w:ascii="Times New Roman" w:hAnsi="Times New Roman"/>
          <w:sz w:val="22"/>
          <w:szCs w:val="22"/>
        </w:rPr>
        <w:t xml:space="preserve"> as </w:t>
      </w:r>
      <w:r w:rsidRPr="00584FB0">
        <w:rPr>
          <w:rFonts w:ascii="Times New Roman" w:hAnsi="Times New Roman"/>
          <w:sz w:val="22"/>
          <w:szCs w:val="22"/>
        </w:rPr>
        <w:t>soon as practicable after receiving the information</w:t>
      </w:r>
      <w:r>
        <w:rPr>
          <w:rFonts w:ascii="Times New Roman" w:hAnsi="Times New Roman"/>
          <w:sz w:val="22"/>
          <w:szCs w:val="22"/>
        </w:rPr>
        <w:t xml:space="preserve"> (subsection (4))</w:t>
      </w:r>
      <w:r w:rsidRPr="00584FB0">
        <w:rPr>
          <w:rFonts w:ascii="Times New Roman" w:hAnsi="Times New Roman"/>
          <w:sz w:val="22"/>
          <w:szCs w:val="22"/>
        </w:rPr>
        <w:t>.</w:t>
      </w:r>
      <w:r>
        <w:rPr>
          <w:rFonts w:ascii="Times New Roman" w:hAnsi="Times New Roman"/>
          <w:sz w:val="22"/>
          <w:szCs w:val="22"/>
        </w:rPr>
        <w:t xml:space="preserve">  </w:t>
      </w:r>
    </w:p>
    <w:p w14:paraId="0B8DBE8F" w14:textId="77777777" w:rsidR="00362B2C" w:rsidRPr="00095ADA" w:rsidRDefault="00362B2C" w:rsidP="00362B2C">
      <w:pPr>
        <w:pStyle w:val="FootnoteText"/>
        <w:spacing w:after="40" w:line="259" w:lineRule="auto"/>
        <w:rPr>
          <w:rFonts w:ascii="Times New Roman" w:hAnsi="Times New Roman"/>
          <w:sz w:val="22"/>
          <w:szCs w:val="22"/>
        </w:rPr>
      </w:pPr>
      <w:r>
        <w:rPr>
          <w:rFonts w:ascii="Times New Roman" w:hAnsi="Times New Roman"/>
          <w:sz w:val="22"/>
          <w:szCs w:val="22"/>
        </w:rPr>
        <w:t>The section</w:t>
      </w:r>
      <w:r w:rsidRPr="00095ADA">
        <w:rPr>
          <w:rFonts w:ascii="Times New Roman" w:hAnsi="Times New Roman"/>
          <w:sz w:val="22"/>
          <w:szCs w:val="22"/>
        </w:rPr>
        <w:t xml:space="preserve"> requires the ACMA to grant a </w:t>
      </w:r>
      <w:r>
        <w:rPr>
          <w:rFonts w:ascii="Times New Roman" w:hAnsi="Times New Roman"/>
          <w:sz w:val="22"/>
          <w:szCs w:val="22"/>
        </w:rPr>
        <w:t>final</w:t>
      </w:r>
      <w:r w:rsidRPr="00095ADA">
        <w:rPr>
          <w:rFonts w:ascii="Times New Roman" w:hAnsi="Times New Roman"/>
          <w:sz w:val="22"/>
          <w:szCs w:val="22"/>
        </w:rPr>
        <w:t xml:space="preserve"> authorisation if </w:t>
      </w:r>
      <w:r>
        <w:rPr>
          <w:rFonts w:ascii="Times New Roman" w:hAnsi="Times New Roman"/>
          <w:sz w:val="22"/>
          <w:szCs w:val="22"/>
        </w:rPr>
        <w:t>it:</w:t>
      </w:r>
    </w:p>
    <w:p w14:paraId="57D41B23" w14:textId="77777777" w:rsidR="00362B2C" w:rsidRPr="00095ADA" w:rsidRDefault="00362B2C" w:rsidP="00362B2C">
      <w:pPr>
        <w:pStyle w:val="FootnoteText"/>
        <w:numPr>
          <w:ilvl w:val="0"/>
          <w:numId w:val="7"/>
        </w:numPr>
        <w:spacing w:after="40" w:line="259" w:lineRule="auto"/>
        <w:ind w:left="714" w:hanging="357"/>
        <w:contextualSpacing/>
        <w:rPr>
          <w:rFonts w:ascii="Times New Roman" w:hAnsi="Times New Roman"/>
          <w:sz w:val="22"/>
          <w:szCs w:val="22"/>
        </w:rPr>
      </w:pPr>
      <w:r w:rsidRPr="00095ADA">
        <w:rPr>
          <w:rFonts w:ascii="Times New Roman" w:hAnsi="Times New Roman"/>
          <w:sz w:val="22"/>
          <w:szCs w:val="22"/>
        </w:rPr>
        <w:t>has applied the criteria specified by the Minister</w:t>
      </w:r>
      <w:r>
        <w:rPr>
          <w:rFonts w:ascii="Times New Roman" w:hAnsi="Times New Roman"/>
          <w:sz w:val="22"/>
          <w:szCs w:val="22"/>
        </w:rPr>
        <w:t xml:space="preserve"> in a legislative instrument</w:t>
      </w:r>
      <w:r w:rsidRPr="00095ADA">
        <w:rPr>
          <w:rFonts w:ascii="Times New Roman" w:hAnsi="Times New Roman"/>
          <w:sz w:val="22"/>
          <w:szCs w:val="22"/>
        </w:rPr>
        <w:t xml:space="preserve"> under subsection 295N(1)</w:t>
      </w:r>
      <w:r>
        <w:rPr>
          <w:rFonts w:ascii="Times New Roman" w:hAnsi="Times New Roman"/>
          <w:sz w:val="22"/>
          <w:szCs w:val="22"/>
        </w:rPr>
        <w:t xml:space="preserve"> of the Act</w:t>
      </w:r>
      <w:r w:rsidRPr="00095ADA">
        <w:rPr>
          <w:rFonts w:ascii="Times New Roman" w:hAnsi="Times New Roman"/>
          <w:sz w:val="22"/>
          <w:szCs w:val="22"/>
        </w:rPr>
        <w:t>;</w:t>
      </w:r>
    </w:p>
    <w:p w14:paraId="7F21E77A" w14:textId="77777777" w:rsidR="00362B2C" w:rsidRPr="00095ADA" w:rsidRDefault="00362B2C" w:rsidP="00362B2C">
      <w:pPr>
        <w:pStyle w:val="FootnoteText"/>
        <w:numPr>
          <w:ilvl w:val="0"/>
          <w:numId w:val="7"/>
        </w:numPr>
        <w:spacing w:after="40" w:line="259" w:lineRule="auto"/>
        <w:contextualSpacing/>
        <w:rPr>
          <w:rFonts w:ascii="Times New Roman" w:hAnsi="Times New Roman"/>
          <w:sz w:val="22"/>
          <w:szCs w:val="22"/>
        </w:rPr>
      </w:pPr>
      <w:r w:rsidRPr="00095ADA">
        <w:rPr>
          <w:rFonts w:ascii="Times New Roman" w:hAnsi="Times New Roman"/>
          <w:sz w:val="22"/>
          <w:szCs w:val="22"/>
        </w:rPr>
        <w:t xml:space="preserve">has </w:t>
      </w:r>
      <w:r>
        <w:rPr>
          <w:rFonts w:ascii="Times New Roman" w:hAnsi="Times New Roman"/>
          <w:sz w:val="22"/>
          <w:szCs w:val="22"/>
        </w:rPr>
        <w:t>had regard to</w:t>
      </w:r>
      <w:r w:rsidRPr="00095ADA">
        <w:rPr>
          <w:rFonts w:ascii="Times New Roman" w:hAnsi="Times New Roman"/>
          <w:sz w:val="22"/>
          <w:szCs w:val="22"/>
        </w:rPr>
        <w:t xml:space="preserve"> any other matters</w:t>
      </w:r>
      <w:r>
        <w:rPr>
          <w:rFonts w:ascii="Times New Roman" w:hAnsi="Times New Roman"/>
          <w:sz w:val="22"/>
          <w:szCs w:val="22"/>
        </w:rPr>
        <w:t xml:space="preserve"> the ACMA considers relevant</w:t>
      </w:r>
      <w:r w:rsidRPr="00095ADA">
        <w:rPr>
          <w:rFonts w:ascii="Times New Roman" w:hAnsi="Times New Roman"/>
          <w:sz w:val="22"/>
          <w:szCs w:val="22"/>
        </w:rPr>
        <w:t>;</w:t>
      </w:r>
    </w:p>
    <w:p w14:paraId="52BA2463" w14:textId="77777777" w:rsidR="00362B2C" w:rsidRPr="00095ADA" w:rsidRDefault="00362B2C" w:rsidP="00362B2C">
      <w:pPr>
        <w:pStyle w:val="FootnoteText"/>
        <w:numPr>
          <w:ilvl w:val="0"/>
          <w:numId w:val="7"/>
        </w:numPr>
        <w:spacing w:after="40" w:line="259" w:lineRule="auto"/>
        <w:contextualSpacing/>
        <w:rPr>
          <w:rFonts w:ascii="Times New Roman" w:hAnsi="Times New Roman"/>
          <w:sz w:val="22"/>
          <w:szCs w:val="22"/>
        </w:rPr>
      </w:pPr>
      <w:r w:rsidRPr="00095ADA">
        <w:rPr>
          <w:rFonts w:ascii="Times New Roman" w:hAnsi="Times New Roman"/>
          <w:sz w:val="22"/>
          <w:szCs w:val="22"/>
        </w:rPr>
        <w:t xml:space="preserve">is </w:t>
      </w:r>
      <w:r>
        <w:rPr>
          <w:rFonts w:ascii="Times New Roman" w:hAnsi="Times New Roman"/>
          <w:sz w:val="22"/>
          <w:szCs w:val="22"/>
        </w:rPr>
        <w:t xml:space="preserve">reasonably </w:t>
      </w:r>
      <w:r w:rsidRPr="00095ADA">
        <w:rPr>
          <w:rFonts w:ascii="Times New Roman" w:hAnsi="Times New Roman"/>
          <w:sz w:val="22"/>
          <w:szCs w:val="22"/>
        </w:rPr>
        <w:t xml:space="preserve">satisfied that </w:t>
      </w:r>
      <w:r>
        <w:rPr>
          <w:rFonts w:ascii="Times New Roman" w:hAnsi="Times New Roman"/>
          <w:sz w:val="22"/>
          <w:szCs w:val="22"/>
        </w:rPr>
        <w:t>the public number directory publisher has demonstrated that the sample</w:t>
      </w:r>
      <w:r w:rsidRPr="00095ADA">
        <w:rPr>
          <w:rFonts w:ascii="Times New Roman" w:hAnsi="Times New Roman"/>
          <w:sz w:val="22"/>
          <w:szCs w:val="22"/>
        </w:rPr>
        <w:t xml:space="preserve"> PND will </w:t>
      </w:r>
      <w:r>
        <w:rPr>
          <w:rFonts w:ascii="Times New Roman" w:hAnsi="Times New Roman"/>
          <w:sz w:val="22"/>
          <w:szCs w:val="22"/>
        </w:rPr>
        <w:t>satisfy the requirements of</w:t>
      </w:r>
      <w:r w:rsidRPr="00095ADA">
        <w:rPr>
          <w:rFonts w:ascii="Times New Roman" w:hAnsi="Times New Roman"/>
          <w:sz w:val="22"/>
          <w:szCs w:val="22"/>
        </w:rPr>
        <w:t xml:space="preserve"> the definition of </w:t>
      </w:r>
      <w:r w:rsidRPr="00496C18">
        <w:rPr>
          <w:rFonts w:ascii="Times New Roman" w:hAnsi="Times New Roman"/>
          <w:b/>
          <w:i/>
          <w:sz w:val="22"/>
          <w:szCs w:val="22"/>
        </w:rPr>
        <w:t>public number directory</w:t>
      </w:r>
      <w:r w:rsidRPr="00095ADA">
        <w:rPr>
          <w:rFonts w:ascii="Times New Roman" w:hAnsi="Times New Roman"/>
          <w:sz w:val="22"/>
          <w:szCs w:val="22"/>
        </w:rPr>
        <w:t xml:space="preserve"> in subsection 285(2) of the Act</w:t>
      </w:r>
      <w:r>
        <w:rPr>
          <w:rFonts w:ascii="Times New Roman" w:hAnsi="Times New Roman"/>
          <w:sz w:val="22"/>
          <w:szCs w:val="22"/>
        </w:rPr>
        <w:t xml:space="preserve">, as modified by any legislative instrument that </w:t>
      </w:r>
      <w:r w:rsidRPr="006375B2">
        <w:rPr>
          <w:rFonts w:ascii="Times New Roman" w:hAnsi="Times New Roman"/>
          <w:sz w:val="22"/>
          <w:szCs w:val="22"/>
        </w:rPr>
        <w:t>the Minister may make under subsection 285(4), (5) or (6) of the Act</w:t>
      </w:r>
      <w:r w:rsidRPr="00095ADA">
        <w:rPr>
          <w:rFonts w:ascii="Times New Roman" w:hAnsi="Times New Roman"/>
          <w:sz w:val="22"/>
          <w:szCs w:val="22"/>
        </w:rPr>
        <w:t>;</w:t>
      </w:r>
    </w:p>
    <w:p w14:paraId="4A12C78D" w14:textId="77777777" w:rsidR="00362B2C" w:rsidRPr="00AA4EE5" w:rsidRDefault="00362B2C" w:rsidP="00362B2C">
      <w:pPr>
        <w:pStyle w:val="FootnoteText"/>
        <w:numPr>
          <w:ilvl w:val="0"/>
          <w:numId w:val="7"/>
        </w:numPr>
        <w:spacing w:after="160" w:line="259" w:lineRule="auto"/>
        <w:ind w:left="714" w:hanging="357"/>
        <w:rPr>
          <w:rFonts w:ascii="Times New Roman" w:hAnsi="Times New Roman"/>
          <w:sz w:val="22"/>
          <w:szCs w:val="22"/>
        </w:rPr>
      </w:pPr>
      <w:r>
        <w:rPr>
          <w:rFonts w:ascii="Times New Roman" w:hAnsi="Times New Roman"/>
          <w:sz w:val="22"/>
          <w:szCs w:val="22"/>
        </w:rPr>
        <w:t>is reasonably</w:t>
      </w:r>
      <w:r w:rsidRPr="00095ADA">
        <w:rPr>
          <w:rFonts w:ascii="Times New Roman" w:hAnsi="Times New Roman"/>
          <w:sz w:val="22"/>
          <w:szCs w:val="22"/>
        </w:rPr>
        <w:t xml:space="preserve"> satisfied that the </w:t>
      </w:r>
      <w:r>
        <w:rPr>
          <w:rFonts w:ascii="Times New Roman" w:hAnsi="Times New Roman"/>
          <w:sz w:val="22"/>
          <w:szCs w:val="22"/>
        </w:rPr>
        <w:t>publisher</w:t>
      </w:r>
      <w:r w:rsidRPr="00095ADA">
        <w:rPr>
          <w:rFonts w:ascii="Times New Roman" w:hAnsi="Times New Roman"/>
          <w:sz w:val="22"/>
          <w:szCs w:val="22"/>
        </w:rPr>
        <w:t xml:space="preserve"> </w:t>
      </w:r>
      <w:r>
        <w:rPr>
          <w:rFonts w:ascii="Times New Roman" w:hAnsi="Times New Roman"/>
          <w:sz w:val="22"/>
          <w:szCs w:val="22"/>
        </w:rPr>
        <w:t>is likely to</w:t>
      </w:r>
      <w:r w:rsidRPr="00095ADA">
        <w:rPr>
          <w:rFonts w:ascii="Times New Roman" w:hAnsi="Times New Roman"/>
          <w:sz w:val="22"/>
          <w:szCs w:val="22"/>
        </w:rPr>
        <w:t xml:space="preserve"> comply with the other relevant requirements</w:t>
      </w:r>
      <w:r>
        <w:rPr>
          <w:rFonts w:ascii="Times New Roman" w:hAnsi="Times New Roman"/>
          <w:sz w:val="22"/>
          <w:szCs w:val="22"/>
        </w:rPr>
        <w:t xml:space="preserve"> (subsection (5))</w:t>
      </w:r>
      <w:r w:rsidRPr="00095ADA">
        <w:rPr>
          <w:rFonts w:ascii="Times New Roman" w:hAnsi="Times New Roman"/>
          <w:sz w:val="22"/>
          <w:szCs w:val="22"/>
        </w:rPr>
        <w:t xml:space="preserve">.   </w:t>
      </w:r>
    </w:p>
    <w:p w14:paraId="4D7E410A" w14:textId="77777777" w:rsidR="00362B2C" w:rsidRPr="00584FB0" w:rsidRDefault="00362B2C" w:rsidP="00362B2C">
      <w:pPr>
        <w:pStyle w:val="FootnoteText"/>
        <w:spacing w:after="160" w:line="259" w:lineRule="auto"/>
        <w:rPr>
          <w:rFonts w:ascii="Times New Roman" w:hAnsi="Times New Roman"/>
          <w:sz w:val="22"/>
          <w:szCs w:val="22"/>
        </w:rPr>
      </w:pPr>
      <w:r w:rsidRPr="00EB7A28">
        <w:rPr>
          <w:rFonts w:ascii="Times New Roman" w:hAnsi="Times New Roman"/>
          <w:sz w:val="22"/>
          <w:szCs w:val="22"/>
        </w:rPr>
        <w:t xml:space="preserve">The section </w:t>
      </w:r>
      <w:r>
        <w:rPr>
          <w:rFonts w:ascii="Times New Roman" w:hAnsi="Times New Roman"/>
          <w:sz w:val="22"/>
          <w:szCs w:val="22"/>
        </w:rPr>
        <w:t>provides</w:t>
      </w:r>
      <w:r w:rsidRPr="00EB7A28">
        <w:rPr>
          <w:rFonts w:ascii="Times New Roman" w:hAnsi="Times New Roman"/>
          <w:sz w:val="22"/>
          <w:szCs w:val="22"/>
        </w:rPr>
        <w:t xml:space="preserve"> that </w:t>
      </w:r>
      <w:r w:rsidRPr="00F047BC">
        <w:rPr>
          <w:rFonts w:ascii="Times New Roman" w:hAnsi="Times New Roman"/>
          <w:sz w:val="22"/>
          <w:szCs w:val="22"/>
        </w:rPr>
        <w:t xml:space="preserve">the ACMA </w:t>
      </w:r>
      <w:r>
        <w:rPr>
          <w:rFonts w:ascii="Times New Roman" w:hAnsi="Times New Roman"/>
          <w:sz w:val="22"/>
          <w:szCs w:val="22"/>
        </w:rPr>
        <w:t>must</w:t>
      </w:r>
      <w:r w:rsidRPr="00F047BC">
        <w:rPr>
          <w:rFonts w:ascii="Times New Roman" w:hAnsi="Times New Roman"/>
          <w:sz w:val="22"/>
          <w:szCs w:val="22"/>
        </w:rPr>
        <w:t>, as soon as practicable after</w:t>
      </w:r>
      <w:r>
        <w:rPr>
          <w:rFonts w:ascii="Times New Roman" w:hAnsi="Times New Roman"/>
          <w:sz w:val="22"/>
          <w:szCs w:val="22"/>
        </w:rPr>
        <w:t xml:space="preserve"> making its</w:t>
      </w:r>
      <w:r w:rsidRPr="00F047BC">
        <w:rPr>
          <w:rFonts w:ascii="Times New Roman" w:hAnsi="Times New Roman"/>
          <w:sz w:val="22"/>
          <w:szCs w:val="22"/>
        </w:rPr>
        <w:t xml:space="preserve"> decision</w:t>
      </w:r>
      <w:r>
        <w:rPr>
          <w:rFonts w:ascii="Times New Roman" w:hAnsi="Times New Roman"/>
          <w:sz w:val="22"/>
          <w:szCs w:val="22"/>
        </w:rPr>
        <w:t xml:space="preserve">, </w:t>
      </w:r>
      <w:r w:rsidRPr="00F047BC">
        <w:rPr>
          <w:rFonts w:ascii="Times New Roman" w:hAnsi="Times New Roman"/>
          <w:sz w:val="22"/>
          <w:szCs w:val="22"/>
        </w:rPr>
        <w:t>notify the</w:t>
      </w:r>
      <w:r>
        <w:rPr>
          <w:rFonts w:ascii="Times New Roman" w:hAnsi="Times New Roman"/>
          <w:sz w:val="22"/>
          <w:szCs w:val="22"/>
        </w:rPr>
        <w:t xml:space="preserve"> public number directory</w:t>
      </w:r>
      <w:r w:rsidRPr="00F047BC">
        <w:rPr>
          <w:rFonts w:ascii="Times New Roman" w:hAnsi="Times New Roman"/>
          <w:sz w:val="22"/>
          <w:szCs w:val="22"/>
        </w:rPr>
        <w:t xml:space="preserve"> </w:t>
      </w:r>
      <w:r w:rsidRPr="009255DA">
        <w:rPr>
          <w:rFonts w:ascii="Times New Roman" w:hAnsi="Times New Roman"/>
          <w:sz w:val="22"/>
          <w:szCs w:val="22"/>
        </w:rPr>
        <w:t xml:space="preserve">publisher </w:t>
      </w:r>
      <w:r w:rsidRPr="00EB7A28">
        <w:rPr>
          <w:rFonts w:ascii="Times New Roman" w:hAnsi="Times New Roman"/>
          <w:sz w:val="22"/>
          <w:szCs w:val="22"/>
        </w:rPr>
        <w:t xml:space="preserve">in writing of </w:t>
      </w:r>
      <w:r>
        <w:rPr>
          <w:rFonts w:ascii="Times New Roman" w:hAnsi="Times New Roman"/>
          <w:sz w:val="22"/>
          <w:szCs w:val="22"/>
        </w:rPr>
        <w:t>the</w:t>
      </w:r>
      <w:r w:rsidRPr="00F047BC">
        <w:rPr>
          <w:rFonts w:ascii="Times New Roman" w:hAnsi="Times New Roman"/>
          <w:sz w:val="22"/>
          <w:szCs w:val="22"/>
        </w:rPr>
        <w:t xml:space="preserve"> decision and</w:t>
      </w:r>
      <w:r>
        <w:rPr>
          <w:rFonts w:ascii="Times New Roman" w:hAnsi="Times New Roman"/>
          <w:sz w:val="22"/>
          <w:szCs w:val="22"/>
        </w:rPr>
        <w:t xml:space="preserve"> (for a refusal to</w:t>
      </w:r>
      <w:r w:rsidRPr="00F047BC">
        <w:rPr>
          <w:rFonts w:ascii="Times New Roman" w:hAnsi="Times New Roman"/>
          <w:sz w:val="22"/>
          <w:szCs w:val="22"/>
        </w:rPr>
        <w:t xml:space="preserve"> grant a </w:t>
      </w:r>
      <w:r w:rsidRPr="009255DA">
        <w:rPr>
          <w:rFonts w:ascii="Times New Roman" w:hAnsi="Times New Roman"/>
          <w:sz w:val="22"/>
          <w:szCs w:val="22"/>
        </w:rPr>
        <w:t>final</w:t>
      </w:r>
      <w:r w:rsidRPr="00EB7A28">
        <w:rPr>
          <w:rFonts w:ascii="Times New Roman" w:hAnsi="Times New Roman"/>
          <w:sz w:val="22"/>
          <w:szCs w:val="22"/>
        </w:rPr>
        <w:t xml:space="preserve"> </w:t>
      </w:r>
      <w:r>
        <w:rPr>
          <w:rFonts w:ascii="Times New Roman" w:hAnsi="Times New Roman"/>
          <w:sz w:val="22"/>
          <w:szCs w:val="22"/>
        </w:rPr>
        <w:t>authorisation)</w:t>
      </w:r>
      <w:r w:rsidRPr="00EB7A28">
        <w:rPr>
          <w:rFonts w:ascii="Times New Roman" w:hAnsi="Times New Roman"/>
          <w:sz w:val="22"/>
          <w:szCs w:val="22"/>
        </w:rPr>
        <w:t xml:space="preserve"> the reasons for the</w:t>
      </w:r>
      <w:r w:rsidRPr="00F047BC">
        <w:rPr>
          <w:rFonts w:ascii="Times New Roman" w:hAnsi="Times New Roman"/>
          <w:sz w:val="22"/>
          <w:szCs w:val="22"/>
        </w:rPr>
        <w:t xml:space="preserve"> decision</w:t>
      </w:r>
      <w:r>
        <w:rPr>
          <w:rFonts w:ascii="Times New Roman" w:hAnsi="Times New Roman"/>
          <w:sz w:val="22"/>
          <w:szCs w:val="22"/>
        </w:rPr>
        <w:t xml:space="preserve"> (paragraph (6)(a))</w:t>
      </w:r>
      <w:r w:rsidRPr="00F047BC">
        <w:rPr>
          <w:rFonts w:ascii="Times New Roman" w:hAnsi="Times New Roman"/>
          <w:sz w:val="22"/>
          <w:szCs w:val="22"/>
        </w:rPr>
        <w:t xml:space="preserve">. </w:t>
      </w:r>
    </w:p>
    <w:p w14:paraId="7F920E25" w14:textId="677E6CA6" w:rsidR="00362B2C" w:rsidRDefault="00362B2C" w:rsidP="00362B2C">
      <w:pPr>
        <w:pStyle w:val="FootnoteText"/>
        <w:spacing w:after="160" w:line="259" w:lineRule="auto"/>
        <w:rPr>
          <w:rFonts w:ascii="Times New Roman" w:hAnsi="Times New Roman"/>
        </w:rPr>
      </w:pPr>
      <w:r w:rsidRPr="009255DA">
        <w:rPr>
          <w:rFonts w:ascii="Times New Roman" w:hAnsi="Times New Roman"/>
          <w:sz w:val="22"/>
          <w:szCs w:val="22"/>
        </w:rPr>
        <w:t xml:space="preserve">The section </w:t>
      </w:r>
      <w:r>
        <w:rPr>
          <w:rFonts w:ascii="Times New Roman" w:hAnsi="Times New Roman"/>
          <w:sz w:val="22"/>
          <w:szCs w:val="22"/>
        </w:rPr>
        <w:t>provides</w:t>
      </w:r>
      <w:r w:rsidRPr="009255DA">
        <w:rPr>
          <w:rFonts w:ascii="Times New Roman" w:hAnsi="Times New Roman"/>
          <w:sz w:val="22"/>
          <w:szCs w:val="22"/>
        </w:rPr>
        <w:t xml:space="preserve"> that</w:t>
      </w:r>
      <w:r>
        <w:rPr>
          <w:rFonts w:ascii="Times New Roman" w:hAnsi="Times New Roman"/>
          <w:sz w:val="22"/>
          <w:szCs w:val="22"/>
        </w:rPr>
        <w:t xml:space="preserve"> for</w:t>
      </w:r>
      <w:r w:rsidRPr="009255DA">
        <w:rPr>
          <w:rFonts w:ascii="Times New Roman" w:hAnsi="Times New Roman"/>
          <w:sz w:val="22"/>
          <w:szCs w:val="22"/>
        </w:rPr>
        <w:t xml:space="preserve"> a</w:t>
      </w:r>
      <w:r>
        <w:rPr>
          <w:rFonts w:ascii="Times New Roman" w:hAnsi="Times New Roman"/>
          <w:sz w:val="22"/>
          <w:szCs w:val="22"/>
        </w:rPr>
        <w:t xml:space="preserve"> decision to </w:t>
      </w:r>
      <w:r w:rsidRPr="009255DA">
        <w:rPr>
          <w:rFonts w:ascii="Times New Roman" w:hAnsi="Times New Roman"/>
          <w:sz w:val="22"/>
          <w:szCs w:val="22"/>
        </w:rPr>
        <w:t xml:space="preserve">grant a final authorisation, the ACMA </w:t>
      </w:r>
      <w:r>
        <w:rPr>
          <w:rFonts w:ascii="Times New Roman" w:hAnsi="Times New Roman"/>
          <w:sz w:val="22"/>
          <w:szCs w:val="22"/>
        </w:rPr>
        <w:t xml:space="preserve">must also </w:t>
      </w:r>
      <w:r w:rsidRPr="009255DA">
        <w:rPr>
          <w:rFonts w:ascii="Times New Roman" w:hAnsi="Times New Roman"/>
          <w:sz w:val="22"/>
          <w:szCs w:val="22"/>
        </w:rPr>
        <w:t>notify the IPND Manager in writing of the decision as soon as practicable after making the decision</w:t>
      </w:r>
      <w:r>
        <w:rPr>
          <w:rFonts w:ascii="Times New Roman" w:hAnsi="Times New Roman"/>
          <w:sz w:val="22"/>
          <w:szCs w:val="22"/>
        </w:rPr>
        <w:t xml:space="preserve"> (paragraph (6)(b))</w:t>
      </w:r>
      <w:r w:rsidRPr="009255DA">
        <w:rPr>
          <w:rFonts w:ascii="Times New Roman" w:hAnsi="Times New Roman"/>
          <w:sz w:val="22"/>
          <w:szCs w:val="22"/>
        </w:rPr>
        <w:t xml:space="preserve">, and give the </w:t>
      </w:r>
      <w:r>
        <w:rPr>
          <w:rFonts w:ascii="Times New Roman" w:hAnsi="Times New Roman"/>
          <w:sz w:val="22"/>
          <w:szCs w:val="22"/>
        </w:rPr>
        <w:t xml:space="preserve">public number directory </w:t>
      </w:r>
      <w:r w:rsidRPr="009255DA">
        <w:rPr>
          <w:rFonts w:ascii="Times New Roman" w:hAnsi="Times New Roman"/>
          <w:sz w:val="22"/>
          <w:szCs w:val="22"/>
        </w:rPr>
        <w:t>publisher written confirmation of that notification as soon as practicable after it has occurred</w:t>
      </w:r>
      <w:r>
        <w:rPr>
          <w:rFonts w:ascii="Times New Roman" w:hAnsi="Times New Roman"/>
          <w:sz w:val="22"/>
          <w:szCs w:val="22"/>
        </w:rPr>
        <w:t xml:space="preserve"> (subsection (7))</w:t>
      </w:r>
      <w:r w:rsidRPr="009255DA">
        <w:rPr>
          <w:rFonts w:ascii="Times New Roman" w:hAnsi="Times New Roman"/>
          <w:sz w:val="22"/>
          <w:szCs w:val="22"/>
        </w:rPr>
        <w:t>.</w:t>
      </w:r>
      <w:r>
        <w:rPr>
          <w:rStyle w:val="FootnoteReference"/>
          <w:sz w:val="22"/>
          <w:szCs w:val="22"/>
        </w:rPr>
        <w:footnoteReference w:id="16"/>
      </w:r>
      <w:r w:rsidRPr="00095ADA">
        <w:rPr>
          <w:rFonts w:ascii="Times New Roman" w:hAnsi="Times New Roman"/>
          <w:sz w:val="22"/>
          <w:szCs w:val="22"/>
        </w:rPr>
        <w:t xml:space="preserve"> </w:t>
      </w:r>
    </w:p>
    <w:p w14:paraId="2135A8C4" w14:textId="77777777" w:rsidR="00362B2C" w:rsidRPr="00524A96" w:rsidRDefault="00362B2C" w:rsidP="00362B2C">
      <w:pPr>
        <w:pStyle w:val="ACMABodyText"/>
        <w:spacing w:before="0" w:after="160" w:line="259" w:lineRule="auto"/>
        <w:rPr>
          <w:b/>
          <w:sz w:val="22"/>
          <w:szCs w:val="22"/>
        </w:rPr>
      </w:pPr>
      <w:r w:rsidRPr="00524A96">
        <w:rPr>
          <w:b/>
          <w:sz w:val="22"/>
          <w:szCs w:val="22"/>
        </w:rPr>
        <w:t xml:space="preserve">Section </w:t>
      </w:r>
      <w:r>
        <w:rPr>
          <w:b/>
          <w:sz w:val="22"/>
          <w:szCs w:val="22"/>
        </w:rPr>
        <w:t>3.</w:t>
      </w:r>
      <w:r w:rsidRPr="00524A96">
        <w:rPr>
          <w:b/>
          <w:sz w:val="22"/>
          <w:szCs w:val="22"/>
        </w:rPr>
        <w:t>11</w:t>
      </w:r>
      <w:r w:rsidRPr="00524A96">
        <w:rPr>
          <w:b/>
          <w:sz w:val="22"/>
          <w:szCs w:val="22"/>
        </w:rPr>
        <w:tab/>
        <w:t>Start of final authorisation</w:t>
      </w:r>
    </w:p>
    <w:p w14:paraId="22981C7B" w14:textId="77777777" w:rsidR="00362B2C" w:rsidRDefault="00362B2C" w:rsidP="00362B2C">
      <w:pPr>
        <w:pStyle w:val="ACMABodyText"/>
        <w:spacing w:before="0" w:after="160" w:line="259" w:lineRule="auto"/>
        <w:rPr>
          <w:sz w:val="22"/>
          <w:szCs w:val="22"/>
          <w:lang w:val="en-US"/>
        </w:rPr>
      </w:pPr>
      <w:r w:rsidRPr="00524A96">
        <w:rPr>
          <w:sz w:val="22"/>
          <w:szCs w:val="22"/>
        </w:rPr>
        <w:t xml:space="preserve">This section provides that </w:t>
      </w:r>
      <w:r>
        <w:rPr>
          <w:sz w:val="22"/>
          <w:szCs w:val="22"/>
        </w:rPr>
        <w:t>a</w:t>
      </w:r>
      <w:r w:rsidRPr="00524A96">
        <w:rPr>
          <w:sz w:val="22"/>
          <w:szCs w:val="22"/>
          <w:lang w:val="en-US"/>
        </w:rPr>
        <w:t xml:space="preserve"> final </w:t>
      </w:r>
      <w:proofErr w:type="spellStart"/>
      <w:r w:rsidRPr="00524A96">
        <w:rPr>
          <w:sz w:val="22"/>
          <w:szCs w:val="22"/>
          <w:lang w:val="en-US"/>
        </w:rPr>
        <w:t>authorisation</w:t>
      </w:r>
      <w:proofErr w:type="spellEnd"/>
      <w:r w:rsidRPr="00524A96">
        <w:rPr>
          <w:sz w:val="22"/>
          <w:szCs w:val="22"/>
          <w:lang w:val="en-US"/>
        </w:rPr>
        <w:t xml:space="preserve"> </w:t>
      </w:r>
      <w:r>
        <w:rPr>
          <w:sz w:val="22"/>
          <w:szCs w:val="22"/>
          <w:lang w:val="en-US"/>
        </w:rPr>
        <w:t>starts on</w:t>
      </w:r>
      <w:r w:rsidRPr="00524A96">
        <w:rPr>
          <w:sz w:val="22"/>
          <w:szCs w:val="22"/>
          <w:lang w:val="en-US"/>
        </w:rPr>
        <w:t xml:space="preserve"> the day on which the IPND Manager </w:t>
      </w:r>
      <w:r>
        <w:rPr>
          <w:sz w:val="22"/>
          <w:szCs w:val="22"/>
          <w:lang w:val="en-US"/>
        </w:rPr>
        <w:t xml:space="preserve">first </w:t>
      </w:r>
      <w:r w:rsidRPr="00524A96">
        <w:rPr>
          <w:sz w:val="22"/>
          <w:szCs w:val="22"/>
          <w:lang w:val="en-US"/>
        </w:rPr>
        <w:t>supplies customer data</w:t>
      </w:r>
      <w:r>
        <w:rPr>
          <w:sz w:val="22"/>
          <w:szCs w:val="22"/>
          <w:lang w:val="en-US"/>
        </w:rPr>
        <w:t xml:space="preserve"> to the public number directory publisher</w:t>
      </w:r>
      <w:r w:rsidRPr="00524A96">
        <w:rPr>
          <w:sz w:val="22"/>
          <w:szCs w:val="22"/>
          <w:lang w:val="en-US"/>
        </w:rPr>
        <w:t xml:space="preserve"> after making arrangements </w:t>
      </w:r>
      <w:r>
        <w:rPr>
          <w:sz w:val="22"/>
          <w:szCs w:val="22"/>
          <w:lang w:val="en-US"/>
        </w:rPr>
        <w:t>for that supply</w:t>
      </w:r>
      <w:r w:rsidRPr="00524A96">
        <w:rPr>
          <w:sz w:val="22"/>
          <w:szCs w:val="22"/>
          <w:lang w:val="en-US"/>
        </w:rPr>
        <w:t>.</w:t>
      </w:r>
    </w:p>
    <w:p w14:paraId="408953C7" w14:textId="77777777" w:rsidR="00362B2C" w:rsidRPr="00524A96" w:rsidRDefault="00362B2C" w:rsidP="00362B2C">
      <w:pPr>
        <w:pStyle w:val="ACMABodyText"/>
        <w:spacing w:before="0" w:after="160" w:line="259" w:lineRule="auto"/>
        <w:rPr>
          <w:sz w:val="22"/>
          <w:szCs w:val="22"/>
          <w:lang w:val="en-US"/>
        </w:rPr>
      </w:pPr>
      <w:r>
        <w:rPr>
          <w:sz w:val="22"/>
          <w:szCs w:val="22"/>
          <w:lang w:val="en-US"/>
        </w:rPr>
        <w:t xml:space="preserve">A final </w:t>
      </w:r>
      <w:proofErr w:type="spellStart"/>
      <w:r>
        <w:rPr>
          <w:sz w:val="22"/>
          <w:szCs w:val="22"/>
          <w:lang w:val="en-US"/>
        </w:rPr>
        <w:t>authorisation</w:t>
      </w:r>
      <w:proofErr w:type="spellEnd"/>
      <w:r>
        <w:rPr>
          <w:sz w:val="22"/>
          <w:szCs w:val="22"/>
          <w:lang w:val="en-US"/>
        </w:rPr>
        <w:t xml:space="preserve"> has effect on an ongoing basis unless it ends in accordance with Part 5. </w:t>
      </w:r>
      <w:r w:rsidRPr="000E47F2">
        <w:rPr>
          <w:sz w:val="22"/>
          <w:szCs w:val="22"/>
          <w:lang w:val="en-US"/>
        </w:rPr>
        <w:t xml:space="preserve"> </w:t>
      </w:r>
    </w:p>
    <w:p w14:paraId="6F5FE2DD" w14:textId="77777777" w:rsidR="00362B2C" w:rsidRPr="00524A96" w:rsidRDefault="00362B2C" w:rsidP="00362B2C">
      <w:pPr>
        <w:pStyle w:val="ACMABodyText"/>
        <w:spacing w:before="0" w:after="160" w:line="259" w:lineRule="auto"/>
        <w:rPr>
          <w:b/>
          <w:sz w:val="22"/>
          <w:szCs w:val="22"/>
          <w:lang w:val="en-US"/>
        </w:rPr>
      </w:pPr>
      <w:r w:rsidRPr="00524A96">
        <w:rPr>
          <w:b/>
          <w:sz w:val="22"/>
          <w:szCs w:val="22"/>
          <w:lang w:val="en-US"/>
        </w:rPr>
        <w:lastRenderedPageBreak/>
        <w:t xml:space="preserve">Section </w:t>
      </w:r>
      <w:r>
        <w:rPr>
          <w:b/>
          <w:sz w:val="22"/>
          <w:szCs w:val="22"/>
          <w:lang w:val="en-US"/>
        </w:rPr>
        <w:t>3.</w:t>
      </w:r>
      <w:r w:rsidRPr="00524A96">
        <w:rPr>
          <w:b/>
          <w:sz w:val="22"/>
          <w:szCs w:val="22"/>
          <w:lang w:val="en-US"/>
        </w:rPr>
        <w:t>12</w:t>
      </w:r>
      <w:r w:rsidRPr="00524A96">
        <w:rPr>
          <w:b/>
          <w:sz w:val="22"/>
          <w:szCs w:val="22"/>
          <w:lang w:val="en-US"/>
        </w:rPr>
        <w:tab/>
        <w:t>Co</w:t>
      </w:r>
      <w:r>
        <w:rPr>
          <w:b/>
          <w:sz w:val="22"/>
          <w:szCs w:val="22"/>
          <w:lang w:val="en-US"/>
        </w:rPr>
        <w:t xml:space="preserve">nditions to which final </w:t>
      </w:r>
      <w:proofErr w:type="spellStart"/>
      <w:r>
        <w:rPr>
          <w:b/>
          <w:sz w:val="22"/>
          <w:szCs w:val="22"/>
          <w:lang w:val="en-US"/>
        </w:rPr>
        <w:t>authoris</w:t>
      </w:r>
      <w:r w:rsidRPr="00524A96">
        <w:rPr>
          <w:b/>
          <w:sz w:val="22"/>
          <w:szCs w:val="22"/>
          <w:lang w:val="en-US"/>
        </w:rPr>
        <w:t>ation</w:t>
      </w:r>
      <w:proofErr w:type="spellEnd"/>
      <w:r w:rsidRPr="00524A96">
        <w:rPr>
          <w:b/>
          <w:sz w:val="22"/>
          <w:szCs w:val="22"/>
          <w:lang w:val="en-US"/>
        </w:rPr>
        <w:t xml:space="preserve"> is subject</w:t>
      </w:r>
    </w:p>
    <w:p w14:paraId="4C8F35DD" w14:textId="77777777" w:rsidR="00362B2C" w:rsidRDefault="00362B2C" w:rsidP="00362B2C">
      <w:pPr>
        <w:pStyle w:val="ACMABodyText"/>
        <w:spacing w:before="0" w:after="160" w:line="259" w:lineRule="auto"/>
        <w:rPr>
          <w:sz w:val="22"/>
          <w:szCs w:val="22"/>
        </w:rPr>
      </w:pPr>
      <w:r>
        <w:rPr>
          <w:sz w:val="22"/>
          <w:szCs w:val="22"/>
        </w:rPr>
        <w:t xml:space="preserve">This section sets out the </w:t>
      </w:r>
      <w:r w:rsidRPr="00502217">
        <w:rPr>
          <w:sz w:val="22"/>
          <w:szCs w:val="22"/>
        </w:rPr>
        <w:t xml:space="preserve">conditions to which </w:t>
      </w:r>
      <w:r>
        <w:rPr>
          <w:sz w:val="22"/>
          <w:szCs w:val="22"/>
        </w:rPr>
        <w:t>a final</w:t>
      </w:r>
      <w:r w:rsidRPr="00502217">
        <w:rPr>
          <w:sz w:val="22"/>
          <w:szCs w:val="22"/>
        </w:rPr>
        <w:t xml:space="preserve"> authorisation is subject</w:t>
      </w:r>
      <w:r>
        <w:rPr>
          <w:sz w:val="22"/>
          <w:szCs w:val="22"/>
        </w:rPr>
        <w:t xml:space="preserve"> under the scheme (subsection (1))</w:t>
      </w:r>
      <w:r w:rsidRPr="00502217">
        <w:rPr>
          <w:sz w:val="22"/>
          <w:szCs w:val="22"/>
        </w:rPr>
        <w:t>.</w:t>
      </w:r>
      <w:r>
        <w:rPr>
          <w:sz w:val="22"/>
          <w:szCs w:val="22"/>
        </w:rPr>
        <w:t xml:space="preserve"> </w:t>
      </w:r>
    </w:p>
    <w:p w14:paraId="2D12499C" w14:textId="77777777" w:rsidR="00362B2C" w:rsidRDefault="00362B2C" w:rsidP="00362B2C">
      <w:pPr>
        <w:pStyle w:val="ACMABodyText"/>
        <w:spacing w:before="0" w:after="160" w:line="259" w:lineRule="auto"/>
        <w:rPr>
          <w:sz w:val="22"/>
          <w:szCs w:val="22"/>
        </w:rPr>
      </w:pPr>
      <w:r>
        <w:rPr>
          <w:sz w:val="22"/>
          <w:szCs w:val="22"/>
        </w:rPr>
        <w:t>The conditions are as follows:</w:t>
      </w:r>
    </w:p>
    <w:p w14:paraId="319EB5D9" w14:textId="77777777" w:rsidR="00362B2C" w:rsidRPr="009905D9" w:rsidRDefault="00362B2C" w:rsidP="00362B2C">
      <w:pPr>
        <w:pStyle w:val="ACMABodyText"/>
        <w:numPr>
          <w:ilvl w:val="0"/>
          <w:numId w:val="10"/>
        </w:numPr>
        <w:spacing w:before="0" w:after="40" w:line="259" w:lineRule="auto"/>
        <w:ind w:left="714" w:hanging="357"/>
        <w:rPr>
          <w:sz w:val="22"/>
          <w:szCs w:val="22"/>
          <w:lang w:val="en-US"/>
        </w:rPr>
      </w:pPr>
      <w:r>
        <w:rPr>
          <w:sz w:val="22"/>
          <w:szCs w:val="22"/>
        </w:rPr>
        <w:t>The public number directory publisher must:</w:t>
      </w:r>
    </w:p>
    <w:p w14:paraId="30B306F2" w14:textId="77777777" w:rsidR="00362B2C" w:rsidRDefault="00362B2C" w:rsidP="00362B2C">
      <w:pPr>
        <w:pStyle w:val="ACMABodyText"/>
        <w:numPr>
          <w:ilvl w:val="0"/>
          <w:numId w:val="11"/>
        </w:numPr>
        <w:spacing w:before="0" w:after="40" w:line="259" w:lineRule="auto"/>
        <w:ind w:left="1077" w:hanging="357"/>
        <w:rPr>
          <w:sz w:val="22"/>
          <w:szCs w:val="22"/>
          <w:lang w:val="en-US"/>
        </w:rPr>
      </w:pPr>
      <w:r>
        <w:rPr>
          <w:sz w:val="22"/>
          <w:szCs w:val="22"/>
        </w:rPr>
        <w:t>m</w:t>
      </w:r>
      <w:r w:rsidRPr="009905D9">
        <w:rPr>
          <w:sz w:val="22"/>
          <w:szCs w:val="22"/>
        </w:rPr>
        <w:t xml:space="preserve">ake arrangements </w:t>
      </w:r>
      <w:r w:rsidRPr="009905D9">
        <w:rPr>
          <w:sz w:val="22"/>
          <w:szCs w:val="22"/>
          <w:lang w:val="en-US"/>
        </w:rPr>
        <w:t xml:space="preserve">with the IPND Manager for the supply of </w:t>
      </w:r>
      <w:r>
        <w:rPr>
          <w:sz w:val="22"/>
          <w:szCs w:val="22"/>
          <w:lang w:val="en-US"/>
        </w:rPr>
        <w:t>customer data</w:t>
      </w:r>
      <w:r w:rsidRPr="009905D9">
        <w:rPr>
          <w:sz w:val="22"/>
          <w:szCs w:val="22"/>
          <w:lang w:val="en-US"/>
        </w:rPr>
        <w:t xml:space="preserve"> </w:t>
      </w:r>
      <w:r>
        <w:rPr>
          <w:sz w:val="22"/>
          <w:szCs w:val="22"/>
          <w:lang w:val="en-US"/>
        </w:rPr>
        <w:t>as soon as practicable after</w:t>
      </w:r>
      <w:r w:rsidRPr="009905D9">
        <w:rPr>
          <w:sz w:val="22"/>
          <w:szCs w:val="22"/>
          <w:lang w:val="en-US"/>
        </w:rPr>
        <w:t xml:space="preserve"> receiving written confirmation from the ACMA that the </w:t>
      </w:r>
      <w:r>
        <w:rPr>
          <w:sz w:val="22"/>
          <w:szCs w:val="22"/>
          <w:lang w:val="en-US"/>
        </w:rPr>
        <w:t>IPND Manager has been notified of the decision to grant a final</w:t>
      </w:r>
      <w:r w:rsidRPr="009905D9">
        <w:rPr>
          <w:sz w:val="22"/>
          <w:szCs w:val="22"/>
          <w:lang w:val="en-US"/>
        </w:rPr>
        <w:t xml:space="preserve"> </w:t>
      </w:r>
      <w:proofErr w:type="spellStart"/>
      <w:r w:rsidRPr="009905D9">
        <w:rPr>
          <w:sz w:val="22"/>
          <w:szCs w:val="22"/>
          <w:lang w:val="en-US"/>
        </w:rPr>
        <w:t>authorisation</w:t>
      </w:r>
      <w:proofErr w:type="spellEnd"/>
      <w:r>
        <w:rPr>
          <w:sz w:val="22"/>
          <w:szCs w:val="22"/>
          <w:lang w:val="en-US"/>
        </w:rPr>
        <w:t>; and</w:t>
      </w:r>
    </w:p>
    <w:p w14:paraId="5F1E45D5" w14:textId="77777777" w:rsidR="00362B2C" w:rsidRPr="009905D9" w:rsidRDefault="00362B2C" w:rsidP="00362B2C">
      <w:pPr>
        <w:pStyle w:val="ACMABodyText"/>
        <w:numPr>
          <w:ilvl w:val="0"/>
          <w:numId w:val="11"/>
        </w:numPr>
        <w:spacing w:before="0" w:after="160" w:line="259" w:lineRule="auto"/>
        <w:ind w:left="1077" w:hanging="357"/>
        <w:rPr>
          <w:sz w:val="22"/>
          <w:szCs w:val="22"/>
          <w:lang w:val="en-US"/>
        </w:rPr>
      </w:pPr>
      <w:r w:rsidRPr="009905D9">
        <w:rPr>
          <w:sz w:val="22"/>
          <w:szCs w:val="22"/>
          <w:lang w:val="en-US"/>
        </w:rPr>
        <w:t xml:space="preserve">notify </w:t>
      </w:r>
      <w:r>
        <w:rPr>
          <w:sz w:val="22"/>
          <w:szCs w:val="22"/>
          <w:lang w:val="en-US"/>
        </w:rPr>
        <w:t xml:space="preserve">the </w:t>
      </w:r>
      <w:r w:rsidRPr="009905D9">
        <w:rPr>
          <w:sz w:val="22"/>
          <w:szCs w:val="22"/>
          <w:lang w:val="en-US"/>
        </w:rPr>
        <w:t>ACMA</w:t>
      </w:r>
      <w:r>
        <w:rPr>
          <w:sz w:val="22"/>
          <w:szCs w:val="22"/>
          <w:lang w:val="en-US"/>
        </w:rPr>
        <w:t xml:space="preserve"> in writing</w:t>
      </w:r>
      <w:r w:rsidRPr="009905D9">
        <w:rPr>
          <w:sz w:val="22"/>
          <w:szCs w:val="22"/>
          <w:lang w:val="en-US"/>
        </w:rPr>
        <w:t xml:space="preserve"> of the date on which </w:t>
      </w:r>
      <w:r>
        <w:rPr>
          <w:sz w:val="22"/>
          <w:szCs w:val="22"/>
          <w:lang w:val="en-US"/>
        </w:rPr>
        <w:t>the publisher first</w:t>
      </w:r>
      <w:r w:rsidRPr="009905D9">
        <w:rPr>
          <w:sz w:val="22"/>
          <w:szCs w:val="22"/>
          <w:lang w:val="en-US"/>
        </w:rPr>
        <w:t xml:space="preserve"> receives the </w:t>
      </w:r>
      <w:r>
        <w:rPr>
          <w:sz w:val="22"/>
          <w:szCs w:val="22"/>
          <w:lang w:val="en-US"/>
        </w:rPr>
        <w:t>customer data</w:t>
      </w:r>
      <w:r w:rsidRPr="009905D9">
        <w:rPr>
          <w:sz w:val="22"/>
          <w:szCs w:val="22"/>
          <w:lang w:val="en-US"/>
        </w:rPr>
        <w:t xml:space="preserve"> within 10 </w:t>
      </w:r>
      <w:r>
        <w:rPr>
          <w:sz w:val="22"/>
          <w:szCs w:val="22"/>
          <w:lang w:val="en-US"/>
        </w:rPr>
        <w:t>business</w:t>
      </w:r>
      <w:r w:rsidRPr="009905D9">
        <w:rPr>
          <w:sz w:val="22"/>
          <w:szCs w:val="22"/>
          <w:lang w:val="en-US"/>
        </w:rPr>
        <w:t xml:space="preserve"> days </w:t>
      </w:r>
      <w:r>
        <w:rPr>
          <w:sz w:val="22"/>
          <w:szCs w:val="22"/>
          <w:lang w:val="en-US"/>
        </w:rPr>
        <w:t>after</w:t>
      </w:r>
      <w:r w:rsidRPr="009905D9">
        <w:rPr>
          <w:sz w:val="22"/>
          <w:szCs w:val="22"/>
          <w:lang w:val="en-US"/>
        </w:rPr>
        <w:t xml:space="preserve"> the start of </w:t>
      </w:r>
      <w:r>
        <w:rPr>
          <w:sz w:val="22"/>
          <w:szCs w:val="22"/>
          <w:lang w:val="en-US"/>
        </w:rPr>
        <w:t>the final</w:t>
      </w:r>
      <w:r w:rsidRPr="009905D9">
        <w:rPr>
          <w:sz w:val="22"/>
          <w:szCs w:val="22"/>
          <w:lang w:val="en-US"/>
        </w:rPr>
        <w:t xml:space="preserve"> </w:t>
      </w:r>
      <w:proofErr w:type="spellStart"/>
      <w:r>
        <w:rPr>
          <w:sz w:val="22"/>
          <w:szCs w:val="22"/>
          <w:lang w:val="en-US"/>
        </w:rPr>
        <w:t>authorisation</w:t>
      </w:r>
      <w:proofErr w:type="spellEnd"/>
      <w:r>
        <w:rPr>
          <w:sz w:val="22"/>
          <w:szCs w:val="22"/>
          <w:lang w:val="en-US"/>
        </w:rPr>
        <w:t xml:space="preserve"> (subsection (2)).</w:t>
      </w:r>
    </w:p>
    <w:p w14:paraId="2769E701" w14:textId="77777777" w:rsidR="00362B2C" w:rsidRDefault="00362B2C" w:rsidP="00362B2C">
      <w:pPr>
        <w:pStyle w:val="ACMABodyText"/>
        <w:numPr>
          <w:ilvl w:val="0"/>
          <w:numId w:val="12"/>
        </w:numPr>
        <w:spacing w:before="0" w:after="40" w:line="259" w:lineRule="auto"/>
        <w:ind w:left="714" w:hanging="357"/>
        <w:rPr>
          <w:sz w:val="22"/>
          <w:szCs w:val="22"/>
        </w:rPr>
      </w:pPr>
      <w:r>
        <w:rPr>
          <w:sz w:val="22"/>
          <w:szCs w:val="22"/>
        </w:rPr>
        <w:t>The public number directory publisher must not use the customer data for any purpose other than the publication and maintenance of a PND (subsection (3))</w:t>
      </w:r>
      <w:r w:rsidRPr="009905D9">
        <w:rPr>
          <w:sz w:val="22"/>
          <w:szCs w:val="22"/>
        </w:rPr>
        <w:t>.</w:t>
      </w:r>
    </w:p>
    <w:p w14:paraId="24CFD70C" w14:textId="77777777" w:rsidR="00362B2C" w:rsidRDefault="00362B2C" w:rsidP="00362B2C">
      <w:pPr>
        <w:pStyle w:val="ACMABodyText"/>
        <w:numPr>
          <w:ilvl w:val="0"/>
          <w:numId w:val="12"/>
        </w:numPr>
        <w:spacing w:before="0" w:after="40" w:line="259" w:lineRule="auto"/>
        <w:ind w:left="714" w:hanging="357"/>
      </w:pPr>
      <w:r>
        <w:rPr>
          <w:sz w:val="22"/>
          <w:szCs w:val="22"/>
        </w:rPr>
        <w:t xml:space="preserve">The public number directory </w:t>
      </w:r>
      <w:r w:rsidRPr="009255DA">
        <w:rPr>
          <w:sz w:val="22"/>
          <w:szCs w:val="22"/>
        </w:rPr>
        <w:t xml:space="preserve">publisher </w:t>
      </w:r>
      <w:r>
        <w:rPr>
          <w:sz w:val="22"/>
          <w:szCs w:val="22"/>
        </w:rPr>
        <w:t>must</w:t>
      </w:r>
      <w:r w:rsidRPr="009255DA">
        <w:rPr>
          <w:sz w:val="22"/>
          <w:szCs w:val="22"/>
        </w:rPr>
        <w:t xml:space="preserve"> publish a PND within </w:t>
      </w:r>
      <w:r>
        <w:rPr>
          <w:sz w:val="22"/>
          <w:szCs w:val="22"/>
        </w:rPr>
        <w:t xml:space="preserve">a period of </w:t>
      </w:r>
      <w:r w:rsidRPr="009255DA">
        <w:rPr>
          <w:sz w:val="22"/>
          <w:szCs w:val="22"/>
        </w:rPr>
        <w:t xml:space="preserve">90 days </w:t>
      </w:r>
      <w:r>
        <w:rPr>
          <w:sz w:val="22"/>
          <w:szCs w:val="22"/>
        </w:rPr>
        <w:t>starting on</w:t>
      </w:r>
      <w:r w:rsidRPr="009255DA">
        <w:rPr>
          <w:sz w:val="22"/>
          <w:szCs w:val="22"/>
        </w:rPr>
        <w:t xml:space="preserve"> the day </w:t>
      </w:r>
      <w:r>
        <w:rPr>
          <w:sz w:val="22"/>
          <w:szCs w:val="22"/>
        </w:rPr>
        <w:t xml:space="preserve">on which </w:t>
      </w:r>
      <w:r w:rsidRPr="009255DA">
        <w:rPr>
          <w:sz w:val="22"/>
          <w:szCs w:val="22"/>
        </w:rPr>
        <w:t>the final authorisation starts</w:t>
      </w:r>
      <w:r>
        <w:rPr>
          <w:sz w:val="22"/>
          <w:szCs w:val="22"/>
        </w:rPr>
        <w:t xml:space="preserve"> (subsection (4))</w:t>
      </w:r>
      <w:r w:rsidRPr="009255DA">
        <w:rPr>
          <w:sz w:val="22"/>
          <w:szCs w:val="22"/>
        </w:rPr>
        <w:t>.</w:t>
      </w:r>
      <w:r>
        <w:t xml:space="preserve"> </w:t>
      </w:r>
    </w:p>
    <w:p w14:paraId="5479BE5A" w14:textId="77777777" w:rsidR="00362B2C" w:rsidRDefault="00362B2C" w:rsidP="00362B2C">
      <w:pPr>
        <w:pStyle w:val="ACMABodyText"/>
        <w:numPr>
          <w:ilvl w:val="0"/>
          <w:numId w:val="12"/>
        </w:numPr>
        <w:spacing w:before="0" w:after="40" w:line="259" w:lineRule="auto"/>
        <w:ind w:left="714" w:hanging="357"/>
        <w:rPr>
          <w:sz w:val="22"/>
          <w:szCs w:val="22"/>
        </w:rPr>
      </w:pPr>
      <w:r>
        <w:rPr>
          <w:sz w:val="22"/>
          <w:szCs w:val="22"/>
        </w:rPr>
        <w:t xml:space="preserve">The public number directory </w:t>
      </w:r>
      <w:r w:rsidRPr="00E151DE">
        <w:rPr>
          <w:sz w:val="22"/>
          <w:szCs w:val="22"/>
        </w:rPr>
        <w:t xml:space="preserve">publisher </w:t>
      </w:r>
      <w:r>
        <w:rPr>
          <w:sz w:val="22"/>
          <w:szCs w:val="22"/>
        </w:rPr>
        <w:t xml:space="preserve">must, </w:t>
      </w:r>
      <w:r w:rsidRPr="00E151DE">
        <w:rPr>
          <w:sz w:val="22"/>
          <w:szCs w:val="22"/>
        </w:rPr>
        <w:t xml:space="preserve">within 10 </w:t>
      </w:r>
      <w:r>
        <w:rPr>
          <w:sz w:val="22"/>
          <w:szCs w:val="22"/>
        </w:rPr>
        <w:t>business</w:t>
      </w:r>
      <w:r w:rsidRPr="00E151DE">
        <w:rPr>
          <w:sz w:val="22"/>
          <w:szCs w:val="22"/>
        </w:rPr>
        <w:t xml:space="preserve"> days </w:t>
      </w:r>
      <w:r>
        <w:rPr>
          <w:sz w:val="22"/>
          <w:szCs w:val="22"/>
        </w:rPr>
        <w:t>after</w:t>
      </w:r>
      <w:r w:rsidRPr="00E151DE">
        <w:rPr>
          <w:sz w:val="22"/>
          <w:szCs w:val="22"/>
        </w:rPr>
        <w:t xml:space="preserve"> publishing </w:t>
      </w:r>
      <w:r>
        <w:rPr>
          <w:sz w:val="22"/>
          <w:szCs w:val="22"/>
        </w:rPr>
        <w:t xml:space="preserve">a PND, notify the ACMA in writing that the PND has been published, </w:t>
      </w:r>
      <w:r w:rsidRPr="00E151DE">
        <w:rPr>
          <w:sz w:val="22"/>
          <w:szCs w:val="22"/>
        </w:rPr>
        <w:t xml:space="preserve">give </w:t>
      </w:r>
      <w:r>
        <w:rPr>
          <w:sz w:val="22"/>
          <w:szCs w:val="22"/>
        </w:rPr>
        <w:t xml:space="preserve">the </w:t>
      </w:r>
      <w:r w:rsidRPr="00E151DE">
        <w:rPr>
          <w:sz w:val="22"/>
          <w:szCs w:val="22"/>
        </w:rPr>
        <w:t xml:space="preserve">ACMA details of how the PND can be obtained and provide </w:t>
      </w:r>
      <w:r>
        <w:rPr>
          <w:sz w:val="22"/>
          <w:szCs w:val="22"/>
        </w:rPr>
        <w:t xml:space="preserve">the </w:t>
      </w:r>
      <w:r w:rsidRPr="00E151DE">
        <w:rPr>
          <w:sz w:val="22"/>
          <w:szCs w:val="22"/>
        </w:rPr>
        <w:t>ACMA with access to the PND</w:t>
      </w:r>
      <w:r>
        <w:rPr>
          <w:sz w:val="22"/>
          <w:szCs w:val="22"/>
        </w:rPr>
        <w:t xml:space="preserve"> (subsection (5))</w:t>
      </w:r>
      <w:r w:rsidRPr="00E151DE">
        <w:rPr>
          <w:sz w:val="22"/>
          <w:szCs w:val="22"/>
        </w:rPr>
        <w:t xml:space="preserve">. </w:t>
      </w:r>
    </w:p>
    <w:p w14:paraId="5D88581D" w14:textId="77777777" w:rsidR="00362B2C" w:rsidRPr="00E151DE" w:rsidRDefault="00362B2C" w:rsidP="00362B2C">
      <w:pPr>
        <w:pStyle w:val="ACMABodyText"/>
        <w:numPr>
          <w:ilvl w:val="0"/>
          <w:numId w:val="12"/>
        </w:numPr>
        <w:spacing w:before="0" w:after="40" w:line="259" w:lineRule="auto"/>
        <w:ind w:left="714" w:hanging="357"/>
        <w:rPr>
          <w:sz w:val="22"/>
          <w:szCs w:val="22"/>
        </w:rPr>
      </w:pPr>
      <w:r>
        <w:rPr>
          <w:sz w:val="22"/>
          <w:szCs w:val="22"/>
          <w:lang w:val="en-US"/>
        </w:rPr>
        <w:t xml:space="preserve">The </w:t>
      </w:r>
      <w:r>
        <w:rPr>
          <w:sz w:val="22"/>
          <w:szCs w:val="22"/>
        </w:rPr>
        <w:t xml:space="preserve">public number directory </w:t>
      </w:r>
      <w:r w:rsidRPr="00E151DE">
        <w:rPr>
          <w:sz w:val="22"/>
          <w:szCs w:val="22"/>
          <w:lang w:val="en-US"/>
        </w:rPr>
        <w:t xml:space="preserve">publisher </w:t>
      </w:r>
      <w:r>
        <w:rPr>
          <w:sz w:val="22"/>
          <w:szCs w:val="22"/>
          <w:lang w:val="en-US"/>
        </w:rPr>
        <w:t>must</w:t>
      </w:r>
      <w:r w:rsidRPr="00E151DE">
        <w:rPr>
          <w:sz w:val="22"/>
          <w:szCs w:val="22"/>
          <w:lang w:val="en-US"/>
        </w:rPr>
        <w:t xml:space="preserve"> ensure that each PND</w:t>
      </w:r>
      <w:r>
        <w:rPr>
          <w:sz w:val="22"/>
          <w:szCs w:val="22"/>
          <w:lang w:val="en-US"/>
        </w:rPr>
        <w:t xml:space="preserve"> that</w:t>
      </w:r>
      <w:r w:rsidRPr="00E151DE">
        <w:rPr>
          <w:sz w:val="22"/>
          <w:szCs w:val="22"/>
          <w:lang w:val="en-US"/>
        </w:rPr>
        <w:t xml:space="preserve"> it publishes is </w:t>
      </w:r>
      <w:r>
        <w:rPr>
          <w:sz w:val="22"/>
          <w:szCs w:val="22"/>
          <w:lang w:val="en-US"/>
        </w:rPr>
        <w:t>made generally available to members of the public (subsection (6))</w:t>
      </w:r>
      <w:r w:rsidRPr="00E151DE">
        <w:rPr>
          <w:sz w:val="22"/>
          <w:szCs w:val="22"/>
          <w:lang w:val="en-US"/>
        </w:rPr>
        <w:t xml:space="preserve">.  </w:t>
      </w:r>
    </w:p>
    <w:p w14:paraId="52A92D12" w14:textId="77777777" w:rsidR="00362B2C" w:rsidRPr="00531958" w:rsidRDefault="00362B2C" w:rsidP="00362B2C">
      <w:pPr>
        <w:pStyle w:val="ACMABodyText"/>
        <w:numPr>
          <w:ilvl w:val="0"/>
          <w:numId w:val="12"/>
        </w:numPr>
        <w:spacing w:before="0" w:after="40" w:line="259" w:lineRule="auto"/>
        <w:ind w:left="714" w:hanging="357"/>
        <w:rPr>
          <w:sz w:val="22"/>
          <w:szCs w:val="22"/>
        </w:rPr>
      </w:pPr>
      <w:r>
        <w:rPr>
          <w:sz w:val="22"/>
          <w:szCs w:val="22"/>
          <w:lang w:val="en-US"/>
        </w:rPr>
        <w:t>The public number directory publisher must provide the ACMA with further access to any PNDs that it has published if the ACMA asks the publisher in writing for such access (subsection (7)).</w:t>
      </w:r>
    </w:p>
    <w:p w14:paraId="3F32F1E4" w14:textId="77777777" w:rsidR="00362B2C" w:rsidRPr="00BE11C8" w:rsidRDefault="00362B2C" w:rsidP="00362B2C">
      <w:pPr>
        <w:pStyle w:val="ACMABodyText"/>
        <w:numPr>
          <w:ilvl w:val="0"/>
          <w:numId w:val="12"/>
        </w:numPr>
        <w:spacing w:before="0" w:after="40" w:line="259" w:lineRule="auto"/>
        <w:ind w:left="714" w:hanging="357"/>
        <w:rPr>
          <w:sz w:val="22"/>
          <w:szCs w:val="22"/>
        </w:rPr>
      </w:pPr>
      <w:r>
        <w:rPr>
          <w:sz w:val="22"/>
          <w:szCs w:val="22"/>
          <w:lang w:val="en-US"/>
        </w:rPr>
        <w:t xml:space="preserve">If a customer informs the public number directory publisher that the customer wants the customer’s listed number to become an unlisted number, the </w:t>
      </w:r>
      <w:r w:rsidRPr="00BE11C8">
        <w:rPr>
          <w:sz w:val="22"/>
          <w:szCs w:val="22"/>
          <w:lang w:val="en-US"/>
        </w:rPr>
        <w:t xml:space="preserve">publisher </w:t>
      </w:r>
      <w:r>
        <w:rPr>
          <w:sz w:val="22"/>
          <w:szCs w:val="22"/>
          <w:lang w:val="en-US"/>
        </w:rPr>
        <w:t>must</w:t>
      </w:r>
      <w:r w:rsidRPr="00BE11C8">
        <w:rPr>
          <w:sz w:val="22"/>
          <w:szCs w:val="22"/>
          <w:lang w:val="en-US"/>
        </w:rPr>
        <w:t xml:space="preserve"> advise </w:t>
      </w:r>
      <w:r>
        <w:rPr>
          <w:sz w:val="22"/>
          <w:szCs w:val="22"/>
          <w:lang w:val="en-US"/>
        </w:rPr>
        <w:t>the</w:t>
      </w:r>
      <w:r w:rsidRPr="00BE11C8">
        <w:rPr>
          <w:sz w:val="22"/>
          <w:szCs w:val="22"/>
          <w:lang w:val="en-US"/>
        </w:rPr>
        <w:t xml:space="preserve"> customer to contact the customer’s carriage service provider</w:t>
      </w:r>
      <w:r>
        <w:rPr>
          <w:sz w:val="22"/>
          <w:szCs w:val="22"/>
          <w:lang w:val="en-US"/>
        </w:rPr>
        <w:t xml:space="preserve"> (subsection (8)).</w:t>
      </w:r>
      <w:r w:rsidRPr="00BE11C8">
        <w:rPr>
          <w:sz w:val="22"/>
          <w:szCs w:val="22"/>
          <w:lang w:val="en-US"/>
        </w:rPr>
        <w:t xml:space="preserve">  This </w:t>
      </w:r>
      <w:proofErr w:type="spellStart"/>
      <w:r w:rsidRPr="00BE11C8">
        <w:rPr>
          <w:sz w:val="22"/>
          <w:szCs w:val="22"/>
          <w:lang w:val="en-US"/>
        </w:rPr>
        <w:t>recognises</w:t>
      </w:r>
      <w:proofErr w:type="spellEnd"/>
      <w:r w:rsidRPr="00BE11C8">
        <w:rPr>
          <w:sz w:val="22"/>
          <w:szCs w:val="22"/>
          <w:lang w:val="en-US"/>
        </w:rPr>
        <w:t xml:space="preserve"> that it is the obligation of the carriage service provider, under Part 4 of Schedule 2 to the Act, to give the IPND Manager information for the IPND in relation to their customers. </w:t>
      </w:r>
    </w:p>
    <w:p w14:paraId="20769651" w14:textId="77777777" w:rsidR="00362B2C" w:rsidRPr="00BE11C8" w:rsidRDefault="00362B2C" w:rsidP="00362B2C">
      <w:pPr>
        <w:pStyle w:val="ACMABodyText"/>
        <w:numPr>
          <w:ilvl w:val="0"/>
          <w:numId w:val="12"/>
        </w:numPr>
        <w:spacing w:before="0" w:after="40" w:line="259" w:lineRule="auto"/>
        <w:ind w:hanging="357"/>
        <w:contextualSpacing/>
        <w:rPr>
          <w:sz w:val="22"/>
          <w:szCs w:val="22"/>
        </w:rPr>
      </w:pPr>
      <w:r>
        <w:rPr>
          <w:sz w:val="22"/>
          <w:szCs w:val="22"/>
          <w:lang w:val="en-US"/>
        </w:rPr>
        <w:t>If</w:t>
      </w:r>
      <w:r w:rsidRPr="00BE11C8">
        <w:rPr>
          <w:sz w:val="22"/>
          <w:szCs w:val="22"/>
          <w:lang w:val="en-US"/>
        </w:rPr>
        <w:t xml:space="preserve"> the IPND Manager informs the </w:t>
      </w:r>
      <w:r>
        <w:rPr>
          <w:sz w:val="22"/>
          <w:szCs w:val="22"/>
          <w:lang w:val="en-US"/>
        </w:rPr>
        <w:t xml:space="preserve">public number directory </w:t>
      </w:r>
      <w:r w:rsidRPr="00BE11C8">
        <w:rPr>
          <w:sz w:val="22"/>
          <w:szCs w:val="22"/>
          <w:lang w:val="en-US"/>
        </w:rPr>
        <w:t xml:space="preserve">publisher that a listed number has become </w:t>
      </w:r>
      <w:r>
        <w:rPr>
          <w:sz w:val="22"/>
          <w:szCs w:val="22"/>
          <w:lang w:val="en-US"/>
        </w:rPr>
        <w:t xml:space="preserve">an </w:t>
      </w:r>
      <w:r w:rsidRPr="00BE11C8">
        <w:rPr>
          <w:sz w:val="22"/>
          <w:szCs w:val="22"/>
          <w:lang w:val="en-US"/>
        </w:rPr>
        <w:t>unlisted</w:t>
      </w:r>
      <w:r>
        <w:rPr>
          <w:sz w:val="22"/>
          <w:szCs w:val="22"/>
          <w:lang w:val="en-US"/>
        </w:rPr>
        <w:t xml:space="preserve"> number</w:t>
      </w:r>
      <w:r w:rsidRPr="00BE11C8">
        <w:rPr>
          <w:sz w:val="22"/>
          <w:szCs w:val="22"/>
          <w:lang w:val="en-US"/>
        </w:rPr>
        <w:t xml:space="preserve"> in the IPND, the publisher:</w:t>
      </w:r>
    </w:p>
    <w:p w14:paraId="007156C7" w14:textId="77777777" w:rsidR="00362B2C" w:rsidRPr="00BE11C8" w:rsidRDefault="00362B2C" w:rsidP="00362B2C">
      <w:pPr>
        <w:pStyle w:val="ACMABodyText"/>
        <w:numPr>
          <w:ilvl w:val="1"/>
          <w:numId w:val="12"/>
        </w:numPr>
        <w:spacing w:before="0" w:after="40" w:line="259" w:lineRule="auto"/>
        <w:ind w:hanging="357"/>
        <w:contextualSpacing/>
        <w:rPr>
          <w:sz w:val="22"/>
          <w:szCs w:val="22"/>
        </w:rPr>
      </w:pPr>
      <w:r>
        <w:rPr>
          <w:sz w:val="22"/>
          <w:szCs w:val="22"/>
          <w:lang w:val="en-US"/>
        </w:rPr>
        <w:lastRenderedPageBreak/>
        <w:t xml:space="preserve">must, </w:t>
      </w:r>
      <w:r w:rsidRPr="00BE11C8">
        <w:rPr>
          <w:sz w:val="22"/>
          <w:szCs w:val="22"/>
          <w:lang w:val="en-US"/>
        </w:rPr>
        <w:t>within 2 business days</w:t>
      </w:r>
      <w:r>
        <w:rPr>
          <w:sz w:val="22"/>
          <w:szCs w:val="22"/>
          <w:lang w:val="en-US"/>
        </w:rPr>
        <w:t xml:space="preserve"> after being notified</w:t>
      </w:r>
      <w:r w:rsidRPr="00BE11C8">
        <w:rPr>
          <w:sz w:val="22"/>
          <w:szCs w:val="22"/>
          <w:lang w:val="en-US"/>
        </w:rPr>
        <w:t>, amend any PNDs</w:t>
      </w:r>
      <w:r>
        <w:rPr>
          <w:sz w:val="22"/>
          <w:szCs w:val="22"/>
          <w:lang w:val="en-US"/>
        </w:rPr>
        <w:t xml:space="preserve"> that it publishes and maintains</w:t>
      </w:r>
      <w:r w:rsidRPr="00BE11C8">
        <w:rPr>
          <w:sz w:val="22"/>
          <w:szCs w:val="22"/>
          <w:lang w:val="en-US"/>
        </w:rPr>
        <w:t xml:space="preserve"> online, or in another streaming format</w:t>
      </w:r>
      <w:r>
        <w:rPr>
          <w:sz w:val="22"/>
          <w:szCs w:val="22"/>
          <w:lang w:val="en-US"/>
        </w:rPr>
        <w:t>,</w:t>
      </w:r>
      <w:r w:rsidRPr="00BE11C8">
        <w:rPr>
          <w:sz w:val="22"/>
          <w:szCs w:val="22"/>
          <w:lang w:val="en-US"/>
        </w:rPr>
        <w:t xml:space="preserve"> to remove all customer data related to the number;</w:t>
      </w:r>
    </w:p>
    <w:p w14:paraId="171AD05C" w14:textId="77777777" w:rsidR="00362B2C" w:rsidRPr="00BE11C8" w:rsidRDefault="00362B2C" w:rsidP="00362B2C">
      <w:pPr>
        <w:pStyle w:val="ACMABodyText"/>
        <w:numPr>
          <w:ilvl w:val="1"/>
          <w:numId w:val="12"/>
        </w:numPr>
        <w:spacing w:before="0" w:after="40" w:line="259" w:lineRule="auto"/>
        <w:ind w:hanging="357"/>
        <w:contextualSpacing/>
        <w:rPr>
          <w:sz w:val="22"/>
          <w:szCs w:val="22"/>
        </w:rPr>
      </w:pPr>
      <w:r w:rsidRPr="00BE11C8">
        <w:rPr>
          <w:sz w:val="22"/>
          <w:szCs w:val="22"/>
          <w:lang w:val="en-US"/>
        </w:rPr>
        <w:t>must not</w:t>
      </w:r>
      <w:r>
        <w:rPr>
          <w:sz w:val="22"/>
          <w:szCs w:val="22"/>
          <w:lang w:val="en-US"/>
        </w:rPr>
        <w:t>, after being notified,</w:t>
      </w:r>
      <w:r w:rsidRPr="00BE11C8">
        <w:rPr>
          <w:sz w:val="22"/>
          <w:szCs w:val="22"/>
          <w:lang w:val="en-US"/>
        </w:rPr>
        <w:t xml:space="preserve"> make available online</w:t>
      </w:r>
      <w:r>
        <w:rPr>
          <w:sz w:val="22"/>
          <w:szCs w:val="22"/>
          <w:lang w:val="en-US"/>
        </w:rPr>
        <w:t>,</w:t>
      </w:r>
      <w:r w:rsidRPr="00BE11C8">
        <w:rPr>
          <w:sz w:val="22"/>
          <w:szCs w:val="22"/>
          <w:lang w:val="en-US"/>
        </w:rPr>
        <w:t xml:space="preserve"> or in another streaming electronic format, a PND contain</w:t>
      </w:r>
      <w:r>
        <w:rPr>
          <w:sz w:val="22"/>
          <w:szCs w:val="22"/>
          <w:lang w:val="en-US"/>
        </w:rPr>
        <w:t>ing</w:t>
      </w:r>
      <w:r w:rsidRPr="00BE11C8">
        <w:rPr>
          <w:sz w:val="22"/>
          <w:szCs w:val="22"/>
          <w:lang w:val="en-US"/>
        </w:rPr>
        <w:t xml:space="preserve"> or otherwise disclos</w:t>
      </w:r>
      <w:r>
        <w:rPr>
          <w:sz w:val="22"/>
          <w:szCs w:val="22"/>
          <w:lang w:val="en-US"/>
        </w:rPr>
        <w:t>ing</w:t>
      </w:r>
      <w:r w:rsidRPr="00BE11C8">
        <w:rPr>
          <w:sz w:val="22"/>
          <w:szCs w:val="22"/>
          <w:lang w:val="en-US"/>
        </w:rPr>
        <w:t xml:space="preserve"> </w:t>
      </w:r>
      <w:r>
        <w:rPr>
          <w:sz w:val="22"/>
          <w:szCs w:val="22"/>
          <w:lang w:val="en-US"/>
        </w:rPr>
        <w:t xml:space="preserve">any of the customer data relating to </w:t>
      </w:r>
      <w:r w:rsidRPr="00BE11C8">
        <w:rPr>
          <w:sz w:val="22"/>
          <w:szCs w:val="22"/>
          <w:lang w:val="en-US"/>
        </w:rPr>
        <w:t xml:space="preserve">the number; </w:t>
      </w:r>
    </w:p>
    <w:p w14:paraId="7AB81882" w14:textId="77777777" w:rsidR="00362B2C" w:rsidRPr="00BE11C8" w:rsidRDefault="00362B2C" w:rsidP="00362B2C">
      <w:pPr>
        <w:pStyle w:val="ACMABodyText"/>
        <w:numPr>
          <w:ilvl w:val="1"/>
          <w:numId w:val="12"/>
        </w:numPr>
        <w:spacing w:before="0" w:after="40" w:line="259" w:lineRule="auto"/>
        <w:ind w:hanging="357"/>
        <w:contextualSpacing/>
        <w:rPr>
          <w:sz w:val="22"/>
          <w:szCs w:val="22"/>
        </w:rPr>
      </w:pPr>
      <w:r>
        <w:rPr>
          <w:sz w:val="22"/>
          <w:szCs w:val="22"/>
          <w:lang w:val="en-US"/>
        </w:rPr>
        <w:t xml:space="preserve">must not, after being notified, </w:t>
      </w:r>
      <w:r w:rsidRPr="00BE11C8">
        <w:rPr>
          <w:sz w:val="22"/>
          <w:szCs w:val="22"/>
          <w:lang w:val="en-US"/>
        </w:rPr>
        <w:t xml:space="preserve">release or arrange to be released any document or database containing any </w:t>
      </w:r>
      <w:r>
        <w:rPr>
          <w:sz w:val="22"/>
          <w:szCs w:val="22"/>
          <w:lang w:val="en-US"/>
        </w:rPr>
        <w:t xml:space="preserve">of the </w:t>
      </w:r>
      <w:r w:rsidRPr="00BE11C8">
        <w:rPr>
          <w:sz w:val="22"/>
          <w:szCs w:val="22"/>
          <w:lang w:val="en-US"/>
        </w:rPr>
        <w:t>customer data relat</w:t>
      </w:r>
      <w:r>
        <w:rPr>
          <w:sz w:val="22"/>
          <w:szCs w:val="22"/>
          <w:lang w:val="en-US"/>
        </w:rPr>
        <w:t>ing</w:t>
      </w:r>
      <w:r w:rsidRPr="00BE11C8">
        <w:rPr>
          <w:sz w:val="22"/>
          <w:szCs w:val="22"/>
          <w:lang w:val="en-US"/>
        </w:rPr>
        <w:t xml:space="preserve"> to the number;</w:t>
      </w:r>
    </w:p>
    <w:p w14:paraId="03913CB0" w14:textId="77777777" w:rsidR="00362B2C" w:rsidRPr="00BE11C8" w:rsidRDefault="00362B2C" w:rsidP="00362B2C">
      <w:pPr>
        <w:pStyle w:val="ACMABodyText"/>
        <w:numPr>
          <w:ilvl w:val="1"/>
          <w:numId w:val="12"/>
        </w:numPr>
        <w:spacing w:before="0" w:after="160" w:line="259" w:lineRule="auto"/>
        <w:ind w:hanging="357"/>
        <w:contextualSpacing/>
        <w:rPr>
          <w:sz w:val="22"/>
          <w:szCs w:val="22"/>
        </w:rPr>
      </w:pPr>
      <w:r>
        <w:rPr>
          <w:sz w:val="22"/>
          <w:szCs w:val="22"/>
          <w:lang w:val="en-US"/>
        </w:rPr>
        <w:t xml:space="preserve">must, </w:t>
      </w:r>
      <w:r w:rsidRPr="00BE11C8">
        <w:rPr>
          <w:sz w:val="22"/>
          <w:szCs w:val="22"/>
          <w:lang w:val="en-US"/>
        </w:rPr>
        <w:t>within 10 business days</w:t>
      </w:r>
      <w:r>
        <w:rPr>
          <w:sz w:val="22"/>
          <w:szCs w:val="22"/>
          <w:lang w:val="en-US"/>
        </w:rPr>
        <w:t xml:space="preserve"> after being notified</w:t>
      </w:r>
      <w:r w:rsidRPr="00BE11C8">
        <w:rPr>
          <w:sz w:val="22"/>
          <w:szCs w:val="22"/>
          <w:lang w:val="en-US"/>
        </w:rPr>
        <w:t>, destroy</w:t>
      </w:r>
      <w:r>
        <w:rPr>
          <w:sz w:val="22"/>
          <w:szCs w:val="22"/>
          <w:lang w:val="en-US"/>
        </w:rPr>
        <w:t xml:space="preserve"> securely</w:t>
      </w:r>
      <w:r w:rsidRPr="00BE11C8">
        <w:rPr>
          <w:sz w:val="22"/>
          <w:szCs w:val="22"/>
          <w:lang w:val="en-US"/>
        </w:rPr>
        <w:t xml:space="preserve"> all of the customer data </w:t>
      </w:r>
      <w:r>
        <w:rPr>
          <w:sz w:val="22"/>
          <w:szCs w:val="22"/>
          <w:lang w:val="en-US"/>
        </w:rPr>
        <w:t>in its possession relating to the number (subsection (9))</w:t>
      </w:r>
      <w:r w:rsidRPr="00BE11C8">
        <w:rPr>
          <w:sz w:val="22"/>
          <w:szCs w:val="22"/>
          <w:lang w:val="en-US"/>
        </w:rPr>
        <w:t>.</w:t>
      </w:r>
    </w:p>
    <w:p w14:paraId="75D1D4C5" w14:textId="77777777" w:rsidR="00362B2C" w:rsidRPr="00BE11C8" w:rsidRDefault="00362B2C" w:rsidP="00362B2C">
      <w:pPr>
        <w:pStyle w:val="ListParagraph"/>
        <w:numPr>
          <w:ilvl w:val="0"/>
          <w:numId w:val="12"/>
        </w:numPr>
        <w:ind w:left="714" w:hanging="357"/>
        <w:rPr>
          <w:rFonts w:ascii="Times New Roman" w:hAnsi="Times New Roman" w:cs="Times New Roman"/>
          <w:lang w:val="en-US"/>
        </w:rPr>
      </w:pPr>
      <w:r>
        <w:rPr>
          <w:rFonts w:ascii="Times New Roman" w:hAnsi="Times New Roman" w:cs="Times New Roman"/>
          <w:lang w:val="en-US"/>
        </w:rPr>
        <w:t>The public number directory</w:t>
      </w:r>
      <w:r w:rsidRPr="00BE11C8">
        <w:rPr>
          <w:rFonts w:ascii="Times New Roman" w:hAnsi="Times New Roman" w:cs="Times New Roman"/>
          <w:lang w:val="en-US"/>
        </w:rPr>
        <w:t xml:space="preserve"> publisher </w:t>
      </w:r>
      <w:r>
        <w:rPr>
          <w:rFonts w:ascii="Times New Roman" w:hAnsi="Times New Roman" w:cs="Times New Roman"/>
          <w:lang w:val="en-US"/>
        </w:rPr>
        <w:t>must not</w:t>
      </w:r>
      <w:r w:rsidRPr="00BE11C8">
        <w:rPr>
          <w:rFonts w:ascii="Times New Roman" w:hAnsi="Times New Roman" w:cs="Times New Roman"/>
          <w:lang w:val="en-US"/>
        </w:rPr>
        <w:t xml:space="preserve"> contact a customer who has an unlisted number in the IPND unless the publisher has a pre-existing business relationship with the customer </w:t>
      </w:r>
      <w:r>
        <w:rPr>
          <w:rFonts w:ascii="Times New Roman" w:hAnsi="Times New Roman" w:cs="Times New Roman"/>
          <w:lang w:val="en-US"/>
        </w:rPr>
        <w:t xml:space="preserve">that </w:t>
      </w:r>
      <w:r w:rsidRPr="00BE11C8">
        <w:rPr>
          <w:rFonts w:ascii="Times New Roman" w:hAnsi="Times New Roman" w:cs="Times New Roman"/>
          <w:lang w:val="en-US"/>
        </w:rPr>
        <w:t>relat</w:t>
      </w:r>
      <w:r>
        <w:rPr>
          <w:rFonts w:ascii="Times New Roman" w:hAnsi="Times New Roman" w:cs="Times New Roman"/>
          <w:lang w:val="en-US"/>
        </w:rPr>
        <w:t>es</w:t>
      </w:r>
      <w:r w:rsidRPr="00BE11C8">
        <w:rPr>
          <w:rFonts w:ascii="Times New Roman" w:hAnsi="Times New Roman" w:cs="Times New Roman"/>
          <w:lang w:val="en-US"/>
        </w:rPr>
        <w:t xml:space="preserve"> to a PND that it publishes</w:t>
      </w:r>
      <w:r>
        <w:rPr>
          <w:rFonts w:ascii="Times New Roman" w:hAnsi="Times New Roman" w:cs="Times New Roman"/>
          <w:lang w:val="en-US"/>
        </w:rPr>
        <w:t xml:space="preserve"> (subsection (10))</w:t>
      </w:r>
      <w:r w:rsidRPr="00BE11C8">
        <w:rPr>
          <w:rFonts w:ascii="Times New Roman" w:hAnsi="Times New Roman" w:cs="Times New Roman"/>
          <w:lang w:val="en-US"/>
        </w:rPr>
        <w:t>.</w:t>
      </w:r>
      <w:r>
        <w:rPr>
          <w:rFonts w:ascii="Times New Roman" w:hAnsi="Times New Roman" w:cs="Times New Roman"/>
          <w:lang w:val="en-US"/>
        </w:rPr>
        <w:t xml:space="preserve">  An example of a pre-existing relationship is a paid listing in a PND that the public number directory publisher publishes.</w:t>
      </w:r>
      <w:r w:rsidRPr="00BE11C8">
        <w:rPr>
          <w:rFonts w:ascii="Times New Roman" w:hAnsi="Times New Roman" w:cs="Times New Roman"/>
          <w:lang w:val="en-US"/>
        </w:rPr>
        <w:t xml:space="preserve">  </w:t>
      </w:r>
    </w:p>
    <w:p w14:paraId="0DDC898C" w14:textId="77777777" w:rsidR="00362B2C" w:rsidRDefault="00362B2C" w:rsidP="00362B2C">
      <w:pPr>
        <w:pStyle w:val="ACMABodyText"/>
        <w:numPr>
          <w:ilvl w:val="0"/>
          <w:numId w:val="12"/>
        </w:numPr>
        <w:spacing w:before="0" w:after="160" w:line="259" w:lineRule="auto"/>
        <w:ind w:left="714" w:hanging="357"/>
        <w:rPr>
          <w:sz w:val="22"/>
          <w:szCs w:val="22"/>
        </w:rPr>
      </w:pPr>
      <w:r>
        <w:rPr>
          <w:sz w:val="22"/>
          <w:szCs w:val="22"/>
        </w:rPr>
        <w:t>The public number directory publisher must update each PND that it publishes and maintains in a hard copy format, or on a disk or in another recorded format, at least annually (subsection (11)).</w:t>
      </w:r>
    </w:p>
    <w:p w14:paraId="60957CA0" w14:textId="77777777" w:rsidR="00362B2C" w:rsidRDefault="00362B2C" w:rsidP="00362B2C">
      <w:pPr>
        <w:pStyle w:val="ACMABodyText"/>
        <w:numPr>
          <w:ilvl w:val="0"/>
          <w:numId w:val="12"/>
        </w:numPr>
        <w:spacing w:before="0" w:after="160" w:line="259" w:lineRule="auto"/>
        <w:ind w:left="714" w:hanging="357"/>
        <w:rPr>
          <w:sz w:val="22"/>
          <w:szCs w:val="22"/>
        </w:rPr>
      </w:pPr>
      <w:r>
        <w:rPr>
          <w:sz w:val="22"/>
          <w:szCs w:val="22"/>
        </w:rPr>
        <w:t xml:space="preserve">The public number directory publisher must update each PND that it publishes and maintains online, or in another streaming electronic format, at least monthly (subsection (12)).  This is in addition to the obligation imposed on the public number directory publisher to amend any PND that it publishes and maintains online, or in another streaming electronic format, to remove all of the customer data relating to a number that has become an unlisted number.  </w:t>
      </w:r>
    </w:p>
    <w:p w14:paraId="61DAEBE0" w14:textId="11C14AD9" w:rsidR="00362B2C" w:rsidRPr="002A0898" w:rsidRDefault="00362B2C" w:rsidP="00362B2C">
      <w:pPr>
        <w:pStyle w:val="ACMABodyText"/>
        <w:numPr>
          <w:ilvl w:val="0"/>
          <w:numId w:val="12"/>
        </w:numPr>
        <w:spacing w:before="0" w:after="160" w:line="259" w:lineRule="auto"/>
        <w:ind w:left="714" w:hanging="357"/>
        <w:rPr>
          <w:sz w:val="22"/>
          <w:szCs w:val="22"/>
        </w:rPr>
      </w:pPr>
      <w:r>
        <w:rPr>
          <w:sz w:val="22"/>
          <w:szCs w:val="22"/>
          <w:lang w:val="en-US"/>
        </w:rPr>
        <w:t>If a customer advises the public number directory publisher that the customer’s information in a PND that it publishes is incorrect, the</w:t>
      </w:r>
      <w:r w:rsidRPr="002A0898">
        <w:rPr>
          <w:sz w:val="22"/>
          <w:szCs w:val="22"/>
          <w:lang w:val="en-US"/>
        </w:rPr>
        <w:t xml:space="preserve"> publisher </w:t>
      </w:r>
      <w:r>
        <w:rPr>
          <w:sz w:val="22"/>
          <w:szCs w:val="22"/>
          <w:lang w:val="en-US"/>
        </w:rPr>
        <w:t>must, within 10 business days after being advised,</w:t>
      </w:r>
      <w:r w:rsidRPr="002A0898">
        <w:rPr>
          <w:sz w:val="22"/>
          <w:szCs w:val="22"/>
          <w:lang w:val="en-US"/>
        </w:rPr>
        <w:t xml:space="preserve"> correct</w:t>
      </w:r>
      <w:r>
        <w:rPr>
          <w:sz w:val="22"/>
          <w:szCs w:val="22"/>
          <w:lang w:val="en-US"/>
        </w:rPr>
        <w:t xml:space="preserve"> the information in any PNDs that it publishes and maintains online, or in another streaming electronic format, and in the</w:t>
      </w:r>
      <w:r w:rsidRPr="002A0898">
        <w:rPr>
          <w:sz w:val="22"/>
          <w:szCs w:val="22"/>
          <w:lang w:val="en-US"/>
        </w:rPr>
        <w:t xml:space="preserve"> customer data</w:t>
      </w:r>
      <w:r>
        <w:rPr>
          <w:sz w:val="22"/>
          <w:szCs w:val="22"/>
          <w:lang w:val="en-US"/>
        </w:rPr>
        <w:t xml:space="preserve"> in its possession, and tell the customer to contact the customer’s</w:t>
      </w:r>
      <w:r w:rsidRPr="002A0898">
        <w:rPr>
          <w:sz w:val="22"/>
          <w:szCs w:val="22"/>
        </w:rPr>
        <w:t xml:space="preserve"> carriage service provider to ensure </w:t>
      </w:r>
      <w:r>
        <w:rPr>
          <w:sz w:val="22"/>
          <w:szCs w:val="22"/>
        </w:rPr>
        <w:t xml:space="preserve">that </w:t>
      </w:r>
      <w:r w:rsidRPr="002A0898">
        <w:rPr>
          <w:sz w:val="22"/>
          <w:szCs w:val="22"/>
        </w:rPr>
        <w:t>the information is correct</w:t>
      </w:r>
      <w:r>
        <w:rPr>
          <w:sz w:val="22"/>
          <w:szCs w:val="22"/>
        </w:rPr>
        <w:t>ly entered</w:t>
      </w:r>
      <w:r w:rsidRPr="002A0898">
        <w:rPr>
          <w:sz w:val="22"/>
          <w:szCs w:val="22"/>
        </w:rPr>
        <w:t xml:space="preserve"> in</w:t>
      </w:r>
      <w:r>
        <w:rPr>
          <w:sz w:val="22"/>
          <w:szCs w:val="22"/>
        </w:rPr>
        <w:t>to</w:t>
      </w:r>
      <w:r w:rsidRPr="002A0898">
        <w:rPr>
          <w:sz w:val="22"/>
          <w:szCs w:val="22"/>
        </w:rPr>
        <w:t xml:space="preserve"> the IPND</w:t>
      </w:r>
      <w:r>
        <w:rPr>
          <w:sz w:val="22"/>
          <w:szCs w:val="22"/>
        </w:rPr>
        <w:t xml:space="preserve"> (subsection (13))</w:t>
      </w:r>
      <w:r w:rsidRPr="002A0898">
        <w:rPr>
          <w:sz w:val="22"/>
          <w:szCs w:val="22"/>
        </w:rPr>
        <w:t>.  This is particularly important as the accuracy of customer data is critical for other IPND data users, such as</w:t>
      </w:r>
      <w:r>
        <w:rPr>
          <w:sz w:val="22"/>
          <w:szCs w:val="22"/>
        </w:rPr>
        <w:t xml:space="preserve"> users for the purposes of</w:t>
      </w:r>
      <w:r w:rsidRPr="002A0898">
        <w:rPr>
          <w:sz w:val="22"/>
          <w:szCs w:val="22"/>
        </w:rPr>
        <w:t xml:space="preserve"> </w:t>
      </w:r>
      <w:r>
        <w:rPr>
          <w:sz w:val="22"/>
          <w:szCs w:val="22"/>
        </w:rPr>
        <w:t>e</w:t>
      </w:r>
      <w:r w:rsidRPr="002A0898">
        <w:rPr>
          <w:sz w:val="22"/>
          <w:szCs w:val="22"/>
        </w:rPr>
        <w:t xml:space="preserve">mergency </w:t>
      </w:r>
      <w:r>
        <w:rPr>
          <w:sz w:val="22"/>
          <w:szCs w:val="22"/>
        </w:rPr>
        <w:t>s</w:t>
      </w:r>
      <w:r w:rsidRPr="002A0898">
        <w:rPr>
          <w:sz w:val="22"/>
          <w:szCs w:val="22"/>
        </w:rPr>
        <w:t>ervices and</w:t>
      </w:r>
      <w:r>
        <w:rPr>
          <w:sz w:val="22"/>
          <w:szCs w:val="22"/>
        </w:rPr>
        <w:t xml:space="preserve"> law enforcement</w:t>
      </w:r>
      <w:r w:rsidRPr="002A0898">
        <w:rPr>
          <w:sz w:val="22"/>
          <w:szCs w:val="22"/>
        </w:rPr>
        <w:t xml:space="preserve">.  </w:t>
      </w:r>
      <w:r>
        <w:rPr>
          <w:sz w:val="22"/>
          <w:szCs w:val="22"/>
        </w:rPr>
        <w:t>The</w:t>
      </w:r>
      <w:r w:rsidRPr="002A0898">
        <w:rPr>
          <w:sz w:val="22"/>
          <w:szCs w:val="22"/>
        </w:rPr>
        <w:t xml:space="preserve"> </w:t>
      </w:r>
      <w:r>
        <w:rPr>
          <w:sz w:val="22"/>
          <w:szCs w:val="22"/>
        </w:rPr>
        <w:t xml:space="preserve">public number directory </w:t>
      </w:r>
      <w:r w:rsidRPr="002A0898">
        <w:rPr>
          <w:sz w:val="22"/>
          <w:szCs w:val="22"/>
        </w:rPr>
        <w:t xml:space="preserve">publisher </w:t>
      </w:r>
      <w:r>
        <w:rPr>
          <w:sz w:val="22"/>
          <w:szCs w:val="22"/>
        </w:rPr>
        <w:t>is</w:t>
      </w:r>
      <w:r w:rsidRPr="002A0898">
        <w:rPr>
          <w:sz w:val="22"/>
          <w:szCs w:val="22"/>
        </w:rPr>
        <w:t xml:space="preserve"> expected to take reasonable steps to verify the identity of </w:t>
      </w:r>
      <w:r>
        <w:rPr>
          <w:sz w:val="22"/>
          <w:szCs w:val="22"/>
        </w:rPr>
        <w:t>the</w:t>
      </w:r>
      <w:r w:rsidRPr="002A0898">
        <w:rPr>
          <w:sz w:val="22"/>
          <w:szCs w:val="22"/>
        </w:rPr>
        <w:t xml:space="preserve"> party </w:t>
      </w:r>
      <w:r>
        <w:rPr>
          <w:sz w:val="22"/>
          <w:szCs w:val="22"/>
        </w:rPr>
        <w:t>providing the advice</w:t>
      </w:r>
      <w:r w:rsidRPr="002A0898">
        <w:rPr>
          <w:sz w:val="22"/>
          <w:szCs w:val="22"/>
        </w:rPr>
        <w:t xml:space="preserve">. </w:t>
      </w:r>
    </w:p>
    <w:p w14:paraId="2697E3D7" w14:textId="77777777" w:rsidR="00362B2C" w:rsidRDefault="00362B2C" w:rsidP="00362B2C">
      <w:pPr>
        <w:pStyle w:val="ACMABodyText"/>
        <w:numPr>
          <w:ilvl w:val="0"/>
          <w:numId w:val="12"/>
        </w:numPr>
        <w:spacing w:before="0" w:after="160" w:line="259" w:lineRule="auto"/>
        <w:ind w:left="714" w:hanging="357"/>
        <w:rPr>
          <w:sz w:val="22"/>
          <w:szCs w:val="22"/>
        </w:rPr>
      </w:pPr>
      <w:r>
        <w:rPr>
          <w:sz w:val="22"/>
          <w:szCs w:val="22"/>
        </w:rPr>
        <w:lastRenderedPageBreak/>
        <w:t>The</w:t>
      </w:r>
      <w:r w:rsidRPr="00C14338">
        <w:rPr>
          <w:sz w:val="22"/>
          <w:szCs w:val="22"/>
        </w:rPr>
        <w:t xml:space="preserve"> </w:t>
      </w:r>
      <w:r>
        <w:rPr>
          <w:sz w:val="22"/>
          <w:szCs w:val="22"/>
        </w:rPr>
        <w:t xml:space="preserve">public number directory </w:t>
      </w:r>
      <w:r w:rsidRPr="00C14338">
        <w:rPr>
          <w:sz w:val="22"/>
          <w:szCs w:val="22"/>
        </w:rPr>
        <w:t xml:space="preserve">publisher </w:t>
      </w:r>
      <w:r>
        <w:rPr>
          <w:sz w:val="22"/>
          <w:szCs w:val="22"/>
        </w:rPr>
        <w:t>must</w:t>
      </w:r>
      <w:r w:rsidRPr="00C14338">
        <w:rPr>
          <w:sz w:val="22"/>
          <w:szCs w:val="22"/>
        </w:rPr>
        <w:t xml:space="preserve"> have internal dispute resolution procedures for dealing with</w:t>
      </w:r>
      <w:r>
        <w:rPr>
          <w:sz w:val="22"/>
          <w:szCs w:val="22"/>
        </w:rPr>
        <w:t xml:space="preserve"> inquiries or complaints from customers about the use or disclosure of their information in any PND that it publishes (subsection (14)).</w:t>
      </w:r>
    </w:p>
    <w:p w14:paraId="2C0C856D" w14:textId="77777777" w:rsidR="00362B2C" w:rsidRDefault="00362B2C" w:rsidP="00362B2C">
      <w:pPr>
        <w:pStyle w:val="ACMABodyText"/>
        <w:numPr>
          <w:ilvl w:val="0"/>
          <w:numId w:val="12"/>
        </w:numPr>
        <w:spacing w:before="0" w:after="40" w:line="259" w:lineRule="auto"/>
        <w:ind w:hanging="357"/>
        <w:contextualSpacing/>
        <w:rPr>
          <w:sz w:val="22"/>
          <w:szCs w:val="22"/>
        </w:rPr>
      </w:pPr>
      <w:r>
        <w:rPr>
          <w:sz w:val="22"/>
          <w:szCs w:val="22"/>
        </w:rPr>
        <w:t xml:space="preserve">If a customer makes a complaint to the public number directory publisher about the use or disclosure of the customer’s information in a PND that it publishes, the publisher must: </w:t>
      </w:r>
    </w:p>
    <w:p w14:paraId="776763A9" w14:textId="77777777" w:rsidR="00362B2C" w:rsidRDefault="00362B2C" w:rsidP="00362B2C">
      <w:pPr>
        <w:pStyle w:val="ACMABodyText"/>
        <w:numPr>
          <w:ilvl w:val="1"/>
          <w:numId w:val="12"/>
        </w:numPr>
        <w:spacing w:before="0" w:after="40" w:line="259" w:lineRule="auto"/>
        <w:ind w:hanging="357"/>
        <w:contextualSpacing/>
        <w:rPr>
          <w:sz w:val="22"/>
          <w:szCs w:val="22"/>
        </w:rPr>
      </w:pPr>
      <w:r>
        <w:rPr>
          <w:sz w:val="22"/>
          <w:szCs w:val="22"/>
        </w:rPr>
        <w:t>inform the customer that if the customer is dissatisfied with the way in which the complaint is handled, the customer may make a complaint to:</w:t>
      </w:r>
    </w:p>
    <w:p w14:paraId="54674C05" w14:textId="77777777" w:rsidR="00362B2C" w:rsidRPr="00BC289F" w:rsidRDefault="00362B2C" w:rsidP="00362B2C">
      <w:pPr>
        <w:pStyle w:val="ACMABodyText"/>
        <w:numPr>
          <w:ilvl w:val="2"/>
          <w:numId w:val="12"/>
        </w:numPr>
        <w:spacing w:before="0" w:after="40" w:line="259" w:lineRule="auto"/>
        <w:ind w:hanging="357"/>
        <w:contextualSpacing/>
        <w:rPr>
          <w:sz w:val="22"/>
          <w:szCs w:val="22"/>
        </w:rPr>
      </w:pPr>
      <w:r>
        <w:rPr>
          <w:sz w:val="22"/>
          <w:szCs w:val="22"/>
        </w:rPr>
        <w:t>in a case where the customer is an individual whose complaint involves an act or practice that may be an interference with the privacy of the individual –</w:t>
      </w:r>
      <w:r w:rsidRPr="00BC289F">
        <w:rPr>
          <w:sz w:val="22"/>
          <w:szCs w:val="22"/>
        </w:rPr>
        <w:t>the Information Commissioner; and</w:t>
      </w:r>
    </w:p>
    <w:p w14:paraId="19DC3EF3" w14:textId="77777777" w:rsidR="00362B2C" w:rsidRPr="00BC289F" w:rsidRDefault="00362B2C" w:rsidP="00362B2C">
      <w:pPr>
        <w:pStyle w:val="ACMABodyText"/>
        <w:numPr>
          <w:ilvl w:val="2"/>
          <w:numId w:val="12"/>
        </w:numPr>
        <w:spacing w:before="0" w:after="40" w:line="259" w:lineRule="auto"/>
        <w:ind w:hanging="357"/>
        <w:contextualSpacing/>
        <w:rPr>
          <w:sz w:val="22"/>
          <w:szCs w:val="22"/>
        </w:rPr>
      </w:pPr>
      <w:r>
        <w:rPr>
          <w:sz w:val="22"/>
          <w:szCs w:val="22"/>
        </w:rPr>
        <w:t xml:space="preserve">in any other case – </w:t>
      </w:r>
      <w:r w:rsidRPr="00BC289F">
        <w:rPr>
          <w:sz w:val="22"/>
          <w:szCs w:val="22"/>
        </w:rPr>
        <w:t xml:space="preserve">the ACMA; </w:t>
      </w:r>
    </w:p>
    <w:p w14:paraId="3167AFAB" w14:textId="77777777" w:rsidR="00362B2C" w:rsidRDefault="00362B2C" w:rsidP="00362B2C">
      <w:pPr>
        <w:pStyle w:val="ACMABodyText"/>
        <w:numPr>
          <w:ilvl w:val="1"/>
          <w:numId w:val="12"/>
        </w:numPr>
        <w:spacing w:before="0" w:after="40" w:line="259" w:lineRule="auto"/>
        <w:ind w:hanging="357"/>
        <w:contextualSpacing/>
        <w:rPr>
          <w:sz w:val="22"/>
          <w:szCs w:val="22"/>
        </w:rPr>
      </w:pPr>
      <w:r>
        <w:rPr>
          <w:sz w:val="22"/>
          <w:szCs w:val="22"/>
        </w:rPr>
        <w:t>give the customer information about how to contact the Information Commissioner and the ACMA; and</w:t>
      </w:r>
    </w:p>
    <w:p w14:paraId="71CB0038" w14:textId="77777777" w:rsidR="00362B2C" w:rsidRDefault="00362B2C" w:rsidP="00362B2C">
      <w:pPr>
        <w:pStyle w:val="ACMABodyText"/>
        <w:numPr>
          <w:ilvl w:val="1"/>
          <w:numId w:val="12"/>
        </w:numPr>
        <w:spacing w:before="0" w:after="160" w:line="259" w:lineRule="auto"/>
        <w:ind w:hanging="357"/>
        <w:rPr>
          <w:sz w:val="22"/>
          <w:szCs w:val="22"/>
        </w:rPr>
      </w:pPr>
      <w:r>
        <w:rPr>
          <w:sz w:val="22"/>
          <w:szCs w:val="22"/>
        </w:rPr>
        <w:t xml:space="preserve">provide reasonable assistance to the Information Commissioner or the ACMA if requested to do so in relation to such a complaint (subsection (15)).  </w:t>
      </w:r>
    </w:p>
    <w:p w14:paraId="13D46107" w14:textId="77777777" w:rsidR="00362B2C" w:rsidRDefault="00362B2C" w:rsidP="00362B2C">
      <w:pPr>
        <w:pStyle w:val="ACMABodyText"/>
        <w:numPr>
          <w:ilvl w:val="0"/>
          <w:numId w:val="12"/>
        </w:numPr>
        <w:spacing w:before="0" w:after="160" w:line="259" w:lineRule="auto"/>
        <w:rPr>
          <w:sz w:val="22"/>
          <w:szCs w:val="22"/>
        </w:rPr>
      </w:pPr>
      <w:r>
        <w:rPr>
          <w:sz w:val="22"/>
          <w:szCs w:val="22"/>
        </w:rPr>
        <w:t xml:space="preserve">The public number directory publisher must have technical systems to receive customer data in accordance with any technical method specified by the IPND Manager (subsection (16)). The technical method or methods may be changed from time to time. </w:t>
      </w:r>
      <w:r w:rsidRPr="004C608C">
        <w:rPr>
          <w:sz w:val="22"/>
          <w:szCs w:val="22"/>
        </w:rPr>
        <w:t>This is important to ensure</w:t>
      </w:r>
      <w:r>
        <w:rPr>
          <w:sz w:val="22"/>
          <w:szCs w:val="22"/>
        </w:rPr>
        <w:t xml:space="preserve"> that</w:t>
      </w:r>
      <w:r w:rsidRPr="004C608C">
        <w:rPr>
          <w:sz w:val="22"/>
          <w:szCs w:val="22"/>
        </w:rPr>
        <w:t xml:space="preserve"> the protection and security of </w:t>
      </w:r>
      <w:r>
        <w:rPr>
          <w:sz w:val="22"/>
          <w:szCs w:val="22"/>
        </w:rPr>
        <w:t xml:space="preserve">the </w:t>
      </w:r>
      <w:r w:rsidRPr="004C608C">
        <w:rPr>
          <w:sz w:val="22"/>
          <w:szCs w:val="22"/>
        </w:rPr>
        <w:t>customer data is not compromised.</w:t>
      </w:r>
    </w:p>
    <w:p w14:paraId="559B069C" w14:textId="77777777" w:rsidR="00362B2C" w:rsidRDefault="00362B2C" w:rsidP="00362B2C">
      <w:pPr>
        <w:pStyle w:val="ACMABodyText"/>
        <w:numPr>
          <w:ilvl w:val="0"/>
          <w:numId w:val="12"/>
        </w:numPr>
        <w:spacing w:before="0" w:after="160" w:line="259" w:lineRule="auto"/>
        <w:rPr>
          <w:sz w:val="22"/>
          <w:szCs w:val="22"/>
        </w:rPr>
      </w:pPr>
      <w:r>
        <w:rPr>
          <w:sz w:val="22"/>
          <w:szCs w:val="22"/>
        </w:rPr>
        <w:t xml:space="preserve">A public number directory publisher must not publish a directory address that is a suppressed address entry (subsection (17)). </w:t>
      </w:r>
      <w:r w:rsidRPr="009255DA">
        <w:rPr>
          <w:sz w:val="22"/>
          <w:szCs w:val="22"/>
        </w:rPr>
        <w:t xml:space="preserve">This ensures that a customer’s request not </w:t>
      </w:r>
      <w:r>
        <w:rPr>
          <w:sz w:val="22"/>
          <w:szCs w:val="22"/>
        </w:rPr>
        <w:t xml:space="preserve">to </w:t>
      </w:r>
      <w:r w:rsidRPr="009255DA">
        <w:rPr>
          <w:sz w:val="22"/>
          <w:szCs w:val="22"/>
        </w:rPr>
        <w:t>identify the</w:t>
      </w:r>
      <w:r>
        <w:rPr>
          <w:sz w:val="22"/>
          <w:szCs w:val="22"/>
        </w:rPr>
        <w:t xml:space="preserve"> customer’s</w:t>
      </w:r>
      <w:r w:rsidRPr="009255DA">
        <w:rPr>
          <w:sz w:val="22"/>
          <w:szCs w:val="22"/>
        </w:rPr>
        <w:t xml:space="preserve"> address is complied with.  </w:t>
      </w:r>
    </w:p>
    <w:p w14:paraId="375969EF" w14:textId="77777777" w:rsidR="00362B2C" w:rsidRDefault="00362B2C" w:rsidP="00362B2C">
      <w:pPr>
        <w:pStyle w:val="ACMABodyText"/>
        <w:numPr>
          <w:ilvl w:val="0"/>
          <w:numId w:val="12"/>
        </w:numPr>
        <w:spacing w:before="0" w:after="160" w:line="259" w:lineRule="auto"/>
        <w:ind w:left="714" w:hanging="357"/>
        <w:rPr>
          <w:sz w:val="22"/>
          <w:szCs w:val="22"/>
        </w:rPr>
      </w:pPr>
      <w:r>
        <w:rPr>
          <w:sz w:val="22"/>
          <w:szCs w:val="22"/>
        </w:rPr>
        <w:t xml:space="preserve">The ACMA may </w:t>
      </w:r>
      <w:r w:rsidRPr="006559FB">
        <w:rPr>
          <w:sz w:val="22"/>
          <w:szCs w:val="22"/>
        </w:rPr>
        <w:t>specify</w:t>
      </w:r>
      <w:r>
        <w:rPr>
          <w:sz w:val="22"/>
          <w:szCs w:val="22"/>
        </w:rPr>
        <w:t xml:space="preserve"> in writing</w:t>
      </w:r>
      <w:r w:rsidRPr="006559FB">
        <w:rPr>
          <w:sz w:val="22"/>
          <w:szCs w:val="22"/>
        </w:rPr>
        <w:t xml:space="preserve"> other conditions</w:t>
      </w:r>
      <w:r>
        <w:rPr>
          <w:sz w:val="22"/>
          <w:szCs w:val="22"/>
        </w:rPr>
        <w:t xml:space="preserve"> to which</w:t>
      </w:r>
      <w:r w:rsidRPr="006559FB">
        <w:rPr>
          <w:sz w:val="22"/>
          <w:szCs w:val="22"/>
        </w:rPr>
        <w:t xml:space="preserve"> </w:t>
      </w:r>
      <w:r>
        <w:rPr>
          <w:sz w:val="22"/>
          <w:szCs w:val="22"/>
        </w:rPr>
        <w:t xml:space="preserve">the </w:t>
      </w:r>
      <w:r w:rsidRPr="006559FB">
        <w:rPr>
          <w:sz w:val="22"/>
          <w:szCs w:val="22"/>
        </w:rPr>
        <w:t>authorisation</w:t>
      </w:r>
      <w:r>
        <w:rPr>
          <w:sz w:val="22"/>
          <w:szCs w:val="22"/>
        </w:rPr>
        <w:t xml:space="preserve"> is subject (paragraph (18)(a))</w:t>
      </w:r>
      <w:r w:rsidRPr="006559FB">
        <w:rPr>
          <w:sz w:val="22"/>
          <w:szCs w:val="22"/>
        </w:rPr>
        <w:t>.</w:t>
      </w:r>
      <w:r w:rsidRPr="00502217">
        <w:rPr>
          <w:sz w:val="22"/>
          <w:szCs w:val="22"/>
        </w:rPr>
        <w:t xml:space="preserve"> </w:t>
      </w:r>
      <w:r>
        <w:rPr>
          <w:sz w:val="22"/>
          <w:szCs w:val="22"/>
        </w:rPr>
        <w:t xml:space="preserve">The ACMA may also vary or remove any condition so specified (paragraph (18)(b)). The ACMA must notify the public number directory publisher in writing of any specified condition, or of any variation or removal of such a condition, as soon as practicable and before the condition, or the variation or removal, is expressed to take effect (paragraph (18)(c)).  The ACMA must also notify the IPND Manager in writing of any specified condition, or of any variation or removal of </w:t>
      </w:r>
      <w:r w:rsidRPr="00C42B3D">
        <w:rPr>
          <w:sz w:val="22"/>
          <w:szCs w:val="22"/>
        </w:rPr>
        <w:t>such a condition</w:t>
      </w:r>
      <w:r>
        <w:rPr>
          <w:sz w:val="22"/>
          <w:szCs w:val="22"/>
        </w:rPr>
        <w:t>, that is relevant to its role as IPND Manager (paragraph (18)(d))</w:t>
      </w:r>
      <w:r w:rsidRPr="00C42B3D">
        <w:rPr>
          <w:sz w:val="22"/>
          <w:szCs w:val="22"/>
        </w:rPr>
        <w:t>.</w:t>
      </w:r>
      <w:r>
        <w:rPr>
          <w:rStyle w:val="FootnoteReference"/>
          <w:sz w:val="22"/>
          <w:szCs w:val="22"/>
        </w:rPr>
        <w:footnoteReference w:id="17"/>
      </w:r>
    </w:p>
    <w:p w14:paraId="7C41D8CD" w14:textId="77777777" w:rsidR="00362B2C" w:rsidRPr="00C42B3D" w:rsidRDefault="00362B2C" w:rsidP="00362B2C">
      <w:pPr>
        <w:pStyle w:val="ACMABodyText"/>
        <w:numPr>
          <w:ilvl w:val="0"/>
          <w:numId w:val="12"/>
        </w:numPr>
        <w:spacing w:before="0" w:after="40" w:line="259" w:lineRule="auto"/>
        <w:ind w:left="714" w:hanging="357"/>
        <w:contextualSpacing/>
        <w:rPr>
          <w:sz w:val="22"/>
          <w:szCs w:val="22"/>
        </w:rPr>
      </w:pPr>
      <w:r>
        <w:rPr>
          <w:sz w:val="22"/>
          <w:szCs w:val="22"/>
        </w:rPr>
        <w:lastRenderedPageBreak/>
        <w:t>The public number directory</w:t>
      </w:r>
      <w:r w:rsidRPr="00C42B3D">
        <w:rPr>
          <w:sz w:val="22"/>
          <w:szCs w:val="22"/>
        </w:rPr>
        <w:t xml:space="preserve"> publisher must comply with </w:t>
      </w:r>
      <w:r>
        <w:rPr>
          <w:sz w:val="22"/>
          <w:szCs w:val="22"/>
        </w:rPr>
        <w:t>the</w:t>
      </w:r>
      <w:r w:rsidRPr="00C42B3D">
        <w:rPr>
          <w:sz w:val="22"/>
          <w:szCs w:val="22"/>
        </w:rPr>
        <w:t xml:space="preserve"> relevant requirements</w:t>
      </w:r>
      <w:r>
        <w:rPr>
          <w:sz w:val="22"/>
          <w:szCs w:val="22"/>
        </w:rPr>
        <w:t>,</w:t>
      </w:r>
      <w:r w:rsidRPr="00C42B3D">
        <w:rPr>
          <w:sz w:val="22"/>
          <w:szCs w:val="22"/>
        </w:rPr>
        <w:t xml:space="preserve"> which are:</w:t>
      </w:r>
    </w:p>
    <w:p w14:paraId="05272EA8" w14:textId="77777777" w:rsidR="00362B2C" w:rsidRPr="00C42B3D" w:rsidRDefault="00362B2C" w:rsidP="00362B2C">
      <w:pPr>
        <w:pStyle w:val="ACMABodyText"/>
        <w:numPr>
          <w:ilvl w:val="0"/>
          <w:numId w:val="42"/>
        </w:numPr>
        <w:spacing w:before="0" w:after="40" w:line="259" w:lineRule="auto"/>
        <w:contextualSpacing/>
        <w:rPr>
          <w:sz w:val="22"/>
          <w:szCs w:val="22"/>
        </w:rPr>
      </w:pPr>
      <w:r>
        <w:rPr>
          <w:sz w:val="22"/>
          <w:szCs w:val="22"/>
        </w:rPr>
        <w:t>t</w:t>
      </w:r>
      <w:r w:rsidRPr="00C42B3D">
        <w:rPr>
          <w:sz w:val="22"/>
          <w:szCs w:val="22"/>
        </w:rPr>
        <w:t>he</w:t>
      </w:r>
      <w:r>
        <w:rPr>
          <w:sz w:val="22"/>
          <w:szCs w:val="22"/>
        </w:rPr>
        <w:t xml:space="preserve"> requirements of the</w:t>
      </w:r>
      <w:r w:rsidRPr="00C42B3D">
        <w:rPr>
          <w:sz w:val="22"/>
          <w:szCs w:val="22"/>
        </w:rPr>
        <w:t xml:space="preserve"> Act and </w:t>
      </w:r>
      <w:r>
        <w:rPr>
          <w:sz w:val="22"/>
          <w:szCs w:val="22"/>
        </w:rPr>
        <w:t xml:space="preserve">of </w:t>
      </w:r>
      <w:r w:rsidRPr="00C42B3D">
        <w:rPr>
          <w:sz w:val="22"/>
          <w:szCs w:val="22"/>
        </w:rPr>
        <w:t xml:space="preserve">any </w:t>
      </w:r>
      <w:r>
        <w:rPr>
          <w:sz w:val="22"/>
          <w:szCs w:val="22"/>
        </w:rPr>
        <w:t>legislative</w:t>
      </w:r>
      <w:r w:rsidRPr="00C42B3D">
        <w:rPr>
          <w:sz w:val="22"/>
          <w:szCs w:val="22"/>
        </w:rPr>
        <w:t xml:space="preserve"> instrument</w:t>
      </w:r>
      <w:r>
        <w:rPr>
          <w:sz w:val="22"/>
          <w:szCs w:val="22"/>
        </w:rPr>
        <w:t>s</w:t>
      </w:r>
      <w:r w:rsidRPr="00C42B3D">
        <w:rPr>
          <w:sz w:val="22"/>
          <w:szCs w:val="22"/>
        </w:rPr>
        <w:t xml:space="preserve"> made under the Act</w:t>
      </w:r>
      <w:r>
        <w:rPr>
          <w:sz w:val="22"/>
          <w:szCs w:val="22"/>
        </w:rPr>
        <w:t xml:space="preserve"> (including the scheme) that apply to the publisher</w:t>
      </w:r>
      <w:r w:rsidRPr="00C42B3D">
        <w:rPr>
          <w:sz w:val="22"/>
          <w:szCs w:val="22"/>
        </w:rPr>
        <w:t>;</w:t>
      </w:r>
      <w:r>
        <w:rPr>
          <w:sz w:val="22"/>
          <w:szCs w:val="22"/>
        </w:rPr>
        <w:t xml:space="preserve"> and</w:t>
      </w:r>
    </w:p>
    <w:p w14:paraId="4B359203" w14:textId="6C559E86" w:rsidR="00362B2C" w:rsidRDefault="00362B2C" w:rsidP="00362B2C">
      <w:pPr>
        <w:pStyle w:val="ACMABodyText"/>
        <w:numPr>
          <w:ilvl w:val="0"/>
          <w:numId w:val="42"/>
        </w:numPr>
        <w:spacing w:before="0" w:after="160" w:line="22" w:lineRule="atLeast"/>
        <w:rPr>
          <w:sz w:val="22"/>
          <w:szCs w:val="22"/>
        </w:rPr>
      </w:pPr>
      <w:r>
        <w:rPr>
          <w:sz w:val="22"/>
          <w:szCs w:val="22"/>
        </w:rPr>
        <w:t>any</w:t>
      </w:r>
      <w:r w:rsidRPr="00C42B3D">
        <w:rPr>
          <w:sz w:val="22"/>
          <w:szCs w:val="22"/>
        </w:rPr>
        <w:t xml:space="preserve"> conditions</w:t>
      </w:r>
      <w:r>
        <w:rPr>
          <w:sz w:val="22"/>
          <w:szCs w:val="22"/>
        </w:rPr>
        <w:t xml:space="preserve"> of the authorisation</w:t>
      </w:r>
      <w:r w:rsidRPr="001631A8">
        <w:rPr>
          <w:sz w:val="22"/>
          <w:szCs w:val="22"/>
        </w:rPr>
        <w:t xml:space="preserve"> </w:t>
      </w:r>
      <w:r>
        <w:rPr>
          <w:sz w:val="22"/>
          <w:szCs w:val="22"/>
        </w:rPr>
        <w:t>(</w:t>
      </w:r>
      <w:r w:rsidR="0070031C">
        <w:rPr>
          <w:sz w:val="22"/>
          <w:szCs w:val="22"/>
        </w:rPr>
        <w:t xml:space="preserve">see </w:t>
      </w:r>
      <w:r>
        <w:rPr>
          <w:sz w:val="22"/>
          <w:szCs w:val="22"/>
        </w:rPr>
        <w:t xml:space="preserve">subsection (19) and the definition of </w:t>
      </w:r>
      <w:r w:rsidRPr="0011045E">
        <w:rPr>
          <w:b/>
          <w:i/>
          <w:sz w:val="22"/>
          <w:szCs w:val="22"/>
        </w:rPr>
        <w:t>relevant requirements</w:t>
      </w:r>
      <w:r>
        <w:rPr>
          <w:sz w:val="22"/>
          <w:szCs w:val="22"/>
        </w:rPr>
        <w:t xml:space="preserve"> in section 1.4 of the scheme)</w:t>
      </w:r>
      <w:r w:rsidRPr="00C42B3D">
        <w:rPr>
          <w:sz w:val="22"/>
          <w:szCs w:val="22"/>
        </w:rPr>
        <w:t>.</w:t>
      </w:r>
    </w:p>
    <w:p w14:paraId="612F52A8" w14:textId="77777777" w:rsidR="00362B2C" w:rsidRDefault="00362B2C" w:rsidP="00362B2C">
      <w:pPr>
        <w:pStyle w:val="ACMABodyText"/>
        <w:numPr>
          <w:ilvl w:val="0"/>
          <w:numId w:val="13"/>
        </w:numPr>
        <w:spacing w:before="0" w:after="40" w:line="259" w:lineRule="auto"/>
        <w:ind w:left="709" w:hanging="425"/>
        <w:rPr>
          <w:sz w:val="22"/>
          <w:szCs w:val="22"/>
        </w:rPr>
      </w:pPr>
      <w:r w:rsidRPr="00584FB0">
        <w:rPr>
          <w:sz w:val="22"/>
          <w:szCs w:val="22"/>
        </w:rPr>
        <w:t xml:space="preserve">The </w:t>
      </w:r>
      <w:r>
        <w:rPr>
          <w:sz w:val="22"/>
          <w:szCs w:val="22"/>
        </w:rPr>
        <w:t xml:space="preserve">public number directory </w:t>
      </w:r>
      <w:r w:rsidRPr="00A718E9">
        <w:rPr>
          <w:sz w:val="22"/>
          <w:szCs w:val="22"/>
        </w:rPr>
        <w:t>publisher must take all reasonable steps to ensure that any person who is one of its perso</w:t>
      </w:r>
      <w:r w:rsidRPr="00ED483D">
        <w:rPr>
          <w:sz w:val="22"/>
          <w:szCs w:val="22"/>
        </w:rPr>
        <w:t>nnel</w:t>
      </w:r>
      <w:r>
        <w:rPr>
          <w:sz w:val="22"/>
          <w:szCs w:val="22"/>
        </w:rPr>
        <w:t>:</w:t>
      </w:r>
      <w:r w:rsidRPr="00ED483D">
        <w:rPr>
          <w:sz w:val="22"/>
          <w:szCs w:val="22"/>
        </w:rPr>
        <w:t xml:space="preserve"> </w:t>
      </w:r>
    </w:p>
    <w:p w14:paraId="6F82E180" w14:textId="77777777" w:rsidR="00362B2C" w:rsidRDefault="00362B2C" w:rsidP="00362B2C">
      <w:pPr>
        <w:pStyle w:val="ACMABodyText"/>
        <w:numPr>
          <w:ilvl w:val="0"/>
          <w:numId w:val="43"/>
        </w:numPr>
        <w:spacing w:before="0" w:after="40" w:line="22" w:lineRule="atLeast"/>
        <w:rPr>
          <w:sz w:val="22"/>
          <w:szCs w:val="22"/>
        </w:rPr>
      </w:pPr>
      <w:r w:rsidRPr="00ED483D">
        <w:rPr>
          <w:sz w:val="22"/>
          <w:szCs w:val="22"/>
        </w:rPr>
        <w:t>is made aware of the publisher</w:t>
      </w:r>
      <w:r>
        <w:rPr>
          <w:sz w:val="22"/>
          <w:szCs w:val="22"/>
        </w:rPr>
        <w:t>’s obligations to meet the relevant requirements;</w:t>
      </w:r>
    </w:p>
    <w:p w14:paraId="0B11EFFA" w14:textId="77777777" w:rsidR="00362B2C" w:rsidRDefault="00362B2C" w:rsidP="00362B2C">
      <w:pPr>
        <w:pStyle w:val="ACMABodyText"/>
        <w:numPr>
          <w:ilvl w:val="0"/>
          <w:numId w:val="43"/>
        </w:numPr>
        <w:spacing w:before="0" w:after="40" w:line="22" w:lineRule="atLeast"/>
        <w:rPr>
          <w:sz w:val="22"/>
          <w:szCs w:val="22"/>
        </w:rPr>
      </w:pPr>
      <w:r>
        <w:rPr>
          <w:sz w:val="22"/>
          <w:szCs w:val="22"/>
        </w:rPr>
        <w:t xml:space="preserve">cooperates with the publisher in meeting those requirements; and </w:t>
      </w:r>
    </w:p>
    <w:p w14:paraId="4A3002B1" w14:textId="77777777" w:rsidR="00362B2C" w:rsidRDefault="00362B2C" w:rsidP="00362B2C">
      <w:pPr>
        <w:pStyle w:val="ACMABodyText"/>
        <w:numPr>
          <w:ilvl w:val="0"/>
          <w:numId w:val="43"/>
        </w:numPr>
        <w:spacing w:before="0" w:after="40" w:line="259" w:lineRule="auto"/>
        <w:rPr>
          <w:sz w:val="22"/>
          <w:szCs w:val="22"/>
        </w:rPr>
      </w:pPr>
      <w:r>
        <w:rPr>
          <w:sz w:val="22"/>
          <w:szCs w:val="22"/>
        </w:rPr>
        <w:t>notifies the publisher in writing as soon as practicable after becoming aware that the person has done, or omitted to do, something that would have breached such a requirement if the person had been a public number directory publisher (subsection (20)).</w:t>
      </w:r>
    </w:p>
    <w:p w14:paraId="2EE414F9" w14:textId="77777777" w:rsidR="00362B2C" w:rsidRPr="009255DA" w:rsidRDefault="00362B2C" w:rsidP="00362B2C">
      <w:pPr>
        <w:pStyle w:val="ACMABodyText"/>
        <w:numPr>
          <w:ilvl w:val="0"/>
          <w:numId w:val="13"/>
        </w:numPr>
        <w:spacing w:before="0" w:after="40" w:line="259" w:lineRule="auto"/>
        <w:ind w:left="709" w:hanging="425"/>
      </w:pPr>
      <w:r>
        <w:rPr>
          <w:sz w:val="22"/>
          <w:szCs w:val="22"/>
        </w:rPr>
        <w:t xml:space="preserve">If the public number directory publisher becomes aware that: </w:t>
      </w:r>
    </w:p>
    <w:p w14:paraId="7F0551AC" w14:textId="77777777" w:rsidR="00362B2C" w:rsidRPr="009255DA" w:rsidRDefault="00362B2C" w:rsidP="00362B2C">
      <w:pPr>
        <w:pStyle w:val="ACMABodyText"/>
        <w:numPr>
          <w:ilvl w:val="0"/>
          <w:numId w:val="44"/>
        </w:numPr>
        <w:spacing w:before="0" w:after="40" w:line="22" w:lineRule="atLeast"/>
        <w:ind w:left="1434" w:hanging="357"/>
      </w:pPr>
      <w:r>
        <w:rPr>
          <w:sz w:val="22"/>
          <w:szCs w:val="22"/>
        </w:rPr>
        <w:t xml:space="preserve">it has breached a relevant requirement; or </w:t>
      </w:r>
    </w:p>
    <w:p w14:paraId="0A1B1CB0" w14:textId="77777777" w:rsidR="00362B2C" w:rsidRPr="009255DA" w:rsidRDefault="00362B2C" w:rsidP="00362B2C">
      <w:pPr>
        <w:pStyle w:val="ACMABodyText"/>
        <w:numPr>
          <w:ilvl w:val="0"/>
          <w:numId w:val="44"/>
        </w:numPr>
        <w:spacing w:before="0" w:after="40" w:line="22" w:lineRule="atLeast"/>
        <w:ind w:left="1434" w:hanging="357"/>
      </w:pPr>
      <w:r>
        <w:rPr>
          <w:sz w:val="22"/>
          <w:szCs w:val="22"/>
        </w:rPr>
        <w:t xml:space="preserve">a person who is one of its personnel has done, or omitted to do, something that would have breached such a requirement if the person had been a public number directory publisher; </w:t>
      </w:r>
    </w:p>
    <w:p w14:paraId="4D284050" w14:textId="77777777" w:rsidR="00362B2C" w:rsidRPr="006B75CE" w:rsidRDefault="00362B2C" w:rsidP="00362B2C">
      <w:pPr>
        <w:pStyle w:val="ACMABodyText"/>
        <w:spacing w:before="0" w:after="160" w:line="259" w:lineRule="auto"/>
        <w:ind w:left="720"/>
      </w:pPr>
      <w:r>
        <w:rPr>
          <w:sz w:val="22"/>
          <w:szCs w:val="22"/>
        </w:rPr>
        <w:t>the publisher must, as soon as practicable, notify the ACMA in writing of the issue and take all reasonable steps to minimise the effects of the issue (subsection (21)).</w:t>
      </w:r>
    </w:p>
    <w:p w14:paraId="1C3815A1" w14:textId="77777777" w:rsidR="00362B2C" w:rsidRDefault="00362B2C" w:rsidP="00362B2C">
      <w:pPr>
        <w:pStyle w:val="ACMABodyText"/>
        <w:rPr>
          <w:b/>
          <w:sz w:val="22"/>
          <w:szCs w:val="22"/>
        </w:rPr>
      </w:pPr>
      <w:r>
        <w:rPr>
          <w:b/>
          <w:sz w:val="22"/>
          <w:szCs w:val="22"/>
        </w:rPr>
        <w:t>Subdivision B</w:t>
      </w:r>
      <w:r>
        <w:rPr>
          <w:b/>
          <w:sz w:val="22"/>
          <w:szCs w:val="22"/>
        </w:rPr>
        <w:tab/>
        <w:t>Application for extension of period for publishing PND</w:t>
      </w:r>
    </w:p>
    <w:p w14:paraId="2EA28FCA" w14:textId="77777777" w:rsidR="00362B2C" w:rsidRDefault="00362B2C" w:rsidP="00362B2C">
      <w:pPr>
        <w:pStyle w:val="ACMABodyText"/>
        <w:spacing w:before="0" w:after="160" w:line="259" w:lineRule="auto"/>
        <w:rPr>
          <w:b/>
          <w:sz w:val="22"/>
          <w:szCs w:val="22"/>
          <w:lang w:val="en-US"/>
        </w:rPr>
      </w:pPr>
      <w:r>
        <w:rPr>
          <w:b/>
          <w:sz w:val="22"/>
          <w:szCs w:val="22"/>
          <w:lang w:val="en-US"/>
        </w:rPr>
        <w:t>Section 3.13</w:t>
      </w:r>
      <w:r w:rsidRPr="00524A96">
        <w:rPr>
          <w:b/>
          <w:sz w:val="22"/>
          <w:szCs w:val="22"/>
          <w:lang w:val="en-US"/>
        </w:rPr>
        <w:tab/>
      </w:r>
      <w:r>
        <w:rPr>
          <w:b/>
          <w:sz w:val="22"/>
          <w:szCs w:val="22"/>
          <w:lang w:val="en-US"/>
        </w:rPr>
        <w:t>Making an application</w:t>
      </w:r>
    </w:p>
    <w:p w14:paraId="2D730B1B" w14:textId="77777777" w:rsidR="00362B2C" w:rsidRDefault="00362B2C" w:rsidP="00362B2C">
      <w:pPr>
        <w:pStyle w:val="ACMABodyText"/>
        <w:spacing w:before="0" w:after="160" w:line="259" w:lineRule="auto"/>
        <w:rPr>
          <w:sz w:val="22"/>
          <w:szCs w:val="22"/>
        </w:rPr>
      </w:pPr>
      <w:r>
        <w:rPr>
          <w:sz w:val="22"/>
          <w:szCs w:val="22"/>
        </w:rPr>
        <w:t>This s</w:t>
      </w:r>
      <w:r w:rsidRPr="003C71F0">
        <w:rPr>
          <w:sz w:val="22"/>
          <w:szCs w:val="22"/>
        </w:rPr>
        <w:t xml:space="preserve">ection </w:t>
      </w:r>
      <w:r>
        <w:rPr>
          <w:sz w:val="22"/>
          <w:szCs w:val="22"/>
        </w:rPr>
        <w:t>provides that a</w:t>
      </w:r>
      <w:r w:rsidRPr="003C71F0">
        <w:rPr>
          <w:sz w:val="22"/>
          <w:szCs w:val="22"/>
        </w:rPr>
        <w:t xml:space="preserve"> </w:t>
      </w:r>
      <w:r>
        <w:rPr>
          <w:sz w:val="22"/>
          <w:szCs w:val="22"/>
        </w:rPr>
        <w:t>public number directory</w:t>
      </w:r>
      <w:r w:rsidRPr="003C71F0">
        <w:rPr>
          <w:sz w:val="22"/>
          <w:szCs w:val="22"/>
        </w:rPr>
        <w:t xml:space="preserve"> publisher </w:t>
      </w:r>
      <w:r>
        <w:rPr>
          <w:sz w:val="22"/>
          <w:szCs w:val="22"/>
        </w:rPr>
        <w:t>that has been granted a final authorisation may</w:t>
      </w:r>
      <w:r w:rsidRPr="003C71F0">
        <w:rPr>
          <w:sz w:val="22"/>
          <w:szCs w:val="22"/>
        </w:rPr>
        <w:t xml:space="preserve"> apply to </w:t>
      </w:r>
      <w:r>
        <w:rPr>
          <w:sz w:val="22"/>
          <w:szCs w:val="22"/>
        </w:rPr>
        <w:t xml:space="preserve">the </w:t>
      </w:r>
      <w:r w:rsidRPr="003C71F0">
        <w:rPr>
          <w:sz w:val="22"/>
          <w:szCs w:val="22"/>
        </w:rPr>
        <w:t xml:space="preserve">ACMA </w:t>
      </w:r>
      <w:r>
        <w:rPr>
          <w:sz w:val="22"/>
          <w:szCs w:val="22"/>
        </w:rPr>
        <w:t>to extend the period in which to publish a PND if the PND is unable to be published within the period for a reason beyond the publisher’s control (subsection (1))</w:t>
      </w:r>
      <w:r w:rsidRPr="003C71F0">
        <w:rPr>
          <w:sz w:val="22"/>
          <w:szCs w:val="22"/>
        </w:rPr>
        <w:t xml:space="preserve">. </w:t>
      </w:r>
    </w:p>
    <w:p w14:paraId="317DD2AB" w14:textId="77777777" w:rsidR="00362B2C" w:rsidRPr="00095ADA" w:rsidRDefault="00362B2C" w:rsidP="00362B2C">
      <w:pPr>
        <w:spacing w:after="40"/>
        <w:rPr>
          <w:rFonts w:ascii="Times New Roman" w:hAnsi="Times New Roman" w:cs="Times New Roman"/>
        </w:rPr>
      </w:pPr>
      <w:r w:rsidRPr="00095ADA">
        <w:rPr>
          <w:rFonts w:ascii="Times New Roman" w:hAnsi="Times New Roman" w:cs="Times New Roman"/>
        </w:rPr>
        <w:t>Th</w:t>
      </w:r>
      <w:r>
        <w:rPr>
          <w:rFonts w:ascii="Times New Roman" w:hAnsi="Times New Roman" w:cs="Times New Roman"/>
        </w:rPr>
        <w:t>e</w:t>
      </w:r>
      <w:r w:rsidRPr="00095ADA">
        <w:rPr>
          <w:rFonts w:ascii="Times New Roman" w:hAnsi="Times New Roman" w:cs="Times New Roman"/>
        </w:rPr>
        <w:t xml:space="preserve"> section imposes the following application requirements:</w:t>
      </w:r>
    </w:p>
    <w:p w14:paraId="4307A504" w14:textId="77777777" w:rsidR="00362B2C" w:rsidRDefault="00362B2C" w:rsidP="00362B2C">
      <w:pPr>
        <w:pStyle w:val="ListParagraph"/>
        <w:numPr>
          <w:ilvl w:val="0"/>
          <w:numId w:val="6"/>
        </w:numPr>
        <w:spacing w:after="40"/>
        <w:ind w:left="714" w:hanging="357"/>
        <w:rPr>
          <w:rFonts w:ascii="Times New Roman" w:hAnsi="Times New Roman" w:cs="Times New Roman"/>
        </w:rPr>
      </w:pPr>
      <w:r>
        <w:rPr>
          <w:rFonts w:ascii="Times New Roman" w:hAnsi="Times New Roman" w:cs="Times New Roman"/>
        </w:rPr>
        <w:t>T</w:t>
      </w:r>
      <w:r w:rsidRPr="00095ADA">
        <w:rPr>
          <w:rFonts w:ascii="Times New Roman" w:hAnsi="Times New Roman" w:cs="Times New Roman"/>
        </w:rPr>
        <w:t>he application must be</w:t>
      </w:r>
      <w:r>
        <w:rPr>
          <w:rFonts w:ascii="Times New Roman" w:hAnsi="Times New Roman" w:cs="Times New Roman"/>
        </w:rPr>
        <w:t xml:space="preserve"> made within a period of 90 days starting on the day on which the final authorisation starts (paragraph (2)(a)).</w:t>
      </w:r>
    </w:p>
    <w:p w14:paraId="17525B74" w14:textId="77777777" w:rsidR="00362B2C" w:rsidRPr="00496C18" w:rsidRDefault="00362B2C" w:rsidP="00362B2C">
      <w:pPr>
        <w:pStyle w:val="ListParagraph"/>
        <w:numPr>
          <w:ilvl w:val="0"/>
          <w:numId w:val="6"/>
        </w:numPr>
        <w:ind w:left="714" w:hanging="357"/>
        <w:contextualSpacing w:val="0"/>
        <w:rPr>
          <w:rFonts w:ascii="Times New Roman" w:hAnsi="Times New Roman" w:cs="Times New Roman"/>
        </w:rPr>
      </w:pPr>
      <w:r>
        <w:rPr>
          <w:rFonts w:ascii="Times New Roman" w:hAnsi="Times New Roman" w:cs="Times New Roman"/>
        </w:rPr>
        <w:t>The application must be made using the</w:t>
      </w:r>
      <w:r w:rsidRPr="00095ADA">
        <w:rPr>
          <w:rFonts w:ascii="Times New Roman" w:hAnsi="Times New Roman" w:cs="Times New Roman"/>
        </w:rPr>
        <w:t xml:space="preserve"> form approved by the ACMA </w:t>
      </w:r>
      <w:r>
        <w:rPr>
          <w:rFonts w:ascii="Times New Roman" w:hAnsi="Times New Roman" w:cs="Times New Roman"/>
        </w:rPr>
        <w:t>which</w:t>
      </w:r>
      <w:r w:rsidRPr="00095ADA">
        <w:rPr>
          <w:rFonts w:ascii="Times New Roman" w:hAnsi="Times New Roman" w:cs="Times New Roman"/>
        </w:rPr>
        <w:t xml:space="preserve"> </w:t>
      </w:r>
      <w:r>
        <w:rPr>
          <w:rFonts w:ascii="Times New Roman" w:hAnsi="Times New Roman" w:cs="Times New Roman"/>
        </w:rPr>
        <w:t>is available on its website</w:t>
      </w:r>
      <w:r w:rsidRPr="00E24349">
        <w:rPr>
          <w:rFonts w:ascii="Times New Roman" w:hAnsi="Times New Roman" w:cs="Times New Roman"/>
        </w:rPr>
        <w:t xml:space="preserve"> </w:t>
      </w:r>
      <w:r>
        <w:rPr>
          <w:rFonts w:ascii="Times New Roman" w:hAnsi="Times New Roman" w:cs="Times New Roman"/>
        </w:rPr>
        <w:t xml:space="preserve">at </w:t>
      </w:r>
      <w:hyperlink r:id="rId11" w:history="1">
        <w:r w:rsidRPr="00AF16BD">
          <w:rPr>
            <w:rStyle w:val="Hyperlink"/>
            <w:rFonts w:ascii="Times New Roman" w:hAnsi="Times New Roman" w:cs="Times New Roman"/>
          </w:rPr>
          <w:t>www.acma.gov.au</w:t>
        </w:r>
      </w:hyperlink>
      <w:r>
        <w:rPr>
          <w:rFonts w:ascii="Times New Roman" w:hAnsi="Times New Roman" w:cs="Times New Roman"/>
        </w:rPr>
        <w:t xml:space="preserve"> (paragraph (2)(b)).</w:t>
      </w:r>
    </w:p>
    <w:p w14:paraId="4D8B322E" w14:textId="77777777" w:rsidR="00362B2C" w:rsidRDefault="00362B2C" w:rsidP="00362B2C">
      <w:pPr>
        <w:pStyle w:val="subsection"/>
        <w:spacing w:before="0" w:after="40" w:line="259" w:lineRule="auto"/>
        <w:ind w:left="0" w:firstLine="0"/>
      </w:pPr>
      <w:r>
        <w:t>The section provides that i</w:t>
      </w:r>
      <w:r w:rsidRPr="006249BF">
        <w:t>f</w:t>
      </w:r>
      <w:r>
        <w:t xml:space="preserve">: </w:t>
      </w:r>
    </w:p>
    <w:p w14:paraId="7010DBA9" w14:textId="77777777" w:rsidR="00362B2C" w:rsidRDefault="00362B2C" w:rsidP="00362B2C">
      <w:pPr>
        <w:pStyle w:val="subsection"/>
        <w:numPr>
          <w:ilvl w:val="0"/>
          <w:numId w:val="28"/>
        </w:numPr>
        <w:spacing w:before="0" w:after="40" w:line="259" w:lineRule="auto"/>
        <w:contextualSpacing/>
      </w:pPr>
      <w:r w:rsidRPr="006249BF">
        <w:lastRenderedPageBreak/>
        <w:t>a public number directory publisher applies to the ACMA to extend the</w:t>
      </w:r>
      <w:r w:rsidRPr="00DA0789">
        <w:t xml:space="preserve"> </w:t>
      </w:r>
      <w:r>
        <w:t>period in which to publish a PND;</w:t>
      </w:r>
      <w:r w:rsidRPr="00DA0789">
        <w:t xml:space="preserve"> and</w:t>
      </w:r>
      <w:r>
        <w:t xml:space="preserve"> </w:t>
      </w:r>
    </w:p>
    <w:p w14:paraId="51C7D123" w14:textId="77777777" w:rsidR="00362B2C" w:rsidRDefault="00362B2C" w:rsidP="00362B2C">
      <w:pPr>
        <w:pStyle w:val="subsection"/>
        <w:numPr>
          <w:ilvl w:val="0"/>
          <w:numId w:val="28"/>
        </w:numPr>
        <w:spacing w:before="0" w:after="40" w:line="259" w:lineRule="auto"/>
        <w:ind w:left="714" w:hanging="357"/>
      </w:pPr>
      <w:r>
        <w:t xml:space="preserve">immediately before the period is due to end, </w:t>
      </w:r>
      <w:r w:rsidRPr="00DA0789">
        <w:t xml:space="preserve">the </w:t>
      </w:r>
      <w:r>
        <w:t>application is not withdrawn</w:t>
      </w:r>
      <w:r w:rsidRPr="00C40731">
        <w:t xml:space="preserve"> and</w:t>
      </w:r>
      <w:r>
        <w:t xml:space="preserve"> the </w:t>
      </w:r>
      <w:r w:rsidRPr="00DA0789">
        <w:t xml:space="preserve">ACMA has not made a decision whether to extend the </w:t>
      </w:r>
      <w:r>
        <w:t xml:space="preserve">period; </w:t>
      </w:r>
    </w:p>
    <w:p w14:paraId="79AF1789" w14:textId="77777777" w:rsidR="00362B2C" w:rsidRDefault="00362B2C" w:rsidP="00362B2C">
      <w:pPr>
        <w:pStyle w:val="subsection"/>
        <w:spacing w:before="0" w:after="40" w:line="259" w:lineRule="auto"/>
        <w:ind w:left="0" w:firstLine="0"/>
      </w:pPr>
      <w:r w:rsidRPr="0099093D">
        <w:t xml:space="preserve">the </w:t>
      </w:r>
      <w:r>
        <w:t>period</w:t>
      </w:r>
      <w:r w:rsidRPr="0099093D">
        <w:t xml:space="preserve"> is taken to be extended until: </w:t>
      </w:r>
    </w:p>
    <w:p w14:paraId="4D26CB38" w14:textId="77777777" w:rsidR="00362B2C" w:rsidRDefault="00362B2C" w:rsidP="00362B2C">
      <w:pPr>
        <w:pStyle w:val="subsection"/>
        <w:numPr>
          <w:ilvl w:val="0"/>
          <w:numId w:val="27"/>
        </w:numPr>
        <w:spacing w:before="0" w:after="40" w:line="259" w:lineRule="auto"/>
        <w:ind w:left="714" w:hanging="357"/>
        <w:contextualSpacing/>
      </w:pPr>
      <w:r>
        <w:t>i</w:t>
      </w:r>
      <w:r w:rsidRPr="00DA0789">
        <w:t>f</w:t>
      </w:r>
      <w:r>
        <w:t xml:space="preserve"> the ACMA asks the publisher to give it further information about the application and the information is not received within 10 business days – the tenth business day; or</w:t>
      </w:r>
    </w:p>
    <w:p w14:paraId="644F0546" w14:textId="77777777" w:rsidR="00362B2C" w:rsidRDefault="00362B2C" w:rsidP="00362B2C">
      <w:pPr>
        <w:pStyle w:val="subsection"/>
        <w:numPr>
          <w:ilvl w:val="0"/>
          <w:numId w:val="27"/>
        </w:numPr>
        <w:spacing w:before="0" w:after="160" w:line="259" w:lineRule="auto"/>
        <w:ind w:left="714" w:hanging="357"/>
      </w:pPr>
      <w:r w:rsidRPr="00DA0789">
        <w:t>the day on which the AC</w:t>
      </w:r>
      <w:r>
        <w:t>MA makes a decision whether to extend the period (subsection (3))</w:t>
      </w:r>
      <w:r w:rsidRPr="00DA0789">
        <w:t>.</w:t>
      </w:r>
    </w:p>
    <w:p w14:paraId="468A37C7" w14:textId="77777777" w:rsidR="00362B2C" w:rsidRPr="00A718E9" w:rsidRDefault="00362B2C" w:rsidP="00362B2C">
      <w:pPr>
        <w:pStyle w:val="ACMABodyText"/>
        <w:spacing w:before="0" w:after="160" w:line="259" w:lineRule="auto"/>
        <w:rPr>
          <w:b/>
          <w:sz w:val="22"/>
          <w:szCs w:val="22"/>
          <w:lang w:val="en-US"/>
        </w:rPr>
      </w:pPr>
      <w:r w:rsidRPr="00A718E9">
        <w:rPr>
          <w:b/>
          <w:sz w:val="22"/>
          <w:szCs w:val="22"/>
          <w:lang w:val="en-US"/>
        </w:rPr>
        <w:t>Section 3.14</w:t>
      </w:r>
      <w:r w:rsidRPr="00A718E9">
        <w:rPr>
          <w:b/>
          <w:sz w:val="22"/>
          <w:szCs w:val="22"/>
          <w:lang w:val="en-US"/>
        </w:rPr>
        <w:tab/>
        <w:t>Decision on application</w:t>
      </w:r>
    </w:p>
    <w:p w14:paraId="3F8AB5F8" w14:textId="77777777" w:rsidR="00362B2C" w:rsidRPr="00C042BB" w:rsidRDefault="00362B2C" w:rsidP="00362B2C">
      <w:pPr>
        <w:pStyle w:val="FootnoteText"/>
        <w:spacing w:after="160" w:line="259" w:lineRule="auto"/>
        <w:rPr>
          <w:rFonts w:ascii="Times New Roman" w:hAnsi="Times New Roman"/>
          <w:sz w:val="22"/>
          <w:szCs w:val="22"/>
          <w:lang w:val="en-US"/>
        </w:rPr>
      </w:pPr>
      <w:r w:rsidRPr="00BC289F">
        <w:rPr>
          <w:rFonts w:ascii="Times New Roman" w:hAnsi="Times New Roman"/>
          <w:sz w:val="22"/>
          <w:szCs w:val="22"/>
        </w:rPr>
        <w:t xml:space="preserve">This section enables the ACMA to ask </w:t>
      </w:r>
      <w:r>
        <w:rPr>
          <w:rFonts w:ascii="Times New Roman" w:hAnsi="Times New Roman"/>
          <w:sz w:val="22"/>
          <w:szCs w:val="22"/>
        </w:rPr>
        <w:t>a</w:t>
      </w:r>
      <w:r w:rsidRPr="009255DA">
        <w:rPr>
          <w:rFonts w:ascii="Times New Roman" w:hAnsi="Times New Roman"/>
          <w:sz w:val="22"/>
          <w:szCs w:val="22"/>
        </w:rPr>
        <w:t xml:space="preserve"> public number directory publisher</w:t>
      </w:r>
      <w:r w:rsidRPr="00BC289F">
        <w:rPr>
          <w:rFonts w:ascii="Times New Roman" w:hAnsi="Times New Roman"/>
          <w:sz w:val="22"/>
          <w:szCs w:val="22"/>
        </w:rPr>
        <w:t xml:space="preserve"> in writing to give it further information about an application for an extension of the</w:t>
      </w:r>
      <w:r w:rsidRPr="009255DA">
        <w:rPr>
          <w:rFonts w:ascii="Times New Roman" w:hAnsi="Times New Roman"/>
          <w:sz w:val="22"/>
          <w:szCs w:val="22"/>
        </w:rPr>
        <w:t xml:space="preserve"> period in which to publish a PND</w:t>
      </w:r>
      <w:r w:rsidRPr="00BC289F">
        <w:rPr>
          <w:rFonts w:ascii="Times New Roman" w:hAnsi="Times New Roman"/>
          <w:sz w:val="22"/>
          <w:szCs w:val="22"/>
        </w:rPr>
        <w:t xml:space="preserve"> (subsection (1)). Th</w:t>
      </w:r>
      <w:r w:rsidRPr="009255DA">
        <w:rPr>
          <w:rFonts w:ascii="Times New Roman" w:hAnsi="Times New Roman"/>
          <w:sz w:val="22"/>
          <w:szCs w:val="22"/>
        </w:rPr>
        <w:t>e section requires the public number directory publisher</w:t>
      </w:r>
      <w:r w:rsidRPr="00BC289F">
        <w:rPr>
          <w:rFonts w:ascii="Times New Roman" w:hAnsi="Times New Roman"/>
          <w:sz w:val="22"/>
          <w:szCs w:val="22"/>
        </w:rPr>
        <w:t xml:space="preserve"> to give the information to the ACMA within 10 business days and provides that the ACMA may treat the application a</w:t>
      </w:r>
      <w:r w:rsidRPr="00C042BB">
        <w:rPr>
          <w:rFonts w:ascii="Times New Roman" w:hAnsi="Times New Roman"/>
          <w:sz w:val="22"/>
          <w:szCs w:val="22"/>
        </w:rPr>
        <w:t xml:space="preserve">s withdrawn if the information is not received within 10 business days (subsections (2) and (3)). </w:t>
      </w:r>
    </w:p>
    <w:p w14:paraId="4773BB6B" w14:textId="77777777" w:rsidR="00362B2C" w:rsidRPr="00BC289F" w:rsidRDefault="00362B2C" w:rsidP="00362B2C">
      <w:pPr>
        <w:pStyle w:val="FootnoteText"/>
        <w:spacing w:after="40" w:line="259" w:lineRule="auto"/>
        <w:rPr>
          <w:rFonts w:ascii="Times New Roman" w:hAnsi="Times New Roman"/>
          <w:sz w:val="22"/>
          <w:szCs w:val="22"/>
        </w:rPr>
      </w:pPr>
      <w:r w:rsidRPr="00C042BB">
        <w:rPr>
          <w:rFonts w:ascii="Times New Roman" w:hAnsi="Times New Roman"/>
          <w:sz w:val="22"/>
          <w:szCs w:val="22"/>
        </w:rPr>
        <w:t xml:space="preserve">The section provides that the ACMA must, unless the application is withdrawn, decide whether to extend the </w:t>
      </w:r>
      <w:r>
        <w:rPr>
          <w:rFonts w:ascii="Times New Roman" w:hAnsi="Times New Roman"/>
          <w:sz w:val="22"/>
          <w:szCs w:val="22"/>
        </w:rPr>
        <w:t>period in which to</w:t>
      </w:r>
      <w:r w:rsidRPr="009255DA">
        <w:rPr>
          <w:rFonts w:ascii="Times New Roman" w:hAnsi="Times New Roman"/>
          <w:sz w:val="22"/>
          <w:szCs w:val="22"/>
        </w:rPr>
        <w:t xml:space="preserve"> publish a PND</w:t>
      </w:r>
      <w:r w:rsidRPr="00BC289F">
        <w:rPr>
          <w:rFonts w:ascii="Times New Roman" w:hAnsi="Times New Roman"/>
          <w:sz w:val="22"/>
          <w:szCs w:val="22"/>
        </w:rPr>
        <w:t xml:space="preserve">: </w:t>
      </w:r>
    </w:p>
    <w:p w14:paraId="3DE9C6EC" w14:textId="77777777" w:rsidR="00362B2C" w:rsidRPr="00C042BB" w:rsidRDefault="00362B2C" w:rsidP="00362B2C">
      <w:pPr>
        <w:pStyle w:val="FootnoteText"/>
        <w:numPr>
          <w:ilvl w:val="0"/>
          <w:numId w:val="34"/>
        </w:numPr>
        <w:spacing w:after="40" w:line="259" w:lineRule="auto"/>
        <w:ind w:left="714" w:hanging="357"/>
        <w:rPr>
          <w:rFonts w:ascii="Times New Roman" w:hAnsi="Times New Roman"/>
          <w:sz w:val="22"/>
          <w:szCs w:val="22"/>
        </w:rPr>
      </w:pPr>
      <w:r w:rsidRPr="00C042BB">
        <w:rPr>
          <w:rFonts w:ascii="Times New Roman" w:hAnsi="Times New Roman"/>
          <w:sz w:val="22"/>
          <w:szCs w:val="22"/>
        </w:rPr>
        <w:t xml:space="preserve">as soon as practicable after receiving the application; or </w:t>
      </w:r>
    </w:p>
    <w:p w14:paraId="4C811769" w14:textId="77777777" w:rsidR="00362B2C" w:rsidRPr="00DC1A01" w:rsidRDefault="00362B2C" w:rsidP="00362B2C">
      <w:pPr>
        <w:pStyle w:val="FootnoteText"/>
        <w:numPr>
          <w:ilvl w:val="0"/>
          <w:numId w:val="34"/>
        </w:numPr>
        <w:spacing w:after="160" w:line="259" w:lineRule="auto"/>
        <w:rPr>
          <w:rFonts w:ascii="Times New Roman" w:hAnsi="Times New Roman"/>
          <w:sz w:val="22"/>
          <w:szCs w:val="22"/>
        </w:rPr>
      </w:pPr>
      <w:r w:rsidRPr="00C042BB">
        <w:rPr>
          <w:rFonts w:ascii="Times New Roman" w:hAnsi="Times New Roman"/>
          <w:sz w:val="22"/>
          <w:szCs w:val="22"/>
        </w:rPr>
        <w:t>if the ACMA has</w:t>
      </w:r>
      <w:r>
        <w:rPr>
          <w:rFonts w:ascii="Times New Roman" w:hAnsi="Times New Roman"/>
          <w:sz w:val="22"/>
          <w:szCs w:val="22"/>
        </w:rPr>
        <w:t xml:space="preserve"> asked for further information – </w:t>
      </w:r>
      <w:r w:rsidRPr="00DC1A01">
        <w:rPr>
          <w:rFonts w:ascii="Times New Roman" w:hAnsi="Times New Roman"/>
          <w:sz w:val="22"/>
          <w:szCs w:val="22"/>
        </w:rPr>
        <w:t xml:space="preserve">as soon as practicable after receiving the information (subsection (4)).  </w:t>
      </w:r>
    </w:p>
    <w:p w14:paraId="0F6C0285" w14:textId="77777777" w:rsidR="00362B2C" w:rsidRDefault="00362B2C" w:rsidP="00362B2C">
      <w:pPr>
        <w:pStyle w:val="ACMABodyText"/>
        <w:spacing w:before="0" w:after="160" w:line="259" w:lineRule="auto"/>
        <w:rPr>
          <w:sz w:val="22"/>
          <w:szCs w:val="22"/>
        </w:rPr>
      </w:pPr>
      <w:r>
        <w:rPr>
          <w:sz w:val="22"/>
          <w:szCs w:val="22"/>
        </w:rPr>
        <w:t xml:space="preserve">The section requires the </w:t>
      </w:r>
      <w:r w:rsidRPr="00820AEA">
        <w:rPr>
          <w:sz w:val="22"/>
          <w:szCs w:val="22"/>
        </w:rPr>
        <w:t xml:space="preserve">ACMA </w:t>
      </w:r>
      <w:r>
        <w:rPr>
          <w:sz w:val="22"/>
          <w:szCs w:val="22"/>
        </w:rPr>
        <w:t xml:space="preserve">to extend the period in which to publish a PND </w:t>
      </w:r>
      <w:r w:rsidRPr="00820AEA">
        <w:rPr>
          <w:sz w:val="22"/>
          <w:szCs w:val="22"/>
        </w:rPr>
        <w:t xml:space="preserve">if it is satisfied that the reason why </w:t>
      </w:r>
      <w:r>
        <w:rPr>
          <w:sz w:val="22"/>
          <w:szCs w:val="22"/>
        </w:rPr>
        <w:t>the</w:t>
      </w:r>
      <w:r w:rsidRPr="00820AEA">
        <w:rPr>
          <w:sz w:val="22"/>
          <w:szCs w:val="22"/>
        </w:rPr>
        <w:t xml:space="preserve"> PND </w:t>
      </w:r>
      <w:r>
        <w:rPr>
          <w:sz w:val="22"/>
          <w:szCs w:val="22"/>
        </w:rPr>
        <w:t>is unable to be</w:t>
      </w:r>
      <w:r w:rsidRPr="00820AEA">
        <w:rPr>
          <w:sz w:val="22"/>
          <w:szCs w:val="22"/>
        </w:rPr>
        <w:t xml:space="preserve"> </w:t>
      </w:r>
      <w:r>
        <w:rPr>
          <w:sz w:val="22"/>
          <w:szCs w:val="22"/>
        </w:rPr>
        <w:t>published within the period is</w:t>
      </w:r>
      <w:r w:rsidRPr="00820AEA">
        <w:rPr>
          <w:sz w:val="22"/>
          <w:szCs w:val="22"/>
        </w:rPr>
        <w:t xml:space="preserve"> beyond the</w:t>
      </w:r>
      <w:r>
        <w:rPr>
          <w:sz w:val="22"/>
          <w:szCs w:val="22"/>
        </w:rPr>
        <w:t xml:space="preserve"> public number directory </w:t>
      </w:r>
      <w:r w:rsidRPr="00820AEA">
        <w:rPr>
          <w:sz w:val="22"/>
          <w:szCs w:val="22"/>
        </w:rPr>
        <w:t>publisher’s control</w:t>
      </w:r>
      <w:r>
        <w:rPr>
          <w:sz w:val="22"/>
          <w:szCs w:val="22"/>
        </w:rPr>
        <w:t xml:space="preserve"> and that the publisher has complied, and is likely to continue to comply, with the relevant requirements (subsection (5))</w:t>
      </w:r>
      <w:r w:rsidRPr="00820AEA">
        <w:rPr>
          <w:sz w:val="22"/>
          <w:szCs w:val="22"/>
        </w:rPr>
        <w:t xml:space="preserve">. </w:t>
      </w:r>
    </w:p>
    <w:p w14:paraId="3DA966F5" w14:textId="77777777" w:rsidR="00362B2C" w:rsidRDefault="00362B2C" w:rsidP="00362B2C">
      <w:pPr>
        <w:pStyle w:val="ACMABodyText"/>
        <w:spacing w:before="0" w:after="160" w:line="259" w:lineRule="auto"/>
        <w:rPr>
          <w:sz w:val="22"/>
          <w:szCs w:val="22"/>
        </w:rPr>
      </w:pPr>
      <w:r>
        <w:rPr>
          <w:sz w:val="22"/>
          <w:szCs w:val="22"/>
        </w:rPr>
        <w:t>If the</w:t>
      </w:r>
      <w:r w:rsidRPr="00820AEA">
        <w:rPr>
          <w:sz w:val="22"/>
          <w:szCs w:val="22"/>
        </w:rPr>
        <w:t xml:space="preserve"> ACMA </w:t>
      </w:r>
      <w:r>
        <w:rPr>
          <w:sz w:val="22"/>
          <w:szCs w:val="22"/>
        </w:rPr>
        <w:t>extends the period in which to publish a PND, the section requires the ACMA to decide</w:t>
      </w:r>
      <w:r w:rsidRPr="00820AEA">
        <w:rPr>
          <w:sz w:val="22"/>
          <w:szCs w:val="22"/>
        </w:rPr>
        <w:t xml:space="preserve"> the </w:t>
      </w:r>
      <w:r>
        <w:rPr>
          <w:sz w:val="22"/>
          <w:szCs w:val="22"/>
        </w:rPr>
        <w:t>period</w:t>
      </w:r>
      <w:r w:rsidRPr="00820AEA">
        <w:rPr>
          <w:sz w:val="22"/>
          <w:szCs w:val="22"/>
        </w:rPr>
        <w:t xml:space="preserve"> of the extension (</w:t>
      </w:r>
      <w:r>
        <w:rPr>
          <w:sz w:val="22"/>
          <w:szCs w:val="22"/>
        </w:rPr>
        <w:t xml:space="preserve">being a period of </w:t>
      </w:r>
      <w:r w:rsidRPr="00820AEA">
        <w:rPr>
          <w:sz w:val="22"/>
          <w:szCs w:val="22"/>
        </w:rPr>
        <w:t>not more than 90 days)</w:t>
      </w:r>
      <w:r>
        <w:rPr>
          <w:sz w:val="22"/>
          <w:szCs w:val="22"/>
        </w:rPr>
        <w:t xml:space="preserve"> (paragraph (6)(a))</w:t>
      </w:r>
      <w:r w:rsidRPr="00820AEA">
        <w:rPr>
          <w:sz w:val="22"/>
          <w:szCs w:val="22"/>
        </w:rPr>
        <w:t xml:space="preserve">. </w:t>
      </w:r>
      <w:r>
        <w:rPr>
          <w:sz w:val="22"/>
          <w:szCs w:val="22"/>
        </w:rPr>
        <w:t xml:space="preserve">The section makes clear that the </w:t>
      </w:r>
      <w:r w:rsidRPr="00820AEA">
        <w:rPr>
          <w:sz w:val="22"/>
          <w:szCs w:val="22"/>
        </w:rPr>
        <w:t xml:space="preserve">ACMA is not </w:t>
      </w:r>
      <w:r>
        <w:rPr>
          <w:sz w:val="22"/>
          <w:szCs w:val="22"/>
        </w:rPr>
        <w:t xml:space="preserve">obliged to extend the duration for any period requested by the public number directory publisher (paragraph (6)(b)). </w:t>
      </w:r>
    </w:p>
    <w:p w14:paraId="26DF9926" w14:textId="77777777" w:rsidR="00362B2C" w:rsidRPr="00BC289F" w:rsidRDefault="00362B2C" w:rsidP="00362B2C">
      <w:pPr>
        <w:pStyle w:val="ACMABodyText"/>
        <w:spacing w:before="0" w:after="160" w:line="259" w:lineRule="auto"/>
        <w:rPr>
          <w:sz w:val="22"/>
          <w:szCs w:val="22"/>
        </w:rPr>
      </w:pPr>
      <w:r w:rsidRPr="00C53829">
        <w:rPr>
          <w:sz w:val="22"/>
          <w:szCs w:val="22"/>
        </w:rPr>
        <w:t>The section provides that the ACMA must</w:t>
      </w:r>
      <w:r>
        <w:rPr>
          <w:sz w:val="22"/>
          <w:szCs w:val="22"/>
        </w:rPr>
        <w:t xml:space="preserve">, </w:t>
      </w:r>
      <w:r w:rsidRPr="00BC289F">
        <w:rPr>
          <w:sz w:val="22"/>
          <w:szCs w:val="22"/>
        </w:rPr>
        <w:t>as soon</w:t>
      </w:r>
      <w:r>
        <w:rPr>
          <w:sz w:val="22"/>
          <w:szCs w:val="22"/>
        </w:rPr>
        <w:t xml:space="preserve"> as practicable after making its</w:t>
      </w:r>
      <w:r w:rsidRPr="00BC289F">
        <w:rPr>
          <w:sz w:val="22"/>
          <w:szCs w:val="22"/>
        </w:rPr>
        <w:t xml:space="preserve"> decision</w:t>
      </w:r>
      <w:r>
        <w:rPr>
          <w:sz w:val="22"/>
          <w:szCs w:val="22"/>
        </w:rPr>
        <w:t>,</w:t>
      </w:r>
      <w:r w:rsidRPr="00C53829">
        <w:rPr>
          <w:sz w:val="22"/>
          <w:szCs w:val="22"/>
        </w:rPr>
        <w:t xml:space="preserve"> notify the public number directory publisher in writing of </w:t>
      </w:r>
      <w:r>
        <w:rPr>
          <w:sz w:val="22"/>
          <w:szCs w:val="22"/>
        </w:rPr>
        <w:t>the</w:t>
      </w:r>
      <w:r w:rsidRPr="00C53829">
        <w:rPr>
          <w:sz w:val="22"/>
          <w:szCs w:val="22"/>
        </w:rPr>
        <w:t xml:space="preserve"> decision and </w:t>
      </w:r>
      <w:r>
        <w:rPr>
          <w:sz w:val="22"/>
          <w:szCs w:val="22"/>
        </w:rPr>
        <w:t>(</w:t>
      </w:r>
      <w:r w:rsidRPr="00C53829">
        <w:rPr>
          <w:sz w:val="22"/>
          <w:szCs w:val="22"/>
        </w:rPr>
        <w:t xml:space="preserve">for a </w:t>
      </w:r>
      <w:r w:rsidRPr="00C53829">
        <w:rPr>
          <w:sz w:val="22"/>
          <w:szCs w:val="22"/>
        </w:rPr>
        <w:lastRenderedPageBreak/>
        <w:t xml:space="preserve">refusal to extend the </w:t>
      </w:r>
      <w:r w:rsidRPr="009255DA">
        <w:rPr>
          <w:sz w:val="22"/>
          <w:szCs w:val="22"/>
        </w:rPr>
        <w:t>period</w:t>
      </w:r>
      <w:r>
        <w:rPr>
          <w:sz w:val="22"/>
          <w:szCs w:val="22"/>
        </w:rPr>
        <w:t xml:space="preserve"> or a decision to extend the duration for a period other than a period requested by the publisher) the reasons for the decision </w:t>
      </w:r>
      <w:r w:rsidRPr="00BC289F">
        <w:rPr>
          <w:sz w:val="22"/>
          <w:szCs w:val="22"/>
        </w:rPr>
        <w:t xml:space="preserve">(paragraph (7)(a)). </w:t>
      </w:r>
    </w:p>
    <w:p w14:paraId="6B031FF8" w14:textId="77777777" w:rsidR="00362B2C" w:rsidRPr="00BC289F" w:rsidRDefault="00362B2C" w:rsidP="00362B2C">
      <w:pPr>
        <w:pStyle w:val="FootnoteText"/>
        <w:spacing w:after="160" w:line="259" w:lineRule="auto"/>
        <w:rPr>
          <w:rFonts w:ascii="Times New Roman" w:hAnsi="Times New Roman"/>
          <w:sz w:val="22"/>
          <w:szCs w:val="22"/>
        </w:rPr>
      </w:pPr>
      <w:r w:rsidRPr="00BC289F">
        <w:rPr>
          <w:rFonts w:ascii="Times New Roman" w:hAnsi="Times New Roman"/>
          <w:sz w:val="22"/>
          <w:szCs w:val="22"/>
        </w:rPr>
        <w:t>The section provides that for a</w:t>
      </w:r>
      <w:r w:rsidRPr="009255DA">
        <w:rPr>
          <w:rFonts w:ascii="Times New Roman" w:hAnsi="Times New Roman"/>
          <w:sz w:val="22"/>
          <w:szCs w:val="22"/>
        </w:rPr>
        <w:t xml:space="preserve"> decision to extend the period</w:t>
      </w:r>
      <w:r w:rsidRPr="00BC289F">
        <w:rPr>
          <w:rFonts w:ascii="Times New Roman" w:hAnsi="Times New Roman"/>
          <w:sz w:val="22"/>
          <w:szCs w:val="22"/>
        </w:rPr>
        <w:t>, the ACMA must also notify the IPND Manager in writing of the decision as soon as practicable after making the decision (paragraph (7)(b)).</w:t>
      </w:r>
      <w:r>
        <w:rPr>
          <w:rStyle w:val="FootnoteReference"/>
          <w:sz w:val="22"/>
          <w:szCs w:val="22"/>
        </w:rPr>
        <w:footnoteReference w:id="18"/>
      </w:r>
    </w:p>
    <w:p w14:paraId="71EE4CC6" w14:textId="77777777" w:rsidR="00362B2C" w:rsidRDefault="00362B2C" w:rsidP="00362B2C">
      <w:pPr>
        <w:pStyle w:val="ACMABodyText"/>
        <w:spacing w:before="0" w:after="160" w:line="259" w:lineRule="auto"/>
        <w:rPr>
          <w:b/>
          <w:sz w:val="22"/>
          <w:szCs w:val="22"/>
          <w:lang w:val="en-US"/>
        </w:rPr>
      </w:pPr>
      <w:r>
        <w:rPr>
          <w:b/>
          <w:sz w:val="22"/>
          <w:szCs w:val="22"/>
          <w:lang w:val="en-US"/>
        </w:rPr>
        <w:t>Section 3.15</w:t>
      </w:r>
      <w:r w:rsidRPr="00524A96">
        <w:rPr>
          <w:b/>
          <w:sz w:val="22"/>
          <w:szCs w:val="22"/>
          <w:lang w:val="en-US"/>
        </w:rPr>
        <w:tab/>
      </w:r>
      <w:r>
        <w:rPr>
          <w:b/>
          <w:sz w:val="22"/>
          <w:szCs w:val="22"/>
          <w:lang w:val="en-US"/>
        </w:rPr>
        <w:t>Start of extended period in which to publish PND</w:t>
      </w:r>
    </w:p>
    <w:p w14:paraId="5E04467B" w14:textId="77777777" w:rsidR="00362B2C" w:rsidRDefault="00362B2C" w:rsidP="00362B2C">
      <w:pPr>
        <w:pStyle w:val="ACMABodyText"/>
        <w:spacing w:before="0" w:after="40" w:line="259" w:lineRule="auto"/>
      </w:pPr>
      <w:r>
        <w:rPr>
          <w:sz w:val="22"/>
          <w:szCs w:val="22"/>
        </w:rPr>
        <w:t>This section provides that an extension of the period in which to publish a PND starts on the later of:</w:t>
      </w:r>
    </w:p>
    <w:p w14:paraId="6510D4F1" w14:textId="77777777" w:rsidR="00362B2C" w:rsidRDefault="00362B2C" w:rsidP="00362B2C">
      <w:pPr>
        <w:pStyle w:val="ACMABodyText"/>
        <w:numPr>
          <w:ilvl w:val="0"/>
          <w:numId w:val="30"/>
        </w:numPr>
        <w:spacing w:before="0" w:after="40" w:line="245" w:lineRule="auto"/>
        <w:ind w:left="714" w:hanging="357"/>
      </w:pPr>
      <w:r>
        <w:rPr>
          <w:sz w:val="22"/>
          <w:szCs w:val="22"/>
        </w:rPr>
        <w:t>the day after the day on which the ACMA makes the decision to extend the period; and</w:t>
      </w:r>
    </w:p>
    <w:p w14:paraId="51C60FD8" w14:textId="77777777" w:rsidR="00362B2C" w:rsidRPr="00540BA6" w:rsidRDefault="00362B2C" w:rsidP="00362B2C">
      <w:pPr>
        <w:pStyle w:val="ACMABodyText"/>
        <w:numPr>
          <w:ilvl w:val="0"/>
          <w:numId w:val="30"/>
        </w:numPr>
        <w:spacing w:after="160" w:line="259" w:lineRule="auto"/>
        <w:ind w:left="714" w:hanging="357"/>
        <w:contextualSpacing/>
      </w:pPr>
      <w:r>
        <w:rPr>
          <w:sz w:val="22"/>
          <w:szCs w:val="22"/>
        </w:rPr>
        <w:t xml:space="preserve">the day </w:t>
      </w:r>
      <w:r w:rsidRPr="00496C18">
        <w:rPr>
          <w:sz w:val="22"/>
          <w:szCs w:val="22"/>
        </w:rPr>
        <w:t>after the day on which the period would have ended if there had been no extensi</w:t>
      </w:r>
      <w:r>
        <w:rPr>
          <w:sz w:val="22"/>
          <w:szCs w:val="22"/>
        </w:rPr>
        <w:t>on.</w:t>
      </w:r>
    </w:p>
    <w:p w14:paraId="365AB9B2" w14:textId="77777777" w:rsidR="00362B2C" w:rsidRDefault="00362B2C" w:rsidP="00362B2C">
      <w:pPr>
        <w:rPr>
          <w:rFonts w:ascii="Times New Roman" w:hAnsi="Times New Roman" w:cs="Times New Roman"/>
          <w:b/>
        </w:rPr>
      </w:pPr>
      <w:r>
        <w:rPr>
          <w:rFonts w:ascii="Times New Roman" w:hAnsi="Times New Roman" w:cs="Times New Roman"/>
          <w:b/>
        </w:rPr>
        <w:t>Part 4–</w:t>
      </w:r>
      <w:r w:rsidRPr="00EB66AE">
        <w:rPr>
          <w:rFonts w:ascii="Times New Roman" w:hAnsi="Times New Roman" w:cs="Times New Roman"/>
          <w:b/>
        </w:rPr>
        <w:t>Authorisation to use and disclose customer data–</w:t>
      </w:r>
      <w:r>
        <w:rPr>
          <w:rFonts w:ascii="Times New Roman" w:hAnsi="Times New Roman" w:cs="Times New Roman"/>
          <w:b/>
        </w:rPr>
        <w:t>research entities</w:t>
      </w:r>
    </w:p>
    <w:p w14:paraId="5192AE8A" w14:textId="77777777" w:rsidR="00362B2C" w:rsidRDefault="00362B2C" w:rsidP="00362B2C">
      <w:pPr>
        <w:rPr>
          <w:rFonts w:ascii="Times New Roman" w:hAnsi="Times New Roman" w:cs="Times New Roman"/>
        </w:rPr>
      </w:pPr>
      <w:r>
        <w:rPr>
          <w:rFonts w:ascii="Times New Roman" w:hAnsi="Times New Roman" w:cs="Times New Roman"/>
        </w:rPr>
        <w:t>Part 4</w:t>
      </w:r>
      <w:r w:rsidRPr="00E4296A">
        <w:rPr>
          <w:rFonts w:ascii="Times New Roman" w:hAnsi="Times New Roman" w:cs="Times New Roman"/>
        </w:rPr>
        <w:t xml:space="preserve"> sets out the application and assessment processes for </w:t>
      </w:r>
      <w:r>
        <w:rPr>
          <w:rFonts w:ascii="Times New Roman" w:hAnsi="Times New Roman" w:cs="Times New Roman"/>
        </w:rPr>
        <w:t xml:space="preserve">the grant of authorisations to </w:t>
      </w:r>
      <w:r w:rsidRPr="00E4296A">
        <w:rPr>
          <w:rFonts w:ascii="Times New Roman" w:hAnsi="Times New Roman" w:cs="Times New Roman"/>
        </w:rPr>
        <w:t>use and disclos</w:t>
      </w:r>
      <w:r>
        <w:rPr>
          <w:rFonts w:ascii="Times New Roman" w:hAnsi="Times New Roman" w:cs="Times New Roman"/>
        </w:rPr>
        <w:t>e</w:t>
      </w:r>
      <w:r w:rsidRPr="00E4296A">
        <w:rPr>
          <w:rFonts w:ascii="Times New Roman" w:hAnsi="Times New Roman" w:cs="Times New Roman"/>
        </w:rPr>
        <w:t xml:space="preserve"> customer data </w:t>
      </w:r>
      <w:r>
        <w:rPr>
          <w:rFonts w:ascii="Times New Roman" w:hAnsi="Times New Roman" w:cs="Times New Roman"/>
        </w:rPr>
        <w:t>to conduct research, the duration of such authorisations, how the duration may be extended and the conditions to which the authorisations are subject.</w:t>
      </w:r>
      <w:r w:rsidRPr="00E4296A">
        <w:rPr>
          <w:rFonts w:ascii="Times New Roman" w:hAnsi="Times New Roman" w:cs="Times New Roman"/>
        </w:rPr>
        <w:t xml:space="preserve"> </w:t>
      </w:r>
      <w:r>
        <w:rPr>
          <w:rFonts w:ascii="Times New Roman" w:hAnsi="Times New Roman" w:cs="Times New Roman"/>
        </w:rPr>
        <w:t xml:space="preserve"> </w:t>
      </w:r>
    </w:p>
    <w:p w14:paraId="033ECBEA" w14:textId="77777777" w:rsidR="00362B2C" w:rsidRDefault="00362B2C" w:rsidP="00362B2C">
      <w:pPr>
        <w:pStyle w:val="Definition"/>
        <w:spacing w:before="0" w:after="160" w:line="259" w:lineRule="auto"/>
        <w:ind w:left="0"/>
      </w:pPr>
      <w:r>
        <w:t>An authorisation granted under Part 4 is a research authorisation.</w:t>
      </w:r>
    </w:p>
    <w:p w14:paraId="1B217314" w14:textId="77777777" w:rsidR="00362B2C" w:rsidRDefault="00362B2C" w:rsidP="00362B2C">
      <w:pPr>
        <w:pStyle w:val="Definition"/>
        <w:spacing w:before="0" w:after="160" w:line="259" w:lineRule="auto"/>
        <w:ind w:left="0"/>
      </w:pPr>
      <w:r>
        <w:t xml:space="preserve">A person seeking a research authorisation may be a researcher who wishes to use and disclose </w:t>
      </w:r>
      <w:r w:rsidRPr="00BC289F">
        <w:t xml:space="preserve">customer data to conduct research, or a </w:t>
      </w:r>
      <w:r w:rsidRPr="00CB4BDA">
        <w:t>representative body</w:t>
      </w:r>
      <w:r w:rsidRPr="009255DA">
        <w:rPr>
          <w:rStyle w:val="FootnoteReference"/>
          <w:rFonts w:ascii="Times New Roman" w:hAnsi="Times New Roman"/>
        </w:rPr>
        <w:footnoteReference w:id="19"/>
      </w:r>
      <w:r w:rsidRPr="009255DA">
        <w:t xml:space="preserve"> which wishes to use and disclose to its members</w:t>
      </w:r>
      <w:r w:rsidRPr="009255DA">
        <w:rPr>
          <w:rStyle w:val="FootnoteReference"/>
          <w:rFonts w:ascii="Times New Roman" w:hAnsi="Times New Roman"/>
        </w:rPr>
        <w:footnoteReference w:id="20"/>
      </w:r>
      <w:r w:rsidRPr="009255DA">
        <w:t xml:space="preserve"> customer</w:t>
      </w:r>
      <w:r>
        <w:t xml:space="preserve"> data to conduct research.</w:t>
      </w:r>
    </w:p>
    <w:p w14:paraId="6D487A0A" w14:textId="77777777" w:rsidR="00362B2C" w:rsidRDefault="00362B2C" w:rsidP="00362B2C">
      <w:pPr>
        <w:pStyle w:val="ACMABodyText"/>
        <w:spacing w:before="0" w:after="160" w:line="259" w:lineRule="auto"/>
      </w:pPr>
      <w:r w:rsidRPr="009255DA">
        <w:rPr>
          <w:sz w:val="22"/>
          <w:szCs w:val="22"/>
        </w:rPr>
        <w:t>A person who holds a research authorisation is treated in the scheme as being a research entity</w:t>
      </w:r>
      <w:r w:rsidRPr="008348B6">
        <w:rPr>
          <w:sz w:val="22"/>
          <w:szCs w:val="22"/>
        </w:rPr>
        <w:t xml:space="preserve"> </w:t>
      </w:r>
      <w:r>
        <w:rPr>
          <w:sz w:val="22"/>
          <w:szCs w:val="22"/>
        </w:rPr>
        <w:t>and may make arrangements with</w:t>
      </w:r>
      <w:r w:rsidRPr="00332744">
        <w:rPr>
          <w:sz w:val="22"/>
          <w:szCs w:val="22"/>
        </w:rPr>
        <w:t xml:space="preserve"> the IPND Manager for </w:t>
      </w:r>
      <w:r>
        <w:rPr>
          <w:sz w:val="22"/>
          <w:szCs w:val="22"/>
        </w:rPr>
        <w:t xml:space="preserve">the </w:t>
      </w:r>
      <w:r w:rsidRPr="00332744">
        <w:rPr>
          <w:sz w:val="22"/>
          <w:szCs w:val="22"/>
        </w:rPr>
        <w:t>supply of customer data</w:t>
      </w:r>
      <w:r>
        <w:rPr>
          <w:sz w:val="22"/>
          <w:szCs w:val="22"/>
        </w:rPr>
        <w:t xml:space="preserve"> to conduct research.  </w:t>
      </w:r>
    </w:p>
    <w:p w14:paraId="107ED62F" w14:textId="77777777" w:rsidR="00362B2C" w:rsidRDefault="00362B2C" w:rsidP="00362B2C">
      <w:pPr>
        <w:pStyle w:val="Definition"/>
        <w:spacing w:before="0" w:after="160" w:line="259" w:lineRule="auto"/>
        <w:ind w:left="0"/>
      </w:pPr>
      <w:r>
        <w:lastRenderedPageBreak/>
        <w:t xml:space="preserve">A research entity who is a representative body is a research representative body.  A research representative body is only allowed to disclose to its members the public number of a customer or a customer’s business, and the postcode and the State or Territory in the directory address of the customer or business.  A research representative body is also subject to additional requirements to protect the privacy and security of customer data disclosed to its members.     </w:t>
      </w:r>
      <w:r w:rsidRPr="00E4296A">
        <w:t xml:space="preserve"> </w:t>
      </w:r>
    </w:p>
    <w:p w14:paraId="6CEB88FC" w14:textId="77777777" w:rsidR="00362B2C" w:rsidRDefault="00362B2C" w:rsidP="00362B2C">
      <w:pPr>
        <w:rPr>
          <w:rFonts w:ascii="Times New Roman" w:hAnsi="Times New Roman" w:cs="Times New Roman"/>
          <w:b/>
        </w:rPr>
      </w:pPr>
      <w:r>
        <w:rPr>
          <w:rFonts w:ascii="Times New Roman" w:hAnsi="Times New Roman" w:cs="Times New Roman"/>
          <w:b/>
        </w:rPr>
        <w:t>Division 1</w:t>
      </w:r>
      <w:r>
        <w:rPr>
          <w:rFonts w:ascii="Times New Roman" w:hAnsi="Times New Roman" w:cs="Times New Roman"/>
          <w:b/>
        </w:rPr>
        <w:tab/>
        <w:t>Application of Part 4</w:t>
      </w:r>
    </w:p>
    <w:p w14:paraId="22F3296E" w14:textId="77777777" w:rsidR="00362B2C" w:rsidRDefault="00362B2C" w:rsidP="00362B2C">
      <w:pPr>
        <w:rPr>
          <w:rFonts w:ascii="Times New Roman" w:hAnsi="Times New Roman" w:cs="Times New Roman"/>
          <w:b/>
        </w:rPr>
      </w:pPr>
      <w:r>
        <w:rPr>
          <w:rFonts w:ascii="Times New Roman" w:hAnsi="Times New Roman" w:cs="Times New Roman"/>
          <w:b/>
        </w:rPr>
        <w:t>Section 4.1</w:t>
      </w:r>
      <w:r>
        <w:rPr>
          <w:rFonts w:ascii="Times New Roman" w:hAnsi="Times New Roman" w:cs="Times New Roman"/>
          <w:b/>
        </w:rPr>
        <w:tab/>
        <w:t>Application</w:t>
      </w:r>
    </w:p>
    <w:p w14:paraId="65891A6E" w14:textId="77777777" w:rsidR="00362B2C" w:rsidRDefault="00362B2C" w:rsidP="00362B2C">
      <w:pPr>
        <w:rPr>
          <w:rFonts w:ascii="Times New Roman" w:hAnsi="Times New Roman" w:cs="Times New Roman"/>
        </w:rPr>
      </w:pPr>
      <w:r>
        <w:rPr>
          <w:rFonts w:ascii="Times New Roman" w:hAnsi="Times New Roman" w:cs="Times New Roman"/>
        </w:rPr>
        <w:t xml:space="preserve">This section provides that Part 4 </w:t>
      </w:r>
      <w:r w:rsidRPr="00A079BF">
        <w:rPr>
          <w:rFonts w:ascii="Times New Roman" w:hAnsi="Times New Roman" w:cs="Times New Roman"/>
        </w:rPr>
        <w:t xml:space="preserve">applies to a person seeking to be granted an authorisation to </w:t>
      </w:r>
      <w:r>
        <w:rPr>
          <w:rFonts w:ascii="Times New Roman" w:hAnsi="Times New Roman" w:cs="Times New Roman"/>
        </w:rPr>
        <w:t xml:space="preserve">use and disclose customer data for purposes connected with the conduct of research, and to a research entity. </w:t>
      </w:r>
    </w:p>
    <w:p w14:paraId="57C7D403" w14:textId="77777777" w:rsidR="00362B2C" w:rsidRDefault="00362B2C" w:rsidP="00362B2C">
      <w:pPr>
        <w:rPr>
          <w:rFonts w:ascii="Times New Roman" w:hAnsi="Times New Roman" w:cs="Times New Roman"/>
          <w:b/>
        </w:rPr>
      </w:pPr>
      <w:r>
        <w:rPr>
          <w:rFonts w:ascii="Times New Roman" w:hAnsi="Times New Roman" w:cs="Times New Roman"/>
          <w:b/>
        </w:rPr>
        <w:t>Division 2</w:t>
      </w:r>
      <w:r>
        <w:rPr>
          <w:rFonts w:ascii="Times New Roman" w:hAnsi="Times New Roman" w:cs="Times New Roman"/>
          <w:b/>
        </w:rPr>
        <w:tab/>
        <w:t>Research authorisation</w:t>
      </w:r>
    </w:p>
    <w:p w14:paraId="281D6011" w14:textId="77777777" w:rsidR="00362B2C" w:rsidRDefault="00362B2C" w:rsidP="00362B2C">
      <w:pPr>
        <w:rPr>
          <w:rFonts w:ascii="Times New Roman" w:hAnsi="Times New Roman" w:cs="Times New Roman"/>
          <w:b/>
        </w:rPr>
      </w:pPr>
      <w:r>
        <w:rPr>
          <w:rFonts w:ascii="Times New Roman" w:hAnsi="Times New Roman" w:cs="Times New Roman"/>
          <w:b/>
        </w:rPr>
        <w:t xml:space="preserve">Subdivision </w:t>
      </w:r>
      <w:proofErr w:type="spellStart"/>
      <w:r>
        <w:rPr>
          <w:rFonts w:ascii="Times New Roman" w:hAnsi="Times New Roman" w:cs="Times New Roman"/>
          <w:b/>
        </w:rPr>
        <w:t>A</w:t>
      </w:r>
      <w:proofErr w:type="spellEnd"/>
      <w:r>
        <w:rPr>
          <w:rFonts w:ascii="Times New Roman" w:hAnsi="Times New Roman" w:cs="Times New Roman"/>
          <w:b/>
        </w:rPr>
        <w:tab/>
        <w:t>Application for research authorisation</w:t>
      </w:r>
    </w:p>
    <w:p w14:paraId="09FB3203" w14:textId="77777777" w:rsidR="00362B2C" w:rsidRDefault="00362B2C" w:rsidP="00362B2C">
      <w:pPr>
        <w:rPr>
          <w:rFonts w:ascii="Times New Roman" w:hAnsi="Times New Roman" w:cs="Times New Roman"/>
        </w:rPr>
      </w:pPr>
      <w:r w:rsidRPr="00B378C7">
        <w:rPr>
          <w:rFonts w:ascii="Times New Roman" w:hAnsi="Times New Roman" w:cs="Times New Roman"/>
          <w:b/>
        </w:rPr>
        <w:t xml:space="preserve">Section </w:t>
      </w:r>
      <w:r>
        <w:rPr>
          <w:rFonts w:ascii="Times New Roman" w:hAnsi="Times New Roman" w:cs="Times New Roman"/>
          <w:b/>
        </w:rPr>
        <w:t>4.</w:t>
      </w:r>
      <w:r w:rsidRPr="00B378C7">
        <w:rPr>
          <w:rFonts w:ascii="Times New Roman" w:hAnsi="Times New Roman" w:cs="Times New Roman"/>
          <w:b/>
        </w:rPr>
        <w:t>2</w:t>
      </w:r>
      <w:r w:rsidRPr="00B378C7">
        <w:rPr>
          <w:rFonts w:ascii="Times New Roman" w:hAnsi="Times New Roman" w:cs="Times New Roman"/>
          <w:b/>
        </w:rPr>
        <w:tab/>
        <w:t>Making an application</w:t>
      </w:r>
    </w:p>
    <w:p w14:paraId="04BA5BA9" w14:textId="77777777" w:rsidR="00362B2C" w:rsidRDefault="00362B2C" w:rsidP="00362B2C">
      <w:pPr>
        <w:rPr>
          <w:rFonts w:ascii="Times New Roman" w:hAnsi="Times New Roman" w:cs="Times New Roman"/>
        </w:rPr>
      </w:pPr>
      <w:r w:rsidRPr="00095ADA">
        <w:rPr>
          <w:rFonts w:ascii="Times New Roman" w:hAnsi="Times New Roman" w:cs="Times New Roman"/>
        </w:rPr>
        <w:t>This section sets out the</w:t>
      </w:r>
      <w:r>
        <w:rPr>
          <w:rFonts w:ascii="Times New Roman" w:hAnsi="Times New Roman" w:cs="Times New Roman"/>
        </w:rPr>
        <w:t xml:space="preserve"> process for making an</w:t>
      </w:r>
      <w:r w:rsidRPr="00095ADA">
        <w:rPr>
          <w:rFonts w:ascii="Times New Roman" w:hAnsi="Times New Roman" w:cs="Times New Roman"/>
        </w:rPr>
        <w:t xml:space="preserve"> application for </w:t>
      </w:r>
      <w:r>
        <w:rPr>
          <w:rFonts w:ascii="Times New Roman" w:hAnsi="Times New Roman" w:cs="Times New Roman"/>
        </w:rPr>
        <w:t>the grant of a</w:t>
      </w:r>
      <w:r w:rsidRPr="00095ADA">
        <w:rPr>
          <w:rFonts w:ascii="Times New Roman" w:hAnsi="Times New Roman" w:cs="Times New Roman"/>
        </w:rPr>
        <w:t xml:space="preserve"> </w:t>
      </w:r>
      <w:r>
        <w:rPr>
          <w:rFonts w:ascii="Times New Roman" w:hAnsi="Times New Roman" w:cs="Times New Roman"/>
        </w:rPr>
        <w:t>research</w:t>
      </w:r>
      <w:r w:rsidRPr="00095ADA">
        <w:rPr>
          <w:rFonts w:ascii="Times New Roman" w:hAnsi="Times New Roman" w:cs="Times New Roman"/>
        </w:rPr>
        <w:t xml:space="preserve"> authorisation. </w:t>
      </w:r>
    </w:p>
    <w:p w14:paraId="7C5B0934" w14:textId="77777777" w:rsidR="00362B2C" w:rsidRPr="00095ADA" w:rsidRDefault="00362B2C" w:rsidP="00362B2C">
      <w:pPr>
        <w:spacing w:after="40"/>
        <w:rPr>
          <w:rFonts w:ascii="Times New Roman" w:hAnsi="Times New Roman" w:cs="Times New Roman"/>
        </w:rPr>
      </w:pPr>
      <w:r w:rsidRPr="00095ADA">
        <w:rPr>
          <w:rFonts w:ascii="Times New Roman" w:hAnsi="Times New Roman" w:cs="Times New Roman"/>
        </w:rPr>
        <w:t>Th</w:t>
      </w:r>
      <w:r>
        <w:rPr>
          <w:rFonts w:ascii="Times New Roman" w:hAnsi="Times New Roman" w:cs="Times New Roman"/>
        </w:rPr>
        <w:t>e</w:t>
      </w:r>
      <w:r w:rsidRPr="00095ADA">
        <w:rPr>
          <w:rFonts w:ascii="Times New Roman" w:hAnsi="Times New Roman" w:cs="Times New Roman"/>
        </w:rPr>
        <w:t xml:space="preserve"> section imposes the following application requirements:</w:t>
      </w:r>
    </w:p>
    <w:p w14:paraId="4B7D138A" w14:textId="77777777" w:rsidR="00362B2C" w:rsidRDefault="00362B2C" w:rsidP="00362B2C">
      <w:pPr>
        <w:pStyle w:val="ListParagraph"/>
        <w:numPr>
          <w:ilvl w:val="0"/>
          <w:numId w:val="6"/>
        </w:numPr>
        <w:rPr>
          <w:rFonts w:ascii="Times New Roman" w:hAnsi="Times New Roman" w:cs="Times New Roman"/>
        </w:rPr>
      </w:pPr>
      <w:r>
        <w:rPr>
          <w:rFonts w:ascii="Times New Roman" w:hAnsi="Times New Roman" w:cs="Times New Roman"/>
        </w:rPr>
        <w:t>T</w:t>
      </w:r>
      <w:r w:rsidRPr="00095ADA">
        <w:rPr>
          <w:rFonts w:ascii="Times New Roman" w:hAnsi="Times New Roman" w:cs="Times New Roman"/>
        </w:rPr>
        <w:t>he application must be</w:t>
      </w:r>
      <w:r>
        <w:rPr>
          <w:rFonts w:ascii="Times New Roman" w:hAnsi="Times New Roman" w:cs="Times New Roman"/>
        </w:rPr>
        <w:t xml:space="preserve"> made to the ACMA using the</w:t>
      </w:r>
      <w:r w:rsidRPr="00095ADA">
        <w:rPr>
          <w:rFonts w:ascii="Times New Roman" w:hAnsi="Times New Roman" w:cs="Times New Roman"/>
        </w:rPr>
        <w:t xml:space="preserve"> form approved by the ACMA</w:t>
      </w:r>
      <w:r>
        <w:rPr>
          <w:rFonts w:ascii="Times New Roman" w:hAnsi="Times New Roman" w:cs="Times New Roman"/>
        </w:rPr>
        <w:t xml:space="preserve"> which is available on its website</w:t>
      </w:r>
      <w:r w:rsidRPr="00154EEA">
        <w:rPr>
          <w:rFonts w:ascii="Times New Roman" w:hAnsi="Times New Roman" w:cs="Times New Roman"/>
        </w:rPr>
        <w:t xml:space="preserve"> </w:t>
      </w:r>
      <w:r>
        <w:rPr>
          <w:rFonts w:ascii="Times New Roman" w:hAnsi="Times New Roman" w:cs="Times New Roman"/>
        </w:rPr>
        <w:t xml:space="preserve">at </w:t>
      </w:r>
      <w:hyperlink r:id="rId12" w:history="1">
        <w:r w:rsidRPr="00AF16BD">
          <w:rPr>
            <w:rStyle w:val="Hyperlink"/>
            <w:rFonts w:ascii="Times New Roman" w:hAnsi="Times New Roman" w:cs="Times New Roman"/>
          </w:rPr>
          <w:t>www.acma.gov.au</w:t>
        </w:r>
      </w:hyperlink>
      <w:r>
        <w:rPr>
          <w:rFonts w:ascii="Times New Roman" w:hAnsi="Times New Roman" w:cs="Times New Roman"/>
        </w:rPr>
        <w:t xml:space="preserve"> (subsection (1) and paragraph (2)(a)).</w:t>
      </w:r>
    </w:p>
    <w:p w14:paraId="18637485" w14:textId="77777777" w:rsidR="00362B2C" w:rsidRDefault="00362B2C" w:rsidP="00362B2C">
      <w:pPr>
        <w:pStyle w:val="ListParagraph"/>
        <w:numPr>
          <w:ilvl w:val="0"/>
          <w:numId w:val="6"/>
        </w:numPr>
        <w:rPr>
          <w:rFonts w:ascii="Times New Roman" w:hAnsi="Times New Roman" w:cs="Times New Roman"/>
        </w:rPr>
      </w:pPr>
      <w:r>
        <w:rPr>
          <w:rFonts w:ascii="Times New Roman" w:hAnsi="Times New Roman" w:cs="Times New Roman"/>
        </w:rPr>
        <w:t>The application must include the following information:</w:t>
      </w:r>
    </w:p>
    <w:p w14:paraId="3A79CE8F" w14:textId="77777777" w:rsidR="00362B2C" w:rsidRPr="002B5308" w:rsidRDefault="00362B2C" w:rsidP="00362B2C">
      <w:pPr>
        <w:pStyle w:val="ListParagraph"/>
        <w:numPr>
          <w:ilvl w:val="1"/>
          <w:numId w:val="6"/>
        </w:numPr>
        <w:rPr>
          <w:rFonts w:ascii="Times New Roman" w:hAnsi="Times New Roman" w:cs="Times New Roman"/>
        </w:rPr>
      </w:pPr>
      <w:r w:rsidRPr="002B5308">
        <w:rPr>
          <w:rFonts w:ascii="Times New Roman" w:hAnsi="Times New Roman" w:cs="Times New Roman"/>
        </w:rPr>
        <w:t>whether the applicant is a representative body;</w:t>
      </w:r>
    </w:p>
    <w:p w14:paraId="6DF61F49" w14:textId="77777777" w:rsidR="00362B2C" w:rsidRDefault="00362B2C" w:rsidP="00362B2C">
      <w:pPr>
        <w:pStyle w:val="ListParagraph"/>
        <w:numPr>
          <w:ilvl w:val="1"/>
          <w:numId w:val="6"/>
        </w:numPr>
        <w:rPr>
          <w:rFonts w:ascii="Times New Roman" w:hAnsi="Times New Roman" w:cs="Times New Roman"/>
        </w:rPr>
      </w:pPr>
      <w:r>
        <w:rPr>
          <w:rFonts w:ascii="Times New Roman" w:hAnsi="Times New Roman" w:cs="Times New Roman"/>
        </w:rPr>
        <w:t>the kind or kinds of research proposed to be conducted;</w:t>
      </w:r>
    </w:p>
    <w:p w14:paraId="161B1D79" w14:textId="77777777" w:rsidR="00362B2C" w:rsidRDefault="00362B2C" w:rsidP="00362B2C">
      <w:pPr>
        <w:pStyle w:val="ListParagraph"/>
        <w:numPr>
          <w:ilvl w:val="1"/>
          <w:numId w:val="6"/>
        </w:numPr>
        <w:rPr>
          <w:rFonts w:ascii="Times New Roman" w:hAnsi="Times New Roman" w:cs="Times New Roman"/>
        </w:rPr>
      </w:pPr>
      <w:r>
        <w:rPr>
          <w:rFonts w:ascii="Times New Roman" w:hAnsi="Times New Roman" w:cs="Times New Roman"/>
        </w:rPr>
        <w:t xml:space="preserve">the fields of customer data that are sought and the reasons for seeking each of these fields; </w:t>
      </w:r>
    </w:p>
    <w:p w14:paraId="29465871" w14:textId="77777777" w:rsidR="00362B2C" w:rsidRDefault="00362B2C" w:rsidP="00362B2C">
      <w:pPr>
        <w:pStyle w:val="ListParagraph"/>
        <w:numPr>
          <w:ilvl w:val="1"/>
          <w:numId w:val="6"/>
        </w:numPr>
        <w:rPr>
          <w:rFonts w:ascii="Times New Roman" w:hAnsi="Times New Roman" w:cs="Times New Roman"/>
        </w:rPr>
      </w:pPr>
      <w:r>
        <w:rPr>
          <w:rFonts w:ascii="Times New Roman" w:hAnsi="Times New Roman" w:cs="Times New Roman"/>
        </w:rPr>
        <w:t>if an authorisation is being sought on an ongoing basis or for a finite period;</w:t>
      </w:r>
      <w:r>
        <w:rPr>
          <w:rStyle w:val="FootnoteReference"/>
          <w:rFonts w:cs="Times New Roman"/>
        </w:rPr>
        <w:footnoteReference w:id="21"/>
      </w:r>
      <w:r>
        <w:rPr>
          <w:rFonts w:ascii="Times New Roman" w:hAnsi="Times New Roman" w:cs="Times New Roman"/>
        </w:rPr>
        <w:t xml:space="preserve"> and</w:t>
      </w:r>
    </w:p>
    <w:p w14:paraId="0ABBA459" w14:textId="3F6116A3" w:rsidR="00362B2C" w:rsidRPr="009255DA" w:rsidRDefault="00362B2C" w:rsidP="00362B2C">
      <w:pPr>
        <w:pStyle w:val="ListParagraph"/>
        <w:numPr>
          <w:ilvl w:val="1"/>
          <w:numId w:val="6"/>
        </w:numPr>
        <w:rPr>
          <w:rFonts w:ascii="Times New Roman" w:hAnsi="Times New Roman" w:cs="Times New Roman"/>
        </w:rPr>
      </w:pPr>
      <w:r>
        <w:rPr>
          <w:rFonts w:ascii="Times New Roman" w:hAnsi="Times New Roman" w:cs="Times New Roman"/>
        </w:rPr>
        <w:t>if the authorisation is being sought for a finite period, the length of the period (paragraphs (2)(b) to (f)).</w:t>
      </w:r>
    </w:p>
    <w:p w14:paraId="5B9C8DC6" w14:textId="77777777" w:rsidR="00362B2C" w:rsidRPr="009255DA" w:rsidRDefault="00362B2C" w:rsidP="00362B2C">
      <w:pPr>
        <w:pStyle w:val="ListParagraph"/>
        <w:numPr>
          <w:ilvl w:val="0"/>
          <w:numId w:val="6"/>
        </w:numPr>
        <w:rPr>
          <w:rFonts w:ascii="Times New Roman" w:hAnsi="Times New Roman" w:cs="Times New Roman"/>
        </w:rPr>
      </w:pPr>
      <w:r>
        <w:rPr>
          <w:rFonts w:ascii="Times New Roman" w:hAnsi="Times New Roman" w:cs="Times New Roman"/>
        </w:rPr>
        <w:lastRenderedPageBreak/>
        <w:t>If the</w:t>
      </w:r>
      <w:r w:rsidRPr="00A724B7">
        <w:rPr>
          <w:rFonts w:ascii="Times New Roman" w:hAnsi="Times New Roman" w:cs="Times New Roman"/>
        </w:rPr>
        <w:t xml:space="preserve"> application</w:t>
      </w:r>
      <w:r>
        <w:rPr>
          <w:rFonts w:ascii="Times New Roman" w:hAnsi="Times New Roman" w:cs="Times New Roman"/>
        </w:rPr>
        <w:t xml:space="preserve"> is</w:t>
      </w:r>
      <w:r w:rsidRPr="00A724B7">
        <w:rPr>
          <w:rFonts w:ascii="Times New Roman" w:hAnsi="Times New Roman" w:cs="Times New Roman"/>
        </w:rPr>
        <w:t xml:space="preserve"> made by a research representative body</w:t>
      </w:r>
      <w:r>
        <w:rPr>
          <w:rFonts w:ascii="Times New Roman" w:hAnsi="Times New Roman" w:cs="Times New Roman"/>
        </w:rPr>
        <w:t>, the application</w:t>
      </w:r>
      <w:r w:rsidRPr="00A724B7">
        <w:rPr>
          <w:rFonts w:ascii="Times New Roman" w:hAnsi="Times New Roman" w:cs="Times New Roman"/>
        </w:rPr>
        <w:t xml:space="preserve"> must not specify the name of a customer or a customer’s business as a field of customer data that is</w:t>
      </w:r>
      <w:r>
        <w:rPr>
          <w:rFonts w:ascii="Times New Roman" w:hAnsi="Times New Roman" w:cs="Times New Roman"/>
        </w:rPr>
        <w:t xml:space="preserve"> </w:t>
      </w:r>
      <w:r w:rsidRPr="00A724B7">
        <w:rPr>
          <w:rFonts w:ascii="Times New Roman" w:hAnsi="Times New Roman" w:cs="Times New Roman"/>
        </w:rPr>
        <w:t>sought</w:t>
      </w:r>
      <w:r>
        <w:rPr>
          <w:rFonts w:ascii="Times New Roman" w:hAnsi="Times New Roman" w:cs="Times New Roman"/>
        </w:rPr>
        <w:t xml:space="preserve"> (subsection (3))</w:t>
      </w:r>
      <w:r w:rsidRPr="00A724B7">
        <w:rPr>
          <w:rFonts w:ascii="Times New Roman" w:hAnsi="Times New Roman" w:cs="Times New Roman"/>
        </w:rPr>
        <w:t>.</w:t>
      </w:r>
    </w:p>
    <w:p w14:paraId="1FF7BB8D" w14:textId="77777777" w:rsidR="00362B2C" w:rsidRDefault="00362B2C" w:rsidP="00362B2C">
      <w:pPr>
        <w:pStyle w:val="ListParagraph"/>
        <w:numPr>
          <w:ilvl w:val="0"/>
          <w:numId w:val="6"/>
        </w:numPr>
        <w:rPr>
          <w:rFonts w:ascii="Times New Roman" w:hAnsi="Times New Roman" w:cs="Times New Roman"/>
        </w:rPr>
      </w:pPr>
      <w:r>
        <w:rPr>
          <w:rFonts w:ascii="Times New Roman" w:hAnsi="Times New Roman" w:cs="Times New Roman"/>
        </w:rPr>
        <w:t>T</w:t>
      </w:r>
      <w:r w:rsidRPr="00095ADA">
        <w:rPr>
          <w:rFonts w:ascii="Times New Roman" w:hAnsi="Times New Roman" w:cs="Times New Roman"/>
        </w:rPr>
        <w:t>he application must be accompanied by any applicable charge fixed by a determination under section 60 of the</w:t>
      </w:r>
      <w:r>
        <w:rPr>
          <w:rFonts w:ascii="Times New Roman" w:hAnsi="Times New Roman" w:cs="Times New Roman"/>
          <w:i/>
        </w:rPr>
        <w:t xml:space="preserve"> </w:t>
      </w:r>
      <w:r>
        <w:rPr>
          <w:rFonts w:ascii="Times New Roman" w:hAnsi="Times New Roman" w:cs="Times New Roman"/>
        </w:rPr>
        <w:t>ACMA Act (paragraph (4)(a)).</w:t>
      </w:r>
    </w:p>
    <w:p w14:paraId="7DE2C2CC" w14:textId="77777777" w:rsidR="00362B2C" w:rsidRDefault="00362B2C" w:rsidP="00362B2C">
      <w:pPr>
        <w:pStyle w:val="ListParagraph"/>
        <w:numPr>
          <w:ilvl w:val="0"/>
          <w:numId w:val="6"/>
        </w:numPr>
        <w:rPr>
          <w:rFonts w:ascii="Times New Roman" w:hAnsi="Times New Roman" w:cs="Times New Roman"/>
        </w:rPr>
      </w:pPr>
      <w:r w:rsidRPr="009255DA">
        <w:rPr>
          <w:rFonts w:ascii="Times New Roman" w:hAnsi="Times New Roman" w:cs="Times New Roman"/>
        </w:rPr>
        <w:t xml:space="preserve">The application must also be accompanied by a completed privacy impact assessment using the form approved by the ACMA which is available on </w:t>
      </w:r>
      <w:r>
        <w:rPr>
          <w:rFonts w:ascii="Times New Roman" w:hAnsi="Times New Roman" w:cs="Times New Roman"/>
        </w:rPr>
        <w:t>its</w:t>
      </w:r>
      <w:r w:rsidRPr="009255DA">
        <w:rPr>
          <w:rFonts w:ascii="Times New Roman" w:hAnsi="Times New Roman" w:cs="Times New Roman"/>
        </w:rPr>
        <w:t xml:space="preserve"> website</w:t>
      </w:r>
      <w:r>
        <w:rPr>
          <w:rFonts w:ascii="Times New Roman" w:hAnsi="Times New Roman" w:cs="Times New Roman"/>
        </w:rPr>
        <w:t xml:space="preserve"> (paragraph (4)(b))</w:t>
      </w:r>
      <w:r w:rsidRPr="009255DA">
        <w:rPr>
          <w:rFonts w:ascii="Times New Roman" w:hAnsi="Times New Roman" w:cs="Times New Roman"/>
        </w:rPr>
        <w:t xml:space="preserve">.  </w:t>
      </w:r>
    </w:p>
    <w:p w14:paraId="7F57FD3F" w14:textId="77777777" w:rsidR="00362B2C" w:rsidRPr="008F40E4" w:rsidRDefault="00362B2C" w:rsidP="00362B2C">
      <w:pPr>
        <w:rPr>
          <w:rFonts w:ascii="Times New Roman" w:hAnsi="Times New Roman" w:cs="Times New Roman"/>
          <w:b/>
        </w:rPr>
      </w:pPr>
      <w:r w:rsidRPr="009255DA">
        <w:rPr>
          <w:rFonts w:ascii="Times New Roman" w:eastAsia="Times New Roman" w:hAnsi="Times New Roman" w:cs="Times New Roman"/>
          <w:b/>
          <w:lang w:eastAsia="en-AU"/>
        </w:rPr>
        <w:t xml:space="preserve">Section </w:t>
      </w:r>
      <w:r>
        <w:rPr>
          <w:rFonts w:ascii="Times New Roman" w:hAnsi="Times New Roman"/>
          <w:b/>
        </w:rPr>
        <w:t>4.</w:t>
      </w:r>
      <w:r w:rsidRPr="009255DA">
        <w:rPr>
          <w:rFonts w:ascii="Times New Roman" w:eastAsia="Times New Roman" w:hAnsi="Times New Roman" w:cs="Times New Roman"/>
          <w:b/>
          <w:lang w:eastAsia="en-AU"/>
        </w:rPr>
        <w:t>3</w:t>
      </w:r>
      <w:r w:rsidRPr="009255DA">
        <w:rPr>
          <w:rFonts w:ascii="Times New Roman" w:eastAsia="Times New Roman" w:hAnsi="Times New Roman" w:cs="Times New Roman"/>
          <w:b/>
          <w:lang w:eastAsia="en-AU"/>
        </w:rPr>
        <w:tab/>
        <w:t>Decision on application</w:t>
      </w:r>
    </w:p>
    <w:p w14:paraId="6D9B64E0" w14:textId="77777777" w:rsidR="00362B2C" w:rsidRPr="009255DA" w:rsidRDefault="00362B2C" w:rsidP="00362B2C">
      <w:pPr>
        <w:pStyle w:val="FootnoteText"/>
        <w:spacing w:after="160" w:line="259" w:lineRule="auto"/>
        <w:rPr>
          <w:rFonts w:ascii="Times New Roman" w:hAnsi="Times New Roman"/>
          <w:sz w:val="22"/>
          <w:szCs w:val="22"/>
          <w:lang w:val="en-US"/>
        </w:rPr>
      </w:pPr>
      <w:r w:rsidRPr="009255DA">
        <w:rPr>
          <w:rFonts w:ascii="Times New Roman" w:hAnsi="Times New Roman"/>
          <w:sz w:val="22"/>
          <w:szCs w:val="22"/>
        </w:rPr>
        <w:t xml:space="preserve">This section enables the ACMA to ask an applicant in writing to give it further information about an application for the grant of a research authorisation (subsection (1)). The section requires the applicant to give the information to the ACMA within 90 days and provides that the ACMA may treat the application as withdrawn if the information is not received within 90 days (subsections (2) and (3)). </w:t>
      </w:r>
    </w:p>
    <w:p w14:paraId="7D79E37A" w14:textId="77777777" w:rsidR="00362B2C" w:rsidRPr="009255DA" w:rsidRDefault="00362B2C" w:rsidP="00362B2C">
      <w:pPr>
        <w:pStyle w:val="FootnoteText"/>
        <w:spacing w:after="160" w:line="259" w:lineRule="auto"/>
        <w:rPr>
          <w:rFonts w:ascii="Times New Roman" w:hAnsi="Times New Roman"/>
          <w:sz w:val="22"/>
          <w:szCs w:val="22"/>
        </w:rPr>
      </w:pPr>
      <w:r w:rsidRPr="009255DA">
        <w:rPr>
          <w:rFonts w:ascii="Times New Roman" w:hAnsi="Times New Roman"/>
          <w:sz w:val="22"/>
          <w:szCs w:val="22"/>
        </w:rPr>
        <w:t xml:space="preserve">The section provides that the ACMA must, unless the application is withdrawn, decide whether to grant a research authorisation (subsection (4)).  </w:t>
      </w:r>
    </w:p>
    <w:p w14:paraId="76C35D15" w14:textId="77777777" w:rsidR="00362B2C" w:rsidRPr="00095ADA" w:rsidRDefault="00362B2C" w:rsidP="00362B2C">
      <w:pPr>
        <w:pStyle w:val="FootnoteText"/>
        <w:spacing w:after="40" w:line="259" w:lineRule="auto"/>
        <w:rPr>
          <w:rFonts w:ascii="Times New Roman" w:hAnsi="Times New Roman"/>
          <w:sz w:val="22"/>
          <w:szCs w:val="22"/>
        </w:rPr>
      </w:pPr>
      <w:r>
        <w:rPr>
          <w:rFonts w:ascii="Times New Roman" w:hAnsi="Times New Roman"/>
          <w:sz w:val="22"/>
          <w:szCs w:val="22"/>
        </w:rPr>
        <w:t>The section</w:t>
      </w:r>
      <w:r w:rsidRPr="00095ADA">
        <w:rPr>
          <w:rFonts w:ascii="Times New Roman" w:hAnsi="Times New Roman"/>
          <w:sz w:val="22"/>
          <w:szCs w:val="22"/>
        </w:rPr>
        <w:t xml:space="preserve"> requires the ACMA to grant a </w:t>
      </w:r>
      <w:r>
        <w:rPr>
          <w:rFonts w:ascii="Times New Roman" w:hAnsi="Times New Roman"/>
          <w:sz w:val="22"/>
          <w:szCs w:val="22"/>
        </w:rPr>
        <w:t>research</w:t>
      </w:r>
      <w:r w:rsidRPr="00095ADA">
        <w:rPr>
          <w:rFonts w:ascii="Times New Roman" w:hAnsi="Times New Roman"/>
          <w:sz w:val="22"/>
          <w:szCs w:val="22"/>
        </w:rPr>
        <w:t xml:space="preserve"> authorisation if </w:t>
      </w:r>
      <w:r>
        <w:rPr>
          <w:rFonts w:ascii="Times New Roman" w:hAnsi="Times New Roman"/>
          <w:sz w:val="22"/>
          <w:szCs w:val="22"/>
        </w:rPr>
        <w:t>it</w:t>
      </w:r>
      <w:r w:rsidRPr="00095ADA">
        <w:rPr>
          <w:rFonts w:ascii="Times New Roman" w:hAnsi="Times New Roman"/>
          <w:sz w:val="22"/>
          <w:szCs w:val="22"/>
        </w:rPr>
        <w:t>:</w:t>
      </w:r>
    </w:p>
    <w:p w14:paraId="3FD6DB93" w14:textId="77777777" w:rsidR="00362B2C" w:rsidRPr="00095ADA" w:rsidRDefault="00362B2C" w:rsidP="00362B2C">
      <w:pPr>
        <w:pStyle w:val="FootnoteText"/>
        <w:numPr>
          <w:ilvl w:val="0"/>
          <w:numId w:val="7"/>
        </w:numPr>
        <w:spacing w:after="40" w:line="259" w:lineRule="auto"/>
        <w:ind w:left="714" w:hanging="357"/>
        <w:contextualSpacing/>
        <w:rPr>
          <w:rFonts w:ascii="Times New Roman" w:hAnsi="Times New Roman"/>
          <w:sz w:val="22"/>
          <w:szCs w:val="22"/>
        </w:rPr>
      </w:pPr>
      <w:r w:rsidRPr="00095ADA">
        <w:rPr>
          <w:rFonts w:ascii="Times New Roman" w:hAnsi="Times New Roman"/>
          <w:sz w:val="22"/>
          <w:szCs w:val="22"/>
        </w:rPr>
        <w:t>has applied the criteria specified by the Minister</w:t>
      </w:r>
      <w:r>
        <w:rPr>
          <w:rFonts w:ascii="Times New Roman" w:hAnsi="Times New Roman"/>
          <w:sz w:val="22"/>
          <w:szCs w:val="22"/>
        </w:rPr>
        <w:t xml:space="preserve"> in a legislative instrument</w:t>
      </w:r>
      <w:r w:rsidRPr="00095ADA">
        <w:rPr>
          <w:rFonts w:ascii="Times New Roman" w:hAnsi="Times New Roman"/>
          <w:sz w:val="22"/>
          <w:szCs w:val="22"/>
        </w:rPr>
        <w:t xml:space="preserve"> under subsection 295N(1)</w:t>
      </w:r>
      <w:r>
        <w:rPr>
          <w:rFonts w:ascii="Times New Roman" w:hAnsi="Times New Roman"/>
          <w:sz w:val="22"/>
          <w:szCs w:val="22"/>
        </w:rPr>
        <w:t xml:space="preserve"> of the Act</w:t>
      </w:r>
      <w:r w:rsidRPr="00095ADA">
        <w:rPr>
          <w:rFonts w:ascii="Times New Roman" w:hAnsi="Times New Roman"/>
          <w:sz w:val="22"/>
          <w:szCs w:val="22"/>
        </w:rPr>
        <w:t>;</w:t>
      </w:r>
    </w:p>
    <w:p w14:paraId="30B27470" w14:textId="77777777" w:rsidR="00362B2C" w:rsidRPr="00095ADA" w:rsidRDefault="00362B2C" w:rsidP="00362B2C">
      <w:pPr>
        <w:pStyle w:val="FootnoteText"/>
        <w:numPr>
          <w:ilvl w:val="0"/>
          <w:numId w:val="7"/>
        </w:numPr>
        <w:spacing w:after="40" w:line="259" w:lineRule="auto"/>
        <w:contextualSpacing/>
        <w:rPr>
          <w:rFonts w:ascii="Times New Roman" w:hAnsi="Times New Roman"/>
          <w:sz w:val="22"/>
          <w:szCs w:val="22"/>
        </w:rPr>
      </w:pPr>
      <w:r w:rsidRPr="00095ADA">
        <w:rPr>
          <w:rFonts w:ascii="Times New Roman" w:hAnsi="Times New Roman"/>
          <w:sz w:val="22"/>
          <w:szCs w:val="22"/>
        </w:rPr>
        <w:t xml:space="preserve">has </w:t>
      </w:r>
      <w:r>
        <w:rPr>
          <w:rFonts w:ascii="Times New Roman" w:hAnsi="Times New Roman"/>
          <w:sz w:val="22"/>
          <w:szCs w:val="22"/>
        </w:rPr>
        <w:t>had regard to</w:t>
      </w:r>
      <w:r w:rsidRPr="00095ADA">
        <w:rPr>
          <w:rFonts w:ascii="Times New Roman" w:hAnsi="Times New Roman"/>
          <w:sz w:val="22"/>
          <w:szCs w:val="22"/>
        </w:rPr>
        <w:t xml:space="preserve"> any other matters</w:t>
      </w:r>
      <w:r>
        <w:rPr>
          <w:rFonts w:ascii="Times New Roman" w:hAnsi="Times New Roman"/>
          <w:sz w:val="22"/>
          <w:szCs w:val="22"/>
        </w:rPr>
        <w:t xml:space="preserve"> the ACMA considers relevant</w:t>
      </w:r>
      <w:r w:rsidRPr="00095ADA">
        <w:rPr>
          <w:rFonts w:ascii="Times New Roman" w:hAnsi="Times New Roman"/>
          <w:sz w:val="22"/>
          <w:szCs w:val="22"/>
        </w:rPr>
        <w:t>;</w:t>
      </w:r>
    </w:p>
    <w:p w14:paraId="4929C4F4" w14:textId="77777777" w:rsidR="00362B2C" w:rsidRPr="00AD0BB1" w:rsidRDefault="00362B2C" w:rsidP="00362B2C">
      <w:pPr>
        <w:pStyle w:val="FootnoteText"/>
        <w:numPr>
          <w:ilvl w:val="0"/>
          <w:numId w:val="7"/>
        </w:numPr>
        <w:spacing w:after="40" w:line="259" w:lineRule="auto"/>
        <w:contextualSpacing/>
        <w:rPr>
          <w:rFonts w:ascii="Times New Roman" w:hAnsi="Times New Roman"/>
          <w:sz w:val="22"/>
          <w:szCs w:val="22"/>
        </w:rPr>
      </w:pPr>
      <w:r w:rsidRPr="00095ADA">
        <w:rPr>
          <w:rFonts w:ascii="Times New Roman" w:hAnsi="Times New Roman"/>
          <w:sz w:val="22"/>
          <w:szCs w:val="22"/>
        </w:rPr>
        <w:t xml:space="preserve">is </w:t>
      </w:r>
      <w:r>
        <w:rPr>
          <w:rFonts w:ascii="Times New Roman" w:hAnsi="Times New Roman"/>
          <w:sz w:val="22"/>
          <w:szCs w:val="22"/>
        </w:rPr>
        <w:t xml:space="preserve">reasonably </w:t>
      </w:r>
      <w:r w:rsidRPr="00095ADA">
        <w:rPr>
          <w:rFonts w:ascii="Times New Roman" w:hAnsi="Times New Roman"/>
          <w:sz w:val="22"/>
          <w:szCs w:val="22"/>
        </w:rPr>
        <w:t xml:space="preserve">satisfied that </w:t>
      </w:r>
      <w:r>
        <w:rPr>
          <w:rFonts w:ascii="Times New Roman" w:hAnsi="Times New Roman"/>
          <w:sz w:val="22"/>
          <w:szCs w:val="22"/>
        </w:rPr>
        <w:t>the applicant has demonstrated that the applicant’s proposed research will satisfy the requirements of</w:t>
      </w:r>
      <w:r w:rsidRPr="00095ADA">
        <w:rPr>
          <w:rFonts w:ascii="Times New Roman" w:hAnsi="Times New Roman"/>
          <w:sz w:val="22"/>
          <w:szCs w:val="22"/>
        </w:rPr>
        <w:t xml:space="preserve"> the definition of </w:t>
      </w:r>
      <w:r w:rsidRPr="009255DA">
        <w:rPr>
          <w:rFonts w:ascii="Times New Roman" w:hAnsi="Times New Roman"/>
          <w:b/>
          <w:i/>
          <w:sz w:val="22"/>
          <w:szCs w:val="22"/>
        </w:rPr>
        <w:t>research</w:t>
      </w:r>
      <w:r w:rsidRPr="00095ADA">
        <w:rPr>
          <w:rFonts w:ascii="Times New Roman" w:hAnsi="Times New Roman"/>
          <w:sz w:val="22"/>
          <w:szCs w:val="22"/>
        </w:rPr>
        <w:t xml:space="preserve"> in</w:t>
      </w:r>
      <w:r>
        <w:rPr>
          <w:rFonts w:ascii="Times New Roman" w:hAnsi="Times New Roman"/>
          <w:sz w:val="22"/>
          <w:szCs w:val="22"/>
        </w:rPr>
        <w:t xml:space="preserve"> section 1.4 of the scheme; </w:t>
      </w:r>
      <w:r w:rsidRPr="00AD0BB1">
        <w:rPr>
          <w:rFonts w:ascii="Times New Roman" w:hAnsi="Times New Roman"/>
          <w:sz w:val="22"/>
          <w:szCs w:val="22"/>
        </w:rPr>
        <w:t>and</w:t>
      </w:r>
    </w:p>
    <w:p w14:paraId="62759D6E" w14:textId="77777777" w:rsidR="00362B2C" w:rsidRPr="00AA4EE5" w:rsidRDefault="00362B2C" w:rsidP="00362B2C">
      <w:pPr>
        <w:pStyle w:val="FootnoteText"/>
        <w:numPr>
          <w:ilvl w:val="0"/>
          <w:numId w:val="7"/>
        </w:numPr>
        <w:spacing w:after="160" w:line="259" w:lineRule="auto"/>
        <w:ind w:left="714" w:hanging="357"/>
        <w:contextualSpacing/>
        <w:rPr>
          <w:rFonts w:ascii="Times New Roman" w:hAnsi="Times New Roman"/>
          <w:sz w:val="22"/>
          <w:szCs w:val="22"/>
        </w:rPr>
      </w:pPr>
      <w:r>
        <w:rPr>
          <w:rFonts w:ascii="Times New Roman" w:hAnsi="Times New Roman"/>
          <w:sz w:val="22"/>
          <w:szCs w:val="22"/>
        </w:rPr>
        <w:t>is reasonably</w:t>
      </w:r>
      <w:r w:rsidRPr="00095ADA">
        <w:rPr>
          <w:rFonts w:ascii="Times New Roman" w:hAnsi="Times New Roman"/>
          <w:sz w:val="22"/>
          <w:szCs w:val="22"/>
        </w:rPr>
        <w:t xml:space="preserve"> satisfied that the </w:t>
      </w:r>
      <w:r>
        <w:rPr>
          <w:rFonts w:ascii="Times New Roman" w:hAnsi="Times New Roman"/>
          <w:sz w:val="22"/>
          <w:szCs w:val="22"/>
        </w:rPr>
        <w:t>applicant</w:t>
      </w:r>
      <w:r w:rsidRPr="00095ADA">
        <w:rPr>
          <w:rFonts w:ascii="Times New Roman" w:hAnsi="Times New Roman"/>
          <w:sz w:val="22"/>
          <w:szCs w:val="22"/>
        </w:rPr>
        <w:t xml:space="preserve"> </w:t>
      </w:r>
      <w:r>
        <w:rPr>
          <w:rFonts w:ascii="Times New Roman" w:hAnsi="Times New Roman"/>
          <w:sz w:val="22"/>
          <w:szCs w:val="22"/>
        </w:rPr>
        <w:t>is likely to</w:t>
      </w:r>
      <w:r w:rsidRPr="00095ADA">
        <w:rPr>
          <w:rFonts w:ascii="Times New Roman" w:hAnsi="Times New Roman"/>
          <w:sz w:val="22"/>
          <w:szCs w:val="22"/>
        </w:rPr>
        <w:t xml:space="preserve"> comply with the other relevant requirements</w:t>
      </w:r>
      <w:r>
        <w:rPr>
          <w:rFonts w:ascii="Times New Roman" w:hAnsi="Times New Roman"/>
          <w:sz w:val="22"/>
          <w:szCs w:val="22"/>
        </w:rPr>
        <w:t xml:space="preserve"> (subsection (5))</w:t>
      </w:r>
      <w:r w:rsidRPr="00095ADA">
        <w:rPr>
          <w:rFonts w:ascii="Times New Roman" w:hAnsi="Times New Roman"/>
          <w:sz w:val="22"/>
          <w:szCs w:val="22"/>
        </w:rPr>
        <w:t xml:space="preserve">.   </w:t>
      </w:r>
    </w:p>
    <w:p w14:paraId="5525682A" w14:textId="77777777" w:rsidR="00362B2C" w:rsidRPr="002859FD" w:rsidRDefault="00362B2C" w:rsidP="00362B2C">
      <w:pPr>
        <w:spacing w:after="40"/>
        <w:rPr>
          <w:rFonts w:ascii="Times New Roman" w:hAnsi="Times New Roman"/>
        </w:rPr>
      </w:pPr>
      <w:r w:rsidRPr="002859FD">
        <w:rPr>
          <w:rFonts w:ascii="Times New Roman" w:hAnsi="Times New Roman"/>
        </w:rPr>
        <w:t xml:space="preserve">The section provides that </w:t>
      </w:r>
      <w:r w:rsidRPr="009255DA">
        <w:rPr>
          <w:rFonts w:ascii="Times New Roman" w:hAnsi="Times New Roman"/>
        </w:rPr>
        <w:t>ACMA must specify in its</w:t>
      </w:r>
      <w:r w:rsidRPr="002859FD">
        <w:rPr>
          <w:rFonts w:ascii="Times New Roman" w:hAnsi="Times New Roman"/>
        </w:rPr>
        <w:t xml:space="preserve"> decision</w:t>
      </w:r>
      <w:r w:rsidRPr="009255DA">
        <w:rPr>
          <w:rFonts w:ascii="Times New Roman" w:hAnsi="Times New Roman"/>
        </w:rPr>
        <w:t xml:space="preserve"> to grant the research authorisation</w:t>
      </w:r>
      <w:r w:rsidRPr="002859FD">
        <w:rPr>
          <w:rFonts w:ascii="Times New Roman" w:hAnsi="Times New Roman"/>
        </w:rPr>
        <w:t>:</w:t>
      </w:r>
    </w:p>
    <w:p w14:paraId="1719FFFB" w14:textId="77777777" w:rsidR="00362B2C" w:rsidRPr="002859FD" w:rsidRDefault="00362B2C" w:rsidP="00362B2C">
      <w:pPr>
        <w:pStyle w:val="ListParagraph"/>
        <w:numPr>
          <w:ilvl w:val="0"/>
          <w:numId w:val="14"/>
        </w:numPr>
        <w:spacing w:after="40"/>
        <w:ind w:left="714" w:hanging="357"/>
        <w:rPr>
          <w:rFonts w:ascii="Times New Roman" w:hAnsi="Times New Roman" w:cs="Times New Roman"/>
        </w:rPr>
      </w:pPr>
      <w:r w:rsidRPr="009255DA">
        <w:rPr>
          <w:rFonts w:ascii="Times New Roman" w:hAnsi="Times New Roman" w:cs="Times New Roman"/>
        </w:rPr>
        <w:t xml:space="preserve">the </w:t>
      </w:r>
      <w:r w:rsidRPr="002859FD">
        <w:rPr>
          <w:rFonts w:ascii="Times New Roman" w:hAnsi="Times New Roman" w:cs="Times New Roman"/>
        </w:rPr>
        <w:t>kind or kinds of research to which the authorisation applies;</w:t>
      </w:r>
    </w:p>
    <w:p w14:paraId="5B7E092A" w14:textId="77777777" w:rsidR="00362B2C" w:rsidRPr="002859FD" w:rsidRDefault="00362B2C" w:rsidP="00362B2C">
      <w:pPr>
        <w:pStyle w:val="ListParagraph"/>
        <w:numPr>
          <w:ilvl w:val="0"/>
          <w:numId w:val="14"/>
        </w:numPr>
        <w:spacing w:after="40"/>
        <w:rPr>
          <w:rFonts w:ascii="Times New Roman" w:hAnsi="Times New Roman" w:cs="Times New Roman"/>
        </w:rPr>
      </w:pPr>
      <w:r w:rsidRPr="002859FD">
        <w:rPr>
          <w:rFonts w:ascii="Times New Roman" w:hAnsi="Times New Roman" w:cs="Times New Roman"/>
        </w:rPr>
        <w:t xml:space="preserve">the fields of customer data to which the authorisation applies; </w:t>
      </w:r>
    </w:p>
    <w:p w14:paraId="0D3266F4" w14:textId="77777777" w:rsidR="00362B2C" w:rsidRPr="002859FD" w:rsidRDefault="00362B2C" w:rsidP="00362B2C">
      <w:pPr>
        <w:pStyle w:val="ListParagraph"/>
        <w:numPr>
          <w:ilvl w:val="0"/>
          <w:numId w:val="14"/>
        </w:numPr>
        <w:spacing w:after="40"/>
        <w:rPr>
          <w:rFonts w:ascii="Times New Roman" w:hAnsi="Times New Roman" w:cs="Times New Roman"/>
        </w:rPr>
      </w:pPr>
      <w:r w:rsidRPr="002859FD">
        <w:rPr>
          <w:rFonts w:ascii="Times New Roman" w:hAnsi="Times New Roman" w:cs="Times New Roman"/>
        </w:rPr>
        <w:t>whether the authorisation will have effect for a finite period or on an ongoing basis; and</w:t>
      </w:r>
    </w:p>
    <w:p w14:paraId="61A4582F" w14:textId="77777777" w:rsidR="00362B2C" w:rsidRPr="002859FD" w:rsidRDefault="00362B2C" w:rsidP="00362B2C">
      <w:pPr>
        <w:pStyle w:val="ListParagraph"/>
        <w:numPr>
          <w:ilvl w:val="0"/>
          <w:numId w:val="14"/>
        </w:numPr>
        <w:ind w:left="714" w:hanging="357"/>
        <w:rPr>
          <w:rFonts w:ascii="Times New Roman" w:hAnsi="Times New Roman" w:cs="Times New Roman"/>
        </w:rPr>
      </w:pPr>
      <w:r w:rsidRPr="002859FD">
        <w:rPr>
          <w:rFonts w:ascii="Times New Roman" w:hAnsi="Times New Roman" w:cs="Times New Roman"/>
        </w:rPr>
        <w:t>if the authorisation is to have effect for a finite period— the length of the period</w:t>
      </w:r>
      <w:r>
        <w:rPr>
          <w:rFonts w:ascii="Times New Roman" w:hAnsi="Times New Roman" w:cs="Times New Roman"/>
        </w:rPr>
        <w:t xml:space="preserve"> (paragraph (6)(a</w:t>
      </w:r>
      <w:r w:rsidRPr="009255DA">
        <w:rPr>
          <w:rFonts w:ascii="Times New Roman" w:hAnsi="Times New Roman" w:cs="Times New Roman"/>
        </w:rPr>
        <w:t>))</w:t>
      </w:r>
      <w:r w:rsidRPr="002859FD">
        <w:rPr>
          <w:rFonts w:ascii="Times New Roman" w:hAnsi="Times New Roman" w:cs="Times New Roman"/>
        </w:rPr>
        <w:t xml:space="preserve">. </w:t>
      </w:r>
    </w:p>
    <w:p w14:paraId="78D7F017" w14:textId="77777777" w:rsidR="00362B2C" w:rsidRDefault="00362B2C" w:rsidP="00362B2C">
      <w:pPr>
        <w:rPr>
          <w:rFonts w:ascii="Times New Roman" w:hAnsi="Times New Roman"/>
        </w:rPr>
      </w:pPr>
      <w:r w:rsidRPr="00CB4BDA">
        <w:rPr>
          <w:rFonts w:ascii="Times New Roman" w:hAnsi="Times New Roman" w:cs="Times New Roman"/>
        </w:rPr>
        <w:lastRenderedPageBreak/>
        <w:t xml:space="preserve">The section </w:t>
      </w:r>
      <w:r>
        <w:rPr>
          <w:rFonts w:ascii="Times New Roman" w:hAnsi="Times New Roman" w:cs="Times New Roman"/>
        </w:rPr>
        <w:t>makes clear</w:t>
      </w:r>
      <w:r w:rsidRPr="00CB4BDA">
        <w:rPr>
          <w:rFonts w:ascii="Times New Roman" w:hAnsi="Times New Roman" w:cs="Times New Roman"/>
        </w:rPr>
        <w:t xml:space="preserve"> that the</w:t>
      </w:r>
      <w:r w:rsidRPr="009255DA">
        <w:rPr>
          <w:rFonts w:ascii="Times New Roman" w:hAnsi="Times New Roman" w:cs="Times New Roman"/>
        </w:rPr>
        <w:t xml:space="preserve"> ACMA is not obliged to grant the</w:t>
      </w:r>
      <w:r>
        <w:rPr>
          <w:rFonts w:ascii="Times New Roman" w:hAnsi="Times New Roman" w:cs="Times New Roman"/>
        </w:rPr>
        <w:t xml:space="preserve"> research</w:t>
      </w:r>
      <w:r w:rsidRPr="00CB4BDA">
        <w:rPr>
          <w:rFonts w:ascii="Times New Roman" w:hAnsi="Times New Roman" w:cs="Times New Roman"/>
        </w:rPr>
        <w:t xml:space="preserve"> authorisation for any duration requested by the applicant</w:t>
      </w:r>
      <w:r w:rsidRPr="009255DA">
        <w:rPr>
          <w:rFonts w:ascii="Times New Roman" w:hAnsi="Times New Roman" w:cs="Times New Roman"/>
        </w:rPr>
        <w:t xml:space="preserve"> (paragraph (6)(b))</w:t>
      </w:r>
      <w:r w:rsidRPr="00CB4BDA">
        <w:rPr>
          <w:rFonts w:ascii="Times New Roman" w:hAnsi="Times New Roman" w:cs="Times New Roman"/>
        </w:rPr>
        <w:t>.</w:t>
      </w:r>
    </w:p>
    <w:p w14:paraId="0F22AD93" w14:textId="77777777" w:rsidR="00362B2C" w:rsidRDefault="00362B2C" w:rsidP="00362B2C">
      <w:pPr>
        <w:pStyle w:val="ACMABodyText"/>
        <w:spacing w:before="0" w:after="160" w:line="259" w:lineRule="auto"/>
        <w:rPr>
          <w:sz w:val="22"/>
          <w:szCs w:val="22"/>
        </w:rPr>
      </w:pPr>
      <w:r>
        <w:rPr>
          <w:sz w:val="22"/>
          <w:szCs w:val="22"/>
        </w:rPr>
        <w:t>The section</w:t>
      </w:r>
      <w:r w:rsidRPr="00095ADA">
        <w:rPr>
          <w:sz w:val="22"/>
          <w:szCs w:val="22"/>
        </w:rPr>
        <w:t xml:space="preserve"> </w:t>
      </w:r>
      <w:r>
        <w:rPr>
          <w:sz w:val="22"/>
          <w:szCs w:val="22"/>
        </w:rPr>
        <w:t>provides</w:t>
      </w:r>
      <w:r w:rsidRPr="00095ADA">
        <w:rPr>
          <w:sz w:val="22"/>
          <w:szCs w:val="22"/>
        </w:rPr>
        <w:t xml:space="preserve"> </w:t>
      </w:r>
      <w:r>
        <w:rPr>
          <w:sz w:val="22"/>
          <w:szCs w:val="22"/>
        </w:rPr>
        <w:t xml:space="preserve">that </w:t>
      </w:r>
      <w:r w:rsidRPr="00095ADA">
        <w:rPr>
          <w:sz w:val="22"/>
          <w:szCs w:val="22"/>
        </w:rPr>
        <w:t xml:space="preserve">the ACMA </w:t>
      </w:r>
      <w:r>
        <w:rPr>
          <w:sz w:val="22"/>
          <w:szCs w:val="22"/>
        </w:rPr>
        <w:t xml:space="preserve">must, </w:t>
      </w:r>
      <w:r w:rsidRPr="00095ADA">
        <w:rPr>
          <w:sz w:val="22"/>
          <w:szCs w:val="22"/>
        </w:rPr>
        <w:t>as soon</w:t>
      </w:r>
      <w:r>
        <w:rPr>
          <w:sz w:val="22"/>
          <w:szCs w:val="22"/>
        </w:rPr>
        <w:t xml:space="preserve"> as practicable after making its</w:t>
      </w:r>
      <w:r w:rsidRPr="00095ADA">
        <w:rPr>
          <w:sz w:val="22"/>
          <w:szCs w:val="22"/>
        </w:rPr>
        <w:t xml:space="preserve"> decision</w:t>
      </w:r>
      <w:r>
        <w:rPr>
          <w:sz w:val="22"/>
          <w:szCs w:val="22"/>
        </w:rPr>
        <w:t xml:space="preserve">, </w:t>
      </w:r>
      <w:r w:rsidRPr="00095ADA">
        <w:rPr>
          <w:sz w:val="22"/>
          <w:szCs w:val="22"/>
        </w:rPr>
        <w:t>notify the</w:t>
      </w:r>
      <w:r>
        <w:rPr>
          <w:sz w:val="22"/>
          <w:szCs w:val="22"/>
        </w:rPr>
        <w:t xml:space="preserve"> applicant</w:t>
      </w:r>
      <w:r w:rsidRPr="00095ADA">
        <w:rPr>
          <w:sz w:val="22"/>
          <w:szCs w:val="22"/>
        </w:rPr>
        <w:t xml:space="preserve"> in writing of </w:t>
      </w:r>
      <w:r>
        <w:rPr>
          <w:sz w:val="22"/>
          <w:szCs w:val="22"/>
        </w:rPr>
        <w:t>the</w:t>
      </w:r>
      <w:r w:rsidRPr="00095ADA">
        <w:rPr>
          <w:sz w:val="22"/>
          <w:szCs w:val="22"/>
        </w:rPr>
        <w:t xml:space="preserve"> decision </w:t>
      </w:r>
      <w:r>
        <w:rPr>
          <w:sz w:val="22"/>
          <w:szCs w:val="22"/>
        </w:rPr>
        <w:t>and (for a refusal to grant a research authorisation or a decision to grant the authorisation for a period other than a period requested by the applicant) the reasons for the decision (paragraph (7)(a))</w:t>
      </w:r>
      <w:r w:rsidRPr="00095ADA">
        <w:rPr>
          <w:sz w:val="22"/>
          <w:szCs w:val="22"/>
        </w:rPr>
        <w:t xml:space="preserve">. </w:t>
      </w:r>
    </w:p>
    <w:p w14:paraId="4069A6C3" w14:textId="77777777" w:rsidR="00362B2C" w:rsidRDefault="00362B2C" w:rsidP="00362B2C">
      <w:pPr>
        <w:pStyle w:val="FootnoteText"/>
        <w:spacing w:after="160" w:line="259" w:lineRule="auto"/>
        <w:rPr>
          <w:rFonts w:ascii="Times New Roman" w:hAnsi="Times New Roman"/>
          <w:sz w:val="22"/>
          <w:szCs w:val="22"/>
        </w:rPr>
      </w:pPr>
      <w:r>
        <w:rPr>
          <w:rFonts w:ascii="Times New Roman" w:hAnsi="Times New Roman"/>
          <w:sz w:val="22"/>
          <w:szCs w:val="22"/>
        </w:rPr>
        <w:t>The</w:t>
      </w:r>
      <w:r w:rsidRPr="00095ADA">
        <w:rPr>
          <w:rFonts w:ascii="Times New Roman" w:hAnsi="Times New Roman"/>
          <w:sz w:val="22"/>
          <w:szCs w:val="22"/>
        </w:rPr>
        <w:t xml:space="preserve"> </w:t>
      </w:r>
      <w:r>
        <w:rPr>
          <w:rFonts w:ascii="Times New Roman" w:hAnsi="Times New Roman"/>
          <w:sz w:val="22"/>
          <w:szCs w:val="22"/>
        </w:rPr>
        <w:t>section provides that for a decision to grant a research authorisation,</w:t>
      </w:r>
      <w:r w:rsidRPr="00095ADA">
        <w:rPr>
          <w:rFonts w:ascii="Times New Roman" w:hAnsi="Times New Roman"/>
          <w:sz w:val="22"/>
          <w:szCs w:val="22"/>
        </w:rPr>
        <w:t xml:space="preserve"> </w:t>
      </w:r>
      <w:r>
        <w:rPr>
          <w:rFonts w:ascii="Times New Roman" w:hAnsi="Times New Roman"/>
          <w:sz w:val="22"/>
          <w:szCs w:val="22"/>
        </w:rPr>
        <w:t xml:space="preserve">the </w:t>
      </w:r>
      <w:r w:rsidRPr="00095ADA">
        <w:rPr>
          <w:rFonts w:ascii="Times New Roman" w:hAnsi="Times New Roman"/>
          <w:sz w:val="22"/>
          <w:szCs w:val="22"/>
        </w:rPr>
        <w:t xml:space="preserve">ACMA </w:t>
      </w:r>
      <w:r>
        <w:rPr>
          <w:rFonts w:ascii="Times New Roman" w:hAnsi="Times New Roman"/>
          <w:sz w:val="22"/>
          <w:szCs w:val="22"/>
        </w:rPr>
        <w:t xml:space="preserve">must also notify </w:t>
      </w:r>
      <w:r w:rsidRPr="00095ADA">
        <w:rPr>
          <w:rFonts w:ascii="Times New Roman" w:hAnsi="Times New Roman"/>
          <w:sz w:val="22"/>
          <w:szCs w:val="22"/>
        </w:rPr>
        <w:t>the IPND Manager</w:t>
      </w:r>
      <w:r>
        <w:rPr>
          <w:rFonts w:ascii="Times New Roman" w:hAnsi="Times New Roman"/>
          <w:sz w:val="22"/>
          <w:szCs w:val="22"/>
        </w:rPr>
        <w:t xml:space="preserve"> in writing of the decision as soon as practicable after making the decision (paragraph (7)(b)), </w:t>
      </w:r>
      <w:r w:rsidRPr="00095ADA">
        <w:rPr>
          <w:rFonts w:ascii="Times New Roman" w:hAnsi="Times New Roman"/>
          <w:sz w:val="22"/>
          <w:szCs w:val="22"/>
        </w:rPr>
        <w:t xml:space="preserve">and </w:t>
      </w:r>
      <w:r>
        <w:rPr>
          <w:rFonts w:ascii="Times New Roman" w:hAnsi="Times New Roman"/>
          <w:sz w:val="22"/>
          <w:szCs w:val="22"/>
        </w:rPr>
        <w:t xml:space="preserve">give the applicant (who is treated in the scheme as being a research entity) </w:t>
      </w:r>
      <w:r w:rsidRPr="00095ADA">
        <w:rPr>
          <w:rFonts w:ascii="Times New Roman" w:hAnsi="Times New Roman"/>
          <w:sz w:val="22"/>
          <w:szCs w:val="22"/>
        </w:rPr>
        <w:t xml:space="preserve">written confirmation </w:t>
      </w:r>
      <w:r>
        <w:rPr>
          <w:rFonts w:ascii="Times New Roman" w:hAnsi="Times New Roman"/>
          <w:sz w:val="22"/>
          <w:szCs w:val="22"/>
        </w:rPr>
        <w:t>of that notification as soon as practicable after it has occurred (subsection (8))</w:t>
      </w:r>
      <w:r w:rsidRPr="00095ADA">
        <w:rPr>
          <w:rFonts w:ascii="Times New Roman" w:hAnsi="Times New Roman"/>
          <w:sz w:val="22"/>
          <w:szCs w:val="22"/>
        </w:rPr>
        <w:t>.</w:t>
      </w:r>
      <w:r>
        <w:rPr>
          <w:rStyle w:val="FootnoteReference"/>
          <w:sz w:val="22"/>
          <w:szCs w:val="22"/>
        </w:rPr>
        <w:footnoteReference w:id="22"/>
      </w:r>
      <w:r w:rsidRPr="00095ADA">
        <w:rPr>
          <w:rFonts w:ascii="Times New Roman" w:hAnsi="Times New Roman"/>
          <w:sz w:val="22"/>
          <w:szCs w:val="22"/>
        </w:rPr>
        <w:t xml:space="preserve"> </w:t>
      </w:r>
    </w:p>
    <w:p w14:paraId="302F4FD2" w14:textId="77777777" w:rsidR="00362B2C" w:rsidRPr="008B6EFB" w:rsidRDefault="00362B2C" w:rsidP="00362B2C">
      <w:pPr>
        <w:rPr>
          <w:rFonts w:ascii="Times New Roman" w:hAnsi="Times New Roman" w:cs="Times New Roman"/>
          <w:b/>
        </w:rPr>
      </w:pPr>
      <w:r w:rsidRPr="008B6EFB">
        <w:rPr>
          <w:rFonts w:ascii="Times New Roman" w:hAnsi="Times New Roman" w:cs="Times New Roman"/>
          <w:b/>
        </w:rPr>
        <w:t xml:space="preserve">Section </w:t>
      </w:r>
      <w:r>
        <w:rPr>
          <w:rFonts w:ascii="Times New Roman" w:hAnsi="Times New Roman" w:cs="Times New Roman"/>
          <w:b/>
        </w:rPr>
        <w:t>4.</w:t>
      </w:r>
      <w:r w:rsidRPr="008B6EFB">
        <w:rPr>
          <w:rFonts w:ascii="Times New Roman" w:hAnsi="Times New Roman" w:cs="Times New Roman"/>
          <w:b/>
        </w:rPr>
        <w:t>4</w:t>
      </w:r>
      <w:r w:rsidRPr="008B6EFB">
        <w:rPr>
          <w:rFonts w:ascii="Times New Roman" w:hAnsi="Times New Roman" w:cs="Times New Roman"/>
          <w:b/>
        </w:rPr>
        <w:tab/>
        <w:t>Duration of research authorisation</w:t>
      </w:r>
    </w:p>
    <w:p w14:paraId="221601FC" w14:textId="77777777" w:rsidR="00362B2C" w:rsidRDefault="00362B2C" w:rsidP="00362B2C">
      <w:pPr>
        <w:pStyle w:val="ACMABodyText"/>
        <w:spacing w:before="0" w:after="160" w:line="259" w:lineRule="auto"/>
        <w:rPr>
          <w:sz w:val="22"/>
          <w:szCs w:val="22"/>
          <w:lang w:val="en-US"/>
        </w:rPr>
      </w:pPr>
      <w:r w:rsidRPr="00524A96">
        <w:rPr>
          <w:sz w:val="22"/>
          <w:szCs w:val="22"/>
        </w:rPr>
        <w:t xml:space="preserve">This section provides that </w:t>
      </w:r>
      <w:r>
        <w:rPr>
          <w:sz w:val="22"/>
          <w:szCs w:val="22"/>
        </w:rPr>
        <w:t>a</w:t>
      </w:r>
      <w:r>
        <w:rPr>
          <w:sz w:val="22"/>
          <w:szCs w:val="22"/>
          <w:lang w:val="en-US"/>
        </w:rPr>
        <w:t xml:space="preserve"> research </w:t>
      </w:r>
      <w:proofErr w:type="spellStart"/>
      <w:r w:rsidRPr="00524A96">
        <w:rPr>
          <w:sz w:val="22"/>
          <w:szCs w:val="22"/>
          <w:lang w:val="en-US"/>
        </w:rPr>
        <w:t>authorisation</w:t>
      </w:r>
      <w:proofErr w:type="spellEnd"/>
      <w:r w:rsidRPr="00524A96">
        <w:rPr>
          <w:sz w:val="22"/>
          <w:szCs w:val="22"/>
          <w:lang w:val="en-US"/>
        </w:rPr>
        <w:t xml:space="preserve"> starts on the day on which the IPND Manager </w:t>
      </w:r>
      <w:r>
        <w:rPr>
          <w:sz w:val="22"/>
          <w:szCs w:val="22"/>
          <w:lang w:val="en-US"/>
        </w:rPr>
        <w:t xml:space="preserve">first </w:t>
      </w:r>
      <w:r w:rsidRPr="00524A96">
        <w:rPr>
          <w:sz w:val="22"/>
          <w:szCs w:val="22"/>
          <w:lang w:val="en-US"/>
        </w:rPr>
        <w:t>supplies</w:t>
      </w:r>
      <w:r>
        <w:rPr>
          <w:sz w:val="22"/>
          <w:szCs w:val="22"/>
          <w:lang w:val="en-US"/>
        </w:rPr>
        <w:t xml:space="preserve"> customer data to</w:t>
      </w:r>
      <w:r w:rsidRPr="00524A96">
        <w:rPr>
          <w:sz w:val="22"/>
          <w:szCs w:val="22"/>
          <w:lang w:val="en-US"/>
        </w:rPr>
        <w:t xml:space="preserve"> the </w:t>
      </w:r>
      <w:r>
        <w:rPr>
          <w:sz w:val="22"/>
          <w:szCs w:val="22"/>
          <w:lang w:val="en-US"/>
        </w:rPr>
        <w:t>research entity</w:t>
      </w:r>
      <w:r w:rsidRPr="00524A96">
        <w:rPr>
          <w:sz w:val="22"/>
          <w:szCs w:val="22"/>
          <w:lang w:val="en-US"/>
        </w:rPr>
        <w:t xml:space="preserve"> after making arrangements </w:t>
      </w:r>
      <w:r>
        <w:rPr>
          <w:sz w:val="22"/>
          <w:szCs w:val="22"/>
          <w:lang w:val="en-US"/>
        </w:rPr>
        <w:t>for that supply (paragraph (a))</w:t>
      </w:r>
      <w:r w:rsidRPr="00524A96">
        <w:rPr>
          <w:sz w:val="22"/>
          <w:szCs w:val="22"/>
          <w:lang w:val="en-US"/>
        </w:rPr>
        <w:t>.</w:t>
      </w:r>
      <w:r>
        <w:rPr>
          <w:sz w:val="22"/>
          <w:szCs w:val="22"/>
          <w:lang w:val="en-US"/>
        </w:rPr>
        <w:t xml:space="preserve"> The research </w:t>
      </w:r>
      <w:proofErr w:type="spellStart"/>
      <w:r>
        <w:rPr>
          <w:sz w:val="22"/>
          <w:szCs w:val="22"/>
          <w:lang w:val="en-US"/>
        </w:rPr>
        <w:t>authorisation</w:t>
      </w:r>
      <w:proofErr w:type="spellEnd"/>
      <w:r>
        <w:rPr>
          <w:sz w:val="22"/>
          <w:szCs w:val="22"/>
          <w:lang w:val="en-US"/>
        </w:rPr>
        <w:t xml:space="preserve"> has effect for the duration specified by the ACMA in its decision (paragraph (b)).</w:t>
      </w:r>
    </w:p>
    <w:p w14:paraId="4156DA18" w14:textId="77777777" w:rsidR="00362B2C" w:rsidRDefault="00362B2C" w:rsidP="00362B2C">
      <w:pPr>
        <w:pStyle w:val="ACMABodyText"/>
        <w:spacing w:before="0" w:after="160" w:line="259" w:lineRule="auto"/>
        <w:rPr>
          <w:sz w:val="22"/>
          <w:szCs w:val="22"/>
          <w:lang w:val="en-US"/>
        </w:rPr>
      </w:pPr>
      <w:r>
        <w:rPr>
          <w:sz w:val="22"/>
          <w:szCs w:val="22"/>
          <w:lang w:val="en-US"/>
        </w:rPr>
        <w:t xml:space="preserve">The duration of a research </w:t>
      </w:r>
      <w:proofErr w:type="spellStart"/>
      <w:r>
        <w:rPr>
          <w:sz w:val="22"/>
          <w:szCs w:val="22"/>
          <w:lang w:val="en-US"/>
        </w:rPr>
        <w:t>authorisation</w:t>
      </w:r>
      <w:proofErr w:type="spellEnd"/>
      <w:r>
        <w:rPr>
          <w:sz w:val="22"/>
          <w:szCs w:val="22"/>
          <w:lang w:val="en-US"/>
        </w:rPr>
        <w:t xml:space="preserve"> that has effect for a finite period may be extended in accordance with Subdivision B.  The duration of a research </w:t>
      </w:r>
      <w:proofErr w:type="spellStart"/>
      <w:r>
        <w:rPr>
          <w:sz w:val="22"/>
          <w:szCs w:val="22"/>
          <w:lang w:val="en-US"/>
        </w:rPr>
        <w:t>authorisation</w:t>
      </w:r>
      <w:proofErr w:type="spellEnd"/>
      <w:r>
        <w:rPr>
          <w:sz w:val="22"/>
          <w:szCs w:val="22"/>
          <w:lang w:val="en-US"/>
        </w:rPr>
        <w:t xml:space="preserve"> that has effect for a finite period or on an ongoing basis may be ended earlier in accordance with Part 5. </w:t>
      </w:r>
      <w:r w:rsidRPr="000E47F2">
        <w:rPr>
          <w:sz w:val="22"/>
          <w:szCs w:val="22"/>
          <w:lang w:val="en-US"/>
        </w:rPr>
        <w:t xml:space="preserve"> </w:t>
      </w:r>
    </w:p>
    <w:p w14:paraId="3BF99160" w14:textId="77777777" w:rsidR="00362B2C" w:rsidRPr="00237C4F" w:rsidRDefault="00362B2C" w:rsidP="00362B2C">
      <w:pPr>
        <w:pStyle w:val="ACMABodyText"/>
        <w:spacing w:before="0" w:after="160" w:line="259" w:lineRule="auto"/>
        <w:rPr>
          <w:b/>
          <w:sz w:val="22"/>
          <w:szCs w:val="22"/>
          <w:lang w:val="en-US"/>
        </w:rPr>
      </w:pPr>
      <w:r w:rsidRPr="00237C4F">
        <w:rPr>
          <w:b/>
          <w:sz w:val="22"/>
          <w:szCs w:val="22"/>
          <w:lang w:val="en-US"/>
        </w:rPr>
        <w:t xml:space="preserve">Section </w:t>
      </w:r>
      <w:r w:rsidRPr="009255DA">
        <w:rPr>
          <w:b/>
          <w:sz w:val="22"/>
          <w:szCs w:val="22"/>
          <w:lang w:val="en-US"/>
        </w:rPr>
        <w:t>4.</w:t>
      </w:r>
      <w:r w:rsidRPr="00237C4F">
        <w:rPr>
          <w:b/>
          <w:sz w:val="22"/>
          <w:szCs w:val="22"/>
          <w:lang w:val="en-US"/>
        </w:rPr>
        <w:t>5</w:t>
      </w:r>
      <w:r w:rsidRPr="00237C4F">
        <w:rPr>
          <w:b/>
          <w:sz w:val="22"/>
          <w:szCs w:val="22"/>
          <w:lang w:val="en-US"/>
        </w:rPr>
        <w:tab/>
        <w:t xml:space="preserve">Conditions to which research </w:t>
      </w:r>
      <w:proofErr w:type="spellStart"/>
      <w:r w:rsidRPr="00237C4F">
        <w:rPr>
          <w:b/>
          <w:sz w:val="22"/>
          <w:szCs w:val="22"/>
          <w:lang w:val="en-US"/>
        </w:rPr>
        <w:t>authorisation</w:t>
      </w:r>
      <w:proofErr w:type="spellEnd"/>
      <w:r w:rsidRPr="00237C4F">
        <w:rPr>
          <w:b/>
          <w:sz w:val="22"/>
          <w:szCs w:val="22"/>
          <w:lang w:val="en-US"/>
        </w:rPr>
        <w:t xml:space="preserve"> is subject</w:t>
      </w:r>
    </w:p>
    <w:p w14:paraId="704AF4BA" w14:textId="77777777" w:rsidR="00362B2C" w:rsidRDefault="00362B2C" w:rsidP="00362B2C">
      <w:pPr>
        <w:pStyle w:val="ACMABodyText"/>
        <w:spacing w:before="0" w:after="160" w:line="259" w:lineRule="auto"/>
        <w:rPr>
          <w:sz w:val="22"/>
          <w:szCs w:val="22"/>
        </w:rPr>
      </w:pPr>
      <w:r>
        <w:rPr>
          <w:sz w:val="22"/>
          <w:szCs w:val="22"/>
        </w:rPr>
        <w:t>This s</w:t>
      </w:r>
      <w:r w:rsidRPr="00FD6521">
        <w:rPr>
          <w:sz w:val="22"/>
          <w:szCs w:val="22"/>
        </w:rPr>
        <w:t>ection</w:t>
      </w:r>
      <w:r w:rsidRPr="00502217">
        <w:rPr>
          <w:sz w:val="22"/>
          <w:szCs w:val="22"/>
        </w:rPr>
        <w:t xml:space="preserve"> </w:t>
      </w:r>
      <w:r>
        <w:rPr>
          <w:sz w:val="22"/>
          <w:szCs w:val="22"/>
        </w:rPr>
        <w:t xml:space="preserve">sets out the </w:t>
      </w:r>
      <w:r w:rsidRPr="00502217">
        <w:rPr>
          <w:sz w:val="22"/>
          <w:szCs w:val="22"/>
        </w:rPr>
        <w:t xml:space="preserve">conditions to which </w:t>
      </w:r>
      <w:r>
        <w:rPr>
          <w:sz w:val="22"/>
          <w:szCs w:val="22"/>
        </w:rPr>
        <w:t>a research</w:t>
      </w:r>
      <w:r w:rsidRPr="00502217">
        <w:rPr>
          <w:sz w:val="22"/>
          <w:szCs w:val="22"/>
        </w:rPr>
        <w:t xml:space="preserve"> authorisation is subject</w:t>
      </w:r>
      <w:r>
        <w:rPr>
          <w:sz w:val="22"/>
          <w:szCs w:val="22"/>
        </w:rPr>
        <w:t xml:space="preserve"> under the scheme (subsection (1))</w:t>
      </w:r>
      <w:r w:rsidRPr="00502217">
        <w:rPr>
          <w:sz w:val="22"/>
          <w:szCs w:val="22"/>
        </w:rPr>
        <w:t>.</w:t>
      </w:r>
      <w:r>
        <w:rPr>
          <w:sz w:val="22"/>
          <w:szCs w:val="22"/>
        </w:rPr>
        <w:t xml:space="preserve"> </w:t>
      </w:r>
    </w:p>
    <w:p w14:paraId="069B7025" w14:textId="77777777" w:rsidR="00362B2C" w:rsidRDefault="00362B2C" w:rsidP="00362B2C">
      <w:pPr>
        <w:pStyle w:val="ACMABodyText"/>
        <w:spacing w:before="0" w:after="40" w:line="259" w:lineRule="auto"/>
        <w:rPr>
          <w:sz w:val="22"/>
          <w:szCs w:val="22"/>
        </w:rPr>
      </w:pPr>
      <w:r>
        <w:rPr>
          <w:sz w:val="22"/>
          <w:szCs w:val="22"/>
        </w:rPr>
        <w:t>The conditions are as follows:</w:t>
      </w:r>
    </w:p>
    <w:p w14:paraId="1429F690" w14:textId="77777777" w:rsidR="00362B2C" w:rsidRPr="009905D9" w:rsidRDefault="00362B2C" w:rsidP="00362B2C">
      <w:pPr>
        <w:pStyle w:val="ACMABodyText"/>
        <w:numPr>
          <w:ilvl w:val="0"/>
          <w:numId w:val="10"/>
        </w:numPr>
        <w:rPr>
          <w:sz w:val="22"/>
          <w:szCs w:val="22"/>
          <w:lang w:val="en-US"/>
        </w:rPr>
      </w:pPr>
      <w:r>
        <w:rPr>
          <w:sz w:val="22"/>
          <w:szCs w:val="22"/>
        </w:rPr>
        <w:t>The research entity must:</w:t>
      </w:r>
    </w:p>
    <w:p w14:paraId="28E4B1DA" w14:textId="77777777" w:rsidR="00362B2C" w:rsidRDefault="00362B2C" w:rsidP="00362B2C">
      <w:pPr>
        <w:pStyle w:val="ACMABodyText"/>
        <w:numPr>
          <w:ilvl w:val="0"/>
          <w:numId w:val="11"/>
        </w:numPr>
        <w:spacing w:before="0" w:after="40" w:line="259" w:lineRule="auto"/>
        <w:ind w:left="1077" w:hanging="357"/>
        <w:rPr>
          <w:sz w:val="22"/>
          <w:szCs w:val="22"/>
          <w:lang w:val="en-US"/>
        </w:rPr>
      </w:pPr>
      <w:r>
        <w:rPr>
          <w:sz w:val="22"/>
          <w:szCs w:val="22"/>
        </w:rPr>
        <w:t>m</w:t>
      </w:r>
      <w:r w:rsidRPr="009905D9">
        <w:rPr>
          <w:sz w:val="22"/>
          <w:szCs w:val="22"/>
        </w:rPr>
        <w:t xml:space="preserve">ake arrangements </w:t>
      </w:r>
      <w:r w:rsidRPr="009905D9">
        <w:rPr>
          <w:sz w:val="22"/>
          <w:szCs w:val="22"/>
          <w:lang w:val="en-US"/>
        </w:rPr>
        <w:t xml:space="preserve">with the IPND Manager for the supply of </w:t>
      </w:r>
      <w:r>
        <w:rPr>
          <w:sz w:val="22"/>
          <w:szCs w:val="22"/>
          <w:lang w:val="en-US"/>
        </w:rPr>
        <w:t xml:space="preserve">the fields of customer </w:t>
      </w:r>
      <w:r w:rsidRPr="009905D9">
        <w:rPr>
          <w:sz w:val="22"/>
          <w:szCs w:val="22"/>
          <w:lang w:val="en-US"/>
        </w:rPr>
        <w:t xml:space="preserve">data </w:t>
      </w:r>
      <w:r>
        <w:rPr>
          <w:sz w:val="22"/>
          <w:szCs w:val="22"/>
          <w:lang w:val="en-US"/>
        </w:rPr>
        <w:t xml:space="preserve">to which the </w:t>
      </w:r>
      <w:proofErr w:type="spellStart"/>
      <w:r>
        <w:rPr>
          <w:sz w:val="22"/>
          <w:szCs w:val="22"/>
          <w:lang w:val="en-US"/>
        </w:rPr>
        <w:t>authorisation</w:t>
      </w:r>
      <w:proofErr w:type="spellEnd"/>
      <w:r>
        <w:rPr>
          <w:sz w:val="22"/>
          <w:szCs w:val="22"/>
          <w:lang w:val="en-US"/>
        </w:rPr>
        <w:t xml:space="preserve"> applies as soon as practicable</w:t>
      </w:r>
      <w:r w:rsidRPr="009905D9">
        <w:rPr>
          <w:sz w:val="22"/>
          <w:szCs w:val="22"/>
          <w:lang w:val="en-US"/>
        </w:rPr>
        <w:t xml:space="preserve"> after receiving written confirmation from the ACMA that the </w:t>
      </w:r>
      <w:r>
        <w:rPr>
          <w:sz w:val="22"/>
          <w:szCs w:val="22"/>
          <w:lang w:val="en-US"/>
        </w:rPr>
        <w:t>IPND Manager has been notified of the decision to grant a research</w:t>
      </w:r>
      <w:r w:rsidRPr="009905D9">
        <w:rPr>
          <w:sz w:val="22"/>
          <w:szCs w:val="22"/>
          <w:lang w:val="en-US"/>
        </w:rPr>
        <w:t xml:space="preserve"> </w:t>
      </w:r>
      <w:proofErr w:type="spellStart"/>
      <w:r w:rsidRPr="009905D9">
        <w:rPr>
          <w:sz w:val="22"/>
          <w:szCs w:val="22"/>
          <w:lang w:val="en-US"/>
        </w:rPr>
        <w:t>authorisation</w:t>
      </w:r>
      <w:proofErr w:type="spellEnd"/>
      <w:r>
        <w:rPr>
          <w:sz w:val="22"/>
          <w:szCs w:val="22"/>
          <w:lang w:val="en-US"/>
        </w:rPr>
        <w:t>; and</w:t>
      </w:r>
    </w:p>
    <w:p w14:paraId="6887D33B" w14:textId="77777777" w:rsidR="00362B2C" w:rsidRPr="009905D9" w:rsidRDefault="00362B2C" w:rsidP="00362B2C">
      <w:pPr>
        <w:pStyle w:val="ACMABodyText"/>
        <w:numPr>
          <w:ilvl w:val="0"/>
          <w:numId w:val="11"/>
        </w:numPr>
        <w:spacing w:before="0" w:after="160" w:line="259" w:lineRule="auto"/>
        <w:ind w:left="1077" w:hanging="357"/>
        <w:rPr>
          <w:sz w:val="22"/>
          <w:szCs w:val="22"/>
          <w:lang w:val="en-US"/>
        </w:rPr>
      </w:pPr>
      <w:r w:rsidRPr="009905D9">
        <w:rPr>
          <w:sz w:val="22"/>
          <w:szCs w:val="22"/>
          <w:lang w:val="en-US"/>
        </w:rPr>
        <w:t>notify ACMA of th</w:t>
      </w:r>
      <w:r>
        <w:rPr>
          <w:sz w:val="22"/>
          <w:szCs w:val="22"/>
          <w:lang w:val="en-US"/>
        </w:rPr>
        <w:t>e date on which the entity first receives the</w:t>
      </w:r>
      <w:r w:rsidRPr="009905D9">
        <w:rPr>
          <w:sz w:val="22"/>
          <w:szCs w:val="22"/>
          <w:lang w:val="en-US"/>
        </w:rPr>
        <w:t xml:space="preserve"> </w:t>
      </w:r>
      <w:r>
        <w:rPr>
          <w:sz w:val="22"/>
          <w:szCs w:val="22"/>
          <w:lang w:val="en-US"/>
        </w:rPr>
        <w:t xml:space="preserve">customer </w:t>
      </w:r>
      <w:r w:rsidRPr="009905D9">
        <w:rPr>
          <w:sz w:val="22"/>
          <w:szCs w:val="22"/>
          <w:lang w:val="en-US"/>
        </w:rPr>
        <w:t xml:space="preserve">data within 10 </w:t>
      </w:r>
      <w:r>
        <w:rPr>
          <w:sz w:val="22"/>
          <w:szCs w:val="22"/>
          <w:lang w:val="en-US"/>
        </w:rPr>
        <w:t>business</w:t>
      </w:r>
      <w:r w:rsidRPr="009905D9">
        <w:rPr>
          <w:sz w:val="22"/>
          <w:szCs w:val="22"/>
          <w:lang w:val="en-US"/>
        </w:rPr>
        <w:t xml:space="preserve"> days </w:t>
      </w:r>
      <w:r>
        <w:rPr>
          <w:sz w:val="22"/>
          <w:szCs w:val="22"/>
          <w:lang w:val="en-US"/>
        </w:rPr>
        <w:t>after</w:t>
      </w:r>
      <w:r w:rsidRPr="009905D9">
        <w:rPr>
          <w:sz w:val="22"/>
          <w:szCs w:val="22"/>
          <w:lang w:val="en-US"/>
        </w:rPr>
        <w:t xml:space="preserve"> the start of </w:t>
      </w:r>
      <w:r>
        <w:rPr>
          <w:sz w:val="22"/>
          <w:szCs w:val="22"/>
          <w:lang w:val="en-US"/>
        </w:rPr>
        <w:t xml:space="preserve">the </w:t>
      </w:r>
      <w:proofErr w:type="spellStart"/>
      <w:r>
        <w:rPr>
          <w:sz w:val="22"/>
          <w:szCs w:val="22"/>
          <w:lang w:val="en-US"/>
        </w:rPr>
        <w:t>authorisation</w:t>
      </w:r>
      <w:proofErr w:type="spellEnd"/>
      <w:r>
        <w:rPr>
          <w:sz w:val="22"/>
          <w:szCs w:val="22"/>
          <w:lang w:val="en-US"/>
        </w:rPr>
        <w:t xml:space="preserve"> (subsection (2)).</w:t>
      </w:r>
    </w:p>
    <w:p w14:paraId="3DBF72DF" w14:textId="77777777" w:rsidR="00362B2C" w:rsidRDefault="00362B2C" w:rsidP="00362B2C">
      <w:pPr>
        <w:pStyle w:val="ACMABodyText"/>
        <w:numPr>
          <w:ilvl w:val="0"/>
          <w:numId w:val="12"/>
        </w:numPr>
        <w:spacing w:before="0" w:after="160" w:line="259" w:lineRule="auto"/>
        <w:ind w:left="714" w:hanging="357"/>
        <w:rPr>
          <w:sz w:val="22"/>
          <w:szCs w:val="22"/>
        </w:rPr>
      </w:pPr>
      <w:r>
        <w:rPr>
          <w:sz w:val="22"/>
          <w:szCs w:val="22"/>
        </w:rPr>
        <w:t xml:space="preserve">The research entity must not disclose the customer data to any person other than the ACMA, the entity’s personnel or (if the entity is a research representative body) </w:t>
      </w:r>
      <w:r>
        <w:rPr>
          <w:sz w:val="22"/>
          <w:szCs w:val="22"/>
        </w:rPr>
        <w:lastRenderedPageBreak/>
        <w:t>its members, unless the disclosure is authorised or required by or under law (subsection (3)).</w:t>
      </w:r>
    </w:p>
    <w:p w14:paraId="74A6B930" w14:textId="77777777" w:rsidR="00362B2C" w:rsidRDefault="00362B2C" w:rsidP="00362B2C">
      <w:pPr>
        <w:pStyle w:val="ACMABodyText"/>
        <w:numPr>
          <w:ilvl w:val="0"/>
          <w:numId w:val="12"/>
        </w:numPr>
        <w:spacing w:before="0" w:after="40" w:line="259" w:lineRule="auto"/>
        <w:ind w:left="714" w:hanging="357"/>
        <w:rPr>
          <w:sz w:val="22"/>
          <w:szCs w:val="22"/>
        </w:rPr>
      </w:pPr>
      <w:r>
        <w:rPr>
          <w:sz w:val="22"/>
          <w:szCs w:val="22"/>
        </w:rPr>
        <w:t>If</w:t>
      </w:r>
      <w:r w:rsidRPr="00A70EA1">
        <w:rPr>
          <w:sz w:val="22"/>
          <w:szCs w:val="22"/>
        </w:rPr>
        <w:t xml:space="preserve"> </w:t>
      </w:r>
      <w:r>
        <w:rPr>
          <w:sz w:val="22"/>
          <w:szCs w:val="22"/>
        </w:rPr>
        <w:t>the</w:t>
      </w:r>
      <w:r w:rsidRPr="00A70EA1">
        <w:rPr>
          <w:sz w:val="22"/>
          <w:szCs w:val="22"/>
        </w:rPr>
        <w:t xml:space="preserve"> research entity is a research representative body</w:t>
      </w:r>
      <w:r>
        <w:rPr>
          <w:sz w:val="22"/>
          <w:szCs w:val="22"/>
        </w:rPr>
        <w:t>, the entity must comply with the following:</w:t>
      </w:r>
      <w:r w:rsidRPr="00A70EA1">
        <w:rPr>
          <w:sz w:val="22"/>
          <w:szCs w:val="22"/>
        </w:rPr>
        <w:t xml:space="preserve"> </w:t>
      </w:r>
    </w:p>
    <w:p w14:paraId="3B1B6105" w14:textId="77777777" w:rsidR="00362B2C" w:rsidRDefault="00362B2C" w:rsidP="00362B2C">
      <w:pPr>
        <w:pStyle w:val="ACMABodyText"/>
        <w:numPr>
          <w:ilvl w:val="1"/>
          <w:numId w:val="12"/>
        </w:numPr>
        <w:spacing w:before="0" w:after="40" w:line="259" w:lineRule="auto"/>
        <w:ind w:left="1434" w:hanging="357"/>
        <w:rPr>
          <w:sz w:val="22"/>
          <w:szCs w:val="22"/>
        </w:rPr>
      </w:pPr>
      <w:r>
        <w:rPr>
          <w:sz w:val="22"/>
          <w:szCs w:val="22"/>
        </w:rPr>
        <w:t>The</w:t>
      </w:r>
      <w:r w:rsidRPr="00A70EA1">
        <w:rPr>
          <w:sz w:val="22"/>
          <w:szCs w:val="22"/>
        </w:rPr>
        <w:t xml:space="preserve"> entity </w:t>
      </w:r>
      <w:r>
        <w:rPr>
          <w:sz w:val="22"/>
          <w:szCs w:val="22"/>
        </w:rPr>
        <w:t>is only permitted to disclose</w:t>
      </w:r>
      <w:r w:rsidRPr="00A70EA1">
        <w:rPr>
          <w:sz w:val="22"/>
          <w:szCs w:val="22"/>
        </w:rPr>
        <w:t xml:space="preserve"> th</w:t>
      </w:r>
      <w:r>
        <w:rPr>
          <w:sz w:val="22"/>
          <w:szCs w:val="22"/>
        </w:rPr>
        <w:t>e public number of a customer or</w:t>
      </w:r>
      <w:r w:rsidRPr="00A70EA1">
        <w:rPr>
          <w:sz w:val="22"/>
          <w:szCs w:val="22"/>
        </w:rPr>
        <w:t xml:space="preserve"> </w:t>
      </w:r>
      <w:r>
        <w:rPr>
          <w:sz w:val="22"/>
          <w:szCs w:val="22"/>
        </w:rPr>
        <w:t xml:space="preserve">a customer’s </w:t>
      </w:r>
      <w:r w:rsidRPr="00A70EA1">
        <w:rPr>
          <w:sz w:val="22"/>
          <w:szCs w:val="22"/>
        </w:rPr>
        <w:t>business</w:t>
      </w:r>
      <w:r>
        <w:rPr>
          <w:sz w:val="22"/>
          <w:szCs w:val="22"/>
        </w:rPr>
        <w:t>, and the postcode and the State or Territory included in the directory address of the customer or business (paragraph (4)(a)).</w:t>
      </w:r>
      <w:r w:rsidRPr="00A70EA1">
        <w:rPr>
          <w:sz w:val="22"/>
          <w:szCs w:val="22"/>
        </w:rPr>
        <w:t xml:space="preserve"> </w:t>
      </w:r>
      <w:r>
        <w:rPr>
          <w:sz w:val="22"/>
          <w:szCs w:val="22"/>
        </w:rPr>
        <w:t xml:space="preserve"> T</w:t>
      </w:r>
      <w:r w:rsidRPr="00A70EA1">
        <w:rPr>
          <w:sz w:val="22"/>
          <w:szCs w:val="22"/>
        </w:rPr>
        <w:t xml:space="preserve">he </w:t>
      </w:r>
      <w:r>
        <w:rPr>
          <w:sz w:val="22"/>
          <w:szCs w:val="22"/>
        </w:rPr>
        <w:t>entity</w:t>
      </w:r>
      <w:r w:rsidRPr="00A70EA1">
        <w:rPr>
          <w:sz w:val="22"/>
          <w:szCs w:val="22"/>
        </w:rPr>
        <w:t xml:space="preserve"> </w:t>
      </w:r>
      <w:r>
        <w:rPr>
          <w:sz w:val="22"/>
          <w:szCs w:val="22"/>
        </w:rPr>
        <w:t>is allowed to have access to</w:t>
      </w:r>
      <w:r w:rsidRPr="00A70EA1">
        <w:rPr>
          <w:sz w:val="22"/>
          <w:szCs w:val="22"/>
        </w:rPr>
        <w:t xml:space="preserve"> the full </w:t>
      </w:r>
      <w:r>
        <w:rPr>
          <w:sz w:val="22"/>
          <w:szCs w:val="22"/>
        </w:rPr>
        <w:t xml:space="preserve">directory </w:t>
      </w:r>
      <w:r w:rsidRPr="00A70EA1">
        <w:rPr>
          <w:sz w:val="22"/>
          <w:szCs w:val="22"/>
        </w:rPr>
        <w:t>address</w:t>
      </w:r>
      <w:r>
        <w:rPr>
          <w:sz w:val="22"/>
          <w:szCs w:val="22"/>
        </w:rPr>
        <w:t xml:space="preserve"> of a customer or a customer’s business</w:t>
      </w:r>
      <w:r w:rsidRPr="00A70EA1">
        <w:rPr>
          <w:sz w:val="22"/>
          <w:szCs w:val="22"/>
        </w:rPr>
        <w:t xml:space="preserve"> to create geographical-based samples for </w:t>
      </w:r>
      <w:r>
        <w:rPr>
          <w:sz w:val="22"/>
          <w:szCs w:val="22"/>
        </w:rPr>
        <w:t>its</w:t>
      </w:r>
      <w:r w:rsidRPr="00A70EA1">
        <w:rPr>
          <w:sz w:val="22"/>
          <w:szCs w:val="22"/>
        </w:rPr>
        <w:t xml:space="preserve"> member</w:t>
      </w:r>
      <w:r>
        <w:rPr>
          <w:sz w:val="22"/>
          <w:szCs w:val="22"/>
        </w:rPr>
        <w:t>s,</w:t>
      </w:r>
      <w:r w:rsidRPr="00A70EA1">
        <w:rPr>
          <w:sz w:val="22"/>
          <w:szCs w:val="22"/>
        </w:rPr>
        <w:t xml:space="preserve"> but </w:t>
      </w:r>
      <w:r>
        <w:rPr>
          <w:sz w:val="22"/>
          <w:szCs w:val="22"/>
        </w:rPr>
        <w:t>is</w:t>
      </w:r>
      <w:r w:rsidRPr="00A70EA1">
        <w:rPr>
          <w:sz w:val="22"/>
          <w:szCs w:val="22"/>
        </w:rPr>
        <w:t xml:space="preserve"> prohibited from disclosing the full </w:t>
      </w:r>
      <w:r>
        <w:rPr>
          <w:sz w:val="22"/>
          <w:szCs w:val="22"/>
        </w:rPr>
        <w:t xml:space="preserve">directory </w:t>
      </w:r>
      <w:r w:rsidRPr="00A70EA1">
        <w:rPr>
          <w:sz w:val="22"/>
          <w:szCs w:val="22"/>
        </w:rPr>
        <w:t xml:space="preserve">address to its members. This condition mitigates potential privacy risks by </w:t>
      </w:r>
      <w:r>
        <w:rPr>
          <w:sz w:val="22"/>
          <w:szCs w:val="22"/>
        </w:rPr>
        <w:t>ensuring</w:t>
      </w:r>
      <w:r w:rsidRPr="00A70EA1">
        <w:rPr>
          <w:sz w:val="22"/>
          <w:szCs w:val="22"/>
        </w:rPr>
        <w:t xml:space="preserve"> that a customer</w:t>
      </w:r>
      <w:r>
        <w:rPr>
          <w:sz w:val="22"/>
          <w:szCs w:val="22"/>
        </w:rPr>
        <w:t xml:space="preserve"> or a customer’s business</w:t>
      </w:r>
      <w:r w:rsidRPr="00A70EA1">
        <w:rPr>
          <w:sz w:val="22"/>
          <w:szCs w:val="22"/>
        </w:rPr>
        <w:t xml:space="preserve"> cannot be identified through the</w:t>
      </w:r>
      <w:r>
        <w:rPr>
          <w:sz w:val="22"/>
          <w:szCs w:val="22"/>
        </w:rPr>
        <w:t xml:space="preserve"> customer</w:t>
      </w:r>
      <w:r w:rsidRPr="00A70EA1">
        <w:rPr>
          <w:sz w:val="22"/>
          <w:szCs w:val="22"/>
        </w:rPr>
        <w:t xml:space="preserve"> data </w:t>
      </w:r>
      <w:r>
        <w:rPr>
          <w:sz w:val="22"/>
          <w:szCs w:val="22"/>
        </w:rPr>
        <w:t xml:space="preserve">disclosed by the entity to its </w:t>
      </w:r>
      <w:r w:rsidRPr="00A70EA1">
        <w:rPr>
          <w:sz w:val="22"/>
          <w:szCs w:val="22"/>
        </w:rPr>
        <w:t xml:space="preserve">members. </w:t>
      </w:r>
    </w:p>
    <w:p w14:paraId="2465DCF4" w14:textId="77777777" w:rsidR="00362B2C" w:rsidRPr="009255DA" w:rsidRDefault="00362B2C" w:rsidP="00362B2C">
      <w:pPr>
        <w:pStyle w:val="ACMABodyText"/>
        <w:numPr>
          <w:ilvl w:val="1"/>
          <w:numId w:val="12"/>
        </w:numPr>
        <w:spacing w:before="0" w:after="40" w:line="259" w:lineRule="auto"/>
        <w:rPr>
          <w:sz w:val="22"/>
          <w:szCs w:val="22"/>
          <w:lang w:val="en-US"/>
        </w:rPr>
      </w:pPr>
      <w:r w:rsidRPr="009255DA">
        <w:rPr>
          <w:sz w:val="22"/>
          <w:szCs w:val="22"/>
        </w:rPr>
        <w:t>The entity must ensure that, before any disclosure of the customer data to any of its members, it has adequate arrangements in place that meet the requirements of the section and that are legally enforceable as between the entity and its members (</w:t>
      </w:r>
      <w:r w:rsidRPr="009255DA">
        <w:rPr>
          <w:b/>
          <w:sz w:val="22"/>
          <w:szCs w:val="22"/>
        </w:rPr>
        <w:t>required arrangements</w:t>
      </w:r>
      <w:r w:rsidRPr="009255DA">
        <w:rPr>
          <w:sz w:val="22"/>
          <w:szCs w:val="22"/>
        </w:rPr>
        <w:t xml:space="preserve">) (paragraph (4)(b)). </w:t>
      </w:r>
    </w:p>
    <w:p w14:paraId="72DA31D6" w14:textId="77777777" w:rsidR="00362B2C" w:rsidRPr="009255DA" w:rsidRDefault="00362B2C" w:rsidP="00362B2C">
      <w:pPr>
        <w:pStyle w:val="ACMABodyText"/>
        <w:numPr>
          <w:ilvl w:val="1"/>
          <w:numId w:val="12"/>
        </w:numPr>
        <w:spacing w:before="0" w:after="40" w:line="259" w:lineRule="auto"/>
        <w:rPr>
          <w:sz w:val="22"/>
          <w:szCs w:val="22"/>
          <w:lang w:val="en-US"/>
        </w:rPr>
      </w:pPr>
      <w:r>
        <w:rPr>
          <w:sz w:val="22"/>
          <w:szCs w:val="22"/>
        </w:rPr>
        <w:t xml:space="preserve">The entity must take reasonable steps to ensure that its members comply with the required arrangements (paragraph (4)(c)).  </w:t>
      </w:r>
    </w:p>
    <w:p w14:paraId="37B6DD99" w14:textId="77777777" w:rsidR="00362B2C" w:rsidRPr="00A176A4" w:rsidRDefault="00362B2C" w:rsidP="00362B2C">
      <w:pPr>
        <w:pStyle w:val="ACMABodyText"/>
        <w:numPr>
          <w:ilvl w:val="1"/>
          <w:numId w:val="12"/>
        </w:numPr>
        <w:spacing w:before="0" w:after="160" w:line="259" w:lineRule="auto"/>
        <w:ind w:left="1434" w:hanging="357"/>
        <w:rPr>
          <w:sz w:val="22"/>
          <w:szCs w:val="22"/>
        </w:rPr>
      </w:pPr>
      <w:r>
        <w:rPr>
          <w:sz w:val="22"/>
          <w:szCs w:val="22"/>
        </w:rPr>
        <w:t>The entity must ensure that the required arrangements impose an obligation on each of its members to the effect that the member must not disclose the customer data to any person other than the ACMA or the member’s personnel, unless the disclosure is authorised or required by or under law (paragraph (4)(d)).</w:t>
      </w:r>
    </w:p>
    <w:p w14:paraId="7D5FFDFC" w14:textId="77777777" w:rsidR="00362B2C" w:rsidRPr="00D37C67" w:rsidRDefault="00362B2C" w:rsidP="00362B2C">
      <w:pPr>
        <w:pStyle w:val="ACMABodyText"/>
        <w:numPr>
          <w:ilvl w:val="0"/>
          <w:numId w:val="15"/>
        </w:numPr>
        <w:spacing w:before="0" w:after="40" w:line="259" w:lineRule="auto"/>
        <w:ind w:left="1077" w:hanging="357"/>
        <w:rPr>
          <w:sz w:val="22"/>
          <w:szCs w:val="22"/>
        </w:rPr>
      </w:pPr>
      <w:r>
        <w:rPr>
          <w:sz w:val="22"/>
          <w:szCs w:val="22"/>
        </w:rPr>
        <w:t>The</w:t>
      </w:r>
      <w:r w:rsidRPr="00D37C67">
        <w:rPr>
          <w:sz w:val="22"/>
          <w:szCs w:val="22"/>
        </w:rPr>
        <w:t xml:space="preserve"> research entity must</w:t>
      </w:r>
      <w:r>
        <w:rPr>
          <w:sz w:val="22"/>
          <w:szCs w:val="22"/>
        </w:rPr>
        <w:t>, for at least the duration of the research authorisation,</w:t>
      </w:r>
      <w:r w:rsidRPr="00D37C67">
        <w:rPr>
          <w:sz w:val="22"/>
          <w:szCs w:val="22"/>
        </w:rPr>
        <w:t xml:space="preserve"> be:</w:t>
      </w:r>
    </w:p>
    <w:p w14:paraId="669FB0B8" w14:textId="77777777" w:rsidR="00362B2C" w:rsidRPr="00D37C67" w:rsidRDefault="00362B2C" w:rsidP="00362B2C">
      <w:pPr>
        <w:pStyle w:val="ACMABodyText"/>
        <w:numPr>
          <w:ilvl w:val="1"/>
          <w:numId w:val="15"/>
        </w:numPr>
        <w:spacing w:before="0" w:after="40" w:line="259" w:lineRule="auto"/>
        <w:ind w:left="1800"/>
        <w:rPr>
          <w:sz w:val="22"/>
          <w:szCs w:val="22"/>
        </w:rPr>
      </w:pPr>
      <w:r>
        <w:rPr>
          <w:sz w:val="22"/>
          <w:szCs w:val="22"/>
        </w:rPr>
        <w:t xml:space="preserve">an </w:t>
      </w:r>
      <w:r w:rsidRPr="00D37C67">
        <w:rPr>
          <w:sz w:val="22"/>
          <w:szCs w:val="22"/>
        </w:rPr>
        <w:t xml:space="preserve">organisation within the meaning of the </w:t>
      </w:r>
      <w:r w:rsidRPr="00D37C67">
        <w:rPr>
          <w:i/>
          <w:sz w:val="22"/>
          <w:szCs w:val="22"/>
        </w:rPr>
        <w:t>Privacy Act 1988;</w:t>
      </w:r>
      <w:r w:rsidRPr="00D37C67">
        <w:rPr>
          <w:sz w:val="22"/>
          <w:szCs w:val="22"/>
        </w:rPr>
        <w:t xml:space="preserve"> or</w:t>
      </w:r>
    </w:p>
    <w:p w14:paraId="174B6C92" w14:textId="77777777" w:rsidR="00362B2C" w:rsidRDefault="00362B2C" w:rsidP="00362B2C">
      <w:pPr>
        <w:pStyle w:val="ACMABodyText"/>
        <w:numPr>
          <w:ilvl w:val="1"/>
          <w:numId w:val="15"/>
        </w:numPr>
        <w:spacing w:before="0" w:after="40" w:line="259" w:lineRule="auto"/>
        <w:ind w:left="1797" w:hanging="357"/>
        <w:contextualSpacing/>
        <w:rPr>
          <w:sz w:val="22"/>
          <w:szCs w:val="22"/>
        </w:rPr>
      </w:pPr>
      <w:r>
        <w:rPr>
          <w:sz w:val="22"/>
          <w:szCs w:val="22"/>
        </w:rPr>
        <w:t xml:space="preserve">an </w:t>
      </w:r>
      <w:r w:rsidRPr="00D37C67">
        <w:rPr>
          <w:sz w:val="22"/>
          <w:szCs w:val="22"/>
        </w:rPr>
        <w:t xml:space="preserve">entity whose name is </w:t>
      </w:r>
      <w:r>
        <w:rPr>
          <w:sz w:val="22"/>
          <w:szCs w:val="22"/>
        </w:rPr>
        <w:t xml:space="preserve">entered in </w:t>
      </w:r>
      <w:r w:rsidRPr="00D37C67">
        <w:rPr>
          <w:sz w:val="22"/>
          <w:szCs w:val="22"/>
        </w:rPr>
        <w:t xml:space="preserve">the register of small business operators who have chosen to be treated as organisations within the meaning of the </w:t>
      </w:r>
      <w:r w:rsidRPr="00D37C67">
        <w:rPr>
          <w:i/>
          <w:sz w:val="22"/>
          <w:szCs w:val="22"/>
        </w:rPr>
        <w:t>Privacy Act 1988</w:t>
      </w:r>
      <w:r>
        <w:rPr>
          <w:sz w:val="22"/>
          <w:szCs w:val="22"/>
        </w:rPr>
        <w:t xml:space="preserve"> kept by t</w:t>
      </w:r>
      <w:r w:rsidRPr="00D37C67">
        <w:rPr>
          <w:sz w:val="22"/>
          <w:szCs w:val="22"/>
        </w:rPr>
        <w:t>he</w:t>
      </w:r>
      <w:r>
        <w:rPr>
          <w:sz w:val="22"/>
          <w:szCs w:val="22"/>
        </w:rPr>
        <w:t xml:space="preserve"> Information Commissioner</w:t>
      </w:r>
      <w:r w:rsidRPr="00D37C67">
        <w:rPr>
          <w:sz w:val="22"/>
          <w:szCs w:val="22"/>
        </w:rPr>
        <w:t xml:space="preserve"> in accordance with section 6EA of the </w:t>
      </w:r>
      <w:r w:rsidRPr="00D37C67">
        <w:rPr>
          <w:i/>
          <w:sz w:val="22"/>
          <w:szCs w:val="22"/>
        </w:rPr>
        <w:t>Privacy Act 1988</w:t>
      </w:r>
      <w:r>
        <w:rPr>
          <w:sz w:val="22"/>
          <w:szCs w:val="22"/>
        </w:rPr>
        <w:t xml:space="preserve"> (subsection (5))</w:t>
      </w:r>
      <w:r w:rsidRPr="00D37C67">
        <w:rPr>
          <w:sz w:val="22"/>
          <w:szCs w:val="22"/>
        </w:rPr>
        <w:t>.</w:t>
      </w:r>
    </w:p>
    <w:p w14:paraId="4390DBD4" w14:textId="77777777" w:rsidR="00362B2C" w:rsidRPr="00D37C67" w:rsidRDefault="00362B2C" w:rsidP="00362B2C">
      <w:pPr>
        <w:pStyle w:val="ACMABodyText"/>
        <w:ind w:left="1080"/>
        <w:rPr>
          <w:sz w:val="22"/>
          <w:szCs w:val="22"/>
        </w:rPr>
      </w:pPr>
      <w:r>
        <w:rPr>
          <w:sz w:val="22"/>
          <w:szCs w:val="22"/>
        </w:rPr>
        <w:t>This is to ensure that the</w:t>
      </w:r>
      <w:r w:rsidRPr="009255DA">
        <w:rPr>
          <w:i/>
          <w:sz w:val="22"/>
          <w:szCs w:val="22"/>
        </w:rPr>
        <w:t xml:space="preserve"> Privacy Act 1988</w:t>
      </w:r>
      <w:r>
        <w:rPr>
          <w:sz w:val="22"/>
          <w:szCs w:val="22"/>
        </w:rPr>
        <w:t xml:space="preserve"> applies to the entity, for at least the duration of the authorisation, in relation to the handling of any personal information. </w:t>
      </w:r>
      <w:r w:rsidRPr="00D37C67">
        <w:rPr>
          <w:sz w:val="22"/>
          <w:szCs w:val="22"/>
        </w:rPr>
        <w:t xml:space="preserve"> </w:t>
      </w:r>
    </w:p>
    <w:p w14:paraId="274E3619" w14:textId="77777777" w:rsidR="00362B2C" w:rsidRPr="00D37C67" w:rsidRDefault="00362B2C" w:rsidP="00362B2C">
      <w:pPr>
        <w:pStyle w:val="ACMABodyText"/>
        <w:numPr>
          <w:ilvl w:val="0"/>
          <w:numId w:val="15"/>
        </w:numPr>
        <w:spacing w:before="0" w:after="160" w:line="259" w:lineRule="auto"/>
        <w:ind w:left="1077" w:hanging="357"/>
        <w:rPr>
          <w:sz w:val="22"/>
          <w:szCs w:val="22"/>
        </w:rPr>
      </w:pPr>
      <w:r>
        <w:rPr>
          <w:sz w:val="22"/>
          <w:szCs w:val="22"/>
        </w:rPr>
        <w:t xml:space="preserve">If the research entity is a research representative body, the entity must </w:t>
      </w:r>
      <w:r w:rsidRPr="00D37C67">
        <w:rPr>
          <w:sz w:val="22"/>
          <w:szCs w:val="22"/>
        </w:rPr>
        <w:t>ensure that the</w:t>
      </w:r>
      <w:r>
        <w:rPr>
          <w:sz w:val="22"/>
          <w:szCs w:val="22"/>
        </w:rPr>
        <w:t xml:space="preserve"> required</w:t>
      </w:r>
      <w:r w:rsidRPr="00D37C67">
        <w:rPr>
          <w:sz w:val="22"/>
          <w:szCs w:val="22"/>
        </w:rPr>
        <w:t xml:space="preserve"> arrangements impose</w:t>
      </w:r>
      <w:r>
        <w:rPr>
          <w:sz w:val="22"/>
          <w:szCs w:val="22"/>
        </w:rPr>
        <w:t xml:space="preserve"> an</w:t>
      </w:r>
      <w:r w:rsidRPr="00D37C67">
        <w:rPr>
          <w:sz w:val="22"/>
          <w:szCs w:val="22"/>
        </w:rPr>
        <w:t xml:space="preserve"> obligation on each of its members to</w:t>
      </w:r>
      <w:r>
        <w:rPr>
          <w:sz w:val="22"/>
          <w:szCs w:val="22"/>
        </w:rPr>
        <w:t xml:space="preserve"> the effect that the member must</w:t>
      </w:r>
      <w:r w:rsidRPr="00D37C67">
        <w:rPr>
          <w:sz w:val="22"/>
          <w:szCs w:val="22"/>
        </w:rPr>
        <w:t xml:space="preserve"> comply with </w:t>
      </w:r>
      <w:r>
        <w:rPr>
          <w:sz w:val="22"/>
          <w:szCs w:val="22"/>
        </w:rPr>
        <w:t xml:space="preserve">the condition mentioned </w:t>
      </w:r>
      <w:r>
        <w:rPr>
          <w:sz w:val="22"/>
          <w:szCs w:val="22"/>
        </w:rPr>
        <w:lastRenderedPageBreak/>
        <w:t>immediately above</w:t>
      </w:r>
      <w:r w:rsidRPr="00D37C67">
        <w:rPr>
          <w:sz w:val="22"/>
          <w:szCs w:val="22"/>
        </w:rPr>
        <w:t xml:space="preserve"> as if it were </w:t>
      </w:r>
      <w:r>
        <w:rPr>
          <w:sz w:val="22"/>
          <w:szCs w:val="22"/>
        </w:rPr>
        <w:t>a</w:t>
      </w:r>
      <w:r w:rsidRPr="00D37C67">
        <w:rPr>
          <w:sz w:val="22"/>
          <w:szCs w:val="22"/>
        </w:rPr>
        <w:t xml:space="preserve"> research entity and the duration of the authorisation</w:t>
      </w:r>
      <w:r>
        <w:rPr>
          <w:sz w:val="22"/>
          <w:szCs w:val="22"/>
        </w:rPr>
        <w:t xml:space="preserve"> were the period during which the member has access to the customer data (subsection (6))</w:t>
      </w:r>
      <w:r w:rsidRPr="00D37C67">
        <w:rPr>
          <w:sz w:val="22"/>
          <w:szCs w:val="22"/>
        </w:rPr>
        <w:t>.</w:t>
      </w:r>
      <w:r>
        <w:rPr>
          <w:sz w:val="22"/>
          <w:szCs w:val="22"/>
        </w:rPr>
        <w:t xml:space="preserve">  This is to ensure</w:t>
      </w:r>
      <w:r w:rsidRPr="00171BB0">
        <w:rPr>
          <w:sz w:val="22"/>
          <w:szCs w:val="22"/>
        </w:rPr>
        <w:t xml:space="preserve"> </w:t>
      </w:r>
      <w:r>
        <w:rPr>
          <w:sz w:val="22"/>
          <w:szCs w:val="22"/>
        </w:rPr>
        <w:t>that the</w:t>
      </w:r>
      <w:r w:rsidRPr="004C608C">
        <w:rPr>
          <w:i/>
          <w:sz w:val="22"/>
          <w:szCs w:val="22"/>
        </w:rPr>
        <w:t xml:space="preserve"> Privacy Act 1988</w:t>
      </w:r>
      <w:r>
        <w:rPr>
          <w:sz w:val="22"/>
          <w:szCs w:val="22"/>
        </w:rPr>
        <w:t xml:space="preserve"> applies to the member, for at least the period during which the member has access to the customer data, in relation to the handling of any personal information.</w:t>
      </w:r>
    </w:p>
    <w:p w14:paraId="7E7E2E00" w14:textId="77777777" w:rsidR="00362B2C" w:rsidRDefault="00362B2C" w:rsidP="00362B2C">
      <w:pPr>
        <w:pStyle w:val="ACMABodyText"/>
        <w:numPr>
          <w:ilvl w:val="0"/>
          <w:numId w:val="15"/>
        </w:numPr>
        <w:spacing w:before="0" w:after="40" w:line="259" w:lineRule="auto"/>
        <w:ind w:left="1080" w:hanging="357"/>
        <w:rPr>
          <w:sz w:val="22"/>
          <w:szCs w:val="22"/>
        </w:rPr>
      </w:pPr>
      <w:r w:rsidRPr="00D37C67">
        <w:rPr>
          <w:sz w:val="22"/>
          <w:szCs w:val="22"/>
        </w:rPr>
        <w:t>The research entity</w:t>
      </w:r>
      <w:r>
        <w:rPr>
          <w:sz w:val="22"/>
          <w:szCs w:val="22"/>
        </w:rPr>
        <w:t>:</w:t>
      </w:r>
      <w:r w:rsidRPr="00D37C67">
        <w:rPr>
          <w:sz w:val="22"/>
          <w:szCs w:val="22"/>
        </w:rPr>
        <w:t xml:space="preserve"> </w:t>
      </w:r>
    </w:p>
    <w:p w14:paraId="49B7BCCC" w14:textId="77777777" w:rsidR="00362B2C" w:rsidRDefault="00362B2C" w:rsidP="00362B2C">
      <w:pPr>
        <w:pStyle w:val="ACMABodyText"/>
        <w:numPr>
          <w:ilvl w:val="1"/>
          <w:numId w:val="15"/>
        </w:numPr>
        <w:spacing w:before="0" w:after="40" w:line="259" w:lineRule="auto"/>
        <w:ind w:left="1800" w:hanging="357"/>
        <w:rPr>
          <w:sz w:val="22"/>
          <w:szCs w:val="22"/>
        </w:rPr>
      </w:pPr>
      <w:r w:rsidRPr="00D37C67">
        <w:rPr>
          <w:sz w:val="22"/>
          <w:szCs w:val="22"/>
        </w:rPr>
        <w:t xml:space="preserve">must not </w:t>
      </w:r>
      <w:r>
        <w:rPr>
          <w:sz w:val="22"/>
          <w:szCs w:val="22"/>
        </w:rPr>
        <w:t xml:space="preserve">use the customer data for any purpose other than conducting research of a kind to which the authorisation applies;  </w:t>
      </w:r>
    </w:p>
    <w:p w14:paraId="28D2AF42" w14:textId="77777777" w:rsidR="00362B2C" w:rsidRDefault="00362B2C" w:rsidP="00362B2C">
      <w:pPr>
        <w:pStyle w:val="ACMABodyText"/>
        <w:numPr>
          <w:ilvl w:val="1"/>
          <w:numId w:val="15"/>
        </w:numPr>
        <w:spacing w:before="0" w:after="40" w:line="259" w:lineRule="auto"/>
        <w:ind w:left="1800" w:hanging="357"/>
        <w:rPr>
          <w:sz w:val="22"/>
          <w:szCs w:val="22"/>
        </w:rPr>
      </w:pPr>
      <w:r>
        <w:rPr>
          <w:sz w:val="22"/>
          <w:szCs w:val="22"/>
        </w:rPr>
        <w:t xml:space="preserve">must not </w:t>
      </w:r>
      <w:r w:rsidRPr="00D37C67">
        <w:rPr>
          <w:sz w:val="22"/>
          <w:szCs w:val="22"/>
        </w:rPr>
        <w:t>add any other information to the customer data without the express consent of the person to whom the customer data relates</w:t>
      </w:r>
      <w:r>
        <w:rPr>
          <w:sz w:val="22"/>
          <w:szCs w:val="22"/>
        </w:rPr>
        <w:t>; and</w:t>
      </w:r>
    </w:p>
    <w:p w14:paraId="359A45F4" w14:textId="77777777" w:rsidR="00362B2C" w:rsidRDefault="00362B2C" w:rsidP="00362B2C">
      <w:pPr>
        <w:pStyle w:val="ACMABodyText"/>
        <w:numPr>
          <w:ilvl w:val="1"/>
          <w:numId w:val="15"/>
        </w:numPr>
        <w:spacing w:before="0" w:after="160" w:line="259" w:lineRule="auto"/>
        <w:ind w:left="1797" w:hanging="357"/>
        <w:rPr>
          <w:sz w:val="22"/>
          <w:szCs w:val="22"/>
        </w:rPr>
      </w:pPr>
      <w:r w:rsidRPr="00D37C67">
        <w:rPr>
          <w:sz w:val="22"/>
          <w:szCs w:val="22"/>
        </w:rPr>
        <w:t xml:space="preserve">must </w:t>
      </w:r>
      <w:r>
        <w:rPr>
          <w:sz w:val="22"/>
          <w:szCs w:val="22"/>
        </w:rPr>
        <w:t>make</w:t>
      </w:r>
      <w:r w:rsidRPr="00D37C67">
        <w:rPr>
          <w:sz w:val="22"/>
          <w:szCs w:val="22"/>
        </w:rPr>
        <w:t xml:space="preserve"> the customer data secure so that</w:t>
      </w:r>
      <w:r>
        <w:rPr>
          <w:sz w:val="22"/>
          <w:szCs w:val="22"/>
        </w:rPr>
        <w:t xml:space="preserve"> only its personnel and (if it is a research representative body) its members have access to the customer data</w:t>
      </w:r>
      <w:r w:rsidRPr="00D37C67">
        <w:rPr>
          <w:sz w:val="22"/>
          <w:szCs w:val="22"/>
        </w:rPr>
        <w:t xml:space="preserve"> for the purposes of conducting the research</w:t>
      </w:r>
      <w:r>
        <w:rPr>
          <w:sz w:val="22"/>
          <w:szCs w:val="22"/>
        </w:rPr>
        <w:t xml:space="preserve"> (subsection (7))</w:t>
      </w:r>
      <w:r w:rsidRPr="00D37C67">
        <w:rPr>
          <w:sz w:val="22"/>
          <w:szCs w:val="22"/>
        </w:rPr>
        <w:t xml:space="preserve">. </w:t>
      </w:r>
    </w:p>
    <w:p w14:paraId="7A7A6659" w14:textId="77777777" w:rsidR="00362B2C" w:rsidRDefault="00362B2C" w:rsidP="00362B2C">
      <w:pPr>
        <w:pStyle w:val="ACMABodyText"/>
        <w:numPr>
          <w:ilvl w:val="0"/>
          <w:numId w:val="15"/>
        </w:numPr>
        <w:spacing w:before="0" w:after="40" w:line="259" w:lineRule="auto"/>
        <w:ind w:left="1080" w:hanging="357"/>
        <w:rPr>
          <w:sz w:val="22"/>
          <w:szCs w:val="22"/>
        </w:rPr>
      </w:pPr>
      <w:r w:rsidRPr="00D37C67">
        <w:rPr>
          <w:sz w:val="22"/>
          <w:szCs w:val="22"/>
        </w:rPr>
        <w:t>If the</w:t>
      </w:r>
      <w:r>
        <w:rPr>
          <w:sz w:val="22"/>
          <w:szCs w:val="22"/>
        </w:rPr>
        <w:t xml:space="preserve"> research</w:t>
      </w:r>
      <w:r w:rsidRPr="00D37C67">
        <w:rPr>
          <w:sz w:val="22"/>
          <w:szCs w:val="22"/>
        </w:rPr>
        <w:t xml:space="preserve"> entity is a research representative body, </w:t>
      </w:r>
      <w:r>
        <w:rPr>
          <w:sz w:val="22"/>
          <w:szCs w:val="22"/>
        </w:rPr>
        <w:t>the entity</w:t>
      </w:r>
      <w:r w:rsidRPr="00D37C67">
        <w:rPr>
          <w:sz w:val="22"/>
          <w:szCs w:val="22"/>
        </w:rPr>
        <w:t xml:space="preserve"> must ensure that</w:t>
      </w:r>
      <w:r>
        <w:rPr>
          <w:sz w:val="22"/>
          <w:szCs w:val="22"/>
        </w:rPr>
        <w:t xml:space="preserve"> the required arrangements impose obligations on each of </w:t>
      </w:r>
      <w:r w:rsidRPr="00D37C67">
        <w:rPr>
          <w:sz w:val="22"/>
          <w:szCs w:val="22"/>
        </w:rPr>
        <w:t>its members</w:t>
      </w:r>
      <w:r>
        <w:rPr>
          <w:sz w:val="22"/>
          <w:szCs w:val="22"/>
        </w:rPr>
        <w:t xml:space="preserve"> to the effect that: </w:t>
      </w:r>
    </w:p>
    <w:p w14:paraId="44B553D3" w14:textId="77777777" w:rsidR="00362B2C" w:rsidRDefault="00362B2C" w:rsidP="00362B2C">
      <w:pPr>
        <w:pStyle w:val="ACMABodyText"/>
        <w:numPr>
          <w:ilvl w:val="1"/>
          <w:numId w:val="15"/>
        </w:numPr>
        <w:spacing w:before="0" w:after="40" w:line="259" w:lineRule="auto"/>
        <w:ind w:left="1800" w:hanging="357"/>
        <w:rPr>
          <w:sz w:val="22"/>
          <w:szCs w:val="22"/>
        </w:rPr>
      </w:pPr>
      <w:r>
        <w:rPr>
          <w:sz w:val="22"/>
          <w:szCs w:val="22"/>
        </w:rPr>
        <w:t xml:space="preserve">the member </w:t>
      </w:r>
      <w:r w:rsidRPr="00D37C67">
        <w:rPr>
          <w:sz w:val="22"/>
          <w:szCs w:val="22"/>
        </w:rPr>
        <w:t xml:space="preserve">must not </w:t>
      </w:r>
      <w:r>
        <w:rPr>
          <w:sz w:val="22"/>
          <w:szCs w:val="22"/>
        </w:rPr>
        <w:t xml:space="preserve">use the customer data for any purpose other than conducting research of a kind to which the authorisation applies;  </w:t>
      </w:r>
    </w:p>
    <w:p w14:paraId="7B5DAA47" w14:textId="77777777" w:rsidR="00362B2C" w:rsidRPr="001A7218" w:rsidRDefault="00362B2C" w:rsidP="00362B2C">
      <w:pPr>
        <w:pStyle w:val="ACMABodyText"/>
        <w:numPr>
          <w:ilvl w:val="1"/>
          <w:numId w:val="15"/>
        </w:numPr>
        <w:spacing w:before="0" w:after="40" w:line="259" w:lineRule="auto"/>
        <w:ind w:left="1800" w:hanging="357"/>
        <w:rPr>
          <w:sz w:val="22"/>
          <w:szCs w:val="22"/>
        </w:rPr>
      </w:pPr>
      <w:r>
        <w:rPr>
          <w:sz w:val="22"/>
          <w:szCs w:val="22"/>
        </w:rPr>
        <w:t xml:space="preserve">the member must not </w:t>
      </w:r>
      <w:r w:rsidRPr="00D37C67">
        <w:rPr>
          <w:sz w:val="22"/>
          <w:szCs w:val="22"/>
        </w:rPr>
        <w:t>add any other information to the customer data without the express consent of the person to whom the customer data relates</w:t>
      </w:r>
      <w:r>
        <w:rPr>
          <w:sz w:val="22"/>
          <w:szCs w:val="22"/>
        </w:rPr>
        <w:t>; and</w:t>
      </w:r>
      <w:r w:rsidRPr="001A7218">
        <w:rPr>
          <w:sz w:val="22"/>
          <w:szCs w:val="22"/>
        </w:rPr>
        <w:t xml:space="preserve"> </w:t>
      </w:r>
    </w:p>
    <w:p w14:paraId="535A63D2" w14:textId="77777777" w:rsidR="00362B2C" w:rsidRDefault="00362B2C" w:rsidP="00362B2C">
      <w:pPr>
        <w:pStyle w:val="ACMABodyText"/>
        <w:numPr>
          <w:ilvl w:val="1"/>
          <w:numId w:val="15"/>
        </w:numPr>
        <w:spacing w:before="0" w:after="160" w:line="259" w:lineRule="auto"/>
        <w:ind w:left="1797" w:hanging="357"/>
        <w:rPr>
          <w:sz w:val="22"/>
          <w:szCs w:val="22"/>
        </w:rPr>
      </w:pPr>
      <w:r>
        <w:rPr>
          <w:sz w:val="22"/>
          <w:szCs w:val="22"/>
        </w:rPr>
        <w:t xml:space="preserve">the member </w:t>
      </w:r>
      <w:r w:rsidRPr="00D37C67">
        <w:rPr>
          <w:sz w:val="22"/>
          <w:szCs w:val="22"/>
        </w:rPr>
        <w:t xml:space="preserve">must </w:t>
      </w:r>
      <w:r>
        <w:rPr>
          <w:sz w:val="22"/>
          <w:szCs w:val="22"/>
        </w:rPr>
        <w:t>make</w:t>
      </w:r>
      <w:r w:rsidRPr="00D37C67">
        <w:rPr>
          <w:sz w:val="22"/>
          <w:szCs w:val="22"/>
        </w:rPr>
        <w:t xml:space="preserve"> the customer data secure so that</w:t>
      </w:r>
      <w:r>
        <w:rPr>
          <w:sz w:val="22"/>
          <w:szCs w:val="22"/>
        </w:rPr>
        <w:t xml:space="preserve"> only its personnel have access to the customer data</w:t>
      </w:r>
      <w:r w:rsidRPr="00D37C67">
        <w:rPr>
          <w:sz w:val="22"/>
          <w:szCs w:val="22"/>
        </w:rPr>
        <w:t xml:space="preserve"> for the purposes of conducting the research</w:t>
      </w:r>
      <w:r>
        <w:rPr>
          <w:sz w:val="22"/>
          <w:szCs w:val="22"/>
        </w:rPr>
        <w:t xml:space="preserve"> (subsection (8))</w:t>
      </w:r>
      <w:r w:rsidRPr="00D37C67">
        <w:rPr>
          <w:sz w:val="22"/>
          <w:szCs w:val="22"/>
        </w:rPr>
        <w:t xml:space="preserve">. </w:t>
      </w:r>
    </w:p>
    <w:p w14:paraId="4DB45D35" w14:textId="77777777" w:rsidR="00362B2C" w:rsidRDefault="00362B2C" w:rsidP="00362B2C">
      <w:pPr>
        <w:pStyle w:val="ACMABodyText"/>
        <w:numPr>
          <w:ilvl w:val="0"/>
          <w:numId w:val="15"/>
        </w:numPr>
        <w:spacing w:before="0" w:after="40" w:line="259" w:lineRule="auto"/>
        <w:ind w:left="1080" w:hanging="357"/>
        <w:rPr>
          <w:sz w:val="22"/>
          <w:szCs w:val="22"/>
        </w:rPr>
      </w:pPr>
      <w:r>
        <w:rPr>
          <w:sz w:val="22"/>
          <w:szCs w:val="22"/>
        </w:rPr>
        <w:t>If the re</w:t>
      </w:r>
      <w:r w:rsidRPr="00325302">
        <w:rPr>
          <w:sz w:val="22"/>
          <w:szCs w:val="22"/>
        </w:rPr>
        <w:t>search ent</w:t>
      </w:r>
      <w:r>
        <w:rPr>
          <w:sz w:val="22"/>
          <w:szCs w:val="22"/>
        </w:rPr>
        <w:t>ity contacts a customer, using the customer data, for the purposes of conducting research, the entity must:</w:t>
      </w:r>
    </w:p>
    <w:p w14:paraId="1B68A601" w14:textId="77777777" w:rsidR="00362B2C" w:rsidRDefault="00362B2C" w:rsidP="00362B2C">
      <w:pPr>
        <w:pStyle w:val="ACMABodyText"/>
        <w:numPr>
          <w:ilvl w:val="1"/>
          <w:numId w:val="15"/>
        </w:numPr>
        <w:spacing w:before="0" w:after="40" w:line="259" w:lineRule="auto"/>
        <w:ind w:left="1800" w:hanging="357"/>
        <w:rPr>
          <w:sz w:val="22"/>
          <w:szCs w:val="22"/>
        </w:rPr>
      </w:pPr>
      <w:r w:rsidRPr="00325302">
        <w:rPr>
          <w:sz w:val="22"/>
          <w:szCs w:val="22"/>
        </w:rPr>
        <w:t>tell</w:t>
      </w:r>
      <w:r>
        <w:rPr>
          <w:sz w:val="22"/>
          <w:szCs w:val="22"/>
        </w:rPr>
        <w:t xml:space="preserve"> the</w:t>
      </w:r>
      <w:r w:rsidRPr="00325302">
        <w:rPr>
          <w:sz w:val="22"/>
          <w:szCs w:val="22"/>
        </w:rPr>
        <w:t xml:space="preserve"> customer the name </w:t>
      </w:r>
      <w:r>
        <w:rPr>
          <w:sz w:val="22"/>
          <w:szCs w:val="22"/>
        </w:rPr>
        <w:t>of the person or organisation conducting the research</w:t>
      </w:r>
      <w:r w:rsidRPr="00325302">
        <w:rPr>
          <w:sz w:val="22"/>
          <w:szCs w:val="22"/>
        </w:rPr>
        <w:t>, the purpose</w:t>
      </w:r>
      <w:r>
        <w:rPr>
          <w:sz w:val="22"/>
          <w:szCs w:val="22"/>
        </w:rPr>
        <w:t xml:space="preserve"> of the research, that the person or organisation has collected the customer data relating to the customer, how the person or organisation proposes to use the customer data and any other information relating to the customer in the research; </w:t>
      </w:r>
    </w:p>
    <w:p w14:paraId="18B52F7C" w14:textId="77777777" w:rsidR="00362B2C" w:rsidRDefault="00362B2C" w:rsidP="00362B2C">
      <w:pPr>
        <w:pStyle w:val="ACMABodyText"/>
        <w:numPr>
          <w:ilvl w:val="1"/>
          <w:numId w:val="15"/>
        </w:numPr>
        <w:spacing w:before="0" w:after="40" w:line="259" w:lineRule="auto"/>
        <w:ind w:left="1800" w:hanging="357"/>
        <w:rPr>
          <w:sz w:val="22"/>
          <w:szCs w:val="22"/>
        </w:rPr>
      </w:pPr>
      <w:r>
        <w:rPr>
          <w:sz w:val="22"/>
          <w:szCs w:val="22"/>
        </w:rPr>
        <w:t xml:space="preserve">tell the customer, if requested, the contact details of the person or organisation conducting the research, the circumstances of the collection of the customer data and how the customer can access personal information about the customer held by the person or organisation; </w:t>
      </w:r>
    </w:p>
    <w:p w14:paraId="79EB6795" w14:textId="77777777" w:rsidR="00362B2C" w:rsidRDefault="00362B2C" w:rsidP="00362B2C">
      <w:pPr>
        <w:pStyle w:val="ACMABodyText"/>
        <w:numPr>
          <w:ilvl w:val="1"/>
          <w:numId w:val="15"/>
        </w:numPr>
        <w:spacing w:before="0" w:after="40" w:line="259" w:lineRule="auto"/>
        <w:ind w:left="1797" w:hanging="357"/>
        <w:rPr>
          <w:sz w:val="22"/>
          <w:szCs w:val="22"/>
        </w:rPr>
      </w:pPr>
      <w:r w:rsidRPr="003F0434">
        <w:rPr>
          <w:sz w:val="22"/>
          <w:szCs w:val="22"/>
        </w:rPr>
        <w:lastRenderedPageBreak/>
        <w:t xml:space="preserve">ask the customer for consent to use the customer data and any other information </w:t>
      </w:r>
      <w:r>
        <w:rPr>
          <w:sz w:val="22"/>
          <w:szCs w:val="22"/>
        </w:rPr>
        <w:t xml:space="preserve">relating to the customer </w:t>
      </w:r>
      <w:r w:rsidRPr="003F0434">
        <w:rPr>
          <w:sz w:val="22"/>
          <w:szCs w:val="22"/>
        </w:rPr>
        <w:t>in the research and to have the customer’s details identified in the research</w:t>
      </w:r>
      <w:r>
        <w:rPr>
          <w:sz w:val="22"/>
          <w:szCs w:val="22"/>
        </w:rPr>
        <w:t>, and tell the customer</w:t>
      </w:r>
      <w:r w:rsidRPr="003F0434">
        <w:rPr>
          <w:sz w:val="22"/>
          <w:szCs w:val="22"/>
        </w:rPr>
        <w:t xml:space="preserve"> that </w:t>
      </w:r>
      <w:r>
        <w:rPr>
          <w:sz w:val="22"/>
          <w:szCs w:val="22"/>
        </w:rPr>
        <w:t>any consent given may be withdrawn</w:t>
      </w:r>
      <w:r w:rsidRPr="003F0434">
        <w:rPr>
          <w:sz w:val="22"/>
          <w:szCs w:val="22"/>
        </w:rPr>
        <w:t xml:space="preserve"> at any time</w:t>
      </w:r>
      <w:r>
        <w:rPr>
          <w:sz w:val="22"/>
          <w:szCs w:val="22"/>
        </w:rPr>
        <w:t>;</w:t>
      </w:r>
      <w:r w:rsidRPr="003F0434">
        <w:rPr>
          <w:sz w:val="22"/>
          <w:szCs w:val="22"/>
        </w:rPr>
        <w:t xml:space="preserve"> </w:t>
      </w:r>
    </w:p>
    <w:p w14:paraId="56F1C087" w14:textId="77777777" w:rsidR="00362B2C" w:rsidRDefault="00362B2C" w:rsidP="00362B2C">
      <w:pPr>
        <w:pStyle w:val="ACMABodyText"/>
        <w:numPr>
          <w:ilvl w:val="1"/>
          <w:numId w:val="15"/>
        </w:numPr>
        <w:spacing w:before="0" w:after="40" w:line="259" w:lineRule="auto"/>
        <w:ind w:left="1797"/>
        <w:rPr>
          <w:sz w:val="22"/>
          <w:szCs w:val="22"/>
        </w:rPr>
      </w:pPr>
      <w:r>
        <w:rPr>
          <w:sz w:val="22"/>
          <w:szCs w:val="22"/>
        </w:rPr>
        <w:t xml:space="preserve">give the customer any other information that is required by law (for example, under the </w:t>
      </w:r>
      <w:r w:rsidRPr="009255DA">
        <w:rPr>
          <w:i/>
          <w:sz w:val="22"/>
          <w:szCs w:val="22"/>
        </w:rPr>
        <w:t>Privacy Act 1988</w:t>
      </w:r>
      <w:r>
        <w:rPr>
          <w:sz w:val="22"/>
          <w:szCs w:val="22"/>
        </w:rPr>
        <w:t xml:space="preserve">); and </w:t>
      </w:r>
    </w:p>
    <w:p w14:paraId="1373EF8F" w14:textId="77777777" w:rsidR="00362B2C" w:rsidRDefault="00362B2C" w:rsidP="00362B2C">
      <w:pPr>
        <w:pStyle w:val="ACMABodyText"/>
        <w:numPr>
          <w:ilvl w:val="1"/>
          <w:numId w:val="15"/>
        </w:numPr>
        <w:spacing w:before="0" w:after="160" w:line="259" w:lineRule="auto"/>
        <w:ind w:left="1792" w:hanging="357"/>
        <w:rPr>
          <w:sz w:val="22"/>
          <w:szCs w:val="22"/>
        </w:rPr>
      </w:pPr>
      <w:r>
        <w:rPr>
          <w:sz w:val="22"/>
          <w:szCs w:val="22"/>
        </w:rPr>
        <w:t xml:space="preserve">comply with all applicable laws relating to unsolicited contact with another person (for example, the </w:t>
      </w:r>
      <w:r w:rsidRPr="004C608C">
        <w:rPr>
          <w:i/>
          <w:sz w:val="22"/>
          <w:szCs w:val="22"/>
        </w:rPr>
        <w:t>Privacy Act 1988</w:t>
      </w:r>
      <w:r w:rsidRPr="009255DA">
        <w:t>, the</w:t>
      </w:r>
      <w:r>
        <w:rPr>
          <w:i/>
          <w:sz w:val="22"/>
          <w:szCs w:val="22"/>
        </w:rPr>
        <w:t xml:space="preserve"> Spam Act 2003 </w:t>
      </w:r>
      <w:r w:rsidRPr="009255DA">
        <w:t>and the</w:t>
      </w:r>
      <w:r>
        <w:rPr>
          <w:i/>
          <w:sz w:val="22"/>
          <w:szCs w:val="22"/>
        </w:rPr>
        <w:t xml:space="preserve"> Do Not Call Register Act 2006</w:t>
      </w:r>
      <w:r w:rsidRPr="009255DA">
        <w:t>)</w:t>
      </w:r>
      <w:r>
        <w:t xml:space="preserve"> (subsection (9))</w:t>
      </w:r>
      <w:r w:rsidRPr="009255DA">
        <w:rPr>
          <w:i/>
        </w:rPr>
        <w:t>.</w:t>
      </w:r>
    </w:p>
    <w:p w14:paraId="61BA05BB" w14:textId="77777777" w:rsidR="00362B2C" w:rsidRDefault="00362B2C" w:rsidP="00362B2C">
      <w:pPr>
        <w:pStyle w:val="ACMABodyText"/>
        <w:numPr>
          <w:ilvl w:val="0"/>
          <w:numId w:val="15"/>
        </w:numPr>
        <w:spacing w:before="0" w:after="40" w:line="259" w:lineRule="auto"/>
        <w:ind w:left="1080" w:hanging="357"/>
        <w:rPr>
          <w:sz w:val="22"/>
          <w:szCs w:val="22"/>
        </w:rPr>
      </w:pPr>
      <w:r>
        <w:rPr>
          <w:sz w:val="22"/>
          <w:szCs w:val="22"/>
        </w:rPr>
        <w:t xml:space="preserve">If the research entity is a research representative body, the entity must </w:t>
      </w:r>
      <w:r w:rsidRPr="00D37C67">
        <w:rPr>
          <w:sz w:val="22"/>
          <w:szCs w:val="22"/>
        </w:rPr>
        <w:t>ensure that the</w:t>
      </w:r>
      <w:r>
        <w:rPr>
          <w:sz w:val="22"/>
          <w:szCs w:val="22"/>
        </w:rPr>
        <w:t xml:space="preserve"> required</w:t>
      </w:r>
      <w:r w:rsidRPr="00D37C67">
        <w:rPr>
          <w:sz w:val="22"/>
          <w:szCs w:val="22"/>
        </w:rPr>
        <w:t xml:space="preserve"> arrangements impose obligation</w:t>
      </w:r>
      <w:r>
        <w:rPr>
          <w:sz w:val="22"/>
          <w:szCs w:val="22"/>
        </w:rPr>
        <w:t>s</w:t>
      </w:r>
      <w:r w:rsidRPr="00D37C67">
        <w:rPr>
          <w:sz w:val="22"/>
          <w:szCs w:val="22"/>
        </w:rPr>
        <w:t xml:space="preserve"> on each of its members to</w:t>
      </w:r>
      <w:r>
        <w:rPr>
          <w:sz w:val="22"/>
          <w:szCs w:val="22"/>
        </w:rPr>
        <w:t xml:space="preserve"> the effect that: </w:t>
      </w:r>
    </w:p>
    <w:p w14:paraId="387ACD65" w14:textId="77777777" w:rsidR="00362B2C" w:rsidRDefault="00362B2C" w:rsidP="00362B2C">
      <w:pPr>
        <w:pStyle w:val="ACMABodyText"/>
        <w:numPr>
          <w:ilvl w:val="1"/>
          <w:numId w:val="15"/>
        </w:numPr>
        <w:spacing w:before="0" w:after="40" w:line="259" w:lineRule="auto"/>
        <w:ind w:left="1800" w:hanging="357"/>
        <w:rPr>
          <w:sz w:val="22"/>
          <w:szCs w:val="22"/>
        </w:rPr>
      </w:pPr>
      <w:r w:rsidRPr="007613FC">
        <w:rPr>
          <w:sz w:val="22"/>
          <w:szCs w:val="22"/>
        </w:rPr>
        <w:t xml:space="preserve">the </w:t>
      </w:r>
      <w:r w:rsidRPr="00BE6D0B">
        <w:rPr>
          <w:sz w:val="22"/>
          <w:szCs w:val="22"/>
        </w:rPr>
        <w:t xml:space="preserve">member is only permitted to use </w:t>
      </w:r>
      <w:r w:rsidRPr="0098741D">
        <w:rPr>
          <w:sz w:val="22"/>
          <w:szCs w:val="22"/>
        </w:rPr>
        <w:t>the public number of a customer or a customer’s business</w:t>
      </w:r>
      <w:r>
        <w:rPr>
          <w:sz w:val="22"/>
          <w:szCs w:val="22"/>
        </w:rPr>
        <w:t>, and the postcode</w:t>
      </w:r>
      <w:r w:rsidRPr="0098741D">
        <w:rPr>
          <w:sz w:val="22"/>
          <w:szCs w:val="22"/>
        </w:rPr>
        <w:t xml:space="preserve"> and </w:t>
      </w:r>
      <w:r>
        <w:rPr>
          <w:sz w:val="22"/>
          <w:szCs w:val="22"/>
        </w:rPr>
        <w:t xml:space="preserve">the </w:t>
      </w:r>
      <w:r w:rsidRPr="0098741D">
        <w:rPr>
          <w:sz w:val="22"/>
          <w:szCs w:val="22"/>
        </w:rPr>
        <w:t xml:space="preserve">State or Territory included in the directory address of the customer or </w:t>
      </w:r>
      <w:r w:rsidRPr="00EB176A">
        <w:rPr>
          <w:sz w:val="22"/>
          <w:szCs w:val="22"/>
        </w:rPr>
        <w:t>business</w:t>
      </w:r>
      <w:r>
        <w:rPr>
          <w:sz w:val="22"/>
          <w:szCs w:val="22"/>
        </w:rPr>
        <w:t>, to contact the customer for the purposes of conducting the research;</w:t>
      </w:r>
      <w:r w:rsidRPr="00EB176A">
        <w:rPr>
          <w:sz w:val="22"/>
          <w:szCs w:val="22"/>
        </w:rPr>
        <w:t xml:space="preserve"> and </w:t>
      </w:r>
    </w:p>
    <w:p w14:paraId="5A267C33" w14:textId="77777777" w:rsidR="00362B2C" w:rsidRDefault="00362B2C" w:rsidP="00362B2C">
      <w:pPr>
        <w:pStyle w:val="ACMABodyText"/>
        <w:numPr>
          <w:ilvl w:val="1"/>
          <w:numId w:val="15"/>
        </w:numPr>
        <w:spacing w:before="0" w:after="160" w:line="259" w:lineRule="auto"/>
        <w:ind w:left="1797" w:hanging="357"/>
        <w:rPr>
          <w:sz w:val="22"/>
          <w:szCs w:val="22"/>
        </w:rPr>
      </w:pPr>
      <w:r w:rsidRPr="00F267F6">
        <w:rPr>
          <w:sz w:val="22"/>
          <w:szCs w:val="22"/>
        </w:rPr>
        <w:t>the member must, when contacting a customer, using such da</w:t>
      </w:r>
      <w:r w:rsidRPr="00D73776">
        <w:rPr>
          <w:sz w:val="22"/>
          <w:szCs w:val="22"/>
        </w:rPr>
        <w:t xml:space="preserve">ta, for such purposes, comply with the condition mentioned immediately above as if it were </w:t>
      </w:r>
      <w:r>
        <w:rPr>
          <w:sz w:val="22"/>
          <w:szCs w:val="22"/>
        </w:rPr>
        <w:t>a</w:t>
      </w:r>
      <w:r w:rsidRPr="00D73776">
        <w:rPr>
          <w:sz w:val="22"/>
          <w:szCs w:val="22"/>
        </w:rPr>
        <w:t xml:space="preserve"> research entity</w:t>
      </w:r>
      <w:r>
        <w:rPr>
          <w:sz w:val="22"/>
          <w:szCs w:val="22"/>
        </w:rPr>
        <w:t xml:space="preserve"> (subsection (10))</w:t>
      </w:r>
      <w:r w:rsidRPr="00D73776">
        <w:rPr>
          <w:sz w:val="22"/>
          <w:szCs w:val="22"/>
        </w:rPr>
        <w:t>.</w:t>
      </w:r>
    </w:p>
    <w:p w14:paraId="11778892" w14:textId="77777777" w:rsidR="00362B2C" w:rsidRPr="00BE11C8" w:rsidRDefault="00362B2C" w:rsidP="00362B2C">
      <w:pPr>
        <w:pStyle w:val="ACMABodyText"/>
        <w:numPr>
          <w:ilvl w:val="0"/>
          <w:numId w:val="15"/>
        </w:numPr>
        <w:spacing w:before="0" w:after="160" w:line="259" w:lineRule="auto"/>
        <w:ind w:left="1077" w:hanging="357"/>
        <w:rPr>
          <w:sz w:val="22"/>
          <w:szCs w:val="22"/>
        </w:rPr>
      </w:pPr>
      <w:r>
        <w:rPr>
          <w:sz w:val="22"/>
          <w:szCs w:val="22"/>
          <w:lang w:val="en-US"/>
        </w:rPr>
        <w:t>If a customer informs the research entity that the customer wants the customer’s listed number to become an unlisted number, the entity</w:t>
      </w:r>
      <w:r w:rsidRPr="00BE11C8">
        <w:rPr>
          <w:sz w:val="22"/>
          <w:szCs w:val="22"/>
          <w:lang w:val="en-US"/>
        </w:rPr>
        <w:t xml:space="preserve"> </w:t>
      </w:r>
      <w:r>
        <w:rPr>
          <w:sz w:val="22"/>
          <w:szCs w:val="22"/>
          <w:lang w:val="en-US"/>
        </w:rPr>
        <w:t>must</w:t>
      </w:r>
      <w:r w:rsidRPr="00BE11C8">
        <w:rPr>
          <w:sz w:val="22"/>
          <w:szCs w:val="22"/>
          <w:lang w:val="en-US"/>
        </w:rPr>
        <w:t xml:space="preserve"> advise </w:t>
      </w:r>
      <w:r>
        <w:rPr>
          <w:sz w:val="22"/>
          <w:szCs w:val="22"/>
          <w:lang w:val="en-US"/>
        </w:rPr>
        <w:t>the</w:t>
      </w:r>
      <w:r w:rsidRPr="00BE11C8">
        <w:rPr>
          <w:sz w:val="22"/>
          <w:szCs w:val="22"/>
          <w:lang w:val="en-US"/>
        </w:rPr>
        <w:t xml:space="preserve"> customer to contact the customer’s carriage service provider</w:t>
      </w:r>
      <w:r>
        <w:rPr>
          <w:sz w:val="22"/>
          <w:szCs w:val="22"/>
          <w:lang w:val="en-US"/>
        </w:rPr>
        <w:t xml:space="preserve"> (subsection (11)).</w:t>
      </w:r>
      <w:r w:rsidRPr="00BE11C8">
        <w:rPr>
          <w:sz w:val="22"/>
          <w:szCs w:val="22"/>
          <w:lang w:val="en-US"/>
        </w:rPr>
        <w:t xml:space="preserve">  This </w:t>
      </w:r>
      <w:proofErr w:type="spellStart"/>
      <w:r w:rsidRPr="00BE11C8">
        <w:rPr>
          <w:sz w:val="22"/>
          <w:szCs w:val="22"/>
          <w:lang w:val="en-US"/>
        </w:rPr>
        <w:t>recognises</w:t>
      </w:r>
      <w:proofErr w:type="spellEnd"/>
      <w:r w:rsidRPr="00BE11C8">
        <w:rPr>
          <w:sz w:val="22"/>
          <w:szCs w:val="22"/>
          <w:lang w:val="en-US"/>
        </w:rPr>
        <w:t xml:space="preserve"> that it is the obligation of the carriage service provider, under Part 4 of Schedule 2 to the Act, to give the IPND Manager information for the IPND in relation to their customers. </w:t>
      </w:r>
    </w:p>
    <w:p w14:paraId="31BF0CED" w14:textId="77777777" w:rsidR="00362B2C" w:rsidRDefault="00362B2C" w:rsidP="00362B2C">
      <w:pPr>
        <w:pStyle w:val="ACMABodyText"/>
        <w:numPr>
          <w:ilvl w:val="0"/>
          <w:numId w:val="15"/>
        </w:numPr>
        <w:spacing w:before="0" w:after="160" w:line="259" w:lineRule="auto"/>
        <w:ind w:left="1077" w:hanging="357"/>
        <w:rPr>
          <w:sz w:val="22"/>
          <w:szCs w:val="22"/>
        </w:rPr>
      </w:pPr>
      <w:r>
        <w:rPr>
          <w:sz w:val="22"/>
          <w:szCs w:val="22"/>
        </w:rPr>
        <w:t xml:space="preserve">If the research entity is a research representative body, the entity must </w:t>
      </w:r>
      <w:r w:rsidRPr="00D37C67">
        <w:rPr>
          <w:sz w:val="22"/>
          <w:szCs w:val="22"/>
        </w:rPr>
        <w:t>ensure that the</w:t>
      </w:r>
      <w:r>
        <w:rPr>
          <w:sz w:val="22"/>
          <w:szCs w:val="22"/>
        </w:rPr>
        <w:t xml:space="preserve"> required</w:t>
      </w:r>
      <w:r w:rsidRPr="00D37C67">
        <w:rPr>
          <w:sz w:val="22"/>
          <w:szCs w:val="22"/>
        </w:rPr>
        <w:t xml:space="preserve"> arrangements impose</w:t>
      </w:r>
      <w:r>
        <w:rPr>
          <w:sz w:val="22"/>
          <w:szCs w:val="22"/>
        </w:rPr>
        <w:t xml:space="preserve"> an</w:t>
      </w:r>
      <w:r w:rsidRPr="00D37C67">
        <w:rPr>
          <w:sz w:val="22"/>
          <w:szCs w:val="22"/>
        </w:rPr>
        <w:t xml:space="preserve"> obligation on each of its members to</w:t>
      </w:r>
      <w:r>
        <w:rPr>
          <w:sz w:val="22"/>
          <w:szCs w:val="22"/>
        </w:rPr>
        <w:t xml:space="preserve"> the effect that, if a customer informs the member that the customer wants a listed number to become an unlisted number, the member must</w:t>
      </w:r>
      <w:r w:rsidRPr="00D37C67">
        <w:rPr>
          <w:sz w:val="22"/>
          <w:szCs w:val="22"/>
        </w:rPr>
        <w:t xml:space="preserve"> comply with </w:t>
      </w:r>
      <w:r>
        <w:rPr>
          <w:sz w:val="22"/>
          <w:szCs w:val="22"/>
        </w:rPr>
        <w:t>the condition mentioned immediately above as if it were a</w:t>
      </w:r>
      <w:r w:rsidRPr="00D37C67">
        <w:rPr>
          <w:sz w:val="22"/>
          <w:szCs w:val="22"/>
        </w:rPr>
        <w:t xml:space="preserve"> research entity</w:t>
      </w:r>
      <w:r>
        <w:rPr>
          <w:sz w:val="22"/>
          <w:szCs w:val="22"/>
        </w:rPr>
        <w:t xml:space="preserve"> (paragraph (13)(a)).</w:t>
      </w:r>
    </w:p>
    <w:p w14:paraId="095FA94E" w14:textId="77777777" w:rsidR="00362B2C" w:rsidRPr="00BE11C8" w:rsidRDefault="00362B2C" w:rsidP="00362B2C">
      <w:pPr>
        <w:pStyle w:val="ACMABodyText"/>
        <w:numPr>
          <w:ilvl w:val="0"/>
          <w:numId w:val="15"/>
        </w:numPr>
        <w:spacing w:before="0" w:after="40" w:line="259" w:lineRule="auto"/>
        <w:ind w:left="1077" w:hanging="357"/>
        <w:rPr>
          <w:sz w:val="22"/>
          <w:szCs w:val="22"/>
        </w:rPr>
      </w:pPr>
      <w:r>
        <w:rPr>
          <w:sz w:val="22"/>
          <w:szCs w:val="22"/>
          <w:lang w:val="en-US"/>
        </w:rPr>
        <w:t>If</w:t>
      </w:r>
      <w:r w:rsidRPr="00BE11C8">
        <w:rPr>
          <w:sz w:val="22"/>
          <w:szCs w:val="22"/>
          <w:lang w:val="en-US"/>
        </w:rPr>
        <w:t xml:space="preserve"> the IPND Manager </w:t>
      </w:r>
      <w:r>
        <w:rPr>
          <w:sz w:val="22"/>
          <w:szCs w:val="22"/>
          <w:lang w:val="en-US"/>
        </w:rPr>
        <w:t>notifies the research entity</w:t>
      </w:r>
      <w:r w:rsidRPr="00BE11C8">
        <w:rPr>
          <w:sz w:val="22"/>
          <w:szCs w:val="22"/>
          <w:lang w:val="en-US"/>
        </w:rPr>
        <w:t xml:space="preserve"> that a listed number has become </w:t>
      </w:r>
      <w:r>
        <w:rPr>
          <w:sz w:val="22"/>
          <w:szCs w:val="22"/>
          <w:lang w:val="en-US"/>
        </w:rPr>
        <w:t xml:space="preserve">an </w:t>
      </w:r>
      <w:r w:rsidRPr="00BE11C8">
        <w:rPr>
          <w:sz w:val="22"/>
          <w:szCs w:val="22"/>
          <w:lang w:val="en-US"/>
        </w:rPr>
        <w:t>unlisted</w:t>
      </w:r>
      <w:r>
        <w:rPr>
          <w:sz w:val="22"/>
          <w:szCs w:val="22"/>
          <w:lang w:val="en-US"/>
        </w:rPr>
        <w:t xml:space="preserve"> number</w:t>
      </w:r>
      <w:r w:rsidRPr="00BE11C8">
        <w:rPr>
          <w:sz w:val="22"/>
          <w:szCs w:val="22"/>
          <w:lang w:val="en-US"/>
        </w:rPr>
        <w:t xml:space="preserve"> in the IPND:</w:t>
      </w:r>
    </w:p>
    <w:p w14:paraId="35EEDA92" w14:textId="77777777" w:rsidR="00362B2C" w:rsidRPr="00BE11C8" w:rsidRDefault="00362B2C" w:rsidP="00362B2C">
      <w:pPr>
        <w:pStyle w:val="ACMABodyText"/>
        <w:numPr>
          <w:ilvl w:val="1"/>
          <w:numId w:val="15"/>
        </w:numPr>
        <w:spacing w:before="0" w:after="40" w:line="259" w:lineRule="auto"/>
        <w:ind w:left="1800"/>
        <w:rPr>
          <w:sz w:val="22"/>
          <w:szCs w:val="22"/>
        </w:rPr>
      </w:pPr>
      <w:r>
        <w:rPr>
          <w:sz w:val="22"/>
          <w:szCs w:val="22"/>
          <w:lang w:val="en-US"/>
        </w:rPr>
        <w:t xml:space="preserve">the entity </w:t>
      </w:r>
      <w:r w:rsidRPr="00BE11C8">
        <w:rPr>
          <w:sz w:val="22"/>
          <w:szCs w:val="22"/>
          <w:lang w:val="en-US"/>
        </w:rPr>
        <w:t>must not</w:t>
      </w:r>
      <w:r>
        <w:rPr>
          <w:sz w:val="22"/>
          <w:szCs w:val="22"/>
          <w:lang w:val="en-US"/>
        </w:rPr>
        <w:t>, after being notified,</w:t>
      </w:r>
      <w:r w:rsidRPr="00BE11C8">
        <w:rPr>
          <w:sz w:val="22"/>
          <w:szCs w:val="22"/>
          <w:lang w:val="en-US"/>
        </w:rPr>
        <w:t xml:space="preserve"> </w:t>
      </w:r>
      <w:r>
        <w:rPr>
          <w:sz w:val="22"/>
          <w:szCs w:val="22"/>
          <w:lang w:val="en-US"/>
        </w:rPr>
        <w:t>use any of the customer data to contact the customer who has the number</w:t>
      </w:r>
      <w:r w:rsidRPr="00BE11C8">
        <w:rPr>
          <w:sz w:val="22"/>
          <w:szCs w:val="22"/>
          <w:lang w:val="en-US"/>
        </w:rPr>
        <w:t xml:space="preserve">; </w:t>
      </w:r>
    </w:p>
    <w:p w14:paraId="2743E696" w14:textId="77777777" w:rsidR="00362B2C" w:rsidRPr="009255DA" w:rsidRDefault="00362B2C" w:rsidP="00362B2C">
      <w:pPr>
        <w:pStyle w:val="ACMABodyText"/>
        <w:numPr>
          <w:ilvl w:val="1"/>
          <w:numId w:val="15"/>
        </w:numPr>
        <w:spacing w:before="0" w:after="40" w:line="259" w:lineRule="auto"/>
        <w:ind w:left="1800"/>
        <w:rPr>
          <w:sz w:val="22"/>
          <w:szCs w:val="22"/>
        </w:rPr>
      </w:pPr>
      <w:r>
        <w:rPr>
          <w:sz w:val="22"/>
          <w:szCs w:val="22"/>
          <w:lang w:val="en-US"/>
        </w:rPr>
        <w:lastRenderedPageBreak/>
        <w:t xml:space="preserve">the entity must, </w:t>
      </w:r>
      <w:r w:rsidRPr="00BE11C8">
        <w:rPr>
          <w:sz w:val="22"/>
          <w:szCs w:val="22"/>
          <w:lang w:val="en-US"/>
        </w:rPr>
        <w:t>within 10 business days</w:t>
      </w:r>
      <w:r>
        <w:rPr>
          <w:sz w:val="22"/>
          <w:szCs w:val="22"/>
          <w:lang w:val="en-US"/>
        </w:rPr>
        <w:t xml:space="preserve"> after being notified</w:t>
      </w:r>
      <w:r w:rsidRPr="00BE11C8">
        <w:rPr>
          <w:sz w:val="22"/>
          <w:szCs w:val="22"/>
          <w:lang w:val="en-US"/>
        </w:rPr>
        <w:t>, destroy</w:t>
      </w:r>
      <w:r>
        <w:rPr>
          <w:sz w:val="22"/>
          <w:szCs w:val="22"/>
          <w:lang w:val="en-US"/>
        </w:rPr>
        <w:t xml:space="preserve"> securely</w:t>
      </w:r>
      <w:r w:rsidRPr="00BE11C8">
        <w:rPr>
          <w:sz w:val="22"/>
          <w:szCs w:val="22"/>
          <w:lang w:val="en-US"/>
        </w:rPr>
        <w:t xml:space="preserve"> </w:t>
      </w:r>
      <w:r>
        <w:rPr>
          <w:sz w:val="22"/>
          <w:szCs w:val="22"/>
          <w:lang w:val="en-US"/>
        </w:rPr>
        <w:t>any customer data or document that it holds that is able to be identified as being associated with that unlisted number;</w:t>
      </w:r>
    </w:p>
    <w:p w14:paraId="72F1D045" w14:textId="77777777" w:rsidR="00362B2C" w:rsidRPr="007E553B" w:rsidRDefault="00362B2C" w:rsidP="00362B2C">
      <w:pPr>
        <w:pStyle w:val="ACMABodyText"/>
        <w:numPr>
          <w:ilvl w:val="1"/>
          <w:numId w:val="15"/>
        </w:numPr>
        <w:spacing w:before="0" w:after="160" w:line="259" w:lineRule="auto"/>
        <w:ind w:left="1797" w:hanging="357"/>
        <w:rPr>
          <w:sz w:val="22"/>
          <w:szCs w:val="22"/>
        </w:rPr>
      </w:pPr>
      <w:r>
        <w:rPr>
          <w:sz w:val="22"/>
          <w:szCs w:val="22"/>
        </w:rPr>
        <w:t xml:space="preserve">if the entity is a research representative body – </w:t>
      </w:r>
      <w:r w:rsidRPr="007E553B">
        <w:rPr>
          <w:sz w:val="22"/>
          <w:szCs w:val="22"/>
        </w:rPr>
        <w:t>the entity must notify each of its members who have access to the customer data relating to the customer that the listed number has become an unlisted number in the IPND as soon as practicable</w:t>
      </w:r>
      <w:r>
        <w:rPr>
          <w:sz w:val="22"/>
          <w:szCs w:val="22"/>
        </w:rPr>
        <w:t xml:space="preserve"> (subsection (12))</w:t>
      </w:r>
      <w:r w:rsidRPr="007E553B">
        <w:rPr>
          <w:sz w:val="22"/>
          <w:szCs w:val="22"/>
        </w:rPr>
        <w:t>.</w:t>
      </w:r>
    </w:p>
    <w:p w14:paraId="41CFE7B8" w14:textId="77777777" w:rsidR="00362B2C" w:rsidRDefault="00362B2C" w:rsidP="00362B2C">
      <w:pPr>
        <w:pStyle w:val="ACMABodyText"/>
        <w:numPr>
          <w:ilvl w:val="0"/>
          <w:numId w:val="15"/>
        </w:numPr>
        <w:spacing w:before="0" w:after="40" w:line="259" w:lineRule="auto"/>
        <w:ind w:left="1077" w:hanging="357"/>
        <w:rPr>
          <w:sz w:val="22"/>
          <w:szCs w:val="22"/>
        </w:rPr>
      </w:pPr>
      <w:r>
        <w:rPr>
          <w:sz w:val="22"/>
          <w:szCs w:val="22"/>
        </w:rPr>
        <w:t xml:space="preserve">If the research entity is a research representative body, the entity must </w:t>
      </w:r>
      <w:r w:rsidRPr="00D37C67">
        <w:rPr>
          <w:sz w:val="22"/>
          <w:szCs w:val="22"/>
        </w:rPr>
        <w:t>ensure that the</w:t>
      </w:r>
      <w:r>
        <w:rPr>
          <w:sz w:val="22"/>
          <w:szCs w:val="22"/>
        </w:rPr>
        <w:t xml:space="preserve"> required</w:t>
      </w:r>
      <w:r w:rsidRPr="00D37C67">
        <w:rPr>
          <w:sz w:val="22"/>
          <w:szCs w:val="22"/>
        </w:rPr>
        <w:t xml:space="preserve"> arrangements impose obligation</w:t>
      </w:r>
      <w:r>
        <w:rPr>
          <w:sz w:val="22"/>
          <w:szCs w:val="22"/>
        </w:rPr>
        <w:t>s</w:t>
      </w:r>
      <w:r w:rsidRPr="00D37C67">
        <w:rPr>
          <w:sz w:val="22"/>
          <w:szCs w:val="22"/>
        </w:rPr>
        <w:t xml:space="preserve"> on each of its members to</w:t>
      </w:r>
      <w:r>
        <w:rPr>
          <w:sz w:val="22"/>
          <w:szCs w:val="22"/>
        </w:rPr>
        <w:t xml:space="preserve"> the effect that, if the member is notified by the entity that a listed number has become an unlisted number in the IPND:</w:t>
      </w:r>
    </w:p>
    <w:p w14:paraId="5FF95309" w14:textId="77777777" w:rsidR="00362B2C" w:rsidRPr="00BE11C8" w:rsidRDefault="00362B2C" w:rsidP="00362B2C">
      <w:pPr>
        <w:pStyle w:val="ACMABodyText"/>
        <w:numPr>
          <w:ilvl w:val="1"/>
          <w:numId w:val="15"/>
        </w:numPr>
        <w:spacing w:before="0" w:after="40" w:line="259" w:lineRule="auto"/>
        <w:ind w:left="1800"/>
        <w:rPr>
          <w:sz w:val="22"/>
          <w:szCs w:val="22"/>
        </w:rPr>
      </w:pPr>
      <w:r>
        <w:rPr>
          <w:sz w:val="22"/>
          <w:szCs w:val="22"/>
          <w:lang w:val="en-US"/>
        </w:rPr>
        <w:t xml:space="preserve">the member </w:t>
      </w:r>
      <w:r w:rsidRPr="00BE11C8">
        <w:rPr>
          <w:sz w:val="22"/>
          <w:szCs w:val="22"/>
          <w:lang w:val="en-US"/>
        </w:rPr>
        <w:t>must not</w:t>
      </w:r>
      <w:r>
        <w:rPr>
          <w:sz w:val="22"/>
          <w:szCs w:val="22"/>
          <w:lang w:val="en-US"/>
        </w:rPr>
        <w:t>, after being notified,</w:t>
      </w:r>
      <w:r w:rsidRPr="00BE11C8">
        <w:rPr>
          <w:sz w:val="22"/>
          <w:szCs w:val="22"/>
          <w:lang w:val="en-US"/>
        </w:rPr>
        <w:t xml:space="preserve"> </w:t>
      </w:r>
      <w:r>
        <w:rPr>
          <w:sz w:val="22"/>
          <w:szCs w:val="22"/>
          <w:lang w:val="en-US"/>
        </w:rPr>
        <w:t>use any of the customer data to contact the customer who has the number</w:t>
      </w:r>
      <w:r w:rsidRPr="00BE11C8">
        <w:rPr>
          <w:sz w:val="22"/>
          <w:szCs w:val="22"/>
          <w:lang w:val="en-US"/>
        </w:rPr>
        <w:t xml:space="preserve">; </w:t>
      </w:r>
    </w:p>
    <w:p w14:paraId="7AF36E43" w14:textId="77777777" w:rsidR="00362B2C" w:rsidRPr="001A7218" w:rsidRDefault="00362B2C" w:rsidP="00362B2C">
      <w:pPr>
        <w:pStyle w:val="ACMABodyText"/>
        <w:numPr>
          <w:ilvl w:val="1"/>
          <w:numId w:val="15"/>
        </w:numPr>
        <w:spacing w:before="0" w:after="160" w:line="259" w:lineRule="auto"/>
        <w:ind w:left="1797" w:hanging="357"/>
        <w:rPr>
          <w:sz w:val="22"/>
          <w:szCs w:val="22"/>
        </w:rPr>
      </w:pPr>
      <w:r>
        <w:rPr>
          <w:sz w:val="22"/>
          <w:szCs w:val="22"/>
          <w:lang w:val="en-US"/>
        </w:rPr>
        <w:t xml:space="preserve">the member must, </w:t>
      </w:r>
      <w:r w:rsidRPr="00BE11C8">
        <w:rPr>
          <w:sz w:val="22"/>
          <w:szCs w:val="22"/>
          <w:lang w:val="en-US"/>
        </w:rPr>
        <w:t>within 10 business days</w:t>
      </w:r>
      <w:r>
        <w:rPr>
          <w:sz w:val="22"/>
          <w:szCs w:val="22"/>
          <w:lang w:val="en-US"/>
        </w:rPr>
        <w:t xml:space="preserve"> after being notified</w:t>
      </w:r>
      <w:r w:rsidRPr="00BE11C8">
        <w:rPr>
          <w:sz w:val="22"/>
          <w:szCs w:val="22"/>
          <w:lang w:val="en-US"/>
        </w:rPr>
        <w:t>, destroy</w:t>
      </w:r>
      <w:r>
        <w:rPr>
          <w:sz w:val="22"/>
          <w:szCs w:val="22"/>
          <w:lang w:val="en-US"/>
        </w:rPr>
        <w:t xml:space="preserve"> securely</w:t>
      </w:r>
      <w:r w:rsidRPr="00BE11C8">
        <w:rPr>
          <w:sz w:val="22"/>
          <w:szCs w:val="22"/>
          <w:lang w:val="en-US"/>
        </w:rPr>
        <w:t xml:space="preserve"> </w:t>
      </w:r>
      <w:r>
        <w:rPr>
          <w:sz w:val="22"/>
          <w:szCs w:val="22"/>
          <w:lang w:val="en-US"/>
        </w:rPr>
        <w:t>any customer data or document that it holds that is able to be identified as being associated with that unlisted number (paragraph (13)(b)).</w:t>
      </w:r>
    </w:p>
    <w:p w14:paraId="67D9F30E" w14:textId="77777777" w:rsidR="00362B2C" w:rsidRDefault="00362B2C" w:rsidP="00362B2C">
      <w:pPr>
        <w:pStyle w:val="ListParagraph"/>
        <w:numPr>
          <w:ilvl w:val="0"/>
          <w:numId w:val="15"/>
        </w:numPr>
        <w:ind w:left="1077" w:hanging="357"/>
        <w:contextualSpacing w:val="0"/>
        <w:rPr>
          <w:rFonts w:ascii="Times New Roman" w:hAnsi="Times New Roman" w:cs="Times New Roman"/>
        </w:rPr>
      </w:pPr>
      <w:r>
        <w:rPr>
          <w:rFonts w:ascii="Times New Roman" w:hAnsi="Times New Roman" w:cs="Times New Roman"/>
        </w:rPr>
        <w:t>If</w:t>
      </w:r>
      <w:r w:rsidRPr="00980143">
        <w:rPr>
          <w:rFonts w:ascii="Times New Roman" w:hAnsi="Times New Roman" w:cs="Times New Roman"/>
        </w:rPr>
        <w:t xml:space="preserve"> a customer </w:t>
      </w:r>
      <w:r>
        <w:rPr>
          <w:rFonts w:ascii="Times New Roman" w:hAnsi="Times New Roman" w:cs="Times New Roman"/>
        </w:rPr>
        <w:t xml:space="preserve">does not consent, or </w:t>
      </w:r>
      <w:r w:rsidRPr="00980143">
        <w:rPr>
          <w:rFonts w:ascii="Times New Roman" w:hAnsi="Times New Roman" w:cs="Times New Roman"/>
        </w:rPr>
        <w:t>withdraws consent</w:t>
      </w:r>
      <w:r>
        <w:rPr>
          <w:rFonts w:ascii="Times New Roman" w:hAnsi="Times New Roman" w:cs="Times New Roman"/>
        </w:rPr>
        <w:t>,</w:t>
      </w:r>
      <w:r w:rsidRPr="00980143">
        <w:rPr>
          <w:rFonts w:ascii="Times New Roman" w:hAnsi="Times New Roman" w:cs="Times New Roman"/>
        </w:rPr>
        <w:t xml:space="preserve"> to </w:t>
      </w:r>
      <w:r>
        <w:rPr>
          <w:rFonts w:ascii="Times New Roman" w:hAnsi="Times New Roman" w:cs="Times New Roman"/>
        </w:rPr>
        <w:t>the use of the customer data or any other information relating to the customer in the research, the entity must not continue to use or keep</w:t>
      </w:r>
      <w:r w:rsidRPr="001F2971">
        <w:rPr>
          <w:rFonts w:ascii="Times New Roman" w:hAnsi="Times New Roman" w:cs="Times New Roman"/>
        </w:rPr>
        <w:t xml:space="preserve"> any</w:t>
      </w:r>
      <w:r>
        <w:rPr>
          <w:rFonts w:ascii="Times New Roman" w:hAnsi="Times New Roman" w:cs="Times New Roman"/>
        </w:rPr>
        <w:t xml:space="preserve"> of the</w:t>
      </w:r>
      <w:r w:rsidRPr="001F2971">
        <w:rPr>
          <w:rFonts w:ascii="Times New Roman" w:hAnsi="Times New Roman" w:cs="Times New Roman"/>
        </w:rPr>
        <w:t xml:space="preserve"> customer data or other information</w:t>
      </w:r>
      <w:r>
        <w:rPr>
          <w:rFonts w:ascii="Times New Roman" w:hAnsi="Times New Roman" w:cs="Times New Roman"/>
        </w:rPr>
        <w:t xml:space="preserve"> that can be</w:t>
      </w:r>
      <w:r w:rsidRPr="001F2971">
        <w:rPr>
          <w:rFonts w:ascii="Times New Roman" w:hAnsi="Times New Roman" w:cs="Times New Roman"/>
        </w:rPr>
        <w:t xml:space="preserve"> identified as being associated with the customer</w:t>
      </w:r>
      <w:r>
        <w:rPr>
          <w:rFonts w:ascii="Times New Roman" w:hAnsi="Times New Roman" w:cs="Times New Roman"/>
        </w:rPr>
        <w:t xml:space="preserve"> (subsection (14))</w:t>
      </w:r>
      <w:r w:rsidRPr="001F2971">
        <w:rPr>
          <w:rFonts w:ascii="Times New Roman" w:hAnsi="Times New Roman" w:cs="Times New Roman"/>
        </w:rPr>
        <w:t>.</w:t>
      </w:r>
    </w:p>
    <w:p w14:paraId="2F4E3D86" w14:textId="77777777" w:rsidR="00362B2C" w:rsidRDefault="00362B2C" w:rsidP="00362B2C">
      <w:pPr>
        <w:pStyle w:val="ACMABodyText"/>
        <w:numPr>
          <w:ilvl w:val="0"/>
          <w:numId w:val="15"/>
        </w:numPr>
        <w:spacing w:before="0" w:after="160" w:line="259" w:lineRule="auto"/>
        <w:ind w:left="1080"/>
        <w:rPr>
          <w:sz w:val="22"/>
          <w:szCs w:val="22"/>
        </w:rPr>
      </w:pPr>
      <w:r>
        <w:rPr>
          <w:sz w:val="22"/>
          <w:szCs w:val="22"/>
        </w:rPr>
        <w:t xml:space="preserve">If the research entity is a research representative body, the entity must </w:t>
      </w:r>
      <w:r w:rsidRPr="00D37C67">
        <w:rPr>
          <w:sz w:val="22"/>
          <w:szCs w:val="22"/>
        </w:rPr>
        <w:t>ensure that the</w:t>
      </w:r>
      <w:r>
        <w:rPr>
          <w:sz w:val="22"/>
          <w:szCs w:val="22"/>
        </w:rPr>
        <w:t xml:space="preserve"> required</w:t>
      </w:r>
      <w:r w:rsidRPr="00D37C67">
        <w:rPr>
          <w:sz w:val="22"/>
          <w:szCs w:val="22"/>
        </w:rPr>
        <w:t xml:space="preserve"> arrangements impose</w:t>
      </w:r>
      <w:r>
        <w:rPr>
          <w:sz w:val="22"/>
          <w:szCs w:val="22"/>
        </w:rPr>
        <w:t xml:space="preserve"> an</w:t>
      </w:r>
      <w:r w:rsidRPr="00D37C67">
        <w:rPr>
          <w:sz w:val="22"/>
          <w:szCs w:val="22"/>
        </w:rPr>
        <w:t xml:space="preserve"> obligation on each of its members to</w:t>
      </w:r>
      <w:r>
        <w:rPr>
          <w:sz w:val="22"/>
          <w:szCs w:val="22"/>
        </w:rPr>
        <w:t xml:space="preserve"> the effect that the member must</w:t>
      </w:r>
      <w:r w:rsidRPr="00D37C67">
        <w:rPr>
          <w:sz w:val="22"/>
          <w:szCs w:val="22"/>
        </w:rPr>
        <w:t xml:space="preserve"> comply with </w:t>
      </w:r>
      <w:r>
        <w:rPr>
          <w:sz w:val="22"/>
          <w:szCs w:val="22"/>
        </w:rPr>
        <w:t>the condition mentioned immediately above as if it were a</w:t>
      </w:r>
      <w:r w:rsidRPr="00D37C67">
        <w:rPr>
          <w:sz w:val="22"/>
          <w:szCs w:val="22"/>
        </w:rPr>
        <w:t xml:space="preserve"> research entity</w:t>
      </w:r>
      <w:r>
        <w:rPr>
          <w:sz w:val="22"/>
          <w:szCs w:val="22"/>
        </w:rPr>
        <w:t xml:space="preserve"> (subsection (15)).</w:t>
      </w:r>
    </w:p>
    <w:p w14:paraId="679B048F" w14:textId="77777777" w:rsidR="00362B2C" w:rsidRDefault="00362B2C" w:rsidP="00362B2C">
      <w:pPr>
        <w:pStyle w:val="ACMABodyText"/>
        <w:numPr>
          <w:ilvl w:val="0"/>
          <w:numId w:val="15"/>
        </w:numPr>
        <w:spacing w:before="0" w:after="160" w:line="259" w:lineRule="auto"/>
        <w:ind w:left="1077"/>
        <w:rPr>
          <w:sz w:val="22"/>
          <w:szCs w:val="22"/>
        </w:rPr>
      </w:pPr>
      <w:r>
        <w:rPr>
          <w:sz w:val="22"/>
          <w:szCs w:val="22"/>
        </w:rPr>
        <w:t>The</w:t>
      </w:r>
      <w:r w:rsidRPr="00C14338">
        <w:rPr>
          <w:sz w:val="22"/>
          <w:szCs w:val="22"/>
        </w:rPr>
        <w:t xml:space="preserve"> </w:t>
      </w:r>
      <w:r>
        <w:rPr>
          <w:sz w:val="22"/>
          <w:szCs w:val="22"/>
        </w:rPr>
        <w:t>research entity</w:t>
      </w:r>
      <w:r w:rsidRPr="00C14338">
        <w:rPr>
          <w:sz w:val="22"/>
          <w:szCs w:val="22"/>
        </w:rPr>
        <w:t xml:space="preserve"> </w:t>
      </w:r>
      <w:r>
        <w:rPr>
          <w:sz w:val="22"/>
          <w:szCs w:val="22"/>
        </w:rPr>
        <w:t>must</w:t>
      </w:r>
      <w:r w:rsidRPr="00C14338">
        <w:rPr>
          <w:sz w:val="22"/>
          <w:szCs w:val="22"/>
        </w:rPr>
        <w:t xml:space="preserve"> have internal dispute resolution procedures for dealing with</w:t>
      </w:r>
      <w:r>
        <w:rPr>
          <w:sz w:val="22"/>
          <w:szCs w:val="22"/>
        </w:rPr>
        <w:t xml:space="preserve"> inquiries or complaints from customers about</w:t>
      </w:r>
      <w:r w:rsidRPr="00E738FE">
        <w:rPr>
          <w:sz w:val="22"/>
          <w:szCs w:val="22"/>
        </w:rPr>
        <w:t xml:space="preserve"> </w:t>
      </w:r>
      <w:r>
        <w:rPr>
          <w:sz w:val="22"/>
          <w:szCs w:val="22"/>
        </w:rPr>
        <w:t>its use and disclosure of the customer data relating to the customer (subsection (16)).</w:t>
      </w:r>
    </w:p>
    <w:p w14:paraId="410ADBB5" w14:textId="77777777" w:rsidR="00362B2C" w:rsidRPr="007613FC" w:rsidRDefault="00362B2C" w:rsidP="00362B2C">
      <w:pPr>
        <w:pStyle w:val="ACMABodyText"/>
        <w:numPr>
          <w:ilvl w:val="0"/>
          <w:numId w:val="15"/>
        </w:numPr>
        <w:spacing w:before="0" w:after="160" w:line="259" w:lineRule="auto"/>
        <w:ind w:left="1077"/>
        <w:rPr>
          <w:sz w:val="22"/>
          <w:szCs w:val="22"/>
        </w:rPr>
      </w:pPr>
      <w:r>
        <w:rPr>
          <w:sz w:val="22"/>
          <w:szCs w:val="22"/>
        </w:rPr>
        <w:t xml:space="preserve">If the research entity is a research representative body, the entity must </w:t>
      </w:r>
      <w:r w:rsidRPr="00D37C67">
        <w:rPr>
          <w:sz w:val="22"/>
          <w:szCs w:val="22"/>
        </w:rPr>
        <w:t>ensure that the</w:t>
      </w:r>
      <w:r>
        <w:rPr>
          <w:sz w:val="22"/>
          <w:szCs w:val="22"/>
        </w:rPr>
        <w:t xml:space="preserve"> required</w:t>
      </w:r>
      <w:r w:rsidRPr="00D37C67">
        <w:rPr>
          <w:sz w:val="22"/>
          <w:szCs w:val="22"/>
        </w:rPr>
        <w:t xml:space="preserve"> arrangements impose</w:t>
      </w:r>
      <w:r>
        <w:rPr>
          <w:sz w:val="22"/>
          <w:szCs w:val="22"/>
        </w:rPr>
        <w:t xml:space="preserve"> an</w:t>
      </w:r>
      <w:r w:rsidRPr="00D37C67">
        <w:rPr>
          <w:sz w:val="22"/>
          <w:szCs w:val="22"/>
        </w:rPr>
        <w:t xml:space="preserve"> obligation on each of its members to</w:t>
      </w:r>
      <w:r>
        <w:rPr>
          <w:sz w:val="22"/>
          <w:szCs w:val="22"/>
        </w:rPr>
        <w:t xml:space="preserve"> the effect that the member must</w:t>
      </w:r>
      <w:r w:rsidRPr="00D37C67">
        <w:rPr>
          <w:sz w:val="22"/>
          <w:szCs w:val="22"/>
        </w:rPr>
        <w:t xml:space="preserve"> comply with </w:t>
      </w:r>
      <w:r>
        <w:rPr>
          <w:sz w:val="22"/>
          <w:szCs w:val="22"/>
        </w:rPr>
        <w:t>the condition mentioned immediately above as if it were a</w:t>
      </w:r>
      <w:r w:rsidRPr="00D37C67">
        <w:rPr>
          <w:sz w:val="22"/>
          <w:szCs w:val="22"/>
        </w:rPr>
        <w:t xml:space="preserve"> research entity</w:t>
      </w:r>
      <w:r>
        <w:rPr>
          <w:sz w:val="22"/>
          <w:szCs w:val="22"/>
        </w:rPr>
        <w:t xml:space="preserve"> (paragraph (18)(a)).</w:t>
      </w:r>
    </w:p>
    <w:p w14:paraId="589B8EF6" w14:textId="77777777" w:rsidR="00362B2C" w:rsidRDefault="00362B2C" w:rsidP="00362B2C">
      <w:pPr>
        <w:pStyle w:val="ACMABodyText"/>
        <w:numPr>
          <w:ilvl w:val="0"/>
          <w:numId w:val="15"/>
        </w:numPr>
        <w:spacing w:before="0" w:after="40" w:line="259" w:lineRule="auto"/>
        <w:ind w:left="1077" w:hanging="357"/>
        <w:contextualSpacing/>
        <w:rPr>
          <w:sz w:val="22"/>
          <w:szCs w:val="22"/>
        </w:rPr>
      </w:pPr>
      <w:r>
        <w:rPr>
          <w:sz w:val="22"/>
          <w:szCs w:val="22"/>
        </w:rPr>
        <w:t xml:space="preserve">If a customer makes a complaint to the research entity about the use or disclosure of the customer data or other information relating to the customer, the entity must: </w:t>
      </w:r>
    </w:p>
    <w:p w14:paraId="62C855E5" w14:textId="77777777" w:rsidR="00362B2C" w:rsidRDefault="00362B2C" w:rsidP="00362B2C">
      <w:pPr>
        <w:pStyle w:val="ACMABodyText"/>
        <w:numPr>
          <w:ilvl w:val="1"/>
          <w:numId w:val="15"/>
        </w:numPr>
        <w:spacing w:before="0" w:after="40" w:line="259" w:lineRule="auto"/>
        <w:ind w:left="1800" w:hanging="357"/>
        <w:contextualSpacing/>
        <w:rPr>
          <w:sz w:val="22"/>
          <w:szCs w:val="22"/>
        </w:rPr>
      </w:pPr>
      <w:r>
        <w:rPr>
          <w:sz w:val="22"/>
          <w:szCs w:val="22"/>
        </w:rPr>
        <w:lastRenderedPageBreak/>
        <w:t>inform the customer that if the customer is dissatisfied with the way in which the complaint is handled, the customer may make a complaint to:</w:t>
      </w:r>
    </w:p>
    <w:p w14:paraId="3A942CED" w14:textId="77777777" w:rsidR="00362B2C" w:rsidRPr="00E738FE" w:rsidRDefault="00362B2C" w:rsidP="00362B2C">
      <w:pPr>
        <w:pStyle w:val="ACMABodyText"/>
        <w:numPr>
          <w:ilvl w:val="2"/>
          <w:numId w:val="15"/>
        </w:numPr>
        <w:spacing w:before="0" w:after="40" w:line="259" w:lineRule="auto"/>
        <w:ind w:left="2520" w:hanging="357"/>
        <w:contextualSpacing/>
        <w:rPr>
          <w:sz w:val="22"/>
          <w:szCs w:val="22"/>
        </w:rPr>
      </w:pPr>
      <w:r>
        <w:rPr>
          <w:sz w:val="22"/>
          <w:szCs w:val="22"/>
        </w:rPr>
        <w:t xml:space="preserve">in the case where the customer is an individual whose complaint involves an act or practice that may be an interference with the privacy of the individual – </w:t>
      </w:r>
      <w:r w:rsidRPr="00E738FE">
        <w:rPr>
          <w:sz w:val="22"/>
          <w:szCs w:val="22"/>
        </w:rPr>
        <w:t>the Information Commissioner; and</w:t>
      </w:r>
    </w:p>
    <w:p w14:paraId="618C47CD" w14:textId="77777777" w:rsidR="00362B2C" w:rsidRPr="00E738FE" w:rsidRDefault="00362B2C" w:rsidP="00362B2C">
      <w:pPr>
        <w:pStyle w:val="ACMABodyText"/>
        <w:numPr>
          <w:ilvl w:val="2"/>
          <w:numId w:val="15"/>
        </w:numPr>
        <w:spacing w:before="0" w:after="40" w:line="259" w:lineRule="auto"/>
        <w:ind w:left="2520" w:hanging="357"/>
        <w:contextualSpacing/>
        <w:rPr>
          <w:sz w:val="22"/>
          <w:szCs w:val="22"/>
        </w:rPr>
      </w:pPr>
      <w:r>
        <w:rPr>
          <w:sz w:val="22"/>
          <w:szCs w:val="22"/>
        </w:rPr>
        <w:t xml:space="preserve">in any other case – </w:t>
      </w:r>
      <w:r w:rsidRPr="00E738FE">
        <w:rPr>
          <w:sz w:val="22"/>
          <w:szCs w:val="22"/>
        </w:rPr>
        <w:t xml:space="preserve">the ACMA; </w:t>
      </w:r>
    </w:p>
    <w:p w14:paraId="5DAB7D28" w14:textId="77777777" w:rsidR="00362B2C" w:rsidRDefault="00362B2C" w:rsidP="00362B2C">
      <w:pPr>
        <w:pStyle w:val="ACMABodyText"/>
        <w:numPr>
          <w:ilvl w:val="1"/>
          <w:numId w:val="15"/>
        </w:numPr>
        <w:spacing w:before="0" w:after="40" w:line="259" w:lineRule="auto"/>
        <w:ind w:left="1800" w:hanging="357"/>
        <w:contextualSpacing/>
        <w:rPr>
          <w:sz w:val="22"/>
          <w:szCs w:val="22"/>
        </w:rPr>
      </w:pPr>
      <w:r>
        <w:rPr>
          <w:sz w:val="22"/>
          <w:szCs w:val="22"/>
        </w:rPr>
        <w:t>give the customer information about how to contact the Information Commissioner and the ACMA; and</w:t>
      </w:r>
    </w:p>
    <w:p w14:paraId="16ED40C6" w14:textId="77777777" w:rsidR="00362B2C" w:rsidRDefault="00362B2C" w:rsidP="00362B2C">
      <w:pPr>
        <w:pStyle w:val="ACMABodyText"/>
        <w:numPr>
          <w:ilvl w:val="1"/>
          <w:numId w:val="15"/>
        </w:numPr>
        <w:spacing w:before="0" w:after="160" w:line="259" w:lineRule="auto"/>
        <w:ind w:left="1797" w:hanging="357"/>
        <w:rPr>
          <w:sz w:val="22"/>
          <w:szCs w:val="22"/>
        </w:rPr>
      </w:pPr>
      <w:r>
        <w:rPr>
          <w:sz w:val="22"/>
          <w:szCs w:val="22"/>
        </w:rPr>
        <w:t xml:space="preserve">provide reasonable assistance to the Information Commissioner or the ACMA if requested to do so in relation to such a complaint (subsection (17)).  </w:t>
      </w:r>
    </w:p>
    <w:p w14:paraId="26DAAC38" w14:textId="77777777" w:rsidR="00362B2C" w:rsidRDefault="00362B2C" w:rsidP="00362B2C">
      <w:pPr>
        <w:pStyle w:val="ACMABodyText"/>
        <w:numPr>
          <w:ilvl w:val="0"/>
          <w:numId w:val="15"/>
        </w:numPr>
        <w:spacing w:before="0" w:after="40" w:line="259" w:lineRule="auto"/>
        <w:ind w:left="1080"/>
        <w:contextualSpacing/>
        <w:rPr>
          <w:sz w:val="22"/>
          <w:szCs w:val="22"/>
        </w:rPr>
      </w:pPr>
      <w:r>
        <w:rPr>
          <w:sz w:val="22"/>
          <w:szCs w:val="22"/>
        </w:rPr>
        <w:t xml:space="preserve">If the research entity is a research representative body, the entity must </w:t>
      </w:r>
      <w:r w:rsidRPr="00D37C67">
        <w:rPr>
          <w:sz w:val="22"/>
          <w:szCs w:val="22"/>
        </w:rPr>
        <w:t>ensure that the</w:t>
      </w:r>
      <w:r>
        <w:rPr>
          <w:sz w:val="22"/>
          <w:szCs w:val="22"/>
        </w:rPr>
        <w:t xml:space="preserve"> required arrangements impose</w:t>
      </w:r>
      <w:r w:rsidRPr="00D37C67">
        <w:rPr>
          <w:sz w:val="22"/>
          <w:szCs w:val="22"/>
        </w:rPr>
        <w:t xml:space="preserve"> obligation</w:t>
      </w:r>
      <w:r>
        <w:rPr>
          <w:sz w:val="22"/>
          <w:szCs w:val="22"/>
        </w:rPr>
        <w:t>s</w:t>
      </w:r>
      <w:r w:rsidRPr="00D37C67">
        <w:rPr>
          <w:sz w:val="22"/>
          <w:szCs w:val="22"/>
        </w:rPr>
        <w:t xml:space="preserve"> on each of its members to</w:t>
      </w:r>
      <w:r>
        <w:rPr>
          <w:sz w:val="22"/>
          <w:szCs w:val="22"/>
        </w:rPr>
        <w:t xml:space="preserve"> the effect that: </w:t>
      </w:r>
    </w:p>
    <w:p w14:paraId="2E0DB457" w14:textId="77777777" w:rsidR="00362B2C" w:rsidRDefault="00362B2C" w:rsidP="00362B2C">
      <w:pPr>
        <w:pStyle w:val="ACMABodyText"/>
        <w:numPr>
          <w:ilvl w:val="1"/>
          <w:numId w:val="15"/>
        </w:numPr>
        <w:spacing w:before="0" w:after="40" w:line="259" w:lineRule="auto"/>
        <w:ind w:left="1797" w:hanging="357"/>
        <w:contextualSpacing/>
        <w:rPr>
          <w:sz w:val="22"/>
          <w:szCs w:val="22"/>
        </w:rPr>
      </w:pPr>
      <w:r>
        <w:rPr>
          <w:sz w:val="22"/>
          <w:szCs w:val="22"/>
        </w:rPr>
        <w:t>the member must</w:t>
      </w:r>
      <w:r w:rsidRPr="00D37C67">
        <w:rPr>
          <w:sz w:val="22"/>
          <w:szCs w:val="22"/>
        </w:rPr>
        <w:t xml:space="preserve"> comply with </w:t>
      </w:r>
      <w:r>
        <w:rPr>
          <w:sz w:val="22"/>
          <w:szCs w:val="22"/>
        </w:rPr>
        <w:t>the condition mentioned immediately above as if it were a</w:t>
      </w:r>
      <w:r w:rsidRPr="00D37C67">
        <w:rPr>
          <w:sz w:val="22"/>
          <w:szCs w:val="22"/>
        </w:rPr>
        <w:t xml:space="preserve"> research entity</w:t>
      </w:r>
      <w:r>
        <w:rPr>
          <w:sz w:val="22"/>
          <w:szCs w:val="22"/>
        </w:rPr>
        <w:t xml:space="preserve">; and </w:t>
      </w:r>
    </w:p>
    <w:p w14:paraId="5ECC38D5" w14:textId="77777777" w:rsidR="00362B2C" w:rsidRDefault="00362B2C" w:rsidP="00362B2C">
      <w:pPr>
        <w:pStyle w:val="ACMABodyText"/>
        <w:numPr>
          <w:ilvl w:val="1"/>
          <w:numId w:val="15"/>
        </w:numPr>
        <w:spacing w:before="0" w:after="160" w:line="259" w:lineRule="auto"/>
        <w:ind w:left="1797" w:hanging="357"/>
        <w:rPr>
          <w:sz w:val="22"/>
          <w:szCs w:val="22"/>
        </w:rPr>
      </w:pPr>
      <w:r>
        <w:rPr>
          <w:sz w:val="22"/>
          <w:szCs w:val="22"/>
        </w:rPr>
        <w:t>the member must notify the entity in writing of the nature of any such complaint received as soon as practicable after the complaint is made and the outcome of the complaint as soon as practicable after the complaint has been finalised (paragraph (18)(b)).</w:t>
      </w:r>
    </w:p>
    <w:p w14:paraId="5BAD2B4E" w14:textId="77777777" w:rsidR="00362B2C" w:rsidRDefault="00362B2C" w:rsidP="00362B2C">
      <w:pPr>
        <w:pStyle w:val="ACMABodyText"/>
        <w:numPr>
          <w:ilvl w:val="0"/>
          <w:numId w:val="15"/>
        </w:numPr>
        <w:spacing w:before="0" w:after="160" w:line="259" w:lineRule="auto"/>
        <w:ind w:left="1077" w:hanging="357"/>
        <w:rPr>
          <w:sz w:val="22"/>
          <w:szCs w:val="22"/>
        </w:rPr>
      </w:pPr>
      <w:r>
        <w:rPr>
          <w:sz w:val="22"/>
          <w:szCs w:val="22"/>
        </w:rPr>
        <w:t>The</w:t>
      </w:r>
      <w:r w:rsidRPr="00F17031">
        <w:rPr>
          <w:sz w:val="22"/>
          <w:szCs w:val="22"/>
        </w:rPr>
        <w:t xml:space="preserve"> research entity</w:t>
      </w:r>
      <w:r>
        <w:rPr>
          <w:sz w:val="22"/>
          <w:szCs w:val="22"/>
        </w:rPr>
        <w:t xml:space="preserve"> must not carry out any </w:t>
      </w:r>
      <w:r w:rsidRPr="00F17031">
        <w:rPr>
          <w:sz w:val="22"/>
          <w:szCs w:val="22"/>
        </w:rPr>
        <w:t xml:space="preserve">geographic disaggregation of </w:t>
      </w:r>
      <w:r>
        <w:rPr>
          <w:sz w:val="22"/>
          <w:szCs w:val="22"/>
        </w:rPr>
        <w:t>the research findings below</w:t>
      </w:r>
      <w:r w:rsidRPr="00F17031">
        <w:rPr>
          <w:sz w:val="22"/>
          <w:szCs w:val="22"/>
        </w:rPr>
        <w:t xml:space="preserve"> the level of a postcode</w:t>
      </w:r>
      <w:r>
        <w:rPr>
          <w:sz w:val="22"/>
          <w:szCs w:val="22"/>
        </w:rPr>
        <w:t xml:space="preserve"> included in the directory address</w:t>
      </w:r>
      <w:r w:rsidRPr="00F17031">
        <w:rPr>
          <w:sz w:val="22"/>
          <w:szCs w:val="22"/>
        </w:rPr>
        <w:t xml:space="preserve"> of a customer or </w:t>
      </w:r>
      <w:r>
        <w:rPr>
          <w:sz w:val="22"/>
          <w:szCs w:val="22"/>
        </w:rPr>
        <w:t xml:space="preserve">a </w:t>
      </w:r>
      <w:r w:rsidRPr="00F17031">
        <w:rPr>
          <w:sz w:val="22"/>
          <w:szCs w:val="22"/>
        </w:rPr>
        <w:t>customer’s business</w:t>
      </w:r>
      <w:r>
        <w:rPr>
          <w:sz w:val="22"/>
          <w:szCs w:val="22"/>
        </w:rPr>
        <w:t xml:space="preserve"> (subsection (19))</w:t>
      </w:r>
      <w:r w:rsidRPr="00F17031">
        <w:rPr>
          <w:sz w:val="22"/>
          <w:szCs w:val="22"/>
        </w:rPr>
        <w:t>. Th</w:t>
      </w:r>
      <w:r>
        <w:rPr>
          <w:sz w:val="22"/>
          <w:szCs w:val="22"/>
        </w:rPr>
        <w:t>is</w:t>
      </w:r>
      <w:r w:rsidRPr="00F17031">
        <w:rPr>
          <w:sz w:val="22"/>
          <w:szCs w:val="22"/>
        </w:rPr>
        <w:t xml:space="preserve"> is to ensure that </w:t>
      </w:r>
      <w:r>
        <w:rPr>
          <w:sz w:val="22"/>
          <w:szCs w:val="22"/>
        </w:rPr>
        <w:t>the</w:t>
      </w:r>
      <w:r w:rsidRPr="00F17031">
        <w:rPr>
          <w:sz w:val="22"/>
          <w:szCs w:val="22"/>
        </w:rPr>
        <w:t xml:space="preserve"> full </w:t>
      </w:r>
      <w:r>
        <w:rPr>
          <w:sz w:val="22"/>
          <w:szCs w:val="22"/>
        </w:rPr>
        <w:t xml:space="preserve">directory </w:t>
      </w:r>
      <w:r w:rsidRPr="00F17031">
        <w:rPr>
          <w:sz w:val="22"/>
          <w:szCs w:val="22"/>
        </w:rPr>
        <w:t>address</w:t>
      </w:r>
      <w:r>
        <w:rPr>
          <w:sz w:val="22"/>
          <w:szCs w:val="22"/>
        </w:rPr>
        <w:t xml:space="preserve"> of the customer or the business</w:t>
      </w:r>
      <w:r w:rsidRPr="00F17031">
        <w:rPr>
          <w:sz w:val="22"/>
          <w:szCs w:val="22"/>
        </w:rPr>
        <w:t xml:space="preserve"> cannot be linked to the research findings. Other types of geographic disaggregation are allowed</w:t>
      </w:r>
      <w:r>
        <w:rPr>
          <w:sz w:val="22"/>
          <w:szCs w:val="22"/>
        </w:rPr>
        <w:t>, subject to obtaining the express consent of a customer where it involves adding information relating to that customer</w:t>
      </w:r>
      <w:r w:rsidRPr="00555C9D">
        <w:rPr>
          <w:sz w:val="22"/>
          <w:szCs w:val="22"/>
        </w:rPr>
        <w:t xml:space="preserve"> </w:t>
      </w:r>
      <w:r>
        <w:rPr>
          <w:sz w:val="22"/>
          <w:szCs w:val="22"/>
        </w:rPr>
        <w:t>to the customer data</w:t>
      </w:r>
      <w:r w:rsidRPr="00F17031">
        <w:rPr>
          <w:sz w:val="22"/>
          <w:szCs w:val="22"/>
        </w:rPr>
        <w:t xml:space="preserve">. </w:t>
      </w:r>
    </w:p>
    <w:p w14:paraId="1D6326B4" w14:textId="77777777" w:rsidR="00362B2C" w:rsidRPr="007613FC" w:rsidRDefault="00362B2C" w:rsidP="00362B2C">
      <w:pPr>
        <w:pStyle w:val="ACMABodyText"/>
        <w:numPr>
          <w:ilvl w:val="0"/>
          <w:numId w:val="15"/>
        </w:numPr>
        <w:spacing w:before="0" w:after="160" w:line="259" w:lineRule="auto"/>
        <w:ind w:left="1077" w:hanging="357"/>
        <w:rPr>
          <w:sz w:val="22"/>
          <w:szCs w:val="22"/>
        </w:rPr>
      </w:pPr>
      <w:r>
        <w:rPr>
          <w:sz w:val="22"/>
          <w:szCs w:val="22"/>
        </w:rPr>
        <w:t xml:space="preserve">If the research entity is a research representative body, the entity must </w:t>
      </w:r>
      <w:r w:rsidRPr="00D37C67">
        <w:rPr>
          <w:sz w:val="22"/>
          <w:szCs w:val="22"/>
        </w:rPr>
        <w:t>ensure that the</w:t>
      </w:r>
      <w:r>
        <w:rPr>
          <w:sz w:val="22"/>
          <w:szCs w:val="22"/>
        </w:rPr>
        <w:t xml:space="preserve"> required arrangements impose an</w:t>
      </w:r>
      <w:r w:rsidRPr="00D37C67">
        <w:rPr>
          <w:sz w:val="22"/>
          <w:szCs w:val="22"/>
        </w:rPr>
        <w:t xml:space="preserve"> obligation on each of its members to</w:t>
      </w:r>
      <w:r>
        <w:rPr>
          <w:sz w:val="22"/>
          <w:szCs w:val="22"/>
        </w:rPr>
        <w:t xml:space="preserve"> the effect that the member must</w:t>
      </w:r>
      <w:r w:rsidRPr="00D37C67">
        <w:rPr>
          <w:sz w:val="22"/>
          <w:szCs w:val="22"/>
        </w:rPr>
        <w:t xml:space="preserve"> comply with </w:t>
      </w:r>
      <w:r>
        <w:rPr>
          <w:sz w:val="22"/>
          <w:szCs w:val="22"/>
        </w:rPr>
        <w:t>the condition mentioned immediately above as if it were a</w:t>
      </w:r>
      <w:r w:rsidRPr="00D37C67">
        <w:rPr>
          <w:sz w:val="22"/>
          <w:szCs w:val="22"/>
        </w:rPr>
        <w:t xml:space="preserve"> research entity</w:t>
      </w:r>
      <w:r>
        <w:rPr>
          <w:sz w:val="22"/>
          <w:szCs w:val="22"/>
        </w:rPr>
        <w:t xml:space="preserve"> (subsection (20)).</w:t>
      </w:r>
    </w:p>
    <w:p w14:paraId="7FD09949" w14:textId="77777777" w:rsidR="00362B2C" w:rsidRPr="00BE11C8" w:rsidRDefault="00362B2C" w:rsidP="00362B2C">
      <w:pPr>
        <w:pStyle w:val="ACMABodyText"/>
        <w:numPr>
          <w:ilvl w:val="0"/>
          <w:numId w:val="15"/>
        </w:numPr>
        <w:spacing w:before="0" w:after="40" w:line="259" w:lineRule="auto"/>
        <w:ind w:left="1083" w:hanging="357"/>
        <w:rPr>
          <w:sz w:val="22"/>
          <w:szCs w:val="22"/>
        </w:rPr>
      </w:pPr>
      <w:r>
        <w:rPr>
          <w:sz w:val="22"/>
          <w:szCs w:val="22"/>
          <w:lang w:val="en-US"/>
        </w:rPr>
        <w:t>If</w:t>
      </w:r>
      <w:r w:rsidRPr="00BE11C8">
        <w:rPr>
          <w:sz w:val="22"/>
          <w:szCs w:val="22"/>
          <w:lang w:val="en-US"/>
        </w:rPr>
        <w:t xml:space="preserve"> the IPND Manager </w:t>
      </w:r>
      <w:r>
        <w:rPr>
          <w:sz w:val="22"/>
          <w:szCs w:val="22"/>
          <w:lang w:val="en-US"/>
        </w:rPr>
        <w:t>notifies the research entity of an update to the customer data</w:t>
      </w:r>
      <w:r w:rsidRPr="00BE11C8">
        <w:rPr>
          <w:sz w:val="22"/>
          <w:szCs w:val="22"/>
          <w:lang w:val="en-US"/>
        </w:rPr>
        <w:t>:</w:t>
      </w:r>
    </w:p>
    <w:p w14:paraId="009573D1" w14:textId="77777777" w:rsidR="00362B2C" w:rsidRPr="0011045E" w:rsidRDefault="00362B2C" w:rsidP="00362B2C">
      <w:pPr>
        <w:pStyle w:val="ACMABodyText"/>
        <w:numPr>
          <w:ilvl w:val="1"/>
          <w:numId w:val="15"/>
        </w:numPr>
        <w:spacing w:before="0" w:after="40" w:line="259" w:lineRule="auto"/>
        <w:ind w:left="1797" w:hanging="357"/>
        <w:rPr>
          <w:sz w:val="22"/>
          <w:szCs w:val="22"/>
        </w:rPr>
      </w:pPr>
      <w:r>
        <w:rPr>
          <w:sz w:val="22"/>
          <w:szCs w:val="22"/>
          <w:lang w:val="en-US"/>
        </w:rPr>
        <w:t xml:space="preserve">the entity must, </w:t>
      </w:r>
      <w:r w:rsidRPr="00BE11C8">
        <w:rPr>
          <w:sz w:val="22"/>
          <w:szCs w:val="22"/>
          <w:lang w:val="en-US"/>
        </w:rPr>
        <w:t xml:space="preserve">within </w:t>
      </w:r>
      <w:r>
        <w:rPr>
          <w:sz w:val="22"/>
          <w:szCs w:val="22"/>
          <w:lang w:val="en-US"/>
        </w:rPr>
        <w:t>2</w:t>
      </w:r>
      <w:r w:rsidRPr="00BE11C8">
        <w:rPr>
          <w:sz w:val="22"/>
          <w:szCs w:val="22"/>
          <w:lang w:val="en-US"/>
        </w:rPr>
        <w:t xml:space="preserve"> business days</w:t>
      </w:r>
      <w:r>
        <w:rPr>
          <w:sz w:val="22"/>
          <w:szCs w:val="22"/>
          <w:lang w:val="en-US"/>
        </w:rPr>
        <w:t xml:space="preserve"> after being notified</w:t>
      </w:r>
      <w:r w:rsidRPr="00BE11C8">
        <w:rPr>
          <w:sz w:val="22"/>
          <w:szCs w:val="22"/>
          <w:lang w:val="en-US"/>
        </w:rPr>
        <w:t xml:space="preserve">, </w:t>
      </w:r>
      <w:r>
        <w:rPr>
          <w:sz w:val="22"/>
          <w:szCs w:val="22"/>
          <w:lang w:val="en-US"/>
        </w:rPr>
        <w:t>update the customer data in its possession that can be identified as being associated with the customer; and</w:t>
      </w:r>
    </w:p>
    <w:p w14:paraId="0088DACB" w14:textId="77777777" w:rsidR="00362B2C" w:rsidRPr="0011045E" w:rsidRDefault="00362B2C" w:rsidP="00362B2C">
      <w:pPr>
        <w:pStyle w:val="ACMABodyText"/>
        <w:numPr>
          <w:ilvl w:val="1"/>
          <w:numId w:val="15"/>
        </w:numPr>
        <w:spacing w:before="0" w:after="160" w:line="259" w:lineRule="auto"/>
        <w:ind w:left="1797" w:hanging="357"/>
        <w:rPr>
          <w:sz w:val="22"/>
          <w:szCs w:val="22"/>
        </w:rPr>
      </w:pPr>
      <w:r>
        <w:rPr>
          <w:sz w:val="22"/>
          <w:szCs w:val="22"/>
        </w:rPr>
        <w:lastRenderedPageBreak/>
        <w:t xml:space="preserve">if the entity is a research representative body – </w:t>
      </w:r>
      <w:r w:rsidRPr="0011045E">
        <w:rPr>
          <w:sz w:val="22"/>
          <w:szCs w:val="22"/>
        </w:rPr>
        <w:t>the entity must notify each of its members who h</w:t>
      </w:r>
      <w:r>
        <w:rPr>
          <w:sz w:val="22"/>
          <w:szCs w:val="22"/>
        </w:rPr>
        <w:t>ave access to the customer data of the update</w:t>
      </w:r>
      <w:r w:rsidRPr="0011045E">
        <w:rPr>
          <w:sz w:val="22"/>
          <w:szCs w:val="22"/>
        </w:rPr>
        <w:t xml:space="preserve"> as soon as practicable</w:t>
      </w:r>
      <w:r>
        <w:rPr>
          <w:sz w:val="22"/>
          <w:szCs w:val="22"/>
        </w:rPr>
        <w:t xml:space="preserve"> (subsection (21))</w:t>
      </w:r>
      <w:r w:rsidRPr="0011045E">
        <w:rPr>
          <w:sz w:val="22"/>
          <w:szCs w:val="22"/>
        </w:rPr>
        <w:t>.</w:t>
      </w:r>
    </w:p>
    <w:p w14:paraId="1D3E4443" w14:textId="77777777" w:rsidR="00362B2C" w:rsidRPr="009255DA" w:rsidRDefault="00362B2C" w:rsidP="00362B2C">
      <w:pPr>
        <w:pStyle w:val="ACMABodyText"/>
        <w:numPr>
          <w:ilvl w:val="0"/>
          <w:numId w:val="15"/>
        </w:numPr>
        <w:spacing w:before="0" w:after="160" w:line="259" w:lineRule="auto"/>
        <w:ind w:left="1077" w:hanging="357"/>
        <w:rPr>
          <w:sz w:val="22"/>
          <w:szCs w:val="22"/>
        </w:rPr>
      </w:pPr>
      <w:r w:rsidRPr="00BE6D0B">
        <w:rPr>
          <w:sz w:val="22"/>
          <w:szCs w:val="22"/>
        </w:rPr>
        <w:t>If the research entity is a research representative body, the entity must ensure that the required arrangements impose</w:t>
      </w:r>
      <w:r>
        <w:rPr>
          <w:sz w:val="22"/>
          <w:szCs w:val="22"/>
        </w:rPr>
        <w:t xml:space="preserve"> an obligation</w:t>
      </w:r>
      <w:r w:rsidRPr="00BE6D0B">
        <w:rPr>
          <w:sz w:val="22"/>
          <w:szCs w:val="22"/>
        </w:rPr>
        <w:t xml:space="preserve"> on each of its members to the effect that</w:t>
      </w:r>
      <w:r>
        <w:rPr>
          <w:sz w:val="22"/>
          <w:szCs w:val="22"/>
        </w:rPr>
        <w:t xml:space="preserve"> </w:t>
      </w:r>
      <w:r w:rsidRPr="009A6D6D">
        <w:rPr>
          <w:sz w:val="22"/>
          <w:szCs w:val="22"/>
        </w:rPr>
        <w:t>if the entity notifie</w:t>
      </w:r>
      <w:r>
        <w:rPr>
          <w:sz w:val="22"/>
          <w:szCs w:val="22"/>
        </w:rPr>
        <w:t>s</w:t>
      </w:r>
      <w:r w:rsidRPr="009A6D6D">
        <w:rPr>
          <w:sz w:val="22"/>
          <w:szCs w:val="22"/>
        </w:rPr>
        <w:t xml:space="preserve"> the member of an update to the customer data, the member </w:t>
      </w:r>
      <w:r w:rsidRPr="009A6D6D">
        <w:rPr>
          <w:sz w:val="22"/>
          <w:szCs w:val="22"/>
          <w:lang w:val="en-US"/>
        </w:rPr>
        <w:t>must, within 2 business days after being notified,</w:t>
      </w:r>
      <w:r>
        <w:rPr>
          <w:sz w:val="22"/>
          <w:szCs w:val="22"/>
          <w:lang w:val="en-US"/>
        </w:rPr>
        <w:t xml:space="preserve"> update the customer data in its possession that can be identified as being </w:t>
      </w:r>
      <w:r w:rsidRPr="009A6D6D">
        <w:rPr>
          <w:sz w:val="22"/>
          <w:szCs w:val="22"/>
          <w:lang w:val="en-US"/>
        </w:rPr>
        <w:t>associated with the custome</w:t>
      </w:r>
      <w:r>
        <w:rPr>
          <w:sz w:val="22"/>
          <w:szCs w:val="22"/>
          <w:lang w:val="en-US"/>
        </w:rPr>
        <w:t>r (subsection (22)).</w:t>
      </w:r>
    </w:p>
    <w:p w14:paraId="78CD8B40" w14:textId="77777777" w:rsidR="00362B2C" w:rsidRPr="009255DA" w:rsidRDefault="00362B2C" w:rsidP="00362B2C">
      <w:pPr>
        <w:pStyle w:val="ACMABodyText"/>
        <w:numPr>
          <w:ilvl w:val="0"/>
          <w:numId w:val="15"/>
        </w:numPr>
        <w:spacing w:before="0" w:after="40" w:line="259" w:lineRule="auto"/>
        <w:ind w:left="1080"/>
        <w:rPr>
          <w:sz w:val="22"/>
          <w:szCs w:val="22"/>
        </w:rPr>
      </w:pPr>
      <w:r>
        <w:rPr>
          <w:sz w:val="22"/>
          <w:szCs w:val="22"/>
          <w:lang w:val="en-US"/>
        </w:rPr>
        <w:t>If a customer advises the research entity that the customer data or any other information relating to the customer is incorrect:</w:t>
      </w:r>
    </w:p>
    <w:p w14:paraId="0063FDB1" w14:textId="77777777" w:rsidR="00362B2C" w:rsidRDefault="00362B2C" w:rsidP="00362B2C">
      <w:pPr>
        <w:pStyle w:val="ACMABodyText"/>
        <w:numPr>
          <w:ilvl w:val="1"/>
          <w:numId w:val="15"/>
        </w:numPr>
        <w:spacing w:before="0" w:after="40" w:line="259" w:lineRule="auto"/>
        <w:ind w:left="1797" w:hanging="357"/>
        <w:contextualSpacing/>
        <w:rPr>
          <w:sz w:val="22"/>
          <w:szCs w:val="22"/>
        </w:rPr>
      </w:pPr>
      <w:r>
        <w:rPr>
          <w:sz w:val="22"/>
          <w:szCs w:val="22"/>
          <w:lang w:val="en-US"/>
        </w:rPr>
        <w:t>the</w:t>
      </w:r>
      <w:r w:rsidRPr="002A0898">
        <w:rPr>
          <w:sz w:val="22"/>
          <w:szCs w:val="22"/>
          <w:lang w:val="en-US"/>
        </w:rPr>
        <w:t xml:space="preserve"> </w:t>
      </w:r>
      <w:r>
        <w:rPr>
          <w:sz w:val="22"/>
          <w:szCs w:val="22"/>
          <w:lang w:val="en-US"/>
        </w:rPr>
        <w:t>entity</w:t>
      </w:r>
      <w:r w:rsidRPr="002A0898">
        <w:rPr>
          <w:sz w:val="22"/>
          <w:szCs w:val="22"/>
          <w:lang w:val="en-US"/>
        </w:rPr>
        <w:t xml:space="preserve"> </w:t>
      </w:r>
      <w:r>
        <w:rPr>
          <w:sz w:val="22"/>
          <w:szCs w:val="22"/>
          <w:lang w:val="en-US"/>
        </w:rPr>
        <w:t>must, within 2 business days after being advised,</w:t>
      </w:r>
      <w:r w:rsidRPr="002A0898">
        <w:rPr>
          <w:sz w:val="22"/>
          <w:szCs w:val="22"/>
          <w:lang w:val="en-US"/>
        </w:rPr>
        <w:t xml:space="preserve"> correct </w:t>
      </w:r>
      <w:r>
        <w:rPr>
          <w:sz w:val="22"/>
          <w:szCs w:val="22"/>
          <w:lang w:val="en-US"/>
        </w:rPr>
        <w:t>the information in its possession that can be identified as being associated with the customer and tell the customer to contact the customer’s</w:t>
      </w:r>
      <w:r w:rsidRPr="002A0898">
        <w:rPr>
          <w:sz w:val="22"/>
          <w:szCs w:val="22"/>
        </w:rPr>
        <w:t xml:space="preserve"> carriage service provider to ensure the information is correct</w:t>
      </w:r>
      <w:r>
        <w:rPr>
          <w:sz w:val="22"/>
          <w:szCs w:val="22"/>
        </w:rPr>
        <w:t>ly entered in the IPND;</w:t>
      </w:r>
      <w:r w:rsidRPr="002A0898">
        <w:rPr>
          <w:sz w:val="22"/>
          <w:szCs w:val="22"/>
        </w:rPr>
        <w:t xml:space="preserve">  </w:t>
      </w:r>
    </w:p>
    <w:p w14:paraId="17082CAB" w14:textId="77777777" w:rsidR="00362B2C" w:rsidRPr="003E1187" w:rsidRDefault="00362B2C" w:rsidP="00362B2C">
      <w:pPr>
        <w:pStyle w:val="ACMABodyText"/>
        <w:numPr>
          <w:ilvl w:val="1"/>
          <w:numId w:val="15"/>
        </w:numPr>
        <w:spacing w:before="0" w:after="40" w:line="259" w:lineRule="auto"/>
        <w:ind w:left="1797" w:hanging="357"/>
        <w:rPr>
          <w:sz w:val="22"/>
          <w:szCs w:val="22"/>
        </w:rPr>
      </w:pPr>
      <w:r>
        <w:rPr>
          <w:sz w:val="22"/>
          <w:szCs w:val="22"/>
        </w:rPr>
        <w:t>if the entity is a research representative body –</w:t>
      </w:r>
      <w:r w:rsidRPr="003E1187">
        <w:rPr>
          <w:sz w:val="22"/>
          <w:szCs w:val="22"/>
        </w:rPr>
        <w:t xml:space="preserve"> the entity must notify each of its members who have access to the customer data that the information is incorrect as soon as practicable</w:t>
      </w:r>
      <w:r>
        <w:rPr>
          <w:sz w:val="22"/>
          <w:szCs w:val="22"/>
        </w:rPr>
        <w:t xml:space="preserve"> (subsection (23))</w:t>
      </w:r>
      <w:r w:rsidRPr="003E1187">
        <w:rPr>
          <w:sz w:val="22"/>
          <w:szCs w:val="22"/>
        </w:rPr>
        <w:t xml:space="preserve">.  </w:t>
      </w:r>
    </w:p>
    <w:p w14:paraId="2FA66CE6" w14:textId="31221D35" w:rsidR="00362B2C" w:rsidRDefault="00362B2C" w:rsidP="00362B2C">
      <w:pPr>
        <w:pStyle w:val="ACMABodyText"/>
        <w:spacing w:before="0" w:after="40" w:line="259" w:lineRule="auto"/>
        <w:ind w:left="1077"/>
        <w:rPr>
          <w:sz w:val="22"/>
          <w:szCs w:val="22"/>
        </w:rPr>
      </w:pPr>
      <w:r w:rsidRPr="002A0898">
        <w:rPr>
          <w:sz w:val="22"/>
          <w:szCs w:val="22"/>
        </w:rPr>
        <w:t>This is particularly important as the accuracy of customer data is critical for other IPND data users, such as</w:t>
      </w:r>
      <w:r>
        <w:rPr>
          <w:sz w:val="22"/>
          <w:szCs w:val="22"/>
        </w:rPr>
        <w:t xml:space="preserve"> users for the purposes of</w:t>
      </w:r>
      <w:r w:rsidRPr="002A0898">
        <w:rPr>
          <w:sz w:val="22"/>
          <w:szCs w:val="22"/>
        </w:rPr>
        <w:t xml:space="preserve"> </w:t>
      </w:r>
      <w:r>
        <w:rPr>
          <w:sz w:val="22"/>
          <w:szCs w:val="22"/>
        </w:rPr>
        <w:t>e</w:t>
      </w:r>
      <w:r w:rsidRPr="002A0898">
        <w:rPr>
          <w:sz w:val="22"/>
          <w:szCs w:val="22"/>
        </w:rPr>
        <w:t xml:space="preserve">mergency </w:t>
      </w:r>
      <w:r>
        <w:rPr>
          <w:sz w:val="22"/>
          <w:szCs w:val="22"/>
        </w:rPr>
        <w:t>s</w:t>
      </w:r>
      <w:r w:rsidRPr="002A0898">
        <w:rPr>
          <w:sz w:val="22"/>
          <w:szCs w:val="22"/>
        </w:rPr>
        <w:t>ervices and</w:t>
      </w:r>
      <w:r>
        <w:rPr>
          <w:sz w:val="22"/>
          <w:szCs w:val="22"/>
        </w:rPr>
        <w:t xml:space="preserve"> law enforcement</w:t>
      </w:r>
      <w:r w:rsidRPr="002A0898">
        <w:rPr>
          <w:sz w:val="22"/>
          <w:szCs w:val="22"/>
        </w:rPr>
        <w:t>.</w:t>
      </w:r>
    </w:p>
    <w:p w14:paraId="1EAC6E0F" w14:textId="77777777" w:rsidR="00362B2C" w:rsidRDefault="00362B2C" w:rsidP="00362B2C">
      <w:pPr>
        <w:pStyle w:val="ACMABodyText"/>
        <w:spacing w:before="0" w:after="160" w:line="259" w:lineRule="auto"/>
        <w:ind w:left="1077"/>
        <w:rPr>
          <w:sz w:val="22"/>
          <w:szCs w:val="22"/>
        </w:rPr>
      </w:pPr>
      <w:r>
        <w:rPr>
          <w:sz w:val="22"/>
          <w:szCs w:val="22"/>
        </w:rPr>
        <w:t>The</w:t>
      </w:r>
      <w:r w:rsidRPr="002A0898">
        <w:rPr>
          <w:sz w:val="22"/>
          <w:szCs w:val="22"/>
        </w:rPr>
        <w:t xml:space="preserve"> </w:t>
      </w:r>
      <w:r>
        <w:rPr>
          <w:sz w:val="22"/>
          <w:szCs w:val="22"/>
        </w:rPr>
        <w:t>entity</w:t>
      </w:r>
      <w:r w:rsidRPr="002A0898">
        <w:rPr>
          <w:sz w:val="22"/>
          <w:szCs w:val="22"/>
        </w:rPr>
        <w:t xml:space="preserve"> </w:t>
      </w:r>
      <w:r>
        <w:rPr>
          <w:sz w:val="22"/>
          <w:szCs w:val="22"/>
        </w:rPr>
        <w:t>is</w:t>
      </w:r>
      <w:r w:rsidRPr="002A0898">
        <w:rPr>
          <w:sz w:val="22"/>
          <w:szCs w:val="22"/>
        </w:rPr>
        <w:t xml:space="preserve"> expected to take reasonable steps to verify the identity of </w:t>
      </w:r>
      <w:r>
        <w:rPr>
          <w:sz w:val="22"/>
          <w:szCs w:val="22"/>
        </w:rPr>
        <w:t>the</w:t>
      </w:r>
      <w:r w:rsidRPr="002A0898">
        <w:rPr>
          <w:sz w:val="22"/>
          <w:szCs w:val="22"/>
        </w:rPr>
        <w:t xml:space="preserve"> party </w:t>
      </w:r>
      <w:r>
        <w:rPr>
          <w:sz w:val="22"/>
          <w:szCs w:val="22"/>
        </w:rPr>
        <w:t>providing the advice</w:t>
      </w:r>
      <w:r w:rsidRPr="002A0898">
        <w:rPr>
          <w:sz w:val="22"/>
          <w:szCs w:val="22"/>
        </w:rPr>
        <w:t xml:space="preserve">. </w:t>
      </w:r>
    </w:p>
    <w:p w14:paraId="5806EB79" w14:textId="77777777" w:rsidR="00362B2C" w:rsidRDefault="00362B2C" w:rsidP="00362B2C">
      <w:pPr>
        <w:pStyle w:val="ACMABodyText"/>
        <w:numPr>
          <w:ilvl w:val="0"/>
          <w:numId w:val="15"/>
        </w:numPr>
        <w:spacing w:before="0" w:after="40" w:line="259" w:lineRule="auto"/>
        <w:ind w:left="1080"/>
        <w:rPr>
          <w:sz w:val="22"/>
          <w:szCs w:val="22"/>
        </w:rPr>
      </w:pPr>
      <w:r w:rsidRPr="00BE6D0B">
        <w:rPr>
          <w:sz w:val="22"/>
          <w:szCs w:val="22"/>
        </w:rPr>
        <w:t>If the research entity is a research representative body, the entity must ensure that the required arrangements impose obligations on each of its members to the effect that</w:t>
      </w:r>
      <w:r w:rsidRPr="00EB176A">
        <w:rPr>
          <w:sz w:val="22"/>
          <w:szCs w:val="22"/>
        </w:rPr>
        <w:t xml:space="preserve">: </w:t>
      </w:r>
    </w:p>
    <w:p w14:paraId="1C845960" w14:textId="77777777" w:rsidR="00362B2C" w:rsidRDefault="00362B2C" w:rsidP="00362B2C">
      <w:pPr>
        <w:pStyle w:val="ACMABodyText"/>
        <w:numPr>
          <w:ilvl w:val="1"/>
          <w:numId w:val="15"/>
        </w:numPr>
        <w:spacing w:before="0" w:after="40" w:line="259" w:lineRule="auto"/>
        <w:ind w:left="1800"/>
        <w:rPr>
          <w:sz w:val="22"/>
          <w:szCs w:val="22"/>
        </w:rPr>
      </w:pPr>
      <w:r>
        <w:rPr>
          <w:sz w:val="22"/>
          <w:szCs w:val="22"/>
        </w:rPr>
        <w:t xml:space="preserve">if the </w:t>
      </w:r>
      <w:r w:rsidRPr="00BE6D0B">
        <w:rPr>
          <w:sz w:val="22"/>
          <w:szCs w:val="22"/>
        </w:rPr>
        <w:t xml:space="preserve">entity </w:t>
      </w:r>
      <w:r>
        <w:rPr>
          <w:sz w:val="22"/>
          <w:szCs w:val="22"/>
        </w:rPr>
        <w:t>notifies</w:t>
      </w:r>
      <w:r w:rsidRPr="00BE6D0B">
        <w:rPr>
          <w:sz w:val="22"/>
          <w:szCs w:val="22"/>
        </w:rPr>
        <w:t xml:space="preserve"> the member that the customer da</w:t>
      </w:r>
      <w:r>
        <w:rPr>
          <w:sz w:val="22"/>
          <w:szCs w:val="22"/>
        </w:rPr>
        <w:t>ta or any other information relating to a customer is incorrect, the member</w:t>
      </w:r>
      <w:r w:rsidRPr="00BE6D0B">
        <w:rPr>
          <w:sz w:val="22"/>
          <w:szCs w:val="22"/>
        </w:rPr>
        <w:t xml:space="preserve"> </w:t>
      </w:r>
      <w:r>
        <w:rPr>
          <w:sz w:val="22"/>
          <w:szCs w:val="22"/>
          <w:lang w:val="en-US"/>
        </w:rPr>
        <w:t>must, within 2 business days after being notified,</w:t>
      </w:r>
      <w:r w:rsidRPr="002A0898">
        <w:rPr>
          <w:sz w:val="22"/>
          <w:szCs w:val="22"/>
          <w:lang w:val="en-US"/>
        </w:rPr>
        <w:t xml:space="preserve"> correct </w:t>
      </w:r>
      <w:r>
        <w:rPr>
          <w:sz w:val="22"/>
          <w:szCs w:val="22"/>
          <w:lang w:val="en-US"/>
        </w:rPr>
        <w:t>the information in its possession that can be identified as being associated with the customer;</w:t>
      </w:r>
      <w:r w:rsidRPr="002A0898">
        <w:rPr>
          <w:sz w:val="22"/>
          <w:szCs w:val="22"/>
        </w:rPr>
        <w:t xml:space="preserve"> </w:t>
      </w:r>
    </w:p>
    <w:p w14:paraId="1C65783E" w14:textId="77777777" w:rsidR="00362B2C" w:rsidRDefault="00362B2C" w:rsidP="00362B2C">
      <w:pPr>
        <w:pStyle w:val="ACMABodyText"/>
        <w:numPr>
          <w:ilvl w:val="1"/>
          <w:numId w:val="15"/>
        </w:numPr>
        <w:spacing w:before="0" w:after="40" w:line="259" w:lineRule="auto"/>
        <w:ind w:left="1800"/>
        <w:rPr>
          <w:sz w:val="22"/>
          <w:szCs w:val="22"/>
        </w:rPr>
      </w:pPr>
      <w:r>
        <w:rPr>
          <w:sz w:val="22"/>
          <w:szCs w:val="22"/>
        </w:rPr>
        <w:t>if a customer advises the member that the customer data or any other information relating to the customer held by the member is incorrect, the member must:</w:t>
      </w:r>
    </w:p>
    <w:p w14:paraId="7BC2971F" w14:textId="77777777" w:rsidR="00362B2C" w:rsidRDefault="00362B2C" w:rsidP="00362B2C">
      <w:pPr>
        <w:pStyle w:val="ACMABodyText"/>
        <w:numPr>
          <w:ilvl w:val="2"/>
          <w:numId w:val="15"/>
        </w:numPr>
        <w:spacing w:before="0" w:after="40" w:line="259" w:lineRule="auto"/>
        <w:ind w:left="2520"/>
        <w:rPr>
          <w:sz w:val="22"/>
          <w:szCs w:val="22"/>
        </w:rPr>
      </w:pPr>
      <w:r>
        <w:rPr>
          <w:sz w:val="22"/>
          <w:szCs w:val="22"/>
          <w:lang w:val="en-US"/>
        </w:rPr>
        <w:t>within 2 business days after being advised,</w:t>
      </w:r>
      <w:r w:rsidRPr="002A0898">
        <w:rPr>
          <w:sz w:val="22"/>
          <w:szCs w:val="22"/>
          <w:lang w:val="en-US"/>
        </w:rPr>
        <w:t xml:space="preserve"> correct </w:t>
      </w:r>
      <w:r>
        <w:rPr>
          <w:sz w:val="22"/>
          <w:szCs w:val="22"/>
          <w:lang w:val="en-US"/>
        </w:rPr>
        <w:t>the information in its possession that can be identified as being associated with the customer; and</w:t>
      </w:r>
    </w:p>
    <w:p w14:paraId="732C6DBB" w14:textId="77777777" w:rsidR="00362B2C" w:rsidRDefault="00362B2C" w:rsidP="00362B2C">
      <w:pPr>
        <w:pStyle w:val="ACMABodyText"/>
        <w:numPr>
          <w:ilvl w:val="2"/>
          <w:numId w:val="15"/>
        </w:numPr>
        <w:spacing w:before="0" w:after="40" w:line="259" w:lineRule="auto"/>
        <w:ind w:left="2520"/>
        <w:rPr>
          <w:sz w:val="22"/>
          <w:szCs w:val="22"/>
        </w:rPr>
      </w:pPr>
      <w:r>
        <w:rPr>
          <w:sz w:val="22"/>
          <w:szCs w:val="22"/>
        </w:rPr>
        <w:lastRenderedPageBreak/>
        <w:t>notify the entity in writing that the information is incorrect as soon as practicable (paragraph (24)(a)).</w:t>
      </w:r>
    </w:p>
    <w:p w14:paraId="0A7A8750" w14:textId="77777777" w:rsidR="00362B2C" w:rsidRDefault="00362B2C" w:rsidP="00362B2C">
      <w:pPr>
        <w:pStyle w:val="ACMABodyText"/>
        <w:spacing w:before="0" w:after="160" w:line="259" w:lineRule="auto"/>
        <w:ind w:left="1077"/>
        <w:rPr>
          <w:sz w:val="22"/>
          <w:szCs w:val="22"/>
        </w:rPr>
      </w:pPr>
      <w:r>
        <w:rPr>
          <w:sz w:val="22"/>
          <w:szCs w:val="22"/>
        </w:rPr>
        <w:t>It is anticipated that the required arrangements will note that the member is expected to take reasonable steps to verify the identity of the party providing the advice.</w:t>
      </w:r>
    </w:p>
    <w:p w14:paraId="19A5BC97" w14:textId="77777777" w:rsidR="00362B2C" w:rsidRDefault="00362B2C" w:rsidP="00362B2C">
      <w:pPr>
        <w:pStyle w:val="ACMABodyText"/>
        <w:numPr>
          <w:ilvl w:val="0"/>
          <w:numId w:val="15"/>
        </w:numPr>
        <w:spacing w:before="0" w:after="160" w:line="259" w:lineRule="auto"/>
        <w:ind w:left="1077" w:hanging="357"/>
        <w:rPr>
          <w:sz w:val="22"/>
          <w:szCs w:val="22"/>
        </w:rPr>
      </w:pPr>
      <w:r>
        <w:rPr>
          <w:sz w:val="22"/>
          <w:szCs w:val="22"/>
        </w:rPr>
        <w:t>If a member notifies the research entity that the customer data or any other information relating to a customer is incorrect, the entity must, within 2 business days after being notified, correct the information in its possession that can be identified as being associated with the customer and notify all of its other members who have access to the customer data relating to the customer that the information referred to in the notice is incorrect as soon as practicable (paragraph (24)(b)).</w:t>
      </w:r>
    </w:p>
    <w:p w14:paraId="0640ACFF" w14:textId="77777777" w:rsidR="00362B2C" w:rsidRPr="00AE4CAD" w:rsidRDefault="00362B2C" w:rsidP="00362B2C">
      <w:pPr>
        <w:pStyle w:val="ACMABodyText"/>
        <w:numPr>
          <w:ilvl w:val="0"/>
          <w:numId w:val="15"/>
        </w:numPr>
        <w:spacing w:before="0" w:after="160" w:line="259" w:lineRule="auto"/>
        <w:ind w:left="1077" w:hanging="357"/>
        <w:rPr>
          <w:sz w:val="22"/>
          <w:szCs w:val="22"/>
        </w:rPr>
      </w:pPr>
      <w:r>
        <w:rPr>
          <w:sz w:val="22"/>
          <w:szCs w:val="22"/>
        </w:rPr>
        <w:t xml:space="preserve">The research entity must have technical systems to receive customer data in accordance with any technical method specified by the IPND Manager (subsection (25)). The technical method or methods may be changed from time to time. </w:t>
      </w:r>
      <w:r w:rsidRPr="004C608C">
        <w:rPr>
          <w:sz w:val="22"/>
          <w:szCs w:val="22"/>
        </w:rPr>
        <w:t>This is important to ensure</w:t>
      </w:r>
      <w:r>
        <w:rPr>
          <w:sz w:val="22"/>
          <w:szCs w:val="22"/>
        </w:rPr>
        <w:t xml:space="preserve"> that</w:t>
      </w:r>
      <w:r w:rsidRPr="004C608C">
        <w:rPr>
          <w:sz w:val="22"/>
          <w:szCs w:val="22"/>
        </w:rPr>
        <w:t xml:space="preserve"> the protection and security of </w:t>
      </w:r>
      <w:r>
        <w:rPr>
          <w:sz w:val="22"/>
          <w:szCs w:val="22"/>
        </w:rPr>
        <w:t xml:space="preserve">the </w:t>
      </w:r>
      <w:r w:rsidRPr="004C608C">
        <w:rPr>
          <w:sz w:val="22"/>
          <w:szCs w:val="22"/>
        </w:rPr>
        <w:t>customer data is not compromised.</w:t>
      </w:r>
    </w:p>
    <w:p w14:paraId="7A3978B1" w14:textId="77777777" w:rsidR="00362B2C" w:rsidRDefault="00362B2C" w:rsidP="00362B2C">
      <w:pPr>
        <w:pStyle w:val="ACMABodyText"/>
        <w:numPr>
          <w:ilvl w:val="0"/>
          <w:numId w:val="15"/>
        </w:numPr>
        <w:spacing w:before="0" w:after="160" w:line="259" w:lineRule="auto"/>
        <w:ind w:left="1077" w:hanging="357"/>
        <w:rPr>
          <w:sz w:val="22"/>
          <w:szCs w:val="22"/>
        </w:rPr>
      </w:pPr>
      <w:r w:rsidRPr="00BE6D0B">
        <w:rPr>
          <w:sz w:val="22"/>
          <w:szCs w:val="22"/>
        </w:rPr>
        <w:t>The research entity must not use a directory address that is a suppressed address entry</w:t>
      </w:r>
      <w:r>
        <w:rPr>
          <w:sz w:val="22"/>
          <w:szCs w:val="22"/>
        </w:rPr>
        <w:t xml:space="preserve"> (subsection (26))</w:t>
      </w:r>
      <w:r w:rsidRPr="00BE6D0B">
        <w:rPr>
          <w:sz w:val="22"/>
          <w:szCs w:val="22"/>
        </w:rPr>
        <w:t xml:space="preserve">. </w:t>
      </w:r>
      <w:r w:rsidRPr="0011045E">
        <w:rPr>
          <w:sz w:val="22"/>
          <w:szCs w:val="22"/>
        </w:rPr>
        <w:t xml:space="preserve">This ensures that a customer’s request not </w:t>
      </w:r>
      <w:r>
        <w:rPr>
          <w:sz w:val="22"/>
          <w:szCs w:val="22"/>
        </w:rPr>
        <w:t xml:space="preserve">to </w:t>
      </w:r>
      <w:r w:rsidRPr="0011045E">
        <w:rPr>
          <w:sz w:val="22"/>
          <w:szCs w:val="22"/>
        </w:rPr>
        <w:t>identify the</w:t>
      </w:r>
      <w:r>
        <w:rPr>
          <w:sz w:val="22"/>
          <w:szCs w:val="22"/>
        </w:rPr>
        <w:t xml:space="preserve"> customer’s</w:t>
      </w:r>
      <w:r w:rsidRPr="0011045E">
        <w:rPr>
          <w:sz w:val="22"/>
          <w:szCs w:val="22"/>
        </w:rPr>
        <w:t xml:space="preserve"> address is complied with.  </w:t>
      </w:r>
    </w:p>
    <w:p w14:paraId="09D81823" w14:textId="77777777" w:rsidR="00362B2C" w:rsidRDefault="00362B2C" w:rsidP="00362B2C">
      <w:pPr>
        <w:pStyle w:val="ACMABodyText"/>
        <w:numPr>
          <w:ilvl w:val="0"/>
          <w:numId w:val="15"/>
        </w:numPr>
        <w:spacing w:before="0" w:after="160" w:line="259" w:lineRule="auto"/>
        <w:ind w:left="1077" w:hanging="357"/>
        <w:rPr>
          <w:sz w:val="22"/>
          <w:szCs w:val="22"/>
        </w:rPr>
      </w:pPr>
      <w:r>
        <w:rPr>
          <w:sz w:val="22"/>
          <w:szCs w:val="22"/>
        </w:rPr>
        <w:t>I</w:t>
      </w:r>
      <w:r w:rsidRPr="00BE6D0B">
        <w:rPr>
          <w:sz w:val="22"/>
          <w:szCs w:val="22"/>
        </w:rPr>
        <w:t xml:space="preserve">f the research entity is a </w:t>
      </w:r>
      <w:r>
        <w:rPr>
          <w:sz w:val="22"/>
          <w:szCs w:val="22"/>
        </w:rPr>
        <w:t xml:space="preserve">research </w:t>
      </w:r>
      <w:r w:rsidRPr="00BE6D0B">
        <w:rPr>
          <w:sz w:val="22"/>
          <w:szCs w:val="22"/>
        </w:rPr>
        <w:t>representative body, the entity must ensure that the required arrangements impose an obligation on each of its members to the effect that the member must comply with the condition mentioned immediately above as if it were a research entity</w:t>
      </w:r>
      <w:r>
        <w:rPr>
          <w:sz w:val="22"/>
          <w:szCs w:val="22"/>
        </w:rPr>
        <w:t xml:space="preserve"> (subsection (27))</w:t>
      </w:r>
      <w:r w:rsidRPr="00BE6D0B">
        <w:rPr>
          <w:sz w:val="22"/>
          <w:szCs w:val="22"/>
        </w:rPr>
        <w:t>.</w:t>
      </w:r>
    </w:p>
    <w:p w14:paraId="4222B7AE" w14:textId="77777777" w:rsidR="00362B2C" w:rsidRDefault="00362B2C" w:rsidP="00362B2C">
      <w:pPr>
        <w:pStyle w:val="ACMABodyText"/>
        <w:numPr>
          <w:ilvl w:val="0"/>
          <w:numId w:val="15"/>
        </w:numPr>
        <w:spacing w:before="0" w:after="40" w:line="259" w:lineRule="auto"/>
        <w:ind w:left="1077" w:hanging="357"/>
        <w:rPr>
          <w:sz w:val="22"/>
          <w:szCs w:val="22"/>
        </w:rPr>
      </w:pPr>
      <w:r w:rsidRPr="00BE6D0B">
        <w:rPr>
          <w:sz w:val="22"/>
          <w:szCs w:val="22"/>
        </w:rPr>
        <w:t>If</w:t>
      </w:r>
      <w:r>
        <w:rPr>
          <w:sz w:val="22"/>
          <w:szCs w:val="22"/>
        </w:rPr>
        <w:t>:</w:t>
      </w:r>
      <w:r w:rsidRPr="00BE6D0B">
        <w:rPr>
          <w:sz w:val="22"/>
          <w:szCs w:val="22"/>
        </w:rPr>
        <w:t xml:space="preserve"> </w:t>
      </w:r>
    </w:p>
    <w:p w14:paraId="48ED5432" w14:textId="77777777" w:rsidR="00362B2C" w:rsidRDefault="00362B2C" w:rsidP="00362B2C">
      <w:pPr>
        <w:pStyle w:val="ACMABodyText"/>
        <w:numPr>
          <w:ilvl w:val="1"/>
          <w:numId w:val="15"/>
        </w:numPr>
        <w:spacing w:before="0" w:after="40" w:line="259" w:lineRule="auto"/>
        <w:ind w:left="1797" w:hanging="357"/>
        <w:contextualSpacing/>
        <w:rPr>
          <w:sz w:val="22"/>
          <w:szCs w:val="22"/>
        </w:rPr>
      </w:pPr>
      <w:r w:rsidRPr="00BE6D0B">
        <w:rPr>
          <w:sz w:val="22"/>
          <w:szCs w:val="22"/>
        </w:rPr>
        <w:t>the fields of customer data to which the authorisation applies do not include the name of a customer or a customer</w:t>
      </w:r>
      <w:r w:rsidRPr="00EB176A">
        <w:rPr>
          <w:sz w:val="22"/>
          <w:szCs w:val="22"/>
        </w:rPr>
        <w:t>’s business</w:t>
      </w:r>
      <w:r>
        <w:rPr>
          <w:sz w:val="22"/>
          <w:szCs w:val="22"/>
        </w:rPr>
        <w:t xml:space="preserve">; </w:t>
      </w:r>
      <w:r w:rsidRPr="00EB176A">
        <w:rPr>
          <w:sz w:val="22"/>
          <w:szCs w:val="22"/>
        </w:rPr>
        <w:t xml:space="preserve"> </w:t>
      </w:r>
    </w:p>
    <w:p w14:paraId="53C3CEAA" w14:textId="77777777" w:rsidR="00362B2C" w:rsidRDefault="00362B2C" w:rsidP="00362B2C">
      <w:pPr>
        <w:pStyle w:val="ACMABodyText"/>
        <w:numPr>
          <w:ilvl w:val="1"/>
          <w:numId w:val="15"/>
        </w:numPr>
        <w:spacing w:before="0" w:after="40" w:line="259" w:lineRule="auto"/>
        <w:ind w:left="1797" w:hanging="357"/>
        <w:contextualSpacing/>
        <w:rPr>
          <w:sz w:val="22"/>
          <w:szCs w:val="22"/>
        </w:rPr>
      </w:pPr>
      <w:r w:rsidRPr="00EB176A">
        <w:rPr>
          <w:sz w:val="22"/>
          <w:szCs w:val="22"/>
        </w:rPr>
        <w:t>the research entity has become aware</w:t>
      </w:r>
      <w:r>
        <w:rPr>
          <w:sz w:val="22"/>
          <w:szCs w:val="22"/>
        </w:rPr>
        <w:t xml:space="preserve"> that</w:t>
      </w:r>
      <w:r w:rsidRPr="00EB176A">
        <w:rPr>
          <w:sz w:val="22"/>
          <w:szCs w:val="22"/>
        </w:rPr>
        <w:t xml:space="preserve"> other information has been added to the customer data without the customer’s consent</w:t>
      </w:r>
      <w:r>
        <w:rPr>
          <w:sz w:val="22"/>
          <w:szCs w:val="22"/>
        </w:rPr>
        <w:t>;</w:t>
      </w:r>
      <w:r w:rsidRPr="00F267F6">
        <w:rPr>
          <w:sz w:val="22"/>
          <w:szCs w:val="22"/>
        </w:rPr>
        <w:t xml:space="preserve"> and </w:t>
      </w:r>
    </w:p>
    <w:p w14:paraId="19DC3B0F" w14:textId="77777777" w:rsidR="00362B2C" w:rsidRDefault="00362B2C" w:rsidP="00362B2C">
      <w:pPr>
        <w:pStyle w:val="ACMABodyText"/>
        <w:numPr>
          <w:ilvl w:val="1"/>
          <w:numId w:val="15"/>
        </w:numPr>
        <w:spacing w:before="0" w:after="40" w:line="259" w:lineRule="auto"/>
        <w:ind w:left="1797" w:hanging="357"/>
        <w:contextualSpacing/>
        <w:rPr>
          <w:sz w:val="22"/>
          <w:szCs w:val="22"/>
        </w:rPr>
      </w:pPr>
      <w:r>
        <w:rPr>
          <w:sz w:val="22"/>
          <w:szCs w:val="22"/>
        </w:rPr>
        <w:t>as a result of that</w:t>
      </w:r>
      <w:r w:rsidRPr="00F267F6">
        <w:rPr>
          <w:sz w:val="22"/>
          <w:szCs w:val="22"/>
        </w:rPr>
        <w:t xml:space="preserve"> breach a customer or a customer’s business is identified by name as the customer or the customer</w:t>
      </w:r>
      <w:r w:rsidRPr="00D73776">
        <w:rPr>
          <w:sz w:val="22"/>
          <w:szCs w:val="22"/>
        </w:rPr>
        <w:t>’s business to w</w:t>
      </w:r>
      <w:r>
        <w:rPr>
          <w:sz w:val="22"/>
          <w:szCs w:val="22"/>
        </w:rPr>
        <w:t>hich the customer data relates;</w:t>
      </w:r>
    </w:p>
    <w:p w14:paraId="30D2661F" w14:textId="77777777" w:rsidR="00362B2C" w:rsidRDefault="00362B2C" w:rsidP="00362B2C">
      <w:pPr>
        <w:pStyle w:val="ACMABodyText"/>
        <w:spacing w:before="0" w:after="160" w:line="259" w:lineRule="auto"/>
        <w:ind w:left="1077"/>
        <w:rPr>
          <w:sz w:val="22"/>
          <w:szCs w:val="22"/>
        </w:rPr>
      </w:pPr>
      <w:r w:rsidRPr="00D73776">
        <w:rPr>
          <w:sz w:val="22"/>
          <w:szCs w:val="22"/>
        </w:rPr>
        <w:t>the entity must as soon as practicable destroy the customer data and the other information that has been added to the customer data or take such other steps to ensure that the customer or the customer’s business is no longer identified in that way</w:t>
      </w:r>
      <w:r>
        <w:rPr>
          <w:sz w:val="22"/>
          <w:szCs w:val="22"/>
        </w:rPr>
        <w:t xml:space="preserve"> (subsection (28))</w:t>
      </w:r>
      <w:r w:rsidRPr="00D73776">
        <w:rPr>
          <w:sz w:val="22"/>
          <w:szCs w:val="22"/>
        </w:rPr>
        <w:t>.</w:t>
      </w:r>
      <w:r w:rsidRPr="0055465E">
        <w:rPr>
          <w:sz w:val="22"/>
          <w:szCs w:val="22"/>
        </w:rPr>
        <w:t xml:space="preserve"> </w:t>
      </w:r>
    </w:p>
    <w:p w14:paraId="12A48B88" w14:textId="77777777" w:rsidR="00362B2C" w:rsidRDefault="00362B2C" w:rsidP="00362B2C">
      <w:pPr>
        <w:pStyle w:val="ACMABodyText"/>
        <w:numPr>
          <w:ilvl w:val="0"/>
          <w:numId w:val="15"/>
        </w:numPr>
        <w:spacing w:before="0" w:after="40" w:line="259" w:lineRule="auto"/>
        <w:ind w:left="1080"/>
        <w:rPr>
          <w:sz w:val="22"/>
          <w:szCs w:val="22"/>
        </w:rPr>
      </w:pPr>
      <w:r w:rsidRPr="00BE6D0B">
        <w:rPr>
          <w:sz w:val="22"/>
          <w:szCs w:val="22"/>
        </w:rPr>
        <w:lastRenderedPageBreak/>
        <w:t xml:space="preserve">If the research entity is a </w:t>
      </w:r>
      <w:r>
        <w:rPr>
          <w:sz w:val="22"/>
          <w:szCs w:val="22"/>
        </w:rPr>
        <w:t xml:space="preserve">research </w:t>
      </w:r>
      <w:r w:rsidRPr="00BE6D0B">
        <w:rPr>
          <w:sz w:val="22"/>
          <w:szCs w:val="22"/>
        </w:rPr>
        <w:t>representative body, the entity must ensure that the required arrangements impose obligations on each of its members to the effect that if</w:t>
      </w:r>
      <w:r>
        <w:rPr>
          <w:sz w:val="22"/>
          <w:szCs w:val="22"/>
        </w:rPr>
        <w:t>:</w:t>
      </w:r>
      <w:r w:rsidRPr="00BE6D0B">
        <w:rPr>
          <w:sz w:val="22"/>
          <w:szCs w:val="22"/>
        </w:rPr>
        <w:t xml:space="preserve"> </w:t>
      </w:r>
    </w:p>
    <w:p w14:paraId="4D8992D5" w14:textId="77777777" w:rsidR="00362B2C" w:rsidRDefault="00362B2C" w:rsidP="00362B2C">
      <w:pPr>
        <w:pStyle w:val="ACMABodyText"/>
        <w:numPr>
          <w:ilvl w:val="1"/>
          <w:numId w:val="15"/>
        </w:numPr>
        <w:spacing w:before="0" w:after="40" w:line="259" w:lineRule="auto"/>
        <w:ind w:left="1800"/>
        <w:contextualSpacing/>
        <w:rPr>
          <w:sz w:val="22"/>
          <w:szCs w:val="22"/>
        </w:rPr>
      </w:pPr>
      <w:r w:rsidRPr="00BE6D0B">
        <w:rPr>
          <w:sz w:val="22"/>
          <w:szCs w:val="22"/>
        </w:rPr>
        <w:t xml:space="preserve">the member becomes </w:t>
      </w:r>
      <w:r w:rsidRPr="00EB176A">
        <w:rPr>
          <w:sz w:val="22"/>
          <w:szCs w:val="22"/>
        </w:rPr>
        <w:t>aware that other information has been added to the customer data</w:t>
      </w:r>
      <w:r>
        <w:rPr>
          <w:sz w:val="22"/>
          <w:szCs w:val="22"/>
        </w:rPr>
        <w:t xml:space="preserve"> without the customer’s consent; and</w:t>
      </w:r>
      <w:r w:rsidRPr="00EB176A">
        <w:rPr>
          <w:sz w:val="22"/>
          <w:szCs w:val="22"/>
        </w:rPr>
        <w:t xml:space="preserve"> </w:t>
      </w:r>
    </w:p>
    <w:p w14:paraId="31D2D896" w14:textId="77777777" w:rsidR="00362B2C" w:rsidRDefault="00362B2C" w:rsidP="00362B2C">
      <w:pPr>
        <w:pStyle w:val="ACMABodyText"/>
        <w:numPr>
          <w:ilvl w:val="1"/>
          <w:numId w:val="15"/>
        </w:numPr>
        <w:spacing w:before="0" w:after="40" w:line="259" w:lineRule="auto"/>
        <w:ind w:left="1800"/>
        <w:contextualSpacing/>
        <w:rPr>
          <w:sz w:val="22"/>
          <w:szCs w:val="22"/>
        </w:rPr>
      </w:pPr>
      <w:r w:rsidRPr="00EB176A">
        <w:rPr>
          <w:sz w:val="22"/>
          <w:szCs w:val="22"/>
        </w:rPr>
        <w:t>as a result of th</w:t>
      </w:r>
      <w:r>
        <w:rPr>
          <w:sz w:val="22"/>
          <w:szCs w:val="22"/>
        </w:rPr>
        <w:t>at</w:t>
      </w:r>
      <w:r w:rsidRPr="00EB176A">
        <w:rPr>
          <w:sz w:val="22"/>
          <w:szCs w:val="22"/>
        </w:rPr>
        <w:t xml:space="preserve"> breach </w:t>
      </w:r>
      <w:r w:rsidRPr="00F267F6">
        <w:rPr>
          <w:sz w:val="22"/>
          <w:szCs w:val="22"/>
        </w:rPr>
        <w:t>a customer or a customer’s business is identified by name as the customer or the customer’s business to w</w:t>
      </w:r>
      <w:r>
        <w:rPr>
          <w:sz w:val="22"/>
          <w:szCs w:val="22"/>
        </w:rPr>
        <w:t>hich the customer data relates;</w:t>
      </w:r>
    </w:p>
    <w:p w14:paraId="00CBB8DB" w14:textId="77777777" w:rsidR="00362B2C" w:rsidRDefault="00362B2C" w:rsidP="00362B2C">
      <w:pPr>
        <w:pStyle w:val="ACMABodyText"/>
        <w:spacing w:before="0" w:after="40" w:line="259" w:lineRule="auto"/>
        <w:ind w:left="1080"/>
        <w:contextualSpacing/>
        <w:rPr>
          <w:sz w:val="22"/>
          <w:szCs w:val="22"/>
        </w:rPr>
      </w:pPr>
      <w:r w:rsidRPr="00F267F6">
        <w:rPr>
          <w:sz w:val="22"/>
          <w:szCs w:val="22"/>
        </w:rPr>
        <w:t>the member must</w:t>
      </w:r>
      <w:r>
        <w:rPr>
          <w:sz w:val="22"/>
          <w:szCs w:val="22"/>
        </w:rPr>
        <w:t>:</w:t>
      </w:r>
      <w:r w:rsidRPr="00F267F6">
        <w:rPr>
          <w:sz w:val="22"/>
          <w:szCs w:val="22"/>
        </w:rPr>
        <w:t xml:space="preserve"> </w:t>
      </w:r>
    </w:p>
    <w:p w14:paraId="227F4C2D" w14:textId="77777777" w:rsidR="00362B2C" w:rsidRDefault="00362B2C" w:rsidP="00362B2C">
      <w:pPr>
        <w:pStyle w:val="ACMABodyText"/>
        <w:numPr>
          <w:ilvl w:val="1"/>
          <w:numId w:val="15"/>
        </w:numPr>
        <w:spacing w:before="0" w:after="40" w:line="259" w:lineRule="auto"/>
        <w:ind w:left="1800"/>
        <w:contextualSpacing/>
        <w:rPr>
          <w:sz w:val="22"/>
          <w:szCs w:val="22"/>
        </w:rPr>
      </w:pPr>
      <w:r w:rsidRPr="00F267F6">
        <w:rPr>
          <w:sz w:val="22"/>
          <w:szCs w:val="22"/>
        </w:rPr>
        <w:t>as soon as practicable</w:t>
      </w:r>
      <w:r>
        <w:rPr>
          <w:sz w:val="22"/>
          <w:szCs w:val="22"/>
        </w:rPr>
        <w:t>,</w:t>
      </w:r>
      <w:r w:rsidRPr="00F267F6">
        <w:rPr>
          <w:sz w:val="22"/>
          <w:szCs w:val="22"/>
        </w:rPr>
        <w:t xml:space="preserve"> destroy the customer data and the other information that has been added to the cu</w:t>
      </w:r>
      <w:r>
        <w:rPr>
          <w:sz w:val="22"/>
          <w:szCs w:val="22"/>
        </w:rPr>
        <w:t xml:space="preserve">stomer data or take </w:t>
      </w:r>
      <w:r w:rsidRPr="00D73776">
        <w:rPr>
          <w:sz w:val="22"/>
          <w:szCs w:val="22"/>
        </w:rPr>
        <w:t>other steps to ensure that the customer or the customer’s business is no longer identified in that way</w:t>
      </w:r>
      <w:r>
        <w:rPr>
          <w:sz w:val="22"/>
          <w:szCs w:val="22"/>
        </w:rPr>
        <w:t>; and</w:t>
      </w:r>
    </w:p>
    <w:p w14:paraId="089A310B" w14:textId="77777777" w:rsidR="00362B2C" w:rsidRDefault="00362B2C" w:rsidP="00362B2C">
      <w:pPr>
        <w:pStyle w:val="ACMABodyText"/>
        <w:numPr>
          <w:ilvl w:val="1"/>
          <w:numId w:val="15"/>
        </w:numPr>
        <w:spacing w:before="0" w:after="160" w:line="259" w:lineRule="auto"/>
        <w:ind w:left="1797" w:hanging="357"/>
        <w:rPr>
          <w:sz w:val="22"/>
          <w:szCs w:val="22"/>
        </w:rPr>
      </w:pPr>
      <w:r w:rsidRPr="00D73776">
        <w:rPr>
          <w:sz w:val="22"/>
          <w:szCs w:val="22"/>
        </w:rPr>
        <w:t>notify the entity in writing of the breach and the steps taken to ensure that the customer or the custo</w:t>
      </w:r>
      <w:r w:rsidRPr="0055465E">
        <w:rPr>
          <w:sz w:val="22"/>
          <w:szCs w:val="22"/>
        </w:rPr>
        <w:t>mer’s business is no longer identified in that way, as soon as practicable</w:t>
      </w:r>
      <w:r>
        <w:rPr>
          <w:sz w:val="22"/>
          <w:szCs w:val="22"/>
        </w:rPr>
        <w:t xml:space="preserve"> (subsection (29))</w:t>
      </w:r>
      <w:r w:rsidRPr="0055465E">
        <w:rPr>
          <w:sz w:val="22"/>
          <w:szCs w:val="22"/>
        </w:rPr>
        <w:t>.</w:t>
      </w:r>
    </w:p>
    <w:p w14:paraId="1E58380B" w14:textId="77777777" w:rsidR="00362B2C" w:rsidRPr="009448DB" w:rsidRDefault="00362B2C" w:rsidP="00362B2C">
      <w:pPr>
        <w:pStyle w:val="ACMABodyText"/>
        <w:numPr>
          <w:ilvl w:val="0"/>
          <w:numId w:val="15"/>
        </w:numPr>
        <w:spacing w:before="0" w:after="160" w:line="259" w:lineRule="auto"/>
        <w:ind w:left="1077" w:hanging="357"/>
        <w:rPr>
          <w:sz w:val="22"/>
          <w:szCs w:val="22"/>
        </w:rPr>
      </w:pPr>
      <w:r w:rsidRPr="009448DB">
        <w:rPr>
          <w:sz w:val="22"/>
          <w:szCs w:val="22"/>
        </w:rPr>
        <w:t xml:space="preserve">The research entity is also subject to an additional requirement to notify the ACMA of such a breach and to take all reasonable steps to minimise </w:t>
      </w:r>
      <w:r>
        <w:rPr>
          <w:sz w:val="22"/>
          <w:szCs w:val="22"/>
        </w:rPr>
        <w:t>the</w:t>
      </w:r>
      <w:r w:rsidRPr="009448DB">
        <w:rPr>
          <w:sz w:val="22"/>
          <w:szCs w:val="22"/>
        </w:rPr>
        <w:t xml:space="preserve"> effects</w:t>
      </w:r>
      <w:r>
        <w:rPr>
          <w:sz w:val="22"/>
          <w:szCs w:val="22"/>
        </w:rPr>
        <w:t xml:space="preserve"> of the breach</w:t>
      </w:r>
      <w:r w:rsidRPr="009448DB">
        <w:rPr>
          <w:sz w:val="22"/>
          <w:szCs w:val="22"/>
        </w:rPr>
        <w:t xml:space="preserve"> as soon as practicable </w:t>
      </w:r>
      <w:r>
        <w:rPr>
          <w:sz w:val="22"/>
          <w:szCs w:val="22"/>
        </w:rPr>
        <w:t>after the entity</w:t>
      </w:r>
      <w:r w:rsidRPr="009448DB">
        <w:rPr>
          <w:sz w:val="22"/>
          <w:szCs w:val="22"/>
        </w:rPr>
        <w:t xml:space="preserve"> becomes aware</w:t>
      </w:r>
      <w:r>
        <w:rPr>
          <w:sz w:val="22"/>
          <w:szCs w:val="22"/>
        </w:rPr>
        <w:t xml:space="preserve"> of it (subsection (30))</w:t>
      </w:r>
      <w:r w:rsidRPr="009448DB">
        <w:rPr>
          <w:sz w:val="22"/>
          <w:szCs w:val="22"/>
        </w:rPr>
        <w:t xml:space="preserve">. </w:t>
      </w:r>
    </w:p>
    <w:p w14:paraId="396AD34D" w14:textId="77777777" w:rsidR="00362B2C" w:rsidRDefault="00362B2C" w:rsidP="00362B2C">
      <w:pPr>
        <w:pStyle w:val="ACMABodyText"/>
        <w:numPr>
          <w:ilvl w:val="0"/>
          <w:numId w:val="31"/>
        </w:numPr>
        <w:spacing w:before="0" w:after="160" w:line="259" w:lineRule="auto"/>
        <w:ind w:left="1077" w:hanging="357"/>
        <w:rPr>
          <w:sz w:val="22"/>
          <w:szCs w:val="22"/>
        </w:rPr>
      </w:pPr>
      <w:r>
        <w:rPr>
          <w:sz w:val="22"/>
          <w:szCs w:val="22"/>
        </w:rPr>
        <w:t xml:space="preserve">If the research entity is a research representative body, the entity must ensure that the required arrangements impose an obligation on each of its members to the effect that the member must comply with the conditions specified by the Minister in a legislative instrument under section 295P of the Act as if the member were a </w:t>
      </w:r>
      <w:r w:rsidRPr="00BE6D0B">
        <w:rPr>
          <w:sz w:val="22"/>
          <w:szCs w:val="22"/>
        </w:rPr>
        <w:t>research entity</w:t>
      </w:r>
      <w:r>
        <w:rPr>
          <w:sz w:val="22"/>
          <w:szCs w:val="22"/>
        </w:rPr>
        <w:t xml:space="preserve"> (subsection (31))</w:t>
      </w:r>
      <w:r w:rsidRPr="00BE6D0B">
        <w:rPr>
          <w:sz w:val="22"/>
          <w:szCs w:val="22"/>
        </w:rPr>
        <w:t>.</w:t>
      </w:r>
      <w:r>
        <w:rPr>
          <w:sz w:val="22"/>
          <w:szCs w:val="22"/>
        </w:rPr>
        <w:t xml:space="preserve"> </w:t>
      </w:r>
    </w:p>
    <w:p w14:paraId="5239163D" w14:textId="77777777" w:rsidR="00362B2C" w:rsidRPr="00EA58F2" w:rsidRDefault="00362B2C" w:rsidP="00362B2C">
      <w:pPr>
        <w:pStyle w:val="ACMABodyText"/>
        <w:numPr>
          <w:ilvl w:val="0"/>
          <w:numId w:val="31"/>
        </w:numPr>
        <w:spacing w:before="0" w:after="160" w:line="259" w:lineRule="auto"/>
        <w:ind w:left="1077" w:hanging="357"/>
        <w:rPr>
          <w:sz w:val="22"/>
          <w:szCs w:val="22"/>
        </w:rPr>
      </w:pPr>
      <w:r>
        <w:rPr>
          <w:sz w:val="22"/>
          <w:szCs w:val="22"/>
        </w:rPr>
        <w:t xml:space="preserve">The ACMA may </w:t>
      </w:r>
      <w:r w:rsidRPr="006559FB">
        <w:rPr>
          <w:sz w:val="22"/>
          <w:szCs w:val="22"/>
        </w:rPr>
        <w:t>specify</w:t>
      </w:r>
      <w:r>
        <w:rPr>
          <w:sz w:val="22"/>
          <w:szCs w:val="22"/>
        </w:rPr>
        <w:t xml:space="preserve"> in writing</w:t>
      </w:r>
      <w:r w:rsidRPr="006559FB">
        <w:rPr>
          <w:sz w:val="22"/>
          <w:szCs w:val="22"/>
        </w:rPr>
        <w:t xml:space="preserve"> other conditions</w:t>
      </w:r>
      <w:r>
        <w:rPr>
          <w:sz w:val="22"/>
          <w:szCs w:val="22"/>
        </w:rPr>
        <w:t xml:space="preserve"> to which</w:t>
      </w:r>
      <w:r w:rsidRPr="006559FB">
        <w:rPr>
          <w:sz w:val="22"/>
          <w:szCs w:val="22"/>
        </w:rPr>
        <w:t xml:space="preserve"> </w:t>
      </w:r>
      <w:r>
        <w:rPr>
          <w:sz w:val="22"/>
          <w:szCs w:val="22"/>
        </w:rPr>
        <w:t xml:space="preserve">the </w:t>
      </w:r>
      <w:r w:rsidRPr="006559FB">
        <w:rPr>
          <w:sz w:val="22"/>
          <w:szCs w:val="22"/>
        </w:rPr>
        <w:t>authorisation</w:t>
      </w:r>
      <w:r>
        <w:rPr>
          <w:sz w:val="22"/>
          <w:szCs w:val="22"/>
        </w:rPr>
        <w:t xml:space="preserve"> is subject (paragraph (32)(a))</w:t>
      </w:r>
      <w:r w:rsidRPr="006559FB">
        <w:rPr>
          <w:sz w:val="22"/>
          <w:szCs w:val="22"/>
        </w:rPr>
        <w:t>.</w:t>
      </w:r>
      <w:r w:rsidRPr="00502217">
        <w:rPr>
          <w:sz w:val="22"/>
          <w:szCs w:val="22"/>
        </w:rPr>
        <w:t xml:space="preserve"> </w:t>
      </w:r>
      <w:r>
        <w:rPr>
          <w:sz w:val="22"/>
          <w:szCs w:val="22"/>
        </w:rPr>
        <w:t xml:space="preserve">The ACMA may also vary or remove any condition so specified (paragraph (32)(b)). The ACMA must notify the research entity in writing of any specified condition, or of any variation or removal of such a condition, as soon as practicable and before the condition, or the variation or removal, is expressed to take effect (paragraph (32)(c)).  The ACMA must also notify the IPND Manager in writing of any specified condition, or of any variation or removal of </w:t>
      </w:r>
      <w:r w:rsidRPr="00C42B3D">
        <w:rPr>
          <w:sz w:val="22"/>
          <w:szCs w:val="22"/>
        </w:rPr>
        <w:t>such a condition</w:t>
      </w:r>
      <w:r>
        <w:rPr>
          <w:sz w:val="22"/>
          <w:szCs w:val="22"/>
        </w:rPr>
        <w:t>, that is relevant to its role as IPND Manager (paragraph (32)(d))</w:t>
      </w:r>
      <w:r w:rsidRPr="00C42B3D">
        <w:rPr>
          <w:sz w:val="22"/>
          <w:szCs w:val="22"/>
        </w:rPr>
        <w:t>.</w:t>
      </w:r>
      <w:r>
        <w:rPr>
          <w:rStyle w:val="FootnoteReference"/>
          <w:sz w:val="22"/>
          <w:szCs w:val="22"/>
        </w:rPr>
        <w:footnoteReference w:id="23"/>
      </w:r>
      <w:r w:rsidRPr="00C42B3D">
        <w:rPr>
          <w:sz w:val="22"/>
          <w:szCs w:val="22"/>
        </w:rPr>
        <w:t xml:space="preserve"> </w:t>
      </w:r>
    </w:p>
    <w:p w14:paraId="7316FB79" w14:textId="77777777" w:rsidR="00362B2C" w:rsidRDefault="00362B2C" w:rsidP="00362B2C">
      <w:pPr>
        <w:pStyle w:val="ACMABodyText"/>
        <w:numPr>
          <w:ilvl w:val="0"/>
          <w:numId w:val="37"/>
        </w:numPr>
        <w:spacing w:before="0" w:after="40" w:line="259" w:lineRule="auto"/>
        <w:ind w:hanging="357"/>
        <w:rPr>
          <w:sz w:val="22"/>
          <w:szCs w:val="22"/>
        </w:rPr>
      </w:pPr>
      <w:r>
        <w:rPr>
          <w:sz w:val="22"/>
          <w:szCs w:val="22"/>
        </w:rPr>
        <w:lastRenderedPageBreak/>
        <w:t>The</w:t>
      </w:r>
      <w:r w:rsidRPr="00C42B3D">
        <w:rPr>
          <w:sz w:val="22"/>
          <w:szCs w:val="22"/>
        </w:rPr>
        <w:t xml:space="preserve"> </w:t>
      </w:r>
      <w:r>
        <w:rPr>
          <w:sz w:val="22"/>
          <w:szCs w:val="22"/>
        </w:rPr>
        <w:t>research entity</w:t>
      </w:r>
      <w:r w:rsidRPr="00C42B3D">
        <w:rPr>
          <w:sz w:val="22"/>
          <w:szCs w:val="22"/>
        </w:rPr>
        <w:t xml:space="preserve"> must comply with </w:t>
      </w:r>
      <w:r>
        <w:rPr>
          <w:sz w:val="22"/>
          <w:szCs w:val="22"/>
        </w:rPr>
        <w:t>the</w:t>
      </w:r>
      <w:r w:rsidRPr="00C42B3D">
        <w:rPr>
          <w:sz w:val="22"/>
          <w:szCs w:val="22"/>
        </w:rPr>
        <w:t xml:space="preserve"> relevant requirements</w:t>
      </w:r>
      <w:r>
        <w:rPr>
          <w:sz w:val="22"/>
          <w:szCs w:val="22"/>
        </w:rPr>
        <w:t>,</w:t>
      </w:r>
      <w:r w:rsidRPr="00C42B3D">
        <w:rPr>
          <w:sz w:val="22"/>
          <w:szCs w:val="22"/>
        </w:rPr>
        <w:t xml:space="preserve"> which are:</w:t>
      </w:r>
    </w:p>
    <w:p w14:paraId="53BA3E94" w14:textId="77777777" w:rsidR="00362B2C" w:rsidRDefault="00362B2C" w:rsidP="00362B2C">
      <w:pPr>
        <w:pStyle w:val="ACMABodyText"/>
        <w:numPr>
          <w:ilvl w:val="1"/>
          <w:numId w:val="37"/>
        </w:numPr>
        <w:spacing w:before="0" w:after="40" w:line="259" w:lineRule="auto"/>
        <w:ind w:hanging="357"/>
        <w:rPr>
          <w:sz w:val="22"/>
          <w:szCs w:val="22"/>
        </w:rPr>
      </w:pPr>
      <w:r w:rsidRPr="005B7BB6">
        <w:rPr>
          <w:sz w:val="22"/>
          <w:szCs w:val="22"/>
        </w:rPr>
        <w:t xml:space="preserve">the requirements of the Act and of any legislative instruments made under the Act (including the scheme) that apply to the </w:t>
      </w:r>
      <w:r>
        <w:rPr>
          <w:sz w:val="22"/>
          <w:szCs w:val="22"/>
        </w:rPr>
        <w:t>entity</w:t>
      </w:r>
      <w:r w:rsidRPr="005B7BB6">
        <w:rPr>
          <w:sz w:val="22"/>
          <w:szCs w:val="22"/>
        </w:rPr>
        <w:t>; and</w:t>
      </w:r>
    </w:p>
    <w:p w14:paraId="2AFF83B7" w14:textId="189290B8" w:rsidR="00362B2C" w:rsidRDefault="00362B2C" w:rsidP="00362B2C">
      <w:pPr>
        <w:pStyle w:val="ACMABodyText"/>
        <w:numPr>
          <w:ilvl w:val="1"/>
          <w:numId w:val="37"/>
        </w:numPr>
        <w:spacing w:before="0" w:after="160" w:line="259" w:lineRule="auto"/>
        <w:ind w:left="1797" w:hanging="357"/>
        <w:rPr>
          <w:sz w:val="22"/>
          <w:szCs w:val="22"/>
        </w:rPr>
      </w:pPr>
      <w:r w:rsidRPr="005B7BB6">
        <w:rPr>
          <w:sz w:val="22"/>
          <w:szCs w:val="22"/>
        </w:rPr>
        <w:t>any conditions of the authorisation (</w:t>
      </w:r>
      <w:r w:rsidR="0070031C">
        <w:rPr>
          <w:sz w:val="22"/>
          <w:szCs w:val="22"/>
        </w:rPr>
        <w:t xml:space="preserve">see </w:t>
      </w:r>
      <w:r w:rsidRPr="005B7BB6">
        <w:rPr>
          <w:sz w:val="22"/>
          <w:szCs w:val="22"/>
        </w:rPr>
        <w:t>subsection (</w:t>
      </w:r>
      <w:r>
        <w:rPr>
          <w:sz w:val="22"/>
          <w:szCs w:val="22"/>
        </w:rPr>
        <w:t>33</w:t>
      </w:r>
      <w:r w:rsidRPr="005B7BB6">
        <w:rPr>
          <w:sz w:val="22"/>
          <w:szCs w:val="22"/>
        </w:rPr>
        <w:t xml:space="preserve">) and the definition of </w:t>
      </w:r>
      <w:r w:rsidRPr="005B7BB6">
        <w:rPr>
          <w:b/>
          <w:i/>
          <w:sz w:val="22"/>
          <w:szCs w:val="22"/>
        </w:rPr>
        <w:t>relevant requirements</w:t>
      </w:r>
      <w:r w:rsidRPr="005B7BB6">
        <w:rPr>
          <w:sz w:val="22"/>
          <w:szCs w:val="22"/>
        </w:rPr>
        <w:t xml:space="preserve"> in section 1.4</w:t>
      </w:r>
      <w:r>
        <w:rPr>
          <w:sz w:val="22"/>
          <w:szCs w:val="22"/>
        </w:rPr>
        <w:t xml:space="preserve"> of the scheme</w:t>
      </w:r>
      <w:r w:rsidRPr="005B7BB6">
        <w:rPr>
          <w:sz w:val="22"/>
          <w:szCs w:val="22"/>
        </w:rPr>
        <w:t>).</w:t>
      </w:r>
    </w:p>
    <w:p w14:paraId="276CD60E" w14:textId="77777777" w:rsidR="00362B2C" w:rsidRDefault="00362B2C" w:rsidP="00362B2C">
      <w:pPr>
        <w:pStyle w:val="ACMABodyText"/>
        <w:numPr>
          <w:ilvl w:val="0"/>
          <w:numId w:val="37"/>
        </w:numPr>
        <w:spacing w:before="0" w:after="40" w:line="259" w:lineRule="auto"/>
        <w:rPr>
          <w:sz w:val="22"/>
          <w:szCs w:val="22"/>
        </w:rPr>
      </w:pPr>
      <w:r w:rsidRPr="00A652B2">
        <w:rPr>
          <w:sz w:val="22"/>
          <w:szCs w:val="22"/>
        </w:rPr>
        <w:t xml:space="preserve">The </w:t>
      </w:r>
      <w:r>
        <w:rPr>
          <w:sz w:val="22"/>
          <w:szCs w:val="22"/>
        </w:rPr>
        <w:t>research entity</w:t>
      </w:r>
      <w:r w:rsidRPr="00A652B2">
        <w:rPr>
          <w:sz w:val="22"/>
          <w:szCs w:val="22"/>
        </w:rPr>
        <w:t xml:space="preserve"> must take all reasonable steps to ensure that any person who is one of its perso</w:t>
      </w:r>
      <w:r>
        <w:rPr>
          <w:sz w:val="22"/>
          <w:szCs w:val="22"/>
        </w:rPr>
        <w:t>nnel:</w:t>
      </w:r>
    </w:p>
    <w:p w14:paraId="155C9102" w14:textId="77777777" w:rsidR="00362B2C" w:rsidRDefault="00362B2C" w:rsidP="00362B2C">
      <w:pPr>
        <w:pStyle w:val="ACMABodyText"/>
        <w:numPr>
          <w:ilvl w:val="1"/>
          <w:numId w:val="37"/>
        </w:numPr>
        <w:spacing w:before="0" w:after="40" w:line="259" w:lineRule="auto"/>
        <w:rPr>
          <w:sz w:val="22"/>
          <w:szCs w:val="22"/>
        </w:rPr>
      </w:pPr>
      <w:r w:rsidRPr="00A652B2">
        <w:rPr>
          <w:sz w:val="22"/>
          <w:szCs w:val="22"/>
        </w:rPr>
        <w:t xml:space="preserve">is made aware of the </w:t>
      </w:r>
      <w:r>
        <w:rPr>
          <w:sz w:val="22"/>
          <w:szCs w:val="22"/>
        </w:rPr>
        <w:t>entity</w:t>
      </w:r>
      <w:r w:rsidRPr="00A652B2">
        <w:rPr>
          <w:sz w:val="22"/>
          <w:szCs w:val="22"/>
        </w:rPr>
        <w:t>’s obligation</w:t>
      </w:r>
      <w:r>
        <w:rPr>
          <w:sz w:val="22"/>
          <w:szCs w:val="22"/>
        </w:rPr>
        <w:t>s</w:t>
      </w:r>
      <w:r w:rsidRPr="00A652B2">
        <w:rPr>
          <w:sz w:val="22"/>
          <w:szCs w:val="22"/>
        </w:rPr>
        <w:t xml:space="preserve"> t</w:t>
      </w:r>
      <w:r>
        <w:rPr>
          <w:sz w:val="22"/>
          <w:szCs w:val="22"/>
        </w:rPr>
        <w:t>o meet the relevant requirements;</w:t>
      </w:r>
    </w:p>
    <w:p w14:paraId="1B33BCDD" w14:textId="77777777" w:rsidR="00362B2C" w:rsidRDefault="00362B2C" w:rsidP="00362B2C">
      <w:pPr>
        <w:pStyle w:val="ACMABodyText"/>
        <w:numPr>
          <w:ilvl w:val="1"/>
          <w:numId w:val="37"/>
        </w:numPr>
        <w:spacing w:before="0" w:after="40" w:line="259" w:lineRule="auto"/>
        <w:rPr>
          <w:sz w:val="22"/>
          <w:szCs w:val="22"/>
        </w:rPr>
      </w:pPr>
      <w:r>
        <w:rPr>
          <w:sz w:val="22"/>
          <w:szCs w:val="22"/>
        </w:rPr>
        <w:t>cooperates with the entity</w:t>
      </w:r>
      <w:r w:rsidRPr="00A652B2">
        <w:rPr>
          <w:sz w:val="22"/>
          <w:szCs w:val="22"/>
        </w:rPr>
        <w:t xml:space="preserve"> in meeting those requirements; and </w:t>
      </w:r>
    </w:p>
    <w:p w14:paraId="2AE13A89" w14:textId="77777777" w:rsidR="00362B2C" w:rsidRDefault="00362B2C" w:rsidP="00362B2C">
      <w:pPr>
        <w:pStyle w:val="ACMABodyText"/>
        <w:numPr>
          <w:ilvl w:val="1"/>
          <w:numId w:val="37"/>
        </w:numPr>
        <w:spacing w:before="0" w:after="160" w:line="259" w:lineRule="auto"/>
        <w:ind w:left="1797" w:hanging="357"/>
        <w:rPr>
          <w:sz w:val="22"/>
          <w:szCs w:val="22"/>
        </w:rPr>
      </w:pPr>
      <w:r w:rsidRPr="00A652B2">
        <w:rPr>
          <w:sz w:val="22"/>
          <w:szCs w:val="22"/>
        </w:rPr>
        <w:t xml:space="preserve">notifies the </w:t>
      </w:r>
      <w:r>
        <w:rPr>
          <w:sz w:val="22"/>
          <w:szCs w:val="22"/>
        </w:rPr>
        <w:t>entity</w:t>
      </w:r>
      <w:r w:rsidRPr="00A652B2">
        <w:rPr>
          <w:sz w:val="22"/>
          <w:szCs w:val="22"/>
        </w:rPr>
        <w:t xml:space="preserve"> in writing as soon as practicable after becoming aware that the person has done, or omitted to do, something that would have breached such a requirement if the person had been a </w:t>
      </w:r>
      <w:r>
        <w:rPr>
          <w:sz w:val="22"/>
          <w:szCs w:val="22"/>
        </w:rPr>
        <w:t>research entity</w:t>
      </w:r>
      <w:r w:rsidRPr="00A652B2">
        <w:rPr>
          <w:sz w:val="22"/>
          <w:szCs w:val="22"/>
        </w:rPr>
        <w:t xml:space="preserve"> (subsection (</w:t>
      </w:r>
      <w:r>
        <w:rPr>
          <w:sz w:val="22"/>
          <w:szCs w:val="22"/>
        </w:rPr>
        <w:t>34</w:t>
      </w:r>
      <w:r w:rsidRPr="00A652B2">
        <w:rPr>
          <w:sz w:val="22"/>
          <w:szCs w:val="22"/>
        </w:rPr>
        <w:t>)).</w:t>
      </w:r>
    </w:p>
    <w:p w14:paraId="1D8F61DA" w14:textId="77777777" w:rsidR="00362B2C" w:rsidRPr="00A652B2" w:rsidRDefault="00362B2C" w:rsidP="00362B2C">
      <w:pPr>
        <w:pStyle w:val="ACMABodyText"/>
        <w:numPr>
          <w:ilvl w:val="0"/>
          <w:numId w:val="37"/>
        </w:numPr>
        <w:spacing w:before="0" w:after="160" w:line="259" w:lineRule="auto"/>
        <w:ind w:left="1077" w:hanging="357"/>
        <w:rPr>
          <w:sz w:val="22"/>
          <w:szCs w:val="22"/>
        </w:rPr>
      </w:pPr>
      <w:r>
        <w:rPr>
          <w:sz w:val="22"/>
          <w:szCs w:val="22"/>
        </w:rPr>
        <w:t>If the research entity is a research representative body, the entity must ensure that the required arrangements impose an obligation on each of its members to the effect that the member must notify the entity in writing as soon as practicable after becoming aware that the member has not complied with such arrangements (subsection (35)).</w:t>
      </w:r>
    </w:p>
    <w:p w14:paraId="20A9B7FF" w14:textId="77777777" w:rsidR="00362B2C" w:rsidRDefault="00362B2C" w:rsidP="00362B2C">
      <w:pPr>
        <w:pStyle w:val="ACMABodyText"/>
        <w:numPr>
          <w:ilvl w:val="0"/>
          <w:numId w:val="37"/>
        </w:numPr>
        <w:spacing w:before="0" w:after="40" w:line="259" w:lineRule="auto"/>
        <w:rPr>
          <w:sz w:val="22"/>
          <w:szCs w:val="22"/>
        </w:rPr>
      </w:pPr>
      <w:r w:rsidRPr="00A652B2">
        <w:rPr>
          <w:sz w:val="22"/>
          <w:szCs w:val="22"/>
        </w:rPr>
        <w:t>If</w:t>
      </w:r>
      <w:r>
        <w:rPr>
          <w:sz w:val="22"/>
          <w:szCs w:val="22"/>
        </w:rPr>
        <w:t>:</w:t>
      </w:r>
      <w:r w:rsidRPr="00A652B2">
        <w:rPr>
          <w:sz w:val="22"/>
          <w:szCs w:val="22"/>
        </w:rPr>
        <w:t xml:space="preserve"> </w:t>
      </w:r>
    </w:p>
    <w:p w14:paraId="2A047646" w14:textId="77777777" w:rsidR="00362B2C" w:rsidRDefault="00362B2C" w:rsidP="00362B2C">
      <w:pPr>
        <w:pStyle w:val="ACMABodyText"/>
        <w:numPr>
          <w:ilvl w:val="1"/>
          <w:numId w:val="37"/>
        </w:numPr>
        <w:spacing w:before="0" w:after="40" w:line="259" w:lineRule="auto"/>
        <w:rPr>
          <w:sz w:val="22"/>
          <w:szCs w:val="22"/>
        </w:rPr>
      </w:pPr>
      <w:r w:rsidRPr="00A652B2">
        <w:rPr>
          <w:sz w:val="22"/>
          <w:szCs w:val="22"/>
        </w:rPr>
        <w:t xml:space="preserve">the </w:t>
      </w:r>
      <w:r>
        <w:rPr>
          <w:sz w:val="22"/>
          <w:szCs w:val="22"/>
        </w:rPr>
        <w:t>research entity</w:t>
      </w:r>
      <w:r w:rsidRPr="00A652B2">
        <w:rPr>
          <w:sz w:val="22"/>
          <w:szCs w:val="22"/>
        </w:rPr>
        <w:t xml:space="preserve"> becomes aware that it has breached a relevant requirement;</w:t>
      </w:r>
      <w:r>
        <w:rPr>
          <w:sz w:val="22"/>
          <w:szCs w:val="22"/>
        </w:rPr>
        <w:t xml:space="preserve"> or</w:t>
      </w:r>
    </w:p>
    <w:p w14:paraId="083A1D98" w14:textId="77777777" w:rsidR="00362B2C" w:rsidRDefault="00362B2C" w:rsidP="00362B2C">
      <w:pPr>
        <w:pStyle w:val="ACMABodyText"/>
        <w:numPr>
          <w:ilvl w:val="1"/>
          <w:numId w:val="37"/>
        </w:numPr>
        <w:spacing w:before="0" w:after="40" w:line="259" w:lineRule="auto"/>
        <w:rPr>
          <w:sz w:val="22"/>
          <w:szCs w:val="22"/>
        </w:rPr>
      </w:pPr>
      <w:r w:rsidRPr="00A652B2">
        <w:rPr>
          <w:sz w:val="22"/>
          <w:szCs w:val="22"/>
        </w:rPr>
        <w:t xml:space="preserve">a person who is one of its personnel has done, or omitted to do, something that would have breached such a requirement if the person had been a </w:t>
      </w:r>
      <w:r>
        <w:rPr>
          <w:sz w:val="22"/>
          <w:szCs w:val="22"/>
        </w:rPr>
        <w:t>research entity</w:t>
      </w:r>
      <w:r w:rsidRPr="00A652B2">
        <w:rPr>
          <w:sz w:val="22"/>
          <w:szCs w:val="22"/>
        </w:rPr>
        <w:t>;</w:t>
      </w:r>
    </w:p>
    <w:p w14:paraId="388E129B" w14:textId="77777777" w:rsidR="00362B2C" w:rsidRDefault="00362B2C" w:rsidP="00362B2C">
      <w:pPr>
        <w:pStyle w:val="ACMABodyText"/>
        <w:spacing w:before="0" w:after="160" w:line="259" w:lineRule="auto"/>
        <w:ind w:left="1134"/>
        <w:rPr>
          <w:sz w:val="22"/>
          <w:szCs w:val="22"/>
        </w:rPr>
      </w:pPr>
      <w:r w:rsidRPr="00A652B2">
        <w:rPr>
          <w:sz w:val="22"/>
          <w:szCs w:val="22"/>
        </w:rPr>
        <w:t xml:space="preserve">the </w:t>
      </w:r>
      <w:r>
        <w:rPr>
          <w:sz w:val="22"/>
          <w:szCs w:val="22"/>
        </w:rPr>
        <w:t xml:space="preserve">entity </w:t>
      </w:r>
      <w:r w:rsidRPr="00A652B2">
        <w:rPr>
          <w:sz w:val="22"/>
          <w:szCs w:val="22"/>
        </w:rPr>
        <w:t>must, as soon as practicable, notify the ACMA in writing of the issue and take all reasonable steps to minimise the effects of the issue</w:t>
      </w:r>
      <w:r>
        <w:rPr>
          <w:sz w:val="22"/>
          <w:szCs w:val="22"/>
        </w:rPr>
        <w:t xml:space="preserve"> (subsection (36</w:t>
      </w:r>
      <w:r w:rsidRPr="00A652B2">
        <w:rPr>
          <w:sz w:val="22"/>
          <w:szCs w:val="22"/>
        </w:rPr>
        <w:t>)).</w:t>
      </w:r>
    </w:p>
    <w:p w14:paraId="3D6C9B9A" w14:textId="77777777" w:rsidR="00362B2C" w:rsidRPr="00415F4C" w:rsidRDefault="00362B2C" w:rsidP="00362B2C">
      <w:pPr>
        <w:rPr>
          <w:rFonts w:ascii="Times New Roman" w:hAnsi="Times New Roman" w:cs="Times New Roman"/>
          <w:b/>
        </w:rPr>
      </w:pPr>
      <w:r>
        <w:rPr>
          <w:rFonts w:ascii="Times New Roman" w:hAnsi="Times New Roman" w:cs="Times New Roman"/>
          <w:b/>
        </w:rPr>
        <w:t>Subdivision B</w:t>
      </w:r>
      <w:r w:rsidRPr="00415F4C">
        <w:rPr>
          <w:rFonts w:ascii="Times New Roman" w:hAnsi="Times New Roman" w:cs="Times New Roman"/>
          <w:b/>
        </w:rPr>
        <w:tab/>
        <w:t xml:space="preserve">Application for </w:t>
      </w:r>
      <w:r>
        <w:rPr>
          <w:rFonts w:ascii="Times New Roman" w:hAnsi="Times New Roman" w:cs="Times New Roman"/>
          <w:b/>
        </w:rPr>
        <w:t xml:space="preserve">extension of duration of </w:t>
      </w:r>
      <w:r w:rsidRPr="00415F4C">
        <w:rPr>
          <w:rFonts w:ascii="Times New Roman" w:hAnsi="Times New Roman" w:cs="Times New Roman"/>
          <w:b/>
        </w:rPr>
        <w:t>research authorisation</w:t>
      </w:r>
    </w:p>
    <w:p w14:paraId="0A9A2DE1" w14:textId="77777777" w:rsidR="00362B2C" w:rsidRPr="00415F4C" w:rsidRDefault="00362B2C" w:rsidP="00362B2C">
      <w:pPr>
        <w:rPr>
          <w:rFonts w:ascii="Times New Roman" w:hAnsi="Times New Roman" w:cs="Times New Roman"/>
          <w:b/>
        </w:rPr>
      </w:pPr>
      <w:r>
        <w:rPr>
          <w:rFonts w:ascii="Times New Roman" w:hAnsi="Times New Roman" w:cs="Times New Roman"/>
          <w:b/>
        </w:rPr>
        <w:t>Section 4.6</w:t>
      </w:r>
      <w:r w:rsidRPr="00415F4C">
        <w:rPr>
          <w:rFonts w:ascii="Times New Roman" w:hAnsi="Times New Roman" w:cs="Times New Roman"/>
          <w:b/>
        </w:rPr>
        <w:tab/>
        <w:t>Making an application</w:t>
      </w:r>
    </w:p>
    <w:p w14:paraId="57DEB66D" w14:textId="77777777" w:rsidR="00362B2C" w:rsidRDefault="00362B2C" w:rsidP="00362B2C">
      <w:pPr>
        <w:pStyle w:val="ACMABodyText"/>
        <w:spacing w:before="0" w:after="160" w:line="259" w:lineRule="auto"/>
        <w:rPr>
          <w:sz w:val="22"/>
          <w:szCs w:val="22"/>
        </w:rPr>
      </w:pPr>
      <w:r>
        <w:rPr>
          <w:sz w:val="22"/>
          <w:szCs w:val="22"/>
        </w:rPr>
        <w:t>This s</w:t>
      </w:r>
      <w:r w:rsidRPr="003C71F0">
        <w:rPr>
          <w:sz w:val="22"/>
          <w:szCs w:val="22"/>
        </w:rPr>
        <w:t xml:space="preserve">ection </w:t>
      </w:r>
      <w:r>
        <w:rPr>
          <w:sz w:val="22"/>
          <w:szCs w:val="22"/>
        </w:rPr>
        <w:t>provides that a</w:t>
      </w:r>
      <w:r w:rsidRPr="003C71F0">
        <w:rPr>
          <w:sz w:val="22"/>
          <w:szCs w:val="22"/>
        </w:rPr>
        <w:t xml:space="preserve"> </w:t>
      </w:r>
      <w:r>
        <w:rPr>
          <w:sz w:val="22"/>
          <w:szCs w:val="22"/>
        </w:rPr>
        <w:t>research entity</w:t>
      </w:r>
      <w:r w:rsidRPr="003C71F0">
        <w:rPr>
          <w:sz w:val="22"/>
          <w:szCs w:val="22"/>
        </w:rPr>
        <w:t xml:space="preserve"> </w:t>
      </w:r>
      <w:r>
        <w:rPr>
          <w:sz w:val="22"/>
          <w:szCs w:val="22"/>
        </w:rPr>
        <w:t>that has been granted a research authorisation for a finite period may</w:t>
      </w:r>
      <w:r w:rsidRPr="003C71F0">
        <w:rPr>
          <w:sz w:val="22"/>
          <w:szCs w:val="22"/>
        </w:rPr>
        <w:t xml:space="preserve"> apply to </w:t>
      </w:r>
      <w:r>
        <w:rPr>
          <w:sz w:val="22"/>
          <w:szCs w:val="22"/>
        </w:rPr>
        <w:t xml:space="preserve">the </w:t>
      </w:r>
      <w:r w:rsidRPr="003C71F0">
        <w:rPr>
          <w:sz w:val="22"/>
          <w:szCs w:val="22"/>
        </w:rPr>
        <w:t xml:space="preserve">ACMA </w:t>
      </w:r>
      <w:r>
        <w:rPr>
          <w:sz w:val="22"/>
          <w:szCs w:val="22"/>
        </w:rPr>
        <w:t>to extend the duration of the authorisation if the research to which the authorisation applies is unable to be completed before the end of the authorisation for a reason beyond the entity’s control (subsection (1))</w:t>
      </w:r>
      <w:r w:rsidRPr="003C71F0">
        <w:rPr>
          <w:sz w:val="22"/>
          <w:szCs w:val="22"/>
        </w:rPr>
        <w:t>.</w:t>
      </w:r>
    </w:p>
    <w:p w14:paraId="16095B73" w14:textId="77777777" w:rsidR="00362B2C" w:rsidRPr="00095ADA" w:rsidRDefault="00362B2C" w:rsidP="00362B2C">
      <w:pPr>
        <w:spacing w:after="40"/>
        <w:rPr>
          <w:rFonts w:ascii="Times New Roman" w:hAnsi="Times New Roman" w:cs="Times New Roman"/>
        </w:rPr>
      </w:pPr>
      <w:r w:rsidRPr="00095ADA">
        <w:rPr>
          <w:rFonts w:ascii="Times New Roman" w:hAnsi="Times New Roman" w:cs="Times New Roman"/>
        </w:rPr>
        <w:t>Th</w:t>
      </w:r>
      <w:r>
        <w:rPr>
          <w:rFonts w:ascii="Times New Roman" w:hAnsi="Times New Roman" w:cs="Times New Roman"/>
        </w:rPr>
        <w:t>e</w:t>
      </w:r>
      <w:r w:rsidRPr="00095ADA">
        <w:rPr>
          <w:rFonts w:ascii="Times New Roman" w:hAnsi="Times New Roman" w:cs="Times New Roman"/>
        </w:rPr>
        <w:t xml:space="preserve"> section imposes the following application requirements:</w:t>
      </w:r>
    </w:p>
    <w:p w14:paraId="00061B2E" w14:textId="77777777" w:rsidR="00362B2C" w:rsidRDefault="00362B2C" w:rsidP="00362B2C">
      <w:pPr>
        <w:pStyle w:val="ListParagraph"/>
        <w:numPr>
          <w:ilvl w:val="0"/>
          <w:numId w:val="6"/>
        </w:numPr>
        <w:spacing w:after="40"/>
        <w:ind w:left="714" w:hanging="357"/>
        <w:rPr>
          <w:rFonts w:ascii="Times New Roman" w:hAnsi="Times New Roman" w:cs="Times New Roman"/>
        </w:rPr>
      </w:pPr>
      <w:r>
        <w:rPr>
          <w:rFonts w:ascii="Times New Roman" w:hAnsi="Times New Roman" w:cs="Times New Roman"/>
        </w:rPr>
        <w:lastRenderedPageBreak/>
        <w:t>T</w:t>
      </w:r>
      <w:r w:rsidRPr="00095ADA">
        <w:rPr>
          <w:rFonts w:ascii="Times New Roman" w:hAnsi="Times New Roman" w:cs="Times New Roman"/>
        </w:rPr>
        <w:t>he application must be</w:t>
      </w:r>
      <w:r>
        <w:rPr>
          <w:rFonts w:ascii="Times New Roman" w:hAnsi="Times New Roman" w:cs="Times New Roman"/>
        </w:rPr>
        <w:t xml:space="preserve"> made before the research authorisation ends (paragraph (2)(a)).</w:t>
      </w:r>
    </w:p>
    <w:p w14:paraId="054D635F" w14:textId="77777777" w:rsidR="00362B2C" w:rsidRPr="00496C18" w:rsidRDefault="00362B2C" w:rsidP="00362B2C">
      <w:pPr>
        <w:pStyle w:val="ListParagraph"/>
        <w:numPr>
          <w:ilvl w:val="0"/>
          <w:numId w:val="6"/>
        </w:numPr>
        <w:ind w:left="714" w:hanging="357"/>
        <w:contextualSpacing w:val="0"/>
        <w:rPr>
          <w:rFonts w:ascii="Times New Roman" w:hAnsi="Times New Roman" w:cs="Times New Roman"/>
        </w:rPr>
      </w:pPr>
      <w:r>
        <w:rPr>
          <w:rFonts w:ascii="Times New Roman" w:hAnsi="Times New Roman" w:cs="Times New Roman"/>
        </w:rPr>
        <w:t>The application must be made using the</w:t>
      </w:r>
      <w:r w:rsidRPr="00095ADA">
        <w:rPr>
          <w:rFonts w:ascii="Times New Roman" w:hAnsi="Times New Roman" w:cs="Times New Roman"/>
        </w:rPr>
        <w:t xml:space="preserve"> form approved by the ACMA </w:t>
      </w:r>
      <w:r>
        <w:rPr>
          <w:rFonts w:ascii="Times New Roman" w:hAnsi="Times New Roman" w:cs="Times New Roman"/>
        </w:rPr>
        <w:t>which</w:t>
      </w:r>
      <w:r w:rsidRPr="00095ADA">
        <w:rPr>
          <w:rFonts w:ascii="Times New Roman" w:hAnsi="Times New Roman" w:cs="Times New Roman"/>
        </w:rPr>
        <w:t xml:space="preserve"> </w:t>
      </w:r>
      <w:r>
        <w:rPr>
          <w:rFonts w:ascii="Times New Roman" w:hAnsi="Times New Roman" w:cs="Times New Roman"/>
        </w:rPr>
        <w:t xml:space="preserve">is available on its website at </w:t>
      </w:r>
      <w:hyperlink r:id="rId13" w:history="1">
        <w:r w:rsidRPr="008576D6">
          <w:rPr>
            <w:rStyle w:val="Hyperlink"/>
            <w:rFonts w:ascii="Times New Roman" w:hAnsi="Times New Roman" w:cs="Times New Roman"/>
          </w:rPr>
          <w:t>www.acma.gov.au</w:t>
        </w:r>
      </w:hyperlink>
      <w:r>
        <w:rPr>
          <w:rFonts w:ascii="Times New Roman" w:hAnsi="Times New Roman" w:cs="Times New Roman"/>
        </w:rPr>
        <w:t xml:space="preserve"> (paragraph (2)(b)).</w:t>
      </w:r>
    </w:p>
    <w:p w14:paraId="04E9D4B6" w14:textId="77777777" w:rsidR="00362B2C" w:rsidRDefault="00362B2C" w:rsidP="00362B2C">
      <w:pPr>
        <w:pStyle w:val="subsection"/>
        <w:spacing w:before="0" w:after="40" w:line="259" w:lineRule="auto"/>
        <w:ind w:left="0" w:firstLine="0"/>
      </w:pPr>
      <w:r>
        <w:t>The section provides that i</w:t>
      </w:r>
      <w:r w:rsidRPr="006249BF">
        <w:t>f</w:t>
      </w:r>
      <w:r>
        <w:t xml:space="preserve">: </w:t>
      </w:r>
    </w:p>
    <w:p w14:paraId="1991F6CC" w14:textId="77777777" w:rsidR="00362B2C" w:rsidRDefault="00362B2C" w:rsidP="00362B2C">
      <w:pPr>
        <w:pStyle w:val="subsection"/>
        <w:numPr>
          <w:ilvl w:val="0"/>
          <w:numId w:val="28"/>
        </w:numPr>
        <w:spacing w:before="0" w:after="40" w:line="259" w:lineRule="auto"/>
        <w:contextualSpacing/>
      </w:pPr>
      <w:r w:rsidRPr="006249BF">
        <w:t xml:space="preserve">a </w:t>
      </w:r>
      <w:r>
        <w:t>research entity</w:t>
      </w:r>
      <w:r w:rsidRPr="006249BF">
        <w:t xml:space="preserve"> applies to the ACMA to extend the</w:t>
      </w:r>
      <w:r>
        <w:t xml:space="preserve"> duration of a research authorisation;</w:t>
      </w:r>
      <w:r w:rsidRPr="00DA0789">
        <w:t xml:space="preserve"> and</w:t>
      </w:r>
      <w:r>
        <w:t xml:space="preserve"> </w:t>
      </w:r>
    </w:p>
    <w:p w14:paraId="0FB5A5A1" w14:textId="77777777" w:rsidR="00362B2C" w:rsidRDefault="00362B2C" w:rsidP="00362B2C">
      <w:pPr>
        <w:pStyle w:val="subsection"/>
        <w:numPr>
          <w:ilvl w:val="0"/>
          <w:numId w:val="28"/>
        </w:numPr>
        <w:spacing w:before="0" w:after="40" w:line="259" w:lineRule="auto"/>
        <w:ind w:left="714" w:hanging="357"/>
      </w:pPr>
      <w:r>
        <w:t xml:space="preserve">immediately before the authorisation is due to end, </w:t>
      </w:r>
      <w:r w:rsidRPr="00DA0789">
        <w:t xml:space="preserve">the </w:t>
      </w:r>
      <w:r>
        <w:t>application is not withdrawn</w:t>
      </w:r>
      <w:r w:rsidRPr="00C40731">
        <w:t xml:space="preserve"> and</w:t>
      </w:r>
      <w:r>
        <w:t xml:space="preserve"> the </w:t>
      </w:r>
      <w:r w:rsidRPr="00DA0789">
        <w:t xml:space="preserve">ACMA has not made a decision whether to extend the </w:t>
      </w:r>
      <w:r>
        <w:t xml:space="preserve">duration; </w:t>
      </w:r>
    </w:p>
    <w:p w14:paraId="469FD7A4" w14:textId="77777777" w:rsidR="00362B2C" w:rsidRDefault="00362B2C" w:rsidP="00362B2C">
      <w:pPr>
        <w:pStyle w:val="subsection"/>
        <w:spacing w:before="0" w:after="40" w:line="259" w:lineRule="auto"/>
        <w:ind w:left="0" w:firstLine="0"/>
      </w:pPr>
      <w:r w:rsidRPr="0099093D">
        <w:t xml:space="preserve">the </w:t>
      </w:r>
      <w:r>
        <w:t>duration</w:t>
      </w:r>
      <w:r w:rsidRPr="0099093D">
        <w:t xml:space="preserve"> is taken to be extended until: </w:t>
      </w:r>
    </w:p>
    <w:p w14:paraId="7D20812A" w14:textId="77777777" w:rsidR="00362B2C" w:rsidRDefault="00362B2C" w:rsidP="00362B2C">
      <w:pPr>
        <w:pStyle w:val="subsection"/>
        <w:numPr>
          <w:ilvl w:val="0"/>
          <w:numId w:val="27"/>
        </w:numPr>
        <w:spacing w:before="0" w:after="40" w:line="259" w:lineRule="auto"/>
        <w:ind w:left="714" w:hanging="357"/>
        <w:contextualSpacing/>
      </w:pPr>
      <w:r>
        <w:t>i</w:t>
      </w:r>
      <w:r w:rsidRPr="00DA0789">
        <w:t>f</w:t>
      </w:r>
      <w:r>
        <w:t xml:space="preserve"> the ACMA asks the research entity to give it further information about the application and the information is not received within 10 business days – the tenth business day; or</w:t>
      </w:r>
    </w:p>
    <w:p w14:paraId="63082709" w14:textId="77777777" w:rsidR="00362B2C" w:rsidRPr="00BE6D0B" w:rsidRDefault="00362B2C" w:rsidP="00362B2C">
      <w:pPr>
        <w:pStyle w:val="subsection"/>
        <w:numPr>
          <w:ilvl w:val="0"/>
          <w:numId w:val="27"/>
        </w:numPr>
        <w:spacing w:before="0" w:after="160" w:line="259" w:lineRule="auto"/>
        <w:ind w:left="714" w:hanging="357"/>
      </w:pPr>
      <w:r w:rsidRPr="00DA0789">
        <w:t>the day on which the AC</w:t>
      </w:r>
      <w:r>
        <w:t>MA makes a decision whether to extend the duration (subsection (3))</w:t>
      </w:r>
      <w:r w:rsidRPr="00DA0789">
        <w:t>.</w:t>
      </w:r>
    </w:p>
    <w:p w14:paraId="4ACE6AFF" w14:textId="77777777" w:rsidR="00362B2C" w:rsidRDefault="00362B2C" w:rsidP="00362B2C">
      <w:pPr>
        <w:rPr>
          <w:rFonts w:ascii="Times New Roman" w:hAnsi="Times New Roman" w:cs="Times New Roman"/>
          <w:b/>
        </w:rPr>
      </w:pPr>
      <w:r w:rsidRPr="00AA590A">
        <w:rPr>
          <w:rFonts w:ascii="Times New Roman" w:hAnsi="Times New Roman" w:cs="Times New Roman"/>
          <w:b/>
        </w:rPr>
        <w:t xml:space="preserve">Section </w:t>
      </w:r>
      <w:r>
        <w:rPr>
          <w:rFonts w:ascii="Times New Roman" w:hAnsi="Times New Roman" w:cs="Times New Roman"/>
          <w:b/>
        </w:rPr>
        <w:t>4.</w:t>
      </w:r>
      <w:r w:rsidRPr="00AA590A">
        <w:rPr>
          <w:rFonts w:ascii="Times New Roman" w:hAnsi="Times New Roman" w:cs="Times New Roman"/>
          <w:b/>
        </w:rPr>
        <w:t>7</w:t>
      </w:r>
      <w:r w:rsidRPr="00AA590A">
        <w:rPr>
          <w:rFonts w:ascii="Times New Roman" w:hAnsi="Times New Roman" w:cs="Times New Roman"/>
          <w:b/>
        </w:rPr>
        <w:tab/>
        <w:t>Decision on application</w:t>
      </w:r>
    </w:p>
    <w:p w14:paraId="6BEB9399" w14:textId="77777777" w:rsidR="00362B2C" w:rsidRPr="006375B2" w:rsidRDefault="00362B2C" w:rsidP="00362B2C">
      <w:pPr>
        <w:pStyle w:val="FootnoteText"/>
        <w:spacing w:after="160" w:line="259" w:lineRule="auto"/>
        <w:rPr>
          <w:rFonts w:ascii="Times New Roman" w:hAnsi="Times New Roman"/>
          <w:sz w:val="22"/>
          <w:szCs w:val="22"/>
          <w:lang w:val="en-US"/>
        </w:rPr>
      </w:pPr>
      <w:r>
        <w:rPr>
          <w:rFonts w:ascii="Times New Roman" w:hAnsi="Times New Roman"/>
          <w:sz w:val="22"/>
          <w:szCs w:val="22"/>
        </w:rPr>
        <w:t>This section</w:t>
      </w:r>
      <w:r w:rsidRPr="00095ADA">
        <w:rPr>
          <w:rFonts w:ascii="Times New Roman" w:hAnsi="Times New Roman"/>
          <w:sz w:val="22"/>
          <w:szCs w:val="22"/>
        </w:rPr>
        <w:t xml:space="preserve"> enables the ACMA to </w:t>
      </w:r>
      <w:r>
        <w:rPr>
          <w:rFonts w:ascii="Times New Roman" w:hAnsi="Times New Roman"/>
          <w:sz w:val="22"/>
          <w:szCs w:val="22"/>
        </w:rPr>
        <w:t>ask an applicant</w:t>
      </w:r>
      <w:r w:rsidRPr="00095ADA">
        <w:rPr>
          <w:rFonts w:ascii="Times New Roman" w:hAnsi="Times New Roman"/>
          <w:sz w:val="22"/>
          <w:szCs w:val="22"/>
        </w:rPr>
        <w:t xml:space="preserve"> in writing</w:t>
      </w:r>
      <w:r>
        <w:rPr>
          <w:rFonts w:ascii="Times New Roman" w:hAnsi="Times New Roman"/>
          <w:sz w:val="22"/>
          <w:szCs w:val="22"/>
        </w:rPr>
        <w:t xml:space="preserve"> to</w:t>
      </w:r>
      <w:r w:rsidRPr="00095ADA">
        <w:rPr>
          <w:rFonts w:ascii="Times New Roman" w:hAnsi="Times New Roman"/>
          <w:sz w:val="22"/>
          <w:szCs w:val="22"/>
        </w:rPr>
        <w:t xml:space="preserve"> </w:t>
      </w:r>
      <w:r>
        <w:rPr>
          <w:rFonts w:ascii="Times New Roman" w:hAnsi="Times New Roman"/>
          <w:sz w:val="22"/>
          <w:szCs w:val="22"/>
        </w:rPr>
        <w:t>give it</w:t>
      </w:r>
      <w:r w:rsidRPr="00095ADA">
        <w:rPr>
          <w:rFonts w:ascii="Times New Roman" w:hAnsi="Times New Roman"/>
          <w:sz w:val="22"/>
          <w:szCs w:val="22"/>
        </w:rPr>
        <w:t xml:space="preserve"> further information about </w:t>
      </w:r>
      <w:r>
        <w:rPr>
          <w:rFonts w:ascii="Times New Roman" w:hAnsi="Times New Roman"/>
          <w:sz w:val="22"/>
          <w:szCs w:val="22"/>
        </w:rPr>
        <w:t>an</w:t>
      </w:r>
      <w:r w:rsidRPr="00095ADA">
        <w:rPr>
          <w:rFonts w:ascii="Times New Roman" w:hAnsi="Times New Roman"/>
          <w:sz w:val="22"/>
          <w:szCs w:val="22"/>
        </w:rPr>
        <w:t xml:space="preserve"> application</w:t>
      </w:r>
      <w:r>
        <w:rPr>
          <w:rFonts w:ascii="Times New Roman" w:hAnsi="Times New Roman"/>
          <w:sz w:val="22"/>
          <w:szCs w:val="22"/>
        </w:rPr>
        <w:t xml:space="preserve"> for an extension of the duration of a research authorisation (subsection (1)). The section requires the applicant to give the information to the ACMA within 10 business days and provides that the ACMA may treat the application as withdrawn if</w:t>
      </w:r>
      <w:r w:rsidRPr="00095ADA">
        <w:rPr>
          <w:rFonts w:ascii="Times New Roman" w:hAnsi="Times New Roman"/>
          <w:sz w:val="22"/>
          <w:szCs w:val="22"/>
        </w:rPr>
        <w:t xml:space="preserve"> </w:t>
      </w:r>
      <w:r>
        <w:rPr>
          <w:rFonts w:ascii="Times New Roman" w:hAnsi="Times New Roman"/>
          <w:sz w:val="22"/>
          <w:szCs w:val="22"/>
        </w:rPr>
        <w:t>the</w:t>
      </w:r>
      <w:r w:rsidRPr="00095ADA">
        <w:rPr>
          <w:rFonts w:ascii="Times New Roman" w:hAnsi="Times New Roman"/>
          <w:sz w:val="22"/>
          <w:szCs w:val="22"/>
        </w:rPr>
        <w:t xml:space="preserve"> information is not received within </w:t>
      </w:r>
      <w:r>
        <w:rPr>
          <w:rFonts w:ascii="Times New Roman" w:hAnsi="Times New Roman"/>
          <w:sz w:val="22"/>
          <w:szCs w:val="22"/>
        </w:rPr>
        <w:t>10 business</w:t>
      </w:r>
      <w:r w:rsidRPr="00095ADA">
        <w:rPr>
          <w:rFonts w:ascii="Times New Roman" w:hAnsi="Times New Roman"/>
          <w:sz w:val="22"/>
          <w:szCs w:val="22"/>
        </w:rPr>
        <w:t xml:space="preserve"> days</w:t>
      </w:r>
      <w:r>
        <w:rPr>
          <w:rFonts w:ascii="Times New Roman" w:hAnsi="Times New Roman"/>
          <w:sz w:val="22"/>
          <w:szCs w:val="22"/>
        </w:rPr>
        <w:t xml:space="preserve"> (subsections (2) and (3))</w:t>
      </w:r>
      <w:r w:rsidRPr="00095ADA">
        <w:rPr>
          <w:rFonts w:ascii="Times New Roman" w:hAnsi="Times New Roman"/>
          <w:sz w:val="22"/>
          <w:szCs w:val="22"/>
        </w:rPr>
        <w:t xml:space="preserve">. </w:t>
      </w:r>
    </w:p>
    <w:p w14:paraId="478A420D" w14:textId="77777777" w:rsidR="00362B2C" w:rsidRDefault="00362B2C" w:rsidP="00362B2C">
      <w:pPr>
        <w:pStyle w:val="FootnoteText"/>
        <w:spacing w:after="40" w:line="259" w:lineRule="auto"/>
        <w:rPr>
          <w:rFonts w:ascii="Times New Roman" w:hAnsi="Times New Roman"/>
          <w:sz w:val="22"/>
          <w:szCs w:val="22"/>
        </w:rPr>
      </w:pPr>
      <w:r w:rsidRPr="00095ADA">
        <w:rPr>
          <w:rFonts w:ascii="Times New Roman" w:hAnsi="Times New Roman"/>
          <w:sz w:val="22"/>
          <w:szCs w:val="22"/>
        </w:rPr>
        <w:t>Th</w:t>
      </w:r>
      <w:r>
        <w:rPr>
          <w:rFonts w:ascii="Times New Roman" w:hAnsi="Times New Roman"/>
          <w:sz w:val="22"/>
          <w:szCs w:val="22"/>
        </w:rPr>
        <w:t>e</w:t>
      </w:r>
      <w:r w:rsidRPr="00095ADA">
        <w:rPr>
          <w:rFonts w:ascii="Times New Roman" w:hAnsi="Times New Roman"/>
          <w:sz w:val="22"/>
          <w:szCs w:val="22"/>
        </w:rPr>
        <w:t xml:space="preserve"> </w:t>
      </w:r>
      <w:r>
        <w:rPr>
          <w:rFonts w:ascii="Times New Roman" w:hAnsi="Times New Roman"/>
          <w:sz w:val="22"/>
          <w:szCs w:val="22"/>
        </w:rPr>
        <w:t xml:space="preserve">section provides that the ACMA must, unless the application is withdrawn, decide whether to extend the duration of a research authorisation: </w:t>
      </w:r>
    </w:p>
    <w:p w14:paraId="1E14D51A" w14:textId="77777777" w:rsidR="00362B2C" w:rsidRDefault="00362B2C" w:rsidP="00362B2C">
      <w:pPr>
        <w:pStyle w:val="FootnoteText"/>
        <w:numPr>
          <w:ilvl w:val="0"/>
          <w:numId w:val="34"/>
        </w:numPr>
        <w:spacing w:after="40" w:line="259" w:lineRule="auto"/>
        <w:ind w:left="714" w:hanging="357"/>
        <w:rPr>
          <w:rFonts w:ascii="Times New Roman" w:hAnsi="Times New Roman"/>
          <w:sz w:val="22"/>
          <w:szCs w:val="22"/>
        </w:rPr>
      </w:pPr>
      <w:r>
        <w:rPr>
          <w:rFonts w:ascii="Times New Roman" w:hAnsi="Times New Roman"/>
          <w:sz w:val="22"/>
          <w:szCs w:val="22"/>
        </w:rPr>
        <w:t xml:space="preserve">as soon as practicable after receiving the application; or </w:t>
      </w:r>
    </w:p>
    <w:p w14:paraId="203FFAE6" w14:textId="77777777" w:rsidR="00362B2C" w:rsidRPr="00DC1A01" w:rsidRDefault="00362B2C" w:rsidP="00362B2C">
      <w:pPr>
        <w:pStyle w:val="FootnoteText"/>
        <w:numPr>
          <w:ilvl w:val="0"/>
          <w:numId w:val="34"/>
        </w:numPr>
        <w:spacing w:after="160" w:line="259" w:lineRule="auto"/>
        <w:rPr>
          <w:rFonts w:ascii="Times New Roman" w:hAnsi="Times New Roman"/>
          <w:sz w:val="22"/>
          <w:szCs w:val="22"/>
        </w:rPr>
      </w:pPr>
      <w:r>
        <w:rPr>
          <w:rFonts w:ascii="Times New Roman" w:hAnsi="Times New Roman"/>
          <w:sz w:val="22"/>
          <w:szCs w:val="22"/>
        </w:rPr>
        <w:t xml:space="preserve">if the ACMA has asked for further information – </w:t>
      </w:r>
      <w:r w:rsidRPr="00DC1A01">
        <w:rPr>
          <w:rFonts w:ascii="Times New Roman" w:hAnsi="Times New Roman"/>
          <w:sz w:val="22"/>
          <w:szCs w:val="22"/>
        </w:rPr>
        <w:t xml:space="preserve">as soon as practicable after receiving the information (subsection (4)).  </w:t>
      </w:r>
    </w:p>
    <w:p w14:paraId="518902B9" w14:textId="77777777" w:rsidR="00362B2C" w:rsidRDefault="00362B2C" w:rsidP="00362B2C">
      <w:pPr>
        <w:pStyle w:val="ACMABodyText"/>
        <w:spacing w:before="0" w:after="160" w:line="259" w:lineRule="auto"/>
        <w:rPr>
          <w:sz w:val="22"/>
          <w:szCs w:val="22"/>
        </w:rPr>
      </w:pPr>
      <w:r>
        <w:rPr>
          <w:sz w:val="22"/>
          <w:szCs w:val="22"/>
        </w:rPr>
        <w:t xml:space="preserve">The section requires the </w:t>
      </w:r>
      <w:r w:rsidRPr="00820AEA">
        <w:rPr>
          <w:sz w:val="22"/>
          <w:szCs w:val="22"/>
        </w:rPr>
        <w:t xml:space="preserve">ACMA </w:t>
      </w:r>
      <w:r>
        <w:rPr>
          <w:sz w:val="22"/>
          <w:szCs w:val="22"/>
        </w:rPr>
        <w:t xml:space="preserve">to extend the duration of the research authorisation </w:t>
      </w:r>
      <w:r w:rsidRPr="00820AEA">
        <w:rPr>
          <w:sz w:val="22"/>
          <w:szCs w:val="22"/>
        </w:rPr>
        <w:t xml:space="preserve">if it is satisfied that the reason why </w:t>
      </w:r>
      <w:r>
        <w:rPr>
          <w:sz w:val="22"/>
          <w:szCs w:val="22"/>
        </w:rPr>
        <w:t>the research is unable to be</w:t>
      </w:r>
      <w:r w:rsidRPr="00820AEA">
        <w:rPr>
          <w:sz w:val="22"/>
          <w:szCs w:val="22"/>
        </w:rPr>
        <w:t xml:space="preserve"> completed </w:t>
      </w:r>
      <w:r>
        <w:rPr>
          <w:sz w:val="22"/>
          <w:szCs w:val="22"/>
        </w:rPr>
        <w:t xml:space="preserve">before the end of the authorisation </w:t>
      </w:r>
      <w:r w:rsidRPr="00820AEA">
        <w:rPr>
          <w:sz w:val="22"/>
          <w:szCs w:val="22"/>
        </w:rPr>
        <w:t>is beyond the</w:t>
      </w:r>
      <w:r>
        <w:rPr>
          <w:sz w:val="22"/>
          <w:szCs w:val="22"/>
        </w:rPr>
        <w:t xml:space="preserve"> research entity</w:t>
      </w:r>
      <w:r w:rsidRPr="00820AEA">
        <w:rPr>
          <w:sz w:val="22"/>
          <w:szCs w:val="22"/>
        </w:rPr>
        <w:t>’s control</w:t>
      </w:r>
      <w:r>
        <w:rPr>
          <w:sz w:val="22"/>
          <w:szCs w:val="22"/>
        </w:rPr>
        <w:t xml:space="preserve"> and that the entity has complied, and is likely to continue to comply, with the relevant requirements (subsection (5))</w:t>
      </w:r>
      <w:r w:rsidRPr="00820AEA">
        <w:rPr>
          <w:sz w:val="22"/>
          <w:szCs w:val="22"/>
        </w:rPr>
        <w:t xml:space="preserve">. </w:t>
      </w:r>
    </w:p>
    <w:p w14:paraId="103A63C1" w14:textId="77777777" w:rsidR="00362B2C" w:rsidRDefault="00362B2C" w:rsidP="00362B2C">
      <w:pPr>
        <w:pStyle w:val="ACMABodyText"/>
        <w:spacing w:before="0" w:after="160" w:line="259" w:lineRule="auto"/>
        <w:rPr>
          <w:sz w:val="22"/>
          <w:szCs w:val="22"/>
        </w:rPr>
      </w:pPr>
      <w:r>
        <w:rPr>
          <w:sz w:val="22"/>
          <w:szCs w:val="22"/>
        </w:rPr>
        <w:t>If the</w:t>
      </w:r>
      <w:r w:rsidRPr="00820AEA">
        <w:rPr>
          <w:sz w:val="22"/>
          <w:szCs w:val="22"/>
        </w:rPr>
        <w:t xml:space="preserve"> ACMA </w:t>
      </w:r>
      <w:r>
        <w:rPr>
          <w:sz w:val="22"/>
          <w:szCs w:val="22"/>
        </w:rPr>
        <w:t>extends the duration of the research authorisation, the section requires the ACMA to decide</w:t>
      </w:r>
      <w:r w:rsidRPr="00820AEA">
        <w:rPr>
          <w:sz w:val="22"/>
          <w:szCs w:val="22"/>
        </w:rPr>
        <w:t xml:space="preserve"> the </w:t>
      </w:r>
      <w:r>
        <w:rPr>
          <w:sz w:val="22"/>
          <w:szCs w:val="22"/>
        </w:rPr>
        <w:t xml:space="preserve">period of the extension </w:t>
      </w:r>
      <w:r w:rsidRPr="00820AEA">
        <w:rPr>
          <w:sz w:val="22"/>
          <w:szCs w:val="22"/>
        </w:rPr>
        <w:t>(</w:t>
      </w:r>
      <w:r>
        <w:rPr>
          <w:sz w:val="22"/>
          <w:szCs w:val="22"/>
        </w:rPr>
        <w:t xml:space="preserve">being a period of </w:t>
      </w:r>
      <w:r w:rsidRPr="00820AEA">
        <w:rPr>
          <w:sz w:val="22"/>
          <w:szCs w:val="22"/>
        </w:rPr>
        <w:t xml:space="preserve">not more than </w:t>
      </w:r>
      <w:r>
        <w:rPr>
          <w:sz w:val="22"/>
          <w:szCs w:val="22"/>
        </w:rPr>
        <w:t>a quarter of the initial duration of the authorisation</w:t>
      </w:r>
      <w:r w:rsidRPr="00820AEA">
        <w:rPr>
          <w:sz w:val="22"/>
          <w:szCs w:val="22"/>
        </w:rPr>
        <w:t>)</w:t>
      </w:r>
      <w:r>
        <w:rPr>
          <w:sz w:val="22"/>
          <w:szCs w:val="22"/>
        </w:rPr>
        <w:t xml:space="preserve"> (paragraph (6)(a))</w:t>
      </w:r>
      <w:r w:rsidRPr="00820AEA">
        <w:rPr>
          <w:sz w:val="22"/>
          <w:szCs w:val="22"/>
        </w:rPr>
        <w:t xml:space="preserve">. </w:t>
      </w:r>
    </w:p>
    <w:p w14:paraId="2B118FD9" w14:textId="77777777" w:rsidR="00362B2C" w:rsidRDefault="00362B2C" w:rsidP="00362B2C">
      <w:pPr>
        <w:pStyle w:val="ACMABodyText"/>
        <w:spacing w:before="0" w:after="160" w:line="259" w:lineRule="auto"/>
        <w:rPr>
          <w:sz w:val="22"/>
          <w:szCs w:val="22"/>
        </w:rPr>
      </w:pPr>
      <w:r>
        <w:rPr>
          <w:sz w:val="22"/>
          <w:szCs w:val="22"/>
        </w:rPr>
        <w:lastRenderedPageBreak/>
        <w:t xml:space="preserve">The section makes clear that the </w:t>
      </w:r>
      <w:r w:rsidRPr="00820AEA">
        <w:rPr>
          <w:sz w:val="22"/>
          <w:szCs w:val="22"/>
        </w:rPr>
        <w:t xml:space="preserve">ACMA is not </w:t>
      </w:r>
      <w:r>
        <w:rPr>
          <w:sz w:val="22"/>
          <w:szCs w:val="22"/>
        </w:rPr>
        <w:t>obliged to extend the duration for any period requested by the research entity (paragraph (6)(b)).</w:t>
      </w:r>
    </w:p>
    <w:p w14:paraId="5BC83C2A" w14:textId="77777777" w:rsidR="00362B2C" w:rsidRDefault="00362B2C" w:rsidP="00362B2C">
      <w:pPr>
        <w:pStyle w:val="ACMABodyText"/>
        <w:spacing w:before="0" w:after="160" w:line="259" w:lineRule="auto"/>
        <w:rPr>
          <w:sz w:val="22"/>
          <w:szCs w:val="22"/>
        </w:rPr>
      </w:pPr>
      <w:r>
        <w:rPr>
          <w:sz w:val="22"/>
          <w:szCs w:val="22"/>
        </w:rPr>
        <w:t>The section</w:t>
      </w:r>
      <w:r w:rsidRPr="00095ADA">
        <w:rPr>
          <w:sz w:val="22"/>
          <w:szCs w:val="22"/>
        </w:rPr>
        <w:t xml:space="preserve"> </w:t>
      </w:r>
      <w:r>
        <w:rPr>
          <w:sz w:val="22"/>
          <w:szCs w:val="22"/>
        </w:rPr>
        <w:t>provides</w:t>
      </w:r>
      <w:r w:rsidRPr="00095ADA">
        <w:rPr>
          <w:sz w:val="22"/>
          <w:szCs w:val="22"/>
        </w:rPr>
        <w:t xml:space="preserve"> </w:t>
      </w:r>
      <w:r>
        <w:rPr>
          <w:sz w:val="22"/>
          <w:szCs w:val="22"/>
        </w:rPr>
        <w:t xml:space="preserve">that </w:t>
      </w:r>
      <w:r w:rsidRPr="00095ADA">
        <w:rPr>
          <w:sz w:val="22"/>
          <w:szCs w:val="22"/>
        </w:rPr>
        <w:t xml:space="preserve">the ACMA </w:t>
      </w:r>
      <w:r>
        <w:rPr>
          <w:sz w:val="22"/>
          <w:szCs w:val="22"/>
        </w:rPr>
        <w:t xml:space="preserve">must, </w:t>
      </w:r>
      <w:r w:rsidRPr="00095ADA">
        <w:rPr>
          <w:sz w:val="22"/>
          <w:szCs w:val="22"/>
        </w:rPr>
        <w:t xml:space="preserve">as soon as practicable after making </w:t>
      </w:r>
      <w:r>
        <w:rPr>
          <w:sz w:val="22"/>
          <w:szCs w:val="22"/>
        </w:rPr>
        <w:t>its</w:t>
      </w:r>
      <w:r w:rsidRPr="00095ADA">
        <w:rPr>
          <w:sz w:val="22"/>
          <w:szCs w:val="22"/>
        </w:rPr>
        <w:t xml:space="preserve"> decision</w:t>
      </w:r>
      <w:r>
        <w:rPr>
          <w:sz w:val="22"/>
          <w:szCs w:val="22"/>
        </w:rPr>
        <w:t xml:space="preserve">, </w:t>
      </w:r>
      <w:r w:rsidRPr="00095ADA">
        <w:rPr>
          <w:sz w:val="22"/>
          <w:szCs w:val="22"/>
        </w:rPr>
        <w:t>notify the</w:t>
      </w:r>
      <w:r>
        <w:rPr>
          <w:sz w:val="22"/>
          <w:szCs w:val="22"/>
        </w:rPr>
        <w:t xml:space="preserve"> research entity</w:t>
      </w:r>
      <w:r w:rsidRPr="00095ADA">
        <w:rPr>
          <w:sz w:val="22"/>
          <w:szCs w:val="22"/>
        </w:rPr>
        <w:t xml:space="preserve"> in writing of </w:t>
      </w:r>
      <w:r>
        <w:rPr>
          <w:sz w:val="22"/>
          <w:szCs w:val="22"/>
        </w:rPr>
        <w:t>the</w:t>
      </w:r>
      <w:r w:rsidRPr="00095ADA">
        <w:rPr>
          <w:sz w:val="22"/>
          <w:szCs w:val="22"/>
        </w:rPr>
        <w:t xml:space="preserve"> decision </w:t>
      </w:r>
      <w:r>
        <w:rPr>
          <w:sz w:val="22"/>
          <w:szCs w:val="22"/>
        </w:rPr>
        <w:t>and (for a refusal to extend the duration or a decision to extend the duration for a period other than a period requested by the entity) the reasons for the decision (paragraph (7)(a))</w:t>
      </w:r>
      <w:r w:rsidRPr="00095ADA">
        <w:rPr>
          <w:sz w:val="22"/>
          <w:szCs w:val="22"/>
        </w:rPr>
        <w:t>.</w:t>
      </w:r>
      <w:r>
        <w:rPr>
          <w:rStyle w:val="FootnoteReference"/>
          <w:sz w:val="22"/>
          <w:szCs w:val="22"/>
        </w:rPr>
        <w:footnoteReference w:id="24"/>
      </w:r>
      <w:r w:rsidRPr="00095ADA">
        <w:rPr>
          <w:sz w:val="22"/>
          <w:szCs w:val="22"/>
        </w:rPr>
        <w:t xml:space="preserve"> </w:t>
      </w:r>
    </w:p>
    <w:p w14:paraId="2BB90A46" w14:textId="77777777" w:rsidR="00362B2C" w:rsidRDefault="00362B2C" w:rsidP="00362B2C">
      <w:pPr>
        <w:pStyle w:val="FootnoteText"/>
        <w:spacing w:after="160" w:line="259" w:lineRule="auto"/>
        <w:rPr>
          <w:rFonts w:ascii="Times New Roman" w:hAnsi="Times New Roman"/>
          <w:sz w:val="22"/>
          <w:szCs w:val="22"/>
        </w:rPr>
      </w:pPr>
      <w:r>
        <w:rPr>
          <w:rFonts w:ascii="Times New Roman" w:hAnsi="Times New Roman"/>
          <w:sz w:val="22"/>
          <w:szCs w:val="22"/>
        </w:rPr>
        <w:t>The</w:t>
      </w:r>
      <w:r w:rsidRPr="00095ADA">
        <w:rPr>
          <w:rFonts w:ascii="Times New Roman" w:hAnsi="Times New Roman"/>
          <w:sz w:val="22"/>
          <w:szCs w:val="22"/>
        </w:rPr>
        <w:t xml:space="preserve"> </w:t>
      </w:r>
      <w:r>
        <w:rPr>
          <w:rFonts w:ascii="Times New Roman" w:hAnsi="Times New Roman"/>
          <w:sz w:val="22"/>
          <w:szCs w:val="22"/>
        </w:rPr>
        <w:t>section provides that for a decision to extend the duration,</w:t>
      </w:r>
      <w:r w:rsidRPr="00095ADA">
        <w:rPr>
          <w:rFonts w:ascii="Times New Roman" w:hAnsi="Times New Roman"/>
          <w:sz w:val="22"/>
          <w:szCs w:val="22"/>
        </w:rPr>
        <w:t xml:space="preserve"> </w:t>
      </w:r>
      <w:r>
        <w:rPr>
          <w:rFonts w:ascii="Times New Roman" w:hAnsi="Times New Roman"/>
          <w:sz w:val="22"/>
          <w:szCs w:val="22"/>
        </w:rPr>
        <w:t xml:space="preserve">the </w:t>
      </w:r>
      <w:r w:rsidRPr="00095ADA">
        <w:rPr>
          <w:rFonts w:ascii="Times New Roman" w:hAnsi="Times New Roman"/>
          <w:sz w:val="22"/>
          <w:szCs w:val="22"/>
        </w:rPr>
        <w:t xml:space="preserve">ACMA </w:t>
      </w:r>
      <w:r>
        <w:rPr>
          <w:rFonts w:ascii="Times New Roman" w:hAnsi="Times New Roman"/>
          <w:sz w:val="22"/>
          <w:szCs w:val="22"/>
        </w:rPr>
        <w:t xml:space="preserve">must also notify </w:t>
      </w:r>
      <w:r w:rsidRPr="00095ADA">
        <w:rPr>
          <w:rFonts w:ascii="Times New Roman" w:hAnsi="Times New Roman"/>
          <w:sz w:val="22"/>
          <w:szCs w:val="22"/>
        </w:rPr>
        <w:t>the IPND Manager</w:t>
      </w:r>
      <w:r>
        <w:rPr>
          <w:rFonts w:ascii="Times New Roman" w:hAnsi="Times New Roman"/>
          <w:sz w:val="22"/>
          <w:szCs w:val="22"/>
        </w:rPr>
        <w:t xml:space="preserve"> in writing of the decision as soon as practicable after making the decision </w:t>
      </w:r>
      <w:r w:rsidRPr="0011045E">
        <w:rPr>
          <w:rFonts w:ascii="Times New Roman" w:hAnsi="Times New Roman"/>
          <w:sz w:val="22"/>
          <w:szCs w:val="22"/>
        </w:rPr>
        <w:t>(paragraph (7)(b))</w:t>
      </w:r>
      <w:r w:rsidRPr="00095ADA">
        <w:rPr>
          <w:rFonts w:ascii="Times New Roman" w:hAnsi="Times New Roman"/>
          <w:sz w:val="22"/>
          <w:szCs w:val="22"/>
        </w:rPr>
        <w:t>.</w:t>
      </w:r>
    </w:p>
    <w:p w14:paraId="74CBF24C" w14:textId="77777777" w:rsidR="00362B2C" w:rsidRDefault="00362B2C" w:rsidP="00362B2C">
      <w:pPr>
        <w:pStyle w:val="ACMABodyText"/>
        <w:spacing w:before="0" w:after="160" w:line="259" w:lineRule="auto"/>
        <w:rPr>
          <w:b/>
          <w:snapToGrid/>
          <w:sz w:val="22"/>
          <w:szCs w:val="22"/>
        </w:rPr>
      </w:pPr>
      <w:r w:rsidRPr="006A1B19">
        <w:rPr>
          <w:b/>
          <w:snapToGrid/>
          <w:sz w:val="22"/>
          <w:szCs w:val="22"/>
        </w:rPr>
        <w:t xml:space="preserve">Section </w:t>
      </w:r>
      <w:r>
        <w:rPr>
          <w:b/>
          <w:snapToGrid/>
          <w:sz w:val="22"/>
          <w:szCs w:val="22"/>
        </w:rPr>
        <w:t>4.</w:t>
      </w:r>
      <w:r w:rsidRPr="006A1B19">
        <w:rPr>
          <w:b/>
          <w:snapToGrid/>
          <w:sz w:val="22"/>
          <w:szCs w:val="22"/>
        </w:rPr>
        <w:t>8</w:t>
      </w:r>
      <w:r w:rsidRPr="006A1B19">
        <w:rPr>
          <w:b/>
          <w:snapToGrid/>
          <w:sz w:val="22"/>
          <w:szCs w:val="22"/>
        </w:rPr>
        <w:tab/>
        <w:t>Start of extended duration of research authorisation</w:t>
      </w:r>
    </w:p>
    <w:p w14:paraId="4F1B49C4" w14:textId="77777777" w:rsidR="00362B2C" w:rsidRDefault="00362B2C" w:rsidP="00362B2C">
      <w:pPr>
        <w:pStyle w:val="ACMABodyText"/>
        <w:spacing w:before="0" w:after="40" w:line="259" w:lineRule="auto"/>
        <w:contextualSpacing/>
        <w:rPr>
          <w:sz w:val="22"/>
          <w:szCs w:val="22"/>
        </w:rPr>
      </w:pPr>
      <w:r>
        <w:rPr>
          <w:sz w:val="22"/>
          <w:szCs w:val="22"/>
        </w:rPr>
        <w:t xml:space="preserve">This section provides that an extension of the duration of a research authorisation starts on the later of: </w:t>
      </w:r>
    </w:p>
    <w:p w14:paraId="64E9BD4A" w14:textId="77777777" w:rsidR="00362B2C" w:rsidRDefault="00362B2C" w:rsidP="00362B2C">
      <w:pPr>
        <w:pStyle w:val="ACMABodyText"/>
        <w:numPr>
          <w:ilvl w:val="0"/>
          <w:numId w:val="29"/>
        </w:numPr>
        <w:spacing w:before="0" w:after="160" w:line="259" w:lineRule="auto"/>
        <w:contextualSpacing/>
        <w:rPr>
          <w:sz w:val="22"/>
          <w:szCs w:val="22"/>
        </w:rPr>
      </w:pPr>
      <w:r>
        <w:rPr>
          <w:sz w:val="22"/>
          <w:szCs w:val="22"/>
        </w:rPr>
        <w:t xml:space="preserve">the day after the day on which the ACMA makes the decision to extend the duration; and </w:t>
      </w:r>
    </w:p>
    <w:p w14:paraId="760FBEF5" w14:textId="77777777" w:rsidR="00362B2C" w:rsidRPr="009255DA" w:rsidRDefault="00362B2C" w:rsidP="00362B2C">
      <w:pPr>
        <w:pStyle w:val="ACMABodyText"/>
        <w:numPr>
          <w:ilvl w:val="0"/>
          <w:numId w:val="29"/>
        </w:numPr>
        <w:spacing w:before="0" w:after="160" w:line="259" w:lineRule="auto"/>
        <w:ind w:left="714" w:hanging="357"/>
        <w:rPr>
          <w:sz w:val="22"/>
          <w:szCs w:val="22"/>
        </w:rPr>
      </w:pPr>
      <w:r>
        <w:rPr>
          <w:sz w:val="22"/>
          <w:szCs w:val="22"/>
        </w:rPr>
        <w:t>the day after the day on which the authorisation would have ended if there had been no extension.</w:t>
      </w:r>
    </w:p>
    <w:p w14:paraId="551DBF9A" w14:textId="77777777" w:rsidR="00362B2C" w:rsidRPr="00B4516D" w:rsidRDefault="00362B2C" w:rsidP="00362B2C">
      <w:pPr>
        <w:pStyle w:val="ACMABodyText"/>
        <w:spacing w:before="0" w:after="160" w:line="259" w:lineRule="auto"/>
        <w:rPr>
          <w:b/>
          <w:sz w:val="22"/>
          <w:szCs w:val="22"/>
        </w:rPr>
      </w:pPr>
      <w:r>
        <w:rPr>
          <w:b/>
          <w:sz w:val="22"/>
          <w:szCs w:val="22"/>
        </w:rPr>
        <w:t>Subdivision C</w:t>
      </w:r>
      <w:r>
        <w:rPr>
          <w:b/>
          <w:sz w:val="22"/>
          <w:szCs w:val="22"/>
        </w:rPr>
        <w:tab/>
      </w:r>
      <w:r w:rsidRPr="00B4516D">
        <w:rPr>
          <w:b/>
          <w:sz w:val="22"/>
          <w:szCs w:val="22"/>
        </w:rPr>
        <w:t>Review of research authorisation that has effect on ongoing basis</w:t>
      </w:r>
    </w:p>
    <w:p w14:paraId="714C67DC" w14:textId="77777777" w:rsidR="00362B2C" w:rsidRPr="00B4516D" w:rsidRDefault="00362B2C" w:rsidP="00362B2C">
      <w:pPr>
        <w:pStyle w:val="ACMABodyText"/>
        <w:spacing w:before="0" w:after="160" w:line="259" w:lineRule="auto"/>
        <w:rPr>
          <w:b/>
          <w:sz w:val="22"/>
          <w:szCs w:val="22"/>
        </w:rPr>
      </w:pPr>
      <w:r w:rsidRPr="00B4516D">
        <w:rPr>
          <w:b/>
          <w:sz w:val="22"/>
          <w:szCs w:val="22"/>
        </w:rPr>
        <w:t xml:space="preserve">Section </w:t>
      </w:r>
      <w:r>
        <w:rPr>
          <w:b/>
          <w:sz w:val="22"/>
          <w:szCs w:val="22"/>
        </w:rPr>
        <w:t>4.</w:t>
      </w:r>
      <w:r w:rsidRPr="00B4516D">
        <w:rPr>
          <w:b/>
          <w:sz w:val="22"/>
          <w:szCs w:val="22"/>
        </w:rPr>
        <w:t>9</w:t>
      </w:r>
      <w:r w:rsidRPr="00B4516D">
        <w:rPr>
          <w:b/>
          <w:sz w:val="22"/>
          <w:szCs w:val="22"/>
        </w:rPr>
        <w:tab/>
      </w:r>
      <w:r>
        <w:rPr>
          <w:b/>
          <w:sz w:val="22"/>
          <w:szCs w:val="22"/>
        </w:rPr>
        <w:t>Review at least every 2 years</w:t>
      </w:r>
    </w:p>
    <w:p w14:paraId="1B3958DD" w14:textId="77777777" w:rsidR="00362B2C" w:rsidRDefault="00362B2C" w:rsidP="00362B2C">
      <w:pPr>
        <w:pStyle w:val="ACMABodyText"/>
        <w:spacing w:before="0" w:after="160" w:line="259" w:lineRule="auto"/>
        <w:rPr>
          <w:sz w:val="22"/>
          <w:szCs w:val="22"/>
        </w:rPr>
      </w:pPr>
      <w:r>
        <w:rPr>
          <w:sz w:val="22"/>
          <w:szCs w:val="22"/>
        </w:rPr>
        <w:t xml:space="preserve">This section requires the ACMA to undertake a review of a research authorisation that has effect on an ongoing basis at least once every two year period after the start of the authorisation (subsection (1)). </w:t>
      </w:r>
    </w:p>
    <w:p w14:paraId="0212C62B" w14:textId="77777777" w:rsidR="00362B2C" w:rsidRDefault="00362B2C" w:rsidP="00362B2C">
      <w:pPr>
        <w:pStyle w:val="ACMABodyText"/>
        <w:spacing w:before="0" w:after="40" w:line="259" w:lineRule="auto"/>
        <w:rPr>
          <w:sz w:val="22"/>
          <w:szCs w:val="22"/>
        </w:rPr>
      </w:pPr>
      <w:r>
        <w:rPr>
          <w:sz w:val="22"/>
          <w:szCs w:val="22"/>
        </w:rPr>
        <w:t xml:space="preserve">The section provides that the review must consider: </w:t>
      </w:r>
    </w:p>
    <w:p w14:paraId="254915B9" w14:textId="77777777" w:rsidR="00362B2C" w:rsidRDefault="00362B2C" w:rsidP="00362B2C">
      <w:pPr>
        <w:pStyle w:val="ACMABodyText"/>
        <w:numPr>
          <w:ilvl w:val="0"/>
          <w:numId w:val="17"/>
        </w:numPr>
        <w:spacing w:before="0" w:after="40" w:line="259" w:lineRule="auto"/>
        <w:rPr>
          <w:sz w:val="22"/>
          <w:szCs w:val="22"/>
        </w:rPr>
      </w:pPr>
      <w:r>
        <w:rPr>
          <w:sz w:val="22"/>
          <w:szCs w:val="22"/>
        </w:rPr>
        <w:t>whether the research authorisation is still required to have effect on an ongoing basis;</w:t>
      </w:r>
    </w:p>
    <w:p w14:paraId="7FD3133A" w14:textId="77777777" w:rsidR="00362B2C" w:rsidRDefault="00362B2C" w:rsidP="00362B2C">
      <w:pPr>
        <w:pStyle w:val="ACMABodyText"/>
        <w:numPr>
          <w:ilvl w:val="0"/>
          <w:numId w:val="16"/>
        </w:numPr>
        <w:spacing w:before="0" w:after="40" w:line="259" w:lineRule="auto"/>
        <w:rPr>
          <w:sz w:val="22"/>
          <w:szCs w:val="22"/>
        </w:rPr>
      </w:pPr>
      <w:r>
        <w:rPr>
          <w:sz w:val="22"/>
          <w:szCs w:val="22"/>
        </w:rPr>
        <w:t>whether each field of customer data to which the authorisation applies is still being (or to be) used and disclosed for purposes connected with the conduct of research of the kind or kinds to which the authorisation applies;</w:t>
      </w:r>
    </w:p>
    <w:p w14:paraId="5F9591AD" w14:textId="77777777" w:rsidR="00362B2C" w:rsidRDefault="00362B2C" w:rsidP="00362B2C">
      <w:pPr>
        <w:pStyle w:val="ACMABodyText"/>
        <w:numPr>
          <w:ilvl w:val="0"/>
          <w:numId w:val="16"/>
        </w:numPr>
        <w:spacing w:before="0" w:after="40" w:line="259" w:lineRule="auto"/>
        <w:rPr>
          <w:sz w:val="22"/>
          <w:szCs w:val="22"/>
        </w:rPr>
      </w:pPr>
      <w:r>
        <w:rPr>
          <w:sz w:val="22"/>
          <w:szCs w:val="22"/>
        </w:rPr>
        <w:t xml:space="preserve">whether the research entity has appropriate practices, procedures, processes and systems in place to protect the privacy and security of the customer data and to ensure compliance with all other relevant requirements; </w:t>
      </w:r>
    </w:p>
    <w:p w14:paraId="08029290" w14:textId="77777777" w:rsidR="00362B2C" w:rsidRDefault="00362B2C" w:rsidP="00362B2C">
      <w:pPr>
        <w:pStyle w:val="ACMABodyText"/>
        <w:numPr>
          <w:ilvl w:val="0"/>
          <w:numId w:val="16"/>
        </w:numPr>
        <w:spacing w:before="0" w:after="40" w:line="259" w:lineRule="auto"/>
        <w:rPr>
          <w:sz w:val="22"/>
          <w:szCs w:val="22"/>
        </w:rPr>
      </w:pPr>
      <w:r>
        <w:rPr>
          <w:sz w:val="22"/>
          <w:szCs w:val="22"/>
        </w:rPr>
        <w:t>the extent to which the research entity has complied with all relevant requirements; and</w:t>
      </w:r>
    </w:p>
    <w:p w14:paraId="65BD4353" w14:textId="77777777" w:rsidR="00362B2C" w:rsidRPr="00A0390F" w:rsidRDefault="00362B2C" w:rsidP="00362B2C">
      <w:pPr>
        <w:pStyle w:val="ACMABodyText"/>
        <w:numPr>
          <w:ilvl w:val="0"/>
          <w:numId w:val="16"/>
        </w:numPr>
        <w:spacing w:before="0" w:after="160" w:line="259" w:lineRule="auto"/>
        <w:ind w:left="714" w:hanging="357"/>
        <w:rPr>
          <w:b/>
        </w:rPr>
      </w:pPr>
      <w:r w:rsidRPr="00CA05B5">
        <w:rPr>
          <w:sz w:val="22"/>
          <w:szCs w:val="22"/>
        </w:rPr>
        <w:lastRenderedPageBreak/>
        <w:t>any other matter the ACMA considers relevant</w:t>
      </w:r>
      <w:r>
        <w:rPr>
          <w:sz w:val="22"/>
          <w:szCs w:val="22"/>
        </w:rPr>
        <w:t xml:space="preserve"> (subsection (2))</w:t>
      </w:r>
      <w:r w:rsidRPr="00CA05B5">
        <w:rPr>
          <w:sz w:val="22"/>
          <w:szCs w:val="22"/>
        </w:rPr>
        <w:t>.</w:t>
      </w:r>
    </w:p>
    <w:p w14:paraId="28CCBD04" w14:textId="77777777" w:rsidR="00362B2C" w:rsidRPr="006F3421" w:rsidRDefault="00362B2C" w:rsidP="00362B2C">
      <w:pPr>
        <w:rPr>
          <w:rFonts w:ascii="Times New Roman" w:hAnsi="Times New Roman" w:cs="Times New Roman"/>
          <w:b/>
        </w:rPr>
      </w:pPr>
      <w:r w:rsidRPr="006F3421">
        <w:rPr>
          <w:rFonts w:ascii="Times New Roman" w:hAnsi="Times New Roman" w:cs="Times New Roman"/>
          <w:b/>
        </w:rPr>
        <w:t>Part 5–End of Authorisations</w:t>
      </w:r>
    </w:p>
    <w:p w14:paraId="517C1194" w14:textId="77777777" w:rsidR="00362B2C" w:rsidRPr="006F3421" w:rsidRDefault="00362B2C" w:rsidP="00362B2C">
      <w:pPr>
        <w:pStyle w:val="ACMABodyText"/>
        <w:spacing w:before="0" w:after="160" w:line="259" w:lineRule="auto"/>
        <w:rPr>
          <w:sz w:val="22"/>
          <w:szCs w:val="22"/>
        </w:rPr>
      </w:pPr>
      <w:r w:rsidRPr="006F3421">
        <w:rPr>
          <w:sz w:val="22"/>
          <w:szCs w:val="22"/>
        </w:rPr>
        <w:t xml:space="preserve">Part 5 </w:t>
      </w:r>
      <w:r>
        <w:rPr>
          <w:sz w:val="22"/>
          <w:szCs w:val="22"/>
        </w:rPr>
        <w:t>sets out the circumstances in which an authorisation may be ended</w:t>
      </w:r>
      <w:r w:rsidRPr="006F3421">
        <w:rPr>
          <w:sz w:val="22"/>
          <w:szCs w:val="22"/>
        </w:rPr>
        <w:t>.   Division 1 of Part 5 applies to</w:t>
      </w:r>
      <w:r>
        <w:rPr>
          <w:sz w:val="22"/>
          <w:szCs w:val="22"/>
        </w:rPr>
        <w:t xml:space="preserve"> provisional authorisations and final authorisations, which are held by public number directory </w:t>
      </w:r>
      <w:r w:rsidRPr="006F3421">
        <w:rPr>
          <w:sz w:val="22"/>
          <w:szCs w:val="22"/>
        </w:rPr>
        <w:t>publishers</w:t>
      </w:r>
      <w:r>
        <w:rPr>
          <w:sz w:val="22"/>
          <w:szCs w:val="22"/>
        </w:rPr>
        <w:t xml:space="preserve">.  </w:t>
      </w:r>
      <w:r w:rsidRPr="006F3421">
        <w:rPr>
          <w:sz w:val="22"/>
          <w:szCs w:val="22"/>
        </w:rPr>
        <w:t>D</w:t>
      </w:r>
      <w:r>
        <w:rPr>
          <w:sz w:val="22"/>
          <w:szCs w:val="22"/>
        </w:rPr>
        <w:t>ivision 2 of Part 5 applies to research authorisations, which are held by research entities</w:t>
      </w:r>
      <w:r w:rsidRPr="006F3421">
        <w:rPr>
          <w:sz w:val="22"/>
          <w:szCs w:val="22"/>
        </w:rPr>
        <w:t>.</w:t>
      </w:r>
    </w:p>
    <w:p w14:paraId="1FBB2D6A" w14:textId="77777777" w:rsidR="00362B2C" w:rsidRDefault="00362B2C" w:rsidP="00362B2C">
      <w:pPr>
        <w:rPr>
          <w:rFonts w:ascii="Times New Roman" w:hAnsi="Times New Roman" w:cs="Times New Roman"/>
          <w:b/>
        </w:rPr>
      </w:pPr>
      <w:r>
        <w:rPr>
          <w:rFonts w:ascii="Times New Roman" w:hAnsi="Times New Roman" w:cs="Times New Roman"/>
          <w:b/>
        </w:rPr>
        <w:t>Division 1</w:t>
      </w:r>
      <w:r>
        <w:rPr>
          <w:rFonts w:ascii="Times New Roman" w:hAnsi="Times New Roman" w:cs="Times New Roman"/>
          <w:b/>
        </w:rPr>
        <w:tab/>
        <w:t>Public number directory publishers</w:t>
      </w:r>
      <w:r w:rsidRPr="00EB66AE">
        <w:rPr>
          <w:rFonts w:ascii="Times New Roman" w:hAnsi="Times New Roman" w:cs="Times New Roman"/>
          <w:b/>
        </w:rPr>
        <w:t xml:space="preserve"> </w:t>
      </w:r>
    </w:p>
    <w:p w14:paraId="6AC9FC65" w14:textId="77777777" w:rsidR="00362B2C" w:rsidRPr="00C91BD0" w:rsidRDefault="00362B2C" w:rsidP="00362B2C">
      <w:pPr>
        <w:rPr>
          <w:rFonts w:ascii="Times New Roman" w:hAnsi="Times New Roman" w:cs="Times New Roman"/>
          <w:b/>
        </w:rPr>
      </w:pPr>
      <w:r w:rsidRPr="00C91BD0">
        <w:rPr>
          <w:rFonts w:ascii="Times New Roman" w:hAnsi="Times New Roman" w:cs="Times New Roman"/>
          <w:b/>
        </w:rPr>
        <w:t xml:space="preserve">Section </w:t>
      </w:r>
      <w:r>
        <w:rPr>
          <w:rFonts w:ascii="Times New Roman" w:hAnsi="Times New Roman" w:cs="Times New Roman"/>
          <w:b/>
        </w:rPr>
        <w:t>5.</w:t>
      </w:r>
      <w:r w:rsidRPr="00C91BD0">
        <w:rPr>
          <w:rFonts w:ascii="Times New Roman" w:hAnsi="Times New Roman" w:cs="Times New Roman"/>
          <w:b/>
        </w:rPr>
        <w:t>1</w:t>
      </w:r>
      <w:r w:rsidRPr="00C91BD0">
        <w:rPr>
          <w:rFonts w:ascii="Times New Roman" w:hAnsi="Times New Roman" w:cs="Times New Roman"/>
          <w:b/>
        </w:rPr>
        <w:tab/>
        <w:t>End of provisional authorisation or final authorisation—revocation</w:t>
      </w:r>
    </w:p>
    <w:p w14:paraId="61E49411" w14:textId="77777777" w:rsidR="00362B2C" w:rsidRPr="00C91BD0" w:rsidRDefault="00362B2C" w:rsidP="00362B2C">
      <w:pPr>
        <w:rPr>
          <w:rFonts w:ascii="Times New Roman" w:hAnsi="Times New Roman" w:cs="Times New Roman"/>
        </w:rPr>
      </w:pPr>
      <w:r>
        <w:rPr>
          <w:rFonts w:ascii="Times New Roman" w:hAnsi="Times New Roman" w:cs="Times New Roman"/>
        </w:rPr>
        <w:t>T</w:t>
      </w:r>
      <w:r w:rsidRPr="00C91BD0">
        <w:rPr>
          <w:rFonts w:ascii="Times New Roman" w:hAnsi="Times New Roman" w:cs="Times New Roman"/>
        </w:rPr>
        <w:t>h</w:t>
      </w:r>
      <w:r>
        <w:rPr>
          <w:rFonts w:ascii="Times New Roman" w:hAnsi="Times New Roman" w:cs="Times New Roman"/>
        </w:rPr>
        <w:t>is section provides that the</w:t>
      </w:r>
      <w:r w:rsidRPr="00C91BD0">
        <w:rPr>
          <w:rFonts w:ascii="Times New Roman" w:hAnsi="Times New Roman" w:cs="Times New Roman"/>
        </w:rPr>
        <w:t xml:space="preserve"> ACMA may</w:t>
      </w:r>
      <w:r>
        <w:rPr>
          <w:rFonts w:ascii="Times New Roman" w:hAnsi="Times New Roman" w:cs="Times New Roman"/>
        </w:rPr>
        <w:t>, in accordance with the section,</w:t>
      </w:r>
      <w:r w:rsidRPr="00C91BD0">
        <w:rPr>
          <w:rFonts w:ascii="Times New Roman" w:hAnsi="Times New Roman" w:cs="Times New Roman"/>
        </w:rPr>
        <w:t xml:space="preserve"> revoke an authorisation of a provisional</w:t>
      </w:r>
      <w:r>
        <w:rPr>
          <w:rFonts w:ascii="Times New Roman" w:hAnsi="Times New Roman" w:cs="Times New Roman"/>
        </w:rPr>
        <w:t xml:space="preserve"> authorisation</w:t>
      </w:r>
      <w:r w:rsidRPr="00C91BD0">
        <w:rPr>
          <w:rFonts w:ascii="Times New Roman" w:hAnsi="Times New Roman" w:cs="Times New Roman"/>
        </w:rPr>
        <w:t xml:space="preserve"> or final authorisation if it is satisfied that the </w:t>
      </w:r>
      <w:r>
        <w:rPr>
          <w:rFonts w:ascii="Times New Roman" w:hAnsi="Times New Roman" w:cs="Times New Roman"/>
        </w:rPr>
        <w:t xml:space="preserve">public number directory </w:t>
      </w:r>
      <w:r w:rsidRPr="00C91BD0">
        <w:rPr>
          <w:rFonts w:ascii="Times New Roman" w:hAnsi="Times New Roman" w:cs="Times New Roman"/>
        </w:rPr>
        <w:t>publisher</w:t>
      </w:r>
      <w:r>
        <w:rPr>
          <w:rFonts w:ascii="Times New Roman" w:hAnsi="Times New Roman" w:cs="Times New Roman"/>
        </w:rPr>
        <w:t xml:space="preserve"> who holds the authorisation</w:t>
      </w:r>
      <w:r w:rsidRPr="00C91BD0">
        <w:rPr>
          <w:rFonts w:ascii="Times New Roman" w:hAnsi="Times New Roman" w:cs="Times New Roman"/>
        </w:rPr>
        <w:t xml:space="preserve"> has breached a condition of the authorisation</w:t>
      </w:r>
      <w:r>
        <w:rPr>
          <w:rFonts w:ascii="Times New Roman" w:hAnsi="Times New Roman" w:cs="Times New Roman"/>
        </w:rPr>
        <w:t xml:space="preserve"> (subsection (1))</w:t>
      </w:r>
      <w:r w:rsidRPr="00C91BD0">
        <w:rPr>
          <w:rFonts w:ascii="Times New Roman" w:hAnsi="Times New Roman" w:cs="Times New Roman"/>
        </w:rPr>
        <w:t xml:space="preserve">. </w:t>
      </w:r>
    </w:p>
    <w:p w14:paraId="1911473D" w14:textId="77777777" w:rsidR="00362B2C" w:rsidRDefault="00362B2C" w:rsidP="00362B2C">
      <w:pPr>
        <w:pStyle w:val="ACMABodyText"/>
        <w:spacing w:before="0" w:after="40" w:line="259" w:lineRule="auto"/>
        <w:rPr>
          <w:sz w:val="22"/>
          <w:szCs w:val="22"/>
        </w:rPr>
      </w:pPr>
      <w:r>
        <w:rPr>
          <w:sz w:val="22"/>
          <w:szCs w:val="22"/>
        </w:rPr>
        <w:t>If the ACMA proposes to revoke a provisional authorisation or final authorisation, the section requires the ACMA</w:t>
      </w:r>
      <w:r w:rsidRPr="00DA6568">
        <w:rPr>
          <w:sz w:val="22"/>
          <w:szCs w:val="22"/>
        </w:rPr>
        <w:t xml:space="preserve"> </w:t>
      </w:r>
      <w:r>
        <w:rPr>
          <w:sz w:val="22"/>
          <w:szCs w:val="22"/>
        </w:rPr>
        <w:t>to:</w:t>
      </w:r>
    </w:p>
    <w:p w14:paraId="46E6BAB0" w14:textId="77777777" w:rsidR="00362B2C" w:rsidRDefault="00362B2C" w:rsidP="00362B2C">
      <w:pPr>
        <w:pStyle w:val="ACMABodyText"/>
        <w:numPr>
          <w:ilvl w:val="0"/>
          <w:numId w:val="38"/>
        </w:numPr>
        <w:spacing w:before="0" w:after="40" w:line="259" w:lineRule="auto"/>
        <w:rPr>
          <w:sz w:val="22"/>
          <w:szCs w:val="22"/>
        </w:rPr>
      </w:pPr>
      <w:r>
        <w:rPr>
          <w:sz w:val="22"/>
          <w:szCs w:val="22"/>
        </w:rPr>
        <w:t>notify the public number directory</w:t>
      </w:r>
      <w:r w:rsidRPr="00DA6568">
        <w:rPr>
          <w:sz w:val="22"/>
          <w:szCs w:val="22"/>
        </w:rPr>
        <w:t xml:space="preserve"> publisher </w:t>
      </w:r>
      <w:r>
        <w:rPr>
          <w:sz w:val="22"/>
          <w:szCs w:val="22"/>
        </w:rPr>
        <w:t xml:space="preserve">in writing of the </w:t>
      </w:r>
      <w:r w:rsidRPr="00DA6568">
        <w:rPr>
          <w:sz w:val="22"/>
          <w:szCs w:val="22"/>
        </w:rPr>
        <w:t xml:space="preserve">proposal </w:t>
      </w:r>
      <w:r>
        <w:rPr>
          <w:sz w:val="22"/>
          <w:szCs w:val="22"/>
        </w:rPr>
        <w:t xml:space="preserve">and the ACMA’s reasons for the proposal; and </w:t>
      </w:r>
    </w:p>
    <w:p w14:paraId="1C94CF60" w14:textId="77777777" w:rsidR="00362B2C" w:rsidRDefault="00362B2C" w:rsidP="00362B2C">
      <w:pPr>
        <w:pStyle w:val="ACMABodyText"/>
        <w:numPr>
          <w:ilvl w:val="0"/>
          <w:numId w:val="38"/>
        </w:numPr>
        <w:spacing w:before="0" w:after="160" w:line="259" w:lineRule="auto"/>
        <w:ind w:left="714" w:hanging="357"/>
        <w:rPr>
          <w:sz w:val="22"/>
          <w:szCs w:val="22"/>
        </w:rPr>
      </w:pPr>
      <w:r>
        <w:rPr>
          <w:sz w:val="22"/>
          <w:szCs w:val="22"/>
        </w:rPr>
        <w:t xml:space="preserve">invite the publisher to give the ACMA written reasons why the authorisation should not be revoked within a period of at least 30 days specified in the notice (subsection (2)). </w:t>
      </w:r>
      <w:r w:rsidRPr="00DA6568">
        <w:rPr>
          <w:sz w:val="22"/>
          <w:szCs w:val="22"/>
        </w:rPr>
        <w:t xml:space="preserve"> </w:t>
      </w:r>
    </w:p>
    <w:p w14:paraId="13E45CC3" w14:textId="77777777" w:rsidR="00362B2C" w:rsidRDefault="00362B2C" w:rsidP="00362B2C">
      <w:pPr>
        <w:pStyle w:val="ACMABodyText"/>
        <w:spacing w:before="0" w:after="160" w:line="259" w:lineRule="auto"/>
        <w:rPr>
          <w:sz w:val="22"/>
          <w:szCs w:val="22"/>
        </w:rPr>
      </w:pPr>
      <w:r>
        <w:rPr>
          <w:sz w:val="22"/>
          <w:szCs w:val="22"/>
        </w:rPr>
        <w:t>The section requires the ACMA to decide whether to revoke the authorisation, having regard to any reasons given by the public number directory publisher, after the end of the period specified in the notice (paragraph (3)(a)). The ACMA may revoke the authorisation i</w:t>
      </w:r>
      <w:r w:rsidRPr="00DA6568">
        <w:rPr>
          <w:sz w:val="22"/>
          <w:szCs w:val="22"/>
        </w:rPr>
        <w:t xml:space="preserve">f it is satisfied that </w:t>
      </w:r>
      <w:r>
        <w:rPr>
          <w:sz w:val="22"/>
          <w:szCs w:val="22"/>
        </w:rPr>
        <w:t>the public number directory publisher has breached a condition of the</w:t>
      </w:r>
      <w:r w:rsidRPr="00DA6568">
        <w:rPr>
          <w:sz w:val="22"/>
          <w:szCs w:val="22"/>
        </w:rPr>
        <w:t xml:space="preserve"> authorisation</w:t>
      </w:r>
      <w:r>
        <w:rPr>
          <w:sz w:val="22"/>
          <w:szCs w:val="22"/>
        </w:rPr>
        <w:t xml:space="preserve"> (paragraph (3)(b))</w:t>
      </w:r>
      <w:r w:rsidRPr="00DA6568">
        <w:rPr>
          <w:sz w:val="22"/>
          <w:szCs w:val="22"/>
        </w:rPr>
        <w:t xml:space="preserve">. </w:t>
      </w:r>
    </w:p>
    <w:p w14:paraId="3AC751DF" w14:textId="77777777" w:rsidR="00362B2C" w:rsidRDefault="00362B2C" w:rsidP="00362B2C">
      <w:pPr>
        <w:pStyle w:val="ACMABodyText"/>
        <w:spacing w:before="0" w:after="160" w:line="259" w:lineRule="auto"/>
        <w:rPr>
          <w:sz w:val="22"/>
          <w:szCs w:val="22"/>
        </w:rPr>
      </w:pPr>
      <w:r>
        <w:rPr>
          <w:sz w:val="22"/>
          <w:szCs w:val="22"/>
        </w:rPr>
        <w:t>The section provides that, if the ACMA revokes the authorisation, the ACMA must, as soon as practicable, notify the person who held the authorisation and the IPND Manager in writing of the revocation (subsection (4)).</w:t>
      </w:r>
      <w:r>
        <w:rPr>
          <w:rStyle w:val="FootnoteReference"/>
          <w:sz w:val="22"/>
          <w:szCs w:val="22"/>
        </w:rPr>
        <w:footnoteReference w:id="25"/>
      </w:r>
    </w:p>
    <w:p w14:paraId="0B9CB839" w14:textId="77777777" w:rsidR="00362B2C" w:rsidRPr="007769C6" w:rsidRDefault="00362B2C" w:rsidP="00362B2C">
      <w:pPr>
        <w:pStyle w:val="ACMABodyText"/>
        <w:spacing w:before="0" w:after="160" w:line="259" w:lineRule="auto"/>
        <w:ind w:left="1440" w:hanging="1440"/>
        <w:rPr>
          <w:b/>
          <w:sz w:val="22"/>
          <w:szCs w:val="22"/>
        </w:rPr>
      </w:pPr>
      <w:r>
        <w:rPr>
          <w:b/>
          <w:sz w:val="22"/>
          <w:szCs w:val="22"/>
        </w:rPr>
        <w:t>Section 5.2</w:t>
      </w:r>
      <w:r>
        <w:rPr>
          <w:b/>
          <w:sz w:val="22"/>
          <w:szCs w:val="22"/>
        </w:rPr>
        <w:tab/>
      </w:r>
      <w:r w:rsidRPr="007769C6">
        <w:rPr>
          <w:b/>
          <w:sz w:val="22"/>
          <w:szCs w:val="22"/>
        </w:rPr>
        <w:t>Further application to use and disclose customer</w:t>
      </w:r>
      <w:r>
        <w:rPr>
          <w:b/>
          <w:sz w:val="22"/>
          <w:szCs w:val="22"/>
        </w:rPr>
        <w:t xml:space="preserve"> data </w:t>
      </w:r>
      <w:r w:rsidRPr="007769C6">
        <w:rPr>
          <w:b/>
          <w:sz w:val="22"/>
          <w:szCs w:val="22"/>
        </w:rPr>
        <w:t>if authorisation is revoked</w:t>
      </w:r>
    </w:p>
    <w:p w14:paraId="16541EE1" w14:textId="77777777" w:rsidR="00362B2C" w:rsidRPr="007769C6" w:rsidRDefault="00362B2C" w:rsidP="00362B2C">
      <w:pPr>
        <w:pStyle w:val="ACMABodyText"/>
        <w:spacing w:before="0" w:after="160" w:line="259" w:lineRule="auto"/>
        <w:rPr>
          <w:sz w:val="22"/>
          <w:szCs w:val="22"/>
        </w:rPr>
      </w:pPr>
      <w:r>
        <w:rPr>
          <w:sz w:val="22"/>
          <w:szCs w:val="22"/>
        </w:rPr>
        <w:t xml:space="preserve">This section precludes a person whose authorisation has been revoked under section 5.1 from applying for the grant of a provisional authorisation or final authorisation for a </w:t>
      </w:r>
      <w:r>
        <w:rPr>
          <w:sz w:val="22"/>
          <w:szCs w:val="22"/>
        </w:rPr>
        <w:lastRenderedPageBreak/>
        <w:t xml:space="preserve">period of 90 days starting on the day on which the revocation took effect. </w:t>
      </w:r>
      <w:r w:rsidRPr="007769C6">
        <w:rPr>
          <w:sz w:val="22"/>
          <w:szCs w:val="22"/>
        </w:rPr>
        <w:t>Th</w:t>
      </w:r>
      <w:r>
        <w:rPr>
          <w:sz w:val="22"/>
          <w:szCs w:val="22"/>
        </w:rPr>
        <w:t>is</w:t>
      </w:r>
      <w:r w:rsidRPr="007769C6">
        <w:rPr>
          <w:sz w:val="22"/>
          <w:szCs w:val="22"/>
        </w:rPr>
        <w:t xml:space="preserve"> is to ensure that </w:t>
      </w:r>
      <w:r>
        <w:rPr>
          <w:sz w:val="22"/>
          <w:szCs w:val="22"/>
        </w:rPr>
        <w:t xml:space="preserve">the person has </w:t>
      </w:r>
      <w:r w:rsidRPr="007769C6">
        <w:rPr>
          <w:sz w:val="22"/>
          <w:szCs w:val="22"/>
        </w:rPr>
        <w:t>a reasonable amount of time</w:t>
      </w:r>
      <w:r>
        <w:rPr>
          <w:sz w:val="22"/>
          <w:szCs w:val="22"/>
        </w:rPr>
        <w:t xml:space="preserve"> </w:t>
      </w:r>
      <w:r w:rsidRPr="007769C6">
        <w:rPr>
          <w:sz w:val="22"/>
          <w:szCs w:val="22"/>
        </w:rPr>
        <w:t>to</w:t>
      </w:r>
      <w:r>
        <w:rPr>
          <w:sz w:val="22"/>
          <w:szCs w:val="22"/>
        </w:rPr>
        <w:t xml:space="preserve"> rectify the issue or issues which led to the revocation and to be able </w:t>
      </w:r>
      <w:r w:rsidRPr="007769C6">
        <w:rPr>
          <w:sz w:val="22"/>
          <w:szCs w:val="22"/>
        </w:rPr>
        <w:t>to demonstrate</w:t>
      </w:r>
      <w:r>
        <w:rPr>
          <w:sz w:val="22"/>
          <w:szCs w:val="22"/>
        </w:rPr>
        <w:t xml:space="preserve"> to the ACMA when making any further application that</w:t>
      </w:r>
      <w:r w:rsidRPr="007769C6">
        <w:rPr>
          <w:sz w:val="22"/>
          <w:szCs w:val="22"/>
        </w:rPr>
        <w:t xml:space="preserve"> th</w:t>
      </w:r>
      <w:r>
        <w:rPr>
          <w:sz w:val="22"/>
          <w:szCs w:val="22"/>
        </w:rPr>
        <w:t>e person is likely to comply with the relevant requirements of</w:t>
      </w:r>
      <w:r w:rsidRPr="007769C6">
        <w:rPr>
          <w:sz w:val="22"/>
          <w:szCs w:val="22"/>
        </w:rPr>
        <w:t xml:space="preserve"> the </w:t>
      </w:r>
      <w:r>
        <w:rPr>
          <w:sz w:val="22"/>
          <w:szCs w:val="22"/>
        </w:rPr>
        <w:t>s</w:t>
      </w:r>
      <w:r w:rsidRPr="007769C6">
        <w:rPr>
          <w:sz w:val="22"/>
          <w:szCs w:val="22"/>
        </w:rPr>
        <w:t>cheme.</w:t>
      </w:r>
    </w:p>
    <w:p w14:paraId="34314BBF" w14:textId="77777777" w:rsidR="00362B2C" w:rsidRPr="007769C6" w:rsidRDefault="00362B2C" w:rsidP="00362B2C">
      <w:pPr>
        <w:pStyle w:val="ACMABodyText"/>
        <w:spacing w:before="0" w:after="160" w:line="259" w:lineRule="auto"/>
        <w:rPr>
          <w:b/>
          <w:sz w:val="22"/>
          <w:szCs w:val="22"/>
        </w:rPr>
      </w:pPr>
      <w:r w:rsidRPr="007769C6">
        <w:rPr>
          <w:b/>
          <w:sz w:val="22"/>
          <w:szCs w:val="22"/>
        </w:rPr>
        <w:t xml:space="preserve">Section </w:t>
      </w:r>
      <w:r>
        <w:rPr>
          <w:b/>
          <w:sz w:val="22"/>
          <w:szCs w:val="22"/>
        </w:rPr>
        <w:t>5.</w:t>
      </w:r>
      <w:r w:rsidRPr="007769C6">
        <w:rPr>
          <w:b/>
          <w:sz w:val="22"/>
          <w:szCs w:val="22"/>
        </w:rPr>
        <w:t>3</w:t>
      </w:r>
      <w:r w:rsidRPr="007769C6">
        <w:rPr>
          <w:b/>
          <w:sz w:val="22"/>
          <w:szCs w:val="22"/>
        </w:rPr>
        <w:tab/>
        <w:t>End of final authorisation—other</w:t>
      </w:r>
    </w:p>
    <w:p w14:paraId="6233A617" w14:textId="77777777" w:rsidR="00362B2C" w:rsidRPr="00695156" w:rsidRDefault="00362B2C" w:rsidP="00362B2C">
      <w:pPr>
        <w:pStyle w:val="ACMABodyText"/>
        <w:spacing w:before="0" w:after="160" w:line="259" w:lineRule="auto"/>
        <w:rPr>
          <w:sz w:val="22"/>
          <w:szCs w:val="22"/>
        </w:rPr>
      </w:pPr>
      <w:r>
        <w:rPr>
          <w:sz w:val="22"/>
          <w:szCs w:val="22"/>
        </w:rPr>
        <w:t xml:space="preserve">This section </w:t>
      </w:r>
      <w:r w:rsidRPr="00695156">
        <w:rPr>
          <w:sz w:val="22"/>
          <w:szCs w:val="22"/>
        </w:rPr>
        <w:t>provide</w:t>
      </w:r>
      <w:r>
        <w:rPr>
          <w:sz w:val="22"/>
          <w:szCs w:val="22"/>
        </w:rPr>
        <w:t>s</w:t>
      </w:r>
      <w:r w:rsidRPr="00695156">
        <w:rPr>
          <w:sz w:val="22"/>
          <w:szCs w:val="22"/>
        </w:rPr>
        <w:t xml:space="preserve"> that</w:t>
      </w:r>
      <w:r>
        <w:rPr>
          <w:sz w:val="22"/>
          <w:szCs w:val="22"/>
        </w:rPr>
        <w:t>, if a public number directory publisher who holds</w:t>
      </w:r>
      <w:r w:rsidRPr="00695156">
        <w:rPr>
          <w:sz w:val="22"/>
          <w:szCs w:val="22"/>
        </w:rPr>
        <w:t xml:space="preserve"> a</w:t>
      </w:r>
      <w:r>
        <w:rPr>
          <w:sz w:val="22"/>
          <w:szCs w:val="22"/>
        </w:rPr>
        <w:t xml:space="preserve"> final</w:t>
      </w:r>
      <w:r w:rsidRPr="00695156">
        <w:rPr>
          <w:sz w:val="22"/>
          <w:szCs w:val="22"/>
        </w:rPr>
        <w:t xml:space="preserve"> authorisation</w:t>
      </w:r>
      <w:r>
        <w:rPr>
          <w:sz w:val="22"/>
          <w:szCs w:val="22"/>
        </w:rPr>
        <w:t xml:space="preserve"> fails to publish a PND within a period of 90 days starting on the day the authorisation starts,</w:t>
      </w:r>
      <w:r w:rsidRPr="00695156">
        <w:rPr>
          <w:sz w:val="22"/>
          <w:szCs w:val="22"/>
        </w:rPr>
        <w:t xml:space="preserve"> or </w:t>
      </w:r>
      <w:r>
        <w:rPr>
          <w:sz w:val="22"/>
          <w:szCs w:val="22"/>
        </w:rPr>
        <w:t xml:space="preserve">any </w:t>
      </w:r>
      <w:r w:rsidRPr="00695156">
        <w:rPr>
          <w:sz w:val="22"/>
          <w:szCs w:val="22"/>
        </w:rPr>
        <w:t>extended period granted</w:t>
      </w:r>
      <w:r>
        <w:rPr>
          <w:sz w:val="22"/>
          <w:szCs w:val="22"/>
        </w:rPr>
        <w:t>, the authorisation is taken to have ended immediately after the end of the 90 day period or the extended period (subsection (1))</w:t>
      </w:r>
      <w:r w:rsidRPr="00695156">
        <w:rPr>
          <w:sz w:val="22"/>
          <w:szCs w:val="22"/>
        </w:rPr>
        <w:t xml:space="preserve">. </w:t>
      </w:r>
    </w:p>
    <w:p w14:paraId="7277BA09" w14:textId="04C7591E" w:rsidR="00362B2C" w:rsidRDefault="00362B2C" w:rsidP="00362B2C">
      <w:pPr>
        <w:pStyle w:val="ACMABodyText"/>
        <w:spacing w:before="0" w:after="160" w:line="259" w:lineRule="auto"/>
        <w:rPr>
          <w:sz w:val="22"/>
          <w:szCs w:val="22"/>
        </w:rPr>
      </w:pPr>
      <w:r>
        <w:rPr>
          <w:sz w:val="22"/>
          <w:szCs w:val="22"/>
        </w:rPr>
        <w:t>The section provides that if a public number directory publisher who holds a final authorisation notifies the ACMA in writing that the authorisation is no longer required, the authorisation is taken to have ended immediately after the end of a period of 10 days, or any longer period specified in the notice, starting on the day the ACMA receives the notice, unless the authorisation happens to end earlier (subsection (2)).</w:t>
      </w:r>
    </w:p>
    <w:p w14:paraId="7628EADF" w14:textId="6EB285B9" w:rsidR="00362B2C" w:rsidRDefault="00362B2C" w:rsidP="00362B2C">
      <w:pPr>
        <w:pStyle w:val="ACMABodyText"/>
        <w:spacing w:before="0" w:after="160" w:line="259" w:lineRule="auto"/>
        <w:rPr>
          <w:sz w:val="22"/>
          <w:szCs w:val="22"/>
        </w:rPr>
      </w:pPr>
      <w:r>
        <w:rPr>
          <w:sz w:val="22"/>
          <w:szCs w:val="22"/>
        </w:rPr>
        <w:t xml:space="preserve">The section provides that the </w:t>
      </w:r>
      <w:r w:rsidRPr="00695156">
        <w:rPr>
          <w:sz w:val="22"/>
          <w:szCs w:val="22"/>
        </w:rPr>
        <w:t xml:space="preserve">ACMA </w:t>
      </w:r>
      <w:r>
        <w:rPr>
          <w:sz w:val="22"/>
          <w:szCs w:val="22"/>
        </w:rPr>
        <w:t xml:space="preserve">must, as soon as practicable after </w:t>
      </w:r>
      <w:r w:rsidR="001B30E3">
        <w:rPr>
          <w:sz w:val="22"/>
          <w:szCs w:val="22"/>
        </w:rPr>
        <w:t>becoming</w:t>
      </w:r>
      <w:r>
        <w:rPr>
          <w:sz w:val="22"/>
          <w:szCs w:val="22"/>
        </w:rPr>
        <w:t xml:space="preserve"> aware that an authorisation has ended under the section,</w:t>
      </w:r>
      <w:r w:rsidRPr="00695156">
        <w:rPr>
          <w:sz w:val="22"/>
          <w:szCs w:val="22"/>
        </w:rPr>
        <w:t xml:space="preserve"> </w:t>
      </w:r>
      <w:r>
        <w:rPr>
          <w:sz w:val="22"/>
          <w:szCs w:val="22"/>
        </w:rPr>
        <w:t>notify</w:t>
      </w:r>
      <w:r w:rsidRPr="00695156">
        <w:rPr>
          <w:sz w:val="22"/>
          <w:szCs w:val="22"/>
        </w:rPr>
        <w:t xml:space="preserve"> the IPND Manager</w:t>
      </w:r>
      <w:r>
        <w:rPr>
          <w:sz w:val="22"/>
          <w:szCs w:val="22"/>
        </w:rPr>
        <w:t xml:space="preserve"> in writing of the matter (subsection (3)).</w:t>
      </w:r>
    </w:p>
    <w:p w14:paraId="1AC753BE" w14:textId="77777777" w:rsidR="00362B2C" w:rsidRPr="005F46B4" w:rsidRDefault="00362B2C" w:rsidP="00362B2C">
      <w:pPr>
        <w:pStyle w:val="ACMABodyText"/>
        <w:spacing w:before="0" w:after="160" w:line="259" w:lineRule="auto"/>
        <w:rPr>
          <w:b/>
          <w:sz w:val="22"/>
          <w:szCs w:val="22"/>
        </w:rPr>
      </w:pPr>
      <w:r w:rsidRPr="005F46B4">
        <w:rPr>
          <w:b/>
          <w:sz w:val="22"/>
          <w:szCs w:val="22"/>
        </w:rPr>
        <w:t>Division 2</w:t>
      </w:r>
      <w:r w:rsidRPr="005F46B4">
        <w:rPr>
          <w:b/>
          <w:sz w:val="22"/>
          <w:szCs w:val="22"/>
        </w:rPr>
        <w:tab/>
        <w:t>Research entities</w:t>
      </w:r>
    </w:p>
    <w:p w14:paraId="6BE454B2" w14:textId="77777777" w:rsidR="00362B2C" w:rsidRPr="00C91BD0" w:rsidRDefault="00362B2C" w:rsidP="00362B2C">
      <w:pPr>
        <w:pStyle w:val="ACMABodyText"/>
        <w:spacing w:before="0" w:after="160" w:line="259" w:lineRule="auto"/>
        <w:rPr>
          <w:b/>
          <w:sz w:val="22"/>
          <w:szCs w:val="22"/>
        </w:rPr>
      </w:pPr>
      <w:r w:rsidRPr="00C91BD0">
        <w:rPr>
          <w:b/>
          <w:sz w:val="22"/>
          <w:szCs w:val="22"/>
        </w:rPr>
        <w:t xml:space="preserve">Section </w:t>
      </w:r>
      <w:r>
        <w:rPr>
          <w:b/>
          <w:sz w:val="22"/>
          <w:szCs w:val="22"/>
        </w:rPr>
        <w:t>5.</w:t>
      </w:r>
      <w:r w:rsidRPr="00C91BD0">
        <w:rPr>
          <w:b/>
          <w:sz w:val="22"/>
          <w:szCs w:val="22"/>
        </w:rPr>
        <w:t>4</w:t>
      </w:r>
      <w:r w:rsidRPr="00C91BD0">
        <w:rPr>
          <w:b/>
          <w:sz w:val="22"/>
          <w:szCs w:val="22"/>
        </w:rPr>
        <w:tab/>
        <w:t>End of research authorisation—revocation</w:t>
      </w:r>
    </w:p>
    <w:p w14:paraId="3192251B" w14:textId="77777777" w:rsidR="00362B2C" w:rsidRPr="00C91BD0" w:rsidRDefault="00362B2C" w:rsidP="00362B2C">
      <w:pPr>
        <w:rPr>
          <w:rFonts w:ascii="Times New Roman" w:hAnsi="Times New Roman" w:cs="Times New Roman"/>
        </w:rPr>
      </w:pPr>
      <w:r>
        <w:rPr>
          <w:rFonts w:ascii="Times New Roman" w:hAnsi="Times New Roman" w:cs="Times New Roman"/>
        </w:rPr>
        <w:t>This section provides that t</w:t>
      </w:r>
      <w:r w:rsidRPr="00C91BD0">
        <w:rPr>
          <w:rFonts w:ascii="Times New Roman" w:hAnsi="Times New Roman" w:cs="Times New Roman"/>
        </w:rPr>
        <w:t>he ACMA may</w:t>
      </w:r>
      <w:r>
        <w:rPr>
          <w:rFonts w:ascii="Times New Roman" w:hAnsi="Times New Roman" w:cs="Times New Roman"/>
        </w:rPr>
        <w:t>, in accordance with the section, revoke a research</w:t>
      </w:r>
      <w:r w:rsidRPr="00C91BD0">
        <w:rPr>
          <w:rFonts w:ascii="Times New Roman" w:hAnsi="Times New Roman" w:cs="Times New Roman"/>
        </w:rPr>
        <w:t xml:space="preserve"> authorisation if it is satisfied that the </w:t>
      </w:r>
      <w:r>
        <w:rPr>
          <w:rFonts w:ascii="Times New Roman" w:hAnsi="Times New Roman" w:cs="Times New Roman"/>
        </w:rPr>
        <w:t>research entity that holds the authorisation</w:t>
      </w:r>
      <w:r w:rsidRPr="00C91BD0">
        <w:rPr>
          <w:rFonts w:ascii="Times New Roman" w:hAnsi="Times New Roman" w:cs="Times New Roman"/>
        </w:rPr>
        <w:t xml:space="preserve"> has breached a condition of the authorisation</w:t>
      </w:r>
      <w:r>
        <w:rPr>
          <w:rFonts w:ascii="Times New Roman" w:hAnsi="Times New Roman" w:cs="Times New Roman"/>
        </w:rPr>
        <w:t xml:space="preserve"> (subsection (1))</w:t>
      </w:r>
      <w:r w:rsidRPr="00C91BD0">
        <w:rPr>
          <w:rFonts w:ascii="Times New Roman" w:hAnsi="Times New Roman" w:cs="Times New Roman"/>
        </w:rPr>
        <w:t xml:space="preserve">. </w:t>
      </w:r>
    </w:p>
    <w:p w14:paraId="4EA63AC6" w14:textId="77777777" w:rsidR="00362B2C" w:rsidRDefault="00362B2C" w:rsidP="00362B2C">
      <w:pPr>
        <w:pStyle w:val="ACMABodyText"/>
        <w:spacing w:before="0" w:after="40" w:line="259" w:lineRule="auto"/>
        <w:rPr>
          <w:sz w:val="22"/>
          <w:szCs w:val="22"/>
        </w:rPr>
      </w:pPr>
      <w:r>
        <w:rPr>
          <w:sz w:val="22"/>
          <w:szCs w:val="22"/>
        </w:rPr>
        <w:t>If the ACMA proposes to revoke a research authorisation, the section requires the ACMA</w:t>
      </w:r>
      <w:r w:rsidRPr="00DA6568">
        <w:rPr>
          <w:sz w:val="22"/>
          <w:szCs w:val="22"/>
        </w:rPr>
        <w:t xml:space="preserve"> </w:t>
      </w:r>
      <w:r>
        <w:rPr>
          <w:sz w:val="22"/>
          <w:szCs w:val="22"/>
        </w:rPr>
        <w:t>to:</w:t>
      </w:r>
    </w:p>
    <w:p w14:paraId="5A29A016" w14:textId="77777777" w:rsidR="00362B2C" w:rsidRDefault="00362B2C" w:rsidP="00362B2C">
      <w:pPr>
        <w:pStyle w:val="ACMABodyText"/>
        <w:numPr>
          <w:ilvl w:val="0"/>
          <w:numId w:val="38"/>
        </w:numPr>
        <w:spacing w:before="0" w:after="40" w:line="259" w:lineRule="auto"/>
        <w:rPr>
          <w:sz w:val="22"/>
          <w:szCs w:val="22"/>
        </w:rPr>
      </w:pPr>
      <w:r>
        <w:rPr>
          <w:sz w:val="22"/>
          <w:szCs w:val="22"/>
        </w:rPr>
        <w:t>notify the research entity</w:t>
      </w:r>
      <w:r w:rsidRPr="00DA6568">
        <w:rPr>
          <w:sz w:val="22"/>
          <w:szCs w:val="22"/>
        </w:rPr>
        <w:t xml:space="preserve"> </w:t>
      </w:r>
      <w:r>
        <w:rPr>
          <w:sz w:val="22"/>
          <w:szCs w:val="22"/>
        </w:rPr>
        <w:t xml:space="preserve">in writing of the </w:t>
      </w:r>
      <w:r w:rsidRPr="00DA6568">
        <w:rPr>
          <w:sz w:val="22"/>
          <w:szCs w:val="22"/>
        </w:rPr>
        <w:t xml:space="preserve">proposal </w:t>
      </w:r>
      <w:r>
        <w:rPr>
          <w:sz w:val="22"/>
          <w:szCs w:val="22"/>
        </w:rPr>
        <w:t xml:space="preserve">and the ACMA’s reasons for the proposal; and </w:t>
      </w:r>
    </w:p>
    <w:p w14:paraId="09EF43E3" w14:textId="77777777" w:rsidR="00362B2C" w:rsidRDefault="00362B2C" w:rsidP="00362B2C">
      <w:pPr>
        <w:pStyle w:val="ACMABodyText"/>
        <w:numPr>
          <w:ilvl w:val="0"/>
          <w:numId w:val="38"/>
        </w:numPr>
        <w:spacing w:before="0" w:after="160" w:line="259" w:lineRule="auto"/>
        <w:ind w:left="714" w:hanging="357"/>
        <w:rPr>
          <w:sz w:val="22"/>
          <w:szCs w:val="22"/>
        </w:rPr>
      </w:pPr>
      <w:r>
        <w:rPr>
          <w:sz w:val="22"/>
          <w:szCs w:val="22"/>
        </w:rPr>
        <w:t xml:space="preserve">invite the entity to give the ACMA written reasons why the authorisation should not be revoked within a period of at least 30 days specified in the notice (subsection (2)). </w:t>
      </w:r>
      <w:r w:rsidRPr="00DA6568">
        <w:rPr>
          <w:sz w:val="22"/>
          <w:szCs w:val="22"/>
        </w:rPr>
        <w:t xml:space="preserve"> </w:t>
      </w:r>
    </w:p>
    <w:p w14:paraId="3B0C116A" w14:textId="77777777" w:rsidR="00362B2C" w:rsidRDefault="00362B2C" w:rsidP="00362B2C">
      <w:pPr>
        <w:pStyle w:val="ACMABodyText"/>
        <w:spacing w:before="0" w:after="160" w:line="259" w:lineRule="auto"/>
        <w:rPr>
          <w:sz w:val="22"/>
          <w:szCs w:val="22"/>
        </w:rPr>
      </w:pPr>
      <w:r>
        <w:rPr>
          <w:sz w:val="22"/>
          <w:szCs w:val="22"/>
        </w:rPr>
        <w:t xml:space="preserve">The section requires the ACMA to decide whether to revoke the authorisation, having regard to any reasons given by the research entity, after the end of the period specified in </w:t>
      </w:r>
      <w:r>
        <w:rPr>
          <w:sz w:val="22"/>
          <w:szCs w:val="22"/>
        </w:rPr>
        <w:lastRenderedPageBreak/>
        <w:t>the notice (paragraph (3)(a)). The ACMA may revoke the authorisation i</w:t>
      </w:r>
      <w:r w:rsidRPr="00DA6568">
        <w:rPr>
          <w:sz w:val="22"/>
          <w:szCs w:val="22"/>
        </w:rPr>
        <w:t xml:space="preserve">f it is satisfied that </w:t>
      </w:r>
      <w:r>
        <w:rPr>
          <w:sz w:val="22"/>
          <w:szCs w:val="22"/>
        </w:rPr>
        <w:t>the research entity has breached a condition of the</w:t>
      </w:r>
      <w:r w:rsidRPr="00DA6568">
        <w:rPr>
          <w:sz w:val="22"/>
          <w:szCs w:val="22"/>
        </w:rPr>
        <w:t xml:space="preserve"> authorisation</w:t>
      </w:r>
      <w:r>
        <w:rPr>
          <w:sz w:val="22"/>
          <w:szCs w:val="22"/>
        </w:rPr>
        <w:t xml:space="preserve"> (paragraph (3)(b))</w:t>
      </w:r>
      <w:r w:rsidRPr="00DA6568">
        <w:rPr>
          <w:sz w:val="22"/>
          <w:szCs w:val="22"/>
        </w:rPr>
        <w:t xml:space="preserve">. </w:t>
      </w:r>
    </w:p>
    <w:p w14:paraId="5904E0F4" w14:textId="77777777" w:rsidR="00362B2C" w:rsidRDefault="00362B2C" w:rsidP="00362B2C">
      <w:pPr>
        <w:pStyle w:val="ACMABodyText"/>
        <w:spacing w:before="0" w:after="160" w:line="259" w:lineRule="auto"/>
        <w:rPr>
          <w:sz w:val="22"/>
          <w:szCs w:val="22"/>
        </w:rPr>
      </w:pPr>
      <w:r>
        <w:rPr>
          <w:sz w:val="22"/>
          <w:szCs w:val="22"/>
        </w:rPr>
        <w:t>The section provides that, if the ACMA revokes the authorisation, the ACMA must, as soon as practicable, notify the person who held the authorisation and the IPND Manager in writing of the revocation (subsection (4)).</w:t>
      </w:r>
      <w:r>
        <w:rPr>
          <w:rStyle w:val="FootnoteReference"/>
          <w:sz w:val="22"/>
          <w:szCs w:val="22"/>
        </w:rPr>
        <w:footnoteReference w:id="26"/>
      </w:r>
    </w:p>
    <w:p w14:paraId="2B36DB7D" w14:textId="77777777" w:rsidR="00362B2C" w:rsidRPr="0011045E" w:rsidRDefault="00362B2C" w:rsidP="00362B2C">
      <w:pPr>
        <w:pStyle w:val="FootnoteText"/>
        <w:spacing w:after="160" w:line="259" w:lineRule="auto"/>
        <w:rPr>
          <w:rFonts w:ascii="Times New Roman" w:hAnsi="Times New Roman"/>
          <w:sz w:val="22"/>
          <w:szCs w:val="22"/>
        </w:rPr>
      </w:pPr>
      <w:r>
        <w:rPr>
          <w:rFonts w:ascii="Times New Roman" w:hAnsi="Times New Roman"/>
          <w:sz w:val="22"/>
          <w:szCs w:val="22"/>
        </w:rPr>
        <w:t>The section provides that, if the ACMA revokes a research authorisation that was held by a research representative body, the person who held the authorisation must, as soon as practicable after being notified of the revocation, notify each of its members who had access to any customer data under the authorisation of the revocation (subsection (5)).</w:t>
      </w:r>
      <w:r w:rsidRPr="00BC289F">
        <w:rPr>
          <w:rFonts w:ascii="Times New Roman" w:hAnsi="Times New Roman"/>
          <w:sz w:val="22"/>
          <w:szCs w:val="22"/>
        </w:rPr>
        <w:t xml:space="preserve"> </w:t>
      </w:r>
    </w:p>
    <w:p w14:paraId="728F24FF" w14:textId="77777777" w:rsidR="00362B2C" w:rsidRPr="00657CF8" w:rsidRDefault="00362B2C" w:rsidP="009B5430">
      <w:pPr>
        <w:pStyle w:val="ACMABodyText"/>
        <w:keepNext/>
        <w:spacing w:before="0" w:after="160" w:line="259" w:lineRule="auto"/>
        <w:rPr>
          <w:b/>
          <w:sz w:val="22"/>
          <w:szCs w:val="22"/>
        </w:rPr>
      </w:pPr>
      <w:r w:rsidRPr="00657CF8">
        <w:rPr>
          <w:b/>
          <w:sz w:val="22"/>
          <w:szCs w:val="22"/>
        </w:rPr>
        <w:t xml:space="preserve">Section </w:t>
      </w:r>
      <w:r>
        <w:rPr>
          <w:b/>
          <w:sz w:val="22"/>
          <w:szCs w:val="22"/>
        </w:rPr>
        <w:t>5.</w:t>
      </w:r>
      <w:r w:rsidRPr="00657CF8">
        <w:rPr>
          <w:b/>
          <w:sz w:val="22"/>
          <w:szCs w:val="22"/>
        </w:rPr>
        <w:t>5</w:t>
      </w:r>
      <w:r w:rsidRPr="00657CF8">
        <w:rPr>
          <w:b/>
          <w:sz w:val="22"/>
          <w:szCs w:val="22"/>
        </w:rPr>
        <w:tab/>
        <w:t>Further application to use and disclose customer data if authorisation is revoked</w:t>
      </w:r>
    </w:p>
    <w:p w14:paraId="788B3BA0" w14:textId="77777777" w:rsidR="00362B2C" w:rsidRDefault="00362B2C" w:rsidP="00362B2C">
      <w:pPr>
        <w:pStyle w:val="ACMABodyText"/>
        <w:spacing w:before="0" w:after="160" w:line="259" w:lineRule="auto"/>
        <w:rPr>
          <w:sz w:val="22"/>
          <w:szCs w:val="22"/>
        </w:rPr>
      </w:pPr>
      <w:r>
        <w:rPr>
          <w:sz w:val="22"/>
          <w:szCs w:val="22"/>
        </w:rPr>
        <w:t xml:space="preserve">This section precludes a person whose authorisation has been revoked under section 5.4 from applying for the grant of a research authorisation for a period of 90 days starting on the day on which the revocation took effect. </w:t>
      </w:r>
      <w:r w:rsidRPr="007769C6">
        <w:rPr>
          <w:sz w:val="22"/>
          <w:szCs w:val="22"/>
        </w:rPr>
        <w:t>Th</w:t>
      </w:r>
      <w:r>
        <w:rPr>
          <w:sz w:val="22"/>
          <w:szCs w:val="22"/>
        </w:rPr>
        <w:t>is</w:t>
      </w:r>
      <w:r w:rsidRPr="007769C6">
        <w:rPr>
          <w:sz w:val="22"/>
          <w:szCs w:val="22"/>
        </w:rPr>
        <w:t xml:space="preserve"> is to ensure that </w:t>
      </w:r>
      <w:r>
        <w:rPr>
          <w:sz w:val="22"/>
          <w:szCs w:val="22"/>
        </w:rPr>
        <w:t xml:space="preserve">the person has </w:t>
      </w:r>
      <w:r w:rsidRPr="007769C6">
        <w:rPr>
          <w:sz w:val="22"/>
          <w:szCs w:val="22"/>
        </w:rPr>
        <w:t>a reasonable amount of time</w:t>
      </w:r>
      <w:r>
        <w:rPr>
          <w:sz w:val="22"/>
          <w:szCs w:val="22"/>
        </w:rPr>
        <w:t xml:space="preserve"> </w:t>
      </w:r>
      <w:r w:rsidRPr="007769C6">
        <w:rPr>
          <w:sz w:val="22"/>
          <w:szCs w:val="22"/>
        </w:rPr>
        <w:t>to</w:t>
      </w:r>
      <w:r>
        <w:rPr>
          <w:sz w:val="22"/>
          <w:szCs w:val="22"/>
        </w:rPr>
        <w:t xml:space="preserve"> rectify the issue or issues which led to the revocation and to be able to</w:t>
      </w:r>
      <w:r w:rsidRPr="007769C6">
        <w:rPr>
          <w:sz w:val="22"/>
          <w:szCs w:val="22"/>
        </w:rPr>
        <w:t xml:space="preserve"> demonstrate</w:t>
      </w:r>
      <w:r>
        <w:rPr>
          <w:sz w:val="22"/>
          <w:szCs w:val="22"/>
        </w:rPr>
        <w:t xml:space="preserve"> to the ACMA when making any further application that</w:t>
      </w:r>
      <w:r w:rsidRPr="007769C6">
        <w:rPr>
          <w:sz w:val="22"/>
          <w:szCs w:val="22"/>
        </w:rPr>
        <w:t xml:space="preserve"> th</w:t>
      </w:r>
      <w:r>
        <w:rPr>
          <w:sz w:val="22"/>
          <w:szCs w:val="22"/>
        </w:rPr>
        <w:t>e person is likely to comply with the relevant requirements of</w:t>
      </w:r>
      <w:r w:rsidRPr="007769C6">
        <w:rPr>
          <w:sz w:val="22"/>
          <w:szCs w:val="22"/>
        </w:rPr>
        <w:t xml:space="preserve"> the </w:t>
      </w:r>
      <w:r>
        <w:rPr>
          <w:sz w:val="22"/>
          <w:szCs w:val="22"/>
        </w:rPr>
        <w:t>s</w:t>
      </w:r>
      <w:r w:rsidRPr="007769C6">
        <w:rPr>
          <w:sz w:val="22"/>
          <w:szCs w:val="22"/>
        </w:rPr>
        <w:t>cheme.</w:t>
      </w:r>
    </w:p>
    <w:p w14:paraId="107B6609" w14:textId="77777777" w:rsidR="00362B2C" w:rsidRPr="00DB296B" w:rsidRDefault="00362B2C" w:rsidP="00362B2C">
      <w:pPr>
        <w:pStyle w:val="ACMABodyText"/>
        <w:spacing w:before="0" w:after="160" w:line="259" w:lineRule="auto"/>
        <w:rPr>
          <w:b/>
          <w:sz w:val="22"/>
          <w:szCs w:val="22"/>
        </w:rPr>
      </w:pPr>
      <w:r w:rsidRPr="00DB296B">
        <w:rPr>
          <w:b/>
          <w:sz w:val="22"/>
          <w:szCs w:val="22"/>
          <w:lang w:val="en-US"/>
        </w:rPr>
        <w:t xml:space="preserve">Section </w:t>
      </w:r>
      <w:r>
        <w:rPr>
          <w:b/>
          <w:sz w:val="22"/>
          <w:szCs w:val="22"/>
          <w:lang w:val="en-US"/>
        </w:rPr>
        <w:t>5.</w:t>
      </w:r>
      <w:r w:rsidRPr="00DB296B">
        <w:rPr>
          <w:b/>
          <w:sz w:val="22"/>
          <w:szCs w:val="22"/>
          <w:lang w:val="en-US"/>
        </w:rPr>
        <w:t>6</w:t>
      </w:r>
      <w:r w:rsidRPr="00DB296B">
        <w:rPr>
          <w:b/>
          <w:sz w:val="22"/>
          <w:szCs w:val="22"/>
          <w:lang w:val="en-US"/>
        </w:rPr>
        <w:tab/>
      </w:r>
      <w:r w:rsidRPr="00DB296B">
        <w:rPr>
          <w:b/>
          <w:sz w:val="22"/>
          <w:szCs w:val="22"/>
        </w:rPr>
        <w:t>End of research authorisation—other</w:t>
      </w:r>
    </w:p>
    <w:p w14:paraId="690612F3" w14:textId="51C10264" w:rsidR="00362B2C" w:rsidRDefault="00362B2C" w:rsidP="00362B2C">
      <w:pPr>
        <w:pStyle w:val="ACMABodyText"/>
        <w:spacing w:before="0" w:after="160" w:line="259" w:lineRule="auto"/>
        <w:rPr>
          <w:sz w:val="22"/>
          <w:szCs w:val="22"/>
        </w:rPr>
      </w:pPr>
      <w:r>
        <w:rPr>
          <w:sz w:val="22"/>
          <w:szCs w:val="22"/>
        </w:rPr>
        <w:t>This section provides that if a research entity that holds a research authorisation notifies the ACMA in writing that the authorisation is no longer required, the authorisation is taken to have ended immediately after the end of a period of 10 days, or any longer period specified in the notice, starting on the day the ACMA receives the notice, unless the authorisation happens to end earlier (subsection (1)).</w:t>
      </w:r>
    </w:p>
    <w:p w14:paraId="2911F083" w14:textId="74859DA7" w:rsidR="00362B2C" w:rsidRDefault="00362B2C" w:rsidP="00362B2C">
      <w:pPr>
        <w:pStyle w:val="ACMABodyText"/>
        <w:spacing w:before="0" w:after="160" w:line="259" w:lineRule="auto"/>
        <w:rPr>
          <w:sz w:val="22"/>
          <w:szCs w:val="22"/>
        </w:rPr>
      </w:pPr>
      <w:r>
        <w:rPr>
          <w:sz w:val="22"/>
          <w:szCs w:val="22"/>
        </w:rPr>
        <w:t xml:space="preserve">The section provides that the </w:t>
      </w:r>
      <w:r w:rsidRPr="00695156">
        <w:rPr>
          <w:sz w:val="22"/>
          <w:szCs w:val="22"/>
        </w:rPr>
        <w:t xml:space="preserve">ACMA </w:t>
      </w:r>
      <w:r>
        <w:rPr>
          <w:sz w:val="22"/>
          <w:szCs w:val="22"/>
        </w:rPr>
        <w:t xml:space="preserve">must, as soon as practicable after </w:t>
      </w:r>
      <w:r w:rsidR="001B30E3">
        <w:rPr>
          <w:sz w:val="22"/>
          <w:szCs w:val="22"/>
        </w:rPr>
        <w:t xml:space="preserve">becoming </w:t>
      </w:r>
      <w:r>
        <w:rPr>
          <w:sz w:val="22"/>
          <w:szCs w:val="22"/>
        </w:rPr>
        <w:t>aware that an authorisation has ended under the section,</w:t>
      </w:r>
      <w:r w:rsidRPr="00695156">
        <w:rPr>
          <w:sz w:val="22"/>
          <w:szCs w:val="22"/>
        </w:rPr>
        <w:t xml:space="preserve"> </w:t>
      </w:r>
      <w:r>
        <w:rPr>
          <w:sz w:val="22"/>
          <w:szCs w:val="22"/>
        </w:rPr>
        <w:t>notify</w:t>
      </w:r>
      <w:r w:rsidRPr="00695156">
        <w:rPr>
          <w:sz w:val="22"/>
          <w:szCs w:val="22"/>
        </w:rPr>
        <w:t xml:space="preserve"> the IPND Manager</w:t>
      </w:r>
      <w:r>
        <w:rPr>
          <w:sz w:val="22"/>
          <w:szCs w:val="22"/>
        </w:rPr>
        <w:t xml:space="preserve"> in writing of the matter (subsection (2))</w:t>
      </w:r>
      <w:r w:rsidRPr="00695156">
        <w:rPr>
          <w:sz w:val="22"/>
          <w:szCs w:val="22"/>
        </w:rPr>
        <w:t xml:space="preserve">.  </w:t>
      </w:r>
    </w:p>
    <w:p w14:paraId="30448B36" w14:textId="44FDFC04" w:rsidR="00362B2C" w:rsidRDefault="00362B2C" w:rsidP="00362B2C">
      <w:pPr>
        <w:pStyle w:val="ACMABodyText"/>
        <w:spacing w:before="0" w:after="160" w:line="259" w:lineRule="auto"/>
        <w:rPr>
          <w:sz w:val="22"/>
          <w:szCs w:val="22"/>
        </w:rPr>
      </w:pPr>
      <w:r>
        <w:rPr>
          <w:sz w:val="22"/>
          <w:szCs w:val="22"/>
        </w:rPr>
        <w:t>The section provides that if an authorisation has ended under the section and the authorisation was held by a research representative body, the person who held the authorisation must, as soon as practicable after be</w:t>
      </w:r>
      <w:r w:rsidR="0070031C">
        <w:rPr>
          <w:sz w:val="22"/>
          <w:szCs w:val="22"/>
        </w:rPr>
        <w:t xml:space="preserve">coming </w:t>
      </w:r>
      <w:r>
        <w:rPr>
          <w:sz w:val="22"/>
          <w:szCs w:val="22"/>
        </w:rPr>
        <w:t>aware that the authorisation has ended, notify each of its members who had access to any customer data under the authorisation of the matter (subsection (3)).</w:t>
      </w:r>
      <w:r w:rsidRPr="00695156">
        <w:rPr>
          <w:sz w:val="22"/>
          <w:szCs w:val="22"/>
        </w:rPr>
        <w:t xml:space="preserve">  </w:t>
      </w:r>
    </w:p>
    <w:p w14:paraId="509D643E" w14:textId="77777777" w:rsidR="00362B2C" w:rsidRDefault="00362B2C" w:rsidP="00362B2C">
      <w:pPr>
        <w:rPr>
          <w:rFonts w:ascii="Times New Roman" w:hAnsi="Times New Roman" w:cs="Times New Roman"/>
          <w:b/>
        </w:rPr>
      </w:pPr>
      <w:r>
        <w:rPr>
          <w:rFonts w:ascii="Times New Roman" w:hAnsi="Times New Roman" w:cs="Times New Roman"/>
          <w:b/>
        </w:rPr>
        <w:t>Part 6–Savings and transitional arrangements</w:t>
      </w:r>
    </w:p>
    <w:p w14:paraId="411B7F42" w14:textId="77777777" w:rsidR="00362B2C" w:rsidRDefault="00362B2C" w:rsidP="00362B2C">
      <w:pPr>
        <w:rPr>
          <w:rFonts w:ascii="Times New Roman" w:hAnsi="Times New Roman" w:cs="Times New Roman"/>
          <w:b/>
        </w:rPr>
      </w:pPr>
      <w:r>
        <w:rPr>
          <w:rFonts w:ascii="Times New Roman" w:hAnsi="Times New Roman" w:cs="Times New Roman"/>
        </w:rPr>
        <w:lastRenderedPageBreak/>
        <w:t>Part 6</w:t>
      </w:r>
      <w:r w:rsidRPr="00E4296A">
        <w:rPr>
          <w:rFonts w:ascii="Times New Roman" w:hAnsi="Times New Roman" w:cs="Times New Roman"/>
        </w:rPr>
        <w:t xml:space="preserve"> sets out</w:t>
      </w:r>
      <w:r>
        <w:rPr>
          <w:rFonts w:ascii="Times New Roman" w:hAnsi="Times New Roman" w:cs="Times New Roman"/>
        </w:rPr>
        <w:t xml:space="preserve"> the savings and transitional arrangements in relation to authorisations that were granted under </w:t>
      </w:r>
      <w:r w:rsidRPr="0068714B">
        <w:rPr>
          <w:rFonts w:ascii="Times New Roman" w:hAnsi="Times New Roman" w:cs="Times New Roman"/>
        </w:rPr>
        <w:t xml:space="preserve">the </w:t>
      </w:r>
      <w:r w:rsidRPr="004724CF">
        <w:rPr>
          <w:rFonts w:ascii="Times New Roman" w:hAnsi="Times New Roman" w:cs="Times New Roman"/>
          <w:i/>
        </w:rPr>
        <w:t>Telecommunications Integrated Public Number Database Scheme 2007</w:t>
      </w:r>
      <w:r>
        <w:rPr>
          <w:rFonts w:ascii="Times New Roman" w:hAnsi="Times New Roman" w:cs="Times New Roman"/>
        </w:rPr>
        <w:t xml:space="preserve"> (</w:t>
      </w:r>
      <w:r w:rsidRPr="009255DA">
        <w:rPr>
          <w:rFonts w:ascii="Times New Roman" w:hAnsi="Times New Roman" w:cs="Times New Roman"/>
          <w:b/>
        </w:rPr>
        <w:t>the old scheme</w:t>
      </w:r>
      <w:r>
        <w:rPr>
          <w:rFonts w:ascii="Times New Roman" w:hAnsi="Times New Roman" w:cs="Times New Roman"/>
        </w:rPr>
        <w:t>) and in force immediately before the commencement of the scheme (</w:t>
      </w:r>
      <w:r w:rsidRPr="00EB176A">
        <w:rPr>
          <w:rFonts w:ascii="Times New Roman" w:hAnsi="Times New Roman" w:cs="Times New Roman"/>
          <w:b/>
        </w:rPr>
        <w:t>the new</w:t>
      </w:r>
      <w:r w:rsidRPr="009255DA">
        <w:rPr>
          <w:rFonts w:ascii="Times New Roman" w:hAnsi="Times New Roman" w:cs="Times New Roman"/>
          <w:b/>
        </w:rPr>
        <w:t xml:space="preserve"> scheme</w:t>
      </w:r>
      <w:r>
        <w:rPr>
          <w:rFonts w:ascii="Times New Roman" w:hAnsi="Times New Roman" w:cs="Times New Roman"/>
        </w:rPr>
        <w:t xml:space="preserve">). </w:t>
      </w:r>
    </w:p>
    <w:p w14:paraId="56EDCD8F" w14:textId="77777777" w:rsidR="00362B2C" w:rsidRDefault="00362B2C" w:rsidP="00362B2C">
      <w:pPr>
        <w:rPr>
          <w:rFonts w:ascii="Times New Roman" w:hAnsi="Times New Roman" w:cs="Times New Roman"/>
          <w:b/>
        </w:rPr>
      </w:pPr>
      <w:r>
        <w:rPr>
          <w:rFonts w:ascii="Times New Roman" w:hAnsi="Times New Roman" w:cs="Times New Roman"/>
          <w:b/>
        </w:rPr>
        <w:t>Section 6.1</w:t>
      </w:r>
      <w:r>
        <w:rPr>
          <w:rFonts w:ascii="Times New Roman" w:hAnsi="Times New Roman" w:cs="Times New Roman"/>
          <w:b/>
        </w:rPr>
        <w:tab/>
        <w:t>Application of Part 6</w:t>
      </w:r>
    </w:p>
    <w:p w14:paraId="7BF3C4D5" w14:textId="77777777" w:rsidR="00362B2C" w:rsidRDefault="00362B2C" w:rsidP="00362B2C">
      <w:pPr>
        <w:rPr>
          <w:rFonts w:ascii="Times New Roman" w:hAnsi="Times New Roman" w:cs="Times New Roman"/>
        </w:rPr>
      </w:pPr>
      <w:r>
        <w:rPr>
          <w:rFonts w:ascii="Times New Roman" w:hAnsi="Times New Roman" w:cs="Times New Roman"/>
        </w:rPr>
        <w:t xml:space="preserve">This section provides that Part 6 </w:t>
      </w:r>
      <w:r w:rsidRPr="00A079BF">
        <w:rPr>
          <w:rFonts w:ascii="Times New Roman" w:hAnsi="Times New Roman" w:cs="Times New Roman"/>
        </w:rPr>
        <w:t>applies to</w:t>
      </w:r>
      <w:r>
        <w:rPr>
          <w:rFonts w:ascii="Times New Roman" w:hAnsi="Times New Roman" w:cs="Times New Roman"/>
        </w:rPr>
        <w:t xml:space="preserve"> an authorisation granted to</w:t>
      </w:r>
      <w:r w:rsidRPr="00A079BF">
        <w:rPr>
          <w:rFonts w:ascii="Times New Roman" w:hAnsi="Times New Roman" w:cs="Times New Roman"/>
        </w:rPr>
        <w:t xml:space="preserve"> a person</w:t>
      </w:r>
      <w:r>
        <w:rPr>
          <w:rFonts w:ascii="Times New Roman" w:hAnsi="Times New Roman" w:cs="Times New Roman"/>
        </w:rPr>
        <w:t xml:space="preserve"> (</w:t>
      </w:r>
      <w:r w:rsidRPr="009255DA">
        <w:rPr>
          <w:rFonts w:ascii="Times New Roman" w:hAnsi="Times New Roman" w:cs="Times New Roman"/>
          <w:b/>
        </w:rPr>
        <w:t>the holder</w:t>
      </w:r>
      <w:r>
        <w:rPr>
          <w:rFonts w:ascii="Times New Roman" w:hAnsi="Times New Roman" w:cs="Times New Roman"/>
        </w:rPr>
        <w:t>)</w:t>
      </w:r>
      <w:r w:rsidRPr="008A26DF">
        <w:rPr>
          <w:rFonts w:ascii="Times New Roman" w:hAnsi="Times New Roman" w:cs="Times New Roman"/>
        </w:rPr>
        <w:t xml:space="preserve"> </w:t>
      </w:r>
      <w:r>
        <w:rPr>
          <w:rFonts w:ascii="Times New Roman" w:hAnsi="Times New Roman" w:cs="Times New Roman"/>
        </w:rPr>
        <w:t>under subsection 3.10(4) of the old scheme and in force immediately before the commencement of the new scheme (</w:t>
      </w:r>
      <w:r w:rsidRPr="009255DA">
        <w:rPr>
          <w:rFonts w:ascii="Times New Roman" w:hAnsi="Times New Roman" w:cs="Times New Roman"/>
          <w:b/>
        </w:rPr>
        <w:t>a previous authorisation</w:t>
      </w:r>
      <w:r>
        <w:rPr>
          <w:rFonts w:ascii="Times New Roman" w:hAnsi="Times New Roman" w:cs="Times New Roman"/>
        </w:rPr>
        <w:t xml:space="preserve">).  </w:t>
      </w:r>
    </w:p>
    <w:p w14:paraId="51D31012" w14:textId="77777777" w:rsidR="00362B2C" w:rsidRDefault="00362B2C" w:rsidP="00362B2C">
      <w:pPr>
        <w:rPr>
          <w:rFonts w:ascii="Times New Roman" w:hAnsi="Times New Roman" w:cs="Times New Roman"/>
        </w:rPr>
      </w:pPr>
      <w:r>
        <w:rPr>
          <w:rFonts w:ascii="Times New Roman" w:hAnsi="Times New Roman" w:cs="Times New Roman"/>
        </w:rPr>
        <w:t>The</w:t>
      </w:r>
      <w:r w:rsidRPr="009255DA">
        <w:rPr>
          <w:rFonts w:ascii="Times New Roman" w:hAnsi="Times New Roman" w:cs="Times New Roman"/>
        </w:rPr>
        <w:t xml:space="preserve"> only</w:t>
      </w:r>
      <w:r>
        <w:rPr>
          <w:rFonts w:ascii="Times New Roman" w:hAnsi="Times New Roman" w:cs="Times New Roman"/>
        </w:rPr>
        <w:t xml:space="preserve"> </w:t>
      </w:r>
      <w:r w:rsidRPr="009255DA">
        <w:rPr>
          <w:rFonts w:ascii="Times New Roman" w:hAnsi="Times New Roman" w:cs="Times New Roman"/>
        </w:rPr>
        <w:t>authorisations granted to persons under</w:t>
      </w:r>
      <w:r>
        <w:rPr>
          <w:rFonts w:ascii="Times New Roman" w:hAnsi="Times New Roman" w:cs="Times New Roman"/>
        </w:rPr>
        <w:t xml:space="preserve"> the old scheme and in force immediately before the commencement of the new scheme were authorisations under</w:t>
      </w:r>
      <w:r w:rsidRPr="009255DA">
        <w:rPr>
          <w:rFonts w:ascii="Times New Roman" w:hAnsi="Times New Roman" w:cs="Times New Roman"/>
        </w:rPr>
        <w:t xml:space="preserve"> subsection 3.10(4) of the </w:t>
      </w:r>
      <w:r>
        <w:rPr>
          <w:rFonts w:ascii="Times New Roman" w:hAnsi="Times New Roman" w:cs="Times New Roman"/>
        </w:rPr>
        <w:t>old</w:t>
      </w:r>
      <w:r w:rsidRPr="009255DA">
        <w:rPr>
          <w:rFonts w:ascii="Times New Roman" w:hAnsi="Times New Roman" w:cs="Times New Roman"/>
        </w:rPr>
        <w:t xml:space="preserve"> scheme to use and disclose customer data to publish and maintain a PND.</w:t>
      </w:r>
    </w:p>
    <w:p w14:paraId="291C6393" w14:textId="77777777" w:rsidR="00362B2C" w:rsidRPr="007B2B5A" w:rsidRDefault="00362B2C" w:rsidP="00362B2C">
      <w:pPr>
        <w:keepNext/>
        <w:rPr>
          <w:rFonts w:ascii="Times New Roman" w:hAnsi="Times New Roman" w:cs="Times New Roman"/>
          <w:b/>
        </w:rPr>
      </w:pPr>
      <w:r w:rsidRPr="007B2B5A">
        <w:rPr>
          <w:rFonts w:ascii="Times New Roman" w:hAnsi="Times New Roman" w:cs="Times New Roman"/>
          <w:b/>
        </w:rPr>
        <w:t xml:space="preserve">Section </w:t>
      </w:r>
      <w:r>
        <w:rPr>
          <w:rFonts w:ascii="Times New Roman" w:hAnsi="Times New Roman" w:cs="Times New Roman"/>
          <w:b/>
        </w:rPr>
        <w:t>6.</w:t>
      </w:r>
      <w:r w:rsidRPr="007B2B5A">
        <w:rPr>
          <w:rFonts w:ascii="Times New Roman" w:hAnsi="Times New Roman" w:cs="Times New Roman"/>
          <w:b/>
        </w:rPr>
        <w:t>2</w:t>
      </w:r>
      <w:r w:rsidRPr="007B2B5A">
        <w:rPr>
          <w:rFonts w:ascii="Times New Roman" w:hAnsi="Times New Roman" w:cs="Times New Roman"/>
          <w:b/>
        </w:rPr>
        <w:tab/>
        <w:t>Previous authorisation continues in force</w:t>
      </w:r>
    </w:p>
    <w:p w14:paraId="4124BA7F" w14:textId="77777777" w:rsidR="00362B2C" w:rsidRDefault="00362B2C" w:rsidP="00362B2C">
      <w:pPr>
        <w:rPr>
          <w:rFonts w:ascii="Times New Roman" w:hAnsi="Times New Roman" w:cs="Times New Roman"/>
        </w:rPr>
      </w:pPr>
      <w:r>
        <w:rPr>
          <w:rFonts w:ascii="Times New Roman" w:hAnsi="Times New Roman" w:cs="Times New Roman"/>
        </w:rPr>
        <w:t>The section provides that a previous authorisation continues in force immediately after the commencement of the new scheme as if it had been granted to the holder under subsection 3.10(4) of the new scheme and subject to the conditions specified in section 3.12 of the new scheme (subsection (1)).</w:t>
      </w:r>
    </w:p>
    <w:p w14:paraId="3913678A" w14:textId="77777777" w:rsidR="00362B2C" w:rsidRDefault="00362B2C" w:rsidP="00362B2C">
      <w:pPr>
        <w:rPr>
          <w:rFonts w:ascii="Times New Roman" w:hAnsi="Times New Roman" w:cs="Times New Roman"/>
        </w:rPr>
      </w:pPr>
      <w:r>
        <w:rPr>
          <w:rFonts w:ascii="Times New Roman" w:hAnsi="Times New Roman" w:cs="Times New Roman"/>
        </w:rPr>
        <w:t>The section includes an interpretation provision to clarify how the new scheme has effect in relation to a previous authorisation (subsection (2)).</w:t>
      </w:r>
    </w:p>
    <w:p w14:paraId="3877E4F6" w14:textId="77777777" w:rsidR="00362B2C" w:rsidRDefault="00362B2C" w:rsidP="00362B2C">
      <w:pPr>
        <w:spacing w:after="40"/>
        <w:rPr>
          <w:rFonts w:ascii="Times New Roman" w:hAnsi="Times New Roman" w:cs="Times New Roman"/>
        </w:rPr>
      </w:pPr>
      <w:r>
        <w:rPr>
          <w:rFonts w:ascii="Times New Roman" w:hAnsi="Times New Roman" w:cs="Times New Roman"/>
        </w:rPr>
        <w:t>The section makes clear that:</w:t>
      </w:r>
    </w:p>
    <w:p w14:paraId="6A97844F" w14:textId="77777777" w:rsidR="00362B2C" w:rsidRDefault="00362B2C" w:rsidP="00362B2C">
      <w:pPr>
        <w:pStyle w:val="ListParagraph"/>
        <w:numPr>
          <w:ilvl w:val="0"/>
          <w:numId w:val="32"/>
        </w:numPr>
        <w:spacing w:after="40"/>
        <w:ind w:left="714" w:hanging="357"/>
        <w:rPr>
          <w:rFonts w:ascii="Times New Roman" w:hAnsi="Times New Roman" w:cs="Times New Roman"/>
        </w:rPr>
      </w:pPr>
      <w:r>
        <w:rPr>
          <w:rFonts w:ascii="Times New Roman" w:hAnsi="Times New Roman" w:cs="Times New Roman"/>
        </w:rPr>
        <w:t xml:space="preserve">the holder may apply to the ACMA to extend the period in which to publish a PND in accordance with section 3.13 of the new scheme; </w:t>
      </w:r>
    </w:p>
    <w:p w14:paraId="51BBCDD3" w14:textId="77777777" w:rsidR="00362B2C" w:rsidRDefault="00362B2C" w:rsidP="00362B2C">
      <w:pPr>
        <w:pStyle w:val="ListParagraph"/>
        <w:numPr>
          <w:ilvl w:val="0"/>
          <w:numId w:val="32"/>
        </w:numPr>
        <w:spacing w:after="40"/>
        <w:ind w:left="714" w:hanging="357"/>
        <w:rPr>
          <w:rFonts w:ascii="Times New Roman" w:hAnsi="Times New Roman" w:cs="Times New Roman"/>
        </w:rPr>
      </w:pPr>
      <w:r>
        <w:rPr>
          <w:rFonts w:ascii="Times New Roman" w:hAnsi="Times New Roman" w:cs="Times New Roman"/>
        </w:rPr>
        <w:t xml:space="preserve">the previous authorisation may be made subject to other conditions, or have existing conditions varied or removed, in accordance with subsection 3.12(18) of the new scheme; and </w:t>
      </w:r>
    </w:p>
    <w:p w14:paraId="2CD3EC8C" w14:textId="77777777" w:rsidR="00362B2C" w:rsidRDefault="00362B2C" w:rsidP="00362B2C">
      <w:pPr>
        <w:pStyle w:val="ListParagraph"/>
        <w:numPr>
          <w:ilvl w:val="0"/>
          <w:numId w:val="32"/>
        </w:numPr>
        <w:ind w:left="714" w:hanging="357"/>
        <w:rPr>
          <w:rFonts w:ascii="Times New Roman" w:hAnsi="Times New Roman" w:cs="Times New Roman"/>
        </w:rPr>
      </w:pPr>
      <w:r>
        <w:rPr>
          <w:rFonts w:ascii="Times New Roman" w:hAnsi="Times New Roman" w:cs="Times New Roman"/>
        </w:rPr>
        <w:t>may be ended in accordance with Part 5 of the new scheme (subsection (3)).</w:t>
      </w:r>
    </w:p>
    <w:p w14:paraId="592688FB" w14:textId="77777777" w:rsidR="00362B2C" w:rsidRDefault="00362B2C" w:rsidP="00362B2C">
      <w:pPr>
        <w:rPr>
          <w:rFonts w:ascii="Times New Roman" w:hAnsi="Times New Roman" w:cs="Times New Roman"/>
          <w:b/>
        </w:rPr>
      </w:pPr>
      <w:r>
        <w:rPr>
          <w:rFonts w:ascii="Times New Roman" w:hAnsi="Times New Roman" w:cs="Times New Roman"/>
          <w:b/>
        </w:rPr>
        <w:t>Section 6.3</w:t>
      </w:r>
      <w:r w:rsidRPr="000639D7">
        <w:rPr>
          <w:rFonts w:ascii="Times New Roman" w:hAnsi="Times New Roman" w:cs="Times New Roman"/>
          <w:b/>
        </w:rPr>
        <w:tab/>
      </w:r>
      <w:r>
        <w:rPr>
          <w:rFonts w:ascii="Times New Roman" w:hAnsi="Times New Roman" w:cs="Times New Roman"/>
          <w:b/>
        </w:rPr>
        <w:t>Other matters</w:t>
      </w:r>
    </w:p>
    <w:p w14:paraId="3661E205" w14:textId="77777777" w:rsidR="00362B2C" w:rsidRDefault="00362B2C" w:rsidP="00362B2C">
      <w:pPr>
        <w:rPr>
          <w:rFonts w:ascii="Times New Roman" w:hAnsi="Times New Roman" w:cs="Times New Roman"/>
        </w:rPr>
      </w:pPr>
      <w:r>
        <w:rPr>
          <w:rFonts w:ascii="Times New Roman" w:hAnsi="Times New Roman" w:cs="Times New Roman"/>
        </w:rPr>
        <w:t xml:space="preserve">This section requires the holder to do certain things that were required to be done under the conditions of the old scheme, but which the holder had not done, immediately before the commencement the new scheme.  Those conditions are referred to in subsection (1).  </w:t>
      </w:r>
    </w:p>
    <w:p w14:paraId="6428B5AD" w14:textId="1E89C8AF" w:rsidR="00362B2C" w:rsidRPr="009255DA" w:rsidRDefault="00362B2C" w:rsidP="00362B2C">
      <w:pPr>
        <w:spacing w:after="40"/>
      </w:pPr>
      <w:r>
        <w:rPr>
          <w:rFonts w:ascii="Times New Roman" w:hAnsi="Times New Roman" w:cs="Times New Roman"/>
        </w:rPr>
        <w:lastRenderedPageBreak/>
        <w:t xml:space="preserve">The section requires such a thing to be done within the time period required under the condition of the old scheme or (if no time period </w:t>
      </w:r>
      <w:r w:rsidR="0070031C">
        <w:rPr>
          <w:rFonts w:ascii="Times New Roman" w:hAnsi="Times New Roman" w:cs="Times New Roman"/>
        </w:rPr>
        <w:t xml:space="preserve">applies </w:t>
      </w:r>
      <w:r>
        <w:rPr>
          <w:rFonts w:ascii="Times New Roman" w:hAnsi="Times New Roman" w:cs="Times New Roman"/>
        </w:rPr>
        <w:t>under the condition) within a reasonable time as if the condition had not been repealed (subsections (1) and (2)).  For example,</w:t>
      </w:r>
      <w:r w:rsidRPr="009255DA">
        <w:rPr>
          <w:rFonts w:ascii="Times New Roman" w:hAnsi="Times New Roman" w:cs="Times New Roman"/>
        </w:rPr>
        <w:t xml:space="preserve"> if, immediately before the commencement of the new scheme:</w:t>
      </w:r>
    </w:p>
    <w:p w14:paraId="08CEA237" w14:textId="77777777" w:rsidR="00362B2C" w:rsidRPr="00FA5F42" w:rsidRDefault="00362B2C" w:rsidP="00362B2C">
      <w:pPr>
        <w:pStyle w:val="ListParagraph"/>
        <w:numPr>
          <w:ilvl w:val="0"/>
          <w:numId w:val="32"/>
        </w:numPr>
        <w:spacing w:after="40"/>
        <w:ind w:left="714" w:hanging="357"/>
      </w:pPr>
      <w:r w:rsidRPr="009255DA">
        <w:rPr>
          <w:rFonts w:ascii="Times New Roman" w:hAnsi="Times New Roman" w:cs="Times New Roman"/>
        </w:rPr>
        <w:t xml:space="preserve">the holder was required to publish a PND under the condition specified in subsection 3.12(3) of the </w:t>
      </w:r>
      <w:r>
        <w:rPr>
          <w:rFonts w:ascii="Times New Roman" w:hAnsi="Times New Roman" w:cs="Times New Roman"/>
        </w:rPr>
        <w:t>old scheme</w:t>
      </w:r>
      <w:r w:rsidRPr="009255DA">
        <w:rPr>
          <w:rFonts w:ascii="Times New Roman" w:hAnsi="Times New Roman" w:cs="Times New Roman"/>
        </w:rPr>
        <w:t xml:space="preserve"> (because the previous authorisation had started under section 3.11 of the </w:t>
      </w:r>
      <w:r>
        <w:rPr>
          <w:rFonts w:ascii="Times New Roman" w:hAnsi="Times New Roman" w:cs="Times New Roman"/>
        </w:rPr>
        <w:t>old scheme</w:t>
      </w:r>
      <w:r w:rsidRPr="009255DA">
        <w:rPr>
          <w:rFonts w:ascii="Times New Roman" w:hAnsi="Times New Roman" w:cs="Times New Roman"/>
        </w:rPr>
        <w:t xml:space="preserve">); </w:t>
      </w:r>
    </w:p>
    <w:p w14:paraId="7A31CED3" w14:textId="77777777" w:rsidR="00362B2C" w:rsidRPr="00054141" w:rsidRDefault="00362B2C" w:rsidP="00362B2C">
      <w:pPr>
        <w:pStyle w:val="ListParagraph"/>
        <w:numPr>
          <w:ilvl w:val="0"/>
          <w:numId w:val="32"/>
        </w:numPr>
        <w:spacing w:after="40"/>
      </w:pPr>
      <w:r w:rsidRPr="009255DA">
        <w:rPr>
          <w:rFonts w:ascii="Times New Roman" w:hAnsi="Times New Roman" w:cs="Times New Roman"/>
        </w:rPr>
        <w:t>the holder had not published a PND; and</w:t>
      </w:r>
    </w:p>
    <w:p w14:paraId="63D8735B" w14:textId="77777777" w:rsidR="00362B2C" w:rsidRPr="00054141" w:rsidRDefault="00362B2C" w:rsidP="00362B2C">
      <w:pPr>
        <w:pStyle w:val="ListParagraph"/>
        <w:numPr>
          <w:ilvl w:val="0"/>
          <w:numId w:val="32"/>
        </w:numPr>
        <w:spacing w:after="40"/>
        <w:ind w:left="714" w:hanging="357"/>
      </w:pPr>
      <w:r w:rsidRPr="009255DA">
        <w:rPr>
          <w:rFonts w:ascii="Times New Roman" w:hAnsi="Times New Roman" w:cs="Times New Roman"/>
        </w:rPr>
        <w:t xml:space="preserve">the time period for publishing a PND had not ended (because subsection 3.12(3) of the </w:t>
      </w:r>
      <w:r>
        <w:rPr>
          <w:rFonts w:ascii="Times New Roman" w:hAnsi="Times New Roman" w:cs="Times New Roman"/>
        </w:rPr>
        <w:t>old scheme</w:t>
      </w:r>
      <w:r w:rsidRPr="009255DA">
        <w:rPr>
          <w:rFonts w:ascii="Times New Roman" w:hAnsi="Times New Roman" w:cs="Times New Roman"/>
        </w:rPr>
        <w:t xml:space="preserve"> required a PND to be published within 90 days and only 10 of those days had expired);</w:t>
      </w:r>
    </w:p>
    <w:p w14:paraId="01CE49E5" w14:textId="77777777" w:rsidR="00362B2C" w:rsidRPr="009255DA" w:rsidRDefault="00362B2C" w:rsidP="00362B2C">
      <w:r w:rsidRPr="009255DA">
        <w:rPr>
          <w:rFonts w:ascii="Times New Roman" w:hAnsi="Times New Roman" w:cs="Times New Roman"/>
        </w:rPr>
        <w:t>the holder would still be required to publish a PND within that time period, which, at the commencement of the new scheme, would be due to expire in 80 days.</w:t>
      </w:r>
    </w:p>
    <w:p w14:paraId="61F595E1" w14:textId="77777777" w:rsidR="00362B2C" w:rsidRPr="00054141" w:rsidRDefault="00362B2C" w:rsidP="00362B2C">
      <w:r>
        <w:rPr>
          <w:rFonts w:ascii="Times New Roman" w:hAnsi="Times New Roman" w:cs="Times New Roman"/>
        </w:rPr>
        <w:t xml:space="preserve">The section provides that </w:t>
      </w:r>
      <w:r w:rsidRPr="00D73776">
        <w:rPr>
          <w:rFonts w:ascii="Times New Roman" w:hAnsi="Times New Roman" w:cs="Times New Roman"/>
        </w:rPr>
        <w:t>a</w:t>
      </w:r>
      <w:r w:rsidRPr="009255DA">
        <w:rPr>
          <w:rFonts w:ascii="Times New Roman" w:hAnsi="Times New Roman" w:cs="Times New Roman"/>
        </w:rPr>
        <w:t xml:space="preserve">nything done by the holder in compliance with </w:t>
      </w:r>
      <w:r>
        <w:rPr>
          <w:rFonts w:ascii="Times New Roman" w:hAnsi="Times New Roman" w:cs="Times New Roman"/>
        </w:rPr>
        <w:t>subsection (1),</w:t>
      </w:r>
      <w:r w:rsidRPr="009255DA">
        <w:rPr>
          <w:rFonts w:ascii="Times New Roman" w:hAnsi="Times New Roman" w:cs="Times New Roman"/>
        </w:rPr>
        <w:t xml:space="preserve"> in relation to a condition </w:t>
      </w:r>
      <w:r>
        <w:rPr>
          <w:rFonts w:ascii="Times New Roman" w:hAnsi="Times New Roman" w:cs="Times New Roman"/>
        </w:rPr>
        <w:t>of the old scheme referred to in that subsection</w:t>
      </w:r>
      <w:r w:rsidRPr="009255DA">
        <w:rPr>
          <w:rFonts w:ascii="Times New Roman" w:hAnsi="Times New Roman" w:cs="Times New Roman"/>
        </w:rPr>
        <w:t>, is taken to have been done under, or for the purposes of, the corresponding condition of th</w:t>
      </w:r>
      <w:r>
        <w:rPr>
          <w:rFonts w:ascii="Times New Roman" w:hAnsi="Times New Roman" w:cs="Times New Roman"/>
        </w:rPr>
        <w:t>e new</w:t>
      </w:r>
      <w:r w:rsidRPr="009255DA">
        <w:rPr>
          <w:rFonts w:ascii="Times New Roman" w:hAnsi="Times New Roman" w:cs="Times New Roman"/>
        </w:rPr>
        <w:t xml:space="preserve"> scheme</w:t>
      </w:r>
      <w:r>
        <w:rPr>
          <w:rFonts w:ascii="Times New Roman" w:hAnsi="Times New Roman" w:cs="Times New Roman"/>
        </w:rPr>
        <w:t xml:space="preserve"> (subsection (3))</w:t>
      </w:r>
      <w:r w:rsidRPr="009255DA">
        <w:rPr>
          <w:rFonts w:ascii="Times New Roman" w:hAnsi="Times New Roman" w:cs="Times New Roman"/>
        </w:rPr>
        <w:t>.</w:t>
      </w:r>
      <w:r>
        <w:rPr>
          <w:rFonts w:ascii="Times New Roman" w:hAnsi="Times New Roman" w:cs="Times New Roman"/>
        </w:rPr>
        <w:t xml:space="preserve">  For example, a</w:t>
      </w:r>
      <w:r w:rsidRPr="009255DA">
        <w:rPr>
          <w:rFonts w:ascii="Times New Roman" w:hAnsi="Times New Roman" w:cs="Times New Roman"/>
        </w:rPr>
        <w:t xml:space="preserve"> PND published by the holder in compliance with </w:t>
      </w:r>
      <w:r>
        <w:rPr>
          <w:rFonts w:ascii="Times New Roman" w:hAnsi="Times New Roman" w:cs="Times New Roman"/>
        </w:rPr>
        <w:t>subsection (1)</w:t>
      </w:r>
      <w:r w:rsidRPr="009255DA">
        <w:rPr>
          <w:rFonts w:ascii="Times New Roman" w:hAnsi="Times New Roman" w:cs="Times New Roman"/>
        </w:rPr>
        <w:t xml:space="preserve">, in relation to the condition specified in subsection 3.12(3) of the </w:t>
      </w:r>
      <w:r>
        <w:rPr>
          <w:rFonts w:ascii="Times New Roman" w:hAnsi="Times New Roman" w:cs="Times New Roman"/>
        </w:rPr>
        <w:t>old scheme</w:t>
      </w:r>
      <w:r w:rsidRPr="009255DA">
        <w:rPr>
          <w:rFonts w:ascii="Times New Roman" w:hAnsi="Times New Roman" w:cs="Times New Roman"/>
        </w:rPr>
        <w:t>, is taken to have been done under, or for the purposes of, the condition specified in subsection 3.12(4) of the new scheme.</w:t>
      </w:r>
    </w:p>
    <w:p w14:paraId="2583C1B8" w14:textId="77777777" w:rsidR="00362B2C" w:rsidRDefault="00362B2C" w:rsidP="00362B2C">
      <w:pPr>
        <w:rPr>
          <w:rFonts w:ascii="Times New Roman" w:hAnsi="Times New Roman" w:cs="Times New Roman"/>
        </w:rPr>
      </w:pPr>
      <w:r w:rsidRPr="009255DA">
        <w:rPr>
          <w:rFonts w:ascii="Times New Roman" w:hAnsi="Times New Roman" w:cs="Times New Roman"/>
        </w:rPr>
        <w:t xml:space="preserve">The section provides that anything done by the holder, the ACMA or the IPND Manager under the </w:t>
      </w:r>
      <w:r>
        <w:rPr>
          <w:rFonts w:ascii="Times New Roman" w:hAnsi="Times New Roman" w:cs="Times New Roman"/>
        </w:rPr>
        <w:t>old scheme</w:t>
      </w:r>
      <w:r w:rsidRPr="009255DA">
        <w:rPr>
          <w:rFonts w:ascii="Times New Roman" w:hAnsi="Times New Roman" w:cs="Times New Roman"/>
        </w:rPr>
        <w:t xml:space="preserve"> before the commencement of the new scheme has effect, on and after the commencement, as if it had been done under, or for the purposes of, the new scheme</w:t>
      </w:r>
      <w:r>
        <w:rPr>
          <w:rFonts w:ascii="Times New Roman" w:hAnsi="Times New Roman" w:cs="Times New Roman"/>
        </w:rPr>
        <w:t xml:space="preserve"> (subsection (4))</w:t>
      </w:r>
      <w:r w:rsidRPr="009255DA">
        <w:rPr>
          <w:rFonts w:ascii="Times New Roman" w:hAnsi="Times New Roman" w:cs="Times New Roman"/>
        </w:rPr>
        <w:t xml:space="preserve">. </w:t>
      </w:r>
    </w:p>
    <w:p w14:paraId="4AAB6651" w14:textId="5517861D" w:rsidR="00362B2C" w:rsidRDefault="00362B2C">
      <w:pPr>
        <w:rPr>
          <w:rFonts w:ascii="Times New Roman" w:hAnsi="Times New Roman" w:cs="Times New Roman"/>
        </w:rPr>
      </w:pPr>
      <w:r>
        <w:rPr>
          <w:rFonts w:ascii="Times New Roman" w:hAnsi="Times New Roman" w:cs="Times New Roman"/>
        </w:rPr>
        <w:br w:type="page"/>
      </w:r>
    </w:p>
    <w:p w14:paraId="7F0FA88B" w14:textId="39544217" w:rsidR="00CB3AD5" w:rsidRPr="00641906" w:rsidRDefault="00CB3AD5" w:rsidP="00D06CF5">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B</w:t>
      </w:r>
    </w:p>
    <w:p w14:paraId="270B7D5B" w14:textId="77777777" w:rsidR="00CB3AD5" w:rsidRPr="00641906" w:rsidRDefault="00CB3AD5" w:rsidP="00D06CF5">
      <w:pPr>
        <w:jc w:val="center"/>
        <w:rPr>
          <w:rFonts w:ascii="Times New Roman" w:hAnsi="Times New Roman" w:cs="Times New Roman"/>
          <w:b/>
          <w:sz w:val="28"/>
          <w:szCs w:val="28"/>
        </w:rPr>
      </w:pPr>
      <w:r w:rsidRPr="00641906">
        <w:rPr>
          <w:rFonts w:ascii="Times New Roman" w:hAnsi="Times New Roman" w:cs="Times New Roman"/>
          <w:b/>
          <w:sz w:val="28"/>
          <w:szCs w:val="28"/>
        </w:rPr>
        <w:t>Statement of compatibility with human rights</w:t>
      </w:r>
    </w:p>
    <w:p w14:paraId="4365B533" w14:textId="6DB2787B" w:rsidR="00CB3AD5" w:rsidRDefault="00CB3AD5" w:rsidP="00D06CF5">
      <w:pPr>
        <w:jc w:val="center"/>
        <w:rPr>
          <w:rFonts w:ascii="Times New Roman" w:hAnsi="Times New Roman" w:cs="Times New Roman"/>
          <w:i/>
        </w:rPr>
      </w:pPr>
      <w:r w:rsidRPr="00CB3AD5">
        <w:rPr>
          <w:rFonts w:ascii="Times New Roman" w:hAnsi="Times New Roman" w:cs="Times New Roman"/>
        </w:rPr>
        <w:t xml:space="preserve">Prepared </w:t>
      </w:r>
      <w:r w:rsidR="00AF6545">
        <w:rPr>
          <w:rFonts w:ascii="Times New Roman" w:hAnsi="Times New Roman" w:cs="Times New Roman"/>
        </w:rPr>
        <w:t xml:space="preserve">by the Australian Communications and Media Authority </w:t>
      </w:r>
      <w:r w:rsidRPr="00CB3AD5">
        <w:rPr>
          <w:rFonts w:ascii="Times New Roman" w:hAnsi="Times New Roman" w:cs="Times New Roman"/>
        </w:rPr>
        <w:t xml:space="preserve">under subsection 9(1) of the </w:t>
      </w:r>
      <w:r w:rsidRPr="00CB3AD5">
        <w:rPr>
          <w:rFonts w:ascii="Times New Roman" w:hAnsi="Times New Roman" w:cs="Times New Roman"/>
          <w:i/>
        </w:rPr>
        <w:t>Human Rights (Parliamentary Scrutiny) Act 2011</w:t>
      </w:r>
    </w:p>
    <w:p w14:paraId="1D1907CF" w14:textId="76CA2A1B" w:rsidR="008C584E" w:rsidRDefault="00A351A7" w:rsidP="00D06CF5">
      <w:pPr>
        <w:jc w:val="center"/>
        <w:rPr>
          <w:rFonts w:ascii="Times New Roman" w:hAnsi="Times New Roman" w:cs="Times New Roman"/>
          <w:b/>
          <w:i/>
        </w:rPr>
      </w:pPr>
      <w:r>
        <w:rPr>
          <w:rFonts w:ascii="Times New Roman" w:hAnsi="Times New Roman" w:cs="Times New Roman"/>
          <w:b/>
          <w:i/>
        </w:rPr>
        <w:t>Telecommunications Integrated Public Number Database Scheme 2017</w:t>
      </w:r>
    </w:p>
    <w:p w14:paraId="2E2C22F6" w14:textId="77777777" w:rsidR="008C584E" w:rsidRDefault="008C584E" w:rsidP="007419E7">
      <w:pPr>
        <w:spacing w:before="280"/>
        <w:rPr>
          <w:rFonts w:ascii="Times New Roman" w:hAnsi="Times New Roman" w:cs="Times New Roman"/>
          <w:b/>
          <w:i/>
        </w:rPr>
      </w:pPr>
      <w:r>
        <w:rPr>
          <w:rFonts w:ascii="Times New Roman" w:hAnsi="Times New Roman" w:cs="Times New Roman"/>
          <w:b/>
          <w:i/>
        </w:rPr>
        <w:t>Overview of the instrument</w:t>
      </w:r>
    </w:p>
    <w:p w14:paraId="5DE26138" w14:textId="0F626E49" w:rsidR="001B0426" w:rsidRDefault="001B0426" w:rsidP="00B81312">
      <w:pPr>
        <w:rPr>
          <w:rFonts w:ascii="Times New Roman" w:hAnsi="Times New Roman"/>
        </w:rPr>
      </w:pPr>
      <w:r>
        <w:rPr>
          <w:rFonts w:ascii="Times New Roman" w:hAnsi="Times New Roman"/>
        </w:rPr>
        <w:t xml:space="preserve">Sections 276 and 277 of the </w:t>
      </w:r>
      <w:r>
        <w:rPr>
          <w:rFonts w:ascii="Times New Roman" w:hAnsi="Times New Roman"/>
          <w:i/>
        </w:rPr>
        <w:t xml:space="preserve">Telecommunications Act 1997 </w:t>
      </w:r>
      <w:r>
        <w:rPr>
          <w:rFonts w:ascii="Times New Roman" w:hAnsi="Times New Roman"/>
        </w:rPr>
        <w:t>(</w:t>
      </w:r>
      <w:r>
        <w:rPr>
          <w:rFonts w:ascii="Times New Roman" w:hAnsi="Times New Roman"/>
          <w:b/>
        </w:rPr>
        <w:t>the Act</w:t>
      </w:r>
      <w:r>
        <w:rPr>
          <w:rFonts w:ascii="Times New Roman" w:hAnsi="Times New Roman"/>
        </w:rPr>
        <w:t>) prohibit the disclosure or use of information obtained by carriers</w:t>
      </w:r>
      <w:r w:rsidR="00F073D0">
        <w:rPr>
          <w:rFonts w:ascii="Times New Roman" w:hAnsi="Times New Roman"/>
        </w:rPr>
        <w:t xml:space="preserve"> and carriage service providers</w:t>
      </w:r>
      <w:r>
        <w:rPr>
          <w:rFonts w:ascii="Times New Roman" w:hAnsi="Times New Roman"/>
        </w:rPr>
        <w:t xml:space="preserve"> in the course of providing their services.  The prohibition extends to the disclosure and use of information held in the integrated public number database (</w:t>
      </w:r>
      <w:r w:rsidRPr="00D06CF5">
        <w:rPr>
          <w:rFonts w:ascii="Times New Roman" w:hAnsi="Times New Roman"/>
          <w:b/>
        </w:rPr>
        <w:t>IPND</w:t>
      </w:r>
      <w:r>
        <w:rPr>
          <w:rFonts w:ascii="Times New Roman" w:hAnsi="Times New Roman"/>
        </w:rPr>
        <w:t>), an industry wide database of all residential and business telephone numbers and associate</w:t>
      </w:r>
      <w:r w:rsidR="00817C05">
        <w:rPr>
          <w:rFonts w:ascii="Times New Roman" w:hAnsi="Times New Roman"/>
        </w:rPr>
        <w:t>d</w:t>
      </w:r>
      <w:r>
        <w:rPr>
          <w:rFonts w:ascii="Times New Roman" w:hAnsi="Times New Roman"/>
        </w:rPr>
        <w:t xml:space="preserve"> subscriber information.  </w:t>
      </w:r>
    </w:p>
    <w:p w14:paraId="2859BDDE" w14:textId="6A5CBAC1" w:rsidR="00F65EE0" w:rsidRDefault="001B0426" w:rsidP="00F65EE0">
      <w:pPr>
        <w:rPr>
          <w:rFonts w:ascii="Times New Roman" w:hAnsi="Times New Roman" w:cs="Times New Roman"/>
        </w:rPr>
      </w:pPr>
      <w:r>
        <w:rPr>
          <w:rFonts w:ascii="Times New Roman" w:hAnsi="Times New Roman"/>
        </w:rPr>
        <w:t>Section 285 of the Act contains an exception to the prohibition, and permits disclosure of information from the IPND</w:t>
      </w:r>
      <w:r w:rsidR="00320BC2">
        <w:rPr>
          <w:rFonts w:ascii="Times New Roman" w:hAnsi="Times New Roman"/>
        </w:rPr>
        <w:t xml:space="preserve"> by Telstra (as the IPND Manager) to a person who holds an authorisation granted by the ACMA to receive IPND information.  </w:t>
      </w:r>
      <w:r w:rsidR="00B81312">
        <w:rPr>
          <w:rFonts w:ascii="Times New Roman" w:hAnsi="Times New Roman"/>
        </w:rPr>
        <w:t>T</w:t>
      </w:r>
      <w:r w:rsidR="00F971B5">
        <w:rPr>
          <w:rFonts w:ascii="Times New Roman" w:hAnsi="Times New Roman"/>
        </w:rPr>
        <w:t xml:space="preserve">he </w:t>
      </w:r>
      <w:r w:rsidR="00F971B5" w:rsidRPr="00CD2A79">
        <w:rPr>
          <w:rFonts w:ascii="Times New Roman" w:hAnsi="Times New Roman" w:cs="Times New Roman"/>
          <w:i/>
        </w:rPr>
        <w:t>Telecommunications Integrated Public Number Database Scheme 2017</w:t>
      </w:r>
      <w:r w:rsidR="00F971B5">
        <w:rPr>
          <w:rFonts w:ascii="Times New Roman" w:hAnsi="Times New Roman" w:cs="Times New Roman"/>
          <w:b/>
          <w:i/>
        </w:rPr>
        <w:t xml:space="preserve"> </w:t>
      </w:r>
      <w:r w:rsidR="00F971B5">
        <w:rPr>
          <w:rFonts w:ascii="Times New Roman" w:hAnsi="Times New Roman" w:cs="Times New Roman"/>
          <w:b/>
        </w:rPr>
        <w:t>(</w:t>
      </w:r>
      <w:r w:rsidR="00F971B5" w:rsidRPr="00CD2A79">
        <w:rPr>
          <w:rFonts w:ascii="Times New Roman" w:hAnsi="Times New Roman" w:cs="Times New Roman"/>
          <w:b/>
        </w:rPr>
        <w:t xml:space="preserve">the </w:t>
      </w:r>
      <w:r w:rsidR="00B81312">
        <w:rPr>
          <w:rFonts w:ascii="Times New Roman" w:hAnsi="Times New Roman" w:cs="Times New Roman"/>
          <w:b/>
        </w:rPr>
        <w:t>i</w:t>
      </w:r>
      <w:r w:rsidR="00F971B5" w:rsidRPr="00CD2A79">
        <w:rPr>
          <w:rFonts w:ascii="Times New Roman" w:hAnsi="Times New Roman" w:cs="Times New Roman"/>
          <w:b/>
        </w:rPr>
        <w:t>nstrument</w:t>
      </w:r>
      <w:r w:rsidR="00F971B5">
        <w:rPr>
          <w:rFonts w:ascii="Times New Roman" w:hAnsi="Times New Roman" w:cs="Times New Roman"/>
        </w:rPr>
        <w:t xml:space="preserve">) </w:t>
      </w:r>
      <w:r w:rsidR="00B81312">
        <w:rPr>
          <w:rFonts w:ascii="Times New Roman" w:hAnsi="Times New Roman" w:cs="Times New Roman"/>
        </w:rPr>
        <w:t xml:space="preserve">is </w:t>
      </w:r>
      <w:r w:rsidR="00320BC2">
        <w:rPr>
          <w:rFonts w:ascii="Times New Roman" w:hAnsi="Times New Roman" w:cs="Times New Roman"/>
        </w:rPr>
        <w:t xml:space="preserve">the </w:t>
      </w:r>
      <w:r w:rsidR="00B81312">
        <w:rPr>
          <w:rFonts w:ascii="Times New Roman" w:hAnsi="Times New Roman" w:cs="Times New Roman"/>
        </w:rPr>
        <w:t xml:space="preserve">scheme under which authorisations may be granted </w:t>
      </w:r>
      <w:r w:rsidR="002D036D" w:rsidRPr="000F17B8">
        <w:rPr>
          <w:rFonts w:ascii="Times New Roman" w:hAnsi="Times New Roman" w:cs="Times New Roman"/>
        </w:rPr>
        <w:t xml:space="preserve">to access </w:t>
      </w:r>
      <w:r w:rsidR="00B81312">
        <w:rPr>
          <w:rFonts w:ascii="Times New Roman" w:hAnsi="Times New Roman" w:cs="Times New Roman"/>
        </w:rPr>
        <w:t xml:space="preserve">information contained in </w:t>
      </w:r>
      <w:r w:rsidR="002D036D" w:rsidRPr="000F17B8">
        <w:rPr>
          <w:rFonts w:ascii="Times New Roman" w:hAnsi="Times New Roman" w:cs="Times New Roman"/>
        </w:rPr>
        <w:t xml:space="preserve">the </w:t>
      </w:r>
      <w:r w:rsidR="002D036D" w:rsidRPr="00D06CF5">
        <w:rPr>
          <w:rFonts w:ascii="Times New Roman" w:hAnsi="Times New Roman" w:cs="Times New Roman"/>
        </w:rPr>
        <w:t>IPND</w:t>
      </w:r>
      <w:r w:rsidR="002D036D" w:rsidRPr="000F17B8">
        <w:rPr>
          <w:rFonts w:ascii="Times New Roman" w:hAnsi="Times New Roman" w:cs="Times New Roman"/>
        </w:rPr>
        <w:t xml:space="preserve"> for the purposes of paragraph 285(1A)(d)</w:t>
      </w:r>
      <w:r w:rsidR="00B81312">
        <w:rPr>
          <w:rFonts w:ascii="Times New Roman" w:hAnsi="Times New Roman" w:cs="Times New Roman"/>
        </w:rPr>
        <w:t xml:space="preserve"> of the Act</w:t>
      </w:r>
      <w:r w:rsidR="002D036D" w:rsidRPr="000F17B8">
        <w:rPr>
          <w:rFonts w:ascii="Times New Roman" w:hAnsi="Times New Roman" w:cs="Times New Roman"/>
        </w:rPr>
        <w:t xml:space="preserve">. </w:t>
      </w:r>
      <w:r w:rsidR="00F65EE0" w:rsidRPr="000F17B8">
        <w:rPr>
          <w:rFonts w:ascii="Times New Roman" w:hAnsi="Times New Roman" w:cs="Times New Roman"/>
        </w:rPr>
        <w:t xml:space="preserve">Those purposes are the publication and maintenance of a public number directory and the conduct of research of a kind specified in a legislative instrument, by the Minister, where the Minister is satisfied that the kind of research is in the public </w:t>
      </w:r>
      <w:r w:rsidR="00F65EE0" w:rsidRPr="009310F8">
        <w:rPr>
          <w:rFonts w:ascii="Times New Roman" w:hAnsi="Times New Roman" w:cs="Times New Roman"/>
        </w:rPr>
        <w:t>interest (</w:t>
      </w:r>
      <w:r w:rsidR="00F65EE0" w:rsidRPr="009310F8">
        <w:rPr>
          <w:rFonts w:ascii="Times New Roman" w:hAnsi="Times New Roman" w:cs="Times New Roman"/>
          <w:b/>
        </w:rPr>
        <w:t>permitted research</w:t>
      </w:r>
      <w:r w:rsidR="00F65EE0" w:rsidRPr="009310F8">
        <w:rPr>
          <w:rFonts w:ascii="Times New Roman" w:hAnsi="Times New Roman" w:cs="Times New Roman"/>
        </w:rPr>
        <w:t xml:space="preserve">). </w:t>
      </w:r>
    </w:p>
    <w:p w14:paraId="1C08951B" w14:textId="44C4B0F7" w:rsidR="00666104" w:rsidRDefault="00666104" w:rsidP="00F65EE0">
      <w:pPr>
        <w:rPr>
          <w:rFonts w:ascii="Times New Roman" w:hAnsi="Times New Roman" w:cs="Times New Roman"/>
        </w:rPr>
      </w:pPr>
      <w:r>
        <w:rPr>
          <w:rFonts w:ascii="Times New Roman" w:hAnsi="Times New Roman" w:cs="Times New Roman"/>
        </w:rPr>
        <w:t xml:space="preserve">Persons who hold an authorisation under the </w:t>
      </w:r>
      <w:r w:rsidR="00817C05">
        <w:rPr>
          <w:rFonts w:ascii="Times New Roman" w:hAnsi="Times New Roman" w:cs="Times New Roman"/>
        </w:rPr>
        <w:t xml:space="preserve">instrument </w:t>
      </w:r>
      <w:r>
        <w:rPr>
          <w:rFonts w:ascii="Times New Roman" w:hAnsi="Times New Roman" w:cs="Times New Roman"/>
        </w:rPr>
        <w:t>provide a range of services and products to government, subscribers and the general public that would not be possible – or would be much more difficult</w:t>
      </w:r>
      <w:r w:rsidR="00F75D16">
        <w:rPr>
          <w:rFonts w:ascii="Times New Roman" w:hAnsi="Times New Roman" w:cs="Times New Roman"/>
        </w:rPr>
        <w:t xml:space="preserve"> to provide</w:t>
      </w:r>
      <w:r>
        <w:rPr>
          <w:rFonts w:ascii="Times New Roman" w:hAnsi="Times New Roman" w:cs="Times New Roman"/>
        </w:rPr>
        <w:t xml:space="preserve"> – without a system like the IPND.  </w:t>
      </w:r>
      <w:r w:rsidR="00473F2A">
        <w:rPr>
          <w:rFonts w:ascii="Times New Roman" w:hAnsi="Times New Roman" w:cs="Times New Roman"/>
        </w:rPr>
        <w:t>Authorisations granted under the i</w:t>
      </w:r>
      <w:r w:rsidR="00473F2A" w:rsidRPr="0039780A">
        <w:rPr>
          <w:rFonts w:ascii="Times New Roman" w:hAnsi="Times New Roman" w:cs="Times New Roman"/>
        </w:rPr>
        <w:t xml:space="preserve">nstrument </w:t>
      </w:r>
      <w:r w:rsidR="00473F2A">
        <w:rPr>
          <w:rFonts w:ascii="Times New Roman" w:hAnsi="Times New Roman" w:cs="Times New Roman"/>
        </w:rPr>
        <w:t>affect</w:t>
      </w:r>
      <w:r w:rsidR="00473F2A" w:rsidRPr="0039780A">
        <w:rPr>
          <w:rFonts w:ascii="Times New Roman" w:hAnsi="Times New Roman" w:cs="Times New Roman"/>
        </w:rPr>
        <w:t xml:space="preserve"> public number directory publishers, research entities and customers of </w:t>
      </w:r>
      <w:r w:rsidR="00C21C5A">
        <w:rPr>
          <w:rFonts w:ascii="Times New Roman" w:hAnsi="Times New Roman" w:cs="Times New Roman"/>
        </w:rPr>
        <w:t>carriage service providers</w:t>
      </w:r>
      <w:r w:rsidR="00C21C5A" w:rsidRPr="0039780A">
        <w:rPr>
          <w:rFonts w:ascii="Times New Roman" w:hAnsi="Times New Roman" w:cs="Times New Roman"/>
        </w:rPr>
        <w:t xml:space="preserve"> </w:t>
      </w:r>
      <w:r w:rsidR="00473F2A" w:rsidRPr="0039780A">
        <w:rPr>
          <w:rFonts w:ascii="Times New Roman" w:hAnsi="Times New Roman" w:cs="Times New Roman"/>
        </w:rPr>
        <w:t xml:space="preserve">whose IPND </w:t>
      </w:r>
      <w:r w:rsidR="00035E82">
        <w:rPr>
          <w:rFonts w:ascii="Times New Roman" w:hAnsi="Times New Roman" w:cs="Times New Roman"/>
        </w:rPr>
        <w:t>information</w:t>
      </w:r>
      <w:r w:rsidR="00035E82" w:rsidRPr="0039780A">
        <w:rPr>
          <w:rFonts w:ascii="Times New Roman" w:hAnsi="Times New Roman" w:cs="Times New Roman"/>
        </w:rPr>
        <w:t xml:space="preserve"> </w:t>
      </w:r>
      <w:r w:rsidR="00473F2A" w:rsidRPr="0039780A">
        <w:rPr>
          <w:rFonts w:ascii="Times New Roman" w:hAnsi="Times New Roman" w:cs="Times New Roman"/>
        </w:rPr>
        <w:t xml:space="preserve">is </w:t>
      </w:r>
      <w:r w:rsidR="00473F2A">
        <w:rPr>
          <w:rFonts w:ascii="Times New Roman" w:eastAsia="Times New Roman" w:hAnsi="Times New Roman" w:cs="Times New Roman"/>
          <w:lang w:eastAsia="en-AU"/>
        </w:rPr>
        <w:t xml:space="preserve">collected, stored, </w:t>
      </w:r>
      <w:r w:rsidR="00473F2A" w:rsidRPr="0039780A">
        <w:rPr>
          <w:rFonts w:ascii="Times New Roman" w:eastAsia="Times New Roman" w:hAnsi="Times New Roman" w:cs="Times New Roman"/>
          <w:lang w:eastAsia="en-AU"/>
        </w:rPr>
        <w:t>use</w:t>
      </w:r>
      <w:r w:rsidR="00473F2A">
        <w:rPr>
          <w:rFonts w:ascii="Times New Roman" w:eastAsia="Times New Roman" w:hAnsi="Times New Roman" w:cs="Times New Roman"/>
          <w:lang w:eastAsia="en-AU"/>
        </w:rPr>
        <w:t>d and disclosed</w:t>
      </w:r>
      <w:r w:rsidR="00473F2A" w:rsidRPr="0039780A">
        <w:rPr>
          <w:rFonts w:ascii="Times New Roman" w:eastAsia="Times New Roman" w:hAnsi="Times New Roman" w:cs="Times New Roman"/>
          <w:lang w:eastAsia="en-AU"/>
        </w:rPr>
        <w:t xml:space="preserve"> </w:t>
      </w:r>
      <w:r w:rsidR="00473F2A">
        <w:rPr>
          <w:rFonts w:ascii="Times New Roman" w:eastAsia="Times New Roman" w:hAnsi="Times New Roman" w:cs="Times New Roman"/>
          <w:lang w:eastAsia="en-AU"/>
        </w:rPr>
        <w:t xml:space="preserve">by authorisation holders </w:t>
      </w:r>
      <w:r w:rsidR="00473F2A">
        <w:rPr>
          <w:rFonts w:ascii="Times New Roman" w:hAnsi="Times New Roman" w:cs="Times New Roman"/>
        </w:rPr>
        <w:t>under the regulatory arrangements.</w:t>
      </w:r>
    </w:p>
    <w:p w14:paraId="5D3EAB99" w14:textId="13C87736" w:rsidR="00666104" w:rsidRDefault="00666104" w:rsidP="00666104">
      <w:pPr>
        <w:pStyle w:val="ListBullet"/>
        <w:numPr>
          <w:ilvl w:val="0"/>
          <w:numId w:val="0"/>
        </w:numPr>
        <w:rPr>
          <w:rFonts w:ascii="Times New Roman" w:hAnsi="Times New Roman"/>
          <w:sz w:val="22"/>
          <w:szCs w:val="22"/>
        </w:rPr>
      </w:pPr>
      <w:r>
        <w:rPr>
          <w:rFonts w:ascii="Times New Roman" w:hAnsi="Times New Roman"/>
          <w:sz w:val="22"/>
          <w:szCs w:val="22"/>
        </w:rPr>
        <w:t>Although t</w:t>
      </w:r>
      <w:r w:rsidRPr="00101BA1">
        <w:rPr>
          <w:rFonts w:ascii="Times New Roman" w:hAnsi="Times New Roman"/>
          <w:sz w:val="22"/>
          <w:szCs w:val="22"/>
        </w:rPr>
        <w:t xml:space="preserve">he </w:t>
      </w:r>
      <w:r>
        <w:rPr>
          <w:rFonts w:ascii="Times New Roman" w:hAnsi="Times New Roman"/>
          <w:sz w:val="22"/>
          <w:szCs w:val="22"/>
        </w:rPr>
        <w:t>i</w:t>
      </w:r>
      <w:r w:rsidRPr="00101BA1">
        <w:rPr>
          <w:rFonts w:ascii="Times New Roman" w:hAnsi="Times New Roman"/>
          <w:sz w:val="22"/>
          <w:szCs w:val="22"/>
        </w:rPr>
        <w:t>nstrument largely replica</w:t>
      </w:r>
      <w:r>
        <w:rPr>
          <w:rFonts w:ascii="Times New Roman" w:hAnsi="Times New Roman"/>
          <w:sz w:val="22"/>
          <w:szCs w:val="22"/>
        </w:rPr>
        <w:t xml:space="preserve">tes the </w:t>
      </w:r>
      <w:r>
        <w:rPr>
          <w:rFonts w:ascii="Times New Roman" w:hAnsi="Times New Roman"/>
          <w:i/>
          <w:sz w:val="22"/>
          <w:szCs w:val="22"/>
        </w:rPr>
        <w:t xml:space="preserve">Telecommunications Integrated </w:t>
      </w:r>
      <w:r w:rsidRPr="00234108">
        <w:rPr>
          <w:rFonts w:ascii="Times New Roman" w:hAnsi="Times New Roman"/>
          <w:i/>
          <w:sz w:val="22"/>
          <w:szCs w:val="22"/>
        </w:rPr>
        <w:t>Public Number Database Scheme 2007</w:t>
      </w:r>
      <w:r w:rsidR="00F75D16">
        <w:rPr>
          <w:rFonts w:ascii="Times New Roman" w:hAnsi="Times New Roman"/>
          <w:i/>
          <w:sz w:val="22"/>
          <w:szCs w:val="22"/>
        </w:rPr>
        <w:t xml:space="preserve"> </w:t>
      </w:r>
      <w:r w:rsidR="00F75D16">
        <w:rPr>
          <w:rFonts w:ascii="Times New Roman" w:hAnsi="Times New Roman"/>
          <w:sz w:val="22"/>
          <w:szCs w:val="22"/>
        </w:rPr>
        <w:t>which it replaces</w:t>
      </w:r>
      <w:r>
        <w:rPr>
          <w:rFonts w:ascii="Times New Roman" w:hAnsi="Times New Roman"/>
          <w:sz w:val="22"/>
          <w:szCs w:val="22"/>
        </w:rPr>
        <w:t>, the provisions relating to research authorisation</w:t>
      </w:r>
      <w:r w:rsidR="00473F2A">
        <w:rPr>
          <w:rFonts w:ascii="Times New Roman" w:hAnsi="Times New Roman"/>
          <w:sz w:val="22"/>
          <w:szCs w:val="22"/>
        </w:rPr>
        <w:t>s</w:t>
      </w:r>
      <w:r>
        <w:rPr>
          <w:rFonts w:ascii="Times New Roman" w:hAnsi="Times New Roman"/>
          <w:sz w:val="22"/>
          <w:szCs w:val="22"/>
        </w:rPr>
        <w:t xml:space="preserve"> have been amended to:</w:t>
      </w:r>
    </w:p>
    <w:p w14:paraId="4849F901" w14:textId="693DD6C2" w:rsidR="00666104" w:rsidRDefault="00666104" w:rsidP="00362B2C">
      <w:pPr>
        <w:pStyle w:val="ListBullet"/>
        <w:numPr>
          <w:ilvl w:val="0"/>
          <w:numId w:val="20"/>
        </w:numPr>
        <w:rPr>
          <w:rFonts w:ascii="Times New Roman" w:hAnsi="Times New Roman"/>
          <w:sz w:val="22"/>
          <w:szCs w:val="22"/>
        </w:rPr>
      </w:pPr>
      <w:r>
        <w:rPr>
          <w:rFonts w:ascii="Times New Roman" w:hAnsi="Times New Roman"/>
          <w:sz w:val="22"/>
          <w:szCs w:val="22"/>
        </w:rPr>
        <w:t xml:space="preserve">facilitate research industry management of access to IPND </w:t>
      </w:r>
      <w:r w:rsidR="00B95BAB">
        <w:rPr>
          <w:rFonts w:ascii="Times New Roman" w:hAnsi="Times New Roman"/>
          <w:sz w:val="22"/>
          <w:szCs w:val="22"/>
        </w:rPr>
        <w:t xml:space="preserve">information </w:t>
      </w:r>
      <w:r>
        <w:rPr>
          <w:rFonts w:ascii="Times New Roman" w:hAnsi="Times New Roman"/>
          <w:sz w:val="22"/>
          <w:szCs w:val="22"/>
        </w:rPr>
        <w:t xml:space="preserve">by enabling the ACMA to authorise a research representative body to disclose limited IPND </w:t>
      </w:r>
      <w:r w:rsidR="00F7098B">
        <w:rPr>
          <w:rFonts w:ascii="Times New Roman" w:hAnsi="Times New Roman"/>
          <w:sz w:val="22"/>
          <w:szCs w:val="22"/>
        </w:rPr>
        <w:t xml:space="preserve">information </w:t>
      </w:r>
      <w:r>
        <w:rPr>
          <w:rFonts w:ascii="Times New Roman" w:hAnsi="Times New Roman"/>
          <w:sz w:val="22"/>
          <w:szCs w:val="22"/>
        </w:rPr>
        <w:t>(only listed number and corresponding geographic information never more specific than post code) to its members to conduct permitted research provided certain requirements are met;</w:t>
      </w:r>
      <w:r w:rsidR="00473F2A">
        <w:rPr>
          <w:rFonts w:ascii="Times New Roman" w:hAnsi="Times New Roman"/>
          <w:sz w:val="22"/>
          <w:szCs w:val="22"/>
        </w:rPr>
        <w:t xml:space="preserve"> and</w:t>
      </w:r>
    </w:p>
    <w:p w14:paraId="58E26ED5" w14:textId="26E49101" w:rsidR="00666104" w:rsidRDefault="00666104" w:rsidP="00362B2C">
      <w:pPr>
        <w:pStyle w:val="ListBullet"/>
        <w:numPr>
          <w:ilvl w:val="0"/>
          <w:numId w:val="20"/>
        </w:numPr>
        <w:rPr>
          <w:rFonts w:ascii="Times New Roman" w:hAnsi="Times New Roman"/>
          <w:sz w:val="22"/>
          <w:szCs w:val="22"/>
        </w:rPr>
      </w:pPr>
      <w:r>
        <w:rPr>
          <w:rFonts w:ascii="Times New Roman" w:hAnsi="Times New Roman"/>
          <w:sz w:val="22"/>
          <w:szCs w:val="22"/>
        </w:rPr>
        <w:lastRenderedPageBreak/>
        <w:t xml:space="preserve">allow the ACMA to grant a research authorisation on an ongoing basis subject to an individual researcher or </w:t>
      </w:r>
      <w:r w:rsidR="00D370F2">
        <w:rPr>
          <w:rFonts w:ascii="Times New Roman" w:hAnsi="Times New Roman"/>
          <w:sz w:val="22"/>
          <w:szCs w:val="22"/>
        </w:rPr>
        <w:t>a representative body for researchers</w:t>
      </w:r>
      <w:r>
        <w:rPr>
          <w:rFonts w:ascii="Times New Roman" w:hAnsi="Times New Roman"/>
          <w:sz w:val="22"/>
          <w:szCs w:val="22"/>
        </w:rPr>
        <w:t xml:space="preserve"> meeting certain requirements. </w:t>
      </w:r>
    </w:p>
    <w:p w14:paraId="01C2C88F" w14:textId="078585EE" w:rsidR="00666104" w:rsidRDefault="00666104" w:rsidP="00F65EE0">
      <w:pPr>
        <w:rPr>
          <w:rFonts w:ascii="Times New Roman" w:hAnsi="Times New Roman" w:cs="Times New Roman"/>
        </w:rPr>
      </w:pPr>
      <w:r>
        <w:rPr>
          <w:rFonts w:ascii="Times New Roman" w:hAnsi="Times New Roman" w:cs="Times New Roman"/>
        </w:rPr>
        <w:t xml:space="preserve">The instrument facilitates an authorisation holder’s access to IPND information whilst also imposing strict conditions on the authorisation holder’s use of that information.  Those conditions </w:t>
      </w:r>
      <w:r w:rsidR="00752BC6">
        <w:rPr>
          <w:rFonts w:ascii="Times New Roman" w:hAnsi="Times New Roman" w:cs="Times New Roman"/>
        </w:rPr>
        <w:t xml:space="preserve">have been drafted in recognition of </w:t>
      </w:r>
      <w:r>
        <w:rPr>
          <w:rFonts w:ascii="Times New Roman" w:hAnsi="Times New Roman" w:cs="Times New Roman"/>
        </w:rPr>
        <w:t xml:space="preserve">the sensitive nature of IPND information and </w:t>
      </w:r>
      <w:r w:rsidR="00752BC6">
        <w:rPr>
          <w:rFonts w:ascii="Times New Roman" w:hAnsi="Times New Roman" w:cs="Times New Roman"/>
        </w:rPr>
        <w:t xml:space="preserve">aim to </w:t>
      </w:r>
      <w:r>
        <w:rPr>
          <w:rFonts w:ascii="Times New Roman" w:hAnsi="Times New Roman" w:cs="Times New Roman"/>
        </w:rPr>
        <w:t xml:space="preserve">balance the </w:t>
      </w:r>
      <w:r w:rsidR="00752BC6">
        <w:rPr>
          <w:rFonts w:ascii="Times New Roman" w:hAnsi="Times New Roman" w:cs="Times New Roman"/>
        </w:rPr>
        <w:t xml:space="preserve">impost on privacy associated with the </w:t>
      </w:r>
      <w:r>
        <w:rPr>
          <w:rFonts w:ascii="Times New Roman" w:hAnsi="Times New Roman" w:cs="Times New Roman"/>
        </w:rPr>
        <w:t xml:space="preserve">disclosure and use of that information </w:t>
      </w:r>
      <w:r w:rsidR="00752BC6">
        <w:rPr>
          <w:rFonts w:ascii="Times New Roman" w:hAnsi="Times New Roman" w:cs="Times New Roman"/>
        </w:rPr>
        <w:t xml:space="preserve">against </w:t>
      </w:r>
      <w:r>
        <w:rPr>
          <w:rFonts w:ascii="Times New Roman" w:hAnsi="Times New Roman" w:cs="Times New Roman"/>
        </w:rPr>
        <w:t xml:space="preserve">the </w:t>
      </w:r>
      <w:r w:rsidR="00752BC6">
        <w:rPr>
          <w:rFonts w:ascii="Times New Roman" w:hAnsi="Times New Roman" w:cs="Times New Roman"/>
        </w:rPr>
        <w:t xml:space="preserve">public benefit </w:t>
      </w:r>
      <w:r>
        <w:rPr>
          <w:rFonts w:ascii="Times New Roman" w:hAnsi="Times New Roman" w:cs="Times New Roman"/>
        </w:rPr>
        <w:t>provided by public number directory publishers, as well as</w:t>
      </w:r>
      <w:r w:rsidR="0047387B">
        <w:rPr>
          <w:rFonts w:ascii="Times New Roman" w:hAnsi="Times New Roman" w:cs="Times New Roman"/>
        </w:rPr>
        <w:t xml:space="preserve"> against</w:t>
      </w:r>
      <w:r>
        <w:rPr>
          <w:rFonts w:ascii="Times New Roman" w:hAnsi="Times New Roman" w:cs="Times New Roman"/>
        </w:rPr>
        <w:t xml:space="preserve"> the</w:t>
      </w:r>
      <w:r w:rsidR="00231E1C">
        <w:rPr>
          <w:rFonts w:ascii="Times New Roman" w:hAnsi="Times New Roman" w:cs="Times New Roman"/>
        </w:rPr>
        <w:t xml:space="preserve"> public interest in enabling</w:t>
      </w:r>
      <w:r>
        <w:rPr>
          <w:rFonts w:ascii="Times New Roman" w:hAnsi="Times New Roman" w:cs="Times New Roman"/>
        </w:rPr>
        <w:t xml:space="preserve"> researchers to conduct quality research that informs government policy and </w:t>
      </w:r>
      <w:r w:rsidR="00C57807">
        <w:rPr>
          <w:rFonts w:ascii="Times New Roman" w:hAnsi="Times New Roman" w:cs="Times New Roman"/>
        </w:rPr>
        <w:t>is in</w:t>
      </w:r>
      <w:r>
        <w:rPr>
          <w:rFonts w:ascii="Times New Roman" w:hAnsi="Times New Roman" w:cs="Times New Roman"/>
        </w:rPr>
        <w:t xml:space="preserve"> the public</w:t>
      </w:r>
      <w:r w:rsidR="00C57807">
        <w:rPr>
          <w:rFonts w:ascii="Times New Roman" w:hAnsi="Times New Roman" w:cs="Times New Roman"/>
        </w:rPr>
        <w:t xml:space="preserve"> interest</w:t>
      </w:r>
      <w:r>
        <w:rPr>
          <w:rFonts w:ascii="Times New Roman" w:hAnsi="Times New Roman" w:cs="Times New Roman"/>
        </w:rPr>
        <w:t xml:space="preserve">.  </w:t>
      </w:r>
    </w:p>
    <w:p w14:paraId="0EB62AF5" w14:textId="4156C389" w:rsidR="008C584E" w:rsidRPr="00A213A8" w:rsidRDefault="00C9259F" w:rsidP="00D06CF5">
      <w:pPr>
        <w:keepNext/>
        <w:rPr>
          <w:rFonts w:ascii="Times New Roman" w:hAnsi="Times New Roman" w:cs="Times New Roman"/>
          <w:b/>
          <w:i/>
        </w:rPr>
      </w:pPr>
      <w:r>
        <w:rPr>
          <w:rFonts w:ascii="Times New Roman" w:hAnsi="Times New Roman" w:cs="Times New Roman"/>
          <w:b/>
          <w:i/>
        </w:rPr>
        <w:t>H</w:t>
      </w:r>
      <w:r w:rsidR="008C584E">
        <w:rPr>
          <w:rFonts w:ascii="Times New Roman" w:hAnsi="Times New Roman" w:cs="Times New Roman"/>
          <w:b/>
          <w:i/>
        </w:rPr>
        <w:t>uman rights</w:t>
      </w:r>
      <w:r>
        <w:rPr>
          <w:rFonts w:ascii="Times New Roman" w:hAnsi="Times New Roman" w:cs="Times New Roman"/>
          <w:b/>
          <w:i/>
        </w:rPr>
        <w:t xml:space="preserve"> implications</w:t>
      </w:r>
    </w:p>
    <w:p w14:paraId="7D9ABD69" w14:textId="2067408A" w:rsidR="008C584E" w:rsidRDefault="008C584E" w:rsidP="007419E7">
      <w:pPr>
        <w:rPr>
          <w:rFonts w:ascii="Times New Roman" w:hAnsi="Times New Roman" w:cs="Times New Roman"/>
        </w:rPr>
      </w:pPr>
      <w:r>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w:t>
      </w:r>
      <w:r w:rsidR="000124F9">
        <w:rPr>
          <w:rFonts w:ascii="Times New Roman" w:hAnsi="Times New Roman" w:cs="Times New Roman"/>
        </w:rPr>
        <w:t xml:space="preserve">the </w:t>
      </w:r>
      <w:r w:rsidR="000124F9" w:rsidRPr="00FB4437">
        <w:rPr>
          <w:rFonts w:ascii="Times New Roman" w:hAnsi="Times New Roman" w:cs="Times New Roman"/>
          <w:i/>
        </w:rPr>
        <w:t>Human Rights (Parliamentary Scrutiny) Act 2011</w:t>
      </w:r>
      <w:r w:rsidR="000124F9" w:rsidRPr="00FB4437">
        <w:rPr>
          <w:rFonts w:ascii="Times New Roman" w:hAnsi="Times New Roman" w:cs="Times New Roman"/>
        </w:rPr>
        <w:t xml:space="preserve"> </w:t>
      </w:r>
      <w:r>
        <w:rPr>
          <w:rFonts w:ascii="Times New Roman" w:hAnsi="Times New Roman" w:cs="Times New Roman"/>
        </w:rPr>
        <w:t xml:space="preserve">as they apply to Australia. </w:t>
      </w:r>
    </w:p>
    <w:p w14:paraId="13935A38" w14:textId="286FA87F" w:rsidR="00794C5F" w:rsidRPr="00794C5F" w:rsidRDefault="008C584E" w:rsidP="007419E7">
      <w:pPr>
        <w:spacing w:after="40"/>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engage</w:t>
      </w:r>
      <w:r w:rsidR="00AF6545">
        <w:rPr>
          <w:rFonts w:ascii="Times New Roman" w:hAnsi="Times New Roman" w:cs="Times New Roman"/>
        </w:rPr>
        <w:t>s</w:t>
      </w:r>
      <w:r w:rsidRPr="00A213A8">
        <w:rPr>
          <w:rFonts w:ascii="Times New Roman" w:hAnsi="Times New Roman" w:cs="Times New Roman"/>
        </w:rPr>
        <w:t xml:space="preserve"> </w:t>
      </w:r>
      <w:r w:rsidR="00AF6545">
        <w:rPr>
          <w:rFonts w:ascii="Times New Roman" w:hAnsi="Times New Roman" w:cs="Times New Roman"/>
        </w:rPr>
        <w:t xml:space="preserve">the </w:t>
      </w:r>
      <w:r w:rsidR="00794C5F" w:rsidRPr="00794C5F">
        <w:rPr>
          <w:rFonts w:ascii="Times New Roman" w:hAnsi="Times New Roman" w:cs="Times New Roman"/>
        </w:rPr>
        <w:t xml:space="preserve">right to privacy in Article 17 of the </w:t>
      </w:r>
      <w:r w:rsidR="00794C5F" w:rsidRPr="00794C5F">
        <w:rPr>
          <w:rFonts w:ascii="Times New Roman" w:hAnsi="Times New Roman" w:cs="Times New Roman"/>
          <w:i/>
        </w:rPr>
        <w:t>International Covenant on Civil and Political Rights</w:t>
      </w:r>
      <w:r w:rsidR="00DE6BCB">
        <w:rPr>
          <w:rFonts w:ascii="Times New Roman" w:hAnsi="Times New Roman" w:cs="Times New Roman"/>
          <w:i/>
        </w:rPr>
        <w:t xml:space="preserve"> </w:t>
      </w:r>
      <w:r w:rsidR="00DE6BCB" w:rsidRPr="00D06CF5">
        <w:rPr>
          <w:rFonts w:ascii="Times New Roman" w:hAnsi="Times New Roman" w:cs="Times New Roman"/>
        </w:rPr>
        <w:t>(</w:t>
      </w:r>
      <w:r w:rsidR="00DE6BCB" w:rsidRPr="00DE6BCB">
        <w:rPr>
          <w:rFonts w:ascii="Times New Roman" w:hAnsi="Times New Roman" w:cs="Times New Roman"/>
          <w:b/>
        </w:rPr>
        <w:t>the ICCPR</w:t>
      </w:r>
      <w:r w:rsidR="00DE6BCB" w:rsidRPr="00D06CF5">
        <w:rPr>
          <w:rFonts w:ascii="Times New Roman" w:hAnsi="Times New Roman" w:cs="Times New Roman"/>
        </w:rPr>
        <w:t>)</w:t>
      </w:r>
      <w:r w:rsidR="003B7E88" w:rsidRPr="00D06CF5">
        <w:rPr>
          <w:rFonts w:ascii="Times New Roman" w:hAnsi="Times New Roman" w:cs="Times New Roman"/>
        </w:rPr>
        <w:t>.</w:t>
      </w:r>
      <w:r w:rsidR="00794C5F" w:rsidRPr="00794C5F">
        <w:rPr>
          <w:rFonts w:ascii="Times New Roman" w:hAnsi="Times New Roman" w:cs="Times New Roman"/>
        </w:rPr>
        <w:t xml:space="preserve"> </w:t>
      </w:r>
    </w:p>
    <w:p w14:paraId="416D5F4D" w14:textId="596924AD" w:rsidR="003B7E88" w:rsidRPr="009B5430" w:rsidRDefault="003B7E88" w:rsidP="009B5430">
      <w:pPr>
        <w:keepNext/>
        <w:spacing w:before="240" w:after="120" w:line="240" w:lineRule="auto"/>
        <w:rPr>
          <w:rFonts w:ascii="Times New Roman" w:eastAsia="Times New Roman" w:hAnsi="Times New Roman" w:cs="Times New Roman"/>
          <w:b/>
          <w:i/>
          <w:lang w:eastAsia="en-AU"/>
        </w:rPr>
      </w:pPr>
      <w:r w:rsidRPr="009B5430">
        <w:rPr>
          <w:rFonts w:ascii="Times New Roman" w:eastAsia="Times New Roman" w:hAnsi="Times New Roman" w:cs="Times New Roman"/>
          <w:b/>
          <w:i/>
          <w:lang w:eastAsia="en-AU"/>
        </w:rPr>
        <w:t>Right to privacy</w:t>
      </w:r>
    </w:p>
    <w:p w14:paraId="3B53DFB8" w14:textId="00B8377E" w:rsidR="00D25FC1" w:rsidRPr="00D25FC1" w:rsidRDefault="00D25FC1" w:rsidP="007419E7">
      <w:pPr>
        <w:pStyle w:val="EMlistparas"/>
        <w:numPr>
          <w:ilvl w:val="0"/>
          <w:numId w:val="0"/>
        </w:numPr>
        <w:rPr>
          <w:sz w:val="22"/>
          <w:szCs w:val="22"/>
        </w:rPr>
      </w:pPr>
      <w:r w:rsidRPr="00D25FC1">
        <w:rPr>
          <w:sz w:val="22"/>
          <w:szCs w:val="22"/>
        </w:rPr>
        <w:t>Article 17 of the ICCPR</w:t>
      </w:r>
      <w:r w:rsidRPr="00D25FC1">
        <w:rPr>
          <w:i/>
          <w:sz w:val="22"/>
          <w:szCs w:val="22"/>
        </w:rPr>
        <w:t xml:space="preserve"> </w:t>
      </w:r>
      <w:r w:rsidRPr="00D25FC1">
        <w:rPr>
          <w:sz w:val="22"/>
          <w:szCs w:val="22"/>
        </w:rPr>
        <w:t>provides:</w:t>
      </w:r>
      <w:r w:rsidRPr="00D25FC1">
        <w:rPr>
          <w:sz w:val="22"/>
          <w:szCs w:val="22"/>
        </w:rPr>
        <w:br/>
      </w:r>
    </w:p>
    <w:p w14:paraId="1BBA777A" w14:textId="77777777" w:rsidR="00D25FC1" w:rsidRPr="00D25FC1" w:rsidRDefault="00D25FC1" w:rsidP="00362B2C">
      <w:pPr>
        <w:numPr>
          <w:ilvl w:val="0"/>
          <w:numId w:val="18"/>
        </w:numPr>
        <w:spacing w:after="120" w:line="240" w:lineRule="auto"/>
        <w:rPr>
          <w:rFonts w:ascii="Times New Roman" w:hAnsi="Times New Roman"/>
        </w:rPr>
      </w:pPr>
      <w:r w:rsidRPr="00D25FC1">
        <w:rPr>
          <w:rFonts w:ascii="Times New Roman" w:hAnsi="Times New Roman"/>
        </w:rPr>
        <w:t xml:space="preserve">No one shall be subjected to arbitrary or unlawful interference with his privacy, family, home or correspondence, nor to unlawful attacks on his honour and reputation. </w:t>
      </w:r>
    </w:p>
    <w:p w14:paraId="5B8650CB" w14:textId="77777777" w:rsidR="00D25FC1" w:rsidRPr="00D25FC1" w:rsidRDefault="00D25FC1" w:rsidP="00362B2C">
      <w:pPr>
        <w:numPr>
          <w:ilvl w:val="0"/>
          <w:numId w:val="18"/>
        </w:numPr>
        <w:spacing w:after="120" w:line="240" w:lineRule="auto"/>
        <w:rPr>
          <w:rFonts w:ascii="Times New Roman" w:hAnsi="Times New Roman"/>
        </w:rPr>
      </w:pPr>
      <w:r w:rsidRPr="00D25FC1">
        <w:rPr>
          <w:rFonts w:ascii="Times New Roman" w:hAnsi="Times New Roman"/>
        </w:rPr>
        <w:t>Everyone has the right to the protection of the law against such interference or attacks.</w:t>
      </w:r>
    </w:p>
    <w:p w14:paraId="69BECC7B" w14:textId="5275CC08" w:rsidR="00473F2A" w:rsidRDefault="00473F2A" w:rsidP="006204E8">
      <w:pPr>
        <w:pStyle w:val="ListBullet"/>
        <w:numPr>
          <w:ilvl w:val="0"/>
          <w:numId w:val="0"/>
        </w:numPr>
        <w:rPr>
          <w:rFonts w:ascii="Times New Roman" w:hAnsi="Times New Roman"/>
          <w:sz w:val="22"/>
          <w:szCs w:val="22"/>
        </w:rPr>
      </w:pPr>
      <w:r>
        <w:rPr>
          <w:rFonts w:ascii="Times New Roman" w:hAnsi="Times New Roman"/>
          <w:sz w:val="22"/>
          <w:szCs w:val="22"/>
        </w:rPr>
        <w:t xml:space="preserve">Collecting, using, storing, disclosing or publishing personal information amounts to an interference with privacy.  In order for the interference with privacy not to be ‘arbitrary’, any interference with privacy must be in accordance with the provisions, aims and objectives of the ICCPR and should be reasonable in the particular circumstances.  Reasonableness, in this context, incorporates notions of proportionality, appropriateness and necessity.  </w:t>
      </w:r>
    </w:p>
    <w:p w14:paraId="7BC06A90" w14:textId="1A14BFCC" w:rsidR="00177CC0" w:rsidRDefault="00C23268" w:rsidP="00177CC0">
      <w:pPr>
        <w:pStyle w:val="ListBullet"/>
        <w:numPr>
          <w:ilvl w:val="0"/>
          <w:numId w:val="0"/>
        </w:numPr>
        <w:rPr>
          <w:rFonts w:ascii="Times New Roman" w:hAnsi="Times New Roman"/>
          <w:sz w:val="22"/>
          <w:szCs w:val="22"/>
        </w:rPr>
      </w:pPr>
      <w:r>
        <w:rPr>
          <w:rFonts w:ascii="Times New Roman" w:hAnsi="Times New Roman"/>
          <w:sz w:val="22"/>
          <w:szCs w:val="22"/>
        </w:rPr>
        <w:t>Under the instrument, a person who holds an authorisation will gain access to use</w:t>
      </w:r>
      <w:r w:rsidR="00817C05">
        <w:rPr>
          <w:rFonts w:ascii="Times New Roman" w:hAnsi="Times New Roman"/>
          <w:sz w:val="22"/>
          <w:szCs w:val="22"/>
        </w:rPr>
        <w:t xml:space="preserve"> and disclose</w:t>
      </w:r>
      <w:r>
        <w:rPr>
          <w:rFonts w:ascii="Times New Roman" w:hAnsi="Times New Roman"/>
          <w:sz w:val="22"/>
          <w:szCs w:val="22"/>
        </w:rPr>
        <w:t xml:space="preserve"> personal information.  </w:t>
      </w:r>
      <w:r w:rsidR="003C1955">
        <w:rPr>
          <w:rFonts w:ascii="Times New Roman" w:hAnsi="Times New Roman"/>
          <w:sz w:val="22"/>
          <w:szCs w:val="22"/>
        </w:rPr>
        <w:t xml:space="preserve">In comparison to the </w:t>
      </w:r>
      <w:r w:rsidR="003C1955">
        <w:rPr>
          <w:rFonts w:ascii="Times New Roman" w:hAnsi="Times New Roman"/>
          <w:i/>
          <w:sz w:val="22"/>
          <w:szCs w:val="22"/>
        </w:rPr>
        <w:t xml:space="preserve">Telecommunications Integrated Public Number Database Scheme </w:t>
      </w:r>
      <w:r w:rsidR="003C1955" w:rsidRPr="00362B2C">
        <w:rPr>
          <w:rFonts w:ascii="Times New Roman" w:hAnsi="Times New Roman"/>
          <w:sz w:val="22"/>
          <w:szCs w:val="22"/>
        </w:rPr>
        <w:t>2007</w:t>
      </w:r>
      <w:r w:rsidR="003C1955">
        <w:rPr>
          <w:rFonts w:ascii="Times New Roman" w:hAnsi="Times New Roman"/>
          <w:sz w:val="22"/>
          <w:szCs w:val="22"/>
        </w:rPr>
        <w:t>, t</w:t>
      </w:r>
      <w:r w:rsidRPr="003C1955">
        <w:rPr>
          <w:rFonts w:ascii="Times New Roman" w:hAnsi="Times New Roman"/>
          <w:sz w:val="22"/>
          <w:szCs w:val="22"/>
        </w:rPr>
        <w:t>he</w:t>
      </w:r>
      <w:r>
        <w:rPr>
          <w:rFonts w:ascii="Times New Roman" w:hAnsi="Times New Roman"/>
          <w:sz w:val="22"/>
          <w:szCs w:val="22"/>
        </w:rPr>
        <w:t xml:space="preserve"> instrument </w:t>
      </w:r>
      <w:r w:rsidR="003C1955">
        <w:rPr>
          <w:rFonts w:ascii="Times New Roman" w:hAnsi="Times New Roman"/>
          <w:sz w:val="22"/>
          <w:szCs w:val="22"/>
        </w:rPr>
        <w:t>makes</w:t>
      </w:r>
      <w:r>
        <w:rPr>
          <w:rFonts w:ascii="Times New Roman" w:hAnsi="Times New Roman"/>
          <w:sz w:val="22"/>
          <w:szCs w:val="22"/>
        </w:rPr>
        <w:t xml:space="preserve"> a </w:t>
      </w:r>
      <w:r w:rsidR="0070031C">
        <w:rPr>
          <w:rFonts w:ascii="Times New Roman" w:hAnsi="Times New Roman"/>
          <w:sz w:val="22"/>
          <w:szCs w:val="22"/>
        </w:rPr>
        <w:t xml:space="preserve">potentially </w:t>
      </w:r>
      <w:r>
        <w:rPr>
          <w:rFonts w:ascii="Times New Roman" w:hAnsi="Times New Roman"/>
          <w:sz w:val="22"/>
          <w:szCs w:val="22"/>
        </w:rPr>
        <w:t>greater number of researchers eligible to obtain an authorisation to access personal information</w:t>
      </w:r>
      <w:r w:rsidR="003C1955">
        <w:rPr>
          <w:rFonts w:ascii="Times New Roman" w:hAnsi="Times New Roman"/>
          <w:sz w:val="22"/>
          <w:szCs w:val="22"/>
        </w:rPr>
        <w:t xml:space="preserve"> contained in </w:t>
      </w:r>
      <w:r w:rsidR="003C1955">
        <w:rPr>
          <w:rFonts w:ascii="Times New Roman" w:hAnsi="Times New Roman"/>
          <w:sz w:val="22"/>
          <w:szCs w:val="22"/>
        </w:rPr>
        <w:lastRenderedPageBreak/>
        <w:t>the IPND</w:t>
      </w:r>
      <w:r w:rsidR="000E1D10" w:rsidRPr="000E1D10">
        <w:rPr>
          <w:rFonts w:ascii="Times New Roman" w:hAnsi="Times New Roman"/>
          <w:sz w:val="22"/>
          <w:szCs w:val="22"/>
        </w:rPr>
        <w:t xml:space="preserve">.  </w:t>
      </w:r>
      <w:r w:rsidR="00177CC0">
        <w:rPr>
          <w:rFonts w:ascii="Times New Roman" w:hAnsi="Times New Roman"/>
          <w:sz w:val="22"/>
          <w:szCs w:val="22"/>
        </w:rPr>
        <w:t xml:space="preserve">As set out above, section 285 of the Act sets out an exception to the prohibition on </w:t>
      </w:r>
      <w:r w:rsidR="00177CC0" w:rsidRPr="00177CC0">
        <w:rPr>
          <w:rFonts w:ascii="Times New Roman" w:hAnsi="Times New Roman"/>
          <w:sz w:val="22"/>
          <w:szCs w:val="22"/>
        </w:rPr>
        <w:t>the disclosure or use of information obtained by carriers</w:t>
      </w:r>
      <w:r w:rsidR="003C1955">
        <w:rPr>
          <w:rFonts w:ascii="Times New Roman" w:hAnsi="Times New Roman"/>
          <w:sz w:val="22"/>
          <w:szCs w:val="22"/>
        </w:rPr>
        <w:t xml:space="preserve"> and carriage service providers</w:t>
      </w:r>
      <w:r w:rsidR="00177CC0" w:rsidRPr="00177CC0">
        <w:rPr>
          <w:rFonts w:ascii="Times New Roman" w:hAnsi="Times New Roman"/>
          <w:sz w:val="22"/>
          <w:szCs w:val="22"/>
        </w:rPr>
        <w:t xml:space="preserve"> in the course of providing their services</w:t>
      </w:r>
      <w:r w:rsidR="00177CC0">
        <w:rPr>
          <w:rFonts w:ascii="Times New Roman" w:hAnsi="Times New Roman"/>
          <w:sz w:val="22"/>
          <w:szCs w:val="22"/>
        </w:rPr>
        <w:t xml:space="preserve">.  The exception </w:t>
      </w:r>
      <w:r w:rsidR="00177CC0" w:rsidRPr="00177CC0">
        <w:rPr>
          <w:rFonts w:ascii="Times New Roman" w:hAnsi="Times New Roman"/>
          <w:sz w:val="22"/>
          <w:szCs w:val="22"/>
        </w:rPr>
        <w:t xml:space="preserve">permits disclosure </w:t>
      </w:r>
      <w:r w:rsidR="00652D36">
        <w:rPr>
          <w:rFonts w:ascii="Times New Roman" w:hAnsi="Times New Roman"/>
          <w:sz w:val="22"/>
          <w:szCs w:val="22"/>
        </w:rPr>
        <w:t xml:space="preserve">to, and use by, </w:t>
      </w:r>
      <w:r w:rsidR="00177CC0" w:rsidRPr="00177CC0">
        <w:rPr>
          <w:rFonts w:ascii="Times New Roman" w:hAnsi="Times New Roman"/>
          <w:sz w:val="22"/>
          <w:szCs w:val="22"/>
        </w:rPr>
        <w:t>a person who holds an authorisation granted by the ACMA to receive IPND information</w:t>
      </w:r>
      <w:r w:rsidR="00177CC0">
        <w:rPr>
          <w:rFonts w:ascii="Times New Roman" w:hAnsi="Times New Roman"/>
          <w:sz w:val="22"/>
          <w:szCs w:val="22"/>
        </w:rPr>
        <w:t xml:space="preserve">. </w:t>
      </w:r>
    </w:p>
    <w:p w14:paraId="592CA402" w14:textId="5E167210" w:rsidR="006204E8" w:rsidRPr="00D25FC1" w:rsidRDefault="00C224F1" w:rsidP="006204E8">
      <w:pPr>
        <w:pStyle w:val="ListBullet"/>
        <w:numPr>
          <w:ilvl w:val="0"/>
          <w:numId w:val="0"/>
        </w:numPr>
        <w:rPr>
          <w:rFonts w:ascii="Times New Roman" w:hAnsi="Times New Roman"/>
          <w:sz w:val="22"/>
          <w:szCs w:val="22"/>
        </w:rPr>
      </w:pPr>
      <w:r>
        <w:rPr>
          <w:rFonts w:ascii="Times New Roman" w:hAnsi="Times New Roman"/>
          <w:sz w:val="22"/>
          <w:szCs w:val="22"/>
        </w:rPr>
        <w:t>B</w:t>
      </w:r>
      <w:r w:rsidR="00C23268">
        <w:rPr>
          <w:rFonts w:ascii="Times New Roman" w:hAnsi="Times New Roman"/>
          <w:sz w:val="22"/>
          <w:szCs w:val="22"/>
        </w:rPr>
        <w:t>oth the Act and the i</w:t>
      </w:r>
      <w:r w:rsidR="005B33FF">
        <w:rPr>
          <w:rFonts w:ascii="Times New Roman" w:hAnsi="Times New Roman"/>
          <w:sz w:val="22"/>
          <w:szCs w:val="22"/>
        </w:rPr>
        <w:t>nstrument</w:t>
      </w:r>
      <w:r w:rsidR="006204E8" w:rsidRPr="006204E8">
        <w:rPr>
          <w:rFonts w:ascii="Times New Roman" w:hAnsi="Times New Roman"/>
          <w:sz w:val="22"/>
          <w:szCs w:val="22"/>
        </w:rPr>
        <w:t xml:space="preserve"> </w:t>
      </w:r>
      <w:r>
        <w:rPr>
          <w:rFonts w:ascii="Times New Roman" w:hAnsi="Times New Roman"/>
          <w:sz w:val="22"/>
          <w:szCs w:val="22"/>
        </w:rPr>
        <w:t xml:space="preserve">contain a number of protections intended to limit the disclosure and use of IPND information.  </w:t>
      </w:r>
      <w:r w:rsidR="00817C05">
        <w:rPr>
          <w:rFonts w:ascii="Times New Roman" w:hAnsi="Times New Roman"/>
          <w:sz w:val="22"/>
          <w:szCs w:val="22"/>
        </w:rPr>
        <w:t>In particular, c</w:t>
      </w:r>
      <w:r w:rsidR="00817C05" w:rsidRPr="00817C05">
        <w:rPr>
          <w:rFonts w:ascii="Times New Roman" w:hAnsi="Times New Roman"/>
          <w:sz w:val="22"/>
          <w:szCs w:val="22"/>
        </w:rPr>
        <w:t>riminal offences apply</w:t>
      </w:r>
      <w:r w:rsidR="00652D36">
        <w:rPr>
          <w:rFonts w:ascii="Times New Roman" w:hAnsi="Times New Roman"/>
          <w:sz w:val="22"/>
          <w:szCs w:val="22"/>
        </w:rPr>
        <w:t xml:space="preserve"> under the Act</w:t>
      </w:r>
      <w:r w:rsidR="00817C05" w:rsidRPr="00817C05">
        <w:rPr>
          <w:rFonts w:ascii="Times New Roman" w:hAnsi="Times New Roman"/>
          <w:sz w:val="22"/>
          <w:szCs w:val="22"/>
        </w:rPr>
        <w:t xml:space="preserve"> if an authorised person uses or discloses IPND information for a purpose other than the purpose for which the IPND information was disclosed or if the person fails to comply with a condition of an authorisation.</w:t>
      </w:r>
      <w:r w:rsidR="00F758C2">
        <w:rPr>
          <w:rStyle w:val="FootnoteReference"/>
          <w:sz w:val="22"/>
          <w:szCs w:val="22"/>
        </w:rPr>
        <w:footnoteReference w:id="27"/>
      </w:r>
      <w:r w:rsidR="00817C05" w:rsidRPr="00817C05">
        <w:rPr>
          <w:rFonts w:ascii="Times New Roman" w:hAnsi="Times New Roman"/>
          <w:sz w:val="22"/>
          <w:szCs w:val="22"/>
        </w:rPr>
        <w:t xml:space="preserve"> </w:t>
      </w:r>
    </w:p>
    <w:p w14:paraId="068C2D44" w14:textId="4A1D16C0" w:rsidR="00F758C2" w:rsidRDefault="00C224F1" w:rsidP="00F758C2">
      <w:pPr>
        <w:rPr>
          <w:rFonts w:ascii="Times New Roman" w:hAnsi="Times New Roman" w:cs="Times New Roman"/>
        </w:rPr>
      </w:pPr>
      <w:r>
        <w:rPr>
          <w:rFonts w:ascii="Times New Roman" w:hAnsi="Times New Roman" w:cs="Times New Roman"/>
        </w:rPr>
        <w:t>A</w:t>
      </w:r>
      <w:r w:rsidR="00177CC0">
        <w:rPr>
          <w:rFonts w:ascii="Times New Roman" w:hAnsi="Times New Roman" w:cs="Times New Roman"/>
        </w:rPr>
        <w:t xml:space="preserve"> number of ministerial instruments which supplement the instrument are also intended to protect </w:t>
      </w:r>
      <w:r>
        <w:rPr>
          <w:rFonts w:ascii="Times New Roman" w:hAnsi="Times New Roman" w:cs="Times New Roman"/>
        </w:rPr>
        <w:t xml:space="preserve">personal information contained in </w:t>
      </w:r>
      <w:r w:rsidR="00177CC0">
        <w:rPr>
          <w:rFonts w:ascii="Times New Roman" w:hAnsi="Times New Roman" w:cs="Times New Roman"/>
        </w:rPr>
        <w:t xml:space="preserve">IPND </w:t>
      </w:r>
      <w:r w:rsidR="00A67075">
        <w:rPr>
          <w:rFonts w:ascii="Times New Roman" w:hAnsi="Times New Roman" w:cs="Times New Roman"/>
        </w:rPr>
        <w:t>information</w:t>
      </w:r>
      <w:r w:rsidR="00177CC0">
        <w:rPr>
          <w:rFonts w:ascii="Times New Roman" w:hAnsi="Times New Roman" w:cs="Times New Roman"/>
        </w:rPr>
        <w:t xml:space="preserve">.  For example, the </w:t>
      </w:r>
      <w:r w:rsidR="00177CC0" w:rsidRPr="005B4E25">
        <w:rPr>
          <w:rFonts w:ascii="Times New Roman" w:hAnsi="Times New Roman" w:cs="Times New Roman"/>
        </w:rPr>
        <w:t xml:space="preserve">ACMA </w:t>
      </w:r>
      <w:r w:rsidR="00177CC0">
        <w:rPr>
          <w:rFonts w:ascii="Times New Roman" w:hAnsi="Times New Roman" w:cs="Times New Roman"/>
        </w:rPr>
        <w:t xml:space="preserve">is </w:t>
      </w:r>
      <w:r w:rsidR="00177CC0" w:rsidRPr="005B4E25">
        <w:rPr>
          <w:rFonts w:ascii="Times New Roman" w:hAnsi="Times New Roman" w:cs="Times New Roman"/>
        </w:rPr>
        <w:t xml:space="preserve">required to have regard to criteria specified by the Minister </w:t>
      </w:r>
      <w:r w:rsidR="00F758C2">
        <w:rPr>
          <w:rFonts w:ascii="Times New Roman" w:hAnsi="Times New Roman" w:cs="Times New Roman"/>
        </w:rPr>
        <w:t xml:space="preserve">in the </w:t>
      </w:r>
      <w:r w:rsidR="00F758C2" w:rsidRPr="00F758C2">
        <w:rPr>
          <w:rFonts w:ascii="Times New Roman" w:hAnsi="Times New Roman" w:cs="Times New Roman"/>
          <w:i/>
          <w:iCs/>
        </w:rPr>
        <w:t>Telecommunications (Integrated</w:t>
      </w:r>
      <w:r w:rsidR="00F758C2">
        <w:rPr>
          <w:rFonts w:ascii="Times New Roman" w:hAnsi="Times New Roman" w:cs="Times New Roman"/>
          <w:i/>
          <w:iCs/>
        </w:rPr>
        <w:t xml:space="preserve"> </w:t>
      </w:r>
      <w:r w:rsidR="00F758C2" w:rsidRPr="00F758C2">
        <w:rPr>
          <w:rFonts w:ascii="Times New Roman" w:hAnsi="Times New Roman" w:cs="Times New Roman"/>
          <w:i/>
          <w:iCs/>
        </w:rPr>
        <w:t>Public Number Database Scheme – Criteria for Deciding</w:t>
      </w:r>
      <w:r w:rsidR="00F758C2">
        <w:rPr>
          <w:rFonts w:ascii="Times New Roman" w:hAnsi="Times New Roman" w:cs="Times New Roman"/>
          <w:i/>
          <w:iCs/>
        </w:rPr>
        <w:t xml:space="preserve"> </w:t>
      </w:r>
      <w:r w:rsidR="00F758C2" w:rsidRPr="00F758C2">
        <w:rPr>
          <w:rFonts w:ascii="Times New Roman" w:hAnsi="Times New Roman" w:cs="Times New Roman"/>
          <w:i/>
          <w:iCs/>
        </w:rPr>
        <w:t>Authorisation Applications) Instrument 2007 (No. 1)</w:t>
      </w:r>
      <w:r w:rsidR="00F758C2" w:rsidRPr="00F758C2">
        <w:rPr>
          <w:rFonts w:ascii="Times New Roman" w:hAnsi="Times New Roman" w:cs="Times New Roman"/>
        </w:rPr>
        <w:t xml:space="preserve"> </w:t>
      </w:r>
      <w:r w:rsidR="00177CC0" w:rsidRPr="005B4E25">
        <w:rPr>
          <w:rFonts w:ascii="Times New Roman" w:hAnsi="Times New Roman" w:cs="Times New Roman"/>
        </w:rPr>
        <w:t xml:space="preserve">when considering an authorisation application.  </w:t>
      </w:r>
      <w:r w:rsidR="00F758C2">
        <w:rPr>
          <w:rFonts w:ascii="Times New Roman" w:hAnsi="Times New Roman" w:cs="Times New Roman"/>
        </w:rPr>
        <w:t xml:space="preserve">Amongst these criteria for the ACMA </w:t>
      </w:r>
      <w:r w:rsidR="001B52E9">
        <w:rPr>
          <w:rFonts w:ascii="Times New Roman" w:hAnsi="Times New Roman" w:cs="Times New Roman"/>
        </w:rPr>
        <w:t xml:space="preserve">to apply </w:t>
      </w:r>
      <w:r w:rsidR="00F758C2">
        <w:rPr>
          <w:rFonts w:ascii="Times New Roman" w:hAnsi="Times New Roman" w:cs="Times New Roman"/>
        </w:rPr>
        <w:t xml:space="preserve">when deciding an application for authorisation </w:t>
      </w:r>
      <w:r w:rsidR="001B52E9">
        <w:rPr>
          <w:rFonts w:ascii="Times New Roman" w:hAnsi="Times New Roman" w:cs="Times New Roman"/>
        </w:rPr>
        <w:t>is</w:t>
      </w:r>
      <w:r w:rsidR="00F758C2">
        <w:rPr>
          <w:rFonts w:ascii="Times New Roman" w:hAnsi="Times New Roman" w:cs="Times New Roman"/>
        </w:rPr>
        <w:t xml:space="preserve"> a requirement to consider what </w:t>
      </w:r>
      <w:r w:rsidR="00F758C2" w:rsidRPr="00F758C2">
        <w:rPr>
          <w:rFonts w:ascii="Times New Roman" w:hAnsi="Times New Roman" w:cs="Times New Roman"/>
        </w:rPr>
        <w:t>processes the</w:t>
      </w:r>
      <w:r w:rsidR="00F758C2">
        <w:rPr>
          <w:rFonts w:ascii="Times New Roman" w:hAnsi="Times New Roman" w:cs="Times New Roman"/>
        </w:rPr>
        <w:t xml:space="preserve"> </w:t>
      </w:r>
      <w:r w:rsidR="00F758C2" w:rsidRPr="00F758C2">
        <w:rPr>
          <w:rFonts w:ascii="Times New Roman" w:hAnsi="Times New Roman" w:cs="Times New Roman"/>
        </w:rPr>
        <w:t>applicant has in place, or intends to put in place,</w:t>
      </w:r>
      <w:r w:rsidR="00F758C2">
        <w:rPr>
          <w:rFonts w:ascii="Times New Roman" w:hAnsi="Times New Roman" w:cs="Times New Roman"/>
        </w:rPr>
        <w:t xml:space="preserve"> </w:t>
      </w:r>
      <w:r w:rsidR="00F758C2" w:rsidRPr="00F758C2">
        <w:rPr>
          <w:rFonts w:ascii="Times New Roman" w:hAnsi="Times New Roman" w:cs="Times New Roman"/>
        </w:rPr>
        <w:t>to protect the privacy and security of</w:t>
      </w:r>
      <w:r w:rsidR="00F758C2">
        <w:rPr>
          <w:rFonts w:ascii="Times New Roman" w:hAnsi="Times New Roman" w:cs="Times New Roman"/>
        </w:rPr>
        <w:t xml:space="preserve"> IPND information.</w:t>
      </w:r>
      <w:r w:rsidR="001B52E9">
        <w:rPr>
          <w:rStyle w:val="FootnoteReference"/>
          <w:rFonts w:cs="Times New Roman"/>
        </w:rPr>
        <w:footnoteReference w:id="28"/>
      </w:r>
    </w:p>
    <w:p w14:paraId="3683A6D7" w14:textId="58FE8EFA" w:rsidR="008737D6" w:rsidRDefault="00177CC0" w:rsidP="00F758C2">
      <w:pPr>
        <w:rPr>
          <w:rFonts w:ascii="Times New Roman" w:hAnsi="Times New Roman" w:cs="Times New Roman"/>
        </w:rPr>
      </w:pPr>
      <w:r w:rsidRPr="005B4E25">
        <w:rPr>
          <w:rFonts w:ascii="Times New Roman" w:hAnsi="Times New Roman" w:cs="Times New Roman"/>
        </w:rPr>
        <w:t xml:space="preserve">The Minister </w:t>
      </w:r>
      <w:r>
        <w:rPr>
          <w:rFonts w:ascii="Times New Roman" w:hAnsi="Times New Roman" w:cs="Times New Roman"/>
        </w:rPr>
        <w:t xml:space="preserve">is also </w:t>
      </w:r>
      <w:r w:rsidRPr="005B4E25">
        <w:rPr>
          <w:rFonts w:ascii="Times New Roman" w:hAnsi="Times New Roman" w:cs="Times New Roman"/>
        </w:rPr>
        <w:t>able</w:t>
      </w:r>
      <w:r>
        <w:rPr>
          <w:rFonts w:ascii="Times New Roman" w:hAnsi="Times New Roman" w:cs="Times New Roman"/>
        </w:rPr>
        <w:t xml:space="preserve"> to, and has specified, </w:t>
      </w:r>
      <w:r w:rsidRPr="005B4E25">
        <w:rPr>
          <w:rFonts w:ascii="Times New Roman" w:hAnsi="Times New Roman" w:cs="Times New Roman"/>
        </w:rPr>
        <w:t xml:space="preserve">in </w:t>
      </w:r>
      <w:r w:rsidR="00F758C2">
        <w:rPr>
          <w:rFonts w:ascii="Times New Roman" w:hAnsi="Times New Roman" w:cs="Times New Roman"/>
        </w:rPr>
        <w:t xml:space="preserve">the </w:t>
      </w:r>
      <w:r w:rsidR="00F758C2" w:rsidRPr="00F758C2">
        <w:rPr>
          <w:rFonts w:ascii="Times New Roman" w:hAnsi="Times New Roman" w:cs="Times New Roman"/>
          <w:i/>
          <w:iCs/>
        </w:rPr>
        <w:t>Telecommunications (Integrated</w:t>
      </w:r>
      <w:r w:rsidR="00F758C2">
        <w:rPr>
          <w:rFonts w:ascii="Times New Roman" w:hAnsi="Times New Roman" w:cs="Times New Roman"/>
          <w:i/>
          <w:iCs/>
        </w:rPr>
        <w:t xml:space="preserve"> </w:t>
      </w:r>
      <w:r w:rsidR="00F758C2" w:rsidRPr="00F758C2">
        <w:rPr>
          <w:rFonts w:ascii="Times New Roman" w:hAnsi="Times New Roman" w:cs="Times New Roman"/>
          <w:i/>
          <w:iCs/>
        </w:rPr>
        <w:t>Public Number Database Scheme – Conditions for</w:t>
      </w:r>
      <w:r w:rsidR="00F758C2">
        <w:rPr>
          <w:rFonts w:ascii="Times New Roman" w:hAnsi="Times New Roman" w:cs="Times New Roman"/>
          <w:i/>
          <w:iCs/>
        </w:rPr>
        <w:t xml:space="preserve"> </w:t>
      </w:r>
      <w:r w:rsidR="00F758C2" w:rsidRPr="00F758C2">
        <w:rPr>
          <w:rFonts w:ascii="Times New Roman" w:hAnsi="Times New Roman" w:cs="Times New Roman"/>
          <w:i/>
          <w:iCs/>
        </w:rPr>
        <w:t>Authorisations) Determination 2007 (No. 1)</w:t>
      </w:r>
      <w:r w:rsidRPr="005B4E25">
        <w:rPr>
          <w:rFonts w:ascii="Times New Roman" w:hAnsi="Times New Roman" w:cs="Times New Roman"/>
        </w:rPr>
        <w:t>, conditions that apply to all authorisations or particular kinds of authorisations.</w:t>
      </w:r>
      <w:r w:rsidR="00F758C2">
        <w:rPr>
          <w:rFonts w:ascii="Times New Roman" w:hAnsi="Times New Roman" w:cs="Times New Roman"/>
        </w:rPr>
        <w:t xml:space="preserve">  Those conditions include</w:t>
      </w:r>
      <w:r w:rsidR="008737D6">
        <w:rPr>
          <w:rFonts w:ascii="Times New Roman" w:hAnsi="Times New Roman" w:cs="Times New Roman"/>
        </w:rPr>
        <w:t>:</w:t>
      </w:r>
    </w:p>
    <w:p w14:paraId="7A706A1D" w14:textId="77777777" w:rsidR="008737D6" w:rsidRPr="00A67075" w:rsidRDefault="00F758C2" w:rsidP="00362B2C">
      <w:pPr>
        <w:pStyle w:val="ListParagraph"/>
        <w:numPr>
          <w:ilvl w:val="0"/>
          <w:numId w:val="24"/>
        </w:numPr>
        <w:rPr>
          <w:rFonts w:ascii="Times New Roman" w:hAnsi="Times New Roman"/>
        </w:rPr>
      </w:pPr>
      <w:r w:rsidRPr="00362B2C">
        <w:rPr>
          <w:rFonts w:ascii="Times New Roman" w:hAnsi="Times New Roman" w:cs="Times New Roman"/>
        </w:rPr>
        <w:t>privacy based limitations on the transfer of IPND information overseas;</w:t>
      </w:r>
    </w:p>
    <w:p w14:paraId="079FDFAE" w14:textId="41E25752" w:rsidR="008737D6" w:rsidRPr="00A67075" w:rsidRDefault="00F758C2" w:rsidP="00362B2C">
      <w:pPr>
        <w:pStyle w:val="ListParagraph"/>
        <w:numPr>
          <w:ilvl w:val="0"/>
          <w:numId w:val="24"/>
        </w:numPr>
        <w:rPr>
          <w:rFonts w:ascii="Times New Roman" w:hAnsi="Times New Roman"/>
        </w:rPr>
      </w:pPr>
      <w:r w:rsidRPr="00362B2C">
        <w:rPr>
          <w:rFonts w:ascii="Times New Roman" w:hAnsi="Times New Roman" w:cs="Times New Roman"/>
        </w:rPr>
        <w:t>requirements to safeguard IPND i</w:t>
      </w:r>
      <w:r w:rsidR="008737D6">
        <w:rPr>
          <w:rFonts w:ascii="Times New Roman" w:hAnsi="Times New Roman" w:cs="Times New Roman"/>
        </w:rPr>
        <w:t>nformation including notifying specified breaches of security to the ACMA and to the IPND Manager;</w:t>
      </w:r>
    </w:p>
    <w:p w14:paraId="7FC4E325" w14:textId="77777777" w:rsidR="008737D6" w:rsidRPr="00A67075" w:rsidRDefault="008737D6" w:rsidP="00362B2C">
      <w:pPr>
        <w:pStyle w:val="ListParagraph"/>
        <w:numPr>
          <w:ilvl w:val="0"/>
          <w:numId w:val="24"/>
        </w:numPr>
        <w:rPr>
          <w:rFonts w:ascii="Times New Roman" w:hAnsi="Times New Roman"/>
        </w:rPr>
      </w:pPr>
      <w:r>
        <w:rPr>
          <w:rFonts w:ascii="Times New Roman" w:hAnsi="Times New Roman" w:cs="Times New Roman"/>
        </w:rPr>
        <w:t>requirements to securely dispose of IPND information; and</w:t>
      </w:r>
    </w:p>
    <w:p w14:paraId="17B46D5C" w14:textId="38BFF4BF" w:rsidR="00177CC0" w:rsidRPr="00362B2C" w:rsidRDefault="008737D6" w:rsidP="00362B2C">
      <w:pPr>
        <w:pStyle w:val="ListParagraph"/>
        <w:numPr>
          <w:ilvl w:val="0"/>
          <w:numId w:val="24"/>
        </w:numPr>
        <w:rPr>
          <w:rFonts w:ascii="Times New Roman" w:hAnsi="Times New Roman"/>
        </w:rPr>
      </w:pPr>
      <w:r>
        <w:rPr>
          <w:rFonts w:ascii="Times New Roman" w:hAnsi="Times New Roman" w:cs="Times New Roman"/>
        </w:rPr>
        <w:t xml:space="preserve">requiring authorisation holders to ensure that any contractors </w:t>
      </w:r>
      <w:r w:rsidR="002C445D">
        <w:rPr>
          <w:rFonts w:ascii="Times New Roman" w:hAnsi="Times New Roman" w:cs="Times New Roman"/>
        </w:rPr>
        <w:t>only use or disclose IPN</w:t>
      </w:r>
      <w:r>
        <w:rPr>
          <w:rFonts w:ascii="Times New Roman" w:hAnsi="Times New Roman" w:cs="Times New Roman"/>
        </w:rPr>
        <w:t>D information for an authorised purpose.</w:t>
      </w:r>
    </w:p>
    <w:p w14:paraId="562FEEC0" w14:textId="669C7A42" w:rsidR="005B33FF" w:rsidRDefault="006204E8" w:rsidP="0085628D">
      <w:pPr>
        <w:pStyle w:val="ListBullet"/>
        <w:numPr>
          <w:ilvl w:val="0"/>
          <w:numId w:val="0"/>
        </w:numPr>
        <w:rPr>
          <w:rFonts w:ascii="Times New Roman" w:hAnsi="Times New Roman"/>
          <w:sz w:val="22"/>
          <w:szCs w:val="22"/>
        </w:rPr>
      </w:pPr>
      <w:r>
        <w:rPr>
          <w:rFonts w:ascii="Times New Roman" w:hAnsi="Times New Roman"/>
          <w:sz w:val="22"/>
          <w:szCs w:val="22"/>
        </w:rPr>
        <w:t xml:space="preserve">The </w:t>
      </w:r>
      <w:r w:rsidR="00C224F1">
        <w:rPr>
          <w:rFonts w:ascii="Times New Roman" w:hAnsi="Times New Roman"/>
          <w:sz w:val="22"/>
          <w:szCs w:val="22"/>
        </w:rPr>
        <w:t xml:space="preserve">instrument has also been drafted to include </w:t>
      </w:r>
      <w:r>
        <w:rPr>
          <w:rFonts w:ascii="Times New Roman" w:hAnsi="Times New Roman"/>
          <w:sz w:val="22"/>
          <w:szCs w:val="22"/>
        </w:rPr>
        <w:t>key additional privacy safeguards</w:t>
      </w:r>
      <w:r w:rsidR="00C224F1">
        <w:rPr>
          <w:rFonts w:ascii="Times New Roman" w:hAnsi="Times New Roman"/>
          <w:sz w:val="22"/>
          <w:szCs w:val="22"/>
        </w:rPr>
        <w:t xml:space="preserve">.  </w:t>
      </w:r>
      <w:r w:rsidR="00817C05">
        <w:rPr>
          <w:rFonts w:ascii="Times New Roman" w:hAnsi="Times New Roman"/>
          <w:sz w:val="22"/>
          <w:szCs w:val="22"/>
        </w:rPr>
        <w:t xml:space="preserve">For example, </w:t>
      </w:r>
      <w:r w:rsidR="00C224F1">
        <w:rPr>
          <w:rFonts w:ascii="Times New Roman" w:hAnsi="Times New Roman"/>
          <w:sz w:val="22"/>
          <w:szCs w:val="22"/>
        </w:rPr>
        <w:t xml:space="preserve">under the instrument </w:t>
      </w:r>
      <w:r w:rsidR="0025102F">
        <w:rPr>
          <w:rFonts w:ascii="Times New Roman" w:hAnsi="Times New Roman"/>
          <w:sz w:val="22"/>
          <w:szCs w:val="22"/>
        </w:rPr>
        <w:t>all research entities and their members</w:t>
      </w:r>
      <w:r w:rsidR="0085628D">
        <w:rPr>
          <w:rFonts w:ascii="Times New Roman" w:hAnsi="Times New Roman"/>
          <w:sz w:val="22"/>
          <w:szCs w:val="22"/>
        </w:rPr>
        <w:t xml:space="preserve">: </w:t>
      </w:r>
    </w:p>
    <w:p w14:paraId="6521C866" w14:textId="6072AFEC" w:rsidR="0085628D" w:rsidRPr="006D0604" w:rsidRDefault="00C224F1" w:rsidP="00362B2C">
      <w:pPr>
        <w:pStyle w:val="ListBullet"/>
        <w:numPr>
          <w:ilvl w:val="0"/>
          <w:numId w:val="21"/>
        </w:numPr>
        <w:rPr>
          <w:rFonts w:ascii="Times New Roman" w:hAnsi="Times New Roman"/>
          <w:sz w:val="22"/>
          <w:szCs w:val="22"/>
        </w:rPr>
      </w:pPr>
      <w:r>
        <w:rPr>
          <w:rFonts w:ascii="Times New Roman" w:hAnsi="Times New Roman"/>
          <w:sz w:val="22"/>
          <w:szCs w:val="22"/>
        </w:rPr>
        <w:t xml:space="preserve">are </w:t>
      </w:r>
      <w:r w:rsidR="006D0604" w:rsidRPr="006D0604">
        <w:rPr>
          <w:rFonts w:ascii="Times New Roman" w:hAnsi="Times New Roman"/>
          <w:sz w:val="22"/>
          <w:szCs w:val="22"/>
        </w:rPr>
        <w:t xml:space="preserve">subject to the </w:t>
      </w:r>
      <w:r w:rsidR="006D0604" w:rsidRPr="006D0604">
        <w:rPr>
          <w:rFonts w:ascii="Times New Roman" w:hAnsi="Times New Roman"/>
          <w:i/>
          <w:sz w:val="22"/>
          <w:szCs w:val="22"/>
        </w:rPr>
        <w:t>Privacy Act 1988</w:t>
      </w:r>
      <w:r w:rsidR="006D0604" w:rsidRPr="006D0604">
        <w:rPr>
          <w:rFonts w:ascii="Times New Roman" w:hAnsi="Times New Roman"/>
          <w:sz w:val="22"/>
          <w:szCs w:val="22"/>
        </w:rPr>
        <w:t xml:space="preserve"> (</w:t>
      </w:r>
      <w:r w:rsidR="006D0604" w:rsidRPr="006D0604">
        <w:rPr>
          <w:rFonts w:ascii="Times New Roman" w:hAnsi="Times New Roman"/>
          <w:b/>
          <w:sz w:val="22"/>
          <w:szCs w:val="22"/>
        </w:rPr>
        <w:t>Privacy Act</w:t>
      </w:r>
      <w:r w:rsidR="006D0604" w:rsidRPr="006D0604">
        <w:rPr>
          <w:rFonts w:ascii="Times New Roman" w:hAnsi="Times New Roman"/>
          <w:sz w:val="22"/>
          <w:szCs w:val="22"/>
        </w:rPr>
        <w:t xml:space="preserve">). If a research entity is not an organisation </w:t>
      </w:r>
      <w:r w:rsidR="006204E8" w:rsidRPr="006D0604">
        <w:rPr>
          <w:rFonts w:ascii="Times New Roman" w:hAnsi="Times New Roman"/>
          <w:sz w:val="22"/>
          <w:szCs w:val="22"/>
        </w:rPr>
        <w:t>within the meaning of the Privacy Act</w:t>
      </w:r>
      <w:r w:rsidR="006D0604" w:rsidRPr="006D0604">
        <w:rPr>
          <w:rFonts w:ascii="Times New Roman" w:hAnsi="Times New Roman"/>
          <w:sz w:val="22"/>
          <w:szCs w:val="22"/>
        </w:rPr>
        <w:t>, it will be required to</w:t>
      </w:r>
      <w:r w:rsidR="006204E8" w:rsidRPr="006D0604">
        <w:rPr>
          <w:rFonts w:ascii="Times New Roman" w:hAnsi="Times New Roman"/>
          <w:sz w:val="22"/>
          <w:szCs w:val="22"/>
        </w:rPr>
        <w:t xml:space="preserve"> opt-in under section 6EA </w:t>
      </w:r>
      <w:r w:rsidR="00652D36">
        <w:rPr>
          <w:rFonts w:ascii="Times New Roman" w:hAnsi="Times New Roman"/>
          <w:sz w:val="22"/>
          <w:szCs w:val="22"/>
        </w:rPr>
        <w:t xml:space="preserve">of the Privacy Act </w:t>
      </w:r>
      <w:r w:rsidR="006204E8" w:rsidRPr="006D0604">
        <w:rPr>
          <w:rFonts w:ascii="Times New Roman" w:hAnsi="Times New Roman"/>
          <w:sz w:val="22"/>
          <w:szCs w:val="22"/>
        </w:rPr>
        <w:t xml:space="preserve">to be an entity whose name is entered in the register </w:t>
      </w:r>
      <w:r w:rsidR="006204E8" w:rsidRPr="006D0604">
        <w:rPr>
          <w:rFonts w:ascii="Times New Roman" w:hAnsi="Times New Roman"/>
          <w:sz w:val="22"/>
          <w:szCs w:val="22"/>
        </w:rPr>
        <w:lastRenderedPageBreak/>
        <w:t>of small business operators who have chosen to be treated as organisations within the meaning of the Privacy Act</w:t>
      </w:r>
      <w:r w:rsidR="00817C05">
        <w:rPr>
          <w:rFonts w:ascii="Times New Roman" w:hAnsi="Times New Roman"/>
          <w:sz w:val="22"/>
          <w:szCs w:val="22"/>
        </w:rPr>
        <w:t>;</w:t>
      </w:r>
      <w:r w:rsidR="006204E8" w:rsidRPr="006D0604">
        <w:rPr>
          <w:rFonts w:ascii="Times New Roman" w:hAnsi="Times New Roman"/>
          <w:sz w:val="22"/>
          <w:szCs w:val="22"/>
        </w:rPr>
        <w:t xml:space="preserve">  </w:t>
      </w:r>
    </w:p>
    <w:p w14:paraId="278C853B" w14:textId="1E36CB3A" w:rsidR="006D0604" w:rsidRPr="006D0604" w:rsidRDefault="00C224F1" w:rsidP="00362B2C">
      <w:pPr>
        <w:pStyle w:val="ListBullet"/>
        <w:numPr>
          <w:ilvl w:val="0"/>
          <w:numId w:val="21"/>
        </w:numPr>
        <w:rPr>
          <w:rFonts w:ascii="Times New Roman" w:hAnsi="Times New Roman"/>
          <w:sz w:val="22"/>
          <w:szCs w:val="22"/>
        </w:rPr>
      </w:pPr>
      <w:r>
        <w:rPr>
          <w:rFonts w:ascii="Times New Roman" w:hAnsi="Times New Roman"/>
          <w:sz w:val="22"/>
          <w:szCs w:val="22"/>
        </w:rPr>
        <w:t>must n</w:t>
      </w:r>
      <w:r w:rsidR="006D0604" w:rsidRPr="006D0604">
        <w:rPr>
          <w:rFonts w:ascii="Times New Roman" w:hAnsi="Times New Roman"/>
          <w:sz w:val="22"/>
          <w:szCs w:val="22"/>
        </w:rPr>
        <w:t>ot add other information or data to IPND customer data without the express consent of the customer, preventing a customer being identified</w:t>
      </w:r>
      <w:r w:rsidR="00817C05">
        <w:rPr>
          <w:rFonts w:ascii="Times New Roman" w:hAnsi="Times New Roman"/>
          <w:sz w:val="22"/>
          <w:szCs w:val="22"/>
        </w:rPr>
        <w:t>;</w:t>
      </w:r>
    </w:p>
    <w:p w14:paraId="127FE92E" w14:textId="4207F37F" w:rsidR="006204E8" w:rsidRDefault="00652D36" w:rsidP="00362B2C">
      <w:pPr>
        <w:pStyle w:val="ListBullet"/>
        <w:numPr>
          <w:ilvl w:val="0"/>
          <w:numId w:val="21"/>
        </w:numPr>
        <w:rPr>
          <w:rFonts w:ascii="Times New Roman" w:hAnsi="Times New Roman"/>
          <w:sz w:val="22"/>
          <w:szCs w:val="22"/>
        </w:rPr>
      </w:pPr>
      <w:r>
        <w:rPr>
          <w:rFonts w:ascii="Times New Roman" w:hAnsi="Times New Roman"/>
          <w:sz w:val="22"/>
          <w:szCs w:val="22"/>
        </w:rPr>
        <w:t>m</w:t>
      </w:r>
      <w:r w:rsidR="00C224F1">
        <w:rPr>
          <w:rFonts w:ascii="Times New Roman" w:hAnsi="Times New Roman"/>
          <w:sz w:val="22"/>
          <w:szCs w:val="22"/>
        </w:rPr>
        <w:t>ust s</w:t>
      </w:r>
      <w:r w:rsidR="006D0604" w:rsidRPr="006D0604">
        <w:rPr>
          <w:rFonts w:ascii="Times New Roman" w:hAnsi="Times New Roman"/>
          <w:sz w:val="22"/>
          <w:szCs w:val="22"/>
        </w:rPr>
        <w:t>ecurely destroy data if a customer has been identified or take steps to ensure that the customer cannot be identified again</w:t>
      </w:r>
      <w:r w:rsidR="00817C05">
        <w:rPr>
          <w:rFonts w:ascii="Times New Roman" w:hAnsi="Times New Roman"/>
          <w:sz w:val="22"/>
          <w:szCs w:val="22"/>
        </w:rPr>
        <w:t>;</w:t>
      </w:r>
      <w:r w:rsidR="006D0604" w:rsidRPr="006D0604">
        <w:rPr>
          <w:rFonts w:ascii="Times New Roman" w:hAnsi="Times New Roman"/>
          <w:sz w:val="22"/>
          <w:szCs w:val="22"/>
        </w:rPr>
        <w:t xml:space="preserve"> </w:t>
      </w:r>
      <w:r w:rsidR="00817C05">
        <w:rPr>
          <w:rFonts w:ascii="Times New Roman" w:hAnsi="Times New Roman"/>
          <w:sz w:val="22"/>
          <w:szCs w:val="22"/>
        </w:rPr>
        <w:t>and</w:t>
      </w:r>
      <w:r w:rsidR="006D0604" w:rsidRPr="006D0604">
        <w:rPr>
          <w:rFonts w:ascii="Times New Roman" w:hAnsi="Times New Roman"/>
          <w:sz w:val="22"/>
          <w:szCs w:val="22"/>
        </w:rPr>
        <w:t xml:space="preserve"> </w:t>
      </w:r>
    </w:p>
    <w:p w14:paraId="5F429B1E" w14:textId="70B461E7" w:rsidR="0025102F" w:rsidRPr="0025102F" w:rsidRDefault="00C224F1" w:rsidP="00362B2C">
      <w:pPr>
        <w:pStyle w:val="ListBullet"/>
        <w:numPr>
          <w:ilvl w:val="0"/>
          <w:numId w:val="21"/>
        </w:numPr>
        <w:rPr>
          <w:rFonts w:ascii="Times New Roman" w:hAnsi="Times New Roman"/>
          <w:sz w:val="22"/>
          <w:szCs w:val="22"/>
        </w:rPr>
      </w:pPr>
      <w:r>
        <w:rPr>
          <w:rFonts w:ascii="Times New Roman" w:hAnsi="Times New Roman"/>
          <w:sz w:val="22"/>
          <w:szCs w:val="22"/>
        </w:rPr>
        <w:t>are subject to a r</w:t>
      </w:r>
      <w:r w:rsidR="0025102F" w:rsidRPr="0025102F">
        <w:rPr>
          <w:rFonts w:ascii="Times New Roman" w:hAnsi="Times New Roman"/>
          <w:sz w:val="22"/>
          <w:szCs w:val="22"/>
        </w:rPr>
        <w:t xml:space="preserve">eview </w:t>
      </w:r>
      <w:r>
        <w:rPr>
          <w:rFonts w:ascii="Times New Roman" w:hAnsi="Times New Roman"/>
          <w:sz w:val="22"/>
          <w:szCs w:val="22"/>
        </w:rPr>
        <w:t xml:space="preserve">by the ACMA </w:t>
      </w:r>
      <w:r w:rsidR="0025102F" w:rsidRPr="0025102F">
        <w:rPr>
          <w:rFonts w:ascii="Times New Roman" w:hAnsi="Times New Roman"/>
          <w:sz w:val="22"/>
          <w:szCs w:val="22"/>
        </w:rPr>
        <w:t xml:space="preserve">every two years </w:t>
      </w:r>
      <w:r>
        <w:rPr>
          <w:rFonts w:ascii="Times New Roman" w:hAnsi="Times New Roman"/>
          <w:sz w:val="22"/>
          <w:szCs w:val="22"/>
        </w:rPr>
        <w:t xml:space="preserve">in circumstances where </w:t>
      </w:r>
      <w:r w:rsidR="0025102F" w:rsidRPr="0025102F">
        <w:rPr>
          <w:rFonts w:ascii="Times New Roman" w:hAnsi="Times New Roman"/>
          <w:sz w:val="22"/>
          <w:szCs w:val="22"/>
        </w:rPr>
        <w:t xml:space="preserve">a </w:t>
      </w:r>
      <w:r w:rsidR="00D370F2">
        <w:rPr>
          <w:rFonts w:ascii="Times New Roman" w:hAnsi="Times New Roman"/>
          <w:sz w:val="22"/>
          <w:szCs w:val="22"/>
        </w:rPr>
        <w:t>representative body for researchers</w:t>
      </w:r>
      <w:r w:rsidR="0025102F" w:rsidRPr="0025102F">
        <w:rPr>
          <w:rFonts w:ascii="Times New Roman" w:hAnsi="Times New Roman"/>
          <w:sz w:val="22"/>
          <w:szCs w:val="22"/>
        </w:rPr>
        <w:t xml:space="preserve"> </w:t>
      </w:r>
      <w:r>
        <w:rPr>
          <w:rFonts w:ascii="Times New Roman" w:hAnsi="Times New Roman"/>
          <w:sz w:val="22"/>
          <w:szCs w:val="22"/>
        </w:rPr>
        <w:t xml:space="preserve">or </w:t>
      </w:r>
      <w:r w:rsidR="00D370F2">
        <w:rPr>
          <w:rFonts w:ascii="Times New Roman" w:hAnsi="Times New Roman"/>
          <w:sz w:val="22"/>
          <w:szCs w:val="22"/>
        </w:rPr>
        <w:t xml:space="preserve">an </w:t>
      </w:r>
      <w:r>
        <w:rPr>
          <w:rFonts w:ascii="Times New Roman" w:hAnsi="Times New Roman"/>
          <w:sz w:val="22"/>
          <w:szCs w:val="22"/>
        </w:rPr>
        <w:t xml:space="preserve">individual researcher </w:t>
      </w:r>
      <w:r w:rsidR="0025102F" w:rsidRPr="0025102F">
        <w:rPr>
          <w:rFonts w:ascii="Times New Roman" w:hAnsi="Times New Roman"/>
          <w:sz w:val="22"/>
          <w:szCs w:val="22"/>
        </w:rPr>
        <w:t>holds an ongoing authorisation.</w:t>
      </w:r>
    </w:p>
    <w:p w14:paraId="0A12246D" w14:textId="2AA2A122" w:rsidR="00794C5F" w:rsidRDefault="00F37004" w:rsidP="0025102F">
      <w:r>
        <w:rPr>
          <w:rFonts w:ascii="Times New Roman" w:hAnsi="Times New Roman" w:cs="Times New Roman"/>
        </w:rPr>
        <w:t>The</w:t>
      </w:r>
      <w:r w:rsidR="00C224F1">
        <w:rPr>
          <w:rFonts w:ascii="Times New Roman" w:hAnsi="Times New Roman" w:cs="Times New Roman"/>
        </w:rPr>
        <w:t xml:space="preserve">se legal and practical protections ensure that IPND information is used only for strictly prescribed purposes and in defined circumstances.  To the extent that the measures in the instrument limit the right to privacy, they are lawful and non-arbitrary.  The instrument, and the provisions it gives effect to in the Act, are reasonable, proportionate and permissibly limit the right to privacy in Article 17 of the ICCPR.  </w:t>
      </w:r>
    </w:p>
    <w:p w14:paraId="168B43BE" w14:textId="77777777" w:rsidR="008C584E" w:rsidRPr="00671216" w:rsidRDefault="008C584E" w:rsidP="007419E7">
      <w:pPr>
        <w:rPr>
          <w:rFonts w:ascii="Times New Roman" w:hAnsi="Times New Roman" w:cs="Times New Roman"/>
          <w:b/>
          <w:i/>
        </w:rPr>
      </w:pPr>
      <w:r w:rsidRPr="00671216">
        <w:rPr>
          <w:rFonts w:ascii="Times New Roman" w:hAnsi="Times New Roman" w:cs="Times New Roman"/>
          <w:b/>
          <w:i/>
        </w:rPr>
        <w:t>Conclusion</w:t>
      </w:r>
    </w:p>
    <w:p w14:paraId="77B27FD3" w14:textId="42A63594" w:rsidR="008C584E" w:rsidRDefault="008C584E" w:rsidP="007419E7">
      <w:pPr>
        <w:rPr>
          <w:rFonts w:ascii="Times New Roman" w:hAnsi="Times New Roman" w:cs="Times New Roman"/>
        </w:rPr>
      </w:pPr>
      <w:r>
        <w:rPr>
          <w:rFonts w:ascii="Times New Roman" w:hAnsi="Times New Roman" w:cs="Times New Roman"/>
        </w:rPr>
        <w:t xml:space="preserve">The </w:t>
      </w:r>
      <w:r w:rsidR="00652D36">
        <w:rPr>
          <w:rFonts w:ascii="Times New Roman" w:hAnsi="Times New Roman" w:cs="Times New Roman"/>
        </w:rPr>
        <w:t>i</w:t>
      </w:r>
      <w:r>
        <w:rPr>
          <w:rFonts w:ascii="Times New Roman" w:hAnsi="Times New Roman" w:cs="Times New Roman"/>
        </w:rPr>
        <w:t>nstrument is compatible with human rights</w:t>
      </w:r>
      <w:r w:rsidR="00C224F1">
        <w:rPr>
          <w:rFonts w:ascii="Times New Roman" w:hAnsi="Times New Roman" w:cs="Times New Roman"/>
        </w:rPr>
        <w:t xml:space="preserve">.  To the extent that it limits any human rights, those impacts are reasonable, necessary and proportionate.  </w:t>
      </w:r>
    </w:p>
    <w:p w14:paraId="458AF617" w14:textId="77777777" w:rsidR="00025ACE" w:rsidRPr="00BB076E" w:rsidRDefault="00025ACE" w:rsidP="007419E7">
      <w:pPr>
        <w:rPr>
          <w:rFonts w:ascii="Times New Roman" w:hAnsi="Times New Roman" w:cs="Times New Roman"/>
          <w:b/>
        </w:rPr>
      </w:pPr>
      <w:bookmarkStart w:id="2" w:name="_GoBack"/>
      <w:bookmarkEnd w:id="2"/>
    </w:p>
    <w:sectPr w:rsidR="00025ACE" w:rsidRPr="00BB076E" w:rsidSect="00082354">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7B69D" w14:textId="77777777" w:rsidR="008138D2" w:rsidRDefault="008138D2" w:rsidP="00025ACE">
      <w:pPr>
        <w:spacing w:after="0" w:line="240" w:lineRule="auto"/>
      </w:pPr>
      <w:r>
        <w:separator/>
      </w:r>
    </w:p>
  </w:endnote>
  <w:endnote w:type="continuationSeparator" w:id="0">
    <w:p w14:paraId="05466643" w14:textId="77777777" w:rsidR="008138D2" w:rsidRDefault="008138D2"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F32BCE" w:rsidRDefault="00F32BCE" w:rsidP="00AD3414">
        <w:pPr>
          <w:pStyle w:val="Footer"/>
          <w:pBdr>
            <w:top w:val="single" w:sz="4" w:space="1" w:color="auto"/>
          </w:pBdr>
          <w:jc w:val="center"/>
        </w:pPr>
      </w:p>
      <w:p w14:paraId="7A9CDA51" w14:textId="7C7DAA64" w:rsidR="00F32BCE" w:rsidRPr="00AD3414" w:rsidRDefault="00F32BCE"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Telecommunications Integrated Public Number Database Scheme 2017</w:t>
        </w:r>
      </w:p>
      <w:p w14:paraId="556B0C98" w14:textId="77777777" w:rsidR="00F32BCE" w:rsidRDefault="00F32BCE">
        <w:pPr>
          <w:pStyle w:val="Footer"/>
          <w:jc w:val="right"/>
        </w:pPr>
      </w:p>
      <w:p w14:paraId="4E36910F" w14:textId="06CF02C2" w:rsidR="00F32BCE" w:rsidRPr="00AD3414" w:rsidRDefault="00F32B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9B5430">
          <w:rPr>
            <w:rFonts w:ascii="Times New Roman" w:hAnsi="Times New Roman" w:cs="Times New Roman"/>
            <w:i/>
            <w:noProof/>
          </w:rPr>
          <w:t>33</w:t>
        </w:r>
        <w:r w:rsidRPr="00A07A2F">
          <w:rPr>
            <w:rFonts w:ascii="Times New Roman" w:hAnsi="Times New Roman" w:cs="Times New Roman"/>
            <w:i/>
            <w:noProof/>
          </w:rPr>
          <w:fldChar w:fldCharType="end"/>
        </w:r>
      </w:p>
    </w:sdtContent>
  </w:sdt>
  <w:p w14:paraId="180626A1" w14:textId="72B67B1A" w:rsidR="00F32BCE" w:rsidRPr="00AD3414" w:rsidRDefault="00F32B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DBDE7" w14:textId="77777777" w:rsidR="008138D2" w:rsidRDefault="008138D2" w:rsidP="00025ACE">
      <w:pPr>
        <w:spacing w:after="0" w:line="240" w:lineRule="auto"/>
      </w:pPr>
      <w:r>
        <w:separator/>
      </w:r>
    </w:p>
  </w:footnote>
  <w:footnote w:type="continuationSeparator" w:id="0">
    <w:p w14:paraId="72C35139" w14:textId="77777777" w:rsidR="008138D2" w:rsidRDefault="008138D2" w:rsidP="00025ACE">
      <w:pPr>
        <w:spacing w:after="0" w:line="240" w:lineRule="auto"/>
      </w:pPr>
      <w:r>
        <w:continuationSeparator/>
      </w:r>
    </w:p>
  </w:footnote>
  <w:footnote w:id="1">
    <w:p w14:paraId="34D9C515" w14:textId="3AE112EE" w:rsidR="00F32BCE" w:rsidRPr="00A75745" w:rsidRDefault="00F32BCE" w:rsidP="00845A6E">
      <w:pPr>
        <w:pStyle w:val="FootnoteText"/>
        <w:rPr>
          <w:rFonts w:cs="Arial"/>
        </w:rPr>
      </w:pPr>
      <w:r w:rsidRPr="008A41DA">
        <w:rPr>
          <w:rStyle w:val="FootnoteReference"/>
        </w:rPr>
        <w:footnoteRef/>
      </w:r>
      <w:r w:rsidRPr="008A41DA">
        <w:t xml:space="preserve"> </w:t>
      </w:r>
      <w:r w:rsidRPr="00A75745">
        <w:rPr>
          <w:rFonts w:cs="Arial"/>
          <w:i/>
        </w:rPr>
        <w:t>Telecommunications (Integrated Public Number Database Scheme – Criteria for Deciding Authorisation Applications) Instrument 2007 (No. 1)</w:t>
      </w:r>
      <w:r>
        <w:rPr>
          <w:rFonts w:cs="Arial"/>
          <w:i/>
        </w:rPr>
        <w:t xml:space="preserve">, </w:t>
      </w:r>
      <w:r>
        <w:rPr>
          <w:rFonts w:cs="Arial"/>
        </w:rPr>
        <w:t xml:space="preserve">made under section 295N of the Act. </w:t>
      </w:r>
    </w:p>
  </w:footnote>
  <w:footnote w:id="2">
    <w:p w14:paraId="49D31D5F" w14:textId="77777777" w:rsidR="00F32BCE" w:rsidRPr="00256ACC" w:rsidRDefault="00F32BCE" w:rsidP="00256ACC">
      <w:pPr>
        <w:pStyle w:val="FootnoteText"/>
        <w:ind w:right="-188"/>
      </w:pPr>
      <w:r w:rsidRPr="008A41DA">
        <w:rPr>
          <w:rStyle w:val="FootnoteReference"/>
        </w:rPr>
        <w:footnoteRef/>
      </w:r>
      <w:r w:rsidRPr="008A41DA">
        <w:t xml:space="preserve"> </w:t>
      </w:r>
      <w:r w:rsidRPr="00153236">
        <w:rPr>
          <w:rFonts w:cs="Arial"/>
          <w:i/>
          <w:iCs/>
          <w:szCs w:val="20"/>
        </w:rPr>
        <w:t>Telecommunications (Integrated Public Number Database Scheme – Conditions for Authorisations) Determination 2007 (No. 1)</w:t>
      </w:r>
      <w:r>
        <w:rPr>
          <w:rFonts w:cs="Arial"/>
          <w:i/>
          <w:iCs/>
          <w:szCs w:val="20"/>
        </w:rPr>
        <w:t xml:space="preserve">, </w:t>
      </w:r>
      <w:r>
        <w:rPr>
          <w:rFonts w:cs="Arial"/>
          <w:iCs/>
          <w:szCs w:val="20"/>
        </w:rPr>
        <w:t xml:space="preserve">made under section 295P of the Act.  </w:t>
      </w:r>
    </w:p>
  </w:footnote>
  <w:footnote w:id="3">
    <w:p w14:paraId="216A7772" w14:textId="3C6348EE" w:rsidR="00F32BCE" w:rsidRPr="00A75745" w:rsidRDefault="00F32BCE" w:rsidP="00845A6E">
      <w:pPr>
        <w:pStyle w:val="FootnoteText"/>
      </w:pPr>
      <w:r w:rsidRPr="008A41DA">
        <w:rPr>
          <w:rStyle w:val="FootnoteReference"/>
        </w:rPr>
        <w:footnoteRef/>
      </w:r>
      <w:r w:rsidRPr="008A41DA">
        <w:t xml:space="preserve"> </w:t>
      </w:r>
      <w:r w:rsidRPr="00A75745">
        <w:rPr>
          <w:rFonts w:cs="Arial"/>
          <w:i/>
          <w:iCs/>
          <w:szCs w:val="20"/>
        </w:rPr>
        <w:t>Telecommunications (Integrated Public Number Database – Public Number Directory Requirements) Instrument 2007 (No.</w:t>
      </w:r>
      <w:r>
        <w:rPr>
          <w:rFonts w:cs="Arial"/>
          <w:i/>
          <w:iCs/>
          <w:szCs w:val="20"/>
        </w:rPr>
        <w:t xml:space="preserve"> </w:t>
      </w:r>
      <w:r w:rsidRPr="00A75745">
        <w:rPr>
          <w:rFonts w:cs="Arial"/>
          <w:i/>
          <w:iCs/>
          <w:szCs w:val="20"/>
        </w:rPr>
        <w:t>1)</w:t>
      </w:r>
      <w:r>
        <w:rPr>
          <w:rFonts w:cs="Arial"/>
          <w:i/>
          <w:iCs/>
          <w:szCs w:val="20"/>
        </w:rPr>
        <w:t xml:space="preserve">, </w:t>
      </w:r>
      <w:r>
        <w:rPr>
          <w:rFonts w:cs="Arial"/>
          <w:iCs/>
          <w:szCs w:val="20"/>
        </w:rPr>
        <w:t xml:space="preserve">made under subsection 285(5) of the Act. </w:t>
      </w:r>
    </w:p>
  </w:footnote>
  <w:footnote w:id="4">
    <w:p w14:paraId="0C750877" w14:textId="47F1AB67" w:rsidR="00F32BCE" w:rsidRPr="00A75745" w:rsidRDefault="00F32BCE" w:rsidP="00845A6E">
      <w:pPr>
        <w:pStyle w:val="FootnoteText"/>
      </w:pPr>
      <w:r w:rsidRPr="008A41DA">
        <w:rPr>
          <w:rStyle w:val="FootnoteReference"/>
        </w:rPr>
        <w:footnoteRef/>
      </w:r>
      <w:r w:rsidRPr="008A41DA">
        <w:t xml:space="preserve"> </w:t>
      </w:r>
      <w:r w:rsidRPr="00D06CF5">
        <w:rPr>
          <w:rFonts w:cs="Arial"/>
          <w:i/>
          <w:iCs/>
          <w:szCs w:val="20"/>
        </w:rPr>
        <w:t>Telecommunications (</w:t>
      </w:r>
      <w:r>
        <w:rPr>
          <w:rFonts w:cs="Arial"/>
          <w:i/>
          <w:iCs/>
          <w:szCs w:val="20"/>
        </w:rPr>
        <w:t xml:space="preserve">Integrated </w:t>
      </w:r>
      <w:r w:rsidRPr="00D06CF5">
        <w:rPr>
          <w:rFonts w:cs="Arial"/>
          <w:i/>
          <w:iCs/>
          <w:szCs w:val="20"/>
        </w:rPr>
        <w:t xml:space="preserve">Public Number </w:t>
      </w:r>
      <w:r>
        <w:rPr>
          <w:rFonts w:cs="Arial"/>
          <w:i/>
          <w:iCs/>
          <w:szCs w:val="20"/>
        </w:rPr>
        <w:t xml:space="preserve">Database – Public Number </w:t>
      </w:r>
      <w:r w:rsidRPr="00D06CF5">
        <w:rPr>
          <w:rFonts w:cs="Arial"/>
          <w:i/>
          <w:iCs/>
          <w:szCs w:val="20"/>
        </w:rPr>
        <w:t>Directory Additional Information) Instrument 2007 (No.</w:t>
      </w:r>
      <w:r>
        <w:rPr>
          <w:rFonts w:cs="Arial"/>
          <w:i/>
          <w:iCs/>
          <w:szCs w:val="20"/>
        </w:rPr>
        <w:t xml:space="preserve"> </w:t>
      </w:r>
      <w:r w:rsidRPr="00D06CF5">
        <w:rPr>
          <w:rFonts w:cs="Arial"/>
          <w:i/>
          <w:iCs/>
          <w:szCs w:val="20"/>
        </w:rPr>
        <w:t>1)</w:t>
      </w:r>
      <w:r>
        <w:rPr>
          <w:rFonts w:cs="Arial"/>
          <w:i/>
          <w:iCs/>
          <w:szCs w:val="20"/>
        </w:rPr>
        <w:t xml:space="preserve">, </w:t>
      </w:r>
      <w:r>
        <w:rPr>
          <w:rFonts w:cs="Arial"/>
          <w:iCs/>
          <w:szCs w:val="20"/>
        </w:rPr>
        <w:t xml:space="preserve">made under subsection 285(4) of the Act. </w:t>
      </w:r>
    </w:p>
  </w:footnote>
  <w:footnote w:id="5">
    <w:p w14:paraId="21F09095" w14:textId="371D1AC1" w:rsidR="00F32BCE" w:rsidRPr="00256ACC" w:rsidRDefault="00F32BCE" w:rsidP="00E6340F">
      <w:pPr>
        <w:pStyle w:val="FootnoteText"/>
        <w:ind w:right="158"/>
      </w:pPr>
      <w:r w:rsidRPr="008A41DA">
        <w:rPr>
          <w:rStyle w:val="FootnoteReference"/>
        </w:rPr>
        <w:footnoteRef/>
      </w:r>
      <w:r w:rsidRPr="008A41DA">
        <w:t xml:space="preserve"> </w:t>
      </w:r>
      <w:hyperlink r:id="rId1" w:history="1">
        <w:r w:rsidRPr="00D06CF5">
          <w:rPr>
            <w:i/>
          </w:rPr>
          <w:t>Telecommunications (Integrated Public Number Database</w:t>
        </w:r>
        <w:r>
          <w:rPr>
            <w:i/>
          </w:rPr>
          <w:t xml:space="preserve"> – </w:t>
        </w:r>
        <w:r w:rsidRPr="00D06CF5">
          <w:rPr>
            <w:i/>
          </w:rPr>
          <w:t>Permitted Research Purposes) Instrument 2007 (No.</w:t>
        </w:r>
        <w:r>
          <w:rPr>
            <w:i/>
          </w:rPr>
          <w:t xml:space="preserve"> </w:t>
        </w:r>
        <w:r w:rsidRPr="00D06CF5">
          <w:rPr>
            <w:i/>
          </w:rPr>
          <w:t>1)</w:t>
        </w:r>
      </w:hyperlink>
      <w:r>
        <w:rPr>
          <w:i/>
        </w:rPr>
        <w:t xml:space="preserve">, </w:t>
      </w:r>
      <w:r>
        <w:t xml:space="preserve">made under subsection 285(3) of the Act. </w:t>
      </w:r>
    </w:p>
  </w:footnote>
  <w:footnote w:id="6">
    <w:p w14:paraId="317DCCA7" w14:textId="77777777" w:rsidR="00F32BCE" w:rsidRDefault="00F32BCE" w:rsidP="00956EBF">
      <w:pPr>
        <w:pStyle w:val="FootnoteText"/>
        <w:spacing w:after="120"/>
      </w:pPr>
      <w:r>
        <w:rPr>
          <w:rStyle w:val="FootnoteReference"/>
        </w:rPr>
        <w:footnoteRef/>
      </w:r>
      <w:r>
        <w:t xml:space="preserve"> A copy of the report can be accessed at: </w:t>
      </w:r>
      <w:hyperlink r:id="rId2" w:history="1">
        <w:r w:rsidRPr="008A41DA">
          <w:rPr>
            <w:rStyle w:val="Hyperlink"/>
          </w:rPr>
          <w:t>www.communications.gov.au/publications/integrated-public-number-database-review-report</w:t>
        </w:r>
      </w:hyperlink>
      <w:r w:rsidRPr="008A41DA">
        <w:t>.</w:t>
      </w:r>
    </w:p>
  </w:footnote>
  <w:footnote w:id="7">
    <w:p w14:paraId="2C810D4A" w14:textId="77777777" w:rsidR="00F32BCE" w:rsidRDefault="00F32BCE" w:rsidP="00362B2C">
      <w:pPr>
        <w:pStyle w:val="FootnoteText"/>
      </w:pPr>
      <w:r>
        <w:rPr>
          <w:rStyle w:val="FootnoteReference"/>
        </w:rPr>
        <w:footnoteRef/>
      </w:r>
      <w:r>
        <w:t xml:space="preserve"> </w:t>
      </w:r>
      <w:r w:rsidRPr="009255DA">
        <w:rPr>
          <w:rFonts w:ascii="Times New Roman" w:hAnsi="Times New Roman"/>
        </w:rPr>
        <w:t xml:space="preserve">At the commencement of this scheme, the </w:t>
      </w:r>
      <w:r w:rsidRPr="009255DA">
        <w:rPr>
          <w:rFonts w:ascii="Times New Roman" w:hAnsi="Times New Roman"/>
          <w:i/>
          <w:iCs/>
        </w:rPr>
        <w:t>Telecommunications (Integrated Public Number Database – Permitted Research Purposes) Instrument 2007 (No. 1)</w:t>
      </w:r>
      <w:r w:rsidRPr="009255DA">
        <w:rPr>
          <w:rFonts w:ascii="Times New Roman" w:hAnsi="Times New Roman"/>
          <w:iCs/>
        </w:rPr>
        <w:t xml:space="preserve"> is the only legislative instrument in force under subsection 285(3) of the Act</w:t>
      </w:r>
      <w:r w:rsidRPr="009255DA">
        <w:rPr>
          <w:rFonts w:ascii="Times New Roman" w:hAnsi="Times New Roman"/>
        </w:rPr>
        <w:t>.</w:t>
      </w:r>
    </w:p>
  </w:footnote>
  <w:footnote w:id="8">
    <w:p w14:paraId="6DE79DE1" w14:textId="77777777" w:rsidR="00F32BCE" w:rsidRDefault="00F32BCE" w:rsidP="00362B2C">
      <w:pPr>
        <w:pStyle w:val="FootnoteText"/>
      </w:pPr>
      <w:r>
        <w:rPr>
          <w:rStyle w:val="FootnoteReference"/>
        </w:rPr>
        <w:footnoteRef/>
      </w:r>
      <w:r>
        <w:rPr>
          <w:rFonts w:ascii="Times New Roman" w:hAnsi="Times New Roman"/>
        </w:rPr>
        <w:t xml:space="preserve">  A privacy impact assessment is a </w:t>
      </w:r>
      <w:r w:rsidRPr="00A87BE8">
        <w:rPr>
          <w:rFonts w:ascii="Lato" w:hAnsi="Lato"/>
          <w:color w:val="050505"/>
          <w:lang w:val="en-GB"/>
        </w:rPr>
        <w:t>systematic assessment of a project that identifies the impact that the project might have on the privacy of individuals, and sets out recommendations for managing, minimising or eliminating that impact.</w:t>
      </w:r>
    </w:p>
  </w:footnote>
  <w:footnote w:id="9">
    <w:p w14:paraId="69A0C44F" w14:textId="77777777" w:rsidR="00F32BCE" w:rsidRDefault="00F32BCE" w:rsidP="00362B2C">
      <w:pPr>
        <w:pStyle w:val="FootnoteText"/>
      </w:pPr>
      <w:r>
        <w:rPr>
          <w:rStyle w:val="FootnoteReference"/>
        </w:rPr>
        <w:footnoteRef/>
      </w:r>
      <w:r>
        <w:t xml:space="preserve"> </w:t>
      </w:r>
      <w:r w:rsidRPr="0011045E">
        <w:rPr>
          <w:rFonts w:ascii="Lato" w:hAnsi="Lato"/>
          <w:color w:val="050505"/>
          <w:lang w:val="en-GB"/>
        </w:rPr>
        <w:t xml:space="preserve">At the commencement of the scheme, the </w:t>
      </w:r>
      <w:r w:rsidRPr="0011045E">
        <w:rPr>
          <w:rFonts w:ascii="Lato" w:hAnsi="Lato"/>
          <w:i/>
          <w:color w:val="050505"/>
          <w:lang w:val="en-GB"/>
        </w:rPr>
        <w:t xml:space="preserve">Telecommunications (Integrated Public Number Database Scheme – Criteria for Deciding Authorisation Applications) Instrument 2007 (No. 1) </w:t>
      </w:r>
      <w:r w:rsidRPr="0011045E">
        <w:rPr>
          <w:rFonts w:ascii="Lato" w:hAnsi="Lato"/>
          <w:color w:val="050505"/>
          <w:lang w:val="en-GB"/>
        </w:rPr>
        <w:t>is the only legislativ</w:t>
      </w:r>
      <w:r w:rsidRPr="00AB23BA">
        <w:rPr>
          <w:rFonts w:ascii="Lato" w:hAnsi="Lato"/>
          <w:color w:val="050505"/>
          <w:lang w:val="en-GB"/>
        </w:rPr>
        <w:t>e instrument in force under</w:t>
      </w:r>
      <w:r w:rsidRPr="0011045E">
        <w:rPr>
          <w:rFonts w:ascii="Lato" w:hAnsi="Lato"/>
          <w:color w:val="050505"/>
          <w:lang w:val="en-GB"/>
        </w:rPr>
        <w:t xml:space="preserve"> subsection</w:t>
      </w:r>
      <w:r>
        <w:rPr>
          <w:rFonts w:ascii="Lato" w:hAnsi="Lato"/>
          <w:color w:val="050505"/>
          <w:lang w:val="en-GB"/>
        </w:rPr>
        <w:t xml:space="preserve"> </w:t>
      </w:r>
      <w:r w:rsidRPr="0011045E">
        <w:rPr>
          <w:rFonts w:ascii="Lato" w:hAnsi="Lato"/>
          <w:color w:val="050505"/>
          <w:lang w:val="en-GB"/>
        </w:rPr>
        <w:t>295N(1) of the Act.</w:t>
      </w:r>
      <w:r>
        <w:rPr>
          <w:rFonts w:ascii="Times New Roman" w:hAnsi="Times New Roman"/>
          <w:sz w:val="22"/>
          <w:szCs w:val="22"/>
        </w:rPr>
        <w:t xml:space="preserve">  </w:t>
      </w:r>
    </w:p>
  </w:footnote>
  <w:footnote w:id="10">
    <w:p w14:paraId="57980967" w14:textId="77777777" w:rsidR="00F32BCE" w:rsidRPr="006375B2" w:rsidRDefault="00F32BCE" w:rsidP="00362B2C">
      <w:pPr>
        <w:pStyle w:val="FootnoteText"/>
        <w:rPr>
          <w:rFonts w:ascii="Lato" w:hAnsi="Lato"/>
          <w:color w:val="050505"/>
          <w:lang w:val="en-GB"/>
        </w:rPr>
      </w:pPr>
      <w:r>
        <w:rPr>
          <w:rStyle w:val="FootnoteReference"/>
        </w:rPr>
        <w:footnoteRef/>
      </w:r>
      <w:r>
        <w:t xml:space="preserve"> </w:t>
      </w:r>
      <w:r w:rsidRPr="006375B2">
        <w:rPr>
          <w:rFonts w:ascii="Lato" w:hAnsi="Lato"/>
          <w:color w:val="050505"/>
          <w:lang w:val="en-GB"/>
        </w:rPr>
        <w:t>At the commencement of the scheme:</w:t>
      </w:r>
    </w:p>
    <w:p w14:paraId="7EAD942C" w14:textId="77777777" w:rsidR="00F32BCE" w:rsidRPr="006375B2" w:rsidRDefault="00F32BCE" w:rsidP="00362B2C">
      <w:pPr>
        <w:pStyle w:val="FootnoteText"/>
        <w:numPr>
          <w:ilvl w:val="0"/>
          <w:numId w:val="26"/>
        </w:numPr>
        <w:rPr>
          <w:rFonts w:ascii="Lato" w:hAnsi="Lato"/>
          <w:color w:val="050505"/>
          <w:lang w:val="en-GB"/>
        </w:rPr>
      </w:pPr>
      <w:r w:rsidRPr="006375B2">
        <w:rPr>
          <w:rFonts w:ascii="Lato" w:hAnsi="Lato"/>
          <w:color w:val="050505"/>
          <w:lang w:val="en-GB"/>
        </w:rPr>
        <w:t xml:space="preserve">the </w:t>
      </w:r>
      <w:r w:rsidRPr="006375B2">
        <w:rPr>
          <w:rFonts w:ascii="Lato" w:hAnsi="Lato"/>
          <w:i/>
          <w:color w:val="050505"/>
          <w:lang w:val="en-GB"/>
        </w:rPr>
        <w:t>Telecommunications (Integrated Public Number Database – Public Number Directory Additional Information) Instrument 2007 (No.1)</w:t>
      </w:r>
      <w:r w:rsidRPr="006375B2">
        <w:rPr>
          <w:rFonts w:ascii="Lato" w:hAnsi="Lato"/>
          <w:color w:val="050505"/>
          <w:lang w:val="en-GB"/>
        </w:rPr>
        <w:t xml:space="preserve"> is the only legislative instrument in force under subsection 285(4) of the Act;</w:t>
      </w:r>
    </w:p>
    <w:p w14:paraId="641A616E" w14:textId="77777777" w:rsidR="00F32BCE" w:rsidRPr="006375B2" w:rsidRDefault="00F32BCE" w:rsidP="00362B2C">
      <w:pPr>
        <w:pStyle w:val="FootnoteText"/>
        <w:numPr>
          <w:ilvl w:val="0"/>
          <w:numId w:val="26"/>
        </w:numPr>
        <w:rPr>
          <w:rFonts w:ascii="Lato" w:hAnsi="Lato"/>
          <w:color w:val="050505"/>
          <w:lang w:val="en-GB"/>
        </w:rPr>
      </w:pPr>
      <w:r w:rsidRPr="006375B2">
        <w:rPr>
          <w:rFonts w:ascii="Lato" w:hAnsi="Lato"/>
          <w:color w:val="050505"/>
          <w:lang w:val="en-GB"/>
        </w:rPr>
        <w:t xml:space="preserve">the </w:t>
      </w:r>
      <w:r w:rsidRPr="006375B2">
        <w:rPr>
          <w:rFonts w:ascii="Lato" w:hAnsi="Lato"/>
          <w:i/>
          <w:color w:val="050505"/>
          <w:lang w:val="en-GB"/>
        </w:rPr>
        <w:t>Telecommunications (Integrated Public Number Database – Public Number Directory Requirements) Instrument 2007 (No. 1)</w:t>
      </w:r>
      <w:r w:rsidRPr="006375B2">
        <w:rPr>
          <w:rFonts w:ascii="Lato" w:hAnsi="Lato"/>
          <w:color w:val="050505"/>
          <w:lang w:val="en-GB"/>
        </w:rPr>
        <w:t xml:space="preserve"> is the only legislative instrument in force under subsection 285(5) of the Act; and </w:t>
      </w:r>
    </w:p>
    <w:p w14:paraId="6318A621" w14:textId="77777777" w:rsidR="00F32BCE" w:rsidRPr="006375B2" w:rsidRDefault="00F32BCE" w:rsidP="00362B2C">
      <w:pPr>
        <w:pStyle w:val="FootnoteText"/>
        <w:numPr>
          <w:ilvl w:val="0"/>
          <w:numId w:val="26"/>
        </w:numPr>
        <w:rPr>
          <w:rFonts w:ascii="Lato" w:hAnsi="Lato"/>
          <w:color w:val="050505"/>
          <w:lang w:val="en-GB"/>
        </w:rPr>
      </w:pPr>
      <w:r w:rsidRPr="006375B2">
        <w:rPr>
          <w:rFonts w:ascii="Lato" w:hAnsi="Lato"/>
          <w:color w:val="050505"/>
          <w:lang w:val="en-GB"/>
        </w:rPr>
        <w:t>there is no legislative instrument in force under subsection 285(6) of the Act.</w:t>
      </w:r>
    </w:p>
    <w:p w14:paraId="43AA32C7" w14:textId="77777777" w:rsidR="00F32BCE" w:rsidRDefault="00F32BCE" w:rsidP="00362B2C">
      <w:pPr>
        <w:pStyle w:val="FootnoteText"/>
      </w:pPr>
    </w:p>
  </w:footnote>
  <w:footnote w:id="11">
    <w:p w14:paraId="736AE09E" w14:textId="77777777" w:rsidR="00F32BCE" w:rsidRPr="009255DA" w:rsidRDefault="00F32BCE" w:rsidP="00362B2C">
      <w:pPr>
        <w:pStyle w:val="FootnoteText"/>
        <w:spacing w:after="160" w:line="259" w:lineRule="auto"/>
        <w:contextualSpacing/>
        <w:rPr>
          <w:rFonts w:ascii="Times New Roman" w:hAnsi="Times New Roman"/>
        </w:rPr>
      </w:pPr>
      <w:r>
        <w:rPr>
          <w:rStyle w:val="FootnoteReference"/>
        </w:rPr>
        <w:footnoteRef/>
      </w:r>
      <w:r>
        <w:t xml:space="preserve"> </w:t>
      </w:r>
      <w:r w:rsidRPr="009255DA">
        <w:rPr>
          <w:rFonts w:ascii="Times New Roman" w:hAnsi="Times New Roman"/>
        </w:rPr>
        <w:t>Part 29 of the Act contains additional requirements in relation to the notification of certain decisions under the scheme.</w:t>
      </w:r>
    </w:p>
  </w:footnote>
  <w:footnote w:id="12">
    <w:p w14:paraId="663815EA" w14:textId="77777777" w:rsidR="00F32BCE" w:rsidRDefault="00F32BCE" w:rsidP="00362B2C">
      <w:pPr>
        <w:pStyle w:val="FootnoteText"/>
      </w:pPr>
      <w:r>
        <w:rPr>
          <w:rStyle w:val="FootnoteReference"/>
        </w:rPr>
        <w:footnoteRef/>
      </w:r>
      <w:r>
        <w:t xml:space="preserve"> </w:t>
      </w:r>
      <w:r w:rsidRPr="009255DA">
        <w:rPr>
          <w:rFonts w:ascii="Times New Roman" w:hAnsi="Times New Roman"/>
          <w:b/>
          <w:i/>
        </w:rPr>
        <w:t xml:space="preserve">Business day </w:t>
      </w:r>
      <w:r w:rsidRPr="009255DA">
        <w:rPr>
          <w:rFonts w:ascii="Times New Roman" w:hAnsi="Times New Roman"/>
        </w:rPr>
        <w:t>is a day that is not a Saturday, a Sunday or a public holiday in the place concerned.</w:t>
      </w:r>
    </w:p>
  </w:footnote>
  <w:footnote w:id="13">
    <w:p w14:paraId="10ADB06A" w14:textId="77777777" w:rsidR="00F32BCE" w:rsidRPr="009255DA" w:rsidRDefault="00F32BCE" w:rsidP="00362B2C">
      <w:pPr>
        <w:pStyle w:val="FootnoteText"/>
        <w:spacing w:line="259" w:lineRule="auto"/>
        <w:contextualSpacing/>
        <w:rPr>
          <w:rFonts w:ascii="Times New Roman" w:hAnsi="Times New Roman"/>
        </w:rPr>
      </w:pPr>
      <w:r>
        <w:rPr>
          <w:rStyle w:val="FootnoteReference"/>
        </w:rPr>
        <w:footnoteRef/>
      </w:r>
      <w:r>
        <w:t xml:space="preserve"> </w:t>
      </w:r>
      <w:r w:rsidRPr="00A724B7">
        <w:rPr>
          <w:rFonts w:ascii="Times New Roman" w:hAnsi="Times New Roman"/>
        </w:rPr>
        <w:t xml:space="preserve">Part </w:t>
      </w:r>
      <w:r w:rsidRPr="00D65C9C">
        <w:rPr>
          <w:rFonts w:ascii="Times New Roman" w:hAnsi="Times New Roman"/>
        </w:rPr>
        <w:t>29 of the Act contains additional requirements in relation to the notification of certain decisions under the scheme.</w:t>
      </w:r>
    </w:p>
  </w:footnote>
  <w:footnote w:id="14">
    <w:p w14:paraId="72559664" w14:textId="77777777" w:rsidR="00F32BCE" w:rsidRPr="009255DA" w:rsidRDefault="00F32BCE" w:rsidP="00362B2C">
      <w:pPr>
        <w:pStyle w:val="Definition"/>
        <w:spacing w:before="0" w:line="200" w:lineRule="atLeast"/>
        <w:ind w:left="0"/>
        <w:rPr>
          <w:rFonts w:ascii="Arial" w:hAnsi="Arial"/>
          <w:sz w:val="16"/>
          <w:szCs w:val="16"/>
        </w:rPr>
      </w:pPr>
      <w:r w:rsidRPr="009255DA">
        <w:rPr>
          <w:rStyle w:val="FootnoteReference"/>
          <w:sz w:val="16"/>
          <w:szCs w:val="16"/>
        </w:rPr>
        <w:footnoteRef/>
      </w:r>
      <w:r w:rsidRPr="009255DA">
        <w:rPr>
          <w:sz w:val="16"/>
          <w:szCs w:val="16"/>
        </w:rPr>
        <w:t xml:space="preserve"> The conditions of the authorisation are: </w:t>
      </w:r>
    </w:p>
    <w:p w14:paraId="587769E5" w14:textId="77777777" w:rsidR="00F32BCE" w:rsidRPr="009255DA" w:rsidRDefault="00F32BCE" w:rsidP="00362B2C">
      <w:pPr>
        <w:pStyle w:val="notepara"/>
        <w:numPr>
          <w:ilvl w:val="0"/>
          <w:numId w:val="33"/>
        </w:numPr>
        <w:rPr>
          <w:sz w:val="16"/>
          <w:szCs w:val="16"/>
        </w:rPr>
      </w:pPr>
      <w:r w:rsidRPr="009255DA">
        <w:rPr>
          <w:sz w:val="16"/>
          <w:szCs w:val="16"/>
        </w:rPr>
        <w:t xml:space="preserve">any applicable conditions specified by the Minister in a legislative instrument under section 295P of the Act; </w:t>
      </w:r>
    </w:p>
    <w:p w14:paraId="782661DC" w14:textId="77777777" w:rsidR="00F32BCE" w:rsidRPr="009255DA" w:rsidRDefault="00F32BCE" w:rsidP="00362B2C">
      <w:pPr>
        <w:pStyle w:val="notepara"/>
        <w:numPr>
          <w:ilvl w:val="0"/>
          <w:numId w:val="33"/>
        </w:numPr>
        <w:rPr>
          <w:sz w:val="16"/>
          <w:szCs w:val="16"/>
        </w:rPr>
      </w:pPr>
      <w:r w:rsidRPr="009255DA">
        <w:rPr>
          <w:sz w:val="16"/>
          <w:szCs w:val="16"/>
        </w:rPr>
        <w:t xml:space="preserve">the applicable conditions specified in this scheme; and </w:t>
      </w:r>
    </w:p>
    <w:p w14:paraId="738535CC" w14:textId="77777777" w:rsidR="00F32BCE" w:rsidRPr="009255DA" w:rsidRDefault="00F32BCE" w:rsidP="00362B2C">
      <w:pPr>
        <w:pStyle w:val="notepara"/>
        <w:numPr>
          <w:ilvl w:val="0"/>
          <w:numId w:val="33"/>
        </w:numPr>
        <w:rPr>
          <w:sz w:val="16"/>
          <w:szCs w:val="16"/>
        </w:rPr>
      </w:pPr>
      <w:r w:rsidRPr="009255DA">
        <w:rPr>
          <w:sz w:val="16"/>
          <w:szCs w:val="16"/>
        </w:rPr>
        <w:t xml:space="preserve">any applicable conditions specified by the ACMA under a provision of this scheme.  </w:t>
      </w:r>
    </w:p>
    <w:p w14:paraId="586DBD22" w14:textId="77777777" w:rsidR="00F32BCE" w:rsidRPr="00CB4BDA" w:rsidRDefault="00F32BCE" w:rsidP="00362B2C">
      <w:pPr>
        <w:pStyle w:val="Definition"/>
        <w:spacing w:before="60"/>
        <w:ind w:left="0"/>
      </w:pPr>
      <w:r w:rsidRPr="009255DA">
        <w:rPr>
          <w:sz w:val="16"/>
          <w:szCs w:val="16"/>
        </w:rPr>
        <w:t>Section 295R of the Act creates an offence for breaching a condition of an authorisation.</w:t>
      </w:r>
    </w:p>
    <w:p w14:paraId="04FD9C18" w14:textId="77777777" w:rsidR="00F32BCE" w:rsidRDefault="00F32BCE" w:rsidP="00362B2C">
      <w:pPr>
        <w:pStyle w:val="FootnoteText"/>
      </w:pPr>
      <w:r w:rsidRPr="00BC289F">
        <w:rPr>
          <w:rFonts w:ascii="Times New Roman" w:hAnsi="Times New Roman"/>
        </w:rPr>
        <w:t>At the commencement of the</w:t>
      </w:r>
      <w:r w:rsidRPr="009255DA">
        <w:rPr>
          <w:rFonts w:ascii="Times New Roman" w:hAnsi="Times New Roman"/>
        </w:rPr>
        <w:t xml:space="preserve"> scheme, the </w:t>
      </w:r>
      <w:r w:rsidRPr="009255DA">
        <w:rPr>
          <w:rFonts w:ascii="Times New Roman" w:hAnsi="Times New Roman"/>
          <w:i/>
          <w:iCs/>
        </w:rPr>
        <w:t>Telecommunications (Integrated Public Number Database Scheme – Conditions for Authorisations) Determination 2007 (No. 1)</w:t>
      </w:r>
      <w:r w:rsidRPr="009255DA">
        <w:rPr>
          <w:rFonts w:ascii="Times New Roman" w:hAnsi="Times New Roman"/>
          <w:iCs/>
        </w:rPr>
        <w:t xml:space="preserve"> is the only legislative instrument in force under section 295P of the Act</w:t>
      </w:r>
      <w:r w:rsidRPr="009255DA">
        <w:rPr>
          <w:rFonts w:ascii="Times New Roman" w:hAnsi="Times New Roman"/>
        </w:rPr>
        <w:t>.</w:t>
      </w:r>
    </w:p>
  </w:footnote>
  <w:footnote w:id="15">
    <w:p w14:paraId="1059F6ED" w14:textId="77777777" w:rsidR="00F32BCE" w:rsidRDefault="00F32BCE" w:rsidP="00362B2C">
      <w:pPr>
        <w:pStyle w:val="FootnoteText"/>
      </w:pPr>
      <w:r>
        <w:rPr>
          <w:rStyle w:val="FootnoteReference"/>
        </w:rPr>
        <w:footnoteRef/>
      </w:r>
      <w:r>
        <w:t xml:space="preserve"> </w:t>
      </w:r>
      <w:r w:rsidRPr="00A724B7">
        <w:rPr>
          <w:rFonts w:ascii="Times New Roman" w:hAnsi="Times New Roman"/>
        </w:rPr>
        <w:t>Part 29 of the Act contains additional requirements in relation to the notification of certain decisions under the scheme.</w:t>
      </w:r>
    </w:p>
  </w:footnote>
  <w:footnote w:id="16">
    <w:p w14:paraId="66628A08" w14:textId="77777777" w:rsidR="00F32BCE" w:rsidRPr="009255DA" w:rsidRDefault="00F32BCE" w:rsidP="00362B2C">
      <w:pPr>
        <w:pStyle w:val="FootnoteText"/>
        <w:spacing w:after="160" w:line="259" w:lineRule="auto"/>
        <w:rPr>
          <w:rFonts w:ascii="Times New Roman" w:hAnsi="Times New Roman"/>
          <w:sz w:val="22"/>
          <w:szCs w:val="22"/>
        </w:rPr>
      </w:pPr>
      <w:r>
        <w:rPr>
          <w:rStyle w:val="FootnoteReference"/>
        </w:rPr>
        <w:footnoteRef/>
      </w:r>
      <w:r>
        <w:t xml:space="preserve"> </w:t>
      </w:r>
      <w:r w:rsidRPr="00A724B7">
        <w:rPr>
          <w:rFonts w:ascii="Times New Roman" w:hAnsi="Times New Roman"/>
        </w:rPr>
        <w:t>Part 29 of the Act contains additional requirements in relation to the notification of certain decisions under the scheme.</w:t>
      </w:r>
    </w:p>
  </w:footnote>
  <w:footnote w:id="17">
    <w:p w14:paraId="6D564DFD" w14:textId="77777777" w:rsidR="00F32BCE" w:rsidRDefault="00F32BCE" w:rsidP="00362B2C">
      <w:pPr>
        <w:pStyle w:val="FootnoteText"/>
      </w:pPr>
      <w:r>
        <w:rPr>
          <w:rStyle w:val="FootnoteReference"/>
        </w:rPr>
        <w:footnoteRef/>
      </w:r>
      <w:r>
        <w:t xml:space="preserve"> </w:t>
      </w:r>
      <w:r w:rsidRPr="00A724B7">
        <w:rPr>
          <w:rFonts w:ascii="Times New Roman" w:hAnsi="Times New Roman"/>
        </w:rPr>
        <w:t>Part 29 of the Act contains additional requirements in relation to the notification of certain decisions under the scheme.</w:t>
      </w:r>
    </w:p>
  </w:footnote>
  <w:footnote w:id="18">
    <w:p w14:paraId="22FAD122" w14:textId="77777777" w:rsidR="00F32BCE" w:rsidRDefault="00F32BCE" w:rsidP="00362B2C">
      <w:pPr>
        <w:pStyle w:val="FootnoteText"/>
      </w:pPr>
      <w:r>
        <w:rPr>
          <w:rStyle w:val="FootnoteReference"/>
        </w:rPr>
        <w:footnoteRef/>
      </w:r>
      <w:r>
        <w:t xml:space="preserve"> </w:t>
      </w:r>
      <w:r w:rsidRPr="00A724B7">
        <w:rPr>
          <w:rFonts w:ascii="Times New Roman" w:hAnsi="Times New Roman"/>
        </w:rPr>
        <w:t>Part 29 of the Act contains additional requirements in relation to the notification of certain decisions under the scheme.</w:t>
      </w:r>
    </w:p>
  </w:footnote>
  <w:footnote w:id="19">
    <w:p w14:paraId="0B35C053" w14:textId="77777777" w:rsidR="00F32BCE" w:rsidRPr="00FA22B8" w:rsidRDefault="00F32BCE" w:rsidP="00362B2C">
      <w:pPr>
        <w:pStyle w:val="Definition"/>
        <w:spacing w:before="60"/>
        <w:ind w:left="0"/>
        <w:rPr>
          <w:sz w:val="16"/>
          <w:szCs w:val="16"/>
        </w:rPr>
      </w:pPr>
      <w:r w:rsidRPr="00FA22B8">
        <w:rPr>
          <w:rStyle w:val="FootnoteReference"/>
          <w:rFonts w:ascii="Times New Roman" w:hAnsi="Times New Roman"/>
          <w:sz w:val="16"/>
          <w:szCs w:val="16"/>
        </w:rPr>
        <w:footnoteRef/>
      </w:r>
      <w:r w:rsidRPr="00FA22B8">
        <w:rPr>
          <w:sz w:val="16"/>
          <w:szCs w:val="16"/>
        </w:rPr>
        <w:t xml:space="preserve">  A representative body is:</w:t>
      </w:r>
    </w:p>
    <w:p w14:paraId="281FE1C2" w14:textId="77777777" w:rsidR="00F32BCE" w:rsidRPr="004B5DE3" w:rsidRDefault="00F32BCE" w:rsidP="00362B2C">
      <w:pPr>
        <w:pStyle w:val="Definition"/>
        <w:numPr>
          <w:ilvl w:val="0"/>
          <w:numId w:val="36"/>
        </w:numPr>
        <w:spacing w:before="60"/>
        <w:rPr>
          <w:sz w:val="16"/>
          <w:szCs w:val="16"/>
        </w:rPr>
      </w:pPr>
      <w:r w:rsidRPr="00FA22B8">
        <w:rPr>
          <w:sz w:val="16"/>
          <w:szCs w:val="16"/>
        </w:rPr>
        <w:t xml:space="preserve">the Association of Market and Social Research Organisations in Australia (AMSRO) Incorporated (VIC A0026832C); </w:t>
      </w:r>
    </w:p>
    <w:p w14:paraId="6A248C64" w14:textId="77777777" w:rsidR="00F32BCE" w:rsidRPr="00A0390F" w:rsidRDefault="00F32BCE" w:rsidP="00362B2C">
      <w:pPr>
        <w:pStyle w:val="Definition"/>
        <w:numPr>
          <w:ilvl w:val="0"/>
          <w:numId w:val="36"/>
        </w:numPr>
        <w:spacing w:before="60"/>
        <w:rPr>
          <w:sz w:val="16"/>
          <w:szCs w:val="16"/>
        </w:rPr>
      </w:pPr>
      <w:r w:rsidRPr="004B5DE3">
        <w:rPr>
          <w:sz w:val="16"/>
          <w:szCs w:val="16"/>
        </w:rPr>
        <w:t>the Australian Market and Social Research Society Ltd (ACN 002 882 635); or</w:t>
      </w:r>
    </w:p>
    <w:p w14:paraId="172ACC05" w14:textId="77777777" w:rsidR="00F32BCE" w:rsidRPr="00A0390F" w:rsidRDefault="00F32BCE" w:rsidP="00362B2C">
      <w:pPr>
        <w:pStyle w:val="Definition"/>
        <w:numPr>
          <w:ilvl w:val="0"/>
          <w:numId w:val="36"/>
        </w:numPr>
        <w:spacing w:before="60"/>
        <w:rPr>
          <w:sz w:val="16"/>
          <w:szCs w:val="16"/>
        </w:rPr>
      </w:pPr>
      <w:r w:rsidRPr="004B5DE3">
        <w:rPr>
          <w:sz w:val="16"/>
          <w:szCs w:val="16"/>
        </w:rPr>
        <w:t>any other body that represents the interests of research organisations or professionals, whose membership is limited principally to such organisations or professionals, and that is declared in writing by the ACMA to be a representative body for the purposes of the scheme.</w:t>
      </w:r>
    </w:p>
  </w:footnote>
  <w:footnote w:id="20">
    <w:p w14:paraId="5FE1A0AD" w14:textId="77777777" w:rsidR="00F32BCE" w:rsidRPr="009255DA" w:rsidRDefault="00F32BCE" w:rsidP="00362B2C">
      <w:pPr>
        <w:pStyle w:val="FootnoteText"/>
        <w:ind w:left="142" w:hanging="142"/>
        <w:rPr>
          <w:rFonts w:ascii="Times New Roman" w:hAnsi="Times New Roman"/>
        </w:rPr>
      </w:pPr>
      <w:r w:rsidRPr="009255DA">
        <w:rPr>
          <w:rStyle w:val="FootnoteReference"/>
          <w:rFonts w:ascii="Times New Roman" w:hAnsi="Times New Roman"/>
        </w:rPr>
        <w:footnoteRef/>
      </w:r>
      <w:r w:rsidRPr="009255DA">
        <w:rPr>
          <w:rFonts w:ascii="Times New Roman" w:hAnsi="Times New Roman"/>
        </w:rPr>
        <w:t xml:space="preserve"> </w:t>
      </w:r>
      <w:r w:rsidRPr="008A30B5">
        <w:rPr>
          <w:rFonts w:ascii="Times New Roman" w:hAnsi="Times New Roman"/>
        </w:rPr>
        <w:tab/>
      </w:r>
      <w:r w:rsidRPr="009255DA">
        <w:rPr>
          <w:rFonts w:ascii="Times New Roman" w:hAnsi="Times New Roman"/>
        </w:rPr>
        <w:t>A member of a representative body is a person who is a member of the body, whose name is entered in the register of members kept in accordance with the constitution of the body, and who uses, or wishes to use, customer data to conduct research.</w:t>
      </w:r>
    </w:p>
  </w:footnote>
  <w:footnote w:id="21">
    <w:p w14:paraId="6DDDE3E9" w14:textId="77777777" w:rsidR="00F32BCE" w:rsidRPr="009255DA" w:rsidRDefault="00F32BCE" w:rsidP="00362B2C">
      <w:pPr>
        <w:pStyle w:val="Definition"/>
        <w:ind w:left="0"/>
        <w:rPr>
          <w:sz w:val="16"/>
          <w:szCs w:val="16"/>
        </w:rPr>
      </w:pPr>
      <w:r w:rsidRPr="009255DA">
        <w:rPr>
          <w:rStyle w:val="FootnoteReference"/>
          <w:sz w:val="16"/>
          <w:szCs w:val="16"/>
        </w:rPr>
        <w:footnoteRef/>
      </w:r>
      <w:r w:rsidRPr="009255DA">
        <w:rPr>
          <w:sz w:val="16"/>
          <w:szCs w:val="16"/>
        </w:rPr>
        <w:t xml:space="preserve"> A research authorisation that has effect on an ongoing basis may be appropriate if customer data is to be supplied continuously or periodically.  </w:t>
      </w:r>
    </w:p>
    <w:p w14:paraId="747D6464" w14:textId="77777777" w:rsidR="00F32BCE" w:rsidRDefault="00F32BCE" w:rsidP="00362B2C">
      <w:pPr>
        <w:pStyle w:val="FootnoteText"/>
      </w:pPr>
    </w:p>
  </w:footnote>
  <w:footnote w:id="22">
    <w:p w14:paraId="09814F2F" w14:textId="77777777" w:rsidR="00F32BCE" w:rsidRDefault="00F32BCE" w:rsidP="00362B2C">
      <w:pPr>
        <w:pStyle w:val="FootnoteText"/>
      </w:pPr>
      <w:r>
        <w:rPr>
          <w:rStyle w:val="FootnoteReference"/>
        </w:rPr>
        <w:footnoteRef/>
      </w:r>
      <w:r>
        <w:t xml:space="preserve"> </w:t>
      </w:r>
      <w:r w:rsidRPr="00A724B7">
        <w:rPr>
          <w:rFonts w:ascii="Times New Roman" w:hAnsi="Times New Roman"/>
        </w:rPr>
        <w:t>Part 29 of the Act contains additional requirements in relation to the notification of certain decisions under the scheme.</w:t>
      </w:r>
    </w:p>
  </w:footnote>
  <w:footnote w:id="23">
    <w:p w14:paraId="40C7857B" w14:textId="77777777" w:rsidR="00F32BCE" w:rsidRDefault="00F32BCE" w:rsidP="00362B2C">
      <w:pPr>
        <w:pStyle w:val="FootnoteText"/>
      </w:pPr>
      <w:r>
        <w:rPr>
          <w:rStyle w:val="FootnoteReference"/>
        </w:rPr>
        <w:footnoteRef/>
      </w:r>
      <w:r>
        <w:t xml:space="preserve"> </w:t>
      </w:r>
      <w:r w:rsidRPr="00A724B7">
        <w:rPr>
          <w:rFonts w:ascii="Times New Roman" w:hAnsi="Times New Roman"/>
        </w:rPr>
        <w:t>Part 29 of the Act contains additional requirements in relation to the notification of certain decisions under the scheme.</w:t>
      </w:r>
    </w:p>
  </w:footnote>
  <w:footnote w:id="24">
    <w:p w14:paraId="41589D7E" w14:textId="77777777" w:rsidR="00F32BCE" w:rsidRDefault="00F32BCE" w:rsidP="00362B2C">
      <w:pPr>
        <w:pStyle w:val="FootnoteText"/>
      </w:pPr>
      <w:r>
        <w:rPr>
          <w:rStyle w:val="FootnoteReference"/>
        </w:rPr>
        <w:footnoteRef/>
      </w:r>
      <w:r>
        <w:t xml:space="preserve"> </w:t>
      </w:r>
      <w:r w:rsidRPr="00A724B7">
        <w:rPr>
          <w:rFonts w:ascii="Times New Roman" w:hAnsi="Times New Roman"/>
        </w:rPr>
        <w:t>Part 29 of the Act contains additional requirements in relation to the notification of certain decisions under the scheme.</w:t>
      </w:r>
    </w:p>
  </w:footnote>
  <w:footnote w:id="25">
    <w:p w14:paraId="7F9ED47E" w14:textId="77777777" w:rsidR="00F32BCE" w:rsidRDefault="00F32BCE" w:rsidP="00362B2C">
      <w:pPr>
        <w:pStyle w:val="FootnoteText"/>
      </w:pPr>
      <w:r>
        <w:rPr>
          <w:rStyle w:val="FootnoteReference"/>
        </w:rPr>
        <w:footnoteRef/>
      </w:r>
      <w:r>
        <w:t xml:space="preserve"> </w:t>
      </w:r>
      <w:r w:rsidRPr="00A724B7">
        <w:rPr>
          <w:rFonts w:ascii="Times New Roman" w:hAnsi="Times New Roman"/>
        </w:rPr>
        <w:t>Part 29 of the Act contains additional requirements in relation to the notification of certain decisions under the scheme.</w:t>
      </w:r>
    </w:p>
  </w:footnote>
  <w:footnote w:id="26">
    <w:p w14:paraId="0B4AF14B" w14:textId="77777777" w:rsidR="00F32BCE" w:rsidRDefault="00F32BCE" w:rsidP="00362B2C">
      <w:pPr>
        <w:pStyle w:val="FootnoteText"/>
      </w:pPr>
      <w:r>
        <w:rPr>
          <w:rStyle w:val="FootnoteReference"/>
        </w:rPr>
        <w:footnoteRef/>
      </w:r>
      <w:r>
        <w:t xml:space="preserve"> </w:t>
      </w:r>
      <w:r w:rsidRPr="00A724B7">
        <w:rPr>
          <w:rFonts w:ascii="Times New Roman" w:hAnsi="Times New Roman"/>
        </w:rPr>
        <w:t>Part 29 of the Act contains additional requirements in relation to the notification of certain decisions under the scheme.</w:t>
      </w:r>
    </w:p>
  </w:footnote>
  <w:footnote w:id="27">
    <w:p w14:paraId="1E22A861" w14:textId="3913B948" w:rsidR="00F32BCE" w:rsidRDefault="00F32BCE">
      <w:pPr>
        <w:pStyle w:val="FootnoteText"/>
      </w:pPr>
      <w:r>
        <w:rPr>
          <w:rStyle w:val="FootnoteReference"/>
        </w:rPr>
        <w:footnoteRef/>
      </w:r>
      <w:r>
        <w:t xml:space="preserve"> See section 299A of the Act.</w:t>
      </w:r>
    </w:p>
  </w:footnote>
  <w:footnote w:id="28">
    <w:p w14:paraId="56DCF418" w14:textId="1D540340" w:rsidR="00F32BCE" w:rsidRDefault="00F32BCE">
      <w:pPr>
        <w:pStyle w:val="FootnoteText"/>
      </w:pPr>
      <w:r>
        <w:rPr>
          <w:rStyle w:val="FootnoteReference"/>
        </w:rPr>
        <w:footnoteRef/>
      </w:r>
      <w:r>
        <w:t xml:space="preserve"> See paragraphs 4(1)(d) and 5(1)(d) of the </w:t>
      </w:r>
      <w:r w:rsidRPr="001B52E9">
        <w:rPr>
          <w:i/>
          <w:iCs/>
        </w:rPr>
        <w:t>Telecommunications (Integrated Public Number Database Scheme – Criteria for Deciding Authorisation Applications) Instrument 2007 (No. 1</w:t>
      </w:r>
      <w:r>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F32BCE" w:rsidRDefault="00F32BCE">
    <w:pPr>
      <w:pStyle w:val="Header"/>
    </w:pPr>
  </w:p>
  <w:p w14:paraId="1FE48E17" w14:textId="77777777" w:rsidR="00F32BCE" w:rsidRPr="00AD3414" w:rsidRDefault="00F32BCE">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910C" w14:textId="279F33DC" w:rsidR="00F32BCE" w:rsidRPr="00DA438E" w:rsidRDefault="00F32BCE" w:rsidP="00DA438E">
    <w:pPr>
      <w:pStyle w:val="Header"/>
      <w:ind w:left="720"/>
      <w:jc w:val="right"/>
      <w:rPr>
        <w:rFonts w:ascii="Times New Roman" w:hAnsi="Times New Roman" w:cs="Times New Roman"/>
        <w:b/>
      </w:rPr>
    </w:pPr>
    <w:r>
      <w:rPr>
        <w:rFonts w:ascii="Times New Roman" w:hAnsi="Times New Roman" w:cs="Times New Roman"/>
        <w:b/>
      </w:rPr>
      <w:t>ATTACHMENT B</w:t>
    </w:r>
  </w:p>
  <w:p w14:paraId="34C75780" w14:textId="77777777" w:rsidR="00F32BCE" w:rsidRDefault="00F32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2EAFEC2"/>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FFFFFF89"/>
    <w:multiLevelType w:val="singleLevel"/>
    <w:tmpl w:val="0FBE69F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40728D4"/>
    <w:multiLevelType w:val="hybridMultilevel"/>
    <w:tmpl w:val="ECCAC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A2396"/>
    <w:multiLevelType w:val="hybridMultilevel"/>
    <w:tmpl w:val="FA6E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1043F"/>
    <w:multiLevelType w:val="hybridMultilevel"/>
    <w:tmpl w:val="027CD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96198"/>
    <w:multiLevelType w:val="hybridMultilevel"/>
    <w:tmpl w:val="A79A2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930A0"/>
    <w:multiLevelType w:val="hybridMultilevel"/>
    <w:tmpl w:val="35CE682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890E66"/>
    <w:multiLevelType w:val="hybridMultilevel"/>
    <w:tmpl w:val="2A92A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1146CA"/>
    <w:multiLevelType w:val="hybridMultilevel"/>
    <w:tmpl w:val="FF00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9A38B6"/>
    <w:multiLevelType w:val="hybridMultilevel"/>
    <w:tmpl w:val="CC7AD9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B4F5986"/>
    <w:multiLevelType w:val="hybridMultilevel"/>
    <w:tmpl w:val="46EC5F4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C4F2C50"/>
    <w:multiLevelType w:val="hybridMultilevel"/>
    <w:tmpl w:val="68B45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852B44"/>
    <w:multiLevelType w:val="hybridMultilevel"/>
    <w:tmpl w:val="30A2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921548"/>
    <w:multiLevelType w:val="hybridMultilevel"/>
    <w:tmpl w:val="4528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D1546"/>
    <w:multiLevelType w:val="hybridMultilevel"/>
    <w:tmpl w:val="8C08A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624D83"/>
    <w:multiLevelType w:val="hybridMultilevel"/>
    <w:tmpl w:val="DE342C9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3955BD"/>
    <w:multiLevelType w:val="hybridMultilevel"/>
    <w:tmpl w:val="D9648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9734D4"/>
    <w:multiLevelType w:val="hybridMultilevel"/>
    <w:tmpl w:val="C9DEED16"/>
    <w:lvl w:ilvl="0" w:tplc="26CE0246">
      <w:start w:val="1"/>
      <w:numFmt w:val="decimal"/>
      <w:lvlText w:val="%1."/>
      <w:lvlJc w:val="left"/>
      <w:pPr>
        <w:ind w:left="720" w:hanging="360"/>
      </w:pPr>
    </w:lvl>
    <w:lvl w:ilvl="1" w:tplc="7E6E9F9A" w:tentative="1">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19" w15:restartNumberingAfterBreak="0">
    <w:nsid w:val="2FF21BAC"/>
    <w:multiLevelType w:val="hybridMultilevel"/>
    <w:tmpl w:val="893C32F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3DF3CDA"/>
    <w:multiLevelType w:val="hybridMultilevel"/>
    <w:tmpl w:val="552A9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4E2F22"/>
    <w:multiLevelType w:val="hybridMultilevel"/>
    <w:tmpl w:val="F4CE2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971DA6"/>
    <w:multiLevelType w:val="hybridMultilevel"/>
    <w:tmpl w:val="3B22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B87744"/>
    <w:multiLevelType w:val="hybridMultilevel"/>
    <w:tmpl w:val="8320F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E2C28"/>
    <w:multiLevelType w:val="hybridMultilevel"/>
    <w:tmpl w:val="0C940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2F7D6B"/>
    <w:multiLevelType w:val="hybridMultilevel"/>
    <w:tmpl w:val="91701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E50A59"/>
    <w:multiLevelType w:val="hybridMultilevel"/>
    <w:tmpl w:val="DBC83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0D7676"/>
    <w:multiLevelType w:val="hybridMultilevel"/>
    <w:tmpl w:val="9E2A20F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4554157"/>
    <w:multiLevelType w:val="hybridMultilevel"/>
    <w:tmpl w:val="1AD4A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30" w15:restartNumberingAfterBreak="0">
    <w:nsid w:val="48AA5880"/>
    <w:multiLevelType w:val="hybridMultilevel"/>
    <w:tmpl w:val="F6ACC87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8DD1A3D"/>
    <w:multiLevelType w:val="hybridMultilevel"/>
    <w:tmpl w:val="D6F65402"/>
    <w:lvl w:ilvl="0" w:tplc="7D688E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806A01"/>
    <w:multiLevelType w:val="hybridMultilevel"/>
    <w:tmpl w:val="0D421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7822D0"/>
    <w:multiLevelType w:val="hybridMultilevel"/>
    <w:tmpl w:val="E6500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563454"/>
    <w:multiLevelType w:val="hybridMultilevel"/>
    <w:tmpl w:val="35F68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C65C86"/>
    <w:multiLevelType w:val="hybridMultilevel"/>
    <w:tmpl w:val="AE42AC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5D50A24"/>
    <w:multiLevelType w:val="hybridMultilevel"/>
    <w:tmpl w:val="70B2B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D86631"/>
    <w:multiLevelType w:val="hybridMultilevel"/>
    <w:tmpl w:val="48DA3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1411A3"/>
    <w:multiLevelType w:val="hybridMultilevel"/>
    <w:tmpl w:val="7604F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0F1EBB"/>
    <w:multiLevelType w:val="hybridMultilevel"/>
    <w:tmpl w:val="7D2C9B3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3A74116"/>
    <w:multiLevelType w:val="hybridMultilevel"/>
    <w:tmpl w:val="6AAE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15EF5"/>
    <w:multiLevelType w:val="hybridMultilevel"/>
    <w:tmpl w:val="57EA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EE3A0D"/>
    <w:multiLevelType w:val="hybridMultilevel"/>
    <w:tmpl w:val="A7EC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E53569"/>
    <w:multiLevelType w:val="hybridMultilevel"/>
    <w:tmpl w:val="94784C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1"/>
  </w:num>
  <w:num w:numId="3">
    <w:abstractNumId w:val="0"/>
  </w:num>
  <w:num w:numId="4">
    <w:abstractNumId w:val="25"/>
  </w:num>
  <w:num w:numId="5">
    <w:abstractNumId w:val="7"/>
  </w:num>
  <w:num w:numId="6">
    <w:abstractNumId w:val="5"/>
  </w:num>
  <w:num w:numId="7">
    <w:abstractNumId w:val="21"/>
  </w:num>
  <w:num w:numId="8">
    <w:abstractNumId w:val="13"/>
  </w:num>
  <w:num w:numId="9">
    <w:abstractNumId w:val="40"/>
  </w:num>
  <w:num w:numId="10">
    <w:abstractNumId w:val="3"/>
  </w:num>
  <w:num w:numId="11">
    <w:abstractNumId w:val="43"/>
  </w:num>
  <w:num w:numId="12">
    <w:abstractNumId w:val="20"/>
  </w:num>
  <w:num w:numId="13">
    <w:abstractNumId w:val="9"/>
  </w:num>
  <w:num w:numId="14">
    <w:abstractNumId w:val="34"/>
  </w:num>
  <w:num w:numId="15">
    <w:abstractNumId w:val="26"/>
  </w:num>
  <w:num w:numId="16">
    <w:abstractNumId w:val="36"/>
  </w:num>
  <w:num w:numId="17">
    <w:abstractNumId w:val="23"/>
  </w:num>
  <w:num w:numId="18">
    <w:abstractNumId w:val="18"/>
  </w:num>
  <w:num w:numId="19">
    <w:abstractNumId w:val="29"/>
  </w:num>
  <w:num w:numId="20">
    <w:abstractNumId w:val="14"/>
  </w:num>
  <w:num w:numId="21">
    <w:abstractNumId w:val="4"/>
  </w:num>
  <w:num w:numId="22">
    <w:abstractNumId w:val="12"/>
  </w:num>
  <w:num w:numId="23">
    <w:abstractNumId w:val="31"/>
  </w:num>
  <w:num w:numId="24">
    <w:abstractNumId w:val="2"/>
  </w:num>
  <w:num w:numId="25">
    <w:abstractNumId w:val="33"/>
  </w:num>
  <w:num w:numId="26">
    <w:abstractNumId w:val="24"/>
  </w:num>
  <w:num w:numId="27">
    <w:abstractNumId w:val="22"/>
  </w:num>
  <w:num w:numId="28">
    <w:abstractNumId w:val="28"/>
  </w:num>
  <w:num w:numId="29">
    <w:abstractNumId w:val="41"/>
  </w:num>
  <w:num w:numId="30">
    <w:abstractNumId w:val="8"/>
  </w:num>
  <w:num w:numId="31">
    <w:abstractNumId w:val="35"/>
  </w:num>
  <w:num w:numId="32">
    <w:abstractNumId w:val="37"/>
  </w:num>
  <w:num w:numId="33">
    <w:abstractNumId w:val="38"/>
  </w:num>
  <w:num w:numId="34">
    <w:abstractNumId w:val="11"/>
  </w:num>
  <w:num w:numId="35">
    <w:abstractNumId w:val="32"/>
  </w:num>
  <w:num w:numId="36">
    <w:abstractNumId w:val="17"/>
  </w:num>
  <w:num w:numId="37">
    <w:abstractNumId w:val="39"/>
  </w:num>
  <w:num w:numId="38">
    <w:abstractNumId w:val="42"/>
  </w:num>
  <w:num w:numId="39">
    <w:abstractNumId w:val="30"/>
  </w:num>
  <w:num w:numId="40">
    <w:abstractNumId w:val="15"/>
  </w:num>
  <w:num w:numId="41">
    <w:abstractNumId w:val="27"/>
  </w:num>
  <w:num w:numId="42">
    <w:abstractNumId w:val="19"/>
  </w:num>
  <w:num w:numId="43">
    <w:abstractNumId w:val="10"/>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63A"/>
    <w:rsid w:val="00003720"/>
    <w:rsid w:val="00010EB9"/>
    <w:rsid w:val="000124F9"/>
    <w:rsid w:val="00013079"/>
    <w:rsid w:val="0001490E"/>
    <w:rsid w:val="00025ACE"/>
    <w:rsid w:val="00027FE5"/>
    <w:rsid w:val="0003471B"/>
    <w:rsid w:val="0003484B"/>
    <w:rsid w:val="00034F9F"/>
    <w:rsid w:val="00035E82"/>
    <w:rsid w:val="00037F0E"/>
    <w:rsid w:val="00057943"/>
    <w:rsid w:val="000639D7"/>
    <w:rsid w:val="00066F3A"/>
    <w:rsid w:val="00070D91"/>
    <w:rsid w:val="000726C7"/>
    <w:rsid w:val="00074A8D"/>
    <w:rsid w:val="00075D68"/>
    <w:rsid w:val="00080A91"/>
    <w:rsid w:val="00082354"/>
    <w:rsid w:val="00082B60"/>
    <w:rsid w:val="00082CF5"/>
    <w:rsid w:val="00092BAE"/>
    <w:rsid w:val="00095AB3"/>
    <w:rsid w:val="00095ADA"/>
    <w:rsid w:val="000A3356"/>
    <w:rsid w:val="000A3A94"/>
    <w:rsid w:val="000B02C5"/>
    <w:rsid w:val="000B0BA7"/>
    <w:rsid w:val="000B33B6"/>
    <w:rsid w:val="000B4B6C"/>
    <w:rsid w:val="000C6436"/>
    <w:rsid w:val="000D1B46"/>
    <w:rsid w:val="000D4ECE"/>
    <w:rsid w:val="000E1D10"/>
    <w:rsid w:val="000E38C9"/>
    <w:rsid w:val="000E47F2"/>
    <w:rsid w:val="000E501A"/>
    <w:rsid w:val="000F17B8"/>
    <w:rsid w:val="000F1C4F"/>
    <w:rsid w:val="000F21AB"/>
    <w:rsid w:val="000F314C"/>
    <w:rsid w:val="000F6255"/>
    <w:rsid w:val="00101BA1"/>
    <w:rsid w:val="00104130"/>
    <w:rsid w:val="001062F4"/>
    <w:rsid w:val="00112987"/>
    <w:rsid w:val="00117351"/>
    <w:rsid w:val="00121B9E"/>
    <w:rsid w:val="00122072"/>
    <w:rsid w:val="001256CC"/>
    <w:rsid w:val="00132FE0"/>
    <w:rsid w:val="00134705"/>
    <w:rsid w:val="001352F6"/>
    <w:rsid w:val="001366A9"/>
    <w:rsid w:val="00136901"/>
    <w:rsid w:val="0014015C"/>
    <w:rsid w:val="00142AF3"/>
    <w:rsid w:val="00145CE8"/>
    <w:rsid w:val="00146A0C"/>
    <w:rsid w:val="00151645"/>
    <w:rsid w:val="00155C2C"/>
    <w:rsid w:val="0016002A"/>
    <w:rsid w:val="00161C73"/>
    <w:rsid w:val="00161EAE"/>
    <w:rsid w:val="00171280"/>
    <w:rsid w:val="001712C3"/>
    <w:rsid w:val="001717F5"/>
    <w:rsid w:val="00177CC0"/>
    <w:rsid w:val="001801C9"/>
    <w:rsid w:val="00185BDC"/>
    <w:rsid w:val="001B0426"/>
    <w:rsid w:val="001B30E3"/>
    <w:rsid w:val="001B396D"/>
    <w:rsid w:val="001B52E9"/>
    <w:rsid w:val="001C12A1"/>
    <w:rsid w:val="001C4BF8"/>
    <w:rsid w:val="001C5421"/>
    <w:rsid w:val="001C6006"/>
    <w:rsid w:val="001C6A24"/>
    <w:rsid w:val="001D5494"/>
    <w:rsid w:val="001D5C25"/>
    <w:rsid w:val="001F2971"/>
    <w:rsid w:val="001F46CD"/>
    <w:rsid w:val="00210FDF"/>
    <w:rsid w:val="00212847"/>
    <w:rsid w:val="00231E1C"/>
    <w:rsid w:val="00232611"/>
    <w:rsid w:val="00234108"/>
    <w:rsid w:val="00234904"/>
    <w:rsid w:val="00241722"/>
    <w:rsid w:val="0024502E"/>
    <w:rsid w:val="002508F7"/>
    <w:rsid w:val="0025102F"/>
    <w:rsid w:val="00256ACC"/>
    <w:rsid w:val="00260680"/>
    <w:rsid w:val="00260951"/>
    <w:rsid w:val="002625BE"/>
    <w:rsid w:val="00265C26"/>
    <w:rsid w:val="00271CC5"/>
    <w:rsid w:val="002724AC"/>
    <w:rsid w:val="002738E4"/>
    <w:rsid w:val="00281272"/>
    <w:rsid w:val="00286B4C"/>
    <w:rsid w:val="002878CA"/>
    <w:rsid w:val="002A02C7"/>
    <w:rsid w:val="002A0898"/>
    <w:rsid w:val="002A3C7B"/>
    <w:rsid w:val="002A6083"/>
    <w:rsid w:val="002B19E0"/>
    <w:rsid w:val="002B5308"/>
    <w:rsid w:val="002B6032"/>
    <w:rsid w:val="002B623E"/>
    <w:rsid w:val="002B6699"/>
    <w:rsid w:val="002C2256"/>
    <w:rsid w:val="002C445D"/>
    <w:rsid w:val="002C4BDC"/>
    <w:rsid w:val="002D036D"/>
    <w:rsid w:val="002D3AE4"/>
    <w:rsid w:val="002E02CF"/>
    <w:rsid w:val="002E0D7E"/>
    <w:rsid w:val="002E3738"/>
    <w:rsid w:val="002E3B2A"/>
    <w:rsid w:val="002E4D08"/>
    <w:rsid w:val="002F2811"/>
    <w:rsid w:val="002F2F85"/>
    <w:rsid w:val="002F36E0"/>
    <w:rsid w:val="003001EE"/>
    <w:rsid w:val="00305B93"/>
    <w:rsid w:val="00310D3B"/>
    <w:rsid w:val="003112D8"/>
    <w:rsid w:val="00320BC2"/>
    <w:rsid w:val="00322A28"/>
    <w:rsid w:val="00325302"/>
    <w:rsid w:val="00332744"/>
    <w:rsid w:val="00332DCD"/>
    <w:rsid w:val="00333684"/>
    <w:rsid w:val="0034220A"/>
    <w:rsid w:val="003434D4"/>
    <w:rsid w:val="0034369F"/>
    <w:rsid w:val="0034739B"/>
    <w:rsid w:val="00350FC7"/>
    <w:rsid w:val="00352133"/>
    <w:rsid w:val="00353DFE"/>
    <w:rsid w:val="003611B2"/>
    <w:rsid w:val="00362B2C"/>
    <w:rsid w:val="00365F98"/>
    <w:rsid w:val="0036752E"/>
    <w:rsid w:val="00370620"/>
    <w:rsid w:val="00371E23"/>
    <w:rsid w:val="00372A5F"/>
    <w:rsid w:val="00375FA7"/>
    <w:rsid w:val="00385EF1"/>
    <w:rsid w:val="00390CC0"/>
    <w:rsid w:val="00393209"/>
    <w:rsid w:val="0039743B"/>
    <w:rsid w:val="0039780A"/>
    <w:rsid w:val="003A1ECA"/>
    <w:rsid w:val="003A3635"/>
    <w:rsid w:val="003A5D56"/>
    <w:rsid w:val="003A7407"/>
    <w:rsid w:val="003B3D92"/>
    <w:rsid w:val="003B7E88"/>
    <w:rsid w:val="003C1955"/>
    <w:rsid w:val="003C2F82"/>
    <w:rsid w:val="003C44B4"/>
    <w:rsid w:val="003C71F0"/>
    <w:rsid w:val="003D4866"/>
    <w:rsid w:val="003D549D"/>
    <w:rsid w:val="003D74BE"/>
    <w:rsid w:val="003E1262"/>
    <w:rsid w:val="003E5A60"/>
    <w:rsid w:val="003F0434"/>
    <w:rsid w:val="003F768F"/>
    <w:rsid w:val="00400A28"/>
    <w:rsid w:val="0040392C"/>
    <w:rsid w:val="0041003E"/>
    <w:rsid w:val="0041035E"/>
    <w:rsid w:val="00415B30"/>
    <w:rsid w:val="00415F4C"/>
    <w:rsid w:val="0042003F"/>
    <w:rsid w:val="00420B6E"/>
    <w:rsid w:val="00422991"/>
    <w:rsid w:val="004267C1"/>
    <w:rsid w:val="00426CEF"/>
    <w:rsid w:val="004326BF"/>
    <w:rsid w:val="00432E9B"/>
    <w:rsid w:val="004348C0"/>
    <w:rsid w:val="004362E3"/>
    <w:rsid w:val="00436376"/>
    <w:rsid w:val="004371F0"/>
    <w:rsid w:val="0044212C"/>
    <w:rsid w:val="00450339"/>
    <w:rsid w:val="00450F48"/>
    <w:rsid w:val="00454767"/>
    <w:rsid w:val="0045489F"/>
    <w:rsid w:val="00457920"/>
    <w:rsid w:val="00457C2D"/>
    <w:rsid w:val="00465F6F"/>
    <w:rsid w:val="004724CF"/>
    <w:rsid w:val="0047387B"/>
    <w:rsid w:val="00473F2A"/>
    <w:rsid w:val="00474889"/>
    <w:rsid w:val="004826DD"/>
    <w:rsid w:val="00485353"/>
    <w:rsid w:val="004879B2"/>
    <w:rsid w:val="00496274"/>
    <w:rsid w:val="004971D6"/>
    <w:rsid w:val="004A0418"/>
    <w:rsid w:val="004A1064"/>
    <w:rsid w:val="004A6FDA"/>
    <w:rsid w:val="004A74DF"/>
    <w:rsid w:val="004B1657"/>
    <w:rsid w:val="004B1AFC"/>
    <w:rsid w:val="004B4CAD"/>
    <w:rsid w:val="004B74C1"/>
    <w:rsid w:val="004C0ADD"/>
    <w:rsid w:val="004C1888"/>
    <w:rsid w:val="004C6F0E"/>
    <w:rsid w:val="004C6F3B"/>
    <w:rsid w:val="004D2843"/>
    <w:rsid w:val="004D54F3"/>
    <w:rsid w:val="004E5873"/>
    <w:rsid w:val="004E790E"/>
    <w:rsid w:val="00500944"/>
    <w:rsid w:val="00502217"/>
    <w:rsid w:val="00502644"/>
    <w:rsid w:val="00503048"/>
    <w:rsid w:val="0050389F"/>
    <w:rsid w:val="005048B6"/>
    <w:rsid w:val="00524A96"/>
    <w:rsid w:val="0052687A"/>
    <w:rsid w:val="00526987"/>
    <w:rsid w:val="00527870"/>
    <w:rsid w:val="005306D9"/>
    <w:rsid w:val="00530F5F"/>
    <w:rsid w:val="00531958"/>
    <w:rsid w:val="005330CD"/>
    <w:rsid w:val="005362AC"/>
    <w:rsid w:val="00536ACA"/>
    <w:rsid w:val="00536B11"/>
    <w:rsid w:val="00542BC9"/>
    <w:rsid w:val="00547CDD"/>
    <w:rsid w:val="005527CF"/>
    <w:rsid w:val="00556226"/>
    <w:rsid w:val="0055790B"/>
    <w:rsid w:val="00564940"/>
    <w:rsid w:val="00567503"/>
    <w:rsid w:val="005708A2"/>
    <w:rsid w:val="00570974"/>
    <w:rsid w:val="0057187F"/>
    <w:rsid w:val="005768A8"/>
    <w:rsid w:val="005804B8"/>
    <w:rsid w:val="005816C2"/>
    <w:rsid w:val="005834C9"/>
    <w:rsid w:val="00583F9B"/>
    <w:rsid w:val="00587894"/>
    <w:rsid w:val="00590231"/>
    <w:rsid w:val="005958D6"/>
    <w:rsid w:val="005964CF"/>
    <w:rsid w:val="005965FF"/>
    <w:rsid w:val="00596ADF"/>
    <w:rsid w:val="00597A15"/>
    <w:rsid w:val="005A6693"/>
    <w:rsid w:val="005B33FF"/>
    <w:rsid w:val="005B4E25"/>
    <w:rsid w:val="005B56A1"/>
    <w:rsid w:val="005B7FF3"/>
    <w:rsid w:val="005C5586"/>
    <w:rsid w:val="005C65EB"/>
    <w:rsid w:val="005D3F9E"/>
    <w:rsid w:val="005D6A33"/>
    <w:rsid w:val="005E0C50"/>
    <w:rsid w:val="005E6B2C"/>
    <w:rsid w:val="005F46B4"/>
    <w:rsid w:val="005F5BE6"/>
    <w:rsid w:val="00602FE7"/>
    <w:rsid w:val="00603B3F"/>
    <w:rsid w:val="0060726C"/>
    <w:rsid w:val="00612606"/>
    <w:rsid w:val="006204E8"/>
    <w:rsid w:val="00621BB9"/>
    <w:rsid w:val="00624A7F"/>
    <w:rsid w:val="0063153D"/>
    <w:rsid w:val="00641906"/>
    <w:rsid w:val="0064615E"/>
    <w:rsid w:val="00652D36"/>
    <w:rsid w:val="006559FB"/>
    <w:rsid w:val="00657CF8"/>
    <w:rsid w:val="00663AF2"/>
    <w:rsid w:val="006659A8"/>
    <w:rsid w:val="00665EC9"/>
    <w:rsid w:val="00666104"/>
    <w:rsid w:val="00670716"/>
    <w:rsid w:val="00671216"/>
    <w:rsid w:val="00676F97"/>
    <w:rsid w:val="00681986"/>
    <w:rsid w:val="00686F06"/>
    <w:rsid w:val="0068714B"/>
    <w:rsid w:val="00687290"/>
    <w:rsid w:val="00687833"/>
    <w:rsid w:val="0069159B"/>
    <w:rsid w:val="006940DB"/>
    <w:rsid w:val="00695156"/>
    <w:rsid w:val="00696659"/>
    <w:rsid w:val="00696F91"/>
    <w:rsid w:val="006A0BDF"/>
    <w:rsid w:val="006A0EDD"/>
    <w:rsid w:val="006A0F1A"/>
    <w:rsid w:val="006A1B19"/>
    <w:rsid w:val="006A23E2"/>
    <w:rsid w:val="006A53BB"/>
    <w:rsid w:val="006B0962"/>
    <w:rsid w:val="006B2782"/>
    <w:rsid w:val="006B379D"/>
    <w:rsid w:val="006C1CA1"/>
    <w:rsid w:val="006C297F"/>
    <w:rsid w:val="006C4670"/>
    <w:rsid w:val="006C59D5"/>
    <w:rsid w:val="006C5B05"/>
    <w:rsid w:val="006D0604"/>
    <w:rsid w:val="006D62BC"/>
    <w:rsid w:val="006E0DED"/>
    <w:rsid w:val="006E2AD1"/>
    <w:rsid w:val="006F195C"/>
    <w:rsid w:val="006F26FD"/>
    <w:rsid w:val="006F32BF"/>
    <w:rsid w:val="006F3421"/>
    <w:rsid w:val="006F394C"/>
    <w:rsid w:val="007001D1"/>
    <w:rsid w:val="0070031C"/>
    <w:rsid w:val="00706F43"/>
    <w:rsid w:val="00713CC7"/>
    <w:rsid w:val="0071400B"/>
    <w:rsid w:val="007205F1"/>
    <w:rsid w:val="00740D41"/>
    <w:rsid w:val="00740FF7"/>
    <w:rsid w:val="007419E7"/>
    <w:rsid w:val="0074661C"/>
    <w:rsid w:val="00750397"/>
    <w:rsid w:val="00751492"/>
    <w:rsid w:val="00752BC6"/>
    <w:rsid w:val="00754471"/>
    <w:rsid w:val="00762327"/>
    <w:rsid w:val="00764734"/>
    <w:rsid w:val="00766475"/>
    <w:rsid w:val="007701C0"/>
    <w:rsid w:val="0077022B"/>
    <w:rsid w:val="0077364D"/>
    <w:rsid w:val="00776454"/>
    <w:rsid w:val="007769C6"/>
    <w:rsid w:val="0077761C"/>
    <w:rsid w:val="00777C47"/>
    <w:rsid w:val="00780F11"/>
    <w:rsid w:val="00794C5F"/>
    <w:rsid w:val="00797FD2"/>
    <w:rsid w:val="007A0103"/>
    <w:rsid w:val="007A2277"/>
    <w:rsid w:val="007A7D1A"/>
    <w:rsid w:val="007B01AC"/>
    <w:rsid w:val="007B2031"/>
    <w:rsid w:val="007B291D"/>
    <w:rsid w:val="007B2B5A"/>
    <w:rsid w:val="007D7850"/>
    <w:rsid w:val="007E169C"/>
    <w:rsid w:val="007E46BA"/>
    <w:rsid w:val="007F0589"/>
    <w:rsid w:val="007F4E39"/>
    <w:rsid w:val="007F5AAB"/>
    <w:rsid w:val="007F6256"/>
    <w:rsid w:val="008027E9"/>
    <w:rsid w:val="00805358"/>
    <w:rsid w:val="008070A8"/>
    <w:rsid w:val="00810499"/>
    <w:rsid w:val="0081166D"/>
    <w:rsid w:val="0081203C"/>
    <w:rsid w:val="008129B4"/>
    <w:rsid w:val="008138D2"/>
    <w:rsid w:val="00817C05"/>
    <w:rsid w:val="00820AEA"/>
    <w:rsid w:val="00820D8B"/>
    <w:rsid w:val="00821F3F"/>
    <w:rsid w:val="00822E8D"/>
    <w:rsid w:val="00824CDF"/>
    <w:rsid w:val="0082597E"/>
    <w:rsid w:val="00830FF0"/>
    <w:rsid w:val="008338DD"/>
    <w:rsid w:val="00840BDF"/>
    <w:rsid w:val="008441CF"/>
    <w:rsid w:val="0084470A"/>
    <w:rsid w:val="00844969"/>
    <w:rsid w:val="00845A6E"/>
    <w:rsid w:val="00851D4D"/>
    <w:rsid w:val="0085204D"/>
    <w:rsid w:val="0085628D"/>
    <w:rsid w:val="008737D6"/>
    <w:rsid w:val="0087707C"/>
    <w:rsid w:val="0087745F"/>
    <w:rsid w:val="00887F4D"/>
    <w:rsid w:val="00895DF6"/>
    <w:rsid w:val="008971DC"/>
    <w:rsid w:val="008B51F9"/>
    <w:rsid w:val="008B6EFB"/>
    <w:rsid w:val="008C584E"/>
    <w:rsid w:val="008C64C3"/>
    <w:rsid w:val="008D40CE"/>
    <w:rsid w:val="008D4A43"/>
    <w:rsid w:val="008E08B1"/>
    <w:rsid w:val="008E1182"/>
    <w:rsid w:val="008E3483"/>
    <w:rsid w:val="008E3AD5"/>
    <w:rsid w:val="008E59D3"/>
    <w:rsid w:val="008F40E4"/>
    <w:rsid w:val="008F4C58"/>
    <w:rsid w:val="008F7730"/>
    <w:rsid w:val="00900775"/>
    <w:rsid w:val="0090572C"/>
    <w:rsid w:val="0091080B"/>
    <w:rsid w:val="00926833"/>
    <w:rsid w:val="009310F8"/>
    <w:rsid w:val="00933C28"/>
    <w:rsid w:val="0093467A"/>
    <w:rsid w:val="009433D5"/>
    <w:rsid w:val="009557AA"/>
    <w:rsid w:val="00956EBF"/>
    <w:rsid w:val="0095707C"/>
    <w:rsid w:val="00961D68"/>
    <w:rsid w:val="009670B7"/>
    <w:rsid w:val="00971FFD"/>
    <w:rsid w:val="009723D1"/>
    <w:rsid w:val="009732C1"/>
    <w:rsid w:val="00975B11"/>
    <w:rsid w:val="00977705"/>
    <w:rsid w:val="00980143"/>
    <w:rsid w:val="00981F0E"/>
    <w:rsid w:val="00984ABD"/>
    <w:rsid w:val="009905D9"/>
    <w:rsid w:val="009907F5"/>
    <w:rsid w:val="00993C6D"/>
    <w:rsid w:val="009A60F0"/>
    <w:rsid w:val="009B0305"/>
    <w:rsid w:val="009B1E26"/>
    <w:rsid w:val="009B3B97"/>
    <w:rsid w:val="009B5430"/>
    <w:rsid w:val="009C2C51"/>
    <w:rsid w:val="009D1B28"/>
    <w:rsid w:val="009D5783"/>
    <w:rsid w:val="009D67A8"/>
    <w:rsid w:val="009D7E55"/>
    <w:rsid w:val="009E4199"/>
    <w:rsid w:val="009E5394"/>
    <w:rsid w:val="009E5D99"/>
    <w:rsid w:val="009F7219"/>
    <w:rsid w:val="009F7C8A"/>
    <w:rsid w:val="00A027E3"/>
    <w:rsid w:val="00A03502"/>
    <w:rsid w:val="00A079BF"/>
    <w:rsid w:val="00A07A2F"/>
    <w:rsid w:val="00A133BC"/>
    <w:rsid w:val="00A1424E"/>
    <w:rsid w:val="00A1715E"/>
    <w:rsid w:val="00A176A4"/>
    <w:rsid w:val="00A17F3E"/>
    <w:rsid w:val="00A20EE1"/>
    <w:rsid w:val="00A213A8"/>
    <w:rsid w:val="00A21F3E"/>
    <w:rsid w:val="00A24E39"/>
    <w:rsid w:val="00A339ED"/>
    <w:rsid w:val="00A351A7"/>
    <w:rsid w:val="00A35347"/>
    <w:rsid w:val="00A35A8B"/>
    <w:rsid w:val="00A37BFC"/>
    <w:rsid w:val="00A40FEB"/>
    <w:rsid w:val="00A47546"/>
    <w:rsid w:val="00A51409"/>
    <w:rsid w:val="00A53448"/>
    <w:rsid w:val="00A62BCD"/>
    <w:rsid w:val="00A64EC4"/>
    <w:rsid w:val="00A67075"/>
    <w:rsid w:val="00A67945"/>
    <w:rsid w:val="00A7023B"/>
    <w:rsid w:val="00A70EA1"/>
    <w:rsid w:val="00A72D1E"/>
    <w:rsid w:val="00A73E67"/>
    <w:rsid w:val="00A7547D"/>
    <w:rsid w:val="00A75745"/>
    <w:rsid w:val="00A82220"/>
    <w:rsid w:val="00A863D3"/>
    <w:rsid w:val="00A87BE8"/>
    <w:rsid w:val="00AA3BB3"/>
    <w:rsid w:val="00AA590A"/>
    <w:rsid w:val="00AA6088"/>
    <w:rsid w:val="00AB65E7"/>
    <w:rsid w:val="00AB7B83"/>
    <w:rsid w:val="00AC1202"/>
    <w:rsid w:val="00AC5ECC"/>
    <w:rsid w:val="00AD2225"/>
    <w:rsid w:val="00AD3414"/>
    <w:rsid w:val="00AD500F"/>
    <w:rsid w:val="00AD5F43"/>
    <w:rsid w:val="00AD779F"/>
    <w:rsid w:val="00AE2CB4"/>
    <w:rsid w:val="00AE6898"/>
    <w:rsid w:val="00AF080D"/>
    <w:rsid w:val="00AF25AD"/>
    <w:rsid w:val="00AF6545"/>
    <w:rsid w:val="00AF6EE5"/>
    <w:rsid w:val="00B00FC3"/>
    <w:rsid w:val="00B34B7C"/>
    <w:rsid w:val="00B378C7"/>
    <w:rsid w:val="00B4510D"/>
    <w:rsid w:val="00B4516D"/>
    <w:rsid w:val="00B45E71"/>
    <w:rsid w:val="00B4789E"/>
    <w:rsid w:val="00B52584"/>
    <w:rsid w:val="00B5704C"/>
    <w:rsid w:val="00B60EB2"/>
    <w:rsid w:val="00B665E6"/>
    <w:rsid w:val="00B72773"/>
    <w:rsid w:val="00B727F3"/>
    <w:rsid w:val="00B801D9"/>
    <w:rsid w:val="00B81312"/>
    <w:rsid w:val="00B87F24"/>
    <w:rsid w:val="00B90F17"/>
    <w:rsid w:val="00B9243C"/>
    <w:rsid w:val="00B94B30"/>
    <w:rsid w:val="00B95BAB"/>
    <w:rsid w:val="00B97B96"/>
    <w:rsid w:val="00BA2A56"/>
    <w:rsid w:val="00BA5A80"/>
    <w:rsid w:val="00BA7D17"/>
    <w:rsid w:val="00BB076E"/>
    <w:rsid w:val="00BB0B52"/>
    <w:rsid w:val="00BB1472"/>
    <w:rsid w:val="00BB1CF2"/>
    <w:rsid w:val="00BB2E09"/>
    <w:rsid w:val="00BB7A25"/>
    <w:rsid w:val="00BC0284"/>
    <w:rsid w:val="00BC0A3C"/>
    <w:rsid w:val="00BC2E8F"/>
    <w:rsid w:val="00BC5916"/>
    <w:rsid w:val="00BC5CC0"/>
    <w:rsid w:val="00BC621F"/>
    <w:rsid w:val="00BD21C8"/>
    <w:rsid w:val="00BD5D96"/>
    <w:rsid w:val="00BE11C8"/>
    <w:rsid w:val="00BE29C9"/>
    <w:rsid w:val="00BE36F5"/>
    <w:rsid w:val="00BE5552"/>
    <w:rsid w:val="00BE586E"/>
    <w:rsid w:val="00BE6564"/>
    <w:rsid w:val="00BF1BD3"/>
    <w:rsid w:val="00BF32B2"/>
    <w:rsid w:val="00C032F0"/>
    <w:rsid w:val="00C03503"/>
    <w:rsid w:val="00C10E3A"/>
    <w:rsid w:val="00C14338"/>
    <w:rsid w:val="00C14531"/>
    <w:rsid w:val="00C158C6"/>
    <w:rsid w:val="00C17DC2"/>
    <w:rsid w:val="00C20607"/>
    <w:rsid w:val="00C20621"/>
    <w:rsid w:val="00C21933"/>
    <w:rsid w:val="00C21C5A"/>
    <w:rsid w:val="00C224F1"/>
    <w:rsid w:val="00C23268"/>
    <w:rsid w:val="00C25804"/>
    <w:rsid w:val="00C26B18"/>
    <w:rsid w:val="00C27746"/>
    <w:rsid w:val="00C32740"/>
    <w:rsid w:val="00C36620"/>
    <w:rsid w:val="00C4065F"/>
    <w:rsid w:val="00C42B3D"/>
    <w:rsid w:val="00C43C06"/>
    <w:rsid w:val="00C50651"/>
    <w:rsid w:val="00C51FE4"/>
    <w:rsid w:val="00C52681"/>
    <w:rsid w:val="00C52755"/>
    <w:rsid w:val="00C54185"/>
    <w:rsid w:val="00C54907"/>
    <w:rsid w:val="00C55731"/>
    <w:rsid w:val="00C57807"/>
    <w:rsid w:val="00C57B54"/>
    <w:rsid w:val="00C57E29"/>
    <w:rsid w:val="00C617F3"/>
    <w:rsid w:val="00C63E8C"/>
    <w:rsid w:val="00C659A7"/>
    <w:rsid w:val="00C660C8"/>
    <w:rsid w:val="00C76FFC"/>
    <w:rsid w:val="00C80992"/>
    <w:rsid w:val="00C83E6C"/>
    <w:rsid w:val="00C84920"/>
    <w:rsid w:val="00C90BDE"/>
    <w:rsid w:val="00C91B21"/>
    <w:rsid w:val="00C91BD0"/>
    <w:rsid w:val="00C9259F"/>
    <w:rsid w:val="00C93BE2"/>
    <w:rsid w:val="00CA05B5"/>
    <w:rsid w:val="00CA3398"/>
    <w:rsid w:val="00CA40FA"/>
    <w:rsid w:val="00CA6926"/>
    <w:rsid w:val="00CA735C"/>
    <w:rsid w:val="00CB3AD5"/>
    <w:rsid w:val="00CB4572"/>
    <w:rsid w:val="00CC0EB1"/>
    <w:rsid w:val="00CC1956"/>
    <w:rsid w:val="00CC7189"/>
    <w:rsid w:val="00CC76E6"/>
    <w:rsid w:val="00CD08C8"/>
    <w:rsid w:val="00CD2A79"/>
    <w:rsid w:val="00CD71EB"/>
    <w:rsid w:val="00CD7D99"/>
    <w:rsid w:val="00CE06CA"/>
    <w:rsid w:val="00CE3214"/>
    <w:rsid w:val="00CE5063"/>
    <w:rsid w:val="00CE7279"/>
    <w:rsid w:val="00CE7818"/>
    <w:rsid w:val="00CF16C1"/>
    <w:rsid w:val="00CF744A"/>
    <w:rsid w:val="00D06CF5"/>
    <w:rsid w:val="00D10935"/>
    <w:rsid w:val="00D13D39"/>
    <w:rsid w:val="00D222F3"/>
    <w:rsid w:val="00D22DB1"/>
    <w:rsid w:val="00D2518B"/>
    <w:rsid w:val="00D25FC1"/>
    <w:rsid w:val="00D27077"/>
    <w:rsid w:val="00D32E4E"/>
    <w:rsid w:val="00D347B0"/>
    <w:rsid w:val="00D352B8"/>
    <w:rsid w:val="00D35790"/>
    <w:rsid w:val="00D36258"/>
    <w:rsid w:val="00D36348"/>
    <w:rsid w:val="00D370F2"/>
    <w:rsid w:val="00D37C67"/>
    <w:rsid w:val="00D4142F"/>
    <w:rsid w:val="00D439BC"/>
    <w:rsid w:val="00D51E22"/>
    <w:rsid w:val="00D52CF6"/>
    <w:rsid w:val="00D5385A"/>
    <w:rsid w:val="00D55281"/>
    <w:rsid w:val="00D554C1"/>
    <w:rsid w:val="00D57387"/>
    <w:rsid w:val="00D66519"/>
    <w:rsid w:val="00D667E4"/>
    <w:rsid w:val="00D6777C"/>
    <w:rsid w:val="00D82392"/>
    <w:rsid w:val="00D829A1"/>
    <w:rsid w:val="00D83A82"/>
    <w:rsid w:val="00D85D19"/>
    <w:rsid w:val="00D91F40"/>
    <w:rsid w:val="00DA0C01"/>
    <w:rsid w:val="00DA0D39"/>
    <w:rsid w:val="00DA34AA"/>
    <w:rsid w:val="00DA438E"/>
    <w:rsid w:val="00DA6568"/>
    <w:rsid w:val="00DA75AA"/>
    <w:rsid w:val="00DB296B"/>
    <w:rsid w:val="00DB36EA"/>
    <w:rsid w:val="00DB4A50"/>
    <w:rsid w:val="00DB70B9"/>
    <w:rsid w:val="00DC2993"/>
    <w:rsid w:val="00DC4883"/>
    <w:rsid w:val="00DC61F9"/>
    <w:rsid w:val="00DC6E87"/>
    <w:rsid w:val="00DD1505"/>
    <w:rsid w:val="00DE3A27"/>
    <w:rsid w:val="00DE6BCB"/>
    <w:rsid w:val="00DF2758"/>
    <w:rsid w:val="00DF37FD"/>
    <w:rsid w:val="00DF4553"/>
    <w:rsid w:val="00DF714A"/>
    <w:rsid w:val="00DF7559"/>
    <w:rsid w:val="00E0731B"/>
    <w:rsid w:val="00E151DE"/>
    <w:rsid w:val="00E31DD6"/>
    <w:rsid w:val="00E32526"/>
    <w:rsid w:val="00E34092"/>
    <w:rsid w:val="00E3769C"/>
    <w:rsid w:val="00E4296A"/>
    <w:rsid w:val="00E43B53"/>
    <w:rsid w:val="00E45CDB"/>
    <w:rsid w:val="00E4611D"/>
    <w:rsid w:val="00E5030B"/>
    <w:rsid w:val="00E54CCA"/>
    <w:rsid w:val="00E5646F"/>
    <w:rsid w:val="00E61B3B"/>
    <w:rsid w:val="00E62C44"/>
    <w:rsid w:val="00E62F4D"/>
    <w:rsid w:val="00E6340F"/>
    <w:rsid w:val="00E677DC"/>
    <w:rsid w:val="00E70FEB"/>
    <w:rsid w:val="00E742C6"/>
    <w:rsid w:val="00E833DA"/>
    <w:rsid w:val="00E846B0"/>
    <w:rsid w:val="00E85FFE"/>
    <w:rsid w:val="00E868B7"/>
    <w:rsid w:val="00E87C78"/>
    <w:rsid w:val="00E97964"/>
    <w:rsid w:val="00EA2CEA"/>
    <w:rsid w:val="00EB0C79"/>
    <w:rsid w:val="00EB62D7"/>
    <w:rsid w:val="00EB66AE"/>
    <w:rsid w:val="00EB6921"/>
    <w:rsid w:val="00EC26AF"/>
    <w:rsid w:val="00EC54C3"/>
    <w:rsid w:val="00EC76A0"/>
    <w:rsid w:val="00ED381E"/>
    <w:rsid w:val="00ED7D6D"/>
    <w:rsid w:val="00EE5E7F"/>
    <w:rsid w:val="00EF5192"/>
    <w:rsid w:val="00F073D0"/>
    <w:rsid w:val="00F11440"/>
    <w:rsid w:val="00F1596D"/>
    <w:rsid w:val="00F17031"/>
    <w:rsid w:val="00F179BB"/>
    <w:rsid w:val="00F2149F"/>
    <w:rsid w:val="00F2676E"/>
    <w:rsid w:val="00F32BCE"/>
    <w:rsid w:val="00F33AC4"/>
    <w:rsid w:val="00F33BD8"/>
    <w:rsid w:val="00F35647"/>
    <w:rsid w:val="00F3628B"/>
    <w:rsid w:val="00F37004"/>
    <w:rsid w:val="00F406BB"/>
    <w:rsid w:val="00F4414D"/>
    <w:rsid w:val="00F44E60"/>
    <w:rsid w:val="00F458C9"/>
    <w:rsid w:val="00F533BE"/>
    <w:rsid w:val="00F56BC6"/>
    <w:rsid w:val="00F61E9D"/>
    <w:rsid w:val="00F65EE0"/>
    <w:rsid w:val="00F675AA"/>
    <w:rsid w:val="00F7098B"/>
    <w:rsid w:val="00F74A4F"/>
    <w:rsid w:val="00F74FF0"/>
    <w:rsid w:val="00F758C2"/>
    <w:rsid w:val="00F75B09"/>
    <w:rsid w:val="00F75D16"/>
    <w:rsid w:val="00F76815"/>
    <w:rsid w:val="00F81AFD"/>
    <w:rsid w:val="00F9371A"/>
    <w:rsid w:val="00F96B92"/>
    <w:rsid w:val="00F971B5"/>
    <w:rsid w:val="00FA498B"/>
    <w:rsid w:val="00FB4437"/>
    <w:rsid w:val="00FB7DF7"/>
    <w:rsid w:val="00FC0BF3"/>
    <w:rsid w:val="00FC4209"/>
    <w:rsid w:val="00FC67DA"/>
    <w:rsid w:val="00FC74EF"/>
    <w:rsid w:val="00FD6135"/>
    <w:rsid w:val="00FD6521"/>
    <w:rsid w:val="00FE29E8"/>
    <w:rsid w:val="00FF3397"/>
    <w:rsid w:val="00FF469C"/>
    <w:rsid w:val="00FF4926"/>
    <w:rsid w:val="00FF4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qFormat/>
    <w:rsid w:val="00845A6E"/>
    <w:pPr>
      <w:numPr>
        <w:numId w:val="2"/>
      </w:numPr>
      <w:spacing w:after="80" w:line="240" w:lineRule="atLeast"/>
    </w:pPr>
    <w:rPr>
      <w:rFonts w:ascii="Arial" w:eastAsia="Times New Roman" w:hAnsi="Arial" w:cs="Times New Roman"/>
      <w:sz w:val="20"/>
      <w:szCs w:val="24"/>
      <w:lang w:eastAsia="en-AU"/>
    </w:rPr>
  </w:style>
  <w:style w:type="paragraph" w:styleId="ListBullet2">
    <w:name w:val="List Bullet 2"/>
    <w:basedOn w:val="Normal"/>
    <w:qFormat/>
    <w:rsid w:val="00845A6E"/>
    <w:pPr>
      <w:numPr>
        <w:numId w:val="3"/>
      </w:numPr>
      <w:spacing w:after="80" w:line="240" w:lineRule="atLeast"/>
    </w:pPr>
    <w:rPr>
      <w:rFonts w:ascii="Arial" w:eastAsia="Times New Roman" w:hAnsi="Arial" w:cs="Times New Roman"/>
      <w:sz w:val="20"/>
      <w:szCs w:val="24"/>
      <w:lang w:eastAsia="en-AU"/>
    </w:rPr>
  </w:style>
  <w:style w:type="character" w:styleId="FootnoteReference">
    <w:name w:val="footnote reference"/>
    <w:basedOn w:val="DefaultParagraphFont"/>
    <w:uiPriority w:val="99"/>
    <w:rsid w:val="00845A6E"/>
    <w:rPr>
      <w:rFonts w:ascii="Arial" w:hAnsi="Arial"/>
      <w:vertAlign w:val="superscript"/>
    </w:rPr>
  </w:style>
  <w:style w:type="paragraph" w:styleId="FootnoteText">
    <w:name w:val="footnote text"/>
    <w:basedOn w:val="Normal"/>
    <w:link w:val="FootnoteTextChar"/>
    <w:uiPriority w:val="99"/>
    <w:rsid w:val="00845A6E"/>
    <w:pPr>
      <w:spacing w:after="0" w:line="200" w:lineRule="atLeast"/>
    </w:pPr>
    <w:rPr>
      <w:rFonts w:ascii="Arial" w:eastAsia="Times New Roman" w:hAnsi="Arial" w:cs="Times New Roman"/>
      <w:sz w:val="16"/>
      <w:szCs w:val="16"/>
      <w:lang w:eastAsia="en-AU"/>
    </w:rPr>
  </w:style>
  <w:style w:type="character" w:customStyle="1" w:styleId="FootnoteTextChar">
    <w:name w:val="Footnote Text Char"/>
    <w:basedOn w:val="DefaultParagraphFont"/>
    <w:link w:val="FootnoteText"/>
    <w:uiPriority w:val="99"/>
    <w:rsid w:val="00845A6E"/>
    <w:rPr>
      <w:rFonts w:ascii="Arial" w:eastAsia="Times New Roman" w:hAnsi="Arial" w:cs="Times New Roman"/>
      <w:sz w:val="16"/>
      <w:szCs w:val="16"/>
      <w:lang w:eastAsia="en-AU"/>
    </w:rPr>
  </w:style>
  <w:style w:type="paragraph" w:customStyle="1" w:styleId="ListBulletLast">
    <w:name w:val="List Bullet Last"/>
    <w:basedOn w:val="ListBullet"/>
    <w:qFormat/>
    <w:rsid w:val="00845A6E"/>
    <w:pPr>
      <w:spacing w:after="240"/>
    </w:pPr>
    <w:rPr>
      <w:rFonts w:cs="Arial"/>
    </w:rPr>
  </w:style>
  <w:style w:type="character" w:styleId="FollowedHyperlink">
    <w:name w:val="FollowedHyperlink"/>
    <w:basedOn w:val="DefaultParagraphFont"/>
    <w:uiPriority w:val="99"/>
    <w:semiHidden/>
    <w:unhideWhenUsed/>
    <w:rsid w:val="00260951"/>
    <w:rPr>
      <w:color w:val="954F72" w:themeColor="followedHyperlink"/>
      <w:u w:val="single"/>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3611B2"/>
  </w:style>
  <w:style w:type="paragraph" w:customStyle="1" w:styleId="Tablea">
    <w:name w:val="Table(a)"/>
    <w:aliases w:val="ta"/>
    <w:basedOn w:val="Normal"/>
    <w:rsid w:val="00D25FC1"/>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EMlistparas">
    <w:name w:val="EM list paras"/>
    <w:basedOn w:val="ListParagraph"/>
    <w:link w:val="EMlistparasChar"/>
    <w:qFormat/>
    <w:rsid w:val="00D25FC1"/>
    <w:pPr>
      <w:numPr>
        <w:numId w:val="19"/>
      </w:numPr>
      <w:spacing w:before="240" w:after="0" w:line="240" w:lineRule="auto"/>
      <w:ind w:left="0" w:firstLine="0"/>
      <w:contextualSpacing w:val="0"/>
    </w:pPr>
    <w:rPr>
      <w:rFonts w:ascii="Times New Roman" w:eastAsia="Calibri" w:hAnsi="Times New Roman" w:cs="Times New Roman"/>
      <w:sz w:val="24"/>
      <w:szCs w:val="24"/>
    </w:rPr>
  </w:style>
  <w:style w:type="character" w:customStyle="1" w:styleId="EMlistparasChar">
    <w:name w:val="EM list paras Char"/>
    <w:basedOn w:val="ListParagraphChar"/>
    <w:link w:val="EMlistparas"/>
    <w:rsid w:val="00D25FC1"/>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D665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66519"/>
    <w:rPr>
      <w:rFonts w:ascii="Calibri" w:hAnsi="Calibri"/>
      <w:szCs w:val="21"/>
    </w:rPr>
  </w:style>
  <w:style w:type="paragraph" w:customStyle="1" w:styleId="notepara">
    <w:name w:val="note(para)"/>
    <w:aliases w:val="na"/>
    <w:basedOn w:val="Normal"/>
    <w:rsid w:val="00362B2C"/>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subsection">
    <w:name w:val="subsection"/>
    <w:aliases w:val="ss"/>
    <w:basedOn w:val="Normal"/>
    <w:link w:val="subsectionChar"/>
    <w:rsid w:val="00362B2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362B2C"/>
    <w:rPr>
      <w:rFonts w:ascii="Times New Roman" w:eastAsia="Times New Roman" w:hAnsi="Times New Roman" w:cs="Times New Roman"/>
      <w:szCs w:val="20"/>
      <w:lang w:eastAsia="en-AU"/>
    </w:rPr>
  </w:style>
  <w:style w:type="paragraph" w:customStyle="1" w:styleId="paragraphsub">
    <w:name w:val="paragraph(sub)"/>
    <w:aliases w:val="aa"/>
    <w:basedOn w:val="Normal"/>
    <w:rsid w:val="00362B2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362B2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Definition">
    <w:name w:val="Definition"/>
    <w:aliases w:val="dd"/>
    <w:basedOn w:val="Normal"/>
    <w:rsid w:val="00362B2C"/>
    <w:pPr>
      <w:spacing w:before="18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362B2C"/>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362B2C"/>
    <w:rPr>
      <w:rFonts w:ascii="Times New Roman" w:eastAsia="Times New Roman" w:hAnsi="Times New Roman" w:cs="Times New Roman"/>
      <w:sz w:val="18"/>
      <w:szCs w:val="20"/>
      <w:lang w:eastAsia="en-AU"/>
    </w:rPr>
  </w:style>
  <w:style w:type="paragraph" w:customStyle="1" w:styleId="SubsectionHead">
    <w:name w:val="SubsectionHead"/>
    <w:aliases w:val="ssh"/>
    <w:basedOn w:val="Normal"/>
    <w:next w:val="subsection"/>
    <w:rsid w:val="00362B2C"/>
    <w:pPr>
      <w:keepNext/>
      <w:keepLines/>
      <w:spacing w:before="240" w:after="0" w:line="240" w:lineRule="auto"/>
      <w:ind w:left="1134"/>
    </w:pPr>
    <w:rPr>
      <w:rFonts w:ascii="Times New Roman" w:eastAsia="Times New Roman" w:hAnsi="Times New Roman" w:cs="Times New Roman"/>
      <w:i/>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92413485">
      <w:bodyDiv w:val="1"/>
      <w:marLeft w:val="0"/>
      <w:marRight w:val="0"/>
      <w:marTop w:val="0"/>
      <w:marBottom w:val="0"/>
      <w:divBdr>
        <w:top w:val="none" w:sz="0" w:space="0" w:color="auto"/>
        <w:left w:val="none" w:sz="0" w:space="0" w:color="auto"/>
        <w:bottom w:val="none" w:sz="0" w:space="0" w:color="auto"/>
        <w:right w:val="none" w:sz="0" w:space="0" w:color="auto"/>
      </w:divBdr>
    </w:div>
    <w:div w:id="17765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hyperlink" Target="http://www.acma.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m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ma.gov.au" TargetMode="External"/><Relationship Id="rId4" Type="http://schemas.openxmlformats.org/officeDocument/2006/relationships/settings" Target="settings.xml"/><Relationship Id="rId9" Type="http://schemas.openxmlformats.org/officeDocument/2006/relationships/hyperlink" Target="http://www.acma.gov.a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mmunications.gov.au/publications/integrated-public-number-database-review-report" TargetMode="External"/><Relationship Id="rId1" Type="http://schemas.openxmlformats.org/officeDocument/2006/relationships/hyperlink" Target="http://www.comlaw.gov.au/Details/F2007L01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1D7C-7826-46D6-9E8D-D9994C81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14190</Words>
  <Characters>80888</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94889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Jing Chua</cp:lastModifiedBy>
  <cp:revision>3</cp:revision>
  <cp:lastPrinted>2017-03-08T21:07:00Z</cp:lastPrinted>
  <dcterms:created xsi:type="dcterms:W3CDTF">2017-03-22T00:27:00Z</dcterms:created>
  <dcterms:modified xsi:type="dcterms:W3CDTF">2017-03-22T00:28:00Z</dcterms:modified>
</cp:coreProperties>
</file>