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76E48" w14:textId="6BBC7E81" w:rsidR="001F2A16" w:rsidRDefault="00E176EF"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bookmarkStart w:id="1" w:name="_GoBack"/>
      <w:bookmarkEnd w:id="1"/>
      <w:r>
        <w:rPr>
          <w:rFonts w:ascii="Arial" w:hAnsi="Arial" w:cs="Arial"/>
          <w:sz w:val="34"/>
          <w:szCs w:val="34"/>
        </w:rPr>
        <w:t xml:space="preserve"> </w:t>
      </w:r>
      <w:r w:rsidR="001F2A16" w:rsidRPr="001F2A16">
        <w:rPr>
          <w:rFonts w:ascii="Arial" w:hAnsi="Arial" w:cs="Arial"/>
          <w:sz w:val="34"/>
          <w:szCs w:val="34"/>
        </w:rPr>
        <w:t>Explanatory Statement</w:t>
      </w:r>
    </w:p>
    <w:p w14:paraId="0FA4B535" w14:textId="77777777" w:rsidR="00CC4878" w:rsidRDefault="00CC4878"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7DD72720" w14:textId="507D5CB1" w:rsidR="00D4346A" w:rsidRPr="00D4346A" w:rsidRDefault="00D4346A" w:rsidP="00D4346A">
      <w:pPr>
        <w:pBdr>
          <w:top w:val="double" w:sz="4" w:space="1" w:color="auto"/>
          <w:bottom w:val="double" w:sz="4" w:space="1" w:color="auto"/>
        </w:pBdr>
        <w:jc w:val="center"/>
        <w:rPr>
          <w:rFonts w:ascii="Arial" w:hAnsi="Arial" w:cs="Arial"/>
          <w:sz w:val="32"/>
          <w:szCs w:val="32"/>
        </w:rPr>
      </w:pPr>
      <w:r w:rsidRPr="00D4346A">
        <w:rPr>
          <w:rFonts w:ascii="Arial" w:hAnsi="Arial" w:cs="Arial"/>
          <w:sz w:val="34"/>
          <w:szCs w:val="34"/>
        </w:rPr>
        <w:t>Goods and Services Tax</w:t>
      </w:r>
      <w:r w:rsidR="00AB1F5A">
        <w:rPr>
          <w:rFonts w:ascii="Arial" w:hAnsi="Arial" w:cs="Arial"/>
          <w:sz w:val="34"/>
          <w:szCs w:val="34"/>
        </w:rPr>
        <w:t>:</w:t>
      </w:r>
      <w:r w:rsidRPr="00D4346A">
        <w:rPr>
          <w:rFonts w:ascii="Arial" w:hAnsi="Arial" w:cs="Arial"/>
          <w:sz w:val="34"/>
          <w:szCs w:val="34"/>
        </w:rPr>
        <w:t xml:space="preserve"> Waiver of Tax Invoice Requirement Determination </w:t>
      </w:r>
      <w:r w:rsidR="00AB1F5A" w:rsidRPr="00D4346A">
        <w:rPr>
          <w:rFonts w:ascii="Arial" w:hAnsi="Arial" w:cs="Arial"/>
          <w:sz w:val="34"/>
          <w:szCs w:val="34"/>
        </w:rPr>
        <w:t>20</w:t>
      </w:r>
      <w:r w:rsidR="00AB1F5A">
        <w:rPr>
          <w:rFonts w:ascii="Arial" w:hAnsi="Arial" w:cs="Arial"/>
          <w:sz w:val="34"/>
          <w:szCs w:val="34"/>
        </w:rPr>
        <w:t xml:space="preserve">17 </w:t>
      </w:r>
      <w:r w:rsidR="006A00B6">
        <w:rPr>
          <w:rFonts w:ascii="Arial" w:hAnsi="Arial" w:cs="Arial"/>
          <w:sz w:val="34"/>
          <w:szCs w:val="34"/>
        </w:rPr>
        <w:t xml:space="preserve">for intangible supplies from </w:t>
      </w:r>
      <w:r w:rsidR="00285546">
        <w:rPr>
          <w:rFonts w:ascii="Arial" w:hAnsi="Arial" w:cs="Arial"/>
          <w:sz w:val="34"/>
          <w:szCs w:val="34"/>
        </w:rPr>
        <w:t>offshore</w:t>
      </w:r>
    </w:p>
    <w:p w14:paraId="41C76E4B" w14:textId="77777777" w:rsidR="0099555F" w:rsidRDefault="0099555F" w:rsidP="0099555F">
      <w:pPr>
        <w:pStyle w:val="Header"/>
        <w:tabs>
          <w:tab w:val="clear" w:pos="4153"/>
          <w:tab w:val="clear" w:pos="8306"/>
        </w:tabs>
        <w:jc w:val="center"/>
        <w:rPr>
          <w:rFonts w:ascii="Arial" w:hAnsi="Arial" w:cs="Arial"/>
          <w:szCs w:val="24"/>
        </w:rPr>
      </w:pPr>
    </w:p>
    <w:p w14:paraId="41C76E4C" w14:textId="77777777" w:rsidR="001F2A16" w:rsidRPr="001F2A16" w:rsidRDefault="001F2A16" w:rsidP="0099555F">
      <w:pPr>
        <w:pStyle w:val="Header"/>
        <w:tabs>
          <w:tab w:val="clear" w:pos="4153"/>
          <w:tab w:val="clear" w:pos="8306"/>
        </w:tabs>
        <w:jc w:val="center"/>
        <w:rPr>
          <w:rFonts w:ascii="Arial" w:hAnsi="Arial" w:cs="Arial"/>
          <w:szCs w:val="24"/>
        </w:rPr>
      </w:pPr>
    </w:p>
    <w:p w14:paraId="41C76E4D" w14:textId="19AD11AB" w:rsidR="00486653" w:rsidRDefault="00486653" w:rsidP="00486653">
      <w:pPr>
        <w:pStyle w:val="Heading2"/>
        <w:rPr>
          <w:sz w:val="24"/>
          <w:szCs w:val="24"/>
        </w:rPr>
      </w:pPr>
      <w:bookmarkStart w:id="2" w:name="EDisclaimer"/>
      <w:bookmarkStart w:id="3" w:name="HBody"/>
      <w:bookmarkStart w:id="4" w:name="LReferences"/>
      <w:bookmarkStart w:id="5" w:name="NRulingRef"/>
      <w:bookmarkStart w:id="6" w:name="OSubjectRef"/>
      <w:bookmarkStart w:id="7" w:name="PLegrefText"/>
      <w:bookmarkStart w:id="8" w:name="QLegref"/>
      <w:bookmarkStart w:id="9" w:name="RCaseRefText"/>
      <w:bookmarkStart w:id="10" w:name="SCaseRef"/>
      <w:bookmarkStart w:id="11" w:name="VISSN"/>
      <w:bookmarkEnd w:id="0"/>
      <w:bookmarkEnd w:id="2"/>
      <w:bookmarkEnd w:id="3"/>
      <w:bookmarkEnd w:id="4"/>
      <w:bookmarkEnd w:id="5"/>
      <w:bookmarkEnd w:id="6"/>
      <w:bookmarkEnd w:id="7"/>
      <w:bookmarkEnd w:id="8"/>
      <w:bookmarkEnd w:id="9"/>
      <w:bookmarkEnd w:id="10"/>
      <w:bookmarkEnd w:id="11"/>
      <w:r w:rsidRPr="005E6CCE">
        <w:rPr>
          <w:sz w:val="24"/>
          <w:szCs w:val="24"/>
        </w:rPr>
        <w:t xml:space="preserve">General </w:t>
      </w:r>
      <w:r w:rsidR="00B359A2">
        <w:rPr>
          <w:sz w:val="24"/>
          <w:szCs w:val="24"/>
        </w:rPr>
        <w:t>o</w:t>
      </w:r>
      <w:r w:rsidRPr="005E6CCE">
        <w:rPr>
          <w:sz w:val="24"/>
          <w:szCs w:val="24"/>
        </w:rPr>
        <w:t xml:space="preserve">utline of </w:t>
      </w:r>
      <w:r w:rsidR="00B359A2">
        <w:rPr>
          <w:sz w:val="24"/>
          <w:szCs w:val="24"/>
        </w:rPr>
        <w:t>determination</w:t>
      </w:r>
    </w:p>
    <w:p w14:paraId="4B7E41F2" w14:textId="71FF49CD" w:rsidR="00CC4878" w:rsidRPr="00B87A27" w:rsidRDefault="00CC4878" w:rsidP="00B805CC">
      <w:pPr>
        <w:numPr>
          <w:ilvl w:val="0"/>
          <w:numId w:val="16"/>
        </w:numPr>
        <w:spacing w:after="120" w:line="276" w:lineRule="auto"/>
        <w:rPr>
          <w:rFonts w:ascii="Arial" w:hAnsi="Arial" w:cs="Arial"/>
          <w:i/>
          <w:snapToGrid w:val="0"/>
          <w:sz w:val="22"/>
          <w:szCs w:val="22"/>
        </w:rPr>
      </w:pPr>
      <w:r w:rsidRPr="00B87A27">
        <w:rPr>
          <w:rFonts w:ascii="Arial" w:hAnsi="Arial" w:cs="Arial"/>
          <w:sz w:val="22"/>
          <w:szCs w:val="22"/>
        </w:rPr>
        <w:t xml:space="preserve">This </w:t>
      </w:r>
      <w:r w:rsidR="00B359A2" w:rsidRPr="00B87A27">
        <w:rPr>
          <w:rFonts w:ascii="Arial" w:hAnsi="Arial" w:cs="Arial"/>
          <w:sz w:val="22"/>
          <w:szCs w:val="22"/>
        </w:rPr>
        <w:t>determination</w:t>
      </w:r>
      <w:r w:rsidRPr="00B87A27">
        <w:rPr>
          <w:rFonts w:ascii="Arial" w:hAnsi="Arial" w:cs="Arial"/>
          <w:sz w:val="22"/>
          <w:szCs w:val="22"/>
        </w:rPr>
        <w:t xml:space="preserve"> is made under</w:t>
      </w:r>
      <w:r w:rsidR="00B87A27" w:rsidRPr="00B87A27">
        <w:rPr>
          <w:rFonts w:ascii="Arial" w:hAnsi="Arial" w:cs="Arial"/>
          <w:sz w:val="22"/>
          <w:szCs w:val="22"/>
        </w:rPr>
        <w:t xml:space="preserve"> </w:t>
      </w:r>
      <w:r w:rsidRPr="00B87A27">
        <w:rPr>
          <w:rFonts w:ascii="Arial" w:hAnsi="Arial" w:cs="Arial"/>
          <w:snapToGrid w:val="0"/>
          <w:sz w:val="22"/>
          <w:szCs w:val="22"/>
        </w:rPr>
        <w:t xml:space="preserve">subsection 29-10(3) of the </w:t>
      </w:r>
      <w:r w:rsidRPr="00B87A27">
        <w:rPr>
          <w:rFonts w:ascii="Arial" w:hAnsi="Arial" w:cs="Arial"/>
          <w:i/>
          <w:snapToGrid w:val="0"/>
          <w:sz w:val="22"/>
          <w:szCs w:val="22"/>
        </w:rPr>
        <w:t>A New Tax System (Goods and Services Tax) Act 1999</w:t>
      </w:r>
      <w:r w:rsidR="00881F3C">
        <w:rPr>
          <w:rFonts w:ascii="Arial" w:hAnsi="Arial" w:cs="Arial"/>
          <w:i/>
          <w:snapToGrid w:val="0"/>
          <w:sz w:val="22"/>
          <w:szCs w:val="22"/>
        </w:rPr>
        <w:t xml:space="preserve"> </w:t>
      </w:r>
      <w:r w:rsidR="00881F3C" w:rsidRPr="002D5A4D">
        <w:rPr>
          <w:rFonts w:ascii="Arial" w:hAnsi="Arial" w:cs="Arial"/>
          <w:snapToGrid w:val="0"/>
          <w:sz w:val="22"/>
          <w:szCs w:val="22"/>
        </w:rPr>
        <w:t>(GST Act)</w:t>
      </w:r>
      <w:r w:rsidR="007A2739" w:rsidRPr="002D5A4D">
        <w:rPr>
          <w:rFonts w:ascii="Arial" w:hAnsi="Arial" w:cs="Arial"/>
          <w:snapToGrid w:val="0"/>
          <w:sz w:val="22"/>
          <w:szCs w:val="22"/>
        </w:rPr>
        <w:t>.</w:t>
      </w:r>
      <w:r w:rsidRPr="00B87A27">
        <w:rPr>
          <w:rFonts w:ascii="Arial" w:hAnsi="Arial" w:cs="Arial"/>
          <w:i/>
          <w:snapToGrid w:val="0"/>
          <w:sz w:val="22"/>
          <w:szCs w:val="22"/>
        </w:rPr>
        <w:t xml:space="preserve"> </w:t>
      </w:r>
    </w:p>
    <w:p w14:paraId="1CC49194" w14:textId="2A4B4474" w:rsidR="00E176EF" w:rsidRDefault="00E176EF">
      <w:pPr>
        <w:pStyle w:val="ListParagraph"/>
        <w:numPr>
          <w:ilvl w:val="0"/>
          <w:numId w:val="16"/>
        </w:numPr>
        <w:rPr>
          <w:rFonts w:ascii="Arial" w:hAnsi="Arial" w:cs="Arial"/>
        </w:rPr>
      </w:pPr>
      <w:r w:rsidRPr="00F8180F">
        <w:rPr>
          <w:rFonts w:ascii="Arial" w:hAnsi="Arial" w:cs="Arial"/>
        </w:rPr>
        <w:t xml:space="preserve">Under subsection 33(3) of the </w:t>
      </w:r>
      <w:r w:rsidRPr="00F8180F">
        <w:rPr>
          <w:rFonts w:ascii="Arial" w:hAnsi="Arial" w:cs="Arial"/>
          <w:i/>
        </w:rPr>
        <w:t>Acts Interpretation Act 1901</w:t>
      </w:r>
      <w:r w:rsidRPr="00F8180F">
        <w:rPr>
          <w:rFonts w:ascii="Arial" w:hAnsi="Arial" w:cs="Arial"/>
        </w:rPr>
        <w:t xml:space="preserve">, where an Act confers a power to make, grant or issue any </w:t>
      </w:r>
      <w:r w:rsidR="00924866">
        <w:rPr>
          <w:rFonts w:ascii="Arial" w:hAnsi="Arial" w:cs="Arial"/>
        </w:rPr>
        <w:t>instrument</w:t>
      </w:r>
      <w:r w:rsidRPr="00F8180F">
        <w:rPr>
          <w:rFonts w:ascii="Arial" w:hAnsi="Arial" w:cs="Arial"/>
        </w:rPr>
        <w:t xml:space="preserve"> of a legislative or administrative character (including rules, regulations or by-laws) the power shall be construed as including a power exercisable in the like manner and subject to the like conditions (if any) to repeal, rescind, revoke, amend, or vary any such determination.</w:t>
      </w:r>
    </w:p>
    <w:p w14:paraId="45B4B8BB" w14:textId="02FC0E48" w:rsidR="00CC4878" w:rsidRPr="00E176EF" w:rsidRDefault="00CC4878">
      <w:pPr>
        <w:pStyle w:val="ListParagraph"/>
        <w:numPr>
          <w:ilvl w:val="0"/>
          <w:numId w:val="16"/>
        </w:numPr>
        <w:rPr>
          <w:rFonts w:ascii="Arial" w:hAnsi="Arial" w:cs="Arial"/>
        </w:rPr>
      </w:pPr>
      <w:r w:rsidRPr="00E176EF">
        <w:rPr>
          <w:rFonts w:ascii="Arial" w:hAnsi="Arial" w:cs="Arial"/>
        </w:rPr>
        <w:t xml:space="preserve">This </w:t>
      </w:r>
      <w:r w:rsidR="00B359A2">
        <w:rPr>
          <w:rFonts w:ascii="Arial" w:hAnsi="Arial" w:cs="Arial"/>
        </w:rPr>
        <w:t>determination</w:t>
      </w:r>
      <w:r w:rsidRPr="00E176EF">
        <w:rPr>
          <w:rFonts w:ascii="Arial" w:hAnsi="Arial" w:cs="Arial"/>
        </w:rPr>
        <w:t xml:space="preserve"> </w:t>
      </w:r>
      <w:r w:rsidR="00A8493D" w:rsidRPr="00A8493D">
        <w:rPr>
          <w:rFonts w:ascii="Arial" w:hAnsi="Arial" w:cs="Arial"/>
        </w:rPr>
        <w:t xml:space="preserve">waives the requirement to hold a </w:t>
      </w:r>
      <w:r w:rsidR="00A8493D">
        <w:rPr>
          <w:rFonts w:ascii="Arial" w:hAnsi="Arial" w:cs="Arial"/>
        </w:rPr>
        <w:t>tax invoice</w:t>
      </w:r>
      <w:r w:rsidR="00A8493D" w:rsidRPr="00A8493D">
        <w:rPr>
          <w:rFonts w:ascii="Arial" w:hAnsi="Arial" w:cs="Arial"/>
        </w:rPr>
        <w:t xml:space="preserve"> in order to attribute a </w:t>
      </w:r>
      <w:r w:rsidR="00A8493D">
        <w:rPr>
          <w:rFonts w:ascii="Arial" w:hAnsi="Arial" w:cs="Arial"/>
        </w:rPr>
        <w:t>creditable acquisition</w:t>
      </w:r>
      <w:r w:rsidR="00A8493D" w:rsidRPr="00A8493D">
        <w:rPr>
          <w:rFonts w:ascii="Arial" w:hAnsi="Arial" w:cs="Arial"/>
        </w:rPr>
        <w:t xml:space="preserve"> to a tax period where the </w:t>
      </w:r>
      <w:r w:rsidR="00A8493D">
        <w:rPr>
          <w:rFonts w:ascii="Arial" w:hAnsi="Arial" w:cs="Arial"/>
        </w:rPr>
        <w:t>creditable acquisition</w:t>
      </w:r>
      <w:r w:rsidR="00A8493D" w:rsidRPr="00A8493D">
        <w:rPr>
          <w:rFonts w:ascii="Arial" w:hAnsi="Arial" w:cs="Arial"/>
        </w:rPr>
        <w:t xml:space="preserve"> </w:t>
      </w:r>
      <w:r w:rsidR="00285546">
        <w:rPr>
          <w:rFonts w:ascii="Arial" w:hAnsi="Arial" w:cs="Arial"/>
        </w:rPr>
        <w:t>is of</w:t>
      </w:r>
      <w:r w:rsidR="00A8493D" w:rsidRPr="00A8493D">
        <w:rPr>
          <w:rFonts w:ascii="Arial" w:hAnsi="Arial" w:cs="Arial"/>
        </w:rPr>
        <w:t xml:space="preserve"> an intangible supply from offshore that is a taxable supply under section 84-5 of the GST Act</w:t>
      </w:r>
      <w:r w:rsidRPr="00E176EF">
        <w:rPr>
          <w:rFonts w:ascii="Arial" w:hAnsi="Arial" w:cs="Arial"/>
        </w:rPr>
        <w:t>.</w:t>
      </w:r>
    </w:p>
    <w:p w14:paraId="411FB347" w14:textId="26F41349" w:rsidR="00CC4878" w:rsidRDefault="00E80118" w:rsidP="00B805CC">
      <w:pPr>
        <w:numPr>
          <w:ilvl w:val="0"/>
          <w:numId w:val="16"/>
        </w:numPr>
        <w:spacing w:after="120" w:line="276" w:lineRule="auto"/>
        <w:rPr>
          <w:rFonts w:ascii="Arial" w:hAnsi="Arial" w:cs="Arial"/>
          <w:sz w:val="22"/>
          <w:szCs w:val="22"/>
        </w:rPr>
      </w:pPr>
      <w:r>
        <w:rPr>
          <w:rFonts w:ascii="Arial" w:hAnsi="Arial" w:cs="Arial"/>
          <w:sz w:val="22"/>
          <w:szCs w:val="22"/>
        </w:rPr>
        <w:t>This</w:t>
      </w:r>
      <w:r w:rsidR="00CC4878">
        <w:rPr>
          <w:rFonts w:ascii="Arial" w:hAnsi="Arial" w:cs="Arial"/>
          <w:sz w:val="22"/>
          <w:szCs w:val="22"/>
        </w:rPr>
        <w:t xml:space="preserve"> </w:t>
      </w:r>
      <w:r w:rsidR="00B359A2">
        <w:rPr>
          <w:rFonts w:ascii="Arial" w:hAnsi="Arial" w:cs="Arial"/>
          <w:sz w:val="22"/>
          <w:szCs w:val="22"/>
        </w:rPr>
        <w:t>determination</w:t>
      </w:r>
      <w:r w:rsidR="00CC4878">
        <w:rPr>
          <w:rFonts w:ascii="Arial" w:hAnsi="Arial" w:cs="Arial"/>
          <w:sz w:val="22"/>
          <w:szCs w:val="22"/>
        </w:rPr>
        <w:t xml:space="preserve"> is a legislative instrument for the purposes of the </w:t>
      </w:r>
      <w:r w:rsidR="00E176EF" w:rsidRPr="00E176EF">
        <w:rPr>
          <w:rFonts w:ascii="Arial" w:hAnsi="Arial" w:cs="Arial"/>
          <w:i/>
          <w:sz w:val="22"/>
          <w:szCs w:val="22"/>
        </w:rPr>
        <w:t>Legislation</w:t>
      </w:r>
      <w:r w:rsidR="00CC4878" w:rsidRPr="00E176EF">
        <w:rPr>
          <w:rFonts w:ascii="Arial" w:hAnsi="Arial" w:cs="Arial"/>
          <w:i/>
          <w:sz w:val="22"/>
          <w:szCs w:val="22"/>
        </w:rPr>
        <w:t xml:space="preserve"> </w:t>
      </w:r>
      <w:r w:rsidR="00CC4878">
        <w:rPr>
          <w:rFonts w:ascii="Arial" w:hAnsi="Arial" w:cs="Arial"/>
          <w:i/>
          <w:sz w:val="22"/>
          <w:szCs w:val="22"/>
        </w:rPr>
        <w:t>Act 2003</w:t>
      </w:r>
      <w:r w:rsidR="00CC4878">
        <w:rPr>
          <w:rFonts w:ascii="Arial" w:hAnsi="Arial" w:cs="Arial"/>
          <w:sz w:val="22"/>
          <w:szCs w:val="22"/>
        </w:rPr>
        <w:t>.</w:t>
      </w:r>
      <w:r w:rsidR="009A53E6">
        <w:rPr>
          <w:rFonts w:ascii="Arial" w:hAnsi="Arial" w:cs="Arial"/>
          <w:sz w:val="22"/>
          <w:szCs w:val="22"/>
        </w:rPr>
        <w:br/>
      </w:r>
    </w:p>
    <w:p w14:paraId="13C32571" w14:textId="77777777" w:rsidR="00CC4878" w:rsidRPr="00DC656D" w:rsidRDefault="00CC4878" w:rsidP="00B805CC">
      <w:pPr>
        <w:pStyle w:val="Heading2"/>
        <w:spacing w:line="276" w:lineRule="auto"/>
        <w:rPr>
          <w:sz w:val="24"/>
          <w:szCs w:val="24"/>
        </w:rPr>
      </w:pPr>
      <w:bookmarkStart w:id="12" w:name="IComments"/>
      <w:r w:rsidRPr="005E6CCE">
        <w:rPr>
          <w:sz w:val="24"/>
          <w:szCs w:val="24"/>
        </w:rPr>
        <w:t xml:space="preserve">Date </w:t>
      </w:r>
      <w:r w:rsidRPr="00DC656D">
        <w:rPr>
          <w:sz w:val="24"/>
          <w:szCs w:val="24"/>
        </w:rPr>
        <w:t>of effect</w:t>
      </w:r>
    </w:p>
    <w:p w14:paraId="4080291B" w14:textId="6E3435CD" w:rsidR="00CC4878" w:rsidRPr="004B1BAE" w:rsidRDefault="00CC4878" w:rsidP="00B805CC">
      <w:pPr>
        <w:numPr>
          <w:ilvl w:val="0"/>
          <w:numId w:val="16"/>
        </w:numPr>
        <w:spacing w:after="120" w:line="276" w:lineRule="auto"/>
        <w:rPr>
          <w:szCs w:val="24"/>
        </w:rPr>
      </w:pPr>
      <w:r w:rsidRPr="004B1BAE">
        <w:rPr>
          <w:rFonts w:ascii="Arial" w:hAnsi="Arial" w:cs="Arial"/>
          <w:sz w:val="22"/>
          <w:szCs w:val="22"/>
        </w:rPr>
        <w:t>Th</w:t>
      </w:r>
      <w:r w:rsidR="00E80118">
        <w:rPr>
          <w:rFonts w:ascii="Arial" w:hAnsi="Arial" w:cs="Arial"/>
          <w:sz w:val="22"/>
          <w:szCs w:val="22"/>
        </w:rPr>
        <w:t>is</w:t>
      </w:r>
      <w:r w:rsidRPr="004B1BAE">
        <w:rPr>
          <w:rFonts w:ascii="Arial" w:hAnsi="Arial" w:cs="Arial"/>
          <w:sz w:val="22"/>
          <w:szCs w:val="22"/>
        </w:rPr>
        <w:t xml:space="preserve"> </w:t>
      </w:r>
      <w:r w:rsidR="00E176EF">
        <w:rPr>
          <w:rFonts w:ascii="Arial" w:hAnsi="Arial" w:cs="Arial"/>
          <w:sz w:val="22"/>
          <w:szCs w:val="22"/>
        </w:rPr>
        <w:t>determination</w:t>
      </w:r>
      <w:r w:rsidRPr="004B1BAE">
        <w:rPr>
          <w:rFonts w:ascii="Arial" w:hAnsi="Arial" w:cs="Arial"/>
          <w:sz w:val="22"/>
          <w:szCs w:val="22"/>
        </w:rPr>
        <w:t xml:space="preserve"> commences on the day after </w:t>
      </w:r>
      <w:r w:rsidR="00924866">
        <w:rPr>
          <w:rFonts w:ascii="Arial" w:hAnsi="Arial" w:cs="Arial"/>
          <w:sz w:val="22"/>
          <w:szCs w:val="22"/>
        </w:rPr>
        <w:t xml:space="preserve">its </w:t>
      </w:r>
      <w:r w:rsidRPr="004B1BAE">
        <w:rPr>
          <w:rFonts w:ascii="Arial" w:hAnsi="Arial" w:cs="Arial"/>
          <w:sz w:val="22"/>
          <w:szCs w:val="22"/>
        </w:rPr>
        <w:t>registration</w:t>
      </w:r>
      <w:r w:rsidR="00924866">
        <w:rPr>
          <w:rFonts w:ascii="Arial" w:hAnsi="Arial" w:cs="Arial"/>
          <w:sz w:val="22"/>
          <w:szCs w:val="22"/>
        </w:rPr>
        <w:t xml:space="preserve"> on the Federal Register of Legislation</w:t>
      </w:r>
      <w:r w:rsidRPr="004B1BAE">
        <w:rPr>
          <w:rFonts w:ascii="Arial" w:hAnsi="Arial" w:cs="Arial"/>
          <w:sz w:val="22"/>
          <w:szCs w:val="22"/>
        </w:rPr>
        <w:t>.</w:t>
      </w:r>
    </w:p>
    <w:p w14:paraId="0FB5CE79" w14:textId="2D165321" w:rsidR="00CC4878" w:rsidRPr="004B1BAE" w:rsidRDefault="00CC4878" w:rsidP="00B805CC">
      <w:pPr>
        <w:keepLines/>
        <w:spacing w:before="360" w:after="120" w:line="276" w:lineRule="auto"/>
        <w:rPr>
          <w:rFonts w:ascii="Arial" w:hAnsi="Arial" w:cs="Arial"/>
          <w:b/>
        </w:rPr>
      </w:pPr>
      <w:r w:rsidRPr="004B1BAE">
        <w:rPr>
          <w:rFonts w:ascii="Arial" w:hAnsi="Arial" w:cs="Arial"/>
          <w:b/>
          <w:szCs w:val="24"/>
        </w:rPr>
        <w:t xml:space="preserve">What is this </w:t>
      </w:r>
      <w:r w:rsidR="00B359A2">
        <w:rPr>
          <w:rFonts w:ascii="Arial" w:hAnsi="Arial" w:cs="Arial"/>
          <w:b/>
          <w:szCs w:val="24"/>
        </w:rPr>
        <w:t>determination</w:t>
      </w:r>
      <w:r w:rsidRPr="004B1BAE">
        <w:rPr>
          <w:rFonts w:ascii="Arial" w:hAnsi="Arial" w:cs="Arial"/>
          <w:b/>
          <w:szCs w:val="24"/>
        </w:rPr>
        <w:t xml:space="preserve"> about</w:t>
      </w:r>
    </w:p>
    <w:p w14:paraId="4A0E4FA2" w14:textId="13CEA979" w:rsidR="00CC4878" w:rsidRPr="00CC4878" w:rsidRDefault="000A5B1F" w:rsidP="00B805CC">
      <w:pPr>
        <w:keepLines/>
        <w:numPr>
          <w:ilvl w:val="0"/>
          <w:numId w:val="16"/>
        </w:numPr>
        <w:spacing w:line="276" w:lineRule="auto"/>
        <w:rPr>
          <w:rFonts w:ascii="Arial" w:hAnsi="Arial" w:cs="Arial"/>
          <w:sz w:val="22"/>
          <w:szCs w:val="22"/>
        </w:rPr>
      </w:pPr>
      <w:r>
        <w:rPr>
          <w:rFonts w:ascii="Arial" w:hAnsi="Arial" w:cs="Arial"/>
          <w:sz w:val="22"/>
          <w:szCs w:val="22"/>
        </w:rPr>
        <w:t>T</w:t>
      </w:r>
      <w:r w:rsidR="00CC4878" w:rsidRPr="00CC4878">
        <w:rPr>
          <w:rFonts w:ascii="Arial" w:hAnsi="Arial" w:cs="Arial"/>
          <w:sz w:val="22"/>
          <w:szCs w:val="22"/>
        </w:rPr>
        <w:t xml:space="preserve">his </w:t>
      </w:r>
      <w:r w:rsidR="00B359A2">
        <w:rPr>
          <w:rFonts w:ascii="Arial" w:hAnsi="Arial" w:cs="Arial"/>
          <w:sz w:val="22"/>
          <w:szCs w:val="22"/>
        </w:rPr>
        <w:t>determination</w:t>
      </w:r>
      <w:r w:rsidR="00CC4878" w:rsidRPr="00CC4878">
        <w:rPr>
          <w:rFonts w:ascii="Arial" w:hAnsi="Arial" w:cs="Arial"/>
          <w:sz w:val="22"/>
          <w:szCs w:val="22"/>
        </w:rPr>
        <w:t xml:space="preserve"> </w:t>
      </w:r>
      <w:r w:rsidR="00C674A1">
        <w:rPr>
          <w:rFonts w:ascii="Arial" w:hAnsi="Arial" w:cs="Arial"/>
          <w:sz w:val="22"/>
          <w:szCs w:val="22"/>
        </w:rPr>
        <w:t xml:space="preserve">waives the requirement to hold a tax invoice </w:t>
      </w:r>
      <w:r w:rsidR="00CC4878" w:rsidRPr="00CC4878">
        <w:rPr>
          <w:rFonts w:ascii="Arial" w:hAnsi="Arial" w:cs="Arial"/>
          <w:sz w:val="22"/>
          <w:szCs w:val="22"/>
        </w:rPr>
        <w:t xml:space="preserve">under subsection 29-10(3) of the </w:t>
      </w:r>
      <w:r w:rsidR="00C674A1">
        <w:rPr>
          <w:rFonts w:ascii="Arial" w:hAnsi="Arial" w:cs="Arial"/>
          <w:sz w:val="22"/>
          <w:szCs w:val="22"/>
        </w:rPr>
        <w:t xml:space="preserve">GST </w:t>
      </w:r>
      <w:r w:rsidR="00CC4878" w:rsidRPr="00CC4878">
        <w:rPr>
          <w:rFonts w:ascii="Arial" w:hAnsi="Arial" w:cs="Arial"/>
          <w:sz w:val="22"/>
          <w:szCs w:val="22"/>
        </w:rPr>
        <w:t xml:space="preserve">Act </w:t>
      </w:r>
      <w:r w:rsidR="00923876">
        <w:rPr>
          <w:rFonts w:ascii="Arial" w:hAnsi="Arial" w:cs="Arial"/>
          <w:sz w:val="22"/>
          <w:szCs w:val="22"/>
        </w:rPr>
        <w:t>for</w:t>
      </w:r>
      <w:r w:rsidR="00CC4878">
        <w:rPr>
          <w:rFonts w:ascii="Arial" w:hAnsi="Arial" w:cs="Arial"/>
          <w:sz w:val="22"/>
          <w:szCs w:val="22"/>
        </w:rPr>
        <w:t xml:space="preserve"> an entity </w:t>
      </w:r>
      <w:r w:rsidR="00923876">
        <w:rPr>
          <w:rFonts w:ascii="Arial" w:hAnsi="Arial" w:cs="Arial"/>
          <w:sz w:val="22"/>
          <w:szCs w:val="22"/>
        </w:rPr>
        <w:t xml:space="preserve">that </w:t>
      </w:r>
      <w:r w:rsidR="00285546">
        <w:rPr>
          <w:rFonts w:ascii="Arial" w:hAnsi="Arial" w:cs="Arial"/>
          <w:sz w:val="22"/>
          <w:szCs w:val="22"/>
        </w:rPr>
        <w:t xml:space="preserve">makes </w:t>
      </w:r>
      <w:r w:rsidR="00C674A1">
        <w:rPr>
          <w:rFonts w:ascii="Arial" w:hAnsi="Arial" w:cs="Arial"/>
          <w:sz w:val="22"/>
          <w:szCs w:val="22"/>
        </w:rPr>
        <w:t>a credit</w:t>
      </w:r>
      <w:r w:rsidR="00881F3C">
        <w:rPr>
          <w:rFonts w:ascii="Arial" w:hAnsi="Arial" w:cs="Arial"/>
          <w:sz w:val="22"/>
          <w:szCs w:val="22"/>
        </w:rPr>
        <w:t>able</w:t>
      </w:r>
      <w:r w:rsidR="00C674A1">
        <w:rPr>
          <w:rFonts w:ascii="Arial" w:hAnsi="Arial" w:cs="Arial"/>
          <w:sz w:val="22"/>
          <w:szCs w:val="22"/>
        </w:rPr>
        <w:t xml:space="preserve"> acquisition </w:t>
      </w:r>
      <w:r w:rsidR="00285546">
        <w:rPr>
          <w:rFonts w:ascii="Arial" w:hAnsi="Arial" w:cs="Arial"/>
          <w:sz w:val="22"/>
          <w:szCs w:val="22"/>
        </w:rPr>
        <w:t>of an</w:t>
      </w:r>
      <w:r w:rsidR="00CC4878">
        <w:rPr>
          <w:rFonts w:ascii="Arial" w:hAnsi="Arial" w:cs="Arial"/>
          <w:sz w:val="22"/>
          <w:szCs w:val="22"/>
        </w:rPr>
        <w:t xml:space="preserve"> intangible suppl</w:t>
      </w:r>
      <w:r w:rsidR="00285546">
        <w:rPr>
          <w:rFonts w:ascii="Arial" w:hAnsi="Arial" w:cs="Arial"/>
          <w:sz w:val="22"/>
          <w:szCs w:val="22"/>
        </w:rPr>
        <w:t xml:space="preserve">y </w:t>
      </w:r>
      <w:r w:rsidR="00A12698">
        <w:rPr>
          <w:rFonts w:ascii="Arial" w:hAnsi="Arial" w:cs="Arial"/>
          <w:sz w:val="22"/>
          <w:szCs w:val="22"/>
        </w:rPr>
        <w:t>from offshore</w:t>
      </w:r>
      <w:r w:rsidR="00790AA2">
        <w:rPr>
          <w:rFonts w:ascii="Arial" w:hAnsi="Arial" w:cs="Arial"/>
          <w:sz w:val="22"/>
          <w:szCs w:val="22"/>
        </w:rPr>
        <w:t xml:space="preserve"> </w:t>
      </w:r>
      <w:r w:rsidR="00285546">
        <w:rPr>
          <w:rFonts w:ascii="Arial" w:hAnsi="Arial" w:cs="Arial"/>
          <w:sz w:val="22"/>
          <w:szCs w:val="22"/>
        </w:rPr>
        <w:t xml:space="preserve">that is a </w:t>
      </w:r>
      <w:r w:rsidR="00CC4878">
        <w:rPr>
          <w:rFonts w:ascii="Arial" w:hAnsi="Arial" w:cs="Arial"/>
          <w:sz w:val="22"/>
          <w:szCs w:val="22"/>
        </w:rPr>
        <w:t xml:space="preserve">taxable </w:t>
      </w:r>
      <w:r w:rsidR="00285546">
        <w:rPr>
          <w:rFonts w:ascii="Arial" w:hAnsi="Arial" w:cs="Arial"/>
          <w:sz w:val="22"/>
          <w:szCs w:val="22"/>
        </w:rPr>
        <w:t xml:space="preserve">supply </w:t>
      </w:r>
      <w:r w:rsidR="00CC4878">
        <w:rPr>
          <w:rFonts w:ascii="Arial" w:hAnsi="Arial" w:cs="Arial"/>
          <w:sz w:val="22"/>
          <w:szCs w:val="22"/>
        </w:rPr>
        <w:t xml:space="preserve">under section 84-5 of the </w:t>
      </w:r>
      <w:r w:rsidR="00881F3C">
        <w:rPr>
          <w:rFonts w:ascii="Arial" w:hAnsi="Arial" w:cs="Arial"/>
          <w:sz w:val="22"/>
          <w:szCs w:val="22"/>
        </w:rPr>
        <w:t xml:space="preserve">GST </w:t>
      </w:r>
      <w:r w:rsidR="00CC4878">
        <w:rPr>
          <w:rFonts w:ascii="Arial" w:hAnsi="Arial" w:cs="Arial"/>
          <w:sz w:val="22"/>
          <w:szCs w:val="22"/>
        </w:rPr>
        <w:t>Act.</w:t>
      </w:r>
    </w:p>
    <w:p w14:paraId="2212720B" w14:textId="6400E1B2" w:rsidR="00CC4878" w:rsidRPr="00FB178E" w:rsidRDefault="00CC4878" w:rsidP="00FB178E">
      <w:pPr>
        <w:keepLines/>
        <w:spacing w:before="360" w:after="120" w:line="276" w:lineRule="auto"/>
        <w:rPr>
          <w:rFonts w:ascii="Arial" w:hAnsi="Arial" w:cs="Arial"/>
          <w:b/>
          <w:szCs w:val="24"/>
        </w:rPr>
      </w:pPr>
      <w:r w:rsidRPr="00FB178E">
        <w:rPr>
          <w:rFonts w:ascii="Arial" w:hAnsi="Arial" w:cs="Arial"/>
          <w:b/>
          <w:szCs w:val="24"/>
        </w:rPr>
        <w:t xml:space="preserve">What is the effect of this </w:t>
      </w:r>
      <w:r w:rsidR="00B359A2" w:rsidRPr="00FB178E">
        <w:rPr>
          <w:rFonts w:ascii="Arial" w:hAnsi="Arial" w:cs="Arial"/>
          <w:b/>
          <w:szCs w:val="24"/>
        </w:rPr>
        <w:t>determination</w:t>
      </w:r>
      <w:r w:rsidR="00E80118">
        <w:rPr>
          <w:rFonts w:ascii="Arial" w:hAnsi="Arial" w:cs="Arial"/>
          <w:b/>
          <w:szCs w:val="24"/>
        </w:rPr>
        <w:t>?</w:t>
      </w:r>
    </w:p>
    <w:p w14:paraId="7489211E" w14:textId="600DC07E" w:rsidR="00923876" w:rsidRPr="00923876" w:rsidRDefault="00C674A1" w:rsidP="00B805CC">
      <w:pPr>
        <w:keepLines/>
        <w:numPr>
          <w:ilvl w:val="0"/>
          <w:numId w:val="16"/>
        </w:numPr>
        <w:spacing w:line="276" w:lineRule="auto"/>
        <w:rPr>
          <w:rFonts w:ascii="Arial" w:hAnsi="Arial" w:cs="Arial"/>
          <w:color w:val="000000"/>
          <w:sz w:val="22"/>
          <w:szCs w:val="22"/>
        </w:rPr>
      </w:pPr>
      <w:r>
        <w:rPr>
          <w:rFonts w:ascii="Arial" w:hAnsi="Arial" w:cs="Arial"/>
          <w:color w:val="000000"/>
          <w:sz w:val="22"/>
          <w:szCs w:val="22"/>
        </w:rPr>
        <w:t>W</w:t>
      </w:r>
      <w:r w:rsidR="00923876" w:rsidRPr="00923876">
        <w:rPr>
          <w:rFonts w:ascii="Arial" w:hAnsi="Arial" w:cs="Arial"/>
          <w:color w:val="000000"/>
          <w:sz w:val="22"/>
          <w:szCs w:val="22"/>
        </w:rPr>
        <w:t xml:space="preserve">here </w:t>
      </w:r>
      <w:r>
        <w:rPr>
          <w:rFonts w:ascii="Arial" w:hAnsi="Arial" w:cs="Arial"/>
          <w:color w:val="000000"/>
          <w:sz w:val="22"/>
          <w:szCs w:val="22"/>
        </w:rPr>
        <w:t>an</w:t>
      </w:r>
      <w:r w:rsidRPr="00923876">
        <w:rPr>
          <w:rFonts w:ascii="Arial" w:hAnsi="Arial" w:cs="Arial"/>
          <w:color w:val="000000"/>
          <w:sz w:val="22"/>
          <w:szCs w:val="22"/>
        </w:rPr>
        <w:t xml:space="preserve"> </w:t>
      </w:r>
      <w:r w:rsidR="00285546">
        <w:rPr>
          <w:rFonts w:ascii="Arial" w:hAnsi="Arial" w:cs="Arial"/>
          <w:color w:val="000000"/>
          <w:sz w:val="22"/>
          <w:szCs w:val="22"/>
        </w:rPr>
        <w:t>entity makes</w:t>
      </w:r>
      <w:r w:rsidR="00923876" w:rsidRPr="00923876">
        <w:rPr>
          <w:rFonts w:ascii="Arial" w:hAnsi="Arial" w:cs="Arial"/>
          <w:color w:val="000000"/>
          <w:sz w:val="22"/>
          <w:szCs w:val="22"/>
        </w:rPr>
        <w:t xml:space="preserve"> a creditable acquisition</w:t>
      </w:r>
      <w:r w:rsidR="00F515A3">
        <w:rPr>
          <w:rFonts w:ascii="Arial" w:hAnsi="Arial" w:cs="Arial"/>
          <w:color w:val="000000"/>
          <w:sz w:val="22"/>
          <w:szCs w:val="22"/>
        </w:rPr>
        <w:t xml:space="preserve"> of a</w:t>
      </w:r>
      <w:r w:rsidR="002D5A4D">
        <w:rPr>
          <w:rFonts w:ascii="Arial" w:hAnsi="Arial" w:cs="Arial"/>
          <w:color w:val="000000"/>
          <w:sz w:val="22"/>
          <w:szCs w:val="22"/>
        </w:rPr>
        <w:t>n intangible</w:t>
      </w:r>
      <w:r w:rsidR="00F515A3">
        <w:rPr>
          <w:rFonts w:ascii="Arial" w:hAnsi="Arial" w:cs="Arial"/>
          <w:color w:val="000000"/>
          <w:sz w:val="22"/>
          <w:szCs w:val="22"/>
        </w:rPr>
        <w:t xml:space="preserve"> supply</w:t>
      </w:r>
      <w:r w:rsidR="00923876" w:rsidRPr="00923876">
        <w:rPr>
          <w:rFonts w:ascii="Arial" w:hAnsi="Arial" w:cs="Arial"/>
          <w:color w:val="000000"/>
          <w:sz w:val="22"/>
          <w:szCs w:val="22"/>
        </w:rPr>
        <w:t xml:space="preserve"> that is </w:t>
      </w:r>
      <w:r w:rsidR="00A01FDC">
        <w:rPr>
          <w:rFonts w:ascii="Arial" w:hAnsi="Arial" w:cs="Arial"/>
          <w:color w:val="000000"/>
          <w:sz w:val="22"/>
          <w:szCs w:val="22"/>
        </w:rPr>
        <w:t xml:space="preserve">a </w:t>
      </w:r>
      <w:r w:rsidR="00923876" w:rsidRPr="00923876">
        <w:rPr>
          <w:rFonts w:ascii="Arial" w:hAnsi="Arial" w:cs="Arial"/>
          <w:color w:val="000000"/>
          <w:sz w:val="22"/>
          <w:szCs w:val="22"/>
        </w:rPr>
        <w:t xml:space="preserve">taxable supply </w:t>
      </w:r>
      <w:r w:rsidR="00A8493D">
        <w:rPr>
          <w:rFonts w:ascii="Arial" w:hAnsi="Arial" w:cs="Arial"/>
          <w:color w:val="000000"/>
          <w:sz w:val="22"/>
          <w:szCs w:val="22"/>
        </w:rPr>
        <w:t>under</w:t>
      </w:r>
      <w:r w:rsidR="00923876" w:rsidRPr="00923876">
        <w:rPr>
          <w:rFonts w:ascii="Arial" w:hAnsi="Arial" w:cs="Arial"/>
          <w:color w:val="000000"/>
          <w:sz w:val="22"/>
          <w:szCs w:val="22"/>
        </w:rPr>
        <w:t xml:space="preserve"> section 84-5 of the </w:t>
      </w:r>
      <w:r w:rsidR="00881F3C">
        <w:rPr>
          <w:rFonts w:ascii="Arial" w:hAnsi="Arial" w:cs="Arial"/>
          <w:color w:val="000000"/>
          <w:sz w:val="22"/>
          <w:szCs w:val="22"/>
        </w:rPr>
        <w:t xml:space="preserve">GST </w:t>
      </w:r>
      <w:r w:rsidR="00923876" w:rsidRPr="00923876">
        <w:rPr>
          <w:rFonts w:ascii="Arial" w:hAnsi="Arial" w:cs="Arial"/>
          <w:color w:val="000000"/>
          <w:sz w:val="22"/>
          <w:szCs w:val="22"/>
        </w:rPr>
        <w:t>Act</w:t>
      </w:r>
      <w:r w:rsidR="00923876">
        <w:rPr>
          <w:rFonts w:ascii="Arial" w:hAnsi="Arial" w:cs="Arial"/>
          <w:color w:val="000000"/>
          <w:sz w:val="22"/>
          <w:szCs w:val="22"/>
        </w:rPr>
        <w:t xml:space="preserve">, the requirement for a tax invoice under subsection 29-10(3)of the </w:t>
      </w:r>
      <w:r w:rsidR="00881F3C">
        <w:rPr>
          <w:rFonts w:ascii="Arial" w:hAnsi="Arial" w:cs="Arial"/>
          <w:color w:val="000000"/>
          <w:sz w:val="22"/>
          <w:szCs w:val="22"/>
        </w:rPr>
        <w:t xml:space="preserve">GST </w:t>
      </w:r>
      <w:r w:rsidR="00923876">
        <w:rPr>
          <w:rFonts w:ascii="Arial" w:hAnsi="Arial" w:cs="Arial"/>
          <w:color w:val="000000"/>
          <w:sz w:val="22"/>
          <w:szCs w:val="22"/>
        </w:rPr>
        <w:t>Act does not apply.</w:t>
      </w:r>
      <w:r w:rsidR="009A53E6">
        <w:rPr>
          <w:rFonts w:ascii="Arial" w:hAnsi="Arial" w:cs="Arial"/>
          <w:color w:val="000000"/>
          <w:sz w:val="22"/>
          <w:szCs w:val="22"/>
        </w:rPr>
        <w:br/>
      </w:r>
    </w:p>
    <w:p w14:paraId="1A827A1B" w14:textId="77777777" w:rsidR="00CC4878" w:rsidRPr="005E6CCE" w:rsidRDefault="00CC4878" w:rsidP="00CC4878">
      <w:pPr>
        <w:pStyle w:val="Heading2"/>
        <w:rPr>
          <w:sz w:val="24"/>
          <w:szCs w:val="24"/>
        </w:rPr>
      </w:pPr>
      <w:r w:rsidRPr="005E6CCE">
        <w:rPr>
          <w:sz w:val="24"/>
          <w:szCs w:val="24"/>
        </w:rPr>
        <w:lastRenderedPageBreak/>
        <w:t>Background</w:t>
      </w:r>
    </w:p>
    <w:p w14:paraId="1A930E97" w14:textId="27F3DA10" w:rsidR="00CC4878" w:rsidRPr="00FB178E" w:rsidRDefault="00CC4878" w:rsidP="00FB178E">
      <w:pPr>
        <w:numPr>
          <w:ilvl w:val="0"/>
          <w:numId w:val="16"/>
        </w:numPr>
        <w:spacing w:line="276" w:lineRule="auto"/>
        <w:ind w:right="113"/>
        <w:rPr>
          <w:rFonts w:ascii="Arial" w:hAnsi="Arial" w:cs="Arial"/>
          <w:sz w:val="22"/>
          <w:szCs w:val="22"/>
        </w:rPr>
      </w:pPr>
      <w:r w:rsidRPr="008563A8">
        <w:rPr>
          <w:rFonts w:ascii="Arial" w:hAnsi="Arial" w:cs="Arial"/>
          <w:sz w:val="22"/>
          <w:szCs w:val="22"/>
        </w:rPr>
        <w:t>Th</w:t>
      </w:r>
      <w:r w:rsidR="00E80118">
        <w:rPr>
          <w:rFonts w:ascii="Arial" w:hAnsi="Arial" w:cs="Arial"/>
          <w:sz w:val="22"/>
          <w:szCs w:val="22"/>
        </w:rPr>
        <w:t>is</w:t>
      </w:r>
      <w:r w:rsidRPr="008563A8">
        <w:rPr>
          <w:rFonts w:ascii="Arial" w:hAnsi="Arial" w:cs="Arial"/>
          <w:sz w:val="22"/>
          <w:szCs w:val="22"/>
        </w:rPr>
        <w:t xml:space="preserve"> determination replaces </w:t>
      </w:r>
      <w:r w:rsidRPr="00FB178E">
        <w:rPr>
          <w:rFonts w:ascii="Arial" w:hAnsi="Arial" w:cs="Arial"/>
          <w:sz w:val="22"/>
          <w:szCs w:val="22"/>
        </w:rPr>
        <w:t xml:space="preserve">A New Tax System (Goods and Services Tax) </w:t>
      </w:r>
      <w:r w:rsidR="00923876" w:rsidRPr="00FB178E">
        <w:rPr>
          <w:rFonts w:ascii="Arial" w:hAnsi="Arial" w:cs="Arial"/>
          <w:sz w:val="22"/>
          <w:szCs w:val="22"/>
        </w:rPr>
        <w:t xml:space="preserve">Act 1999 </w:t>
      </w:r>
      <w:r w:rsidRPr="00FB178E">
        <w:rPr>
          <w:rFonts w:ascii="Arial" w:hAnsi="Arial" w:cs="Arial"/>
          <w:sz w:val="22"/>
          <w:szCs w:val="22"/>
        </w:rPr>
        <w:t>Waiver of Tax Invoice</w:t>
      </w:r>
      <w:r w:rsidR="00923876" w:rsidRPr="00FB178E">
        <w:rPr>
          <w:rFonts w:ascii="Arial" w:hAnsi="Arial" w:cs="Arial"/>
          <w:sz w:val="22"/>
          <w:szCs w:val="22"/>
        </w:rPr>
        <w:t xml:space="preserve"> Requirement</w:t>
      </w:r>
      <w:r w:rsidRPr="00FB178E">
        <w:rPr>
          <w:rFonts w:ascii="Arial" w:hAnsi="Arial" w:cs="Arial"/>
          <w:sz w:val="22"/>
          <w:szCs w:val="22"/>
        </w:rPr>
        <w:t xml:space="preserve"> Determination (No. </w:t>
      </w:r>
      <w:r w:rsidR="00923876" w:rsidRPr="00FB178E">
        <w:rPr>
          <w:rFonts w:ascii="Arial" w:hAnsi="Arial" w:cs="Arial"/>
          <w:sz w:val="22"/>
          <w:szCs w:val="22"/>
        </w:rPr>
        <w:t>2</w:t>
      </w:r>
      <w:r w:rsidRPr="00FB178E">
        <w:rPr>
          <w:rFonts w:ascii="Arial" w:hAnsi="Arial" w:cs="Arial"/>
          <w:sz w:val="22"/>
          <w:szCs w:val="22"/>
        </w:rPr>
        <w:t>) 200</w:t>
      </w:r>
      <w:r w:rsidR="00923876" w:rsidRPr="00FB178E">
        <w:rPr>
          <w:rFonts w:ascii="Arial" w:hAnsi="Arial" w:cs="Arial"/>
          <w:sz w:val="22"/>
          <w:szCs w:val="22"/>
        </w:rPr>
        <w:t>0</w:t>
      </w:r>
      <w:r w:rsidR="00E176EF" w:rsidRPr="00FB178E">
        <w:rPr>
          <w:rFonts w:ascii="Arial" w:hAnsi="Arial" w:cs="Arial"/>
          <w:sz w:val="22"/>
          <w:szCs w:val="22"/>
        </w:rPr>
        <w:t xml:space="preserve"> – F2006B11650, registered on 29 November 2006</w:t>
      </w:r>
      <w:r w:rsidRPr="00FB178E">
        <w:rPr>
          <w:rFonts w:ascii="Arial" w:hAnsi="Arial" w:cs="Arial"/>
          <w:sz w:val="22"/>
          <w:szCs w:val="22"/>
        </w:rPr>
        <w:t xml:space="preserve"> (previous determination).</w:t>
      </w:r>
      <w:r w:rsidR="00E176EF" w:rsidRPr="00FB178E">
        <w:rPr>
          <w:rFonts w:ascii="Arial" w:hAnsi="Arial" w:cs="Arial"/>
          <w:sz w:val="22"/>
          <w:szCs w:val="22"/>
        </w:rPr>
        <w:t xml:space="preserve"> The previous determination is repealed on commencement of th</w:t>
      </w:r>
      <w:r w:rsidR="00E80118">
        <w:rPr>
          <w:rFonts w:ascii="Arial" w:hAnsi="Arial" w:cs="Arial"/>
          <w:sz w:val="22"/>
          <w:szCs w:val="22"/>
        </w:rPr>
        <w:t>is</w:t>
      </w:r>
      <w:r w:rsidR="00E176EF" w:rsidRPr="00FB178E">
        <w:rPr>
          <w:rFonts w:ascii="Arial" w:hAnsi="Arial" w:cs="Arial"/>
          <w:sz w:val="22"/>
          <w:szCs w:val="22"/>
        </w:rPr>
        <w:t xml:space="preserve"> determination.</w:t>
      </w:r>
    </w:p>
    <w:p w14:paraId="5E91737E" w14:textId="77777777" w:rsidR="00E176EF" w:rsidRPr="00E176EF" w:rsidRDefault="00E176EF" w:rsidP="00B805CC">
      <w:pPr>
        <w:pStyle w:val="NoSpacing"/>
        <w:tabs>
          <w:tab w:val="left" w:pos="0"/>
          <w:tab w:val="left" w:pos="142"/>
        </w:tabs>
        <w:spacing w:line="276" w:lineRule="auto"/>
        <w:ind w:left="720"/>
        <w:rPr>
          <w:rFonts w:ascii="Arial" w:hAnsi="Arial" w:cs="Arial"/>
          <w:i/>
          <w:iCs/>
          <w:sz w:val="22"/>
          <w:szCs w:val="22"/>
        </w:rPr>
      </w:pPr>
    </w:p>
    <w:p w14:paraId="39FF8FCC" w14:textId="1F3EE83B" w:rsidR="00E176EF" w:rsidRPr="00FB178E" w:rsidRDefault="00E176EF" w:rsidP="00B805CC">
      <w:pPr>
        <w:pStyle w:val="NoSpacing"/>
        <w:numPr>
          <w:ilvl w:val="0"/>
          <w:numId w:val="16"/>
        </w:numPr>
        <w:tabs>
          <w:tab w:val="left" w:pos="0"/>
          <w:tab w:val="left" w:pos="142"/>
        </w:tabs>
        <w:spacing w:line="276" w:lineRule="auto"/>
        <w:rPr>
          <w:rFonts w:ascii="Arial" w:hAnsi="Arial" w:cs="Arial"/>
          <w:iCs/>
          <w:sz w:val="22"/>
          <w:szCs w:val="22"/>
        </w:rPr>
      </w:pPr>
      <w:r w:rsidRPr="00FB178E">
        <w:rPr>
          <w:rFonts w:ascii="Arial" w:hAnsi="Arial" w:cs="Arial"/>
          <w:iCs/>
          <w:sz w:val="22"/>
          <w:szCs w:val="22"/>
        </w:rPr>
        <w:t>Th</w:t>
      </w:r>
      <w:r w:rsidR="00E80118">
        <w:rPr>
          <w:rFonts w:ascii="Arial" w:hAnsi="Arial" w:cs="Arial"/>
          <w:iCs/>
          <w:sz w:val="22"/>
          <w:szCs w:val="22"/>
        </w:rPr>
        <w:t>is</w:t>
      </w:r>
      <w:r w:rsidRPr="00FB178E">
        <w:rPr>
          <w:rFonts w:ascii="Arial" w:hAnsi="Arial" w:cs="Arial"/>
          <w:iCs/>
          <w:sz w:val="22"/>
          <w:szCs w:val="22"/>
        </w:rPr>
        <w:t xml:space="preserve"> determination is substantially the same as the previous determination that it replaces.</w:t>
      </w:r>
      <w:r w:rsidR="000345B2" w:rsidRPr="00FB178E">
        <w:rPr>
          <w:rFonts w:ascii="Arial" w:hAnsi="Arial" w:cs="Arial"/>
          <w:iCs/>
          <w:sz w:val="22"/>
          <w:szCs w:val="22"/>
        </w:rPr>
        <w:t xml:space="preserve"> An entity that satisfied the requirements of the previous determination will satisfy the requirements of this determination.</w:t>
      </w:r>
      <w:r w:rsidR="009A53E6">
        <w:rPr>
          <w:rFonts w:ascii="Arial" w:hAnsi="Arial" w:cs="Arial"/>
          <w:iCs/>
          <w:sz w:val="22"/>
          <w:szCs w:val="22"/>
        </w:rPr>
        <w:br/>
      </w:r>
    </w:p>
    <w:p w14:paraId="17A02021" w14:textId="77777777" w:rsidR="00CC4878" w:rsidRPr="005E6CCE" w:rsidRDefault="00CC4878" w:rsidP="00B805CC">
      <w:pPr>
        <w:pStyle w:val="Heading2"/>
        <w:spacing w:line="276" w:lineRule="auto"/>
        <w:rPr>
          <w:sz w:val="24"/>
          <w:szCs w:val="24"/>
        </w:rPr>
      </w:pPr>
      <w:r w:rsidRPr="005E6CCE">
        <w:rPr>
          <w:sz w:val="24"/>
          <w:szCs w:val="24"/>
        </w:rPr>
        <w:t>Consultation:</w:t>
      </w:r>
    </w:p>
    <w:p w14:paraId="36A4201D" w14:textId="6D9A739D" w:rsidR="00F3414B" w:rsidRDefault="00F3414B" w:rsidP="00B805CC">
      <w:pPr>
        <w:numPr>
          <w:ilvl w:val="0"/>
          <w:numId w:val="16"/>
        </w:numPr>
        <w:spacing w:line="276" w:lineRule="auto"/>
        <w:ind w:right="113"/>
        <w:rPr>
          <w:rFonts w:ascii="Arial" w:hAnsi="Arial" w:cs="Arial"/>
          <w:sz w:val="22"/>
          <w:szCs w:val="22"/>
        </w:rPr>
      </w:pPr>
      <w:r w:rsidRPr="00F3414B">
        <w:rPr>
          <w:rFonts w:ascii="Arial" w:hAnsi="Arial" w:cs="Arial"/>
          <w:sz w:val="22"/>
          <w:szCs w:val="22"/>
        </w:rPr>
        <w:t xml:space="preserve">Subsection 17(1) of the </w:t>
      </w:r>
      <w:r w:rsidRPr="009A53E6">
        <w:rPr>
          <w:rFonts w:ascii="Arial" w:hAnsi="Arial" w:cs="Arial"/>
          <w:i/>
          <w:sz w:val="22"/>
          <w:szCs w:val="22"/>
        </w:rPr>
        <w:t>Legislation Act 2003</w:t>
      </w:r>
      <w:r w:rsidRPr="00F3414B">
        <w:rPr>
          <w:rFonts w:ascii="Arial" w:hAnsi="Arial" w:cs="Arial"/>
          <w:sz w:val="22"/>
          <w:szCs w:val="22"/>
        </w:rPr>
        <w:t xml:space="preserve"> requires, before the making of a determination, that the rule-maker is satisfied that appropriate and reasonably practicable consultation has been undertaken. </w:t>
      </w:r>
    </w:p>
    <w:p w14:paraId="5170D944" w14:textId="77777777" w:rsidR="00F3414B" w:rsidRPr="00F3414B" w:rsidRDefault="00F3414B" w:rsidP="00B805CC">
      <w:pPr>
        <w:ind w:left="360" w:right="113"/>
        <w:rPr>
          <w:rFonts w:ascii="Arial" w:hAnsi="Arial" w:cs="Arial"/>
          <w:sz w:val="22"/>
          <w:szCs w:val="22"/>
        </w:rPr>
      </w:pPr>
    </w:p>
    <w:p w14:paraId="399A152B" w14:textId="20FD09FD" w:rsidR="00F3414B" w:rsidRDefault="00F3414B" w:rsidP="00B805CC">
      <w:pPr>
        <w:numPr>
          <w:ilvl w:val="0"/>
          <w:numId w:val="16"/>
        </w:numPr>
        <w:spacing w:line="276" w:lineRule="auto"/>
        <w:ind w:right="113"/>
        <w:rPr>
          <w:rFonts w:ascii="Arial" w:hAnsi="Arial" w:cs="Arial"/>
          <w:sz w:val="22"/>
          <w:szCs w:val="22"/>
        </w:rPr>
      </w:pPr>
      <w:r w:rsidRPr="00F3414B">
        <w:rPr>
          <w:rFonts w:ascii="Arial" w:hAnsi="Arial" w:cs="Arial"/>
          <w:sz w:val="22"/>
          <w:szCs w:val="22"/>
        </w:rPr>
        <w:t>Broad consultation has been undertaken. The draft determination and draft explanatory statement were published on the ATO Legal database at ato.gov.au seeking feedback and comments for a period of two weeks. Notice of the draft determination was also published to ato.gov.au and subscription alerts issued. Tax professionals and tax associations regularly review both the Legal database and ato.gov.au and further promulgate advice of new drafts issued in their internal news bulletins. The major legal publishers also publish news of the drafts in their key tax alerting services - such as the Weekly Tax Bulletin (published by Thomson Reuters Australia) and Tax Tracker and Tax Week (published by CCH Australia).  Additionally, draft determinations and draft explanatory statements have been published on the ATO Consultation Hub.  Links to these drafts were published</w:t>
      </w:r>
      <w:r w:rsidR="00E80118">
        <w:rPr>
          <w:rFonts w:ascii="Arial" w:hAnsi="Arial" w:cs="Arial"/>
          <w:sz w:val="22"/>
          <w:szCs w:val="22"/>
        </w:rPr>
        <w:t xml:space="preserve"> in</w:t>
      </w:r>
      <w:r w:rsidRPr="00F3414B">
        <w:rPr>
          <w:rFonts w:ascii="Arial" w:hAnsi="Arial" w:cs="Arial"/>
          <w:sz w:val="22"/>
          <w:szCs w:val="22"/>
        </w:rPr>
        <w:t xml:space="preserve"> newsletters such as the Taxation News (Chartered Accountants Australia and New Zealand) weekly bulletin. No comments have been received to date.</w:t>
      </w:r>
      <w:r w:rsidR="009A53E6">
        <w:rPr>
          <w:rFonts w:ascii="Arial" w:hAnsi="Arial" w:cs="Arial"/>
          <w:sz w:val="22"/>
          <w:szCs w:val="22"/>
        </w:rPr>
        <w:br/>
      </w:r>
    </w:p>
    <w:p w14:paraId="219558C2" w14:textId="77777777" w:rsidR="00F3414B" w:rsidRPr="009A53E6" w:rsidRDefault="00AB1F5A">
      <w:pPr>
        <w:rPr>
          <w:rFonts w:ascii="Arial" w:hAnsi="Arial" w:cs="Arial"/>
          <w:b/>
          <w:szCs w:val="22"/>
        </w:rPr>
      </w:pPr>
      <w:r w:rsidRPr="009A53E6">
        <w:rPr>
          <w:rFonts w:ascii="Arial" w:hAnsi="Arial" w:cs="Arial"/>
          <w:b/>
          <w:szCs w:val="22"/>
        </w:rPr>
        <w:t>Legislative References</w:t>
      </w:r>
    </w:p>
    <w:p w14:paraId="3C4947C5" w14:textId="797ACD02" w:rsidR="00E176EF" w:rsidRPr="00B805CC" w:rsidRDefault="00AB1F5A">
      <w:pPr>
        <w:rPr>
          <w:rFonts w:ascii="Arial" w:hAnsi="Arial" w:cs="Arial"/>
          <w:b/>
          <w:bCs/>
          <w:sz w:val="22"/>
          <w:szCs w:val="22"/>
        </w:rPr>
      </w:pPr>
      <w:r w:rsidRPr="00B805CC">
        <w:rPr>
          <w:rFonts w:ascii="Arial" w:hAnsi="Arial" w:cs="Arial"/>
          <w:sz w:val="22"/>
          <w:szCs w:val="22"/>
        </w:rPr>
        <w:br/>
      </w:r>
      <w:r w:rsidRPr="00AB1F5A">
        <w:rPr>
          <w:rFonts w:ascii="Arial" w:hAnsi="Arial" w:cs="Arial"/>
          <w:i/>
          <w:snapToGrid w:val="0"/>
          <w:sz w:val="22"/>
          <w:szCs w:val="22"/>
        </w:rPr>
        <w:t>A New Tax System (Goods and Services Tax) Act 1999</w:t>
      </w:r>
      <w:r w:rsidRPr="00AB1F5A">
        <w:rPr>
          <w:rFonts w:ascii="Arial" w:hAnsi="Arial" w:cs="Arial"/>
          <w:snapToGrid w:val="0"/>
          <w:sz w:val="22"/>
          <w:szCs w:val="22"/>
        </w:rPr>
        <w:t xml:space="preserve"> (GST Act)</w:t>
      </w:r>
      <w:r w:rsidRPr="00AB1F5A">
        <w:rPr>
          <w:rFonts w:ascii="Arial" w:hAnsi="Arial" w:cs="Arial"/>
          <w:snapToGrid w:val="0"/>
          <w:sz w:val="22"/>
          <w:szCs w:val="22"/>
        </w:rPr>
        <w:br/>
      </w:r>
      <w:r w:rsidRPr="00B805CC">
        <w:rPr>
          <w:rFonts w:ascii="Arial" w:hAnsi="Arial" w:cs="Arial"/>
          <w:i/>
          <w:sz w:val="22"/>
          <w:szCs w:val="22"/>
        </w:rPr>
        <w:t>Acts Interpretation Act 1901</w:t>
      </w:r>
      <w:r w:rsidRPr="00B805CC">
        <w:rPr>
          <w:rFonts w:ascii="Arial" w:hAnsi="Arial" w:cs="Arial"/>
          <w:i/>
          <w:sz w:val="22"/>
          <w:szCs w:val="22"/>
        </w:rPr>
        <w:br/>
        <w:t>Legislation Act 2003</w:t>
      </w:r>
      <w:r w:rsidRPr="00B805CC">
        <w:rPr>
          <w:rFonts w:ascii="Arial" w:hAnsi="Arial" w:cs="Arial"/>
          <w:i/>
          <w:sz w:val="22"/>
          <w:szCs w:val="22"/>
        </w:rPr>
        <w:br/>
        <w:t>Human Rights (Parliamentary Scrutiny) Act 2011</w:t>
      </w:r>
      <w:r w:rsidR="00E176EF" w:rsidRPr="00B805CC">
        <w:rPr>
          <w:rFonts w:ascii="Arial" w:hAnsi="Arial" w:cs="Arial"/>
          <w:sz w:val="22"/>
          <w:szCs w:val="22"/>
        </w:rPr>
        <w:br w:type="page"/>
      </w:r>
    </w:p>
    <w:p w14:paraId="228C7AFC" w14:textId="77777777" w:rsidR="00E176EF" w:rsidRDefault="00E176EF" w:rsidP="00B805CC">
      <w:pPr>
        <w:pStyle w:val="Heading3"/>
        <w:spacing w:before="0" w:after="0"/>
        <w:jc w:val="center"/>
      </w:pPr>
      <w:r>
        <w:lastRenderedPageBreak/>
        <w:t>Statement of compatibility with Human Rights</w:t>
      </w:r>
    </w:p>
    <w:p w14:paraId="703FE7FD" w14:textId="77777777" w:rsidR="000B44E0" w:rsidRPr="000B44E0" w:rsidRDefault="000B44E0" w:rsidP="00B805CC"/>
    <w:p w14:paraId="0256E161" w14:textId="5274E6B1" w:rsidR="00E176EF" w:rsidRPr="006635AE" w:rsidRDefault="00E176EF" w:rsidP="00B805CC">
      <w:pPr>
        <w:pStyle w:val="Heading3"/>
        <w:spacing w:before="0" w:after="0"/>
        <w:rPr>
          <w:b w:val="0"/>
          <w:sz w:val="22"/>
          <w:szCs w:val="22"/>
        </w:rPr>
      </w:pPr>
      <w:r w:rsidRPr="006635AE">
        <w:rPr>
          <w:b w:val="0"/>
          <w:sz w:val="22"/>
          <w:szCs w:val="22"/>
        </w:rPr>
        <w:t>This</w:t>
      </w:r>
      <w:r w:rsidRPr="006635AE">
        <w:rPr>
          <w:sz w:val="22"/>
          <w:szCs w:val="22"/>
        </w:rPr>
        <w:t xml:space="preserve"> </w:t>
      </w:r>
      <w:r w:rsidRPr="006635AE">
        <w:rPr>
          <w:b w:val="0"/>
          <w:sz w:val="22"/>
          <w:szCs w:val="22"/>
        </w:rPr>
        <w:t>Legislative Instrument</w:t>
      </w:r>
      <w:r>
        <w:rPr>
          <w:sz w:val="22"/>
          <w:szCs w:val="22"/>
        </w:rPr>
        <w:t xml:space="preserve"> </w:t>
      </w:r>
      <w:r w:rsidRPr="006635AE">
        <w:rPr>
          <w:b w:val="0"/>
          <w:sz w:val="22"/>
          <w:szCs w:val="22"/>
        </w:rPr>
        <w:t xml:space="preserve">is prepared in accordance with Part 3 of the </w:t>
      </w:r>
      <w:r w:rsidRPr="006635AE">
        <w:rPr>
          <w:b w:val="0"/>
          <w:i/>
          <w:sz w:val="22"/>
          <w:szCs w:val="22"/>
        </w:rPr>
        <w:t>Human Rights (Parliamentary Scrutiny) Act 2011</w:t>
      </w:r>
      <w:r>
        <w:rPr>
          <w:b w:val="0"/>
          <w:i/>
          <w:sz w:val="22"/>
          <w:szCs w:val="22"/>
        </w:rPr>
        <w:t>.</w:t>
      </w:r>
    </w:p>
    <w:p w14:paraId="5A10F2D2" w14:textId="77777777" w:rsidR="00E176EF" w:rsidRDefault="00E176EF" w:rsidP="000B44E0">
      <w:pPr>
        <w:rPr>
          <w:rFonts w:ascii="Arial" w:hAnsi="Arial" w:cs="Arial"/>
          <w:color w:val="0000FF"/>
          <w:sz w:val="22"/>
          <w:szCs w:val="22"/>
        </w:rPr>
      </w:pPr>
    </w:p>
    <w:p w14:paraId="56BFC19E" w14:textId="653F460C" w:rsidR="00E176EF" w:rsidRPr="0061359E" w:rsidRDefault="00E176EF">
      <w:pPr>
        <w:tabs>
          <w:tab w:val="left" w:pos="0"/>
        </w:tabs>
        <w:jc w:val="center"/>
        <w:rPr>
          <w:rFonts w:ascii="Arial" w:hAnsi="Arial" w:cs="Arial"/>
          <w:b/>
          <w:szCs w:val="24"/>
        </w:rPr>
      </w:pPr>
      <w:r w:rsidRPr="0061359E">
        <w:rPr>
          <w:rFonts w:ascii="Arial" w:hAnsi="Arial" w:cs="Arial"/>
          <w:b/>
          <w:szCs w:val="24"/>
        </w:rPr>
        <w:t>Goods and Services Tax</w:t>
      </w:r>
      <w:r w:rsidR="00AB1F5A" w:rsidRPr="0061359E">
        <w:rPr>
          <w:rFonts w:ascii="Arial" w:hAnsi="Arial" w:cs="Arial"/>
          <w:b/>
          <w:szCs w:val="24"/>
        </w:rPr>
        <w:t>:</w:t>
      </w:r>
      <w:r w:rsidRPr="0061359E">
        <w:rPr>
          <w:rFonts w:ascii="Arial" w:hAnsi="Arial" w:cs="Arial"/>
          <w:b/>
          <w:szCs w:val="24"/>
        </w:rPr>
        <w:t xml:space="preserve"> Waiver</w:t>
      </w:r>
      <w:r w:rsidR="007A2739" w:rsidRPr="0061359E">
        <w:rPr>
          <w:rFonts w:ascii="Arial" w:hAnsi="Arial" w:cs="Arial"/>
          <w:b/>
          <w:szCs w:val="24"/>
        </w:rPr>
        <w:t xml:space="preserve"> </w:t>
      </w:r>
      <w:r w:rsidRPr="0061359E">
        <w:rPr>
          <w:rFonts w:ascii="Arial" w:hAnsi="Arial" w:cs="Arial"/>
          <w:b/>
          <w:szCs w:val="24"/>
        </w:rPr>
        <w:t xml:space="preserve">of Tax Invoice </w:t>
      </w:r>
      <w:r w:rsidR="00803098" w:rsidRPr="0061359E">
        <w:rPr>
          <w:rFonts w:ascii="Arial" w:hAnsi="Arial" w:cs="Arial"/>
          <w:b/>
          <w:szCs w:val="24"/>
        </w:rPr>
        <w:t xml:space="preserve">Requirement </w:t>
      </w:r>
      <w:r w:rsidRPr="0061359E">
        <w:rPr>
          <w:rFonts w:ascii="Arial" w:hAnsi="Arial" w:cs="Arial"/>
          <w:b/>
          <w:szCs w:val="24"/>
        </w:rPr>
        <w:t xml:space="preserve">Determination </w:t>
      </w:r>
      <w:r w:rsidR="00AB1F5A" w:rsidRPr="0061359E">
        <w:rPr>
          <w:rFonts w:ascii="Arial" w:hAnsi="Arial" w:cs="Arial"/>
          <w:b/>
          <w:szCs w:val="24"/>
        </w:rPr>
        <w:t>2017</w:t>
      </w:r>
      <w:r w:rsidR="00FB5CF8" w:rsidRPr="0061359E">
        <w:rPr>
          <w:rFonts w:ascii="Arial" w:hAnsi="Arial" w:cs="Arial"/>
          <w:b/>
          <w:szCs w:val="24"/>
        </w:rPr>
        <w:t xml:space="preserve"> for intangible supplies from offshore</w:t>
      </w:r>
    </w:p>
    <w:p w14:paraId="1573B9D2" w14:textId="77777777" w:rsidR="00E176EF" w:rsidRDefault="00E176EF">
      <w:pPr>
        <w:contextualSpacing/>
        <w:rPr>
          <w:rFonts w:ascii="Arial" w:hAnsi="Arial" w:cs="Arial"/>
          <w:i/>
          <w:sz w:val="22"/>
          <w:szCs w:val="22"/>
        </w:rPr>
      </w:pPr>
    </w:p>
    <w:p w14:paraId="13AC6497" w14:textId="69C2FC4D" w:rsidR="00E176EF" w:rsidRDefault="00E176EF" w:rsidP="00B805CC">
      <w:pPr>
        <w:pStyle w:val="ListParagraph"/>
        <w:autoSpaceDE w:val="0"/>
        <w:autoSpaceDN w:val="0"/>
        <w:adjustRightInd w:val="0"/>
        <w:spacing w:after="0"/>
        <w:ind w:left="0"/>
        <w:rPr>
          <w:rFonts w:ascii="Arial" w:hAnsi="Arial" w:cs="Arial"/>
          <w:color w:val="000000"/>
        </w:rPr>
      </w:pPr>
      <w:r w:rsidRPr="006635AE">
        <w:rPr>
          <w:rFonts w:ascii="Arial" w:hAnsi="Arial" w:cs="Arial"/>
          <w:color w:val="000000"/>
        </w:rPr>
        <w:t xml:space="preserve">This </w:t>
      </w:r>
      <w:r>
        <w:rPr>
          <w:rFonts w:ascii="Arial" w:hAnsi="Arial" w:cs="Arial"/>
          <w:color w:val="000000"/>
        </w:rPr>
        <w:t xml:space="preserve">Legislative Instrument </w:t>
      </w:r>
      <w:r w:rsidRPr="006635AE">
        <w:rPr>
          <w:rFonts w:ascii="Arial" w:hAnsi="Arial" w:cs="Arial"/>
          <w:color w:val="000000"/>
        </w:rPr>
        <w:t xml:space="preserve">is compatible with the human rights and freedoms recognised or declared in the international instruments listed in section 3 of the </w:t>
      </w:r>
      <w:r w:rsidRPr="004D565F">
        <w:rPr>
          <w:rFonts w:ascii="Arial" w:hAnsi="Arial" w:cs="Arial"/>
          <w:i/>
          <w:color w:val="000000"/>
        </w:rPr>
        <w:t>Human Rights (Parliamentary Scrutiny) Act 2011</w:t>
      </w:r>
      <w:r w:rsidRPr="006635AE">
        <w:rPr>
          <w:rFonts w:ascii="Arial" w:hAnsi="Arial" w:cs="Arial"/>
          <w:color w:val="000000"/>
        </w:rPr>
        <w:t xml:space="preserve">. </w:t>
      </w:r>
    </w:p>
    <w:p w14:paraId="71B5D610" w14:textId="77777777" w:rsidR="000B44E0" w:rsidRPr="006635AE" w:rsidRDefault="000B44E0" w:rsidP="00B805CC">
      <w:pPr>
        <w:pStyle w:val="ListParagraph"/>
        <w:autoSpaceDE w:val="0"/>
        <w:autoSpaceDN w:val="0"/>
        <w:adjustRightInd w:val="0"/>
        <w:spacing w:after="0"/>
        <w:ind w:left="0"/>
        <w:rPr>
          <w:rFonts w:ascii="Arial" w:hAnsi="Arial" w:cs="Arial"/>
          <w:iCs/>
          <w:color w:val="000000"/>
        </w:rPr>
      </w:pPr>
    </w:p>
    <w:p w14:paraId="169E7EC9" w14:textId="1308EC64" w:rsidR="00CC4878" w:rsidRDefault="00CC4878" w:rsidP="00B805CC">
      <w:pPr>
        <w:jc w:val="both"/>
        <w:rPr>
          <w:rFonts w:ascii="Arial" w:hAnsi="Arial" w:cs="Arial"/>
          <w:b/>
          <w:szCs w:val="24"/>
        </w:rPr>
      </w:pPr>
      <w:r w:rsidRPr="006635AE">
        <w:rPr>
          <w:rFonts w:ascii="Arial" w:hAnsi="Arial" w:cs="Arial"/>
          <w:b/>
          <w:szCs w:val="24"/>
        </w:rPr>
        <w:t>Overview of the Legislative Instrument</w:t>
      </w:r>
    </w:p>
    <w:p w14:paraId="67E22716" w14:textId="77777777" w:rsidR="000B44E0" w:rsidRDefault="000B44E0" w:rsidP="00B805CC">
      <w:pPr>
        <w:jc w:val="both"/>
        <w:rPr>
          <w:rFonts w:ascii="Arial" w:hAnsi="Arial" w:cs="Arial"/>
          <w:b/>
          <w:szCs w:val="24"/>
        </w:rPr>
      </w:pPr>
    </w:p>
    <w:p w14:paraId="6560E489" w14:textId="476F1925" w:rsidR="003F24AF" w:rsidRPr="00BB2373" w:rsidRDefault="00CC4878" w:rsidP="000B44E0">
      <w:pPr>
        <w:rPr>
          <w:rFonts w:ascii="Arial" w:hAnsi="Arial" w:cs="Arial"/>
          <w:sz w:val="22"/>
          <w:szCs w:val="22"/>
        </w:rPr>
      </w:pPr>
      <w:r w:rsidRPr="00BB2373">
        <w:rPr>
          <w:rFonts w:ascii="Arial" w:hAnsi="Arial" w:cs="Arial"/>
          <w:sz w:val="22"/>
          <w:szCs w:val="22"/>
        </w:rPr>
        <w:t xml:space="preserve">This Legislative Instrument allows </w:t>
      </w:r>
      <w:r w:rsidR="003F24AF" w:rsidRPr="00BB2373">
        <w:rPr>
          <w:rFonts w:ascii="Arial" w:hAnsi="Arial" w:cs="Arial"/>
          <w:sz w:val="22"/>
          <w:szCs w:val="22"/>
        </w:rPr>
        <w:t xml:space="preserve">the requirement for a tax invoice under subsection 29-10(3) of the </w:t>
      </w:r>
      <w:r w:rsidR="00881F3C">
        <w:rPr>
          <w:rFonts w:ascii="Arial" w:hAnsi="Arial" w:cs="Arial"/>
          <w:sz w:val="22"/>
          <w:szCs w:val="22"/>
        </w:rPr>
        <w:t xml:space="preserve">GST </w:t>
      </w:r>
      <w:r w:rsidR="003F24AF" w:rsidRPr="00BB2373">
        <w:rPr>
          <w:rFonts w:ascii="Arial" w:hAnsi="Arial" w:cs="Arial"/>
          <w:sz w:val="22"/>
          <w:szCs w:val="22"/>
        </w:rPr>
        <w:t xml:space="preserve">Act does not apply </w:t>
      </w:r>
      <w:r w:rsidRPr="00BB2373">
        <w:rPr>
          <w:rFonts w:ascii="Arial" w:hAnsi="Arial" w:cs="Arial"/>
          <w:sz w:val="22"/>
          <w:szCs w:val="22"/>
        </w:rPr>
        <w:t xml:space="preserve">in situations </w:t>
      </w:r>
      <w:r w:rsidRPr="00BB2373">
        <w:rPr>
          <w:rFonts w:ascii="Arial" w:hAnsi="Arial" w:cs="Arial"/>
          <w:color w:val="000000"/>
          <w:sz w:val="22"/>
          <w:szCs w:val="22"/>
        </w:rPr>
        <w:t>where</w:t>
      </w:r>
      <w:r w:rsidR="003F24AF" w:rsidRPr="00BB2373">
        <w:rPr>
          <w:rFonts w:ascii="Arial" w:hAnsi="Arial" w:cs="Arial"/>
          <w:color w:val="000000"/>
          <w:sz w:val="22"/>
          <w:szCs w:val="22"/>
        </w:rPr>
        <w:t xml:space="preserve"> the input tax credit for a creditable acquisition relates to </w:t>
      </w:r>
      <w:r w:rsidR="00FB5CF8">
        <w:rPr>
          <w:rFonts w:ascii="Arial" w:hAnsi="Arial" w:cs="Arial"/>
          <w:color w:val="000000"/>
          <w:sz w:val="22"/>
          <w:szCs w:val="22"/>
        </w:rPr>
        <w:t xml:space="preserve"> intangible supplies from offshore </w:t>
      </w:r>
      <w:r w:rsidR="003F24AF" w:rsidRPr="00BB2373">
        <w:rPr>
          <w:rFonts w:ascii="Arial" w:hAnsi="Arial" w:cs="Arial"/>
          <w:color w:val="000000"/>
          <w:sz w:val="22"/>
          <w:szCs w:val="22"/>
        </w:rPr>
        <w:t xml:space="preserve">that is a taxable supply because of section 84-5 of the </w:t>
      </w:r>
      <w:r w:rsidR="00881F3C">
        <w:rPr>
          <w:rFonts w:ascii="Arial" w:hAnsi="Arial" w:cs="Arial"/>
          <w:color w:val="000000"/>
          <w:sz w:val="22"/>
          <w:szCs w:val="22"/>
        </w:rPr>
        <w:t>GST</w:t>
      </w:r>
      <w:r w:rsidR="004F1948">
        <w:rPr>
          <w:rFonts w:ascii="Arial" w:hAnsi="Arial" w:cs="Arial"/>
          <w:color w:val="000000"/>
          <w:sz w:val="22"/>
          <w:szCs w:val="22"/>
        </w:rPr>
        <w:t xml:space="preserve"> </w:t>
      </w:r>
      <w:r w:rsidR="003F24AF" w:rsidRPr="00BB2373">
        <w:rPr>
          <w:rFonts w:ascii="Arial" w:hAnsi="Arial" w:cs="Arial"/>
          <w:color w:val="000000"/>
          <w:sz w:val="22"/>
          <w:szCs w:val="22"/>
        </w:rPr>
        <w:t xml:space="preserve">Act. </w:t>
      </w:r>
      <w:r w:rsidRPr="00BB2373">
        <w:rPr>
          <w:rFonts w:ascii="Arial" w:hAnsi="Arial" w:cs="Arial"/>
          <w:color w:val="000000"/>
          <w:sz w:val="22"/>
          <w:szCs w:val="22"/>
        </w:rPr>
        <w:t xml:space="preserve"> </w:t>
      </w:r>
    </w:p>
    <w:p w14:paraId="2DA10C4D" w14:textId="77777777" w:rsidR="00BB2373" w:rsidRDefault="00BB2373" w:rsidP="00B805CC">
      <w:pPr>
        <w:rPr>
          <w:rFonts w:ascii="Arial" w:hAnsi="Arial" w:cs="Arial"/>
          <w:b/>
          <w:szCs w:val="24"/>
        </w:rPr>
      </w:pPr>
    </w:p>
    <w:p w14:paraId="20870150" w14:textId="77777777" w:rsidR="00CC4878" w:rsidRDefault="00CC4878" w:rsidP="00B805CC">
      <w:pPr>
        <w:rPr>
          <w:rFonts w:ascii="Arial" w:hAnsi="Arial" w:cs="Arial"/>
          <w:b/>
          <w:szCs w:val="24"/>
        </w:rPr>
      </w:pPr>
      <w:r w:rsidRPr="002F61F4">
        <w:rPr>
          <w:rFonts w:ascii="Arial" w:hAnsi="Arial" w:cs="Arial"/>
          <w:b/>
          <w:szCs w:val="24"/>
        </w:rPr>
        <w:t>Human rights implications</w:t>
      </w:r>
    </w:p>
    <w:p w14:paraId="6A0259D2" w14:textId="77777777" w:rsidR="000B44E0" w:rsidRPr="002F61F4" w:rsidRDefault="000B44E0" w:rsidP="00B805CC">
      <w:pPr>
        <w:rPr>
          <w:rFonts w:ascii="Arial" w:hAnsi="Arial" w:cs="Arial"/>
          <w:b/>
          <w:szCs w:val="24"/>
        </w:rPr>
      </w:pPr>
    </w:p>
    <w:p w14:paraId="764A2896" w14:textId="0C2471AB" w:rsidR="00CC4878" w:rsidRDefault="00CC4878" w:rsidP="000B44E0">
      <w:pPr>
        <w:rPr>
          <w:rFonts w:ascii="Arial" w:hAnsi="Arial" w:cs="Arial"/>
          <w:sz w:val="22"/>
          <w:szCs w:val="22"/>
        </w:rPr>
      </w:pPr>
      <w:r w:rsidRPr="00BB2373">
        <w:rPr>
          <w:rFonts w:ascii="Arial" w:hAnsi="Arial" w:cs="Arial"/>
          <w:sz w:val="22"/>
          <w:szCs w:val="22"/>
        </w:rPr>
        <w:t>This Legislative Instrument does not engage any of the applicable human rights or freedoms. It allows for the attribution of creditable acquisitions</w:t>
      </w:r>
      <w:r w:rsidR="00FB5CF8">
        <w:rPr>
          <w:rFonts w:ascii="Arial" w:hAnsi="Arial" w:cs="Arial"/>
          <w:sz w:val="22"/>
          <w:szCs w:val="22"/>
        </w:rPr>
        <w:t xml:space="preserve"> from offshore </w:t>
      </w:r>
      <w:r w:rsidRPr="00BB2373">
        <w:rPr>
          <w:rFonts w:ascii="Arial" w:hAnsi="Arial" w:cs="Arial"/>
          <w:sz w:val="22"/>
          <w:szCs w:val="22"/>
        </w:rPr>
        <w:t>without holding a tax invoice.  </w:t>
      </w:r>
    </w:p>
    <w:p w14:paraId="07CC12E8" w14:textId="77777777" w:rsidR="00BB2373" w:rsidRPr="00BB2373" w:rsidRDefault="00BB2373">
      <w:pPr>
        <w:rPr>
          <w:rFonts w:ascii="Arial" w:hAnsi="Arial" w:cs="Arial"/>
          <w:sz w:val="22"/>
          <w:szCs w:val="22"/>
        </w:rPr>
      </w:pPr>
    </w:p>
    <w:p w14:paraId="1603EA1F" w14:textId="77777777" w:rsidR="00CC4878" w:rsidRDefault="00CC4878" w:rsidP="00B805CC">
      <w:pPr>
        <w:rPr>
          <w:rFonts w:ascii="Arial" w:hAnsi="Arial" w:cs="Arial"/>
          <w:b/>
          <w:szCs w:val="24"/>
        </w:rPr>
      </w:pPr>
      <w:r w:rsidRPr="002F61F4">
        <w:rPr>
          <w:rFonts w:ascii="Arial" w:hAnsi="Arial" w:cs="Arial"/>
          <w:b/>
          <w:szCs w:val="24"/>
        </w:rPr>
        <w:t>Conclusion</w:t>
      </w:r>
    </w:p>
    <w:p w14:paraId="773CBD87" w14:textId="77777777" w:rsidR="000B44E0" w:rsidRPr="002F61F4" w:rsidRDefault="000B44E0" w:rsidP="00B805CC">
      <w:pPr>
        <w:rPr>
          <w:rFonts w:ascii="Arial" w:hAnsi="Arial" w:cs="Arial"/>
          <w:b/>
          <w:szCs w:val="24"/>
        </w:rPr>
      </w:pPr>
    </w:p>
    <w:p w14:paraId="2F3962D5" w14:textId="77777777" w:rsidR="00CC4878" w:rsidRPr="00BB2373" w:rsidRDefault="00CC4878" w:rsidP="00B805CC">
      <w:pPr>
        <w:rPr>
          <w:rFonts w:ascii="Arial" w:hAnsi="Arial" w:cs="Arial"/>
          <w:sz w:val="22"/>
          <w:szCs w:val="22"/>
        </w:rPr>
      </w:pPr>
      <w:r w:rsidRPr="00BB2373">
        <w:rPr>
          <w:rFonts w:ascii="Arial" w:hAnsi="Arial" w:cs="Arial"/>
          <w:sz w:val="22"/>
          <w:szCs w:val="22"/>
        </w:rPr>
        <w:t>This Legislative Instrument is compatible with human rights as it does not raise any human rights issues.</w:t>
      </w:r>
    </w:p>
    <w:bookmarkEnd w:id="12"/>
    <w:p w14:paraId="41C76EB6" w14:textId="77777777" w:rsidR="00486653" w:rsidRPr="001C6956" w:rsidRDefault="00486653" w:rsidP="00486653">
      <w:pPr>
        <w:ind w:left="1700"/>
        <w:rPr>
          <w:rFonts w:ascii="Arial" w:hAnsi="Arial" w:cs="Arial"/>
          <w:sz w:val="20"/>
        </w:rPr>
      </w:pPr>
    </w:p>
    <w:sectPr w:rsidR="00486653" w:rsidRPr="001C6956" w:rsidSect="00146ED8">
      <w:headerReference w:type="even" r:id="rId15"/>
      <w:headerReference w:type="default" r:id="rId16"/>
      <w:head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FFE78" w14:textId="77777777" w:rsidR="0059095F" w:rsidRDefault="0059095F">
      <w:r>
        <w:separator/>
      </w:r>
    </w:p>
  </w:endnote>
  <w:endnote w:type="continuationSeparator" w:id="0">
    <w:p w14:paraId="0E3538D7" w14:textId="77777777" w:rsidR="0059095F" w:rsidRDefault="0059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96491" w14:textId="77777777" w:rsidR="0059095F" w:rsidRDefault="0059095F">
      <w:r>
        <w:separator/>
      </w:r>
    </w:p>
  </w:footnote>
  <w:footnote w:type="continuationSeparator" w:id="0">
    <w:p w14:paraId="1D7EA68B" w14:textId="77777777" w:rsidR="0059095F" w:rsidRDefault="0059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6EC4"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41C76EC5" w14:textId="03456837" w:rsidR="00587C50" w:rsidRPr="0067541C" w:rsidRDefault="00587C50">
    <w:pPr>
      <w:pStyle w:val="Header"/>
      <w:rPr>
        <w:rFonts w:ascii="Arial" w:hAnsi="Arial" w:cs="Arial"/>
        <w:sz w:val="52"/>
      </w:rPr>
    </w:pPr>
    <w:r w:rsidRPr="0067541C">
      <w:rPr>
        <w:rFonts w:ascii="Arial" w:hAnsi="Arial" w:cs="Arial"/>
        <w:b/>
        <w:sz w:val="52"/>
      </w:rPr>
      <w:t xml:space="preserve">TD </w:t>
    </w:r>
  </w:p>
  <w:p w14:paraId="41C76EC6"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3227B2">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6EC7"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6EC8" w14:textId="77777777"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41C76EC9" w14:textId="7CD46642"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D64A0A">
      <w:rPr>
        <w:rFonts w:ascii="Arial" w:hAnsi="Arial" w:cs="Arial"/>
        <w:b/>
        <w:sz w:val="28"/>
        <w:szCs w:val="28"/>
      </w:rPr>
      <w:t>2017</w:t>
    </w:r>
    <w:r w:rsidRPr="00146ED8">
      <w:rPr>
        <w:rFonts w:ascii="Arial" w:hAnsi="Arial" w:cs="Arial"/>
        <w:b/>
        <w:sz w:val="28"/>
        <w:szCs w:val="28"/>
      </w:rPr>
      <w:t>/</w:t>
    </w:r>
    <w:r w:rsidR="00D64A0A">
      <w:rPr>
        <w:rFonts w:ascii="Arial" w:hAnsi="Arial" w:cs="Arial"/>
        <w:b/>
        <w:sz w:val="28"/>
        <w:szCs w:val="28"/>
      </w:rPr>
      <w:t>ITX</w:t>
    </w:r>
    <w:r w:rsidRPr="00146ED8">
      <w:rPr>
        <w:rFonts w:ascii="Arial" w:hAnsi="Arial" w:cs="Arial"/>
        <w:b/>
        <w:sz w:val="28"/>
        <w:szCs w:val="28"/>
      </w:rPr>
      <w:t>/</w:t>
    </w:r>
    <w:r w:rsidR="00D64A0A">
      <w:rPr>
        <w:rFonts w:ascii="Arial" w:hAnsi="Arial" w:cs="Arial"/>
        <w:b/>
        <w:sz w:val="28"/>
        <w:szCs w:val="28"/>
      </w:rPr>
      <w:t>0034</w:t>
    </w:r>
  </w:p>
  <w:p w14:paraId="41C76ECA"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41C76ECC" wp14:editId="41C76EC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41C76ECB"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AEF680D"/>
    <w:multiLevelType w:val="hybridMultilevel"/>
    <w:tmpl w:val="000048EA"/>
    <w:lvl w:ilvl="0" w:tplc="210C198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4">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8">
    <w:nsid w:val="2D2107E0"/>
    <w:multiLevelType w:val="hybridMultilevel"/>
    <w:tmpl w:val="B3927DB0"/>
    <w:lvl w:ilvl="0" w:tplc="0410405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FCC3903"/>
    <w:multiLevelType w:val="hybridMultilevel"/>
    <w:tmpl w:val="479EF1C0"/>
    <w:lvl w:ilvl="0" w:tplc="FFA87EC4">
      <w:start w:val="1"/>
      <w:numFmt w:val="decimal"/>
      <w:lvlText w:val="%1."/>
      <w:lvlJc w:val="left"/>
      <w:pPr>
        <w:tabs>
          <w:tab w:val="num" w:pos="720"/>
        </w:tabs>
        <w:ind w:left="720" w:hanging="360"/>
      </w:pPr>
      <w:rPr>
        <w:rFonts w:ascii="Arial" w:hAnsi="Arial" w:cs="Arial" w:hint="default"/>
        <w:i w:val="0"/>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5">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29">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68B10F18"/>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ECE1DDB"/>
    <w:multiLevelType w:val="hybridMultilevel"/>
    <w:tmpl w:val="5C5EEDF6"/>
    <w:lvl w:ilvl="0" w:tplc="9EA8420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23"/>
  </w:num>
  <w:num w:numId="4">
    <w:abstractNumId w:val="37"/>
  </w:num>
  <w:num w:numId="5">
    <w:abstractNumId w:val="4"/>
  </w:num>
  <w:num w:numId="6">
    <w:abstractNumId w:val="12"/>
  </w:num>
  <w:num w:numId="7">
    <w:abstractNumId w:val="31"/>
  </w:num>
  <w:num w:numId="8">
    <w:abstractNumId w:val="30"/>
  </w:num>
  <w:num w:numId="9">
    <w:abstractNumId w:val="25"/>
  </w:num>
  <w:num w:numId="10">
    <w:abstractNumId w:val="21"/>
  </w:num>
  <w:num w:numId="11">
    <w:abstractNumId w:val="39"/>
  </w:num>
  <w:num w:numId="12">
    <w:abstractNumId w:val="32"/>
  </w:num>
  <w:num w:numId="13">
    <w:abstractNumId w:val="36"/>
  </w:num>
  <w:num w:numId="14">
    <w:abstractNumId w:val="35"/>
  </w:num>
  <w:num w:numId="15">
    <w:abstractNumId w:val="20"/>
  </w:num>
  <w:num w:numId="16">
    <w:abstractNumId w:val="22"/>
  </w:num>
  <w:num w:numId="17">
    <w:abstractNumId w:val="10"/>
  </w:num>
  <w:num w:numId="18">
    <w:abstractNumId w:val="15"/>
  </w:num>
  <w:num w:numId="19">
    <w:abstractNumId w:val="2"/>
  </w:num>
  <w:num w:numId="20">
    <w:abstractNumId w:val="1"/>
  </w:num>
  <w:num w:numId="21">
    <w:abstractNumId w:val="11"/>
  </w:num>
  <w:num w:numId="22">
    <w:abstractNumId w:val="28"/>
  </w:num>
  <w:num w:numId="23">
    <w:abstractNumId w:val="8"/>
  </w:num>
  <w:num w:numId="24">
    <w:abstractNumId w:val="19"/>
  </w:num>
  <w:num w:numId="25">
    <w:abstractNumId w:val="27"/>
  </w:num>
  <w:num w:numId="26">
    <w:abstractNumId w:val="26"/>
  </w:num>
  <w:num w:numId="27">
    <w:abstractNumId w:val="7"/>
  </w:num>
  <w:num w:numId="28">
    <w:abstractNumId w:val="29"/>
  </w:num>
  <w:num w:numId="29">
    <w:abstractNumId w:val="17"/>
  </w:num>
  <w:num w:numId="30">
    <w:abstractNumId w:val="13"/>
  </w:num>
  <w:num w:numId="31">
    <w:abstractNumId w:val="5"/>
  </w:num>
  <w:num w:numId="32">
    <w:abstractNumId w:val="0"/>
  </w:num>
  <w:num w:numId="33">
    <w:abstractNumId w:val="6"/>
  </w:num>
  <w:num w:numId="34">
    <w:abstractNumId w:val="24"/>
  </w:num>
  <w:num w:numId="35">
    <w:abstractNumId w:val="33"/>
  </w:num>
  <w:num w:numId="36">
    <w:abstractNumId w:val="16"/>
  </w:num>
  <w:num w:numId="37">
    <w:abstractNumId w:val="34"/>
  </w:num>
  <w:num w:numId="38">
    <w:abstractNumId w:val="9"/>
  </w:num>
  <w:num w:numId="39">
    <w:abstractNumId w:val="1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568B"/>
    <w:rsid w:val="000345B2"/>
    <w:rsid w:val="00043FA7"/>
    <w:rsid w:val="000552E8"/>
    <w:rsid w:val="00056585"/>
    <w:rsid w:val="0005674F"/>
    <w:rsid w:val="00065C6E"/>
    <w:rsid w:val="00073F1B"/>
    <w:rsid w:val="00075B58"/>
    <w:rsid w:val="000A5B1F"/>
    <w:rsid w:val="000B11DD"/>
    <w:rsid w:val="000B44E0"/>
    <w:rsid w:val="000C390A"/>
    <w:rsid w:val="000C77DD"/>
    <w:rsid w:val="000E295B"/>
    <w:rsid w:val="000E45A0"/>
    <w:rsid w:val="000F2007"/>
    <w:rsid w:val="00107460"/>
    <w:rsid w:val="00112415"/>
    <w:rsid w:val="0013678D"/>
    <w:rsid w:val="00140A34"/>
    <w:rsid w:val="00146ED8"/>
    <w:rsid w:val="00167202"/>
    <w:rsid w:val="00170B08"/>
    <w:rsid w:val="001828A4"/>
    <w:rsid w:val="001A3BE2"/>
    <w:rsid w:val="001A6EA1"/>
    <w:rsid w:val="001C35E7"/>
    <w:rsid w:val="001C4578"/>
    <w:rsid w:val="001F28A6"/>
    <w:rsid w:val="001F2A16"/>
    <w:rsid w:val="001F45A7"/>
    <w:rsid w:val="001F67E7"/>
    <w:rsid w:val="001F6921"/>
    <w:rsid w:val="001F7C3E"/>
    <w:rsid w:val="002014EF"/>
    <w:rsid w:val="00201969"/>
    <w:rsid w:val="00213FA5"/>
    <w:rsid w:val="0023733A"/>
    <w:rsid w:val="0024044F"/>
    <w:rsid w:val="00245D00"/>
    <w:rsid w:val="00257F2D"/>
    <w:rsid w:val="00262F9F"/>
    <w:rsid w:val="00266D2D"/>
    <w:rsid w:val="0027331F"/>
    <w:rsid w:val="00285546"/>
    <w:rsid w:val="00285E76"/>
    <w:rsid w:val="002949C3"/>
    <w:rsid w:val="002A10A4"/>
    <w:rsid w:val="002A26FE"/>
    <w:rsid w:val="002B1423"/>
    <w:rsid w:val="002C36E3"/>
    <w:rsid w:val="002C743C"/>
    <w:rsid w:val="002D5A4D"/>
    <w:rsid w:val="002F1257"/>
    <w:rsid w:val="00310C61"/>
    <w:rsid w:val="003171B3"/>
    <w:rsid w:val="003227B2"/>
    <w:rsid w:val="0032559D"/>
    <w:rsid w:val="00344575"/>
    <w:rsid w:val="0035113C"/>
    <w:rsid w:val="00354525"/>
    <w:rsid w:val="003755C4"/>
    <w:rsid w:val="00380CC4"/>
    <w:rsid w:val="003C0686"/>
    <w:rsid w:val="003D08CF"/>
    <w:rsid w:val="003D0CBA"/>
    <w:rsid w:val="003D0F6A"/>
    <w:rsid w:val="003D4BA8"/>
    <w:rsid w:val="003E5269"/>
    <w:rsid w:val="003F24AF"/>
    <w:rsid w:val="003F63C6"/>
    <w:rsid w:val="00405394"/>
    <w:rsid w:val="004066E4"/>
    <w:rsid w:val="0040680B"/>
    <w:rsid w:val="00407361"/>
    <w:rsid w:val="00417C55"/>
    <w:rsid w:val="00424A7B"/>
    <w:rsid w:val="004447C1"/>
    <w:rsid w:val="0046211F"/>
    <w:rsid w:val="0046787B"/>
    <w:rsid w:val="00486653"/>
    <w:rsid w:val="004A5FDA"/>
    <w:rsid w:val="004C489F"/>
    <w:rsid w:val="004D098C"/>
    <w:rsid w:val="004D24A9"/>
    <w:rsid w:val="004D565F"/>
    <w:rsid w:val="004E5357"/>
    <w:rsid w:val="004F1948"/>
    <w:rsid w:val="004F4A07"/>
    <w:rsid w:val="004F5EB1"/>
    <w:rsid w:val="004F6887"/>
    <w:rsid w:val="005030AD"/>
    <w:rsid w:val="0051249C"/>
    <w:rsid w:val="005176E7"/>
    <w:rsid w:val="00520330"/>
    <w:rsid w:val="00524B6B"/>
    <w:rsid w:val="005413EE"/>
    <w:rsid w:val="00587443"/>
    <w:rsid w:val="00587C50"/>
    <w:rsid w:val="0059095F"/>
    <w:rsid w:val="005917F3"/>
    <w:rsid w:val="005B0ACD"/>
    <w:rsid w:val="005B50A2"/>
    <w:rsid w:val="005C3408"/>
    <w:rsid w:val="005D611B"/>
    <w:rsid w:val="005F1ACE"/>
    <w:rsid w:val="005F256D"/>
    <w:rsid w:val="0060183A"/>
    <w:rsid w:val="00603110"/>
    <w:rsid w:val="00611C8E"/>
    <w:rsid w:val="0061359E"/>
    <w:rsid w:val="00631F30"/>
    <w:rsid w:val="00642420"/>
    <w:rsid w:val="00646158"/>
    <w:rsid w:val="0066622C"/>
    <w:rsid w:val="00666487"/>
    <w:rsid w:val="00673B37"/>
    <w:rsid w:val="006945EA"/>
    <w:rsid w:val="006A00B6"/>
    <w:rsid w:val="006B5470"/>
    <w:rsid w:val="006D0138"/>
    <w:rsid w:val="006D6F52"/>
    <w:rsid w:val="00701718"/>
    <w:rsid w:val="00710359"/>
    <w:rsid w:val="00712FFF"/>
    <w:rsid w:val="00722DBF"/>
    <w:rsid w:val="00735157"/>
    <w:rsid w:val="00775490"/>
    <w:rsid w:val="00790AA2"/>
    <w:rsid w:val="00794883"/>
    <w:rsid w:val="00795D0C"/>
    <w:rsid w:val="007A2739"/>
    <w:rsid w:val="007A55BA"/>
    <w:rsid w:val="007C1FBD"/>
    <w:rsid w:val="007E22F5"/>
    <w:rsid w:val="007F25F3"/>
    <w:rsid w:val="007F4901"/>
    <w:rsid w:val="00803098"/>
    <w:rsid w:val="00836B02"/>
    <w:rsid w:val="008467D4"/>
    <w:rsid w:val="00850FB0"/>
    <w:rsid w:val="0085238E"/>
    <w:rsid w:val="008540EA"/>
    <w:rsid w:val="00866A00"/>
    <w:rsid w:val="008702A6"/>
    <w:rsid w:val="008757CE"/>
    <w:rsid w:val="00881F3C"/>
    <w:rsid w:val="0088392C"/>
    <w:rsid w:val="00885B51"/>
    <w:rsid w:val="00897C0E"/>
    <w:rsid w:val="00897E31"/>
    <w:rsid w:val="008A046F"/>
    <w:rsid w:val="008A405A"/>
    <w:rsid w:val="008A6A6A"/>
    <w:rsid w:val="008B650A"/>
    <w:rsid w:val="008B787C"/>
    <w:rsid w:val="008C3898"/>
    <w:rsid w:val="008C66CC"/>
    <w:rsid w:val="008F483C"/>
    <w:rsid w:val="00912D61"/>
    <w:rsid w:val="00923876"/>
    <w:rsid w:val="00924866"/>
    <w:rsid w:val="009322D7"/>
    <w:rsid w:val="00932BDE"/>
    <w:rsid w:val="00935655"/>
    <w:rsid w:val="00967725"/>
    <w:rsid w:val="009902F8"/>
    <w:rsid w:val="00993BB8"/>
    <w:rsid w:val="0099555F"/>
    <w:rsid w:val="009A22A1"/>
    <w:rsid w:val="009A53E6"/>
    <w:rsid w:val="009B3A1B"/>
    <w:rsid w:val="009B6332"/>
    <w:rsid w:val="009C0912"/>
    <w:rsid w:val="009D6694"/>
    <w:rsid w:val="009F0300"/>
    <w:rsid w:val="00A01FDC"/>
    <w:rsid w:val="00A12698"/>
    <w:rsid w:val="00A167A8"/>
    <w:rsid w:val="00A21F0A"/>
    <w:rsid w:val="00A23E81"/>
    <w:rsid w:val="00A26011"/>
    <w:rsid w:val="00A3220A"/>
    <w:rsid w:val="00A506C2"/>
    <w:rsid w:val="00A62886"/>
    <w:rsid w:val="00A74C38"/>
    <w:rsid w:val="00A77D24"/>
    <w:rsid w:val="00A8493D"/>
    <w:rsid w:val="00A8572F"/>
    <w:rsid w:val="00A93E07"/>
    <w:rsid w:val="00A979CF"/>
    <w:rsid w:val="00AA4DF8"/>
    <w:rsid w:val="00AB1F5A"/>
    <w:rsid w:val="00AB780C"/>
    <w:rsid w:val="00AD5ADE"/>
    <w:rsid w:val="00AE7138"/>
    <w:rsid w:val="00AF4CAF"/>
    <w:rsid w:val="00B117BA"/>
    <w:rsid w:val="00B20D87"/>
    <w:rsid w:val="00B359A2"/>
    <w:rsid w:val="00B578AC"/>
    <w:rsid w:val="00B6433F"/>
    <w:rsid w:val="00B64CF5"/>
    <w:rsid w:val="00B76C9B"/>
    <w:rsid w:val="00B805CC"/>
    <w:rsid w:val="00B823A1"/>
    <w:rsid w:val="00B8428B"/>
    <w:rsid w:val="00B87A27"/>
    <w:rsid w:val="00BA41F5"/>
    <w:rsid w:val="00BB2373"/>
    <w:rsid w:val="00BB3C9C"/>
    <w:rsid w:val="00BF4822"/>
    <w:rsid w:val="00C01D22"/>
    <w:rsid w:val="00C104B6"/>
    <w:rsid w:val="00C10F02"/>
    <w:rsid w:val="00C114F4"/>
    <w:rsid w:val="00C11D03"/>
    <w:rsid w:val="00C31967"/>
    <w:rsid w:val="00C371DE"/>
    <w:rsid w:val="00C409AE"/>
    <w:rsid w:val="00C42D50"/>
    <w:rsid w:val="00C54DF8"/>
    <w:rsid w:val="00C60B49"/>
    <w:rsid w:val="00C674A1"/>
    <w:rsid w:val="00C7440A"/>
    <w:rsid w:val="00C865ED"/>
    <w:rsid w:val="00C8775A"/>
    <w:rsid w:val="00C93977"/>
    <w:rsid w:val="00CA0877"/>
    <w:rsid w:val="00CA6B59"/>
    <w:rsid w:val="00CB3B6C"/>
    <w:rsid w:val="00CC1833"/>
    <w:rsid w:val="00CC189F"/>
    <w:rsid w:val="00CC3368"/>
    <w:rsid w:val="00CC4878"/>
    <w:rsid w:val="00CF19C4"/>
    <w:rsid w:val="00D13C04"/>
    <w:rsid w:val="00D20A78"/>
    <w:rsid w:val="00D278BA"/>
    <w:rsid w:val="00D40454"/>
    <w:rsid w:val="00D4059C"/>
    <w:rsid w:val="00D4346A"/>
    <w:rsid w:val="00D53D8F"/>
    <w:rsid w:val="00D61C76"/>
    <w:rsid w:val="00D634A1"/>
    <w:rsid w:val="00D64A0A"/>
    <w:rsid w:val="00D77015"/>
    <w:rsid w:val="00D82D52"/>
    <w:rsid w:val="00D92B48"/>
    <w:rsid w:val="00D96DCD"/>
    <w:rsid w:val="00DB1693"/>
    <w:rsid w:val="00DD5B07"/>
    <w:rsid w:val="00DE6821"/>
    <w:rsid w:val="00DF2022"/>
    <w:rsid w:val="00DF34BE"/>
    <w:rsid w:val="00DF5D59"/>
    <w:rsid w:val="00E176EF"/>
    <w:rsid w:val="00E239E4"/>
    <w:rsid w:val="00E36A38"/>
    <w:rsid w:val="00E53399"/>
    <w:rsid w:val="00E77995"/>
    <w:rsid w:val="00E80118"/>
    <w:rsid w:val="00E87099"/>
    <w:rsid w:val="00EA28E6"/>
    <w:rsid w:val="00EF78C4"/>
    <w:rsid w:val="00F04CD7"/>
    <w:rsid w:val="00F23E15"/>
    <w:rsid w:val="00F244A2"/>
    <w:rsid w:val="00F3414B"/>
    <w:rsid w:val="00F35064"/>
    <w:rsid w:val="00F374D8"/>
    <w:rsid w:val="00F515A3"/>
    <w:rsid w:val="00F5684D"/>
    <w:rsid w:val="00F57AB6"/>
    <w:rsid w:val="00F6480F"/>
    <w:rsid w:val="00F86713"/>
    <w:rsid w:val="00F932E0"/>
    <w:rsid w:val="00FB178E"/>
    <w:rsid w:val="00FB5CF8"/>
    <w:rsid w:val="00FB7701"/>
    <w:rsid w:val="00FC40F0"/>
    <w:rsid w:val="00FC6D3B"/>
    <w:rsid w:val="00FD0129"/>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C7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styleId="NoSpacing">
    <w:name w:val="No Spacing"/>
    <w:uiPriority w:val="1"/>
    <w:qFormat/>
    <w:rsid w:val="00CC48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styleId="NoSpacing">
    <w:name w:val="No Spacing"/>
    <w:uiPriority w:val="1"/>
    <w:qFormat/>
    <w:rsid w:val="00CC48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2CD597C1-B965-4E1A-A465-326C0C3A3173}">
  <ds:schemaRefs>
    <ds:schemaRef ds:uri="http://purl.org/dc/dcmitype/"/>
    <ds:schemaRef ds:uri="http://schemas.microsoft.com/office/2006/metadata/propertie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65f9449-2a65-4a94-823f-6ddb40b10aaa"/>
    <ds:schemaRef ds:uri="5e039acd-daf0-4ba3-b421-e9b9ae1a3620"/>
    <ds:schemaRef ds:uri="http://purl.org/dc/terms/"/>
  </ds:schemaRefs>
</ds:datastoreItem>
</file>

<file path=customXml/itemProps4.xml><?xml version="1.0" encoding="utf-8"?>
<ds:datastoreItem xmlns:ds="http://schemas.openxmlformats.org/officeDocument/2006/customXml" ds:itemID="{9092B523-521B-4F01-8DAB-0EC284B7888D}">
  <ds:schemaRefs>
    <ds:schemaRef ds:uri="office.server.policy"/>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6.xml><?xml version="1.0" encoding="utf-8"?>
<ds:datastoreItem xmlns:ds="http://schemas.openxmlformats.org/officeDocument/2006/customXml" ds:itemID="{4DD16DA5-6BB4-4B8D-8383-5FD26C18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252BEF4-3D2A-49C0-B1B6-7E20A7BE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4848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McGurgan, Danielle</cp:lastModifiedBy>
  <cp:revision>2</cp:revision>
  <cp:lastPrinted>2017-02-28T22:59:00Z</cp:lastPrinted>
  <dcterms:created xsi:type="dcterms:W3CDTF">2017-03-29T04:19:00Z</dcterms:created>
  <dcterms:modified xsi:type="dcterms:W3CDTF">2017-03-29T04:19:00Z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