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282332" w:rsidRPr="00641906" w:rsidRDefault="004D2843" w:rsidP="004D2843">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5CBA0820" w:rsidR="004D2843" w:rsidRDefault="007D5EBC" w:rsidP="004D2843">
      <w:pPr>
        <w:jc w:val="center"/>
        <w:rPr>
          <w:rFonts w:ascii="Times New Roman" w:hAnsi="Times New Roman" w:cs="Times New Roman"/>
          <w:i/>
        </w:rPr>
      </w:pPr>
      <w:r w:rsidRPr="007D5EBC">
        <w:rPr>
          <w:rFonts w:ascii="Times New Roman" w:hAnsi="Times New Roman" w:cs="Times New Roman"/>
          <w:i/>
        </w:rPr>
        <w:t>Australian Communications and Media Authority Act 2005</w:t>
      </w:r>
    </w:p>
    <w:p w14:paraId="3E70F89F" w14:textId="20A02A50" w:rsidR="004D2843" w:rsidRPr="00641906" w:rsidRDefault="007D5EBC" w:rsidP="004D2843">
      <w:pPr>
        <w:jc w:val="center"/>
        <w:rPr>
          <w:rFonts w:ascii="Times New Roman" w:hAnsi="Times New Roman" w:cs="Times New Roman"/>
          <w:b/>
          <w:i/>
        </w:rPr>
      </w:pPr>
      <w:r w:rsidRPr="007D5EBC">
        <w:rPr>
          <w:rFonts w:ascii="Times New Roman" w:hAnsi="Times New Roman" w:cs="Times New Roman"/>
          <w:b/>
          <w:i/>
        </w:rPr>
        <w:t xml:space="preserve">Telecommunications (Charges) Amendment Determination 2017 (No. 1) </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5DCD23AD" w14:textId="652E0F09"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1D4F99">
        <w:rPr>
          <w:rFonts w:ascii="Times New Roman" w:hAnsi="Times New Roman" w:cs="Times New Roman"/>
        </w:rPr>
        <w:t xml:space="preserve">has made </w:t>
      </w:r>
      <w:r w:rsidR="0091080B">
        <w:rPr>
          <w:rFonts w:ascii="Times New Roman" w:hAnsi="Times New Roman" w:cs="Times New Roman"/>
        </w:rPr>
        <w:t xml:space="preserve">the </w:t>
      </w:r>
      <w:r w:rsidR="007D5EBC" w:rsidRPr="007D5EBC">
        <w:rPr>
          <w:rFonts w:ascii="Times New Roman" w:hAnsi="Times New Roman" w:cs="Times New Roman"/>
          <w:i/>
        </w:rPr>
        <w:t>Telecommunications (Charges) Amendment Determination 2017 (No. 1)</w:t>
      </w:r>
      <w:r w:rsidR="007D5EBC" w:rsidRPr="007D5EBC">
        <w:rPr>
          <w:rFonts w:ascii="Times New Roman" w:hAnsi="Times New Roman" w:cs="Times New Roman"/>
        </w:rPr>
        <w:t xml:space="preserve"> </w:t>
      </w:r>
      <w:r w:rsidR="0091080B" w:rsidRPr="00C57E29">
        <w:rPr>
          <w:rFonts w:ascii="Times New Roman" w:hAnsi="Times New Roman" w:cs="Times New Roman"/>
        </w:rPr>
        <w:t>(</w:t>
      </w:r>
      <w:r w:rsidR="0091080B" w:rsidRPr="0091080B">
        <w:rPr>
          <w:rFonts w:ascii="Times New Roman" w:hAnsi="Times New Roman" w:cs="Times New Roman"/>
          <w:b/>
        </w:rPr>
        <w:t>the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713362" w:rsidRPr="00713362">
        <w:rPr>
          <w:rFonts w:ascii="Times New Roman" w:hAnsi="Times New Roman" w:cs="Times New Roman"/>
        </w:rPr>
        <w:t xml:space="preserve">subsection </w:t>
      </w:r>
      <w:r w:rsidR="007D5EBC">
        <w:rPr>
          <w:rFonts w:ascii="Times New Roman" w:hAnsi="Times New Roman" w:cs="Times New Roman"/>
        </w:rPr>
        <w:t>60</w:t>
      </w:r>
      <w:r w:rsidR="00713362" w:rsidRPr="00713362">
        <w:rPr>
          <w:rFonts w:ascii="Times New Roman" w:hAnsi="Times New Roman" w:cs="Times New Roman"/>
        </w:rPr>
        <w:t xml:space="preserve">(1) </w:t>
      </w:r>
      <w:r w:rsidR="00496AAC">
        <w:rPr>
          <w:rFonts w:ascii="Times New Roman" w:hAnsi="Times New Roman" w:cs="Times New Roman"/>
        </w:rPr>
        <w:t xml:space="preserve">of the </w:t>
      </w:r>
      <w:r w:rsidR="007D5EBC" w:rsidRPr="007D5EBC">
        <w:rPr>
          <w:rFonts w:ascii="Times New Roman" w:hAnsi="Times New Roman" w:cs="Times New Roman"/>
          <w:i/>
        </w:rPr>
        <w:t>Australian Communications and Media Authority Act 2005</w:t>
      </w:r>
      <w:r w:rsidR="00496AAC">
        <w:rPr>
          <w:rFonts w:ascii="Times New Roman" w:hAnsi="Times New Roman" w:cs="Times New Roman"/>
          <w:i/>
        </w:rPr>
        <w:t xml:space="preserve"> </w:t>
      </w:r>
      <w:r w:rsidR="0091080B">
        <w:rPr>
          <w:rFonts w:ascii="Times New Roman" w:hAnsi="Times New Roman" w:cs="Times New Roman"/>
        </w:rPr>
        <w:t>(</w:t>
      </w:r>
      <w:r w:rsidR="0091080B" w:rsidRPr="0091080B">
        <w:rPr>
          <w:rFonts w:ascii="Times New Roman" w:hAnsi="Times New Roman" w:cs="Times New Roman"/>
          <w:b/>
        </w:rPr>
        <w:t>the Act</w:t>
      </w:r>
      <w:r w:rsidR="0091080B">
        <w:rPr>
          <w:rFonts w:ascii="Times New Roman" w:hAnsi="Times New Roman" w:cs="Times New Roman"/>
        </w:rPr>
        <w:t>)</w:t>
      </w:r>
      <w:r w:rsidR="0091080B" w:rsidRPr="0091080B">
        <w:rPr>
          <w:rFonts w:ascii="Times New Roman" w:hAnsi="Times New Roman" w:cs="Times New Roman"/>
        </w:rPr>
        <w:t>.</w:t>
      </w:r>
    </w:p>
    <w:p w14:paraId="5F77CBD1" w14:textId="03303A47" w:rsidR="00522B0A" w:rsidRPr="00713362" w:rsidRDefault="005B2839" w:rsidP="00522B0A">
      <w:pPr>
        <w:rPr>
          <w:rFonts w:ascii="Times New Roman" w:hAnsi="Times New Roman" w:cs="Times New Roman"/>
        </w:rPr>
      </w:pPr>
      <w:r w:rsidRPr="005B2839">
        <w:rPr>
          <w:rFonts w:ascii="Times New Roman" w:hAnsi="Times New Roman" w:cs="Times New Roman"/>
        </w:rPr>
        <w:t xml:space="preserve">Subsection 60(1) of the Act </w:t>
      </w:r>
      <w:r w:rsidR="00D12AFA">
        <w:rPr>
          <w:rFonts w:ascii="Times New Roman" w:hAnsi="Times New Roman" w:cs="Times New Roman"/>
        </w:rPr>
        <w:t xml:space="preserve">relevantly </w:t>
      </w:r>
      <w:r w:rsidRPr="005B2839">
        <w:rPr>
          <w:rFonts w:ascii="Times New Roman" w:hAnsi="Times New Roman" w:cs="Times New Roman"/>
        </w:rPr>
        <w:t xml:space="preserve">provides that the ACMA may, by written instrument, make determinations fixing charges for services provided by the ACMA and for any matter in which expenses are incurred by the ACMA under the </w:t>
      </w:r>
      <w:r w:rsidRPr="005B2839">
        <w:rPr>
          <w:rFonts w:ascii="Times New Roman" w:hAnsi="Times New Roman" w:cs="Times New Roman"/>
          <w:i/>
        </w:rPr>
        <w:t>Telecommunications Act 1997</w:t>
      </w:r>
      <w:r w:rsidRPr="005B2839">
        <w:rPr>
          <w:rFonts w:ascii="Times New Roman" w:hAnsi="Times New Roman" w:cs="Times New Roman"/>
        </w:rPr>
        <w:t xml:space="preserve"> (</w:t>
      </w:r>
      <w:r w:rsidRPr="005B2839">
        <w:rPr>
          <w:rFonts w:ascii="Times New Roman" w:hAnsi="Times New Roman" w:cs="Times New Roman"/>
          <w:b/>
        </w:rPr>
        <w:t>Telecommunications Act</w:t>
      </w:r>
      <w:r w:rsidRPr="005B2839">
        <w:rPr>
          <w:rFonts w:ascii="Times New Roman" w:hAnsi="Times New Roman" w:cs="Times New Roman"/>
        </w:rPr>
        <w:t>).  A charge must not be such as to amount to taxation.</w:t>
      </w:r>
      <w:r>
        <w:rPr>
          <w:rFonts w:ascii="Times New Roman" w:hAnsi="Times New Roman" w:cs="Times New Roman"/>
        </w:rPr>
        <w:t xml:space="preserve"> </w:t>
      </w:r>
    </w:p>
    <w:p w14:paraId="0166F246" w14:textId="7FA5EA0E" w:rsidR="00332B30" w:rsidRDefault="00F2169C" w:rsidP="00B00FC3">
      <w:pPr>
        <w:rPr>
          <w:rFonts w:ascii="Times New Roman" w:hAnsi="Times New Roman" w:cs="Times New Roman"/>
        </w:rPr>
      </w:pPr>
      <w:r w:rsidRPr="00F2169C">
        <w:rPr>
          <w:rFonts w:ascii="Times New Roman" w:hAnsi="Times New Roman" w:cs="Times New Roman"/>
        </w:rPr>
        <w:t xml:space="preserve">Section 33 of the </w:t>
      </w:r>
      <w:r w:rsidRPr="00F2169C">
        <w:rPr>
          <w:rFonts w:ascii="Times New Roman" w:hAnsi="Times New Roman" w:cs="Times New Roman"/>
          <w:i/>
        </w:rPr>
        <w:t xml:space="preserve">Acts Interpretation Act 1901 </w:t>
      </w:r>
      <w:r w:rsidRPr="00F2169C">
        <w:rPr>
          <w:rFonts w:ascii="Times New Roman" w:hAnsi="Times New Roman" w:cs="Times New Roman"/>
        </w:rPr>
        <w:t xml:space="preserve">relevantly provides that where an Act confers a powers to make a legislative instrument, the power shall be construed as including a power exercisable in the like manner, and subject to the like conditions (if any), to repeal, rescind, revoke, amend or vary any such instrument.  The instrument amends the </w:t>
      </w:r>
      <w:r w:rsidR="005B2839" w:rsidRPr="005B2839">
        <w:rPr>
          <w:rFonts w:ascii="Times New Roman" w:hAnsi="Times New Roman" w:cs="Times New Roman"/>
          <w:i/>
        </w:rPr>
        <w:t>Telecommunications (Charges) Determination 2012</w:t>
      </w:r>
      <w:r w:rsidR="001D4F99">
        <w:rPr>
          <w:rFonts w:ascii="Times New Roman" w:hAnsi="Times New Roman" w:cs="Times New Roman"/>
          <w:i/>
        </w:rPr>
        <w:t xml:space="preserve"> </w:t>
      </w:r>
      <w:r w:rsidR="001D4F99">
        <w:rPr>
          <w:rFonts w:ascii="Times New Roman" w:hAnsi="Times New Roman" w:cs="Times New Roman"/>
        </w:rPr>
        <w:t>(</w:t>
      </w:r>
      <w:r w:rsidR="001D4F99">
        <w:rPr>
          <w:rFonts w:ascii="Times New Roman" w:hAnsi="Times New Roman" w:cs="Times New Roman"/>
          <w:b/>
        </w:rPr>
        <w:t>the Charges Determination</w:t>
      </w:r>
      <w:r w:rsidR="001D4F99">
        <w:rPr>
          <w:rFonts w:ascii="Times New Roman" w:hAnsi="Times New Roman" w:cs="Times New Roman"/>
        </w:rPr>
        <w:t>)</w:t>
      </w:r>
      <w:r w:rsidR="003038F5">
        <w:rPr>
          <w:rFonts w:ascii="Times New Roman" w:hAnsi="Times New Roman" w:cs="Times New Roman"/>
          <w:i/>
        </w:rPr>
        <w: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lastRenderedPageBreak/>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DA06AA9" w14:textId="324CA0B3" w:rsidR="005B2839" w:rsidRDefault="001C720F" w:rsidP="004A1064">
      <w:pPr>
        <w:rPr>
          <w:rFonts w:ascii="Times New Roman" w:hAnsi="Times New Roman" w:cs="Times New Roman"/>
        </w:rPr>
      </w:pPr>
      <w:r>
        <w:rPr>
          <w:rFonts w:ascii="Times New Roman" w:hAnsi="Times New Roman" w:cs="Times New Roman"/>
        </w:rPr>
        <w:t xml:space="preserve">The </w:t>
      </w:r>
      <w:r w:rsidR="001D4F99">
        <w:rPr>
          <w:rFonts w:ascii="Times New Roman" w:hAnsi="Times New Roman" w:cs="Times New Roman"/>
        </w:rPr>
        <w:t xml:space="preserve">Charges Determination </w:t>
      </w:r>
      <w:r>
        <w:rPr>
          <w:rFonts w:ascii="Times New Roman" w:hAnsi="Times New Roman" w:cs="Times New Roman"/>
        </w:rPr>
        <w:t xml:space="preserve">sets out fees for a number of services to the telecommunications industry, including </w:t>
      </w:r>
      <w:r w:rsidR="00764366">
        <w:rPr>
          <w:rFonts w:ascii="Times New Roman" w:hAnsi="Times New Roman" w:cs="Times New Roman"/>
        </w:rPr>
        <w:t xml:space="preserve">charges </w:t>
      </w:r>
      <w:r>
        <w:rPr>
          <w:rFonts w:ascii="Times New Roman" w:hAnsi="Times New Roman" w:cs="Times New Roman"/>
        </w:rPr>
        <w:t xml:space="preserve">associated with applications </w:t>
      </w:r>
      <w:r w:rsidR="00936FF7">
        <w:rPr>
          <w:rFonts w:ascii="Times New Roman" w:hAnsi="Times New Roman" w:cs="Times New Roman"/>
        </w:rPr>
        <w:t>in relation to</w:t>
      </w:r>
      <w:r>
        <w:rPr>
          <w:rFonts w:ascii="Times New Roman" w:hAnsi="Times New Roman" w:cs="Times New Roman"/>
        </w:rPr>
        <w:t xml:space="preserve">: </w:t>
      </w:r>
    </w:p>
    <w:p w14:paraId="58A4BF2C" w14:textId="1FD7BCE5" w:rsidR="001C720F" w:rsidRPr="001C720F" w:rsidRDefault="001C720F" w:rsidP="001C720F">
      <w:pPr>
        <w:pStyle w:val="ListParagraph"/>
        <w:numPr>
          <w:ilvl w:val="0"/>
          <w:numId w:val="10"/>
        </w:numPr>
        <w:rPr>
          <w:rFonts w:ascii="Times New Roman" w:hAnsi="Times New Roman" w:cs="Times New Roman"/>
        </w:rPr>
      </w:pPr>
      <w:r w:rsidRPr="001C720F">
        <w:rPr>
          <w:rFonts w:ascii="Times New Roman" w:hAnsi="Times New Roman" w:cs="Times New Roman"/>
        </w:rPr>
        <w:t>a nominated carrier de</w:t>
      </w:r>
      <w:r>
        <w:rPr>
          <w:rFonts w:ascii="Times New Roman" w:hAnsi="Times New Roman" w:cs="Times New Roman"/>
        </w:rPr>
        <w:t xml:space="preserve">claration; </w:t>
      </w:r>
    </w:p>
    <w:p w14:paraId="4346EB9A" w14:textId="2E7028BE" w:rsidR="001C720F" w:rsidRPr="001C720F" w:rsidRDefault="001C720F" w:rsidP="001C720F">
      <w:pPr>
        <w:pStyle w:val="ListParagraph"/>
        <w:numPr>
          <w:ilvl w:val="0"/>
          <w:numId w:val="10"/>
        </w:numPr>
        <w:rPr>
          <w:rFonts w:ascii="Times New Roman" w:hAnsi="Times New Roman" w:cs="Times New Roman"/>
        </w:rPr>
      </w:pPr>
      <w:r w:rsidRPr="001C720F">
        <w:rPr>
          <w:rFonts w:ascii="Times New Roman" w:hAnsi="Times New Roman" w:cs="Times New Roman"/>
        </w:rPr>
        <w:t>a connection permit and labelling certification</w:t>
      </w:r>
      <w:r>
        <w:rPr>
          <w:rFonts w:ascii="Times New Roman" w:hAnsi="Times New Roman" w:cs="Times New Roman"/>
        </w:rPr>
        <w:t xml:space="preserve">; </w:t>
      </w:r>
    </w:p>
    <w:p w14:paraId="6DB0A185" w14:textId="77777777" w:rsidR="000069BF" w:rsidRDefault="000069BF" w:rsidP="001C720F">
      <w:pPr>
        <w:pStyle w:val="ListParagraph"/>
        <w:numPr>
          <w:ilvl w:val="0"/>
          <w:numId w:val="10"/>
        </w:numPr>
        <w:rPr>
          <w:rFonts w:ascii="Times New Roman" w:hAnsi="Times New Roman" w:cs="Times New Roman"/>
        </w:rPr>
      </w:pPr>
      <w:r>
        <w:rPr>
          <w:rFonts w:ascii="Times New Roman" w:hAnsi="Times New Roman" w:cs="Times New Roman"/>
        </w:rPr>
        <w:t xml:space="preserve">numbers under the numbering plan; </w:t>
      </w:r>
    </w:p>
    <w:p w14:paraId="12C94D03" w14:textId="2C314B00" w:rsidR="001C720F" w:rsidRPr="001C720F" w:rsidRDefault="001C720F" w:rsidP="001C720F">
      <w:pPr>
        <w:pStyle w:val="ListParagraph"/>
        <w:numPr>
          <w:ilvl w:val="0"/>
          <w:numId w:val="10"/>
        </w:numPr>
        <w:rPr>
          <w:rFonts w:ascii="Times New Roman" w:hAnsi="Times New Roman" w:cs="Times New Roman"/>
        </w:rPr>
      </w:pPr>
      <w:r w:rsidRPr="001C720F">
        <w:rPr>
          <w:rFonts w:ascii="Times New Roman" w:hAnsi="Times New Roman" w:cs="Times New Roman"/>
        </w:rPr>
        <w:t>a facility installation permit</w:t>
      </w:r>
      <w:r>
        <w:rPr>
          <w:rFonts w:ascii="Times New Roman" w:hAnsi="Times New Roman" w:cs="Times New Roman"/>
        </w:rPr>
        <w:t xml:space="preserve">; </w:t>
      </w:r>
    </w:p>
    <w:p w14:paraId="4F9C2C4E" w14:textId="4C1F6450" w:rsidR="001C720F" w:rsidRPr="001C720F" w:rsidRDefault="001C720F" w:rsidP="001C720F">
      <w:pPr>
        <w:pStyle w:val="ListParagraph"/>
        <w:numPr>
          <w:ilvl w:val="0"/>
          <w:numId w:val="10"/>
        </w:numPr>
        <w:rPr>
          <w:rFonts w:ascii="Times New Roman" w:hAnsi="Times New Roman" w:cs="Times New Roman"/>
        </w:rPr>
      </w:pPr>
      <w:r w:rsidRPr="001C720F">
        <w:rPr>
          <w:rFonts w:ascii="Times New Roman" w:hAnsi="Times New Roman" w:cs="Times New Roman"/>
        </w:rPr>
        <w:t>a submarine cable installation permit</w:t>
      </w:r>
      <w:r>
        <w:rPr>
          <w:rFonts w:ascii="Times New Roman" w:hAnsi="Times New Roman" w:cs="Times New Roman"/>
        </w:rPr>
        <w:t xml:space="preserve">; and </w:t>
      </w:r>
    </w:p>
    <w:p w14:paraId="471BA79E" w14:textId="1735CB24" w:rsidR="001C720F" w:rsidRDefault="00C3728D" w:rsidP="001C720F">
      <w:pPr>
        <w:pStyle w:val="ListParagraph"/>
        <w:numPr>
          <w:ilvl w:val="0"/>
          <w:numId w:val="10"/>
        </w:numPr>
        <w:rPr>
          <w:rFonts w:ascii="Times New Roman" w:hAnsi="Times New Roman" w:cs="Times New Roman"/>
        </w:rPr>
      </w:pPr>
      <w:r>
        <w:rPr>
          <w:rFonts w:ascii="Times New Roman" w:hAnsi="Times New Roman" w:cs="Times New Roman"/>
        </w:rPr>
        <w:t>protection zone declarations</w:t>
      </w:r>
      <w:r w:rsidR="001C720F" w:rsidRPr="001C720F">
        <w:rPr>
          <w:rFonts w:ascii="Times New Roman" w:hAnsi="Times New Roman" w:cs="Times New Roman"/>
        </w:rPr>
        <w:t>.</w:t>
      </w:r>
      <w:r w:rsidR="001C720F">
        <w:rPr>
          <w:rFonts w:ascii="Times New Roman" w:hAnsi="Times New Roman" w:cs="Times New Roman"/>
        </w:rPr>
        <w:t xml:space="preserve"> </w:t>
      </w:r>
    </w:p>
    <w:p w14:paraId="3AF038F9" w14:textId="2DAC2EC0" w:rsidR="00764366" w:rsidRDefault="00D24868" w:rsidP="004A1064">
      <w:pPr>
        <w:rPr>
          <w:rFonts w:ascii="Times New Roman" w:hAnsi="Times New Roman" w:cs="Times New Roman"/>
        </w:rPr>
      </w:pPr>
      <w:r>
        <w:rPr>
          <w:rFonts w:ascii="Times New Roman" w:hAnsi="Times New Roman" w:cs="Times New Roman"/>
        </w:rPr>
        <w:t xml:space="preserve">The instrument amends a number of the charges specified in the </w:t>
      </w:r>
      <w:r w:rsidR="001D4F99">
        <w:rPr>
          <w:rFonts w:ascii="Times New Roman" w:hAnsi="Times New Roman" w:cs="Times New Roman"/>
        </w:rPr>
        <w:t>Charges Determination</w:t>
      </w:r>
      <w:r>
        <w:rPr>
          <w:rFonts w:ascii="Times New Roman" w:hAnsi="Times New Roman" w:cs="Times New Roman"/>
        </w:rPr>
        <w:t xml:space="preserve">.  </w:t>
      </w:r>
      <w:r w:rsidR="00B46CEA">
        <w:rPr>
          <w:rFonts w:ascii="Times New Roman" w:hAnsi="Times New Roman" w:cs="Times New Roman"/>
        </w:rPr>
        <w:t xml:space="preserve">Most of the changes </w:t>
      </w:r>
      <w:r>
        <w:rPr>
          <w:rFonts w:ascii="Times New Roman" w:hAnsi="Times New Roman" w:cs="Times New Roman"/>
        </w:rPr>
        <w:t xml:space="preserve">have been made to reflect changes that have been made to the ACMA’s hourly rates.  </w:t>
      </w:r>
      <w:r w:rsidRPr="00D24868">
        <w:rPr>
          <w:rFonts w:ascii="Times New Roman" w:hAnsi="Times New Roman" w:cs="Times New Roman"/>
        </w:rPr>
        <w:t xml:space="preserve">The proposed new standard hourly rate is $202 (excluding GST), which has increased by 2.5 per cent. </w:t>
      </w:r>
      <w:r>
        <w:rPr>
          <w:rFonts w:ascii="Times New Roman" w:hAnsi="Times New Roman" w:cs="Times New Roman"/>
          <w:i/>
        </w:rPr>
        <w:t xml:space="preserve"> </w:t>
      </w:r>
      <w:r w:rsidR="007C788C" w:rsidRPr="002D1A0A">
        <w:rPr>
          <w:rFonts w:ascii="Times New Roman" w:hAnsi="Times New Roman" w:cs="Times New Roman"/>
        </w:rPr>
        <w:t>Th</w:t>
      </w:r>
      <w:r w:rsidR="007C788C">
        <w:rPr>
          <w:rFonts w:ascii="Times New Roman" w:hAnsi="Times New Roman" w:cs="Times New Roman"/>
        </w:rPr>
        <w:t xml:space="preserve">e </w:t>
      </w:r>
      <w:r w:rsidR="007C788C" w:rsidRPr="002D1A0A">
        <w:rPr>
          <w:rFonts w:ascii="Times New Roman" w:hAnsi="Times New Roman" w:cs="Times New Roman"/>
        </w:rPr>
        <w:t>rate was established by taking the net cost of services of the ACMA’s business units for 2015–16, including an attribution of all corporate and support costs, and dividing this cost by the average staff hours spent by the business units during the financial year 2015–16.</w:t>
      </w:r>
    </w:p>
    <w:p w14:paraId="3C019C5C" w14:textId="096E83A9" w:rsidR="004A1064" w:rsidRDefault="00764366" w:rsidP="004A1064">
      <w:pPr>
        <w:rPr>
          <w:rFonts w:ascii="Times New Roman" w:hAnsi="Times New Roman" w:cs="Times New Roman"/>
        </w:rPr>
      </w:pPr>
      <w:r>
        <w:rPr>
          <w:rFonts w:ascii="Times New Roman" w:hAnsi="Times New Roman" w:cs="Times New Roman"/>
        </w:rPr>
        <w:t>Increases of between 2.4% and 2.8% have also been made to charges relating to:</w:t>
      </w:r>
    </w:p>
    <w:p w14:paraId="4394372F" w14:textId="71C1B47E" w:rsidR="00764366" w:rsidRDefault="00764366" w:rsidP="00764366">
      <w:pPr>
        <w:pStyle w:val="ListParagraph"/>
        <w:numPr>
          <w:ilvl w:val="0"/>
          <w:numId w:val="10"/>
        </w:numPr>
        <w:rPr>
          <w:rFonts w:ascii="Times New Roman" w:hAnsi="Times New Roman" w:cs="Times New Roman"/>
        </w:rPr>
      </w:pPr>
      <w:r>
        <w:rPr>
          <w:rFonts w:ascii="Times New Roman" w:hAnsi="Times New Roman" w:cs="Times New Roman"/>
        </w:rPr>
        <w:t xml:space="preserve">the making of an application for a nominated carrier declaration in relation to one or more specified network units; </w:t>
      </w:r>
    </w:p>
    <w:p w14:paraId="2F36411B" w14:textId="6AAAB7A3" w:rsidR="00764366" w:rsidRDefault="00764366" w:rsidP="00764366">
      <w:pPr>
        <w:pStyle w:val="ListParagraph"/>
        <w:numPr>
          <w:ilvl w:val="0"/>
          <w:numId w:val="10"/>
        </w:numPr>
        <w:rPr>
          <w:rFonts w:ascii="Times New Roman" w:hAnsi="Times New Roman" w:cs="Times New Roman"/>
        </w:rPr>
      </w:pPr>
      <w:r>
        <w:rPr>
          <w:rFonts w:ascii="Times New Roman" w:hAnsi="Times New Roman" w:cs="Times New Roman"/>
        </w:rPr>
        <w:t xml:space="preserve">the deposit to accompany a facility installation permit application; </w:t>
      </w:r>
    </w:p>
    <w:p w14:paraId="23350745" w14:textId="002A2C83" w:rsidR="00764366" w:rsidRDefault="00764366" w:rsidP="00764366">
      <w:pPr>
        <w:pStyle w:val="ListParagraph"/>
        <w:numPr>
          <w:ilvl w:val="0"/>
          <w:numId w:val="10"/>
        </w:numPr>
        <w:rPr>
          <w:rFonts w:ascii="Times New Roman" w:hAnsi="Times New Roman" w:cs="Times New Roman"/>
        </w:rPr>
      </w:pPr>
      <w:r>
        <w:rPr>
          <w:rFonts w:ascii="Times New Roman" w:hAnsi="Times New Roman" w:cs="Times New Roman"/>
        </w:rPr>
        <w:lastRenderedPageBreak/>
        <w:t xml:space="preserve">the deposit payable on account of the expenses to be incurred by the ACMA for the holding of a public inquiry in relation to the issuing of a facility installation permit; </w:t>
      </w:r>
    </w:p>
    <w:p w14:paraId="0CD27048" w14:textId="053401AF" w:rsidR="00764366" w:rsidRDefault="00764366" w:rsidP="00764366">
      <w:pPr>
        <w:pStyle w:val="ListParagraph"/>
        <w:numPr>
          <w:ilvl w:val="0"/>
          <w:numId w:val="10"/>
        </w:numPr>
        <w:rPr>
          <w:rFonts w:ascii="Times New Roman" w:hAnsi="Times New Roman" w:cs="Times New Roman"/>
        </w:rPr>
      </w:pPr>
      <w:r>
        <w:rPr>
          <w:rFonts w:ascii="Times New Roman" w:hAnsi="Times New Roman" w:cs="Times New Roman"/>
        </w:rPr>
        <w:t xml:space="preserve">the deposit payable on account of the expenses to be incurred by the ACMA in relation to a protection zone (declaration) request; and </w:t>
      </w:r>
    </w:p>
    <w:p w14:paraId="1AD8AB65" w14:textId="5A0A926A" w:rsidR="00764366" w:rsidRDefault="00764366" w:rsidP="00764366">
      <w:pPr>
        <w:pStyle w:val="ListParagraph"/>
        <w:numPr>
          <w:ilvl w:val="0"/>
          <w:numId w:val="10"/>
        </w:numPr>
        <w:rPr>
          <w:rFonts w:ascii="Times New Roman" w:hAnsi="Times New Roman" w:cs="Times New Roman"/>
        </w:rPr>
      </w:pPr>
      <w:r>
        <w:rPr>
          <w:rFonts w:ascii="Times New Roman" w:hAnsi="Times New Roman" w:cs="Times New Roman"/>
        </w:rPr>
        <w:t xml:space="preserve">the deposit payable on account of the expenses to be incurred by the ACMA in relation to a protection zone (revocation) request or a protection zone (variation) request. </w:t>
      </w:r>
    </w:p>
    <w:p w14:paraId="7CF6B189" w14:textId="6FFE9500" w:rsidR="009E50B7" w:rsidRPr="004271AD" w:rsidRDefault="009E50B7" w:rsidP="00E96282">
      <w:pPr>
        <w:spacing w:after="120" w:line="240" w:lineRule="auto"/>
        <w:rPr>
          <w:rFonts w:ascii="Times New Roman" w:hAnsi="Times New Roman" w:cs="Times New Roman"/>
        </w:rPr>
      </w:pPr>
      <w:r w:rsidRPr="004271AD">
        <w:rPr>
          <w:rFonts w:ascii="Times New Roman" w:hAnsi="Times New Roman" w:cs="Times New Roman"/>
        </w:rPr>
        <w:t xml:space="preserve">In July 2015, the ACMA </w:t>
      </w:r>
      <w:r w:rsidR="00FF5D07" w:rsidRPr="004271AD">
        <w:rPr>
          <w:rFonts w:ascii="Times New Roman" w:hAnsi="Times New Roman" w:cs="Times New Roman"/>
        </w:rPr>
        <w:t xml:space="preserve">amended </w:t>
      </w:r>
      <w:r w:rsidRPr="004271AD">
        <w:rPr>
          <w:rFonts w:ascii="Times New Roman" w:hAnsi="Times New Roman" w:cs="Times New Roman"/>
        </w:rPr>
        <w:t xml:space="preserve">the </w:t>
      </w:r>
      <w:r w:rsidR="001D4F99">
        <w:rPr>
          <w:rFonts w:ascii="Times New Roman" w:hAnsi="Times New Roman" w:cs="Times New Roman"/>
        </w:rPr>
        <w:t xml:space="preserve">Charges Determination </w:t>
      </w:r>
      <w:r w:rsidR="00FF5D07" w:rsidRPr="004271AD">
        <w:rPr>
          <w:rFonts w:ascii="Times New Roman" w:hAnsi="Times New Roman" w:cs="Times New Roman"/>
        </w:rPr>
        <w:t>to impose charges in relation to applications for allocations of geographic numbers, registration of carriage service providers, and registration of applicants for smartnumbers</w:t>
      </w:r>
      <w:r w:rsidRPr="004271AD">
        <w:rPr>
          <w:rFonts w:ascii="Times New Roman" w:hAnsi="Times New Roman" w:cs="Times New Roman"/>
          <w:i/>
        </w:rPr>
        <w:t xml:space="preserve">. </w:t>
      </w:r>
      <w:r w:rsidRPr="004271AD">
        <w:rPr>
          <w:rFonts w:ascii="Times New Roman" w:hAnsi="Times New Roman" w:cs="Times New Roman"/>
        </w:rPr>
        <w:t>The charges were intended to recover the cost</w:t>
      </w:r>
      <w:r w:rsidR="00BE3414" w:rsidRPr="004271AD">
        <w:rPr>
          <w:rFonts w:ascii="Times New Roman" w:hAnsi="Times New Roman" w:cs="Times New Roman"/>
        </w:rPr>
        <w:t>s related to number allocation and administration functions provided by ZOAK Pty Ltd (</w:t>
      </w:r>
      <w:r w:rsidR="00BE3414" w:rsidRPr="004271AD">
        <w:rPr>
          <w:rFonts w:ascii="Times New Roman" w:hAnsi="Times New Roman" w:cs="Times New Roman"/>
          <w:b/>
        </w:rPr>
        <w:t>Z</w:t>
      </w:r>
      <w:r w:rsidR="001D4F99">
        <w:rPr>
          <w:rFonts w:ascii="Times New Roman" w:hAnsi="Times New Roman" w:cs="Times New Roman"/>
          <w:b/>
        </w:rPr>
        <w:t>oak</w:t>
      </w:r>
      <w:r w:rsidR="00BE3414" w:rsidRPr="004271AD">
        <w:rPr>
          <w:rFonts w:ascii="Times New Roman" w:hAnsi="Times New Roman" w:cs="Times New Roman"/>
        </w:rPr>
        <w:t>) under delegation from the ACMA</w:t>
      </w:r>
      <w:r w:rsidRPr="004271AD">
        <w:rPr>
          <w:rFonts w:ascii="Times New Roman" w:hAnsi="Times New Roman" w:cs="Times New Roman"/>
        </w:rPr>
        <w:t xml:space="preserve">.  The </w:t>
      </w:r>
      <w:r w:rsidR="00BE3414" w:rsidRPr="004271AD">
        <w:rPr>
          <w:rFonts w:ascii="Times New Roman" w:hAnsi="Times New Roman" w:cs="Times New Roman"/>
        </w:rPr>
        <w:t xml:space="preserve">ACMA </w:t>
      </w:r>
      <w:r w:rsidRPr="004271AD">
        <w:rPr>
          <w:rFonts w:ascii="Times New Roman" w:hAnsi="Times New Roman" w:cs="Times New Roman"/>
        </w:rPr>
        <w:t xml:space="preserve">calculated </w:t>
      </w:r>
      <w:r w:rsidR="00BE3414" w:rsidRPr="004271AD">
        <w:rPr>
          <w:rFonts w:ascii="Times New Roman" w:hAnsi="Times New Roman" w:cs="Times New Roman"/>
        </w:rPr>
        <w:t xml:space="preserve">the charge </w:t>
      </w:r>
      <w:r w:rsidRPr="004271AD">
        <w:rPr>
          <w:rFonts w:ascii="Times New Roman" w:hAnsi="Times New Roman" w:cs="Times New Roman"/>
        </w:rPr>
        <w:t xml:space="preserve">by dividing the annual </w:t>
      </w:r>
      <w:r w:rsidR="00BE3414" w:rsidRPr="004271AD">
        <w:rPr>
          <w:rFonts w:ascii="Times New Roman" w:hAnsi="Times New Roman" w:cs="Times New Roman"/>
        </w:rPr>
        <w:t>cost of services provided by Z</w:t>
      </w:r>
      <w:r w:rsidR="001D4F99">
        <w:rPr>
          <w:rFonts w:ascii="Times New Roman" w:hAnsi="Times New Roman" w:cs="Times New Roman"/>
        </w:rPr>
        <w:t>oak</w:t>
      </w:r>
      <w:r w:rsidR="00BE3414" w:rsidRPr="004271AD">
        <w:rPr>
          <w:rFonts w:ascii="Times New Roman" w:hAnsi="Times New Roman" w:cs="Times New Roman"/>
        </w:rPr>
        <w:t xml:space="preserve"> </w:t>
      </w:r>
      <w:r w:rsidRPr="004271AD">
        <w:rPr>
          <w:rFonts w:ascii="Times New Roman" w:hAnsi="Times New Roman" w:cs="Times New Roman"/>
        </w:rPr>
        <w:t xml:space="preserve">by the </w:t>
      </w:r>
      <w:r w:rsidR="00BE3414" w:rsidRPr="004271AD">
        <w:rPr>
          <w:rFonts w:ascii="Times New Roman" w:hAnsi="Times New Roman" w:cs="Times New Roman"/>
        </w:rPr>
        <w:t xml:space="preserve">estimated number of annual transactions to obtain </w:t>
      </w:r>
      <w:r w:rsidR="001D4F99">
        <w:rPr>
          <w:rFonts w:ascii="Times New Roman" w:hAnsi="Times New Roman" w:cs="Times New Roman"/>
        </w:rPr>
        <w:t xml:space="preserve">a </w:t>
      </w:r>
      <w:r w:rsidR="00BE3414" w:rsidRPr="004271AD">
        <w:rPr>
          <w:rFonts w:ascii="Times New Roman" w:hAnsi="Times New Roman" w:cs="Times New Roman"/>
        </w:rPr>
        <w:t>flat charge of $19.50 per transaction</w:t>
      </w:r>
      <w:r w:rsidRPr="004271AD">
        <w:rPr>
          <w:rFonts w:ascii="Times New Roman" w:hAnsi="Times New Roman" w:cs="Times New Roman"/>
        </w:rPr>
        <w:t>.</w:t>
      </w:r>
    </w:p>
    <w:p w14:paraId="3FADF046" w14:textId="433E17D1" w:rsidR="009E50B7" w:rsidRPr="009E50B7" w:rsidRDefault="009E50B7" w:rsidP="00E96282">
      <w:pPr>
        <w:spacing w:after="120" w:line="240" w:lineRule="auto"/>
        <w:rPr>
          <w:rFonts w:ascii="Times New Roman" w:hAnsi="Times New Roman" w:cs="Times New Roman"/>
        </w:rPr>
      </w:pPr>
      <w:r w:rsidRPr="004271AD">
        <w:rPr>
          <w:rFonts w:ascii="Times New Roman" w:hAnsi="Times New Roman" w:cs="Times New Roman"/>
        </w:rPr>
        <w:t xml:space="preserve">The ACMA regularly reviews its costs of providing numbering services under contract and has </w:t>
      </w:r>
      <w:r w:rsidR="00BE3414" w:rsidRPr="004271AD">
        <w:rPr>
          <w:rFonts w:ascii="Times New Roman" w:hAnsi="Times New Roman" w:cs="Times New Roman"/>
        </w:rPr>
        <w:t xml:space="preserve">considered </w:t>
      </w:r>
      <w:r w:rsidRPr="004271AD">
        <w:rPr>
          <w:rFonts w:ascii="Times New Roman" w:hAnsi="Times New Roman" w:cs="Times New Roman"/>
        </w:rPr>
        <w:t xml:space="preserve">that an increase in the </w:t>
      </w:r>
      <w:r w:rsidR="00FF5D07" w:rsidRPr="004271AD">
        <w:rPr>
          <w:rFonts w:ascii="Times New Roman" w:hAnsi="Times New Roman" w:cs="Times New Roman"/>
        </w:rPr>
        <w:t xml:space="preserve">relevant numbering related </w:t>
      </w:r>
      <w:r w:rsidRPr="004271AD">
        <w:rPr>
          <w:rFonts w:ascii="Times New Roman" w:hAnsi="Times New Roman" w:cs="Times New Roman"/>
        </w:rPr>
        <w:t xml:space="preserve">charges set under the </w:t>
      </w:r>
      <w:r w:rsidR="001D4F99">
        <w:rPr>
          <w:rFonts w:ascii="Times New Roman" w:hAnsi="Times New Roman" w:cs="Times New Roman"/>
        </w:rPr>
        <w:t xml:space="preserve">Charges Determination </w:t>
      </w:r>
      <w:r w:rsidRPr="004271AD">
        <w:rPr>
          <w:rFonts w:ascii="Times New Roman" w:hAnsi="Times New Roman" w:cs="Times New Roman"/>
        </w:rPr>
        <w:t xml:space="preserve">is required in order to recover the costs </w:t>
      </w:r>
      <w:r w:rsidR="00BE3414" w:rsidRPr="004271AD">
        <w:rPr>
          <w:rFonts w:ascii="Times New Roman" w:hAnsi="Times New Roman" w:cs="Times New Roman"/>
        </w:rPr>
        <w:t xml:space="preserve">associated with the </w:t>
      </w:r>
      <w:r w:rsidRPr="004271AD">
        <w:rPr>
          <w:rFonts w:ascii="Times New Roman" w:hAnsi="Times New Roman" w:cs="Times New Roman"/>
        </w:rPr>
        <w:t>services</w:t>
      </w:r>
      <w:r w:rsidR="00BE3414" w:rsidRPr="004271AD">
        <w:rPr>
          <w:rFonts w:ascii="Times New Roman" w:hAnsi="Times New Roman" w:cs="Times New Roman"/>
        </w:rPr>
        <w:t xml:space="preserve"> provided by Z</w:t>
      </w:r>
      <w:r w:rsidR="001D4F99">
        <w:rPr>
          <w:rFonts w:ascii="Times New Roman" w:hAnsi="Times New Roman" w:cs="Times New Roman"/>
        </w:rPr>
        <w:t>oak</w:t>
      </w:r>
      <w:r w:rsidRPr="004271AD">
        <w:rPr>
          <w:rFonts w:ascii="Times New Roman" w:hAnsi="Times New Roman" w:cs="Times New Roman"/>
        </w:rPr>
        <w:t>. Consequently</w:t>
      </w:r>
      <w:r w:rsidR="001D4F99">
        <w:rPr>
          <w:rFonts w:ascii="Times New Roman" w:hAnsi="Times New Roman" w:cs="Times New Roman"/>
        </w:rPr>
        <w:t>,</w:t>
      </w:r>
      <w:r w:rsidRPr="004271AD">
        <w:rPr>
          <w:rFonts w:ascii="Times New Roman" w:hAnsi="Times New Roman" w:cs="Times New Roman"/>
        </w:rPr>
        <w:t xml:space="preserve"> the ACMA has decided to increase the flat-fee </w:t>
      </w:r>
      <w:r w:rsidR="00047099">
        <w:rPr>
          <w:rFonts w:ascii="Times New Roman" w:hAnsi="Times New Roman" w:cs="Times New Roman"/>
        </w:rPr>
        <w:t xml:space="preserve">transaction </w:t>
      </w:r>
      <w:r w:rsidRPr="004271AD">
        <w:rPr>
          <w:rFonts w:ascii="Times New Roman" w:hAnsi="Times New Roman" w:cs="Times New Roman"/>
        </w:rPr>
        <w:t>charge to $35.</w:t>
      </w:r>
      <w:r w:rsidRPr="009E50B7">
        <w:rPr>
          <w:rFonts w:ascii="Times New Roman" w:hAnsi="Times New Roman" w:cs="Times New Roman"/>
        </w:rPr>
        <w:t xml:space="preserve"> </w:t>
      </w:r>
    </w:p>
    <w:p w14:paraId="4CE69F6E" w14:textId="402478E7" w:rsidR="00F2386E" w:rsidRPr="00E96282" w:rsidRDefault="009E12B4" w:rsidP="004A1064">
      <w:pPr>
        <w:rPr>
          <w:rFonts w:ascii="Times New Roman" w:hAnsi="Times New Roman" w:cs="Times New Roman"/>
        </w:rPr>
      </w:pPr>
      <w:r>
        <w:rPr>
          <w:rFonts w:ascii="Times New Roman" w:hAnsi="Times New Roman" w:cs="Times New Roman"/>
        </w:rPr>
        <w:t xml:space="preserve">More significant changes have been made to charges that relate to certain permits to install a submarine cable (see </w:t>
      </w:r>
      <w:r w:rsidR="005E0C4E">
        <w:rPr>
          <w:rFonts w:ascii="Times New Roman" w:hAnsi="Times New Roman" w:cs="Times New Roman"/>
        </w:rPr>
        <w:t xml:space="preserve">proposed changes to </w:t>
      </w:r>
      <w:r>
        <w:rPr>
          <w:rFonts w:ascii="Times New Roman" w:hAnsi="Times New Roman" w:cs="Times New Roman"/>
        </w:rPr>
        <w:t>Part 7 of Schedule 1</w:t>
      </w:r>
      <w:r w:rsidR="001D4F99">
        <w:rPr>
          <w:rFonts w:ascii="Times New Roman" w:hAnsi="Times New Roman" w:cs="Times New Roman"/>
        </w:rPr>
        <w:t xml:space="preserve"> to the Charges Determination</w:t>
      </w:r>
      <w:r>
        <w:rPr>
          <w:rFonts w:ascii="Times New Roman" w:hAnsi="Times New Roman" w:cs="Times New Roman"/>
        </w:rPr>
        <w:t xml:space="preserve">).  In 2014, Schedule 3A to the </w:t>
      </w:r>
      <w:r w:rsidRPr="00BE3312">
        <w:rPr>
          <w:rFonts w:ascii="Times New Roman" w:hAnsi="Times New Roman" w:cs="Times New Roman"/>
        </w:rPr>
        <w:t>Telecommunications Act</w:t>
      </w:r>
      <w:r>
        <w:rPr>
          <w:rFonts w:ascii="Times New Roman" w:hAnsi="Times New Roman" w:cs="Times New Roman"/>
          <w:i/>
        </w:rPr>
        <w:t xml:space="preserve"> </w:t>
      </w:r>
      <w:r>
        <w:rPr>
          <w:rFonts w:ascii="Times New Roman" w:hAnsi="Times New Roman" w:cs="Times New Roman"/>
        </w:rPr>
        <w:t xml:space="preserve">was amended.  The </w:t>
      </w:r>
      <w:r>
        <w:rPr>
          <w:rFonts w:ascii="Times New Roman" w:hAnsi="Times New Roman" w:cs="Times New Roman"/>
        </w:rPr>
        <w:lastRenderedPageBreak/>
        <w:t xml:space="preserve">amendments </w:t>
      </w:r>
      <w:r w:rsidR="00942EF0">
        <w:rPr>
          <w:rFonts w:ascii="Times New Roman" w:hAnsi="Times New Roman" w:cs="Times New Roman"/>
        </w:rPr>
        <w:t xml:space="preserve">have resulted in applicants being able to make an application to install a submarine </w:t>
      </w:r>
      <w:r w:rsidR="001D4F99">
        <w:rPr>
          <w:rFonts w:ascii="Times New Roman" w:hAnsi="Times New Roman" w:cs="Times New Roman"/>
        </w:rPr>
        <w:t xml:space="preserve">cable </w:t>
      </w:r>
      <w:r w:rsidR="00942EF0">
        <w:rPr>
          <w:rFonts w:ascii="Times New Roman" w:hAnsi="Times New Roman" w:cs="Times New Roman"/>
        </w:rPr>
        <w:t>both inside and outside a protection zone</w:t>
      </w:r>
      <w:r w:rsidR="00F2386E">
        <w:rPr>
          <w:rFonts w:ascii="Times New Roman" w:hAnsi="Times New Roman" w:cs="Times New Roman"/>
        </w:rPr>
        <w:t xml:space="preserve"> which has required </w:t>
      </w:r>
      <w:r w:rsidR="00942EF0" w:rsidRPr="00942EF0">
        <w:rPr>
          <w:rFonts w:ascii="Times New Roman" w:hAnsi="Times New Roman" w:cs="Times New Roman"/>
        </w:rPr>
        <w:t xml:space="preserve">additional consultation with stakeholders </w:t>
      </w:r>
      <w:r w:rsidR="00F2386E">
        <w:rPr>
          <w:rFonts w:ascii="Times New Roman" w:hAnsi="Times New Roman" w:cs="Times New Roman"/>
        </w:rPr>
        <w:t xml:space="preserve">to be undertaken.  Consequently, the time </w:t>
      </w:r>
      <w:r w:rsidR="00942EF0" w:rsidRPr="00942EF0">
        <w:rPr>
          <w:rFonts w:ascii="Times New Roman" w:hAnsi="Times New Roman" w:cs="Times New Roman"/>
        </w:rPr>
        <w:t>taken to consider stakeholder feedback and to prepare decision-making documentation</w:t>
      </w:r>
      <w:r w:rsidR="00F2386E">
        <w:rPr>
          <w:rFonts w:ascii="Times New Roman" w:hAnsi="Times New Roman" w:cs="Times New Roman"/>
        </w:rPr>
        <w:t xml:space="preserve"> has significantly increased</w:t>
      </w:r>
      <w:r w:rsidR="00942EF0" w:rsidRPr="00942EF0">
        <w:rPr>
          <w:rFonts w:ascii="Times New Roman" w:hAnsi="Times New Roman" w:cs="Times New Roman"/>
        </w:rPr>
        <w:t xml:space="preserve">. </w:t>
      </w:r>
      <w:r w:rsidR="00942EF0">
        <w:rPr>
          <w:rFonts w:ascii="Times New Roman" w:hAnsi="Times New Roman" w:cs="Times New Roman"/>
        </w:rPr>
        <w:t xml:space="preserve"> The ACMA has estimated that the </w:t>
      </w:r>
      <w:r w:rsidR="00942EF0" w:rsidRPr="00942EF0">
        <w:rPr>
          <w:rFonts w:ascii="Times New Roman" w:hAnsi="Times New Roman" w:cs="Times New Roman"/>
        </w:rPr>
        <w:t>time required to perfo</w:t>
      </w:r>
      <w:r w:rsidR="00942EF0" w:rsidRPr="00E96282">
        <w:rPr>
          <w:rFonts w:ascii="Times New Roman" w:hAnsi="Times New Roman" w:cs="Times New Roman"/>
        </w:rPr>
        <w:t>rm this activity has increased by 48 per cent</w:t>
      </w:r>
      <w:r w:rsidR="00F2386E" w:rsidRPr="00E96282">
        <w:rPr>
          <w:rFonts w:ascii="Times New Roman" w:hAnsi="Times New Roman" w:cs="Times New Roman"/>
        </w:rPr>
        <w:t xml:space="preserve">.  </w:t>
      </w:r>
    </w:p>
    <w:p w14:paraId="065E7181" w14:textId="59C431AF" w:rsidR="00764366" w:rsidRPr="00E96282" w:rsidRDefault="00F2386E" w:rsidP="004A1064">
      <w:pPr>
        <w:rPr>
          <w:rFonts w:ascii="Times New Roman" w:hAnsi="Times New Roman" w:cs="Times New Roman"/>
        </w:rPr>
      </w:pPr>
      <w:r w:rsidRPr="00E96282">
        <w:rPr>
          <w:rFonts w:ascii="Times New Roman" w:hAnsi="Times New Roman" w:cs="Times New Roman"/>
        </w:rPr>
        <w:t>The time required for the ACMA to consider and process an application to extend a submarine cable protection and non-protection zone installation permit has also increased by around 133 per cent.  This is based on ACMA staff experience in processing such applications since 2014.  Consequently, the fees for those applications have</w:t>
      </w:r>
      <w:r w:rsidR="00E1480B" w:rsidRPr="00E96282">
        <w:rPr>
          <w:rFonts w:ascii="Times New Roman" w:hAnsi="Times New Roman" w:cs="Times New Roman"/>
        </w:rPr>
        <w:t xml:space="preserve"> increased to reflect the increased processing time.  </w:t>
      </w:r>
    </w:p>
    <w:p w14:paraId="02BA375B" w14:textId="523F16CD" w:rsidR="00F2386E" w:rsidRPr="00E1480B" w:rsidRDefault="00E1480B" w:rsidP="004A1064">
      <w:pPr>
        <w:rPr>
          <w:rFonts w:ascii="Times New Roman" w:hAnsi="Times New Roman" w:cs="Times New Roman"/>
        </w:rPr>
      </w:pPr>
      <w:r w:rsidRPr="00E96282">
        <w:rPr>
          <w:rFonts w:ascii="Times New Roman" w:hAnsi="Times New Roman" w:cs="Times New Roman"/>
        </w:rPr>
        <w:t xml:space="preserve">The time required to consider and process a submarine cable non-protection zone permit application has decreased since 2014.  This is because Schedule 3A to the </w:t>
      </w:r>
      <w:r w:rsidRPr="00BE3312">
        <w:rPr>
          <w:rFonts w:ascii="Times New Roman" w:hAnsi="Times New Roman" w:cs="Times New Roman"/>
        </w:rPr>
        <w:t>Telecommunications Act</w:t>
      </w:r>
      <w:r w:rsidRPr="00E96282">
        <w:rPr>
          <w:rFonts w:ascii="Times New Roman" w:hAnsi="Times New Roman" w:cs="Times New Roman"/>
          <w:i/>
        </w:rPr>
        <w:t xml:space="preserve"> </w:t>
      </w:r>
      <w:r w:rsidRPr="00E96282">
        <w:rPr>
          <w:rFonts w:ascii="Times New Roman" w:hAnsi="Times New Roman" w:cs="Times New Roman"/>
        </w:rPr>
        <w:t>no longer requires the ACMA to consult with the Environment Secretary in relation to such applications.  The time required for the ACMA to consider and process such applications has reduced by 29 per cent and this</w:t>
      </w:r>
      <w:r>
        <w:rPr>
          <w:rFonts w:ascii="Times New Roman" w:hAnsi="Times New Roman" w:cs="Times New Roman"/>
        </w:rPr>
        <w:t xml:space="preserve"> is reflected in a lesser fee.  </w:t>
      </w:r>
    </w:p>
    <w:p w14:paraId="01173E68" w14:textId="074CB2F2"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100B7762" w14:textId="5DC114BD" w:rsidR="005E0C4E" w:rsidRPr="005E0C4E" w:rsidRDefault="005E0C4E" w:rsidP="004D2843">
      <w:pPr>
        <w:rPr>
          <w:rFonts w:ascii="Times New Roman" w:hAnsi="Times New Roman" w:cs="Times New Roman"/>
        </w:rPr>
      </w:pPr>
      <w:r>
        <w:rPr>
          <w:rFonts w:ascii="Times New Roman" w:hAnsi="Times New Roman" w:cs="Times New Roman"/>
          <w:b/>
        </w:rPr>
        <w:t xml:space="preserve">Attachment B </w:t>
      </w:r>
      <w:r w:rsidRPr="00171477">
        <w:rPr>
          <w:rFonts w:ascii="Times New Roman" w:hAnsi="Times New Roman" w:cs="Times New Roman"/>
        </w:rPr>
        <w:t>sets</w:t>
      </w:r>
      <w:r>
        <w:rPr>
          <w:rFonts w:ascii="Times New Roman" w:hAnsi="Times New Roman" w:cs="Times New Roman"/>
        </w:rPr>
        <w:t xml:space="preserve"> out each charge item being amended by the instrument and the variance in comparison with the pre-existing amount of charge.  Attachment B also describes the reason for the differentiation in the amount of charge payable.  </w:t>
      </w:r>
      <w:r>
        <w:rPr>
          <w:rFonts w:ascii="Times New Roman" w:hAnsi="Times New Roman" w:cs="Times New Roman"/>
          <w:b/>
        </w:rPr>
        <w:t xml:space="preserve"> </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lastRenderedPageBreak/>
        <w:t>Documents incorporated by reference</w:t>
      </w:r>
    </w:p>
    <w:p w14:paraId="157AF12E" w14:textId="2CEFE79B" w:rsidR="00BB076E" w:rsidRPr="0052687A" w:rsidRDefault="00E163B2" w:rsidP="0052687A">
      <w:pPr>
        <w:rPr>
          <w:rFonts w:ascii="Times New Roman" w:hAnsi="Times New Roman" w:cs="Times New Roman"/>
        </w:rPr>
      </w:pPr>
      <w:r>
        <w:rPr>
          <w:rFonts w:ascii="Times New Roman" w:hAnsi="Times New Roman" w:cs="Times New Roman"/>
        </w:rPr>
        <w:t>T</w:t>
      </w:r>
      <w:r w:rsidR="0052687A">
        <w:rPr>
          <w:rFonts w:ascii="Times New Roman" w:hAnsi="Times New Roman" w:cs="Times New Roman"/>
        </w:rPr>
        <w:t>he instrument does not incorporate a</w:t>
      </w:r>
      <w:r>
        <w:rPr>
          <w:rFonts w:ascii="Times New Roman" w:hAnsi="Times New Roman" w:cs="Times New Roman"/>
        </w:rPr>
        <w:t xml:space="preserve">ny </w:t>
      </w:r>
      <w:r w:rsidR="0052687A">
        <w:rPr>
          <w:rFonts w:ascii="Times New Roman" w:hAnsi="Times New Roman" w:cs="Times New Roman"/>
        </w:rPr>
        <w:t>document</w:t>
      </w:r>
      <w:r>
        <w:rPr>
          <w:rFonts w:ascii="Times New Roman" w:hAnsi="Times New Roman" w:cs="Times New Roman"/>
        </w:rPr>
        <w:t>s</w:t>
      </w:r>
      <w:r w:rsidR="0052687A">
        <w:rPr>
          <w:rFonts w:ascii="Times New Roman" w:hAnsi="Times New Roman" w:cs="Times New Roman"/>
        </w:rPr>
        <w:t xml:space="preserve"> by reference.</w:t>
      </w:r>
    </w:p>
    <w:p w14:paraId="28832377" w14:textId="77777777" w:rsidR="00BB076E" w:rsidRPr="00BB076E" w:rsidRDefault="00BB076E" w:rsidP="00792DF4">
      <w:pPr>
        <w:keepNext/>
        <w:rPr>
          <w:rFonts w:ascii="Times New Roman" w:hAnsi="Times New Roman" w:cs="Times New Roman"/>
          <w:b/>
        </w:rPr>
      </w:pPr>
      <w:r w:rsidRPr="00BB076E">
        <w:rPr>
          <w:rFonts w:ascii="Times New Roman" w:hAnsi="Times New Roman" w:cs="Times New Roman"/>
          <w:b/>
        </w:rPr>
        <w:t>Consultation</w:t>
      </w:r>
    </w:p>
    <w:p w14:paraId="209311EC" w14:textId="6B2CD935" w:rsidR="0087369C" w:rsidRDefault="00332B30" w:rsidP="00810499">
      <w:pPr>
        <w:rPr>
          <w:rFonts w:ascii="Times New Roman" w:hAnsi="Times New Roman" w:cs="Times New Roman"/>
        </w:rPr>
      </w:pPr>
      <w:r>
        <w:rPr>
          <w:rFonts w:ascii="Times New Roman" w:hAnsi="Times New Roman" w:cs="Times New Roman"/>
        </w:rPr>
        <w:t>The ACMA has consulted with industry stakeholders and the general public on the making of the instrument.  Between</w:t>
      </w:r>
      <w:r w:rsidR="00D136A4">
        <w:rPr>
          <w:rFonts w:ascii="Times New Roman" w:hAnsi="Times New Roman" w:cs="Times New Roman"/>
        </w:rPr>
        <w:t xml:space="preserve"> 28</w:t>
      </w:r>
      <w:r>
        <w:rPr>
          <w:rFonts w:ascii="Times New Roman" w:hAnsi="Times New Roman" w:cs="Times New Roman"/>
        </w:rPr>
        <w:t xml:space="preserve"> November 2016 and 6 January 2017, the ACMA conducted a public consultation process inviting submissions on a number of proposed changes to fees for services determined under cost recovery arrangements.  The consultation </w:t>
      </w:r>
      <w:r w:rsidR="0087369C">
        <w:rPr>
          <w:rFonts w:ascii="Times New Roman" w:hAnsi="Times New Roman" w:cs="Times New Roman"/>
        </w:rPr>
        <w:t xml:space="preserve">was facilitated through the release of a consultation paper and a draft cost recovery implementation statement on the ACMA’s website.  </w:t>
      </w:r>
    </w:p>
    <w:p w14:paraId="49F84DD1" w14:textId="019307EC" w:rsidR="00332B30" w:rsidRDefault="0087369C" w:rsidP="00810499">
      <w:pPr>
        <w:rPr>
          <w:rFonts w:ascii="Times New Roman" w:hAnsi="Times New Roman" w:cs="Times New Roman"/>
        </w:rPr>
      </w:pPr>
      <w:r>
        <w:rPr>
          <w:rFonts w:ascii="Times New Roman" w:hAnsi="Times New Roman" w:cs="Times New Roman"/>
        </w:rPr>
        <w:t xml:space="preserve">The consultation paper </w:t>
      </w:r>
      <w:r w:rsidR="00332B30">
        <w:rPr>
          <w:rFonts w:ascii="Times New Roman" w:hAnsi="Times New Roman" w:cs="Times New Roman"/>
        </w:rPr>
        <w:t xml:space="preserve">outlined </w:t>
      </w:r>
      <w:r w:rsidR="001D4F99">
        <w:rPr>
          <w:rFonts w:ascii="Times New Roman" w:hAnsi="Times New Roman" w:cs="Times New Roman"/>
        </w:rPr>
        <w:t xml:space="preserve">the </w:t>
      </w:r>
      <w:r w:rsidR="00332B30">
        <w:rPr>
          <w:rFonts w:ascii="Times New Roman" w:hAnsi="Times New Roman" w:cs="Times New Roman"/>
        </w:rPr>
        <w:t xml:space="preserve">changes </w:t>
      </w:r>
      <w:r w:rsidR="001D4F99">
        <w:rPr>
          <w:rFonts w:ascii="Times New Roman" w:hAnsi="Times New Roman" w:cs="Times New Roman"/>
        </w:rPr>
        <w:t xml:space="preserve">proposed to be made by </w:t>
      </w:r>
      <w:r w:rsidR="00332B30">
        <w:rPr>
          <w:rFonts w:ascii="Times New Roman" w:hAnsi="Times New Roman" w:cs="Times New Roman"/>
        </w:rPr>
        <w:t xml:space="preserve">the instrument as well as </w:t>
      </w:r>
      <w:r w:rsidR="001D4F99">
        <w:rPr>
          <w:rFonts w:ascii="Times New Roman" w:hAnsi="Times New Roman" w:cs="Times New Roman"/>
        </w:rPr>
        <w:t xml:space="preserve">changes proposed to </w:t>
      </w:r>
      <w:r w:rsidR="00332B30">
        <w:rPr>
          <w:rFonts w:ascii="Times New Roman" w:hAnsi="Times New Roman" w:cs="Times New Roman"/>
        </w:rPr>
        <w:t xml:space="preserve">the following determinations: </w:t>
      </w:r>
    </w:p>
    <w:p w14:paraId="00C21922" w14:textId="77777777" w:rsidR="00B60C8F" w:rsidRPr="00332B30" w:rsidRDefault="00B60C8F" w:rsidP="00B60C8F">
      <w:pPr>
        <w:pStyle w:val="ListParagraph"/>
        <w:numPr>
          <w:ilvl w:val="0"/>
          <w:numId w:val="7"/>
        </w:numPr>
        <w:rPr>
          <w:rFonts w:ascii="Times New Roman" w:hAnsi="Times New Roman" w:cs="Times New Roman"/>
          <w:i/>
        </w:rPr>
      </w:pPr>
      <w:r>
        <w:rPr>
          <w:rFonts w:ascii="Times New Roman" w:hAnsi="Times New Roman" w:cs="Times New Roman"/>
        </w:rPr>
        <w:t xml:space="preserve">the </w:t>
      </w:r>
      <w:r w:rsidRPr="00332B30">
        <w:rPr>
          <w:rFonts w:ascii="Times New Roman" w:hAnsi="Times New Roman" w:cs="Times New Roman"/>
          <w:i/>
        </w:rPr>
        <w:t>Broadcasting (Charges) Determination 2007</w:t>
      </w:r>
      <w:r w:rsidRPr="00332B30">
        <w:rPr>
          <w:rFonts w:ascii="Times New Roman" w:hAnsi="Times New Roman" w:cs="Times New Roman"/>
        </w:rPr>
        <w:t xml:space="preserve">; </w:t>
      </w:r>
    </w:p>
    <w:p w14:paraId="4CAE1E33" w14:textId="48A8475C" w:rsidR="00332B30" w:rsidRPr="00332B30" w:rsidRDefault="00332B30" w:rsidP="00332B30">
      <w:pPr>
        <w:pStyle w:val="ListParagraph"/>
        <w:numPr>
          <w:ilvl w:val="0"/>
          <w:numId w:val="7"/>
        </w:numPr>
        <w:rPr>
          <w:rFonts w:ascii="Times New Roman" w:hAnsi="Times New Roman" w:cs="Times New Roman"/>
          <w:i/>
        </w:rPr>
      </w:pPr>
      <w:r>
        <w:rPr>
          <w:rFonts w:ascii="Times New Roman" w:hAnsi="Times New Roman" w:cs="Times New Roman"/>
        </w:rPr>
        <w:t xml:space="preserve">the </w:t>
      </w:r>
      <w:r w:rsidRPr="00332B30">
        <w:rPr>
          <w:rFonts w:ascii="Times New Roman" w:hAnsi="Times New Roman" w:cs="Times New Roman"/>
          <w:i/>
        </w:rPr>
        <w:t>Radiocommunications (Charges) Determination 2007</w:t>
      </w:r>
      <w:r w:rsidRPr="00332B30">
        <w:rPr>
          <w:rFonts w:ascii="Times New Roman" w:hAnsi="Times New Roman" w:cs="Times New Roman"/>
        </w:rPr>
        <w:t>;</w:t>
      </w:r>
    </w:p>
    <w:p w14:paraId="4C257198" w14:textId="62E2C6EE" w:rsidR="00332B30" w:rsidRPr="00332B30" w:rsidRDefault="00332B30" w:rsidP="00713362">
      <w:pPr>
        <w:pStyle w:val="ListParagraph"/>
        <w:numPr>
          <w:ilvl w:val="0"/>
          <w:numId w:val="7"/>
        </w:numPr>
        <w:rPr>
          <w:rFonts w:ascii="Times New Roman" w:hAnsi="Times New Roman" w:cs="Times New Roman"/>
          <w:i/>
        </w:rPr>
      </w:pPr>
      <w:r>
        <w:rPr>
          <w:rFonts w:ascii="Times New Roman" w:hAnsi="Times New Roman" w:cs="Times New Roman"/>
        </w:rPr>
        <w:t xml:space="preserve">the </w:t>
      </w:r>
      <w:r w:rsidR="00713362" w:rsidRPr="00713362">
        <w:rPr>
          <w:rFonts w:ascii="Times New Roman" w:hAnsi="Times New Roman" w:cs="Times New Roman"/>
          <w:i/>
        </w:rPr>
        <w:t>Radiocommunications (Digital Radio Multiplex Transmitter Licences – Application Fee) Determination 2012</w:t>
      </w:r>
      <w:r w:rsidRPr="00332B30">
        <w:rPr>
          <w:rFonts w:ascii="Times New Roman" w:hAnsi="Times New Roman" w:cs="Times New Roman"/>
        </w:rPr>
        <w:t xml:space="preserve">; and </w:t>
      </w:r>
    </w:p>
    <w:p w14:paraId="2B600E32" w14:textId="0E12732B" w:rsidR="00332B30" w:rsidRPr="001C720F" w:rsidRDefault="00332B30" w:rsidP="001C720F">
      <w:pPr>
        <w:pStyle w:val="ListParagraph"/>
        <w:numPr>
          <w:ilvl w:val="0"/>
          <w:numId w:val="7"/>
        </w:numPr>
        <w:rPr>
          <w:rFonts w:ascii="Times New Roman" w:hAnsi="Times New Roman" w:cs="Times New Roman"/>
          <w:i/>
        </w:rPr>
      </w:pPr>
      <w:r w:rsidRPr="001C720F">
        <w:rPr>
          <w:rFonts w:ascii="Times New Roman" w:hAnsi="Times New Roman" w:cs="Times New Roman"/>
        </w:rPr>
        <w:t xml:space="preserve">the </w:t>
      </w:r>
      <w:r w:rsidR="001C720F" w:rsidRPr="001C720F">
        <w:rPr>
          <w:rFonts w:ascii="Times New Roman" w:hAnsi="Times New Roman" w:cs="Times New Roman"/>
          <w:i/>
        </w:rPr>
        <w:t>Telecommunications (Carrier Licence Application Charge) Determination 2012</w:t>
      </w:r>
      <w:r w:rsidRPr="001C720F">
        <w:rPr>
          <w:rFonts w:ascii="Times New Roman" w:hAnsi="Times New Roman" w:cs="Times New Roman"/>
        </w:rPr>
        <w:t>.</w:t>
      </w:r>
    </w:p>
    <w:p w14:paraId="7DA96FC0" w14:textId="76B5F968" w:rsidR="00BE3414" w:rsidRPr="00240E7A" w:rsidRDefault="00BE3414" w:rsidP="00E96282">
      <w:pPr>
        <w:spacing w:after="120" w:line="240" w:lineRule="auto"/>
        <w:rPr>
          <w:rFonts w:ascii="Times New Roman" w:hAnsi="Times New Roman" w:cs="Times New Roman"/>
        </w:rPr>
      </w:pPr>
      <w:r w:rsidRPr="00BE3312">
        <w:rPr>
          <w:rFonts w:ascii="Times New Roman" w:hAnsi="Times New Roman" w:cs="Times New Roman"/>
        </w:rPr>
        <w:t>The ACMA did not receive any submissions in response to the consultation paper.</w:t>
      </w:r>
      <w:r w:rsidRPr="00240E7A">
        <w:rPr>
          <w:rFonts w:ascii="Times New Roman" w:hAnsi="Times New Roman" w:cs="Times New Roman"/>
        </w:rPr>
        <w:t xml:space="preserve">  </w:t>
      </w:r>
    </w:p>
    <w:p w14:paraId="0D8B468A" w14:textId="26AC5B10" w:rsidR="00061977" w:rsidRPr="004B1BC8" w:rsidRDefault="00061977" w:rsidP="00E96282">
      <w:pPr>
        <w:spacing w:after="120" w:line="240" w:lineRule="auto"/>
        <w:rPr>
          <w:rFonts w:ascii="Times New Roman" w:hAnsi="Times New Roman" w:cs="Times New Roman"/>
        </w:rPr>
      </w:pPr>
      <w:r w:rsidRPr="00240E7A">
        <w:rPr>
          <w:rFonts w:ascii="Times New Roman" w:hAnsi="Times New Roman" w:cs="Times New Roman"/>
        </w:rPr>
        <w:t xml:space="preserve">In relation to the </w:t>
      </w:r>
      <w:r w:rsidR="00BE3414" w:rsidRPr="00BE3312">
        <w:rPr>
          <w:rFonts w:ascii="Times New Roman" w:hAnsi="Times New Roman" w:cs="Times New Roman"/>
        </w:rPr>
        <w:t>proposed change</w:t>
      </w:r>
      <w:r w:rsidR="004B1BC8" w:rsidRPr="00BE3312">
        <w:rPr>
          <w:rFonts w:ascii="Times New Roman" w:hAnsi="Times New Roman" w:cs="Times New Roman"/>
        </w:rPr>
        <w:t>s</w:t>
      </w:r>
      <w:r w:rsidR="00BE3414" w:rsidRPr="00BE3312">
        <w:rPr>
          <w:rFonts w:ascii="Times New Roman" w:hAnsi="Times New Roman" w:cs="Times New Roman"/>
        </w:rPr>
        <w:t xml:space="preserve"> associated with</w:t>
      </w:r>
      <w:r w:rsidR="00BE3414" w:rsidRPr="00240E7A">
        <w:rPr>
          <w:rFonts w:ascii="Times New Roman" w:hAnsi="Times New Roman" w:cs="Times New Roman"/>
        </w:rPr>
        <w:t xml:space="preserve"> </w:t>
      </w:r>
      <w:r w:rsidRPr="00240E7A">
        <w:rPr>
          <w:rFonts w:ascii="Times New Roman" w:hAnsi="Times New Roman" w:cs="Times New Roman"/>
        </w:rPr>
        <w:t>numbering charges, the ACMA</w:t>
      </w:r>
      <w:r w:rsidR="001D4F99">
        <w:rPr>
          <w:rFonts w:ascii="Times New Roman" w:hAnsi="Times New Roman" w:cs="Times New Roman"/>
        </w:rPr>
        <w:t>,</w:t>
      </w:r>
      <w:r w:rsidRPr="00AB5BEA">
        <w:rPr>
          <w:rFonts w:ascii="Times New Roman" w:hAnsi="Times New Roman" w:cs="Times New Roman"/>
        </w:rPr>
        <w:t xml:space="preserve"> on 16 December 2016,</w:t>
      </w:r>
      <w:r w:rsidRPr="004B1BC8">
        <w:rPr>
          <w:rFonts w:ascii="Times New Roman" w:hAnsi="Times New Roman" w:cs="Times New Roman"/>
        </w:rPr>
        <w:t xml:space="preserve"> released a separate consultation paper </w:t>
      </w:r>
      <w:r w:rsidR="00BE3414" w:rsidRPr="00BE3312">
        <w:rPr>
          <w:rFonts w:ascii="Times New Roman" w:hAnsi="Times New Roman" w:cs="Times New Roman"/>
        </w:rPr>
        <w:t>(</w:t>
      </w:r>
      <w:r w:rsidR="00BE3414" w:rsidRPr="00BE3312">
        <w:rPr>
          <w:rFonts w:ascii="Times New Roman" w:hAnsi="Times New Roman" w:cs="Times New Roman"/>
          <w:b/>
        </w:rPr>
        <w:t>16 December Consultation Paper</w:t>
      </w:r>
      <w:r w:rsidR="00BE3414" w:rsidRPr="00BE3312">
        <w:rPr>
          <w:rFonts w:ascii="Times New Roman" w:hAnsi="Times New Roman" w:cs="Times New Roman"/>
        </w:rPr>
        <w:t>)</w:t>
      </w:r>
      <w:r w:rsidR="00BE3414" w:rsidRPr="00240E7A">
        <w:rPr>
          <w:rFonts w:ascii="Times New Roman" w:hAnsi="Times New Roman" w:cs="Times New Roman"/>
        </w:rPr>
        <w:t xml:space="preserve"> </w:t>
      </w:r>
      <w:r w:rsidRPr="00240E7A">
        <w:rPr>
          <w:rFonts w:ascii="Times New Roman" w:hAnsi="Times New Roman" w:cs="Times New Roman"/>
        </w:rPr>
        <w:t xml:space="preserve">which set </w:t>
      </w:r>
      <w:r w:rsidRPr="00240E7A">
        <w:rPr>
          <w:rFonts w:ascii="Times New Roman" w:hAnsi="Times New Roman" w:cs="Times New Roman"/>
        </w:rPr>
        <w:lastRenderedPageBreak/>
        <w:t xml:space="preserve">out options to recoup the identified and anticipated under-recovery, as well as inviting any comments on future demand for numbers and models for cost recovery.  The consultation paper was also published on the ACMA’s website and was provided to </w:t>
      </w:r>
      <w:r w:rsidRPr="004B1BC8">
        <w:rPr>
          <w:rFonts w:ascii="Times New Roman" w:hAnsi="Times New Roman" w:cs="Times New Roman"/>
        </w:rPr>
        <w:t xml:space="preserve">the ACMA’s Numbering Advisory Committee, which includes representatives from government, consumer organisations, the peak communications organisation (Communications Alliance) and telecommunications carriers and CSPs.  </w:t>
      </w:r>
    </w:p>
    <w:p w14:paraId="331DDB4C" w14:textId="00A38D74" w:rsidR="00061977" w:rsidRPr="00E96282" w:rsidRDefault="00061977" w:rsidP="00E96282">
      <w:pPr>
        <w:spacing w:after="120" w:line="240" w:lineRule="auto"/>
        <w:rPr>
          <w:rFonts w:ascii="Times New Roman" w:hAnsi="Times New Roman" w:cs="Times New Roman"/>
        </w:rPr>
      </w:pPr>
      <w:r w:rsidRPr="004B1BC8">
        <w:rPr>
          <w:rFonts w:ascii="Times New Roman" w:hAnsi="Times New Roman" w:cs="Times New Roman"/>
        </w:rPr>
        <w:t xml:space="preserve">The ACMA received four written submissions in response to the </w:t>
      </w:r>
      <w:r w:rsidR="00BE3414" w:rsidRPr="00BE3312">
        <w:rPr>
          <w:rFonts w:ascii="Times New Roman" w:hAnsi="Times New Roman" w:cs="Times New Roman"/>
        </w:rPr>
        <w:t>16 December C</w:t>
      </w:r>
      <w:r w:rsidRPr="00240E7A">
        <w:rPr>
          <w:rFonts w:ascii="Times New Roman" w:hAnsi="Times New Roman" w:cs="Times New Roman"/>
        </w:rPr>
        <w:t xml:space="preserve">onsultation </w:t>
      </w:r>
      <w:r w:rsidR="00BE3414" w:rsidRPr="00BE3312">
        <w:rPr>
          <w:rFonts w:ascii="Times New Roman" w:hAnsi="Times New Roman" w:cs="Times New Roman"/>
        </w:rPr>
        <w:t>P</w:t>
      </w:r>
      <w:r w:rsidRPr="00240E7A">
        <w:rPr>
          <w:rFonts w:ascii="Times New Roman" w:hAnsi="Times New Roman" w:cs="Times New Roman"/>
        </w:rPr>
        <w:t xml:space="preserve">aper and all relevant issues were considered when making the </w:t>
      </w:r>
      <w:r w:rsidR="001D4F99">
        <w:rPr>
          <w:rFonts w:ascii="Times New Roman" w:hAnsi="Times New Roman" w:cs="Times New Roman"/>
        </w:rPr>
        <w:t>instrument</w:t>
      </w:r>
      <w:r w:rsidRPr="00240E7A">
        <w:rPr>
          <w:rFonts w:ascii="Times New Roman" w:hAnsi="Times New Roman" w:cs="Times New Roman"/>
        </w:rPr>
        <w:t xml:space="preserve">. The ACMA </w:t>
      </w:r>
      <w:r w:rsidR="004B1BC8" w:rsidRPr="004B1BC8">
        <w:rPr>
          <w:rFonts w:ascii="Times New Roman" w:hAnsi="Times New Roman" w:cs="Times New Roman"/>
        </w:rPr>
        <w:t>took those submissions into account when deciding on the revised numbering changes</w:t>
      </w:r>
      <w:r w:rsidRPr="004B1BC8">
        <w:rPr>
          <w:rFonts w:ascii="Times New Roman" w:hAnsi="Times New Roman" w:cs="Times New Roman"/>
        </w:rPr>
        <w:t>.</w:t>
      </w:r>
    </w:p>
    <w:p w14:paraId="1EB4A0D6" w14:textId="132A3298" w:rsidR="00681986"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4B1BC8">
        <w:rPr>
          <w:rFonts w:ascii="Times New Roman" w:hAnsi="Times New Roman" w:cs="Times New Roman"/>
        </w:rPr>
        <w:t xml:space="preserve"> LA</w:t>
      </w:r>
      <w:r>
        <w:rPr>
          <w:rFonts w:ascii="Times New Roman" w:hAnsi="Times New Roman" w:cs="Times New Roman"/>
        </w:rPr>
        <w:t>.</w:t>
      </w:r>
      <w:r w:rsidR="000C6436">
        <w:rPr>
          <w:rFonts w:ascii="Times New Roman" w:hAnsi="Times New Roman" w:cs="Times New Roman"/>
        </w:rPr>
        <w:t xml:space="preserve">  </w:t>
      </w:r>
    </w:p>
    <w:p w14:paraId="3DBDAC14" w14:textId="2D5984CE" w:rsidR="0091080B" w:rsidRDefault="00FB4437" w:rsidP="00B60C8F">
      <w:pPr>
        <w:keepNext/>
        <w:rPr>
          <w:rFonts w:ascii="Times New Roman" w:hAnsi="Times New Roman" w:cs="Times New Roman"/>
          <w:b/>
        </w:rPr>
      </w:pPr>
      <w:r>
        <w:rPr>
          <w:rFonts w:ascii="Times New Roman" w:hAnsi="Times New Roman" w:cs="Times New Roman"/>
          <w:b/>
        </w:rPr>
        <w:t>Regulatory impact assessment</w:t>
      </w:r>
    </w:p>
    <w:p w14:paraId="664E8B26" w14:textId="5A950C33" w:rsidR="00EC62DD" w:rsidRDefault="00EC62DD" w:rsidP="00FC0BF3">
      <w:pPr>
        <w:rPr>
          <w:rFonts w:ascii="Times New Roman" w:hAnsi="Times New Roman" w:cs="Times New Roman"/>
        </w:rPr>
      </w:pPr>
      <w:r w:rsidRPr="00EC62DD">
        <w:rPr>
          <w:rFonts w:ascii="Times New Roman" w:hAnsi="Times New Roman" w:cs="Times New Roman"/>
        </w:rPr>
        <w:t>A preliminary assessment of the proposal to make the instrument was conducted by the Office of Best Practice Regulation (</w:t>
      </w:r>
      <w:r w:rsidRPr="00BE3312">
        <w:rPr>
          <w:rFonts w:ascii="Times New Roman" w:hAnsi="Times New Roman" w:cs="Times New Roman"/>
          <w:b/>
        </w:rPr>
        <w:t>OBPR</w:t>
      </w:r>
      <w:r w:rsidRPr="00EC62DD">
        <w:rPr>
          <w:rFonts w:ascii="Times New Roman" w:hAnsi="Times New Roman" w:cs="Times New Roman"/>
        </w:rPr>
        <w:t>), based on information provided by the ACMA, for the purposes of determining whether a Regulation Impact Statement (</w:t>
      </w:r>
      <w:r w:rsidRPr="00BE3312">
        <w:rPr>
          <w:rFonts w:ascii="Times New Roman" w:hAnsi="Times New Roman" w:cs="Times New Roman"/>
          <w:b/>
        </w:rPr>
        <w:t>RIS</w:t>
      </w:r>
      <w:r w:rsidRPr="00EC62DD">
        <w:rPr>
          <w:rFonts w:ascii="Times New Roman" w:hAnsi="Times New Roman" w:cs="Times New Roman"/>
        </w:rPr>
        <w:t>) would be required.  OBPR advised that a RIS would not be required because the instrument was not expected to have a regulatory impact on</w:t>
      </w:r>
      <w:r>
        <w:rPr>
          <w:rFonts w:ascii="Times New Roman" w:hAnsi="Times New Roman" w:cs="Times New Roman"/>
        </w:rPr>
        <w:t xml:space="preserve"> </w:t>
      </w:r>
      <w:r w:rsidRPr="00EC62DD">
        <w:rPr>
          <w:rFonts w:ascii="Times New Roman" w:hAnsi="Times New Roman" w:cs="Times New Roman"/>
        </w:rPr>
        <w:t xml:space="preserve">businesses, community organisations or </w:t>
      </w:r>
      <w:r w:rsidRPr="00240E7A">
        <w:rPr>
          <w:rFonts w:ascii="Times New Roman" w:hAnsi="Times New Roman" w:cs="Times New Roman"/>
        </w:rPr>
        <w:t>individuals (</w:t>
      </w:r>
      <w:r w:rsidR="00A822B7" w:rsidRPr="00BE3312">
        <w:rPr>
          <w:rFonts w:ascii="Times New Roman" w:hAnsi="Times New Roman" w:cs="Times New Roman"/>
        </w:rPr>
        <w:t>see</w:t>
      </w:r>
      <w:r w:rsidR="00A822B7" w:rsidRPr="00240E7A">
        <w:rPr>
          <w:rFonts w:ascii="Times New Roman" w:hAnsi="Times New Roman" w:cs="Times New Roman"/>
        </w:rPr>
        <w:t xml:space="preserve"> </w:t>
      </w:r>
      <w:r w:rsidRPr="00240E7A">
        <w:rPr>
          <w:rFonts w:ascii="Times New Roman" w:hAnsi="Times New Roman" w:cs="Times New Roman"/>
        </w:rPr>
        <w:t>OBPR reference number</w:t>
      </w:r>
      <w:r w:rsidR="00A822B7" w:rsidRPr="00BE3312">
        <w:rPr>
          <w:rFonts w:ascii="Times New Roman" w:hAnsi="Times New Roman" w:cs="Times New Roman"/>
        </w:rPr>
        <w:t>s</w:t>
      </w:r>
      <w:r w:rsidRPr="00240E7A">
        <w:rPr>
          <w:rFonts w:ascii="Times New Roman" w:hAnsi="Times New Roman" w:cs="Times New Roman"/>
        </w:rPr>
        <w:t xml:space="preserve"> 21266</w:t>
      </w:r>
      <w:r w:rsidR="00A822B7" w:rsidRPr="00240E7A">
        <w:rPr>
          <w:rFonts w:ascii="Times New Roman" w:hAnsi="Times New Roman" w:cs="Times New Roman"/>
        </w:rPr>
        <w:t xml:space="preserve"> </w:t>
      </w:r>
      <w:r w:rsidR="00A822B7" w:rsidRPr="00BE3312">
        <w:rPr>
          <w:rFonts w:ascii="Times New Roman" w:hAnsi="Times New Roman" w:cs="Times New Roman"/>
        </w:rPr>
        <w:t>and 21587</w:t>
      </w:r>
      <w:r w:rsidRPr="00240E7A">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1C05731F"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t>
      </w:r>
      <w:r w:rsidRPr="00FB4437">
        <w:rPr>
          <w:rFonts w:ascii="Times New Roman" w:hAnsi="Times New Roman" w:cs="Times New Roman"/>
        </w:rPr>
        <w:lastRenderedPageBreak/>
        <w:t>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1D4F99">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2CF37420" w14:textId="5EB8A04F" w:rsidR="00EC62DD" w:rsidRDefault="00EC62DD" w:rsidP="00AB65E7">
      <w:pPr>
        <w:pStyle w:val="Default"/>
        <w:spacing w:after="160" w:line="259" w:lineRule="auto"/>
        <w:rPr>
          <w:sz w:val="22"/>
          <w:szCs w:val="22"/>
        </w:rPr>
      </w:pPr>
      <w:r w:rsidRPr="00EC62DD">
        <w:rPr>
          <w:sz w:val="22"/>
          <w:szCs w:val="22"/>
        </w:rPr>
        <w:t xml:space="preserve">The instrument </w:t>
      </w:r>
      <w:r w:rsidR="00B60C8F">
        <w:rPr>
          <w:sz w:val="22"/>
          <w:szCs w:val="22"/>
        </w:rPr>
        <w:t xml:space="preserve">amends a </w:t>
      </w:r>
      <w:r w:rsidR="00B46CEA" w:rsidRPr="00B46CEA">
        <w:rPr>
          <w:sz w:val="22"/>
          <w:szCs w:val="22"/>
        </w:rPr>
        <w:t xml:space="preserve">number of charges specified in the </w:t>
      </w:r>
      <w:r w:rsidR="001D4F99">
        <w:rPr>
          <w:sz w:val="22"/>
          <w:szCs w:val="22"/>
        </w:rPr>
        <w:t>Charges Determination</w:t>
      </w:r>
      <w:r w:rsidR="00B46CEA" w:rsidRPr="00B46CEA">
        <w:rPr>
          <w:sz w:val="22"/>
          <w:szCs w:val="22"/>
        </w:rPr>
        <w:t>.</w:t>
      </w:r>
      <w:r w:rsidR="00713362" w:rsidRPr="00713362">
        <w:rPr>
          <w:sz w:val="22"/>
          <w:szCs w:val="22"/>
        </w:rPr>
        <w:t xml:space="preserve"> </w:t>
      </w:r>
    </w:p>
    <w:p w14:paraId="06CB69C3" w14:textId="77777777" w:rsidR="00134705" w:rsidRPr="00A213A8" w:rsidRDefault="00134705" w:rsidP="00792DF4">
      <w:pPr>
        <w:keepNext/>
        <w:rPr>
          <w:rFonts w:ascii="Times New Roman" w:hAnsi="Times New Roman" w:cs="Times New Roman"/>
          <w:b/>
          <w:i/>
        </w:rPr>
      </w:pPr>
      <w:r>
        <w:rPr>
          <w:rFonts w:ascii="Times New Roman" w:hAnsi="Times New Roman" w:cs="Times New Roman"/>
          <w:b/>
          <w:i/>
        </w:rPr>
        <w:t>Human rights implications</w:t>
      </w:r>
    </w:p>
    <w:p w14:paraId="44A4FF08" w14:textId="0A9433C9"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8D8C1A8" w14:textId="77777777" w:rsidR="00134705" w:rsidRDefault="00134705" w:rsidP="00134705">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F83D7BE"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311E3A" w:rsidRPr="00311E3A">
        <w:rPr>
          <w:rFonts w:ascii="Times New Roman" w:hAnsi="Times New Roman" w:cs="Times New Roman"/>
          <w:b/>
          <w:i/>
          <w:sz w:val="28"/>
          <w:szCs w:val="28"/>
        </w:rPr>
        <w:t>Telecommunications (Charges) Amendment Determination 2017 (No. 1)</w:t>
      </w:r>
      <w:r w:rsidR="00713362" w:rsidRPr="00713362">
        <w:rPr>
          <w:rFonts w:ascii="Times New Roman" w:hAnsi="Times New Roman" w:cs="Times New Roman"/>
          <w:b/>
          <w:sz w:val="28"/>
          <w:szCs w:val="28"/>
        </w:rPr>
        <w:t xml:space="preserve"> </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60F60489"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311E3A" w:rsidRPr="00311E3A">
        <w:rPr>
          <w:rFonts w:ascii="Times New Roman" w:hAnsi="Times New Roman" w:cs="Times New Roman"/>
          <w:i/>
        </w:rPr>
        <w:t>Telecommunications (Charges) Amendment Determination 2017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974FC62"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7342D014"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6C54D1">
        <w:rPr>
          <w:rFonts w:ascii="Times New Roman" w:hAnsi="Times New Roman" w:cs="Times New Roman"/>
        </w:rPr>
        <w:t xml:space="preserve">provision </w:t>
      </w:r>
      <w:r>
        <w:rPr>
          <w:rFonts w:ascii="Times New Roman" w:hAnsi="Times New Roman" w:cs="Times New Roman"/>
        </w:rPr>
        <w:t>that authorises the making of the instrument, namely</w:t>
      </w:r>
      <w:r w:rsidR="006C54D1">
        <w:rPr>
          <w:rFonts w:ascii="Times New Roman" w:hAnsi="Times New Roman" w:cs="Times New Roman"/>
        </w:rPr>
        <w:t xml:space="preserve"> subsection 60(1) of</w:t>
      </w:r>
      <w:r>
        <w:rPr>
          <w:rFonts w:ascii="Times New Roman" w:hAnsi="Times New Roman" w:cs="Times New Roman"/>
        </w:rPr>
        <w:t xml:space="preserve"> the </w:t>
      </w:r>
      <w:r w:rsidR="00311E3A" w:rsidRPr="00311E3A">
        <w:rPr>
          <w:rFonts w:ascii="Times New Roman" w:hAnsi="Times New Roman" w:cs="Times New Roman"/>
          <w:i/>
        </w:rPr>
        <w:t>Australian Communications and Media Authority Act 2005</w:t>
      </w:r>
      <w:r>
        <w:rPr>
          <w:rFonts w:ascii="Times New Roman" w:hAnsi="Times New Roman" w:cs="Times New Roman"/>
        </w:rPr>
        <w:t>.</w:t>
      </w:r>
    </w:p>
    <w:p w14:paraId="7B50D725" w14:textId="16A20A07"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641BC7">
        <w:rPr>
          <w:rFonts w:ascii="Times New Roman" w:hAnsi="Times New Roman" w:cs="Times New Roman"/>
          <w:b/>
        </w:rPr>
        <w:t>Amendments</w:t>
      </w:r>
    </w:p>
    <w:p w14:paraId="675A93FC" w14:textId="774019A7"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the </w:t>
      </w:r>
      <w:r w:rsidR="001D4F99">
        <w:rPr>
          <w:rFonts w:ascii="Times New Roman" w:hAnsi="Times New Roman" w:cs="Times New Roman"/>
        </w:rPr>
        <w:t xml:space="preserve">Charges Determination </w:t>
      </w:r>
      <w:r w:rsidR="00641BC7">
        <w:rPr>
          <w:rFonts w:ascii="Times New Roman" w:hAnsi="Times New Roman" w:cs="Times New Roman"/>
        </w:rPr>
        <w:t>is amended as set out in the Schedule</w:t>
      </w:r>
      <w:r w:rsidR="005958D6">
        <w:rPr>
          <w:rFonts w:ascii="Times New Roman" w:hAnsi="Times New Roman" w:cs="Times New Roman"/>
        </w:rPr>
        <w:t>.</w:t>
      </w:r>
    </w:p>
    <w:p w14:paraId="4931A8AA" w14:textId="179AE258" w:rsidR="005958D6" w:rsidRDefault="00641BC7" w:rsidP="005958D6">
      <w:pPr>
        <w:rPr>
          <w:rFonts w:ascii="Times New Roman" w:hAnsi="Times New Roman" w:cs="Times New Roman"/>
          <w:b/>
        </w:rPr>
      </w:pPr>
      <w:r>
        <w:rPr>
          <w:rFonts w:ascii="Times New Roman" w:hAnsi="Times New Roman" w:cs="Times New Roman"/>
          <w:b/>
        </w:rPr>
        <w:t>Schedule 1 - Amendments</w:t>
      </w:r>
    </w:p>
    <w:p w14:paraId="35BC0BF9" w14:textId="77777777" w:rsidR="0083449B" w:rsidRPr="0083449B" w:rsidRDefault="0083449B" w:rsidP="004D2843">
      <w:pPr>
        <w:rPr>
          <w:rFonts w:ascii="Times New Roman" w:hAnsi="Times New Roman" w:cs="Times New Roman"/>
          <w:b/>
        </w:rPr>
      </w:pPr>
      <w:r w:rsidRPr="0083449B">
        <w:rPr>
          <w:rFonts w:ascii="Times New Roman" w:hAnsi="Times New Roman" w:cs="Times New Roman"/>
          <w:b/>
        </w:rPr>
        <w:t xml:space="preserve">Item [1] </w:t>
      </w:r>
    </w:p>
    <w:p w14:paraId="2706E835" w14:textId="1D6DFDB5" w:rsidR="00025ACE" w:rsidRPr="005958D6" w:rsidRDefault="0083449B" w:rsidP="004D2843">
      <w:pPr>
        <w:rPr>
          <w:rFonts w:ascii="Times New Roman" w:hAnsi="Times New Roman" w:cs="Times New Roman"/>
        </w:rPr>
      </w:pPr>
      <w:r>
        <w:rPr>
          <w:rFonts w:ascii="Times New Roman" w:hAnsi="Times New Roman" w:cs="Times New Roman"/>
        </w:rPr>
        <w:t xml:space="preserve">Item [1] </w:t>
      </w:r>
      <w:r w:rsidR="009F101A">
        <w:rPr>
          <w:rFonts w:ascii="Times New Roman" w:hAnsi="Times New Roman" w:cs="Times New Roman"/>
        </w:rPr>
        <w:t xml:space="preserve">repeals and substitutes section 7 of the instrument to </w:t>
      </w:r>
      <w:r w:rsidR="00E1480B">
        <w:rPr>
          <w:rFonts w:ascii="Times New Roman" w:hAnsi="Times New Roman" w:cs="Times New Roman"/>
        </w:rPr>
        <w:t xml:space="preserve">amend </w:t>
      </w:r>
      <w:r w:rsidR="00B04440">
        <w:rPr>
          <w:rFonts w:ascii="Times New Roman" w:hAnsi="Times New Roman" w:cs="Times New Roman"/>
        </w:rPr>
        <w:t xml:space="preserve">and increase </w:t>
      </w:r>
      <w:r w:rsidR="00E1480B">
        <w:rPr>
          <w:rFonts w:ascii="Times New Roman" w:hAnsi="Times New Roman" w:cs="Times New Roman"/>
        </w:rPr>
        <w:t xml:space="preserve">the ACMA’s </w:t>
      </w:r>
      <w:r w:rsidR="00B60C8F">
        <w:rPr>
          <w:rFonts w:ascii="Times New Roman" w:hAnsi="Times New Roman" w:cs="Times New Roman"/>
        </w:rPr>
        <w:t xml:space="preserve">standard </w:t>
      </w:r>
      <w:r w:rsidR="00E1480B">
        <w:rPr>
          <w:rFonts w:ascii="Times New Roman" w:hAnsi="Times New Roman" w:cs="Times New Roman"/>
        </w:rPr>
        <w:t xml:space="preserve">hourly rate.  The </w:t>
      </w:r>
      <w:r w:rsidR="00B04440">
        <w:rPr>
          <w:rFonts w:ascii="Times New Roman" w:hAnsi="Times New Roman" w:cs="Times New Roman"/>
        </w:rPr>
        <w:t xml:space="preserve">increased </w:t>
      </w:r>
      <w:r w:rsidR="00E1480B" w:rsidRPr="00D24868">
        <w:rPr>
          <w:rFonts w:ascii="Times New Roman" w:hAnsi="Times New Roman" w:cs="Times New Roman"/>
        </w:rPr>
        <w:t xml:space="preserve">hourly rate is based on the net cost of services, which represents the </w:t>
      </w:r>
      <w:r w:rsidR="00E1480B" w:rsidRPr="00D24868">
        <w:rPr>
          <w:rFonts w:ascii="Times New Roman" w:hAnsi="Times New Roman" w:cs="Times New Roman"/>
        </w:rPr>
        <w:lastRenderedPageBreak/>
        <w:t>actual costs incurred by the ACMA in executing its functions and activities for 2015–16.</w:t>
      </w:r>
    </w:p>
    <w:p w14:paraId="2270BCFE" w14:textId="7E2BF66B" w:rsidR="00CB3AD5" w:rsidRDefault="00311E3A" w:rsidP="00311E3A">
      <w:pPr>
        <w:rPr>
          <w:rFonts w:ascii="Times New Roman" w:hAnsi="Times New Roman" w:cs="Times New Roman"/>
          <w:b/>
        </w:rPr>
      </w:pPr>
      <w:r w:rsidRPr="0083449B">
        <w:rPr>
          <w:rFonts w:ascii="Times New Roman" w:hAnsi="Times New Roman" w:cs="Times New Roman"/>
          <w:b/>
        </w:rPr>
        <w:t>Item [</w:t>
      </w:r>
      <w:r>
        <w:rPr>
          <w:rFonts w:ascii="Times New Roman" w:hAnsi="Times New Roman" w:cs="Times New Roman"/>
          <w:b/>
        </w:rPr>
        <w:t>2</w:t>
      </w:r>
      <w:r w:rsidRPr="0083449B">
        <w:rPr>
          <w:rFonts w:ascii="Times New Roman" w:hAnsi="Times New Roman" w:cs="Times New Roman"/>
          <w:b/>
        </w:rPr>
        <w:t>]</w:t>
      </w:r>
    </w:p>
    <w:p w14:paraId="56A64F2B" w14:textId="23B897BE" w:rsidR="00311E3A" w:rsidRPr="00E1480B" w:rsidRDefault="00E1480B" w:rsidP="00311E3A">
      <w:pPr>
        <w:rPr>
          <w:rFonts w:ascii="Times New Roman" w:hAnsi="Times New Roman" w:cs="Times New Roman"/>
        </w:rPr>
      </w:pPr>
      <w:r w:rsidRPr="00E1480B">
        <w:rPr>
          <w:rFonts w:ascii="Times New Roman" w:hAnsi="Times New Roman" w:cs="Times New Roman"/>
        </w:rPr>
        <w:t xml:space="preserve">Item </w:t>
      </w:r>
      <w:r>
        <w:rPr>
          <w:rFonts w:ascii="Times New Roman" w:hAnsi="Times New Roman" w:cs="Times New Roman"/>
        </w:rPr>
        <w:t xml:space="preserve">[2] amends the charge for the making of an application mentioned in section 77 of the </w:t>
      </w:r>
      <w:r w:rsidRPr="00E1480B">
        <w:rPr>
          <w:rFonts w:ascii="Times New Roman" w:hAnsi="Times New Roman" w:cs="Times New Roman"/>
          <w:i/>
        </w:rPr>
        <w:t>T</w:t>
      </w:r>
      <w:r>
        <w:rPr>
          <w:rFonts w:ascii="Times New Roman" w:hAnsi="Times New Roman" w:cs="Times New Roman"/>
          <w:i/>
        </w:rPr>
        <w:t xml:space="preserve">elecommunications Act 1997 </w:t>
      </w:r>
      <w:r>
        <w:rPr>
          <w:rFonts w:ascii="Times New Roman" w:hAnsi="Times New Roman" w:cs="Times New Roman"/>
        </w:rPr>
        <w:t xml:space="preserve">for a nominated carrier declaration in relation to one or more specified network units to $2,375. </w:t>
      </w:r>
    </w:p>
    <w:p w14:paraId="4537F8FE" w14:textId="4190851A" w:rsidR="00311E3A" w:rsidRDefault="00311E3A" w:rsidP="00311E3A">
      <w:pPr>
        <w:rPr>
          <w:rFonts w:ascii="Times New Roman" w:hAnsi="Times New Roman" w:cs="Times New Roman"/>
          <w:b/>
        </w:rPr>
      </w:pPr>
      <w:r w:rsidRPr="0083449B">
        <w:rPr>
          <w:rFonts w:ascii="Times New Roman" w:hAnsi="Times New Roman" w:cs="Times New Roman"/>
          <w:b/>
        </w:rPr>
        <w:t>Item [</w:t>
      </w:r>
      <w:r>
        <w:rPr>
          <w:rFonts w:ascii="Times New Roman" w:hAnsi="Times New Roman" w:cs="Times New Roman"/>
          <w:b/>
        </w:rPr>
        <w:t>3</w:t>
      </w:r>
      <w:r w:rsidRPr="0083449B">
        <w:rPr>
          <w:rFonts w:ascii="Times New Roman" w:hAnsi="Times New Roman" w:cs="Times New Roman"/>
          <w:b/>
        </w:rPr>
        <w:t>]</w:t>
      </w:r>
    </w:p>
    <w:p w14:paraId="3E8D6663" w14:textId="66B10DE8" w:rsidR="00B60C8F" w:rsidRDefault="00E1480B" w:rsidP="00311E3A">
      <w:pPr>
        <w:rPr>
          <w:rFonts w:ascii="Times New Roman" w:hAnsi="Times New Roman" w:cs="Times New Roman"/>
        </w:rPr>
      </w:pPr>
      <w:r w:rsidRPr="00E1480B">
        <w:rPr>
          <w:rFonts w:ascii="Times New Roman" w:hAnsi="Times New Roman" w:cs="Times New Roman"/>
        </w:rPr>
        <w:t xml:space="preserve">Item </w:t>
      </w:r>
      <w:r>
        <w:rPr>
          <w:rFonts w:ascii="Times New Roman" w:hAnsi="Times New Roman" w:cs="Times New Roman"/>
        </w:rPr>
        <w:t xml:space="preserve">[3] amends </w:t>
      </w:r>
      <w:r w:rsidR="00B60C8F">
        <w:rPr>
          <w:rFonts w:ascii="Times New Roman" w:hAnsi="Times New Roman" w:cs="Times New Roman"/>
        </w:rPr>
        <w:t>charges payable in relation to applications for numbers under the numbering plan</w:t>
      </w:r>
      <w:r w:rsidR="00B04440">
        <w:rPr>
          <w:rFonts w:ascii="Times New Roman" w:hAnsi="Times New Roman" w:cs="Times New Roman"/>
        </w:rPr>
        <w:t xml:space="preserve"> from $19.50 to $35.00</w:t>
      </w:r>
      <w:r w:rsidR="00B60C8F">
        <w:rPr>
          <w:rFonts w:ascii="Times New Roman" w:hAnsi="Times New Roman" w:cs="Times New Roman"/>
        </w:rPr>
        <w:t xml:space="preserve">. </w:t>
      </w:r>
    </w:p>
    <w:p w14:paraId="561C1C13" w14:textId="732AB7E6" w:rsidR="00311E3A" w:rsidRDefault="00311E3A" w:rsidP="00311E3A">
      <w:pPr>
        <w:rPr>
          <w:rFonts w:ascii="Times New Roman" w:hAnsi="Times New Roman" w:cs="Times New Roman"/>
          <w:b/>
        </w:rPr>
      </w:pPr>
      <w:r w:rsidRPr="0083449B">
        <w:rPr>
          <w:rFonts w:ascii="Times New Roman" w:hAnsi="Times New Roman" w:cs="Times New Roman"/>
          <w:b/>
        </w:rPr>
        <w:t>Item [</w:t>
      </w:r>
      <w:r>
        <w:rPr>
          <w:rFonts w:ascii="Times New Roman" w:hAnsi="Times New Roman" w:cs="Times New Roman"/>
          <w:b/>
        </w:rPr>
        <w:t>4</w:t>
      </w:r>
      <w:r w:rsidRPr="0083449B">
        <w:rPr>
          <w:rFonts w:ascii="Times New Roman" w:hAnsi="Times New Roman" w:cs="Times New Roman"/>
          <w:b/>
        </w:rPr>
        <w:t>]</w:t>
      </w:r>
    </w:p>
    <w:p w14:paraId="6552E7F1" w14:textId="6F22F6F1" w:rsidR="00E1480B" w:rsidRPr="00E1480B" w:rsidRDefault="00E1480B" w:rsidP="00311E3A">
      <w:pPr>
        <w:rPr>
          <w:rFonts w:ascii="Times New Roman" w:hAnsi="Times New Roman" w:cs="Times New Roman"/>
        </w:rPr>
      </w:pPr>
      <w:r>
        <w:rPr>
          <w:rFonts w:ascii="Times New Roman" w:hAnsi="Times New Roman" w:cs="Times New Roman"/>
        </w:rPr>
        <w:t xml:space="preserve">Item [4] </w:t>
      </w:r>
      <w:r w:rsidR="00B60C8F">
        <w:rPr>
          <w:rFonts w:ascii="Times New Roman" w:hAnsi="Times New Roman" w:cs="Times New Roman"/>
        </w:rPr>
        <w:t>amends the deposit amount for a facility installation permit application to $7,474.</w:t>
      </w:r>
      <w:r>
        <w:rPr>
          <w:rFonts w:ascii="Times New Roman" w:hAnsi="Times New Roman" w:cs="Times New Roman"/>
        </w:rPr>
        <w:t xml:space="preserve"> </w:t>
      </w:r>
    </w:p>
    <w:p w14:paraId="48DDFA06" w14:textId="15FAED0F" w:rsidR="00311E3A" w:rsidRDefault="00311E3A" w:rsidP="00311E3A">
      <w:pPr>
        <w:rPr>
          <w:rFonts w:ascii="Times New Roman" w:hAnsi="Times New Roman" w:cs="Times New Roman"/>
          <w:b/>
        </w:rPr>
      </w:pPr>
      <w:r w:rsidRPr="0083449B">
        <w:rPr>
          <w:rFonts w:ascii="Times New Roman" w:hAnsi="Times New Roman" w:cs="Times New Roman"/>
          <w:b/>
        </w:rPr>
        <w:t>Item [</w:t>
      </w:r>
      <w:r>
        <w:rPr>
          <w:rFonts w:ascii="Times New Roman" w:hAnsi="Times New Roman" w:cs="Times New Roman"/>
          <w:b/>
        </w:rPr>
        <w:t>5</w:t>
      </w:r>
      <w:r w:rsidRPr="0083449B">
        <w:rPr>
          <w:rFonts w:ascii="Times New Roman" w:hAnsi="Times New Roman" w:cs="Times New Roman"/>
          <w:b/>
        </w:rPr>
        <w:t>]</w:t>
      </w:r>
    </w:p>
    <w:p w14:paraId="10847F05" w14:textId="2196DEAD" w:rsidR="00E1480B" w:rsidRPr="00E1480B" w:rsidRDefault="00E1480B" w:rsidP="00311E3A">
      <w:pPr>
        <w:rPr>
          <w:rFonts w:ascii="Times New Roman" w:hAnsi="Times New Roman" w:cs="Times New Roman"/>
        </w:rPr>
      </w:pPr>
      <w:r>
        <w:rPr>
          <w:rFonts w:ascii="Times New Roman" w:hAnsi="Times New Roman" w:cs="Times New Roman"/>
        </w:rPr>
        <w:t xml:space="preserve">Item [5] </w:t>
      </w:r>
      <w:r w:rsidR="00B60C8F">
        <w:rPr>
          <w:rFonts w:ascii="Times New Roman" w:hAnsi="Times New Roman" w:cs="Times New Roman"/>
        </w:rPr>
        <w:t xml:space="preserve">amends the deposit amount payable on account of the expenses to be incurred by the ACMA for the holding of a public inquiry in relation to the issuing of a facility installation permit to $54,540.  </w:t>
      </w:r>
    </w:p>
    <w:p w14:paraId="566527DF" w14:textId="35FF7ADD" w:rsidR="00311E3A" w:rsidRDefault="00311E3A" w:rsidP="00792DF4">
      <w:pPr>
        <w:keepNext/>
        <w:rPr>
          <w:rFonts w:ascii="Times New Roman" w:hAnsi="Times New Roman" w:cs="Times New Roman"/>
          <w:b/>
        </w:rPr>
      </w:pPr>
      <w:r w:rsidRPr="0083449B">
        <w:rPr>
          <w:rFonts w:ascii="Times New Roman" w:hAnsi="Times New Roman" w:cs="Times New Roman"/>
          <w:b/>
        </w:rPr>
        <w:t>Item [</w:t>
      </w:r>
      <w:r>
        <w:rPr>
          <w:rFonts w:ascii="Times New Roman" w:hAnsi="Times New Roman" w:cs="Times New Roman"/>
          <w:b/>
        </w:rPr>
        <w:t>6</w:t>
      </w:r>
      <w:r w:rsidRPr="0083449B">
        <w:rPr>
          <w:rFonts w:ascii="Times New Roman" w:hAnsi="Times New Roman" w:cs="Times New Roman"/>
          <w:b/>
        </w:rPr>
        <w:t>]</w:t>
      </w:r>
    </w:p>
    <w:p w14:paraId="4CE86A3E" w14:textId="26E3CD3C" w:rsidR="00E1480B" w:rsidRPr="00E1480B" w:rsidRDefault="00E1480B" w:rsidP="00311E3A">
      <w:pPr>
        <w:rPr>
          <w:rFonts w:ascii="Times New Roman" w:hAnsi="Times New Roman" w:cs="Times New Roman"/>
        </w:rPr>
      </w:pPr>
      <w:r>
        <w:rPr>
          <w:rFonts w:ascii="Times New Roman" w:hAnsi="Times New Roman" w:cs="Times New Roman"/>
        </w:rPr>
        <w:t xml:space="preserve">Item [6] </w:t>
      </w:r>
      <w:r w:rsidR="00B60C8F">
        <w:rPr>
          <w:rFonts w:ascii="Times New Roman" w:hAnsi="Times New Roman" w:cs="Times New Roman"/>
        </w:rPr>
        <w:t xml:space="preserve">amends the deposit amount payable on account of the expenses to be incurred by the ACMA in relation to a protection zone (declaration) request to $200,000. </w:t>
      </w:r>
    </w:p>
    <w:p w14:paraId="251949D4" w14:textId="5CC36D6A" w:rsidR="00311E3A" w:rsidRDefault="00311E3A" w:rsidP="00311E3A">
      <w:pPr>
        <w:rPr>
          <w:rFonts w:ascii="Times New Roman" w:hAnsi="Times New Roman" w:cs="Times New Roman"/>
          <w:b/>
        </w:rPr>
      </w:pPr>
      <w:r w:rsidRPr="0083449B">
        <w:rPr>
          <w:rFonts w:ascii="Times New Roman" w:hAnsi="Times New Roman" w:cs="Times New Roman"/>
          <w:b/>
        </w:rPr>
        <w:t>Item [</w:t>
      </w:r>
      <w:r>
        <w:rPr>
          <w:rFonts w:ascii="Times New Roman" w:hAnsi="Times New Roman" w:cs="Times New Roman"/>
          <w:b/>
        </w:rPr>
        <w:t>7</w:t>
      </w:r>
      <w:r w:rsidRPr="0083449B">
        <w:rPr>
          <w:rFonts w:ascii="Times New Roman" w:hAnsi="Times New Roman" w:cs="Times New Roman"/>
          <w:b/>
        </w:rPr>
        <w:t>]</w:t>
      </w:r>
    </w:p>
    <w:p w14:paraId="5606E9B4" w14:textId="1FAAD0D6" w:rsidR="00B60C8F" w:rsidRDefault="00BD76E4" w:rsidP="00B60C8F">
      <w:pPr>
        <w:rPr>
          <w:rFonts w:ascii="Times New Roman" w:hAnsi="Times New Roman" w:cs="Times New Roman"/>
        </w:rPr>
      </w:pPr>
      <w:r>
        <w:rPr>
          <w:rFonts w:ascii="Times New Roman" w:hAnsi="Times New Roman" w:cs="Times New Roman"/>
        </w:rPr>
        <w:lastRenderedPageBreak/>
        <w:t xml:space="preserve">Item [7] </w:t>
      </w:r>
      <w:r w:rsidR="00B60C8F">
        <w:rPr>
          <w:rFonts w:ascii="Times New Roman" w:hAnsi="Times New Roman" w:cs="Times New Roman"/>
        </w:rPr>
        <w:t xml:space="preserve">amends the deposit payable on account of the expenses to be incurred by the ACMA in relation to protection zone (revocation) </w:t>
      </w:r>
      <w:r w:rsidR="00CE5AF1">
        <w:rPr>
          <w:rFonts w:ascii="Times New Roman" w:hAnsi="Times New Roman" w:cs="Times New Roman"/>
        </w:rPr>
        <w:t xml:space="preserve">request </w:t>
      </w:r>
      <w:r w:rsidR="00B60C8F">
        <w:rPr>
          <w:rFonts w:ascii="Times New Roman" w:hAnsi="Times New Roman" w:cs="Times New Roman"/>
        </w:rPr>
        <w:t xml:space="preserve">or a protection zone (variation) request to $147,000. </w:t>
      </w:r>
    </w:p>
    <w:p w14:paraId="1EEF775B" w14:textId="3BBA7668" w:rsidR="00B60C8F" w:rsidRPr="00B60C8F" w:rsidRDefault="00B60C8F" w:rsidP="00B60C8F">
      <w:pPr>
        <w:rPr>
          <w:rFonts w:ascii="Times New Roman" w:hAnsi="Times New Roman" w:cs="Times New Roman"/>
          <w:b/>
        </w:rPr>
      </w:pPr>
      <w:r w:rsidRPr="00B60C8F">
        <w:rPr>
          <w:rFonts w:ascii="Times New Roman" w:hAnsi="Times New Roman" w:cs="Times New Roman"/>
          <w:b/>
        </w:rPr>
        <w:t>Item [8]</w:t>
      </w:r>
    </w:p>
    <w:p w14:paraId="50F1F61A" w14:textId="54E3BE8B" w:rsidR="002E5568" w:rsidRDefault="00B60C8F" w:rsidP="00B60C8F">
      <w:pPr>
        <w:rPr>
          <w:rFonts w:ascii="Times New Roman" w:hAnsi="Times New Roman" w:cs="Times New Roman"/>
        </w:rPr>
      </w:pPr>
      <w:r>
        <w:rPr>
          <w:rFonts w:ascii="Times New Roman" w:hAnsi="Times New Roman" w:cs="Times New Roman"/>
        </w:rPr>
        <w:t xml:space="preserve">Item [8] </w:t>
      </w:r>
      <w:r w:rsidR="002E5568">
        <w:rPr>
          <w:rFonts w:ascii="Times New Roman" w:hAnsi="Times New Roman" w:cs="Times New Roman"/>
        </w:rPr>
        <w:t>amends the charge payable for a p</w:t>
      </w:r>
      <w:r w:rsidR="002E5568" w:rsidRPr="002E5568">
        <w:rPr>
          <w:rFonts w:ascii="Times New Roman" w:hAnsi="Times New Roman" w:cs="Times New Roman"/>
        </w:rPr>
        <w:t>rotection zone installation permit application</w:t>
      </w:r>
      <w:r w:rsidR="002E5568">
        <w:rPr>
          <w:rFonts w:ascii="Times New Roman" w:hAnsi="Times New Roman" w:cs="Times New Roman"/>
        </w:rPr>
        <w:t xml:space="preserve"> to $4</w:t>
      </w:r>
      <w:r w:rsidR="00466E71">
        <w:rPr>
          <w:rFonts w:ascii="Times New Roman" w:hAnsi="Times New Roman" w:cs="Times New Roman"/>
        </w:rPr>
        <w:t>,</w:t>
      </w:r>
      <w:r w:rsidR="002E5568">
        <w:rPr>
          <w:rFonts w:ascii="Times New Roman" w:hAnsi="Times New Roman" w:cs="Times New Roman"/>
        </w:rPr>
        <w:t xml:space="preserve">040 for each </w:t>
      </w:r>
      <w:r w:rsidR="002E5568" w:rsidRPr="002E5568">
        <w:rPr>
          <w:rFonts w:ascii="Times New Roman" w:hAnsi="Times New Roman" w:cs="Times New Roman"/>
        </w:rPr>
        <w:t>submarine cable the subject of the application</w:t>
      </w:r>
      <w:r w:rsidR="002E5568">
        <w:rPr>
          <w:rFonts w:ascii="Times New Roman" w:hAnsi="Times New Roman" w:cs="Times New Roman"/>
        </w:rPr>
        <w:t>.</w:t>
      </w:r>
    </w:p>
    <w:p w14:paraId="14BC721F" w14:textId="5B86DBA6" w:rsidR="002E5568" w:rsidRPr="00B60C8F" w:rsidRDefault="002E5568" w:rsidP="002E5568">
      <w:pPr>
        <w:rPr>
          <w:rFonts w:ascii="Times New Roman" w:hAnsi="Times New Roman" w:cs="Times New Roman"/>
          <w:b/>
        </w:rPr>
      </w:pPr>
      <w:r w:rsidRPr="00B60C8F">
        <w:rPr>
          <w:rFonts w:ascii="Times New Roman" w:hAnsi="Times New Roman" w:cs="Times New Roman"/>
          <w:b/>
        </w:rPr>
        <w:t>Item [</w:t>
      </w:r>
      <w:r>
        <w:rPr>
          <w:rFonts w:ascii="Times New Roman" w:hAnsi="Times New Roman" w:cs="Times New Roman"/>
          <w:b/>
        </w:rPr>
        <w:t>9</w:t>
      </w:r>
      <w:r w:rsidRPr="00B60C8F">
        <w:rPr>
          <w:rFonts w:ascii="Times New Roman" w:hAnsi="Times New Roman" w:cs="Times New Roman"/>
          <w:b/>
        </w:rPr>
        <w:t>]</w:t>
      </w:r>
    </w:p>
    <w:p w14:paraId="1C72CE21" w14:textId="4011C5B8" w:rsidR="002E5568" w:rsidRDefault="002E5568" w:rsidP="002E5568">
      <w:pPr>
        <w:rPr>
          <w:rFonts w:ascii="Times New Roman" w:hAnsi="Times New Roman" w:cs="Times New Roman"/>
        </w:rPr>
      </w:pPr>
      <w:r>
        <w:rPr>
          <w:rFonts w:ascii="Times New Roman" w:hAnsi="Times New Roman" w:cs="Times New Roman"/>
        </w:rPr>
        <w:t>Item [9] amends the charge payable for an application to extend the duration of a p</w:t>
      </w:r>
      <w:r w:rsidRPr="002E5568">
        <w:rPr>
          <w:rFonts w:ascii="Times New Roman" w:hAnsi="Times New Roman" w:cs="Times New Roman"/>
        </w:rPr>
        <w:t>rotection zone installation permit</w:t>
      </w:r>
      <w:r>
        <w:rPr>
          <w:rFonts w:ascii="Times New Roman" w:hAnsi="Times New Roman" w:cs="Times New Roman"/>
        </w:rPr>
        <w:t xml:space="preserve"> to $1</w:t>
      </w:r>
      <w:r w:rsidR="00466E71">
        <w:rPr>
          <w:rFonts w:ascii="Times New Roman" w:hAnsi="Times New Roman" w:cs="Times New Roman"/>
        </w:rPr>
        <w:t>,</w:t>
      </w:r>
      <w:r>
        <w:rPr>
          <w:rFonts w:ascii="Times New Roman" w:hAnsi="Times New Roman" w:cs="Times New Roman"/>
        </w:rPr>
        <w:t>414.</w:t>
      </w:r>
    </w:p>
    <w:p w14:paraId="490C665D" w14:textId="341CE714" w:rsidR="002E5568" w:rsidRPr="00B60C8F" w:rsidRDefault="002E5568" w:rsidP="002E5568">
      <w:pPr>
        <w:rPr>
          <w:rFonts w:ascii="Times New Roman" w:hAnsi="Times New Roman" w:cs="Times New Roman"/>
          <w:b/>
        </w:rPr>
      </w:pPr>
      <w:r>
        <w:rPr>
          <w:rFonts w:ascii="Times New Roman" w:hAnsi="Times New Roman" w:cs="Times New Roman"/>
          <w:b/>
        </w:rPr>
        <w:t>Item [10</w:t>
      </w:r>
      <w:r w:rsidRPr="00B60C8F">
        <w:rPr>
          <w:rFonts w:ascii="Times New Roman" w:hAnsi="Times New Roman" w:cs="Times New Roman"/>
          <w:b/>
        </w:rPr>
        <w:t>]</w:t>
      </w:r>
    </w:p>
    <w:p w14:paraId="7BBFC8EF" w14:textId="04DAFAEA" w:rsidR="002E5568" w:rsidRDefault="002E5568" w:rsidP="002E5568">
      <w:pPr>
        <w:rPr>
          <w:rFonts w:ascii="Times New Roman" w:hAnsi="Times New Roman" w:cs="Times New Roman"/>
        </w:rPr>
      </w:pPr>
      <w:r>
        <w:rPr>
          <w:rFonts w:ascii="Times New Roman" w:hAnsi="Times New Roman" w:cs="Times New Roman"/>
        </w:rPr>
        <w:t>Item [10] amends the charge payable for a non-p</w:t>
      </w:r>
      <w:r w:rsidRPr="002E5568">
        <w:rPr>
          <w:rFonts w:ascii="Times New Roman" w:hAnsi="Times New Roman" w:cs="Times New Roman"/>
        </w:rPr>
        <w:t>rotection zone installation permit application</w:t>
      </w:r>
      <w:r>
        <w:rPr>
          <w:rFonts w:ascii="Times New Roman" w:hAnsi="Times New Roman" w:cs="Times New Roman"/>
        </w:rPr>
        <w:t xml:space="preserve"> to $5</w:t>
      </w:r>
      <w:r w:rsidR="00466E71">
        <w:rPr>
          <w:rFonts w:ascii="Times New Roman" w:hAnsi="Times New Roman" w:cs="Times New Roman"/>
        </w:rPr>
        <w:t>,</w:t>
      </w:r>
      <w:r>
        <w:rPr>
          <w:rFonts w:ascii="Times New Roman" w:hAnsi="Times New Roman" w:cs="Times New Roman"/>
        </w:rPr>
        <w:t xml:space="preserve">959 for each </w:t>
      </w:r>
      <w:r w:rsidRPr="002E5568">
        <w:rPr>
          <w:rFonts w:ascii="Times New Roman" w:hAnsi="Times New Roman" w:cs="Times New Roman"/>
        </w:rPr>
        <w:t>submarine cable the subject of the application</w:t>
      </w:r>
      <w:r>
        <w:rPr>
          <w:rFonts w:ascii="Times New Roman" w:hAnsi="Times New Roman" w:cs="Times New Roman"/>
        </w:rPr>
        <w:t>.</w:t>
      </w:r>
    </w:p>
    <w:p w14:paraId="7EF2B440" w14:textId="73198F81" w:rsidR="002E5568" w:rsidRPr="00B60C8F" w:rsidRDefault="002E5568" w:rsidP="002E5568">
      <w:pPr>
        <w:rPr>
          <w:rFonts w:ascii="Times New Roman" w:hAnsi="Times New Roman" w:cs="Times New Roman"/>
          <w:b/>
        </w:rPr>
      </w:pPr>
      <w:r>
        <w:rPr>
          <w:rFonts w:ascii="Times New Roman" w:hAnsi="Times New Roman" w:cs="Times New Roman"/>
          <w:b/>
        </w:rPr>
        <w:t>Item [11</w:t>
      </w:r>
      <w:r w:rsidRPr="00B60C8F">
        <w:rPr>
          <w:rFonts w:ascii="Times New Roman" w:hAnsi="Times New Roman" w:cs="Times New Roman"/>
          <w:b/>
        </w:rPr>
        <w:t>]</w:t>
      </w:r>
    </w:p>
    <w:p w14:paraId="1E88234D" w14:textId="5FD89908" w:rsidR="00C2045A" w:rsidRDefault="00C2045A" w:rsidP="00C2045A">
      <w:pPr>
        <w:rPr>
          <w:rFonts w:ascii="Times New Roman" w:hAnsi="Times New Roman" w:cs="Times New Roman"/>
        </w:rPr>
      </w:pPr>
      <w:r>
        <w:rPr>
          <w:rFonts w:ascii="Times New Roman" w:hAnsi="Times New Roman" w:cs="Times New Roman"/>
        </w:rPr>
        <w:t>Item [11] amends the charge payable for an application to extend the duration of a non-p</w:t>
      </w:r>
      <w:r w:rsidRPr="002E5568">
        <w:rPr>
          <w:rFonts w:ascii="Times New Roman" w:hAnsi="Times New Roman" w:cs="Times New Roman"/>
        </w:rPr>
        <w:t>rotection zone installation permit</w:t>
      </w:r>
      <w:r>
        <w:rPr>
          <w:rFonts w:ascii="Times New Roman" w:hAnsi="Times New Roman" w:cs="Times New Roman"/>
        </w:rPr>
        <w:t xml:space="preserve"> to $1</w:t>
      </w:r>
      <w:r w:rsidR="00466E71">
        <w:rPr>
          <w:rFonts w:ascii="Times New Roman" w:hAnsi="Times New Roman" w:cs="Times New Roman"/>
        </w:rPr>
        <w:t>,</w:t>
      </w:r>
      <w:r>
        <w:rPr>
          <w:rFonts w:ascii="Times New Roman" w:hAnsi="Times New Roman" w:cs="Times New Roman"/>
        </w:rPr>
        <w:t>414.</w:t>
      </w:r>
    </w:p>
    <w:p w14:paraId="28F615A3" w14:textId="77777777" w:rsidR="002E5568" w:rsidRDefault="002E5568" w:rsidP="002E5568">
      <w:pPr>
        <w:rPr>
          <w:rFonts w:ascii="Times New Roman" w:hAnsi="Times New Roman" w:cs="Times New Roman"/>
        </w:rPr>
      </w:pPr>
    </w:p>
    <w:p w14:paraId="5B966231" w14:textId="77777777" w:rsidR="002E5568" w:rsidRDefault="002E5568" w:rsidP="002E5568">
      <w:pPr>
        <w:rPr>
          <w:rFonts w:ascii="Times New Roman" w:hAnsi="Times New Roman" w:cs="Times New Roman"/>
        </w:rPr>
      </w:pPr>
    </w:p>
    <w:p w14:paraId="1D0A3E23" w14:textId="2364AAE8" w:rsidR="0081400C" w:rsidRPr="00BD76E4" w:rsidRDefault="0081400C" w:rsidP="00311E3A">
      <w:pPr>
        <w:rPr>
          <w:rFonts w:ascii="Times New Roman" w:hAnsi="Times New Roman" w:cs="Times New Roman"/>
        </w:rPr>
      </w:pPr>
    </w:p>
    <w:p w14:paraId="134CB14A" w14:textId="77777777" w:rsidR="00311E3A" w:rsidRDefault="00311E3A" w:rsidP="00EC62DD">
      <w:pPr>
        <w:jc w:val="right"/>
        <w:rPr>
          <w:rFonts w:ascii="Times New Roman" w:hAnsi="Times New Roman" w:cs="Times New Roman"/>
          <w:b/>
        </w:rPr>
      </w:pPr>
    </w:p>
    <w:p w14:paraId="176E9790" w14:textId="77777777" w:rsidR="005311C1" w:rsidRDefault="005311C1" w:rsidP="004D2843">
      <w:pPr>
        <w:rPr>
          <w:rFonts w:ascii="Times New Roman" w:hAnsi="Times New Roman" w:cs="Times New Roman"/>
          <w:b/>
        </w:rPr>
        <w:sectPr w:rsidR="005311C1" w:rsidSect="00082354">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458AF617" w14:textId="66E6C814" w:rsidR="00025ACE" w:rsidRDefault="005311C1" w:rsidP="005311C1">
      <w:pPr>
        <w:jc w:val="right"/>
        <w:rPr>
          <w:rFonts w:ascii="Times New Roman" w:hAnsi="Times New Roman" w:cs="Times New Roman"/>
          <w:b/>
          <w:sz w:val="28"/>
          <w:szCs w:val="28"/>
        </w:rPr>
      </w:pPr>
      <w:r w:rsidRPr="005311C1">
        <w:rPr>
          <w:rFonts w:ascii="Times New Roman" w:hAnsi="Times New Roman" w:cs="Times New Roman"/>
          <w:b/>
          <w:sz w:val="28"/>
          <w:szCs w:val="28"/>
        </w:rPr>
        <w:lastRenderedPageBreak/>
        <w:t>Attachment B</w:t>
      </w:r>
    </w:p>
    <w:p w14:paraId="64147E77" w14:textId="77777777" w:rsidR="005311C1" w:rsidRPr="005311C1" w:rsidRDefault="005311C1" w:rsidP="005311C1">
      <w:pPr>
        <w:jc w:val="center"/>
        <w:rPr>
          <w:rFonts w:ascii="Times New Roman" w:hAnsi="Times New Roman" w:cs="Times New Roman"/>
          <w:b/>
        </w:rPr>
      </w:pPr>
      <w:r w:rsidRPr="005311C1">
        <w:rPr>
          <w:rFonts w:ascii="Times New Roman" w:hAnsi="Times New Roman" w:cs="Times New Roman"/>
          <w:b/>
        </w:rPr>
        <w:t>Fees – Detailed explanation</w:t>
      </w:r>
    </w:p>
    <w:tbl>
      <w:tblPr>
        <w:tblW w:w="13608"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92"/>
        <w:gridCol w:w="1945"/>
        <w:gridCol w:w="1559"/>
        <w:gridCol w:w="1560"/>
        <w:gridCol w:w="1134"/>
        <w:gridCol w:w="3118"/>
      </w:tblGrid>
      <w:tr w:rsidR="005311C1" w:rsidRPr="005311C1" w14:paraId="3ECF9139" w14:textId="77777777" w:rsidTr="00023207">
        <w:trPr>
          <w:trHeight w:val="525"/>
          <w:tblHeader/>
        </w:trPr>
        <w:tc>
          <w:tcPr>
            <w:tcW w:w="1360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Mar>
              <w:top w:w="57" w:type="dxa"/>
              <w:left w:w="108" w:type="dxa"/>
              <w:bottom w:w="0" w:type="dxa"/>
              <w:right w:w="108" w:type="dxa"/>
            </w:tcMar>
            <w:vAlign w:val="center"/>
          </w:tcPr>
          <w:p w14:paraId="01449332" w14:textId="77777777" w:rsidR="005311C1" w:rsidRPr="005311C1" w:rsidRDefault="005311C1" w:rsidP="00023207">
            <w:pPr>
              <w:pStyle w:val="TableHeading"/>
              <w:jc w:val="center"/>
              <w:rPr>
                <w:rFonts w:ascii="Times New Roman" w:hAnsi="Times New Roman"/>
                <w:i/>
                <w:color w:val="FFFFFF" w:themeColor="background1"/>
              </w:rPr>
            </w:pPr>
            <w:r w:rsidRPr="005311C1">
              <w:rPr>
                <w:rFonts w:ascii="Times New Roman" w:hAnsi="Times New Roman"/>
                <w:i/>
              </w:rPr>
              <w:t>Telecommunications (Charges) Amendment Determination 2017 (No.1)</w:t>
            </w:r>
          </w:p>
        </w:tc>
      </w:tr>
      <w:tr w:rsidR="005311C1" w:rsidRPr="005311C1" w14:paraId="5366D60C" w14:textId="77777777" w:rsidTr="00BE3312">
        <w:trPr>
          <w:trHeight w:val="525"/>
          <w:tblHeader/>
        </w:trPr>
        <w:tc>
          <w:tcPr>
            <w:tcW w:w="4292"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14:paraId="3C030A0E" w14:textId="77777777" w:rsidR="005311C1" w:rsidRPr="005311C1" w:rsidRDefault="005311C1" w:rsidP="00023207">
            <w:pPr>
              <w:pStyle w:val="TableHeading"/>
              <w:rPr>
                <w:rFonts w:ascii="Times New Roman" w:hAnsi="Times New Roman"/>
                <w:b w:val="0"/>
                <w:color w:val="FFFFFF" w:themeColor="background1"/>
              </w:rPr>
            </w:pPr>
            <w:r w:rsidRPr="005311C1">
              <w:rPr>
                <w:rFonts w:ascii="Times New Roman" w:hAnsi="Times New Roman"/>
                <w:b w:val="0"/>
                <w:color w:val="FFFFFF" w:themeColor="background1"/>
              </w:rPr>
              <w:t>Item being charged</w:t>
            </w:r>
          </w:p>
        </w:tc>
        <w:tc>
          <w:tcPr>
            <w:tcW w:w="1945"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0ABE6334" w14:textId="093F38A0" w:rsidR="005311C1" w:rsidRDefault="005311C1" w:rsidP="00903926">
            <w:pPr>
              <w:pStyle w:val="TableHeading"/>
              <w:rPr>
                <w:rFonts w:ascii="Times New Roman" w:hAnsi="Times New Roman"/>
                <w:b w:val="0"/>
                <w:color w:val="FFFFFF" w:themeColor="background1"/>
              </w:rPr>
            </w:pPr>
            <w:r w:rsidRPr="005311C1">
              <w:rPr>
                <w:rFonts w:ascii="Times New Roman" w:hAnsi="Times New Roman"/>
                <w:b w:val="0"/>
                <w:color w:val="FFFFFF" w:themeColor="background1"/>
              </w:rPr>
              <w:t xml:space="preserve">Relevant provision of </w:t>
            </w:r>
            <w:r w:rsidR="00903926" w:rsidRPr="00903926">
              <w:rPr>
                <w:rFonts w:ascii="Times New Roman" w:hAnsi="Times New Roman"/>
                <w:b w:val="0"/>
                <w:color w:val="FFFFFF" w:themeColor="background1"/>
              </w:rPr>
              <w:t>the instrument</w:t>
            </w:r>
          </w:p>
          <w:p w14:paraId="44F067F4" w14:textId="77777777" w:rsidR="000818E0" w:rsidRDefault="000818E0" w:rsidP="00903926">
            <w:pPr>
              <w:pStyle w:val="TableHeading"/>
              <w:rPr>
                <w:rFonts w:ascii="Times New Roman" w:hAnsi="Times New Roman"/>
                <w:b w:val="0"/>
                <w:color w:val="FFFFFF" w:themeColor="background1"/>
              </w:rPr>
            </w:pPr>
          </w:p>
          <w:p w14:paraId="5BA591ED" w14:textId="25591F83" w:rsidR="000818E0" w:rsidRPr="005311C1" w:rsidRDefault="000818E0" w:rsidP="00903926">
            <w:pPr>
              <w:pStyle w:val="TableHeading"/>
              <w:rPr>
                <w:rFonts w:ascii="Times New Roman" w:hAnsi="Times New Roman"/>
                <w:b w:val="0"/>
                <w:color w:val="FFFFFF" w:themeColor="background1"/>
              </w:rPr>
            </w:pPr>
          </w:p>
        </w:tc>
        <w:tc>
          <w:tcPr>
            <w:tcW w:w="1559"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14:paraId="79DC1EF0" w14:textId="596BFF9B" w:rsidR="005311C1" w:rsidRPr="005311C1" w:rsidRDefault="005311C1" w:rsidP="00AB5BEA">
            <w:pPr>
              <w:pStyle w:val="TableHeading"/>
              <w:rPr>
                <w:rFonts w:ascii="Times New Roman" w:hAnsi="Times New Roman"/>
                <w:b w:val="0"/>
                <w:color w:val="FFFFFF" w:themeColor="background1"/>
              </w:rPr>
            </w:pPr>
            <w:r w:rsidRPr="005311C1">
              <w:rPr>
                <w:rFonts w:ascii="Times New Roman" w:hAnsi="Times New Roman"/>
                <w:b w:val="0"/>
                <w:color w:val="FFFFFF" w:themeColor="background1"/>
              </w:rPr>
              <w:t xml:space="preserve">Fees </w:t>
            </w:r>
            <w:r w:rsidR="00240E7A">
              <w:rPr>
                <w:rFonts w:ascii="Times New Roman" w:hAnsi="Times New Roman"/>
                <w:b w:val="0"/>
                <w:color w:val="FFFFFF" w:themeColor="background1"/>
              </w:rPr>
              <w:t>pre-commenc</w:t>
            </w:r>
            <w:r w:rsidR="00D24C53">
              <w:rPr>
                <w:rFonts w:ascii="Times New Roman" w:hAnsi="Times New Roman"/>
                <w:b w:val="0"/>
                <w:color w:val="FFFFFF" w:themeColor="background1"/>
              </w:rPr>
              <w:t>e</w:t>
            </w:r>
            <w:r w:rsidR="00240E7A">
              <w:rPr>
                <w:rFonts w:ascii="Times New Roman" w:hAnsi="Times New Roman"/>
                <w:b w:val="0"/>
                <w:color w:val="FFFFFF" w:themeColor="background1"/>
              </w:rPr>
              <w:t>ment</w:t>
            </w:r>
          </w:p>
        </w:tc>
        <w:tc>
          <w:tcPr>
            <w:tcW w:w="1560"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0C9BE855" w14:textId="1F39C0F7" w:rsidR="005311C1" w:rsidRPr="005311C1" w:rsidRDefault="005311C1">
            <w:pPr>
              <w:pStyle w:val="TableHeading"/>
              <w:rPr>
                <w:rFonts w:ascii="Times New Roman" w:hAnsi="Times New Roman"/>
                <w:b w:val="0"/>
                <w:color w:val="FFFFFF" w:themeColor="background1"/>
              </w:rPr>
            </w:pPr>
            <w:r w:rsidRPr="005311C1">
              <w:rPr>
                <w:rFonts w:ascii="Times New Roman" w:hAnsi="Times New Roman"/>
                <w:b w:val="0"/>
                <w:color w:val="FFFFFF" w:themeColor="background1"/>
              </w:rPr>
              <w:t xml:space="preserve">Fees </w:t>
            </w:r>
            <w:r w:rsidR="00240E7A">
              <w:rPr>
                <w:rFonts w:ascii="Times New Roman" w:hAnsi="Times New Roman"/>
                <w:b w:val="0"/>
                <w:color w:val="FFFFFF" w:themeColor="background1"/>
              </w:rPr>
              <w:t>post commenc</w:t>
            </w:r>
            <w:r w:rsidR="00D24C53">
              <w:rPr>
                <w:rFonts w:ascii="Times New Roman" w:hAnsi="Times New Roman"/>
                <w:b w:val="0"/>
                <w:color w:val="FFFFFF" w:themeColor="background1"/>
              </w:rPr>
              <w:t>e</w:t>
            </w:r>
            <w:r w:rsidR="00240E7A">
              <w:rPr>
                <w:rFonts w:ascii="Times New Roman" w:hAnsi="Times New Roman"/>
                <w:b w:val="0"/>
                <w:color w:val="FFFFFF" w:themeColor="background1"/>
              </w:rPr>
              <w:t>ment</w:t>
            </w:r>
          </w:p>
        </w:tc>
        <w:tc>
          <w:tcPr>
            <w:tcW w:w="1134"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542CC431" w14:textId="77777777" w:rsidR="005311C1" w:rsidRPr="005311C1" w:rsidRDefault="005311C1" w:rsidP="00023207">
            <w:pPr>
              <w:pStyle w:val="TableHeading"/>
              <w:rPr>
                <w:rFonts w:ascii="Times New Roman" w:hAnsi="Times New Roman"/>
                <w:b w:val="0"/>
                <w:color w:val="FFFFFF" w:themeColor="background1"/>
              </w:rPr>
            </w:pPr>
            <w:r w:rsidRPr="005311C1">
              <w:rPr>
                <w:rFonts w:ascii="Times New Roman" w:hAnsi="Times New Roman"/>
                <w:b w:val="0"/>
                <w:color w:val="FFFFFF" w:themeColor="background1"/>
              </w:rPr>
              <w:t>Variance increase/ (decrease)</w:t>
            </w:r>
          </w:p>
        </w:tc>
        <w:tc>
          <w:tcPr>
            <w:tcW w:w="3118"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546F784C" w14:textId="77777777" w:rsidR="005311C1" w:rsidRPr="005311C1" w:rsidRDefault="005311C1" w:rsidP="00023207">
            <w:pPr>
              <w:pStyle w:val="TableHeading"/>
              <w:rPr>
                <w:rFonts w:ascii="Times New Roman" w:hAnsi="Times New Roman"/>
                <w:b w:val="0"/>
                <w:color w:val="FFFFFF" w:themeColor="background1"/>
              </w:rPr>
            </w:pPr>
            <w:r w:rsidRPr="005311C1">
              <w:rPr>
                <w:rFonts w:ascii="Times New Roman" w:hAnsi="Times New Roman"/>
                <w:b w:val="0"/>
                <w:color w:val="FFFFFF" w:themeColor="background1"/>
              </w:rPr>
              <w:t>Reason for increase/decrease</w:t>
            </w:r>
          </w:p>
        </w:tc>
      </w:tr>
      <w:tr w:rsidR="00D24C53" w:rsidRPr="005311C1" w14:paraId="3E7788B6"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14:paraId="7BB6464D" w14:textId="0AC48FD4" w:rsidR="00D24C53" w:rsidRPr="005311C1" w:rsidRDefault="00D24C53" w:rsidP="00023207">
            <w:pPr>
              <w:spacing w:after="0"/>
              <w:rPr>
                <w:rFonts w:ascii="Times New Roman" w:hAnsi="Times New Roman" w:cs="Times New Roman"/>
                <w:sz w:val="20"/>
                <w:szCs w:val="20"/>
              </w:rPr>
            </w:pPr>
            <w:r>
              <w:rPr>
                <w:rFonts w:ascii="Times New Roman" w:hAnsi="Times New Roman" w:cs="Times New Roman"/>
                <w:sz w:val="20"/>
                <w:szCs w:val="20"/>
              </w:rPr>
              <w:t>Hourly rate of charge</w:t>
            </w:r>
          </w:p>
        </w:tc>
        <w:tc>
          <w:tcPr>
            <w:tcW w:w="1945" w:type="dxa"/>
            <w:tcBorders>
              <w:top w:val="single" w:sz="2" w:space="0" w:color="auto"/>
              <w:left w:val="single" w:sz="2" w:space="0" w:color="auto"/>
              <w:bottom w:val="single" w:sz="2" w:space="0" w:color="auto"/>
              <w:right w:val="single" w:sz="2" w:space="0" w:color="auto"/>
            </w:tcBorders>
          </w:tcPr>
          <w:p w14:paraId="1AB3F46E" w14:textId="31CE6619" w:rsidR="00D24C53" w:rsidRPr="005311C1" w:rsidRDefault="00D24C53" w:rsidP="004A5290">
            <w:pPr>
              <w:spacing w:after="0"/>
              <w:rPr>
                <w:rFonts w:ascii="Times New Roman" w:hAnsi="Times New Roman" w:cs="Times New Roman"/>
                <w:sz w:val="20"/>
                <w:szCs w:val="20"/>
              </w:rPr>
            </w:pPr>
            <w:r>
              <w:rPr>
                <w:rFonts w:ascii="Times New Roman" w:hAnsi="Times New Roman" w:cs="Times New Roman"/>
                <w:sz w:val="20"/>
                <w:szCs w:val="20"/>
              </w:rPr>
              <w:t>Item 1, Schedule 1</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04B4EE91" w14:textId="41472F64" w:rsidR="00D24C53" w:rsidRPr="005311C1" w:rsidRDefault="0092789C" w:rsidP="00023207">
            <w:pPr>
              <w:spacing w:after="0"/>
              <w:jc w:val="right"/>
              <w:rPr>
                <w:rFonts w:ascii="Times New Roman" w:hAnsi="Times New Roman" w:cs="Times New Roman"/>
                <w:sz w:val="20"/>
                <w:szCs w:val="20"/>
              </w:rPr>
            </w:pPr>
            <w:r>
              <w:rPr>
                <w:rFonts w:ascii="Times New Roman" w:hAnsi="Times New Roman" w:cs="Times New Roman"/>
                <w:sz w:val="20"/>
                <w:szCs w:val="20"/>
              </w:rPr>
              <w:t>$197</w:t>
            </w:r>
          </w:p>
        </w:tc>
        <w:tc>
          <w:tcPr>
            <w:tcW w:w="1560" w:type="dxa"/>
            <w:tcBorders>
              <w:top w:val="single" w:sz="2" w:space="0" w:color="auto"/>
              <w:left w:val="single" w:sz="2" w:space="0" w:color="auto"/>
              <w:bottom w:val="single" w:sz="2" w:space="0" w:color="auto"/>
              <w:right w:val="single" w:sz="2" w:space="0" w:color="auto"/>
            </w:tcBorders>
          </w:tcPr>
          <w:p w14:paraId="2C30D28B" w14:textId="62F1DC94" w:rsidR="00D24C53" w:rsidRPr="005311C1" w:rsidRDefault="0092789C" w:rsidP="00023207">
            <w:pPr>
              <w:spacing w:after="0"/>
              <w:jc w:val="right"/>
              <w:rPr>
                <w:rFonts w:ascii="Times New Roman" w:hAnsi="Times New Roman" w:cs="Times New Roman"/>
                <w:sz w:val="20"/>
                <w:szCs w:val="20"/>
              </w:rPr>
            </w:pPr>
            <w:r>
              <w:rPr>
                <w:rFonts w:ascii="Times New Roman" w:hAnsi="Times New Roman" w:cs="Times New Roman"/>
                <w:sz w:val="20"/>
                <w:szCs w:val="20"/>
              </w:rPr>
              <w:t>$202</w:t>
            </w:r>
          </w:p>
        </w:tc>
        <w:tc>
          <w:tcPr>
            <w:tcW w:w="1134" w:type="dxa"/>
            <w:tcBorders>
              <w:top w:val="single" w:sz="2" w:space="0" w:color="auto"/>
              <w:left w:val="single" w:sz="2" w:space="0" w:color="auto"/>
              <w:bottom w:val="single" w:sz="2" w:space="0" w:color="auto"/>
              <w:right w:val="single" w:sz="2" w:space="0" w:color="auto"/>
            </w:tcBorders>
          </w:tcPr>
          <w:p w14:paraId="6809FC3B" w14:textId="73A7FE04" w:rsidR="00D24C53" w:rsidRPr="005311C1" w:rsidRDefault="0092789C" w:rsidP="00023207">
            <w:pPr>
              <w:spacing w:after="0"/>
              <w:jc w:val="right"/>
              <w:rPr>
                <w:rFonts w:ascii="Times New Roman" w:hAnsi="Times New Roman" w:cs="Times New Roman"/>
                <w:sz w:val="20"/>
                <w:szCs w:val="20"/>
              </w:rPr>
            </w:pPr>
            <w:r>
              <w:rPr>
                <w:rFonts w:ascii="Times New Roman" w:hAnsi="Times New Roman" w:cs="Times New Roman"/>
                <w:sz w:val="20"/>
                <w:szCs w:val="20"/>
              </w:rPr>
              <w:t>2.5%</w:t>
            </w:r>
          </w:p>
        </w:tc>
        <w:tc>
          <w:tcPr>
            <w:tcW w:w="3118" w:type="dxa"/>
            <w:tcBorders>
              <w:top w:val="single" w:sz="2" w:space="0" w:color="auto"/>
              <w:left w:val="single" w:sz="2" w:space="0" w:color="auto"/>
              <w:bottom w:val="single" w:sz="2" w:space="0" w:color="auto"/>
              <w:right w:val="single" w:sz="2" w:space="0" w:color="auto"/>
            </w:tcBorders>
          </w:tcPr>
          <w:p w14:paraId="621E4630" w14:textId="07EAF3B4" w:rsidR="00D24C53" w:rsidRPr="005311C1" w:rsidRDefault="0092789C" w:rsidP="00023207">
            <w:pPr>
              <w:spacing w:after="0"/>
              <w:rPr>
                <w:rFonts w:ascii="Times New Roman" w:hAnsi="Times New Roman" w:cs="Times New Roman"/>
                <w:sz w:val="20"/>
                <w:szCs w:val="20"/>
              </w:rPr>
            </w:pPr>
            <w:r w:rsidRPr="005311C1">
              <w:rPr>
                <w:rFonts w:ascii="Times New Roman" w:hAnsi="Times New Roman" w:cs="Times New Roman"/>
                <w:sz w:val="20"/>
                <w:szCs w:val="20"/>
              </w:rPr>
              <w:t>Refer to Note 1 for further details.</w:t>
            </w:r>
          </w:p>
        </w:tc>
      </w:tr>
      <w:tr w:rsidR="005311C1" w:rsidRPr="005311C1" w14:paraId="6A4153F7"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14:paraId="2B2E6D6B"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 xml:space="preserve">Making an application mentioned in section 77 of the </w:t>
            </w:r>
            <w:r w:rsidRPr="005311C1">
              <w:rPr>
                <w:rFonts w:ascii="Times New Roman" w:hAnsi="Times New Roman" w:cs="Times New Roman"/>
                <w:i/>
                <w:sz w:val="20"/>
                <w:szCs w:val="20"/>
              </w:rPr>
              <w:t xml:space="preserve">Telecommunications Act 1997 </w:t>
            </w:r>
            <w:r w:rsidRPr="005311C1">
              <w:rPr>
                <w:rFonts w:ascii="Times New Roman" w:hAnsi="Times New Roman" w:cs="Times New Roman"/>
                <w:sz w:val="20"/>
                <w:szCs w:val="20"/>
              </w:rPr>
              <w:t>(Telecommunications Act) for a nominated carrier declaration in relation to one or more specified network units</w:t>
            </w:r>
          </w:p>
        </w:tc>
        <w:tc>
          <w:tcPr>
            <w:tcW w:w="1945" w:type="dxa"/>
            <w:tcBorders>
              <w:top w:val="single" w:sz="2" w:space="0" w:color="auto"/>
              <w:left w:val="single" w:sz="2" w:space="0" w:color="auto"/>
              <w:bottom w:val="single" w:sz="2" w:space="0" w:color="auto"/>
              <w:right w:val="single" w:sz="2" w:space="0" w:color="auto"/>
            </w:tcBorders>
          </w:tcPr>
          <w:p w14:paraId="2F285A4B" w14:textId="47BE9763"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w:t>
            </w:r>
            <w:r w:rsidR="004A5290">
              <w:rPr>
                <w:rFonts w:ascii="Times New Roman" w:hAnsi="Times New Roman" w:cs="Times New Roman"/>
                <w:sz w:val="20"/>
                <w:szCs w:val="20"/>
              </w:rPr>
              <w:t>2</w:t>
            </w:r>
            <w:r w:rsidRPr="005311C1">
              <w:rPr>
                <w:rFonts w:ascii="Times New Roman" w:hAnsi="Times New Roman" w:cs="Times New Roman"/>
                <w:sz w:val="20"/>
                <w:szCs w:val="20"/>
              </w:rPr>
              <w:t xml:space="preserve">,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3A1CC078"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$2,320.00 </w:t>
            </w:r>
          </w:p>
        </w:tc>
        <w:tc>
          <w:tcPr>
            <w:tcW w:w="1560" w:type="dxa"/>
            <w:tcBorders>
              <w:top w:val="single" w:sz="2" w:space="0" w:color="auto"/>
              <w:left w:val="single" w:sz="2" w:space="0" w:color="auto"/>
              <w:bottom w:val="single" w:sz="2" w:space="0" w:color="auto"/>
              <w:right w:val="single" w:sz="2" w:space="0" w:color="auto"/>
            </w:tcBorders>
          </w:tcPr>
          <w:p w14:paraId="7C109188"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$2,375.00 </w:t>
            </w:r>
          </w:p>
        </w:tc>
        <w:tc>
          <w:tcPr>
            <w:tcW w:w="1134" w:type="dxa"/>
            <w:tcBorders>
              <w:top w:val="single" w:sz="2" w:space="0" w:color="auto"/>
              <w:left w:val="single" w:sz="2" w:space="0" w:color="auto"/>
              <w:bottom w:val="single" w:sz="2" w:space="0" w:color="auto"/>
              <w:right w:val="single" w:sz="2" w:space="0" w:color="auto"/>
            </w:tcBorders>
          </w:tcPr>
          <w:p w14:paraId="22AC1BB9"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2.4%</w:t>
            </w:r>
          </w:p>
        </w:tc>
        <w:tc>
          <w:tcPr>
            <w:tcW w:w="3118" w:type="dxa"/>
            <w:tcBorders>
              <w:top w:val="single" w:sz="2" w:space="0" w:color="auto"/>
              <w:left w:val="single" w:sz="2" w:space="0" w:color="auto"/>
              <w:bottom w:val="single" w:sz="2" w:space="0" w:color="auto"/>
              <w:right w:val="single" w:sz="2" w:space="0" w:color="auto"/>
            </w:tcBorders>
          </w:tcPr>
          <w:p w14:paraId="3FB051DD"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This is due to the increase in the ACMA’s standard hourly rate and rounding. Refer to Note 1 for further details.</w:t>
            </w:r>
          </w:p>
        </w:tc>
      </w:tr>
      <w:tr w:rsidR="005311C1" w:rsidRPr="005311C1" w14:paraId="5EB40EF2"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3504697E" w14:textId="4331540F"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Making an application mentioned in paragraph 457(1)(a) of the Telecommunications Act for the allocation of a number otherwise than in accordance with an allocation system determined under section 463 of the Telecommunications Act</w:t>
            </w:r>
            <w:r w:rsidR="0091152F">
              <w:rPr>
                <w:rFonts w:ascii="Times New Roman" w:hAnsi="Times New Roman" w:cs="Times New Roman"/>
                <w:sz w:val="20"/>
                <w:szCs w:val="20"/>
              </w:rPr>
              <w:t>:</w:t>
            </w:r>
          </w:p>
          <w:p w14:paraId="054FE723" w14:textId="5552E514" w:rsidR="005311C1" w:rsidRPr="00BE3312" w:rsidRDefault="005311C1" w:rsidP="00BE3312">
            <w:pPr>
              <w:pStyle w:val="ListParagraph"/>
              <w:numPr>
                <w:ilvl w:val="0"/>
                <w:numId w:val="12"/>
              </w:numPr>
              <w:spacing w:after="0"/>
              <w:rPr>
                <w:rFonts w:ascii="Times New Roman" w:hAnsi="Times New Roman" w:cs="Times New Roman"/>
                <w:sz w:val="20"/>
                <w:szCs w:val="20"/>
              </w:rPr>
            </w:pPr>
            <w:r w:rsidRPr="00BE3312">
              <w:rPr>
                <w:rFonts w:ascii="Times New Roman" w:hAnsi="Times New Roman" w:cs="Times New Roman"/>
                <w:sz w:val="20"/>
                <w:szCs w:val="20"/>
              </w:rPr>
              <w:t xml:space="preserve">Geographic numbers </w:t>
            </w:r>
            <w:r w:rsidR="0091152F">
              <w:rPr>
                <w:rFonts w:ascii="Times New Roman" w:hAnsi="Times New Roman" w:cs="Times New Roman"/>
                <w:sz w:val="20"/>
                <w:szCs w:val="20"/>
              </w:rPr>
              <w:t xml:space="preserve">under </w:t>
            </w:r>
            <w:r w:rsidRPr="00BE3312">
              <w:rPr>
                <w:rFonts w:ascii="Times New Roman" w:hAnsi="Times New Roman" w:cs="Times New Roman"/>
                <w:sz w:val="20"/>
                <w:szCs w:val="20"/>
              </w:rPr>
              <w:t>Part 2</w:t>
            </w:r>
            <w:r w:rsidR="0092789C">
              <w:rPr>
                <w:rFonts w:ascii="Times New Roman" w:hAnsi="Times New Roman" w:cs="Times New Roman"/>
                <w:sz w:val="20"/>
                <w:szCs w:val="20"/>
              </w:rPr>
              <w:t>,</w:t>
            </w:r>
            <w:r w:rsidRPr="00BE3312">
              <w:rPr>
                <w:rFonts w:ascii="Times New Roman" w:hAnsi="Times New Roman" w:cs="Times New Roman"/>
                <w:sz w:val="20"/>
                <w:szCs w:val="20"/>
              </w:rPr>
              <w:t xml:space="preserve"> Chapter 6</w:t>
            </w:r>
            <w:r w:rsidR="0091152F">
              <w:rPr>
                <w:rFonts w:ascii="Times New Roman" w:hAnsi="Times New Roman" w:cs="Times New Roman"/>
                <w:sz w:val="20"/>
                <w:szCs w:val="20"/>
              </w:rPr>
              <w:t xml:space="preserve"> of the </w:t>
            </w:r>
            <w:r w:rsidR="0092789C">
              <w:rPr>
                <w:rFonts w:ascii="Times New Roman" w:hAnsi="Times New Roman" w:cs="Times New Roman"/>
                <w:i/>
                <w:sz w:val="20"/>
                <w:szCs w:val="20"/>
              </w:rPr>
              <w:t xml:space="preserve">Telecommunications </w:t>
            </w:r>
            <w:r w:rsidR="0091152F">
              <w:rPr>
                <w:rFonts w:ascii="Times New Roman" w:hAnsi="Times New Roman" w:cs="Times New Roman"/>
                <w:i/>
                <w:sz w:val="20"/>
                <w:szCs w:val="20"/>
              </w:rPr>
              <w:t xml:space="preserve">Numbering Plan 2015 </w:t>
            </w:r>
            <w:r w:rsidR="0091152F">
              <w:rPr>
                <w:rFonts w:ascii="Times New Roman" w:hAnsi="Times New Roman" w:cs="Times New Roman"/>
                <w:sz w:val="20"/>
                <w:szCs w:val="20"/>
              </w:rPr>
              <w:t>(</w:t>
            </w:r>
            <w:r w:rsidR="0091152F" w:rsidRPr="00BE3312">
              <w:rPr>
                <w:rFonts w:ascii="Times New Roman" w:hAnsi="Times New Roman" w:cs="Times New Roman"/>
                <w:b/>
                <w:sz w:val="20"/>
                <w:szCs w:val="20"/>
              </w:rPr>
              <w:t>Numbering Plan</w:t>
            </w:r>
            <w:r w:rsidR="0091152F">
              <w:rPr>
                <w:rFonts w:ascii="Times New Roman" w:hAnsi="Times New Roman" w:cs="Times New Roman"/>
                <w:sz w:val="20"/>
                <w:szCs w:val="20"/>
              </w:rPr>
              <w:t>)</w:t>
            </w:r>
          </w:p>
          <w:p w14:paraId="6562CD74" w14:textId="682B1ABD" w:rsidR="005311C1" w:rsidRPr="00BE3312" w:rsidRDefault="005311C1" w:rsidP="00BE3312">
            <w:pPr>
              <w:pStyle w:val="ListParagraph"/>
              <w:numPr>
                <w:ilvl w:val="0"/>
                <w:numId w:val="12"/>
              </w:numPr>
              <w:spacing w:after="0"/>
              <w:rPr>
                <w:rFonts w:ascii="Times New Roman" w:hAnsi="Times New Roman" w:cs="Times New Roman"/>
                <w:sz w:val="20"/>
                <w:szCs w:val="20"/>
              </w:rPr>
            </w:pPr>
            <w:r w:rsidRPr="00BE3312">
              <w:rPr>
                <w:rFonts w:ascii="Times New Roman" w:hAnsi="Times New Roman" w:cs="Times New Roman"/>
                <w:sz w:val="20"/>
                <w:szCs w:val="20"/>
              </w:rPr>
              <w:t xml:space="preserve">Geographic numbers </w:t>
            </w:r>
            <w:r w:rsidR="0091152F">
              <w:rPr>
                <w:rFonts w:ascii="Times New Roman" w:hAnsi="Times New Roman" w:cs="Times New Roman"/>
                <w:sz w:val="20"/>
                <w:szCs w:val="20"/>
              </w:rPr>
              <w:t xml:space="preserve">under </w:t>
            </w:r>
            <w:r w:rsidRPr="00BE3312">
              <w:rPr>
                <w:rFonts w:ascii="Times New Roman" w:hAnsi="Times New Roman" w:cs="Times New Roman"/>
                <w:sz w:val="20"/>
                <w:szCs w:val="20"/>
              </w:rPr>
              <w:t>Part 3</w:t>
            </w:r>
            <w:r w:rsidR="0092789C">
              <w:rPr>
                <w:rFonts w:ascii="Times New Roman" w:hAnsi="Times New Roman" w:cs="Times New Roman"/>
                <w:sz w:val="20"/>
                <w:szCs w:val="20"/>
              </w:rPr>
              <w:t>,</w:t>
            </w:r>
            <w:r w:rsidRPr="00BE3312">
              <w:rPr>
                <w:rFonts w:ascii="Times New Roman" w:hAnsi="Times New Roman" w:cs="Times New Roman"/>
                <w:sz w:val="20"/>
                <w:szCs w:val="20"/>
              </w:rPr>
              <w:t xml:space="preserve"> Chapter 6 </w:t>
            </w:r>
            <w:r w:rsidR="0091152F">
              <w:rPr>
                <w:rFonts w:ascii="Times New Roman" w:hAnsi="Times New Roman" w:cs="Times New Roman"/>
                <w:sz w:val="20"/>
                <w:szCs w:val="20"/>
              </w:rPr>
              <w:t xml:space="preserve">of the Numbering Plan </w:t>
            </w:r>
          </w:p>
        </w:tc>
        <w:tc>
          <w:tcPr>
            <w:tcW w:w="1945" w:type="dxa"/>
            <w:tcBorders>
              <w:top w:val="single" w:sz="2" w:space="0" w:color="auto"/>
              <w:left w:val="single" w:sz="2" w:space="0" w:color="auto"/>
              <w:bottom w:val="single" w:sz="2" w:space="0" w:color="auto"/>
              <w:right w:val="single" w:sz="2" w:space="0" w:color="auto"/>
            </w:tcBorders>
          </w:tcPr>
          <w:p w14:paraId="1A70CDA2" w14:textId="07A6DEEF"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3,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6904ACC1" w14:textId="77777777" w:rsidR="0091152F" w:rsidRDefault="0091152F" w:rsidP="00903926">
            <w:pPr>
              <w:spacing w:after="0"/>
              <w:jc w:val="right"/>
              <w:rPr>
                <w:rFonts w:ascii="Times New Roman" w:hAnsi="Times New Roman" w:cs="Times New Roman"/>
                <w:sz w:val="20"/>
                <w:szCs w:val="20"/>
              </w:rPr>
            </w:pPr>
          </w:p>
          <w:p w14:paraId="73645CB3" w14:textId="77777777" w:rsidR="0091152F" w:rsidRDefault="0091152F" w:rsidP="00903926">
            <w:pPr>
              <w:spacing w:after="0"/>
              <w:jc w:val="right"/>
              <w:rPr>
                <w:rFonts w:ascii="Times New Roman" w:hAnsi="Times New Roman" w:cs="Times New Roman"/>
                <w:sz w:val="20"/>
                <w:szCs w:val="20"/>
              </w:rPr>
            </w:pPr>
          </w:p>
          <w:p w14:paraId="6C453124" w14:textId="77777777" w:rsidR="0091152F" w:rsidRDefault="0091152F" w:rsidP="00903926">
            <w:pPr>
              <w:spacing w:after="0"/>
              <w:jc w:val="right"/>
              <w:rPr>
                <w:rFonts w:ascii="Times New Roman" w:hAnsi="Times New Roman" w:cs="Times New Roman"/>
                <w:sz w:val="20"/>
                <w:szCs w:val="20"/>
              </w:rPr>
            </w:pPr>
          </w:p>
          <w:p w14:paraId="357B247F" w14:textId="77777777" w:rsidR="0091152F" w:rsidRDefault="0091152F" w:rsidP="00903926">
            <w:pPr>
              <w:spacing w:after="0"/>
              <w:jc w:val="right"/>
              <w:rPr>
                <w:rFonts w:ascii="Times New Roman" w:hAnsi="Times New Roman" w:cs="Times New Roman"/>
                <w:sz w:val="20"/>
                <w:szCs w:val="20"/>
              </w:rPr>
            </w:pPr>
          </w:p>
          <w:p w14:paraId="5033DDB3" w14:textId="77777777" w:rsidR="0091152F" w:rsidRDefault="0091152F" w:rsidP="00903926">
            <w:pPr>
              <w:spacing w:after="0"/>
              <w:jc w:val="right"/>
              <w:rPr>
                <w:rFonts w:ascii="Times New Roman" w:hAnsi="Times New Roman" w:cs="Times New Roman"/>
                <w:sz w:val="20"/>
                <w:szCs w:val="20"/>
              </w:rPr>
            </w:pPr>
          </w:p>
          <w:p w14:paraId="4139A636" w14:textId="77777777" w:rsidR="00903926" w:rsidRDefault="005311C1" w:rsidP="00903926">
            <w:pPr>
              <w:spacing w:after="0"/>
              <w:jc w:val="right"/>
              <w:rPr>
                <w:rFonts w:ascii="Times New Roman" w:hAnsi="Times New Roman" w:cs="Times New Roman"/>
                <w:sz w:val="20"/>
                <w:szCs w:val="20"/>
              </w:rPr>
            </w:pPr>
            <w:r w:rsidRPr="005311C1">
              <w:rPr>
                <w:rFonts w:ascii="Times New Roman" w:hAnsi="Times New Roman" w:cs="Times New Roman"/>
                <w:sz w:val="20"/>
                <w:szCs w:val="20"/>
              </w:rPr>
              <w:t>$19.50</w:t>
            </w:r>
          </w:p>
          <w:p w14:paraId="1F989A12" w14:textId="77777777" w:rsidR="0091152F" w:rsidRDefault="0091152F" w:rsidP="00903926">
            <w:pPr>
              <w:spacing w:after="0"/>
              <w:jc w:val="right"/>
              <w:rPr>
                <w:rFonts w:ascii="Times New Roman" w:hAnsi="Times New Roman" w:cs="Times New Roman"/>
                <w:sz w:val="20"/>
                <w:szCs w:val="20"/>
              </w:rPr>
            </w:pPr>
          </w:p>
          <w:p w14:paraId="3C5B5CF6" w14:textId="77777777" w:rsidR="0091152F" w:rsidRDefault="0091152F" w:rsidP="00903926">
            <w:pPr>
              <w:spacing w:after="0"/>
              <w:jc w:val="right"/>
              <w:rPr>
                <w:rFonts w:ascii="Times New Roman" w:hAnsi="Times New Roman" w:cs="Times New Roman"/>
                <w:sz w:val="20"/>
                <w:szCs w:val="20"/>
              </w:rPr>
            </w:pPr>
          </w:p>
          <w:p w14:paraId="74B30AF9" w14:textId="5BAA3CC2" w:rsidR="005311C1" w:rsidRPr="005311C1" w:rsidRDefault="005311C1" w:rsidP="00903926">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$19.50 </w:t>
            </w:r>
          </w:p>
        </w:tc>
        <w:tc>
          <w:tcPr>
            <w:tcW w:w="1560" w:type="dxa"/>
            <w:tcBorders>
              <w:top w:val="single" w:sz="2" w:space="0" w:color="auto"/>
              <w:left w:val="single" w:sz="2" w:space="0" w:color="auto"/>
              <w:bottom w:val="single" w:sz="2" w:space="0" w:color="auto"/>
              <w:right w:val="single" w:sz="2" w:space="0" w:color="auto"/>
            </w:tcBorders>
          </w:tcPr>
          <w:p w14:paraId="70CCF364" w14:textId="77777777" w:rsidR="0091152F" w:rsidRDefault="0091152F" w:rsidP="00023207">
            <w:pPr>
              <w:spacing w:after="0"/>
              <w:jc w:val="right"/>
              <w:rPr>
                <w:rFonts w:ascii="Times New Roman" w:hAnsi="Times New Roman" w:cs="Times New Roman"/>
                <w:sz w:val="20"/>
                <w:szCs w:val="20"/>
              </w:rPr>
            </w:pPr>
          </w:p>
          <w:p w14:paraId="01A23B98" w14:textId="77777777" w:rsidR="0091152F" w:rsidRDefault="0091152F" w:rsidP="00023207">
            <w:pPr>
              <w:spacing w:after="0"/>
              <w:jc w:val="right"/>
              <w:rPr>
                <w:rFonts w:ascii="Times New Roman" w:hAnsi="Times New Roman" w:cs="Times New Roman"/>
                <w:sz w:val="20"/>
                <w:szCs w:val="20"/>
              </w:rPr>
            </w:pPr>
          </w:p>
          <w:p w14:paraId="47D4D7DD" w14:textId="77777777" w:rsidR="0091152F" w:rsidRDefault="0091152F" w:rsidP="00023207">
            <w:pPr>
              <w:spacing w:after="0"/>
              <w:jc w:val="right"/>
              <w:rPr>
                <w:rFonts w:ascii="Times New Roman" w:hAnsi="Times New Roman" w:cs="Times New Roman"/>
                <w:sz w:val="20"/>
                <w:szCs w:val="20"/>
              </w:rPr>
            </w:pPr>
          </w:p>
          <w:p w14:paraId="4B6A021E" w14:textId="77777777" w:rsidR="0091152F" w:rsidRDefault="0091152F" w:rsidP="00023207">
            <w:pPr>
              <w:spacing w:after="0"/>
              <w:jc w:val="right"/>
              <w:rPr>
                <w:rFonts w:ascii="Times New Roman" w:hAnsi="Times New Roman" w:cs="Times New Roman"/>
                <w:sz w:val="20"/>
                <w:szCs w:val="20"/>
              </w:rPr>
            </w:pPr>
          </w:p>
          <w:p w14:paraId="3CE00D1E" w14:textId="77777777" w:rsidR="0091152F" w:rsidRDefault="0091152F" w:rsidP="00023207">
            <w:pPr>
              <w:spacing w:after="0"/>
              <w:jc w:val="right"/>
              <w:rPr>
                <w:rFonts w:ascii="Times New Roman" w:hAnsi="Times New Roman" w:cs="Times New Roman"/>
                <w:sz w:val="20"/>
                <w:szCs w:val="20"/>
              </w:rPr>
            </w:pPr>
          </w:p>
          <w:p w14:paraId="13B8EF5E"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$35.00</w:t>
            </w:r>
          </w:p>
          <w:p w14:paraId="180A1A98" w14:textId="77777777" w:rsidR="0091152F" w:rsidRDefault="0091152F" w:rsidP="00023207">
            <w:pPr>
              <w:spacing w:after="0"/>
              <w:jc w:val="right"/>
              <w:rPr>
                <w:rFonts w:ascii="Times New Roman" w:hAnsi="Times New Roman" w:cs="Times New Roman"/>
                <w:sz w:val="20"/>
                <w:szCs w:val="20"/>
              </w:rPr>
            </w:pPr>
          </w:p>
          <w:p w14:paraId="56AAE8CC" w14:textId="77777777" w:rsidR="0091152F" w:rsidRDefault="0091152F" w:rsidP="00023207">
            <w:pPr>
              <w:spacing w:after="0"/>
              <w:jc w:val="right"/>
              <w:rPr>
                <w:rFonts w:ascii="Times New Roman" w:hAnsi="Times New Roman" w:cs="Times New Roman"/>
                <w:sz w:val="20"/>
                <w:szCs w:val="20"/>
              </w:rPr>
            </w:pPr>
          </w:p>
          <w:p w14:paraId="4231853F"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$35.00</w:t>
            </w:r>
          </w:p>
        </w:tc>
        <w:tc>
          <w:tcPr>
            <w:tcW w:w="1134" w:type="dxa"/>
            <w:tcBorders>
              <w:top w:val="single" w:sz="2" w:space="0" w:color="auto"/>
              <w:left w:val="single" w:sz="2" w:space="0" w:color="auto"/>
              <w:bottom w:val="single" w:sz="2" w:space="0" w:color="auto"/>
              <w:right w:val="single" w:sz="2" w:space="0" w:color="auto"/>
            </w:tcBorders>
          </w:tcPr>
          <w:p w14:paraId="00D1A1E0"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79.5%</w:t>
            </w:r>
          </w:p>
        </w:tc>
        <w:tc>
          <w:tcPr>
            <w:tcW w:w="3118" w:type="dxa"/>
            <w:tcBorders>
              <w:top w:val="single" w:sz="2" w:space="0" w:color="auto"/>
              <w:left w:val="single" w:sz="2" w:space="0" w:color="auto"/>
              <w:bottom w:val="single" w:sz="2" w:space="0" w:color="auto"/>
              <w:right w:val="single" w:sz="2" w:space="0" w:color="auto"/>
            </w:tcBorders>
          </w:tcPr>
          <w:p w14:paraId="053BB5A4" w14:textId="49E8A33F"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The increase </w:t>
            </w:r>
            <w:r w:rsidR="004A5290">
              <w:rPr>
                <w:rFonts w:ascii="Times New Roman" w:hAnsi="Times New Roman" w:cs="Times New Roman"/>
                <w:sz w:val="20"/>
                <w:szCs w:val="20"/>
              </w:rPr>
              <w:t xml:space="preserve">is a </w:t>
            </w:r>
            <w:r w:rsidRPr="005311C1">
              <w:rPr>
                <w:rFonts w:ascii="Times New Roman" w:hAnsi="Times New Roman" w:cs="Times New Roman"/>
                <w:sz w:val="20"/>
                <w:szCs w:val="20"/>
              </w:rPr>
              <w:t xml:space="preserve">result </w:t>
            </w:r>
            <w:r w:rsidR="004A5290">
              <w:rPr>
                <w:rFonts w:ascii="Times New Roman" w:hAnsi="Times New Roman" w:cs="Times New Roman"/>
                <w:sz w:val="20"/>
                <w:szCs w:val="20"/>
              </w:rPr>
              <w:t xml:space="preserve">of a </w:t>
            </w:r>
            <w:r w:rsidRPr="005311C1">
              <w:rPr>
                <w:rFonts w:ascii="Times New Roman" w:hAnsi="Times New Roman" w:cs="Times New Roman"/>
                <w:sz w:val="20"/>
                <w:szCs w:val="20"/>
              </w:rPr>
              <w:t>drop in demand for telecommunications number allocations. Refer to Note 2 for further details.</w:t>
            </w:r>
          </w:p>
        </w:tc>
      </w:tr>
      <w:tr w:rsidR="005311C1" w:rsidRPr="005311C1" w14:paraId="37B32E17"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3CAE525B" w14:textId="53A4A09B" w:rsidR="005311C1" w:rsidRPr="005311C1" w:rsidRDefault="005311C1" w:rsidP="0091152F">
            <w:pPr>
              <w:spacing w:after="0"/>
              <w:rPr>
                <w:rFonts w:ascii="Times New Roman" w:hAnsi="Times New Roman" w:cs="Times New Roman"/>
                <w:sz w:val="20"/>
                <w:szCs w:val="20"/>
              </w:rPr>
            </w:pPr>
            <w:r w:rsidRPr="005311C1">
              <w:rPr>
                <w:rFonts w:ascii="Times New Roman" w:hAnsi="Times New Roman" w:cs="Times New Roman"/>
                <w:sz w:val="20"/>
                <w:szCs w:val="20"/>
              </w:rPr>
              <w:t>Making an application under subsection 121(1) of the Numbering Plan for registration of a carriage service provider under section 122 of the Numbering Plan</w:t>
            </w:r>
          </w:p>
        </w:tc>
        <w:tc>
          <w:tcPr>
            <w:tcW w:w="1945" w:type="dxa"/>
            <w:tcBorders>
              <w:top w:val="single" w:sz="2" w:space="0" w:color="auto"/>
              <w:left w:val="single" w:sz="2" w:space="0" w:color="auto"/>
              <w:bottom w:val="single" w:sz="2" w:space="0" w:color="auto"/>
              <w:right w:val="single" w:sz="2" w:space="0" w:color="auto"/>
            </w:tcBorders>
          </w:tcPr>
          <w:p w14:paraId="069A51FE" w14:textId="27EE9AB7"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3,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69482416"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$19.50 </w:t>
            </w:r>
          </w:p>
        </w:tc>
        <w:tc>
          <w:tcPr>
            <w:tcW w:w="1560" w:type="dxa"/>
            <w:tcBorders>
              <w:top w:val="single" w:sz="2" w:space="0" w:color="auto"/>
              <w:left w:val="single" w:sz="2" w:space="0" w:color="auto"/>
              <w:bottom w:val="single" w:sz="2" w:space="0" w:color="auto"/>
              <w:right w:val="single" w:sz="2" w:space="0" w:color="auto"/>
            </w:tcBorders>
          </w:tcPr>
          <w:p w14:paraId="0F9D3D48"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$35.00</w:t>
            </w:r>
          </w:p>
        </w:tc>
        <w:tc>
          <w:tcPr>
            <w:tcW w:w="1134" w:type="dxa"/>
            <w:tcBorders>
              <w:top w:val="single" w:sz="2" w:space="0" w:color="auto"/>
              <w:left w:val="single" w:sz="2" w:space="0" w:color="auto"/>
              <w:bottom w:val="single" w:sz="2" w:space="0" w:color="auto"/>
              <w:right w:val="single" w:sz="2" w:space="0" w:color="auto"/>
            </w:tcBorders>
          </w:tcPr>
          <w:p w14:paraId="1E44AC1B"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79.5%</w:t>
            </w:r>
          </w:p>
        </w:tc>
        <w:tc>
          <w:tcPr>
            <w:tcW w:w="3118" w:type="dxa"/>
            <w:tcBorders>
              <w:top w:val="single" w:sz="2" w:space="0" w:color="auto"/>
              <w:left w:val="single" w:sz="2" w:space="0" w:color="auto"/>
              <w:bottom w:val="single" w:sz="2" w:space="0" w:color="auto"/>
              <w:right w:val="single" w:sz="2" w:space="0" w:color="auto"/>
            </w:tcBorders>
          </w:tcPr>
          <w:p w14:paraId="4B8B3D15" w14:textId="3F108029"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The increase </w:t>
            </w:r>
            <w:r w:rsidR="004A5290">
              <w:rPr>
                <w:rFonts w:ascii="Times New Roman" w:hAnsi="Times New Roman" w:cs="Times New Roman"/>
                <w:sz w:val="20"/>
                <w:szCs w:val="20"/>
              </w:rPr>
              <w:t xml:space="preserve">is a </w:t>
            </w:r>
            <w:r w:rsidRPr="005311C1">
              <w:rPr>
                <w:rFonts w:ascii="Times New Roman" w:hAnsi="Times New Roman" w:cs="Times New Roman"/>
                <w:sz w:val="20"/>
                <w:szCs w:val="20"/>
              </w:rPr>
              <w:t>result</w:t>
            </w:r>
            <w:r w:rsidR="004A5290">
              <w:rPr>
                <w:rFonts w:ascii="Times New Roman" w:hAnsi="Times New Roman" w:cs="Times New Roman"/>
                <w:sz w:val="20"/>
                <w:szCs w:val="20"/>
              </w:rPr>
              <w:t xml:space="preserve"> of a</w:t>
            </w:r>
            <w:r w:rsidRPr="005311C1">
              <w:rPr>
                <w:rFonts w:ascii="Times New Roman" w:hAnsi="Times New Roman" w:cs="Times New Roman"/>
                <w:sz w:val="20"/>
                <w:szCs w:val="20"/>
              </w:rPr>
              <w:t xml:space="preserve"> drop in demand for telecommunications number allocations. Refer to Note 2 for further details.</w:t>
            </w:r>
          </w:p>
        </w:tc>
      </w:tr>
      <w:tr w:rsidR="005311C1" w:rsidRPr="005311C1" w14:paraId="26B7307C"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6FFBEB90" w14:textId="77116D46"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 xml:space="preserve">Registering to use the electronic system, made available by the ACMA, for </w:t>
            </w:r>
            <w:r w:rsidR="0092789C">
              <w:rPr>
                <w:rFonts w:ascii="Times New Roman" w:hAnsi="Times New Roman" w:cs="Times New Roman"/>
                <w:sz w:val="20"/>
                <w:szCs w:val="20"/>
              </w:rPr>
              <w:t>enhanced rights of use (</w:t>
            </w:r>
            <w:r w:rsidRPr="00BE3312">
              <w:rPr>
                <w:rFonts w:ascii="Times New Roman" w:hAnsi="Times New Roman" w:cs="Times New Roman"/>
                <w:b/>
                <w:sz w:val="20"/>
                <w:szCs w:val="20"/>
              </w:rPr>
              <w:t>EROU</w:t>
            </w:r>
            <w:r w:rsidR="0092789C">
              <w:rPr>
                <w:rFonts w:ascii="Times New Roman" w:hAnsi="Times New Roman" w:cs="Times New Roman"/>
                <w:sz w:val="20"/>
                <w:szCs w:val="20"/>
              </w:rPr>
              <w:t>)</w:t>
            </w:r>
            <w:r w:rsidRPr="005311C1">
              <w:rPr>
                <w:rFonts w:ascii="Times New Roman" w:hAnsi="Times New Roman" w:cs="Times New Roman"/>
                <w:sz w:val="20"/>
                <w:szCs w:val="20"/>
              </w:rPr>
              <w:t xml:space="preserve"> applicants to apply with a registered carriage service provider under section 73 of the Numbering Plan for the initial allocation of an unassigned unallocated smartnumber, and for EROU-holders to manage their</w:t>
            </w:r>
            <w:r w:rsidR="0092789C">
              <w:rPr>
                <w:rFonts w:ascii="Times New Roman" w:hAnsi="Times New Roman" w:cs="Times New Roman"/>
                <w:sz w:val="20"/>
                <w:szCs w:val="20"/>
              </w:rPr>
              <w:t xml:space="preserve"> EROU</w:t>
            </w:r>
          </w:p>
        </w:tc>
        <w:tc>
          <w:tcPr>
            <w:tcW w:w="1945" w:type="dxa"/>
            <w:tcBorders>
              <w:top w:val="single" w:sz="2" w:space="0" w:color="auto"/>
              <w:left w:val="single" w:sz="2" w:space="0" w:color="auto"/>
              <w:bottom w:val="single" w:sz="2" w:space="0" w:color="auto"/>
              <w:right w:val="single" w:sz="2" w:space="0" w:color="auto"/>
            </w:tcBorders>
          </w:tcPr>
          <w:p w14:paraId="2E88F0E5" w14:textId="194F7A09"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3,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568E4526"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$19.50 </w:t>
            </w:r>
          </w:p>
        </w:tc>
        <w:tc>
          <w:tcPr>
            <w:tcW w:w="1560" w:type="dxa"/>
            <w:tcBorders>
              <w:top w:val="single" w:sz="2" w:space="0" w:color="auto"/>
              <w:left w:val="single" w:sz="2" w:space="0" w:color="auto"/>
              <w:bottom w:val="single" w:sz="2" w:space="0" w:color="auto"/>
              <w:right w:val="single" w:sz="2" w:space="0" w:color="auto"/>
            </w:tcBorders>
          </w:tcPr>
          <w:p w14:paraId="2AFFB958"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$35.00</w:t>
            </w:r>
          </w:p>
        </w:tc>
        <w:tc>
          <w:tcPr>
            <w:tcW w:w="1134" w:type="dxa"/>
            <w:tcBorders>
              <w:top w:val="single" w:sz="2" w:space="0" w:color="auto"/>
              <w:left w:val="single" w:sz="2" w:space="0" w:color="auto"/>
              <w:bottom w:val="single" w:sz="2" w:space="0" w:color="auto"/>
              <w:right w:val="single" w:sz="2" w:space="0" w:color="auto"/>
            </w:tcBorders>
          </w:tcPr>
          <w:p w14:paraId="2F762615"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79.5%</w:t>
            </w:r>
          </w:p>
        </w:tc>
        <w:tc>
          <w:tcPr>
            <w:tcW w:w="3118" w:type="dxa"/>
            <w:tcBorders>
              <w:top w:val="single" w:sz="2" w:space="0" w:color="auto"/>
              <w:left w:val="single" w:sz="2" w:space="0" w:color="auto"/>
              <w:bottom w:val="single" w:sz="2" w:space="0" w:color="auto"/>
              <w:right w:val="single" w:sz="2" w:space="0" w:color="auto"/>
            </w:tcBorders>
          </w:tcPr>
          <w:p w14:paraId="629FC78C" w14:textId="18B5345D"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The increase </w:t>
            </w:r>
            <w:r w:rsidR="004A5290">
              <w:rPr>
                <w:rFonts w:ascii="Times New Roman" w:hAnsi="Times New Roman" w:cs="Times New Roman"/>
                <w:sz w:val="20"/>
                <w:szCs w:val="20"/>
              </w:rPr>
              <w:t xml:space="preserve">is a </w:t>
            </w:r>
            <w:r w:rsidRPr="005311C1">
              <w:rPr>
                <w:rFonts w:ascii="Times New Roman" w:hAnsi="Times New Roman" w:cs="Times New Roman"/>
                <w:sz w:val="20"/>
                <w:szCs w:val="20"/>
              </w:rPr>
              <w:t>result</w:t>
            </w:r>
            <w:r w:rsidR="004A5290">
              <w:rPr>
                <w:rFonts w:ascii="Times New Roman" w:hAnsi="Times New Roman" w:cs="Times New Roman"/>
                <w:sz w:val="20"/>
                <w:szCs w:val="20"/>
              </w:rPr>
              <w:t xml:space="preserve"> of a</w:t>
            </w:r>
            <w:r w:rsidR="001D4F99">
              <w:rPr>
                <w:rFonts w:ascii="Times New Roman" w:hAnsi="Times New Roman" w:cs="Times New Roman"/>
                <w:sz w:val="20"/>
                <w:szCs w:val="20"/>
              </w:rPr>
              <w:t xml:space="preserve"> </w:t>
            </w:r>
            <w:r w:rsidRPr="005311C1">
              <w:rPr>
                <w:rFonts w:ascii="Times New Roman" w:hAnsi="Times New Roman" w:cs="Times New Roman"/>
                <w:sz w:val="20"/>
                <w:szCs w:val="20"/>
              </w:rPr>
              <w:t>drop in demand for telecommunications number allocations. Refer to Note 2 for further details.</w:t>
            </w:r>
          </w:p>
        </w:tc>
      </w:tr>
      <w:tr w:rsidR="005311C1" w:rsidRPr="005311C1" w14:paraId="3BF552DD" w14:textId="77777777" w:rsidTr="00BE3312">
        <w:trPr>
          <w:cantSplit/>
          <w:trHeight w:val="594"/>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5CCBCABB"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Deposit to accompany an application for a facility installation permit</w:t>
            </w:r>
          </w:p>
        </w:tc>
        <w:tc>
          <w:tcPr>
            <w:tcW w:w="1945" w:type="dxa"/>
            <w:tcBorders>
              <w:top w:val="single" w:sz="2" w:space="0" w:color="auto"/>
              <w:left w:val="single" w:sz="2" w:space="0" w:color="auto"/>
              <w:bottom w:val="single" w:sz="2" w:space="0" w:color="auto"/>
              <w:right w:val="single" w:sz="2" w:space="0" w:color="auto"/>
            </w:tcBorders>
          </w:tcPr>
          <w:p w14:paraId="112D3EEE" w14:textId="7C3E4E04" w:rsidR="005311C1" w:rsidRPr="005311C1" w:rsidRDefault="005311C1" w:rsidP="004A5290">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4,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0FD3DF85"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$7,290.00 </w:t>
            </w:r>
          </w:p>
        </w:tc>
        <w:tc>
          <w:tcPr>
            <w:tcW w:w="1560" w:type="dxa"/>
            <w:tcBorders>
              <w:top w:val="single" w:sz="2" w:space="0" w:color="auto"/>
              <w:left w:val="single" w:sz="2" w:space="0" w:color="auto"/>
              <w:bottom w:val="single" w:sz="2" w:space="0" w:color="auto"/>
              <w:right w:val="single" w:sz="2" w:space="0" w:color="auto"/>
            </w:tcBorders>
          </w:tcPr>
          <w:p w14:paraId="4E32A77D"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$7,474.00 </w:t>
            </w:r>
          </w:p>
        </w:tc>
        <w:tc>
          <w:tcPr>
            <w:tcW w:w="1134" w:type="dxa"/>
            <w:tcBorders>
              <w:top w:val="single" w:sz="2" w:space="0" w:color="auto"/>
              <w:left w:val="single" w:sz="2" w:space="0" w:color="auto"/>
              <w:bottom w:val="single" w:sz="2" w:space="0" w:color="auto"/>
              <w:right w:val="single" w:sz="2" w:space="0" w:color="auto"/>
            </w:tcBorders>
          </w:tcPr>
          <w:p w14:paraId="08504CC4"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2.5%</w:t>
            </w:r>
          </w:p>
        </w:tc>
        <w:tc>
          <w:tcPr>
            <w:tcW w:w="3118" w:type="dxa"/>
            <w:tcBorders>
              <w:top w:val="single" w:sz="2" w:space="0" w:color="auto"/>
              <w:left w:val="single" w:sz="2" w:space="0" w:color="auto"/>
              <w:bottom w:val="single" w:sz="2" w:space="0" w:color="auto"/>
              <w:right w:val="single" w:sz="2" w:space="0" w:color="auto"/>
            </w:tcBorders>
          </w:tcPr>
          <w:p w14:paraId="0B9DB354"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This is due to the increase in the ACMA’s standard hourly rate. Refer to Note 1 for further details.</w:t>
            </w:r>
          </w:p>
        </w:tc>
      </w:tr>
      <w:tr w:rsidR="005311C1" w:rsidRPr="005311C1" w14:paraId="639DB9B8"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14:paraId="6B09751C"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Deposit payable on account of the expenses to be incurred by the ACMA in relation to the holding of the public inquiry in relation to the issuing of a facility installation permit</w:t>
            </w:r>
          </w:p>
        </w:tc>
        <w:tc>
          <w:tcPr>
            <w:tcW w:w="1945" w:type="dxa"/>
            <w:tcBorders>
              <w:top w:val="single" w:sz="2" w:space="0" w:color="auto"/>
              <w:left w:val="single" w:sz="2" w:space="0" w:color="auto"/>
              <w:bottom w:val="single" w:sz="2" w:space="0" w:color="auto"/>
              <w:right w:val="single" w:sz="2" w:space="0" w:color="auto"/>
            </w:tcBorders>
          </w:tcPr>
          <w:p w14:paraId="64DEA895" w14:textId="276D4A50" w:rsidR="005311C1" w:rsidRPr="005311C1" w:rsidRDefault="005311C1" w:rsidP="0091152F">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5,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4CF64E3F"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$53,190.00 </w:t>
            </w:r>
          </w:p>
        </w:tc>
        <w:tc>
          <w:tcPr>
            <w:tcW w:w="1560" w:type="dxa"/>
            <w:tcBorders>
              <w:top w:val="single" w:sz="2" w:space="0" w:color="auto"/>
              <w:left w:val="single" w:sz="2" w:space="0" w:color="auto"/>
              <w:bottom w:val="single" w:sz="2" w:space="0" w:color="auto"/>
              <w:right w:val="single" w:sz="2" w:space="0" w:color="auto"/>
            </w:tcBorders>
          </w:tcPr>
          <w:p w14:paraId="202492DE"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$54,540.00 </w:t>
            </w:r>
          </w:p>
        </w:tc>
        <w:tc>
          <w:tcPr>
            <w:tcW w:w="1134" w:type="dxa"/>
            <w:tcBorders>
              <w:top w:val="single" w:sz="2" w:space="0" w:color="auto"/>
              <w:left w:val="single" w:sz="2" w:space="0" w:color="auto"/>
              <w:bottom w:val="single" w:sz="2" w:space="0" w:color="auto"/>
              <w:right w:val="single" w:sz="2" w:space="0" w:color="auto"/>
            </w:tcBorders>
          </w:tcPr>
          <w:p w14:paraId="3623092B"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2.5%</w:t>
            </w:r>
          </w:p>
        </w:tc>
        <w:tc>
          <w:tcPr>
            <w:tcW w:w="3118" w:type="dxa"/>
            <w:tcBorders>
              <w:top w:val="single" w:sz="2" w:space="0" w:color="auto"/>
              <w:left w:val="single" w:sz="2" w:space="0" w:color="auto"/>
              <w:bottom w:val="single" w:sz="2" w:space="0" w:color="auto"/>
              <w:right w:val="single" w:sz="2" w:space="0" w:color="auto"/>
            </w:tcBorders>
          </w:tcPr>
          <w:p w14:paraId="79238B23"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This is due to the increase in the ACMA’s standard hourly rate. Refer to Note 1 for further details.</w:t>
            </w:r>
          </w:p>
        </w:tc>
      </w:tr>
      <w:tr w:rsidR="005311C1" w:rsidRPr="005311C1" w14:paraId="0CAE20F1"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14:paraId="081F4D93"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 xml:space="preserve">Deposit payable on account of the expenses to be incurred by the ACMA in relation to a protection zone (declaration) request </w:t>
            </w:r>
          </w:p>
        </w:tc>
        <w:tc>
          <w:tcPr>
            <w:tcW w:w="1945" w:type="dxa"/>
            <w:tcBorders>
              <w:top w:val="single" w:sz="2" w:space="0" w:color="auto"/>
              <w:left w:val="single" w:sz="2" w:space="0" w:color="auto"/>
              <w:bottom w:val="single" w:sz="2" w:space="0" w:color="auto"/>
              <w:right w:val="single" w:sz="2" w:space="0" w:color="auto"/>
            </w:tcBorders>
          </w:tcPr>
          <w:p w14:paraId="33EFB694" w14:textId="4C4C8C48" w:rsidR="005311C1" w:rsidRPr="005311C1" w:rsidRDefault="005311C1" w:rsidP="00AB5BEA">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w:t>
            </w:r>
            <w:r w:rsidR="001A1782">
              <w:rPr>
                <w:rFonts w:ascii="Times New Roman" w:hAnsi="Times New Roman" w:cs="Times New Roman"/>
                <w:sz w:val="20"/>
                <w:szCs w:val="20"/>
              </w:rPr>
              <w:t>6</w:t>
            </w:r>
            <w:r w:rsidRPr="005311C1">
              <w:rPr>
                <w:rFonts w:ascii="Times New Roman" w:hAnsi="Times New Roman" w:cs="Times New Roman"/>
                <w:sz w:val="20"/>
                <w:szCs w:val="20"/>
              </w:rPr>
              <w:t xml:space="preserve">,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0E3C0BC2"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$195,000.00 </w:t>
            </w:r>
          </w:p>
        </w:tc>
        <w:tc>
          <w:tcPr>
            <w:tcW w:w="1560" w:type="dxa"/>
            <w:tcBorders>
              <w:top w:val="single" w:sz="2" w:space="0" w:color="auto"/>
              <w:left w:val="single" w:sz="2" w:space="0" w:color="auto"/>
              <w:bottom w:val="single" w:sz="2" w:space="0" w:color="auto"/>
              <w:right w:val="single" w:sz="2" w:space="0" w:color="auto"/>
            </w:tcBorders>
          </w:tcPr>
          <w:p w14:paraId="309BC999"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$200,000.00 </w:t>
            </w:r>
          </w:p>
        </w:tc>
        <w:tc>
          <w:tcPr>
            <w:tcW w:w="1134" w:type="dxa"/>
            <w:tcBorders>
              <w:top w:val="single" w:sz="2" w:space="0" w:color="auto"/>
              <w:left w:val="single" w:sz="2" w:space="0" w:color="auto"/>
              <w:bottom w:val="single" w:sz="2" w:space="0" w:color="auto"/>
              <w:right w:val="single" w:sz="2" w:space="0" w:color="auto"/>
            </w:tcBorders>
          </w:tcPr>
          <w:p w14:paraId="6391CE4B"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2.6%</w:t>
            </w:r>
          </w:p>
        </w:tc>
        <w:tc>
          <w:tcPr>
            <w:tcW w:w="3118" w:type="dxa"/>
            <w:tcBorders>
              <w:top w:val="single" w:sz="2" w:space="0" w:color="auto"/>
              <w:left w:val="single" w:sz="2" w:space="0" w:color="auto"/>
              <w:bottom w:val="single" w:sz="2" w:space="0" w:color="auto"/>
              <w:right w:val="single" w:sz="2" w:space="0" w:color="auto"/>
            </w:tcBorders>
          </w:tcPr>
          <w:p w14:paraId="6BA3F9AC"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 xml:space="preserve">This is due to the increase in the ACMA’s standard hourly rate </w:t>
            </w:r>
            <w:r w:rsidRPr="005311C1">
              <w:rPr>
                <w:rFonts w:ascii="Times New Roman" w:hAnsi="Times New Roman" w:cs="Times New Roman"/>
                <w:sz w:val="20"/>
                <w:szCs w:val="20"/>
              </w:rPr>
              <w:lastRenderedPageBreak/>
              <w:t>and rounding. Refer to Note 1 for further details.</w:t>
            </w:r>
          </w:p>
        </w:tc>
      </w:tr>
      <w:tr w:rsidR="005311C1" w:rsidRPr="005311C1" w14:paraId="79F3BD9A"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14:paraId="0F326EEF"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lastRenderedPageBreak/>
              <w:t>Deposit payable on account of the expenses to be incurred by the ACMA in relation to a protection zone (revocation) request or a protection zone (variation) request</w:t>
            </w:r>
          </w:p>
        </w:tc>
        <w:tc>
          <w:tcPr>
            <w:tcW w:w="1945" w:type="dxa"/>
            <w:tcBorders>
              <w:top w:val="single" w:sz="2" w:space="0" w:color="auto"/>
              <w:left w:val="single" w:sz="2" w:space="0" w:color="auto"/>
              <w:bottom w:val="single" w:sz="2" w:space="0" w:color="auto"/>
              <w:right w:val="single" w:sz="2" w:space="0" w:color="auto"/>
            </w:tcBorders>
          </w:tcPr>
          <w:p w14:paraId="1CD66ED7" w14:textId="3D80ED49" w:rsidR="005311C1" w:rsidRPr="005311C1" w:rsidRDefault="005311C1" w:rsidP="00AB5BEA">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w:t>
            </w:r>
            <w:r w:rsidR="001A1782">
              <w:rPr>
                <w:rFonts w:ascii="Times New Roman" w:hAnsi="Times New Roman" w:cs="Times New Roman"/>
                <w:sz w:val="20"/>
                <w:szCs w:val="20"/>
              </w:rPr>
              <w:t>7</w:t>
            </w:r>
            <w:r w:rsidRPr="005311C1">
              <w:rPr>
                <w:rFonts w:ascii="Times New Roman" w:hAnsi="Times New Roman" w:cs="Times New Roman"/>
                <w:sz w:val="20"/>
                <w:szCs w:val="20"/>
              </w:rPr>
              <w:t xml:space="preserve">,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6966E16E"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$143,000.00 </w:t>
            </w:r>
          </w:p>
        </w:tc>
        <w:tc>
          <w:tcPr>
            <w:tcW w:w="1560" w:type="dxa"/>
            <w:tcBorders>
              <w:top w:val="single" w:sz="2" w:space="0" w:color="auto"/>
              <w:left w:val="single" w:sz="2" w:space="0" w:color="auto"/>
              <w:bottom w:val="single" w:sz="2" w:space="0" w:color="auto"/>
              <w:right w:val="single" w:sz="2" w:space="0" w:color="auto"/>
            </w:tcBorders>
          </w:tcPr>
          <w:p w14:paraId="2AE32310"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$147,000.00 </w:t>
            </w:r>
          </w:p>
        </w:tc>
        <w:tc>
          <w:tcPr>
            <w:tcW w:w="1134" w:type="dxa"/>
            <w:tcBorders>
              <w:top w:val="single" w:sz="2" w:space="0" w:color="auto"/>
              <w:left w:val="single" w:sz="2" w:space="0" w:color="auto"/>
              <w:bottom w:val="single" w:sz="2" w:space="0" w:color="auto"/>
              <w:right w:val="single" w:sz="2" w:space="0" w:color="auto"/>
            </w:tcBorders>
          </w:tcPr>
          <w:p w14:paraId="66C4D814"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2.8%</w:t>
            </w:r>
          </w:p>
        </w:tc>
        <w:tc>
          <w:tcPr>
            <w:tcW w:w="3118" w:type="dxa"/>
            <w:tcBorders>
              <w:top w:val="single" w:sz="2" w:space="0" w:color="auto"/>
              <w:left w:val="single" w:sz="2" w:space="0" w:color="auto"/>
              <w:bottom w:val="single" w:sz="2" w:space="0" w:color="auto"/>
              <w:right w:val="single" w:sz="2" w:space="0" w:color="auto"/>
            </w:tcBorders>
          </w:tcPr>
          <w:p w14:paraId="28A26B1B"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This is due to the increase in the ACMA’s standard hourly rate and rounding. Refer to Note 1 for further details.</w:t>
            </w:r>
          </w:p>
        </w:tc>
      </w:tr>
      <w:tr w:rsidR="005311C1" w:rsidRPr="005311C1" w14:paraId="7D020A0C"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3EA21C02"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 xml:space="preserve">Protection zone installation permit — charge for the purposes of clause 53 of Schedule 3A to the Telecommunications Act, in relation to considering and processing a protection zone installation permit application </w:t>
            </w:r>
          </w:p>
        </w:tc>
        <w:tc>
          <w:tcPr>
            <w:tcW w:w="1945" w:type="dxa"/>
            <w:tcBorders>
              <w:top w:val="single" w:sz="2" w:space="0" w:color="auto"/>
              <w:left w:val="single" w:sz="2" w:space="0" w:color="auto"/>
              <w:bottom w:val="single" w:sz="2" w:space="0" w:color="auto"/>
              <w:right w:val="single" w:sz="2" w:space="0" w:color="auto"/>
            </w:tcBorders>
          </w:tcPr>
          <w:p w14:paraId="6C195051" w14:textId="46F0F1F7" w:rsidR="005311C1" w:rsidRPr="005311C1" w:rsidRDefault="005311C1" w:rsidP="0091152F">
            <w:pPr>
              <w:rPr>
                <w:rFonts w:ascii="Times New Roman" w:hAnsi="Times New Roman" w:cs="Times New Roman"/>
                <w:sz w:val="20"/>
                <w:szCs w:val="20"/>
              </w:rPr>
            </w:pPr>
            <w:r w:rsidRPr="005311C1">
              <w:rPr>
                <w:rFonts w:ascii="Times New Roman" w:hAnsi="Times New Roman" w:cs="Times New Roman"/>
                <w:sz w:val="20"/>
                <w:szCs w:val="20"/>
              </w:rPr>
              <w:t xml:space="preserve">Item </w:t>
            </w:r>
            <w:r w:rsidR="0091152F">
              <w:rPr>
                <w:rFonts w:ascii="Times New Roman" w:hAnsi="Times New Roman" w:cs="Times New Roman"/>
                <w:sz w:val="20"/>
                <w:szCs w:val="20"/>
              </w:rPr>
              <w:t>8</w:t>
            </w:r>
            <w:r w:rsidRPr="005311C1">
              <w:rPr>
                <w:rFonts w:ascii="Times New Roman" w:hAnsi="Times New Roman" w:cs="Times New Roman"/>
                <w:sz w:val="20"/>
                <w:szCs w:val="20"/>
              </w:rPr>
              <w:t xml:space="preserve">,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222B1A3B"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$2,660.00 (for each submarine cable the subject of the application)</w:t>
            </w:r>
          </w:p>
        </w:tc>
        <w:tc>
          <w:tcPr>
            <w:tcW w:w="1560" w:type="dxa"/>
            <w:tcBorders>
              <w:top w:val="single" w:sz="2" w:space="0" w:color="auto"/>
              <w:left w:val="single" w:sz="2" w:space="0" w:color="auto"/>
              <w:bottom w:val="single" w:sz="2" w:space="0" w:color="auto"/>
              <w:right w:val="single" w:sz="2" w:space="0" w:color="auto"/>
            </w:tcBorders>
          </w:tcPr>
          <w:p w14:paraId="6A9A0500"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$4,040.00 (for each submarine cable the subject of the application)</w:t>
            </w:r>
          </w:p>
        </w:tc>
        <w:tc>
          <w:tcPr>
            <w:tcW w:w="1134" w:type="dxa"/>
            <w:tcBorders>
              <w:top w:val="single" w:sz="2" w:space="0" w:color="auto"/>
              <w:left w:val="single" w:sz="2" w:space="0" w:color="auto"/>
              <w:bottom w:val="single" w:sz="2" w:space="0" w:color="auto"/>
              <w:right w:val="single" w:sz="2" w:space="0" w:color="auto"/>
            </w:tcBorders>
          </w:tcPr>
          <w:p w14:paraId="31BEBA5A"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51.9%</w:t>
            </w:r>
          </w:p>
        </w:tc>
        <w:tc>
          <w:tcPr>
            <w:tcW w:w="3118" w:type="dxa"/>
            <w:tcBorders>
              <w:top w:val="single" w:sz="2" w:space="0" w:color="auto"/>
              <w:left w:val="single" w:sz="2" w:space="0" w:color="auto"/>
              <w:bottom w:val="single" w:sz="2" w:space="0" w:color="auto"/>
              <w:right w:val="single" w:sz="2" w:space="0" w:color="auto"/>
            </w:tcBorders>
          </w:tcPr>
          <w:p w14:paraId="7CFFD101" w14:textId="33D3F7FD" w:rsidR="005311C1" w:rsidRPr="005311C1" w:rsidRDefault="005311C1" w:rsidP="001D4F99">
            <w:pPr>
              <w:spacing w:after="0"/>
              <w:rPr>
                <w:rFonts w:ascii="Times New Roman" w:hAnsi="Times New Roman" w:cs="Times New Roman"/>
                <w:sz w:val="20"/>
                <w:szCs w:val="20"/>
              </w:rPr>
            </w:pPr>
            <w:r w:rsidRPr="005311C1">
              <w:rPr>
                <w:rFonts w:ascii="Times New Roman" w:hAnsi="Times New Roman" w:cs="Times New Roman"/>
                <w:sz w:val="20"/>
                <w:szCs w:val="20"/>
              </w:rPr>
              <w:t xml:space="preserve">This fee is subject to increase in the ACMA’s standard hourly rate.  </w:t>
            </w:r>
            <w:r w:rsidR="001D4F99">
              <w:rPr>
                <w:rFonts w:ascii="Times New Roman" w:hAnsi="Times New Roman" w:cs="Times New Roman"/>
                <w:sz w:val="20"/>
                <w:szCs w:val="20"/>
              </w:rPr>
              <w:t>Also</w:t>
            </w:r>
            <w:r w:rsidRPr="005311C1">
              <w:rPr>
                <w:rFonts w:ascii="Times New Roman" w:hAnsi="Times New Roman" w:cs="Times New Roman"/>
                <w:sz w:val="20"/>
                <w:szCs w:val="20"/>
              </w:rPr>
              <w:t>, the processing time has increase</w:t>
            </w:r>
            <w:r w:rsidR="00DD516B">
              <w:rPr>
                <w:rFonts w:ascii="Times New Roman" w:hAnsi="Times New Roman" w:cs="Times New Roman"/>
                <w:sz w:val="20"/>
                <w:szCs w:val="20"/>
              </w:rPr>
              <w:t>d</w:t>
            </w:r>
            <w:r w:rsidRPr="005311C1">
              <w:rPr>
                <w:rFonts w:ascii="Times New Roman" w:hAnsi="Times New Roman" w:cs="Times New Roman"/>
                <w:sz w:val="20"/>
                <w:szCs w:val="20"/>
              </w:rPr>
              <w:t xml:space="preserve"> by 48%. Refer to Notes 1 and 3(a) for further details.</w:t>
            </w:r>
          </w:p>
        </w:tc>
      </w:tr>
      <w:tr w:rsidR="005311C1" w:rsidRPr="005311C1" w14:paraId="4C4500F9"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524863C5"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Protection zone installation permit—considering and processing an application under clause 61 of Schedule 3A to the Telecommunications Act to extend the duration of a protection zone installation permit</w:t>
            </w:r>
          </w:p>
        </w:tc>
        <w:tc>
          <w:tcPr>
            <w:tcW w:w="1945" w:type="dxa"/>
            <w:tcBorders>
              <w:top w:val="single" w:sz="2" w:space="0" w:color="auto"/>
              <w:left w:val="single" w:sz="2" w:space="0" w:color="auto"/>
              <w:bottom w:val="single" w:sz="2" w:space="0" w:color="auto"/>
              <w:right w:val="single" w:sz="2" w:space="0" w:color="auto"/>
            </w:tcBorders>
          </w:tcPr>
          <w:p w14:paraId="3E286EAF" w14:textId="25B3C82E" w:rsidR="005311C1" w:rsidRPr="005311C1" w:rsidRDefault="005311C1" w:rsidP="0091152F">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w:t>
            </w:r>
            <w:r w:rsidR="0091152F">
              <w:rPr>
                <w:rFonts w:ascii="Times New Roman" w:hAnsi="Times New Roman" w:cs="Times New Roman"/>
                <w:sz w:val="20"/>
                <w:szCs w:val="20"/>
              </w:rPr>
              <w:t xml:space="preserve">9, </w:t>
            </w:r>
            <w:r w:rsidRPr="005311C1">
              <w:rPr>
                <w:rFonts w:ascii="Times New Roman" w:hAnsi="Times New Roman" w:cs="Times New Roman"/>
                <w:sz w:val="20"/>
                <w:szCs w:val="20"/>
              </w:rPr>
              <w:t xml:space="preserve">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302AFB8E"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$595.00 </w:t>
            </w:r>
          </w:p>
        </w:tc>
        <w:tc>
          <w:tcPr>
            <w:tcW w:w="1560" w:type="dxa"/>
            <w:tcBorders>
              <w:top w:val="single" w:sz="2" w:space="0" w:color="auto"/>
              <w:left w:val="single" w:sz="2" w:space="0" w:color="auto"/>
              <w:bottom w:val="single" w:sz="2" w:space="0" w:color="auto"/>
              <w:right w:val="single" w:sz="2" w:space="0" w:color="auto"/>
            </w:tcBorders>
          </w:tcPr>
          <w:p w14:paraId="7C01311A"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$1,414.00 </w:t>
            </w:r>
          </w:p>
        </w:tc>
        <w:tc>
          <w:tcPr>
            <w:tcW w:w="1134" w:type="dxa"/>
            <w:tcBorders>
              <w:top w:val="single" w:sz="2" w:space="0" w:color="auto"/>
              <w:left w:val="single" w:sz="2" w:space="0" w:color="auto"/>
              <w:bottom w:val="single" w:sz="2" w:space="0" w:color="auto"/>
              <w:right w:val="single" w:sz="2" w:space="0" w:color="auto"/>
            </w:tcBorders>
          </w:tcPr>
          <w:p w14:paraId="54C5AD54"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137.6%</w:t>
            </w:r>
          </w:p>
        </w:tc>
        <w:tc>
          <w:tcPr>
            <w:tcW w:w="3118" w:type="dxa"/>
            <w:tcBorders>
              <w:top w:val="single" w:sz="2" w:space="0" w:color="auto"/>
              <w:left w:val="single" w:sz="2" w:space="0" w:color="auto"/>
              <w:bottom w:val="single" w:sz="2" w:space="0" w:color="auto"/>
              <w:right w:val="single" w:sz="2" w:space="0" w:color="auto"/>
            </w:tcBorders>
          </w:tcPr>
          <w:p w14:paraId="3E974529" w14:textId="65DD7B4D" w:rsidR="005311C1" w:rsidRPr="005311C1" w:rsidRDefault="005311C1" w:rsidP="001D4F99">
            <w:pPr>
              <w:spacing w:after="0"/>
              <w:rPr>
                <w:rFonts w:ascii="Times New Roman" w:hAnsi="Times New Roman" w:cs="Times New Roman"/>
                <w:sz w:val="20"/>
                <w:szCs w:val="20"/>
              </w:rPr>
            </w:pPr>
            <w:r w:rsidRPr="005311C1">
              <w:rPr>
                <w:rFonts w:ascii="Times New Roman" w:hAnsi="Times New Roman" w:cs="Times New Roman"/>
                <w:sz w:val="20"/>
                <w:szCs w:val="20"/>
              </w:rPr>
              <w:t xml:space="preserve">This fee is subject to increase in the ACMA’s standard hourly rate.  </w:t>
            </w:r>
            <w:r w:rsidR="001D4F99">
              <w:rPr>
                <w:rFonts w:ascii="Times New Roman" w:hAnsi="Times New Roman" w:cs="Times New Roman"/>
                <w:sz w:val="20"/>
                <w:szCs w:val="20"/>
              </w:rPr>
              <w:t xml:space="preserve">Also, </w:t>
            </w:r>
            <w:r w:rsidRPr="005311C1">
              <w:rPr>
                <w:rFonts w:ascii="Times New Roman" w:hAnsi="Times New Roman" w:cs="Times New Roman"/>
                <w:sz w:val="20"/>
                <w:szCs w:val="20"/>
              </w:rPr>
              <w:t>the processing time has increased by 133%. Refer to Notes 1 and 3(c) for further details.</w:t>
            </w:r>
          </w:p>
        </w:tc>
      </w:tr>
      <w:tr w:rsidR="005311C1" w:rsidRPr="005311C1" w14:paraId="226569FA" w14:textId="77777777" w:rsidTr="00BE3312">
        <w:trPr>
          <w:cantSplit/>
          <w:trHeight w:val="542"/>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0E432A73"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 xml:space="preserve">Non-protection zone installation permit application — charge for the purposes of clause 66 of Schedule 3A to the Telecommunications Act, in relation to considering and processing a non-protection zone installation permit application, excluding the additional charges mentioned at items 7.4 and 7.5 of Schedule 1 to the </w:t>
            </w:r>
            <w:r w:rsidRPr="00BE3312">
              <w:rPr>
                <w:rFonts w:ascii="Times New Roman" w:hAnsi="Times New Roman" w:cs="Times New Roman"/>
                <w:i/>
                <w:sz w:val="20"/>
                <w:szCs w:val="20"/>
              </w:rPr>
              <w:t>Telecommunications (Charges) Determination 2012</w:t>
            </w:r>
          </w:p>
        </w:tc>
        <w:tc>
          <w:tcPr>
            <w:tcW w:w="1945" w:type="dxa"/>
            <w:tcBorders>
              <w:top w:val="single" w:sz="2" w:space="0" w:color="auto"/>
              <w:left w:val="single" w:sz="2" w:space="0" w:color="auto"/>
              <w:bottom w:val="single" w:sz="2" w:space="0" w:color="auto"/>
              <w:right w:val="single" w:sz="2" w:space="0" w:color="auto"/>
            </w:tcBorders>
          </w:tcPr>
          <w:p w14:paraId="41C03706" w14:textId="6727BC62" w:rsidR="005311C1" w:rsidRPr="005311C1" w:rsidRDefault="005311C1" w:rsidP="0091152F">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w:t>
            </w:r>
            <w:r w:rsidR="0091152F">
              <w:rPr>
                <w:rFonts w:ascii="Times New Roman" w:hAnsi="Times New Roman" w:cs="Times New Roman"/>
                <w:sz w:val="20"/>
                <w:szCs w:val="20"/>
              </w:rPr>
              <w:t>10,</w:t>
            </w:r>
            <w:r w:rsidRPr="005311C1">
              <w:rPr>
                <w:rFonts w:ascii="Times New Roman" w:hAnsi="Times New Roman" w:cs="Times New Roman"/>
                <w:sz w:val="20"/>
                <w:szCs w:val="20"/>
              </w:rPr>
              <w:t xml:space="preserve">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060BB255"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$8,176.00 (for each submarine cable the subject of the application)</w:t>
            </w:r>
          </w:p>
        </w:tc>
        <w:tc>
          <w:tcPr>
            <w:tcW w:w="1560" w:type="dxa"/>
            <w:tcBorders>
              <w:top w:val="single" w:sz="2" w:space="0" w:color="auto"/>
              <w:left w:val="single" w:sz="2" w:space="0" w:color="auto"/>
              <w:bottom w:val="single" w:sz="2" w:space="0" w:color="auto"/>
              <w:right w:val="single" w:sz="2" w:space="0" w:color="auto"/>
            </w:tcBorders>
          </w:tcPr>
          <w:p w14:paraId="09C50F7E"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$5,959.00 (for each submarine cable the subject of the application)</w:t>
            </w:r>
          </w:p>
        </w:tc>
        <w:tc>
          <w:tcPr>
            <w:tcW w:w="1134" w:type="dxa"/>
            <w:tcBorders>
              <w:top w:val="single" w:sz="2" w:space="0" w:color="auto"/>
              <w:left w:val="single" w:sz="2" w:space="0" w:color="auto"/>
              <w:bottom w:val="single" w:sz="2" w:space="0" w:color="auto"/>
              <w:right w:val="single" w:sz="2" w:space="0" w:color="auto"/>
            </w:tcBorders>
          </w:tcPr>
          <w:p w14:paraId="67F0197B"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(27.1%)</w:t>
            </w:r>
          </w:p>
        </w:tc>
        <w:tc>
          <w:tcPr>
            <w:tcW w:w="3118" w:type="dxa"/>
            <w:tcBorders>
              <w:top w:val="single" w:sz="2" w:space="0" w:color="auto"/>
              <w:left w:val="single" w:sz="2" w:space="0" w:color="auto"/>
              <w:bottom w:val="single" w:sz="2" w:space="0" w:color="auto"/>
              <w:right w:val="single" w:sz="2" w:space="0" w:color="auto"/>
            </w:tcBorders>
          </w:tcPr>
          <w:p w14:paraId="010E732E" w14:textId="7CD0235E" w:rsidR="005311C1" w:rsidRPr="005311C1" w:rsidRDefault="005311C1" w:rsidP="001D4F99">
            <w:pPr>
              <w:spacing w:after="0"/>
              <w:rPr>
                <w:rFonts w:ascii="Times New Roman" w:hAnsi="Times New Roman" w:cs="Times New Roman"/>
                <w:sz w:val="20"/>
                <w:szCs w:val="20"/>
              </w:rPr>
            </w:pPr>
            <w:r w:rsidRPr="005311C1">
              <w:rPr>
                <w:rFonts w:ascii="Times New Roman" w:hAnsi="Times New Roman" w:cs="Times New Roman"/>
                <w:sz w:val="20"/>
                <w:szCs w:val="20"/>
              </w:rPr>
              <w:t xml:space="preserve">This fee is subject to increase in the ACMA’s standard hourly rate.  </w:t>
            </w:r>
            <w:r w:rsidR="001D4F99">
              <w:rPr>
                <w:rFonts w:ascii="Times New Roman" w:hAnsi="Times New Roman" w:cs="Times New Roman"/>
                <w:sz w:val="20"/>
                <w:szCs w:val="20"/>
              </w:rPr>
              <w:t xml:space="preserve">Also, </w:t>
            </w:r>
            <w:r w:rsidRPr="005311C1">
              <w:rPr>
                <w:rFonts w:ascii="Times New Roman" w:hAnsi="Times New Roman" w:cs="Times New Roman"/>
                <w:sz w:val="20"/>
                <w:szCs w:val="20"/>
              </w:rPr>
              <w:t>the processing time has reduced by 29%. Refer to Notes 1 and 3(b) for further details.</w:t>
            </w:r>
          </w:p>
        </w:tc>
      </w:tr>
      <w:tr w:rsidR="005311C1" w:rsidRPr="005311C1" w14:paraId="7E61F72B" w14:textId="77777777" w:rsidTr="00BE3312">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4CFFB524" w14:textId="77777777" w:rsidR="005311C1" w:rsidRPr="005311C1" w:rsidRDefault="005311C1" w:rsidP="00023207">
            <w:pPr>
              <w:spacing w:after="0"/>
              <w:rPr>
                <w:rFonts w:ascii="Times New Roman" w:hAnsi="Times New Roman" w:cs="Times New Roman"/>
                <w:sz w:val="20"/>
                <w:szCs w:val="20"/>
              </w:rPr>
            </w:pPr>
            <w:r w:rsidRPr="005311C1">
              <w:rPr>
                <w:rFonts w:ascii="Times New Roman" w:hAnsi="Times New Roman" w:cs="Times New Roman"/>
                <w:sz w:val="20"/>
                <w:szCs w:val="20"/>
              </w:rPr>
              <w:t>Non-protection zone installation permit — considering and processing an application under clause 76 of Schedule 3A to the Telecommunications Act to extend the duration of a non-protection zone installation permit</w:t>
            </w:r>
          </w:p>
        </w:tc>
        <w:tc>
          <w:tcPr>
            <w:tcW w:w="1945" w:type="dxa"/>
            <w:tcBorders>
              <w:top w:val="single" w:sz="2" w:space="0" w:color="auto"/>
              <w:left w:val="single" w:sz="2" w:space="0" w:color="auto"/>
              <w:bottom w:val="single" w:sz="2" w:space="0" w:color="auto"/>
              <w:right w:val="single" w:sz="2" w:space="0" w:color="auto"/>
            </w:tcBorders>
          </w:tcPr>
          <w:p w14:paraId="08D4F355" w14:textId="24C906D3" w:rsidR="005311C1" w:rsidRPr="005311C1" w:rsidRDefault="005311C1" w:rsidP="0091152F">
            <w:pPr>
              <w:spacing w:after="0"/>
              <w:rPr>
                <w:rFonts w:ascii="Times New Roman" w:hAnsi="Times New Roman" w:cs="Times New Roman"/>
                <w:sz w:val="20"/>
                <w:szCs w:val="20"/>
              </w:rPr>
            </w:pPr>
            <w:r w:rsidRPr="005311C1">
              <w:rPr>
                <w:rFonts w:ascii="Times New Roman" w:hAnsi="Times New Roman" w:cs="Times New Roman"/>
                <w:sz w:val="20"/>
                <w:szCs w:val="20"/>
              </w:rPr>
              <w:t xml:space="preserve">Item </w:t>
            </w:r>
            <w:r w:rsidR="0091152F">
              <w:rPr>
                <w:rFonts w:ascii="Times New Roman" w:hAnsi="Times New Roman" w:cs="Times New Roman"/>
                <w:sz w:val="20"/>
                <w:szCs w:val="20"/>
              </w:rPr>
              <w:t>11,</w:t>
            </w:r>
            <w:r w:rsidRPr="005311C1">
              <w:rPr>
                <w:rFonts w:ascii="Times New Roman" w:hAnsi="Times New Roman" w:cs="Times New Roman"/>
                <w:sz w:val="20"/>
                <w:szCs w:val="20"/>
              </w:rPr>
              <w:t xml:space="preserve"> Schedule 1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6C87C1C4"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$595.00</w:t>
            </w:r>
          </w:p>
        </w:tc>
        <w:tc>
          <w:tcPr>
            <w:tcW w:w="1560" w:type="dxa"/>
            <w:tcBorders>
              <w:top w:val="single" w:sz="2" w:space="0" w:color="auto"/>
              <w:left w:val="single" w:sz="2" w:space="0" w:color="auto"/>
              <w:bottom w:val="single" w:sz="2" w:space="0" w:color="auto"/>
              <w:right w:val="single" w:sz="2" w:space="0" w:color="auto"/>
            </w:tcBorders>
          </w:tcPr>
          <w:p w14:paraId="2F217DC1"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 xml:space="preserve">$1,414.00 </w:t>
            </w:r>
          </w:p>
        </w:tc>
        <w:tc>
          <w:tcPr>
            <w:tcW w:w="1134" w:type="dxa"/>
            <w:tcBorders>
              <w:top w:val="single" w:sz="2" w:space="0" w:color="auto"/>
              <w:left w:val="single" w:sz="2" w:space="0" w:color="auto"/>
              <w:bottom w:val="single" w:sz="2" w:space="0" w:color="auto"/>
              <w:right w:val="single" w:sz="2" w:space="0" w:color="auto"/>
            </w:tcBorders>
          </w:tcPr>
          <w:p w14:paraId="32E23134" w14:textId="77777777" w:rsidR="005311C1" w:rsidRPr="005311C1" w:rsidRDefault="005311C1" w:rsidP="00023207">
            <w:pPr>
              <w:spacing w:after="0"/>
              <w:jc w:val="right"/>
              <w:rPr>
                <w:rFonts w:ascii="Times New Roman" w:hAnsi="Times New Roman" w:cs="Times New Roman"/>
                <w:sz w:val="20"/>
                <w:szCs w:val="20"/>
              </w:rPr>
            </w:pPr>
            <w:r w:rsidRPr="005311C1">
              <w:rPr>
                <w:rFonts w:ascii="Times New Roman" w:hAnsi="Times New Roman" w:cs="Times New Roman"/>
                <w:sz w:val="20"/>
                <w:szCs w:val="20"/>
              </w:rPr>
              <w:t>137.6%</w:t>
            </w:r>
          </w:p>
        </w:tc>
        <w:tc>
          <w:tcPr>
            <w:tcW w:w="3118" w:type="dxa"/>
            <w:tcBorders>
              <w:top w:val="single" w:sz="2" w:space="0" w:color="auto"/>
              <w:left w:val="single" w:sz="2" w:space="0" w:color="auto"/>
              <w:bottom w:val="single" w:sz="2" w:space="0" w:color="auto"/>
              <w:right w:val="single" w:sz="2" w:space="0" w:color="auto"/>
            </w:tcBorders>
          </w:tcPr>
          <w:p w14:paraId="2A86546F" w14:textId="57E9CAA7" w:rsidR="005311C1" w:rsidRPr="005311C1" w:rsidRDefault="005311C1" w:rsidP="001D4F99">
            <w:pPr>
              <w:spacing w:after="0"/>
              <w:rPr>
                <w:rFonts w:ascii="Times New Roman" w:hAnsi="Times New Roman" w:cs="Times New Roman"/>
                <w:sz w:val="20"/>
                <w:szCs w:val="20"/>
              </w:rPr>
            </w:pPr>
            <w:r w:rsidRPr="005311C1">
              <w:rPr>
                <w:rFonts w:ascii="Times New Roman" w:hAnsi="Times New Roman" w:cs="Times New Roman"/>
                <w:sz w:val="20"/>
                <w:szCs w:val="20"/>
              </w:rPr>
              <w:t xml:space="preserve">This fee is subject to increase in the ACMA’s standard hourly rate.  </w:t>
            </w:r>
            <w:r w:rsidR="001D4F99">
              <w:rPr>
                <w:rFonts w:ascii="Times New Roman" w:hAnsi="Times New Roman" w:cs="Times New Roman"/>
                <w:sz w:val="20"/>
                <w:szCs w:val="20"/>
              </w:rPr>
              <w:t>Also</w:t>
            </w:r>
            <w:r w:rsidRPr="005311C1">
              <w:rPr>
                <w:rFonts w:ascii="Times New Roman" w:hAnsi="Times New Roman" w:cs="Times New Roman"/>
                <w:sz w:val="20"/>
                <w:szCs w:val="20"/>
              </w:rPr>
              <w:t>, the processing time has increased by 133%. Refer to Notes 1 and 3(c) for further details.</w:t>
            </w:r>
          </w:p>
        </w:tc>
      </w:tr>
    </w:tbl>
    <w:p w14:paraId="0F542C74" w14:textId="77777777" w:rsidR="005311C1" w:rsidRPr="005311C1" w:rsidRDefault="005311C1" w:rsidP="005311C1">
      <w:pPr>
        <w:rPr>
          <w:rFonts w:ascii="Times New Roman" w:hAnsi="Times New Roman" w:cs="Times New Roman"/>
        </w:rPr>
      </w:pPr>
    </w:p>
    <w:p w14:paraId="2B3A0D1F" w14:textId="77777777" w:rsidR="005311C1" w:rsidRPr="005311C1" w:rsidRDefault="005311C1" w:rsidP="005311C1">
      <w:pPr>
        <w:rPr>
          <w:rFonts w:ascii="Times New Roman" w:hAnsi="Times New Roman" w:cs="Times New Roman"/>
          <w:b/>
          <w:u w:val="single"/>
        </w:rPr>
      </w:pPr>
      <w:r w:rsidRPr="005311C1">
        <w:rPr>
          <w:rFonts w:ascii="Times New Roman" w:hAnsi="Times New Roman" w:cs="Times New Roman"/>
          <w:b/>
          <w:u w:val="single"/>
        </w:rPr>
        <w:t>Notes:</w:t>
      </w:r>
    </w:p>
    <w:p w14:paraId="6D1633D4" w14:textId="72615AC4" w:rsidR="005311C1" w:rsidRPr="000D54E1" w:rsidRDefault="005311C1" w:rsidP="004A5290">
      <w:pPr>
        <w:pStyle w:val="ACMABodyText"/>
        <w:numPr>
          <w:ilvl w:val="0"/>
          <w:numId w:val="11"/>
        </w:numPr>
        <w:spacing w:before="0" w:after="0"/>
        <w:ind w:right="-862"/>
        <w:jc w:val="both"/>
        <w:rPr>
          <w:sz w:val="22"/>
          <w:szCs w:val="22"/>
        </w:rPr>
      </w:pPr>
      <w:r w:rsidRPr="005311C1">
        <w:rPr>
          <w:b/>
          <w:sz w:val="22"/>
          <w:szCs w:val="22"/>
        </w:rPr>
        <w:t>Methodology</w:t>
      </w:r>
      <w:r w:rsidRPr="005311C1">
        <w:rPr>
          <w:sz w:val="22"/>
          <w:szCs w:val="22"/>
        </w:rPr>
        <w:t xml:space="preserve"> – For the calculation of fees, the ACMA applied its standard hourly rate and survey information obtained in 2016 on the average time taken by a proficient officer to perform the activity. The ACMA’s standard hourly rate has been updated to reflect its current costs and as a result it has increased from $197 to $202 (that is, a 2.5 </w:t>
      </w:r>
      <w:r w:rsidRPr="005311C1">
        <w:rPr>
          <w:sz w:val="22"/>
          <w:szCs w:val="22"/>
        </w:rPr>
        <w:lastRenderedPageBreak/>
        <w:t>percent increase)</w:t>
      </w:r>
      <w:r w:rsidR="001320B2">
        <w:rPr>
          <w:sz w:val="22"/>
          <w:szCs w:val="22"/>
        </w:rPr>
        <w:t>.  S</w:t>
      </w:r>
      <w:r w:rsidR="004A5290">
        <w:rPr>
          <w:sz w:val="22"/>
          <w:szCs w:val="22"/>
        </w:rPr>
        <w:t xml:space="preserve">ee </w:t>
      </w:r>
      <w:r w:rsidR="001320B2">
        <w:rPr>
          <w:sz w:val="22"/>
          <w:szCs w:val="22"/>
        </w:rPr>
        <w:t xml:space="preserve">in particular, </w:t>
      </w:r>
      <w:r w:rsidR="004A5290">
        <w:rPr>
          <w:sz w:val="22"/>
          <w:szCs w:val="22"/>
        </w:rPr>
        <w:t>item 1 of Schedule 1 to the instrument</w:t>
      </w:r>
      <w:r w:rsidR="001320B2">
        <w:rPr>
          <w:sz w:val="22"/>
          <w:szCs w:val="22"/>
        </w:rPr>
        <w:t xml:space="preserve">.  The change to the hourly rate affects the following </w:t>
      </w:r>
      <w:r w:rsidR="004A5290">
        <w:rPr>
          <w:sz w:val="22"/>
          <w:szCs w:val="22"/>
        </w:rPr>
        <w:t xml:space="preserve">parts and items of Schedule 1 to the </w:t>
      </w:r>
      <w:r w:rsidR="004A5290" w:rsidRPr="00BE3312">
        <w:rPr>
          <w:i/>
          <w:sz w:val="22"/>
          <w:szCs w:val="22"/>
        </w:rPr>
        <w:t>Telecommunications (Charges) Determination 2012</w:t>
      </w:r>
      <w:r w:rsidR="004A5290">
        <w:rPr>
          <w:sz w:val="22"/>
          <w:szCs w:val="22"/>
        </w:rPr>
        <w:t>: Part 2, item 4.2 of Part 4, item 5.2 of Part 5 and item 6.3 of Part 6)</w:t>
      </w:r>
      <w:r w:rsidRPr="005311C1">
        <w:rPr>
          <w:sz w:val="22"/>
          <w:szCs w:val="22"/>
        </w:rPr>
        <w:t xml:space="preserve">. The figure is based on the cost of services incurred by the ACMA in executing its functions for the financial year 2015–16. This rate was established by taking the net cost of services of the ACMA’s business units for 2015–16, including an attribution of all corporate and support costs, and dividing this cost by the average staff hours spent by the business units during the financial year 2015–16. </w:t>
      </w:r>
      <w:r w:rsidR="00E51881">
        <w:rPr>
          <w:sz w:val="22"/>
          <w:szCs w:val="22"/>
        </w:rPr>
        <w:t xml:space="preserve"> </w:t>
      </w:r>
      <w:r w:rsidRPr="005311C1">
        <w:rPr>
          <w:sz w:val="22"/>
          <w:szCs w:val="22"/>
        </w:rPr>
        <w:t xml:space="preserve">The calculation methodology has not changed from the one adopted </w:t>
      </w:r>
      <w:r w:rsidR="00DC6B01">
        <w:rPr>
          <w:sz w:val="22"/>
          <w:szCs w:val="22"/>
        </w:rPr>
        <w:t xml:space="preserve">when the charges were last reviewed by the ACMA </w:t>
      </w:r>
      <w:r w:rsidRPr="005311C1">
        <w:rPr>
          <w:sz w:val="22"/>
          <w:szCs w:val="22"/>
        </w:rPr>
        <w:t xml:space="preserve">in </w:t>
      </w:r>
      <w:r w:rsidR="00DC6B01">
        <w:rPr>
          <w:sz w:val="22"/>
          <w:szCs w:val="22"/>
        </w:rPr>
        <w:t>201</w:t>
      </w:r>
      <w:r w:rsidR="000D54E1">
        <w:rPr>
          <w:sz w:val="22"/>
          <w:szCs w:val="22"/>
        </w:rPr>
        <w:t>2</w:t>
      </w:r>
      <w:r w:rsidR="00DC6B01" w:rsidRPr="000D54E1">
        <w:rPr>
          <w:sz w:val="22"/>
          <w:szCs w:val="22"/>
        </w:rPr>
        <w:t>.</w:t>
      </w:r>
      <w:r w:rsidR="00DC6B01" w:rsidRPr="000D54E1">
        <w:rPr>
          <w:rStyle w:val="FootnoteReference"/>
          <w:sz w:val="22"/>
          <w:szCs w:val="22"/>
        </w:rPr>
        <w:footnoteReference w:id="1"/>
      </w:r>
    </w:p>
    <w:p w14:paraId="07CF367E" w14:textId="77777777" w:rsidR="005311C1" w:rsidRPr="005311C1" w:rsidRDefault="005311C1" w:rsidP="005311C1">
      <w:pPr>
        <w:pStyle w:val="ACMABodyText"/>
        <w:spacing w:before="0" w:after="0"/>
        <w:ind w:left="436" w:right="-862"/>
        <w:jc w:val="both"/>
        <w:rPr>
          <w:sz w:val="22"/>
          <w:szCs w:val="22"/>
        </w:rPr>
      </w:pPr>
    </w:p>
    <w:p w14:paraId="336A3799" w14:textId="0D2B0423" w:rsidR="005311C1" w:rsidRPr="005311C1" w:rsidRDefault="005311C1" w:rsidP="005311C1">
      <w:pPr>
        <w:pStyle w:val="ACMABodyText"/>
        <w:numPr>
          <w:ilvl w:val="0"/>
          <w:numId w:val="11"/>
        </w:numPr>
        <w:spacing w:after="0"/>
        <w:ind w:right="-862"/>
        <w:jc w:val="both"/>
        <w:rPr>
          <w:sz w:val="22"/>
          <w:szCs w:val="22"/>
        </w:rPr>
      </w:pPr>
      <w:r w:rsidRPr="005311C1">
        <w:rPr>
          <w:sz w:val="22"/>
          <w:szCs w:val="22"/>
        </w:rPr>
        <w:t xml:space="preserve">On 1 August 2015 a flat charge of $19.50 was imposed for all numbering activities. The charge was determined by dividing the total estimated annual cost of services by the total estimated annual number of transactions. Following the ACMA’s review of the operation of the </w:t>
      </w:r>
      <w:r w:rsidRPr="005311C1">
        <w:rPr>
          <w:sz w:val="22"/>
          <w:szCs w:val="22"/>
        </w:rPr>
        <w:lastRenderedPageBreak/>
        <w:t xml:space="preserve">numbering system in years one and two, the ACMA has adopted the same approach to determining charges as it did in 2015. However, </w:t>
      </w:r>
      <w:r w:rsidR="001320B2">
        <w:rPr>
          <w:sz w:val="22"/>
          <w:szCs w:val="22"/>
        </w:rPr>
        <w:t xml:space="preserve">the flat fee per transaction charge determined by the ACMA has increased to $35 </w:t>
      </w:r>
      <w:r w:rsidRPr="005311C1">
        <w:rPr>
          <w:sz w:val="22"/>
          <w:szCs w:val="22"/>
        </w:rPr>
        <w:t xml:space="preserve">having regard to: </w:t>
      </w:r>
    </w:p>
    <w:p w14:paraId="14C107C9" w14:textId="5BDA4401" w:rsidR="005311C1" w:rsidRPr="005311C1" w:rsidRDefault="005311C1" w:rsidP="005311C1">
      <w:pPr>
        <w:pStyle w:val="ACMABodyText"/>
        <w:numPr>
          <w:ilvl w:val="1"/>
          <w:numId w:val="11"/>
        </w:numPr>
        <w:spacing w:after="0"/>
        <w:ind w:left="1516" w:right="-862"/>
        <w:jc w:val="both"/>
        <w:rPr>
          <w:sz w:val="22"/>
          <w:szCs w:val="22"/>
        </w:rPr>
      </w:pPr>
      <w:r w:rsidRPr="005311C1">
        <w:rPr>
          <w:sz w:val="22"/>
          <w:szCs w:val="22"/>
        </w:rPr>
        <w:t xml:space="preserve">accumulated under-recovery and a small number of system enhancements, </w:t>
      </w:r>
      <w:r w:rsidR="001D4F99">
        <w:rPr>
          <w:sz w:val="22"/>
          <w:szCs w:val="22"/>
        </w:rPr>
        <w:t xml:space="preserve">with </w:t>
      </w:r>
      <w:r w:rsidRPr="005311C1">
        <w:rPr>
          <w:sz w:val="22"/>
          <w:szCs w:val="22"/>
        </w:rPr>
        <w:t xml:space="preserve">the annual recoverable costs now estimated </w:t>
      </w:r>
      <w:r w:rsidR="001D4F99">
        <w:rPr>
          <w:sz w:val="22"/>
          <w:szCs w:val="22"/>
        </w:rPr>
        <w:t xml:space="preserve">as having </w:t>
      </w:r>
      <w:r w:rsidRPr="005311C1">
        <w:rPr>
          <w:sz w:val="22"/>
          <w:szCs w:val="22"/>
        </w:rPr>
        <w:t xml:space="preserve">increased by approximately 15 percent </w:t>
      </w:r>
      <w:r w:rsidR="001D4F99">
        <w:rPr>
          <w:sz w:val="22"/>
          <w:szCs w:val="22"/>
        </w:rPr>
        <w:t xml:space="preserve">since </w:t>
      </w:r>
      <w:r w:rsidRPr="005311C1">
        <w:rPr>
          <w:sz w:val="22"/>
          <w:szCs w:val="22"/>
        </w:rPr>
        <w:t xml:space="preserve">2015; and </w:t>
      </w:r>
    </w:p>
    <w:p w14:paraId="4C54679C" w14:textId="616CD407" w:rsidR="005311C1" w:rsidRPr="005311C1" w:rsidRDefault="005311C1" w:rsidP="005311C1">
      <w:pPr>
        <w:pStyle w:val="ACMABodyText"/>
        <w:numPr>
          <w:ilvl w:val="1"/>
          <w:numId w:val="11"/>
        </w:numPr>
        <w:spacing w:after="0"/>
        <w:ind w:left="1516" w:right="-862"/>
        <w:jc w:val="both"/>
        <w:rPr>
          <w:sz w:val="22"/>
          <w:szCs w:val="22"/>
        </w:rPr>
      </w:pPr>
      <w:r w:rsidRPr="005311C1">
        <w:rPr>
          <w:sz w:val="22"/>
          <w:szCs w:val="22"/>
        </w:rPr>
        <w:t>the significantly lower than anticipated number of annual user transactions expected for</w:t>
      </w:r>
      <w:r w:rsidR="000D54E1">
        <w:rPr>
          <w:sz w:val="22"/>
          <w:szCs w:val="22"/>
        </w:rPr>
        <w:t xml:space="preserve"> the 2016/17 financial year </w:t>
      </w:r>
      <w:r w:rsidRPr="005311C1">
        <w:rPr>
          <w:sz w:val="22"/>
          <w:szCs w:val="22"/>
        </w:rPr>
        <w:t xml:space="preserve">(expected to decrease by about 35 percent </w:t>
      </w:r>
      <w:r w:rsidR="003E418B">
        <w:rPr>
          <w:sz w:val="22"/>
          <w:szCs w:val="22"/>
        </w:rPr>
        <w:t xml:space="preserve">compared to </w:t>
      </w:r>
      <w:r w:rsidR="00CD774C">
        <w:rPr>
          <w:sz w:val="22"/>
          <w:szCs w:val="22"/>
        </w:rPr>
        <w:t xml:space="preserve">the </w:t>
      </w:r>
      <w:r w:rsidRPr="005311C1">
        <w:rPr>
          <w:sz w:val="22"/>
          <w:szCs w:val="22"/>
        </w:rPr>
        <w:t>2015</w:t>
      </w:r>
      <w:r w:rsidR="000D54E1">
        <w:rPr>
          <w:sz w:val="22"/>
          <w:szCs w:val="22"/>
        </w:rPr>
        <w:t>/16 financial year</w:t>
      </w:r>
      <w:r w:rsidR="003B66E1">
        <w:rPr>
          <w:sz w:val="22"/>
          <w:szCs w:val="22"/>
        </w:rPr>
        <w:t xml:space="preserve"> figures</w:t>
      </w:r>
      <w:r w:rsidR="001320B2">
        <w:rPr>
          <w:sz w:val="22"/>
          <w:szCs w:val="22"/>
        </w:rPr>
        <w:t>)</w:t>
      </w:r>
      <w:r w:rsidRPr="005311C1">
        <w:rPr>
          <w:sz w:val="22"/>
          <w:szCs w:val="22"/>
        </w:rPr>
        <w:t>.</w:t>
      </w:r>
    </w:p>
    <w:p w14:paraId="7DC99273" w14:textId="77777777" w:rsidR="005311C1" w:rsidRPr="005311C1" w:rsidRDefault="005311C1" w:rsidP="005311C1">
      <w:pPr>
        <w:pStyle w:val="ACMABodyText"/>
        <w:spacing w:after="0"/>
        <w:ind w:left="436" w:right="-862"/>
        <w:jc w:val="both"/>
        <w:rPr>
          <w:sz w:val="22"/>
          <w:szCs w:val="22"/>
        </w:rPr>
      </w:pPr>
    </w:p>
    <w:p w14:paraId="39044F46" w14:textId="77777777" w:rsidR="005311C1" w:rsidRPr="005311C1" w:rsidRDefault="005311C1" w:rsidP="005311C1">
      <w:pPr>
        <w:pStyle w:val="ACMABodyText"/>
        <w:numPr>
          <w:ilvl w:val="0"/>
          <w:numId w:val="11"/>
        </w:numPr>
        <w:spacing w:after="0"/>
        <w:ind w:right="-862"/>
        <w:jc w:val="both"/>
        <w:rPr>
          <w:sz w:val="22"/>
          <w:szCs w:val="22"/>
        </w:rPr>
      </w:pPr>
      <w:r w:rsidRPr="005311C1">
        <w:rPr>
          <w:sz w:val="22"/>
          <w:szCs w:val="22"/>
        </w:rPr>
        <w:t>In addition to the increase in the hourly rate, the fee for the following telecommunications activities has changed as a result of the changes in the estimated time required to perform the activities:</w:t>
      </w:r>
    </w:p>
    <w:p w14:paraId="7561EFE4" w14:textId="575598B9" w:rsidR="005311C1" w:rsidRPr="005311C1" w:rsidRDefault="005311C1" w:rsidP="005311C1">
      <w:pPr>
        <w:pStyle w:val="ACMABodyText"/>
        <w:numPr>
          <w:ilvl w:val="1"/>
          <w:numId w:val="11"/>
        </w:numPr>
        <w:spacing w:after="240"/>
        <w:ind w:left="1151" w:right="-862" w:hanging="357"/>
        <w:jc w:val="both"/>
        <w:rPr>
          <w:sz w:val="22"/>
          <w:szCs w:val="22"/>
        </w:rPr>
      </w:pPr>
      <w:r w:rsidRPr="005311C1">
        <w:rPr>
          <w:sz w:val="22"/>
          <w:szCs w:val="22"/>
        </w:rPr>
        <w:t xml:space="preserve">The estimated time required to consider and process a submarine cable protection zone permit application has increased due to legislative amendment (to Schedule 3A to the </w:t>
      </w:r>
      <w:r w:rsidRPr="00BE3312">
        <w:rPr>
          <w:sz w:val="22"/>
          <w:szCs w:val="22"/>
        </w:rPr>
        <w:t>Telecommunications Act</w:t>
      </w:r>
      <w:r w:rsidRPr="005311C1">
        <w:rPr>
          <w:sz w:val="22"/>
          <w:szCs w:val="22"/>
        </w:rPr>
        <w:t>) in 2014. The process now covers a permit application to install a submarine cable both inside and outside a protection zone. Under this combined process additional consultation with stakeholders is undertaken which also increases the time taken to consider stakeholder feedback and to prepare decision-making documentation for the delegate. As a result, the time required to perform this activity has increased by 48 percent.</w:t>
      </w:r>
    </w:p>
    <w:p w14:paraId="493CF843" w14:textId="53656623" w:rsidR="005311C1" w:rsidRPr="005311C1" w:rsidRDefault="005311C1" w:rsidP="005311C1">
      <w:pPr>
        <w:pStyle w:val="ACMABodyText"/>
        <w:numPr>
          <w:ilvl w:val="1"/>
          <w:numId w:val="11"/>
        </w:numPr>
        <w:spacing w:after="240"/>
        <w:ind w:left="1151" w:right="-862" w:hanging="357"/>
        <w:jc w:val="both"/>
        <w:rPr>
          <w:sz w:val="22"/>
          <w:szCs w:val="22"/>
        </w:rPr>
      </w:pPr>
      <w:r w:rsidRPr="005311C1">
        <w:rPr>
          <w:sz w:val="22"/>
          <w:szCs w:val="22"/>
        </w:rPr>
        <w:t xml:space="preserve">The estimate of the time required to consider and process a submarine cable non-protection zone permit application has decreased as a result of legislative amendments to Schedule 3A to </w:t>
      </w:r>
      <w:r w:rsidRPr="005311C1">
        <w:rPr>
          <w:sz w:val="22"/>
          <w:szCs w:val="22"/>
        </w:rPr>
        <w:lastRenderedPageBreak/>
        <w:t xml:space="preserve">the </w:t>
      </w:r>
      <w:r w:rsidRPr="00BE3312">
        <w:rPr>
          <w:sz w:val="22"/>
          <w:szCs w:val="22"/>
        </w:rPr>
        <w:t>Telecommunications Act</w:t>
      </w:r>
      <w:r w:rsidRPr="005311C1">
        <w:rPr>
          <w:sz w:val="22"/>
          <w:szCs w:val="22"/>
        </w:rPr>
        <w:t>. This amendment has removed the requirement to consult the Environment Secretary in relation to such applications. As a consequence, the consultation process is more streamlined and requires less staff time to administer. This has reduced the required time by 29 percent.</w:t>
      </w:r>
    </w:p>
    <w:p w14:paraId="430CF4B0" w14:textId="015E5A1B" w:rsidR="005311C1" w:rsidRPr="005311C1" w:rsidRDefault="005311C1" w:rsidP="005311C1">
      <w:pPr>
        <w:pStyle w:val="ACMABodyText"/>
        <w:numPr>
          <w:ilvl w:val="1"/>
          <w:numId w:val="11"/>
        </w:numPr>
        <w:spacing w:before="0" w:after="240"/>
        <w:ind w:left="1151" w:right="-862" w:hanging="357"/>
        <w:jc w:val="both"/>
        <w:rPr>
          <w:sz w:val="22"/>
          <w:szCs w:val="22"/>
        </w:rPr>
      </w:pPr>
      <w:r w:rsidRPr="005311C1">
        <w:rPr>
          <w:sz w:val="22"/>
          <w:szCs w:val="22"/>
        </w:rPr>
        <w:t xml:space="preserve">The estimated time required to consider and process an application to extend a submarine cable protection installation (and non-protection zone installation) permit has increased by 133 percent based on staff experience in processing such applications since </w:t>
      </w:r>
      <w:r w:rsidR="00304774">
        <w:rPr>
          <w:sz w:val="22"/>
          <w:szCs w:val="22"/>
        </w:rPr>
        <w:t xml:space="preserve">the ACMA last </w:t>
      </w:r>
      <w:r w:rsidR="005B600D">
        <w:rPr>
          <w:sz w:val="22"/>
          <w:szCs w:val="22"/>
        </w:rPr>
        <w:t xml:space="preserve">internally </w:t>
      </w:r>
      <w:r w:rsidR="00304774">
        <w:rPr>
          <w:sz w:val="22"/>
          <w:szCs w:val="22"/>
        </w:rPr>
        <w:t xml:space="preserve">reviewed the charge for that service in </w:t>
      </w:r>
      <w:r w:rsidRPr="005B600D">
        <w:rPr>
          <w:sz w:val="22"/>
          <w:szCs w:val="22"/>
        </w:rPr>
        <w:t>early 2014.</w:t>
      </w:r>
    </w:p>
    <w:p w14:paraId="6313CF50" w14:textId="77777777" w:rsidR="005311C1" w:rsidRPr="00924CC6" w:rsidRDefault="005311C1" w:rsidP="005311C1">
      <w:pPr>
        <w:ind w:left="-284" w:right="-862"/>
        <w:contextualSpacing/>
        <w:jc w:val="both"/>
        <w:rPr>
          <w:rFonts w:cs="Arial"/>
        </w:rPr>
      </w:pPr>
    </w:p>
    <w:p w14:paraId="0A0525EE" w14:textId="77777777" w:rsidR="005311C1" w:rsidRDefault="005311C1" w:rsidP="005311C1"/>
    <w:p w14:paraId="29E12EA1" w14:textId="77777777" w:rsidR="005311C1" w:rsidRPr="005311C1" w:rsidRDefault="005311C1" w:rsidP="005311C1">
      <w:pPr>
        <w:rPr>
          <w:rFonts w:ascii="Times New Roman" w:hAnsi="Times New Roman" w:cs="Times New Roman"/>
          <w:b/>
          <w:sz w:val="28"/>
          <w:szCs w:val="28"/>
        </w:rPr>
      </w:pPr>
    </w:p>
    <w:sectPr w:rsidR="005311C1" w:rsidRPr="005311C1" w:rsidSect="005311C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2A47" w14:textId="77777777" w:rsidR="00EC62DD" w:rsidRDefault="00EC62DD" w:rsidP="00025ACE">
      <w:pPr>
        <w:spacing w:after="0" w:line="240" w:lineRule="auto"/>
      </w:pPr>
      <w:r>
        <w:separator/>
      </w:r>
    </w:p>
  </w:endnote>
  <w:endnote w:type="continuationSeparator" w:id="0">
    <w:p w14:paraId="6C617854" w14:textId="77777777" w:rsidR="00EC62DD" w:rsidRDefault="00EC62D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EC62DD" w:rsidRDefault="00EC62DD" w:rsidP="00AD3414">
        <w:pPr>
          <w:pStyle w:val="Footer"/>
          <w:pBdr>
            <w:top w:val="single" w:sz="4" w:space="1" w:color="auto"/>
          </w:pBdr>
          <w:jc w:val="center"/>
        </w:pPr>
      </w:p>
      <w:p w14:paraId="7A9CDA51" w14:textId="26A11BF5" w:rsidR="00EC62DD" w:rsidRPr="00B60C8F" w:rsidRDefault="00EC62DD" w:rsidP="00AD3414">
        <w:pPr>
          <w:pStyle w:val="Footer"/>
          <w:jc w:val="center"/>
          <w:rPr>
            <w:rFonts w:ascii="Times New Roman" w:hAnsi="Times New Roman" w:cs="Times New Roman"/>
            <w:i/>
          </w:rPr>
        </w:pPr>
        <w:r w:rsidRPr="00B60C8F">
          <w:rPr>
            <w:rFonts w:ascii="Times New Roman" w:hAnsi="Times New Roman" w:cs="Times New Roman"/>
            <w:i/>
          </w:rPr>
          <w:t xml:space="preserve">Explanatory Statement to the </w:t>
        </w:r>
        <w:r w:rsidR="00B60C8F" w:rsidRPr="00B60C8F">
          <w:rPr>
            <w:rFonts w:ascii="Times New Roman" w:hAnsi="Times New Roman" w:cs="Times New Roman"/>
            <w:i/>
          </w:rPr>
          <w:t>Telecommunications (Charges) Amendment Determination 2017 (No. 1)</w:t>
        </w:r>
      </w:p>
      <w:p w14:paraId="556B0C98" w14:textId="77777777" w:rsidR="00EC62DD" w:rsidRDefault="00EC62DD">
        <w:pPr>
          <w:pStyle w:val="Footer"/>
          <w:jc w:val="right"/>
        </w:pPr>
      </w:p>
      <w:p w14:paraId="4E36910F" w14:textId="06CF02C2" w:rsidR="00EC62DD" w:rsidRPr="00AD3414" w:rsidRDefault="00EC62DD">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9E43BF">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EC62DD" w:rsidRPr="00AD3414" w:rsidRDefault="00EC62DD"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818009"/>
      <w:docPartObj>
        <w:docPartGallery w:val="Page Numbers (Bottom of Page)"/>
        <w:docPartUnique/>
      </w:docPartObj>
    </w:sdtPr>
    <w:sdtEndPr>
      <w:rPr>
        <w:i/>
        <w:noProof/>
      </w:rPr>
    </w:sdtEndPr>
    <w:sdtContent>
      <w:p w14:paraId="02E1639C" w14:textId="77777777" w:rsidR="005311C1" w:rsidRDefault="005311C1" w:rsidP="005311C1">
        <w:pPr>
          <w:pStyle w:val="Footer"/>
          <w:pBdr>
            <w:top w:val="single" w:sz="4" w:space="1" w:color="auto"/>
          </w:pBdr>
          <w:jc w:val="center"/>
        </w:pPr>
      </w:p>
      <w:p w14:paraId="1BB706A8" w14:textId="77777777" w:rsidR="005311C1" w:rsidRPr="00B60C8F" w:rsidRDefault="005311C1" w:rsidP="005311C1">
        <w:pPr>
          <w:pStyle w:val="Footer"/>
          <w:jc w:val="center"/>
          <w:rPr>
            <w:rFonts w:ascii="Times New Roman" w:hAnsi="Times New Roman" w:cs="Times New Roman"/>
            <w:i/>
          </w:rPr>
        </w:pPr>
        <w:r w:rsidRPr="00B60C8F">
          <w:rPr>
            <w:rFonts w:ascii="Times New Roman" w:hAnsi="Times New Roman" w:cs="Times New Roman"/>
            <w:i/>
          </w:rPr>
          <w:t>Explanatory Statement to the Telecommunications (Charges) Amendment Determination 2017 (No. 1)</w:t>
        </w:r>
      </w:p>
      <w:p w14:paraId="57870A3D" w14:textId="77777777" w:rsidR="005311C1" w:rsidRDefault="005311C1" w:rsidP="005311C1">
        <w:pPr>
          <w:pStyle w:val="Footer"/>
          <w:jc w:val="right"/>
        </w:pPr>
      </w:p>
      <w:p w14:paraId="72A0A145" w14:textId="77777777" w:rsidR="005311C1" w:rsidRPr="00AD3414" w:rsidRDefault="005311C1" w:rsidP="005311C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9E43BF">
          <w:rPr>
            <w:rFonts w:ascii="Times New Roman" w:hAnsi="Times New Roman" w:cs="Times New Roman"/>
            <w:i/>
            <w:noProof/>
          </w:rPr>
          <w:t>1</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E46AB" w14:textId="77777777" w:rsidR="00EC62DD" w:rsidRDefault="00EC62DD" w:rsidP="00025ACE">
      <w:pPr>
        <w:spacing w:after="0" w:line="240" w:lineRule="auto"/>
      </w:pPr>
      <w:r>
        <w:separator/>
      </w:r>
    </w:p>
  </w:footnote>
  <w:footnote w:type="continuationSeparator" w:id="0">
    <w:p w14:paraId="4E1A6C20" w14:textId="77777777" w:rsidR="00EC62DD" w:rsidRDefault="00EC62DD" w:rsidP="00025ACE">
      <w:pPr>
        <w:spacing w:after="0" w:line="240" w:lineRule="auto"/>
      </w:pPr>
      <w:r>
        <w:continuationSeparator/>
      </w:r>
    </w:p>
  </w:footnote>
  <w:footnote w:id="1">
    <w:p w14:paraId="4DCF6269" w14:textId="3A18F790" w:rsidR="00DC6B01" w:rsidRDefault="00DC6B01">
      <w:pPr>
        <w:pStyle w:val="FootnoteText"/>
      </w:pPr>
      <w:r>
        <w:rPr>
          <w:rStyle w:val="FootnoteReference"/>
        </w:rPr>
        <w:footnoteRef/>
      </w:r>
      <w:r>
        <w:t xml:space="preserve"> </w:t>
      </w:r>
      <w:r w:rsidRPr="009E282F">
        <w:rPr>
          <w:rFonts w:ascii="Times New Roman" w:hAnsi="Times New Roman" w:cs="Times New Roman"/>
        </w:rPr>
        <w:t xml:space="preserve">The ACMA last reviewed its cost recovery arrangements for </w:t>
      </w:r>
      <w:r>
        <w:rPr>
          <w:rFonts w:ascii="Times New Roman" w:hAnsi="Times New Roman" w:cs="Times New Roman"/>
        </w:rPr>
        <w:t>various</w:t>
      </w:r>
      <w:r w:rsidR="000D54E1">
        <w:rPr>
          <w:rFonts w:ascii="Times New Roman" w:hAnsi="Times New Roman" w:cs="Times New Roman"/>
        </w:rPr>
        <w:t xml:space="preserve"> </w:t>
      </w:r>
      <w:r>
        <w:rPr>
          <w:rFonts w:ascii="Times New Roman" w:hAnsi="Times New Roman" w:cs="Times New Roman"/>
        </w:rPr>
        <w:t xml:space="preserve">telecommunications </w:t>
      </w:r>
      <w:r w:rsidRPr="009E282F">
        <w:rPr>
          <w:rFonts w:ascii="Times New Roman" w:hAnsi="Times New Roman" w:cs="Times New Roman"/>
        </w:rPr>
        <w:t>services in 201</w:t>
      </w:r>
      <w:r w:rsidR="000D54E1">
        <w:rPr>
          <w:rFonts w:ascii="Times New Roman" w:hAnsi="Times New Roman" w:cs="Times New Roman"/>
        </w:rPr>
        <w:t>2</w:t>
      </w:r>
      <w:r w:rsidRPr="009E282F">
        <w:rPr>
          <w:rFonts w:ascii="Times New Roman" w:hAnsi="Times New Roman" w:cs="Times New Roman"/>
        </w:rPr>
        <w:t>.  A copy of the Cost Recovery Implementation Statement which provides information on those cost recovery charges</w:t>
      </w:r>
      <w:r>
        <w:rPr>
          <w:rFonts w:ascii="Times New Roman" w:hAnsi="Times New Roman" w:cs="Times New Roman"/>
        </w:rPr>
        <w:t xml:space="preserve"> as well as the cost recovery model adopted by the ACMA</w:t>
      </w:r>
      <w:r w:rsidRPr="009E282F">
        <w:rPr>
          <w:rFonts w:ascii="Times New Roman" w:hAnsi="Times New Roman" w:cs="Times New Roman"/>
        </w:rPr>
        <w:t xml:space="preserve"> can be found at: </w:t>
      </w:r>
      <w:hyperlink r:id="rId1" w:history="1">
        <w:r w:rsidR="00472DA4" w:rsidRPr="008750F1">
          <w:rPr>
            <w:rStyle w:val="Hyperlink"/>
            <w:rFonts w:ascii="Times New Roman" w:hAnsi="Times New Roman" w:cs="Times New Roman"/>
          </w:rPr>
          <w:t>http://www.acma.gov.au/~/media/Finance%20Budgets%20and%20Revenue%20Assurance/Report/pdf/Cost%20recovery%20impact%20statement.PDF</w:t>
        </w:r>
      </w:hyperlink>
      <w:r w:rsidR="000D54E1">
        <w:rPr>
          <w:rFonts w:ascii="Times New Roman" w:hAnsi="Times New Roman" w:cs="Times New Roman"/>
        </w:rPr>
        <w:t xml:space="preserve">.  A more limited review of telecommunications charges was also conducted in 2014.  The </w:t>
      </w:r>
      <w:r w:rsidR="000D54E1" w:rsidRPr="009E282F">
        <w:rPr>
          <w:rFonts w:ascii="Times New Roman" w:hAnsi="Times New Roman" w:cs="Times New Roman"/>
        </w:rPr>
        <w:t xml:space="preserve">Cost Recovery Implementation Statement </w:t>
      </w:r>
      <w:r w:rsidR="000D54E1">
        <w:rPr>
          <w:rFonts w:ascii="Times New Roman" w:hAnsi="Times New Roman" w:cs="Times New Roman"/>
        </w:rPr>
        <w:t xml:space="preserve">in relation to that review can be found at:   </w:t>
      </w:r>
      <w:hyperlink r:id="rId2" w:history="1">
        <w:r w:rsidRPr="009E282F">
          <w:rPr>
            <w:rStyle w:val="Hyperlink"/>
            <w:rFonts w:ascii="Times New Roman" w:hAnsi="Times New Roman" w:cs="Times New Roman"/>
          </w:rPr>
          <w:t>http://www.acma.gov.au/~/media/Finance%20Budgets%20and%20Revenue%20Assurance/Report/Word%20Document/Cost%20recovery%20implementation%20statement%2020141017%20docx.docx</w:t>
        </w:r>
      </w:hyperlink>
      <w:r w:rsidRPr="009E282F">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EC62DD" w:rsidRDefault="00EC62DD">
    <w:pPr>
      <w:pStyle w:val="Header"/>
    </w:pPr>
  </w:p>
  <w:p w14:paraId="1FE48E17" w14:textId="77777777" w:rsidR="00EC62DD" w:rsidRPr="00AD3414" w:rsidRDefault="00EC62D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E57A89"/>
    <w:multiLevelType w:val="hybridMultilevel"/>
    <w:tmpl w:val="3A68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BB395C"/>
    <w:multiLevelType w:val="hybridMultilevel"/>
    <w:tmpl w:val="9282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954D83"/>
    <w:multiLevelType w:val="hybridMultilevel"/>
    <w:tmpl w:val="FA681688"/>
    <w:lvl w:ilvl="0" w:tplc="0C09000F">
      <w:start w:val="1"/>
      <w:numFmt w:val="decimal"/>
      <w:lvlText w:val="%1."/>
      <w:lvlJc w:val="left"/>
      <w:pPr>
        <w:ind w:left="436" w:hanging="360"/>
      </w:p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7">
    <w:nsid w:val="37A85E12"/>
    <w:multiLevelType w:val="hybridMultilevel"/>
    <w:tmpl w:val="51D8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646FF5"/>
    <w:multiLevelType w:val="hybridMultilevel"/>
    <w:tmpl w:val="3D32116A"/>
    <w:lvl w:ilvl="0" w:tplc="7FF8CD08">
      <w:numFmt w:val="bullet"/>
      <w:lvlText w:val=""/>
      <w:lvlJc w:val="left"/>
      <w:pPr>
        <w:ind w:left="1080" w:hanging="72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7C214F"/>
    <w:multiLevelType w:val="hybridMultilevel"/>
    <w:tmpl w:val="EA8802A4"/>
    <w:lvl w:ilvl="0" w:tplc="CC7072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5"/>
  </w:num>
  <w:num w:numId="5">
    <w:abstractNumId w:val="4"/>
  </w:num>
  <w:num w:numId="6">
    <w:abstractNumId w:val="0"/>
  </w:num>
  <w:num w:numId="7">
    <w:abstractNumId w:val="2"/>
  </w:num>
  <w:num w:numId="8">
    <w:abstractNumId w:val="7"/>
  </w:num>
  <w:num w:numId="9">
    <w:abstractNumId w:val="10"/>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69BF"/>
    <w:rsid w:val="000124F9"/>
    <w:rsid w:val="00013079"/>
    <w:rsid w:val="00025ACE"/>
    <w:rsid w:val="00037F0E"/>
    <w:rsid w:val="00047099"/>
    <w:rsid w:val="00061977"/>
    <w:rsid w:val="00070D91"/>
    <w:rsid w:val="000726C7"/>
    <w:rsid w:val="00074A8D"/>
    <w:rsid w:val="000818E0"/>
    <w:rsid w:val="00082354"/>
    <w:rsid w:val="00084BE0"/>
    <w:rsid w:val="00095AB3"/>
    <w:rsid w:val="000A3A94"/>
    <w:rsid w:val="000B0BA7"/>
    <w:rsid w:val="000B33B6"/>
    <w:rsid w:val="000B4B6C"/>
    <w:rsid w:val="000C6436"/>
    <w:rsid w:val="000D4ECE"/>
    <w:rsid w:val="000D54E1"/>
    <w:rsid w:val="000E38C9"/>
    <w:rsid w:val="000F6255"/>
    <w:rsid w:val="000F6838"/>
    <w:rsid w:val="00112987"/>
    <w:rsid w:val="00117351"/>
    <w:rsid w:val="00121B9E"/>
    <w:rsid w:val="00122072"/>
    <w:rsid w:val="001320B2"/>
    <w:rsid w:val="00134705"/>
    <w:rsid w:val="00146A0C"/>
    <w:rsid w:val="0015111E"/>
    <w:rsid w:val="00161C73"/>
    <w:rsid w:val="00185BDC"/>
    <w:rsid w:val="001A1782"/>
    <w:rsid w:val="001C4BF8"/>
    <w:rsid w:val="001C5421"/>
    <w:rsid w:val="001C720F"/>
    <w:rsid w:val="001D4F99"/>
    <w:rsid w:val="001D5C25"/>
    <w:rsid w:val="00212847"/>
    <w:rsid w:val="00240E7A"/>
    <w:rsid w:val="002508F7"/>
    <w:rsid w:val="00277D3B"/>
    <w:rsid w:val="00282332"/>
    <w:rsid w:val="002B1B00"/>
    <w:rsid w:val="002B6699"/>
    <w:rsid w:val="002C2256"/>
    <w:rsid w:val="002E3B2A"/>
    <w:rsid w:val="002E5568"/>
    <w:rsid w:val="002F36E0"/>
    <w:rsid w:val="003038F5"/>
    <w:rsid w:val="00304774"/>
    <w:rsid w:val="00311E3A"/>
    <w:rsid w:val="00332B30"/>
    <w:rsid w:val="003434D4"/>
    <w:rsid w:val="00370620"/>
    <w:rsid w:val="00375FA7"/>
    <w:rsid w:val="00385EF1"/>
    <w:rsid w:val="00387260"/>
    <w:rsid w:val="003A07CA"/>
    <w:rsid w:val="003A3635"/>
    <w:rsid w:val="003A7407"/>
    <w:rsid w:val="003B3D92"/>
    <w:rsid w:val="003B66E1"/>
    <w:rsid w:val="003C2F82"/>
    <w:rsid w:val="003C44B4"/>
    <w:rsid w:val="003D74BE"/>
    <w:rsid w:val="003D7745"/>
    <w:rsid w:val="003E418B"/>
    <w:rsid w:val="0041003E"/>
    <w:rsid w:val="00421E85"/>
    <w:rsid w:val="004271AD"/>
    <w:rsid w:val="004362E3"/>
    <w:rsid w:val="004413F4"/>
    <w:rsid w:val="00450F48"/>
    <w:rsid w:val="0045489F"/>
    <w:rsid w:val="00466E71"/>
    <w:rsid w:val="00472DA4"/>
    <w:rsid w:val="00474889"/>
    <w:rsid w:val="004826DD"/>
    <w:rsid w:val="00496AAC"/>
    <w:rsid w:val="004971D6"/>
    <w:rsid w:val="004A1064"/>
    <w:rsid w:val="004A5290"/>
    <w:rsid w:val="004B1BC8"/>
    <w:rsid w:val="004D2843"/>
    <w:rsid w:val="004E790E"/>
    <w:rsid w:val="0050389F"/>
    <w:rsid w:val="00522B0A"/>
    <w:rsid w:val="0052687A"/>
    <w:rsid w:val="005311C1"/>
    <w:rsid w:val="0053167D"/>
    <w:rsid w:val="00570974"/>
    <w:rsid w:val="005958D6"/>
    <w:rsid w:val="005964CF"/>
    <w:rsid w:val="00596B17"/>
    <w:rsid w:val="005B2839"/>
    <w:rsid w:val="005B600D"/>
    <w:rsid w:val="005C45C1"/>
    <w:rsid w:val="005C65EB"/>
    <w:rsid w:val="005E0C4E"/>
    <w:rsid w:val="005F2DF5"/>
    <w:rsid w:val="005F5BE6"/>
    <w:rsid w:val="00603B3F"/>
    <w:rsid w:val="00641906"/>
    <w:rsid w:val="00641BC7"/>
    <w:rsid w:val="00663AF2"/>
    <w:rsid w:val="00671216"/>
    <w:rsid w:val="00681986"/>
    <w:rsid w:val="00686F06"/>
    <w:rsid w:val="00687290"/>
    <w:rsid w:val="006940DB"/>
    <w:rsid w:val="00696659"/>
    <w:rsid w:val="006A0BDF"/>
    <w:rsid w:val="006A3485"/>
    <w:rsid w:val="006A53BB"/>
    <w:rsid w:val="006B5E7C"/>
    <w:rsid w:val="006C54D1"/>
    <w:rsid w:val="006C59D5"/>
    <w:rsid w:val="006D6230"/>
    <w:rsid w:val="006F32BF"/>
    <w:rsid w:val="00706F43"/>
    <w:rsid w:val="00713362"/>
    <w:rsid w:val="007149E7"/>
    <w:rsid w:val="00735948"/>
    <w:rsid w:val="0074661C"/>
    <w:rsid w:val="00750397"/>
    <w:rsid w:val="00764366"/>
    <w:rsid w:val="00766475"/>
    <w:rsid w:val="00766C37"/>
    <w:rsid w:val="0077364D"/>
    <w:rsid w:val="00792DF4"/>
    <w:rsid w:val="00794C5F"/>
    <w:rsid w:val="007A0103"/>
    <w:rsid w:val="007A2277"/>
    <w:rsid w:val="007C788C"/>
    <w:rsid w:val="007D5EBC"/>
    <w:rsid w:val="00805358"/>
    <w:rsid w:val="008070A8"/>
    <w:rsid w:val="00810499"/>
    <w:rsid w:val="0081166D"/>
    <w:rsid w:val="0081203C"/>
    <w:rsid w:val="0081400C"/>
    <w:rsid w:val="00821F3F"/>
    <w:rsid w:val="0083449B"/>
    <w:rsid w:val="008441CF"/>
    <w:rsid w:val="0084470A"/>
    <w:rsid w:val="0087369C"/>
    <w:rsid w:val="0087707C"/>
    <w:rsid w:val="008C584E"/>
    <w:rsid w:val="008E3483"/>
    <w:rsid w:val="008F4C58"/>
    <w:rsid w:val="00903926"/>
    <w:rsid w:val="0090572C"/>
    <w:rsid w:val="0091080B"/>
    <w:rsid w:val="0091152F"/>
    <w:rsid w:val="0091749F"/>
    <w:rsid w:val="00923F8C"/>
    <w:rsid w:val="00926833"/>
    <w:rsid w:val="0092789C"/>
    <w:rsid w:val="00936FF7"/>
    <w:rsid w:val="00942EF0"/>
    <w:rsid w:val="009670B7"/>
    <w:rsid w:val="009723D1"/>
    <w:rsid w:val="009732C1"/>
    <w:rsid w:val="00977705"/>
    <w:rsid w:val="009D5783"/>
    <w:rsid w:val="009D67A8"/>
    <w:rsid w:val="009E12B4"/>
    <w:rsid w:val="009E43BF"/>
    <w:rsid w:val="009E50B7"/>
    <w:rsid w:val="009F101A"/>
    <w:rsid w:val="009F7219"/>
    <w:rsid w:val="00A07A2F"/>
    <w:rsid w:val="00A165CB"/>
    <w:rsid w:val="00A213A8"/>
    <w:rsid w:val="00A21F3E"/>
    <w:rsid w:val="00A64EC4"/>
    <w:rsid w:val="00A7023B"/>
    <w:rsid w:val="00A822B7"/>
    <w:rsid w:val="00AA6088"/>
    <w:rsid w:val="00AB5BEA"/>
    <w:rsid w:val="00AB65E7"/>
    <w:rsid w:val="00AD3414"/>
    <w:rsid w:val="00AD500F"/>
    <w:rsid w:val="00AE2CB4"/>
    <w:rsid w:val="00AE6898"/>
    <w:rsid w:val="00AF080D"/>
    <w:rsid w:val="00AF6545"/>
    <w:rsid w:val="00B00FC3"/>
    <w:rsid w:val="00B04440"/>
    <w:rsid w:val="00B46CEA"/>
    <w:rsid w:val="00B52584"/>
    <w:rsid w:val="00B60C8F"/>
    <w:rsid w:val="00B610B1"/>
    <w:rsid w:val="00B665E6"/>
    <w:rsid w:val="00B727F3"/>
    <w:rsid w:val="00B90F17"/>
    <w:rsid w:val="00B94B30"/>
    <w:rsid w:val="00B97AB7"/>
    <w:rsid w:val="00BA2AAF"/>
    <w:rsid w:val="00BA7D17"/>
    <w:rsid w:val="00BB076E"/>
    <w:rsid w:val="00BB1CF2"/>
    <w:rsid w:val="00BB7A25"/>
    <w:rsid w:val="00BC01AA"/>
    <w:rsid w:val="00BC0A3C"/>
    <w:rsid w:val="00BC5916"/>
    <w:rsid w:val="00BC621F"/>
    <w:rsid w:val="00BD76E4"/>
    <w:rsid w:val="00BE3312"/>
    <w:rsid w:val="00BE3414"/>
    <w:rsid w:val="00C032F0"/>
    <w:rsid w:val="00C03503"/>
    <w:rsid w:val="00C10E3A"/>
    <w:rsid w:val="00C12035"/>
    <w:rsid w:val="00C2045A"/>
    <w:rsid w:val="00C20621"/>
    <w:rsid w:val="00C21933"/>
    <w:rsid w:val="00C3728D"/>
    <w:rsid w:val="00C52681"/>
    <w:rsid w:val="00C57E29"/>
    <w:rsid w:val="00C63E8C"/>
    <w:rsid w:val="00C659A7"/>
    <w:rsid w:val="00C76FFC"/>
    <w:rsid w:val="00C9259F"/>
    <w:rsid w:val="00CA3398"/>
    <w:rsid w:val="00CA40FA"/>
    <w:rsid w:val="00CA6926"/>
    <w:rsid w:val="00CA735C"/>
    <w:rsid w:val="00CB3AD5"/>
    <w:rsid w:val="00CD71EB"/>
    <w:rsid w:val="00CD774C"/>
    <w:rsid w:val="00CE5AF1"/>
    <w:rsid w:val="00D12AFA"/>
    <w:rsid w:val="00D136A4"/>
    <w:rsid w:val="00D13D39"/>
    <w:rsid w:val="00D24868"/>
    <w:rsid w:val="00D24C53"/>
    <w:rsid w:val="00D2518B"/>
    <w:rsid w:val="00D32E4E"/>
    <w:rsid w:val="00D35790"/>
    <w:rsid w:val="00D5385A"/>
    <w:rsid w:val="00D57387"/>
    <w:rsid w:val="00D6443B"/>
    <w:rsid w:val="00D673DF"/>
    <w:rsid w:val="00D9105B"/>
    <w:rsid w:val="00DA0D39"/>
    <w:rsid w:val="00DB4A50"/>
    <w:rsid w:val="00DC6B01"/>
    <w:rsid w:val="00DD516B"/>
    <w:rsid w:val="00DF2758"/>
    <w:rsid w:val="00E06C0E"/>
    <w:rsid w:val="00E1480B"/>
    <w:rsid w:val="00E163B2"/>
    <w:rsid w:val="00E4406F"/>
    <w:rsid w:val="00E51881"/>
    <w:rsid w:val="00E524B6"/>
    <w:rsid w:val="00E55BD5"/>
    <w:rsid w:val="00E833DA"/>
    <w:rsid w:val="00E96282"/>
    <w:rsid w:val="00EB0C79"/>
    <w:rsid w:val="00EC54C3"/>
    <w:rsid w:val="00EC62DD"/>
    <w:rsid w:val="00EC76A0"/>
    <w:rsid w:val="00ED55B7"/>
    <w:rsid w:val="00EE5E7F"/>
    <w:rsid w:val="00F2169C"/>
    <w:rsid w:val="00F2386E"/>
    <w:rsid w:val="00F33BD8"/>
    <w:rsid w:val="00F406BB"/>
    <w:rsid w:val="00F4414D"/>
    <w:rsid w:val="00F675AA"/>
    <w:rsid w:val="00F76815"/>
    <w:rsid w:val="00F90A31"/>
    <w:rsid w:val="00FB1F96"/>
    <w:rsid w:val="00FB4437"/>
    <w:rsid w:val="00FC0BF3"/>
    <w:rsid w:val="00FC67DA"/>
    <w:rsid w:val="00FF0A6F"/>
    <w:rsid w:val="00FF5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C62DD"/>
    <w:rPr>
      <w:color w:val="954F72" w:themeColor="followedHyperlink"/>
      <w:u w:val="single"/>
    </w:rPr>
  </w:style>
  <w:style w:type="paragraph" w:customStyle="1" w:styleId="TableHeading">
    <w:name w:val="Table Heading"/>
    <w:basedOn w:val="Normal"/>
    <w:qFormat/>
    <w:rsid w:val="005311C1"/>
    <w:pPr>
      <w:spacing w:after="0" w:line="240" w:lineRule="atLeast"/>
    </w:pPr>
    <w:rPr>
      <w:rFonts w:ascii="Arial" w:eastAsia="Times New Roman" w:hAnsi="Arial" w:cs="Times New Roman"/>
      <w:b/>
      <w:sz w:val="20"/>
      <w:szCs w:val="24"/>
      <w:lang w:eastAsia="en-AU"/>
    </w:rPr>
  </w:style>
  <w:style w:type="paragraph" w:styleId="FootnoteText">
    <w:name w:val="footnote text"/>
    <w:basedOn w:val="Normal"/>
    <w:link w:val="FootnoteTextChar"/>
    <w:uiPriority w:val="99"/>
    <w:semiHidden/>
    <w:unhideWhenUsed/>
    <w:rsid w:val="00DC6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B01"/>
    <w:rPr>
      <w:sz w:val="20"/>
      <w:szCs w:val="20"/>
    </w:rPr>
  </w:style>
  <w:style w:type="character" w:styleId="FootnoteReference">
    <w:name w:val="footnote reference"/>
    <w:basedOn w:val="DefaultParagraphFont"/>
    <w:uiPriority w:val="99"/>
    <w:semiHidden/>
    <w:unhideWhenUsed/>
    <w:rsid w:val="00DC6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cma.gov.au/~/media/Finance%20Budgets%20and%20Revenue%20Assurance/Report/Word%20Document/Cost%20recovery%20implementation%20statement%2020141017%20docx.docx" TargetMode="External"/><Relationship Id="rId1" Type="http://schemas.openxmlformats.org/officeDocument/2006/relationships/hyperlink" Target="http://www.acma.gov.au/~/media/Finance%20Budgets%20and%20Revenue%20Assurance/Report/pdf/Cost%20recovery%20impact%20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74C0BB2-8B8E-4D7F-A1EB-011078CFB03B}">
  <ds:schemaRefs>
    <ds:schemaRef ds:uri="http://schemas.microsoft.com/office/2006/documentManagement/types"/>
    <ds:schemaRef ds:uri="4166a108-cb27-416c-894b-624a6237d659"/>
    <ds:schemaRef ds:uri="http://schemas.microsoft.com/office/infopath/2007/PartnerControls"/>
    <ds:schemaRef ds:uri="45cfd421-f814-4301-8451-1747e30ecc9d"/>
    <ds:schemaRef ds:uri="7bdb6d3f-7ccf-43fd-8d9a-052a0d1885a5"/>
    <ds:schemaRef ds:uri="http://schemas.openxmlformats.org/package/2006/metadata/core-properties"/>
    <ds:schemaRef ds:uri="f3645f92-38f9-45ad-8697-1de850906024"/>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F097D6FA-0567-452B-849F-B3256AA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5.xml><?xml version="1.0" encoding="utf-8"?>
<ds:datastoreItem xmlns:ds="http://schemas.openxmlformats.org/officeDocument/2006/customXml" ds:itemID="{32062540-FCEC-41AE-AB77-627C206C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3206</Words>
  <Characters>18278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Jay Jeyalingam</cp:lastModifiedBy>
  <cp:revision>2</cp:revision>
  <cp:lastPrinted>2016-07-25T00:08:00Z</cp:lastPrinted>
  <dcterms:created xsi:type="dcterms:W3CDTF">2017-03-22T04:19:00Z</dcterms:created>
  <dcterms:modified xsi:type="dcterms:W3CDTF">2017-03-22T04:19:00Z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