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C53" w:rsidRPr="0080765E" w:rsidRDefault="00286C53" w:rsidP="00286C53">
      <w:pPr>
        <w:jc w:val="center"/>
        <w:rPr>
          <w:b/>
          <w:sz w:val="28"/>
          <w:szCs w:val="28"/>
        </w:rPr>
      </w:pPr>
      <w:bookmarkStart w:id="0" w:name="_GoBack"/>
      <w:bookmarkEnd w:id="0"/>
      <w:r w:rsidRPr="0080765E">
        <w:rPr>
          <w:b/>
          <w:sz w:val="28"/>
          <w:szCs w:val="28"/>
        </w:rPr>
        <w:t>INSTRUMENT REGULATING FISHING</w:t>
      </w:r>
    </w:p>
    <w:p w:rsidR="00286C53" w:rsidRDefault="00286C53" w:rsidP="00286C53">
      <w:pPr>
        <w:jc w:val="center"/>
      </w:pPr>
    </w:p>
    <w:p w:rsidR="00286C53" w:rsidRPr="0080765E" w:rsidRDefault="00286C53" w:rsidP="00286C53">
      <w:pPr>
        <w:jc w:val="center"/>
        <w:rPr>
          <w:b/>
          <w:i/>
        </w:rPr>
      </w:pPr>
      <w:smartTag w:uri="urn:schemas-microsoft-com:office:smarttags" w:element="place">
        <w:r w:rsidRPr="0080765E">
          <w:rPr>
            <w:b/>
            <w:i/>
          </w:rPr>
          <w:t>Torres Strait</w:t>
        </w:r>
      </w:smartTag>
      <w:r w:rsidRPr="0080765E">
        <w:rPr>
          <w:b/>
          <w:i/>
        </w:rPr>
        <w:t xml:space="preserve"> Fisheries Act 1984</w:t>
      </w:r>
    </w:p>
    <w:p w:rsidR="00286C53" w:rsidRDefault="00286C53" w:rsidP="00286C53">
      <w:pPr>
        <w:jc w:val="center"/>
      </w:pPr>
      <w:r>
        <w:t>Section 16</w:t>
      </w:r>
    </w:p>
    <w:p w:rsidR="00286C53" w:rsidRDefault="00286C53" w:rsidP="00286C53">
      <w:pPr>
        <w:jc w:val="center"/>
        <w:rPr>
          <w:b/>
        </w:rPr>
      </w:pPr>
      <w:r w:rsidRPr="0080765E">
        <w:rPr>
          <w:b/>
        </w:rPr>
        <w:t xml:space="preserve">Torres Strait </w:t>
      </w:r>
      <w:r>
        <w:rPr>
          <w:b/>
        </w:rPr>
        <w:t>Sea Cucumber Fishery</w:t>
      </w:r>
    </w:p>
    <w:p w:rsidR="00286C53" w:rsidRDefault="00286C53" w:rsidP="00286C53">
      <w:pPr>
        <w:jc w:val="center"/>
        <w:rPr>
          <w:b/>
        </w:rPr>
      </w:pPr>
    </w:p>
    <w:p w:rsidR="00286C53" w:rsidRDefault="00286C53" w:rsidP="00286C53">
      <w:pPr>
        <w:jc w:val="center"/>
        <w:rPr>
          <w:b/>
        </w:rPr>
      </w:pPr>
      <w:r>
        <w:rPr>
          <w:b/>
        </w:rPr>
        <w:t>TORRES STRAIT FISHERIES MANAGEMENT INSTRUMENT NO. 15</w:t>
      </w:r>
    </w:p>
    <w:p w:rsidR="00286C53" w:rsidRDefault="00286C53" w:rsidP="00286C53">
      <w:pPr>
        <w:tabs>
          <w:tab w:val="left" w:pos="8647"/>
        </w:tabs>
        <w:rPr>
          <w:b/>
          <w:u w:val="single"/>
        </w:rPr>
      </w:pPr>
      <w:r>
        <w:rPr>
          <w:b/>
          <w:u w:val="single"/>
        </w:rPr>
        <w:tab/>
      </w:r>
    </w:p>
    <w:p w:rsidR="00286C53" w:rsidRDefault="00286C53" w:rsidP="00286C53">
      <w:pPr>
        <w:tabs>
          <w:tab w:val="left" w:pos="8100"/>
        </w:tabs>
      </w:pPr>
    </w:p>
    <w:p w:rsidR="00286C53" w:rsidRDefault="00286C53" w:rsidP="00286C53">
      <w:pPr>
        <w:tabs>
          <w:tab w:val="left" w:pos="8100"/>
        </w:tabs>
      </w:pPr>
      <w:r>
        <w:t xml:space="preserve">The </w:t>
      </w:r>
      <w:r w:rsidRPr="0080765E">
        <w:rPr>
          <w:b/>
        </w:rPr>
        <w:t>PROTECTED ZONE JOINT AUTHORITY</w:t>
      </w:r>
      <w:r>
        <w:t xml:space="preserve"> exercising jurisdiction under Commonwealth law over commercial fishing in the Protected Zone pursuant to the arrangement between the Commonwealth and the State of Queensland published on 19</w:t>
      </w:r>
      <w:r w:rsidRPr="00F51B7E">
        <w:rPr>
          <w:vertAlign w:val="superscript"/>
        </w:rPr>
        <w:t>th</w:t>
      </w:r>
      <w:r>
        <w:t xml:space="preserve"> March 1999 in the Commonwealth Gazette No. S125 and </w:t>
      </w:r>
      <w:r w:rsidRPr="00041C6D">
        <w:t xml:space="preserve">acting in accordance with the powers conferred on the Authority by paragraph 35(1)(a) of the </w:t>
      </w:r>
      <w:r w:rsidRPr="00041C6D">
        <w:rPr>
          <w:i/>
        </w:rPr>
        <w:t>Torres Strait Fisheries Act 1984</w:t>
      </w:r>
      <w:r w:rsidRPr="00041C6D">
        <w:t xml:space="preserve">, </w:t>
      </w:r>
      <w:r w:rsidRPr="00A41907">
        <w:t xml:space="preserve">under section 16 of the </w:t>
      </w:r>
      <w:r w:rsidRPr="00A41907">
        <w:rPr>
          <w:i/>
        </w:rPr>
        <w:t xml:space="preserve">Torres Strait Fisheries Act 1984, </w:t>
      </w:r>
      <w:r w:rsidRPr="00A41907">
        <w:t>makes the</w:t>
      </w:r>
      <w:r w:rsidRPr="00041C6D">
        <w:t xml:space="preserve"> following </w:t>
      </w:r>
      <w:r>
        <w:t>Instrument</w:t>
      </w:r>
      <w:r w:rsidRPr="00041C6D">
        <w:t>.</w:t>
      </w:r>
    </w:p>
    <w:p w:rsidR="00286C53" w:rsidRDefault="00286C53" w:rsidP="00286C53">
      <w:pPr>
        <w:tabs>
          <w:tab w:val="left" w:pos="8100"/>
        </w:tabs>
      </w:pPr>
    </w:p>
    <w:p w:rsidR="00286C53" w:rsidRDefault="00286C53" w:rsidP="00286C53">
      <w:pPr>
        <w:tabs>
          <w:tab w:val="left" w:pos="8100"/>
        </w:tabs>
        <w:jc w:val="both"/>
      </w:pPr>
    </w:p>
    <w:p w:rsidR="00286C53" w:rsidRDefault="00286C53" w:rsidP="00286C53">
      <w:pPr>
        <w:tabs>
          <w:tab w:val="left" w:pos="8100"/>
        </w:tabs>
        <w:jc w:val="both"/>
        <w:rPr>
          <w:b/>
        </w:rPr>
      </w:pPr>
      <w:r w:rsidRPr="0080765E">
        <w:rPr>
          <w:b/>
        </w:rPr>
        <w:t>Dated</w:t>
      </w:r>
      <w:r>
        <w:rPr>
          <w:b/>
        </w:rPr>
        <w:t xml:space="preserve">           </w:t>
      </w:r>
      <w:r w:rsidR="00AB6C4F">
        <w:rPr>
          <w:b/>
        </w:rPr>
        <w:t>31</w:t>
      </w:r>
      <w:r w:rsidR="00AB6C4F" w:rsidRPr="00AB6C4F">
        <w:rPr>
          <w:b/>
          <w:vertAlign w:val="superscript"/>
        </w:rPr>
        <w:t>st</w:t>
      </w:r>
      <w:r w:rsidR="00AB6C4F">
        <w:rPr>
          <w:b/>
        </w:rPr>
        <w:t xml:space="preserve"> March</w:t>
      </w:r>
      <w:r>
        <w:rPr>
          <w:b/>
        </w:rPr>
        <w:t xml:space="preserve">   2017</w:t>
      </w:r>
    </w:p>
    <w:p w:rsidR="00286C53" w:rsidRDefault="00286C53" w:rsidP="00286C53">
      <w:pPr>
        <w:tabs>
          <w:tab w:val="left" w:pos="8100"/>
        </w:tabs>
        <w:jc w:val="both"/>
        <w:rPr>
          <w:b/>
        </w:rPr>
      </w:pPr>
    </w:p>
    <w:p w:rsidR="00286C53" w:rsidRDefault="00286C53" w:rsidP="00286C53">
      <w:pPr>
        <w:tabs>
          <w:tab w:val="left" w:pos="8100"/>
        </w:tabs>
        <w:jc w:val="both"/>
        <w:rPr>
          <w:b/>
        </w:rPr>
      </w:pPr>
    </w:p>
    <w:p w:rsidR="00286C53" w:rsidRDefault="00286C53" w:rsidP="00286C53">
      <w:pPr>
        <w:tabs>
          <w:tab w:val="left" w:pos="8100"/>
        </w:tabs>
        <w:jc w:val="both"/>
        <w:rPr>
          <w:b/>
        </w:rPr>
      </w:pPr>
    </w:p>
    <w:p w:rsidR="00286C53" w:rsidRDefault="00286C53" w:rsidP="00286C53">
      <w:pPr>
        <w:tabs>
          <w:tab w:val="left" w:pos="8100"/>
        </w:tabs>
        <w:jc w:val="both"/>
        <w:rPr>
          <w:b/>
        </w:rPr>
      </w:pPr>
    </w:p>
    <w:p w:rsidR="00286C53" w:rsidRDefault="00286C53" w:rsidP="00286C53">
      <w:pPr>
        <w:tabs>
          <w:tab w:val="left" w:pos="8100"/>
        </w:tabs>
        <w:jc w:val="both"/>
        <w:rPr>
          <w:b/>
        </w:rPr>
      </w:pPr>
    </w:p>
    <w:p w:rsidR="00286C53" w:rsidRPr="00480691" w:rsidRDefault="00286C53" w:rsidP="00286C53">
      <w:pPr>
        <w:tabs>
          <w:tab w:val="left" w:pos="8100"/>
        </w:tabs>
        <w:rPr>
          <w:b/>
        </w:rPr>
      </w:pPr>
      <w:r w:rsidRPr="00480691">
        <w:rPr>
          <w:b/>
        </w:rPr>
        <w:t>Senator the Hon. Anne Ruston</w:t>
      </w:r>
    </w:p>
    <w:p w:rsidR="00286C53" w:rsidRDefault="00286C53" w:rsidP="00286C53">
      <w:pPr>
        <w:tabs>
          <w:tab w:val="left" w:pos="8100"/>
        </w:tabs>
      </w:pPr>
      <w:r w:rsidRPr="00480691">
        <w:t xml:space="preserve">Parliamentary Secretary to the </w:t>
      </w:r>
      <w:r>
        <w:t xml:space="preserve">Deputy Prime Minister and </w:t>
      </w:r>
      <w:r w:rsidRPr="00480691">
        <w:t>Minister for Agriculture and Water Resources</w:t>
      </w:r>
    </w:p>
    <w:p w:rsidR="00286C53" w:rsidRDefault="00286C53" w:rsidP="00286C53">
      <w:pPr>
        <w:tabs>
          <w:tab w:val="left" w:pos="8100"/>
        </w:tabs>
      </w:pPr>
      <w:r>
        <w:t>Chair</w:t>
      </w:r>
      <w:r w:rsidRPr="00480691">
        <w:t xml:space="preserve"> of the Torres Strait Protected Zone Joint Authority</w:t>
      </w:r>
    </w:p>
    <w:p w:rsidR="00286C53" w:rsidRDefault="00286C53" w:rsidP="00286C53">
      <w:pPr>
        <w:tabs>
          <w:tab w:val="left" w:pos="8100"/>
        </w:tabs>
        <w:jc w:val="both"/>
      </w:pPr>
    </w:p>
    <w:p w:rsidR="00286C53" w:rsidRDefault="00286C53" w:rsidP="00286C53">
      <w:pPr>
        <w:tabs>
          <w:tab w:val="left" w:pos="8789"/>
        </w:tabs>
        <w:jc w:val="both"/>
        <w:rPr>
          <w:b/>
          <w:u w:val="single"/>
        </w:rPr>
      </w:pPr>
      <w:r>
        <w:rPr>
          <w:b/>
          <w:u w:val="single"/>
        </w:rPr>
        <w:tab/>
      </w:r>
    </w:p>
    <w:p w:rsidR="00286C53" w:rsidRDefault="00286C53" w:rsidP="00286C53">
      <w:pPr>
        <w:tabs>
          <w:tab w:val="left" w:pos="8100"/>
        </w:tabs>
        <w:jc w:val="both"/>
      </w:pPr>
    </w:p>
    <w:p w:rsidR="00286C53" w:rsidRDefault="00286C53" w:rsidP="00286C53">
      <w:pPr>
        <w:keepNext/>
        <w:tabs>
          <w:tab w:val="left" w:pos="720"/>
          <w:tab w:val="left" w:pos="8100"/>
        </w:tabs>
        <w:rPr>
          <w:b/>
        </w:rPr>
      </w:pPr>
      <w:r w:rsidRPr="009B58E2">
        <w:rPr>
          <w:b/>
        </w:rPr>
        <w:t>Citation</w:t>
      </w:r>
    </w:p>
    <w:p w:rsidR="00286C53" w:rsidRDefault="00286C53" w:rsidP="00286C53">
      <w:pPr>
        <w:pStyle w:val="AFMANormal"/>
        <w:ind w:left="360" w:hanging="360"/>
      </w:pPr>
      <w:r>
        <w:t>1.</w:t>
      </w:r>
      <w:r>
        <w:tab/>
        <w:t xml:space="preserve">This Instrument may be cited as the </w:t>
      </w:r>
      <w:r w:rsidRPr="00131539">
        <w:rPr>
          <w:i/>
        </w:rPr>
        <w:t>Torres Strait Fisheries Management Instrument No.</w:t>
      </w:r>
      <w:r>
        <w:rPr>
          <w:i/>
        </w:rPr>
        <w:t> 15</w:t>
      </w:r>
      <w:r>
        <w:t>.</w:t>
      </w:r>
    </w:p>
    <w:p w:rsidR="00286C53" w:rsidRPr="00041C6D" w:rsidRDefault="00286C53" w:rsidP="00286C53">
      <w:pPr>
        <w:widowControl w:val="0"/>
        <w:autoSpaceDE w:val="0"/>
        <w:autoSpaceDN w:val="0"/>
        <w:adjustRightInd w:val="0"/>
        <w:jc w:val="both"/>
      </w:pPr>
    </w:p>
    <w:p w:rsidR="00286C53" w:rsidRDefault="00286C53" w:rsidP="00286C53">
      <w:pPr>
        <w:keepNext/>
        <w:tabs>
          <w:tab w:val="left" w:pos="720"/>
          <w:tab w:val="left" w:pos="8100"/>
        </w:tabs>
        <w:rPr>
          <w:b/>
        </w:rPr>
      </w:pPr>
      <w:r w:rsidRPr="00041C6D">
        <w:rPr>
          <w:b/>
        </w:rPr>
        <w:t>C</w:t>
      </w:r>
      <w:r>
        <w:rPr>
          <w:b/>
        </w:rPr>
        <w:t xml:space="preserve">ommencement </w:t>
      </w:r>
    </w:p>
    <w:p w:rsidR="00286C53" w:rsidRPr="00041C6D" w:rsidRDefault="00286C53" w:rsidP="00286C53">
      <w:pPr>
        <w:pStyle w:val="AFMANormal"/>
        <w:ind w:left="360" w:hanging="360"/>
      </w:pPr>
      <w:r w:rsidRPr="00041C6D">
        <w:t>2.</w:t>
      </w:r>
      <w:r w:rsidRPr="00041C6D">
        <w:tab/>
        <w:t xml:space="preserve">This </w:t>
      </w:r>
      <w:r>
        <w:t>Instrument</w:t>
      </w:r>
      <w:r w:rsidRPr="00041C6D">
        <w:t xml:space="preserve"> commences on </w:t>
      </w:r>
      <w:r>
        <w:t>the day after it is registered on the Federal Register of Legislative Instruments</w:t>
      </w:r>
      <w:r w:rsidRPr="00041C6D">
        <w:t>.</w:t>
      </w:r>
    </w:p>
    <w:p w:rsidR="00286C53" w:rsidRDefault="00286C53" w:rsidP="00286C53">
      <w:pPr>
        <w:widowControl w:val="0"/>
        <w:autoSpaceDE w:val="0"/>
        <w:autoSpaceDN w:val="0"/>
        <w:adjustRightInd w:val="0"/>
        <w:jc w:val="both"/>
      </w:pPr>
    </w:p>
    <w:p w:rsidR="00286C53" w:rsidRPr="00480691" w:rsidRDefault="00286C53" w:rsidP="00286C53">
      <w:pPr>
        <w:keepNext/>
        <w:tabs>
          <w:tab w:val="left" w:pos="720"/>
          <w:tab w:val="left" w:pos="8100"/>
        </w:tabs>
        <w:rPr>
          <w:b/>
        </w:rPr>
      </w:pPr>
      <w:r w:rsidRPr="00480691">
        <w:rPr>
          <w:b/>
        </w:rPr>
        <w:t>Cessation</w:t>
      </w:r>
    </w:p>
    <w:p w:rsidR="00286C53" w:rsidRDefault="00286C53" w:rsidP="00286C53">
      <w:pPr>
        <w:pStyle w:val="AFMANormal"/>
        <w:ind w:left="360" w:hanging="360"/>
      </w:pPr>
      <w:r w:rsidRPr="00480691">
        <w:t>3.</w:t>
      </w:r>
      <w:r w:rsidRPr="00480691">
        <w:tab/>
        <w:t>This Instrument</w:t>
      </w:r>
      <w:r>
        <w:t xml:space="preserve"> is repealed on </w:t>
      </w:r>
      <w:r w:rsidRPr="00F51B7E">
        <w:t>31 December 2026</w:t>
      </w:r>
      <w:r w:rsidRPr="00480691">
        <w:t xml:space="preserve"> unless earlier revoked.</w:t>
      </w:r>
    </w:p>
    <w:p w:rsidR="00286C53" w:rsidRPr="00041C6D" w:rsidRDefault="00286C53" w:rsidP="00286C53">
      <w:pPr>
        <w:widowControl w:val="0"/>
        <w:autoSpaceDE w:val="0"/>
        <w:autoSpaceDN w:val="0"/>
        <w:adjustRightInd w:val="0"/>
        <w:jc w:val="both"/>
      </w:pPr>
    </w:p>
    <w:p w:rsidR="00286C53" w:rsidRDefault="00286C53" w:rsidP="00286C53">
      <w:pPr>
        <w:keepNext/>
        <w:tabs>
          <w:tab w:val="left" w:pos="720"/>
          <w:tab w:val="left" w:pos="8100"/>
        </w:tabs>
        <w:rPr>
          <w:b/>
        </w:rPr>
      </w:pPr>
      <w:r w:rsidRPr="00041C6D">
        <w:rPr>
          <w:b/>
        </w:rPr>
        <w:t>I</w:t>
      </w:r>
      <w:r>
        <w:rPr>
          <w:b/>
        </w:rPr>
        <w:t>nterpretation</w:t>
      </w:r>
    </w:p>
    <w:p w:rsidR="00286C53" w:rsidRPr="00041C6D" w:rsidRDefault="00286C53" w:rsidP="00286C53">
      <w:pPr>
        <w:pStyle w:val="AFMANormal"/>
        <w:ind w:left="360" w:hanging="360"/>
      </w:pPr>
      <w:r>
        <w:t>4</w:t>
      </w:r>
      <w:r w:rsidRPr="00041C6D">
        <w:t>.1</w:t>
      </w:r>
      <w:r w:rsidRPr="00041C6D">
        <w:tab/>
        <w:t xml:space="preserve">In this </w:t>
      </w:r>
      <w:r>
        <w:t>Instrument</w:t>
      </w:r>
      <w:r w:rsidRPr="00041C6D">
        <w:t xml:space="preserve">, unless the contrary intention appears “the Act” means the </w:t>
      </w:r>
      <w:r w:rsidRPr="00041C6D">
        <w:rPr>
          <w:i/>
        </w:rPr>
        <w:t>Torres Strait Fisheries Act 1984</w:t>
      </w:r>
      <w:r w:rsidR="000B720F">
        <w:t>;</w:t>
      </w:r>
      <w:r w:rsidR="00922CE4">
        <w:t xml:space="preserve"> and</w:t>
      </w:r>
    </w:p>
    <w:p w:rsidR="00286C53" w:rsidRPr="00041C6D" w:rsidRDefault="00286C53" w:rsidP="00286C53">
      <w:pPr>
        <w:widowControl w:val="0"/>
        <w:autoSpaceDE w:val="0"/>
        <w:autoSpaceDN w:val="0"/>
        <w:adjustRightInd w:val="0"/>
        <w:ind w:firstLine="720"/>
        <w:jc w:val="both"/>
      </w:pPr>
    </w:p>
    <w:p w:rsidR="00286C53" w:rsidRPr="00041C6D" w:rsidRDefault="00286C53" w:rsidP="00286C53">
      <w:pPr>
        <w:widowControl w:val="0"/>
        <w:autoSpaceDE w:val="0"/>
        <w:autoSpaceDN w:val="0"/>
        <w:adjustRightInd w:val="0"/>
        <w:ind w:left="426" w:hanging="426"/>
        <w:jc w:val="both"/>
      </w:pPr>
      <w:r>
        <w:t>4</w:t>
      </w:r>
      <w:r w:rsidRPr="00041C6D">
        <w:t>.2</w:t>
      </w:r>
      <w:r w:rsidRPr="00041C6D">
        <w:tab/>
        <w:t xml:space="preserve">Terms used but not defined in this </w:t>
      </w:r>
      <w:r>
        <w:t>Instrument</w:t>
      </w:r>
      <w:r w:rsidRPr="00041C6D">
        <w:t xml:space="preserve"> have the same meaning as in the Act and </w:t>
      </w:r>
      <w:r w:rsidRPr="00041C6D">
        <w:lastRenderedPageBreak/>
        <w:t xml:space="preserve">the </w:t>
      </w:r>
      <w:r w:rsidRPr="00041C6D">
        <w:rPr>
          <w:i/>
        </w:rPr>
        <w:t>Torres Strait Fisheries Regulations</w:t>
      </w:r>
      <w:r>
        <w:rPr>
          <w:i/>
        </w:rPr>
        <w:t xml:space="preserve"> 1985</w:t>
      </w:r>
      <w:r w:rsidRPr="00041C6D">
        <w:t>; and</w:t>
      </w:r>
    </w:p>
    <w:p w:rsidR="00286C53" w:rsidRPr="00041C6D" w:rsidRDefault="00286C53" w:rsidP="00286C53">
      <w:pPr>
        <w:widowControl w:val="0"/>
        <w:autoSpaceDE w:val="0"/>
        <w:autoSpaceDN w:val="0"/>
        <w:adjustRightInd w:val="0"/>
        <w:ind w:firstLine="720"/>
        <w:jc w:val="both"/>
      </w:pPr>
    </w:p>
    <w:p w:rsidR="00286C53" w:rsidRDefault="00286C53" w:rsidP="00286C53">
      <w:pPr>
        <w:tabs>
          <w:tab w:val="left" w:pos="540"/>
        </w:tabs>
        <w:ind w:left="540" w:hanging="540"/>
        <w:rPr>
          <w:i/>
        </w:rPr>
      </w:pPr>
      <w:r>
        <w:t>4.3 “</w:t>
      </w:r>
      <w:r>
        <w:rPr>
          <w:b/>
        </w:rPr>
        <w:t>sea cucumber</w:t>
      </w:r>
      <w:r>
        <w:t xml:space="preserve">” </w:t>
      </w:r>
      <w:r w:rsidRPr="006040A2">
        <w:t xml:space="preserve">means fish of the families </w:t>
      </w:r>
      <w:r w:rsidRPr="0038606B">
        <w:t>Holothuriidae a</w:t>
      </w:r>
      <w:r w:rsidRPr="006040A2">
        <w:t xml:space="preserve">nd </w:t>
      </w:r>
      <w:r w:rsidRPr="0038606B">
        <w:t>Stichopodidae;</w:t>
      </w:r>
      <w:r w:rsidRPr="006040A2">
        <w:t xml:space="preserve"> and</w:t>
      </w:r>
    </w:p>
    <w:p w:rsidR="00286C53" w:rsidRDefault="00286C53" w:rsidP="00286C53"/>
    <w:p w:rsidR="00286C53" w:rsidRDefault="00286C53" w:rsidP="00286C53">
      <w:pPr>
        <w:tabs>
          <w:tab w:val="left" w:pos="540"/>
        </w:tabs>
      </w:pPr>
      <w:r>
        <w:t>4.4</w:t>
      </w:r>
      <w:r>
        <w:tab/>
      </w:r>
      <w:r w:rsidRPr="006040A2">
        <w:t>“</w:t>
      </w:r>
      <w:r w:rsidRPr="006040A2">
        <w:rPr>
          <w:b/>
        </w:rPr>
        <w:t>underwater breathing apparatus</w:t>
      </w:r>
      <w:r w:rsidRPr="006040A2">
        <w:t xml:space="preserve">” means any apparatus that delivers air or other breathing gas </w:t>
      </w:r>
      <w:r w:rsidR="007E72DF">
        <w:t>to a person</w:t>
      </w:r>
      <w:r>
        <w:t>.</w:t>
      </w:r>
    </w:p>
    <w:p w:rsidR="00286C53" w:rsidRDefault="00286C53" w:rsidP="00286C53">
      <w:pPr>
        <w:pStyle w:val="Header"/>
        <w:tabs>
          <w:tab w:val="left" w:pos="540"/>
        </w:tabs>
      </w:pPr>
    </w:p>
    <w:p w:rsidR="00286C53" w:rsidRPr="00A71BF3" w:rsidRDefault="00286C53" w:rsidP="00286C53">
      <w:pPr>
        <w:keepNext/>
        <w:tabs>
          <w:tab w:val="left" w:pos="720"/>
          <w:tab w:val="left" w:pos="8100"/>
        </w:tabs>
        <w:rPr>
          <w:b/>
        </w:rPr>
      </w:pPr>
      <w:r>
        <w:rPr>
          <w:b/>
        </w:rPr>
        <w:t>Prohibitions</w:t>
      </w:r>
    </w:p>
    <w:p w:rsidR="00286C53" w:rsidRDefault="00286C53" w:rsidP="00286C53">
      <w:pPr>
        <w:pStyle w:val="AFMANormal"/>
        <w:ind w:left="360" w:hanging="360"/>
      </w:pPr>
      <w:r>
        <w:t>5</w:t>
      </w:r>
      <w:r>
        <w:rPr>
          <w:lang w:val="en-US"/>
        </w:rPr>
        <w:t xml:space="preserve">. </w:t>
      </w:r>
      <w:r>
        <w:t xml:space="preserve">Pursuant to paragraph 16(1)(a) of the Act, </w:t>
      </w:r>
      <w:r w:rsidRPr="006040A2">
        <w:t xml:space="preserve">the taking, processing or carrying of sea </w:t>
      </w:r>
      <w:r w:rsidRPr="002F625E">
        <w:rPr>
          <w:lang w:val="en-US"/>
        </w:rPr>
        <w:t>cucumber</w:t>
      </w:r>
      <w:r w:rsidRPr="006040A2">
        <w:t xml:space="preserve"> in the area of the Torres Strait Sea Cucumber Fishery is prohibited.</w:t>
      </w:r>
    </w:p>
    <w:p w:rsidR="00286C53" w:rsidRDefault="00286C53" w:rsidP="00286C53">
      <w:pPr>
        <w:pStyle w:val="notice1"/>
        <w:rPr>
          <w:rFonts w:ascii="Times New Roman" w:hAnsi="Times New Roman"/>
        </w:rPr>
      </w:pPr>
    </w:p>
    <w:p w:rsidR="00286C53" w:rsidRPr="006040A2" w:rsidRDefault="00286C53" w:rsidP="00286C53">
      <w:pPr>
        <w:keepNext/>
        <w:tabs>
          <w:tab w:val="left" w:pos="720"/>
          <w:tab w:val="left" w:pos="8100"/>
        </w:tabs>
        <w:rPr>
          <w:b/>
        </w:rPr>
      </w:pPr>
      <w:r>
        <w:rPr>
          <w:b/>
        </w:rPr>
        <w:t>Size limits</w:t>
      </w:r>
    </w:p>
    <w:p w:rsidR="00286C53" w:rsidRDefault="00286C53" w:rsidP="00286C53">
      <w:pPr>
        <w:pStyle w:val="AFMANormal"/>
        <w:ind w:left="360" w:hanging="360"/>
      </w:pPr>
      <w:r>
        <w:t>6</w:t>
      </w:r>
      <w:r w:rsidRPr="00A71BF3">
        <w:t>.</w:t>
      </w:r>
      <w:r w:rsidRPr="00A71BF3">
        <w:tab/>
      </w:r>
      <w:r w:rsidRPr="006040A2">
        <w:t>Pursuant to paragraph 16(1)(b) of the Act, it is prohibited to take in the area of the Torres Strait Sea Cucumber Fishery species of the kind referred to in the Schedule that, when measured in their original living form at their longest point, are less than the lengths specified in respect of each species in the Schedule.</w:t>
      </w:r>
    </w:p>
    <w:p w:rsidR="00286C53" w:rsidRPr="00A71BF3" w:rsidRDefault="00286C53" w:rsidP="00286C53">
      <w:pPr>
        <w:pStyle w:val="notice1"/>
        <w:tabs>
          <w:tab w:val="left" w:pos="426"/>
        </w:tabs>
        <w:ind w:left="426" w:hanging="426"/>
      </w:pPr>
    </w:p>
    <w:p w:rsidR="00286C53" w:rsidRPr="006040A2" w:rsidRDefault="00286C53" w:rsidP="00286C53">
      <w:pPr>
        <w:pStyle w:val="notice1"/>
        <w:jc w:val="center"/>
        <w:rPr>
          <w:rFonts w:ascii="Times New Roman" w:hAnsi="Times New Roman"/>
          <w:b/>
          <w:u w:val="single"/>
        </w:rPr>
      </w:pPr>
      <w:r w:rsidRPr="006040A2">
        <w:rPr>
          <w:rFonts w:ascii="Times New Roman" w:hAnsi="Times New Roman"/>
          <w:b/>
          <w:u w:val="single"/>
        </w:rPr>
        <w:t>SCHEDULE</w:t>
      </w:r>
    </w:p>
    <w:p w:rsidR="00286C53" w:rsidRPr="006040A2" w:rsidRDefault="00286C53" w:rsidP="00286C53">
      <w:pPr>
        <w:pStyle w:val="notice1"/>
        <w:tabs>
          <w:tab w:val="left" w:pos="426"/>
        </w:tabs>
        <w:ind w:left="426" w:hanging="426"/>
      </w:pPr>
    </w:p>
    <w:tbl>
      <w:tblPr>
        <w:tblW w:w="0" w:type="auto"/>
        <w:tblLayout w:type="fixed"/>
        <w:tblLook w:val="0000" w:firstRow="0" w:lastRow="0" w:firstColumn="0" w:lastColumn="0" w:noHBand="0" w:noVBand="0"/>
      </w:tblPr>
      <w:tblGrid>
        <w:gridCol w:w="5598"/>
        <w:gridCol w:w="3642"/>
      </w:tblGrid>
      <w:tr w:rsidR="00286C53" w:rsidRPr="006040A2" w:rsidTr="00E31229">
        <w:trPr>
          <w:cantSplit/>
        </w:trPr>
        <w:tc>
          <w:tcPr>
            <w:tcW w:w="5598" w:type="dxa"/>
            <w:tcBorders>
              <w:bottom w:val="single" w:sz="6" w:space="0" w:color="auto"/>
            </w:tcBorders>
          </w:tcPr>
          <w:p w:rsidR="00286C53" w:rsidRPr="006040A2" w:rsidRDefault="00286C53" w:rsidP="00E31229">
            <w:pPr>
              <w:jc w:val="center"/>
            </w:pPr>
            <w:r w:rsidRPr="006040A2">
              <w:rPr>
                <w:b/>
              </w:rPr>
              <w:t>SPECIES</w:t>
            </w:r>
          </w:p>
        </w:tc>
        <w:tc>
          <w:tcPr>
            <w:tcW w:w="3642" w:type="dxa"/>
            <w:tcBorders>
              <w:left w:val="single" w:sz="6" w:space="0" w:color="auto"/>
            </w:tcBorders>
          </w:tcPr>
          <w:p w:rsidR="00286C53" w:rsidRPr="006040A2" w:rsidRDefault="00286C53" w:rsidP="00E31229">
            <w:pPr>
              <w:jc w:val="center"/>
            </w:pPr>
            <w:r w:rsidRPr="006040A2">
              <w:rPr>
                <w:b/>
              </w:rPr>
              <w:t>LENGTH IN MILLIMETRES</w:t>
            </w:r>
          </w:p>
        </w:tc>
      </w:tr>
      <w:tr w:rsidR="00286C53" w:rsidRPr="006040A2" w:rsidTr="00E31229">
        <w:trPr>
          <w:cantSplit/>
        </w:trPr>
        <w:tc>
          <w:tcPr>
            <w:tcW w:w="5598" w:type="dxa"/>
          </w:tcPr>
          <w:p w:rsidR="00286C53" w:rsidRPr="006040A2" w:rsidRDefault="00286C53" w:rsidP="00E31229">
            <w:pPr>
              <w:spacing w:before="40"/>
              <w:ind w:left="57"/>
            </w:pPr>
            <w:r w:rsidRPr="006040A2">
              <w:t>Sandfish (</w:t>
            </w:r>
            <w:r w:rsidRPr="006040A2">
              <w:rPr>
                <w:i/>
              </w:rPr>
              <w:t>Holothuria scabra)</w:t>
            </w:r>
          </w:p>
        </w:tc>
        <w:tc>
          <w:tcPr>
            <w:tcW w:w="3642" w:type="dxa"/>
            <w:tcBorders>
              <w:top w:val="single" w:sz="6" w:space="0" w:color="auto"/>
              <w:left w:val="single" w:sz="6" w:space="0" w:color="auto"/>
            </w:tcBorders>
          </w:tcPr>
          <w:p w:rsidR="00286C53" w:rsidRPr="006040A2" w:rsidRDefault="00286C53" w:rsidP="00E31229">
            <w:pPr>
              <w:spacing w:before="40"/>
              <w:jc w:val="center"/>
            </w:pPr>
            <w:r w:rsidRPr="006040A2">
              <w:t>180</w:t>
            </w:r>
          </w:p>
        </w:tc>
      </w:tr>
      <w:tr w:rsidR="00286C53" w:rsidRPr="006040A2" w:rsidTr="00E31229">
        <w:trPr>
          <w:cantSplit/>
        </w:trPr>
        <w:tc>
          <w:tcPr>
            <w:tcW w:w="5598" w:type="dxa"/>
          </w:tcPr>
          <w:p w:rsidR="00286C53" w:rsidRPr="006040A2" w:rsidRDefault="00286C53" w:rsidP="00E31229">
            <w:pPr>
              <w:ind w:left="57"/>
            </w:pPr>
            <w:r w:rsidRPr="006040A2">
              <w:t>Lollyfish (</w:t>
            </w:r>
            <w:r w:rsidRPr="006040A2">
              <w:rPr>
                <w:i/>
              </w:rPr>
              <w:t>Holothuria atra</w:t>
            </w:r>
            <w:r w:rsidRPr="006040A2">
              <w:t>)</w:t>
            </w:r>
          </w:p>
        </w:tc>
        <w:tc>
          <w:tcPr>
            <w:tcW w:w="3642" w:type="dxa"/>
            <w:tcBorders>
              <w:left w:val="single" w:sz="6" w:space="0" w:color="auto"/>
            </w:tcBorders>
          </w:tcPr>
          <w:p w:rsidR="00286C53" w:rsidRPr="006040A2" w:rsidRDefault="00286C53" w:rsidP="00E31229">
            <w:pPr>
              <w:jc w:val="center"/>
            </w:pPr>
            <w:r w:rsidRPr="006040A2">
              <w:t>150</w:t>
            </w:r>
          </w:p>
        </w:tc>
      </w:tr>
      <w:tr w:rsidR="00286C53" w:rsidRPr="006040A2" w:rsidTr="00E31229">
        <w:trPr>
          <w:cantSplit/>
        </w:trPr>
        <w:tc>
          <w:tcPr>
            <w:tcW w:w="5598" w:type="dxa"/>
          </w:tcPr>
          <w:p w:rsidR="00286C53" w:rsidRPr="006040A2" w:rsidRDefault="00286C53" w:rsidP="00E31229">
            <w:pPr>
              <w:ind w:left="57"/>
            </w:pPr>
            <w:r w:rsidRPr="006040A2">
              <w:t>Black teatfish (</w:t>
            </w:r>
            <w:r w:rsidRPr="006040A2">
              <w:rPr>
                <w:i/>
              </w:rPr>
              <w:t xml:space="preserve">Holothuria </w:t>
            </w:r>
            <w:r>
              <w:rPr>
                <w:i/>
                <w:snapToGrid w:val="0"/>
                <w:lang w:eastAsia="en-US"/>
              </w:rPr>
              <w:t>whitmaei</w:t>
            </w:r>
            <w:r w:rsidRPr="006040A2">
              <w:t>)</w:t>
            </w:r>
          </w:p>
        </w:tc>
        <w:tc>
          <w:tcPr>
            <w:tcW w:w="3642" w:type="dxa"/>
            <w:tcBorders>
              <w:left w:val="single" w:sz="6" w:space="0" w:color="auto"/>
            </w:tcBorders>
          </w:tcPr>
          <w:p w:rsidR="00286C53" w:rsidRPr="006040A2" w:rsidRDefault="00286C53" w:rsidP="00E31229">
            <w:pPr>
              <w:jc w:val="center"/>
            </w:pPr>
            <w:r w:rsidRPr="006040A2">
              <w:t>250</w:t>
            </w:r>
          </w:p>
        </w:tc>
      </w:tr>
      <w:tr w:rsidR="00286C53" w:rsidRPr="006040A2" w:rsidTr="00E31229">
        <w:trPr>
          <w:cantSplit/>
        </w:trPr>
        <w:tc>
          <w:tcPr>
            <w:tcW w:w="5598" w:type="dxa"/>
          </w:tcPr>
          <w:p w:rsidR="00286C53" w:rsidRPr="006040A2" w:rsidRDefault="00286C53" w:rsidP="00E31229">
            <w:pPr>
              <w:ind w:left="57"/>
            </w:pPr>
            <w:r w:rsidRPr="006040A2">
              <w:t>White teatfish (</w:t>
            </w:r>
            <w:r w:rsidRPr="006040A2">
              <w:rPr>
                <w:i/>
              </w:rPr>
              <w:t>Holothuria fuscogilva</w:t>
            </w:r>
            <w:r w:rsidRPr="006040A2">
              <w:t>)</w:t>
            </w:r>
          </w:p>
        </w:tc>
        <w:tc>
          <w:tcPr>
            <w:tcW w:w="3642" w:type="dxa"/>
            <w:tcBorders>
              <w:left w:val="single" w:sz="6" w:space="0" w:color="auto"/>
            </w:tcBorders>
          </w:tcPr>
          <w:p w:rsidR="00286C53" w:rsidRPr="006040A2" w:rsidRDefault="00286C53" w:rsidP="00E31229">
            <w:pPr>
              <w:jc w:val="center"/>
            </w:pPr>
            <w:r w:rsidRPr="006040A2">
              <w:t>320</w:t>
            </w:r>
          </w:p>
        </w:tc>
      </w:tr>
      <w:tr w:rsidR="00286C53" w:rsidRPr="006040A2" w:rsidTr="00E31229">
        <w:trPr>
          <w:cantSplit/>
        </w:trPr>
        <w:tc>
          <w:tcPr>
            <w:tcW w:w="5598" w:type="dxa"/>
          </w:tcPr>
          <w:p w:rsidR="00286C53" w:rsidRPr="006040A2" w:rsidRDefault="00286C53" w:rsidP="00E31229">
            <w:pPr>
              <w:ind w:left="57"/>
            </w:pPr>
            <w:r w:rsidRPr="006040A2">
              <w:t>Deepwater redfish (</w:t>
            </w:r>
            <w:r>
              <w:rPr>
                <w:i/>
              </w:rPr>
              <w:t>Actinopyga</w:t>
            </w:r>
            <w:r w:rsidRPr="006040A2">
              <w:rPr>
                <w:i/>
              </w:rPr>
              <w:t xml:space="preserve"> echinites</w:t>
            </w:r>
            <w:r w:rsidRPr="006040A2">
              <w:t>)</w:t>
            </w:r>
          </w:p>
        </w:tc>
        <w:tc>
          <w:tcPr>
            <w:tcW w:w="3642" w:type="dxa"/>
            <w:tcBorders>
              <w:left w:val="single" w:sz="6" w:space="0" w:color="auto"/>
            </w:tcBorders>
          </w:tcPr>
          <w:p w:rsidR="00286C53" w:rsidRPr="006040A2" w:rsidRDefault="00286C53" w:rsidP="00E31229">
            <w:pPr>
              <w:jc w:val="center"/>
            </w:pPr>
            <w:r w:rsidRPr="006040A2">
              <w:t>120</w:t>
            </w:r>
          </w:p>
        </w:tc>
      </w:tr>
      <w:tr w:rsidR="00286C53" w:rsidRPr="006040A2" w:rsidTr="00E31229">
        <w:trPr>
          <w:cantSplit/>
        </w:trPr>
        <w:tc>
          <w:tcPr>
            <w:tcW w:w="5598" w:type="dxa"/>
          </w:tcPr>
          <w:p w:rsidR="00286C53" w:rsidRPr="006040A2" w:rsidRDefault="00286C53" w:rsidP="00E31229">
            <w:pPr>
              <w:ind w:left="57"/>
            </w:pPr>
            <w:r w:rsidRPr="006040A2">
              <w:t>Prickly redfish (</w:t>
            </w:r>
            <w:r w:rsidRPr="006040A2">
              <w:rPr>
                <w:i/>
              </w:rPr>
              <w:t>Thelenota ananas</w:t>
            </w:r>
            <w:r w:rsidRPr="006040A2">
              <w:t>)</w:t>
            </w:r>
          </w:p>
        </w:tc>
        <w:tc>
          <w:tcPr>
            <w:tcW w:w="3642" w:type="dxa"/>
            <w:tcBorders>
              <w:left w:val="single" w:sz="6" w:space="0" w:color="auto"/>
            </w:tcBorders>
          </w:tcPr>
          <w:p w:rsidR="00286C53" w:rsidRPr="006040A2" w:rsidRDefault="00286C53" w:rsidP="00E31229">
            <w:pPr>
              <w:jc w:val="center"/>
            </w:pPr>
            <w:r w:rsidRPr="006040A2">
              <w:t>300</w:t>
            </w:r>
          </w:p>
        </w:tc>
      </w:tr>
      <w:tr w:rsidR="00286C53" w:rsidRPr="006040A2" w:rsidTr="00E31229">
        <w:trPr>
          <w:cantSplit/>
        </w:trPr>
        <w:tc>
          <w:tcPr>
            <w:tcW w:w="5598" w:type="dxa"/>
          </w:tcPr>
          <w:p w:rsidR="00286C53" w:rsidRPr="006040A2" w:rsidRDefault="00286C53" w:rsidP="00E31229">
            <w:pPr>
              <w:ind w:left="57"/>
            </w:pPr>
            <w:r w:rsidRPr="006040A2">
              <w:t>Elephant’s trunk fish (</w:t>
            </w:r>
            <w:r w:rsidRPr="006040A2">
              <w:rPr>
                <w:i/>
              </w:rPr>
              <w:t>Holothuria fuscopunctata</w:t>
            </w:r>
            <w:r w:rsidRPr="006040A2">
              <w:t>)</w:t>
            </w:r>
          </w:p>
        </w:tc>
        <w:tc>
          <w:tcPr>
            <w:tcW w:w="3642" w:type="dxa"/>
            <w:tcBorders>
              <w:left w:val="single" w:sz="6" w:space="0" w:color="auto"/>
            </w:tcBorders>
          </w:tcPr>
          <w:p w:rsidR="00286C53" w:rsidRPr="006040A2" w:rsidRDefault="00286C53" w:rsidP="00E31229">
            <w:pPr>
              <w:jc w:val="center"/>
            </w:pPr>
            <w:r w:rsidRPr="006040A2">
              <w:t>240</w:t>
            </w:r>
          </w:p>
        </w:tc>
      </w:tr>
      <w:tr w:rsidR="00286C53" w:rsidRPr="006040A2" w:rsidTr="00E31229">
        <w:trPr>
          <w:cantSplit/>
        </w:trPr>
        <w:tc>
          <w:tcPr>
            <w:tcW w:w="5598" w:type="dxa"/>
          </w:tcPr>
          <w:p w:rsidR="00286C53" w:rsidRPr="006040A2" w:rsidRDefault="00286C53" w:rsidP="00E31229">
            <w:pPr>
              <w:ind w:left="57"/>
            </w:pPr>
            <w:r w:rsidRPr="006040A2">
              <w:t>Surf redfish (</w:t>
            </w:r>
            <w:r w:rsidRPr="006040A2">
              <w:rPr>
                <w:i/>
              </w:rPr>
              <w:t>Actinopyga mauritiana</w:t>
            </w:r>
            <w:r w:rsidRPr="006040A2">
              <w:t xml:space="preserve">) </w:t>
            </w:r>
          </w:p>
        </w:tc>
        <w:tc>
          <w:tcPr>
            <w:tcW w:w="3642" w:type="dxa"/>
            <w:tcBorders>
              <w:left w:val="single" w:sz="6" w:space="0" w:color="auto"/>
            </w:tcBorders>
          </w:tcPr>
          <w:p w:rsidR="00286C53" w:rsidRPr="006040A2" w:rsidRDefault="00286C53" w:rsidP="00E31229">
            <w:pPr>
              <w:jc w:val="center"/>
            </w:pPr>
            <w:r w:rsidRPr="006040A2">
              <w:t>220</w:t>
            </w:r>
          </w:p>
        </w:tc>
      </w:tr>
      <w:tr w:rsidR="00286C53" w:rsidRPr="006040A2" w:rsidTr="00E31229">
        <w:trPr>
          <w:cantSplit/>
        </w:trPr>
        <w:tc>
          <w:tcPr>
            <w:tcW w:w="5598" w:type="dxa"/>
          </w:tcPr>
          <w:p w:rsidR="00286C53" w:rsidRPr="006040A2" w:rsidRDefault="00286C53" w:rsidP="00E31229">
            <w:pPr>
              <w:ind w:left="57"/>
            </w:pPr>
            <w:r w:rsidRPr="006040A2">
              <w:t>Blackfish (</w:t>
            </w:r>
            <w:r w:rsidRPr="006040A2">
              <w:rPr>
                <w:i/>
              </w:rPr>
              <w:t>Actinopyga miliaris</w:t>
            </w:r>
            <w:r w:rsidRPr="006040A2">
              <w:t>)</w:t>
            </w:r>
          </w:p>
        </w:tc>
        <w:tc>
          <w:tcPr>
            <w:tcW w:w="3642" w:type="dxa"/>
            <w:tcBorders>
              <w:left w:val="single" w:sz="6" w:space="0" w:color="auto"/>
            </w:tcBorders>
          </w:tcPr>
          <w:p w:rsidR="00286C53" w:rsidRPr="006040A2" w:rsidRDefault="00286C53" w:rsidP="00E31229">
            <w:pPr>
              <w:jc w:val="center"/>
            </w:pPr>
            <w:r w:rsidRPr="006040A2">
              <w:t>220</w:t>
            </w:r>
          </w:p>
        </w:tc>
      </w:tr>
      <w:tr w:rsidR="00286C53" w:rsidRPr="006040A2" w:rsidTr="00E31229">
        <w:trPr>
          <w:cantSplit/>
        </w:trPr>
        <w:tc>
          <w:tcPr>
            <w:tcW w:w="5598" w:type="dxa"/>
          </w:tcPr>
          <w:p w:rsidR="00286C53" w:rsidRPr="006040A2" w:rsidRDefault="00286C53" w:rsidP="00E31229">
            <w:pPr>
              <w:ind w:left="57"/>
            </w:pPr>
            <w:r w:rsidRPr="006040A2">
              <w:t>Curry fish (</w:t>
            </w:r>
            <w:r w:rsidRPr="006040A2">
              <w:rPr>
                <w:i/>
              </w:rPr>
              <w:t>Stichopus variegatus</w:t>
            </w:r>
            <w:r w:rsidRPr="006040A2">
              <w:t>)</w:t>
            </w:r>
          </w:p>
        </w:tc>
        <w:tc>
          <w:tcPr>
            <w:tcW w:w="3642" w:type="dxa"/>
            <w:tcBorders>
              <w:left w:val="single" w:sz="6" w:space="0" w:color="auto"/>
            </w:tcBorders>
          </w:tcPr>
          <w:p w:rsidR="00286C53" w:rsidRPr="006040A2" w:rsidRDefault="00286C53" w:rsidP="00E31229">
            <w:pPr>
              <w:jc w:val="center"/>
            </w:pPr>
            <w:r w:rsidRPr="006040A2">
              <w:t>270</w:t>
            </w:r>
          </w:p>
        </w:tc>
      </w:tr>
    </w:tbl>
    <w:p w:rsidR="00286C53" w:rsidRDefault="00286C53" w:rsidP="00286C53">
      <w:pPr>
        <w:overflowPunct w:val="0"/>
        <w:autoSpaceDE w:val="0"/>
        <w:autoSpaceDN w:val="0"/>
        <w:adjustRightInd w:val="0"/>
        <w:spacing w:before="120"/>
        <w:ind w:left="504" w:hanging="504"/>
        <w:jc w:val="both"/>
        <w:textAlignment w:val="baseline"/>
        <w:rPr>
          <w:szCs w:val="20"/>
          <w:lang w:eastAsia="en-US"/>
        </w:rPr>
      </w:pPr>
    </w:p>
    <w:p w:rsidR="00286C53" w:rsidRPr="006040A2" w:rsidRDefault="00286C53" w:rsidP="00286C53">
      <w:pPr>
        <w:keepNext/>
        <w:tabs>
          <w:tab w:val="left" w:pos="720"/>
          <w:tab w:val="left" w:pos="8100"/>
        </w:tabs>
        <w:rPr>
          <w:b/>
        </w:rPr>
      </w:pPr>
      <w:r>
        <w:rPr>
          <w:b/>
        </w:rPr>
        <w:t>Gear restrictions</w:t>
      </w:r>
    </w:p>
    <w:p w:rsidR="00286C53" w:rsidRDefault="00286C53" w:rsidP="00286C53">
      <w:pPr>
        <w:pStyle w:val="AFMANormal"/>
        <w:ind w:left="360" w:hanging="360"/>
      </w:pPr>
      <w:r>
        <w:t>7</w:t>
      </w:r>
      <w:r w:rsidRPr="00A71BF3">
        <w:tab/>
      </w:r>
      <w:r w:rsidRPr="006040A2">
        <w:t>Pursuant to paragraph 16(1)(c) of the Act, the taking of sea cucumber in the area of the Torres Strait Sea Cucumber Fishery with the use of any underwater breathing apparatus or by any method other than collection by hand, is prohibited.</w:t>
      </w:r>
    </w:p>
    <w:p w:rsidR="00286C53" w:rsidRPr="00465D50" w:rsidRDefault="00286C53" w:rsidP="00286C53">
      <w:pPr>
        <w:pStyle w:val="Heading3"/>
        <w:tabs>
          <w:tab w:val="left" w:pos="720"/>
        </w:tabs>
        <w:rPr>
          <w:rFonts w:ascii="Times New Roman" w:hAnsi="Times New Roman" w:cs="Times New Roman"/>
          <w:sz w:val="24"/>
          <w:szCs w:val="24"/>
        </w:rPr>
      </w:pPr>
      <w:r w:rsidRPr="00465D50">
        <w:rPr>
          <w:rFonts w:ascii="Times New Roman" w:hAnsi="Times New Roman" w:cs="Times New Roman"/>
          <w:sz w:val="24"/>
          <w:szCs w:val="24"/>
        </w:rPr>
        <w:t>Exemption from the prohibition</w:t>
      </w:r>
      <w:r>
        <w:rPr>
          <w:rFonts w:ascii="Times New Roman" w:hAnsi="Times New Roman" w:cs="Times New Roman"/>
          <w:sz w:val="24"/>
          <w:szCs w:val="24"/>
        </w:rPr>
        <w:t>s</w:t>
      </w:r>
    </w:p>
    <w:p w:rsidR="00286C53" w:rsidRDefault="00286C53" w:rsidP="00286C53">
      <w:pPr>
        <w:pStyle w:val="AFMANormal"/>
        <w:ind w:left="360" w:hanging="360"/>
        <w:rPr>
          <w:lang w:val="en-US"/>
        </w:rPr>
      </w:pPr>
      <w:r>
        <w:rPr>
          <w:lang w:val="en-US"/>
        </w:rPr>
        <w:t>8.1</w:t>
      </w:r>
      <w:r>
        <w:rPr>
          <w:lang w:val="en-US"/>
        </w:rPr>
        <w:tab/>
      </w:r>
      <w:r w:rsidRPr="006040A2">
        <w:t>Pursuant</w:t>
      </w:r>
      <w:r w:rsidRPr="006040A2">
        <w:rPr>
          <w:lang w:val="en-US"/>
        </w:rPr>
        <w:t xml:space="preserve"> to paragraph 16(1A)(d) of the Act, a person is exempt from the prohibition in paragraph </w:t>
      </w:r>
      <w:r>
        <w:rPr>
          <w:lang w:val="en-US"/>
        </w:rPr>
        <w:t>5</w:t>
      </w:r>
      <w:r w:rsidRPr="006040A2">
        <w:rPr>
          <w:lang w:val="en-US"/>
        </w:rPr>
        <w:t xml:space="preserve"> if:</w:t>
      </w:r>
    </w:p>
    <w:p w:rsidR="00286C53" w:rsidRDefault="00286C53" w:rsidP="00286C53">
      <w:pPr>
        <w:numPr>
          <w:ilvl w:val="0"/>
          <w:numId w:val="1"/>
        </w:numPr>
        <w:tabs>
          <w:tab w:val="left" w:pos="990"/>
        </w:tabs>
        <w:overflowPunct w:val="0"/>
        <w:autoSpaceDE w:val="0"/>
        <w:autoSpaceDN w:val="0"/>
        <w:adjustRightInd w:val="0"/>
        <w:spacing w:before="120"/>
        <w:jc w:val="both"/>
        <w:textAlignment w:val="baseline"/>
        <w:rPr>
          <w:szCs w:val="20"/>
          <w:lang w:eastAsia="en-US"/>
        </w:rPr>
      </w:pPr>
      <w:r w:rsidRPr="006040A2">
        <w:rPr>
          <w:szCs w:val="20"/>
          <w:lang w:eastAsia="en-US"/>
        </w:rPr>
        <w:t>where the person takes or carries sea cucumbers without the use of a boat – the number of sea cucumber in that person’s possession does not exceed three; or</w:t>
      </w:r>
    </w:p>
    <w:p w:rsidR="00286C53" w:rsidRDefault="00286C53" w:rsidP="00286C53">
      <w:pPr>
        <w:numPr>
          <w:ilvl w:val="0"/>
          <w:numId w:val="1"/>
        </w:numPr>
        <w:tabs>
          <w:tab w:val="left" w:pos="990"/>
        </w:tabs>
        <w:overflowPunct w:val="0"/>
        <w:autoSpaceDE w:val="0"/>
        <w:autoSpaceDN w:val="0"/>
        <w:adjustRightInd w:val="0"/>
        <w:spacing w:before="120"/>
        <w:jc w:val="both"/>
        <w:textAlignment w:val="baseline"/>
        <w:rPr>
          <w:szCs w:val="20"/>
          <w:lang w:eastAsia="en-US"/>
        </w:rPr>
      </w:pPr>
      <w:r w:rsidRPr="006040A2">
        <w:rPr>
          <w:szCs w:val="20"/>
          <w:lang w:eastAsia="en-US"/>
        </w:rPr>
        <w:t>where the person takes or carries sea cucumbers with the use of a boat, or by diving from a boat, and no other person is in the boat – the number of sea cucumbers in the boat does not exceed three; or</w:t>
      </w:r>
    </w:p>
    <w:p w:rsidR="00286C53" w:rsidRPr="00A71BF3" w:rsidRDefault="00286C53" w:rsidP="00286C53">
      <w:pPr>
        <w:numPr>
          <w:ilvl w:val="0"/>
          <w:numId w:val="1"/>
        </w:numPr>
        <w:tabs>
          <w:tab w:val="left" w:pos="990"/>
        </w:tabs>
        <w:overflowPunct w:val="0"/>
        <w:autoSpaceDE w:val="0"/>
        <w:autoSpaceDN w:val="0"/>
        <w:adjustRightInd w:val="0"/>
        <w:spacing w:before="120"/>
        <w:jc w:val="both"/>
        <w:textAlignment w:val="baseline"/>
        <w:rPr>
          <w:szCs w:val="20"/>
          <w:lang w:eastAsia="en-US"/>
        </w:rPr>
      </w:pPr>
      <w:r w:rsidRPr="006040A2">
        <w:rPr>
          <w:szCs w:val="20"/>
          <w:lang w:eastAsia="en-US"/>
        </w:rPr>
        <w:lastRenderedPageBreak/>
        <w:t>where the person takes or carries sea cucumbers with the use of a boat, or by diving from a boat, and there is at least one other person in the boat – the number of sea cucumber in the boat does not exceed six.</w:t>
      </w:r>
    </w:p>
    <w:p w:rsidR="00286C53" w:rsidRPr="00A71BF3" w:rsidRDefault="00286C53" w:rsidP="00286C53">
      <w:pPr>
        <w:overflowPunct w:val="0"/>
        <w:autoSpaceDE w:val="0"/>
        <w:autoSpaceDN w:val="0"/>
        <w:adjustRightInd w:val="0"/>
        <w:spacing w:before="120"/>
        <w:ind w:left="504" w:hanging="504"/>
        <w:jc w:val="both"/>
        <w:textAlignment w:val="baseline"/>
        <w:rPr>
          <w:szCs w:val="20"/>
          <w:lang w:eastAsia="en-US"/>
        </w:rPr>
      </w:pPr>
    </w:p>
    <w:p w:rsidR="00286C53" w:rsidRDefault="00286C53" w:rsidP="00090E53">
      <w:pPr>
        <w:pStyle w:val="notice1"/>
        <w:tabs>
          <w:tab w:val="left" w:pos="426"/>
        </w:tabs>
        <w:ind w:left="426" w:hanging="426"/>
      </w:pPr>
      <w:r>
        <w:t>8.2</w:t>
      </w:r>
      <w:r w:rsidR="00090E53">
        <w:t>.</w:t>
      </w:r>
      <w:r w:rsidR="00090E53" w:rsidRPr="00090E53">
        <w:t xml:space="preserve"> </w:t>
      </w:r>
      <w:r>
        <w:t>Pursuant to paragraph 16(1A)(d) of the Act, a person is exempt from the prohibition in paragraph 5 if the person holds a licence granted under subsections 19(2) or 19(3) of the Act that entitles that person to take, process or carry sea cucumber.</w:t>
      </w:r>
    </w:p>
    <w:p w:rsidR="00286C53" w:rsidRDefault="00286C53" w:rsidP="00286C53">
      <w:pPr>
        <w:pStyle w:val="notice1"/>
        <w:rPr>
          <w:rFonts w:ascii="Times New Roman" w:hAnsi="Times New Roman"/>
        </w:rPr>
      </w:pPr>
    </w:p>
    <w:p w:rsidR="00286C53" w:rsidRDefault="00286C53" w:rsidP="00286C53">
      <w:pPr>
        <w:pStyle w:val="notice1"/>
        <w:tabs>
          <w:tab w:val="left" w:pos="426"/>
        </w:tabs>
        <w:ind w:left="426" w:hanging="426"/>
      </w:pPr>
      <w:r>
        <w:t>8.3</w:t>
      </w:r>
      <w:r w:rsidRPr="00A71BF3">
        <w:tab/>
      </w:r>
      <w:r w:rsidRPr="006040A2">
        <w:t xml:space="preserve">Pursuant to paragraph 16(1A)(d) of the Act, a person is exempt from the prohibition in paragraph </w:t>
      </w:r>
      <w:r>
        <w:t>5</w:t>
      </w:r>
      <w:r w:rsidRPr="006040A2">
        <w:t xml:space="preserve"> if the person takes, processes or carries sea </w:t>
      </w:r>
      <w:r>
        <w:t xml:space="preserve">cucumber </w:t>
      </w:r>
      <w:r w:rsidRPr="006040A2">
        <w:t>in the course of traditional fishing.</w:t>
      </w:r>
    </w:p>
    <w:p w:rsidR="00286C53" w:rsidRDefault="00286C53" w:rsidP="00286C53">
      <w:pPr>
        <w:pStyle w:val="notice1"/>
        <w:tabs>
          <w:tab w:val="left" w:pos="426"/>
        </w:tabs>
        <w:ind w:left="426" w:hanging="426"/>
      </w:pPr>
    </w:p>
    <w:p w:rsidR="00286C53" w:rsidRPr="0050762A" w:rsidRDefault="00286C53" w:rsidP="00286C53">
      <w:pPr>
        <w:keepNext/>
        <w:tabs>
          <w:tab w:val="left" w:pos="720"/>
          <w:tab w:val="left" w:pos="8100"/>
        </w:tabs>
        <w:rPr>
          <w:b/>
        </w:rPr>
      </w:pPr>
      <w:r w:rsidRPr="0050762A">
        <w:rPr>
          <w:b/>
        </w:rPr>
        <w:t>Revocation of previous instrument</w:t>
      </w:r>
    </w:p>
    <w:p w:rsidR="00286C53" w:rsidRDefault="00286C53" w:rsidP="00286C53">
      <w:pPr>
        <w:pStyle w:val="AFMANormal"/>
        <w:spacing w:after="240"/>
        <w:ind w:left="360" w:hanging="360"/>
      </w:pPr>
      <w:r>
        <w:t>9.1</w:t>
      </w:r>
      <w:r>
        <w:tab/>
        <w:t xml:space="preserve">This Instrument revokes the </w:t>
      </w:r>
      <w:r w:rsidRPr="00A71BF3">
        <w:rPr>
          <w:i/>
        </w:rPr>
        <w:t xml:space="preserve">Torres Strait Fisheries </w:t>
      </w:r>
      <w:r>
        <w:rPr>
          <w:i/>
        </w:rPr>
        <w:t xml:space="preserve">Management </w:t>
      </w:r>
      <w:r w:rsidRPr="00A71BF3">
        <w:rPr>
          <w:i/>
        </w:rPr>
        <w:t xml:space="preserve">Notice No. </w:t>
      </w:r>
      <w:r>
        <w:rPr>
          <w:i/>
        </w:rPr>
        <w:t>64</w:t>
      </w:r>
      <w:r>
        <w:t xml:space="preserve"> dated 24</w:t>
      </w:r>
      <w:r w:rsidRPr="00F51B7E">
        <w:rPr>
          <w:vertAlign w:val="superscript"/>
        </w:rPr>
        <w:t>th</w:t>
      </w:r>
      <w:r>
        <w:t xml:space="preserve"> December 2002 from the date of commencement of this Instrument.</w:t>
      </w:r>
    </w:p>
    <w:p w:rsidR="00286C53" w:rsidRDefault="00286C53" w:rsidP="00286C53">
      <w:pPr>
        <w:ind w:left="426" w:hanging="426"/>
      </w:pPr>
      <w:r>
        <w:t>9.2</w:t>
      </w:r>
      <w:r>
        <w:tab/>
        <w:t xml:space="preserve">In accordance with s16(7A) , notwithstanding the revocation of the </w:t>
      </w:r>
      <w:r w:rsidRPr="00A71BF3">
        <w:rPr>
          <w:i/>
        </w:rPr>
        <w:t xml:space="preserve">Torres Strait Fisheries </w:t>
      </w:r>
      <w:r>
        <w:rPr>
          <w:i/>
        </w:rPr>
        <w:t xml:space="preserve">Management </w:t>
      </w:r>
      <w:r w:rsidRPr="00A71BF3">
        <w:rPr>
          <w:i/>
        </w:rPr>
        <w:t xml:space="preserve">Notice No. </w:t>
      </w:r>
      <w:r>
        <w:rPr>
          <w:i/>
        </w:rPr>
        <w:t xml:space="preserve">64, </w:t>
      </w:r>
      <w:r w:rsidRPr="00F51B7E">
        <w:t>any entry</w:t>
      </w:r>
      <w:r>
        <w:t xml:space="preserve"> previously made under s21(1) of the Act in an existing licence granted under s19(2) or (3) or treaty endorsement granted for engaging in activities that were prohibited in that revoked instrument, such entry shall continue to operate as if it referred to the prohibition in this instrument.</w:t>
      </w:r>
    </w:p>
    <w:p w:rsidR="00286C53" w:rsidRPr="00F51B7E" w:rsidRDefault="00286C53" w:rsidP="00286C53">
      <w:pPr>
        <w:tabs>
          <w:tab w:val="left" w:pos="8505"/>
        </w:tabs>
        <w:rPr>
          <w:b/>
          <w:u w:val="single"/>
        </w:rPr>
      </w:pPr>
      <w:r>
        <w:rPr>
          <w:b/>
          <w:u w:val="single"/>
        </w:rPr>
        <w:tab/>
      </w:r>
    </w:p>
    <w:p w:rsidR="00BC64A2" w:rsidRPr="00286C53" w:rsidRDefault="00BC64A2" w:rsidP="00286C53"/>
    <w:sectPr w:rsidR="00BC64A2" w:rsidRPr="00286C53">
      <w:footerReference w:type="default" r:id="rId7"/>
      <w:pgSz w:w="11906" w:h="16838"/>
      <w:pgMar w:top="1440" w:right="128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A2" w:rsidRDefault="00BC64A2" w:rsidP="00BC64A2">
      <w:r>
        <w:separator/>
      </w:r>
    </w:p>
  </w:endnote>
  <w:endnote w:type="continuationSeparator" w:id="0">
    <w:p w:rsidR="00BC64A2" w:rsidRDefault="00BC64A2" w:rsidP="00BC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580873"/>
      <w:docPartObj>
        <w:docPartGallery w:val="Page Numbers (Bottom of Page)"/>
        <w:docPartUnique/>
      </w:docPartObj>
    </w:sdtPr>
    <w:sdtEndPr>
      <w:rPr>
        <w:noProof/>
      </w:rPr>
    </w:sdtEndPr>
    <w:sdtContent>
      <w:p w:rsidR="00BC64A2" w:rsidRDefault="00BC64A2">
        <w:pPr>
          <w:pStyle w:val="Footer"/>
          <w:jc w:val="right"/>
        </w:pPr>
        <w:r>
          <w:fldChar w:fldCharType="begin"/>
        </w:r>
        <w:r>
          <w:instrText xml:space="preserve"> PAGE   \* MERGEFORMAT </w:instrText>
        </w:r>
        <w:r>
          <w:fldChar w:fldCharType="separate"/>
        </w:r>
        <w:r w:rsidR="00AB02F7">
          <w:rPr>
            <w:noProof/>
          </w:rPr>
          <w:t>1</w:t>
        </w:r>
        <w:r>
          <w:rPr>
            <w:noProof/>
          </w:rPr>
          <w:fldChar w:fldCharType="end"/>
        </w:r>
      </w:p>
    </w:sdtContent>
  </w:sdt>
  <w:p w:rsidR="00BC64A2" w:rsidRDefault="00BC6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A2" w:rsidRDefault="00BC64A2" w:rsidP="00BC64A2">
      <w:r>
        <w:separator/>
      </w:r>
    </w:p>
  </w:footnote>
  <w:footnote w:type="continuationSeparator" w:id="0">
    <w:p w:rsidR="00BC64A2" w:rsidRDefault="00BC64A2" w:rsidP="00BC6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6309"/>
    <w:multiLevelType w:val="singleLevel"/>
    <w:tmpl w:val="1D80FA06"/>
    <w:lvl w:ilvl="0">
      <w:start w:val="1"/>
      <w:numFmt w:val="lowerLetter"/>
      <w:lvlText w:val="%1)"/>
      <w:legacy w:legacy="1" w:legacySpace="0" w:legacyIndent="360"/>
      <w:lvlJc w:val="left"/>
      <w:pPr>
        <w:ind w:left="900" w:hanging="360"/>
      </w:pPr>
    </w:lvl>
  </w:abstractNum>
  <w:abstractNum w:abstractNumId="1" w15:restartNumberingAfterBreak="0">
    <w:nsid w:val="0E812AF5"/>
    <w:multiLevelType w:val="singleLevel"/>
    <w:tmpl w:val="1D80FA06"/>
    <w:lvl w:ilvl="0">
      <w:start w:val="1"/>
      <w:numFmt w:val="lowerLetter"/>
      <w:lvlText w:val="%1)"/>
      <w:legacy w:legacy="1" w:legacySpace="0" w:legacyIndent="360"/>
      <w:lvlJc w:val="left"/>
      <w:pPr>
        <w:ind w:left="900" w:hanging="360"/>
      </w:pPr>
    </w:lvl>
  </w:abstractNum>
  <w:abstractNum w:abstractNumId="2" w15:restartNumberingAfterBreak="0">
    <w:nsid w:val="4A740E0E"/>
    <w:multiLevelType w:val="multilevel"/>
    <w:tmpl w:val="A164F896"/>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 w15:restartNumberingAfterBreak="0">
    <w:nsid w:val="7CDE3633"/>
    <w:multiLevelType w:val="singleLevel"/>
    <w:tmpl w:val="1D80FA06"/>
    <w:lvl w:ilvl="0">
      <w:start w:val="1"/>
      <w:numFmt w:val="lowerLetter"/>
      <w:lvlText w:val="%1)"/>
      <w:legacy w:legacy="1" w:legacySpace="0" w:legacyIndent="360"/>
      <w:lvlJc w:val="left"/>
      <w:pPr>
        <w:ind w:left="90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F3"/>
    <w:rsid w:val="000021C5"/>
    <w:rsid w:val="000266A2"/>
    <w:rsid w:val="0005769A"/>
    <w:rsid w:val="00090E53"/>
    <w:rsid w:val="000B720F"/>
    <w:rsid w:val="000E2F9E"/>
    <w:rsid w:val="001016FB"/>
    <w:rsid w:val="00130E60"/>
    <w:rsid w:val="00191E4E"/>
    <w:rsid w:val="001B25D7"/>
    <w:rsid w:val="001F1A0F"/>
    <w:rsid w:val="0025461C"/>
    <w:rsid w:val="0026343E"/>
    <w:rsid w:val="00286C53"/>
    <w:rsid w:val="002D44F8"/>
    <w:rsid w:val="002F625E"/>
    <w:rsid w:val="0038606B"/>
    <w:rsid w:val="003A3771"/>
    <w:rsid w:val="003E1D98"/>
    <w:rsid w:val="00415567"/>
    <w:rsid w:val="00424DA5"/>
    <w:rsid w:val="0050762A"/>
    <w:rsid w:val="005A6418"/>
    <w:rsid w:val="005C4CEE"/>
    <w:rsid w:val="006040A2"/>
    <w:rsid w:val="006327C6"/>
    <w:rsid w:val="006C7BED"/>
    <w:rsid w:val="006E0CA8"/>
    <w:rsid w:val="006E1E77"/>
    <w:rsid w:val="00785BB1"/>
    <w:rsid w:val="007A6EA4"/>
    <w:rsid w:val="007B6AD8"/>
    <w:rsid w:val="007C1467"/>
    <w:rsid w:val="007D3B85"/>
    <w:rsid w:val="007E72DF"/>
    <w:rsid w:val="008B6F9B"/>
    <w:rsid w:val="00922CE4"/>
    <w:rsid w:val="00993E81"/>
    <w:rsid w:val="009D123B"/>
    <w:rsid w:val="00A42956"/>
    <w:rsid w:val="00A71BF3"/>
    <w:rsid w:val="00AB02F7"/>
    <w:rsid w:val="00AB6C4F"/>
    <w:rsid w:val="00AC7C45"/>
    <w:rsid w:val="00BA46C2"/>
    <w:rsid w:val="00BB2F48"/>
    <w:rsid w:val="00BC64A2"/>
    <w:rsid w:val="00C765FA"/>
    <w:rsid w:val="00CB2441"/>
    <w:rsid w:val="00D0596A"/>
    <w:rsid w:val="00D25626"/>
    <w:rsid w:val="00DB1E2E"/>
    <w:rsid w:val="00DC01FD"/>
    <w:rsid w:val="00DF5228"/>
    <w:rsid w:val="00E04D36"/>
    <w:rsid w:val="00E5425B"/>
    <w:rsid w:val="00EA245B"/>
    <w:rsid w:val="00EC2B88"/>
    <w:rsid w:val="00F44142"/>
    <w:rsid w:val="00F52A71"/>
    <w:rsid w:val="00F854A1"/>
    <w:rsid w:val="00FF0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FB037E78-0659-46AA-B1F2-AD6DFC0F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BF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040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A71BF3"/>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71BF3"/>
    <w:rPr>
      <w:rFonts w:ascii="Arial" w:eastAsia="Times New Roman" w:hAnsi="Arial" w:cs="Arial"/>
      <w:b/>
      <w:bCs/>
      <w:sz w:val="26"/>
      <w:szCs w:val="26"/>
    </w:rPr>
  </w:style>
  <w:style w:type="paragraph" w:customStyle="1" w:styleId="AFMANormal">
    <w:name w:val="AFMA Normal"/>
    <w:rsid w:val="00A71BF3"/>
    <w:pPr>
      <w:spacing w:before="240" w:after="0" w:line="240" w:lineRule="auto"/>
      <w:jc w:val="both"/>
    </w:pPr>
    <w:rPr>
      <w:rFonts w:ascii="Times New Roman" w:eastAsia="Times New Roman" w:hAnsi="Times New Roman" w:cs="Times New Roman"/>
      <w:kern w:val="20"/>
      <w:sz w:val="24"/>
      <w:szCs w:val="20"/>
    </w:rPr>
  </w:style>
  <w:style w:type="paragraph" w:customStyle="1" w:styleId="notice1">
    <w:name w:val="notice1"/>
    <w:basedOn w:val="Normal"/>
    <w:rsid w:val="00A71BF3"/>
    <w:pPr>
      <w:ind w:left="600" w:hanging="600"/>
      <w:jc w:val="both"/>
    </w:pPr>
    <w:rPr>
      <w:rFonts w:ascii="Tms Rmn" w:hAnsi="Tms Rmn"/>
      <w:szCs w:val="20"/>
      <w:lang w:eastAsia="en-US"/>
    </w:rPr>
  </w:style>
  <w:style w:type="paragraph" w:styleId="Header">
    <w:name w:val="header"/>
    <w:basedOn w:val="Normal"/>
    <w:link w:val="HeaderChar"/>
    <w:rsid w:val="00A71BF3"/>
    <w:pPr>
      <w:tabs>
        <w:tab w:val="center" w:pos="4819"/>
        <w:tab w:val="right" w:pos="9071"/>
      </w:tabs>
      <w:overflowPunct w:val="0"/>
      <w:autoSpaceDE w:val="0"/>
      <w:autoSpaceDN w:val="0"/>
      <w:adjustRightInd w:val="0"/>
      <w:textAlignment w:val="baseline"/>
    </w:pPr>
    <w:rPr>
      <w:szCs w:val="20"/>
      <w:lang w:val="en-GB" w:eastAsia="en-US"/>
    </w:rPr>
  </w:style>
  <w:style w:type="character" w:customStyle="1" w:styleId="HeaderChar">
    <w:name w:val="Header Char"/>
    <w:basedOn w:val="DefaultParagraphFont"/>
    <w:link w:val="Header"/>
    <w:rsid w:val="00A71BF3"/>
    <w:rPr>
      <w:rFonts w:ascii="Times New Roman" w:eastAsia="Times New Roman" w:hAnsi="Times New Roman" w:cs="Times New Roman"/>
      <w:sz w:val="24"/>
      <w:szCs w:val="20"/>
      <w:lang w:val="en-GB"/>
    </w:rPr>
  </w:style>
  <w:style w:type="paragraph" w:styleId="BodyText2">
    <w:name w:val="Body Text 2"/>
    <w:basedOn w:val="Normal"/>
    <w:link w:val="BodyText2Char"/>
    <w:rsid w:val="0050762A"/>
    <w:pPr>
      <w:overflowPunct w:val="0"/>
      <w:autoSpaceDE w:val="0"/>
      <w:autoSpaceDN w:val="0"/>
      <w:adjustRightInd w:val="0"/>
      <w:ind w:left="600" w:hanging="600"/>
      <w:textAlignment w:val="baseline"/>
    </w:pPr>
    <w:rPr>
      <w:szCs w:val="20"/>
      <w:lang w:val="en-GB" w:eastAsia="en-US"/>
    </w:rPr>
  </w:style>
  <w:style w:type="character" w:customStyle="1" w:styleId="BodyText2Char">
    <w:name w:val="Body Text 2 Char"/>
    <w:basedOn w:val="DefaultParagraphFont"/>
    <w:link w:val="BodyText2"/>
    <w:rsid w:val="0050762A"/>
    <w:rPr>
      <w:rFonts w:ascii="Times New Roman" w:eastAsia="Times New Roman" w:hAnsi="Times New Roman" w:cs="Times New Roman"/>
      <w:sz w:val="24"/>
      <w:szCs w:val="20"/>
      <w:lang w:val="en-GB"/>
    </w:rPr>
  </w:style>
  <w:style w:type="character" w:customStyle="1" w:styleId="apple-converted-space">
    <w:name w:val="apple-converted-space"/>
    <w:basedOn w:val="DefaultParagraphFont"/>
    <w:rsid w:val="00E5425B"/>
  </w:style>
  <w:style w:type="character" w:customStyle="1" w:styleId="Heading1Char">
    <w:name w:val="Heading 1 Char"/>
    <w:basedOn w:val="DefaultParagraphFont"/>
    <w:link w:val="Heading1"/>
    <w:uiPriority w:val="9"/>
    <w:rsid w:val="006040A2"/>
    <w:rPr>
      <w:rFonts w:asciiTheme="majorHAnsi" w:eastAsiaTheme="majorEastAsia" w:hAnsiTheme="majorHAnsi" w:cstheme="majorBidi"/>
      <w:color w:val="365F91" w:themeColor="accent1" w:themeShade="BF"/>
      <w:sz w:val="32"/>
      <w:szCs w:val="32"/>
      <w:lang w:eastAsia="en-AU"/>
    </w:rPr>
  </w:style>
  <w:style w:type="character" w:styleId="CommentReference">
    <w:name w:val="annotation reference"/>
    <w:basedOn w:val="DefaultParagraphFont"/>
    <w:uiPriority w:val="99"/>
    <w:semiHidden/>
    <w:unhideWhenUsed/>
    <w:rsid w:val="0038606B"/>
    <w:rPr>
      <w:sz w:val="16"/>
      <w:szCs w:val="16"/>
    </w:rPr>
  </w:style>
  <w:style w:type="paragraph" w:styleId="CommentText">
    <w:name w:val="annotation text"/>
    <w:basedOn w:val="Normal"/>
    <w:link w:val="CommentTextChar"/>
    <w:uiPriority w:val="99"/>
    <w:semiHidden/>
    <w:unhideWhenUsed/>
    <w:rsid w:val="0038606B"/>
    <w:rPr>
      <w:sz w:val="20"/>
      <w:szCs w:val="20"/>
    </w:rPr>
  </w:style>
  <w:style w:type="character" w:customStyle="1" w:styleId="CommentTextChar">
    <w:name w:val="Comment Text Char"/>
    <w:basedOn w:val="DefaultParagraphFont"/>
    <w:link w:val="CommentText"/>
    <w:uiPriority w:val="99"/>
    <w:semiHidden/>
    <w:rsid w:val="0038606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8606B"/>
    <w:rPr>
      <w:b/>
      <w:bCs/>
    </w:rPr>
  </w:style>
  <w:style w:type="character" w:customStyle="1" w:styleId="CommentSubjectChar">
    <w:name w:val="Comment Subject Char"/>
    <w:basedOn w:val="CommentTextChar"/>
    <w:link w:val="CommentSubject"/>
    <w:uiPriority w:val="99"/>
    <w:semiHidden/>
    <w:rsid w:val="0038606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86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06B"/>
    <w:rPr>
      <w:rFonts w:ascii="Segoe UI" w:eastAsia="Times New Roman" w:hAnsi="Segoe UI" w:cs="Segoe UI"/>
      <w:sz w:val="18"/>
      <w:szCs w:val="18"/>
      <w:lang w:eastAsia="en-AU"/>
    </w:rPr>
  </w:style>
  <w:style w:type="paragraph" w:customStyle="1" w:styleId="MELegal1">
    <w:name w:val="ME Legal 1"/>
    <w:basedOn w:val="Normal"/>
    <w:next w:val="Normal"/>
    <w:rsid w:val="0026343E"/>
    <w:pPr>
      <w:numPr>
        <w:numId w:val="2"/>
      </w:numPr>
      <w:spacing w:after="240"/>
      <w:outlineLvl w:val="0"/>
    </w:pPr>
    <w:rPr>
      <w:szCs w:val="20"/>
      <w:lang w:eastAsia="zh-CN"/>
    </w:rPr>
  </w:style>
  <w:style w:type="paragraph" w:customStyle="1" w:styleId="MELegal2">
    <w:name w:val="ME Legal 2"/>
    <w:basedOn w:val="Normal"/>
    <w:next w:val="Normal"/>
    <w:rsid w:val="0026343E"/>
    <w:pPr>
      <w:numPr>
        <w:ilvl w:val="1"/>
        <w:numId w:val="2"/>
      </w:numPr>
      <w:spacing w:after="240"/>
      <w:outlineLvl w:val="1"/>
    </w:pPr>
    <w:rPr>
      <w:szCs w:val="20"/>
      <w:lang w:eastAsia="zh-CN"/>
    </w:rPr>
  </w:style>
  <w:style w:type="paragraph" w:customStyle="1" w:styleId="MELegal3">
    <w:name w:val="ME Legal 3"/>
    <w:basedOn w:val="Normal"/>
    <w:next w:val="Normal"/>
    <w:rsid w:val="0026343E"/>
    <w:pPr>
      <w:numPr>
        <w:ilvl w:val="2"/>
        <w:numId w:val="2"/>
      </w:numPr>
      <w:spacing w:after="240"/>
      <w:outlineLvl w:val="2"/>
    </w:pPr>
    <w:rPr>
      <w:szCs w:val="20"/>
      <w:lang w:eastAsia="zh-CN"/>
    </w:rPr>
  </w:style>
  <w:style w:type="paragraph" w:customStyle="1" w:styleId="MELegal4">
    <w:name w:val="ME Legal 4"/>
    <w:basedOn w:val="Normal"/>
    <w:next w:val="Normal"/>
    <w:rsid w:val="0026343E"/>
    <w:pPr>
      <w:numPr>
        <w:ilvl w:val="3"/>
        <w:numId w:val="2"/>
      </w:numPr>
      <w:spacing w:after="240"/>
      <w:outlineLvl w:val="3"/>
    </w:pPr>
    <w:rPr>
      <w:szCs w:val="20"/>
      <w:lang w:eastAsia="zh-CN"/>
    </w:rPr>
  </w:style>
  <w:style w:type="paragraph" w:customStyle="1" w:styleId="MELegal5">
    <w:name w:val="ME Legal 5"/>
    <w:basedOn w:val="Normal"/>
    <w:next w:val="Normal"/>
    <w:rsid w:val="0026343E"/>
    <w:pPr>
      <w:numPr>
        <w:ilvl w:val="4"/>
        <w:numId w:val="2"/>
      </w:numPr>
      <w:spacing w:after="240"/>
      <w:outlineLvl w:val="4"/>
    </w:pPr>
    <w:rPr>
      <w:szCs w:val="20"/>
      <w:lang w:eastAsia="zh-CN"/>
    </w:rPr>
  </w:style>
  <w:style w:type="paragraph" w:customStyle="1" w:styleId="MELegal6">
    <w:name w:val="ME Legal 6"/>
    <w:basedOn w:val="Normal"/>
    <w:next w:val="Normal"/>
    <w:rsid w:val="0026343E"/>
    <w:pPr>
      <w:numPr>
        <w:ilvl w:val="5"/>
        <w:numId w:val="2"/>
      </w:numPr>
      <w:spacing w:after="240"/>
      <w:outlineLvl w:val="5"/>
    </w:pPr>
    <w:rPr>
      <w:szCs w:val="20"/>
      <w:lang w:eastAsia="zh-CN"/>
    </w:rPr>
  </w:style>
  <w:style w:type="paragraph" w:customStyle="1" w:styleId="MELegal7">
    <w:name w:val="ME Legal 7"/>
    <w:basedOn w:val="Normal"/>
    <w:next w:val="Normal"/>
    <w:rsid w:val="0026343E"/>
    <w:pPr>
      <w:numPr>
        <w:ilvl w:val="6"/>
        <w:numId w:val="2"/>
      </w:numPr>
      <w:spacing w:after="240"/>
      <w:outlineLvl w:val="6"/>
    </w:pPr>
    <w:rPr>
      <w:szCs w:val="20"/>
      <w:lang w:eastAsia="zh-CN"/>
    </w:rPr>
  </w:style>
  <w:style w:type="paragraph" w:customStyle="1" w:styleId="Char">
    <w:name w:val="Char"/>
    <w:basedOn w:val="Normal"/>
    <w:rsid w:val="00F52A71"/>
    <w:pPr>
      <w:spacing w:after="160" w:line="240" w:lineRule="exact"/>
    </w:pPr>
    <w:rPr>
      <w:rFonts w:ascii="Verdana" w:hAnsi="Verdana"/>
      <w:sz w:val="20"/>
      <w:lang w:val="en-US" w:eastAsia="en-US"/>
    </w:rPr>
  </w:style>
  <w:style w:type="paragraph" w:styleId="Footer">
    <w:name w:val="footer"/>
    <w:basedOn w:val="Normal"/>
    <w:link w:val="FooterChar"/>
    <w:uiPriority w:val="99"/>
    <w:unhideWhenUsed/>
    <w:rsid w:val="00BC64A2"/>
    <w:pPr>
      <w:tabs>
        <w:tab w:val="center" w:pos="4513"/>
        <w:tab w:val="right" w:pos="9026"/>
      </w:tabs>
    </w:pPr>
  </w:style>
  <w:style w:type="character" w:customStyle="1" w:styleId="FooterChar">
    <w:name w:val="Footer Char"/>
    <w:basedOn w:val="DefaultParagraphFont"/>
    <w:link w:val="Footer"/>
    <w:uiPriority w:val="99"/>
    <w:rsid w:val="00BC64A2"/>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KILDEA, Brian</cp:lastModifiedBy>
  <cp:revision>2</cp:revision>
  <dcterms:created xsi:type="dcterms:W3CDTF">2017-03-31T01:05:00Z</dcterms:created>
  <dcterms:modified xsi:type="dcterms:W3CDTF">2017-03-31T01:05:00Z</dcterms:modified>
</cp:coreProperties>
</file>