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Times New Roman" w:eastAsiaTheme="minorHAnsi" w:hAnsi="Times New Roman" w:cstheme="minorBidi"/>
          <w:b w:val="0"/>
          <w:sz w:val="22"/>
          <w:szCs w:val="22"/>
          <w:u w:val="single"/>
        </w:rPr>
        <w:id w:val="962787086"/>
        <w:lock w:val="contentLocked"/>
        <w:placeholder>
          <w:docPart w:val="5E3858656CAF4B45AFAC963F38495D7D"/>
        </w:placeholder>
        <w:group/>
      </w:sdtPr>
      <w:sdtEndPr>
        <w:rPr>
          <w:rFonts w:eastAsiaTheme="minorEastAsia"/>
          <w:szCs w:val="24"/>
          <w:u w:val="none"/>
        </w:rPr>
      </w:sdtEndPr>
      <w:sdtContent>
        <w:p w14:paraId="7F59D588" w14:textId="77777777" w:rsidR="009927BE" w:rsidRPr="00096B91" w:rsidRDefault="009927BE" w:rsidP="009D6EAB">
          <w:pPr>
            <w:pStyle w:val="Title"/>
            <w:rPr>
              <w:rFonts w:ascii="Times New Roman" w:hAnsi="Times New Roman"/>
              <w:u w:val="single"/>
            </w:rPr>
          </w:pPr>
          <w:r w:rsidRPr="00096B91">
            <w:rPr>
              <w:rFonts w:ascii="Times New Roman" w:hAnsi="Times New Roman"/>
              <w:u w:val="single"/>
            </w:rPr>
            <w:t>EXPLANATORY STATEMENT</w:t>
          </w:r>
        </w:p>
        <w:p w14:paraId="3461BF3D" w14:textId="77777777" w:rsidR="009927BE" w:rsidRPr="00096B91" w:rsidRDefault="00032B43" w:rsidP="009D6EAB">
          <w:pPr>
            <w:jc w:val="center"/>
            <w:rPr>
              <w:rFonts w:ascii="Times New Roman" w:hAnsi="Times New Roman" w:cs="Times New Roman"/>
              <w:sz w:val="24"/>
            </w:rPr>
          </w:pPr>
        </w:p>
      </w:sdtContent>
    </w:sdt>
    <w:p w14:paraId="24F25251" w14:textId="77777777" w:rsidR="009927BE" w:rsidRPr="00074FAE" w:rsidRDefault="00032B43" w:rsidP="009D6EAB">
      <w:pPr>
        <w:jc w:val="center"/>
        <w:rPr>
          <w:rFonts w:ascii="Times New Roman" w:hAnsi="Times New Roman" w:cs="Times New Roman"/>
          <w:sz w:val="24"/>
          <w:u w:val="single"/>
        </w:rPr>
      </w:pPr>
      <w:sdt>
        <w:sdtPr>
          <w:rPr>
            <w:rFonts w:ascii="Times New Roman" w:hAnsi="Times New Roman" w:cs="Times New Roman"/>
            <w:sz w:val="24"/>
            <w:u w:val="single"/>
          </w:rPr>
          <w:id w:val="962787087"/>
          <w:lock w:val="contentLocked"/>
          <w:placeholder>
            <w:docPart w:val="5E3858656CAF4B45AFAC963F38495D7D"/>
          </w:placeholder>
          <w:group/>
        </w:sdtPr>
        <w:sdtEndPr/>
        <w:sdtContent>
          <w:r w:rsidR="009927BE" w:rsidRPr="00096B91">
            <w:rPr>
              <w:rFonts w:ascii="Times New Roman" w:hAnsi="Times New Roman" w:cs="Times New Roman"/>
              <w:sz w:val="24"/>
              <w:u w:val="single"/>
            </w:rPr>
            <w:t>Issued by Authority of the</w:t>
          </w:r>
        </w:sdtContent>
      </w:sdt>
      <w:r w:rsidR="009927BE" w:rsidRPr="00096B91">
        <w:rPr>
          <w:rFonts w:ascii="Times New Roman" w:hAnsi="Times New Roman" w:cs="Times New Roman"/>
          <w:sz w:val="24"/>
          <w:u w:val="single"/>
        </w:rPr>
        <w:t xml:space="preserve"> </w:t>
      </w:r>
      <w:r w:rsidR="009927BE">
        <w:rPr>
          <w:rFonts w:ascii="Times New Roman" w:hAnsi="Times New Roman" w:cs="Times New Roman"/>
          <w:sz w:val="24"/>
          <w:u w:val="single"/>
        </w:rPr>
        <w:t xml:space="preserve">Deputy Prime Minister and </w:t>
      </w:r>
      <w:r w:rsidR="009927BE" w:rsidRPr="00B3331C">
        <w:rPr>
          <w:rFonts w:ascii="Times New Roman" w:hAnsi="Times New Roman" w:cs="Times New Roman"/>
          <w:sz w:val="24"/>
          <w:u w:val="single"/>
        </w:rPr>
        <w:t xml:space="preserve">Minister </w:t>
      </w:r>
      <w:r w:rsidR="009927BE">
        <w:rPr>
          <w:rFonts w:ascii="Times New Roman" w:hAnsi="Times New Roman" w:cs="Times New Roman"/>
          <w:sz w:val="24"/>
          <w:u w:val="single"/>
        </w:rPr>
        <w:t xml:space="preserve">for Agriculture </w:t>
      </w:r>
      <w:r w:rsidR="009927BE" w:rsidRPr="00074FAE">
        <w:rPr>
          <w:rFonts w:ascii="Times New Roman" w:hAnsi="Times New Roman" w:cs="Times New Roman"/>
          <w:sz w:val="24"/>
          <w:u w:val="single"/>
        </w:rPr>
        <w:t>and Water Resources</w:t>
      </w:r>
    </w:p>
    <w:p w14:paraId="7F4CA804" w14:textId="77777777" w:rsidR="009927BE" w:rsidRPr="00074FAE" w:rsidRDefault="009927BE" w:rsidP="009D6EAB">
      <w:pPr>
        <w:jc w:val="center"/>
        <w:rPr>
          <w:rFonts w:ascii="Times New Roman" w:hAnsi="Times New Roman" w:cs="Times New Roman"/>
          <w:sz w:val="24"/>
        </w:rPr>
      </w:pPr>
    </w:p>
    <w:p w14:paraId="3AD6A34E" w14:textId="77777777" w:rsidR="009927BE" w:rsidRPr="00C163FF" w:rsidRDefault="009927BE" w:rsidP="009D6EAB">
      <w:pPr>
        <w:jc w:val="center"/>
        <w:rPr>
          <w:rFonts w:ascii="Times New Roman" w:hAnsi="Times New Roman" w:cs="Times New Roman"/>
          <w:snapToGrid w:val="0"/>
          <w:sz w:val="24"/>
        </w:rPr>
      </w:pPr>
      <w:r w:rsidRPr="00C163FF">
        <w:rPr>
          <w:rFonts w:ascii="Times New Roman" w:hAnsi="Times New Roman" w:cs="Times New Roman"/>
          <w:i/>
          <w:snapToGrid w:val="0"/>
          <w:sz w:val="24"/>
        </w:rPr>
        <w:t>Farm Household Support</w:t>
      </w:r>
      <w:r w:rsidRPr="00C163FF">
        <w:rPr>
          <w:rFonts w:ascii="Times New Roman" w:hAnsi="Times New Roman" w:cs="Times New Roman"/>
          <w:i/>
          <w:sz w:val="24"/>
        </w:rPr>
        <w:t xml:space="preserve"> </w:t>
      </w:r>
      <w:r w:rsidRPr="00C163FF">
        <w:rPr>
          <w:rFonts w:ascii="Times New Roman" w:hAnsi="Times New Roman" w:cs="Times New Roman"/>
          <w:i/>
          <w:snapToGrid w:val="0"/>
          <w:sz w:val="24"/>
        </w:rPr>
        <w:t>Act 2014</w:t>
      </w:r>
    </w:p>
    <w:p w14:paraId="5743B8EF" w14:textId="77777777" w:rsidR="009927BE" w:rsidRPr="00C163FF" w:rsidRDefault="009927BE" w:rsidP="009D6EAB">
      <w:pPr>
        <w:jc w:val="center"/>
        <w:rPr>
          <w:rFonts w:ascii="Times New Roman" w:hAnsi="Times New Roman" w:cs="Times New Roman"/>
          <w:sz w:val="24"/>
        </w:rPr>
      </w:pPr>
    </w:p>
    <w:p w14:paraId="5C1A7B3E" w14:textId="77777777" w:rsidR="009927BE" w:rsidRPr="00C163FF" w:rsidRDefault="009927BE" w:rsidP="009D6EAB">
      <w:pPr>
        <w:jc w:val="center"/>
        <w:rPr>
          <w:rFonts w:ascii="Times New Roman" w:hAnsi="Times New Roman" w:cs="Times New Roman"/>
          <w:i/>
          <w:sz w:val="24"/>
        </w:rPr>
      </w:pPr>
      <w:r w:rsidRPr="00C163FF">
        <w:rPr>
          <w:rFonts w:ascii="Times New Roman" w:hAnsi="Times New Roman" w:cs="Times New Roman"/>
          <w:i/>
          <w:snapToGrid w:val="0"/>
          <w:sz w:val="24"/>
        </w:rPr>
        <w:t>Farm Household Support</w:t>
      </w:r>
      <w:r w:rsidRPr="00C163FF">
        <w:rPr>
          <w:rFonts w:ascii="Times New Roman" w:hAnsi="Times New Roman" w:cs="Times New Roman"/>
          <w:i/>
          <w:sz w:val="24"/>
        </w:rPr>
        <w:t xml:space="preserve"> (Non-farm Assets) </w:t>
      </w:r>
      <w:r w:rsidR="00731612" w:rsidRPr="00C163FF">
        <w:rPr>
          <w:rFonts w:ascii="Times New Roman" w:hAnsi="Times New Roman" w:cs="Times New Roman"/>
          <w:i/>
          <w:sz w:val="24"/>
        </w:rPr>
        <w:t>Amendment</w:t>
      </w:r>
      <w:r w:rsidRPr="00C163FF">
        <w:rPr>
          <w:rFonts w:ascii="Times New Roman" w:hAnsi="Times New Roman" w:cs="Times New Roman"/>
          <w:i/>
          <w:sz w:val="24"/>
        </w:rPr>
        <w:t xml:space="preserve"> Rule 201</w:t>
      </w:r>
      <w:r w:rsidR="00731612" w:rsidRPr="00C163FF">
        <w:rPr>
          <w:rFonts w:ascii="Times New Roman" w:hAnsi="Times New Roman" w:cs="Times New Roman"/>
          <w:i/>
          <w:sz w:val="24"/>
        </w:rPr>
        <w:t>7</w:t>
      </w:r>
    </w:p>
    <w:p w14:paraId="7EF6F23B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14:paraId="62B7B32C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C163FF">
        <w:rPr>
          <w:rFonts w:ascii="Times New Roman" w:hAnsi="Times New Roman" w:cs="Times New Roman"/>
          <w:b/>
          <w:sz w:val="24"/>
        </w:rPr>
        <w:t>Legislative authority</w:t>
      </w:r>
    </w:p>
    <w:p w14:paraId="3C6194FF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</w:p>
    <w:p w14:paraId="069DD7B4" w14:textId="6C8D20D1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  <w:r w:rsidRPr="00C163FF">
        <w:rPr>
          <w:rFonts w:ascii="Times New Roman" w:hAnsi="Times New Roman" w:cs="Times New Roman"/>
          <w:sz w:val="24"/>
        </w:rPr>
        <w:t xml:space="preserve">The </w:t>
      </w:r>
      <w:r w:rsidRPr="00C163FF">
        <w:rPr>
          <w:rFonts w:ascii="Times New Roman" w:hAnsi="Times New Roman" w:cs="Times New Roman"/>
          <w:i/>
          <w:snapToGrid w:val="0"/>
          <w:sz w:val="24"/>
        </w:rPr>
        <w:t>Farm Household Support</w:t>
      </w:r>
      <w:r w:rsidRPr="00C163FF">
        <w:rPr>
          <w:rFonts w:ascii="Times New Roman" w:hAnsi="Times New Roman" w:cs="Times New Roman"/>
          <w:i/>
          <w:sz w:val="24"/>
        </w:rPr>
        <w:t xml:space="preserve"> </w:t>
      </w:r>
      <w:r w:rsidRPr="00C163FF">
        <w:rPr>
          <w:rFonts w:ascii="Times New Roman" w:hAnsi="Times New Roman" w:cs="Times New Roman"/>
          <w:i/>
          <w:snapToGrid w:val="0"/>
          <w:sz w:val="24"/>
        </w:rPr>
        <w:t xml:space="preserve">Act 2014 </w:t>
      </w:r>
      <w:r w:rsidRPr="00C163FF">
        <w:rPr>
          <w:rFonts w:ascii="Times New Roman" w:hAnsi="Times New Roman" w:cs="Times New Roman"/>
          <w:snapToGrid w:val="0"/>
          <w:sz w:val="24"/>
        </w:rPr>
        <w:t>(the FHS Act) provides the mechanism to implement the F</w:t>
      </w:r>
      <w:r w:rsidR="003D3F8A" w:rsidRPr="00C163FF">
        <w:rPr>
          <w:rFonts w:ascii="Times New Roman" w:hAnsi="Times New Roman" w:cs="Times New Roman"/>
          <w:snapToGrid w:val="0"/>
          <w:sz w:val="24"/>
        </w:rPr>
        <w:t>arm Household Allowance (FHA)</w:t>
      </w:r>
      <w:r w:rsidRPr="00C163FF">
        <w:rPr>
          <w:rFonts w:ascii="Times New Roman" w:hAnsi="Times New Roman" w:cs="Times New Roman"/>
          <w:snapToGrid w:val="0"/>
          <w:sz w:val="24"/>
        </w:rPr>
        <w:t xml:space="preserve">, an income support payment for farmers and </w:t>
      </w:r>
      <w:r w:rsidR="00010D4D" w:rsidRPr="00C163FF">
        <w:rPr>
          <w:rFonts w:ascii="Times New Roman" w:hAnsi="Times New Roman" w:cs="Times New Roman"/>
          <w:snapToGrid w:val="0"/>
          <w:sz w:val="24"/>
        </w:rPr>
        <w:t xml:space="preserve">farmers’ </w:t>
      </w:r>
      <w:r w:rsidRPr="00C163FF">
        <w:rPr>
          <w:rFonts w:ascii="Times New Roman" w:hAnsi="Times New Roman" w:cs="Times New Roman"/>
          <w:snapToGrid w:val="0"/>
          <w:sz w:val="24"/>
        </w:rPr>
        <w:t xml:space="preserve">partners who are experiencing financial hardship. </w:t>
      </w:r>
    </w:p>
    <w:p w14:paraId="7068B86E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</w:p>
    <w:p w14:paraId="7C783BF5" w14:textId="77777777" w:rsidR="009927BE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  <w:r w:rsidRPr="00C163FF">
        <w:rPr>
          <w:rFonts w:ascii="Times New Roman" w:hAnsi="Times New Roman" w:cs="Times New Roman"/>
          <w:sz w:val="24"/>
        </w:rPr>
        <w:t xml:space="preserve">Subsection 106(1) of the </w:t>
      </w:r>
      <w:r w:rsidRPr="00C163FF">
        <w:rPr>
          <w:rFonts w:ascii="Times New Roman" w:hAnsi="Times New Roman" w:cs="Times New Roman"/>
          <w:snapToGrid w:val="0"/>
          <w:sz w:val="24"/>
        </w:rPr>
        <w:t xml:space="preserve">FHS Act provides that the </w:t>
      </w:r>
      <w:r w:rsidR="003079FB">
        <w:rPr>
          <w:rFonts w:ascii="Times New Roman" w:hAnsi="Times New Roman" w:cs="Times New Roman"/>
          <w:snapToGrid w:val="0"/>
          <w:sz w:val="24"/>
        </w:rPr>
        <w:t>minister may make m</w:t>
      </w:r>
      <w:r w:rsidRPr="00C163FF">
        <w:rPr>
          <w:rFonts w:ascii="Times New Roman" w:hAnsi="Times New Roman" w:cs="Times New Roman"/>
          <w:snapToGrid w:val="0"/>
          <w:sz w:val="24"/>
        </w:rPr>
        <w:t xml:space="preserve">inister’s rules by legislative instrument prescribing matters required or permitted by the FHS Act to be prescribed by </w:t>
      </w:r>
      <w:r w:rsidR="004C3B59">
        <w:rPr>
          <w:rFonts w:ascii="Times New Roman" w:hAnsi="Times New Roman" w:cs="Times New Roman"/>
          <w:snapToGrid w:val="0"/>
          <w:sz w:val="24"/>
        </w:rPr>
        <w:t>a m</w:t>
      </w:r>
      <w:r w:rsidRPr="00C163FF">
        <w:rPr>
          <w:rFonts w:ascii="Times New Roman" w:hAnsi="Times New Roman" w:cs="Times New Roman"/>
          <w:snapToGrid w:val="0"/>
          <w:sz w:val="24"/>
        </w:rPr>
        <w:t>inister’s rule.</w:t>
      </w:r>
    </w:p>
    <w:p w14:paraId="2BA12AB4" w14:textId="77777777" w:rsidR="00472DBB" w:rsidRDefault="00472DBB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</w:p>
    <w:p w14:paraId="60F0093D" w14:textId="77777777" w:rsidR="00472DBB" w:rsidRPr="00472DBB" w:rsidRDefault="00472DBB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Under subsection 33(3) of the </w:t>
      </w:r>
      <w:r>
        <w:rPr>
          <w:rFonts w:ascii="Times New Roman" w:hAnsi="Times New Roman" w:cs="Times New Roman"/>
          <w:i/>
          <w:snapToGrid w:val="0"/>
          <w:sz w:val="24"/>
        </w:rPr>
        <w:t>Acts Interpretation Act 1901</w:t>
      </w:r>
      <w:r>
        <w:rPr>
          <w:rFonts w:ascii="Times New Roman" w:hAnsi="Times New Roman" w:cs="Times New Roman"/>
          <w:snapToGrid w:val="0"/>
          <w:sz w:val="24"/>
        </w:rPr>
        <w:t>,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739F5ECB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</w:p>
    <w:p w14:paraId="440498B1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  <w:r w:rsidRPr="00C163FF">
        <w:rPr>
          <w:rFonts w:ascii="Times New Roman" w:hAnsi="Times New Roman" w:cs="Times New Roman"/>
          <w:snapToGrid w:val="0"/>
          <w:sz w:val="24"/>
        </w:rPr>
        <w:t xml:space="preserve">Part 5 of the FHS Act modifies how the </w:t>
      </w:r>
      <w:r w:rsidRPr="00C163FF">
        <w:rPr>
          <w:rFonts w:ascii="Times New Roman" w:hAnsi="Times New Roman" w:cs="Times New Roman"/>
          <w:i/>
          <w:sz w:val="24"/>
        </w:rPr>
        <w:t>Social Security Act 1991</w:t>
      </w:r>
      <w:r w:rsidRPr="00C163FF">
        <w:rPr>
          <w:rFonts w:ascii="Times New Roman" w:hAnsi="Times New Roman" w:cs="Times New Roman"/>
          <w:sz w:val="24"/>
        </w:rPr>
        <w:t xml:space="preserve"> (the </w:t>
      </w:r>
      <w:r w:rsidRPr="00C163FF">
        <w:rPr>
          <w:rFonts w:ascii="Times New Roman" w:hAnsi="Times New Roman" w:cs="Times New Roman"/>
          <w:snapToGrid w:val="0"/>
          <w:sz w:val="24"/>
        </w:rPr>
        <w:t>SS Act</w:t>
      </w:r>
      <w:r w:rsidRPr="00C163FF">
        <w:rPr>
          <w:rFonts w:ascii="Times New Roman" w:hAnsi="Times New Roman" w:cs="Times New Roman"/>
          <w:sz w:val="24"/>
        </w:rPr>
        <w:t xml:space="preserve">) and the </w:t>
      </w:r>
      <w:r w:rsidRPr="00C163FF">
        <w:rPr>
          <w:rFonts w:ascii="Times New Roman" w:hAnsi="Times New Roman" w:cs="Times New Roman"/>
          <w:i/>
          <w:sz w:val="24"/>
        </w:rPr>
        <w:t>Social Security (Administration) Act 1999</w:t>
      </w:r>
      <w:r w:rsidRPr="00C163FF">
        <w:rPr>
          <w:rFonts w:ascii="Times New Roman" w:hAnsi="Times New Roman" w:cs="Times New Roman"/>
          <w:sz w:val="24"/>
        </w:rPr>
        <w:t xml:space="preserve"> (the </w:t>
      </w:r>
      <w:r w:rsidRPr="00C163FF">
        <w:rPr>
          <w:rFonts w:ascii="Times New Roman" w:hAnsi="Times New Roman" w:cs="Times New Roman"/>
          <w:snapToGrid w:val="0"/>
          <w:sz w:val="24"/>
        </w:rPr>
        <w:t>SSA Act) operate so that those Acts can apply in relation to payments made under the FHS Act, including the F</w:t>
      </w:r>
      <w:r w:rsidR="003D3F8A" w:rsidRPr="00C163FF">
        <w:rPr>
          <w:rFonts w:ascii="Times New Roman" w:hAnsi="Times New Roman" w:cs="Times New Roman"/>
          <w:snapToGrid w:val="0"/>
          <w:sz w:val="24"/>
        </w:rPr>
        <w:t>HA</w:t>
      </w:r>
      <w:r w:rsidRPr="00C163FF">
        <w:rPr>
          <w:rFonts w:ascii="Times New Roman" w:hAnsi="Times New Roman" w:cs="Times New Roman"/>
          <w:snapToGrid w:val="0"/>
          <w:sz w:val="24"/>
        </w:rPr>
        <w:t xml:space="preserve">. </w:t>
      </w:r>
      <w:r w:rsidRPr="00C163FF">
        <w:rPr>
          <w:rFonts w:ascii="Times New Roman" w:hAnsi="Times New Roman" w:cs="Times New Roman"/>
          <w:sz w:val="24"/>
        </w:rPr>
        <w:t xml:space="preserve">This approach ensures that FHA recipients are treated equitably and have access to the same benefits and services as </w:t>
      </w:r>
      <w:r w:rsidR="003079FB">
        <w:rPr>
          <w:rFonts w:ascii="Times New Roman" w:hAnsi="Times New Roman" w:cs="Times New Roman"/>
          <w:sz w:val="24"/>
        </w:rPr>
        <w:t>N</w:t>
      </w:r>
      <w:r w:rsidRPr="00C163FF">
        <w:rPr>
          <w:rFonts w:ascii="Times New Roman" w:hAnsi="Times New Roman" w:cs="Times New Roman"/>
          <w:sz w:val="24"/>
        </w:rPr>
        <w:t xml:space="preserve">ewstart and </w:t>
      </w:r>
      <w:r w:rsidR="003079FB">
        <w:rPr>
          <w:rFonts w:ascii="Times New Roman" w:hAnsi="Times New Roman" w:cs="Times New Roman"/>
          <w:sz w:val="24"/>
        </w:rPr>
        <w:t>Y</w:t>
      </w:r>
      <w:r w:rsidRPr="00C163FF">
        <w:rPr>
          <w:rFonts w:ascii="Times New Roman" w:hAnsi="Times New Roman" w:cs="Times New Roman"/>
          <w:sz w:val="24"/>
        </w:rPr>
        <w:t xml:space="preserve">outh </w:t>
      </w:r>
      <w:r w:rsidR="003079FB">
        <w:rPr>
          <w:rFonts w:ascii="Times New Roman" w:hAnsi="Times New Roman" w:cs="Times New Roman"/>
          <w:sz w:val="24"/>
        </w:rPr>
        <w:t>A</w:t>
      </w:r>
      <w:r w:rsidRPr="00C163FF">
        <w:rPr>
          <w:rFonts w:ascii="Times New Roman" w:hAnsi="Times New Roman" w:cs="Times New Roman"/>
          <w:sz w:val="24"/>
        </w:rPr>
        <w:t>llowance recipients.</w:t>
      </w:r>
    </w:p>
    <w:p w14:paraId="7F629D62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</w:p>
    <w:p w14:paraId="053CA5B3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  <w:r w:rsidRPr="00C163FF">
        <w:rPr>
          <w:rFonts w:ascii="Times New Roman" w:hAnsi="Times New Roman" w:cs="Times New Roman"/>
          <w:snapToGrid w:val="0"/>
          <w:sz w:val="24"/>
        </w:rPr>
        <w:t xml:space="preserve">Section 92 of the FHS Act provides that </w:t>
      </w:r>
      <w:r w:rsidR="003079FB">
        <w:rPr>
          <w:rFonts w:ascii="Times New Roman" w:hAnsi="Times New Roman" w:cs="Times New Roman"/>
          <w:snapToGrid w:val="0"/>
          <w:sz w:val="24"/>
        </w:rPr>
        <w:t>m</w:t>
      </w:r>
      <w:r w:rsidRPr="00C163FF">
        <w:rPr>
          <w:rFonts w:ascii="Times New Roman" w:hAnsi="Times New Roman" w:cs="Times New Roman"/>
          <w:snapToGrid w:val="0"/>
          <w:sz w:val="24"/>
        </w:rPr>
        <w:t>inister’s rules may provide that any modifications to the SS Act, the SSA Act or Part 5 of the FHS Act as prescribed have the same effect as section 91 of t</w:t>
      </w:r>
      <w:r w:rsidR="003079FB">
        <w:rPr>
          <w:rFonts w:ascii="Times New Roman" w:hAnsi="Times New Roman" w:cs="Times New Roman"/>
          <w:snapToGrid w:val="0"/>
          <w:sz w:val="24"/>
        </w:rPr>
        <w:t>he FHS Act. That is, the m</w:t>
      </w:r>
      <w:r w:rsidRPr="00C163FF">
        <w:rPr>
          <w:rFonts w:ascii="Times New Roman" w:hAnsi="Times New Roman" w:cs="Times New Roman"/>
          <w:snapToGrid w:val="0"/>
          <w:sz w:val="24"/>
        </w:rPr>
        <w:t>inister’s rules can further modify those Acts as necessary to facilitate payments under the FHS Act.</w:t>
      </w:r>
    </w:p>
    <w:p w14:paraId="02AD897D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napToGrid w:val="0"/>
          <w:sz w:val="24"/>
        </w:rPr>
      </w:pPr>
    </w:p>
    <w:p w14:paraId="5680427F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napToGrid w:val="0"/>
          <w:sz w:val="24"/>
        </w:rPr>
      </w:pPr>
      <w:r w:rsidRPr="00C163FF">
        <w:rPr>
          <w:rFonts w:ascii="Times New Roman" w:hAnsi="Times New Roman" w:cs="Times New Roman"/>
          <w:b/>
          <w:snapToGrid w:val="0"/>
          <w:sz w:val="24"/>
        </w:rPr>
        <w:t>Purpose</w:t>
      </w:r>
    </w:p>
    <w:p w14:paraId="1183E3EC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</w:p>
    <w:p w14:paraId="0BCBA0CA" w14:textId="77777777" w:rsidR="009927BE" w:rsidRPr="00C163FF" w:rsidRDefault="009927BE" w:rsidP="009D6EAB">
      <w:pPr>
        <w:tabs>
          <w:tab w:val="right" w:pos="9072"/>
        </w:tabs>
        <w:rPr>
          <w:rFonts w:ascii="Times New Roman" w:hAnsi="Times New Roman"/>
          <w:i/>
          <w:sz w:val="24"/>
        </w:rPr>
      </w:pPr>
      <w:r w:rsidRPr="00C163FF">
        <w:rPr>
          <w:rFonts w:ascii="Times New Roman" w:hAnsi="Times New Roman"/>
          <w:sz w:val="24"/>
        </w:rPr>
        <w:t>The</w:t>
      </w:r>
      <w:r w:rsidR="00C163FF">
        <w:rPr>
          <w:rFonts w:ascii="Times New Roman" w:hAnsi="Times New Roman"/>
          <w:sz w:val="24"/>
        </w:rPr>
        <w:t xml:space="preserve"> </w:t>
      </w:r>
      <w:r w:rsidR="00C163FF" w:rsidRPr="0074242A">
        <w:rPr>
          <w:rFonts w:ascii="Times New Roman" w:hAnsi="Times New Roman"/>
          <w:i/>
          <w:sz w:val="24"/>
        </w:rPr>
        <w:t>Farm Household Support (Non-farm Assets) Amendment Rule 2017</w:t>
      </w:r>
      <w:r w:rsidR="00C163FF">
        <w:rPr>
          <w:rFonts w:ascii="Times New Roman" w:hAnsi="Times New Roman"/>
          <w:sz w:val="24"/>
        </w:rPr>
        <w:t xml:space="preserve"> (the Rule) </w:t>
      </w:r>
      <w:r w:rsidRPr="00C163FF">
        <w:rPr>
          <w:rFonts w:ascii="Times New Roman" w:hAnsi="Times New Roman"/>
          <w:sz w:val="24"/>
        </w:rPr>
        <w:t xml:space="preserve">is a legislative instrument for the purpose of the </w:t>
      </w:r>
      <w:r w:rsidRPr="00C163FF">
        <w:rPr>
          <w:rFonts w:ascii="Times New Roman" w:hAnsi="Times New Roman"/>
          <w:i/>
          <w:sz w:val="24"/>
        </w:rPr>
        <w:t>Legislation Act 2003.</w:t>
      </w:r>
    </w:p>
    <w:p w14:paraId="1DE426DF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napToGrid w:val="0"/>
          <w:sz w:val="24"/>
        </w:rPr>
      </w:pPr>
    </w:p>
    <w:p w14:paraId="54B40969" w14:textId="6B078416" w:rsidR="001D1A31" w:rsidRPr="00C163FF" w:rsidRDefault="00C163FF" w:rsidP="009D6EAB">
      <w:pPr>
        <w:tabs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The purpose of the R</w:t>
      </w:r>
      <w:r w:rsidR="009927BE" w:rsidRPr="00C163FF">
        <w:rPr>
          <w:rFonts w:ascii="Times New Roman" w:hAnsi="Times New Roman" w:cs="Times New Roman"/>
          <w:snapToGrid w:val="0"/>
          <w:sz w:val="24"/>
        </w:rPr>
        <w:t>ule is to</w:t>
      </w:r>
      <w:r w:rsidR="00EE10BE" w:rsidRPr="00C163FF">
        <w:rPr>
          <w:rFonts w:ascii="Times New Roman" w:hAnsi="Times New Roman" w:cs="Times New Roman"/>
          <w:snapToGrid w:val="0"/>
          <w:sz w:val="24"/>
        </w:rPr>
        <w:t xml:space="preserve"> </w:t>
      </w:r>
      <w:r w:rsidR="000F06E8" w:rsidRPr="00C163FF">
        <w:rPr>
          <w:rFonts w:ascii="Times New Roman" w:hAnsi="Times New Roman" w:cs="Times New Roman"/>
          <w:snapToGrid w:val="0"/>
          <w:sz w:val="24"/>
        </w:rPr>
        <w:t>modify the operation of section 1118FHS of the</w:t>
      </w:r>
      <w:r w:rsidR="00E26D33">
        <w:rPr>
          <w:rFonts w:ascii="Times New Roman" w:hAnsi="Times New Roman" w:cs="Times New Roman"/>
          <w:snapToGrid w:val="0"/>
          <w:sz w:val="24"/>
        </w:rPr>
        <w:t xml:space="preserve"> SS </w:t>
      </w:r>
      <w:r w:rsidR="00E26D33" w:rsidRPr="00E26D33">
        <w:rPr>
          <w:rFonts w:ascii="Times New Roman" w:hAnsi="Times New Roman" w:cs="Times New Roman"/>
          <w:snapToGrid w:val="0"/>
          <w:sz w:val="24"/>
        </w:rPr>
        <w:t>Act t</w:t>
      </w:r>
      <w:r w:rsidR="000F06E8" w:rsidRPr="00E26D33">
        <w:rPr>
          <w:rFonts w:ascii="Times New Roman" w:hAnsi="Times New Roman" w:cs="Times New Roman"/>
          <w:snapToGrid w:val="0"/>
          <w:sz w:val="24"/>
        </w:rPr>
        <w:t>o</w:t>
      </w:r>
      <w:r w:rsidR="000F06E8" w:rsidRPr="00C163FF">
        <w:rPr>
          <w:rFonts w:ascii="Times New Roman" w:hAnsi="Times New Roman" w:cs="Times New Roman"/>
          <w:snapToGrid w:val="0"/>
          <w:sz w:val="24"/>
        </w:rPr>
        <w:t xml:space="preserve"> </w:t>
      </w:r>
      <w:r w:rsidR="0052278B" w:rsidRPr="00C163FF">
        <w:rPr>
          <w:rFonts w:ascii="Times New Roman" w:hAnsi="Times New Roman" w:cs="Times New Roman"/>
          <w:snapToGrid w:val="0"/>
          <w:sz w:val="24"/>
        </w:rPr>
        <w:t>preserve</w:t>
      </w:r>
      <w:r w:rsidR="00EE10BE" w:rsidRPr="00C163FF">
        <w:rPr>
          <w:rFonts w:ascii="Times New Roman" w:hAnsi="Times New Roman" w:cs="Times New Roman"/>
          <w:snapToGrid w:val="0"/>
          <w:sz w:val="24"/>
        </w:rPr>
        <w:t xml:space="preserve"> </w:t>
      </w:r>
      <w:r w:rsidR="00010D4D" w:rsidRPr="00C163FF">
        <w:rPr>
          <w:rFonts w:ascii="Times New Roman" w:hAnsi="Times New Roman" w:cs="Times New Roman"/>
          <w:snapToGrid w:val="0"/>
          <w:sz w:val="24"/>
        </w:rPr>
        <w:t xml:space="preserve">the </w:t>
      </w:r>
      <w:r w:rsidR="001D1A31" w:rsidRPr="00C163FF">
        <w:rPr>
          <w:rFonts w:ascii="Times New Roman" w:hAnsi="Times New Roman" w:cs="Times New Roman"/>
          <w:snapToGrid w:val="0"/>
          <w:sz w:val="24"/>
        </w:rPr>
        <w:t xml:space="preserve">legislative framework within the </w:t>
      </w:r>
      <w:r w:rsidR="001D1A31" w:rsidRPr="0074242A">
        <w:rPr>
          <w:rFonts w:ascii="Times New Roman" w:hAnsi="Times New Roman" w:cs="Times New Roman"/>
          <w:i/>
          <w:snapToGrid w:val="0"/>
          <w:sz w:val="24"/>
        </w:rPr>
        <w:t>Farm Household Support (Non-farm Assets) Minister’s Rule 2016</w:t>
      </w:r>
      <w:r w:rsidR="001D1A31" w:rsidRPr="00C163FF">
        <w:rPr>
          <w:rFonts w:ascii="Times New Roman" w:hAnsi="Times New Roman" w:cs="Times New Roman"/>
          <w:i/>
          <w:snapToGrid w:val="0"/>
          <w:sz w:val="24"/>
        </w:rPr>
        <w:t xml:space="preserve"> </w:t>
      </w:r>
      <w:r w:rsidR="003079FB">
        <w:rPr>
          <w:rFonts w:ascii="Times New Roman" w:hAnsi="Times New Roman" w:cs="Times New Roman"/>
          <w:snapToGrid w:val="0"/>
          <w:sz w:val="24"/>
        </w:rPr>
        <w:t>(</w:t>
      </w:r>
      <w:r w:rsidR="002B4FA8">
        <w:rPr>
          <w:rFonts w:ascii="Times New Roman" w:hAnsi="Times New Roman" w:cs="Times New Roman"/>
          <w:snapToGrid w:val="0"/>
          <w:sz w:val="24"/>
        </w:rPr>
        <w:t xml:space="preserve">the </w:t>
      </w:r>
      <w:r w:rsidR="003079FB">
        <w:rPr>
          <w:rFonts w:ascii="Times New Roman" w:hAnsi="Times New Roman" w:cs="Times New Roman"/>
          <w:snapToGrid w:val="0"/>
          <w:sz w:val="24"/>
        </w:rPr>
        <w:t>Minister’s Rule) as it applies</w:t>
      </w:r>
      <w:r w:rsidR="001D1A31" w:rsidRPr="00C163FF">
        <w:rPr>
          <w:rFonts w:ascii="Times New Roman" w:hAnsi="Times New Roman" w:cs="Times New Roman"/>
          <w:snapToGrid w:val="0"/>
          <w:sz w:val="24"/>
        </w:rPr>
        <w:t xml:space="preserve"> to existing, and ongoing, FHA recipients immediately prior to the</w:t>
      </w:r>
      <w:r w:rsidR="003079FB">
        <w:rPr>
          <w:rFonts w:ascii="Times New Roman" w:hAnsi="Times New Roman" w:cs="Times New Roman"/>
          <w:i/>
          <w:snapToGrid w:val="0"/>
          <w:sz w:val="24"/>
        </w:rPr>
        <w:t xml:space="preserve"> </w:t>
      </w:r>
      <w:r w:rsidR="003079FB" w:rsidRPr="002B4FA8">
        <w:rPr>
          <w:rFonts w:ascii="Times New Roman" w:hAnsi="Times New Roman" w:cs="Times New Roman"/>
          <w:snapToGrid w:val="0"/>
          <w:sz w:val="24"/>
        </w:rPr>
        <w:t xml:space="preserve">Farm Household Support Amendment </w:t>
      </w:r>
      <w:r w:rsidR="0074242A">
        <w:rPr>
          <w:rFonts w:ascii="Times New Roman" w:hAnsi="Times New Roman" w:cs="Times New Roman"/>
          <w:snapToGrid w:val="0"/>
          <w:sz w:val="24"/>
        </w:rPr>
        <w:t>Bill</w:t>
      </w:r>
      <w:r w:rsidR="003079FB" w:rsidRPr="002B4FA8">
        <w:rPr>
          <w:rFonts w:ascii="Times New Roman" w:hAnsi="Times New Roman" w:cs="Times New Roman"/>
          <w:snapToGrid w:val="0"/>
          <w:sz w:val="24"/>
        </w:rPr>
        <w:t xml:space="preserve"> 2017</w:t>
      </w:r>
      <w:r w:rsidR="003079FB">
        <w:rPr>
          <w:rFonts w:ascii="Times New Roman" w:hAnsi="Times New Roman" w:cs="Times New Roman"/>
          <w:i/>
          <w:snapToGrid w:val="0"/>
          <w:sz w:val="24"/>
        </w:rPr>
        <w:t xml:space="preserve"> </w:t>
      </w:r>
      <w:r w:rsidR="003079FB">
        <w:rPr>
          <w:rFonts w:ascii="Times New Roman" w:hAnsi="Times New Roman" w:cs="Times New Roman"/>
          <w:snapToGrid w:val="0"/>
          <w:sz w:val="24"/>
        </w:rPr>
        <w:t>(</w:t>
      </w:r>
      <w:r w:rsidR="001D1A31" w:rsidRPr="00C163FF">
        <w:rPr>
          <w:rFonts w:ascii="Times New Roman" w:hAnsi="Times New Roman" w:cs="Times New Roman"/>
          <w:snapToGrid w:val="0"/>
          <w:sz w:val="24"/>
        </w:rPr>
        <w:t xml:space="preserve">Amendment </w:t>
      </w:r>
      <w:r w:rsidR="0074242A">
        <w:rPr>
          <w:rFonts w:ascii="Times New Roman" w:hAnsi="Times New Roman" w:cs="Times New Roman"/>
          <w:snapToGrid w:val="0"/>
          <w:sz w:val="24"/>
        </w:rPr>
        <w:t>Bill</w:t>
      </w:r>
      <w:r w:rsidR="003079FB">
        <w:rPr>
          <w:rFonts w:ascii="Times New Roman" w:hAnsi="Times New Roman" w:cs="Times New Roman"/>
          <w:snapToGrid w:val="0"/>
          <w:sz w:val="24"/>
        </w:rPr>
        <w:t>)</w:t>
      </w:r>
      <w:r w:rsidR="001D1A31" w:rsidRPr="00C163FF">
        <w:rPr>
          <w:rFonts w:ascii="Times New Roman" w:hAnsi="Times New Roman" w:cs="Times New Roman"/>
          <w:snapToGrid w:val="0"/>
          <w:sz w:val="24"/>
        </w:rPr>
        <w:t xml:space="preserve"> receiving </w:t>
      </w:r>
      <w:r w:rsidR="003079FB">
        <w:rPr>
          <w:rFonts w:ascii="Times New Roman" w:hAnsi="Times New Roman" w:cs="Times New Roman"/>
          <w:snapToGrid w:val="0"/>
          <w:sz w:val="24"/>
        </w:rPr>
        <w:t>R</w:t>
      </w:r>
      <w:r w:rsidR="001D1A31" w:rsidRPr="00C163FF">
        <w:rPr>
          <w:rFonts w:ascii="Times New Roman" w:hAnsi="Times New Roman" w:cs="Times New Roman"/>
          <w:snapToGrid w:val="0"/>
          <w:sz w:val="24"/>
        </w:rPr>
        <w:t xml:space="preserve">oyal </w:t>
      </w:r>
      <w:r w:rsidR="003079FB">
        <w:rPr>
          <w:rFonts w:ascii="Times New Roman" w:hAnsi="Times New Roman" w:cs="Times New Roman"/>
          <w:snapToGrid w:val="0"/>
          <w:sz w:val="24"/>
        </w:rPr>
        <w:t>A</w:t>
      </w:r>
      <w:r w:rsidR="001D1A31" w:rsidRPr="00C163FF">
        <w:rPr>
          <w:rFonts w:ascii="Times New Roman" w:hAnsi="Times New Roman" w:cs="Times New Roman"/>
          <w:snapToGrid w:val="0"/>
          <w:sz w:val="24"/>
        </w:rPr>
        <w:t>ssent</w:t>
      </w:r>
      <w:r w:rsidR="0052278B" w:rsidRPr="00C163FF">
        <w:rPr>
          <w:rFonts w:ascii="Times New Roman" w:hAnsi="Times New Roman" w:cs="Times New Roman"/>
          <w:snapToGrid w:val="0"/>
          <w:sz w:val="24"/>
        </w:rPr>
        <w:t xml:space="preserve">. Specifically, the purpose is to preserve the legislative framework in </w:t>
      </w:r>
      <w:r w:rsidR="001D1A31" w:rsidRPr="00C163FF">
        <w:rPr>
          <w:rFonts w:ascii="Times New Roman" w:hAnsi="Times New Roman" w:cs="Times New Roman"/>
          <w:snapToGrid w:val="0"/>
          <w:sz w:val="24"/>
        </w:rPr>
        <w:t>relation to the assessment of non-farm assets</w:t>
      </w:r>
      <w:r w:rsidR="00CF1612" w:rsidRPr="00C163FF">
        <w:rPr>
          <w:rFonts w:ascii="Times New Roman" w:hAnsi="Times New Roman" w:cs="Times New Roman"/>
          <w:snapToGrid w:val="0"/>
          <w:sz w:val="24"/>
        </w:rPr>
        <w:t>.</w:t>
      </w:r>
    </w:p>
    <w:p w14:paraId="19D9D72A" w14:textId="77777777" w:rsidR="00CF1612" w:rsidRPr="00C163FF" w:rsidRDefault="00CF1612" w:rsidP="009D6EAB">
      <w:pPr>
        <w:tabs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</w:p>
    <w:p w14:paraId="55202DD0" w14:textId="4B7AB559" w:rsidR="006E36C5" w:rsidRPr="00C163FF" w:rsidRDefault="00C163FF" w:rsidP="009D6EAB">
      <w:pPr>
        <w:tabs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lastRenderedPageBreak/>
        <w:t xml:space="preserve">The FHS Act </w:t>
      </w:r>
      <w:r w:rsidR="0074242A">
        <w:rPr>
          <w:rFonts w:ascii="Times New Roman" w:hAnsi="Times New Roman" w:cs="Times New Roman"/>
          <w:snapToGrid w:val="0"/>
          <w:sz w:val="24"/>
        </w:rPr>
        <w:t>will be</w:t>
      </w:r>
      <w:r>
        <w:rPr>
          <w:rFonts w:ascii="Times New Roman" w:hAnsi="Times New Roman" w:cs="Times New Roman"/>
          <w:snapToGrid w:val="0"/>
          <w:sz w:val="24"/>
        </w:rPr>
        <w:t xml:space="preserve"> amended by </w:t>
      </w:r>
      <w:r w:rsidR="00FA406B">
        <w:rPr>
          <w:rFonts w:ascii="Times New Roman" w:hAnsi="Times New Roman" w:cs="Times New Roman"/>
          <w:snapToGrid w:val="0"/>
          <w:sz w:val="24"/>
        </w:rPr>
        <w:t>commencement of</w:t>
      </w:r>
      <w:r>
        <w:rPr>
          <w:rFonts w:ascii="Times New Roman" w:hAnsi="Times New Roman" w:cs="Times New Roman"/>
          <w:snapToGrid w:val="0"/>
          <w:sz w:val="24"/>
        </w:rPr>
        <w:t xml:space="preserve"> the </w:t>
      </w:r>
      <w:r w:rsidR="003079FB">
        <w:rPr>
          <w:rFonts w:ascii="Times New Roman" w:hAnsi="Times New Roman" w:cs="Times New Roman"/>
          <w:snapToGrid w:val="0"/>
          <w:sz w:val="24"/>
        </w:rPr>
        <w:t>Amendment Act</w:t>
      </w:r>
      <w:r>
        <w:rPr>
          <w:rFonts w:ascii="Times New Roman" w:hAnsi="Times New Roman" w:cs="Times New Roman"/>
          <w:snapToGrid w:val="0"/>
          <w:sz w:val="24"/>
        </w:rPr>
        <w:t>. As a result of those amendments</w:t>
      </w:r>
      <w:r w:rsidR="003D3F8A" w:rsidRPr="00C163FF">
        <w:rPr>
          <w:rFonts w:ascii="Times New Roman" w:hAnsi="Times New Roman" w:cs="Times New Roman"/>
          <w:snapToGrid w:val="0"/>
          <w:sz w:val="24"/>
        </w:rPr>
        <w:t>,</w:t>
      </w:r>
      <w:r w:rsidR="007F1A8A" w:rsidRPr="00C163FF">
        <w:rPr>
          <w:rFonts w:ascii="Times New Roman" w:hAnsi="Times New Roman" w:cs="Times New Roman"/>
          <w:snapToGrid w:val="0"/>
          <w:sz w:val="24"/>
        </w:rPr>
        <w:t xml:space="preserve"> </w:t>
      </w:r>
      <w:r w:rsidR="001D1A31" w:rsidRPr="00C163FF">
        <w:rPr>
          <w:rFonts w:ascii="Times New Roman" w:hAnsi="Times New Roman" w:cs="Times New Roman"/>
          <w:snapToGrid w:val="0"/>
          <w:sz w:val="24"/>
        </w:rPr>
        <w:t xml:space="preserve">certain assets which were assessed as non-farm assets, </w:t>
      </w:r>
      <w:r w:rsidR="00FB1176" w:rsidRPr="00C163FF">
        <w:rPr>
          <w:rFonts w:ascii="Times New Roman" w:hAnsi="Times New Roman" w:cs="Times New Roman"/>
          <w:snapToGrid w:val="0"/>
          <w:sz w:val="24"/>
        </w:rPr>
        <w:t xml:space="preserve">including </w:t>
      </w:r>
      <w:r w:rsidR="007F1A8A" w:rsidRPr="00C163FF">
        <w:rPr>
          <w:rFonts w:ascii="Times New Roman" w:hAnsi="Times New Roman" w:cs="Times New Roman"/>
          <w:snapToGrid w:val="0"/>
          <w:sz w:val="24"/>
        </w:rPr>
        <w:t>water assets and sha</w:t>
      </w:r>
      <w:r w:rsidR="006E36C5" w:rsidRPr="00C163FF">
        <w:rPr>
          <w:rFonts w:ascii="Times New Roman" w:hAnsi="Times New Roman" w:cs="Times New Roman"/>
          <w:snapToGrid w:val="0"/>
          <w:sz w:val="24"/>
        </w:rPr>
        <w:t>res in marketing cooperatives</w:t>
      </w:r>
      <w:r w:rsidR="001D1A31" w:rsidRPr="00C163FF">
        <w:rPr>
          <w:rFonts w:ascii="Times New Roman" w:hAnsi="Times New Roman" w:cs="Times New Roman"/>
          <w:snapToGrid w:val="0"/>
          <w:sz w:val="24"/>
        </w:rPr>
        <w:t>,</w:t>
      </w:r>
      <w:r w:rsidR="006E36C5" w:rsidRPr="00C163FF">
        <w:rPr>
          <w:rFonts w:ascii="Times New Roman" w:hAnsi="Times New Roman" w:cs="Times New Roman"/>
          <w:snapToGrid w:val="0"/>
          <w:sz w:val="24"/>
        </w:rPr>
        <w:t xml:space="preserve"> are</w:t>
      </w:r>
      <w:r w:rsidR="007F1A8A" w:rsidRPr="00C163FF">
        <w:rPr>
          <w:rFonts w:ascii="Times New Roman" w:hAnsi="Times New Roman" w:cs="Times New Roman"/>
          <w:snapToGrid w:val="0"/>
          <w:sz w:val="24"/>
        </w:rPr>
        <w:t xml:space="preserve"> </w:t>
      </w:r>
      <w:r w:rsidR="003D3F8A" w:rsidRPr="00C163FF">
        <w:rPr>
          <w:rFonts w:ascii="Times New Roman" w:hAnsi="Times New Roman" w:cs="Times New Roman"/>
          <w:snapToGrid w:val="0"/>
          <w:sz w:val="24"/>
        </w:rPr>
        <w:t xml:space="preserve">now </w:t>
      </w:r>
      <w:r w:rsidR="007F1A8A" w:rsidRPr="00C163FF">
        <w:rPr>
          <w:rFonts w:ascii="Times New Roman" w:hAnsi="Times New Roman" w:cs="Times New Roman"/>
          <w:snapToGrid w:val="0"/>
          <w:sz w:val="24"/>
        </w:rPr>
        <w:t xml:space="preserve">counted as farm assets. </w:t>
      </w:r>
    </w:p>
    <w:p w14:paraId="4E8A704F" w14:textId="77777777" w:rsidR="001D1A31" w:rsidRPr="00C163FF" w:rsidRDefault="001D1A31" w:rsidP="009D6EAB">
      <w:pPr>
        <w:tabs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</w:p>
    <w:p w14:paraId="3003682F" w14:textId="3525F0D5" w:rsidR="006E36C5" w:rsidRPr="00C163FF" w:rsidRDefault="0052278B" w:rsidP="009D6EAB">
      <w:pPr>
        <w:tabs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  <w:r w:rsidRPr="00C163FF">
        <w:rPr>
          <w:rFonts w:ascii="Times New Roman" w:hAnsi="Times New Roman" w:cs="Times New Roman"/>
          <w:snapToGrid w:val="0"/>
          <w:sz w:val="24"/>
        </w:rPr>
        <w:t>As a recipient is continuously reviewed in relation to their eligibility to receive FHA</w:t>
      </w:r>
      <w:r w:rsidR="003079FB">
        <w:rPr>
          <w:rFonts w:ascii="Times New Roman" w:hAnsi="Times New Roman" w:cs="Times New Roman"/>
          <w:snapToGrid w:val="0"/>
          <w:sz w:val="24"/>
        </w:rPr>
        <w:t xml:space="preserve"> against their income and assets, it is important that </w:t>
      </w:r>
      <w:r w:rsidRPr="00C163FF">
        <w:rPr>
          <w:rFonts w:ascii="Times New Roman" w:hAnsi="Times New Roman" w:cs="Times New Roman"/>
          <w:snapToGrid w:val="0"/>
          <w:sz w:val="24"/>
        </w:rPr>
        <w:t xml:space="preserve">the legislative framework </w:t>
      </w:r>
      <w:r w:rsidR="001821E9">
        <w:rPr>
          <w:rFonts w:ascii="Times New Roman" w:hAnsi="Times New Roman" w:cs="Times New Roman"/>
          <w:snapToGrid w:val="0"/>
          <w:sz w:val="24"/>
        </w:rPr>
        <w:t xml:space="preserve">is preserved for these recipients, as failure to do so could result in a recipient, who was found eligible for FHA under </w:t>
      </w:r>
      <w:r w:rsidR="003079FB">
        <w:rPr>
          <w:rFonts w:ascii="Times New Roman" w:hAnsi="Times New Roman" w:cs="Times New Roman"/>
          <w:snapToGrid w:val="0"/>
          <w:sz w:val="24"/>
        </w:rPr>
        <w:t>the Minister’s Rule</w:t>
      </w:r>
      <w:r w:rsidR="007073DB">
        <w:rPr>
          <w:rFonts w:ascii="Times New Roman" w:hAnsi="Times New Roman" w:cs="Times New Roman"/>
          <w:snapToGrid w:val="0"/>
          <w:sz w:val="24"/>
        </w:rPr>
        <w:t>,</w:t>
      </w:r>
      <w:r w:rsidR="000B72B6" w:rsidRPr="00C163FF">
        <w:rPr>
          <w:rFonts w:ascii="Times New Roman" w:hAnsi="Times New Roman" w:cs="Times New Roman"/>
          <w:snapToGrid w:val="0"/>
          <w:sz w:val="24"/>
        </w:rPr>
        <w:t xml:space="preserve"> being cancelled off FHA</w:t>
      </w:r>
      <w:r w:rsidR="003079FB">
        <w:rPr>
          <w:rFonts w:ascii="Times New Roman" w:hAnsi="Times New Roman" w:cs="Times New Roman"/>
          <w:snapToGrid w:val="0"/>
          <w:sz w:val="24"/>
        </w:rPr>
        <w:t xml:space="preserve">. </w:t>
      </w:r>
    </w:p>
    <w:p w14:paraId="0DC0929E" w14:textId="77777777" w:rsidR="000F06E8" w:rsidRPr="00C163FF" w:rsidRDefault="000F06E8" w:rsidP="009D6EAB">
      <w:pPr>
        <w:tabs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</w:p>
    <w:p w14:paraId="2FC56C13" w14:textId="77777777" w:rsidR="000B72B6" w:rsidRPr="00C163FF" w:rsidRDefault="003D3F8A" w:rsidP="009D6EAB">
      <w:pPr>
        <w:tabs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  <w:r w:rsidRPr="00C163FF">
        <w:rPr>
          <w:rFonts w:ascii="Times New Roman" w:hAnsi="Times New Roman" w:cs="Times New Roman"/>
          <w:snapToGrid w:val="0"/>
          <w:sz w:val="24"/>
        </w:rPr>
        <w:t xml:space="preserve">The </w:t>
      </w:r>
      <w:r w:rsidR="000B72B6" w:rsidRPr="00C163FF">
        <w:rPr>
          <w:rFonts w:ascii="Times New Roman" w:hAnsi="Times New Roman" w:cs="Times New Roman"/>
          <w:snapToGrid w:val="0"/>
          <w:sz w:val="24"/>
        </w:rPr>
        <w:t>Rule</w:t>
      </w:r>
      <w:r w:rsidR="00CF1612" w:rsidRPr="00C163FF">
        <w:rPr>
          <w:rFonts w:ascii="Times New Roman" w:hAnsi="Times New Roman" w:cs="Times New Roman"/>
          <w:snapToGrid w:val="0"/>
          <w:sz w:val="24"/>
        </w:rPr>
        <w:t xml:space="preserve"> is limited in its application</w:t>
      </w:r>
      <w:r w:rsidRPr="00C163FF">
        <w:rPr>
          <w:rFonts w:ascii="Times New Roman" w:hAnsi="Times New Roman" w:cs="Times New Roman"/>
          <w:snapToGrid w:val="0"/>
          <w:sz w:val="24"/>
        </w:rPr>
        <w:t xml:space="preserve"> to </w:t>
      </w:r>
      <w:r w:rsidR="000B72B6" w:rsidRPr="00C163FF">
        <w:rPr>
          <w:rFonts w:ascii="Times New Roman" w:hAnsi="Times New Roman" w:cs="Times New Roman"/>
          <w:snapToGrid w:val="0"/>
          <w:sz w:val="24"/>
        </w:rPr>
        <w:t>those recipients</w:t>
      </w:r>
      <w:r w:rsidR="004D7117" w:rsidRPr="00C163FF">
        <w:rPr>
          <w:rFonts w:ascii="Times New Roman" w:hAnsi="Times New Roman" w:cs="Times New Roman"/>
          <w:snapToGrid w:val="0"/>
          <w:sz w:val="24"/>
        </w:rPr>
        <w:t xml:space="preserve"> (including those recipients who are currently serving a period of suspension)</w:t>
      </w:r>
      <w:r w:rsidR="000B72B6" w:rsidRPr="00C163FF">
        <w:rPr>
          <w:rFonts w:ascii="Times New Roman" w:hAnsi="Times New Roman" w:cs="Times New Roman"/>
          <w:snapToGrid w:val="0"/>
          <w:sz w:val="24"/>
        </w:rPr>
        <w:t xml:space="preserve"> who were assessed as being eligible for FHA under the Minister’s Rule and </w:t>
      </w:r>
      <w:r w:rsidR="00CF1612" w:rsidRPr="00C163FF">
        <w:rPr>
          <w:rFonts w:ascii="Times New Roman" w:hAnsi="Times New Roman" w:cs="Times New Roman"/>
          <w:snapToGrid w:val="0"/>
          <w:sz w:val="24"/>
        </w:rPr>
        <w:t xml:space="preserve">who have not been cancelled off FHA. </w:t>
      </w:r>
    </w:p>
    <w:p w14:paraId="43CFE2FA" w14:textId="77777777" w:rsidR="000B72B6" w:rsidRPr="00C163FF" w:rsidRDefault="000B72B6" w:rsidP="009D6EAB">
      <w:pPr>
        <w:tabs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</w:p>
    <w:p w14:paraId="19437501" w14:textId="77777777" w:rsidR="003D3F8A" w:rsidRPr="00C163FF" w:rsidRDefault="003D3F8A" w:rsidP="009D6EAB">
      <w:pPr>
        <w:tabs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  <w:r w:rsidRPr="00C163FF">
        <w:rPr>
          <w:rFonts w:ascii="Times New Roman" w:hAnsi="Times New Roman" w:cs="Times New Roman"/>
          <w:snapToGrid w:val="0"/>
          <w:sz w:val="24"/>
        </w:rPr>
        <w:t>Where a recipient is cancelled off FHA prior to the expiration of their 1,095 days of cumulative entitlement to FHA and subsequently reapplies,</w:t>
      </w:r>
      <w:r w:rsidR="00CF1612" w:rsidRPr="00C163FF">
        <w:rPr>
          <w:rFonts w:ascii="Times New Roman" w:hAnsi="Times New Roman" w:cs="Times New Roman"/>
          <w:snapToGrid w:val="0"/>
          <w:sz w:val="24"/>
        </w:rPr>
        <w:t xml:space="preserve"> the Rule does not apply. Their </w:t>
      </w:r>
      <w:r w:rsidRPr="00C163FF">
        <w:rPr>
          <w:rFonts w:ascii="Times New Roman" w:hAnsi="Times New Roman" w:cs="Times New Roman"/>
          <w:snapToGrid w:val="0"/>
          <w:sz w:val="24"/>
        </w:rPr>
        <w:t>new application for FHA wil</w:t>
      </w:r>
      <w:r w:rsidR="00CF1612" w:rsidRPr="00C163FF">
        <w:rPr>
          <w:rFonts w:ascii="Times New Roman" w:hAnsi="Times New Roman" w:cs="Times New Roman"/>
          <w:snapToGrid w:val="0"/>
          <w:sz w:val="24"/>
        </w:rPr>
        <w:t xml:space="preserve">l be assessed under the FHS Act, and they </w:t>
      </w:r>
      <w:r w:rsidR="00A83139" w:rsidRPr="00C163FF">
        <w:rPr>
          <w:rFonts w:ascii="Times New Roman" w:hAnsi="Times New Roman" w:cs="Times New Roman"/>
          <w:snapToGrid w:val="0"/>
          <w:sz w:val="24"/>
        </w:rPr>
        <w:t>will have their</w:t>
      </w:r>
      <w:r w:rsidR="00897D24" w:rsidRPr="00C163FF">
        <w:rPr>
          <w:rFonts w:ascii="Times New Roman" w:hAnsi="Times New Roman" w:cs="Times New Roman"/>
          <w:snapToGrid w:val="0"/>
          <w:sz w:val="24"/>
        </w:rPr>
        <w:t xml:space="preserve"> farm assets, including</w:t>
      </w:r>
      <w:r w:rsidRPr="00C163FF">
        <w:rPr>
          <w:rFonts w:ascii="Times New Roman" w:hAnsi="Times New Roman" w:cs="Times New Roman"/>
          <w:snapToGrid w:val="0"/>
          <w:sz w:val="24"/>
        </w:rPr>
        <w:t xml:space="preserve"> water assets and shares in marketing cooperatives</w:t>
      </w:r>
      <w:r w:rsidR="00897D24" w:rsidRPr="00C163FF">
        <w:rPr>
          <w:rFonts w:ascii="Times New Roman" w:hAnsi="Times New Roman" w:cs="Times New Roman"/>
          <w:snapToGrid w:val="0"/>
          <w:sz w:val="24"/>
        </w:rPr>
        <w:t>,</w:t>
      </w:r>
      <w:r w:rsidRPr="00C163FF">
        <w:rPr>
          <w:rFonts w:ascii="Times New Roman" w:hAnsi="Times New Roman" w:cs="Times New Roman"/>
          <w:snapToGrid w:val="0"/>
          <w:sz w:val="24"/>
        </w:rPr>
        <w:t xml:space="preserve"> assessed as farm assets. </w:t>
      </w:r>
    </w:p>
    <w:p w14:paraId="4BEC5538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</w:p>
    <w:p w14:paraId="448E257A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napToGrid w:val="0"/>
          <w:sz w:val="24"/>
        </w:rPr>
      </w:pPr>
      <w:r w:rsidRPr="00C163FF">
        <w:rPr>
          <w:rFonts w:ascii="Times New Roman" w:hAnsi="Times New Roman" w:cs="Times New Roman"/>
          <w:b/>
          <w:snapToGrid w:val="0"/>
          <w:sz w:val="24"/>
        </w:rPr>
        <w:t>Background</w:t>
      </w:r>
    </w:p>
    <w:p w14:paraId="1C4094E3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749C7A97" w14:textId="0B94EFD4" w:rsidR="009A58A4" w:rsidRPr="00C163FF" w:rsidRDefault="009D6EAB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C163FF">
        <w:rPr>
          <w:rFonts w:ascii="Times New Roman" w:hAnsi="Times New Roman" w:cs="Times New Roman"/>
          <w:sz w:val="24"/>
        </w:rPr>
        <w:t>Under the FHS Act, a two-tier</w:t>
      </w:r>
      <w:r w:rsidR="009927BE" w:rsidRPr="00C163FF">
        <w:rPr>
          <w:rFonts w:ascii="Times New Roman" w:hAnsi="Times New Roman" w:cs="Times New Roman"/>
          <w:sz w:val="24"/>
        </w:rPr>
        <w:t xml:space="preserve"> assets test</w:t>
      </w:r>
      <w:r w:rsidRPr="00C163FF">
        <w:rPr>
          <w:rFonts w:ascii="Times New Roman" w:hAnsi="Times New Roman" w:cs="Times New Roman"/>
          <w:sz w:val="24"/>
        </w:rPr>
        <w:t>, comprised of farm assets and non-farm assets</w:t>
      </w:r>
      <w:r w:rsidR="0006693A">
        <w:rPr>
          <w:rFonts w:ascii="Times New Roman" w:hAnsi="Times New Roman" w:cs="Times New Roman"/>
          <w:sz w:val="24"/>
        </w:rPr>
        <w:t>,</w:t>
      </w:r>
      <w:r w:rsidR="009927BE" w:rsidRPr="00C163FF">
        <w:rPr>
          <w:rFonts w:ascii="Times New Roman" w:hAnsi="Times New Roman" w:cs="Times New Roman"/>
          <w:sz w:val="24"/>
        </w:rPr>
        <w:t xml:space="preserve"> is used to determine a </w:t>
      </w:r>
      <w:r w:rsidR="003A5A9D">
        <w:rPr>
          <w:rFonts w:ascii="Times New Roman" w:hAnsi="Times New Roman" w:cs="Times New Roman"/>
          <w:sz w:val="24"/>
        </w:rPr>
        <w:t xml:space="preserve">farmer’s or farmer’s partner’s </w:t>
      </w:r>
      <w:r w:rsidR="009927BE" w:rsidRPr="00C163FF">
        <w:rPr>
          <w:rFonts w:ascii="Times New Roman" w:hAnsi="Times New Roman" w:cs="Times New Roman"/>
          <w:sz w:val="24"/>
        </w:rPr>
        <w:t xml:space="preserve">eligibility for FHA. Where a </w:t>
      </w:r>
      <w:r w:rsidR="003A5A9D">
        <w:rPr>
          <w:rFonts w:ascii="Times New Roman" w:hAnsi="Times New Roman" w:cs="Times New Roman"/>
          <w:sz w:val="24"/>
        </w:rPr>
        <w:t xml:space="preserve">farmer’s or farmer’s partner’s </w:t>
      </w:r>
      <w:r w:rsidR="009927BE" w:rsidRPr="00C163FF">
        <w:rPr>
          <w:rFonts w:ascii="Times New Roman" w:hAnsi="Times New Roman" w:cs="Times New Roman"/>
          <w:sz w:val="24"/>
        </w:rPr>
        <w:t>non-farm assets and</w:t>
      </w:r>
      <w:r w:rsidRPr="00C163FF">
        <w:rPr>
          <w:rFonts w:ascii="Times New Roman" w:hAnsi="Times New Roman" w:cs="Times New Roman"/>
          <w:sz w:val="24"/>
        </w:rPr>
        <w:t>/or</w:t>
      </w:r>
      <w:r w:rsidR="009927BE" w:rsidRPr="00C163FF">
        <w:rPr>
          <w:rFonts w:ascii="Times New Roman" w:hAnsi="Times New Roman" w:cs="Times New Roman"/>
          <w:sz w:val="24"/>
        </w:rPr>
        <w:t xml:space="preserve"> farm assets exceed a certain threshold, a person will </w:t>
      </w:r>
      <w:r w:rsidR="002B4FA8">
        <w:rPr>
          <w:rFonts w:ascii="Times New Roman" w:hAnsi="Times New Roman" w:cs="Times New Roman"/>
          <w:sz w:val="24"/>
        </w:rPr>
        <w:t xml:space="preserve">not </w:t>
      </w:r>
      <w:r w:rsidR="009927BE" w:rsidRPr="00C163FF">
        <w:rPr>
          <w:rFonts w:ascii="Times New Roman" w:hAnsi="Times New Roman" w:cs="Times New Roman"/>
          <w:sz w:val="24"/>
        </w:rPr>
        <w:t xml:space="preserve">be eligible to receive FHA. </w:t>
      </w:r>
    </w:p>
    <w:p w14:paraId="3217E08D" w14:textId="77777777" w:rsidR="009A58A4" w:rsidRPr="00C163FF" w:rsidRDefault="009A58A4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590E5810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C163FF">
        <w:rPr>
          <w:rFonts w:ascii="Times New Roman" w:hAnsi="Times New Roman" w:cs="Times New Roman"/>
          <w:sz w:val="24"/>
        </w:rPr>
        <w:t>Pre</w:t>
      </w:r>
      <w:r w:rsidR="00C163FF">
        <w:rPr>
          <w:rFonts w:ascii="Times New Roman" w:hAnsi="Times New Roman" w:cs="Times New Roman"/>
          <w:sz w:val="24"/>
        </w:rPr>
        <w:t>viously, certain assets (including</w:t>
      </w:r>
      <w:r w:rsidRPr="00C163FF">
        <w:rPr>
          <w:rFonts w:ascii="Times New Roman" w:hAnsi="Times New Roman" w:cs="Times New Roman"/>
          <w:sz w:val="24"/>
        </w:rPr>
        <w:t xml:space="preserve"> shares in </w:t>
      </w:r>
      <w:r w:rsidR="009D6EAB" w:rsidRPr="00C163FF">
        <w:rPr>
          <w:rFonts w:ascii="Times New Roman" w:hAnsi="Times New Roman" w:cs="Times New Roman"/>
          <w:sz w:val="24"/>
        </w:rPr>
        <w:t>marketing cooperatives and water assets</w:t>
      </w:r>
      <w:r w:rsidRPr="00C163FF">
        <w:rPr>
          <w:rFonts w:ascii="Times New Roman" w:hAnsi="Times New Roman" w:cs="Times New Roman"/>
          <w:sz w:val="24"/>
        </w:rPr>
        <w:t>) held by an individual for the purpose of the carrying out of a farm enterprise did not fall within the definition of farm asset, and were instead c</w:t>
      </w:r>
      <w:r w:rsidR="000F06E8" w:rsidRPr="00C163FF">
        <w:rPr>
          <w:rFonts w:ascii="Times New Roman" w:hAnsi="Times New Roman" w:cs="Times New Roman"/>
          <w:sz w:val="24"/>
        </w:rPr>
        <w:t>onsidered to be non</w:t>
      </w:r>
      <w:r w:rsidR="000F06E8" w:rsidRPr="00C163FF">
        <w:rPr>
          <w:rFonts w:ascii="Times New Roman" w:hAnsi="Times New Roman" w:cs="Times New Roman"/>
          <w:sz w:val="24"/>
        </w:rPr>
        <w:noBreakHyphen/>
        <w:t>farm assets</w:t>
      </w:r>
      <w:r w:rsidRPr="00C163FF">
        <w:rPr>
          <w:rFonts w:ascii="Times New Roman" w:hAnsi="Times New Roman" w:cs="Times New Roman"/>
          <w:sz w:val="24"/>
        </w:rPr>
        <w:t xml:space="preserve"> for the purposes of </w:t>
      </w:r>
      <w:r w:rsidR="000F06E8" w:rsidRPr="00C163FF">
        <w:rPr>
          <w:rFonts w:ascii="Times New Roman" w:hAnsi="Times New Roman" w:cs="Times New Roman"/>
          <w:sz w:val="24"/>
        </w:rPr>
        <w:t>assessing</w:t>
      </w:r>
      <w:r w:rsidRPr="00C163FF">
        <w:rPr>
          <w:rFonts w:ascii="Times New Roman" w:hAnsi="Times New Roman" w:cs="Times New Roman"/>
          <w:sz w:val="24"/>
        </w:rPr>
        <w:t xml:space="preserve"> FHA eligibility. </w:t>
      </w:r>
    </w:p>
    <w:p w14:paraId="16554BA9" w14:textId="77777777" w:rsidR="009A58A4" w:rsidRPr="00C163FF" w:rsidRDefault="009A58A4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614450CF" w14:textId="77777777" w:rsidR="009A58A4" w:rsidRPr="00C163FF" w:rsidRDefault="000F06E8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C163FF">
        <w:rPr>
          <w:rFonts w:ascii="Times New Roman" w:hAnsi="Times New Roman" w:cs="Times New Roman"/>
          <w:sz w:val="24"/>
        </w:rPr>
        <w:t>Given that the value of those</w:t>
      </w:r>
      <w:r w:rsidR="009D6EAB" w:rsidRPr="00C163FF">
        <w:rPr>
          <w:rFonts w:ascii="Times New Roman" w:hAnsi="Times New Roman" w:cs="Times New Roman"/>
          <w:sz w:val="24"/>
        </w:rPr>
        <w:t xml:space="preserve"> assets could lead to an applicant exceeding the non-farm assets limit, and not being eligible to receive FHA despite being in hardship, </w:t>
      </w:r>
      <w:r w:rsidR="009A58A4" w:rsidRPr="00C163FF">
        <w:rPr>
          <w:rFonts w:ascii="Times New Roman" w:hAnsi="Times New Roman" w:cs="Times New Roman"/>
          <w:sz w:val="24"/>
        </w:rPr>
        <w:t>the</w:t>
      </w:r>
      <w:r w:rsidR="00C163FF">
        <w:rPr>
          <w:rFonts w:ascii="Times New Roman" w:hAnsi="Times New Roman" w:cs="Times New Roman"/>
          <w:sz w:val="24"/>
        </w:rPr>
        <w:t xml:space="preserve"> Minister’s Rule</w:t>
      </w:r>
      <w:r w:rsidR="009A58A4" w:rsidRPr="00C163FF">
        <w:rPr>
          <w:rFonts w:ascii="Times New Roman" w:hAnsi="Times New Roman" w:cs="Times New Roman"/>
          <w:sz w:val="24"/>
        </w:rPr>
        <w:t xml:space="preserve"> was amended</w:t>
      </w:r>
      <w:r w:rsidR="00076BEF">
        <w:rPr>
          <w:rFonts w:ascii="Times New Roman" w:hAnsi="Times New Roman" w:cs="Times New Roman"/>
          <w:sz w:val="24"/>
        </w:rPr>
        <w:t xml:space="preserve"> in </w:t>
      </w:r>
      <w:r w:rsidR="00C163FF">
        <w:rPr>
          <w:rFonts w:ascii="Times New Roman" w:hAnsi="Times New Roman" w:cs="Times New Roman"/>
          <w:sz w:val="24"/>
        </w:rPr>
        <w:t>2016</w:t>
      </w:r>
      <w:r w:rsidR="009A58A4" w:rsidRPr="00C163FF">
        <w:rPr>
          <w:rFonts w:ascii="Times New Roman" w:hAnsi="Times New Roman" w:cs="Times New Roman"/>
          <w:sz w:val="24"/>
        </w:rPr>
        <w:t xml:space="preserve"> to </w:t>
      </w:r>
      <w:r w:rsidR="00584D2C" w:rsidRPr="00C163FF">
        <w:rPr>
          <w:rFonts w:ascii="Times New Roman" w:hAnsi="Times New Roman" w:cs="Times New Roman"/>
          <w:sz w:val="24"/>
        </w:rPr>
        <w:t>exempt the value of certain non-farm assets, such as water assets, up to a value of $1.1 million.</w:t>
      </w:r>
      <w:r w:rsidR="009D6EAB" w:rsidRPr="00C163FF">
        <w:rPr>
          <w:rFonts w:ascii="Times New Roman" w:hAnsi="Times New Roman" w:cs="Times New Roman"/>
          <w:sz w:val="24"/>
        </w:rPr>
        <w:t xml:space="preserve"> The amendment</w:t>
      </w:r>
      <w:r w:rsidR="00076BEF">
        <w:rPr>
          <w:rFonts w:ascii="Times New Roman" w:hAnsi="Times New Roman" w:cs="Times New Roman"/>
          <w:sz w:val="24"/>
        </w:rPr>
        <w:t>s were</w:t>
      </w:r>
      <w:r w:rsidR="009D6EAB" w:rsidRPr="00C163FF">
        <w:rPr>
          <w:rFonts w:ascii="Times New Roman" w:hAnsi="Times New Roman" w:cs="Times New Roman"/>
          <w:sz w:val="24"/>
        </w:rPr>
        <w:t xml:space="preserve"> undertaken as an interim measure pending legislative amendments to the FHS Act. </w:t>
      </w:r>
    </w:p>
    <w:p w14:paraId="14DCFACE" w14:textId="77777777" w:rsidR="009D6EAB" w:rsidRPr="00C163FF" w:rsidRDefault="009D6EAB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7C8E6FFF" w14:textId="606C3954" w:rsidR="009D6EAB" w:rsidRPr="00C163FF" w:rsidRDefault="0074242A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FHS Act will be </w:t>
      </w:r>
      <w:r w:rsidR="002B4FA8">
        <w:rPr>
          <w:rFonts w:ascii="Times New Roman" w:hAnsi="Times New Roman" w:cs="Times New Roman"/>
          <w:sz w:val="24"/>
        </w:rPr>
        <w:t>amended</w:t>
      </w:r>
      <w:r>
        <w:rPr>
          <w:rFonts w:ascii="Times New Roman" w:hAnsi="Times New Roman" w:cs="Times New Roman"/>
          <w:sz w:val="24"/>
        </w:rPr>
        <w:t xml:space="preserve"> by </w:t>
      </w:r>
      <w:r w:rsidR="00FA406B">
        <w:rPr>
          <w:rFonts w:ascii="Times New Roman" w:hAnsi="Times New Roman" w:cs="Times New Roman"/>
          <w:sz w:val="24"/>
        </w:rPr>
        <w:t xml:space="preserve">the commencement of the Amendment Act. </w:t>
      </w:r>
    </w:p>
    <w:p w14:paraId="7F6B8E8E" w14:textId="77777777" w:rsidR="009D6EAB" w:rsidRPr="00C163FF" w:rsidRDefault="009D6EAB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5C48E6C7" w14:textId="4A51E93D" w:rsidR="009D6EAB" w:rsidRPr="00C163FF" w:rsidRDefault="00C468ED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commencement, </w:t>
      </w:r>
      <w:r w:rsidR="009C265D">
        <w:rPr>
          <w:rFonts w:ascii="Times New Roman" w:hAnsi="Times New Roman" w:cs="Times New Roman"/>
          <w:sz w:val="24"/>
        </w:rPr>
        <w:t>c</w:t>
      </w:r>
      <w:r w:rsidR="00C163FF">
        <w:rPr>
          <w:rFonts w:ascii="Times New Roman" w:hAnsi="Times New Roman" w:cs="Times New Roman"/>
          <w:sz w:val="24"/>
        </w:rPr>
        <w:t xml:space="preserve">ertain </w:t>
      </w:r>
      <w:r w:rsidR="009D6EAB" w:rsidRPr="00C163FF">
        <w:rPr>
          <w:rFonts w:ascii="Times New Roman" w:hAnsi="Times New Roman" w:cs="Times New Roman"/>
          <w:sz w:val="24"/>
        </w:rPr>
        <w:t xml:space="preserve">assets, </w:t>
      </w:r>
      <w:r w:rsidR="00C163FF">
        <w:rPr>
          <w:rFonts w:ascii="Times New Roman" w:hAnsi="Times New Roman" w:cs="Times New Roman"/>
          <w:sz w:val="24"/>
        </w:rPr>
        <w:t xml:space="preserve">including </w:t>
      </w:r>
      <w:r w:rsidR="009D6EAB" w:rsidRPr="00C163FF">
        <w:rPr>
          <w:rFonts w:ascii="Times New Roman" w:hAnsi="Times New Roman" w:cs="Times New Roman"/>
          <w:sz w:val="24"/>
        </w:rPr>
        <w:t xml:space="preserve">shares in marketing cooperatives and water assets, </w:t>
      </w:r>
      <w:r w:rsidR="009C265D">
        <w:rPr>
          <w:rFonts w:ascii="Times New Roman" w:hAnsi="Times New Roman" w:cs="Times New Roman"/>
          <w:sz w:val="24"/>
        </w:rPr>
        <w:t>will be</w:t>
      </w:r>
      <w:r w:rsidR="009D6EAB" w:rsidRPr="00C163FF">
        <w:rPr>
          <w:rFonts w:ascii="Times New Roman" w:hAnsi="Times New Roman" w:cs="Times New Roman"/>
          <w:sz w:val="24"/>
        </w:rPr>
        <w:t xml:space="preserve"> subject to the farm assets test, rather than the non-farm assets test.</w:t>
      </w:r>
    </w:p>
    <w:p w14:paraId="73CA509C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3383553A" w14:textId="77777777" w:rsidR="009927BE" w:rsidRPr="00C163FF" w:rsidRDefault="009927BE" w:rsidP="009D6EAB">
      <w:pPr>
        <w:keepNext/>
        <w:keepLines/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C163FF">
        <w:rPr>
          <w:rFonts w:ascii="Times New Roman" w:hAnsi="Times New Roman" w:cs="Times New Roman"/>
          <w:b/>
          <w:sz w:val="24"/>
        </w:rPr>
        <w:t>Impact and effect</w:t>
      </w:r>
    </w:p>
    <w:p w14:paraId="506962EB" w14:textId="77777777" w:rsidR="009927BE" w:rsidRPr="00C163FF" w:rsidRDefault="009927BE" w:rsidP="009D6EAB">
      <w:pPr>
        <w:keepNext/>
        <w:keepLines/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7604AAD5" w14:textId="008D7E91" w:rsidR="009D6EAB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C163FF">
        <w:rPr>
          <w:rFonts w:ascii="Times New Roman" w:hAnsi="Times New Roman" w:cs="Times New Roman"/>
          <w:sz w:val="24"/>
        </w:rPr>
        <w:t xml:space="preserve">The </w:t>
      </w:r>
      <w:r w:rsidR="000F06E8" w:rsidRPr="00C163FF">
        <w:rPr>
          <w:rFonts w:ascii="Times New Roman" w:hAnsi="Times New Roman" w:cs="Times New Roman"/>
          <w:sz w:val="24"/>
        </w:rPr>
        <w:t>R</w:t>
      </w:r>
      <w:r w:rsidRPr="00C163FF">
        <w:rPr>
          <w:rFonts w:ascii="Times New Roman" w:hAnsi="Times New Roman" w:cs="Times New Roman"/>
          <w:sz w:val="24"/>
        </w:rPr>
        <w:t>ule operates beneficially</w:t>
      </w:r>
      <w:r w:rsidR="008F00F6" w:rsidRPr="00C163FF">
        <w:rPr>
          <w:rFonts w:ascii="Times New Roman" w:hAnsi="Times New Roman" w:cs="Times New Roman"/>
          <w:sz w:val="24"/>
        </w:rPr>
        <w:t xml:space="preserve"> for recipients who </w:t>
      </w:r>
      <w:r w:rsidR="000F06E8" w:rsidRPr="00C163FF">
        <w:rPr>
          <w:rFonts w:ascii="Times New Roman" w:hAnsi="Times New Roman" w:cs="Times New Roman"/>
          <w:sz w:val="24"/>
        </w:rPr>
        <w:t>had their water assets and/or shares in marketing cooperatives assessed under the Minister’s Rule as part of their application for FHA, and</w:t>
      </w:r>
      <w:r w:rsidR="003A6FD4">
        <w:rPr>
          <w:rFonts w:ascii="Times New Roman" w:hAnsi="Times New Roman" w:cs="Times New Roman"/>
          <w:sz w:val="24"/>
        </w:rPr>
        <w:t xml:space="preserve"> who</w:t>
      </w:r>
      <w:r w:rsidR="000F06E8" w:rsidRPr="00C163FF">
        <w:rPr>
          <w:rFonts w:ascii="Times New Roman" w:hAnsi="Times New Roman" w:cs="Times New Roman"/>
          <w:sz w:val="24"/>
        </w:rPr>
        <w:t xml:space="preserve"> have not been cancelled off FHA. </w:t>
      </w:r>
      <w:r w:rsidR="00FA406B">
        <w:rPr>
          <w:rFonts w:ascii="Times New Roman" w:hAnsi="Times New Roman" w:cs="Times New Roman"/>
          <w:sz w:val="24"/>
        </w:rPr>
        <w:t>This is because the Rule</w:t>
      </w:r>
      <w:r w:rsidRPr="00C163FF">
        <w:rPr>
          <w:rFonts w:ascii="Times New Roman" w:hAnsi="Times New Roman" w:cs="Times New Roman"/>
          <w:sz w:val="24"/>
        </w:rPr>
        <w:t xml:space="preserve"> permits certain assets as described by </w:t>
      </w:r>
      <w:r w:rsidR="009D6EAB" w:rsidRPr="00C163FF">
        <w:rPr>
          <w:rFonts w:ascii="Times New Roman" w:hAnsi="Times New Roman" w:cs="Times New Roman"/>
          <w:sz w:val="24"/>
        </w:rPr>
        <w:t xml:space="preserve">the FHS Act to continue to be disregarded for </w:t>
      </w:r>
      <w:r w:rsidRPr="00C163FF">
        <w:rPr>
          <w:rFonts w:ascii="Times New Roman" w:hAnsi="Times New Roman" w:cs="Times New Roman"/>
          <w:sz w:val="24"/>
        </w:rPr>
        <w:t>the purpose of the assets test in Part 2 Division 6 Subdivision A of the FHS Act</w:t>
      </w:r>
      <w:r w:rsidR="008F00F6" w:rsidRPr="00C163FF">
        <w:rPr>
          <w:rFonts w:ascii="Times New Roman" w:hAnsi="Times New Roman" w:cs="Times New Roman"/>
          <w:sz w:val="24"/>
        </w:rPr>
        <w:t>.</w:t>
      </w:r>
    </w:p>
    <w:p w14:paraId="2C1AA8F0" w14:textId="77777777" w:rsidR="008F00F6" w:rsidRPr="00C163FF" w:rsidRDefault="008F00F6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15CFC6E6" w14:textId="77777777" w:rsidR="008F00F6" w:rsidRPr="00C163FF" w:rsidRDefault="000F06E8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C163FF">
        <w:rPr>
          <w:rFonts w:ascii="Times New Roman" w:hAnsi="Times New Roman" w:cs="Times New Roman"/>
          <w:sz w:val="24"/>
        </w:rPr>
        <w:lastRenderedPageBreak/>
        <w:t xml:space="preserve">The Rule does not operate retrospectively. </w:t>
      </w:r>
      <w:r w:rsidR="00B674DF" w:rsidRPr="00C163FF">
        <w:rPr>
          <w:rFonts w:ascii="Times New Roman" w:hAnsi="Times New Roman" w:cs="Times New Roman"/>
          <w:sz w:val="24"/>
        </w:rPr>
        <w:t xml:space="preserve">All new applications for FHA (including those following a cancellation) will be assessed against the farm assets test in the FHS Act. </w:t>
      </w:r>
    </w:p>
    <w:p w14:paraId="5F0E1283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39E904D5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b/>
          <w:sz w:val="24"/>
        </w:rPr>
      </w:pPr>
      <w:r w:rsidRPr="00C163FF">
        <w:rPr>
          <w:rFonts w:ascii="Times New Roman" w:hAnsi="Times New Roman" w:cs="Times New Roman"/>
          <w:b/>
          <w:sz w:val="24"/>
        </w:rPr>
        <w:t>Consultation</w:t>
      </w:r>
    </w:p>
    <w:p w14:paraId="3B6B1FAB" w14:textId="77777777" w:rsidR="009927BE" w:rsidRPr="00C163FF" w:rsidRDefault="009927BE" w:rsidP="009D6EAB">
      <w:pPr>
        <w:rPr>
          <w:rFonts w:ascii="Times New Roman" w:hAnsi="Times New Roman" w:cs="Times New Roman"/>
          <w:b/>
          <w:sz w:val="24"/>
        </w:rPr>
      </w:pPr>
    </w:p>
    <w:p w14:paraId="17AAB71E" w14:textId="4BA8C163" w:rsidR="009927BE" w:rsidRPr="00C163FF" w:rsidRDefault="000F06E8" w:rsidP="009D6EAB">
      <w:pPr>
        <w:rPr>
          <w:rFonts w:ascii="Times New Roman" w:hAnsi="Times New Roman"/>
          <w:sz w:val="24"/>
        </w:rPr>
      </w:pPr>
      <w:r w:rsidRPr="00C163FF">
        <w:rPr>
          <w:rFonts w:ascii="Times New Roman" w:hAnsi="Times New Roman"/>
          <w:sz w:val="24"/>
        </w:rPr>
        <w:t>The D</w:t>
      </w:r>
      <w:r w:rsidR="009927BE" w:rsidRPr="00C163FF">
        <w:rPr>
          <w:rFonts w:ascii="Times New Roman" w:hAnsi="Times New Roman"/>
          <w:sz w:val="24"/>
        </w:rPr>
        <w:t>epartments of Social Services (DSS) and Human Services (DHS) were cons</w:t>
      </w:r>
      <w:r w:rsidRPr="00C163FF">
        <w:rPr>
          <w:rFonts w:ascii="Times New Roman" w:hAnsi="Times New Roman"/>
          <w:sz w:val="24"/>
        </w:rPr>
        <w:t xml:space="preserve">ulted </w:t>
      </w:r>
      <w:r w:rsidR="00C468ED">
        <w:rPr>
          <w:rFonts w:ascii="Times New Roman" w:hAnsi="Times New Roman"/>
          <w:sz w:val="24"/>
        </w:rPr>
        <w:t>on</w:t>
      </w:r>
      <w:r w:rsidRPr="00C163FF">
        <w:rPr>
          <w:rFonts w:ascii="Times New Roman" w:hAnsi="Times New Roman"/>
          <w:sz w:val="24"/>
        </w:rPr>
        <w:t xml:space="preserve"> the drafting of this R</w:t>
      </w:r>
      <w:r w:rsidR="009927BE" w:rsidRPr="00C163FF">
        <w:rPr>
          <w:rFonts w:ascii="Times New Roman" w:hAnsi="Times New Roman"/>
          <w:sz w:val="24"/>
        </w:rPr>
        <w:t xml:space="preserve">ule. The purpose of consulting DSS and DHS was to ensure that the </w:t>
      </w:r>
      <w:r w:rsidR="003A5A9D">
        <w:rPr>
          <w:rFonts w:ascii="Times New Roman" w:hAnsi="Times New Roman"/>
          <w:sz w:val="24"/>
        </w:rPr>
        <w:t>R</w:t>
      </w:r>
      <w:r w:rsidR="009927BE" w:rsidRPr="00C163FF">
        <w:rPr>
          <w:rFonts w:ascii="Times New Roman" w:hAnsi="Times New Roman"/>
          <w:sz w:val="24"/>
        </w:rPr>
        <w:t xml:space="preserve">ule could be implemented and did not contradict social security policy. </w:t>
      </w:r>
    </w:p>
    <w:p w14:paraId="0B3FC521" w14:textId="77777777" w:rsidR="009927BE" w:rsidRPr="008E620D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highlight w:val="yellow"/>
        </w:rPr>
      </w:pPr>
    </w:p>
    <w:p w14:paraId="287A448D" w14:textId="77777777" w:rsidR="009927BE" w:rsidRPr="00AC48D5" w:rsidDel="00D92E15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AC48D5">
        <w:rPr>
          <w:rFonts w:ascii="Times New Roman" w:hAnsi="Times New Roman" w:cs="Times New Roman"/>
          <w:sz w:val="24"/>
        </w:rPr>
        <w:t>The Office of Best Practice Regulation (OBPR) was consulted (OBPR Reference Number: 2</w:t>
      </w:r>
      <w:r w:rsidR="00AC48D5" w:rsidRPr="00AC48D5">
        <w:rPr>
          <w:rFonts w:ascii="Times New Roman" w:hAnsi="Times New Roman" w:cs="Times New Roman"/>
          <w:sz w:val="24"/>
        </w:rPr>
        <w:t>1567</w:t>
      </w:r>
      <w:r w:rsidRPr="00AC48D5">
        <w:rPr>
          <w:rFonts w:ascii="Times New Roman" w:hAnsi="Times New Roman" w:cs="Times New Roman"/>
          <w:sz w:val="24"/>
        </w:rPr>
        <w:t>). OBPR considers that the proposed changes are non-regulatory in nature and a Regulatory Impact Statement is not required.</w:t>
      </w:r>
    </w:p>
    <w:p w14:paraId="75A4AC96" w14:textId="77777777" w:rsidR="009927BE" w:rsidRPr="008E620D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  <w:highlight w:val="yellow"/>
        </w:rPr>
      </w:pPr>
    </w:p>
    <w:p w14:paraId="497DEEC0" w14:textId="77777777" w:rsidR="009927BE" w:rsidRPr="00AC48D5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C163FF">
        <w:rPr>
          <w:rFonts w:ascii="Times New Roman" w:hAnsi="Times New Roman" w:cs="Times New Roman"/>
          <w:sz w:val="24"/>
        </w:rPr>
        <w:t xml:space="preserve">The rule maker is satisfied that further consultation on this rule is unnecessary as the rule is of a minor or machinery nature and does not substantially alter existing arrangements. </w:t>
      </w:r>
      <w:r w:rsidRPr="00AC48D5">
        <w:rPr>
          <w:rFonts w:ascii="Times New Roman" w:hAnsi="Times New Roman" w:cs="Times New Roman"/>
          <w:sz w:val="24"/>
        </w:rPr>
        <w:t>This is supported by OBPR’s assessment (Reference Number 2</w:t>
      </w:r>
      <w:r w:rsidR="00AC48D5" w:rsidRPr="00AC48D5">
        <w:rPr>
          <w:rFonts w:ascii="Times New Roman" w:hAnsi="Times New Roman" w:cs="Times New Roman"/>
          <w:sz w:val="24"/>
        </w:rPr>
        <w:t>1567</w:t>
      </w:r>
      <w:r w:rsidRPr="00AC48D5">
        <w:rPr>
          <w:rFonts w:ascii="Times New Roman" w:hAnsi="Times New Roman" w:cs="Times New Roman"/>
          <w:sz w:val="24"/>
        </w:rPr>
        <w:t xml:space="preserve">). </w:t>
      </w:r>
    </w:p>
    <w:p w14:paraId="7F3D2A1E" w14:textId="77777777" w:rsidR="009927BE" w:rsidRPr="00AC48D5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6885B017" w14:textId="77777777" w:rsidR="009927BE" w:rsidRPr="00AC48D5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AC48D5">
        <w:rPr>
          <w:rFonts w:ascii="Times New Roman" w:hAnsi="Times New Roman" w:cs="Times New Roman"/>
          <w:sz w:val="24"/>
        </w:rPr>
        <w:t xml:space="preserve">Consultation on this rule therefore complies with section 17 of the </w:t>
      </w:r>
      <w:r w:rsidRPr="00AC48D5">
        <w:rPr>
          <w:rFonts w:ascii="Times New Roman" w:hAnsi="Times New Roman" w:cs="Times New Roman"/>
          <w:i/>
          <w:sz w:val="24"/>
        </w:rPr>
        <w:t>Legislation Act 2003.</w:t>
      </w:r>
    </w:p>
    <w:p w14:paraId="6BC15179" w14:textId="77777777" w:rsidR="009927BE" w:rsidRPr="00AC48D5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</w:p>
    <w:p w14:paraId="725F771B" w14:textId="77777777" w:rsidR="009927BE" w:rsidRPr="00AC48D5" w:rsidRDefault="009927BE" w:rsidP="009D6EAB">
      <w:pPr>
        <w:rPr>
          <w:rStyle w:val="CommentReference"/>
        </w:rPr>
      </w:pPr>
      <w:r w:rsidRPr="00AC48D5">
        <w:rPr>
          <w:rFonts w:ascii="Times New Roman" w:hAnsi="Times New Roman"/>
          <w:sz w:val="24"/>
        </w:rPr>
        <w:t xml:space="preserve">The rule is compatible with the human rights and freedoms recognised or declared under section 3 of the </w:t>
      </w:r>
      <w:r w:rsidRPr="00AC48D5">
        <w:rPr>
          <w:rFonts w:ascii="Times New Roman" w:hAnsi="Times New Roman"/>
          <w:i/>
          <w:iCs/>
          <w:sz w:val="24"/>
        </w:rPr>
        <w:t>Human Rights (Parliamentary Scrutiny) Act 2011</w:t>
      </w:r>
      <w:r w:rsidRPr="00AC48D5">
        <w:rPr>
          <w:rFonts w:ascii="Times New Roman" w:hAnsi="Times New Roman"/>
          <w:sz w:val="24"/>
        </w:rPr>
        <w:t xml:space="preserve">. A full statement of compatibility is set out in </w:t>
      </w:r>
      <w:r w:rsidRPr="00AC48D5">
        <w:rPr>
          <w:rFonts w:ascii="Times New Roman" w:hAnsi="Times New Roman"/>
          <w:sz w:val="24"/>
          <w:u w:val="single"/>
        </w:rPr>
        <w:t>Attachment A</w:t>
      </w:r>
      <w:r w:rsidRPr="00AC48D5">
        <w:rPr>
          <w:rFonts w:ascii="Times New Roman" w:hAnsi="Times New Roman"/>
          <w:sz w:val="24"/>
        </w:rPr>
        <w:t xml:space="preserve">. </w:t>
      </w:r>
      <w:r w:rsidRPr="00AC48D5">
        <w:rPr>
          <w:rStyle w:val="CommentReference"/>
        </w:rPr>
        <w:t> </w:t>
      </w:r>
    </w:p>
    <w:p w14:paraId="5369333B" w14:textId="77777777" w:rsidR="009927BE" w:rsidRPr="008E620D" w:rsidRDefault="009927BE" w:rsidP="009D6EAB">
      <w:pPr>
        <w:rPr>
          <w:rFonts w:ascii="Times New Roman" w:hAnsi="Times New Roman" w:cs="Times New Roman"/>
          <w:sz w:val="24"/>
          <w:highlight w:val="yellow"/>
        </w:rPr>
      </w:pPr>
    </w:p>
    <w:p w14:paraId="05DF31FC" w14:textId="77777777" w:rsidR="009927BE" w:rsidRPr="008E620D" w:rsidRDefault="009927BE" w:rsidP="009D6EAB">
      <w:pPr>
        <w:rPr>
          <w:rFonts w:ascii="Times New Roman" w:eastAsia="Times New Roman" w:hAnsi="Times New Roman" w:cs="Times New Roman"/>
          <w:b/>
          <w:iCs/>
          <w:sz w:val="24"/>
          <w:highlight w:val="yellow"/>
          <w:u w:val="single"/>
        </w:rPr>
      </w:pPr>
      <w:r w:rsidRPr="008E620D">
        <w:rPr>
          <w:b/>
          <w:iCs/>
          <w:highlight w:val="yellow"/>
          <w:u w:val="single"/>
        </w:rPr>
        <w:br w:type="page"/>
      </w:r>
    </w:p>
    <w:p w14:paraId="5E8D31F7" w14:textId="77777777" w:rsidR="009927BE" w:rsidRPr="00C163FF" w:rsidRDefault="009927BE" w:rsidP="009D6EAB">
      <w:pPr>
        <w:pStyle w:val="Normal-em"/>
        <w:rPr>
          <w:b/>
          <w:iCs/>
          <w:color w:val="auto"/>
          <w:szCs w:val="24"/>
        </w:rPr>
      </w:pPr>
      <w:r w:rsidRPr="00C163FF">
        <w:rPr>
          <w:b/>
          <w:iCs/>
          <w:color w:val="auto"/>
          <w:szCs w:val="24"/>
        </w:rPr>
        <w:t>Explanation of Provisions</w:t>
      </w:r>
    </w:p>
    <w:p w14:paraId="69C2AB04" w14:textId="77777777" w:rsidR="009927BE" w:rsidRPr="00C163FF" w:rsidRDefault="009927BE" w:rsidP="009D6EAB">
      <w:pPr>
        <w:pStyle w:val="Normal-em"/>
        <w:rPr>
          <w:color w:val="auto"/>
          <w:szCs w:val="24"/>
        </w:rPr>
      </w:pPr>
    </w:p>
    <w:p w14:paraId="6C27B3EF" w14:textId="77777777" w:rsidR="009927BE" w:rsidRPr="00C163FF" w:rsidRDefault="009927BE" w:rsidP="009D6EAB">
      <w:pPr>
        <w:pStyle w:val="Normal-em"/>
        <w:ind w:left="1440" w:hanging="1440"/>
        <w:rPr>
          <w:color w:val="auto"/>
          <w:szCs w:val="24"/>
          <w:u w:val="single"/>
        </w:rPr>
      </w:pPr>
      <w:r w:rsidRPr="00C163FF">
        <w:rPr>
          <w:color w:val="auto"/>
          <w:szCs w:val="24"/>
          <w:u w:val="single"/>
        </w:rPr>
        <w:t>Section 1 – Name of rule</w:t>
      </w:r>
    </w:p>
    <w:p w14:paraId="4A2EBEDA" w14:textId="77777777" w:rsidR="009927BE" w:rsidRPr="00C163FF" w:rsidRDefault="009927BE" w:rsidP="009D6EAB">
      <w:pPr>
        <w:pStyle w:val="Normal-em"/>
        <w:ind w:left="1440" w:hanging="1440"/>
        <w:rPr>
          <w:b/>
          <w:color w:val="auto"/>
          <w:szCs w:val="24"/>
        </w:rPr>
      </w:pPr>
    </w:p>
    <w:p w14:paraId="7E5C81BD" w14:textId="77777777" w:rsidR="009927BE" w:rsidRPr="00C163FF" w:rsidRDefault="009927BE" w:rsidP="009D6EAB">
      <w:pPr>
        <w:pStyle w:val="Normal-em"/>
        <w:rPr>
          <w:i/>
          <w:iCs/>
          <w:color w:val="auto"/>
          <w:szCs w:val="24"/>
        </w:rPr>
      </w:pPr>
      <w:r w:rsidRPr="00C163FF">
        <w:rPr>
          <w:color w:val="auto"/>
          <w:szCs w:val="24"/>
        </w:rPr>
        <w:t xml:space="preserve">This section provides that the title of the rule is the </w:t>
      </w:r>
      <w:r w:rsidRPr="00C163FF">
        <w:rPr>
          <w:i/>
          <w:color w:val="auto"/>
          <w:szCs w:val="24"/>
        </w:rPr>
        <w:t>Farm Household Support (Non</w:t>
      </w:r>
      <w:r w:rsidRPr="00C163FF">
        <w:rPr>
          <w:i/>
          <w:color w:val="auto"/>
          <w:szCs w:val="24"/>
        </w:rPr>
        <w:noBreakHyphen/>
        <w:t xml:space="preserve">farm Assets) </w:t>
      </w:r>
      <w:r w:rsidR="008F00F6" w:rsidRPr="00C163FF">
        <w:rPr>
          <w:i/>
          <w:color w:val="auto"/>
          <w:szCs w:val="24"/>
        </w:rPr>
        <w:t>Amendment Rule 2017</w:t>
      </w:r>
      <w:r w:rsidRPr="00C163FF">
        <w:rPr>
          <w:color w:val="auto"/>
          <w:szCs w:val="24"/>
        </w:rPr>
        <w:t>.</w:t>
      </w:r>
    </w:p>
    <w:p w14:paraId="3DEA39FA" w14:textId="77777777" w:rsidR="009927BE" w:rsidRPr="00C163FF" w:rsidRDefault="009927BE" w:rsidP="009D6EAB">
      <w:pPr>
        <w:pStyle w:val="Normal-em"/>
        <w:rPr>
          <w:color w:val="auto"/>
          <w:szCs w:val="24"/>
        </w:rPr>
      </w:pPr>
    </w:p>
    <w:p w14:paraId="5DBF11A5" w14:textId="77777777" w:rsidR="009927BE" w:rsidRPr="00C163FF" w:rsidRDefault="009927BE" w:rsidP="009D6EAB">
      <w:pPr>
        <w:pStyle w:val="Normal-em"/>
        <w:rPr>
          <w:color w:val="auto"/>
          <w:szCs w:val="24"/>
          <w:u w:val="single"/>
        </w:rPr>
      </w:pPr>
      <w:r w:rsidRPr="00C163FF">
        <w:rPr>
          <w:color w:val="auto"/>
          <w:szCs w:val="24"/>
          <w:u w:val="single"/>
        </w:rPr>
        <w:t>Section 2 – Commencement</w:t>
      </w:r>
    </w:p>
    <w:p w14:paraId="0614E161" w14:textId="77777777" w:rsidR="009927BE" w:rsidRPr="00C163FF" w:rsidRDefault="009927BE" w:rsidP="009D6EAB">
      <w:pPr>
        <w:pStyle w:val="Normal-em"/>
        <w:rPr>
          <w:color w:val="auto"/>
          <w:szCs w:val="24"/>
        </w:rPr>
      </w:pPr>
    </w:p>
    <w:p w14:paraId="6A16F212" w14:textId="77777777" w:rsidR="009927BE" w:rsidRPr="00C163FF" w:rsidRDefault="009927BE" w:rsidP="009D6EAB">
      <w:pPr>
        <w:pStyle w:val="Normal-em"/>
        <w:rPr>
          <w:color w:val="auto"/>
          <w:szCs w:val="24"/>
        </w:rPr>
      </w:pPr>
      <w:r w:rsidRPr="00C163FF">
        <w:rPr>
          <w:color w:val="auto"/>
          <w:szCs w:val="24"/>
        </w:rPr>
        <w:t>This section provides that the rule commences on the day</w:t>
      </w:r>
      <w:r w:rsidR="008F00F6" w:rsidRPr="00C163FF">
        <w:rPr>
          <w:color w:val="auto"/>
          <w:szCs w:val="24"/>
        </w:rPr>
        <w:t xml:space="preserve"> that Schedule 2 to the </w:t>
      </w:r>
      <w:r w:rsidR="008F00F6" w:rsidRPr="00C163FF">
        <w:rPr>
          <w:i/>
          <w:color w:val="auto"/>
          <w:szCs w:val="24"/>
        </w:rPr>
        <w:t xml:space="preserve">Farm Household Support Amendment Act 2017 </w:t>
      </w:r>
      <w:r w:rsidR="008F00F6" w:rsidRPr="00C163FF">
        <w:rPr>
          <w:color w:val="auto"/>
          <w:szCs w:val="24"/>
        </w:rPr>
        <w:t xml:space="preserve">commences. </w:t>
      </w:r>
    </w:p>
    <w:p w14:paraId="0D518059" w14:textId="77777777" w:rsidR="009927BE" w:rsidRPr="00C163FF" w:rsidRDefault="009927BE" w:rsidP="009D6EAB">
      <w:pPr>
        <w:pStyle w:val="Normal-em"/>
        <w:rPr>
          <w:color w:val="auto"/>
          <w:szCs w:val="24"/>
        </w:rPr>
      </w:pPr>
    </w:p>
    <w:p w14:paraId="0AB587B7" w14:textId="77777777" w:rsidR="009927BE" w:rsidRPr="00C163FF" w:rsidRDefault="009927BE" w:rsidP="009D6EAB">
      <w:pPr>
        <w:pStyle w:val="Normal-em"/>
        <w:rPr>
          <w:color w:val="auto"/>
          <w:szCs w:val="24"/>
          <w:u w:val="single"/>
        </w:rPr>
      </w:pPr>
      <w:r w:rsidRPr="00C163FF">
        <w:rPr>
          <w:color w:val="auto"/>
          <w:szCs w:val="24"/>
          <w:u w:val="single"/>
        </w:rPr>
        <w:t>Section 3 – Authority</w:t>
      </w:r>
    </w:p>
    <w:p w14:paraId="71241F7D" w14:textId="77777777" w:rsidR="009927BE" w:rsidRPr="00C163FF" w:rsidRDefault="009927BE" w:rsidP="009D6EAB">
      <w:pPr>
        <w:pStyle w:val="Normal-em"/>
        <w:rPr>
          <w:color w:val="auto"/>
          <w:szCs w:val="24"/>
          <w:u w:val="single"/>
        </w:rPr>
      </w:pPr>
    </w:p>
    <w:p w14:paraId="11D8FE77" w14:textId="77777777" w:rsidR="009927BE" w:rsidRPr="00C163FF" w:rsidRDefault="009927BE" w:rsidP="009D6EAB">
      <w:pPr>
        <w:pStyle w:val="Normal-em"/>
        <w:rPr>
          <w:color w:val="auto"/>
          <w:szCs w:val="24"/>
        </w:rPr>
      </w:pPr>
      <w:r w:rsidRPr="00C163FF">
        <w:rPr>
          <w:color w:val="auto"/>
          <w:szCs w:val="24"/>
        </w:rPr>
        <w:t xml:space="preserve">This section provides that the rule is made under the </w:t>
      </w:r>
      <w:r w:rsidRPr="00C163FF">
        <w:rPr>
          <w:i/>
          <w:color w:val="auto"/>
          <w:szCs w:val="24"/>
        </w:rPr>
        <w:t>Farm Household Support Act 2014</w:t>
      </w:r>
      <w:r w:rsidRPr="00C163FF">
        <w:rPr>
          <w:color w:val="auto"/>
          <w:szCs w:val="24"/>
        </w:rPr>
        <w:t>.</w:t>
      </w:r>
    </w:p>
    <w:p w14:paraId="4CA6DF0A" w14:textId="77777777" w:rsidR="008F00F6" w:rsidRPr="00C163FF" w:rsidRDefault="008F00F6" w:rsidP="009D6EAB">
      <w:pPr>
        <w:pStyle w:val="Normal-em"/>
        <w:rPr>
          <w:color w:val="auto"/>
          <w:szCs w:val="24"/>
        </w:rPr>
      </w:pPr>
    </w:p>
    <w:p w14:paraId="38C76B3C" w14:textId="77777777" w:rsidR="008F00F6" w:rsidRPr="00C163FF" w:rsidRDefault="008F00F6" w:rsidP="009D6EAB">
      <w:pPr>
        <w:pStyle w:val="Normal-em"/>
        <w:rPr>
          <w:color w:val="auto"/>
          <w:szCs w:val="24"/>
          <w:u w:val="single"/>
        </w:rPr>
      </w:pPr>
      <w:r w:rsidRPr="00C163FF">
        <w:rPr>
          <w:color w:val="auto"/>
          <w:szCs w:val="24"/>
          <w:u w:val="single"/>
        </w:rPr>
        <w:t xml:space="preserve">Section 4 – Schedules </w:t>
      </w:r>
    </w:p>
    <w:p w14:paraId="5569A627" w14:textId="77777777" w:rsidR="008F00F6" w:rsidRPr="00C163FF" w:rsidRDefault="008F00F6" w:rsidP="009D6EAB">
      <w:pPr>
        <w:pStyle w:val="Normal-em"/>
        <w:rPr>
          <w:color w:val="auto"/>
          <w:szCs w:val="24"/>
          <w:u w:val="single"/>
        </w:rPr>
      </w:pPr>
    </w:p>
    <w:p w14:paraId="5117F956" w14:textId="77777777" w:rsidR="008F00F6" w:rsidRPr="00C163FF" w:rsidRDefault="008F00F6" w:rsidP="009D6EAB">
      <w:pPr>
        <w:pStyle w:val="Normal-em"/>
        <w:rPr>
          <w:color w:val="auto"/>
          <w:szCs w:val="24"/>
        </w:rPr>
      </w:pPr>
      <w:r w:rsidRPr="00C163FF">
        <w:rPr>
          <w:color w:val="auto"/>
          <w:szCs w:val="24"/>
        </w:rPr>
        <w:t>This section provides that each instrument specified in a schedule to the rule is amended or repealed as set out in the applicable items in the schedule concerned. Any other item in a schedule to the rule has effect according to its terms.</w:t>
      </w:r>
    </w:p>
    <w:p w14:paraId="1FC549E9" w14:textId="77777777" w:rsidR="009927BE" w:rsidRPr="00C163FF" w:rsidRDefault="009927BE" w:rsidP="009D6EAB">
      <w:pPr>
        <w:pStyle w:val="Normal-em"/>
        <w:rPr>
          <w:color w:val="auto"/>
          <w:szCs w:val="24"/>
          <w:u w:val="single"/>
        </w:rPr>
      </w:pPr>
    </w:p>
    <w:p w14:paraId="6EB1382C" w14:textId="77777777" w:rsidR="009927BE" w:rsidRPr="00C163FF" w:rsidRDefault="008F00F6" w:rsidP="009D6EAB">
      <w:pPr>
        <w:pStyle w:val="Normal-em"/>
        <w:rPr>
          <w:color w:val="auto"/>
          <w:szCs w:val="24"/>
          <w:u w:val="single"/>
        </w:rPr>
      </w:pPr>
      <w:r w:rsidRPr="00C163FF">
        <w:rPr>
          <w:color w:val="auto"/>
          <w:szCs w:val="24"/>
          <w:u w:val="single"/>
        </w:rPr>
        <w:t>Schedule 1</w:t>
      </w:r>
      <w:r w:rsidR="009927BE" w:rsidRPr="00C163FF">
        <w:rPr>
          <w:color w:val="auto"/>
          <w:szCs w:val="24"/>
          <w:u w:val="single"/>
        </w:rPr>
        <w:t xml:space="preserve"> – Modifications of section 1118</w:t>
      </w:r>
      <w:r w:rsidRPr="00C163FF">
        <w:rPr>
          <w:color w:val="auto"/>
          <w:szCs w:val="24"/>
          <w:u w:val="single"/>
        </w:rPr>
        <w:t>FHS(1)</w:t>
      </w:r>
      <w:r w:rsidR="009927BE" w:rsidRPr="00C163FF">
        <w:rPr>
          <w:color w:val="auto"/>
          <w:szCs w:val="24"/>
          <w:u w:val="single"/>
        </w:rPr>
        <w:t xml:space="preserve"> of the </w:t>
      </w:r>
      <w:r w:rsidR="009927BE" w:rsidRPr="00C163FF">
        <w:rPr>
          <w:i/>
          <w:color w:val="auto"/>
          <w:szCs w:val="24"/>
          <w:u w:val="single"/>
        </w:rPr>
        <w:t>Social Security Act 1991</w:t>
      </w:r>
    </w:p>
    <w:p w14:paraId="1FC4E998" w14:textId="77777777" w:rsidR="009927BE" w:rsidRPr="00C163FF" w:rsidRDefault="009927BE" w:rsidP="009D6EAB">
      <w:pPr>
        <w:pStyle w:val="Normal-em"/>
        <w:rPr>
          <w:color w:val="auto"/>
          <w:szCs w:val="24"/>
          <w:u w:val="single"/>
        </w:rPr>
      </w:pPr>
    </w:p>
    <w:p w14:paraId="60423E90" w14:textId="77777777" w:rsidR="009927BE" w:rsidRPr="00C163FF" w:rsidRDefault="009927BE" w:rsidP="009D6EAB">
      <w:pPr>
        <w:pStyle w:val="Normal-em"/>
        <w:rPr>
          <w:color w:val="auto"/>
          <w:szCs w:val="24"/>
        </w:rPr>
      </w:pPr>
      <w:r w:rsidRPr="00C163FF">
        <w:rPr>
          <w:color w:val="auto"/>
          <w:szCs w:val="24"/>
        </w:rPr>
        <w:t>This section prescribes that the rule modifies section 1118</w:t>
      </w:r>
      <w:r w:rsidR="00872B5F" w:rsidRPr="00C163FF">
        <w:rPr>
          <w:color w:val="auto"/>
          <w:szCs w:val="24"/>
        </w:rPr>
        <w:t>FHS</w:t>
      </w:r>
      <w:r w:rsidRPr="00C163FF">
        <w:rPr>
          <w:color w:val="auto"/>
          <w:szCs w:val="24"/>
        </w:rPr>
        <w:t xml:space="preserve"> of the </w:t>
      </w:r>
      <w:r w:rsidRPr="00C163FF">
        <w:rPr>
          <w:i/>
          <w:color w:val="auto"/>
          <w:szCs w:val="24"/>
        </w:rPr>
        <w:t>Social Security Act</w:t>
      </w:r>
      <w:r w:rsidR="00872B5F" w:rsidRPr="00C163FF">
        <w:rPr>
          <w:i/>
          <w:color w:val="auto"/>
          <w:szCs w:val="24"/>
        </w:rPr>
        <w:t xml:space="preserve"> 1991</w:t>
      </w:r>
      <w:r w:rsidRPr="00C163FF">
        <w:rPr>
          <w:color w:val="auto"/>
          <w:szCs w:val="24"/>
        </w:rPr>
        <w:t xml:space="preserve"> by inserting </w:t>
      </w:r>
      <w:r w:rsidR="00872B5F" w:rsidRPr="00C163FF">
        <w:rPr>
          <w:color w:val="auto"/>
          <w:szCs w:val="24"/>
        </w:rPr>
        <w:t xml:space="preserve">two paragraphs (1AA and 1AB) and three headings, </w:t>
      </w:r>
      <w:r w:rsidRPr="00C163FF">
        <w:rPr>
          <w:color w:val="auto"/>
          <w:szCs w:val="24"/>
        </w:rPr>
        <w:t>as far as it relates to payments made under the FHS Act:</w:t>
      </w:r>
    </w:p>
    <w:p w14:paraId="68670C0D" w14:textId="77777777" w:rsidR="009927BE" w:rsidRPr="00C163FF" w:rsidRDefault="009927BE" w:rsidP="009D6EAB">
      <w:pPr>
        <w:pStyle w:val="Normal-em"/>
        <w:rPr>
          <w:color w:val="auto"/>
          <w:szCs w:val="24"/>
        </w:rPr>
      </w:pPr>
    </w:p>
    <w:p w14:paraId="54464495" w14:textId="77777777" w:rsidR="009927BE" w:rsidRPr="00C163FF" w:rsidRDefault="009927BE" w:rsidP="00872B5F">
      <w:pPr>
        <w:pStyle w:val="Normal-em"/>
      </w:pPr>
      <w:r w:rsidRPr="00C163FF">
        <w:rPr>
          <w:color w:val="auto"/>
          <w:szCs w:val="24"/>
        </w:rPr>
        <w:t>Paragraph</w:t>
      </w:r>
      <w:r w:rsidRPr="00C163FF">
        <w:rPr>
          <w:b/>
          <w:color w:val="auto"/>
          <w:szCs w:val="24"/>
        </w:rPr>
        <w:t xml:space="preserve"> </w:t>
      </w:r>
      <w:r w:rsidRPr="00C163FF">
        <w:rPr>
          <w:color w:val="auto"/>
          <w:szCs w:val="24"/>
        </w:rPr>
        <w:t>1118</w:t>
      </w:r>
      <w:r w:rsidR="00872B5F" w:rsidRPr="00C163FF">
        <w:rPr>
          <w:color w:val="auto"/>
          <w:szCs w:val="24"/>
        </w:rPr>
        <w:t xml:space="preserve">FHS (1AA) </w:t>
      </w:r>
      <w:r w:rsidRPr="00C163FF">
        <w:rPr>
          <w:color w:val="auto"/>
          <w:szCs w:val="24"/>
        </w:rPr>
        <w:t>provides that</w:t>
      </w:r>
      <w:r w:rsidR="00872B5F" w:rsidRPr="00C163FF">
        <w:rPr>
          <w:color w:val="auto"/>
          <w:szCs w:val="24"/>
        </w:rPr>
        <w:t xml:space="preserve"> the section applies in relation to a claim for FHA that was made before the commencement of Item 5 of Schedule 2 to the Amendment Act.  </w:t>
      </w:r>
    </w:p>
    <w:p w14:paraId="26C1FD9E" w14:textId="77777777" w:rsidR="00872B5F" w:rsidRPr="00C163FF" w:rsidRDefault="00872B5F" w:rsidP="009D6EAB">
      <w:pPr>
        <w:pStyle w:val="Normal-em"/>
        <w:rPr>
          <w:color w:val="auto"/>
          <w:szCs w:val="24"/>
        </w:rPr>
      </w:pPr>
    </w:p>
    <w:p w14:paraId="7B2B690B" w14:textId="240FD0B4" w:rsidR="009927BE" w:rsidRPr="00777660" w:rsidRDefault="00872B5F" w:rsidP="009D6EAB">
      <w:pPr>
        <w:pStyle w:val="Normal-em"/>
        <w:rPr>
          <w:color w:val="auto"/>
          <w:szCs w:val="24"/>
        </w:rPr>
      </w:pPr>
      <w:r w:rsidRPr="00C163FF">
        <w:rPr>
          <w:color w:val="auto"/>
          <w:szCs w:val="24"/>
        </w:rPr>
        <w:t>Paragraph 1118FHS(1AB</w:t>
      </w:r>
      <w:r w:rsidRPr="00FA406B">
        <w:rPr>
          <w:color w:val="auto"/>
          <w:szCs w:val="24"/>
        </w:rPr>
        <w:t>) provides that for</w:t>
      </w:r>
      <w:r w:rsidRPr="00C163FF">
        <w:rPr>
          <w:color w:val="auto"/>
          <w:szCs w:val="24"/>
        </w:rPr>
        <w:t xml:space="preserve"> subparagraphs 1(a)(i) and paragraph 2(a) of section 1118FHS, a reference to the FHS Act is a reference to that Act, however those paragraphs disregard the amendments made by Schedule 2 to the Amendment Act.</w:t>
      </w:r>
      <w:r>
        <w:rPr>
          <w:color w:val="auto"/>
          <w:szCs w:val="24"/>
        </w:rPr>
        <w:t xml:space="preserve"> </w:t>
      </w:r>
    </w:p>
    <w:p w14:paraId="4B69B23F" w14:textId="77777777" w:rsidR="009927BE" w:rsidRDefault="009927BE" w:rsidP="009D6EAB">
      <w:pPr>
        <w:rPr>
          <w:rFonts w:ascii="Times" w:hAnsi="Times"/>
          <w:b/>
          <w:caps/>
          <w:u w:val="single"/>
        </w:rPr>
      </w:pPr>
      <w:r>
        <w:rPr>
          <w:rFonts w:ascii="Times" w:hAnsi="Times"/>
          <w:b/>
          <w:caps/>
          <w:u w:val="single"/>
        </w:rPr>
        <w:br w:type="page"/>
      </w:r>
    </w:p>
    <w:p w14:paraId="30E8006A" w14:textId="77777777" w:rsidR="009927BE" w:rsidRDefault="009927BE" w:rsidP="009D6EAB">
      <w:pPr>
        <w:rPr>
          <w:rFonts w:ascii="Times" w:eastAsia="Times New Roman" w:hAnsi="Times" w:cs="Times New Roman"/>
          <w:b/>
          <w:caps/>
          <w:color w:val="000000"/>
          <w:sz w:val="24"/>
          <w:szCs w:val="20"/>
          <w:u w:val="single"/>
        </w:rPr>
      </w:pPr>
    </w:p>
    <w:p w14:paraId="4F64C111" w14:textId="77777777" w:rsidR="009927BE" w:rsidRPr="00116E1D" w:rsidRDefault="009927BE" w:rsidP="009D6EAB">
      <w:pPr>
        <w:pStyle w:val="Normal-em"/>
        <w:jc w:val="right"/>
        <w:rPr>
          <w:rFonts w:ascii="Times" w:hAnsi="Times"/>
          <w:b/>
          <w:caps/>
          <w:u w:val="single"/>
        </w:rPr>
      </w:pPr>
      <w:r w:rsidRPr="00116E1D">
        <w:rPr>
          <w:rFonts w:ascii="Times" w:hAnsi="Times"/>
          <w:b/>
          <w:caps/>
          <w:u w:val="single"/>
        </w:rPr>
        <w:t>Attachment</w:t>
      </w:r>
      <w:r>
        <w:rPr>
          <w:rFonts w:ascii="Times" w:hAnsi="Times"/>
          <w:b/>
          <w:caps/>
          <w:u w:val="single"/>
        </w:rPr>
        <w:t xml:space="preserve"> A</w:t>
      </w:r>
    </w:p>
    <w:p w14:paraId="674F8BDB" w14:textId="77777777" w:rsidR="009927BE" w:rsidRPr="009A57ED" w:rsidRDefault="009927BE" w:rsidP="009D6EAB">
      <w:pPr>
        <w:rPr>
          <w:rFonts w:ascii="Times New Roman" w:hAnsi="Times New Roman" w:cs="Times New Roman"/>
          <w:vanish/>
          <w:sz w:val="24"/>
        </w:rPr>
      </w:pPr>
    </w:p>
    <w:p w14:paraId="71B532DD" w14:textId="77777777" w:rsidR="009927BE" w:rsidRDefault="009927BE" w:rsidP="009D6EAB">
      <w:pPr>
        <w:spacing w:before="360" w:after="120"/>
        <w:jc w:val="center"/>
        <w:rPr>
          <w:rFonts w:ascii="Times New Roman" w:hAnsi="Times New Roman"/>
          <w:b/>
          <w:sz w:val="28"/>
          <w:szCs w:val="28"/>
        </w:rPr>
      </w:pPr>
      <w:r w:rsidRPr="00E4135E">
        <w:rPr>
          <w:rFonts w:ascii="Times New Roman" w:hAnsi="Times New Roman"/>
          <w:b/>
          <w:sz w:val="28"/>
          <w:szCs w:val="28"/>
        </w:rPr>
        <w:t>Statement of Compatibility with Human Rights</w:t>
      </w:r>
    </w:p>
    <w:p w14:paraId="4F6D2E1D" w14:textId="77777777" w:rsidR="009927BE" w:rsidRPr="00DD1CC4" w:rsidRDefault="009927BE" w:rsidP="009D6EAB">
      <w:pPr>
        <w:jc w:val="center"/>
        <w:rPr>
          <w:rFonts w:ascii="Times New Roman" w:hAnsi="Times New Roman"/>
          <w:sz w:val="24"/>
        </w:rPr>
      </w:pPr>
    </w:p>
    <w:p w14:paraId="2A8EE2AE" w14:textId="77777777" w:rsidR="009927BE" w:rsidRPr="00E4135E" w:rsidRDefault="009927BE" w:rsidP="009D6EAB">
      <w:pPr>
        <w:jc w:val="center"/>
        <w:rPr>
          <w:rFonts w:ascii="Times New Roman" w:hAnsi="Times New Roman"/>
          <w:sz w:val="24"/>
        </w:rPr>
      </w:pPr>
      <w:r w:rsidRPr="00E4135E">
        <w:rPr>
          <w:rFonts w:ascii="Times New Roman" w:hAnsi="Times New Roman"/>
          <w:i/>
          <w:sz w:val="24"/>
        </w:rPr>
        <w:t>Prepared in accordance with Part 3 of the Human Rights (Parliamentary Scrutiny) Act 2011</w:t>
      </w:r>
    </w:p>
    <w:p w14:paraId="469B0660" w14:textId="77777777" w:rsidR="009927BE" w:rsidRPr="00E4135E" w:rsidRDefault="009927BE" w:rsidP="009D6EAB">
      <w:pPr>
        <w:jc w:val="center"/>
        <w:rPr>
          <w:rFonts w:ascii="Times New Roman" w:hAnsi="Times New Roman"/>
          <w:sz w:val="24"/>
        </w:rPr>
      </w:pPr>
    </w:p>
    <w:p w14:paraId="4450708F" w14:textId="77777777" w:rsidR="009927BE" w:rsidRDefault="009927BE" w:rsidP="009D6EAB">
      <w:pPr>
        <w:jc w:val="center"/>
        <w:rPr>
          <w:rFonts w:ascii="Times New Roman" w:hAnsi="Times New Roman"/>
          <w:b/>
          <w:i/>
          <w:sz w:val="24"/>
        </w:rPr>
      </w:pPr>
      <w:r w:rsidRPr="006F1753">
        <w:rPr>
          <w:rFonts w:ascii="Times New Roman" w:hAnsi="Times New Roman"/>
          <w:b/>
          <w:i/>
          <w:sz w:val="24"/>
        </w:rPr>
        <w:t>Farm Household Support (</w:t>
      </w:r>
      <w:r>
        <w:rPr>
          <w:rFonts w:ascii="Times New Roman" w:hAnsi="Times New Roman"/>
          <w:b/>
          <w:i/>
          <w:sz w:val="24"/>
        </w:rPr>
        <w:t>Non-farm Assets</w:t>
      </w:r>
      <w:r w:rsidRPr="006F1753">
        <w:rPr>
          <w:rFonts w:ascii="Times New Roman" w:hAnsi="Times New Roman"/>
          <w:b/>
          <w:i/>
          <w:sz w:val="24"/>
        </w:rPr>
        <w:t xml:space="preserve">) </w:t>
      </w:r>
      <w:r w:rsidR="00A06BD5">
        <w:rPr>
          <w:rFonts w:ascii="Times New Roman" w:hAnsi="Times New Roman"/>
          <w:b/>
          <w:i/>
          <w:sz w:val="24"/>
        </w:rPr>
        <w:t xml:space="preserve">Amendment </w:t>
      </w:r>
      <w:r w:rsidRPr="006F1753">
        <w:rPr>
          <w:rFonts w:ascii="Times New Roman" w:hAnsi="Times New Roman"/>
          <w:b/>
          <w:i/>
          <w:sz w:val="24"/>
        </w:rPr>
        <w:t>Rule 201</w:t>
      </w:r>
      <w:r w:rsidR="00A06BD5">
        <w:rPr>
          <w:rFonts w:ascii="Times New Roman" w:hAnsi="Times New Roman"/>
          <w:b/>
          <w:i/>
          <w:sz w:val="24"/>
        </w:rPr>
        <w:t>7</w:t>
      </w:r>
    </w:p>
    <w:sdt>
      <w:sdtPr>
        <w:rPr>
          <w:rFonts w:ascii="Times New Roman" w:hAnsi="Times New Roman"/>
          <w:sz w:val="24"/>
        </w:rPr>
        <w:id w:val="962787082"/>
        <w:lock w:val="contentLocked"/>
        <w:placeholder>
          <w:docPart w:val="5E3858656CAF4B45AFAC963F38495D7D"/>
        </w:placeholder>
        <w:group/>
      </w:sdtPr>
      <w:sdtEndPr>
        <w:rPr>
          <w:b/>
        </w:rPr>
      </w:sdtEndPr>
      <w:sdtContent>
        <w:p w14:paraId="5CFAF610" w14:textId="77777777" w:rsidR="009927BE" w:rsidRPr="00E4135E" w:rsidRDefault="009927BE" w:rsidP="009D6EAB">
          <w:pPr>
            <w:jc w:val="center"/>
            <w:rPr>
              <w:rFonts w:ascii="Times New Roman" w:hAnsi="Times New Roman"/>
              <w:sz w:val="24"/>
            </w:rPr>
          </w:pPr>
        </w:p>
        <w:p w14:paraId="22BEB508" w14:textId="77777777" w:rsidR="009927BE" w:rsidRPr="00E4135E" w:rsidRDefault="009927BE" w:rsidP="009D6EAB">
          <w:pPr>
            <w:spacing w:before="120" w:after="120"/>
            <w:jc w:val="center"/>
            <w:rPr>
              <w:rFonts w:ascii="Times New Roman" w:hAnsi="Times New Roman"/>
              <w:sz w:val="24"/>
            </w:rPr>
          </w:pPr>
          <w:r w:rsidRPr="00E4135E">
            <w:rPr>
              <w:rFonts w:ascii="Times New Roman" w:hAnsi="Times New Roman"/>
              <w:sz w:val="24"/>
            </w:rPr>
            <w:t xml:space="preserve">This Legislative Instrument is compatible with the human rights and freedoms recognised or declared in the international instruments listed in section 3 of the </w:t>
          </w:r>
          <w:r w:rsidRPr="00E4135E">
            <w:rPr>
              <w:rFonts w:ascii="Times New Roman" w:hAnsi="Times New Roman"/>
              <w:i/>
              <w:sz w:val="24"/>
            </w:rPr>
            <w:t>Human Rights (Parliamentary Scrutiny) Act 2011</w:t>
          </w:r>
          <w:r w:rsidRPr="00E4135E">
            <w:rPr>
              <w:rFonts w:ascii="Times New Roman" w:hAnsi="Times New Roman"/>
              <w:sz w:val="24"/>
            </w:rPr>
            <w:t>.</w:t>
          </w:r>
        </w:p>
        <w:p w14:paraId="0933B8FE" w14:textId="77777777" w:rsidR="009927BE" w:rsidRPr="00E4135E" w:rsidRDefault="009927BE" w:rsidP="009D6EAB">
          <w:pPr>
            <w:rPr>
              <w:rFonts w:ascii="Times New Roman" w:hAnsi="Times New Roman"/>
              <w:sz w:val="24"/>
            </w:rPr>
          </w:pPr>
        </w:p>
        <w:p w14:paraId="204CADE2" w14:textId="77777777" w:rsidR="009927BE" w:rsidRPr="00E4135E" w:rsidRDefault="009927BE" w:rsidP="009D6EAB">
          <w:pPr>
            <w:spacing w:after="120"/>
            <w:jc w:val="both"/>
            <w:rPr>
              <w:rFonts w:ascii="Times New Roman" w:hAnsi="Times New Roman"/>
              <w:b/>
              <w:sz w:val="24"/>
            </w:rPr>
          </w:pPr>
          <w:r w:rsidRPr="00E4135E">
            <w:rPr>
              <w:rFonts w:ascii="Times New Roman" w:hAnsi="Times New Roman"/>
              <w:b/>
              <w:sz w:val="24"/>
            </w:rPr>
            <w:t>Overview of the Legislative Instrument</w:t>
          </w:r>
        </w:p>
      </w:sdtContent>
    </w:sdt>
    <w:p w14:paraId="38B78720" w14:textId="539EAC4E" w:rsidR="00A06BD5" w:rsidRPr="00C163FF" w:rsidRDefault="009927BE" w:rsidP="00A06BD5">
      <w:pPr>
        <w:tabs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  <w:r w:rsidRPr="00C163FF">
        <w:rPr>
          <w:rFonts w:ascii="Times New Roman" w:hAnsi="Times New Roman" w:cs="Times New Roman"/>
          <w:snapToGrid w:val="0"/>
          <w:sz w:val="24"/>
        </w:rPr>
        <w:t xml:space="preserve">The </w:t>
      </w:r>
      <w:r w:rsidRPr="00C163FF">
        <w:rPr>
          <w:rFonts w:ascii="Times New Roman" w:hAnsi="Times New Roman" w:cs="Times New Roman"/>
          <w:i/>
          <w:snapToGrid w:val="0"/>
          <w:sz w:val="24"/>
        </w:rPr>
        <w:t xml:space="preserve">Farm Household Support (Non-farm Assets) </w:t>
      </w:r>
      <w:r w:rsidR="00125295" w:rsidRPr="00C163FF">
        <w:rPr>
          <w:rFonts w:ascii="Times New Roman" w:hAnsi="Times New Roman" w:cs="Times New Roman"/>
          <w:i/>
          <w:snapToGrid w:val="0"/>
          <w:sz w:val="24"/>
        </w:rPr>
        <w:t>Amendment Rule 2017</w:t>
      </w:r>
      <w:r w:rsidRPr="00C163FF">
        <w:rPr>
          <w:rFonts w:ascii="Times New Roman" w:hAnsi="Times New Roman" w:cs="Times New Roman"/>
          <w:i/>
          <w:snapToGrid w:val="0"/>
          <w:sz w:val="24"/>
        </w:rPr>
        <w:t xml:space="preserve"> </w:t>
      </w:r>
      <w:r w:rsidR="00125295" w:rsidRPr="00C163FF">
        <w:rPr>
          <w:rFonts w:ascii="Times New Roman" w:hAnsi="Times New Roman" w:cs="Times New Roman"/>
          <w:snapToGrid w:val="0"/>
          <w:sz w:val="24"/>
        </w:rPr>
        <w:t>(the R</w:t>
      </w:r>
      <w:r w:rsidRPr="00C163FF">
        <w:rPr>
          <w:rFonts w:ascii="Times New Roman" w:hAnsi="Times New Roman" w:cs="Times New Roman"/>
          <w:snapToGrid w:val="0"/>
          <w:sz w:val="24"/>
        </w:rPr>
        <w:t xml:space="preserve">ule) </w:t>
      </w:r>
      <w:r w:rsidR="00A06BD5" w:rsidRPr="00C163FF">
        <w:rPr>
          <w:rFonts w:ascii="Times New Roman" w:hAnsi="Times New Roman" w:cs="Times New Roman"/>
          <w:snapToGrid w:val="0"/>
          <w:sz w:val="24"/>
        </w:rPr>
        <w:t xml:space="preserve">modifies the operation of section 1118FHS of the </w:t>
      </w:r>
      <w:r w:rsidR="00A06BD5" w:rsidRPr="00C163FF">
        <w:rPr>
          <w:rFonts w:ascii="Times New Roman" w:hAnsi="Times New Roman" w:cs="Times New Roman"/>
          <w:i/>
          <w:snapToGrid w:val="0"/>
          <w:sz w:val="24"/>
        </w:rPr>
        <w:t xml:space="preserve">Social Security Act 1991 </w:t>
      </w:r>
      <w:r w:rsidR="00A06BD5" w:rsidRPr="00C163FF">
        <w:rPr>
          <w:rFonts w:ascii="Times New Roman" w:hAnsi="Times New Roman" w:cs="Times New Roman"/>
          <w:snapToGrid w:val="0"/>
          <w:sz w:val="24"/>
        </w:rPr>
        <w:t xml:space="preserve">to preserve the legislative framework within the </w:t>
      </w:r>
      <w:r w:rsidR="00A06BD5" w:rsidRPr="00C163FF">
        <w:rPr>
          <w:rFonts w:ascii="Times New Roman" w:hAnsi="Times New Roman" w:cs="Times New Roman"/>
          <w:i/>
          <w:snapToGrid w:val="0"/>
          <w:sz w:val="24"/>
        </w:rPr>
        <w:t xml:space="preserve">Farm Household Support (Non-farm Assets) Minister’s Rule 2016 </w:t>
      </w:r>
      <w:r w:rsidR="00A06BD5" w:rsidRPr="00C163FF">
        <w:rPr>
          <w:rFonts w:ascii="Times New Roman" w:hAnsi="Times New Roman" w:cs="Times New Roman"/>
          <w:snapToGrid w:val="0"/>
          <w:sz w:val="24"/>
        </w:rPr>
        <w:t>(Minister’s Rule) as it applie</w:t>
      </w:r>
      <w:r w:rsidR="003A5A9D">
        <w:rPr>
          <w:rFonts w:ascii="Times New Roman" w:hAnsi="Times New Roman" w:cs="Times New Roman"/>
          <w:snapToGrid w:val="0"/>
          <w:sz w:val="24"/>
        </w:rPr>
        <w:t>s</w:t>
      </w:r>
      <w:r w:rsidR="00A06BD5" w:rsidRPr="00C163FF">
        <w:rPr>
          <w:rFonts w:ascii="Times New Roman" w:hAnsi="Times New Roman" w:cs="Times New Roman"/>
          <w:snapToGrid w:val="0"/>
          <w:sz w:val="24"/>
        </w:rPr>
        <w:t xml:space="preserve"> to existing, and ongoing, FHA recipients immediately prior to the Amendment Act receiving </w:t>
      </w:r>
      <w:r w:rsidR="00CC5302">
        <w:rPr>
          <w:rFonts w:ascii="Times New Roman" w:hAnsi="Times New Roman" w:cs="Times New Roman"/>
          <w:snapToGrid w:val="0"/>
          <w:sz w:val="24"/>
        </w:rPr>
        <w:t>R</w:t>
      </w:r>
      <w:r w:rsidR="00A06BD5" w:rsidRPr="00C163FF">
        <w:rPr>
          <w:rFonts w:ascii="Times New Roman" w:hAnsi="Times New Roman" w:cs="Times New Roman"/>
          <w:snapToGrid w:val="0"/>
          <w:sz w:val="24"/>
        </w:rPr>
        <w:t xml:space="preserve">oyal </w:t>
      </w:r>
      <w:r w:rsidR="00CC5302">
        <w:rPr>
          <w:rFonts w:ascii="Times New Roman" w:hAnsi="Times New Roman" w:cs="Times New Roman"/>
          <w:snapToGrid w:val="0"/>
          <w:sz w:val="24"/>
        </w:rPr>
        <w:t>A</w:t>
      </w:r>
      <w:r w:rsidR="00A06BD5" w:rsidRPr="00C163FF">
        <w:rPr>
          <w:rFonts w:ascii="Times New Roman" w:hAnsi="Times New Roman" w:cs="Times New Roman"/>
          <w:snapToGrid w:val="0"/>
          <w:sz w:val="24"/>
        </w:rPr>
        <w:t>ssent. Specifically, the purpose is to preserve the legislative framework in relation to the assessment of non-farm assets.</w:t>
      </w:r>
    </w:p>
    <w:p w14:paraId="73C7B029" w14:textId="77777777" w:rsidR="009927BE" w:rsidRPr="00C163FF" w:rsidRDefault="009927BE" w:rsidP="009D6EAB">
      <w:pPr>
        <w:tabs>
          <w:tab w:val="left" w:pos="1701"/>
          <w:tab w:val="right" w:pos="9072"/>
        </w:tabs>
        <w:rPr>
          <w:rFonts w:ascii="Times New Roman" w:hAnsi="Times New Roman" w:cs="Times New Roman"/>
          <w:snapToGrid w:val="0"/>
          <w:sz w:val="24"/>
        </w:rPr>
      </w:pPr>
      <w:r w:rsidRPr="00C163FF">
        <w:rPr>
          <w:rFonts w:ascii="Times New Roman" w:hAnsi="Times New Roman" w:cs="Times New Roman"/>
          <w:snapToGrid w:val="0"/>
          <w:sz w:val="24"/>
        </w:rPr>
        <w:t xml:space="preserve"> </w:t>
      </w:r>
    </w:p>
    <w:p w14:paraId="4EBE176B" w14:textId="7943E9A5" w:rsidR="00125295" w:rsidRPr="00C163FF" w:rsidRDefault="00125295" w:rsidP="00125295">
      <w:pPr>
        <w:tabs>
          <w:tab w:val="left" w:pos="1701"/>
          <w:tab w:val="right" w:pos="9072"/>
        </w:tabs>
        <w:rPr>
          <w:rFonts w:ascii="Times New Roman" w:hAnsi="Times New Roman" w:cs="Times New Roman"/>
          <w:sz w:val="24"/>
        </w:rPr>
      </w:pPr>
      <w:r w:rsidRPr="00C163FF">
        <w:rPr>
          <w:rFonts w:ascii="Times New Roman" w:hAnsi="Times New Roman" w:cs="Times New Roman"/>
          <w:sz w:val="24"/>
        </w:rPr>
        <w:t xml:space="preserve">The Rule operates beneficially for recipients who had their water assets and/or shares in marketing cooperatives assessed under the Minister’s Rule as part of their application for FHA, and have not been cancelled off FHA. </w:t>
      </w:r>
      <w:r w:rsidR="00FA406B">
        <w:rPr>
          <w:rFonts w:ascii="Times New Roman" w:hAnsi="Times New Roman" w:cs="Times New Roman"/>
          <w:sz w:val="24"/>
        </w:rPr>
        <w:t>This is because the Rule</w:t>
      </w:r>
      <w:r w:rsidRPr="00C163FF">
        <w:rPr>
          <w:rFonts w:ascii="Times New Roman" w:hAnsi="Times New Roman" w:cs="Times New Roman"/>
          <w:sz w:val="24"/>
        </w:rPr>
        <w:t xml:space="preserve"> permits certain assets as described by the FHS Act to continue to be disregarded for the purpose of the assets test in Part 2 Division 6 Subdivision A of the FHS Act.</w:t>
      </w:r>
    </w:p>
    <w:p w14:paraId="6D954DE4" w14:textId="77777777" w:rsidR="009927BE" w:rsidRPr="00C163FF" w:rsidRDefault="009927BE" w:rsidP="009D6EAB">
      <w:pPr>
        <w:tabs>
          <w:tab w:val="right" w:pos="9072"/>
        </w:tabs>
        <w:rPr>
          <w:rFonts w:ascii="Times New Roman" w:hAnsi="Times New Roman" w:cs="Times New Roman"/>
          <w:sz w:val="24"/>
        </w:rPr>
      </w:pPr>
    </w:p>
    <w:p w14:paraId="13DA24DC" w14:textId="77777777" w:rsidR="009927BE" w:rsidRPr="00C163FF" w:rsidRDefault="009927BE" w:rsidP="009D6EAB">
      <w:pPr>
        <w:spacing w:after="120"/>
        <w:jc w:val="both"/>
        <w:rPr>
          <w:rFonts w:ascii="Times New Roman" w:hAnsi="Times New Roman"/>
          <w:b/>
          <w:sz w:val="24"/>
        </w:rPr>
      </w:pPr>
      <w:r w:rsidRPr="00C163FF">
        <w:rPr>
          <w:rFonts w:ascii="Times New Roman" w:hAnsi="Times New Roman"/>
          <w:b/>
          <w:sz w:val="24"/>
        </w:rPr>
        <w:t>Human rights implications</w:t>
      </w:r>
    </w:p>
    <w:p w14:paraId="32C4B74E" w14:textId="77777777" w:rsidR="009927BE" w:rsidRPr="00C163FF" w:rsidRDefault="009927BE" w:rsidP="009D6EAB">
      <w:pPr>
        <w:rPr>
          <w:rFonts w:ascii="Times New Roman" w:hAnsi="Times New Roman"/>
          <w:sz w:val="24"/>
        </w:rPr>
      </w:pPr>
      <w:r w:rsidRPr="00C163FF">
        <w:rPr>
          <w:rFonts w:ascii="Times New Roman" w:hAnsi="Times New Roman"/>
          <w:sz w:val="24"/>
        </w:rPr>
        <w:t xml:space="preserve">The amended rule does not engage any human rights and freedoms recognised or declared under section 3 of the </w:t>
      </w:r>
      <w:r w:rsidRPr="00C163FF">
        <w:rPr>
          <w:rFonts w:ascii="Times New Roman" w:hAnsi="Times New Roman"/>
          <w:i/>
          <w:sz w:val="24"/>
        </w:rPr>
        <w:t>Human Rights (Parliamentary Scrutiny) Act 2011</w:t>
      </w:r>
      <w:r w:rsidRPr="00C163FF">
        <w:rPr>
          <w:rFonts w:ascii="Times New Roman" w:hAnsi="Times New Roman"/>
          <w:sz w:val="24"/>
        </w:rPr>
        <w:t xml:space="preserve">.  </w:t>
      </w:r>
    </w:p>
    <w:p w14:paraId="3FB90BB2" w14:textId="77777777" w:rsidR="009927BE" w:rsidRPr="00C163FF" w:rsidRDefault="009927BE" w:rsidP="009D6EAB">
      <w:pPr>
        <w:rPr>
          <w:rFonts w:ascii="Times New Roman" w:hAnsi="Times New Roman"/>
          <w:sz w:val="24"/>
        </w:rPr>
      </w:pPr>
    </w:p>
    <w:p w14:paraId="390275C5" w14:textId="77777777" w:rsidR="009927BE" w:rsidRPr="00C163FF" w:rsidRDefault="009927BE" w:rsidP="009D6EAB">
      <w:pPr>
        <w:spacing w:after="120"/>
        <w:jc w:val="both"/>
        <w:rPr>
          <w:rFonts w:ascii="Times New Roman" w:hAnsi="Times New Roman"/>
          <w:b/>
          <w:sz w:val="24"/>
        </w:rPr>
      </w:pPr>
      <w:r w:rsidRPr="00C163FF">
        <w:rPr>
          <w:rFonts w:ascii="Times New Roman" w:hAnsi="Times New Roman"/>
          <w:b/>
          <w:sz w:val="24"/>
        </w:rPr>
        <w:t>Conclusion</w:t>
      </w:r>
    </w:p>
    <w:p w14:paraId="2E6CD2B2" w14:textId="77777777" w:rsidR="009927BE" w:rsidRPr="00C163FF" w:rsidRDefault="009927BE" w:rsidP="009D6EAB">
      <w:pPr>
        <w:rPr>
          <w:rFonts w:ascii="Times New Roman" w:hAnsi="Times New Roman"/>
          <w:sz w:val="24"/>
        </w:rPr>
      </w:pPr>
      <w:r w:rsidRPr="00C163FF">
        <w:rPr>
          <w:rFonts w:ascii="Times New Roman" w:hAnsi="Times New Roman"/>
          <w:sz w:val="24"/>
        </w:rPr>
        <w:t xml:space="preserve">This rule is compatible with the human rights and freedoms recognised or declared under section 3 of the </w:t>
      </w:r>
      <w:r w:rsidRPr="00C163FF">
        <w:rPr>
          <w:rFonts w:ascii="Times New Roman" w:hAnsi="Times New Roman"/>
          <w:i/>
          <w:iCs/>
          <w:sz w:val="24"/>
        </w:rPr>
        <w:t xml:space="preserve">Human Rights (Parliamentary Scrutiny) Act 2011 </w:t>
      </w:r>
      <w:r w:rsidRPr="00C163FF">
        <w:rPr>
          <w:rFonts w:ascii="Times New Roman" w:hAnsi="Times New Roman"/>
          <w:iCs/>
          <w:sz w:val="24"/>
        </w:rPr>
        <w:t>as it does not raise any human rights issues</w:t>
      </w:r>
      <w:r w:rsidRPr="00C163FF">
        <w:rPr>
          <w:rFonts w:ascii="Times New Roman" w:hAnsi="Times New Roman"/>
          <w:sz w:val="24"/>
        </w:rPr>
        <w:t xml:space="preserve">. </w:t>
      </w:r>
    </w:p>
    <w:p w14:paraId="1FDBBF1F" w14:textId="77777777" w:rsidR="009927BE" w:rsidRPr="00C163FF" w:rsidRDefault="009927BE" w:rsidP="009D6EAB">
      <w:pPr>
        <w:rPr>
          <w:rFonts w:ascii="Times New Roman" w:hAnsi="Times New Roman"/>
          <w:sz w:val="24"/>
        </w:rPr>
      </w:pPr>
    </w:p>
    <w:p w14:paraId="4C3FD48A" w14:textId="77777777" w:rsidR="009927BE" w:rsidRPr="00C163FF" w:rsidRDefault="009927BE" w:rsidP="009D6EAB">
      <w:pPr>
        <w:rPr>
          <w:rFonts w:ascii="Times New Roman" w:hAnsi="Times New Roman"/>
          <w:sz w:val="24"/>
        </w:rPr>
      </w:pPr>
    </w:p>
    <w:p w14:paraId="47C98886" w14:textId="77777777" w:rsidR="009927BE" w:rsidRPr="00C163FF" w:rsidRDefault="009927BE" w:rsidP="009D6EAB">
      <w:pPr>
        <w:jc w:val="center"/>
        <w:rPr>
          <w:rFonts w:ascii="Times New Roman" w:hAnsi="Times New Roman"/>
          <w:b/>
          <w:bCs/>
          <w:sz w:val="24"/>
        </w:rPr>
      </w:pPr>
      <w:r w:rsidRPr="00C163FF">
        <w:rPr>
          <w:rFonts w:ascii="Times New Roman" w:hAnsi="Times New Roman"/>
          <w:b/>
          <w:bCs/>
          <w:sz w:val="24"/>
        </w:rPr>
        <w:t>The Hon. Barnaby Joyce MP</w:t>
      </w:r>
    </w:p>
    <w:p w14:paraId="19876715" w14:textId="77777777" w:rsidR="009927BE" w:rsidRPr="002E4CC1" w:rsidRDefault="009927BE" w:rsidP="009D6EAB">
      <w:pPr>
        <w:jc w:val="center"/>
        <w:rPr>
          <w:rFonts w:ascii="Times New Roman" w:hAnsi="Times New Roman"/>
          <w:b/>
          <w:bCs/>
          <w:sz w:val="24"/>
        </w:rPr>
      </w:pPr>
      <w:r w:rsidRPr="00C163FF">
        <w:rPr>
          <w:rFonts w:ascii="Times New Roman" w:hAnsi="Times New Roman"/>
          <w:b/>
          <w:bCs/>
          <w:sz w:val="24"/>
        </w:rPr>
        <w:t>Deputy Prime Minister and Minister for Agriculture and Water Resources</w:t>
      </w:r>
    </w:p>
    <w:p w14:paraId="7A8A4167" w14:textId="77777777" w:rsidR="009D6EAB" w:rsidRDefault="009D6EAB"/>
    <w:sectPr w:rsidR="009D6EAB" w:rsidSect="009D6EAB">
      <w:footerReference w:type="default" r:id="rId8"/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43FBB" w14:textId="77777777" w:rsidR="00872B5F" w:rsidRDefault="00872B5F">
      <w:r>
        <w:separator/>
      </w:r>
    </w:p>
  </w:endnote>
  <w:endnote w:type="continuationSeparator" w:id="0">
    <w:p w14:paraId="3EB48277" w14:textId="77777777" w:rsidR="00872B5F" w:rsidRDefault="0087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Tahom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3682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0F46870" w14:textId="77777777" w:rsidR="00872B5F" w:rsidRPr="00896EBE" w:rsidRDefault="00872B5F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896EBE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96EBE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896EBE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032B43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896EBE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B5063" w14:textId="77777777" w:rsidR="00872B5F" w:rsidRDefault="00872B5F">
      <w:r>
        <w:separator/>
      </w:r>
    </w:p>
  </w:footnote>
  <w:footnote w:type="continuationSeparator" w:id="0">
    <w:p w14:paraId="7B941BD6" w14:textId="77777777" w:rsidR="00872B5F" w:rsidRDefault="0087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368"/>
    <w:multiLevelType w:val="hybridMultilevel"/>
    <w:tmpl w:val="52BEB7D2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5163C51"/>
    <w:multiLevelType w:val="hybridMultilevel"/>
    <w:tmpl w:val="D54EB64E"/>
    <w:lvl w:ilvl="0" w:tplc="0DC23B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BE"/>
    <w:rsid w:val="00010D4D"/>
    <w:rsid w:val="00032B43"/>
    <w:rsid w:val="0006693A"/>
    <w:rsid w:val="00076BEF"/>
    <w:rsid w:val="00087039"/>
    <w:rsid w:val="000A79F1"/>
    <w:rsid w:val="000B72B6"/>
    <w:rsid w:val="000F06E8"/>
    <w:rsid w:val="00125295"/>
    <w:rsid w:val="001821E9"/>
    <w:rsid w:val="001D1A31"/>
    <w:rsid w:val="001D4525"/>
    <w:rsid w:val="002826E1"/>
    <w:rsid w:val="002B4FA8"/>
    <w:rsid w:val="002F00B0"/>
    <w:rsid w:val="002F352E"/>
    <w:rsid w:val="003079FB"/>
    <w:rsid w:val="00353078"/>
    <w:rsid w:val="003A5A9D"/>
    <w:rsid w:val="003A6FD4"/>
    <w:rsid w:val="003D3F8A"/>
    <w:rsid w:val="00472DBB"/>
    <w:rsid w:val="004C3B59"/>
    <w:rsid w:val="004D7117"/>
    <w:rsid w:val="004F6776"/>
    <w:rsid w:val="0052278B"/>
    <w:rsid w:val="00584D2C"/>
    <w:rsid w:val="00660C21"/>
    <w:rsid w:val="006E36C5"/>
    <w:rsid w:val="006E796F"/>
    <w:rsid w:val="007073DB"/>
    <w:rsid w:val="00731612"/>
    <w:rsid w:val="0074242A"/>
    <w:rsid w:val="007F1A8A"/>
    <w:rsid w:val="00801326"/>
    <w:rsid w:val="00817776"/>
    <w:rsid w:val="00872B5F"/>
    <w:rsid w:val="00897D24"/>
    <w:rsid w:val="008E620D"/>
    <w:rsid w:val="008F00F6"/>
    <w:rsid w:val="00950701"/>
    <w:rsid w:val="009927BE"/>
    <w:rsid w:val="009A58A4"/>
    <w:rsid w:val="009C265D"/>
    <w:rsid w:val="009D6EAB"/>
    <w:rsid w:val="00A06BD5"/>
    <w:rsid w:val="00A83139"/>
    <w:rsid w:val="00AC0453"/>
    <w:rsid w:val="00AC48D5"/>
    <w:rsid w:val="00AC51A2"/>
    <w:rsid w:val="00B625C9"/>
    <w:rsid w:val="00B674DF"/>
    <w:rsid w:val="00B755F9"/>
    <w:rsid w:val="00C163FF"/>
    <w:rsid w:val="00C468ED"/>
    <w:rsid w:val="00C64B62"/>
    <w:rsid w:val="00C969DA"/>
    <w:rsid w:val="00CC5302"/>
    <w:rsid w:val="00CF1612"/>
    <w:rsid w:val="00DD0933"/>
    <w:rsid w:val="00E26D33"/>
    <w:rsid w:val="00EE10BE"/>
    <w:rsid w:val="00FA406B"/>
    <w:rsid w:val="00FB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5053"/>
  <w15:chartTrackingRefBased/>
  <w15:docId w15:val="{0DD5C531-E405-4D94-B71B-B06A5C6B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7BE"/>
    <w:pPr>
      <w:spacing w:after="0" w:line="240" w:lineRule="auto"/>
    </w:pPr>
    <w:rPr>
      <w:rFonts w:eastAsiaTheme="minorEastAs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27BE"/>
    <w:pPr>
      <w:tabs>
        <w:tab w:val="center" w:pos="4320"/>
        <w:tab w:val="right" w:pos="8640"/>
      </w:tabs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9927BE"/>
    <w:rPr>
      <w:rFonts w:eastAsiaTheme="minorEastAsia"/>
      <w:sz w:val="19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27BE"/>
    <w:rPr>
      <w:sz w:val="16"/>
      <w:szCs w:val="16"/>
    </w:rPr>
  </w:style>
  <w:style w:type="paragraph" w:customStyle="1" w:styleId="Normal-em">
    <w:name w:val="Normal-em"/>
    <w:basedOn w:val="Normal"/>
    <w:rsid w:val="009927B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9927BE"/>
    <w:pPr>
      <w:ind w:left="720"/>
      <w:contextualSpacing/>
    </w:pPr>
  </w:style>
  <w:style w:type="paragraph" w:styleId="Title">
    <w:name w:val="Title"/>
    <w:basedOn w:val="Normal"/>
    <w:link w:val="TitleChar"/>
    <w:qFormat/>
    <w:rsid w:val="009927BE"/>
    <w:pPr>
      <w:jc w:val="center"/>
    </w:pPr>
    <w:rPr>
      <w:rFonts w:ascii="Arial Rounded MT Bold" w:eastAsia="Times New Roman" w:hAnsi="Arial Rounded MT Bold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927BE"/>
    <w:rPr>
      <w:rFonts w:ascii="Arial Rounded MT Bold" w:eastAsia="Times New Roman" w:hAnsi="Arial Rounded MT Bold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33"/>
    <w:rPr>
      <w:rFonts w:ascii="Segoe UI" w:eastAsiaTheme="minorEastAsia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9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93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93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4FA8"/>
    <w:pPr>
      <w:spacing w:after="0" w:line="240" w:lineRule="auto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3858656CAF4B45AFAC963F38495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D7022-6290-4C87-A5EB-F4791A8CEB8E}"/>
      </w:docPartPr>
      <w:docPartBody>
        <w:p w:rsidR="00826213" w:rsidRDefault="00B82A53" w:rsidP="00B82A53">
          <w:pPr>
            <w:pStyle w:val="5E3858656CAF4B45AFAC963F38495D7D"/>
          </w:pPr>
          <w:r w:rsidRPr="004A11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Tahom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53"/>
    <w:rsid w:val="00826213"/>
    <w:rsid w:val="008348DA"/>
    <w:rsid w:val="00B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2A53"/>
    <w:rPr>
      <w:color w:val="808080"/>
    </w:rPr>
  </w:style>
  <w:style w:type="paragraph" w:customStyle="1" w:styleId="5E3858656CAF4B45AFAC963F38495D7D">
    <w:name w:val="5E3858656CAF4B45AFAC963F38495D7D"/>
    <w:rsid w:val="00B82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775D6-17C0-4771-B0F8-FB375718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1484</Words>
  <Characters>8460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</dc:creator>
  <cp:keywords/>
  <dc:description/>
  <cp:lastModifiedBy>Department of Agriculture</cp:lastModifiedBy>
  <cp:revision>2</cp:revision>
  <cp:lastPrinted>2017-03-29T01:10:00Z</cp:lastPrinted>
  <dcterms:created xsi:type="dcterms:W3CDTF">2017-03-31T05:51:00Z</dcterms:created>
  <dcterms:modified xsi:type="dcterms:W3CDTF">2017-03-31T05:51:00Z</dcterms:modified>
</cp:coreProperties>
</file>