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30" w:rsidRDefault="006C4A30" w:rsidP="006C4A30">
      <w:pPr>
        <w:pStyle w:val="ttCrest"/>
        <w:rPr>
          <w:sz w:val="19"/>
        </w:rPr>
      </w:pPr>
      <w:r>
        <w:rPr>
          <w:noProof/>
          <w:lang w:eastAsia="en-AU"/>
        </w:rPr>
        <w:drawing>
          <wp:inline distT="0" distB="0" distL="0" distR="0">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rsidR="00F81A21" w:rsidRDefault="00C730C7" w:rsidP="00F81A21">
      <w:pPr>
        <w:pStyle w:val="ShortT"/>
      </w:pPr>
      <w:r>
        <w:t xml:space="preserve">Biosecurity (Suspended Goods—Uncooked Prawns) Amendment </w:t>
      </w:r>
      <w:r w:rsidR="00C31F12" w:rsidRPr="00337460">
        <w:t>(</w:t>
      </w:r>
      <w:r w:rsidR="005B0A17">
        <w:t>Exceptions</w:t>
      </w:r>
      <w:r w:rsidR="00C31F12" w:rsidRPr="00337460">
        <w:t>)</w:t>
      </w:r>
      <w:r w:rsidR="005B0A17">
        <w:t xml:space="preserve"> </w:t>
      </w:r>
      <w:r>
        <w:t xml:space="preserve">Determination </w:t>
      </w:r>
      <w:r w:rsidR="004B69AA">
        <w:t xml:space="preserve">(No. </w:t>
      </w:r>
      <w:r w:rsidR="009F4274">
        <w:t>3</w:t>
      </w:r>
      <w:r w:rsidR="004B69AA">
        <w:t xml:space="preserve">) </w:t>
      </w:r>
      <w:r>
        <w:t>2017</w:t>
      </w:r>
    </w:p>
    <w:p w:rsidR="00F81A21" w:rsidRDefault="00F81A21" w:rsidP="00F81A21">
      <w:pPr>
        <w:pStyle w:val="SignCoverPageStart"/>
        <w:rPr>
          <w:szCs w:val="22"/>
        </w:rPr>
      </w:pPr>
      <w:r w:rsidRPr="002A0313">
        <w:rPr>
          <w:szCs w:val="22"/>
        </w:rPr>
        <w:t xml:space="preserve">I, </w:t>
      </w:r>
      <w:r w:rsidR="00C730C7">
        <w:rPr>
          <w:szCs w:val="22"/>
        </w:rPr>
        <w:t>Daryl Quinlivan, Director of Biosecurity, make the following determination.</w:t>
      </w:r>
    </w:p>
    <w:p w:rsidR="00F81A21" w:rsidRDefault="00F81A21" w:rsidP="00F81A21">
      <w:pPr>
        <w:keepNext/>
        <w:spacing w:before="300" w:line="240" w:lineRule="atLeast"/>
        <w:ind w:right="397"/>
        <w:jc w:val="both"/>
        <w:rPr>
          <w:szCs w:val="22"/>
        </w:rPr>
      </w:pPr>
      <w:r w:rsidRPr="002A0313">
        <w:rPr>
          <w:szCs w:val="22"/>
        </w:rPr>
        <w:t>Dated</w:t>
      </w:r>
      <w:r w:rsidRPr="002A0313">
        <w:rPr>
          <w:szCs w:val="22"/>
        </w:rPr>
        <w:tab/>
      </w:r>
      <w:r w:rsidRPr="002A0313">
        <w:rPr>
          <w:szCs w:val="22"/>
        </w:rPr>
        <w:tab/>
      </w:r>
      <w:r w:rsidRPr="002A0313">
        <w:rPr>
          <w:szCs w:val="22"/>
        </w:rPr>
        <w:tab/>
      </w:r>
      <w:r w:rsidRPr="002A0313">
        <w:rPr>
          <w:szCs w:val="22"/>
        </w:rPr>
        <w:tab/>
      </w:r>
      <w:bookmarkStart w:id="0" w:name="BKCheck15B_1"/>
      <w:bookmarkEnd w:id="0"/>
      <w:r w:rsidR="00F72F8C">
        <w:rPr>
          <w:szCs w:val="22"/>
        </w:rPr>
        <w:t>3</w:t>
      </w:r>
      <w:r w:rsidR="00C730C7">
        <w:rPr>
          <w:szCs w:val="22"/>
        </w:rPr>
        <w:t xml:space="preserve"> </w:t>
      </w:r>
      <w:r w:rsidR="001842ED">
        <w:rPr>
          <w:szCs w:val="22"/>
        </w:rPr>
        <w:t>April</w:t>
      </w:r>
      <w:r w:rsidR="00C730C7">
        <w:rPr>
          <w:szCs w:val="22"/>
        </w:rPr>
        <w:t xml:space="preserve"> 2017</w:t>
      </w:r>
    </w:p>
    <w:p w:rsidR="00F81A21" w:rsidRPr="002A0313" w:rsidRDefault="006A1B61" w:rsidP="009121A5">
      <w:pPr>
        <w:keepNext/>
        <w:tabs>
          <w:tab w:val="left" w:pos="3402"/>
        </w:tabs>
        <w:spacing w:before="1440" w:line="300" w:lineRule="atLeast"/>
        <w:ind w:right="397"/>
        <w:rPr>
          <w:szCs w:val="22"/>
        </w:rPr>
      </w:pPr>
      <w:r>
        <w:rPr>
          <w:szCs w:val="22"/>
        </w:rPr>
        <w:t>Daryl Quinlivan</w:t>
      </w:r>
      <w:bookmarkStart w:id="1" w:name="_GoBack"/>
      <w:bookmarkEnd w:id="1"/>
    </w:p>
    <w:p w:rsidR="00F81A21" w:rsidRPr="002A0313" w:rsidRDefault="00C730C7" w:rsidP="00F81A21">
      <w:pPr>
        <w:pStyle w:val="SignCoverPageEnd"/>
        <w:rPr>
          <w:szCs w:val="22"/>
        </w:rPr>
      </w:pPr>
      <w:r>
        <w:rPr>
          <w:szCs w:val="22"/>
        </w:rPr>
        <w:t>Director of Biosecurity</w:t>
      </w:r>
    </w:p>
    <w:p w:rsidR="00F47AAB" w:rsidRDefault="00F47AAB">
      <w:pPr>
        <w:spacing w:line="240" w:lineRule="auto"/>
      </w:pPr>
      <w:r>
        <w:br w:type="page"/>
      </w:r>
    </w:p>
    <w:p w:rsidR="00F47AAB" w:rsidRPr="002A0313" w:rsidRDefault="00F47AAB" w:rsidP="00F47AAB">
      <w:pPr>
        <w:rPr>
          <w:sz w:val="36"/>
        </w:rPr>
      </w:pPr>
      <w:r w:rsidRPr="002A0313">
        <w:rPr>
          <w:sz w:val="36"/>
        </w:rPr>
        <w:lastRenderedPageBreak/>
        <w:t>Contents</w:t>
      </w:r>
    </w:p>
    <w:bookmarkStart w:id="2" w:name="BKCheck15B_2"/>
    <w:bookmarkEnd w:id="2"/>
    <w:p w:rsidR="00BE0BEB" w:rsidRDefault="00BB0FE6">
      <w:pPr>
        <w:pStyle w:val="TOC5"/>
        <w:rPr>
          <w:rFonts w:asciiTheme="minorHAnsi" w:eastAsiaTheme="minorEastAsia" w:hAnsiTheme="minorHAnsi" w:cstheme="minorBidi"/>
          <w:noProof/>
          <w:kern w:val="0"/>
          <w:sz w:val="22"/>
          <w:szCs w:val="22"/>
        </w:rPr>
      </w:pPr>
      <w:r>
        <w:rPr>
          <w:b/>
          <w:sz w:val="24"/>
        </w:rPr>
        <w:fldChar w:fldCharType="begin"/>
      </w:r>
      <w:r w:rsidR="00CC1C01">
        <w:instrText xml:space="preserve"> TOC \o1-9 </w:instrText>
      </w:r>
      <w:r>
        <w:rPr>
          <w:b/>
          <w:sz w:val="24"/>
        </w:rPr>
        <w:fldChar w:fldCharType="separate"/>
      </w:r>
      <w:r w:rsidR="00BE0BEB">
        <w:rPr>
          <w:noProof/>
        </w:rPr>
        <w:t>1  Name</w:t>
      </w:r>
      <w:r w:rsidR="00BE0BEB">
        <w:rPr>
          <w:noProof/>
        </w:rPr>
        <w:tab/>
      </w:r>
      <w:r w:rsidR="00BE0BEB">
        <w:rPr>
          <w:noProof/>
        </w:rPr>
        <w:fldChar w:fldCharType="begin"/>
      </w:r>
      <w:r w:rsidR="00BE0BEB">
        <w:rPr>
          <w:noProof/>
        </w:rPr>
        <w:instrText xml:space="preserve"> PAGEREF _Toc478738311 \h </w:instrText>
      </w:r>
      <w:r w:rsidR="00BE0BEB">
        <w:rPr>
          <w:noProof/>
        </w:rPr>
      </w:r>
      <w:r w:rsidR="00BE0BEB">
        <w:rPr>
          <w:noProof/>
        </w:rPr>
        <w:fldChar w:fldCharType="separate"/>
      </w:r>
      <w:r w:rsidR="00BE0BEB">
        <w:rPr>
          <w:noProof/>
        </w:rPr>
        <w:t>3</w:t>
      </w:r>
      <w:r w:rsidR="00BE0BEB">
        <w:rPr>
          <w:noProof/>
        </w:rPr>
        <w:fldChar w:fldCharType="end"/>
      </w:r>
    </w:p>
    <w:p w:rsidR="00BE0BEB" w:rsidRDefault="00BE0BEB">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_Toc478738312 \h </w:instrText>
      </w:r>
      <w:r>
        <w:rPr>
          <w:noProof/>
        </w:rPr>
      </w:r>
      <w:r>
        <w:rPr>
          <w:noProof/>
        </w:rPr>
        <w:fldChar w:fldCharType="separate"/>
      </w:r>
      <w:r>
        <w:rPr>
          <w:noProof/>
        </w:rPr>
        <w:t>3</w:t>
      </w:r>
      <w:r>
        <w:rPr>
          <w:noProof/>
        </w:rPr>
        <w:fldChar w:fldCharType="end"/>
      </w:r>
    </w:p>
    <w:p w:rsidR="00BE0BEB" w:rsidRDefault="00BE0BEB">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_Toc478738313 \h </w:instrText>
      </w:r>
      <w:r>
        <w:rPr>
          <w:noProof/>
        </w:rPr>
      </w:r>
      <w:r>
        <w:rPr>
          <w:noProof/>
        </w:rPr>
        <w:fldChar w:fldCharType="separate"/>
      </w:r>
      <w:r>
        <w:rPr>
          <w:noProof/>
        </w:rPr>
        <w:t>3</w:t>
      </w:r>
      <w:r>
        <w:rPr>
          <w:noProof/>
        </w:rPr>
        <w:fldChar w:fldCharType="end"/>
      </w:r>
    </w:p>
    <w:p w:rsidR="00BE0BEB" w:rsidRDefault="00BE0BEB">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_Toc478738314 \h </w:instrText>
      </w:r>
      <w:r>
        <w:rPr>
          <w:noProof/>
        </w:rPr>
      </w:r>
      <w:r>
        <w:rPr>
          <w:noProof/>
        </w:rPr>
        <w:fldChar w:fldCharType="separate"/>
      </w:r>
      <w:r>
        <w:rPr>
          <w:noProof/>
        </w:rPr>
        <w:t>3</w:t>
      </w:r>
      <w:r>
        <w:rPr>
          <w:noProof/>
        </w:rPr>
        <w:fldChar w:fldCharType="end"/>
      </w:r>
    </w:p>
    <w:p w:rsidR="00BE0BEB" w:rsidRDefault="00BE0BEB">
      <w:pPr>
        <w:pStyle w:val="TOC5"/>
        <w:rPr>
          <w:rFonts w:asciiTheme="minorHAnsi" w:eastAsiaTheme="minorEastAsia" w:hAnsiTheme="minorHAnsi" w:cstheme="minorBidi"/>
          <w:noProof/>
          <w:kern w:val="0"/>
          <w:sz w:val="22"/>
          <w:szCs w:val="22"/>
        </w:rPr>
      </w:pPr>
      <w:r>
        <w:rPr>
          <w:noProof/>
        </w:rPr>
        <w:t>5  Reasons for making this determination</w:t>
      </w:r>
      <w:r>
        <w:rPr>
          <w:noProof/>
        </w:rPr>
        <w:tab/>
      </w:r>
      <w:r>
        <w:rPr>
          <w:noProof/>
        </w:rPr>
        <w:fldChar w:fldCharType="begin"/>
      </w:r>
      <w:r>
        <w:rPr>
          <w:noProof/>
        </w:rPr>
        <w:instrText xml:space="preserve"> PAGEREF _Toc478738315 \h </w:instrText>
      </w:r>
      <w:r>
        <w:rPr>
          <w:noProof/>
        </w:rPr>
      </w:r>
      <w:r>
        <w:rPr>
          <w:noProof/>
        </w:rPr>
        <w:fldChar w:fldCharType="separate"/>
      </w:r>
      <w:r>
        <w:rPr>
          <w:noProof/>
        </w:rPr>
        <w:t>4</w:t>
      </w:r>
      <w:r>
        <w:rPr>
          <w:noProof/>
        </w:rPr>
        <w:fldChar w:fldCharType="end"/>
      </w:r>
    </w:p>
    <w:p w:rsidR="00BE0BEB" w:rsidRDefault="00BE0BEB">
      <w:pPr>
        <w:pStyle w:val="TOC5"/>
        <w:rPr>
          <w:rFonts w:asciiTheme="minorHAnsi" w:eastAsiaTheme="minorEastAsia" w:hAnsiTheme="minorHAnsi" w:cstheme="minorBidi"/>
          <w:noProof/>
          <w:kern w:val="0"/>
          <w:sz w:val="22"/>
          <w:szCs w:val="22"/>
        </w:rPr>
      </w:pPr>
      <w:r>
        <w:rPr>
          <w:noProof/>
        </w:rPr>
        <w:t>6  Schedules</w:t>
      </w:r>
      <w:r>
        <w:rPr>
          <w:noProof/>
        </w:rPr>
        <w:tab/>
      </w:r>
      <w:r>
        <w:rPr>
          <w:noProof/>
        </w:rPr>
        <w:fldChar w:fldCharType="begin"/>
      </w:r>
      <w:r>
        <w:rPr>
          <w:noProof/>
        </w:rPr>
        <w:instrText xml:space="preserve"> PAGEREF _Toc478738316 \h </w:instrText>
      </w:r>
      <w:r>
        <w:rPr>
          <w:noProof/>
        </w:rPr>
      </w:r>
      <w:r>
        <w:rPr>
          <w:noProof/>
        </w:rPr>
        <w:fldChar w:fldCharType="separate"/>
      </w:r>
      <w:r>
        <w:rPr>
          <w:noProof/>
        </w:rPr>
        <w:t>4</w:t>
      </w:r>
      <w:r>
        <w:rPr>
          <w:noProof/>
        </w:rPr>
        <w:fldChar w:fldCharType="end"/>
      </w:r>
    </w:p>
    <w:p w:rsidR="00BE0BEB" w:rsidRDefault="00BE0BEB">
      <w:pPr>
        <w:pStyle w:val="TOC1"/>
        <w:rPr>
          <w:rFonts w:asciiTheme="minorHAnsi" w:eastAsiaTheme="minorEastAsia" w:hAnsiTheme="minorHAnsi" w:cstheme="minorBidi"/>
          <w:b w:val="0"/>
          <w:noProof/>
          <w:kern w:val="0"/>
          <w:sz w:val="22"/>
          <w:szCs w:val="22"/>
        </w:rPr>
      </w:pPr>
      <w:r>
        <w:rPr>
          <w:noProof/>
        </w:rPr>
        <w:t>Schedule 1—Amendments commencing on the day after registration</w:t>
      </w:r>
      <w:r>
        <w:rPr>
          <w:noProof/>
        </w:rPr>
        <w:tab/>
      </w:r>
      <w:r>
        <w:rPr>
          <w:noProof/>
        </w:rPr>
        <w:fldChar w:fldCharType="begin"/>
      </w:r>
      <w:r>
        <w:rPr>
          <w:noProof/>
        </w:rPr>
        <w:instrText xml:space="preserve"> PAGEREF _Toc478738317 \h </w:instrText>
      </w:r>
      <w:r>
        <w:rPr>
          <w:noProof/>
        </w:rPr>
      </w:r>
      <w:r>
        <w:rPr>
          <w:noProof/>
        </w:rPr>
        <w:fldChar w:fldCharType="separate"/>
      </w:r>
      <w:r>
        <w:rPr>
          <w:noProof/>
        </w:rPr>
        <w:t>5</w:t>
      </w:r>
      <w:r>
        <w:rPr>
          <w:noProof/>
        </w:rPr>
        <w:fldChar w:fldCharType="end"/>
      </w:r>
    </w:p>
    <w:p w:rsidR="00BE0BEB" w:rsidRDefault="00BE0BEB">
      <w:pPr>
        <w:pStyle w:val="TOC9"/>
        <w:rPr>
          <w:rFonts w:asciiTheme="minorHAnsi" w:eastAsiaTheme="minorEastAsia" w:hAnsiTheme="minorHAnsi" w:cstheme="minorBidi"/>
          <w:i w:val="0"/>
          <w:noProof/>
          <w:kern w:val="0"/>
          <w:sz w:val="22"/>
          <w:szCs w:val="22"/>
        </w:rPr>
      </w:pPr>
      <w:r>
        <w:rPr>
          <w:noProof/>
        </w:rPr>
        <w:t>Biosecurity (Suspended Goods – Uncooked Prawns) Determination 2017</w:t>
      </w:r>
      <w:r>
        <w:rPr>
          <w:noProof/>
        </w:rPr>
        <w:tab/>
      </w:r>
      <w:r>
        <w:rPr>
          <w:noProof/>
        </w:rPr>
        <w:fldChar w:fldCharType="begin"/>
      </w:r>
      <w:r>
        <w:rPr>
          <w:noProof/>
        </w:rPr>
        <w:instrText xml:space="preserve"> PAGEREF _Toc478738318 \h </w:instrText>
      </w:r>
      <w:r>
        <w:rPr>
          <w:noProof/>
        </w:rPr>
      </w:r>
      <w:r>
        <w:rPr>
          <w:noProof/>
        </w:rPr>
        <w:fldChar w:fldCharType="separate"/>
      </w:r>
      <w:r>
        <w:rPr>
          <w:noProof/>
        </w:rPr>
        <w:t>5</w:t>
      </w:r>
      <w:r>
        <w:rPr>
          <w:noProof/>
        </w:rPr>
        <w:fldChar w:fldCharType="end"/>
      </w:r>
    </w:p>
    <w:p w:rsidR="00BE0BEB" w:rsidRDefault="00BE0BEB">
      <w:pPr>
        <w:pStyle w:val="TOC1"/>
        <w:rPr>
          <w:rFonts w:asciiTheme="minorHAnsi" w:eastAsiaTheme="minorEastAsia" w:hAnsiTheme="minorHAnsi" w:cstheme="minorBidi"/>
          <w:b w:val="0"/>
          <w:noProof/>
          <w:kern w:val="0"/>
          <w:sz w:val="22"/>
          <w:szCs w:val="22"/>
        </w:rPr>
      </w:pPr>
      <w:r>
        <w:rPr>
          <w:noProof/>
        </w:rPr>
        <w:t>Schedule 2—Amendments commencing 4 weeks after registration</w:t>
      </w:r>
      <w:r>
        <w:rPr>
          <w:noProof/>
        </w:rPr>
        <w:tab/>
      </w:r>
      <w:r>
        <w:rPr>
          <w:noProof/>
        </w:rPr>
        <w:fldChar w:fldCharType="begin"/>
      </w:r>
      <w:r>
        <w:rPr>
          <w:noProof/>
        </w:rPr>
        <w:instrText xml:space="preserve"> PAGEREF _Toc478738319 \h </w:instrText>
      </w:r>
      <w:r>
        <w:rPr>
          <w:noProof/>
        </w:rPr>
      </w:r>
      <w:r>
        <w:rPr>
          <w:noProof/>
        </w:rPr>
        <w:fldChar w:fldCharType="separate"/>
      </w:r>
      <w:r>
        <w:rPr>
          <w:noProof/>
        </w:rPr>
        <w:t>6</w:t>
      </w:r>
      <w:r>
        <w:rPr>
          <w:noProof/>
        </w:rPr>
        <w:fldChar w:fldCharType="end"/>
      </w:r>
    </w:p>
    <w:p w:rsidR="00BE0BEB" w:rsidRDefault="00BE0BEB">
      <w:pPr>
        <w:pStyle w:val="TOC9"/>
        <w:rPr>
          <w:rFonts w:asciiTheme="minorHAnsi" w:eastAsiaTheme="minorEastAsia" w:hAnsiTheme="minorHAnsi" w:cstheme="minorBidi"/>
          <w:i w:val="0"/>
          <w:noProof/>
          <w:kern w:val="0"/>
          <w:sz w:val="22"/>
          <w:szCs w:val="22"/>
        </w:rPr>
      </w:pPr>
      <w:r>
        <w:rPr>
          <w:noProof/>
        </w:rPr>
        <w:t>Biosecurity (Suspended Goods – Uncooked Prawns) Determination 2017</w:t>
      </w:r>
      <w:r>
        <w:rPr>
          <w:noProof/>
        </w:rPr>
        <w:tab/>
      </w:r>
      <w:r>
        <w:rPr>
          <w:noProof/>
        </w:rPr>
        <w:fldChar w:fldCharType="begin"/>
      </w:r>
      <w:r>
        <w:rPr>
          <w:noProof/>
        </w:rPr>
        <w:instrText xml:space="preserve"> PAGEREF _Toc478738320 \h </w:instrText>
      </w:r>
      <w:r>
        <w:rPr>
          <w:noProof/>
        </w:rPr>
      </w:r>
      <w:r>
        <w:rPr>
          <w:noProof/>
        </w:rPr>
        <w:fldChar w:fldCharType="separate"/>
      </w:r>
      <w:r>
        <w:rPr>
          <w:noProof/>
        </w:rPr>
        <w:t>6</w:t>
      </w:r>
      <w:r>
        <w:rPr>
          <w:noProof/>
        </w:rPr>
        <w:fldChar w:fldCharType="end"/>
      </w:r>
    </w:p>
    <w:p w:rsidR="00BE0BEB" w:rsidRDefault="00BE0BEB">
      <w:pPr>
        <w:pStyle w:val="TOC1"/>
        <w:rPr>
          <w:rFonts w:asciiTheme="minorHAnsi" w:eastAsiaTheme="minorEastAsia" w:hAnsiTheme="minorHAnsi" w:cstheme="minorBidi"/>
          <w:b w:val="0"/>
          <w:noProof/>
          <w:kern w:val="0"/>
          <w:sz w:val="22"/>
          <w:szCs w:val="22"/>
        </w:rPr>
      </w:pPr>
      <w:r>
        <w:rPr>
          <w:noProof/>
        </w:rPr>
        <w:t>Schedule 3—Reasons—reasons for the amendments set out in Schedule 1</w:t>
      </w:r>
      <w:r>
        <w:rPr>
          <w:noProof/>
        </w:rPr>
        <w:tab/>
      </w:r>
      <w:r>
        <w:rPr>
          <w:noProof/>
        </w:rPr>
        <w:fldChar w:fldCharType="begin"/>
      </w:r>
      <w:r>
        <w:rPr>
          <w:noProof/>
        </w:rPr>
        <w:instrText xml:space="preserve"> PAGEREF _Toc478738321 \h </w:instrText>
      </w:r>
      <w:r>
        <w:rPr>
          <w:noProof/>
        </w:rPr>
      </w:r>
      <w:r>
        <w:rPr>
          <w:noProof/>
        </w:rPr>
        <w:fldChar w:fldCharType="separate"/>
      </w:r>
      <w:r>
        <w:rPr>
          <w:noProof/>
        </w:rPr>
        <w:t>8</w:t>
      </w:r>
      <w:r>
        <w:rPr>
          <w:noProof/>
        </w:rPr>
        <w:fldChar w:fldCharType="end"/>
      </w:r>
    </w:p>
    <w:p w:rsidR="00BE0BEB" w:rsidRDefault="00BE0BEB">
      <w:pPr>
        <w:pStyle w:val="TOC1"/>
        <w:rPr>
          <w:rFonts w:asciiTheme="minorHAnsi" w:eastAsiaTheme="minorEastAsia" w:hAnsiTheme="minorHAnsi" w:cstheme="minorBidi"/>
          <w:b w:val="0"/>
          <w:noProof/>
          <w:kern w:val="0"/>
          <w:sz w:val="22"/>
          <w:szCs w:val="22"/>
        </w:rPr>
      </w:pPr>
      <w:r>
        <w:rPr>
          <w:noProof/>
        </w:rPr>
        <w:t>Schedule 4—Reasons—Australian wild-caught prawns processed overseas and re</w:t>
      </w:r>
      <w:r>
        <w:rPr>
          <w:noProof/>
        </w:rPr>
        <w:noBreakHyphen/>
        <w:t>exported to Australia</w:t>
      </w:r>
      <w:r>
        <w:rPr>
          <w:noProof/>
        </w:rPr>
        <w:tab/>
      </w:r>
      <w:r>
        <w:rPr>
          <w:noProof/>
        </w:rPr>
        <w:fldChar w:fldCharType="begin"/>
      </w:r>
      <w:r>
        <w:rPr>
          <w:noProof/>
        </w:rPr>
        <w:instrText xml:space="preserve"> PAGEREF _Toc478738322 \h </w:instrText>
      </w:r>
      <w:r>
        <w:rPr>
          <w:noProof/>
        </w:rPr>
      </w:r>
      <w:r>
        <w:rPr>
          <w:noProof/>
        </w:rPr>
        <w:fldChar w:fldCharType="separate"/>
      </w:r>
      <w:r>
        <w:rPr>
          <w:noProof/>
        </w:rPr>
        <w:t>9</w:t>
      </w:r>
      <w:r>
        <w:rPr>
          <w:noProof/>
        </w:rPr>
        <w:fldChar w:fldCharType="end"/>
      </w:r>
    </w:p>
    <w:p w:rsidR="00536929" w:rsidRDefault="00BB0FE6" w:rsidP="00536929">
      <w:pPr>
        <w:spacing w:line="240" w:lineRule="auto"/>
      </w:pPr>
      <w:r>
        <w:fldChar w:fldCharType="end"/>
      </w:r>
      <w:r w:rsidR="00536929">
        <w:br w:type="page"/>
      </w:r>
    </w:p>
    <w:p w:rsidR="00F47AAB" w:rsidRPr="002A0313" w:rsidRDefault="00451C1C" w:rsidP="00AD7BE4">
      <w:pPr>
        <w:pStyle w:val="h5Section"/>
      </w:pPr>
      <w:bookmarkStart w:id="3" w:name="_Toc405889305"/>
      <w:bookmarkStart w:id="4" w:name="_Toc478738311"/>
      <w:r>
        <w:lastRenderedPageBreak/>
        <w:t>1</w:t>
      </w:r>
      <w:r w:rsidR="00AD7BE4">
        <w:t xml:space="preserve"> </w:t>
      </w:r>
      <w:r w:rsidR="004040B2">
        <w:t xml:space="preserve"> </w:t>
      </w:r>
      <w:r w:rsidR="00F47AAB" w:rsidRPr="002A0313">
        <w:t>Name</w:t>
      </w:r>
      <w:bookmarkEnd w:id="3"/>
      <w:bookmarkEnd w:id="4"/>
    </w:p>
    <w:p w:rsidR="00F47AAB" w:rsidRDefault="00F47AAB" w:rsidP="00F47AAB">
      <w:pPr>
        <w:pStyle w:val="tMain"/>
      </w:pPr>
      <w:r w:rsidRPr="002A0313">
        <w:tab/>
      </w:r>
      <w:r w:rsidRPr="002A0313">
        <w:tab/>
        <w:t xml:space="preserve">This is the </w:t>
      </w:r>
      <w:bookmarkStart w:id="5" w:name="BKCheck15B_3"/>
      <w:bookmarkEnd w:id="5"/>
      <w:r w:rsidR="00297081">
        <w:rPr>
          <w:i/>
          <w:noProof/>
        </w:rPr>
        <w:t>Biosecurity (Suspended Goods—Uncooked Prawns) Amendment (Exceptions) Determination (No. 3) 2017</w:t>
      </w:r>
      <w:r w:rsidRPr="002A0313">
        <w:t>.</w:t>
      </w:r>
    </w:p>
    <w:p w:rsidR="00AD7BE4" w:rsidRDefault="00451C1C" w:rsidP="00AD7BE4">
      <w:pPr>
        <w:pStyle w:val="h5Section"/>
      </w:pPr>
      <w:bookmarkStart w:id="6" w:name="_Toc405889306"/>
      <w:bookmarkStart w:id="7" w:name="_Toc478738312"/>
      <w:r>
        <w:t>2</w:t>
      </w:r>
      <w:r w:rsidR="00AD7BE4">
        <w:t xml:space="preserve">  </w:t>
      </w:r>
      <w:r w:rsidR="00AD7BE4" w:rsidRPr="002A0313">
        <w:t>Commencement</w:t>
      </w:r>
      <w:bookmarkEnd w:id="6"/>
      <w:bookmarkEnd w:id="7"/>
    </w:p>
    <w:p w:rsidR="000610BE" w:rsidRPr="009B733C" w:rsidRDefault="000610BE" w:rsidP="000610BE">
      <w:pPr>
        <w:pStyle w:val="tMain"/>
      </w:pPr>
      <w:r>
        <w:tab/>
      </w:r>
      <w:r w:rsidR="00451C1C">
        <w:t>(1)</w:t>
      </w:r>
      <w:r>
        <w:tab/>
      </w:r>
      <w:r w:rsidRPr="009B733C">
        <w:t>Each provision of this instrument specified in column 1 of the table commences, or is taken to have commenced, in accordance with column 2 of the table. Any other statement in column 2 has effect according to its terms.</w:t>
      </w:r>
    </w:p>
    <w:p w:rsidR="000610BE" w:rsidRPr="009B733C" w:rsidRDefault="000610BE" w:rsidP="000610BE">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210"/>
        <w:gridCol w:w="4975"/>
        <w:gridCol w:w="2055"/>
      </w:tblGrid>
      <w:tr w:rsidR="000610BE" w:rsidRPr="009B733C" w:rsidTr="00BC7492">
        <w:trPr>
          <w:tblHeader/>
        </w:trPr>
        <w:tc>
          <w:tcPr>
            <w:tcW w:w="5000" w:type="pct"/>
            <w:gridSpan w:val="3"/>
            <w:tcBorders>
              <w:top w:val="single" w:sz="12" w:space="0" w:color="auto"/>
              <w:bottom w:val="single" w:sz="2" w:space="0" w:color="auto"/>
            </w:tcBorders>
            <w:shd w:val="clear" w:color="auto" w:fill="auto"/>
            <w:hideMark/>
          </w:tcPr>
          <w:p w:rsidR="000610BE" w:rsidRPr="009B733C" w:rsidRDefault="000610BE" w:rsidP="00BC7492">
            <w:pPr>
              <w:pStyle w:val="TableHeading"/>
            </w:pPr>
            <w:r w:rsidRPr="009B733C">
              <w:t>Commencement information</w:t>
            </w:r>
          </w:p>
        </w:tc>
      </w:tr>
      <w:tr w:rsidR="000610BE" w:rsidRPr="009B733C" w:rsidTr="00BC7492">
        <w:trPr>
          <w:tblHeader/>
        </w:trPr>
        <w:tc>
          <w:tcPr>
            <w:tcW w:w="1196" w:type="pct"/>
            <w:tcBorders>
              <w:top w:val="single" w:sz="2" w:space="0" w:color="auto"/>
              <w:bottom w:val="single" w:sz="2" w:space="0" w:color="auto"/>
            </w:tcBorders>
            <w:shd w:val="clear" w:color="auto" w:fill="auto"/>
            <w:hideMark/>
          </w:tcPr>
          <w:p w:rsidR="000610BE" w:rsidRPr="009B733C" w:rsidRDefault="000610BE" w:rsidP="00BC7492">
            <w:pPr>
              <w:pStyle w:val="TableHeading"/>
            </w:pPr>
            <w:r w:rsidRPr="009B733C">
              <w:t>Column 1</w:t>
            </w:r>
          </w:p>
        </w:tc>
        <w:tc>
          <w:tcPr>
            <w:tcW w:w="2692" w:type="pct"/>
            <w:tcBorders>
              <w:top w:val="single" w:sz="2" w:space="0" w:color="auto"/>
              <w:bottom w:val="single" w:sz="2" w:space="0" w:color="auto"/>
            </w:tcBorders>
            <w:shd w:val="clear" w:color="auto" w:fill="auto"/>
            <w:hideMark/>
          </w:tcPr>
          <w:p w:rsidR="000610BE" w:rsidRPr="009B733C" w:rsidRDefault="000610BE" w:rsidP="00BC7492">
            <w:pPr>
              <w:pStyle w:val="TableHeading"/>
            </w:pPr>
            <w:r w:rsidRPr="009B733C">
              <w:t>Column 2</w:t>
            </w:r>
          </w:p>
        </w:tc>
        <w:tc>
          <w:tcPr>
            <w:tcW w:w="1112" w:type="pct"/>
            <w:tcBorders>
              <w:top w:val="single" w:sz="2" w:space="0" w:color="auto"/>
              <w:bottom w:val="single" w:sz="2" w:space="0" w:color="auto"/>
            </w:tcBorders>
            <w:shd w:val="clear" w:color="auto" w:fill="auto"/>
            <w:hideMark/>
          </w:tcPr>
          <w:p w:rsidR="000610BE" w:rsidRPr="009B733C" w:rsidRDefault="000610BE" w:rsidP="00BC7492">
            <w:pPr>
              <w:pStyle w:val="TableHeading"/>
            </w:pPr>
            <w:r w:rsidRPr="009B733C">
              <w:t>Column 3</w:t>
            </w:r>
          </w:p>
        </w:tc>
      </w:tr>
      <w:tr w:rsidR="000610BE" w:rsidRPr="009B733C" w:rsidTr="00185492">
        <w:trPr>
          <w:tblHeader/>
        </w:trPr>
        <w:tc>
          <w:tcPr>
            <w:tcW w:w="1196" w:type="pct"/>
            <w:tcBorders>
              <w:top w:val="single" w:sz="2" w:space="0" w:color="auto"/>
              <w:bottom w:val="single" w:sz="12" w:space="0" w:color="auto"/>
            </w:tcBorders>
            <w:shd w:val="clear" w:color="auto" w:fill="auto"/>
            <w:hideMark/>
          </w:tcPr>
          <w:p w:rsidR="000610BE" w:rsidRPr="009B733C" w:rsidRDefault="000610BE" w:rsidP="00BC7492">
            <w:pPr>
              <w:pStyle w:val="TableHeading"/>
            </w:pPr>
            <w:r w:rsidRPr="009B733C">
              <w:t>Provisions</w:t>
            </w:r>
          </w:p>
        </w:tc>
        <w:tc>
          <w:tcPr>
            <w:tcW w:w="2692" w:type="pct"/>
            <w:tcBorders>
              <w:top w:val="single" w:sz="2" w:space="0" w:color="auto"/>
              <w:bottom w:val="single" w:sz="12" w:space="0" w:color="auto"/>
            </w:tcBorders>
            <w:shd w:val="clear" w:color="auto" w:fill="auto"/>
            <w:hideMark/>
          </w:tcPr>
          <w:p w:rsidR="000610BE" w:rsidRPr="009B733C" w:rsidRDefault="000610BE" w:rsidP="00BC7492">
            <w:pPr>
              <w:pStyle w:val="TableHeading"/>
            </w:pPr>
            <w:r w:rsidRPr="009B733C">
              <w:t>Commencement</w:t>
            </w:r>
          </w:p>
        </w:tc>
        <w:tc>
          <w:tcPr>
            <w:tcW w:w="1112" w:type="pct"/>
            <w:tcBorders>
              <w:top w:val="single" w:sz="2" w:space="0" w:color="auto"/>
              <w:bottom w:val="single" w:sz="12" w:space="0" w:color="auto"/>
            </w:tcBorders>
            <w:shd w:val="clear" w:color="auto" w:fill="auto"/>
            <w:hideMark/>
          </w:tcPr>
          <w:p w:rsidR="000610BE" w:rsidRPr="009B733C" w:rsidRDefault="000610BE" w:rsidP="00BC7492">
            <w:pPr>
              <w:pStyle w:val="TableHeading"/>
            </w:pPr>
            <w:r w:rsidRPr="009B733C">
              <w:t>Date/Details</w:t>
            </w:r>
          </w:p>
        </w:tc>
      </w:tr>
      <w:tr w:rsidR="000610BE" w:rsidRPr="009B733C" w:rsidTr="00FA56E7">
        <w:tc>
          <w:tcPr>
            <w:tcW w:w="1196" w:type="pct"/>
            <w:tcBorders>
              <w:top w:val="single" w:sz="12" w:space="0" w:color="auto"/>
              <w:bottom w:val="single" w:sz="4" w:space="0" w:color="auto"/>
            </w:tcBorders>
            <w:shd w:val="clear" w:color="auto" w:fill="auto"/>
            <w:hideMark/>
          </w:tcPr>
          <w:p w:rsidR="000610BE" w:rsidRPr="007F69C7" w:rsidRDefault="000610BE" w:rsidP="00FA56E7">
            <w:pPr>
              <w:pStyle w:val="Tabletext"/>
            </w:pPr>
            <w:r w:rsidRPr="007F69C7">
              <w:t xml:space="preserve">1.  </w:t>
            </w:r>
            <w:r w:rsidR="00185492" w:rsidRPr="00185492">
              <w:t xml:space="preserve">Sections 1 to </w:t>
            </w:r>
            <w:r w:rsidR="00297081">
              <w:t>6</w:t>
            </w:r>
            <w:r w:rsidR="00185492" w:rsidRPr="00185492">
              <w:t xml:space="preserve"> and anything in this </w:t>
            </w:r>
            <w:r w:rsidR="00185492">
              <w:t>instrument</w:t>
            </w:r>
            <w:r w:rsidR="00185492" w:rsidRPr="00185492">
              <w:t xml:space="preserve"> not elsewhere covered by this table</w:t>
            </w:r>
          </w:p>
        </w:tc>
        <w:tc>
          <w:tcPr>
            <w:tcW w:w="2692" w:type="pct"/>
            <w:tcBorders>
              <w:top w:val="single" w:sz="12" w:space="0" w:color="auto"/>
              <w:bottom w:val="single" w:sz="4" w:space="0" w:color="auto"/>
            </w:tcBorders>
            <w:shd w:val="clear" w:color="auto" w:fill="auto"/>
            <w:hideMark/>
          </w:tcPr>
          <w:p w:rsidR="000610BE" w:rsidRPr="007F69C7" w:rsidRDefault="00C13B9D" w:rsidP="00BC7492">
            <w:pPr>
              <w:pStyle w:val="Tabletext"/>
            </w:pPr>
            <w:r>
              <w:t>T</w:t>
            </w:r>
            <w:r w:rsidR="00E160DB">
              <w:t>he day after this instrument is registered</w:t>
            </w:r>
            <w:r>
              <w:t>.</w:t>
            </w:r>
          </w:p>
        </w:tc>
        <w:tc>
          <w:tcPr>
            <w:tcW w:w="1112" w:type="pct"/>
            <w:tcBorders>
              <w:top w:val="single" w:sz="12" w:space="0" w:color="auto"/>
              <w:bottom w:val="single" w:sz="4" w:space="0" w:color="auto"/>
            </w:tcBorders>
            <w:shd w:val="clear" w:color="auto" w:fill="auto"/>
          </w:tcPr>
          <w:p w:rsidR="000610BE" w:rsidRPr="009B733C" w:rsidRDefault="000610BE" w:rsidP="00BC7492">
            <w:pPr>
              <w:pStyle w:val="Tabletext"/>
            </w:pPr>
          </w:p>
        </w:tc>
      </w:tr>
      <w:tr w:rsidR="00185492" w:rsidRPr="009B733C" w:rsidTr="0073244F">
        <w:tc>
          <w:tcPr>
            <w:tcW w:w="1196" w:type="pct"/>
            <w:tcBorders>
              <w:top w:val="single" w:sz="4" w:space="0" w:color="auto"/>
              <w:bottom w:val="single" w:sz="4" w:space="0" w:color="auto"/>
            </w:tcBorders>
            <w:shd w:val="clear" w:color="auto" w:fill="auto"/>
          </w:tcPr>
          <w:p w:rsidR="00185492" w:rsidRPr="007F69C7" w:rsidRDefault="00185492" w:rsidP="0073244F">
            <w:pPr>
              <w:pStyle w:val="Tabletext"/>
            </w:pPr>
            <w:r>
              <w:t>2.  Schedule 1</w:t>
            </w:r>
          </w:p>
        </w:tc>
        <w:tc>
          <w:tcPr>
            <w:tcW w:w="2692" w:type="pct"/>
            <w:tcBorders>
              <w:top w:val="single" w:sz="4" w:space="0" w:color="auto"/>
              <w:bottom w:val="single" w:sz="4" w:space="0" w:color="auto"/>
            </w:tcBorders>
            <w:shd w:val="clear" w:color="auto" w:fill="auto"/>
          </w:tcPr>
          <w:p w:rsidR="00185492" w:rsidRPr="007F69C7" w:rsidRDefault="00C13B9D" w:rsidP="0073244F">
            <w:pPr>
              <w:pStyle w:val="Tabletext"/>
            </w:pPr>
            <w:r>
              <w:t>The day after this instrument is registered.</w:t>
            </w:r>
          </w:p>
        </w:tc>
        <w:tc>
          <w:tcPr>
            <w:tcW w:w="1112" w:type="pct"/>
            <w:tcBorders>
              <w:top w:val="single" w:sz="4" w:space="0" w:color="auto"/>
              <w:bottom w:val="single" w:sz="4" w:space="0" w:color="auto"/>
            </w:tcBorders>
            <w:shd w:val="clear" w:color="auto" w:fill="auto"/>
          </w:tcPr>
          <w:p w:rsidR="00185492" w:rsidRPr="009B733C" w:rsidRDefault="00185492" w:rsidP="00BC7492">
            <w:pPr>
              <w:pStyle w:val="Tabletext"/>
            </w:pPr>
          </w:p>
        </w:tc>
      </w:tr>
      <w:tr w:rsidR="0073244F" w:rsidRPr="009B733C" w:rsidTr="0073244F">
        <w:tc>
          <w:tcPr>
            <w:tcW w:w="1196" w:type="pct"/>
            <w:tcBorders>
              <w:top w:val="single" w:sz="4" w:space="0" w:color="auto"/>
              <w:bottom w:val="single" w:sz="4" w:space="0" w:color="auto"/>
            </w:tcBorders>
            <w:shd w:val="clear" w:color="auto" w:fill="auto"/>
          </w:tcPr>
          <w:p w:rsidR="0073244F" w:rsidRPr="007F69C7" w:rsidRDefault="00E12F4F" w:rsidP="00E12F4F">
            <w:pPr>
              <w:pStyle w:val="Tabletext"/>
            </w:pPr>
            <w:r>
              <w:t>3.  Schedule 2</w:t>
            </w:r>
          </w:p>
        </w:tc>
        <w:tc>
          <w:tcPr>
            <w:tcW w:w="2692" w:type="pct"/>
            <w:tcBorders>
              <w:top w:val="single" w:sz="4" w:space="0" w:color="auto"/>
              <w:bottom w:val="single" w:sz="4" w:space="0" w:color="auto"/>
            </w:tcBorders>
            <w:shd w:val="clear" w:color="auto" w:fill="auto"/>
          </w:tcPr>
          <w:p w:rsidR="0073244F" w:rsidRPr="007F69C7" w:rsidRDefault="0073244F" w:rsidP="0073244F">
            <w:pPr>
              <w:pStyle w:val="Tabletext"/>
            </w:pPr>
            <w:r>
              <w:t>The day after the end of the period of 4 weeks beginning on the day this instrument is registered.</w:t>
            </w:r>
          </w:p>
        </w:tc>
        <w:tc>
          <w:tcPr>
            <w:tcW w:w="1112" w:type="pct"/>
            <w:tcBorders>
              <w:top w:val="single" w:sz="4" w:space="0" w:color="auto"/>
              <w:bottom w:val="single" w:sz="4" w:space="0" w:color="auto"/>
            </w:tcBorders>
            <w:shd w:val="clear" w:color="auto" w:fill="auto"/>
          </w:tcPr>
          <w:p w:rsidR="0073244F" w:rsidRPr="009B733C" w:rsidRDefault="0073244F" w:rsidP="0073244F">
            <w:pPr>
              <w:pStyle w:val="Tabletext"/>
            </w:pPr>
          </w:p>
        </w:tc>
      </w:tr>
      <w:tr w:rsidR="00C25764" w:rsidRPr="009B733C" w:rsidTr="00FA56E7">
        <w:tc>
          <w:tcPr>
            <w:tcW w:w="1196" w:type="pct"/>
            <w:tcBorders>
              <w:top w:val="single" w:sz="4" w:space="0" w:color="auto"/>
              <w:bottom w:val="single" w:sz="12" w:space="0" w:color="auto"/>
            </w:tcBorders>
            <w:shd w:val="clear" w:color="auto" w:fill="auto"/>
          </w:tcPr>
          <w:p w:rsidR="00C25764" w:rsidRPr="00E12F4F" w:rsidRDefault="00C25764" w:rsidP="00C47626">
            <w:pPr>
              <w:pStyle w:val="Tabletext"/>
            </w:pPr>
            <w:r w:rsidRPr="00E12F4F">
              <w:t>4.  Schedule</w:t>
            </w:r>
            <w:r w:rsidR="00C47626">
              <w:t>s</w:t>
            </w:r>
            <w:r>
              <w:t xml:space="preserve"> 3</w:t>
            </w:r>
            <w:r w:rsidR="00C47626">
              <w:t xml:space="preserve"> and 4</w:t>
            </w:r>
          </w:p>
        </w:tc>
        <w:tc>
          <w:tcPr>
            <w:tcW w:w="2692" w:type="pct"/>
            <w:tcBorders>
              <w:top w:val="single" w:sz="4" w:space="0" w:color="auto"/>
              <w:bottom w:val="single" w:sz="12" w:space="0" w:color="auto"/>
            </w:tcBorders>
            <w:shd w:val="clear" w:color="auto" w:fill="auto"/>
          </w:tcPr>
          <w:p w:rsidR="00C25764" w:rsidRPr="00E12F4F" w:rsidRDefault="00C25764" w:rsidP="00C25764">
            <w:pPr>
              <w:pStyle w:val="Tabletext"/>
            </w:pPr>
            <w:r w:rsidRPr="00E12F4F">
              <w:t>The day after this instrument is registered.</w:t>
            </w:r>
          </w:p>
        </w:tc>
        <w:tc>
          <w:tcPr>
            <w:tcW w:w="1112" w:type="pct"/>
            <w:tcBorders>
              <w:top w:val="single" w:sz="4" w:space="0" w:color="auto"/>
              <w:bottom w:val="single" w:sz="12" w:space="0" w:color="auto"/>
            </w:tcBorders>
            <w:shd w:val="clear" w:color="auto" w:fill="auto"/>
          </w:tcPr>
          <w:p w:rsidR="00C25764" w:rsidRPr="009B733C" w:rsidRDefault="00C25764" w:rsidP="00C25764">
            <w:pPr>
              <w:pStyle w:val="Tabletext"/>
            </w:pPr>
          </w:p>
        </w:tc>
      </w:tr>
    </w:tbl>
    <w:p w:rsidR="000610BE" w:rsidRPr="009B733C" w:rsidRDefault="000610BE" w:rsidP="000610BE">
      <w:pPr>
        <w:pStyle w:val="nMain"/>
      </w:pPr>
      <w:r w:rsidRPr="009B733C">
        <w:rPr>
          <w:snapToGrid w:val="0"/>
          <w:lang w:eastAsia="en-US"/>
        </w:rPr>
        <w:t>Note:</w:t>
      </w:r>
      <w:r w:rsidRPr="009B733C">
        <w:rPr>
          <w:snapToGrid w:val="0"/>
          <w:lang w:eastAsia="en-US"/>
        </w:rPr>
        <w:tab/>
        <w:t xml:space="preserve">This table relates only to the provisions of this </w:t>
      </w:r>
      <w:r w:rsidRPr="009B733C">
        <w:t xml:space="preserve">instrument </w:t>
      </w:r>
      <w:r w:rsidRPr="009B733C">
        <w:rPr>
          <w:snapToGrid w:val="0"/>
          <w:lang w:eastAsia="en-US"/>
        </w:rPr>
        <w:t xml:space="preserve">as originally made. It will not be amended to deal with any later amendments of this </w:t>
      </w:r>
      <w:r w:rsidRPr="009B733C">
        <w:t>instrument</w:t>
      </w:r>
      <w:r w:rsidRPr="009B733C">
        <w:rPr>
          <w:snapToGrid w:val="0"/>
          <w:lang w:eastAsia="en-US"/>
        </w:rPr>
        <w:t>.</w:t>
      </w:r>
    </w:p>
    <w:p w:rsidR="000610BE" w:rsidRPr="009B733C" w:rsidRDefault="000610BE" w:rsidP="000610BE">
      <w:pPr>
        <w:pStyle w:val="tMain"/>
      </w:pPr>
      <w:r>
        <w:tab/>
      </w:r>
      <w:r w:rsidR="00451C1C">
        <w:t>(2)</w:t>
      </w:r>
      <w:r>
        <w:tab/>
      </w:r>
      <w:r w:rsidRPr="009B733C">
        <w:t>Any information in column 3 of the table is not part of this instrument. Information may be inserted in this column, or information in it may be edited, in any published version of this instrument.</w:t>
      </w:r>
    </w:p>
    <w:p w:rsidR="00AD7BE4" w:rsidRPr="002A0313" w:rsidRDefault="00451C1C" w:rsidP="00AD7BE4">
      <w:pPr>
        <w:pStyle w:val="h5Section"/>
      </w:pPr>
      <w:bookmarkStart w:id="8" w:name="_Toc405889307"/>
      <w:bookmarkStart w:id="9" w:name="_Toc478738313"/>
      <w:r>
        <w:t>3</w:t>
      </w:r>
      <w:r w:rsidR="00AD7BE4">
        <w:t xml:space="preserve">  </w:t>
      </w:r>
      <w:r w:rsidR="00AD7BE4" w:rsidRPr="002A0313">
        <w:t>Authority</w:t>
      </w:r>
      <w:bookmarkEnd w:id="8"/>
      <w:bookmarkEnd w:id="9"/>
    </w:p>
    <w:p w:rsidR="00AD7BE4" w:rsidRDefault="00AD7BE4" w:rsidP="00AD7BE4">
      <w:pPr>
        <w:pStyle w:val="tMain"/>
      </w:pPr>
      <w:r>
        <w:tab/>
      </w:r>
      <w:r>
        <w:tab/>
      </w:r>
      <w:r w:rsidRPr="002A0313">
        <w:t xml:space="preserve">This </w:t>
      </w:r>
      <w:r w:rsidR="00C730C7">
        <w:t xml:space="preserve">instrument </w:t>
      </w:r>
      <w:r w:rsidRPr="002A0313">
        <w:t>is made under subsection </w:t>
      </w:r>
      <w:r w:rsidR="00C730C7">
        <w:t>182</w:t>
      </w:r>
      <w:r w:rsidRPr="002A0313">
        <w:t xml:space="preserve">(1) of the </w:t>
      </w:r>
      <w:r w:rsidR="00C730C7">
        <w:rPr>
          <w:i/>
        </w:rPr>
        <w:t>Biosecurity Act 2015</w:t>
      </w:r>
      <w:r w:rsidRPr="002A0313">
        <w:t>.</w:t>
      </w:r>
    </w:p>
    <w:p w:rsidR="002E6CA7" w:rsidRDefault="00451C1C" w:rsidP="002E6CA7">
      <w:pPr>
        <w:pStyle w:val="h5Section"/>
      </w:pPr>
      <w:bookmarkStart w:id="10" w:name="_Toc405889309"/>
      <w:bookmarkStart w:id="11" w:name="_Toc478738314"/>
      <w:r>
        <w:t>4</w:t>
      </w:r>
      <w:r w:rsidR="002E6CA7">
        <w:t xml:space="preserve">  </w:t>
      </w:r>
      <w:r w:rsidR="002E6CA7" w:rsidRPr="002A0313">
        <w:t>Definitions</w:t>
      </w:r>
      <w:bookmarkEnd w:id="10"/>
      <w:bookmarkEnd w:id="11"/>
    </w:p>
    <w:p w:rsidR="004D579A" w:rsidRPr="004D579A" w:rsidRDefault="004D579A" w:rsidP="004D579A">
      <w:pPr>
        <w:spacing w:before="122" w:line="240" w:lineRule="auto"/>
        <w:ind w:left="1985" w:hanging="851"/>
        <w:rPr>
          <w:rFonts w:eastAsia="Times New Roman"/>
          <w:sz w:val="18"/>
          <w:lang w:eastAsia="en-AU"/>
        </w:rPr>
      </w:pPr>
      <w:r w:rsidRPr="004D579A">
        <w:rPr>
          <w:rFonts w:eastAsia="Times New Roman"/>
          <w:sz w:val="18"/>
          <w:lang w:eastAsia="en-AU"/>
        </w:rPr>
        <w:t>Note:</w:t>
      </w:r>
      <w:r w:rsidRPr="004D579A">
        <w:rPr>
          <w:rFonts w:eastAsia="Times New Roman"/>
          <w:sz w:val="18"/>
          <w:lang w:eastAsia="en-AU"/>
        </w:rPr>
        <w:tab/>
        <w:t>A number of expressions used in this instrument are defined in the Act, including the following:</w:t>
      </w:r>
    </w:p>
    <w:p w:rsidR="004D579A" w:rsidRDefault="004D579A" w:rsidP="004D579A">
      <w:pPr>
        <w:spacing w:before="40" w:line="198" w:lineRule="exact"/>
        <w:ind w:left="2354" w:hanging="369"/>
        <w:rPr>
          <w:rFonts w:eastAsia="Times New Roman"/>
          <w:sz w:val="18"/>
          <w:lang w:eastAsia="en-AU"/>
        </w:rPr>
      </w:pPr>
      <w:r w:rsidRPr="004D579A">
        <w:rPr>
          <w:rFonts w:eastAsia="Times New Roman"/>
          <w:sz w:val="18"/>
          <w:lang w:eastAsia="en-AU"/>
        </w:rPr>
        <w:t>(a)</w:t>
      </w:r>
      <w:r w:rsidRPr="004D579A">
        <w:rPr>
          <w:rFonts w:eastAsia="Times New Roman"/>
          <w:sz w:val="18"/>
          <w:lang w:eastAsia="en-AU"/>
        </w:rPr>
        <w:tab/>
        <w:t>ALOP;</w:t>
      </w:r>
    </w:p>
    <w:p w:rsidR="00FE2D53" w:rsidRPr="004D579A" w:rsidRDefault="00FE2D53" w:rsidP="004D579A">
      <w:pPr>
        <w:spacing w:before="40" w:line="198" w:lineRule="exact"/>
        <w:ind w:left="2354" w:hanging="369"/>
        <w:rPr>
          <w:rFonts w:eastAsia="Times New Roman"/>
          <w:sz w:val="18"/>
          <w:lang w:eastAsia="en-AU"/>
        </w:rPr>
      </w:pPr>
      <w:r>
        <w:rPr>
          <w:rFonts w:eastAsia="Times New Roman"/>
          <w:sz w:val="18"/>
          <w:lang w:eastAsia="en-AU"/>
        </w:rPr>
        <w:t>(</w:t>
      </w:r>
      <w:r w:rsidR="00BF527C">
        <w:rPr>
          <w:rFonts w:eastAsia="Times New Roman"/>
          <w:sz w:val="18"/>
          <w:lang w:eastAsia="en-AU"/>
        </w:rPr>
        <w:t>b</w:t>
      </w:r>
      <w:r>
        <w:rPr>
          <w:rFonts w:eastAsia="Times New Roman"/>
          <w:sz w:val="18"/>
          <w:lang w:eastAsia="en-AU"/>
        </w:rPr>
        <w:t>)</w:t>
      </w:r>
      <w:r>
        <w:rPr>
          <w:rFonts w:eastAsia="Times New Roman"/>
          <w:sz w:val="18"/>
          <w:lang w:eastAsia="en-AU"/>
        </w:rPr>
        <w:tab/>
        <w:t>approved arrangement;</w:t>
      </w:r>
    </w:p>
    <w:p w:rsidR="004D579A" w:rsidRDefault="004D579A" w:rsidP="004D579A">
      <w:pPr>
        <w:spacing w:before="40" w:line="198" w:lineRule="exact"/>
        <w:ind w:left="2354" w:hanging="369"/>
        <w:rPr>
          <w:rFonts w:eastAsia="Times New Roman"/>
          <w:sz w:val="18"/>
          <w:lang w:eastAsia="en-AU"/>
        </w:rPr>
      </w:pPr>
      <w:r w:rsidRPr="004D579A">
        <w:rPr>
          <w:rFonts w:eastAsia="Times New Roman"/>
          <w:sz w:val="18"/>
          <w:lang w:eastAsia="en-AU"/>
        </w:rPr>
        <w:t>(</w:t>
      </w:r>
      <w:r w:rsidR="00BF527C">
        <w:rPr>
          <w:rFonts w:eastAsia="Times New Roman"/>
          <w:sz w:val="18"/>
          <w:lang w:eastAsia="en-AU"/>
        </w:rPr>
        <w:t>c</w:t>
      </w:r>
      <w:r w:rsidRPr="004D579A">
        <w:rPr>
          <w:rFonts w:eastAsia="Times New Roman"/>
          <w:sz w:val="18"/>
          <w:lang w:eastAsia="en-AU"/>
        </w:rPr>
        <w:t>)</w:t>
      </w:r>
      <w:r w:rsidRPr="004D579A">
        <w:rPr>
          <w:rFonts w:eastAsia="Times New Roman"/>
          <w:sz w:val="18"/>
          <w:lang w:eastAsia="en-AU"/>
        </w:rPr>
        <w:tab/>
        <w:t>Australian territory;</w:t>
      </w:r>
    </w:p>
    <w:p w:rsidR="004D579A" w:rsidRPr="004D579A" w:rsidRDefault="00467AC4" w:rsidP="004D579A">
      <w:pPr>
        <w:spacing w:before="40" w:line="198" w:lineRule="exact"/>
        <w:ind w:left="2354" w:hanging="369"/>
        <w:rPr>
          <w:rFonts w:eastAsia="Times New Roman"/>
          <w:sz w:val="18"/>
          <w:lang w:eastAsia="en-AU"/>
        </w:rPr>
      </w:pPr>
      <w:r>
        <w:rPr>
          <w:rFonts w:eastAsia="Times New Roman"/>
          <w:sz w:val="18"/>
          <w:lang w:eastAsia="en-AU"/>
        </w:rPr>
        <w:t>(</w:t>
      </w:r>
      <w:r w:rsidR="00BF527C">
        <w:rPr>
          <w:rFonts w:eastAsia="Times New Roman"/>
          <w:sz w:val="18"/>
          <w:lang w:eastAsia="en-AU"/>
        </w:rPr>
        <w:t>d</w:t>
      </w:r>
      <w:r>
        <w:rPr>
          <w:rFonts w:eastAsia="Times New Roman"/>
          <w:sz w:val="18"/>
          <w:lang w:eastAsia="en-AU"/>
        </w:rPr>
        <w:t>)</w:t>
      </w:r>
      <w:r>
        <w:rPr>
          <w:rFonts w:eastAsia="Times New Roman"/>
          <w:sz w:val="18"/>
          <w:lang w:eastAsia="en-AU"/>
        </w:rPr>
        <w:tab/>
      </w:r>
      <w:r w:rsidR="004D579A" w:rsidRPr="004D579A">
        <w:rPr>
          <w:rFonts w:eastAsia="Times New Roman"/>
          <w:sz w:val="18"/>
          <w:lang w:eastAsia="en-AU"/>
        </w:rPr>
        <w:t>goods.</w:t>
      </w:r>
    </w:p>
    <w:p w:rsidR="002E6CA7" w:rsidRDefault="002E6CA7" w:rsidP="002E6CA7">
      <w:pPr>
        <w:pStyle w:val="tMain"/>
      </w:pPr>
      <w:r>
        <w:tab/>
      </w:r>
      <w:r>
        <w:tab/>
      </w:r>
      <w:r w:rsidRPr="002A0313">
        <w:t xml:space="preserve">In this </w:t>
      </w:r>
      <w:r>
        <w:t>instrument</w:t>
      </w:r>
      <w:r w:rsidRPr="002A0313">
        <w:t>:</w:t>
      </w:r>
    </w:p>
    <w:p w:rsidR="002E6CA7" w:rsidRDefault="002E6CA7" w:rsidP="002E6CA7">
      <w:pPr>
        <w:pStyle w:val="tDefn"/>
      </w:pPr>
      <w:r w:rsidRPr="005279CC">
        <w:rPr>
          <w:b/>
          <w:i/>
        </w:rPr>
        <w:t>Act</w:t>
      </w:r>
      <w:r>
        <w:t xml:space="preserve"> means the </w:t>
      </w:r>
      <w:r>
        <w:rPr>
          <w:i/>
        </w:rPr>
        <w:t>Biosecurity Act 2015</w:t>
      </w:r>
      <w:r>
        <w:t>.</w:t>
      </w:r>
    </w:p>
    <w:p w:rsidR="00D316C9" w:rsidRPr="009F0690" w:rsidRDefault="00D316C9" w:rsidP="00D316C9">
      <w:pPr>
        <w:pStyle w:val="tDefn"/>
      </w:pPr>
      <w:r w:rsidRPr="009F0690">
        <w:rPr>
          <w:b/>
          <w:i/>
        </w:rPr>
        <w:t xml:space="preserve">overseas authority </w:t>
      </w:r>
      <w:r w:rsidRPr="009F0690">
        <w:t>means an authority that is on the List of Overseas Authorities—Aquatic Animals for Import, which is the list with that name prepared by the Director of Biosecurity and published on the Department’s website, as existing on 16 June 2016.</w:t>
      </w:r>
    </w:p>
    <w:p w:rsidR="00D316C9" w:rsidRPr="00D842CD" w:rsidRDefault="00D316C9" w:rsidP="00D316C9">
      <w:pPr>
        <w:pStyle w:val="nMain"/>
      </w:pPr>
      <w:r w:rsidRPr="00D842CD">
        <w:t>Note</w:t>
      </w:r>
      <w:r w:rsidR="00732BBA" w:rsidRPr="00D842CD">
        <w:t xml:space="preserve"> 1</w:t>
      </w:r>
      <w:r w:rsidRPr="00D842CD">
        <w:t>:</w:t>
      </w:r>
      <w:r w:rsidRPr="00D842CD">
        <w:tab/>
        <w:t xml:space="preserve">A body is included in the List of Overseas Authorities—Aquatic Animals for Import if the Director of Biosecurity is satisfied that the body is competent to certify that biosecurity risks </w:t>
      </w:r>
      <w:r w:rsidRPr="00D842CD">
        <w:lastRenderedPageBreak/>
        <w:t>associated with aquatic goods that are, or are intended to be, brought or imported into Australian territory have been managed to an acceptable level.</w:t>
      </w:r>
    </w:p>
    <w:p w:rsidR="00732BBA" w:rsidRPr="00D842CD" w:rsidRDefault="00732BBA" w:rsidP="00D316C9">
      <w:pPr>
        <w:pStyle w:val="nMain"/>
      </w:pPr>
      <w:r w:rsidRPr="00D842CD">
        <w:t>Note 2:</w:t>
      </w:r>
      <w:r w:rsidRPr="00D842CD">
        <w:tab/>
        <w:t>In 2017, the Department’s website was http://www.agriculture.gov.au/.</w:t>
      </w:r>
    </w:p>
    <w:p w:rsidR="002E6CA7" w:rsidRPr="00C13B9D" w:rsidRDefault="002E6CA7" w:rsidP="002E6CA7">
      <w:pPr>
        <w:pStyle w:val="tDefn"/>
      </w:pPr>
      <w:r w:rsidRPr="00D842CD">
        <w:rPr>
          <w:b/>
          <w:i/>
        </w:rPr>
        <w:t>principal determination</w:t>
      </w:r>
      <w:r w:rsidRPr="00D842CD">
        <w:t xml:space="preserve"> means the </w:t>
      </w:r>
      <w:r w:rsidRPr="00D842CD">
        <w:rPr>
          <w:i/>
        </w:rPr>
        <w:t xml:space="preserve">Biosecurity (Suspended Goods – Uncooked </w:t>
      </w:r>
      <w:r w:rsidRPr="00C13B9D">
        <w:rPr>
          <w:i/>
        </w:rPr>
        <w:t>Prawns) Determination 2017</w:t>
      </w:r>
      <w:r w:rsidRPr="00C13B9D">
        <w:t>.</w:t>
      </w:r>
    </w:p>
    <w:p w:rsidR="002E6CA7" w:rsidRPr="00C13B9D" w:rsidRDefault="002E6CA7" w:rsidP="002E6CA7">
      <w:pPr>
        <w:pStyle w:val="tDefn"/>
      </w:pPr>
      <w:r w:rsidRPr="00C13B9D">
        <w:rPr>
          <w:b/>
          <w:i/>
        </w:rPr>
        <w:t xml:space="preserve">proscribed class of goods </w:t>
      </w:r>
      <w:r w:rsidRPr="00C13B9D">
        <w:t>means the class of goods to which Part 2 of the principal determination applies.</w:t>
      </w:r>
    </w:p>
    <w:p w:rsidR="00BA5020" w:rsidRPr="00C13B9D" w:rsidRDefault="00BA5020" w:rsidP="00BA5020">
      <w:pPr>
        <w:pStyle w:val="nMain"/>
      </w:pPr>
      <w:r w:rsidRPr="00C13B9D">
        <w:t>Note:</w:t>
      </w:r>
      <w:r w:rsidRPr="00C13B9D">
        <w:tab/>
        <w:t>The class of goods to which Part 2 of the principal determination applies is set out in section 7 of the principal determination.</w:t>
      </w:r>
    </w:p>
    <w:p w:rsidR="002E6CA7" w:rsidRDefault="002E6CA7" w:rsidP="002E6CA7">
      <w:pPr>
        <w:pStyle w:val="tDefn"/>
      </w:pPr>
      <w:r w:rsidRPr="00C13B9D">
        <w:rPr>
          <w:b/>
          <w:i/>
        </w:rPr>
        <w:t xml:space="preserve">WSSV </w:t>
      </w:r>
      <w:r w:rsidRPr="00C13B9D">
        <w:t>means white spot syndrome virus.</w:t>
      </w:r>
    </w:p>
    <w:p w:rsidR="00DF1263" w:rsidRPr="009F0690" w:rsidRDefault="00DF1263" w:rsidP="002E6CA7">
      <w:pPr>
        <w:pStyle w:val="tDefn"/>
      </w:pPr>
      <w:r w:rsidRPr="009F0690">
        <w:rPr>
          <w:b/>
          <w:i/>
        </w:rPr>
        <w:t xml:space="preserve">YHV </w:t>
      </w:r>
      <w:r w:rsidRPr="009F0690">
        <w:t>means yellowhead virus (genotype 1).</w:t>
      </w:r>
    </w:p>
    <w:p w:rsidR="00AD7BE4" w:rsidRDefault="00451C1C" w:rsidP="00C730C7">
      <w:pPr>
        <w:pStyle w:val="h5Section"/>
      </w:pPr>
      <w:bookmarkStart w:id="12" w:name="_Toc478738315"/>
      <w:r>
        <w:t>5</w:t>
      </w:r>
      <w:r w:rsidR="00C730C7">
        <w:t xml:space="preserve">  Reasons for making this </w:t>
      </w:r>
      <w:r w:rsidR="00AE16D2">
        <w:t>determination</w:t>
      </w:r>
      <w:bookmarkEnd w:id="12"/>
    </w:p>
    <w:p w:rsidR="001940AD" w:rsidRDefault="00D76971" w:rsidP="00D76971">
      <w:pPr>
        <w:pStyle w:val="tMain"/>
      </w:pPr>
      <w:r>
        <w:tab/>
      </w:r>
      <w:r>
        <w:tab/>
      </w:r>
      <w:r w:rsidR="001940AD" w:rsidRPr="009A3EB2">
        <w:t>For subsection 182(5) of the Act, my reasons for making this determination are</w:t>
      </w:r>
      <w:r w:rsidR="001940AD">
        <w:t xml:space="preserve"> as follows:</w:t>
      </w:r>
    </w:p>
    <w:p w:rsidR="001940AD" w:rsidRDefault="001940AD" w:rsidP="001940AD">
      <w:pPr>
        <w:pStyle w:val="tPara"/>
      </w:pPr>
      <w:r>
        <w:tab/>
      </w:r>
      <w:r w:rsidR="00451C1C">
        <w:t>(a)</w:t>
      </w:r>
      <w:r>
        <w:tab/>
        <w:t>t</w:t>
      </w:r>
      <w:r w:rsidRPr="00B825C3">
        <w:t>he principal determination suspends the bringing or importing into Australian territory of goods included in the proscribed class of goods</w:t>
      </w:r>
      <w:r>
        <w:t>;</w:t>
      </w:r>
    </w:p>
    <w:p w:rsidR="005B0A17" w:rsidRDefault="001940AD" w:rsidP="001940AD">
      <w:pPr>
        <w:pStyle w:val="tPara"/>
      </w:pPr>
      <w:r>
        <w:tab/>
      </w:r>
      <w:r w:rsidR="00451C1C">
        <w:t>(b)</w:t>
      </w:r>
      <w:r>
        <w:tab/>
        <w:t>having undertaken further assessment of the biosecurity risks associated with the proscribed class of goods, I am of the view that it is possible to except further goods from the suspension, for the detailed reasons set out in</w:t>
      </w:r>
      <w:r w:rsidR="005B0A17">
        <w:t>:</w:t>
      </w:r>
    </w:p>
    <w:p w:rsidR="00D76971" w:rsidRPr="00E12F4F" w:rsidRDefault="00D76971" w:rsidP="00D76971">
      <w:pPr>
        <w:pStyle w:val="tSubpara"/>
      </w:pPr>
      <w:r w:rsidRPr="00E12F4F">
        <w:tab/>
      </w:r>
      <w:r w:rsidR="00451C1C">
        <w:t>(i)</w:t>
      </w:r>
      <w:r w:rsidRPr="00E12F4F">
        <w:tab/>
        <w:t xml:space="preserve">for the amendments </w:t>
      </w:r>
      <w:r w:rsidR="00E12F4F">
        <w:t>set out in Schedule 1</w:t>
      </w:r>
      <w:r w:rsidRPr="00E12F4F">
        <w:t>—</w:t>
      </w:r>
      <w:r w:rsidR="00E12F4F">
        <w:t>Schedule 3</w:t>
      </w:r>
      <w:r w:rsidRPr="00E12F4F">
        <w:t>;</w:t>
      </w:r>
      <w:r w:rsidR="006D3520" w:rsidRPr="00E12F4F">
        <w:t xml:space="preserve"> and</w:t>
      </w:r>
    </w:p>
    <w:p w:rsidR="005B0A17" w:rsidRDefault="005B0A17" w:rsidP="00BD3AFB">
      <w:pPr>
        <w:pStyle w:val="tSubpara"/>
      </w:pPr>
      <w:r>
        <w:tab/>
      </w:r>
      <w:r w:rsidR="00451C1C">
        <w:t>(ii)</w:t>
      </w:r>
      <w:r>
        <w:tab/>
        <w:t xml:space="preserve">for </w:t>
      </w:r>
      <w:r w:rsidR="00F204C5">
        <w:t>A</w:t>
      </w:r>
      <w:r w:rsidR="00F204C5" w:rsidRPr="00F204C5">
        <w:t>ustralian wild-caught prawns processed overseas and re</w:t>
      </w:r>
      <w:r w:rsidR="00F204C5">
        <w:noBreakHyphen/>
      </w:r>
      <w:r w:rsidR="00F204C5" w:rsidRPr="00F204C5">
        <w:t>exported to Australia</w:t>
      </w:r>
      <w:r>
        <w:t xml:space="preserve">—Schedule </w:t>
      </w:r>
      <w:r w:rsidR="00A86591">
        <w:t>4</w:t>
      </w:r>
      <w:r w:rsidR="00FA56E7">
        <w:t>.</w:t>
      </w:r>
    </w:p>
    <w:p w:rsidR="00A9721B" w:rsidRDefault="00451C1C" w:rsidP="00A9721B">
      <w:pPr>
        <w:pStyle w:val="h5Section"/>
      </w:pPr>
      <w:bookmarkStart w:id="13" w:name="_Toc478738316"/>
      <w:r>
        <w:t>6</w:t>
      </w:r>
      <w:r w:rsidR="00A9721B">
        <w:t xml:space="preserve">  </w:t>
      </w:r>
      <w:r w:rsidR="001E5E30">
        <w:t>Schedules</w:t>
      </w:r>
      <w:bookmarkEnd w:id="13"/>
    </w:p>
    <w:p w:rsidR="00A9721B" w:rsidRDefault="00A9721B" w:rsidP="00A9721B">
      <w:pPr>
        <w:pStyle w:val="tMain"/>
      </w:pPr>
      <w:r>
        <w:tab/>
      </w:r>
      <w:r>
        <w:tab/>
      </w:r>
      <w:r w:rsidR="001E5E30" w:rsidRPr="00733989">
        <w:t>Each instrument that is specified in a Schedule to this instrument is amended or repealed as set out in the applicable items in the Schedule concerned, and any other item in a Schedule to this instrument has effect according to its terms.</w:t>
      </w:r>
    </w:p>
    <w:p w:rsidR="00BA5020" w:rsidRDefault="00BA5020">
      <w:pPr>
        <w:spacing w:line="240" w:lineRule="auto"/>
        <w:rPr>
          <w:b/>
          <w:sz w:val="28"/>
          <w:szCs w:val="28"/>
        </w:rPr>
      </w:pPr>
    </w:p>
    <w:p w:rsidR="00BA5020" w:rsidRDefault="00BA5020">
      <w:pPr>
        <w:spacing w:line="240" w:lineRule="auto"/>
        <w:rPr>
          <w:b/>
          <w:sz w:val="28"/>
          <w:szCs w:val="28"/>
        </w:rPr>
        <w:sectPr w:rsidR="00BA5020" w:rsidSect="00B1356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pPr>
    </w:p>
    <w:p w:rsidR="003F58A1" w:rsidRDefault="003F58A1">
      <w:pPr>
        <w:spacing w:line="240" w:lineRule="auto"/>
        <w:rPr>
          <w:b/>
          <w:sz w:val="28"/>
          <w:szCs w:val="28"/>
        </w:rPr>
      </w:pPr>
      <w:r>
        <w:rPr>
          <w:b/>
          <w:sz w:val="28"/>
          <w:szCs w:val="28"/>
        </w:rPr>
        <w:br w:type="page"/>
      </w:r>
    </w:p>
    <w:p w:rsidR="00BC293F" w:rsidRDefault="00BC293F" w:rsidP="00BC293F">
      <w:pPr>
        <w:pStyle w:val="h1Sch"/>
      </w:pPr>
      <w:bookmarkStart w:id="14" w:name="_Toc478738317"/>
      <w:bookmarkStart w:id="15" w:name="_Toc432150458"/>
      <w:r w:rsidRPr="00D72C04">
        <w:lastRenderedPageBreak/>
        <w:t>Schedule 1—Amendments</w:t>
      </w:r>
      <w:r>
        <w:t xml:space="preserve"> commencing </w:t>
      </w:r>
      <w:r w:rsidR="00031B67">
        <w:t>on the day</w:t>
      </w:r>
      <w:r>
        <w:t xml:space="preserve"> after registration</w:t>
      </w:r>
      <w:bookmarkEnd w:id="14"/>
    </w:p>
    <w:p w:rsidR="00BC293F" w:rsidRPr="005279CC" w:rsidRDefault="00BC293F" w:rsidP="00BC293F">
      <w:pPr>
        <w:pStyle w:val="ActHead9"/>
      </w:pPr>
      <w:bookmarkStart w:id="16" w:name="_Toc478738318"/>
      <w:r w:rsidRPr="005279CC">
        <w:t>Biosecurity (Suspended Goods – Uncooked Prawns) Determination 2017</w:t>
      </w:r>
      <w:bookmarkEnd w:id="16"/>
    </w:p>
    <w:p w:rsidR="00BC293F" w:rsidRDefault="00BC293F" w:rsidP="00BC293F">
      <w:pPr>
        <w:pStyle w:val="h5SchItem"/>
      </w:pPr>
      <w:r w:rsidRPr="00D931C8">
        <w:t>1</w:t>
      </w:r>
      <w:r w:rsidRPr="00D931C8">
        <w:tab/>
        <w:t>Sec</w:t>
      </w:r>
      <w:r>
        <w:t>tion 5 (Note)</w:t>
      </w:r>
    </w:p>
    <w:p w:rsidR="00BC293F" w:rsidRDefault="00BC293F" w:rsidP="00BC293F">
      <w:pPr>
        <w:pStyle w:val="tMain"/>
      </w:pPr>
      <w:r>
        <w:tab/>
      </w:r>
      <w:r>
        <w:tab/>
      </w:r>
      <w:r w:rsidR="0089525A">
        <w:t>Insert, at the end of the bulleted list:</w:t>
      </w:r>
    </w:p>
    <w:p w:rsidR="00BC293F" w:rsidRDefault="00BC293F" w:rsidP="00BC293F">
      <w:pPr>
        <w:pStyle w:val="nMain"/>
        <w:spacing w:before="60"/>
        <w:ind w:left="2551" w:hanging="578"/>
      </w:pPr>
      <w:r>
        <w:t>; and</w:t>
      </w:r>
      <w:r w:rsidR="0089525A">
        <w:t xml:space="preserve">  </w:t>
      </w:r>
      <w:r>
        <w:sym w:font="Symbol" w:char="F0B7"/>
      </w:r>
      <w:r>
        <w:tab/>
        <w:t xml:space="preserve">the </w:t>
      </w:r>
      <w:r w:rsidR="00297081">
        <w:rPr>
          <w:i/>
          <w:noProof/>
        </w:rPr>
        <w:t>Biosecurity (Suspended Goods—Uncooked Prawns) Amendment (Exceptions) Determination (No. 3) 2017</w:t>
      </w:r>
      <w:r w:rsidRPr="00D931C8">
        <w:t>.</w:t>
      </w:r>
    </w:p>
    <w:p w:rsidR="00BC293F" w:rsidRPr="007D7B45" w:rsidRDefault="00BC293F" w:rsidP="00BC293F">
      <w:pPr>
        <w:pStyle w:val="h5SchItem"/>
      </w:pPr>
      <w:r>
        <w:t>2</w:t>
      </w:r>
      <w:r w:rsidRPr="00D931C8">
        <w:tab/>
      </w:r>
      <w:r>
        <w:t>Section 6 (</w:t>
      </w:r>
      <w:r w:rsidR="007D7B45">
        <w:t>definition</w:t>
      </w:r>
      <w:r w:rsidR="001A77AB">
        <w:t>s</w:t>
      </w:r>
      <w:r w:rsidR="007D7B45">
        <w:t xml:space="preserve"> of </w:t>
      </w:r>
      <w:r w:rsidR="007D7B45">
        <w:rPr>
          <w:i/>
        </w:rPr>
        <w:t>area to which the WSSV Movement Control Order relates</w:t>
      </w:r>
      <w:r w:rsidR="001A77AB">
        <w:rPr>
          <w:i/>
        </w:rPr>
        <w:t xml:space="preserve"> </w:t>
      </w:r>
      <w:r w:rsidR="001A77AB">
        <w:t xml:space="preserve">and </w:t>
      </w:r>
      <w:r w:rsidR="007D7B45">
        <w:rPr>
          <w:i/>
        </w:rPr>
        <w:t>WSSV Movement Control Order</w:t>
      </w:r>
      <w:r w:rsidR="007D7B45">
        <w:t>)</w:t>
      </w:r>
    </w:p>
    <w:p w:rsidR="00BC293F" w:rsidRDefault="00BC293F" w:rsidP="009D7F1A">
      <w:pPr>
        <w:pStyle w:val="tMain"/>
        <w:tabs>
          <w:tab w:val="left" w:pos="1702"/>
          <w:tab w:val="left" w:pos="2553"/>
          <w:tab w:val="left" w:pos="3404"/>
          <w:tab w:val="left" w:pos="4255"/>
          <w:tab w:val="left" w:pos="7485"/>
        </w:tabs>
      </w:pPr>
      <w:r>
        <w:tab/>
      </w:r>
      <w:r>
        <w:tab/>
      </w:r>
      <w:r w:rsidR="00192021">
        <w:t>Repeal the definitions</w:t>
      </w:r>
      <w:r w:rsidR="00D32AE7">
        <w:t xml:space="preserve"> </w:t>
      </w:r>
      <w:r w:rsidR="00062F9E">
        <w:t>(</w:t>
      </w:r>
      <w:r w:rsidR="00D32AE7">
        <w:t>including the note</w:t>
      </w:r>
      <w:r w:rsidR="00062F9E">
        <w:t>)</w:t>
      </w:r>
      <w:r w:rsidR="007D7B45">
        <w:t>.</w:t>
      </w:r>
      <w:r w:rsidR="009D7F1A">
        <w:tab/>
      </w:r>
    </w:p>
    <w:p w:rsidR="001D3392" w:rsidRDefault="001A77AB" w:rsidP="00BC293F">
      <w:pPr>
        <w:pStyle w:val="h5SchItem"/>
      </w:pPr>
      <w:r>
        <w:t>3</w:t>
      </w:r>
      <w:r w:rsidR="00BC293F">
        <w:tab/>
      </w:r>
      <w:r w:rsidR="001D3392">
        <w:t>Paragraph 7(3)(f)</w:t>
      </w:r>
    </w:p>
    <w:p w:rsidR="001D3392" w:rsidRDefault="001D3392" w:rsidP="001D3392">
      <w:pPr>
        <w:pStyle w:val="tMain"/>
      </w:pPr>
      <w:r>
        <w:tab/>
      </w:r>
      <w:r>
        <w:tab/>
        <w:t>Before “either”, insert “subject to subsection (4),”.</w:t>
      </w:r>
    </w:p>
    <w:p w:rsidR="00BC293F" w:rsidRDefault="001A77AB" w:rsidP="00BC293F">
      <w:pPr>
        <w:pStyle w:val="h5SchItem"/>
      </w:pPr>
      <w:r>
        <w:t>4</w:t>
      </w:r>
      <w:r w:rsidR="001D3392">
        <w:tab/>
      </w:r>
      <w:r w:rsidR="00BC293F">
        <w:t>Sub</w:t>
      </w:r>
      <w:r w:rsidR="007D7B45">
        <w:t>paragraph</w:t>
      </w:r>
      <w:r w:rsidR="00BC293F">
        <w:t> 7(</w:t>
      </w:r>
      <w:r w:rsidR="007D7B45">
        <w:t>3</w:t>
      </w:r>
      <w:r w:rsidR="00BC293F">
        <w:t>)</w:t>
      </w:r>
      <w:r w:rsidR="007D7B45">
        <w:t>(</w:t>
      </w:r>
      <w:r w:rsidR="001D3392">
        <w:t>f</w:t>
      </w:r>
      <w:r w:rsidR="007D7B45">
        <w:t>)(i)</w:t>
      </w:r>
    </w:p>
    <w:p w:rsidR="00BC293F" w:rsidRPr="0041433E" w:rsidRDefault="00BC293F" w:rsidP="00BC293F">
      <w:pPr>
        <w:pStyle w:val="tMain"/>
      </w:pPr>
      <w:r>
        <w:tab/>
      </w:r>
      <w:r>
        <w:tab/>
      </w:r>
      <w:r w:rsidR="007D7B45">
        <w:t>Omit “</w:t>
      </w:r>
      <w:r w:rsidR="001D3392">
        <w:t>other than the</w:t>
      </w:r>
      <w:r w:rsidR="001D3392" w:rsidRPr="009810AA">
        <w:rPr>
          <w:b/>
          <w:i/>
        </w:rPr>
        <w:t xml:space="preserve"> </w:t>
      </w:r>
      <w:r w:rsidR="001D3392" w:rsidRPr="009810AA">
        <w:t>area to which the WSSV Movement Control Order relates</w:t>
      </w:r>
      <w:r w:rsidR="007D7B45">
        <w:t>”.</w:t>
      </w:r>
    </w:p>
    <w:p w:rsidR="001D3392" w:rsidRDefault="001A77AB" w:rsidP="007D7B45">
      <w:pPr>
        <w:pStyle w:val="h5SchItem"/>
      </w:pPr>
      <w:r>
        <w:t>5</w:t>
      </w:r>
      <w:r w:rsidR="001D3392">
        <w:tab/>
        <w:t>Paragraph 7(3)(i)</w:t>
      </w:r>
    </w:p>
    <w:p w:rsidR="001D3392" w:rsidRDefault="001D3392" w:rsidP="001D3392">
      <w:pPr>
        <w:pStyle w:val="tMain"/>
      </w:pPr>
      <w:r>
        <w:tab/>
      </w:r>
      <w:r>
        <w:tab/>
        <w:t>Before “uncooked” (first occurrence), insert “subject to subsection (4),”.</w:t>
      </w:r>
    </w:p>
    <w:p w:rsidR="007D7B45" w:rsidRDefault="001A77AB" w:rsidP="007D7B45">
      <w:pPr>
        <w:pStyle w:val="h5SchItem"/>
      </w:pPr>
      <w:r>
        <w:t>6</w:t>
      </w:r>
      <w:r w:rsidR="00BC293F">
        <w:tab/>
      </w:r>
      <w:r w:rsidR="007D7B45">
        <w:t>Subparagraph 7(3)(</w:t>
      </w:r>
      <w:r w:rsidR="001D3392">
        <w:t>i</w:t>
      </w:r>
      <w:r w:rsidR="007D7B45">
        <w:t>)(i)</w:t>
      </w:r>
    </w:p>
    <w:p w:rsidR="001D3392" w:rsidRPr="0041433E" w:rsidRDefault="001D3392" w:rsidP="001D3392">
      <w:pPr>
        <w:pStyle w:val="tMain"/>
      </w:pPr>
      <w:r>
        <w:tab/>
      </w:r>
      <w:r>
        <w:tab/>
        <w:t>Omit “other than the</w:t>
      </w:r>
      <w:r w:rsidRPr="009810AA">
        <w:rPr>
          <w:b/>
          <w:i/>
        </w:rPr>
        <w:t xml:space="preserve"> </w:t>
      </w:r>
      <w:r w:rsidRPr="009810AA">
        <w:t>area to which the WSSV Movement Control Order relates</w:t>
      </w:r>
      <w:r>
        <w:t>”.</w:t>
      </w:r>
    </w:p>
    <w:p w:rsidR="00BC293F" w:rsidRDefault="001A77AB" w:rsidP="00BC293F">
      <w:pPr>
        <w:pStyle w:val="h5SchItem"/>
      </w:pPr>
      <w:r>
        <w:t>7</w:t>
      </w:r>
      <w:r w:rsidR="007D7B45">
        <w:tab/>
      </w:r>
      <w:r w:rsidR="00BC293F">
        <w:t>A</w:t>
      </w:r>
      <w:r w:rsidR="007D7B45">
        <w:t>f</w:t>
      </w:r>
      <w:r w:rsidR="00BC293F">
        <w:t>t</w:t>
      </w:r>
      <w:r w:rsidR="007D7B45">
        <w:t>er</w:t>
      </w:r>
      <w:r w:rsidR="00BC293F">
        <w:t xml:space="preserve"> subsection 7(3)</w:t>
      </w:r>
    </w:p>
    <w:p w:rsidR="00BC293F" w:rsidRDefault="00BC293F" w:rsidP="00BC293F">
      <w:pPr>
        <w:pStyle w:val="tMain"/>
      </w:pPr>
      <w:r>
        <w:tab/>
      </w:r>
      <w:r>
        <w:tab/>
        <w:t>Insert:</w:t>
      </w:r>
    </w:p>
    <w:p w:rsidR="00282502" w:rsidRDefault="007D7B45" w:rsidP="00876075">
      <w:pPr>
        <w:pStyle w:val="tMain"/>
      </w:pPr>
      <w:r>
        <w:tab/>
        <w:t>(4)</w:t>
      </w:r>
      <w:r>
        <w:tab/>
      </w:r>
      <w:r w:rsidR="00876075">
        <w:t xml:space="preserve">Paragraphs </w:t>
      </w:r>
      <w:r w:rsidR="00282502">
        <w:t>7(3</w:t>
      </w:r>
      <w:r w:rsidR="00876075">
        <w:t xml:space="preserve">)(f) and (i) apply only in relation to </w:t>
      </w:r>
      <w:r w:rsidR="00B33292">
        <w:t>goods</w:t>
      </w:r>
      <w:r w:rsidR="00876075">
        <w:t xml:space="preserve"> </w:t>
      </w:r>
      <w:r w:rsidR="00A00091">
        <w:t xml:space="preserve">in the class uncooked prawns and uncooked prawn meat </w:t>
      </w:r>
      <w:r w:rsidR="00876075">
        <w:t xml:space="preserve">that </w:t>
      </w:r>
      <w:r w:rsidR="00876075" w:rsidRPr="00876075">
        <w:t xml:space="preserve">have been moved from the area in which they were caught </w:t>
      </w:r>
      <w:r w:rsidR="00876075">
        <w:t>or</w:t>
      </w:r>
      <w:r w:rsidR="00876075" w:rsidRPr="00876075">
        <w:t xml:space="preserve"> harvested in accordance with any applicable requirement under Australian law that relates to biosecurity risk in relation to the movement of goods </w:t>
      </w:r>
      <w:r w:rsidR="001A77AB">
        <w:t>in th</w:t>
      </w:r>
      <w:r w:rsidR="00A00091">
        <w:t>at</w:t>
      </w:r>
      <w:r w:rsidR="001A77AB">
        <w:t xml:space="preserve"> class</w:t>
      </w:r>
      <w:r w:rsidR="00876075">
        <w:t>.</w:t>
      </w:r>
    </w:p>
    <w:p w:rsidR="00876075" w:rsidRDefault="001A77AB" w:rsidP="001A77AB">
      <w:pPr>
        <w:pStyle w:val="nMain"/>
      </w:pPr>
      <w:r>
        <w:t>Note:</w:t>
      </w:r>
      <w:r>
        <w:tab/>
        <w:t xml:space="preserve">An example of such a law is </w:t>
      </w:r>
      <w:r w:rsidR="00192021">
        <w:t>a Movement Control Order</w:t>
      </w:r>
      <w:r w:rsidR="00BF2709">
        <w:t xml:space="preserve"> made from time to time under the </w:t>
      </w:r>
      <w:r w:rsidR="00BF2709">
        <w:rPr>
          <w:i/>
        </w:rPr>
        <w:t>Biosecurity Act 2014</w:t>
      </w:r>
      <w:r w:rsidR="00EA377B">
        <w:rPr>
          <w:i/>
        </w:rPr>
        <w:t> </w:t>
      </w:r>
      <w:r w:rsidR="00BF2709">
        <w:t>(Qld) that restrict</w:t>
      </w:r>
      <w:r w:rsidR="00192021">
        <w:t>s</w:t>
      </w:r>
      <w:r w:rsidR="00BF2709">
        <w:t xml:space="preserve"> the movement of </w:t>
      </w:r>
      <w:r w:rsidR="0090578F">
        <w:t xml:space="preserve">WSSV carriers (namely, </w:t>
      </w:r>
      <w:r w:rsidR="00BF2709">
        <w:t>decapod crustaceans and polychelate worms</w:t>
      </w:r>
      <w:r w:rsidR="0090578F">
        <w:t>)</w:t>
      </w:r>
      <w:r w:rsidR="00BF2709">
        <w:t xml:space="preserve"> from various areas in Queensland.</w:t>
      </w:r>
    </w:p>
    <w:p w:rsidR="00BC293F" w:rsidRDefault="00BC293F" w:rsidP="00BC293F">
      <w:pPr>
        <w:tabs>
          <w:tab w:val="left" w:pos="6426"/>
        </w:tabs>
        <w:spacing w:line="240" w:lineRule="auto"/>
        <w:rPr>
          <w:b/>
          <w:sz w:val="28"/>
          <w:szCs w:val="28"/>
        </w:rPr>
      </w:pPr>
    </w:p>
    <w:p w:rsidR="00BC293F" w:rsidRDefault="00BC293F" w:rsidP="00BC293F">
      <w:pPr>
        <w:tabs>
          <w:tab w:val="left" w:pos="6426"/>
        </w:tabs>
        <w:spacing w:line="240" w:lineRule="auto"/>
        <w:rPr>
          <w:b/>
          <w:sz w:val="28"/>
          <w:szCs w:val="28"/>
        </w:rPr>
        <w:sectPr w:rsidR="00BC293F" w:rsidSect="00DE73A8">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40" w:right="1440" w:bottom="1440" w:left="1440" w:header="709" w:footer="709" w:gutter="0"/>
          <w:cols w:space="708"/>
          <w:titlePg/>
          <w:docGrid w:linePitch="360"/>
        </w:sectPr>
      </w:pPr>
    </w:p>
    <w:p w:rsidR="00BC293F" w:rsidRDefault="00BC293F" w:rsidP="00BC293F">
      <w:pPr>
        <w:spacing w:line="240" w:lineRule="auto"/>
        <w:rPr>
          <w:b/>
          <w:sz w:val="28"/>
          <w:szCs w:val="28"/>
        </w:rPr>
      </w:pPr>
      <w:r>
        <w:rPr>
          <w:b/>
          <w:sz w:val="28"/>
          <w:szCs w:val="28"/>
        </w:rPr>
        <w:br w:type="page"/>
      </w:r>
    </w:p>
    <w:p w:rsidR="00B1706C" w:rsidRDefault="00007578" w:rsidP="00BD3AFB">
      <w:pPr>
        <w:pStyle w:val="h1Sch"/>
      </w:pPr>
      <w:bookmarkStart w:id="17" w:name="_Toc478738319"/>
      <w:r w:rsidRPr="00D72C04">
        <w:lastRenderedPageBreak/>
        <w:t xml:space="preserve">Schedule </w:t>
      </w:r>
      <w:r w:rsidR="00BC293F">
        <w:t>2</w:t>
      </w:r>
      <w:r w:rsidRPr="00D72C04">
        <w:t>—Amendments</w:t>
      </w:r>
      <w:r w:rsidR="00DE73A8">
        <w:t xml:space="preserve"> commencing </w:t>
      </w:r>
      <w:r w:rsidR="00FA56E7">
        <w:t xml:space="preserve">4 weeks after </w:t>
      </w:r>
      <w:r w:rsidR="00DE73A8">
        <w:t>registration</w:t>
      </w:r>
      <w:bookmarkEnd w:id="17"/>
    </w:p>
    <w:p w:rsidR="00007578" w:rsidRPr="005279CC" w:rsidRDefault="00007578" w:rsidP="005279CC">
      <w:pPr>
        <w:pStyle w:val="ActHead9"/>
      </w:pPr>
      <w:bookmarkStart w:id="18" w:name="_Toc478738320"/>
      <w:bookmarkEnd w:id="15"/>
      <w:r w:rsidRPr="005279CC">
        <w:t>Biosecurity (Suspended Goods – Uncooked Prawns) Determination 2017</w:t>
      </w:r>
      <w:bookmarkEnd w:id="18"/>
    </w:p>
    <w:p w:rsidR="00D21A19" w:rsidRDefault="00D931C8" w:rsidP="003B0659">
      <w:pPr>
        <w:pStyle w:val="h5SchItem"/>
      </w:pPr>
      <w:r w:rsidRPr="00D931C8">
        <w:t>1</w:t>
      </w:r>
      <w:r w:rsidR="00277A8C">
        <w:tab/>
      </w:r>
      <w:r w:rsidR="00D21A19">
        <w:t>Section 6</w:t>
      </w:r>
    </w:p>
    <w:p w:rsidR="00D21A19" w:rsidRDefault="00D21A19" w:rsidP="00D21A19">
      <w:pPr>
        <w:pStyle w:val="tMain"/>
      </w:pPr>
      <w:r>
        <w:tab/>
      </w:r>
      <w:r>
        <w:tab/>
        <w:t>Insert:</w:t>
      </w:r>
    </w:p>
    <w:p w:rsidR="00D316C9" w:rsidRDefault="007745F4" w:rsidP="007745F4">
      <w:pPr>
        <w:pStyle w:val="tDefn"/>
      </w:pPr>
      <w:r w:rsidRPr="00630057">
        <w:rPr>
          <w:b/>
          <w:i/>
        </w:rPr>
        <w:t>foreign country health certificate</w:t>
      </w:r>
      <w:r>
        <w:t>,</w:t>
      </w:r>
      <w:r w:rsidRPr="0031040C">
        <w:t xml:space="preserve"> </w:t>
      </w:r>
      <w:r>
        <w:t xml:space="preserve">for a particular product, means a certificate from the </w:t>
      </w:r>
      <w:r w:rsidR="00D316C9">
        <w:t xml:space="preserve">relevant overseas </w:t>
      </w:r>
      <w:r w:rsidR="00C87332" w:rsidRPr="00D316C9">
        <w:t xml:space="preserve">authority </w:t>
      </w:r>
      <w:r>
        <w:t xml:space="preserve">that, based on </w:t>
      </w:r>
      <w:r w:rsidR="00F61312">
        <w:t>a testing method</w:t>
      </w:r>
      <w:r w:rsidR="00D316C9">
        <w:t xml:space="preserve"> recognised by the OIE in the Aquatic Animal Health Code</w:t>
      </w:r>
      <w:r w:rsidR="00721CF9">
        <w:t xml:space="preserve"> </w:t>
      </w:r>
      <w:r w:rsidR="00B707D4">
        <w:t>as</w:t>
      </w:r>
      <w:r w:rsidR="00721CF9">
        <w:t xml:space="preserve"> confirm</w:t>
      </w:r>
      <w:r w:rsidR="00B707D4">
        <w:t>ing</w:t>
      </w:r>
      <w:r w:rsidR="00721CF9">
        <w:t xml:space="preserve"> freedom from disease</w:t>
      </w:r>
      <w:r w:rsidR="009F0690">
        <w:t xml:space="preserve">, </w:t>
      </w:r>
      <w:r w:rsidR="00BF22C5">
        <w:t xml:space="preserve">the product </w:t>
      </w:r>
      <w:r w:rsidR="00721CF9">
        <w:t xml:space="preserve">has been found to be </w:t>
      </w:r>
      <w:r w:rsidR="00BF22C5">
        <w:t>free of WSSV and YHV</w:t>
      </w:r>
      <w:r w:rsidR="00D316C9">
        <w:t>.</w:t>
      </w:r>
    </w:p>
    <w:p w:rsidR="00137675" w:rsidRPr="00D842CD" w:rsidRDefault="00137675" w:rsidP="00137675">
      <w:pPr>
        <w:pStyle w:val="nMain"/>
      </w:pPr>
      <w:r w:rsidRPr="00D842CD">
        <w:t>Note:</w:t>
      </w:r>
      <w:r w:rsidRPr="00D842CD">
        <w:tab/>
      </w:r>
      <w:r w:rsidR="008B0B47" w:rsidRPr="00D842CD">
        <w:t xml:space="preserve">The OIE (Office International des Epizooties) is the World Organisation for Animal Health. </w:t>
      </w:r>
      <w:r w:rsidRPr="00D842CD">
        <w:t>The Aquatic Animal Health Code could in 2017 be viewed on the OIE’s website (http://www.oie.int/).</w:t>
      </w:r>
    </w:p>
    <w:p w:rsidR="00630057" w:rsidRDefault="00630057" w:rsidP="00630057">
      <w:pPr>
        <w:pStyle w:val="tDefn"/>
      </w:pPr>
      <w:r>
        <w:rPr>
          <w:b/>
          <w:i/>
        </w:rPr>
        <w:t>foreign country processing declaration</w:t>
      </w:r>
      <w:r w:rsidR="0031040C">
        <w:t>,</w:t>
      </w:r>
      <w:r>
        <w:rPr>
          <w:b/>
          <w:i/>
        </w:rPr>
        <w:t xml:space="preserve"> </w:t>
      </w:r>
      <w:r w:rsidR="0031040C">
        <w:t xml:space="preserve">for a particular product, </w:t>
      </w:r>
      <w:r>
        <w:t xml:space="preserve">means a declaration from the </w:t>
      </w:r>
      <w:r w:rsidR="0089525A">
        <w:t xml:space="preserve">relevant </w:t>
      </w:r>
      <w:r w:rsidR="00D22E8D">
        <w:t xml:space="preserve">overseas </w:t>
      </w:r>
      <w:r>
        <w:t>authority, o</w:t>
      </w:r>
      <w:r w:rsidR="0089525A">
        <w:t>n</w:t>
      </w:r>
      <w:r>
        <w:t xml:space="preserve"> an official health certificate, that:</w:t>
      </w:r>
    </w:p>
    <w:p w:rsidR="00630057" w:rsidRDefault="00630057" w:rsidP="00630057">
      <w:pPr>
        <w:pStyle w:val="tPara"/>
      </w:pPr>
      <w:r>
        <w:tab/>
        <w:t>(a)</w:t>
      </w:r>
      <w:r>
        <w:tab/>
      </w:r>
      <w:r w:rsidR="002B1292">
        <w:t xml:space="preserve">uncooked prawns and uncooked prawn meat used in the product </w:t>
      </w:r>
      <w:r w:rsidR="00BF22C5">
        <w:t xml:space="preserve">were </w:t>
      </w:r>
      <w:r w:rsidR="002B1292">
        <w:t xml:space="preserve">derived from </w:t>
      </w:r>
      <w:r>
        <w:t xml:space="preserve">prawns </w:t>
      </w:r>
      <w:r w:rsidR="002B1292">
        <w:t xml:space="preserve">that </w:t>
      </w:r>
      <w:r>
        <w:t>were wild</w:t>
      </w:r>
      <w:r>
        <w:noBreakHyphen/>
        <w:t>caught in Australian territory; and</w:t>
      </w:r>
    </w:p>
    <w:p w:rsidR="00630057" w:rsidRDefault="00630057" w:rsidP="00630057">
      <w:pPr>
        <w:pStyle w:val="tPara"/>
      </w:pPr>
      <w:r>
        <w:tab/>
        <w:t>(b)</w:t>
      </w:r>
      <w:r>
        <w:tab/>
        <w:t xml:space="preserve">the </w:t>
      </w:r>
      <w:r w:rsidR="002B1292">
        <w:t xml:space="preserve">product was </w:t>
      </w:r>
      <w:r>
        <w:t xml:space="preserve">processed at an </w:t>
      </w:r>
      <w:r w:rsidRPr="00256810">
        <w:t>establishment</w:t>
      </w:r>
      <w:r>
        <w:rPr>
          <w:lang w:eastAsia="ja-JP"/>
        </w:rPr>
        <w:t xml:space="preserve"> that was approved by </w:t>
      </w:r>
      <w:r>
        <w:t xml:space="preserve">the </w:t>
      </w:r>
      <w:r w:rsidR="009424BB">
        <w:t xml:space="preserve">relevant </w:t>
      </w:r>
      <w:r w:rsidR="00D22E8D">
        <w:t xml:space="preserve">overseas </w:t>
      </w:r>
      <w:r>
        <w:t>authority; and</w:t>
      </w:r>
    </w:p>
    <w:p w:rsidR="0019059C" w:rsidRPr="00F61312" w:rsidRDefault="0019059C" w:rsidP="0019059C">
      <w:pPr>
        <w:pStyle w:val="tPara"/>
      </w:pPr>
      <w:r w:rsidRPr="00F61312">
        <w:tab/>
        <w:t>(c)</w:t>
      </w:r>
      <w:r w:rsidRPr="00F61312">
        <w:tab/>
        <w:t xml:space="preserve">the establishment had procedures in place to ensure </w:t>
      </w:r>
      <w:r w:rsidR="00F61312">
        <w:t xml:space="preserve">that, throughout transport, processing and storage, </w:t>
      </w:r>
      <w:r w:rsidRPr="00F61312">
        <w:t xml:space="preserve">the product </w:t>
      </w:r>
      <w:r w:rsidR="00F61312">
        <w:t xml:space="preserve">was segregated </w:t>
      </w:r>
      <w:r w:rsidRPr="00F61312">
        <w:t>from the following:</w:t>
      </w:r>
    </w:p>
    <w:p w:rsidR="0019059C" w:rsidRPr="00F61312" w:rsidRDefault="0019059C" w:rsidP="0019059C">
      <w:pPr>
        <w:pStyle w:val="tSubpara"/>
      </w:pPr>
      <w:r w:rsidRPr="00F61312">
        <w:tab/>
        <w:t>(i)</w:t>
      </w:r>
      <w:r w:rsidRPr="00F61312">
        <w:tab/>
        <w:t>prawns that were not sourced from Australia;</w:t>
      </w:r>
    </w:p>
    <w:p w:rsidR="0019059C" w:rsidRPr="00F61312" w:rsidRDefault="0019059C" w:rsidP="0019059C">
      <w:pPr>
        <w:pStyle w:val="tSubpara"/>
      </w:pPr>
      <w:r w:rsidRPr="00F61312">
        <w:tab/>
        <w:t>(ii)</w:t>
      </w:r>
      <w:r w:rsidRPr="00F61312">
        <w:tab/>
        <w:t>products derived from such prawns;</w:t>
      </w:r>
    </w:p>
    <w:p w:rsidR="0019059C" w:rsidRPr="00F61312" w:rsidRDefault="0019059C" w:rsidP="00F61312">
      <w:pPr>
        <w:pStyle w:val="tSubpara"/>
      </w:pPr>
      <w:r w:rsidRPr="00F61312">
        <w:tab/>
        <w:t>(iii)</w:t>
      </w:r>
      <w:r w:rsidRPr="00F61312">
        <w:tab/>
        <w:t>other sources of contamination.</w:t>
      </w:r>
    </w:p>
    <w:p w:rsidR="002C42C5" w:rsidRPr="004931B7" w:rsidRDefault="00810EC6" w:rsidP="002C42C5">
      <w:pPr>
        <w:pStyle w:val="tDefn"/>
      </w:pPr>
      <w:r w:rsidRPr="004931B7">
        <w:rPr>
          <w:b/>
          <w:i/>
        </w:rPr>
        <w:t xml:space="preserve">overseas authority </w:t>
      </w:r>
      <w:r w:rsidRPr="004931B7">
        <w:t>means an authority that is on the List of Overseas Authorities</w:t>
      </w:r>
      <w:r w:rsidR="002C42C5" w:rsidRPr="004931B7">
        <w:t>—Aquatic Animals for Import, which is the list with that name prepared by the Director of Biosecurity and published on the Department’s website, as existing on 16 June 2016.</w:t>
      </w:r>
    </w:p>
    <w:p w:rsidR="00137675" w:rsidRPr="00D842CD" w:rsidRDefault="00137675" w:rsidP="00137675">
      <w:pPr>
        <w:pStyle w:val="nMain"/>
      </w:pPr>
      <w:r w:rsidRPr="00D842CD">
        <w:t>Note 1:</w:t>
      </w:r>
      <w:r w:rsidRPr="00D842CD">
        <w:tab/>
        <w:t>A body is included in the List of Overseas Authorities—Aquatic Animals for Import if the Director of Biosecurity is satisfied that the body is competent to certify that biosecurity risks associated with aquatic goods that are, or are intended to be, brought or imported into Australian territory have been managed to an acceptable level.</w:t>
      </w:r>
    </w:p>
    <w:p w:rsidR="00137675" w:rsidRPr="00D842CD" w:rsidRDefault="00137675" w:rsidP="00137675">
      <w:pPr>
        <w:pStyle w:val="nMain"/>
      </w:pPr>
      <w:r w:rsidRPr="00D842CD">
        <w:t>Note 2:</w:t>
      </w:r>
      <w:r w:rsidRPr="00D842CD">
        <w:tab/>
        <w:t>In 2017, the Department’s website was http://www.agriculture.gov.au/.</w:t>
      </w:r>
    </w:p>
    <w:p w:rsidR="00DF1263" w:rsidRDefault="00DF1263" w:rsidP="004931B7">
      <w:pPr>
        <w:pStyle w:val="tDefn"/>
      </w:pPr>
      <w:r w:rsidRPr="004931B7">
        <w:rPr>
          <w:b/>
          <w:i/>
        </w:rPr>
        <w:t xml:space="preserve">YHV </w:t>
      </w:r>
      <w:r w:rsidRPr="004931B7">
        <w:t>means yellowhead virus (genotype 1).</w:t>
      </w:r>
    </w:p>
    <w:p w:rsidR="003B0659" w:rsidRDefault="00E07710" w:rsidP="003B0659">
      <w:pPr>
        <w:pStyle w:val="h5SchItem"/>
      </w:pPr>
      <w:r>
        <w:t>2</w:t>
      </w:r>
      <w:r w:rsidR="00D21A19">
        <w:tab/>
      </w:r>
      <w:r w:rsidR="00C23526">
        <w:t>At the end of subsection 7(3)</w:t>
      </w:r>
    </w:p>
    <w:p w:rsidR="002E2BC6" w:rsidRPr="002E2BC6" w:rsidRDefault="002E2BC6" w:rsidP="002E2BC6">
      <w:pPr>
        <w:pStyle w:val="tMain"/>
      </w:pPr>
      <w:r>
        <w:tab/>
      </w:r>
      <w:r>
        <w:tab/>
        <w:t>Insert:</w:t>
      </w:r>
    </w:p>
    <w:p w:rsidR="00CE4480" w:rsidRDefault="002B191F" w:rsidP="002B191F">
      <w:pPr>
        <w:pStyle w:val="tPara"/>
      </w:pPr>
      <w:r>
        <w:tab/>
        <w:t>;  (</w:t>
      </w:r>
      <w:r w:rsidR="0041433E">
        <w:t>j</w:t>
      </w:r>
      <w:r>
        <w:t>)</w:t>
      </w:r>
      <w:r>
        <w:tab/>
      </w:r>
      <w:r w:rsidR="006C5D38">
        <w:t xml:space="preserve">subject to subsection (4), </w:t>
      </w:r>
      <w:r w:rsidR="00791D45">
        <w:t>uncooked prawns and uncooked prawn meat</w:t>
      </w:r>
      <w:r w:rsidR="00CE4480">
        <w:t xml:space="preserve"> in a processed form (the </w:t>
      </w:r>
      <w:r w:rsidR="00CE4480">
        <w:rPr>
          <w:b/>
          <w:i/>
        </w:rPr>
        <w:t>product</w:t>
      </w:r>
      <w:r w:rsidR="00CE4480">
        <w:t xml:space="preserve">), </w:t>
      </w:r>
      <w:r w:rsidR="00CE4480" w:rsidRPr="00CE4480">
        <w:t>if</w:t>
      </w:r>
      <w:r w:rsidR="00A11319">
        <w:t xml:space="preserve"> the product</w:t>
      </w:r>
      <w:r w:rsidR="00CE4480">
        <w:t>:</w:t>
      </w:r>
    </w:p>
    <w:p w:rsidR="00497FA0" w:rsidRDefault="00CE4480" w:rsidP="00CE4480">
      <w:pPr>
        <w:pStyle w:val="tSubpara"/>
      </w:pPr>
      <w:r>
        <w:tab/>
        <w:t>(i)</w:t>
      </w:r>
      <w:r>
        <w:tab/>
      </w:r>
      <w:r w:rsidR="00791D45">
        <w:t>deriv</w:t>
      </w:r>
      <w:r>
        <w:t>es</w:t>
      </w:r>
      <w:r w:rsidR="00791D45">
        <w:t xml:space="preserve"> from prawns that were</w:t>
      </w:r>
      <w:r w:rsidR="00497FA0">
        <w:t>:</w:t>
      </w:r>
    </w:p>
    <w:p w:rsidR="00497FA0" w:rsidRDefault="00497FA0" w:rsidP="00497FA0">
      <w:pPr>
        <w:pStyle w:val="tSubsub"/>
      </w:pPr>
      <w:r>
        <w:tab/>
        <w:t>(A)</w:t>
      </w:r>
      <w:r>
        <w:tab/>
      </w:r>
      <w:r w:rsidR="00791D45">
        <w:t>wild</w:t>
      </w:r>
      <w:r w:rsidR="00791D45">
        <w:noBreakHyphen/>
        <w:t>caught in Australian territory; and</w:t>
      </w:r>
    </w:p>
    <w:p w:rsidR="00CE4480" w:rsidRDefault="00CE4480" w:rsidP="00497FA0">
      <w:pPr>
        <w:pStyle w:val="tSubsub"/>
      </w:pPr>
      <w:r>
        <w:tab/>
        <w:t>(</w:t>
      </w:r>
      <w:r w:rsidR="00497FA0">
        <w:t>B</w:t>
      </w:r>
      <w:r>
        <w:t>)</w:t>
      </w:r>
      <w:r>
        <w:tab/>
      </w:r>
      <w:r w:rsidR="00E660B3">
        <w:t>exported to</w:t>
      </w:r>
      <w:r>
        <w:t xml:space="preserve"> another country, either in the form of uncooked prawns or uncooked prawn meat, for processing; and</w:t>
      </w:r>
    </w:p>
    <w:p w:rsidR="00AD607C" w:rsidRDefault="00CE4480" w:rsidP="00CE4480">
      <w:pPr>
        <w:pStyle w:val="tSubpara"/>
      </w:pPr>
      <w:r>
        <w:lastRenderedPageBreak/>
        <w:tab/>
        <w:t>(ii)</w:t>
      </w:r>
      <w:r>
        <w:tab/>
      </w:r>
      <w:r w:rsidR="00AD607C">
        <w:t>is brought or imported into Australian territory without first having been brought or imported into any other country; and</w:t>
      </w:r>
    </w:p>
    <w:p w:rsidR="00630057" w:rsidRDefault="00AD607C" w:rsidP="00CE4480">
      <w:pPr>
        <w:pStyle w:val="tSubpara"/>
      </w:pPr>
      <w:r>
        <w:tab/>
        <w:t>(iii)</w:t>
      </w:r>
      <w:r>
        <w:tab/>
      </w:r>
      <w:r w:rsidR="00497FA0">
        <w:t xml:space="preserve">is </w:t>
      </w:r>
      <w:r w:rsidR="00CE4480">
        <w:t>accompanied by</w:t>
      </w:r>
      <w:r w:rsidR="00F56C5A">
        <w:t>:</w:t>
      </w:r>
    </w:p>
    <w:p w:rsidR="00630057" w:rsidRDefault="00630057" w:rsidP="00630057">
      <w:pPr>
        <w:pStyle w:val="tSubsub"/>
      </w:pPr>
      <w:r>
        <w:tab/>
        <w:t>(A)</w:t>
      </w:r>
      <w:r>
        <w:tab/>
        <w:t xml:space="preserve">a </w:t>
      </w:r>
      <w:r w:rsidRPr="00630057">
        <w:t>foreign country processing declaration</w:t>
      </w:r>
      <w:r w:rsidR="00F56C5A">
        <w:t>;</w:t>
      </w:r>
      <w:r>
        <w:t xml:space="preserve"> and</w:t>
      </w:r>
    </w:p>
    <w:p w:rsidR="00F56C5A" w:rsidRDefault="00630057" w:rsidP="00630057">
      <w:pPr>
        <w:pStyle w:val="tSubsub"/>
      </w:pPr>
      <w:r>
        <w:tab/>
        <w:t>(B)</w:t>
      </w:r>
      <w:r>
        <w:tab/>
        <w:t xml:space="preserve">a </w:t>
      </w:r>
      <w:r w:rsidR="00C441BB">
        <w:t>foreign country health certificate</w:t>
      </w:r>
      <w:r w:rsidR="00F56C5A">
        <w:t>;</w:t>
      </w:r>
    </w:p>
    <w:p w:rsidR="00630057" w:rsidRDefault="00F56C5A" w:rsidP="00F56C5A">
      <w:pPr>
        <w:pStyle w:val="tSubpara"/>
      </w:pPr>
      <w:r>
        <w:tab/>
      </w:r>
      <w:r>
        <w:tab/>
        <w:t>that relates to the product;</w:t>
      </w:r>
      <w:r w:rsidR="00A11319">
        <w:t xml:space="preserve"> and</w:t>
      </w:r>
    </w:p>
    <w:p w:rsidR="00791D45" w:rsidRDefault="00A11319" w:rsidP="00DE6D58">
      <w:pPr>
        <w:pStyle w:val="tSubpara"/>
      </w:pPr>
      <w:r>
        <w:tab/>
        <w:t>(iv)</w:t>
      </w:r>
      <w:r>
        <w:tab/>
        <w:t>is not covered by paragraph (i)</w:t>
      </w:r>
      <w:r w:rsidR="00072907">
        <w:t>.</w:t>
      </w:r>
    </w:p>
    <w:p w:rsidR="006C5D38" w:rsidRDefault="00E07710" w:rsidP="006C5D38">
      <w:pPr>
        <w:pStyle w:val="h5SchItem"/>
      </w:pPr>
      <w:r>
        <w:t>3</w:t>
      </w:r>
      <w:r w:rsidR="006C5D38">
        <w:tab/>
        <w:t>Subsection 7(4)</w:t>
      </w:r>
    </w:p>
    <w:p w:rsidR="006C5D38" w:rsidRDefault="006C5D38" w:rsidP="00A611F7">
      <w:pPr>
        <w:pStyle w:val="tMain"/>
      </w:pPr>
      <w:r>
        <w:tab/>
      </w:r>
      <w:r>
        <w:tab/>
      </w:r>
      <w:r w:rsidR="00A611F7">
        <w:t>Omit “and (i)”, substitute “, (i) and (j)”.</w:t>
      </w:r>
    </w:p>
    <w:p w:rsidR="00EC43C2" w:rsidRDefault="00EC43C2" w:rsidP="00A611F7">
      <w:pPr>
        <w:pStyle w:val="tMain"/>
      </w:pPr>
    </w:p>
    <w:p w:rsidR="00EC43C2" w:rsidRDefault="00EC43C2" w:rsidP="00A611F7">
      <w:pPr>
        <w:pStyle w:val="tMain"/>
      </w:pPr>
    </w:p>
    <w:p w:rsidR="006C5D38" w:rsidRDefault="006C5D38" w:rsidP="00791D45">
      <w:pPr>
        <w:pStyle w:val="nDrafterComment"/>
      </w:pPr>
    </w:p>
    <w:p w:rsidR="00DE73A8" w:rsidRDefault="00DE73A8" w:rsidP="00485612">
      <w:pPr>
        <w:tabs>
          <w:tab w:val="left" w:pos="6426"/>
        </w:tabs>
        <w:spacing w:line="240" w:lineRule="auto"/>
        <w:rPr>
          <w:b/>
          <w:sz w:val="28"/>
          <w:szCs w:val="28"/>
        </w:rPr>
      </w:pPr>
    </w:p>
    <w:p w:rsidR="0082144D" w:rsidRDefault="0082144D" w:rsidP="00485612">
      <w:pPr>
        <w:tabs>
          <w:tab w:val="left" w:pos="6426"/>
        </w:tabs>
        <w:spacing w:line="240" w:lineRule="auto"/>
        <w:rPr>
          <w:b/>
          <w:sz w:val="28"/>
          <w:szCs w:val="28"/>
        </w:rPr>
        <w:sectPr w:rsidR="0082144D" w:rsidSect="00DE73A8">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440" w:right="1440" w:bottom="1440" w:left="1440" w:header="709" w:footer="709" w:gutter="0"/>
          <w:cols w:space="708"/>
          <w:titlePg/>
          <w:docGrid w:linePitch="360"/>
        </w:sectPr>
      </w:pPr>
    </w:p>
    <w:p w:rsidR="00DE73A8" w:rsidRDefault="00DE73A8" w:rsidP="00DE73A8">
      <w:pPr>
        <w:spacing w:line="240" w:lineRule="auto"/>
        <w:rPr>
          <w:b/>
          <w:sz w:val="28"/>
          <w:szCs w:val="28"/>
        </w:rPr>
      </w:pPr>
      <w:r>
        <w:rPr>
          <w:b/>
          <w:sz w:val="28"/>
          <w:szCs w:val="28"/>
        </w:rPr>
        <w:br w:type="page"/>
      </w:r>
    </w:p>
    <w:p w:rsidR="00E12F4F" w:rsidRPr="00F012C0" w:rsidRDefault="00E12F4F" w:rsidP="00E12F4F">
      <w:pPr>
        <w:pStyle w:val="h1Sch"/>
        <w:rPr>
          <w:b w:val="0"/>
        </w:rPr>
      </w:pPr>
      <w:bookmarkStart w:id="19" w:name="_Toc478738321"/>
      <w:r w:rsidRPr="00D72C04">
        <w:lastRenderedPageBreak/>
        <w:t xml:space="preserve">Schedule </w:t>
      </w:r>
      <w:r>
        <w:t>3</w:t>
      </w:r>
      <w:r w:rsidRPr="00D72C04">
        <w:t>—</w:t>
      </w:r>
      <w:r>
        <w:t>Reasons</w:t>
      </w:r>
      <w:r w:rsidRPr="00D72C04">
        <w:t>—</w:t>
      </w:r>
      <w:r w:rsidR="00C003E5">
        <w:t>reasons for the amendments set out in Schedule 1</w:t>
      </w:r>
      <w:bookmarkEnd w:id="19"/>
    </w:p>
    <w:p w:rsidR="00E12F4F" w:rsidRDefault="00E12F4F" w:rsidP="00E12F4F">
      <w:pPr>
        <w:pStyle w:val="ntoHeading"/>
      </w:pPr>
      <w:r w:rsidRPr="00791EBC">
        <w:t>Note:</w:t>
      </w:r>
      <w:r w:rsidRPr="00791EBC">
        <w:tab/>
        <w:t xml:space="preserve">See </w:t>
      </w:r>
      <w:r>
        <w:t>subp</w:t>
      </w:r>
      <w:r w:rsidRPr="00791EBC">
        <w:t xml:space="preserve">aragraph </w:t>
      </w:r>
      <w:r w:rsidR="00297081">
        <w:t>5(b)(i)</w:t>
      </w:r>
      <w:r w:rsidRPr="00791EBC">
        <w:t>.</w:t>
      </w:r>
    </w:p>
    <w:p w:rsidR="00E12F4F" w:rsidRPr="00791EBC" w:rsidRDefault="00E12F4F" w:rsidP="00E12F4F">
      <w:pPr>
        <w:pStyle w:val="ntoHeading"/>
      </w:pPr>
    </w:p>
    <w:p w:rsidR="00640090" w:rsidRDefault="00640090" w:rsidP="00C003E5">
      <w:pPr>
        <w:pStyle w:val="Scheduletext"/>
      </w:pPr>
      <w:r>
        <w:t xml:space="preserve">The </w:t>
      </w:r>
      <w:r w:rsidR="001208A6">
        <w:t xml:space="preserve">principal </w:t>
      </w:r>
      <w:r>
        <w:t xml:space="preserve">determination currently refers to a movement control order as notified in the </w:t>
      </w:r>
      <w:r w:rsidR="001208A6">
        <w:t>“</w:t>
      </w:r>
      <w:r>
        <w:t>Movement Control Order Notice (Logan and Albert Rivers) – White Spot Syndrome Virus</w:t>
      </w:r>
      <w:r w:rsidR="001208A6">
        <w:t>”</w:t>
      </w:r>
      <w:r>
        <w:t xml:space="preserve">, which was made under the </w:t>
      </w:r>
      <w:r>
        <w:rPr>
          <w:i/>
        </w:rPr>
        <w:t xml:space="preserve">Biosecurity Act 2014 </w:t>
      </w:r>
      <w:r>
        <w:t>(Qld), on 20 January 2017.</w:t>
      </w:r>
    </w:p>
    <w:p w:rsidR="00640090" w:rsidRDefault="00640090" w:rsidP="00C003E5">
      <w:pPr>
        <w:pStyle w:val="Scheduletext"/>
      </w:pPr>
      <w:r>
        <w:t>This movement control order has since been re</w:t>
      </w:r>
      <w:r>
        <w:noBreakHyphen/>
        <w:t>made.</w:t>
      </w:r>
    </w:p>
    <w:p w:rsidR="00640090" w:rsidRDefault="00640090" w:rsidP="00C003E5">
      <w:pPr>
        <w:pStyle w:val="Scheduletext"/>
      </w:pPr>
      <w:r>
        <w:t>The amendments set out in Schedule 1 are to ensure that the determination operates with respect to relevant movement control orders of this type as they are currently in force, and as they are updated into the future.</w:t>
      </w:r>
    </w:p>
    <w:p w:rsidR="00C003E5" w:rsidRPr="00C003E5" w:rsidRDefault="00C003E5" w:rsidP="00C003E5">
      <w:pPr>
        <w:pStyle w:val="Scheduletext"/>
        <w:rPr>
          <w:b/>
          <w:bCs/>
          <w:lang w:val="en-AU" w:eastAsia="ja-JP"/>
        </w:rPr>
      </w:pPr>
    </w:p>
    <w:p w:rsidR="00C003E5" w:rsidRPr="00C003E5" w:rsidRDefault="00C003E5" w:rsidP="00C003E5">
      <w:pPr>
        <w:pStyle w:val="Scheduletext"/>
        <w:rPr>
          <w:bCs/>
          <w:lang w:val="en-AU" w:eastAsia="ja-JP"/>
        </w:rPr>
      </w:pPr>
    </w:p>
    <w:p w:rsidR="00E12F4F" w:rsidRDefault="00E12F4F" w:rsidP="00E12F4F">
      <w:pPr>
        <w:tabs>
          <w:tab w:val="left" w:pos="6426"/>
        </w:tabs>
        <w:spacing w:line="240" w:lineRule="auto"/>
        <w:rPr>
          <w:b/>
          <w:sz w:val="28"/>
          <w:szCs w:val="28"/>
        </w:rPr>
      </w:pPr>
    </w:p>
    <w:p w:rsidR="00E12F4F" w:rsidRDefault="00E12F4F" w:rsidP="00E12F4F">
      <w:pPr>
        <w:tabs>
          <w:tab w:val="left" w:pos="6426"/>
        </w:tabs>
        <w:spacing w:line="240" w:lineRule="auto"/>
        <w:rPr>
          <w:b/>
          <w:sz w:val="28"/>
          <w:szCs w:val="28"/>
        </w:rPr>
        <w:sectPr w:rsidR="00E12F4F" w:rsidSect="00DE73A8">
          <w:headerReference w:type="even" r:id="rId27"/>
          <w:headerReference w:type="default" r:id="rId28"/>
          <w:footerReference w:type="even" r:id="rId29"/>
          <w:footerReference w:type="default" r:id="rId30"/>
          <w:headerReference w:type="first" r:id="rId31"/>
          <w:footerReference w:type="first" r:id="rId32"/>
          <w:type w:val="continuous"/>
          <w:pgSz w:w="11906" w:h="16838"/>
          <w:pgMar w:top="1440" w:right="1440" w:bottom="1440" w:left="1440" w:header="709" w:footer="709" w:gutter="0"/>
          <w:cols w:space="708"/>
          <w:titlePg/>
          <w:docGrid w:linePitch="360"/>
        </w:sectPr>
      </w:pPr>
    </w:p>
    <w:p w:rsidR="00E12F4F" w:rsidRDefault="00E12F4F" w:rsidP="00E12F4F">
      <w:pPr>
        <w:spacing w:line="240" w:lineRule="auto"/>
        <w:rPr>
          <w:b/>
          <w:sz w:val="28"/>
          <w:szCs w:val="28"/>
        </w:rPr>
      </w:pPr>
      <w:r>
        <w:rPr>
          <w:b/>
          <w:sz w:val="28"/>
          <w:szCs w:val="28"/>
        </w:rPr>
        <w:br w:type="page"/>
      </w:r>
    </w:p>
    <w:p w:rsidR="005B0A17" w:rsidRPr="00F012C0" w:rsidRDefault="00DE73A8" w:rsidP="005B0A17">
      <w:pPr>
        <w:pStyle w:val="h1Sch"/>
        <w:rPr>
          <w:b w:val="0"/>
        </w:rPr>
      </w:pPr>
      <w:bookmarkStart w:id="20" w:name="_Toc478738322"/>
      <w:r w:rsidRPr="00D72C04">
        <w:lastRenderedPageBreak/>
        <w:t xml:space="preserve">Schedule </w:t>
      </w:r>
      <w:r w:rsidR="00E12F4F">
        <w:t>4</w:t>
      </w:r>
      <w:r w:rsidRPr="00D72C04">
        <w:t>—</w:t>
      </w:r>
      <w:r w:rsidR="005B0A17">
        <w:t>Reasons</w:t>
      </w:r>
      <w:r w:rsidR="005B0A17" w:rsidRPr="00D72C04">
        <w:t>—</w:t>
      </w:r>
      <w:r w:rsidR="00F204C5">
        <w:t>A</w:t>
      </w:r>
      <w:r w:rsidR="00F204C5" w:rsidRPr="00F204C5">
        <w:t>ustralian wild-caught prawns processed overseas and re</w:t>
      </w:r>
      <w:r w:rsidR="00F204C5">
        <w:noBreakHyphen/>
      </w:r>
      <w:r w:rsidR="00F204C5" w:rsidRPr="00F204C5">
        <w:t>exported to Australia</w:t>
      </w:r>
      <w:bookmarkEnd w:id="20"/>
    </w:p>
    <w:p w:rsidR="005B0A17" w:rsidRDefault="005B0A17" w:rsidP="005B0A17">
      <w:pPr>
        <w:pStyle w:val="ntoHeading"/>
      </w:pPr>
      <w:r w:rsidRPr="00791EBC">
        <w:t>Note:</w:t>
      </w:r>
      <w:r w:rsidRPr="00791EBC">
        <w:tab/>
        <w:t xml:space="preserve">See </w:t>
      </w:r>
      <w:r>
        <w:t>subp</w:t>
      </w:r>
      <w:r w:rsidRPr="00791EBC">
        <w:t xml:space="preserve">aragraph </w:t>
      </w:r>
      <w:r w:rsidR="00297081">
        <w:t>5(b)(ii)</w:t>
      </w:r>
      <w:r w:rsidRPr="00791EBC">
        <w:t>.</w:t>
      </w:r>
    </w:p>
    <w:p w:rsidR="005B0A17" w:rsidRPr="00791EBC" w:rsidRDefault="005B0A17" w:rsidP="005B0A17">
      <w:pPr>
        <w:pStyle w:val="ntoHeading"/>
      </w:pPr>
    </w:p>
    <w:p w:rsidR="00F012C0" w:rsidRDefault="00321DAD" w:rsidP="00F012C0">
      <w:pPr>
        <w:pStyle w:val="Scheduletext"/>
        <w:rPr>
          <w:bCs/>
          <w:lang w:val="en-AU" w:eastAsia="ja-JP"/>
        </w:rPr>
      </w:pPr>
      <w:r w:rsidRPr="00810EC6">
        <w:rPr>
          <w:bCs/>
          <w:lang w:val="en-AU" w:eastAsia="ja-JP"/>
        </w:rPr>
        <w:t xml:space="preserve">In light of the amendments to be made to the </w:t>
      </w:r>
      <w:r w:rsidR="00D5778C" w:rsidRPr="00810EC6">
        <w:rPr>
          <w:bCs/>
          <w:lang w:val="en-AU" w:eastAsia="ja-JP"/>
        </w:rPr>
        <w:t xml:space="preserve">principal </w:t>
      </w:r>
      <w:r w:rsidRPr="00810EC6">
        <w:rPr>
          <w:bCs/>
          <w:lang w:val="en-AU" w:eastAsia="ja-JP"/>
        </w:rPr>
        <w:t xml:space="preserve">determination, uncooked </w:t>
      </w:r>
      <w:r w:rsidR="00F012C0" w:rsidRPr="00F012C0">
        <w:rPr>
          <w:bCs/>
          <w:lang w:val="en-AU" w:eastAsia="ja-JP"/>
        </w:rPr>
        <w:t>Australian wild-caught prawns exported overseas for processing, and re-exported to Australia</w:t>
      </w:r>
      <w:r w:rsidR="00F204C5">
        <w:rPr>
          <w:bCs/>
          <w:lang w:val="en-AU" w:eastAsia="ja-JP"/>
        </w:rPr>
        <w:t>,</w:t>
      </w:r>
      <w:r w:rsidR="00F012C0" w:rsidRPr="00F012C0">
        <w:rPr>
          <w:bCs/>
          <w:lang w:val="en-AU" w:eastAsia="ja-JP"/>
        </w:rPr>
        <w:t xml:space="preserve"> represent an acceptable level of biosecurity risk that meets Australia’s ALOP on the basis that:</w:t>
      </w:r>
    </w:p>
    <w:p w:rsidR="00F012C0" w:rsidRPr="00F012C0" w:rsidRDefault="00F012C0" w:rsidP="00F012C0">
      <w:pPr>
        <w:pStyle w:val="Schedulebullets1"/>
        <w:rPr>
          <w:lang w:val="en-AU" w:eastAsia="ja-JP"/>
        </w:rPr>
      </w:pPr>
      <w:r>
        <w:sym w:font="Symbol" w:char="F0B7"/>
      </w:r>
      <w:r>
        <w:tab/>
      </w:r>
      <w:r w:rsidRPr="00F012C0">
        <w:t>With</w:t>
      </w:r>
      <w:r w:rsidRPr="00F012C0">
        <w:rPr>
          <w:bCs/>
          <w:lang w:val="en-AU" w:eastAsia="ja-JP"/>
        </w:rPr>
        <w:t xml:space="preserve"> the exception of the area </w:t>
      </w:r>
      <w:r w:rsidR="00321DAD" w:rsidRPr="00810EC6">
        <w:rPr>
          <w:bCs/>
          <w:lang w:val="en-AU" w:eastAsia="ja-JP"/>
        </w:rPr>
        <w:t>of the current outbreak (paragraph 5(d) of the principal determination)</w:t>
      </w:r>
      <w:r w:rsidRPr="00F012C0">
        <w:rPr>
          <w:bCs/>
          <w:lang w:val="en-AU" w:eastAsia="ja-JP"/>
        </w:rPr>
        <w:t>, Australia’s territorial waters are considered free of WSSV.</w:t>
      </w:r>
    </w:p>
    <w:p w:rsidR="00F012C0" w:rsidRPr="00F012C0" w:rsidRDefault="00F012C0" w:rsidP="00F012C0">
      <w:pPr>
        <w:pStyle w:val="Schedulebullets1"/>
        <w:rPr>
          <w:bCs/>
          <w:lang w:val="en-AU" w:eastAsia="ja-JP"/>
        </w:rPr>
      </w:pPr>
      <w:r>
        <w:sym w:font="Symbol" w:char="F0B7"/>
      </w:r>
      <w:r>
        <w:tab/>
      </w:r>
      <w:r w:rsidRPr="00F012C0">
        <w:rPr>
          <w:bCs/>
          <w:lang w:val="en-AU" w:eastAsia="ja-JP"/>
        </w:rPr>
        <w:t>Prior to the</w:t>
      </w:r>
      <w:r w:rsidR="00321DAD">
        <w:rPr>
          <w:bCs/>
          <w:lang w:val="en-AU" w:eastAsia="ja-JP"/>
        </w:rPr>
        <w:t xml:space="preserve"> </w:t>
      </w:r>
      <w:r w:rsidR="00321DAD" w:rsidRPr="00810EC6">
        <w:rPr>
          <w:bCs/>
          <w:lang w:val="en-AU" w:eastAsia="ja-JP"/>
        </w:rPr>
        <w:t>principal determination</w:t>
      </w:r>
      <w:r w:rsidRPr="00F012C0">
        <w:rPr>
          <w:bCs/>
          <w:lang w:val="en-AU" w:eastAsia="ja-JP"/>
        </w:rPr>
        <w:t>, Australian wild-caught prawns were exported to Vietnam, Indonesia, China and other overseas countries for processing and re-export to Australia. Prawns imported into Australia through these arrangements were subject to on-arrival testing for WSSV and YHV in line with the import policy for uncooked prawns and uncooked prawn meat from all countries, other than New Caledonia.</w:t>
      </w:r>
    </w:p>
    <w:p w:rsidR="00F012C0" w:rsidRPr="00F012C0" w:rsidRDefault="00F012C0" w:rsidP="00F012C0">
      <w:pPr>
        <w:pStyle w:val="Schedulebullets1"/>
        <w:rPr>
          <w:bCs/>
          <w:lang w:val="en-AU" w:eastAsia="ja-JP"/>
        </w:rPr>
      </w:pPr>
      <w:r>
        <w:sym w:font="Symbol" w:char="F0B7"/>
      </w:r>
      <w:r>
        <w:tab/>
      </w:r>
      <w:r w:rsidRPr="00F012C0">
        <w:rPr>
          <w:bCs/>
          <w:lang w:val="en-AU" w:eastAsia="ja-JP"/>
        </w:rPr>
        <w:t>With the exception of t</w:t>
      </w:r>
      <w:r w:rsidR="008C1C66">
        <w:rPr>
          <w:bCs/>
          <w:lang w:val="en-AU" w:eastAsia="ja-JP"/>
        </w:rPr>
        <w:t>he Thai Department of Fisheries</w:t>
      </w:r>
      <w:r w:rsidRPr="00F012C0">
        <w:rPr>
          <w:bCs/>
          <w:lang w:val="en-AU" w:eastAsia="ja-JP"/>
        </w:rPr>
        <w:t xml:space="preserve">, the Department has not assessed the relevant exporting country </w:t>
      </w:r>
      <w:r w:rsidR="000F1A7B">
        <w:rPr>
          <w:bCs/>
          <w:lang w:val="en-AU" w:eastAsia="ja-JP"/>
        </w:rPr>
        <w:t>overseas</w:t>
      </w:r>
      <w:r w:rsidRPr="00F012C0">
        <w:rPr>
          <w:bCs/>
          <w:lang w:val="en-AU" w:eastAsia="ja-JP"/>
        </w:rPr>
        <w:t xml:space="preserve"> </w:t>
      </w:r>
      <w:r w:rsidR="008C1C66">
        <w:rPr>
          <w:bCs/>
          <w:lang w:val="en-AU" w:eastAsia="ja-JP"/>
        </w:rPr>
        <w:t>a</w:t>
      </w:r>
      <w:r w:rsidRPr="00F012C0">
        <w:rPr>
          <w:bCs/>
          <w:lang w:val="en-AU" w:eastAsia="ja-JP"/>
        </w:rPr>
        <w:t>uthorities for their ability to oversee a secure supply chain for processing Australian-origin prawns.</w:t>
      </w:r>
    </w:p>
    <w:p w:rsidR="00F012C0" w:rsidRDefault="00F012C0" w:rsidP="00F012C0">
      <w:pPr>
        <w:pStyle w:val="Schedulebullets1"/>
        <w:rPr>
          <w:bCs/>
          <w:lang w:val="en-AU" w:eastAsia="ja-JP"/>
        </w:rPr>
      </w:pPr>
      <w:r>
        <w:sym w:font="Symbol" w:char="F0B7"/>
      </w:r>
      <w:r>
        <w:tab/>
      </w:r>
      <w:r w:rsidR="00810EC6">
        <w:rPr>
          <w:bCs/>
          <w:lang w:val="en-AU" w:eastAsia="ja-JP"/>
        </w:rPr>
        <w:t>Although Australian wild caught prawns are considered free of WSSV (except those sourced from the area defined in Queensland’s Movement Control Order for WSSV) and YHV,</w:t>
      </w:r>
      <w:r w:rsidR="00810EC6" w:rsidRPr="00F012C0">
        <w:rPr>
          <w:bCs/>
          <w:lang w:val="en-AU" w:eastAsia="ja-JP"/>
        </w:rPr>
        <w:t xml:space="preserve"> </w:t>
      </w:r>
      <w:r w:rsidR="00810EC6">
        <w:rPr>
          <w:bCs/>
          <w:lang w:val="en-AU" w:eastAsia="ja-JP"/>
        </w:rPr>
        <w:t>when processed overseas there may be opportunities for these prawns to be contaminated with WSSV or YHV or substituted with potentially diseased prawns.</w:t>
      </w:r>
      <w:r w:rsidRPr="00F012C0">
        <w:rPr>
          <w:bCs/>
          <w:lang w:val="en-AU" w:eastAsia="ja-JP"/>
        </w:rPr>
        <w:t xml:space="preserve"> A</w:t>
      </w:r>
      <w:r w:rsidR="008C1C66">
        <w:rPr>
          <w:bCs/>
          <w:lang w:val="en-AU" w:eastAsia="ja-JP"/>
        </w:rPr>
        <w:t xml:space="preserve"> secure supply chain </w:t>
      </w:r>
      <w:r w:rsidRPr="00F012C0">
        <w:rPr>
          <w:bCs/>
          <w:lang w:val="en-AU" w:eastAsia="ja-JP"/>
        </w:rPr>
        <w:t>was considered necessary to reduce the likelihood of contamination or substitution throughout processing.</w:t>
      </w:r>
    </w:p>
    <w:p w:rsidR="00417FB9" w:rsidRDefault="00417FB9" w:rsidP="00417FB9">
      <w:pPr>
        <w:pStyle w:val="Scheduletext"/>
      </w:pPr>
      <w:r>
        <w:t>Residual b</w:t>
      </w:r>
      <w:r w:rsidR="00297081" w:rsidRPr="00417FB9">
        <w:rPr>
          <w:bCs/>
          <w:lang w:val="en-AU" w:eastAsia="ja-JP"/>
        </w:rPr>
        <w:t>iosecurity</w:t>
      </w:r>
      <w:r w:rsidR="00297081">
        <w:t xml:space="preserve"> risk </w:t>
      </w:r>
      <w:r w:rsidR="00F61312">
        <w:t>can</w:t>
      </w:r>
      <w:r w:rsidR="00297081">
        <w:t xml:space="preserve"> be </w:t>
      </w:r>
      <w:r>
        <w:t>further addressed by measures available under the Act. These include but are not limited to the following processes:</w:t>
      </w:r>
    </w:p>
    <w:p w:rsidR="00417FB9" w:rsidRDefault="00417FB9" w:rsidP="00417FB9">
      <w:pPr>
        <w:pStyle w:val="Schedulebullets1"/>
      </w:pPr>
      <w:r>
        <w:sym w:font="Symbol" w:char="F0B7"/>
      </w:r>
      <w:r>
        <w:tab/>
        <w:t>The imposition of conditions on import permits, such as requirements for:</w:t>
      </w:r>
    </w:p>
    <w:p w:rsidR="00F012C0" w:rsidRDefault="00F012C0" w:rsidP="00F012C0">
      <w:pPr>
        <w:pStyle w:val="Schedulebullets2"/>
        <w:rPr>
          <w:bCs/>
          <w:lang w:val="en-AU" w:eastAsia="ja-JP"/>
        </w:rPr>
      </w:pPr>
      <w:r>
        <w:rPr>
          <w:lang w:eastAsia="ja-JP"/>
        </w:rPr>
        <w:t>–</w:t>
      </w:r>
      <w:r w:rsidRPr="00F012C0">
        <w:rPr>
          <w:lang w:eastAsia="ja-JP"/>
        </w:rPr>
        <w:tab/>
      </w:r>
      <w:r w:rsidR="00D35DDC">
        <w:rPr>
          <w:lang w:eastAsia="ja-JP"/>
        </w:rPr>
        <w:t>a</w:t>
      </w:r>
      <w:r w:rsidRPr="00F012C0">
        <w:rPr>
          <w:lang w:eastAsia="ja-JP"/>
        </w:rPr>
        <w:t xml:space="preserve"> declaration by the </w:t>
      </w:r>
      <w:r w:rsidR="000F1A7B">
        <w:rPr>
          <w:bCs/>
          <w:lang w:val="en-AU" w:eastAsia="ja-JP"/>
        </w:rPr>
        <w:t>overseas</w:t>
      </w:r>
      <w:r w:rsidR="008C1C66">
        <w:rPr>
          <w:bCs/>
          <w:lang w:val="en-AU" w:eastAsia="ja-JP"/>
        </w:rPr>
        <w:t xml:space="preserve"> authority</w:t>
      </w:r>
      <w:r w:rsidR="008C1C66" w:rsidRPr="00F012C0">
        <w:rPr>
          <w:bCs/>
          <w:lang w:val="en-AU" w:eastAsia="ja-JP"/>
        </w:rPr>
        <w:t xml:space="preserve"> </w:t>
      </w:r>
      <w:r w:rsidRPr="00F012C0">
        <w:rPr>
          <w:lang w:eastAsia="ja-JP"/>
        </w:rPr>
        <w:t>on an official health certificate that the imported prawns are</w:t>
      </w:r>
      <w:r w:rsidRPr="00F012C0">
        <w:rPr>
          <w:bCs/>
          <w:lang w:val="en-AU" w:eastAsia="ja-JP"/>
        </w:rPr>
        <w:t xml:space="preserve"> wild-caught prawns of Australian origin, processed at a</w:t>
      </w:r>
      <w:r w:rsidR="00E948BA">
        <w:rPr>
          <w:bCs/>
          <w:lang w:val="en-AU" w:eastAsia="ja-JP"/>
        </w:rPr>
        <w:t>n</w:t>
      </w:r>
      <w:r w:rsidRPr="00F012C0">
        <w:rPr>
          <w:bCs/>
          <w:lang w:val="en-AU" w:eastAsia="ja-JP"/>
        </w:rPr>
        <w:t xml:space="preserve"> </w:t>
      </w:r>
      <w:r w:rsidR="000F1A7B">
        <w:rPr>
          <w:bCs/>
          <w:lang w:val="en-AU" w:eastAsia="ja-JP"/>
        </w:rPr>
        <w:t>overseas</w:t>
      </w:r>
      <w:r w:rsidR="008C1C66">
        <w:rPr>
          <w:bCs/>
          <w:lang w:val="en-AU" w:eastAsia="ja-JP"/>
        </w:rPr>
        <w:t xml:space="preserve"> authority</w:t>
      </w:r>
      <w:r w:rsidRPr="00F012C0">
        <w:rPr>
          <w:bCs/>
          <w:lang w:val="en-AU" w:eastAsia="ja-JP"/>
        </w:rPr>
        <w:t xml:space="preserve">-approved establishment with procedures in place to ensure segregation from non-Australian origin prawn products </w:t>
      </w:r>
      <w:r w:rsidR="00D24835">
        <w:rPr>
          <w:bCs/>
          <w:lang w:val="en-AU" w:eastAsia="ja-JP"/>
        </w:rPr>
        <w:t xml:space="preserve">and other sources of contamination </w:t>
      </w:r>
      <w:r w:rsidRPr="00F012C0">
        <w:rPr>
          <w:bCs/>
          <w:lang w:val="en-AU" w:eastAsia="ja-JP"/>
        </w:rPr>
        <w:t>throughout transport, processing and storage</w:t>
      </w:r>
      <w:r w:rsidR="00D35DDC">
        <w:rPr>
          <w:bCs/>
          <w:lang w:val="en-AU" w:eastAsia="ja-JP"/>
        </w:rPr>
        <w:t>; and</w:t>
      </w:r>
    </w:p>
    <w:p w:rsidR="00F012C0" w:rsidRDefault="00F012C0" w:rsidP="00F012C0">
      <w:pPr>
        <w:pStyle w:val="Schedulebullets2"/>
        <w:rPr>
          <w:bCs/>
          <w:lang w:val="en-AU" w:eastAsia="ja-JP"/>
        </w:rPr>
      </w:pPr>
      <w:r>
        <w:rPr>
          <w:lang w:eastAsia="ja-JP"/>
        </w:rPr>
        <w:t>–</w:t>
      </w:r>
      <w:r w:rsidRPr="00F012C0">
        <w:rPr>
          <w:bCs/>
          <w:lang w:val="en-AU" w:eastAsia="ja-JP"/>
        </w:rPr>
        <w:tab/>
      </w:r>
      <w:r w:rsidR="00D35DDC">
        <w:rPr>
          <w:lang w:eastAsia="ja-JP"/>
        </w:rPr>
        <w:t>e</w:t>
      </w:r>
      <w:r w:rsidR="00D24835" w:rsidRPr="00D24835">
        <w:rPr>
          <w:lang w:eastAsia="ja-JP"/>
        </w:rPr>
        <w:t>xporting country certification that all batches of processed uncooked prawns are found to be free of WSSV and YHV based on an OIE-recognised testing method to confirm freedom from disease. Overseas authority certification supports risk management across the biosecurity continuum.</w:t>
      </w:r>
    </w:p>
    <w:p w:rsidR="00F012C0" w:rsidRDefault="00D24835" w:rsidP="00D24835">
      <w:pPr>
        <w:pStyle w:val="Schedulebullets1"/>
        <w:rPr>
          <w:bCs/>
          <w:lang w:val="en-AU" w:eastAsia="ja-JP"/>
        </w:rPr>
      </w:pPr>
      <w:r>
        <w:sym w:font="Symbol" w:char="F0B7"/>
      </w:r>
      <w:r>
        <w:tab/>
      </w:r>
      <w:r w:rsidR="00F012C0" w:rsidRPr="00F012C0">
        <w:rPr>
          <w:bCs/>
          <w:lang w:val="en-AU" w:eastAsia="ja-JP"/>
        </w:rPr>
        <w:t xml:space="preserve">The </w:t>
      </w:r>
      <w:r w:rsidR="008C1C66">
        <w:rPr>
          <w:bCs/>
          <w:lang w:val="en-AU" w:eastAsia="ja-JP"/>
        </w:rPr>
        <w:t>D</w:t>
      </w:r>
      <w:r w:rsidR="00F012C0" w:rsidRPr="00F012C0">
        <w:rPr>
          <w:bCs/>
          <w:lang w:val="en-AU" w:eastAsia="ja-JP"/>
        </w:rPr>
        <w:t>epartment</w:t>
      </w:r>
      <w:r w:rsidR="00F61312">
        <w:rPr>
          <w:bCs/>
          <w:lang w:val="en-AU" w:eastAsia="ja-JP"/>
        </w:rPr>
        <w:t xml:space="preserve"> is</w:t>
      </w:r>
      <w:r w:rsidR="00F012C0" w:rsidRPr="00F012C0">
        <w:rPr>
          <w:bCs/>
          <w:lang w:val="en-AU" w:eastAsia="ja-JP"/>
        </w:rPr>
        <w:t xml:space="preserve"> </w:t>
      </w:r>
      <w:r w:rsidR="00297081">
        <w:rPr>
          <w:bCs/>
          <w:lang w:val="en-AU" w:eastAsia="ja-JP"/>
        </w:rPr>
        <w:t>to</w:t>
      </w:r>
      <w:r w:rsidR="00F012C0" w:rsidRPr="00F012C0">
        <w:rPr>
          <w:bCs/>
          <w:lang w:val="en-AU" w:eastAsia="ja-JP"/>
        </w:rPr>
        <w:t xml:space="preserve"> be alerted by the overseas </w:t>
      </w:r>
      <w:r w:rsidR="008C1C66">
        <w:rPr>
          <w:bCs/>
          <w:lang w:val="en-AU" w:eastAsia="ja-JP"/>
        </w:rPr>
        <w:t>authority</w:t>
      </w:r>
      <w:r w:rsidR="008C1C66" w:rsidRPr="00F012C0">
        <w:rPr>
          <w:bCs/>
          <w:lang w:val="en-AU" w:eastAsia="ja-JP"/>
        </w:rPr>
        <w:t xml:space="preserve"> </w:t>
      </w:r>
      <w:r w:rsidR="00F012C0" w:rsidRPr="00F012C0">
        <w:rPr>
          <w:bCs/>
          <w:lang w:val="en-AU" w:eastAsia="ja-JP"/>
        </w:rPr>
        <w:t xml:space="preserve">if positive test results for WSSV or YHV are </w:t>
      </w:r>
      <w:r w:rsidR="00F012C0" w:rsidRPr="00F012C0">
        <w:rPr>
          <w:lang w:eastAsia="ja-JP"/>
        </w:rPr>
        <w:t>generated</w:t>
      </w:r>
      <w:r w:rsidR="00F012C0" w:rsidRPr="00F012C0">
        <w:rPr>
          <w:bCs/>
          <w:lang w:val="en-AU" w:eastAsia="ja-JP"/>
        </w:rPr>
        <w:t xml:space="preserve"> from consignments of Australian-origin prawns processed in the approved establishments.</w:t>
      </w:r>
    </w:p>
    <w:p w:rsidR="00F012C0" w:rsidRDefault="00F012C0" w:rsidP="00F012C0">
      <w:pPr>
        <w:pStyle w:val="Schedulebullets1"/>
        <w:rPr>
          <w:bCs/>
          <w:lang w:val="en-AU" w:eastAsia="ja-JP"/>
        </w:rPr>
      </w:pPr>
      <w:r>
        <w:lastRenderedPageBreak/>
        <w:sym w:font="Symbol" w:char="F0B7"/>
      </w:r>
      <w:r>
        <w:tab/>
      </w:r>
      <w:r w:rsidR="00D24835">
        <w:t>I</w:t>
      </w:r>
      <w:r w:rsidR="00297081">
        <w:t>ntervention on arrival. Measures may include:</w:t>
      </w:r>
    </w:p>
    <w:p w:rsidR="00D24835" w:rsidRDefault="00F012C0" w:rsidP="00D24835">
      <w:pPr>
        <w:pStyle w:val="Schedulebullets2"/>
      </w:pPr>
      <w:r>
        <w:rPr>
          <w:lang w:eastAsia="ja-JP"/>
        </w:rPr>
        <w:t>–</w:t>
      </w:r>
      <w:r>
        <w:tab/>
      </w:r>
      <w:r w:rsidR="00F61312">
        <w:t>i</w:t>
      </w:r>
      <w:r w:rsidR="00D24835">
        <w:t>ncreased on-arrival inspections of batches to ensure they meet the conditions specified on the import permit</w:t>
      </w:r>
      <w:r w:rsidR="00F61312">
        <w:t>; and</w:t>
      </w:r>
    </w:p>
    <w:p w:rsidR="00567C6F" w:rsidRDefault="00D24835" w:rsidP="00D24835">
      <w:pPr>
        <w:pStyle w:val="Schedulebullets2"/>
      </w:pPr>
      <w:r>
        <w:rPr>
          <w:lang w:eastAsia="ja-JP"/>
        </w:rPr>
        <w:t>–</w:t>
      </w:r>
      <w:r>
        <w:tab/>
      </w:r>
      <w:r w:rsidR="00F61312">
        <w:t>a</w:t>
      </w:r>
      <w:r>
        <w:t>n appropriate level of on-arrival testing for WSSV</w:t>
      </w:r>
      <w:r w:rsidR="004964E3">
        <w:t xml:space="preserve"> and YHV</w:t>
      </w:r>
      <w:r w:rsidR="00F61312">
        <w:t>; and</w:t>
      </w:r>
    </w:p>
    <w:p w:rsidR="00F012C0" w:rsidRPr="00F012C0" w:rsidRDefault="00D24835" w:rsidP="00D24835">
      <w:pPr>
        <w:pStyle w:val="Schedulebullets2"/>
        <w:rPr>
          <w:bCs/>
          <w:lang w:val="en-AU" w:eastAsia="ja-JP"/>
        </w:rPr>
      </w:pPr>
      <w:r>
        <w:rPr>
          <w:lang w:eastAsia="ja-JP"/>
        </w:rPr>
        <w:t>–</w:t>
      </w:r>
      <w:r>
        <w:tab/>
      </w:r>
      <w:r w:rsidR="00F61312">
        <w:t>h</w:t>
      </w:r>
      <w:r>
        <w:t>olding the product in a premises covered by an approved arrangement pending the outcome from inspection and/or testing.</w:t>
      </w:r>
    </w:p>
    <w:p w:rsidR="008F6921" w:rsidRDefault="00B954E6" w:rsidP="00B954E6">
      <w:pPr>
        <w:pStyle w:val="Schedulebullets1"/>
        <w:rPr>
          <w:bCs/>
          <w:lang w:val="en-AU" w:eastAsia="ja-JP"/>
        </w:rPr>
      </w:pPr>
      <w:r>
        <w:sym w:font="Symbol" w:char="F0B7"/>
      </w:r>
      <w:r w:rsidR="00297081" w:rsidRPr="00F012C0">
        <w:rPr>
          <w:bCs/>
          <w:lang w:val="en-AU" w:eastAsia="ja-JP"/>
        </w:rPr>
        <w:tab/>
      </w:r>
      <w:r>
        <w:t>S</w:t>
      </w:r>
      <w:r w:rsidR="008F6921" w:rsidRPr="00B954E6">
        <w:t>hould</w:t>
      </w:r>
      <w:r w:rsidR="008F6921" w:rsidRPr="00F012C0">
        <w:rPr>
          <w:bCs/>
          <w:lang w:val="en-AU" w:eastAsia="ja-JP"/>
        </w:rPr>
        <w:t xml:space="preserve"> a positive test result be found</w:t>
      </w:r>
      <w:r w:rsidR="00D24835">
        <w:rPr>
          <w:bCs/>
          <w:lang w:val="en-AU" w:eastAsia="ja-JP"/>
        </w:rPr>
        <w:t xml:space="preserve"> onshore</w:t>
      </w:r>
      <w:r w:rsidR="008F6921">
        <w:rPr>
          <w:bCs/>
          <w:lang w:val="en-AU" w:eastAsia="ja-JP"/>
        </w:rPr>
        <w:t>:</w:t>
      </w:r>
    </w:p>
    <w:p w:rsidR="008F6921" w:rsidRDefault="008F6921" w:rsidP="00B954E6">
      <w:pPr>
        <w:pStyle w:val="Schedulebullets2"/>
        <w:rPr>
          <w:lang w:val="en-AU" w:eastAsia="ja-JP"/>
        </w:rPr>
      </w:pPr>
      <w:r>
        <w:rPr>
          <w:lang w:val="en-AU" w:eastAsia="ja-JP"/>
        </w:rPr>
        <w:t xml:space="preserve">–  </w:t>
      </w:r>
      <w:r>
        <w:rPr>
          <w:lang w:val="en-AU" w:eastAsia="ja-JP"/>
        </w:rPr>
        <w:tab/>
      </w:r>
      <w:r w:rsidR="00F61312">
        <w:rPr>
          <w:lang w:val="en-AU" w:eastAsia="ja-JP"/>
        </w:rPr>
        <w:t>o</w:t>
      </w:r>
      <w:r w:rsidR="00F012C0" w:rsidRPr="00F012C0">
        <w:rPr>
          <w:lang w:val="en-AU" w:eastAsia="ja-JP"/>
        </w:rPr>
        <w:t xml:space="preserve">rdering the product to be exported from Australian territory, destroyed or </w:t>
      </w:r>
      <w:r w:rsidR="00297081">
        <w:rPr>
          <w:lang w:val="en-AU" w:eastAsia="ja-JP"/>
        </w:rPr>
        <w:t>treated</w:t>
      </w:r>
      <w:r w:rsidR="00F61312">
        <w:rPr>
          <w:lang w:val="en-AU" w:eastAsia="ja-JP"/>
        </w:rPr>
        <w:t xml:space="preserve">; </w:t>
      </w:r>
      <w:r w:rsidR="00B707D4">
        <w:rPr>
          <w:lang w:val="en-AU" w:eastAsia="ja-JP"/>
        </w:rPr>
        <w:t>and</w:t>
      </w:r>
    </w:p>
    <w:p w:rsidR="00903DE7" w:rsidRDefault="008F6921" w:rsidP="00B954E6">
      <w:pPr>
        <w:pStyle w:val="Schedulebullets2"/>
        <w:rPr>
          <w:lang w:val="en-AU" w:eastAsia="ja-JP"/>
        </w:rPr>
      </w:pPr>
      <w:r>
        <w:rPr>
          <w:lang w:val="en-AU" w:eastAsia="ja-JP"/>
        </w:rPr>
        <w:t xml:space="preserve">– </w:t>
      </w:r>
      <w:r>
        <w:rPr>
          <w:lang w:val="en-AU" w:eastAsia="ja-JP"/>
        </w:rPr>
        <w:tab/>
      </w:r>
      <w:r w:rsidR="00F61312">
        <w:rPr>
          <w:lang w:val="en-AU" w:eastAsia="ja-JP"/>
        </w:rPr>
        <w:t>i</w:t>
      </w:r>
      <w:r>
        <w:rPr>
          <w:lang w:val="en-AU" w:eastAsia="ja-JP"/>
        </w:rPr>
        <w:t xml:space="preserve">f </w:t>
      </w:r>
      <w:r w:rsidR="00F012C0" w:rsidRPr="00F012C0">
        <w:rPr>
          <w:lang w:val="en-AU" w:eastAsia="ja-JP"/>
        </w:rPr>
        <w:t>the importer request</w:t>
      </w:r>
      <w:r w:rsidR="00AE0F0A">
        <w:rPr>
          <w:lang w:val="en-AU" w:eastAsia="ja-JP"/>
        </w:rPr>
        <w:t>s it</w:t>
      </w:r>
      <w:r w:rsidR="00F012C0" w:rsidRPr="00F012C0">
        <w:rPr>
          <w:lang w:val="en-AU" w:eastAsia="ja-JP"/>
        </w:rPr>
        <w:t>,</w:t>
      </w:r>
      <w:r w:rsidR="00567C6F">
        <w:rPr>
          <w:lang w:val="en-AU" w:eastAsia="ja-JP"/>
        </w:rPr>
        <w:t xml:space="preserve"> and</w:t>
      </w:r>
      <w:r w:rsidR="00F012C0" w:rsidRPr="00F012C0">
        <w:rPr>
          <w:lang w:val="en-AU" w:eastAsia="ja-JP"/>
        </w:rPr>
        <w:t xml:space="preserve"> at the importer’s expense</w:t>
      </w:r>
      <w:r w:rsidR="00800464">
        <w:rPr>
          <w:lang w:val="en-AU" w:eastAsia="ja-JP"/>
        </w:rPr>
        <w:t xml:space="preserve">, conducting </w:t>
      </w:r>
      <w:r w:rsidR="00F012C0" w:rsidRPr="00F012C0">
        <w:rPr>
          <w:lang w:val="en-AU" w:eastAsia="ja-JP"/>
        </w:rPr>
        <w:t xml:space="preserve">a (positive </w:t>
      </w:r>
      <w:r w:rsidR="00F012C0" w:rsidRPr="00B954E6">
        <w:rPr>
          <w:bCs/>
          <w:lang w:val="en-AU" w:eastAsia="ja-JP"/>
        </w:rPr>
        <w:t>result</w:t>
      </w:r>
      <w:r w:rsidR="00F012C0" w:rsidRPr="00F012C0">
        <w:rPr>
          <w:lang w:val="en-AU" w:eastAsia="ja-JP"/>
        </w:rPr>
        <w:t xml:space="preserve">) retest at the </w:t>
      </w:r>
      <w:r w:rsidR="00F012C0" w:rsidRPr="00F012C0">
        <w:rPr>
          <w:lang w:eastAsia="ja-JP"/>
        </w:rPr>
        <w:t>Australian</w:t>
      </w:r>
      <w:r w:rsidR="00F012C0" w:rsidRPr="00F012C0">
        <w:rPr>
          <w:lang w:val="en-AU" w:eastAsia="ja-JP"/>
        </w:rPr>
        <w:t xml:space="preserve"> Animal Health Laboratory (AAHL).</w:t>
      </w:r>
    </w:p>
    <w:p w:rsidR="00903DE7" w:rsidRDefault="00903DE7" w:rsidP="00903DE7">
      <w:pPr>
        <w:pStyle w:val="Schedulebullets1"/>
        <w:rPr>
          <w:lang w:val="en-AU" w:eastAsia="ja-JP"/>
        </w:rPr>
      </w:pPr>
      <w:r>
        <w:tab/>
      </w:r>
    </w:p>
    <w:sectPr w:rsidR="00903DE7" w:rsidSect="00BA5020">
      <w:headerReference w:type="default" r:id="rId33"/>
      <w:footerReference w:type="default" r:id="rId34"/>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181" w:rsidRDefault="008E5181">
      <w:r>
        <w:separator/>
      </w:r>
    </w:p>
  </w:endnote>
  <w:endnote w:type="continuationSeparator" w:id="0">
    <w:p w:rsidR="008E5181" w:rsidRDefault="008E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57" w:rsidRDefault="00F07A5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Default="008E518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533235"/>
      <w:docPartObj>
        <w:docPartGallery w:val="Page Numbers (Bottom of Page)"/>
        <w:docPartUnique/>
      </w:docPartObj>
    </w:sdtPr>
    <w:sdtEndPr/>
    <w:sdtContent>
      <w:p w:rsidR="008E5181" w:rsidRDefault="008E5181" w:rsidP="009818F6">
        <w:pPr>
          <w:pStyle w:val="Footer"/>
          <w:pBdr>
            <w:top w:val="single" w:sz="4" w:space="1" w:color="auto"/>
          </w:pBdr>
          <w:jc w:val="right"/>
        </w:pPr>
        <w:r>
          <w:fldChar w:fldCharType="begin"/>
        </w:r>
        <w:r>
          <w:instrText xml:space="preserve"> PAGE   \* MERGEFORMAT </w:instrText>
        </w:r>
        <w:r>
          <w:fldChar w:fldCharType="separate"/>
        </w:r>
        <w:r w:rsidR="00F72F8C">
          <w:rPr>
            <w:noProof/>
          </w:rPr>
          <w:t>8</w:t>
        </w:r>
        <w:r>
          <w:rPr>
            <w:noProof/>
          </w:rPr>
          <w:fldChar w:fldCharType="end"/>
        </w:r>
      </w:p>
    </w:sdtContent>
  </w:sdt>
  <w:p w:rsidR="008E5181" w:rsidRDefault="00F72F8C" w:rsidP="009818F6">
    <w:pPr>
      <w:pStyle w:val="Header"/>
      <w:rPr>
        <w:noProof/>
      </w:rPr>
    </w:pPr>
    <w:r>
      <w:fldChar w:fldCharType="begin"/>
    </w:r>
    <w:r>
      <w:instrText xml:space="preserve"> STYLEREF  ShortT  \* MERGEFORMAT </w:instrText>
    </w:r>
    <w:r>
      <w:fldChar w:fldCharType="separate"/>
    </w:r>
    <w:r>
      <w:rPr>
        <w:noProof/>
      </w:rPr>
      <w:t>Biosecurity (Suspended Goods—Uncooked Prawns) Amendment (Exceptions) Determination (No. 3) 2017</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Default="008E5181">
    <w:pPr>
      <w:pStyle w:val="Footer"/>
    </w:pPr>
  </w:p>
  <w:p w:rsidR="008E5181" w:rsidRPr="009A3EB2" w:rsidRDefault="008E5181" w:rsidP="009A3EB2">
    <w:pPr>
      <w:pStyle w:val="Footer"/>
      <w:rPr>
        <w:sz w:val="16"/>
      </w:rPr>
    </w:pPr>
    <w:r>
      <w:rPr>
        <w:sz w:val="16"/>
      </w:rPr>
      <w:fldChar w:fldCharType="begin"/>
    </w:r>
    <w:r>
      <w:rPr>
        <w:sz w:val="16"/>
      </w:rPr>
      <w:instrText xml:space="preserve"> DOCPROPERTY  WSFooter  \* MERGEFORMAT </w:instrText>
    </w:r>
    <w:r>
      <w:rPr>
        <w:sz w:val="16"/>
      </w:rPr>
      <w:fldChar w:fldCharType="separate"/>
    </w:r>
    <w:r w:rsidR="005E2F4D">
      <w:rPr>
        <w:sz w:val="16"/>
      </w:rPr>
      <w:t>21155009</w:t>
    </w:r>
    <w:r>
      <w:rPr>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526254"/>
      <w:docPartObj>
        <w:docPartGallery w:val="Page Numbers (Bottom of Page)"/>
        <w:docPartUnique/>
      </w:docPartObj>
    </w:sdtPr>
    <w:sdtEndPr/>
    <w:sdtContent>
      <w:p w:rsidR="008E5181" w:rsidRDefault="008E5181" w:rsidP="009818F6">
        <w:pPr>
          <w:pStyle w:val="Footer"/>
          <w:pBdr>
            <w:top w:val="single" w:sz="4" w:space="1" w:color="auto"/>
          </w:pBdr>
          <w:jc w:val="right"/>
        </w:pPr>
        <w:r>
          <w:fldChar w:fldCharType="begin"/>
        </w:r>
        <w:r>
          <w:instrText xml:space="preserve"> PAGE   \* MERGEFORMAT </w:instrText>
        </w:r>
        <w:r>
          <w:fldChar w:fldCharType="separate"/>
        </w:r>
        <w:r w:rsidR="00F72F8C">
          <w:rPr>
            <w:noProof/>
          </w:rPr>
          <w:t>10</w:t>
        </w:r>
        <w:r>
          <w:rPr>
            <w:noProof/>
          </w:rPr>
          <w:fldChar w:fldCharType="end"/>
        </w:r>
      </w:p>
    </w:sdtContent>
  </w:sdt>
  <w:p w:rsidR="008E5181" w:rsidRDefault="00F72F8C" w:rsidP="009818F6">
    <w:pPr>
      <w:pStyle w:val="Header"/>
      <w:rPr>
        <w:noProof/>
      </w:rPr>
    </w:pPr>
    <w:r>
      <w:fldChar w:fldCharType="begin"/>
    </w:r>
    <w:r>
      <w:instrText xml:space="preserve"> STYLEREF  ShortT  \* MERGEFORMAT </w:instrText>
    </w:r>
    <w:r>
      <w:fldChar w:fldCharType="separate"/>
    </w:r>
    <w:r>
      <w:rPr>
        <w:noProof/>
      </w:rPr>
      <w:t>Biosecurity (Suspended Goods—Uncooked Prawns) Amendment (Exceptions) Determination (No. 3) 2017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7939"/>
      <w:docPartObj>
        <w:docPartGallery w:val="Page Numbers (Bottom of Page)"/>
        <w:docPartUnique/>
      </w:docPartObj>
    </w:sdtPr>
    <w:sdtEndPr/>
    <w:sdtContent>
      <w:p w:rsidR="008E5181" w:rsidRDefault="008E5181" w:rsidP="009818F6">
        <w:pPr>
          <w:pStyle w:val="Footer"/>
          <w:pBdr>
            <w:top w:val="single" w:sz="4" w:space="1" w:color="auto"/>
          </w:pBdr>
          <w:jc w:val="right"/>
        </w:pPr>
        <w:r>
          <w:fldChar w:fldCharType="begin"/>
        </w:r>
        <w:r>
          <w:instrText xml:space="preserve"> PAGE   \* MERGEFORMAT </w:instrText>
        </w:r>
        <w:r>
          <w:fldChar w:fldCharType="separate"/>
        </w:r>
        <w:r w:rsidR="00F72F8C">
          <w:rPr>
            <w:noProof/>
          </w:rPr>
          <w:t>2</w:t>
        </w:r>
        <w:r>
          <w:rPr>
            <w:noProof/>
          </w:rPr>
          <w:fldChar w:fldCharType="end"/>
        </w:r>
      </w:p>
    </w:sdtContent>
  </w:sdt>
  <w:p w:rsidR="008E5181" w:rsidRDefault="00F72F8C" w:rsidP="009818F6">
    <w:pPr>
      <w:pStyle w:val="Header"/>
      <w:rPr>
        <w:noProof/>
      </w:rPr>
    </w:pPr>
    <w:r>
      <w:fldChar w:fldCharType="begin"/>
    </w:r>
    <w:r>
      <w:instrText xml:space="preserve"> STYLEREF  ShortT  \* MERGEFORMAT </w:instrText>
    </w:r>
    <w:r>
      <w:fldChar w:fldCharType="separate"/>
    </w:r>
    <w:r>
      <w:rPr>
        <w:noProof/>
      </w:rPr>
      <w:t>Biosecurity (Suspended Goods—Uncooked Prawns) Amendment (Exceptions) Determination (No. 3) 2017</w:t>
    </w:r>
    <w:r>
      <w:rPr>
        <w:noProof/>
      </w:rPr>
      <w:fldChar w:fldCharType="end"/>
    </w:r>
  </w:p>
  <w:p w:rsidR="00C47626" w:rsidRDefault="00C47626" w:rsidP="00C47626">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Default="008E5181">
    <w:pPr>
      <w:pStyle w:val="Footer"/>
    </w:pPr>
  </w:p>
  <w:p w:rsidR="008E5181" w:rsidRDefault="008E5181" w:rsidP="009A3EB2">
    <w:pPr>
      <w:pStyle w:val="Footer"/>
      <w:rPr>
        <w:sz w:val="16"/>
      </w:rPr>
    </w:pPr>
  </w:p>
  <w:p w:rsidR="00C47626" w:rsidRDefault="00C47626" w:rsidP="00C47626">
    <w:pPr>
      <w:pStyle w:val="Footer"/>
      <w:rPr>
        <w:sz w:val="16"/>
      </w:rPr>
    </w:pPr>
  </w:p>
  <w:p w:rsidR="004964E3" w:rsidRPr="004964E3" w:rsidRDefault="004964E3" w:rsidP="004964E3">
    <w:pPr>
      <w:pStyle w:val="Footer"/>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Default="008E518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724969"/>
      <w:docPartObj>
        <w:docPartGallery w:val="Page Numbers (Bottom of Page)"/>
        <w:docPartUnique/>
      </w:docPartObj>
    </w:sdtPr>
    <w:sdtEndPr/>
    <w:sdtContent>
      <w:p w:rsidR="008E5181" w:rsidRDefault="008E5181" w:rsidP="009818F6">
        <w:pPr>
          <w:pStyle w:val="Footer"/>
          <w:pBdr>
            <w:top w:val="single" w:sz="4" w:space="1" w:color="auto"/>
          </w:pBdr>
          <w:jc w:val="right"/>
        </w:pPr>
        <w:r>
          <w:fldChar w:fldCharType="begin"/>
        </w:r>
        <w:r>
          <w:instrText xml:space="preserve"> PAGE   \* MERGEFORMAT </w:instrText>
        </w:r>
        <w:r>
          <w:fldChar w:fldCharType="separate"/>
        </w:r>
        <w:r w:rsidR="00F72F8C">
          <w:rPr>
            <w:noProof/>
          </w:rPr>
          <w:t>5</w:t>
        </w:r>
        <w:r>
          <w:rPr>
            <w:noProof/>
          </w:rPr>
          <w:fldChar w:fldCharType="end"/>
        </w:r>
      </w:p>
    </w:sdtContent>
  </w:sdt>
  <w:p w:rsidR="008E5181" w:rsidRDefault="00F72F8C" w:rsidP="009818F6">
    <w:pPr>
      <w:pStyle w:val="Header"/>
      <w:rPr>
        <w:noProof/>
      </w:rPr>
    </w:pPr>
    <w:r>
      <w:fldChar w:fldCharType="begin"/>
    </w:r>
    <w:r>
      <w:instrText xml:space="preserve"> STYLEREF  ShortT  \* MERGEFORMAT </w:instrText>
    </w:r>
    <w:r>
      <w:fldChar w:fldCharType="separate"/>
    </w:r>
    <w:r>
      <w:rPr>
        <w:noProof/>
      </w:rPr>
      <w:t>Biosecurity (Suspended Goods—Uncooked Prawns) Amendment (Exceptions) Determination (No. 3) 2017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Default="008E5181">
    <w:pPr>
      <w:pStyle w:val="Footer"/>
    </w:pPr>
  </w:p>
  <w:p w:rsidR="008E5181" w:rsidRPr="009A3EB2" w:rsidRDefault="008E5181" w:rsidP="009A3EB2">
    <w:pPr>
      <w:pStyle w:val="Footer"/>
      <w:rPr>
        <w:sz w:val="16"/>
      </w:rPr>
    </w:pPr>
    <w:r>
      <w:rPr>
        <w:sz w:val="16"/>
      </w:rPr>
      <w:fldChar w:fldCharType="begin"/>
    </w:r>
    <w:r>
      <w:rPr>
        <w:sz w:val="16"/>
      </w:rPr>
      <w:instrText xml:space="preserve"> DOCPROPERTY  WSFooter  \* MERGEFORMAT </w:instrText>
    </w:r>
    <w:r>
      <w:rPr>
        <w:sz w:val="16"/>
      </w:rPr>
      <w:fldChar w:fldCharType="separate"/>
    </w:r>
    <w:r w:rsidR="005E2F4D">
      <w:rPr>
        <w:sz w:val="16"/>
      </w:rPr>
      <w:t>21155009</w:t>
    </w:r>
    <w:r>
      <w:rPr>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Default="008E518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078563"/>
      <w:docPartObj>
        <w:docPartGallery w:val="Page Numbers (Bottom of Page)"/>
        <w:docPartUnique/>
      </w:docPartObj>
    </w:sdtPr>
    <w:sdtEndPr/>
    <w:sdtContent>
      <w:p w:rsidR="008E5181" w:rsidRDefault="008E5181" w:rsidP="009818F6">
        <w:pPr>
          <w:pStyle w:val="Footer"/>
          <w:pBdr>
            <w:top w:val="single" w:sz="4" w:space="1" w:color="auto"/>
          </w:pBdr>
          <w:jc w:val="right"/>
        </w:pPr>
        <w:r>
          <w:fldChar w:fldCharType="begin"/>
        </w:r>
        <w:r>
          <w:instrText xml:space="preserve"> PAGE   \* MERGEFORMAT </w:instrText>
        </w:r>
        <w:r>
          <w:fldChar w:fldCharType="separate"/>
        </w:r>
        <w:r w:rsidR="00F72F8C">
          <w:rPr>
            <w:noProof/>
          </w:rPr>
          <w:t>7</w:t>
        </w:r>
        <w:r>
          <w:rPr>
            <w:noProof/>
          </w:rPr>
          <w:fldChar w:fldCharType="end"/>
        </w:r>
      </w:p>
    </w:sdtContent>
  </w:sdt>
  <w:p w:rsidR="008E5181" w:rsidRDefault="00F72F8C" w:rsidP="009818F6">
    <w:pPr>
      <w:pStyle w:val="Header"/>
      <w:rPr>
        <w:noProof/>
      </w:rPr>
    </w:pPr>
    <w:r>
      <w:fldChar w:fldCharType="begin"/>
    </w:r>
    <w:r>
      <w:instrText xml:space="preserve"> STYLEREF  ShortT  \* MERGEFORMAT </w:instrText>
    </w:r>
    <w:r>
      <w:fldChar w:fldCharType="separate"/>
    </w:r>
    <w:r>
      <w:rPr>
        <w:noProof/>
      </w:rPr>
      <w:t>Biosecurity (Suspended Goods—Uncooked Prawns) Amendment (Exceptions) Determination (No. 3) 2017</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Default="008E5181">
    <w:pPr>
      <w:pStyle w:val="Footer"/>
    </w:pPr>
  </w:p>
  <w:p w:rsidR="008E5181" w:rsidRPr="009A3EB2" w:rsidRDefault="008E5181" w:rsidP="009A3EB2">
    <w:pPr>
      <w:pStyle w:val="Footer"/>
      <w:rPr>
        <w:sz w:val="16"/>
      </w:rPr>
    </w:pPr>
    <w:r>
      <w:rPr>
        <w:sz w:val="16"/>
      </w:rPr>
      <w:fldChar w:fldCharType="begin"/>
    </w:r>
    <w:r>
      <w:rPr>
        <w:sz w:val="16"/>
      </w:rPr>
      <w:instrText xml:space="preserve"> DOCPROPERTY  WSFooter  \* MERGEFORMAT </w:instrText>
    </w:r>
    <w:r>
      <w:rPr>
        <w:sz w:val="16"/>
      </w:rPr>
      <w:fldChar w:fldCharType="separate"/>
    </w:r>
    <w:r w:rsidR="005E2F4D">
      <w:rPr>
        <w:sz w:val="16"/>
      </w:rPr>
      <w:t>21155009</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181" w:rsidRDefault="008E5181">
      <w:r>
        <w:separator/>
      </w:r>
    </w:p>
  </w:footnote>
  <w:footnote w:type="continuationSeparator" w:id="0">
    <w:p w:rsidR="008E5181" w:rsidRDefault="008E5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57" w:rsidRDefault="00F07A5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Default="008E518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Pr="00ED79B6" w:rsidRDefault="00F72F8C" w:rsidP="00BC2843">
    <w:pPr>
      <w:pBdr>
        <w:bottom w:val="single" w:sz="6" w:space="1" w:color="auto"/>
      </w:pBdr>
      <w:spacing w:before="1000" w:line="240" w:lineRule="auto"/>
    </w:pPr>
    <w:r>
      <w:fldChar w:fldCharType="begin"/>
    </w:r>
    <w:r>
      <w:instrText xml:space="preserve"> STYLEREF  h1_Sch  \* MERGEFORMAT </w:instrText>
    </w:r>
    <w:r>
      <w:fldChar w:fldCharType="separate"/>
    </w:r>
    <w:r w:rsidRPr="00F72F8C">
      <w:rPr>
        <w:bCs/>
        <w:noProof/>
        <w:lang w:val="en-US"/>
      </w:rPr>
      <w:t>Schedule 3—Reasons</w:t>
    </w:r>
    <w:r>
      <w:rPr>
        <w:noProof/>
      </w:rPr>
      <w:t>—reasons for the amendments set out in Schedule 1</w:t>
    </w:r>
    <w:r>
      <w:rPr>
        <w:noProof/>
      </w:rPr>
      <w:fldChar w:fldCharType="end"/>
    </w:r>
  </w:p>
  <w:p w:rsidR="008E5181" w:rsidRDefault="008E5181" w:rsidP="00BC2843">
    <w:pPr>
      <w:pStyle w:val="Header"/>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Default="008E518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Pr="008A1BCF" w:rsidRDefault="00F72F8C" w:rsidP="00BC2843">
    <w:pPr>
      <w:pBdr>
        <w:bottom w:val="single" w:sz="6" w:space="1" w:color="auto"/>
      </w:pBdr>
      <w:spacing w:before="1000" w:line="240" w:lineRule="auto"/>
    </w:pPr>
    <w:r>
      <w:fldChar w:fldCharType="begin"/>
    </w:r>
    <w:r>
      <w:instrText xml:space="preserve"> STYLEREF  h1_Sch  \* MERGEFORMAT </w:instrText>
    </w:r>
    <w:r>
      <w:fldChar w:fldCharType="separate"/>
    </w:r>
    <w:r w:rsidRPr="00F72F8C">
      <w:rPr>
        <w:bCs/>
        <w:noProof/>
        <w:lang w:val="en-US"/>
      </w:rPr>
      <w:t>Schedule 4—Reasons</w:t>
    </w:r>
    <w:r>
      <w:rPr>
        <w:noProof/>
      </w:rPr>
      <w:t>—Australian wild-caught prawns processed overseas and re-exported to Australia</w:t>
    </w:r>
    <w:r>
      <w:rPr>
        <w:noProof/>
      </w:rPr>
      <w:fldChar w:fldCharType="end"/>
    </w:r>
  </w:p>
  <w:p w:rsidR="008E5181" w:rsidRDefault="008E5181" w:rsidP="00BC2843">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Pr="00ED79B6" w:rsidRDefault="008E5181" w:rsidP="00BC2843">
    <w:pPr>
      <w:pBdr>
        <w:bottom w:val="single" w:sz="6" w:space="1" w:color="auto"/>
      </w:pBdr>
      <w:spacing w:before="1000" w:line="240" w:lineRule="auto"/>
    </w:pPr>
  </w:p>
  <w:p w:rsidR="008E5181" w:rsidRDefault="008E5181" w:rsidP="00BC2843">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57" w:rsidRDefault="00F07A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Default="008E518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Pr="00ED79B6" w:rsidRDefault="00F72F8C" w:rsidP="00BC2843">
    <w:pPr>
      <w:pBdr>
        <w:bottom w:val="single" w:sz="6" w:space="1" w:color="auto"/>
      </w:pBdr>
      <w:spacing w:before="1000" w:line="240" w:lineRule="auto"/>
    </w:pPr>
    <w:r>
      <w:fldChar w:fldCharType="begin"/>
    </w:r>
    <w:r>
      <w:instrText xml:space="preserve"> STYLEREF  h1_Sch  \* MERGEFORMAT </w:instrText>
    </w:r>
    <w:r>
      <w:fldChar w:fldCharType="separate"/>
    </w:r>
    <w:r w:rsidRPr="00F72F8C">
      <w:rPr>
        <w:bCs/>
        <w:noProof/>
        <w:lang w:val="en-US"/>
      </w:rPr>
      <w:t>Schedule 1—Amendments</w:t>
    </w:r>
    <w:r>
      <w:rPr>
        <w:noProof/>
      </w:rPr>
      <w:t xml:space="preserve"> commencing on the day after registration</w:t>
    </w:r>
    <w:r>
      <w:rPr>
        <w:noProof/>
      </w:rPr>
      <w:fldChar w:fldCharType="end"/>
    </w:r>
  </w:p>
  <w:p w:rsidR="008E5181" w:rsidRDefault="008E5181" w:rsidP="00BC2843">
    <w:pPr>
      <w:pStyle w:val="Heade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Default="008E518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Default="008E518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Pr="00ED79B6" w:rsidRDefault="00F72F8C" w:rsidP="00BC2843">
    <w:pPr>
      <w:pBdr>
        <w:bottom w:val="single" w:sz="6" w:space="1" w:color="auto"/>
      </w:pBdr>
      <w:spacing w:before="1000" w:line="240" w:lineRule="auto"/>
    </w:pPr>
    <w:r>
      <w:fldChar w:fldCharType="begin"/>
    </w:r>
    <w:r>
      <w:instrText xml:space="preserve"> STYLEREF  h1_Sch  \* MERGEFORMAT </w:instrText>
    </w:r>
    <w:r>
      <w:fldChar w:fldCharType="separate"/>
    </w:r>
    <w:r w:rsidRPr="00F72F8C">
      <w:rPr>
        <w:bCs/>
        <w:noProof/>
        <w:lang w:val="en-US"/>
      </w:rPr>
      <w:t>Schedule 2—Amendments</w:t>
    </w:r>
    <w:r>
      <w:rPr>
        <w:noProof/>
      </w:rPr>
      <w:t xml:space="preserve"> commencing 4 weeks after registration</w:t>
    </w:r>
    <w:r>
      <w:rPr>
        <w:noProof/>
      </w:rPr>
      <w:fldChar w:fldCharType="end"/>
    </w:r>
  </w:p>
  <w:p w:rsidR="008E5181" w:rsidRDefault="008E5181" w:rsidP="00BC2843">
    <w:pPr>
      <w:pStyle w:val="Header"/>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Default="008E51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FA819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FDA2FC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700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15:restartNumberingAfterBreak="0">
    <w:nsid w:val="12514FCC"/>
    <w:multiLevelType w:val="hybridMultilevel"/>
    <w:tmpl w:val="33AA8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EF6EE4"/>
    <w:multiLevelType w:val="hybridMultilevel"/>
    <w:tmpl w:val="4F922B8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6904768"/>
    <w:multiLevelType w:val="hybridMultilevel"/>
    <w:tmpl w:val="2EE20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rPr>
    </w:lvl>
    <w:lvl w:ilvl="8">
      <w:start w:val="1"/>
      <w:numFmt w:val="upperLetter"/>
      <w:lvlText w:val="(%9)"/>
      <w:lvlJc w:val="left"/>
      <w:pPr>
        <w:ind w:left="0" w:firstLine="0"/>
      </w:pPr>
      <w:rPr>
        <w:rFonts w:hint="default"/>
      </w:rPr>
    </w:lvl>
  </w:abstractNum>
  <w:abstractNum w:abstractNumId="15"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0"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1"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2B85B3C"/>
    <w:multiLevelType w:val="hybridMultilevel"/>
    <w:tmpl w:val="9926E2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91531"/>
    <w:multiLevelType w:val="hybridMultilevel"/>
    <w:tmpl w:val="A000972A"/>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7"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37A2A7E"/>
    <w:multiLevelType w:val="hybridMultilevel"/>
    <w:tmpl w:val="CE88B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3"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5456429"/>
    <w:multiLevelType w:val="multilevel"/>
    <w:tmpl w:val="D82EEFD4"/>
    <w:lvl w:ilvl="0">
      <w:start w:val="1"/>
      <w:numFmt w:val="decimal"/>
      <w:lvlText w:val="%1."/>
      <w:lvlJc w:val="left"/>
      <w:pPr>
        <w:ind w:left="369" w:hanging="369"/>
      </w:pPr>
      <w:rPr>
        <w:rFonts w:ascii="Calibri" w:hAnsi="Calibri" w:cs="Calibri" w:hint="default"/>
        <w:b w:val="0"/>
        <w:i w:val="0"/>
        <w:sz w:val="24"/>
        <w:szCs w:val="24"/>
      </w:rPr>
    </w:lvl>
    <w:lvl w:ilvl="1">
      <w:start w:val="1"/>
      <w:numFmt w:val="lowerLetter"/>
      <w:lvlText w:val="%2."/>
      <w:lvlJc w:val="left"/>
      <w:pPr>
        <w:ind w:left="738" w:hanging="369"/>
      </w:pPr>
      <w:rPr>
        <w:rFonts w:hint="default"/>
        <w:i w:val="0"/>
      </w:rPr>
    </w:lvl>
    <w:lvl w:ilvl="2">
      <w:start w:val="1"/>
      <w:numFmt w:val="lowerLetter"/>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7"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25E479C"/>
    <w:multiLevelType w:val="multilevel"/>
    <w:tmpl w:val="C59C78A0"/>
    <w:lvl w:ilvl="0">
      <w:start w:val="1"/>
      <w:numFmt w:val="decimal"/>
      <w:lvlText w:val="%1."/>
      <w:lvlJc w:val="left"/>
      <w:pPr>
        <w:ind w:left="369" w:hanging="369"/>
      </w:pPr>
      <w:rPr>
        <w:rFonts w:ascii="Calibri" w:hAnsi="Calibri" w:cs="Calibri" w:hint="default"/>
        <w:b w:val="0"/>
        <w:i w:val="0"/>
        <w:sz w:val="24"/>
        <w:szCs w:val="24"/>
      </w:rPr>
    </w:lvl>
    <w:lvl w:ilvl="1">
      <w:start w:val="1"/>
      <w:numFmt w:val="lowerLetter"/>
      <w:lvlText w:val="%2."/>
      <w:lvlJc w:val="left"/>
      <w:pPr>
        <w:ind w:left="738" w:hanging="369"/>
      </w:pPr>
      <w:rPr>
        <w:rFonts w:hint="default"/>
        <w:i w:val="0"/>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9" w15:restartNumberingAfterBreak="0">
    <w:nsid w:val="755E5782"/>
    <w:multiLevelType w:val="hybridMultilevel"/>
    <w:tmpl w:val="D35C2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E94F51"/>
    <w:multiLevelType w:val="multilevel"/>
    <w:tmpl w:val="67C440E8"/>
    <w:lvl w:ilvl="0">
      <w:start w:val="1"/>
      <w:numFmt w:val="decimal"/>
      <w:lvlText w:val="%1."/>
      <w:lvlJc w:val="left"/>
      <w:pPr>
        <w:ind w:left="369" w:hanging="369"/>
      </w:pPr>
      <w:rPr>
        <w:rFonts w:ascii="Calibri" w:hAnsi="Calibri" w:cs="Calibri" w:hint="default"/>
        <w:b w:val="0"/>
        <w:i w:val="0"/>
        <w:sz w:val="24"/>
        <w:szCs w:val="24"/>
      </w:rPr>
    </w:lvl>
    <w:lvl w:ilvl="1">
      <w:start w:val="1"/>
      <w:numFmt w:val="lowerRoman"/>
      <w:lvlText w:val="(%2)"/>
      <w:lvlJc w:val="left"/>
      <w:pPr>
        <w:ind w:left="738" w:hanging="369"/>
      </w:pPr>
      <w:rPr>
        <w:rFonts w:hint="default"/>
        <w:i w:val="0"/>
      </w:rPr>
    </w:lvl>
    <w:lvl w:ilvl="2">
      <w:start w:val="1"/>
      <w:numFmt w:val="lowerLetter"/>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4"/>
  </w:num>
  <w:num w:numId="4">
    <w:abstractNumId w:val="41"/>
  </w:num>
  <w:num w:numId="5">
    <w:abstractNumId w:val="32"/>
  </w:num>
  <w:num w:numId="6">
    <w:abstractNumId w:val="23"/>
  </w:num>
  <w:num w:numId="7">
    <w:abstractNumId w:val="16"/>
  </w:num>
  <w:num w:numId="8">
    <w:abstractNumId w:val="22"/>
  </w:num>
  <w:num w:numId="9">
    <w:abstractNumId w:val="42"/>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0"/>
  </w:num>
  <w:num w:numId="20">
    <w:abstractNumId w:val="15"/>
  </w:num>
  <w:num w:numId="21">
    <w:abstractNumId w:val="20"/>
  </w:num>
  <w:num w:numId="22">
    <w:abstractNumId w:val="13"/>
  </w:num>
  <w:num w:numId="23">
    <w:abstractNumId w:val="28"/>
  </w:num>
  <w:num w:numId="24">
    <w:abstractNumId w:val="40"/>
  </w:num>
  <w:num w:numId="25">
    <w:abstractNumId w:val="12"/>
  </w:num>
  <w:num w:numId="26">
    <w:abstractNumId w:val="36"/>
  </w:num>
  <w:num w:numId="27">
    <w:abstractNumId w:val="38"/>
  </w:num>
  <w:num w:numId="28">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9"/>
  </w:num>
  <w:num w:numId="31">
    <w:abstractNumId w:val="26"/>
  </w:num>
  <w:num w:numId="32">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851"/>
  <w:drawingGridHorizontalSpacing w:val="110"/>
  <w:displayHorizontalDrawingGridEvery w:val="2"/>
  <w:noPunctuationKerning/>
  <w:characterSpacingControl w:val="doNotCompress"/>
  <w:hdrShapeDefaults>
    <o:shapedefaults v:ext="edit" spidmax="248833"/>
  </w:hdrShapeDefaults>
  <w:footnotePr>
    <w:footnote w:id="-1"/>
    <w:footnote w:id="0"/>
  </w:footnotePr>
  <w:endnotePr>
    <w:endnote w:id="-1"/>
    <w:endnote w:id="0"/>
  </w:endnotePr>
  <w:compat>
    <w:compatSetting w:name="compatibilityMode" w:uri="http://schemas.microsoft.com/office/word" w:val="12"/>
  </w:compat>
  <w:docVars>
    <w:docVar w:name="StyleWS" w:val="bWSLetter"/>
  </w:docVars>
  <w:rsids>
    <w:rsidRoot w:val="008678EB"/>
    <w:rsid w:val="00001B2F"/>
    <w:rsid w:val="00002024"/>
    <w:rsid w:val="000039D7"/>
    <w:rsid w:val="00007578"/>
    <w:rsid w:val="00012088"/>
    <w:rsid w:val="00012B72"/>
    <w:rsid w:val="00014257"/>
    <w:rsid w:val="0002027E"/>
    <w:rsid w:val="000225DE"/>
    <w:rsid w:val="000248C7"/>
    <w:rsid w:val="000258A0"/>
    <w:rsid w:val="00031189"/>
    <w:rsid w:val="00031B67"/>
    <w:rsid w:val="000320F2"/>
    <w:rsid w:val="00032513"/>
    <w:rsid w:val="00036984"/>
    <w:rsid w:val="0003757F"/>
    <w:rsid w:val="0003764D"/>
    <w:rsid w:val="000379E2"/>
    <w:rsid w:val="00041037"/>
    <w:rsid w:val="00041E62"/>
    <w:rsid w:val="0004373B"/>
    <w:rsid w:val="0004479F"/>
    <w:rsid w:val="00044D8C"/>
    <w:rsid w:val="000453D0"/>
    <w:rsid w:val="00046216"/>
    <w:rsid w:val="00050664"/>
    <w:rsid w:val="00051826"/>
    <w:rsid w:val="00051EA8"/>
    <w:rsid w:val="0005423E"/>
    <w:rsid w:val="00056020"/>
    <w:rsid w:val="00057DAD"/>
    <w:rsid w:val="00060287"/>
    <w:rsid w:val="0006051E"/>
    <w:rsid w:val="000610BE"/>
    <w:rsid w:val="00062F9E"/>
    <w:rsid w:val="00063C97"/>
    <w:rsid w:val="00064F51"/>
    <w:rsid w:val="00066A91"/>
    <w:rsid w:val="0007200D"/>
    <w:rsid w:val="00072907"/>
    <w:rsid w:val="000731B2"/>
    <w:rsid w:val="00074AB4"/>
    <w:rsid w:val="00075CE6"/>
    <w:rsid w:val="00077B7B"/>
    <w:rsid w:val="000813F8"/>
    <w:rsid w:val="00082647"/>
    <w:rsid w:val="00082BCD"/>
    <w:rsid w:val="000846E3"/>
    <w:rsid w:val="00085818"/>
    <w:rsid w:val="00090D8B"/>
    <w:rsid w:val="00091FF2"/>
    <w:rsid w:val="000955F5"/>
    <w:rsid w:val="000967FA"/>
    <w:rsid w:val="00096CE7"/>
    <w:rsid w:val="00097203"/>
    <w:rsid w:val="000974E1"/>
    <w:rsid w:val="000978C5"/>
    <w:rsid w:val="000A25C2"/>
    <w:rsid w:val="000A4314"/>
    <w:rsid w:val="000A71D4"/>
    <w:rsid w:val="000A7903"/>
    <w:rsid w:val="000A7A77"/>
    <w:rsid w:val="000B042A"/>
    <w:rsid w:val="000B177D"/>
    <w:rsid w:val="000B2B15"/>
    <w:rsid w:val="000B4003"/>
    <w:rsid w:val="000B4DA5"/>
    <w:rsid w:val="000B5DCB"/>
    <w:rsid w:val="000B7351"/>
    <w:rsid w:val="000C2287"/>
    <w:rsid w:val="000C2440"/>
    <w:rsid w:val="000C27EB"/>
    <w:rsid w:val="000C4857"/>
    <w:rsid w:val="000C566E"/>
    <w:rsid w:val="000C61CF"/>
    <w:rsid w:val="000C6EBB"/>
    <w:rsid w:val="000D08D5"/>
    <w:rsid w:val="000D219A"/>
    <w:rsid w:val="000D2D22"/>
    <w:rsid w:val="000D2FFA"/>
    <w:rsid w:val="000D40E2"/>
    <w:rsid w:val="000D4CB9"/>
    <w:rsid w:val="000D5F02"/>
    <w:rsid w:val="000D628D"/>
    <w:rsid w:val="000D7205"/>
    <w:rsid w:val="000E2406"/>
    <w:rsid w:val="000E2AF3"/>
    <w:rsid w:val="000E2E9E"/>
    <w:rsid w:val="000E44F9"/>
    <w:rsid w:val="000E4D39"/>
    <w:rsid w:val="000E4E87"/>
    <w:rsid w:val="000E750C"/>
    <w:rsid w:val="000F0319"/>
    <w:rsid w:val="000F081D"/>
    <w:rsid w:val="000F1A7B"/>
    <w:rsid w:val="000F2181"/>
    <w:rsid w:val="000F2EBE"/>
    <w:rsid w:val="000F31F8"/>
    <w:rsid w:val="000F39FE"/>
    <w:rsid w:val="000F5EF9"/>
    <w:rsid w:val="00102623"/>
    <w:rsid w:val="00102896"/>
    <w:rsid w:val="00107E81"/>
    <w:rsid w:val="001104D5"/>
    <w:rsid w:val="0011343D"/>
    <w:rsid w:val="001208A6"/>
    <w:rsid w:val="00120D5D"/>
    <w:rsid w:val="00121A23"/>
    <w:rsid w:val="00123118"/>
    <w:rsid w:val="00124559"/>
    <w:rsid w:val="001245D0"/>
    <w:rsid w:val="001300B0"/>
    <w:rsid w:val="0013111E"/>
    <w:rsid w:val="001369B9"/>
    <w:rsid w:val="00137289"/>
    <w:rsid w:val="00137675"/>
    <w:rsid w:val="00137A06"/>
    <w:rsid w:val="00140EBC"/>
    <w:rsid w:val="00142EC4"/>
    <w:rsid w:val="0014387D"/>
    <w:rsid w:val="00143A2B"/>
    <w:rsid w:val="00143DA9"/>
    <w:rsid w:val="00144169"/>
    <w:rsid w:val="001443B4"/>
    <w:rsid w:val="00144E82"/>
    <w:rsid w:val="001476F6"/>
    <w:rsid w:val="00150D4D"/>
    <w:rsid w:val="001532D6"/>
    <w:rsid w:val="00154AA1"/>
    <w:rsid w:val="00155CB3"/>
    <w:rsid w:val="00157CDF"/>
    <w:rsid w:val="001622FF"/>
    <w:rsid w:val="00163C51"/>
    <w:rsid w:val="00163FE7"/>
    <w:rsid w:val="00170672"/>
    <w:rsid w:val="00170675"/>
    <w:rsid w:val="00171557"/>
    <w:rsid w:val="00172839"/>
    <w:rsid w:val="00172D6D"/>
    <w:rsid w:val="00174456"/>
    <w:rsid w:val="00174847"/>
    <w:rsid w:val="0017505D"/>
    <w:rsid w:val="00176A64"/>
    <w:rsid w:val="001776B2"/>
    <w:rsid w:val="00182E3C"/>
    <w:rsid w:val="00182E6C"/>
    <w:rsid w:val="00184268"/>
    <w:rsid w:val="001842ED"/>
    <w:rsid w:val="00184B5E"/>
    <w:rsid w:val="00185492"/>
    <w:rsid w:val="0019059C"/>
    <w:rsid w:val="00190AB5"/>
    <w:rsid w:val="00190C71"/>
    <w:rsid w:val="00192021"/>
    <w:rsid w:val="0019282E"/>
    <w:rsid w:val="00194039"/>
    <w:rsid w:val="001940AD"/>
    <w:rsid w:val="00195069"/>
    <w:rsid w:val="00196DA5"/>
    <w:rsid w:val="001979DC"/>
    <w:rsid w:val="001A15AC"/>
    <w:rsid w:val="001A562A"/>
    <w:rsid w:val="001A5CB2"/>
    <w:rsid w:val="001A77AB"/>
    <w:rsid w:val="001B0571"/>
    <w:rsid w:val="001B0B41"/>
    <w:rsid w:val="001B2D72"/>
    <w:rsid w:val="001B4173"/>
    <w:rsid w:val="001B644D"/>
    <w:rsid w:val="001B7250"/>
    <w:rsid w:val="001B7C15"/>
    <w:rsid w:val="001C0768"/>
    <w:rsid w:val="001C1A73"/>
    <w:rsid w:val="001C1A94"/>
    <w:rsid w:val="001C3392"/>
    <w:rsid w:val="001C3788"/>
    <w:rsid w:val="001C6AD2"/>
    <w:rsid w:val="001C784F"/>
    <w:rsid w:val="001C7FCD"/>
    <w:rsid w:val="001D07AE"/>
    <w:rsid w:val="001D1C21"/>
    <w:rsid w:val="001D21D2"/>
    <w:rsid w:val="001D3392"/>
    <w:rsid w:val="001D598D"/>
    <w:rsid w:val="001E083F"/>
    <w:rsid w:val="001E0960"/>
    <w:rsid w:val="001E1B02"/>
    <w:rsid w:val="001E44FA"/>
    <w:rsid w:val="001E4824"/>
    <w:rsid w:val="001E5E30"/>
    <w:rsid w:val="001E647F"/>
    <w:rsid w:val="001F373E"/>
    <w:rsid w:val="001F3DE2"/>
    <w:rsid w:val="001F43D4"/>
    <w:rsid w:val="001F50EC"/>
    <w:rsid w:val="001F5AF2"/>
    <w:rsid w:val="001F72A4"/>
    <w:rsid w:val="00201A33"/>
    <w:rsid w:val="0020446F"/>
    <w:rsid w:val="002052B0"/>
    <w:rsid w:val="00210328"/>
    <w:rsid w:val="00210C28"/>
    <w:rsid w:val="0021145F"/>
    <w:rsid w:val="00213788"/>
    <w:rsid w:val="002146BA"/>
    <w:rsid w:val="0021764C"/>
    <w:rsid w:val="00217A90"/>
    <w:rsid w:val="00217C89"/>
    <w:rsid w:val="0022057C"/>
    <w:rsid w:val="00220F1C"/>
    <w:rsid w:val="00221332"/>
    <w:rsid w:val="002221BC"/>
    <w:rsid w:val="00223A01"/>
    <w:rsid w:val="00225D68"/>
    <w:rsid w:val="0022621E"/>
    <w:rsid w:val="002264C8"/>
    <w:rsid w:val="00227050"/>
    <w:rsid w:val="002274CF"/>
    <w:rsid w:val="002309B3"/>
    <w:rsid w:val="00232329"/>
    <w:rsid w:val="00233BC0"/>
    <w:rsid w:val="00234173"/>
    <w:rsid w:val="00235E1E"/>
    <w:rsid w:val="00237356"/>
    <w:rsid w:val="00240E07"/>
    <w:rsid w:val="00240E9E"/>
    <w:rsid w:val="0024155A"/>
    <w:rsid w:val="00241798"/>
    <w:rsid w:val="002432A9"/>
    <w:rsid w:val="00243924"/>
    <w:rsid w:val="00246A83"/>
    <w:rsid w:val="00246C4C"/>
    <w:rsid w:val="002472BC"/>
    <w:rsid w:val="002545A6"/>
    <w:rsid w:val="00254817"/>
    <w:rsid w:val="00255070"/>
    <w:rsid w:val="00255879"/>
    <w:rsid w:val="00257896"/>
    <w:rsid w:val="00262854"/>
    <w:rsid w:val="00265192"/>
    <w:rsid w:val="00266DC8"/>
    <w:rsid w:val="00271F48"/>
    <w:rsid w:val="00274E2B"/>
    <w:rsid w:val="00277A8C"/>
    <w:rsid w:val="00280B8E"/>
    <w:rsid w:val="00282502"/>
    <w:rsid w:val="00282AC1"/>
    <w:rsid w:val="002832C2"/>
    <w:rsid w:val="002832F4"/>
    <w:rsid w:val="0028502C"/>
    <w:rsid w:val="00290E80"/>
    <w:rsid w:val="00293143"/>
    <w:rsid w:val="00293320"/>
    <w:rsid w:val="00294058"/>
    <w:rsid w:val="00294245"/>
    <w:rsid w:val="00294DE8"/>
    <w:rsid w:val="00297081"/>
    <w:rsid w:val="002A0596"/>
    <w:rsid w:val="002A18C9"/>
    <w:rsid w:val="002A2B43"/>
    <w:rsid w:val="002A3283"/>
    <w:rsid w:val="002A3E4C"/>
    <w:rsid w:val="002A5322"/>
    <w:rsid w:val="002A6992"/>
    <w:rsid w:val="002A7E6F"/>
    <w:rsid w:val="002B0EAC"/>
    <w:rsid w:val="002B1292"/>
    <w:rsid w:val="002B191F"/>
    <w:rsid w:val="002B2134"/>
    <w:rsid w:val="002B2307"/>
    <w:rsid w:val="002B3521"/>
    <w:rsid w:val="002C00F4"/>
    <w:rsid w:val="002C3465"/>
    <w:rsid w:val="002C42C5"/>
    <w:rsid w:val="002C73A5"/>
    <w:rsid w:val="002C7560"/>
    <w:rsid w:val="002D6E8A"/>
    <w:rsid w:val="002E2A15"/>
    <w:rsid w:val="002E2BC6"/>
    <w:rsid w:val="002E2E64"/>
    <w:rsid w:val="002E39E0"/>
    <w:rsid w:val="002E413A"/>
    <w:rsid w:val="002E68E2"/>
    <w:rsid w:val="002E6CA7"/>
    <w:rsid w:val="002E7EE0"/>
    <w:rsid w:val="002F0C47"/>
    <w:rsid w:val="002F242B"/>
    <w:rsid w:val="002F4A68"/>
    <w:rsid w:val="002F50F0"/>
    <w:rsid w:val="002F664A"/>
    <w:rsid w:val="00301367"/>
    <w:rsid w:val="00301C22"/>
    <w:rsid w:val="00306EFA"/>
    <w:rsid w:val="0031040C"/>
    <w:rsid w:val="0031117B"/>
    <w:rsid w:val="003127F8"/>
    <w:rsid w:val="00312A3F"/>
    <w:rsid w:val="003209D5"/>
    <w:rsid w:val="00320BE4"/>
    <w:rsid w:val="00320F51"/>
    <w:rsid w:val="00321884"/>
    <w:rsid w:val="00321DAD"/>
    <w:rsid w:val="00322CCD"/>
    <w:rsid w:val="003257CA"/>
    <w:rsid w:val="0032598E"/>
    <w:rsid w:val="00327822"/>
    <w:rsid w:val="003278F1"/>
    <w:rsid w:val="00331757"/>
    <w:rsid w:val="0033258A"/>
    <w:rsid w:val="00332C68"/>
    <w:rsid w:val="00333039"/>
    <w:rsid w:val="00333A4F"/>
    <w:rsid w:val="00335540"/>
    <w:rsid w:val="00335ECA"/>
    <w:rsid w:val="00337460"/>
    <w:rsid w:val="00340AA4"/>
    <w:rsid w:val="00345269"/>
    <w:rsid w:val="00345429"/>
    <w:rsid w:val="0034760F"/>
    <w:rsid w:val="00350078"/>
    <w:rsid w:val="0035186D"/>
    <w:rsid w:val="00352B83"/>
    <w:rsid w:val="00354E4F"/>
    <w:rsid w:val="0036127D"/>
    <w:rsid w:val="00363399"/>
    <w:rsid w:val="00364922"/>
    <w:rsid w:val="00371E2D"/>
    <w:rsid w:val="00373465"/>
    <w:rsid w:val="00373484"/>
    <w:rsid w:val="00375DC2"/>
    <w:rsid w:val="00376A9A"/>
    <w:rsid w:val="00377DAC"/>
    <w:rsid w:val="00380FB2"/>
    <w:rsid w:val="00382276"/>
    <w:rsid w:val="00387FCD"/>
    <w:rsid w:val="0039016F"/>
    <w:rsid w:val="00390A97"/>
    <w:rsid w:val="00390B03"/>
    <w:rsid w:val="003936BF"/>
    <w:rsid w:val="003939A2"/>
    <w:rsid w:val="00394C04"/>
    <w:rsid w:val="0039749E"/>
    <w:rsid w:val="003A080E"/>
    <w:rsid w:val="003A25E7"/>
    <w:rsid w:val="003A34AE"/>
    <w:rsid w:val="003A4CFF"/>
    <w:rsid w:val="003A6158"/>
    <w:rsid w:val="003A644D"/>
    <w:rsid w:val="003A72A8"/>
    <w:rsid w:val="003A7E96"/>
    <w:rsid w:val="003B0659"/>
    <w:rsid w:val="003B114C"/>
    <w:rsid w:val="003B3643"/>
    <w:rsid w:val="003B3DB9"/>
    <w:rsid w:val="003B4E23"/>
    <w:rsid w:val="003B7386"/>
    <w:rsid w:val="003B7581"/>
    <w:rsid w:val="003B777A"/>
    <w:rsid w:val="003C08FD"/>
    <w:rsid w:val="003C1E61"/>
    <w:rsid w:val="003C32EE"/>
    <w:rsid w:val="003C452F"/>
    <w:rsid w:val="003C5BDF"/>
    <w:rsid w:val="003D1FE2"/>
    <w:rsid w:val="003D4E0D"/>
    <w:rsid w:val="003D632A"/>
    <w:rsid w:val="003D7C75"/>
    <w:rsid w:val="003E0AF3"/>
    <w:rsid w:val="003E1765"/>
    <w:rsid w:val="003E284A"/>
    <w:rsid w:val="003E2DCB"/>
    <w:rsid w:val="003E3108"/>
    <w:rsid w:val="003E33B4"/>
    <w:rsid w:val="003E352A"/>
    <w:rsid w:val="003E49CC"/>
    <w:rsid w:val="003E6641"/>
    <w:rsid w:val="003E7BF9"/>
    <w:rsid w:val="003F1A61"/>
    <w:rsid w:val="003F58A1"/>
    <w:rsid w:val="003F61C0"/>
    <w:rsid w:val="003F7EF1"/>
    <w:rsid w:val="00400D60"/>
    <w:rsid w:val="0040186F"/>
    <w:rsid w:val="00402812"/>
    <w:rsid w:val="004040B2"/>
    <w:rsid w:val="00404E41"/>
    <w:rsid w:val="0040665C"/>
    <w:rsid w:val="00406C4A"/>
    <w:rsid w:val="004077A2"/>
    <w:rsid w:val="00407A73"/>
    <w:rsid w:val="00410D15"/>
    <w:rsid w:val="00412EE5"/>
    <w:rsid w:val="0041433E"/>
    <w:rsid w:val="00416635"/>
    <w:rsid w:val="00417FB9"/>
    <w:rsid w:val="004209C2"/>
    <w:rsid w:val="00423DA5"/>
    <w:rsid w:val="00424539"/>
    <w:rsid w:val="004255F8"/>
    <w:rsid w:val="00425AE3"/>
    <w:rsid w:val="0042646F"/>
    <w:rsid w:val="00430D5F"/>
    <w:rsid w:val="004327A6"/>
    <w:rsid w:val="00433AE2"/>
    <w:rsid w:val="00435726"/>
    <w:rsid w:val="00435DA0"/>
    <w:rsid w:val="00436098"/>
    <w:rsid w:val="00436219"/>
    <w:rsid w:val="00436C5C"/>
    <w:rsid w:val="00441379"/>
    <w:rsid w:val="00442227"/>
    <w:rsid w:val="004428F7"/>
    <w:rsid w:val="00442D45"/>
    <w:rsid w:val="00444179"/>
    <w:rsid w:val="00444507"/>
    <w:rsid w:val="00444584"/>
    <w:rsid w:val="00446121"/>
    <w:rsid w:val="004503EC"/>
    <w:rsid w:val="00451C1C"/>
    <w:rsid w:val="00452C13"/>
    <w:rsid w:val="00463E97"/>
    <w:rsid w:val="00467AC4"/>
    <w:rsid w:val="00467F24"/>
    <w:rsid w:val="00470234"/>
    <w:rsid w:val="00473FD8"/>
    <w:rsid w:val="00475CF2"/>
    <w:rsid w:val="00475D6C"/>
    <w:rsid w:val="00476141"/>
    <w:rsid w:val="00476C74"/>
    <w:rsid w:val="00477BB5"/>
    <w:rsid w:val="004803D4"/>
    <w:rsid w:val="00483985"/>
    <w:rsid w:val="00485612"/>
    <w:rsid w:val="00487B34"/>
    <w:rsid w:val="00491433"/>
    <w:rsid w:val="004931B7"/>
    <w:rsid w:val="004938A3"/>
    <w:rsid w:val="004948CC"/>
    <w:rsid w:val="004964E3"/>
    <w:rsid w:val="004971E4"/>
    <w:rsid w:val="00497FA0"/>
    <w:rsid w:val="004A260E"/>
    <w:rsid w:val="004A37E5"/>
    <w:rsid w:val="004B4EA7"/>
    <w:rsid w:val="004B5A3C"/>
    <w:rsid w:val="004B5B4A"/>
    <w:rsid w:val="004B644E"/>
    <w:rsid w:val="004B69AA"/>
    <w:rsid w:val="004C1309"/>
    <w:rsid w:val="004C144E"/>
    <w:rsid w:val="004C1A87"/>
    <w:rsid w:val="004C5AFE"/>
    <w:rsid w:val="004C64CB"/>
    <w:rsid w:val="004C6902"/>
    <w:rsid w:val="004C7B4D"/>
    <w:rsid w:val="004D256F"/>
    <w:rsid w:val="004D579A"/>
    <w:rsid w:val="004E0F63"/>
    <w:rsid w:val="004E1067"/>
    <w:rsid w:val="004E253D"/>
    <w:rsid w:val="004F0122"/>
    <w:rsid w:val="004F05DB"/>
    <w:rsid w:val="004F17F7"/>
    <w:rsid w:val="004F2FAE"/>
    <w:rsid w:val="004F5362"/>
    <w:rsid w:val="004F7EE2"/>
    <w:rsid w:val="00500012"/>
    <w:rsid w:val="005015C9"/>
    <w:rsid w:val="00502DD0"/>
    <w:rsid w:val="00503542"/>
    <w:rsid w:val="00505FCA"/>
    <w:rsid w:val="00507791"/>
    <w:rsid w:val="00510B3A"/>
    <w:rsid w:val="00511CD8"/>
    <w:rsid w:val="00511EAF"/>
    <w:rsid w:val="0051372A"/>
    <w:rsid w:val="00514A02"/>
    <w:rsid w:val="00517E97"/>
    <w:rsid w:val="00521933"/>
    <w:rsid w:val="005276E4"/>
    <w:rsid w:val="005279CC"/>
    <w:rsid w:val="00531C0C"/>
    <w:rsid w:val="00531DA5"/>
    <w:rsid w:val="00532D74"/>
    <w:rsid w:val="005352DD"/>
    <w:rsid w:val="00536004"/>
    <w:rsid w:val="00536929"/>
    <w:rsid w:val="005375A0"/>
    <w:rsid w:val="00537B4E"/>
    <w:rsid w:val="00540465"/>
    <w:rsid w:val="00541FEF"/>
    <w:rsid w:val="00546588"/>
    <w:rsid w:val="00547E30"/>
    <w:rsid w:val="00547F9E"/>
    <w:rsid w:val="0055370A"/>
    <w:rsid w:val="00553AFA"/>
    <w:rsid w:val="00554008"/>
    <w:rsid w:val="00554B06"/>
    <w:rsid w:val="005556A2"/>
    <w:rsid w:val="00560E92"/>
    <w:rsid w:val="00562634"/>
    <w:rsid w:val="00566465"/>
    <w:rsid w:val="00566988"/>
    <w:rsid w:val="00567C6F"/>
    <w:rsid w:val="00570B53"/>
    <w:rsid w:val="005712ED"/>
    <w:rsid w:val="00571ACA"/>
    <w:rsid w:val="00574D2B"/>
    <w:rsid w:val="0057625F"/>
    <w:rsid w:val="005807B0"/>
    <w:rsid w:val="00582C28"/>
    <w:rsid w:val="00583629"/>
    <w:rsid w:val="0058455B"/>
    <w:rsid w:val="00584F3F"/>
    <w:rsid w:val="0058653A"/>
    <w:rsid w:val="00586C23"/>
    <w:rsid w:val="00592607"/>
    <w:rsid w:val="00594537"/>
    <w:rsid w:val="00595849"/>
    <w:rsid w:val="00595E48"/>
    <w:rsid w:val="005A0240"/>
    <w:rsid w:val="005A0814"/>
    <w:rsid w:val="005A6EA9"/>
    <w:rsid w:val="005B0A17"/>
    <w:rsid w:val="005B29AD"/>
    <w:rsid w:val="005B42FE"/>
    <w:rsid w:val="005B5048"/>
    <w:rsid w:val="005B52E3"/>
    <w:rsid w:val="005B5536"/>
    <w:rsid w:val="005B5FEE"/>
    <w:rsid w:val="005B63B2"/>
    <w:rsid w:val="005B7033"/>
    <w:rsid w:val="005C7FFD"/>
    <w:rsid w:val="005D1FCA"/>
    <w:rsid w:val="005D4CA5"/>
    <w:rsid w:val="005D7C25"/>
    <w:rsid w:val="005E017E"/>
    <w:rsid w:val="005E0910"/>
    <w:rsid w:val="005E2F4D"/>
    <w:rsid w:val="005E4601"/>
    <w:rsid w:val="005E736A"/>
    <w:rsid w:val="005F1DF4"/>
    <w:rsid w:val="005F253E"/>
    <w:rsid w:val="005F27EF"/>
    <w:rsid w:val="005F5EB8"/>
    <w:rsid w:val="005F60DB"/>
    <w:rsid w:val="006006CF"/>
    <w:rsid w:val="00602E88"/>
    <w:rsid w:val="00604125"/>
    <w:rsid w:val="00605ADC"/>
    <w:rsid w:val="00606ADD"/>
    <w:rsid w:val="00607E2A"/>
    <w:rsid w:val="00610D73"/>
    <w:rsid w:val="00610DA3"/>
    <w:rsid w:val="006117F5"/>
    <w:rsid w:val="006122E1"/>
    <w:rsid w:val="006147BE"/>
    <w:rsid w:val="006161F8"/>
    <w:rsid w:val="00616491"/>
    <w:rsid w:val="00623FA5"/>
    <w:rsid w:val="0062440A"/>
    <w:rsid w:val="0062512C"/>
    <w:rsid w:val="00625235"/>
    <w:rsid w:val="00626325"/>
    <w:rsid w:val="00630057"/>
    <w:rsid w:val="0063445A"/>
    <w:rsid w:val="00634E18"/>
    <w:rsid w:val="006376CC"/>
    <w:rsid w:val="00637BCF"/>
    <w:rsid w:val="00640090"/>
    <w:rsid w:val="00641007"/>
    <w:rsid w:val="00642695"/>
    <w:rsid w:val="00642C1E"/>
    <w:rsid w:val="006448E4"/>
    <w:rsid w:val="0064647A"/>
    <w:rsid w:val="00646602"/>
    <w:rsid w:val="0064667D"/>
    <w:rsid w:val="00646A04"/>
    <w:rsid w:val="00646D73"/>
    <w:rsid w:val="0065130D"/>
    <w:rsid w:val="00652BBE"/>
    <w:rsid w:val="0065413D"/>
    <w:rsid w:val="0065461E"/>
    <w:rsid w:val="00654919"/>
    <w:rsid w:val="006574AB"/>
    <w:rsid w:val="00662B72"/>
    <w:rsid w:val="00663ADA"/>
    <w:rsid w:val="00664968"/>
    <w:rsid w:val="00665AEC"/>
    <w:rsid w:val="00666AB2"/>
    <w:rsid w:val="0066733F"/>
    <w:rsid w:val="006738A8"/>
    <w:rsid w:val="006775C7"/>
    <w:rsid w:val="0068239C"/>
    <w:rsid w:val="006829B7"/>
    <w:rsid w:val="0068442B"/>
    <w:rsid w:val="00685DC9"/>
    <w:rsid w:val="006876CC"/>
    <w:rsid w:val="00692892"/>
    <w:rsid w:val="006948D4"/>
    <w:rsid w:val="006961BC"/>
    <w:rsid w:val="006A0E83"/>
    <w:rsid w:val="006A171D"/>
    <w:rsid w:val="006A1924"/>
    <w:rsid w:val="006A1B61"/>
    <w:rsid w:val="006A37A5"/>
    <w:rsid w:val="006A44B5"/>
    <w:rsid w:val="006A45FF"/>
    <w:rsid w:val="006A5F92"/>
    <w:rsid w:val="006B15CD"/>
    <w:rsid w:val="006B17DB"/>
    <w:rsid w:val="006B2863"/>
    <w:rsid w:val="006B404D"/>
    <w:rsid w:val="006C030F"/>
    <w:rsid w:val="006C12AC"/>
    <w:rsid w:val="006C1EA8"/>
    <w:rsid w:val="006C2838"/>
    <w:rsid w:val="006C4A30"/>
    <w:rsid w:val="006C5D38"/>
    <w:rsid w:val="006C7992"/>
    <w:rsid w:val="006C7EEA"/>
    <w:rsid w:val="006D0A68"/>
    <w:rsid w:val="006D2CA1"/>
    <w:rsid w:val="006D315F"/>
    <w:rsid w:val="006D3520"/>
    <w:rsid w:val="006D436D"/>
    <w:rsid w:val="006D6000"/>
    <w:rsid w:val="006D7611"/>
    <w:rsid w:val="006E12A9"/>
    <w:rsid w:val="006E2406"/>
    <w:rsid w:val="006F05FC"/>
    <w:rsid w:val="006F166C"/>
    <w:rsid w:val="006F1BB4"/>
    <w:rsid w:val="006F335D"/>
    <w:rsid w:val="006F354A"/>
    <w:rsid w:val="006F39FC"/>
    <w:rsid w:val="006F3F95"/>
    <w:rsid w:val="006F59B9"/>
    <w:rsid w:val="006F6CBF"/>
    <w:rsid w:val="006F7EF6"/>
    <w:rsid w:val="00700043"/>
    <w:rsid w:val="00701FD7"/>
    <w:rsid w:val="007042B4"/>
    <w:rsid w:val="00711DAC"/>
    <w:rsid w:val="00712359"/>
    <w:rsid w:val="0072056E"/>
    <w:rsid w:val="00720B8F"/>
    <w:rsid w:val="00721992"/>
    <w:rsid w:val="00721CF9"/>
    <w:rsid w:val="00722E06"/>
    <w:rsid w:val="0072459D"/>
    <w:rsid w:val="007249E6"/>
    <w:rsid w:val="0072656B"/>
    <w:rsid w:val="007275FE"/>
    <w:rsid w:val="0073065D"/>
    <w:rsid w:val="00730DC0"/>
    <w:rsid w:val="00730E72"/>
    <w:rsid w:val="0073244F"/>
    <w:rsid w:val="00732BBA"/>
    <w:rsid w:val="007330A3"/>
    <w:rsid w:val="00733523"/>
    <w:rsid w:val="00733D85"/>
    <w:rsid w:val="007351F3"/>
    <w:rsid w:val="00736F58"/>
    <w:rsid w:val="00741738"/>
    <w:rsid w:val="00744DC7"/>
    <w:rsid w:val="00745EB2"/>
    <w:rsid w:val="00746DC8"/>
    <w:rsid w:val="00747AD3"/>
    <w:rsid w:val="0075118C"/>
    <w:rsid w:val="00754E6A"/>
    <w:rsid w:val="007551B7"/>
    <w:rsid w:val="007557A9"/>
    <w:rsid w:val="00757BFF"/>
    <w:rsid w:val="00760605"/>
    <w:rsid w:val="00760923"/>
    <w:rsid w:val="007634D2"/>
    <w:rsid w:val="007661CD"/>
    <w:rsid w:val="00766970"/>
    <w:rsid w:val="0076723C"/>
    <w:rsid w:val="00767CF2"/>
    <w:rsid w:val="00767F90"/>
    <w:rsid w:val="007701BF"/>
    <w:rsid w:val="0077116C"/>
    <w:rsid w:val="0077308C"/>
    <w:rsid w:val="00774156"/>
    <w:rsid w:val="007745F4"/>
    <w:rsid w:val="00775C14"/>
    <w:rsid w:val="007760FD"/>
    <w:rsid w:val="00777BB6"/>
    <w:rsid w:val="00785341"/>
    <w:rsid w:val="007856B2"/>
    <w:rsid w:val="007900E9"/>
    <w:rsid w:val="0079138B"/>
    <w:rsid w:val="00791D45"/>
    <w:rsid w:val="007934F1"/>
    <w:rsid w:val="007963EC"/>
    <w:rsid w:val="00797355"/>
    <w:rsid w:val="007A0387"/>
    <w:rsid w:val="007A15D9"/>
    <w:rsid w:val="007A2B63"/>
    <w:rsid w:val="007A337B"/>
    <w:rsid w:val="007A4C5E"/>
    <w:rsid w:val="007A5A4C"/>
    <w:rsid w:val="007A6FD4"/>
    <w:rsid w:val="007B0407"/>
    <w:rsid w:val="007B1945"/>
    <w:rsid w:val="007B1C64"/>
    <w:rsid w:val="007B5D87"/>
    <w:rsid w:val="007B6FA8"/>
    <w:rsid w:val="007C199D"/>
    <w:rsid w:val="007C1C1D"/>
    <w:rsid w:val="007C31EF"/>
    <w:rsid w:val="007C5D94"/>
    <w:rsid w:val="007C6401"/>
    <w:rsid w:val="007C6E3D"/>
    <w:rsid w:val="007D5A3E"/>
    <w:rsid w:val="007D6E07"/>
    <w:rsid w:val="007D7127"/>
    <w:rsid w:val="007D729A"/>
    <w:rsid w:val="007D798D"/>
    <w:rsid w:val="007D7B45"/>
    <w:rsid w:val="007E238A"/>
    <w:rsid w:val="007E6966"/>
    <w:rsid w:val="007E753F"/>
    <w:rsid w:val="007F096A"/>
    <w:rsid w:val="007F11B3"/>
    <w:rsid w:val="007F434A"/>
    <w:rsid w:val="0080020C"/>
    <w:rsid w:val="00800464"/>
    <w:rsid w:val="00805150"/>
    <w:rsid w:val="0080541C"/>
    <w:rsid w:val="00806905"/>
    <w:rsid w:val="008077BA"/>
    <w:rsid w:val="00810255"/>
    <w:rsid w:val="00810EC6"/>
    <w:rsid w:val="008111D3"/>
    <w:rsid w:val="00812F65"/>
    <w:rsid w:val="00813172"/>
    <w:rsid w:val="008145A8"/>
    <w:rsid w:val="0081483E"/>
    <w:rsid w:val="00814DB1"/>
    <w:rsid w:val="00816DFC"/>
    <w:rsid w:val="0081779B"/>
    <w:rsid w:val="008205BA"/>
    <w:rsid w:val="00820AF6"/>
    <w:rsid w:val="0082144D"/>
    <w:rsid w:val="00821543"/>
    <w:rsid w:val="0082171E"/>
    <w:rsid w:val="00822056"/>
    <w:rsid w:val="00824B62"/>
    <w:rsid w:val="00831BAE"/>
    <w:rsid w:val="0083235A"/>
    <w:rsid w:val="00832657"/>
    <w:rsid w:val="00832BF7"/>
    <w:rsid w:val="008356D6"/>
    <w:rsid w:val="0083769A"/>
    <w:rsid w:val="0084554D"/>
    <w:rsid w:val="008477C7"/>
    <w:rsid w:val="00851E2D"/>
    <w:rsid w:val="00852794"/>
    <w:rsid w:val="00853529"/>
    <w:rsid w:val="0085480D"/>
    <w:rsid w:val="00855DE5"/>
    <w:rsid w:val="00856E2A"/>
    <w:rsid w:val="00857B4E"/>
    <w:rsid w:val="00857C3F"/>
    <w:rsid w:val="008624D0"/>
    <w:rsid w:val="00862F94"/>
    <w:rsid w:val="00863979"/>
    <w:rsid w:val="00866271"/>
    <w:rsid w:val="008671B1"/>
    <w:rsid w:val="008678EB"/>
    <w:rsid w:val="00870824"/>
    <w:rsid w:val="008712AE"/>
    <w:rsid w:val="00872A40"/>
    <w:rsid w:val="00873E84"/>
    <w:rsid w:val="00876075"/>
    <w:rsid w:val="00876AE2"/>
    <w:rsid w:val="00880AB9"/>
    <w:rsid w:val="00880ACE"/>
    <w:rsid w:val="00884442"/>
    <w:rsid w:val="008858BF"/>
    <w:rsid w:val="00886D9E"/>
    <w:rsid w:val="0089525A"/>
    <w:rsid w:val="00895A75"/>
    <w:rsid w:val="00895FA8"/>
    <w:rsid w:val="008A1585"/>
    <w:rsid w:val="008A17E3"/>
    <w:rsid w:val="008A1BCF"/>
    <w:rsid w:val="008A28B4"/>
    <w:rsid w:val="008A4262"/>
    <w:rsid w:val="008A4BEA"/>
    <w:rsid w:val="008A54EA"/>
    <w:rsid w:val="008A5F28"/>
    <w:rsid w:val="008A5FDD"/>
    <w:rsid w:val="008B0B47"/>
    <w:rsid w:val="008B1DCF"/>
    <w:rsid w:val="008B23EF"/>
    <w:rsid w:val="008B3176"/>
    <w:rsid w:val="008B3541"/>
    <w:rsid w:val="008B3830"/>
    <w:rsid w:val="008B3BA5"/>
    <w:rsid w:val="008B5D95"/>
    <w:rsid w:val="008C060F"/>
    <w:rsid w:val="008C1C66"/>
    <w:rsid w:val="008C63FE"/>
    <w:rsid w:val="008C6C78"/>
    <w:rsid w:val="008C7668"/>
    <w:rsid w:val="008D110F"/>
    <w:rsid w:val="008D3B2B"/>
    <w:rsid w:val="008D6654"/>
    <w:rsid w:val="008D6A9D"/>
    <w:rsid w:val="008D6EBE"/>
    <w:rsid w:val="008E1C73"/>
    <w:rsid w:val="008E24DA"/>
    <w:rsid w:val="008E38D7"/>
    <w:rsid w:val="008E5181"/>
    <w:rsid w:val="008F3A94"/>
    <w:rsid w:val="008F58D2"/>
    <w:rsid w:val="008F6921"/>
    <w:rsid w:val="00902A2B"/>
    <w:rsid w:val="00903370"/>
    <w:rsid w:val="00903DE7"/>
    <w:rsid w:val="00903E70"/>
    <w:rsid w:val="00904115"/>
    <w:rsid w:val="0090466A"/>
    <w:rsid w:val="00905441"/>
    <w:rsid w:val="0090578F"/>
    <w:rsid w:val="00910CDE"/>
    <w:rsid w:val="009121A5"/>
    <w:rsid w:val="00912F84"/>
    <w:rsid w:val="00913D7D"/>
    <w:rsid w:val="00915191"/>
    <w:rsid w:val="00915D39"/>
    <w:rsid w:val="00916442"/>
    <w:rsid w:val="0091668E"/>
    <w:rsid w:val="0091674D"/>
    <w:rsid w:val="00917469"/>
    <w:rsid w:val="009218BA"/>
    <w:rsid w:val="00924036"/>
    <w:rsid w:val="009249F0"/>
    <w:rsid w:val="00926308"/>
    <w:rsid w:val="00931772"/>
    <w:rsid w:val="009317A2"/>
    <w:rsid w:val="0093199E"/>
    <w:rsid w:val="009319D5"/>
    <w:rsid w:val="009333DE"/>
    <w:rsid w:val="00933869"/>
    <w:rsid w:val="0093569B"/>
    <w:rsid w:val="009359F9"/>
    <w:rsid w:val="009424BB"/>
    <w:rsid w:val="00943C07"/>
    <w:rsid w:val="00945645"/>
    <w:rsid w:val="00952109"/>
    <w:rsid w:val="0095384A"/>
    <w:rsid w:val="00953ABB"/>
    <w:rsid w:val="00955D4C"/>
    <w:rsid w:val="00961CE4"/>
    <w:rsid w:val="00962A76"/>
    <w:rsid w:val="00963D17"/>
    <w:rsid w:val="009646BA"/>
    <w:rsid w:val="00964948"/>
    <w:rsid w:val="009676EF"/>
    <w:rsid w:val="009679CE"/>
    <w:rsid w:val="00974376"/>
    <w:rsid w:val="00974EE4"/>
    <w:rsid w:val="009768DD"/>
    <w:rsid w:val="0097758B"/>
    <w:rsid w:val="009778BB"/>
    <w:rsid w:val="009810AA"/>
    <w:rsid w:val="009817E2"/>
    <w:rsid w:val="009818F6"/>
    <w:rsid w:val="00981B44"/>
    <w:rsid w:val="00982D68"/>
    <w:rsid w:val="0098596B"/>
    <w:rsid w:val="009917F3"/>
    <w:rsid w:val="00993854"/>
    <w:rsid w:val="00995C66"/>
    <w:rsid w:val="00996158"/>
    <w:rsid w:val="0099674D"/>
    <w:rsid w:val="009A0F10"/>
    <w:rsid w:val="009A274B"/>
    <w:rsid w:val="009A3EB2"/>
    <w:rsid w:val="009A5B20"/>
    <w:rsid w:val="009B0BA1"/>
    <w:rsid w:val="009B1C38"/>
    <w:rsid w:val="009B36F4"/>
    <w:rsid w:val="009B4188"/>
    <w:rsid w:val="009C2745"/>
    <w:rsid w:val="009C5D9C"/>
    <w:rsid w:val="009C5DE8"/>
    <w:rsid w:val="009C68D3"/>
    <w:rsid w:val="009C6F1A"/>
    <w:rsid w:val="009D0428"/>
    <w:rsid w:val="009D13CF"/>
    <w:rsid w:val="009D7DF2"/>
    <w:rsid w:val="009D7F1A"/>
    <w:rsid w:val="009E012E"/>
    <w:rsid w:val="009E1396"/>
    <w:rsid w:val="009E45ED"/>
    <w:rsid w:val="009E5AE6"/>
    <w:rsid w:val="009E5F58"/>
    <w:rsid w:val="009E7EF5"/>
    <w:rsid w:val="009F02DE"/>
    <w:rsid w:val="009F0690"/>
    <w:rsid w:val="009F2132"/>
    <w:rsid w:val="009F27FC"/>
    <w:rsid w:val="009F2EDC"/>
    <w:rsid w:val="009F3842"/>
    <w:rsid w:val="009F3A92"/>
    <w:rsid w:val="009F4274"/>
    <w:rsid w:val="009F4D5D"/>
    <w:rsid w:val="009F6BF2"/>
    <w:rsid w:val="009F75F7"/>
    <w:rsid w:val="009F770F"/>
    <w:rsid w:val="00A00091"/>
    <w:rsid w:val="00A0120A"/>
    <w:rsid w:val="00A032D4"/>
    <w:rsid w:val="00A03D2A"/>
    <w:rsid w:val="00A062DB"/>
    <w:rsid w:val="00A1077C"/>
    <w:rsid w:val="00A110C9"/>
    <w:rsid w:val="00A11319"/>
    <w:rsid w:val="00A11EA3"/>
    <w:rsid w:val="00A14C78"/>
    <w:rsid w:val="00A170DC"/>
    <w:rsid w:val="00A20C49"/>
    <w:rsid w:val="00A21D59"/>
    <w:rsid w:val="00A22771"/>
    <w:rsid w:val="00A22C2F"/>
    <w:rsid w:val="00A2382C"/>
    <w:rsid w:val="00A24756"/>
    <w:rsid w:val="00A252F3"/>
    <w:rsid w:val="00A25461"/>
    <w:rsid w:val="00A265A4"/>
    <w:rsid w:val="00A362C4"/>
    <w:rsid w:val="00A3639A"/>
    <w:rsid w:val="00A41D37"/>
    <w:rsid w:val="00A41FDF"/>
    <w:rsid w:val="00A42666"/>
    <w:rsid w:val="00A42F93"/>
    <w:rsid w:val="00A44801"/>
    <w:rsid w:val="00A44F49"/>
    <w:rsid w:val="00A46D59"/>
    <w:rsid w:val="00A50BC8"/>
    <w:rsid w:val="00A52E39"/>
    <w:rsid w:val="00A5478F"/>
    <w:rsid w:val="00A5656D"/>
    <w:rsid w:val="00A56B83"/>
    <w:rsid w:val="00A607E1"/>
    <w:rsid w:val="00A60963"/>
    <w:rsid w:val="00A60A98"/>
    <w:rsid w:val="00A611F7"/>
    <w:rsid w:val="00A6157C"/>
    <w:rsid w:val="00A66511"/>
    <w:rsid w:val="00A67FE0"/>
    <w:rsid w:val="00A7572D"/>
    <w:rsid w:val="00A77A5B"/>
    <w:rsid w:val="00A77A7B"/>
    <w:rsid w:val="00A80659"/>
    <w:rsid w:val="00A81153"/>
    <w:rsid w:val="00A81445"/>
    <w:rsid w:val="00A81C2C"/>
    <w:rsid w:val="00A82DA0"/>
    <w:rsid w:val="00A8320B"/>
    <w:rsid w:val="00A853AC"/>
    <w:rsid w:val="00A8563B"/>
    <w:rsid w:val="00A85BD2"/>
    <w:rsid w:val="00A85D47"/>
    <w:rsid w:val="00A85E3A"/>
    <w:rsid w:val="00A86591"/>
    <w:rsid w:val="00A87458"/>
    <w:rsid w:val="00A874C1"/>
    <w:rsid w:val="00A87B08"/>
    <w:rsid w:val="00A97217"/>
    <w:rsid w:val="00A9721B"/>
    <w:rsid w:val="00AA0058"/>
    <w:rsid w:val="00AA1056"/>
    <w:rsid w:val="00AA1B9A"/>
    <w:rsid w:val="00AA27E9"/>
    <w:rsid w:val="00AA795C"/>
    <w:rsid w:val="00AB19A8"/>
    <w:rsid w:val="00AB20E2"/>
    <w:rsid w:val="00AB24D7"/>
    <w:rsid w:val="00AB3A76"/>
    <w:rsid w:val="00AB55B1"/>
    <w:rsid w:val="00AB6123"/>
    <w:rsid w:val="00AC0D57"/>
    <w:rsid w:val="00AC386C"/>
    <w:rsid w:val="00AC4663"/>
    <w:rsid w:val="00AC5CE2"/>
    <w:rsid w:val="00AC7BFF"/>
    <w:rsid w:val="00AD012D"/>
    <w:rsid w:val="00AD2D6F"/>
    <w:rsid w:val="00AD607C"/>
    <w:rsid w:val="00AD69C3"/>
    <w:rsid w:val="00AD6B86"/>
    <w:rsid w:val="00AD7BE4"/>
    <w:rsid w:val="00AD7C65"/>
    <w:rsid w:val="00AE0494"/>
    <w:rsid w:val="00AE0499"/>
    <w:rsid w:val="00AE0F0A"/>
    <w:rsid w:val="00AE1521"/>
    <w:rsid w:val="00AE16D2"/>
    <w:rsid w:val="00AE4083"/>
    <w:rsid w:val="00AE5361"/>
    <w:rsid w:val="00AF0943"/>
    <w:rsid w:val="00AF1FE5"/>
    <w:rsid w:val="00AF2EE9"/>
    <w:rsid w:val="00AF3747"/>
    <w:rsid w:val="00AF61A3"/>
    <w:rsid w:val="00AF6E85"/>
    <w:rsid w:val="00B0289B"/>
    <w:rsid w:val="00B035A6"/>
    <w:rsid w:val="00B035DD"/>
    <w:rsid w:val="00B03609"/>
    <w:rsid w:val="00B039B1"/>
    <w:rsid w:val="00B041FA"/>
    <w:rsid w:val="00B0477A"/>
    <w:rsid w:val="00B06729"/>
    <w:rsid w:val="00B07066"/>
    <w:rsid w:val="00B11161"/>
    <w:rsid w:val="00B11DFD"/>
    <w:rsid w:val="00B1217F"/>
    <w:rsid w:val="00B12B69"/>
    <w:rsid w:val="00B131A2"/>
    <w:rsid w:val="00B13564"/>
    <w:rsid w:val="00B14C0F"/>
    <w:rsid w:val="00B1706C"/>
    <w:rsid w:val="00B20750"/>
    <w:rsid w:val="00B213B0"/>
    <w:rsid w:val="00B242D8"/>
    <w:rsid w:val="00B26513"/>
    <w:rsid w:val="00B32378"/>
    <w:rsid w:val="00B33292"/>
    <w:rsid w:val="00B34972"/>
    <w:rsid w:val="00B34B31"/>
    <w:rsid w:val="00B3769C"/>
    <w:rsid w:val="00B427F4"/>
    <w:rsid w:val="00B429AE"/>
    <w:rsid w:val="00B42BD9"/>
    <w:rsid w:val="00B435E8"/>
    <w:rsid w:val="00B4554B"/>
    <w:rsid w:val="00B50554"/>
    <w:rsid w:val="00B515EC"/>
    <w:rsid w:val="00B52136"/>
    <w:rsid w:val="00B57BDA"/>
    <w:rsid w:val="00B63CFC"/>
    <w:rsid w:val="00B64059"/>
    <w:rsid w:val="00B65044"/>
    <w:rsid w:val="00B66073"/>
    <w:rsid w:val="00B67AB5"/>
    <w:rsid w:val="00B67F74"/>
    <w:rsid w:val="00B707D4"/>
    <w:rsid w:val="00B7377F"/>
    <w:rsid w:val="00B7380E"/>
    <w:rsid w:val="00B74C48"/>
    <w:rsid w:val="00B74FF6"/>
    <w:rsid w:val="00B7504E"/>
    <w:rsid w:val="00B77B39"/>
    <w:rsid w:val="00B81F73"/>
    <w:rsid w:val="00B83263"/>
    <w:rsid w:val="00B83E51"/>
    <w:rsid w:val="00B85F75"/>
    <w:rsid w:val="00B862A4"/>
    <w:rsid w:val="00B919AF"/>
    <w:rsid w:val="00B9319C"/>
    <w:rsid w:val="00B9396B"/>
    <w:rsid w:val="00B949E1"/>
    <w:rsid w:val="00B95097"/>
    <w:rsid w:val="00B953EE"/>
    <w:rsid w:val="00B954E6"/>
    <w:rsid w:val="00B9645B"/>
    <w:rsid w:val="00B9648D"/>
    <w:rsid w:val="00B97EC5"/>
    <w:rsid w:val="00BA5020"/>
    <w:rsid w:val="00BA538F"/>
    <w:rsid w:val="00BB0081"/>
    <w:rsid w:val="00BB0FE6"/>
    <w:rsid w:val="00BB66BB"/>
    <w:rsid w:val="00BB6C06"/>
    <w:rsid w:val="00BC08D8"/>
    <w:rsid w:val="00BC1CEF"/>
    <w:rsid w:val="00BC2843"/>
    <w:rsid w:val="00BC293F"/>
    <w:rsid w:val="00BC5541"/>
    <w:rsid w:val="00BC5BAD"/>
    <w:rsid w:val="00BC6A50"/>
    <w:rsid w:val="00BC7492"/>
    <w:rsid w:val="00BD0065"/>
    <w:rsid w:val="00BD028E"/>
    <w:rsid w:val="00BD13E1"/>
    <w:rsid w:val="00BD1DEF"/>
    <w:rsid w:val="00BD3AFB"/>
    <w:rsid w:val="00BD3EFC"/>
    <w:rsid w:val="00BD4771"/>
    <w:rsid w:val="00BD4E9B"/>
    <w:rsid w:val="00BD57E7"/>
    <w:rsid w:val="00BD595E"/>
    <w:rsid w:val="00BE0BEB"/>
    <w:rsid w:val="00BE2F59"/>
    <w:rsid w:val="00BE3866"/>
    <w:rsid w:val="00BE4B17"/>
    <w:rsid w:val="00BE4D1D"/>
    <w:rsid w:val="00BE5C95"/>
    <w:rsid w:val="00BE5ECB"/>
    <w:rsid w:val="00BF0B49"/>
    <w:rsid w:val="00BF22C5"/>
    <w:rsid w:val="00BF267A"/>
    <w:rsid w:val="00BF2709"/>
    <w:rsid w:val="00BF3151"/>
    <w:rsid w:val="00BF527C"/>
    <w:rsid w:val="00BF5A69"/>
    <w:rsid w:val="00C001E9"/>
    <w:rsid w:val="00C003E5"/>
    <w:rsid w:val="00C015F9"/>
    <w:rsid w:val="00C0452A"/>
    <w:rsid w:val="00C10D9D"/>
    <w:rsid w:val="00C13B9D"/>
    <w:rsid w:val="00C15E51"/>
    <w:rsid w:val="00C23526"/>
    <w:rsid w:val="00C24192"/>
    <w:rsid w:val="00C24200"/>
    <w:rsid w:val="00C24437"/>
    <w:rsid w:val="00C25764"/>
    <w:rsid w:val="00C25DDA"/>
    <w:rsid w:val="00C30B6A"/>
    <w:rsid w:val="00C31F12"/>
    <w:rsid w:val="00C32253"/>
    <w:rsid w:val="00C3317E"/>
    <w:rsid w:val="00C354F5"/>
    <w:rsid w:val="00C35C18"/>
    <w:rsid w:val="00C40D5F"/>
    <w:rsid w:val="00C40EF3"/>
    <w:rsid w:val="00C41BCC"/>
    <w:rsid w:val="00C4311A"/>
    <w:rsid w:val="00C43DDB"/>
    <w:rsid w:val="00C441BB"/>
    <w:rsid w:val="00C448DB"/>
    <w:rsid w:val="00C46149"/>
    <w:rsid w:val="00C4706E"/>
    <w:rsid w:val="00C4756B"/>
    <w:rsid w:val="00C47626"/>
    <w:rsid w:val="00C47D1F"/>
    <w:rsid w:val="00C51861"/>
    <w:rsid w:val="00C53AF7"/>
    <w:rsid w:val="00C557D7"/>
    <w:rsid w:val="00C55AEA"/>
    <w:rsid w:val="00C60EDF"/>
    <w:rsid w:val="00C65A78"/>
    <w:rsid w:val="00C66D47"/>
    <w:rsid w:val="00C70056"/>
    <w:rsid w:val="00C70485"/>
    <w:rsid w:val="00C70F97"/>
    <w:rsid w:val="00C71A70"/>
    <w:rsid w:val="00C71D14"/>
    <w:rsid w:val="00C730C7"/>
    <w:rsid w:val="00C73509"/>
    <w:rsid w:val="00C746A5"/>
    <w:rsid w:val="00C75BDA"/>
    <w:rsid w:val="00C823F0"/>
    <w:rsid w:val="00C83BE1"/>
    <w:rsid w:val="00C84119"/>
    <w:rsid w:val="00C857AB"/>
    <w:rsid w:val="00C87332"/>
    <w:rsid w:val="00C91FC0"/>
    <w:rsid w:val="00C9544E"/>
    <w:rsid w:val="00C958CD"/>
    <w:rsid w:val="00CA18FA"/>
    <w:rsid w:val="00CA2B09"/>
    <w:rsid w:val="00CA38F1"/>
    <w:rsid w:val="00CA46B0"/>
    <w:rsid w:val="00CA63C6"/>
    <w:rsid w:val="00CA6694"/>
    <w:rsid w:val="00CA7091"/>
    <w:rsid w:val="00CA720D"/>
    <w:rsid w:val="00CA72BF"/>
    <w:rsid w:val="00CB0DAA"/>
    <w:rsid w:val="00CB1905"/>
    <w:rsid w:val="00CB371C"/>
    <w:rsid w:val="00CB5128"/>
    <w:rsid w:val="00CB6981"/>
    <w:rsid w:val="00CC0A47"/>
    <w:rsid w:val="00CC1713"/>
    <w:rsid w:val="00CC1C01"/>
    <w:rsid w:val="00CC4CB9"/>
    <w:rsid w:val="00CC4FB2"/>
    <w:rsid w:val="00CC525F"/>
    <w:rsid w:val="00CC5574"/>
    <w:rsid w:val="00CC66AF"/>
    <w:rsid w:val="00CC704A"/>
    <w:rsid w:val="00CC7A76"/>
    <w:rsid w:val="00CC7D50"/>
    <w:rsid w:val="00CD41FC"/>
    <w:rsid w:val="00CD52AD"/>
    <w:rsid w:val="00CD718B"/>
    <w:rsid w:val="00CD7982"/>
    <w:rsid w:val="00CE0E1B"/>
    <w:rsid w:val="00CE159F"/>
    <w:rsid w:val="00CE2C98"/>
    <w:rsid w:val="00CE428B"/>
    <w:rsid w:val="00CE4480"/>
    <w:rsid w:val="00CE4770"/>
    <w:rsid w:val="00CE53C6"/>
    <w:rsid w:val="00CF0278"/>
    <w:rsid w:val="00CF0D0C"/>
    <w:rsid w:val="00CF0FA3"/>
    <w:rsid w:val="00CF1717"/>
    <w:rsid w:val="00CF5B69"/>
    <w:rsid w:val="00D036BC"/>
    <w:rsid w:val="00D037C8"/>
    <w:rsid w:val="00D03E74"/>
    <w:rsid w:val="00D07024"/>
    <w:rsid w:val="00D07184"/>
    <w:rsid w:val="00D07E27"/>
    <w:rsid w:val="00D11105"/>
    <w:rsid w:val="00D11416"/>
    <w:rsid w:val="00D1186A"/>
    <w:rsid w:val="00D11A96"/>
    <w:rsid w:val="00D130AB"/>
    <w:rsid w:val="00D14D2D"/>
    <w:rsid w:val="00D15268"/>
    <w:rsid w:val="00D1660C"/>
    <w:rsid w:val="00D17C79"/>
    <w:rsid w:val="00D21A19"/>
    <w:rsid w:val="00D22A70"/>
    <w:rsid w:val="00D22E8D"/>
    <w:rsid w:val="00D24835"/>
    <w:rsid w:val="00D27AE6"/>
    <w:rsid w:val="00D316C9"/>
    <w:rsid w:val="00D32AE7"/>
    <w:rsid w:val="00D34349"/>
    <w:rsid w:val="00D35DDC"/>
    <w:rsid w:val="00D36752"/>
    <w:rsid w:val="00D45207"/>
    <w:rsid w:val="00D45CD7"/>
    <w:rsid w:val="00D472E4"/>
    <w:rsid w:val="00D518B9"/>
    <w:rsid w:val="00D51BF2"/>
    <w:rsid w:val="00D5358F"/>
    <w:rsid w:val="00D5778C"/>
    <w:rsid w:val="00D57942"/>
    <w:rsid w:val="00D613F8"/>
    <w:rsid w:val="00D62499"/>
    <w:rsid w:val="00D65479"/>
    <w:rsid w:val="00D65D78"/>
    <w:rsid w:val="00D67B29"/>
    <w:rsid w:val="00D71411"/>
    <w:rsid w:val="00D71798"/>
    <w:rsid w:val="00D7186D"/>
    <w:rsid w:val="00D74AEF"/>
    <w:rsid w:val="00D74CD2"/>
    <w:rsid w:val="00D75F15"/>
    <w:rsid w:val="00D76971"/>
    <w:rsid w:val="00D76B53"/>
    <w:rsid w:val="00D77B2A"/>
    <w:rsid w:val="00D80172"/>
    <w:rsid w:val="00D82006"/>
    <w:rsid w:val="00D842CD"/>
    <w:rsid w:val="00D85C35"/>
    <w:rsid w:val="00D868F7"/>
    <w:rsid w:val="00D87FA9"/>
    <w:rsid w:val="00D91AFB"/>
    <w:rsid w:val="00D931C8"/>
    <w:rsid w:val="00D95B92"/>
    <w:rsid w:val="00D97DEF"/>
    <w:rsid w:val="00DA3F87"/>
    <w:rsid w:val="00DA741B"/>
    <w:rsid w:val="00DB33AC"/>
    <w:rsid w:val="00DB38D0"/>
    <w:rsid w:val="00DB51E8"/>
    <w:rsid w:val="00DB52D8"/>
    <w:rsid w:val="00DB6A32"/>
    <w:rsid w:val="00DB75CF"/>
    <w:rsid w:val="00DC1DD3"/>
    <w:rsid w:val="00DC26AB"/>
    <w:rsid w:val="00DC518B"/>
    <w:rsid w:val="00DC51B8"/>
    <w:rsid w:val="00DC5391"/>
    <w:rsid w:val="00DC7F39"/>
    <w:rsid w:val="00DD179D"/>
    <w:rsid w:val="00DD1855"/>
    <w:rsid w:val="00DD19B7"/>
    <w:rsid w:val="00DD2247"/>
    <w:rsid w:val="00DD320E"/>
    <w:rsid w:val="00DD409F"/>
    <w:rsid w:val="00DD7FCE"/>
    <w:rsid w:val="00DE0439"/>
    <w:rsid w:val="00DE2A48"/>
    <w:rsid w:val="00DE35EB"/>
    <w:rsid w:val="00DE398E"/>
    <w:rsid w:val="00DE4D9D"/>
    <w:rsid w:val="00DE5378"/>
    <w:rsid w:val="00DE54F4"/>
    <w:rsid w:val="00DE6D58"/>
    <w:rsid w:val="00DE6D67"/>
    <w:rsid w:val="00DE73A8"/>
    <w:rsid w:val="00DE781C"/>
    <w:rsid w:val="00DF084A"/>
    <w:rsid w:val="00DF1263"/>
    <w:rsid w:val="00DF220E"/>
    <w:rsid w:val="00DF4B1F"/>
    <w:rsid w:val="00DF6B41"/>
    <w:rsid w:val="00DF6D02"/>
    <w:rsid w:val="00DF7056"/>
    <w:rsid w:val="00E03555"/>
    <w:rsid w:val="00E05CDC"/>
    <w:rsid w:val="00E062EC"/>
    <w:rsid w:val="00E071E3"/>
    <w:rsid w:val="00E07438"/>
    <w:rsid w:val="00E07710"/>
    <w:rsid w:val="00E1180C"/>
    <w:rsid w:val="00E11A11"/>
    <w:rsid w:val="00E126A8"/>
    <w:rsid w:val="00E12F4F"/>
    <w:rsid w:val="00E1350C"/>
    <w:rsid w:val="00E160DB"/>
    <w:rsid w:val="00E1642F"/>
    <w:rsid w:val="00E21569"/>
    <w:rsid w:val="00E223E4"/>
    <w:rsid w:val="00E23744"/>
    <w:rsid w:val="00E24EB7"/>
    <w:rsid w:val="00E2567C"/>
    <w:rsid w:val="00E2756B"/>
    <w:rsid w:val="00E3004D"/>
    <w:rsid w:val="00E3018C"/>
    <w:rsid w:val="00E32C4E"/>
    <w:rsid w:val="00E36A36"/>
    <w:rsid w:val="00E400C5"/>
    <w:rsid w:val="00E456B7"/>
    <w:rsid w:val="00E46402"/>
    <w:rsid w:val="00E4776F"/>
    <w:rsid w:val="00E500A9"/>
    <w:rsid w:val="00E61DB3"/>
    <w:rsid w:val="00E660B3"/>
    <w:rsid w:val="00E66C13"/>
    <w:rsid w:val="00E67D61"/>
    <w:rsid w:val="00E70D20"/>
    <w:rsid w:val="00E71370"/>
    <w:rsid w:val="00E71606"/>
    <w:rsid w:val="00E721F7"/>
    <w:rsid w:val="00E751CC"/>
    <w:rsid w:val="00E75C0C"/>
    <w:rsid w:val="00E76371"/>
    <w:rsid w:val="00E77A18"/>
    <w:rsid w:val="00E85790"/>
    <w:rsid w:val="00E86BC7"/>
    <w:rsid w:val="00E86D84"/>
    <w:rsid w:val="00E91055"/>
    <w:rsid w:val="00E912B7"/>
    <w:rsid w:val="00E9143F"/>
    <w:rsid w:val="00E91CA9"/>
    <w:rsid w:val="00E929A7"/>
    <w:rsid w:val="00E948BA"/>
    <w:rsid w:val="00E95A42"/>
    <w:rsid w:val="00E95AD0"/>
    <w:rsid w:val="00E95EA9"/>
    <w:rsid w:val="00EA1C89"/>
    <w:rsid w:val="00EA2681"/>
    <w:rsid w:val="00EA377B"/>
    <w:rsid w:val="00EB052A"/>
    <w:rsid w:val="00EB46A7"/>
    <w:rsid w:val="00EB580C"/>
    <w:rsid w:val="00EB6664"/>
    <w:rsid w:val="00EB6EC2"/>
    <w:rsid w:val="00EB7721"/>
    <w:rsid w:val="00EC124D"/>
    <w:rsid w:val="00EC1DDF"/>
    <w:rsid w:val="00EC3426"/>
    <w:rsid w:val="00EC4093"/>
    <w:rsid w:val="00EC4377"/>
    <w:rsid w:val="00EC43C2"/>
    <w:rsid w:val="00EC4E1C"/>
    <w:rsid w:val="00EC69E0"/>
    <w:rsid w:val="00ED045B"/>
    <w:rsid w:val="00ED0775"/>
    <w:rsid w:val="00ED3A5C"/>
    <w:rsid w:val="00ED3F58"/>
    <w:rsid w:val="00ED7A59"/>
    <w:rsid w:val="00EE0535"/>
    <w:rsid w:val="00EE21DA"/>
    <w:rsid w:val="00EE252D"/>
    <w:rsid w:val="00EE2A83"/>
    <w:rsid w:val="00EE680B"/>
    <w:rsid w:val="00EF158B"/>
    <w:rsid w:val="00EF2A67"/>
    <w:rsid w:val="00EF3ED7"/>
    <w:rsid w:val="00EF577F"/>
    <w:rsid w:val="00EF7A40"/>
    <w:rsid w:val="00F00132"/>
    <w:rsid w:val="00F00AF4"/>
    <w:rsid w:val="00F012C0"/>
    <w:rsid w:val="00F01417"/>
    <w:rsid w:val="00F0259B"/>
    <w:rsid w:val="00F02887"/>
    <w:rsid w:val="00F036E7"/>
    <w:rsid w:val="00F05AF8"/>
    <w:rsid w:val="00F071AA"/>
    <w:rsid w:val="00F07A57"/>
    <w:rsid w:val="00F07FCE"/>
    <w:rsid w:val="00F1019A"/>
    <w:rsid w:val="00F10AF5"/>
    <w:rsid w:val="00F11AA5"/>
    <w:rsid w:val="00F15CBA"/>
    <w:rsid w:val="00F204C5"/>
    <w:rsid w:val="00F23209"/>
    <w:rsid w:val="00F24565"/>
    <w:rsid w:val="00F258D4"/>
    <w:rsid w:val="00F25B9D"/>
    <w:rsid w:val="00F27A4B"/>
    <w:rsid w:val="00F32661"/>
    <w:rsid w:val="00F363D1"/>
    <w:rsid w:val="00F36BF5"/>
    <w:rsid w:val="00F36BF7"/>
    <w:rsid w:val="00F44F07"/>
    <w:rsid w:val="00F47AAB"/>
    <w:rsid w:val="00F53F72"/>
    <w:rsid w:val="00F54777"/>
    <w:rsid w:val="00F55476"/>
    <w:rsid w:val="00F56B03"/>
    <w:rsid w:val="00F56C5A"/>
    <w:rsid w:val="00F61312"/>
    <w:rsid w:val="00F642BD"/>
    <w:rsid w:val="00F6737A"/>
    <w:rsid w:val="00F67704"/>
    <w:rsid w:val="00F70555"/>
    <w:rsid w:val="00F7166E"/>
    <w:rsid w:val="00F71C56"/>
    <w:rsid w:val="00F72871"/>
    <w:rsid w:val="00F72BBC"/>
    <w:rsid w:val="00F72F8C"/>
    <w:rsid w:val="00F74644"/>
    <w:rsid w:val="00F74A75"/>
    <w:rsid w:val="00F75E3A"/>
    <w:rsid w:val="00F76C83"/>
    <w:rsid w:val="00F81A21"/>
    <w:rsid w:val="00F8292D"/>
    <w:rsid w:val="00F82AEF"/>
    <w:rsid w:val="00F84659"/>
    <w:rsid w:val="00F86E27"/>
    <w:rsid w:val="00F874F7"/>
    <w:rsid w:val="00F87CFE"/>
    <w:rsid w:val="00F87E5A"/>
    <w:rsid w:val="00F9005A"/>
    <w:rsid w:val="00F91213"/>
    <w:rsid w:val="00F91E13"/>
    <w:rsid w:val="00F93523"/>
    <w:rsid w:val="00F9743A"/>
    <w:rsid w:val="00FA07AA"/>
    <w:rsid w:val="00FA55CB"/>
    <w:rsid w:val="00FA56E7"/>
    <w:rsid w:val="00FA59B5"/>
    <w:rsid w:val="00FA5BB2"/>
    <w:rsid w:val="00FB0858"/>
    <w:rsid w:val="00FB2137"/>
    <w:rsid w:val="00FB5513"/>
    <w:rsid w:val="00FB5AB0"/>
    <w:rsid w:val="00FC08C9"/>
    <w:rsid w:val="00FC10AD"/>
    <w:rsid w:val="00FC2581"/>
    <w:rsid w:val="00FC3534"/>
    <w:rsid w:val="00FC6116"/>
    <w:rsid w:val="00FC7871"/>
    <w:rsid w:val="00FD1110"/>
    <w:rsid w:val="00FD1BA2"/>
    <w:rsid w:val="00FD279E"/>
    <w:rsid w:val="00FD2AD6"/>
    <w:rsid w:val="00FD3A91"/>
    <w:rsid w:val="00FD3F90"/>
    <w:rsid w:val="00FD5602"/>
    <w:rsid w:val="00FD6428"/>
    <w:rsid w:val="00FD6C39"/>
    <w:rsid w:val="00FD7512"/>
    <w:rsid w:val="00FE005B"/>
    <w:rsid w:val="00FE031A"/>
    <w:rsid w:val="00FE2425"/>
    <w:rsid w:val="00FE28CA"/>
    <w:rsid w:val="00FE2D53"/>
    <w:rsid w:val="00FE522A"/>
    <w:rsid w:val="00FE63E0"/>
    <w:rsid w:val="00FF0C92"/>
    <w:rsid w:val="00FF167D"/>
    <w:rsid w:val="00FF1E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8" w:unhideWhenUsed="1"/>
    <w:lsdException w:name="heading 7" w:semiHidden="1" w:uiPriority="9" w:unhideWhenUsed="1"/>
    <w:lsdException w:name="heading 8" w:semiHidden="1" w:uiPriority="9"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nhideWhenUsed="1" w:qFormat="1"/>
    <w:lsdException w:name="List Number 4" w:semiHidden="1" w:unhideWhenUsed="1"/>
    <w:lsdException w:name="List Number 5" w:semiHidden="1"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7B29"/>
    <w:pPr>
      <w:spacing w:line="260" w:lineRule="atLeast"/>
    </w:pPr>
    <w:rPr>
      <w:rFonts w:eastAsia="Calibri"/>
      <w:sz w:val="22"/>
      <w:lang w:eastAsia="en-US"/>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99"/>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c"/>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D67B29"/>
    <w:pPr>
      <w:keepNext/>
      <w:keepLines/>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uiPriority w:val="99"/>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rsid w:val="00F67704"/>
    <w:pPr>
      <w:tabs>
        <w:tab w:val="left" w:pos="709"/>
      </w:tabs>
      <w:spacing w:before="120" w:line="240" w:lineRule="auto"/>
      <w:ind w:left="709" w:hanging="709"/>
    </w:pPr>
    <w:rPr>
      <w:sz w:val="18"/>
    </w:rPr>
  </w:style>
  <w:style w:type="paragraph" w:customStyle="1" w:styleId="nPara">
    <w:name w:val="n_Para"/>
    <w:aliases w:val="na,note(par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rsid w:val="00D67B29"/>
    <w:pPr>
      <w:tabs>
        <w:tab w:val="right" w:pos="1985"/>
      </w:tabs>
      <w:spacing w:before="40" w:line="240" w:lineRule="auto"/>
      <w:ind w:left="2098" w:hanging="2098"/>
    </w:pPr>
  </w:style>
  <w:style w:type="paragraph" w:customStyle="1" w:styleId="tSubsub">
    <w:name w:val="t_Subsub"/>
    <w:aliases w:val="paragraph(sub-sub)"/>
    <w:basedOn w:val="OPCParaBase"/>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semiHidden/>
    <w:unhideWhenUsed/>
    <w:rsid w:val="00DC518B"/>
    <w:pPr>
      <w:spacing w:line="240" w:lineRule="auto"/>
    </w:pPr>
    <w:rPr>
      <w:sz w:val="20"/>
    </w:rPr>
  </w:style>
  <w:style w:type="character" w:customStyle="1" w:styleId="CommentTextChar">
    <w:name w:val="Comment Text Char"/>
    <w:basedOn w:val="DefaultParagraphFont"/>
    <w:link w:val="CommentText"/>
    <w:uiPriority w:val="99"/>
    <w:semiHidden/>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semiHidden/>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9"/>
    <w:qFormat/>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9"/>
    <w:unhideWhenUsed/>
    <w:qFormat/>
    <w:rsid w:val="00DC518B"/>
    <w:pPr>
      <w:contextualSpacing/>
    </w:pPr>
  </w:style>
  <w:style w:type="paragraph" w:styleId="ListNumber4">
    <w:name w:val="List Number 4"/>
    <w:basedOn w:val="Normal"/>
    <w:uiPriority w:val="99"/>
    <w:unhideWhenUsed/>
    <w:rsid w:val="00DC518B"/>
    <w:pPr>
      <w:contextualSpacing/>
    </w:pPr>
  </w:style>
  <w:style w:type="paragraph" w:styleId="ListNumber5">
    <w:name w:val="List Number 5"/>
    <w:basedOn w:val="Normal"/>
    <w:uiPriority w:val="99"/>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customStyle="1" w:styleId="paragraphChar">
    <w:name w:val="paragraph Char"/>
    <w:aliases w:val="a Char"/>
    <w:basedOn w:val="DefaultParagraphFont"/>
    <w:link w:val="tPara"/>
    <w:rsid w:val="00007578"/>
    <w:rPr>
      <w:sz w:val="22"/>
    </w:rPr>
  </w:style>
  <w:style w:type="character" w:customStyle="1" w:styleId="subsectionChar">
    <w:name w:val="subsection Char"/>
    <w:aliases w:val="ss Char"/>
    <w:basedOn w:val="DefaultParagraphFont"/>
    <w:link w:val="tMain"/>
    <w:rsid w:val="00007578"/>
    <w:rPr>
      <w:sz w:val="22"/>
    </w:rPr>
  </w:style>
  <w:style w:type="character" w:customStyle="1" w:styleId="notetextChar">
    <w:name w:val="note(text) Char"/>
    <w:aliases w:val="n Char"/>
    <w:basedOn w:val="DefaultParagraphFont"/>
    <w:link w:val="nMain"/>
    <w:rsid w:val="000610BE"/>
    <w:rPr>
      <w:sz w:val="18"/>
    </w:rPr>
  </w:style>
  <w:style w:type="paragraph" w:customStyle="1" w:styleId="Schedulebullets1">
    <w:name w:val="Schedule bullets 1"/>
    <w:rsid w:val="00A85D47"/>
    <w:pPr>
      <w:spacing w:before="120" w:after="120"/>
      <w:ind w:left="567" w:hanging="567"/>
    </w:pPr>
    <w:rPr>
      <w:kern w:val="28"/>
      <w:sz w:val="24"/>
      <w:lang w:val="en"/>
    </w:rPr>
  </w:style>
  <w:style w:type="paragraph" w:customStyle="1" w:styleId="Schedulebullets2">
    <w:name w:val="Schedule bullets 2"/>
    <w:rsid w:val="00A85D47"/>
    <w:pPr>
      <w:spacing w:before="120" w:after="120"/>
      <w:ind w:left="1134" w:hanging="567"/>
    </w:pPr>
    <w:rPr>
      <w:rFonts w:eastAsia="Calibri"/>
      <w:sz w:val="24"/>
      <w:lang w:val="en" w:eastAsia="en-US"/>
    </w:rPr>
  </w:style>
  <w:style w:type="paragraph" w:customStyle="1" w:styleId="Scheduletext">
    <w:name w:val="Schedule text"/>
    <w:rsid w:val="00A85D47"/>
    <w:pPr>
      <w:spacing w:before="120" w:after="120"/>
    </w:pPr>
    <w:rPr>
      <w:kern w:val="28"/>
      <w:sz w:val="24"/>
      <w:lang w:val="en"/>
    </w:rPr>
  </w:style>
  <w:style w:type="paragraph" w:customStyle="1" w:styleId="Schedulesub-heading">
    <w:name w:val="Schedule sub-heading"/>
    <w:rsid w:val="009333DE"/>
    <w:pPr>
      <w:keepNext/>
      <w:spacing w:before="480" w:after="120"/>
    </w:pPr>
    <w:rPr>
      <w:b/>
      <w:kern w:val="28"/>
      <w:sz w:val="28"/>
      <w:lang w:val="en"/>
    </w:rPr>
  </w:style>
  <w:style w:type="character" w:customStyle="1" w:styleId="apple-converted-space">
    <w:name w:val="apple-converted-space"/>
    <w:basedOn w:val="DefaultParagraphFont"/>
    <w:rsid w:val="00171557"/>
  </w:style>
  <w:style w:type="character" w:styleId="CommentReference">
    <w:name w:val="annotation reference"/>
    <w:basedOn w:val="DefaultParagraphFont"/>
    <w:uiPriority w:val="99"/>
    <w:semiHidden/>
    <w:unhideWhenUsed/>
    <w:rsid w:val="00AE408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879710799">
      <w:bodyDiv w:val="1"/>
      <w:marLeft w:val="0"/>
      <w:marRight w:val="0"/>
      <w:marTop w:val="0"/>
      <w:marBottom w:val="0"/>
      <w:divBdr>
        <w:top w:val="none" w:sz="0" w:space="0" w:color="auto"/>
        <w:left w:val="none" w:sz="0" w:space="0" w:color="auto"/>
        <w:bottom w:val="none" w:sz="0" w:space="0" w:color="auto"/>
        <w:right w:val="none" w:sz="0" w:space="0" w:color="auto"/>
      </w:divBdr>
      <w:divsChild>
        <w:div w:id="1614750337">
          <w:marLeft w:val="0"/>
          <w:marRight w:val="0"/>
          <w:marTop w:val="0"/>
          <w:marBottom w:val="0"/>
          <w:divBdr>
            <w:top w:val="none" w:sz="0" w:space="0" w:color="auto"/>
            <w:left w:val="none" w:sz="0" w:space="0" w:color="auto"/>
            <w:bottom w:val="none" w:sz="0" w:space="0" w:color="auto"/>
            <w:right w:val="none" w:sz="0" w:space="0" w:color="auto"/>
          </w:divBdr>
          <w:divsChild>
            <w:div w:id="776944663">
              <w:marLeft w:val="0"/>
              <w:marRight w:val="0"/>
              <w:marTop w:val="0"/>
              <w:marBottom w:val="0"/>
              <w:divBdr>
                <w:top w:val="none" w:sz="0" w:space="0" w:color="auto"/>
                <w:left w:val="none" w:sz="0" w:space="0" w:color="auto"/>
                <w:bottom w:val="none" w:sz="0" w:space="0" w:color="auto"/>
                <w:right w:val="none" w:sz="0" w:space="0" w:color="auto"/>
              </w:divBdr>
              <w:divsChild>
                <w:div w:id="1076585083">
                  <w:marLeft w:val="0"/>
                  <w:marRight w:val="0"/>
                  <w:marTop w:val="0"/>
                  <w:marBottom w:val="0"/>
                  <w:divBdr>
                    <w:top w:val="none" w:sz="0" w:space="0" w:color="auto"/>
                    <w:left w:val="none" w:sz="0" w:space="0" w:color="auto"/>
                    <w:bottom w:val="none" w:sz="0" w:space="0" w:color="auto"/>
                    <w:right w:val="none" w:sz="0" w:space="0" w:color="auto"/>
                  </w:divBdr>
                  <w:divsChild>
                    <w:div w:id="49814878">
                      <w:marLeft w:val="0"/>
                      <w:marRight w:val="0"/>
                      <w:marTop w:val="0"/>
                      <w:marBottom w:val="0"/>
                      <w:divBdr>
                        <w:top w:val="none" w:sz="0" w:space="0" w:color="auto"/>
                        <w:left w:val="none" w:sz="0" w:space="0" w:color="auto"/>
                        <w:bottom w:val="none" w:sz="0" w:space="0" w:color="auto"/>
                        <w:right w:val="none" w:sz="0" w:space="0" w:color="auto"/>
                      </w:divBdr>
                      <w:divsChild>
                        <w:div w:id="949435469">
                          <w:marLeft w:val="0"/>
                          <w:marRight w:val="0"/>
                          <w:marTop w:val="0"/>
                          <w:marBottom w:val="0"/>
                          <w:divBdr>
                            <w:top w:val="none" w:sz="0" w:space="0" w:color="auto"/>
                            <w:left w:val="none" w:sz="0" w:space="0" w:color="auto"/>
                            <w:bottom w:val="none" w:sz="0" w:space="0" w:color="auto"/>
                            <w:right w:val="none" w:sz="0" w:space="0" w:color="auto"/>
                          </w:divBdr>
                          <w:divsChild>
                            <w:div w:id="295643037">
                              <w:marLeft w:val="0"/>
                              <w:marRight w:val="0"/>
                              <w:marTop w:val="0"/>
                              <w:marBottom w:val="0"/>
                              <w:divBdr>
                                <w:top w:val="none" w:sz="0" w:space="0" w:color="auto"/>
                                <w:left w:val="none" w:sz="0" w:space="0" w:color="auto"/>
                                <w:bottom w:val="none" w:sz="0" w:space="0" w:color="auto"/>
                                <w:right w:val="none" w:sz="0" w:space="0" w:color="auto"/>
                              </w:divBdr>
                              <w:divsChild>
                                <w:div w:id="586160003">
                                  <w:marLeft w:val="0"/>
                                  <w:marRight w:val="0"/>
                                  <w:marTop w:val="0"/>
                                  <w:marBottom w:val="0"/>
                                  <w:divBdr>
                                    <w:top w:val="none" w:sz="0" w:space="0" w:color="auto"/>
                                    <w:left w:val="none" w:sz="0" w:space="0" w:color="auto"/>
                                    <w:bottom w:val="none" w:sz="0" w:space="0" w:color="auto"/>
                                    <w:right w:val="none" w:sz="0" w:space="0" w:color="auto"/>
                                  </w:divBdr>
                                  <w:divsChild>
                                    <w:div w:id="1242370620">
                                      <w:marLeft w:val="0"/>
                                      <w:marRight w:val="0"/>
                                      <w:marTop w:val="0"/>
                                      <w:marBottom w:val="0"/>
                                      <w:divBdr>
                                        <w:top w:val="none" w:sz="0" w:space="0" w:color="auto"/>
                                        <w:left w:val="none" w:sz="0" w:space="0" w:color="auto"/>
                                        <w:bottom w:val="none" w:sz="0" w:space="0" w:color="auto"/>
                                        <w:right w:val="none" w:sz="0" w:space="0" w:color="auto"/>
                                      </w:divBdr>
                                      <w:divsChild>
                                        <w:div w:id="1183012859">
                                          <w:marLeft w:val="0"/>
                                          <w:marRight w:val="0"/>
                                          <w:marTop w:val="0"/>
                                          <w:marBottom w:val="0"/>
                                          <w:divBdr>
                                            <w:top w:val="none" w:sz="0" w:space="0" w:color="auto"/>
                                            <w:left w:val="none" w:sz="0" w:space="0" w:color="auto"/>
                                            <w:bottom w:val="none" w:sz="0" w:space="0" w:color="auto"/>
                                            <w:right w:val="none" w:sz="0" w:space="0" w:color="auto"/>
                                          </w:divBdr>
                                          <w:divsChild>
                                            <w:div w:id="1387099856">
                                              <w:marLeft w:val="0"/>
                                              <w:marRight w:val="0"/>
                                              <w:marTop w:val="0"/>
                                              <w:marBottom w:val="0"/>
                                              <w:divBdr>
                                                <w:top w:val="none" w:sz="0" w:space="0" w:color="auto"/>
                                                <w:left w:val="none" w:sz="0" w:space="0" w:color="auto"/>
                                                <w:bottom w:val="none" w:sz="0" w:space="0" w:color="auto"/>
                                                <w:right w:val="none" w:sz="0" w:space="0" w:color="auto"/>
                                              </w:divBdr>
                                              <w:divsChild>
                                                <w:div w:id="1165785746">
                                                  <w:marLeft w:val="0"/>
                                                  <w:marRight w:val="0"/>
                                                  <w:marTop w:val="0"/>
                                                  <w:marBottom w:val="0"/>
                                                  <w:divBdr>
                                                    <w:top w:val="none" w:sz="0" w:space="0" w:color="auto"/>
                                                    <w:left w:val="none" w:sz="0" w:space="0" w:color="auto"/>
                                                    <w:bottom w:val="none" w:sz="0" w:space="0" w:color="auto"/>
                                                    <w:right w:val="none" w:sz="0" w:space="0" w:color="auto"/>
                                                  </w:divBdr>
                                                  <w:divsChild>
                                                    <w:div w:id="633027373">
                                                      <w:marLeft w:val="0"/>
                                                      <w:marRight w:val="0"/>
                                                      <w:marTop w:val="0"/>
                                                      <w:marBottom w:val="0"/>
                                                      <w:divBdr>
                                                        <w:top w:val="none" w:sz="0" w:space="0" w:color="auto"/>
                                                        <w:left w:val="none" w:sz="0" w:space="0" w:color="auto"/>
                                                        <w:bottom w:val="none" w:sz="0" w:space="0" w:color="auto"/>
                                                        <w:right w:val="none" w:sz="0" w:space="0" w:color="auto"/>
                                                      </w:divBdr>
                                                      <w:divsChild>
                                                        <w:div w:id="20862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1809893">
      <w:bodyDiv w:val="1"/>
      <w:marLeft w:val="0"/>
      <w:marRight w:val="0"/>
      <w:marTop w:val="0"/>
      <w:marBottom w:val="0"/>
      <w:divBdr>
        <w:top w:val="none" w:sz="0" w:space="0" w:color="auto"/>
        <w:left w:val="none" w:sz="0" w:space="0" w:color="auto"/>
        <w:bottom w:val="none" w:sz="0" w:space="0" w:color="auto"/>
        <w:right w:val="none" w:sz="0" w:space="0" w:color="auto"/>
      </w:divBdr>
    </w:div>
    <w:div w:id="1319194256">
      <w:bodyDiv w:val="1"/>
      <w:marLeft w:val="0"/>
      <w:marRight w:val="0"/>
      <w:marTop w:val="0"/>
      <w:marBottom w:val="0"/>
      <w:divBdr>
        <w:top w:val="none" w:sz="0" w:space="0" w:color="auto"/>
        <w:left w:val="none" w:sz="0" w:space="0" w:color="auto"/>
        <w:bottom w:val="none" w:sz="0" w:space="0" w:color="auto"/>
        <w:right w:val="none" w:sz="0" w:space="0" w:color="auto"/>
      </w:divBdr>
    </w:div>
    <w:div w:id="1483885484">
      <w:bodyDiv w:val="1"/>
      <w:marLeft w:val="0"/>
      <w:marRight w:val="0"/>
      <w:marTop w:val="0"/>
      <w:marBottom w:val="0"/>
      <w:divBdr>
        <w:top w:val="none" w:sz="0" w:space="0" w:color="auto"/>
        <w:left w:val="none" w:sz="0" w:space="0" w:color="auto"/>
        <w:bottom w:val="none" w:sz="0" w:space="0" w:color="auto"/>
        <w:right w:val="none" w:sz="0" w:space="0" w:color="auto"/>
      </w:divBdr>
    </w:div>
    <w:div w:id="1515920078">
      <w:bodyDiv w:val="1"/>
      <w:marLeft w:val="0"/>
      <w:marRight w:val="0"/>
      <w:marTop w:val="0"/>
      <w:marBottom w:val="0"/>
      <w:divBdr>
        <w:top w:val="none" w:sz="0" w:space="0" w:color="auto"/>
        <w:left w:val="none" w:sz="0" w:space="0" w:color="auto"/>
        <w:bottom w:val="none" w:sz="0" w:space="0" w:color="auto"/>
        <w:right w:val="none" w:sz="0" w:space="0" w:color="auto"/>
      </w:divBdr>
    </w:div>
    <w:div w:id="152181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F99470C-0CCF-44D6-8B49-2460BE95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1955</Words>
  <Characters>11147</Characters>
  <Application>Microsoft Office Word</Application>
  <DocSecurity>0</DocSecurity>
  <Lines>92</Lines>
  <Paragraphs>26</Paragraphs>
  <ScaleCrop>false</ScaleCrop>
  <Company/>
  <LinksUpToDate>false</LinksUpToDate>
  <CharactersWithSpaces>13076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2017-04-03T02:17:00Z</dcterms:created>
  <dcterms:modified xsi:type="dcterms:W3CDTF">2017-04-03T06:49:00Z</dcterms:modified>
</cp:coreProperties>
</file>