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1F" w:rsidRDefault="0009111F" w:rsidP="007F6217">
      <w:pPr>
        <w:pStyle w:val="Header"/>
        <w:pBdr>
          <w:top w:val="double" w:sz="4" w:space="1" w:color="auto"/>
          <w:bottom w:val="double" w:sz="4" w:space="1" w:color="auto"/>
        </w:pBdr>
        <w:tabs>
          <w:tab w:val="clear" w:pos="4153"/>
          <w:tab w:val="clear" w:pos="8306"/>
        </w:tabs>
        <w:spacing w:before="160" w:after="120"/>
        <w:jc w:val="center"/>
        <w:rPr>
          <w:rFonts w:ascii="Arial" w:hAnsi="Arial" w:cs="Arial"/>
          <w:sz w:val="34"/>
          <w:szCs w:val="34"/>
        </w:rPr>
      </w:pPr>
      <w:r>
        <w:rPr>
          <w:rFonts w:ascii="Arial" w:hAnsi="Arial" w:cs="Arial"/>
          <w:sz w:val="34"/>
          <w:szCs w:val="34"/>
        </w:rPr>
        <w:t xml:space="preserve">Legislative Instrument </w:t>
      </w:r>
    </w:p>
    <w:p w:rsidR="005B0F08" w:rsidRPr="00044893" w:rsidRDefault="00FF60DC" w:rsidP="007F6217">
      <w:pPr>
        <w:pStyle w:val="Header"/>
        <w:pBdr>
          <w:top w:val="double" w:sz="4" w:space="1" w:color="auto"/>
          <w:bottom w:val="double" w:sz="4" w:space="1" w:color="auto"/>
        </w:pBdr>
        <w:tabs>
          <w:tab w:val="clear" w:pos="4153"/>
          <w:tab w:val="clear" w:pos="8306"/>
        </w:tabs>
        <w:spacing w:before="160" w:after="120"/>
        <w:jc w:val="center"/>
        <w:rPr>
          <w:rFonts w:ascii="Arial" w:hAnsi="Arial" w:cs="Arial"/>
          <w:sz w:val="34"/>
          <w:szCs w:val="34"/>
        </w:rPr>
      </w:pPr>
      <w:r w:rsidRPr="00FF60DC">
        <w:rPr>
          <w:rFonts w:ascii="Arial" w:hAnsi="Arial" w:cs="Arial"/>
          <w:sz w:val="34"/>
          <w:szCs w:val="34"/>
        </w:rPr>
        <w:t>Goods and Services Tax</w:t>
      </w:r>
      <w:r w:rsidR="00A87457">
        <w:rPr>
          <w:rFonts w:ascii="Arial" w:hAnsi="Arial" w:cs="Arial"/>
          <w:sz w:val="34"/>
          <w:szCs w:val="34"/>
        </w:rPr>
        <w:t>:</w:t>
      </w:r>
      <w:r w:rsidR="002638F5">
        <w:rPr>
          <w:rFonts w:ascii="Arial" w:hAnsi="Arial" w:cs="Arial"/>
          <w:sz w:val="34"/>
          <w:szCs w:val="34"/>
        </w:rPr>
        <w:t xml:space="preserve"> </w:t>
      </w:r>
      <w:r w:rsidRPr="00FF60DC">
        <w:rPr>
          <w:rFonts w:ascii="Arial" w:hAnsi="Arial" w:cs="Arial"/>
          <w:sz w:val="34"/>
          <w:szCs w:val="34"/>
        </w:rPr>
        <w:t xml:space="preserve">Particular Attribution Rules Where Total </w:t>
      </w:r>
      <w:r w:rsidR="00814889">
        <w:rPr>
          <w:rFonts w:ascii="Arial" w:hAnsi="Arial" w:cs="Arial"/>
          <w:sz w:val="34"/>
          <w:szCs w:val="34"/>
        </w:rPr>
        <w:t xml:space="preserve"> </w:t>
      </w:r>
      <w:r w:rsidRPr="00FF60DC">
        <w:rPr>
          <w:rFonts w:ascii="Arial" w:hAnsi="Arial" w:cs="Arial"/>
          <w:sz w:val="34"/>
          <w:szCs w:val="34"/>
        </w:rPr>
        <w:t xml:space="preserve">Consideration </w:t>
      </w:r>
      <w:r w:rsidR="005F1CE6">
        <w:rPr>
          <w:rFonts w:ascii="Arial" w:hAnsi="Arial" w:cs="Arial"/>
          <w:sz w:val="34"/>
          <w:szCs w:val="34"/>
        </w:rPr>
        <w:t>is</w:t>
      </w:r>
      <w:r w:rsidR="005F1CE6" w:rsidRPr="00FF60DC">
        <w:rPr>
          <w:rFonts w:ascii="Arial" w:hAnsi="Arial" w:cs="Arial"/>
          <w:sz w:val="34"/>
          <w:szCs w:val="34"/>
        </w:rPr>
        <w:t xml:space="preserve"> </w:t>
      </w:r>
      <w:r w:rsidRPr="00FF60DC">
        <w:rPr>
          <w:rFonts w:ascii="Arial" w:hAnsi="Arial" w:cs="Arial"/>
          <w:sz w:val="34"/>
          <w:szCs w:val="34"/>
        </w:rPr>
        <w:t>Not Known</w:t>
      </w:r>
      <w:r w:rsidR="000B7828">
        <w:rPr>
          <w:rFonts w:ascii="Arial" w:hAnsi="Arial" w:cs="Arial"/>
          <w:sz w:val="34"/>
          <w:szCs w:val="34"/>
        </w:rPr>
        <w:t xml:space="preserve"> </w:t>
      </w:r>
      <w:r w:rsidRPr="00340063">
        <w:rPr>
          <w:rFonts w:ascii="Arial" w:hAnsi="Arial" w:cs="Arial"/>
          <w:sz w:val="34"/>
          <w:szCs w:val="34"/>
        </w:rPr>
        <w:t xml:space="preserve">Determination </w:t>
      </w:r>
      <w:r w:rsidR="003A7CB2" w:rsidRPr="00340063">
        <w:rPr>
          <w:rFonts w:ascii="Arial" w:hAnsi="Arial" w:cs="Arial"/>
          <w:sz w:val="34"/>
          <w:szCs w:val="34"/>
        </w:rPr>
        <w:t>20</w:t>
      </w:r>
      <w:r w:rsidR="00E01A01" w:rsidRPr="00340063">
        <w:rPr>
          <w:rFonts w:ascii="Arial" w:hAnsi="Arial" w:cs="Arial"/>
          <w:sz w:val="34"/>
          <w:szCs w:val="34"/>
        </w:rPr>
        <w:t>17</w:t>
      </w:r>
      <w:r w:rsidR="0034580A" w:rsidRPr="0034580A">
        <w:rPr>
          <w:rFonts w:ascii="Arial" w:hAnsi="Arial" w:cs="Arial"/>
          <w:sz w:val="34"/>
          <w:szCs w:val="34"/>
        </w:rPr>
        <w:t xml:space="preserve"> </w:t>
      </w:r>
    </w:p>
    <w:p w:rsidR="00931F4E" w:rsidRPr="000D3FED" w:rsidRDefault="00931F4E" w:rsidP="007F6217">
      <w:pPr>
        <w:spacing w:before="160" w:after="120"/>
        <w:rPr>
          <w:rFonts w:ascii="Arial" w:hAnsi="Arial" w:cs="Arial"/>
          <w:sz w:val="22"/>
          <w:szCs w:val="22"/>
        </w:rPr>
      </w:pPr>
      <w:r w:rsidRPr="00DF4EC9">
        <w:rPr>
          <w:rFonts w:ascii="Arial" w:hAnsi="Arial" w:cs="Arial"/>
          <w:sz w:val="22"/>
          <w:szCs w:val="22"/>
        </w:rPr>
        <w:t xml:space="preserve">I, </w:t>
      </w:r>
      <w:r w:rsidRPr="00D6044D">
        <w:rPr>
          <w:rFonts w:ascii="Arial" w:hAnsi="Arial" w:cs="Arial"/>
          <w:sz w:val="22"/>
          <w:szCs w:val="22"/>
        </w:rPr>
        <w:t>Timothy Dyce,</w:t>
      </w:r>
      <w:r w:rsidRPr="00DF4EC9">
        <w:rPr>
          <w:rFonts w:ascii="Arial" w:hAnsi="Arial" w:cs="Arial"/>
          <w:sz w:val="22"/>
          <w:szCs w:val="22"/>
        </w:rPr>
        <w:t xml:space="preserve"> </w:t>
      </w:r>
      <w:r w:rsidRPr="00F233B1">
        <w:rPr>
          <w:rFonts w:ascii="Arial" w:hAnsi="Arial" w:cs="Arial"/>
          <w:sz w:val="22"/>
          <w:szCs w:val="22"/>
        </w:rPr>
        <w:t xml:space="preserve">Deputy </w:t>
      </w:r>
      <w:r w:rsidRPr="003A7CB2">
        <w:rPr>
          <w:rFonts w:ascii="Arial" w:hAnsi="Arial" w:cs="Arial"/>
          <w:sz w:val="22"/>
          <w:szCs w:val="22"/>
        </w:rPr>
        <w:t xml:space="preserve">Commissioner of Taxation, make this determination under subsection 29-25(1) of the </w:t>
      </w:r>
      <w:r w:rsidRPr="003A7CB2">
        <w:rPr>
          <w:rFonts w:ascii="Arial" w:hAnsi="Arial" w:cs="Arial"/>
          <w:i/>
          <w:iCs/>
          <w:sz w:val="22"/>
          <w:szCs w:val="22"/>
        </w:rPr>
        <w:t>A New Tax System (Goods and Services Tax) Act 1999</w:t>
      </w:r>
      <w:r w:rsidRPr="00D6044D">
        <w:rPr>
          <w:rFonts w:ascii="Arial" w:hAnsi="Arial" w:cs="Arial"/>
          <w:iCs/>
          <w:sz w:val="22"/>
          <w:szCs w:val="22"/>
        </w:rPr>
        <w:t xml:space="preserve"> (GST Act)</w:t>
      </w:r>
    </w:p>
    <w:p w:rsidR="00931F4E" w:rsidRPr="00DF4EC9" w:rsidRDefault="00931F4E" w:rsidP="00C3428B">
      <w:pPr>
        <w:rPr>
          <w:rFonts w:ascii="Arial" w:hAnsi="Arial" w:cs="Arial"/>
          <w:b/>
          <w:sz w:val="22"/>
          <w:szCs w:val="22"/>
        </w:rPr>
      </w:pPr>
      <w:r>
        <w:rPr>
          <w:rFonts w:ascii="Arial" w:hAnsi="Arial" w:cs="Arial"/>
          <w:b/>
          <w:sz w:val="22"/>
          <w:szCs w:val="22"/>
        </w:rPr>
        <w:t>Timothy Dyce</w:t>
      </w:r>
    </w:p>
    <w:p w:rsidR="00931F4E" w:rsidRDefault="00931F4E" w:rsidP="00C3428B">
      <w:pPr>
        <w:rPr>
          <w:rFonts w:ascii="Arial" w:hAnsi="Arial" w:cs="Arial"/>
          <w:sz w:val="22"/>
          <w:szCs w:val="22"/>
        </w:rPr>
      </w:pPr>
      <w:r w:rsidRPr="00DF4EC9">
        <w:rPr>
          <w:rFonts w:ascii="Arial" w:hAnsi="Arial" w:cs="Arial"/>
          <w:sz w:val="22"/>
          <w:szCs w:val="22"/>
        </w:rPr>
        <w:t>Deputy Commissioner of Taxation</w:t>
      </w:r>
    </w:p>
    <w:p w:rsidR="00931F4E" w:rsidRPr="00DF4EC9" w:rsidRDefault="00931F4E" w:rsidP="00C3428B">
      <w:pPr>
        <w:rPr>
          <w:rFonts w:ascii="Arial" w:hAnsi="Arial" w:cs="Arial"/>
          <w:sz w:val="22"/>
          <w:szCs w:val="22"/>
        </w:rPr>
      </w:pPr>
      <w:r w:rsidRPr="00340063">
        <w:rPr>
          <w:rFonts w:ascii="Arial" w:hAnsi="Arial" w:cs="Arial"/>
          <w:sz w:val="22"/>
          <w:szCs w:val="22"/>
        </w:rPr>
        <w:t xml:space="preserve">Dated: </w:t>
      </w:r>
      <w:r w:rsidR="0081525C">
        <w:rPr>
          <w:rFonts w:ascii="Arial" w:hAnsi="Arial" w:cs="Arial"/>
          <w:sz w:val="22"/>
          <w:szCs w:val="22"/>
        </w:rPr>
        <w:t>12/04/2017</w:t>
      </w:r>
    </w:p>
    <w:p w:rsidR="00AD7346" w:rsidRPr="00DF4EC9" w:rsidRDefault="00AD7346" w:rsidP="007F6217">
      <w:pPr>
        <w:pBdr>
          <w:bottom w:val="double" w:sz="4" w:space="1" w:color="auto"/>
        </w:pBdr>
        <w:spacing w:before="160" w:after="120"/>
        <w:rPr>
          <w:sz w:val="22"/>
          <w:szCs w:val="22"/>
        </w:rPr>
      </w:pPr>
    </w:p>
    <w:p w:rsidR="005B0F08" w:rsidRPr="00DF4EC9" w:rsidRDefault="005B0F08" w:rsidP="007F6217">
      <w:pPr>
        <w:spacing w:before="160" w:after="120"/>
        <w:rPr>
          <w:rFonts w:ascii="Arial" w:hAnsi="Arial" w:cs="Arial"/>
          <w:sz w:val="22"/>
          <w:szCs w:val="22"/>
        </w:rPr>
      </w:pPr>
    </w:p>
    <w:p w:rsidR="000A1078" w:rsidRPr="00931F4E" w:rsidRDefault="000A1078" w:rsidP="007F6217">
      <w:pPr>
        <w:pStyle w:val="ListParagraph"/>
        <w:numPr>
          <w:ilvl w:val="0"/>
          <w:numId w:val="33"/>
        </w:numPr>
        <w:spacing w:before="160" w:after="120"/>
        <w:ind w:left="357"/>
        <w:rPr>
          <w:rFonts w:ascii="Arial" w:hAnsi="Arial" w:cs="Arial"/>
          <w:b/>
        </w:rPr>
      </w:pPr>
      <w:r w:rsidRPr="00931F4E">
        <w:rPr>
          <w:rFonts w:ascii="Arial" w:hAnsi="Arial" w:cs="Arial"/>
          <w:b/>
        </w:rPr>
        <w:t xml:space="preserve">Name of </w:t>
      </w:r>
      <w:r w:rsidR="0019422C">
        <w:rPr>
          <w:rFonts w:ascii="Arial" w:hAnsi="Arial" w:cs="Arial"/>
          <w:b/>
        </w:rPr>
        <w:t>determination</w:t>
      </w:r>
    </w:p>
    <w:p w:rsidR="000A1078" w:rsidRDefault="00C4101D" w:rsidP="007F6217">
      <w:pPr>
        <w:spacing w:before="160" w:after="120"/>
        <w:ind w:left="357"/>
        <w:contextualSpacing/>
        <w:rPr>
          <w:rFonts w:ascii="Arial" w:hAnsi="Arial" w:cs="Arial"/>
          <w:i/>
          <w:iCs/>
          <w:sz w:val="22"/>
          <w:szCs w:val="22"/>
        </w:rPr>
      </w:pPr>
      <w:r w:rsidRPr="00931F4E">
        <w:rPr>
          <w:rFonts w:ascii="Arial" w:hAnsi="Arial" w:cs="Arial"/>
          <w:sz w:val="22"/>
          <w:szCs w:val="22"/>
        </w:rPr>
        <w:t xml:space="preserve">This </w:t>
      </w:r>
      <w:r w:rsidR="008842D1">
        <w:rPr>
          <w:rFonts w:ascii="Arial" w:hAnsi="Arial" w:cs="Arial"/>
          <w:sz w:val="22"/>
          <w:szCs w:val="22"/>
        </w:rPr>
        <w:t>d</w:t>
      </w:r>
      <w:r w:rsidR="008842D1" w:rsidRPr="00340063">
        <w:rPr>
          <w:rFonts w:ascii="Arial" w:hAnsi="Arial" w:cs="Arial"/>
          <w:sz w:val="22"/>
          <w:szCs w:val="22"/>
        </w:rPr>
        <w:t xml:space="preserve">etermination </w:t>
      </w:r>
      <w:r w:rsidRPr="00340063">
        <w:rPr>
          <w:rFonts w:ascii="Arial" w:hAnsi="Arial" w:cs="Arial"/>
          <w:sz w:val="22"/>
          <w:szCs w:val="22"/>
        </w:rPr>
        <w:t xml:space="preserve">is the </w:t>
      </w:r>
      <w:r w:rsidRPr="007F6217">
        <w:rPr>
          <w:rFonts w:ascii="Arial" w:hAnsi="Arial" w:cs="Arial"/>
          <w:i/>
          <w:sz w:val="22"/>
          <w:szCs w:val="22"/>
        </w:rPr>
        <w:t>Goods and Services Tax</w:t>
      </w:r>
      <w:r w:rsidR="00A87457" w:rsidRPr="007F6217">
        <w:rPr>
          <w:rFonts w:ascii="Arial" w:hAnsi="Arial" w:cs="Arial"/>
          <w:i/>
          <w:sz w:val="22"/>
          <w:szCs w:val="22"/>
        </w:rPr>
        <w:t>:</w:t>
      </w:r>
      <w:r w:rsidR="002638F5" w:rsidRPr="007F6217">
        <w:rPr>
          <w:rFonts w:ascii="Arial" w:hAnsi="Arial" w:cs="Arial"/>
          <w:i/>
          <w:sz w:val="22"/>
          <w:szCs w:val="22"/>
        </w:rPr>
        <w:t xml:space="preserve"> </w:t>
      </w:r>
      <w:r w:rsidRPr="007F6217">
        <w:rPr>
          <w:rFonts w:ascii="Arial" w:hAnsi="Arial" w:cs="Arial"/>
          <w:i/>
          <w:sz w:val="22"/>
          <w:szCs w:val="22"/>
        </w:rPr>
        <w:t>Particular Attribution Rules Where Total Consideration Not Known</w:t>
      </w:r>
      <w:r w:rsidR="002D735F">
        <w:rPr>
          <w:rFonts w:ascii="Arial" w:hAnsi="Arial" w:cs="Arial"/>
          <w:i/>
          <w:sz w:val="22"/>
          <w:szCs w:val="22"/>
        </w:rPr>
        <w:t xml:space="preserve"> </w:t>
      </w:r>
      <w:r w:rsidRPr="007F6217">
        <w:rPr>
          <w:rFonts w:ascii="Arial" w:hAnsi="Arial" w:cs="Arial"/>
          <w:i/>
          <w:sz w:val="22"/>
          <w:szCs w:val="22"/>
        </w:rPr>
        <w:t>Determination 20</w:t>
      </w:r>
      <w:r w:rsidR="00E01A01" w:rsidRPr="007F6217">
        <w:rPr>
          <w:rFonts w:ascii="Arial" w:hAnsi="Arial" w:cs="Arial"/>
          <w:i/>
          <w:sz w:val="22"/>
          <w:szCs w:val="22"/>
        </w:rPr>
        <w:t>17</w:t>
      </w:r>
      <w:r w:rsidR="003A7CB2" w:rsidRPr="0088047E">
        <w:rPr>
          <w:rFonts w:ascii="Arial" w:hAnsi="Arial" w:cs="Arial"/>
          <w:i/>
          <w:iCs/>
          <w:sz w:val="22"/>
          <w:szCs w:val="22"/>
        </w:rPr>
        <w:t>.</w:t>
      </w:r>
    </w:p>
    <w:p w:rsidR="008C4914" w:rsidRPr="00931F4E" w:rsidRDefault="008C4914" w:rsidP="007F6217">
      <w:pPr>
        <w:spacing w:before="160" w:after="120"/>
        <w:ind w:left="357"/>
        <w:contextualSpacing/>
        <w:rPr>
          <w:rFonts w:ascii="Arial" w:hAnsi="Arial" w:cs="Arial"/>
          <w:sz w:val="22"/>
          <w:szCs w:val="22"/>
        </w:rPr>
      </w:pPr>
    </w:p>
    <w:p w:rsidR="0088047E" w:rsidRPr="007F6217" w:rsidRDefault="000A1078" w:rsidP="007F6217">
      <w:pPr>
        <w:pStyle w:val="ListParagraph"/>
        <w:numPr>
          <w:ilvl w:val="0"/>
          <w:numId w:val="33"/>
        </w:numPr>
        <w:spacing w:before="16" w:after="12"/>
        <w:ind w:left="357"/>
        <w:rPr>
          <w:rFonts w:ascii="Arial" w:hAnsi="Arial" w:cs="Arial"/>
          <w:u w:val="single"/>
        </w:rPr>
      </w:pPr>
      <w:r w:rsidRPr="0088047E">
        <w:rPr>
          <w:rFonts w:ascii="Arial" w:hAnsi="Arial" w:cs="Arial"/>
          <w:b/>
        </w:rPr>
        <w:t>Commencement</w:t>
      </w:r>
    </w:p>
    <w:p w:rsidR="008C4914" w:rsidRPr="007F6217" w:rsidRDefault="008C4914" w:rsidP="007F6217">
      <w:pPr>
        <w:pStyle w:val="ListParagraph"/>
        <w:spacing w:before="16" w:after="12"/>
        <w:ind w:left="357"/>
        <w:rPr>
          <w:rFonts w:ascii="Arial" w:hAnsi="Arial" w:cs="Arial"/>
          <w:sz w:val="22"/>
          <w:szCs w:val="22"/>
        </w:rPr>
      </w:pPr>
    </w:p>
    <w:p w:rsidR="0088047E" w:rsidRPr="0088047E" w:rsidRDefault="0088047E" w:rsidP="007F6217">
      <w:pPr>
        <w:pStyle w:val="ListParagraph"/>
        <w:spacing w:before="16" w:after="12"/>
        <w:ind w:left="357"/>
        <w:rPr>
          <w:rFonts w:ascii="Arial" w:hAnsi="Arial" w:cs="Arial"/>
          <w:sz w:val="22"/>
          <w:szCs w:val="22"/>
        </w:rPr>
      </w:pPr>
      <w:r w:rsidRPr="007F6217">
        <w:rPr>
          <w:rFonts w:ascii="Arial" w:hAnsi="Arial" w:cs="Arial"/>
          <w:sz w:val="22"/>
          <w:szCs w:val="22"/>
        </w:rPr>
        <w:t>This determination commences on 1 April 2017.</w:t>
      </w:r>
    </w:p>
    <w:p w:rsidR="0088047E" w:rsidRPr="00931F4E" w:rsidRDefault="0088047E" w:rsidP="007F6217">
      <w:pPr>
        <w:pStyle w:val="ListParagraph"/>
        <w:spacing w:before="16" w:after="12"/>
        <w:ind w:left="357"/>
        <w:rPr>
          <w:rFonts w:ascii="Arial" w:hAnsi="Arial" w:cs="Arial"/>
          <w:u w:val="single"/>
        </w:rPr>
      </w:pPr>
    </w:p>
    <w:p w:rsidR="00B172B8" w:rsidRPr="00931F4E" w:rsidRDefault="00B172B8" w:rsidP="007F6217">
      <w:pPr>
        <w:pStyle w:val="ListParagraph"/>
        <w:numPr>
          <w:ilvl w:val="0"/>
          <w:numId w:val="33"/>
        </w:numPr>
        <w:spacing w:before="160" w:after="120"/>
        <w:rPr>
          <w:rFonts w:ascii="Arial" w:hAnsi="Arial" w:cs="Arial"/>
          <w:u w:val="single"/>
        </w:rPr>
      </w:pPr>
      <w:r w:rsidRPr="00931F4E">
        <w:rPr>
          <w:rFonts w:ascii="Arial" w:hAnsi="Arial" w:cs="Arial"/>
          <w:b/>
        </w:rPr>
        <w:t>Repeal of previous determination</w:t>
      </w:r>
    </w:p>
    <w:p w:rsidR="00B172B8" w:rsidRDefault="00931F4E" w:rsidP="007F6217">
      <w:pPr>
        <w:spacing w:before="160" w:after="120"/>
        <w:ind w:left="357"/>
        <w:contextualSpacing/>
        <w:rPr>
          <w:rFonts w:ascii="Arial" w:hAnsi="Arial" w:cs="Arial"/>
          <w:sz w:val="22"/>
          <w:szCs w:val="22"/>
        </w:rPr>
      </w:pPr>
      <w:r>
        <w:rPr>
          <w:rFonts w:ascii="Arial" w:hAnsi="Arial" w:cs="Arial"/>
          <w:iCs/>
          <w:sz w:val="22"/>
          <w:szCs w:val="22"/>
        </w:rPr>
        <w:t xml:space="preserve">This determination replaces </w:t>
      </w:r>
      <w:r w:rsidR="00D34567" w:rsidRPr="00931F4E">
        <w:rPr>
          <w:rFonts w:ascii="Arial" w:hAnsi="Arial" w:cs="Arial"/>
          <w:i/>
          <w:iCs/>
          <w:sz w:val="22"/>
          <w:szCs w:val="22"/>
        </w:rPr>
        <w:t xml:space="preserve">A New Tax System (Goods and Services Tax) (Particular Attribution Rules Where Total Consideration Not Known) Determination (No. 1) 2000 </w:t>
      </w:r>
      <w:r w:rsidR="00B172B8" w:rsidRPr="00931F4E">
        <w:rPr>
          <w:rFonts w:ascii="Arial" w:hAnsi="Arial" w:cs="Arial"/>
          <w:sz w:val="22"/>
          <w:szCs w:val="22"/>
        </w:rPr>
        <w:t xml:space="preserve">- </w:t>
      </w:r>
      <w:r w:rsidR="00D34567" w:rsidRPr="00931F4E">
        <w:rPr>
          <w:rStyle w:val="legsubtitle"/>
          <w:rFonts w:ascii="Arial" w:hAnsi="Arial" w:cs="Arial"/>
          <w:sz w:val="22"/>
          <w:szCs w:val="22"/>
        </w:rPr>
        <w:t>F2006B11593</w:t>
      </w:r>
      <w:r>
        <w:rPr>
          <w:rStyle w:val="legsubtitle"/>
          <w:rFonts w:ascii="Arial" w:hAnsi="Arial" w:cs="Arial"/>
          <w:sz w:val="22"/>
          <w:szCs w:val="22"/>
        </w:rPr>
        <w:t xml:space="preserve"> (previous determination)</w:t>
      </w:r>
      <w:r w:rsidR="00B172B8" w:rsidRPr="00931F4E">
        <w:rPr>
          <w:rFonts w:ascii="Arial" w:hAnsi="Arial" w:cs="Arial"/>
          <w:sz w:val="22"/>
          <w:szCs w:val="22"/>
        </w:rPr>
        <w:t xml:space="preserve">, registered on </w:t>
      </w:r>
      <w:r w:rsidR="00D34567" w:rsidRPr="00931F4E">
        <w:rPr>
          <w:rFonts w:ascii="Arial" w:hAnsi="Arial" w:cs="Arial"/>
          <w:sz w:val="22"/>
          <w:szCs w:val="22"/>
        </w:rPr>
        <w:t>17</w:t>
      </w:r>
      <w:r w:rsidR="00B172B8" w:rsidRPr="00931F4E">
        <w:rPr>
          <w:rFonts w:ascii="Arial" w:hAnsi="Arial" w:cs="Arial"/>
          <w:sz w:val="22"/>
          <w:szCs w:val="22"/>
        </w:rPr>
        <w:t xml:space="preserve"> November 2006.</w:t>
      </w:r>
      <w:r w:rsidR="002D735F">
        <w:rPr>
          <w:rFonts w:ascii="Arial" w:hAnsi="Arial" w:cs="Arial"/>
          <w:sz w:val="22"/>
          <w:szCs w:val="22"/>
        </w:rPr>
        <w:t xml:space="preserve"> The previous determination is repealed from 1 April 2017.</w:t>
      </w:r>
    </w:p>
    <w:p w:rsidR="008C4914" w:rsidRPr="00931F4E" w:rsidRDefault="008C4914" w:rsidP="007F6217">
      <w:pPr>
        <w:spacing w:before="160" w:after="120"/>
        <w:ind w:left="357"/>
        <w:contextualSpacing/>
        <w:rPr>
          <w:rFonts w:ascii="Arial" w:hAnsi="Arial" w:cs="Arial"/>
          <w:sz w:val="22"/>
          <w:szCs w:val="22"/>
        </w:rPr>
      </w:pPr>
    </w:p>
    <w:p w:rsidR="005738B5" w:rsidRPr="00E47EEA" w:rsidRDefault="005738B5" w:rsidP="007F6217">
      <w:pPr>
        <w:pStyle w:val="ListParagraph"/>
        <w:numPr>
          <w:ilvl w:val="0"/>
          <w:numId w:val="33"/>
        </w:numPr>
        <w:spacing w:before="160" w:after="120"/>
        <w:ind w:left="357" w:hanging="357"/>
        <w:rPr>
          <w:rFonts w:ascii="Arial" w:hAnsi="Arial" w:cs="Arial"/>
          <w:b/>
        </w:rPr>
      </w:pPr>
      <w:r w:rsidRPr="00E47EEA">
        <w:rPr>
          <w:rFonts w:ascii="Arial" w:hAnsi="Arial" w:cs="Arial"/>
          <w:b/>
        </w:rPr>
        <w:t>Appl</w:t>
      </w:r>
      <w:r w:rsidR="0019422C">
        <w:rPr>
          <w:rFonts w:ascii="Arial" w:hAnsi="Arial" w:cs="Arial"/>
          <w:b/>
        </w:rPr>
        <w:t>ication</w:t>
      </w:r>
    </w:p>
    <w:p w:rsidR="00A336C3" w:rsidRDefault="00A336C3" w:rsidP="007F6217">
      <w:pPr>
        <w:pStyle w:val="ListParagraph"/>
        <w:spacing w:before="120" w:after="120"/>
        <w:ind w:left="714"/>
        <w:rPr>
          <w:rFonts w:ascii="Arial" w:hAnsi="Arial" w:cs="Arial"/>
          <w:sz w:val="22"/>
          <w:szCs w:val="22"/>
        </w:rPr>
      </w:pPr>
    </w:p>
    <w:p w:rsidR="005738B5" w:rsidRPr="007F6217" w:rsidRDefault="005738B5" w:rsidP="007F6217">
      <w:pPr>
        <w:pStyle w:val="ListParagraph"/>
        <w:numPr>
          <w:ilvl w:val="0"/>
          <w:numId w:val="7"/>
        </w:numPr>
        <w:spacing w:before="120" w:after="120"/>
        <w:ind w:left="714" w:hanging="357"/>
        <w:rPr>
          <w:rFonts w:ascii="Arial" w:hAnsi="Arial" w:cs="Arial"/>
          <w:sz w:val="22"/>
          <w:szCs w:val="22"/>
        </w:rPr>
      </w:pPr>
      <w:r w:rsidRPr="000134C9">
        <w:rPr>
          <w:rFonts w:ascii="Arial" w:hAnsi="Arial" w:cs="Arial"/>
          <w:sz w:val="22"/>
          <w:szCs w:val="22"/>
        </w:rPr>
        <w:t xml:space="preserve">This </w:t>
      </w:r>
      <w:r w:rsidR="00DE64DF" w:rsidRPr="007F6217">
        <w:rPr>
          <w:rFonts w:ascii="Arial" w:hAnsi="Arial" w:cs="Arial"/>
          <w:sz w:val="22"/>
          <w:szCs w:val="22"/>
        </w:rPr>
        <w:t xml:space="preserve">determination </w:t>
      </w:r>
      <w:r w:rsidRPr="007F6217">
        <w:rPr>
          <w:rFonts w:ascii="Arial" w:hAnsi="Arial" w:cs="Arial"/>
          <w:sz w:val="22"/>
          <w:szCs w:val="22"/>
        </w:rPr>
        <w:t>applies where</w:t>
      </w:r>
      <w:r w:rsidR="00036877" w:rsidRPr="007F6217">
        <w:rPr>
          <w:rFonts w:ascii="Arial" w:hAnsi="Arial" w:cs="Arial"/>
          <w:sz w:val="22"/>
          <w:szCs w:val="22"/>
        </w:rPr>
        <w:t xml:space="preserve"> you make a taxable supply or creditable acquisition and</w:t>
      </w:r>
      <w:r w:rsidRPr="007F6217">
        <w:rPr>
          <w:rFonts w:ascii="Arial" w:hAnsi="Arial" w:cs="Arial"/>
          <w:sz w:val="22"/>
          <w:szCs w:val="22"/>
        </w:rPr>
        <w:t>:</w:t>
      </w:r>
    </w:p>
    <w:p w:rsidR="005738B5" w:rsidRPr="005738B5" w:rsidRDefault="005738B5" w:rsidP="007F6217">
      <w:pPr>
        <w:pStyle w:val="ListParagraph"/>
        <w:numPr>
          <w:ilvl w:val="0"/>
          <w:numId w:val="20"/>
        </w:numPr>
        <w:spacing w:before="120" w:after="120"/>
        <w:ind w:left="1134"/>
        <w:rPr>
          <w:rFonts w:ascii="Arial" w:hAnsi="Arial" w:cs="Arial"/>
          <w:sz w:val="22"/>
          <w:szCs w:val="22"/>
        </w:rPr>
      </w:pPr>
      <w:r w:rsidRPr="005738B5">
        <w:rPr>
          <w:rFonts w:ascii="Arial" w:hAnsi="Arial" w:cs="Arial"/>
          <w:sz w:val="22"/>
          <w:szCs w:val="22"/>
        </w:rPr>
        <w:t xml:space="preserve">you do not know the total consideration when any </w:t>
      </w:r>
      <w:r w:rsidR="00036877">
        <w:rPr>
          <w:rFonts w:ascii="Arial" w:hAnsi="Arial" w:cs="Arial"/>
          <w:sz w:val="22"/>
          <w:szCs w:val="22"/>
        </w:rPr>
        <w:t xml:space="preserve">part of the </w:t>
      </w:r>
      <w:r w:rsidRPr="005738B5">
        <w:rPr>
          <w:rFonts w:ascii="Arial" w:hAnsi="Arial" w:cs="Arial"/>
          <w:sz w:val="22"/>
          <w:szCs w:val="22"/>
        </w:rPr>
        <w:t xml:space="preserve">consideration is </w:t>
      </w:r>
      <w:r w:rsidR="00036877">
        <w:rPr>
          <w:rFonts w:ascii="Arial" w:hAnsi="Arial" w:cs="Arial"/>
          <w:sz w:val="22"/>
          <w:szCs w:val="22"/>
        </w:rPr>
        <w:t xml:space="preserve">paid or </w:t>
      </w:r>
      <w:r w:rsidRPr="005738B5">
        <w:rPr>
          <w:rFonts w:ascii="Arial" w:hAnsi="Arial" w:cs="Arial"/>
          <w:sz w:val="22"/>
          <w:szCs w:val="22"/>
        </w:rPr>
        <w:t xml:space="preserve">received or </w:t>
      </w:r>
      <w:r w:rsidR="000B4CE5">
        <w:rPr>
          <w:rFonts w:ascii="Arial" w:hAnsi="Arial" w:cs="Arial"/>
          <w:sz w:val="22"/>
          <w:szCs w:val="22"/>
        </w:rPr>
        <w:t xml:space="preserve">when </w:t>
      </w:r>
      <w:r w:rsidRPr="005738B5">
        <w:rPr>
          <w:rFonts w:ascii="Arial" w:hAnsi="Arial" w:cs="Arial"/>
          <w:sz w:val="22"/>
          <w:szCs w:val="22"/>
        </w:rPr>
        <w:t>an invoice is issued relating to the supply</w:t>
      </w:r>
      <w:r w:rsidR="00036877">
        <w:rPr>
          <w:rFonts w:ascii="Arial" w:hAnsi="Arial" w:cs="Arial"/>
          <w:sz w:val="22"/>
          <w:szCs w:val="22"/>
        </w:rPr>
        <w:t xml:space="preserve"> or </w:t>
      </w:r>
      <w:proofErr w:type="spellStart"/>
      <w:r w:rsidR="00036877">
        <w:rPr>
          <w:rFonts w:ascii="Arial" w:hAnsi="Arial" w:cs="Arial"/>
          <w:sz w:val="22"/>
          <w:szCs w:val="22"/>
        </w:rPr>
        <w:t>acquistion</w:t>
      </w:r>
      <w:proofErr w:type="spellEnd"/>
      <w:r w:rsidR="000B7828">
        <w:rPr>
          <w:rFonts w:ascii="Arial" w:hAnsi="Arial" w:cs="Arial"/>
          <w:sz w:val="22"/>
          <w:szCs w:val="22"/>
        </w:rPr>
        <w:t>,,</w:t>
      </w:r>
      <w:r w:rsidRPr="005738B5">
        <w:rPr>
          <w:rFonts w:ascii="Arial" w:hAnsi="Arial" w:cs="Arial"/>
          <w:sz w:val="22"/>
          <w:szCs w:val="22"/>
        </w:rPr>
        <w:t xml:space="preserve"> and </w:t>
      </w:r>
      <w:r w:rsidR="0088047E">
        <w:rPr>
          <w:rFonts w:ascii="Arial" w:hAnsi="Arial" w:cs="Arial"/>
          <w:sz w:val="22"/>
          <w:szCs w:val="22"/>
        </w:rPr>
        <w:br/>
      </w:r>
    </w:p>
    <w:p w:rsidR="005738B5" w:rsidRPr="005738B5" w:rsidRDefault="005738B5" w:rsidP="007F6217">
      <w:pPr>
        <w:pStyle w:val="ListParagraph"/>
        <w:numPr>
          <w:ilvl w:val="0"/>
          <w:numId w:val="20"/>
        </w:numPr>
        <w:spacing w:before="120" w:after="120"/>
        <w:ind w:left="1134"/>
        <w:rPr>
          <w:rFonts w:ascii="Arial" w:hAnsi="Arial" w:cs="Arial"/>
          <w:sz w:val="22"/>
          <w:szCs w:val="22"/>
        </w:rPr>
      </w:pPr>
      <w:r w:rsidRPr="005738B5">
        <w:rPr>
          <w:rFonts w:ascii="Arial" w:hAnsi="Arial" w:cs="Arial"/>
          <w:sz w:val="22"/>
          <w:szCs w:val="22"/>
        </w:rPr>
        <w:t xml:space="preserve">the ascertainment of the total consideration depends on a future event or events that is not entirely within your control </w:t>
      </w:r>
    </w:p>
    <w:p w:rsidR="005738B5" w:rsidRPr="005738B5" w:rsidRDefault="005738B5" w:rsidP="007F6217">
      <w:pPr>
        <w:spacing w:before="120" w:after="120"/>
        <w:ind w:left="720"/>
        <w:rPr>
          <w:rFonts w:ascii="Arial" w:hAnsi="Arial" w:cs="Arial"/>
          <w:sz w:val="22"/>
          <w:szCs w:val="22"/>
        </w:rPr>
      </w:pPr>
      <w:r w:rsidRPr="005738B5">
        <w:rPr>
          <w:rFonts w:ascii="Arial" w:hAnsi="Arial" w:cs="Arial"/>
          <w:sz w:val="22"/>
          <w:szCs w:val="22"/>
        </w:rPr>
        <w:t>and either:</w:t>
      </w:r>
    </w:p>
    <w:p w:rsidR="005738B5" w:rsidRPr="005738B5" w:rsidRDefault="005738B5" w:rsidP="007F6217">
      <w:pPr>
        <w:pStyle w:val="ListParagraph"/>
        <w:numPr>
          <w:ilvl w:val="0"/>
          <w:numId w:val="20"/>
        </w:numPr>
        <w:spacing w:before="120" w:after="120"/>
        <w:ind w:left="1134"/>
        <w:rPr>
          <w:rFonts w:ascii="Arial" w:hAnsi="Arial" w:cs="Arial"/>
          <w:sz w:val="22"/>
          <w:szCs w:val="22"/>
        </w:rPr>
      </w:pPr>
      <w:r w:rsidRPr="005738B5">
        <w:rPr>
          <w:rFonts w:ascii="Arial" w:hAnsi="Arial" w:cs="Arial"/>
          <w:sz w:val="22"/>
          <w:szCs w:val="22"/>
        </w:rPr>
        <w:t>an invoice is issued relating to the supply</w:t>
      </w:r>
      <w:r w:rsidR="00036877">
        <w:rPr>
          <w:rFonts w:ascii="Arial" w:hAnsi="Arial" w:cs="Arial"/>
          <w:sz w:val="22"/>
          <w:szCs w:val="22"/>
        </w:rPr>
        <w:t xml:space="preserve"> or acquis</w:t>
      </w:r>
      <w:r w:rsidR="009827EA">
        <w:rPr>
          <w:rFonts w:ascii="Arial" w:hAnsi="Arial" w:cs="Arial"/>
          <w:sz w:val="22"/>
          <w:szCs w:val="22"/>
        </w:rPr>
        <w:t>i</w:t>
      </w:r>
      <w:r w:rsidR="00036877">
        <w:rPr>
          <w:rFonts w:ascii="Arial" w:hAnsi="Arial" w:cs="Arial"/>
          <w:sz w:val="22"/>
          <w:szCs w:val="22"/>
        </w:rPr>
        <w:t>tion</w:t>
      </w:r>
      <w:r w:rsidRPr="005738B5">
        <w:rPr>
          <w:rFonts w:ascii="Arial" w:hAnsi="Arial" w:cs="Arial"/>
          <w:sz w:val="22"/>
          <w:szCs w:val="22"/>
        </w:rPr>
        <w:t>; or</w:t>
      </w:r>
      <w:r w:rsidR="00CE452C">
        <w:rPr>
          <w:rFonts w:ascii="Arial" w:hAnsi="Arial" w:cs="Arial"/>
          <w:sz w:val="22"/>
          <w:szCs w:val="22"/>
        </w:rPr>
        <w:t xml:space="preserve">    </w:t>
      </w:r>
      <w:r w:rsidR="0088047E">
        <w:rPr>
          <w:rFonts w:ascii="Arial" w:hAnsi="Arial" w:cs="Arial"/>
          <w:sz w:val="22"/>
          <w:szCs w:val="22"/>
        </w:rPr>
        <w:br/>
      </w:r>
      <w:r w:rsidR="00CE452C">
        <w:rPr>
          <w:rFonts w:ascii="Arial" w:hAnsi="Arial" w:cs="Arial"/>
          <w:sz w:val="22"/>
          <w:szCs w:val="22"/>
        </w:rPr>
        <w:t xml:space="preserve">                                                                                               </w:t>
      </w:r>
    </w:p>
    <w:p w:rsidR="000134C9" w:rsidRDefault="005738B5" w:rsidP="007F6217">
      <w:pPr>
        <w:pStyle w:val="ListParagraph"/>
        <w:numPr>
          <w:ilvl w:val="0"/>
          <w:numId w:val="20"/>
        </w:numPr>
        <w:spacing w:before="120" w:after="120"/>
        <w:ind w:left="1134"/>
        <w:rPr>
          <w:rFonts w:ascii="Arial" w:hAnsi="Arial" w:cs="Arial"/>
          <w:sz w:val="22"/>
          <w:szCs w:val="22"/>
        </w:rPr>
      </w:pPr>
      <w:r w:rsidRPr="00CE452C">
        <w:rPr>
          <w:rFonts w:ascii="Arial" w:hAnsi="Arial" w:cs="Arial"/>
          <w:sz w:val="22"/>
          <w:szCs w:val="22"/>
        </w:rPr>
        <w:t>any</w:t>
      </w:r>
      <w:r w:rsidRPr="00780EE7">
        <w:rPr>
          <w:rFonts w:ascii="Arial" w:hAnsi="Arial" w:cs="Arial"/>
          <w:sz w:val="22"/>
          <w:szCs w:val="22"/>
        </w:rPr>
        <w:t xml:space="preserve"> consideration is received</w:t>
      </w:r>
      <w:r w:rsidR="00036877">
        <w:rPr>
          <w:rFonts w:ascii="Arial" w:hAnsi="Arial" w:cs="Arial"/>
          <w:sz w:val="22"/>
          <w:szCs w:val="22"/>
        </w:rPr>
        <w:t xml:space="preserve"> or paid</w:t>
      </w:r>
      <w:r w:rsidRPr="00780EE7">
        <w:rPr>
          <w:rFonts w:ascii="Arial" w:hAnsi="Arial" w:cs="Arial"/>
          <w:sz w:val="22"/>
          <w:szCs w:val="22"/>
        </w:rPr>
        <w:t xml:space="preserve"> for the supply</w:t>
      </w:r>
      <w:r w:rsidR="00036877">
        <w:rPr>
          <w:rFonts w:ascii="Arial" w:hAnsi="Arial" w:cs="Arial"/>
          <w:sz w:val="22"/>
          <w:szCs w:val="22"/>
        </w:rPr>
        <w:t xml:space="preserve"> or acquisition</w:t>
      </w:r>
      <w:r w:rsidRPr="00780EE7">
        <w:rPr>
          <w:rFonts w:ascii="Arial" w:hAnsi="Arial" w:cs="Arial"/>
          <w:sz w:val="22"/>
          <w:szCs w:val="22"/>
        </w:rPr>
        <w:t>.</w:t>
      </w:r>
    </w:p>
    <w:p w:rsidR="005A7C08" w:rsidRPr="007F6217" w:rsidRDefault="0088047E" w:rsidP="007F6217">
      <w:pPr>
        <w:pStyle w:val="ListParagraph"/>
        <w:spacing w:before="120" w:after="120"/>
        <w:ind w:left="786"/>
        <w:rPr>
          <w:rFonts w:ascii="Arial" w:hAnsi="Arial" w:cs="Arial"/>
          <w:sz w:val="22"/>
          <w:szCs w:val="22"/>
        </w:rPr>
      </w:pPr>
      <w:r>
        <w:rPr>
          <w:rFonts w:ascii="Arial" w:hAnsi="Arial" w:cs="Arial"/>
          <w:sz w:val="22"/>
          <w:szCs w:val="22"/>
        </w:rPr>
        <w:br/>
      </w:r>
    </w:p>
    <w:p w:rsidR="002674B7" w:rsidRDefault="002674B7" w:rsidP="002674B7">
      <w:pPr>
        <w:pStyle w:val="ListParagraph"/>
        <w:numPr>
          <w:ilvl w:val="0"/>
          <w:numId w:val="7"/>
        </w:numPr>
        <w:spacing w:before="120" w:after="120"/>
        <w:rPr>
          <w:rFonts w:ascii="Arial" w:hAnsi="Arial" w:cs="Arial"/>
          <w:sz w:val="22"/>
          <w:szCs w:val="22"/>
        </w:rPr>
      </w:pPr>
      <w:r w:rsidRPr="00B90FE9">
        <w:rPr>
          <w:rFonts w:ascii="Arial" w:hAnsi="Arial" w:cs="Arial"/>
          <w:sz w:val="22"/>
          <w:szCs w:val="22"/>
        </w:rPr>
        <w:t>This determination applies only if you do not account on a cash basis.</w:t>
      </w:r>
    </w:p>
    <w:p w:rsidR="002674B7" w:rsidRPr="007F6217" w:rsidRDefault="002674B7" w:rsidP="007F6217">
      <w:pPr>
        <w:pStyle w:val="ListParagraph"/>
        <w:spacing w:before="160" w:after="120"/>
        <w:ind w:left="786"/>
        <w:rPr>
          <w:rFonts w:ascii="Arial" w:hAnsi="Arial" w:cs="Arial"/>
          <w:sz w:val="22"/>
          <w:szCs w:val="22"/>
        </w:rPr>
      </w:pPr>
    </w:p>
    <w:p w:rsidR="00DE64DF" w:rsidRPr="000B7828" w:rsidRDefault="00DE64DF" w:rsidP="007F6217">
      <w:pPr>
        <w:pStyle w:val="ListParagraph"/>
        <w:numPr>
          <w:ilvl w:val="0"/>
          <w:numId w:val="7"/>
        </w:numPr>
        <w:spacing w:before="160" w:after="120"/>
        <w:rPr>
          <w:rFonts w:ascii="Arial" w:hAnsi="Arial" w:cs="Arial"/>
          <w:sz w:val="22"/>
          <w:szCs w:val="22"/>
        </w:rPr>
      </w:pPr>
      <w:r w:rsidRPr="0081525C">
        <w:rPr>
          <w:rFonts w:ascii="Arial" w:hAnsi="Arial" w:cs="Arial"/>
          <w:sz w:val="22"/>
          <w:szCs w:val="22"/>
        </w:rPr>
        <w:t xml:space="preserve">This determination is substantially </w:t>
      </w:r>
      <w:r w:rsidR="002D735F" w:rsidRPr="0081525C">
        <w:rPr>
          <w:rFonts w:ascii="Arial" w:hAnsi="Arial" w:cs="Arial"/>
          <w:sz w:val="22"/>
          <w:szCs w:val="22"/>
        </w:rPr>
        <w:t>the same as the</w:t>
      </w:r>
      <w:r w:rsidRPr="0081525C">
        <w:rPr>
          <w:rFonts w:ascii="Arial" w:hAnsi="Arial" w:cs="Arial"/>
          <w:sz w:val="22"/>
          <w:szCs w:val="22"/>
        </w:rPr>
        <w:t xml:space="preserve"> determination</w:t>
      </w:r>
      <w:r w:rsidR="002D735F" w:rsidRPr="0081525C">
        <w:rPr>
          <w:rFonts w:ascii="Arial" w:hAnsi="Arial" w:cs="Arial"/>
          <w:sz w:val="22"/>
          <w:szCs w:val="22"/>
        </w:rPr>
        <w:t xml:space="preserve"> that it replaces.</w:t>
      </w:r>
      <w:r w:rsidRPr="0081525C">
        <w:rPr>
          <w:rFonts w:ascii="Arial" w:hAnsi="Arial" w:cs="Arial"/>
          <w:sz w:val="22"/>
          <w:szCs w:val="22"/>
        </w:rPr>
        <w:t xml:space="preserve">. An entity that satisfied the requirements of the previous determination and makes a taxable supply or creditable acquisition </w:t>
      </w:r>
      <w:r w:rsidR="005D273C" w:rsidRPr="0081525C">
        <w:rPr>
          <w:rFonts w:ascii="Arial" w:hAnsi="Arial" w:cs="Arial"/>
          <w:sz w:val="22"/>
          <w:szCs w:val="22"/>
        </w:rPr>
        <w:t xml:space="preserve">as </w:t>
      </w:r>
      <w:r w:rsidRPr="0081525C">
        <w:rPr>
          <w:rFonts w:ascii="Arial" w:hAnsi="Arial" w:cs="Arial"/>
          <w:sz w:val="22"/>
          <w:szCs w:val="22"/>
        </w:rPr>
        <w:t>described in this determination</w:t>
      </w:r>
      <w:r w:rsidR="008842D1" w:rsidRPr="0081525C">
        <w:rPr>
          <w:rFonts w:ascii="Arial" w:hAnsi="Arial" w:cs="Arial"/>
          <w:sz w:val="22"/>
          <w:szCs w:val="22"/>
        </w:rPr>
        <w:t xml:space="preserve"> </w:t>
      </w:r>
      <w:r w:rsidRPr="0081525C">
        <w:rPr>
          <w:rFonts w:ascii="Arial" w:hAnsi="Arial" w:cs="Arial"/>
          <w:sz w:val="22"/>
          <w:szCs w:val="22"/>
        </w:rPr>
        <w:t>will satisfy the requirements of this determination.</w:t>
      </w:r>
    </w:p>
    <w:p w:rsidR="002B1231" w:rsidRPr="007F6217" w:rsidRDefault="002B1231" w:rsidP="007F6217">
      <w:pPr>
        <w:pStyle w:val="ListParagraph"/>
        <w:spacing w:before="160" w:after="120"/>
        <w:ind w:left="786"/>
        <w:rPr>
          <w:rFonts w:ascii="Arial" w:hAnsi="Arial" w:cs="Arial"/>
          <w:sz w:val="22"/>
          <w:szCs w:val="22"/>
        </w:rPr>
      </w:pPr>
    </w:p>
    <w:p w:rsidR="00AC4E18" w:rsidRPr="00E47EEA" w:rsidRDefault="00AC4E18" w:rsidP="007F6217">
      <w:pPr>
        <w:pStyle w:val="ListParagraph"/>
        <w:numPr>
          <w:ilvl w:val="0"/>
          <w:numId w:val="33"/>
        </w:numPr>
        <w:spacing w:before="160" w:after="120"/>
        <w:rPr>
          <w:rFonts w:ascii="Arial" w:hAnsi="Arial" w:cs="Arial"/>
          <w:sz w:val="22"/>
          <w:szCs w:val="22"/>
        </w:rPr>
      </w:pPr>
      <w:r w:rsidRPr="00E47EEA">
        <w:rPr>
          <w:rFonts w:ascii="Arial" w:hAnsi="Arial" w:cs="Arial"/>
          <w:b/>
          <w:bCs/>
        </w:rPr>
        <w:t>Particular attribution rule for GST payable on a taxable supply occurring before the supplier knows the total consideration</w:t>
      </w:r>
    </w:p>
    <w:p w:rsidR="00AC4E18" w:rsidRPr="00AC4E18" w:rsidRDefault="00AC4E18" w:rsidP="007F6217">
      <w:pPr>
        <w:pStyle w:val="BodyText"/>
        <w:numPr>
          <w:ilvl w:val="0"/>
          <w:numId w:val="35"/>
        </w:numPr>
        <w:shd w:val="clear" w:color="auto" w:fill="FFFFFF"/>
        <w:tabs>
          <w:tab w:val="left" w:pos="8363"/>
        </w:tabs>
        <w:spacing w:before="160" w:after="120"/>
        <w:ind w:left="714" w:hanging="357"/>
        <w:rPr>
          <w:rFonts w:ascii="Arial" w:hAnsi="Arial" w:cs="Arial"/>
          <w:i w:val="0"/>
          <w:sz w:val="22"/>
          <w:szCs w:val="22"/>
        </w:rPr>
      </w:pPr>
      <w:r w:rsidRPr="00AC4E18">
        <w:rPr>
          <w:rFonts w:ascii="Arial" w:hAnsi="Arial" w:cs="Arial"/>
          <w:i w:val="0"/>
          <w:sz w:val="22"/>
          <w:szCs w:val="22"/>
        </w:rPr>
        <w:t>Where, in a tax period</w:t>
      </w:r>
      <w:r w:rsidR="009827EA">
        <w:rPr>
          <w:rFonts w:ascii="Arial" w:hAnsi="Arial" w:cs="Arial"/>
          <w:i w:val="0"/>
          <w:sz w:val="22"/>
          <w:szCs w:val="22"/>
        </w:rPr>
        <w:t>,</w:t>
      </w:r>
      <w:r w:rsidR="000B4CE5">
        <w:rPr>
          <w:rFonts w:ascii="Arial" w:hAnsi="Arial" w:cs="Arial"/>
          <w:i w:val="0"/>
          <w:sz w:val="22"/>
          <w:szCs w:val="22"/>
        </w:rPr>
        <w:t xml:space="preserve"> you make a taxable supply</w:t>
      </w:r>
      <w:r w:rsidRPr="00AC4E18">
        <w:rPr>
          <w:rFonts w:ascii="Arial" w:hAnsi="Arial" w:cs="Arial"/>
          <w:i w:val="0"/>
          <w:sz w:val="22"/>
          <w:szCs w:val="22"/>
        </w:rPr>
        <w:t xml:space="preserve"> before you know the total consideration, </w:t>
      </w:r>
      <w:r w:rsidR="009827EA">
        <w:rPr>
          <w:rFonts w:ascii="Arial" w:hAnsi="Arial" w:cs="Arial"/>
          <w:i w:val="0"/>
          <w:sz w:val="22"/>
          <w:szCs w:val="22"/>
        </w:rPr>
        <w:t xml:space="preserve">and </w:t>
      </w:r>
      <w:r w:rsidRPr="00AC4E18">
        <w:rPr>
          <w:rFonts w:ascii="Arial" w:hAnsi="Arial" w:cs="Arial"/>
          <w:sz w:val="22"/>
          <w:szCs w:val="22"/>
        </w:rPr>
        <w:t>an invoice is issued</w:t>
      </w:r>
      <w:r w:rsidRPr="00AC4E18">
        <w:rPr>
          <w:rFonts w:ascii="Arial" w:hAnsi="Arial" w:cs="Arial"/>
          <w:i w:val="0"/>
          <w:sz w:val="22"/>
          <w:szCs w:val="22"/>
        </w:rPr>
        <w:t xml:space="preserve"> relating</w:t>
      </w:r>
      <w:r w:rsidR="00E665DF">
        <w:rPr>
          <w:rFonts w:ascii="Arial" w:hAnsi="Arial" w:cs="Arial"/>
          <w:i w:val="0"/>
          <w:sz w:val="22"/>
          <w:szCs w:val="22"/>
        </w:rPr>
        <w:t xml:space="preserve"> to</w:t>
      </w:r>
      <w:r w:rsidRPr="00AC4E18">
        <w:rPr>
          <w:rFonts w:ascii="Arial" w:hAnsi="Arial" w:cs="Arial"/>
          <w:i w:val="0"/>
          <w:sz w:val="22"/>
          <w:szCs w:val="22"/>
        </w:rPr>
        <w:t xml:space="preserve"> </w:t>
      </w:r>
      <w:r w:rsidR="000B4CE5">
        <w:rPr>
          <w:rFonts w:ascii="Arial" w:hAnsi="Arial" w:cs="Arial"/>
          <w:i w:val="0"/>
          <w:sz w:val="22"/>
          <w:szCs w:val="22"/>
        </w:rPr>
        <w:t>the</w:t>
      </w:r>
      <w:r w:rsidRPr="00AC4E18">
        <w:rPr>
          <w:rFonts w:ascii="Arial" w:hAnsi="Arial" w:cs="Arial"/>
          <w:i w:val="0"/>
          <w:sz w:val="22"/>
          <w:szCs w:val="22"/>
        </w:rPr>
        <w:t xml:space="preserve"> taxable supply which states an amount of consideration and:</w:t>
      </w:r>
    </w:p>
    <w:p w:rsidR="00AC4E18" w:rsidRPr="00AC4E18" w:rsidRDefault="00AC4E18" w:rsidP="007F6217">
      <w:pPr>
        <w:pStyle w:val="BodyText"/>
        <w:numPr>
          <w:ilvl w:val="0"/>
          <w:numId w:val="22"/>
        </w:numPr>
        <w:shd w:val="clear" w:color="auto" w:fill="FFFFFF"/>
        <w:tabs>
          <w:tab w:val="left" w:pos="8363"/>
        </w:tabs>
        <w:spacing w:before="160" w:after="120"/>
        <w:ind w:left="1276" w:right="-1"/>
        <w:rPr>
          <w:rFonts w:ascii="Arial" w:hAnsi="Arial" w:cs="Arial"/>
          <w:i w:val="0"/>
          <w:sz w:val="22"/>
          <w:szCs w:val="22"/>
        </w:rPr>
      </w:pPr>
      <w:r w:rsidRPr="00AC4E18">
        <w:rPr>
          <w:rFonts w:ascii="Arial" w:hAnsi="Arial" w:cs="Arial"/>
          <w:sz w:val="22"/>
          <w:szCs w:val="22"/>
        </w:rPr>
        <w:t>no consideration is received for the supply in that tax period</w:t>
      </w:r>
      <w:r>
        <w:rPr>
          <w:rFonts w:ascii="Arial" w:hAnsi="Arial" w:cs="Arial"/>
          <w:i w:val="0"/>
          <w:sz w:val="22"/>
          <w:szCs w:val="22"/>
        </w:rPr>
        <w:t xml:space="preserve"> – </w:t>
      </w:r>
      <w:r w:rsidRPr="00AC4E18">
        <w:rPr>
          <w:rFonts w:ascii="Arial" w:hAnsi="Arial" w:cs="Arial"/>
          <w:i w:val="0"/>
          <w:sz w:val="22"/>
          <w:szCs w:val="22"/>
        </w:rPr>
        <w:t>the GST on the supply is attributable to that tax period but only to the extent of the amount of the consideration stated in the invoice</w:t>
      </w:r>
      <w:r w:rsidR="000B7828">
        <w:rPr>
          <w:rFonts w:ascii="Arial" w:hAnsi="Arial" w:cs="Arial"/>
          <w:i w:val="0"/>
          <w:sz w:val="22"/>
          <w:szCs w:val="22"/>
        </w:rPr>
        <w:t>,</w:t>
      </w:r>
      <w:r w:rsidRPr="00AC4E18">
        <w:rPr>
          <w:rFonts w:ascii="Arial" w:hAnsi="Arial" w:cs="Arial"/>
          <w:i w:val="0"/>
          <w:sz w:val="22"/>
          <w:szCs w:val="22"/>
        </w:rPr>
        <w:t xml:space="preserve"> or</w:t>
      </w:r>
    </w:p>
    <w:p w:rsidR="00AC4E18" w:rsidRPr="00AC4E18" w:rsidRDefault="00AC4E18" w:rsidP="007F6217">
      <w:pPr>
        <w:pStyle w:val="BodyText"/>
        <w:numPr>
          <w:ilvl w:val="0"/>
          <w:numId w:val="22"/>
        </w:numPr>
        <w:shd w:val="clear" w:color="auto" w:fill="FFFFFF"/>
        <w:tabs>
          <w:tab w:val="left" w:pos="8363"/>
        </w:tabs>
        <w:spacing w:before="160" w:after="120"/>
        <w:ind w:left="1276" w:right="-1"/>
        <w:rPr>
          <w:rFonts w:ascii="Arial" w:hAnsi="Arial" w:cs="Arial"/>
          <w:i w:val="0"/>
          <w:sz w:val="22"/>
          <w:szCs w:val="22"/>
        </w:rPr>
      </w:pPr>
      <w:r w:rsidRPr="00AC4E18">
        <w:rPr>
          <w:rFonts w:ascii="Arial" w:hAnsi="Arial" w:cs="Arial"/>
          <w:sz w:val="22"/>
          <w:szCs w:val="22"/>
        </w:rPr>
        <w:t>consideration is received for the supply in that tax period</w:t>
      </w:r>
      <w:r w:rsidRPr="00AC4E18">
        <w:rPr>
          <w:rFonts w:ascii="Arial" w:hAnsi="Arial" w:cs="Arial"/>
          <w:i w:val="0"/>
          <w:sz w:val="22"/>
          <w:szCs w:val="22"/>
        </w:rPr>
        <w:t xml:space="preserve"> </w:t>
      </w:r>
      <w:r>
        <w:rPr>
          <w:rFonts w:ascii="Arial" w:hAnsi="Arial" w:cs="Arial"/>
          <w:i w:val="0"/>
          <w:sz w:val="22"/>
          <w:szCs w:val="22"/>
        </w:rPr>
        <w:t>–</w:t>
      </w:r>
      <w:r w:rsidRPr="00AC4E18">
        <w:rPr>
          <w:rFonts w:ascii="Arial" w:hAnsi="Arial" w:cs="Arial"/>
          <w:i w:val="0"/>
          <w:sz w:val="22"/>
          <w:szCs w:val="22"/>
        </w:rPr>
        <w:t xml:space="preserve"> the GST on the supply is attributable to that tax period but only to the extent:</w:t>
      </w:r>
    </w:p>
    <w:p w:rsidR="00AC4E18" w:rsidRPr="00AC4E18" w:rsidRDefault="00AC4E18" w:rsidP="007F6217">
      <w:pPr>
        <w:pStyle w:val="BodyText"/>
        <w:numPr>
          <w:ilvl w:val="0"/>
          <w:numId w:val="23"/>
        </w:numPr>
        <w:shd w:val="clear" w:color="auto" w:fill="FFFFFF"/>
        <w:tabs>
          <w:tab w:val="left" w:pos="2268"/>
          <w:tab w:val="left" w:pos="8363"/>
        </w:tabs>
        <w:spacing w:before="160" w:after="120"/>
        <w:ind w:left="2268" w:right="-1"/>
        <w:rPr>
          <w:rFonts w:ascii="Arial" w:hAnsi="Arial" w:cs="Arial"/>
          <w:i w:val="0"/>
          <w:sz w:val="22"/>
          <w:szCs w:val="22"/>
        </w:rPr>
      </w:pPr>
      <w:r w:rsidRPr="00AC4E18">
        <w:rPr>
          <w:rFonts w:ascii="Arial" w:hAnsi="Arial" w:cs="Arial"/>
          <w:i w:val="0"/>
          <w:sz w:val="22"/>
          <w:szCs w:val="22"/>
        </w:rPr>
        <w:t xml:space="preserve">where the consideration received is less than or equal to the amount of the consideration stated in the invoice </w:t>
      </w:r>
      <w:r>
        <w:rPr>
          <w:rFonts w:ascii="Arial" w:hAnsi="Arial" w:cs="Arial"/>
          <w:i w:val="0"/>
          <w:sz w:val="22"/>
          <w:szCs w:val="22"/>
        </w:rPr>
        <w:t>–</w:t>
      </w:r>
      <w:r w:rsidRPr="00AC4E18">
        <w:rPr>
          <w:rFonts w:ascii="Arial" w:hAnsi="Arial" w:cs="Arial"/>
          <w:i w:val="0"/>
          <w:sz w:val="22"/>
          <w:szCs w:val="22"/>
        </w:rPr>
        <w:t xml:space="preserve"> the amount of consideration stated in the invoice</w:t>
      </w:r>
      <w:r w:rsidR="000B7828">
        <w:rPr>
          <w:rFonts w:ascii="Arial" w:hAnsi="Arial" w:cs="Arial"/>
          <w:i w:val="0"/>
          <w:sz w:val="22"/>
          <w:szCs w:val="22"/>
        </w:rPr>
        <w:t>,</w:t>
      </w:r>
      <w:r w:rsidRPr="00AC4E18">
        <w:rPr>
          <w:rFonts w:ascii="Arial" w:hAnsi="Arial" w:cs="Arial"/>
          <w:i w:val="0"/>
          <w:sz w:val="22"/>
          <w:szCs w:val="22"/>
        </w:rPr>
        <w:t xml:space="preserve"> or</w:t>
      </w:r>
    </w:p>
    <w:p w:rsidR="006C598F" w:rsidRDefault="00AC4E18" w:rsidP="007F6217">
      <w:pPr>
        <w:pStyle w:val="BodyText"/>
        <w:numPr>
          <w:ilvl w:val="0"/>
          <w:numId w:val="23"/>
        </w:numPr>
        <w:shd w:val="clear" w:color="auto" w:fill="FFFFFF"/>
        <w:tabs>
          <w:tab w:val="left" w:pos="2268"/>
          <w:tab w:val="left" w:pos="8363"/>
        </w:tabs>
        <w:spacing w:before="160" w:after="120"/>
        <w:ind w:left="2268" w:right="-1"/>
        <w:rPr>
          <w:rFonts w:ascii="Arial" w:hAnsi="Arial" w:cs="Arial"/>
          <w:i w:val="0"/>
          <w:sz w:val="22"/>
          <w:szCs w:val="22"/>
        </w:rPr>
      </w:pPr>
      <w:r w:rsidRPr="00AC4E18">
        <w:rPr>
          <w:rFonts w:ascii="Arial" w:hAnsi="Arial" w:cs="Arial"/>
          <w:i w:val="0"/>
          <w:sz w:val="22"/>
          <w:szCs w:val="22"/>
        </w:rPr>
        <w:t xml:space="preserve">where the consideration received is more than the amount stated in the invoice </w:t>
      </w:r>
      <w:r w:rsidR="007E45F1">
        <w:rPr>
          <w:rFonts w:ascii="Arial" w:hAnsi="Arial" w:cs="Arial"/>
          <w:i w:val="0"/>
          <w:sz w:val="22"/>
          <w:szCs w:val="22"/>
        </w:rPr>
        <w:t>–</w:t>
      </w:r>
      <w:r w:rsidRPr="00AC4E18">
        <w:rPr>
          <w:rFonts w:ascii="Arial" w:hAnsi="Arial" w:cs="Arial"/>
          <w:i w:val="0"/>
          <w:sz w:val="22"/>
          <w:szCs w:val="22"/>
        </w:rPr>
        <w:t xml:space="preserve"> the amount of the consideration received.</w:t>
      </w:r>
    </w:p>
    <w:p w:rsidR="00AC4E18" w:rsidRPr="00AC4E18" w:rsidRDefault="00AC4E18" w:rsidP="007F6217">
      <w:pPr>
        <w:pStyle w:val="BodyText"/>
        <w:numPr>
          <w:ilvl w:val="0"/>
          <w:numId w:val="35"/>
        </w:numPr>
        <w:shd w:val="clear" w:color="auto" w:fill="FFFFFF"/>
        <w:tabs>
          <w:tab w:val="left" w:pos="8363"/>
        </w:tabs>
        <w:spacing w:before="160" w:after="120"/>
        <w:ind w:left="714" w:hanging="357"/>
        <w:rPr>
          <w:rFonts w:ascii="Arial" w:hAnsi="Arial" w:cs="Arial"/>
          <w:i w:val="0"/>
          <w:sz w:val="22"/>
          <w:szCs w:val="22"/>
        </w:rPr>
      </w:pPr>
      <w:r w:rsidRPr="00AC4E18">
        <w:rPr>
          <w:rFonts w:ascii="Arial" w:hAnsi="Arial" w:cs="Arial"/>
          <w:i w:val="0"/>
          <w:sz w:val="22"/>
          <w:szCs w:val="22"/>
        </w:rPr>
        <w:t>Where, in a tax period</w:t>
      </w:r>
      <w:r w:rsidR="009827EA">
        <w:rPr>
          <w:rFonts w:ascii="Arial" w:hAnsi="Arial" w:cs="Arial"/>
          <w:i w:val="0"/>
          <w:sz w:val="22"/>
          <w:szCs w:val="22"/>
        </w:rPr>
        <w:t>,</w:t>
      </w:r>
      <w:r w:rsidRPr="00AC4E18">
        <w:rPr>
          <w:rFonts w:ascii="Arial" w:hAnsi="Arial" w:cs="Arial"/>
          <w:i w:val="0"/>
          <w:sz w:val="22"/>
          <w:szCs w:val="22"/>
        </w:rPr>
        <w:t xml:space="preserve"> </w:t>
      </w:r>
      <w:r w:rsidR="009827EA">
        <w:rPr>
          <w:rFonts w:ascii="Arial" w:hAnsi="Arial" w:cs="Arial"/>
          <w:i w:val="0"/>
          <w:sz w:val="22"/>
          <w:szCs w:val="22"/>
        </w:rPr>
        <w:t xml:space="preserve">you make a taxable supply </w:t>
      </w:r>
      <w:r w:rsidRPr="00AC4E18">
        <w:rPr>
          <w:rFonts w:ascii="Arial" w:hAnsi="Arial" w:cs="Arial"/>
          <w:i w:val="0"/>
          <w:sz w:val="22"/>
          <w:szCs w:val="22"/>
        </w:rPr>
        <w:t xml:space="preserve">before you know the total consideration, </w:t>
      </w:r>
      <w:r w:rsidR="009827EA">
        <w:rPr>
          <w:rFonts w:ascii="Arial" w:hAnsi="Arial" w:cs="Arial"/>
          <w:i w:val="0"/>
          <w:sz w:val="22"/>
          <w:szCs w:val="22"/>
        </w:rPr>
        <w:t xml:space="preserve">and </w:t>
      </w:r>
      <w:r w:rsidRPr="00AC4E18">
        <w:rPr>
          <w:rFonts w:ascii="Arial" w:hAnsi="Arial" w:cs="Arial"/>
          <w:sz w:val="22"/>
          <w:szCs w:val="22"/>
        </w:rPr>
        <w:t>an invoice is not issued</w:t>
      </w:r>
      <w:r w:rsidRPr="00AC4E18">
        <w:rPr>
          <w:rFonts w:ascii="Arial" w:hAnsi="Arial" w:cs="Arial"/>
          <w:i w:val="0"/>
          <w:sz w:val="22"/>
          <w:szCs w:val="22"/>
        </w:rPr>
        <w:t xml:space="preserve"> relating to the supply and:</w:t>
      </w:r>
    </w:p>
    <w:p w:rsidR="00AC4E18" w:rsidRPr="00AC4E18" w:rsidRDefault="00AC4E18" w:rsidP="007F6217">
      <w:pPr>
        <w:pStyle w:val="BodyText"/>
        <w:numPr>
          <w:ilvl w:val="0"/>
          <w:numId w:val="24"/>
        </w:numPr>
        <w:shd w:val="clear" w:color="auto" w:fill="FFFFFF"/>
        <w:tabs>
          <w:tab w:val="left" w:pos="8363"/>
        </w:tabs>
        <w:spacing w:before="160" w:after="120"/>
        <w:ind w:left="1276" w:right="-1"/>
        <w:rPr>
          <w:rFonts w:ascii="Arial" w:hAnsi="Arial" w:cs="Arial"/>
          <w:i w:val="0"/>
          <w:sz w:val="22"/>
          <w:szCs w:val="22"/>
        </w:rPr>
      </w:pPr>
      <w:r w:rsidRPr="00AC4E18">
        <w:rPr>
          <w:rFonts w:ascii="Arial" w:hAnsi="Arial" w:cs="Arial"/>
          <w:sz w:val="22"/>
          <w:szCs w:val="22"/>
        </w:rPr>
        <w:t>consideration is received for the supply in that tax period</w:t>
      </w:r>
      <w:r w:rsidRPr="00AC4E18">
        <w:rPr>
          <w:rFonts w:ascii="Arial" w:hAnsi="Arial" w:cs="Arial"/>
          <w:i w:val="0"/>
          <w:sz w:val="22"/>
          <w:szCs w:val="22"/>
        </w:rPr>
        <w:t xml:space="preserve"> </w:t>
      </w:r>
      <w:r>
        <w:rPr>
          <w:rFonts w:ascii="Arial" w:hAnsi="Arial" w:cs="Arial"/>
          <w:i w:val="0"/>
          <w:sz w:val="22"/>
          <w:szCs w:val="22"/>
        </w:rPr>
        <w:t>–</w:t>
      </w:r>
      <w:r w:rsidRPr="00AC4E18">
        <w:rPr>
          <w:rFonts w:ascii="Arial" w:hAnsi="Arial" w:cs="Arial"/>
          <w:i w:val="0"/>
          <w:sz w:val="22"/>
          <w:szCs w:val="22"/>
        </w:rPr>
        <w:t xml:space="preserve"> the GST payable on the taxable supply is attributable to that tax period but only to the extent of the consideration received in that tax period</w:t>
      </w:r>
      <w:r w:rsidR="000B7828">
        <w:rPr>
          <w:rFonts w:ascii="Arial" w:hAnsi="Arial" w:cs="Arial"/>
          <w:i w:val="0"/>
          <w:sz w:val="22"/>
          <w:szCs w:val="22"/>
        </w:rPr>
        <w:t>,</w:t>
      </w:r>
      <w:r w:rsidRPr="00AC4E18">
        <w:rPr>
          <w:rFonts w:ascii="Arial" w:hAnsi="Arial" w:cs="Arial"/>
          <w:i w:val="0"/>
          <w:sz w:val="22"/>
          <w:szCs w:val="22"/>
        </w:rPr>
        <w:t xml:space="preserve"> or</w:t>
      </w:r>
    </w:p>
    <w:p w:rsidR="00AC4E18" w:rsidRDefault="00AC4E18" w:rsidP="007F6217">
      <w:pPr>
        <w:pStyle w:val="BodyText"/>
        <w:numPr>
          <w:ilvl w:val="0"/>
          <w:numId w:val="24"/>
        </w:numPr>
        <w:shd w:val="clear" w:color="auto" w:fill="FFFFFF"/>
        <w:tabs>
          <w:tab w:val="left" w:pos="8363"/>
        </w:tabs>
        <w:spacing w:before="160" w:after="120"/>
        <w:ind w:left="1276" w:right="-1"/>
        <w:rPr>
          <w:rFonts w:ascii="Arial" w:hAnsi="Arial" w:cs="Arial"/>
          <w:i w:val="0"/>
          <w:sz w:val="22"/>
          <w:szCs w:val="22"/>
        </w:rPr>
      </w:pPr>
      <w:r w:rsidRPr="00AC4E18">
        <w:rPr>
          <w:rFonts w:ascii="Arial" w:hAnsi="Arial" w:cs="Arial"/>
          <w:sz w:val="22"/>
          <w:szCs w:val="22"/>
        </w:rPr>
        <w:t>no consideration is received for the supply in that tax period</w:t>
      </w:r>
      <w:r w:rsidRPr="00AC4E18">
        <w:rPr>
          <w:rFonts w:ascii="Arial" w:hAnsi="Arial" w:cs="Arial"/>
          <w:i w:val="0"/>
          <w:sz w:val="22"/>
          <w:szCs w:val="22"/>
        </w:rPr>
        <w:t xml:space="preserve"> – none of the GST on the supply is attributable to that tax period</w:t>
      </w:r>
      <w:r>
        <w:rPr>
          <w:rFonts w:ascii="Arial" w:hAnsi="Arial" w:cs="Arial"/>
          <w:i w:val="0"/>
          <w:sz w:val="22"/>
          <w:szCs w:val="22"/>
        </w:rPr>
        <w:t>.</w:t>
      </w:r>
    </w:p>
    <w:p w:rsidR="00AC4E18" w:rsidRDefault="009827EA" w:rsidP="007F6217">
      <w:pPr>
        <w:pStyle w:val="BodyText"/>
        <w:numPr>
          <w:ilvl w:val="0"/>
          <w:numId w:val="35"/>
        </w:numPr>
        <w:shd w:val="clear" w:color="auto" w:fill="FFFFFF"/>
        <w:tabs>
          <w:tab w:val="left" w:pos="8363"/>
        </w:tabs>
        <w:spacing w:before="160" w:after="120"/>
        <w:ind w:left="714" w:hanging="357"/>
        <w:rPr>
          <w:rFonts w:ascii="Arial" w:hAnsi="Arial" w:cs="Arial"/>
          <w:i w:val="0"/>
          <w:sz w:val="22"/>
          <w:szCs w:val="22"/>
        </w:rPr>
      </w:pPr>
      <w:r>
        <w:rPr>
          <w:rFonts w:ascii="Arial" w:hAnsi="Arial" w:cs="Arial"/>
          <w:i w:val="0"/>
          <w:sz w:val="22"/>
          <w:szCs w:val="22"/>
        </w:rPr>
        <w:t xml:space="preserve">In tax periods after the tax period in which you first attributed any GST on the taxable supply, attribute GST on any increase in consideration </w:t>
      </w:r>
      <w:r w:rsidR="009F6A68">
        <w:rPr>
          <w:rFonts w:ascii="Arial" w:hAnsi="Arial" w:cs="Arial"/>
          <w:i w:val="0"/>
          <w:sz w:val="22"/>
          <w:szCs w:val="22"/>
        </w:rPr>
        <w:t>to</w:t>
      </w:r>
      <w:r>
        <w:rPr>
          <w:rFonts w:ascii="Arial" w:hAnsi="Arial" w:cs="Arial"/>
          <w:i w:val="0"/>
          <w:sz w:val="22"/>
          <w:szCs w:val="22"/>
        </w:rPr>
        <w:t xml:space="preserve"> the </w:t>
      </w:r>
      <w:r w:rsidR="009F6A68">
        <w:rPr>
          <w:rFonts w:ascii="Arial" w:hAnsi="Arial" w:cs="Arial"/>
          <w:i w:val="0"/>
          <w:sz w:val="22"/>
          <w:szCs w:val="22"/>
        </w:rPr>
        <w:t xml:space="preserve">earlier of the </w:t>
      </w:r>
      <w:r>
        <w:rPr>
          <w:rFonts w:ascii="Arial" w:hAnsi="Arial" w:cs="Arial"/>
          <w:i w:val="0"/>
          <w:sz w:val="22"/>
          <w:szCs w:val="22"/>
        </w:rPr>
        <w:t xml:space="preserve">tax period (or tax periods) in which you </w:t>
      </w:r>
      <w:r w:rsidR="009F6A68">
        <w:rPr>
          <w:rFonts w:ascii="Arial" w:hAnsi="Arial" w:cs="Arial"/>
          <w:i w:val="0"/>
          <w:sz w:val="22"/>
          <w:szCs w:val="22"/>
        </w:rPr>
        <w:t xml:space="preserve">issue an invoice (or amended invoice) for the increase in consideration or receive any of the additional consideration. </w:t>
      </w:r>
    </w:p>
    <w:p w:rsidR="00AC4E18" w:rsidRPr="00E11959" w:rsidRDefault="00E11959" w:rsidP="007F6217">
      <w:pPr>
        <w:pStyle w:val="BodyText"/>
        <w:numPr>
          <w:ilvl w:val="0"/>
          <w:numId w:val="33"/>
        </w:numPr>
        <w:shd w:val="clear" w:color="auto" w:fill="FFFFFF"/>
        <w:tabs>
          <w:tab w:val="left" w:pos="8363"/>
        </w:tabs>
        <w:spacing w:before="160" w:after="120"/>
        <w:ind w:right="-1"/>
        <w:rPr>
          <w:rFonts w:ascii="Arial" w:hAnsi="Arial" w:cs="Arial"/>
          <w:b/>
          <w:i w:val="0"/>
          <w:szCs w:val="24"/>
        </w:rPr>
      </w:pPr>
      <w:r w:rsidRPr="00E11959">
        <w:rPr>
          <w:rFonts w:ascii="Arial" w:hAnsi="Arial" w:cs="Arial"/>
          <w:b/>
          <w:i w:val="0"/>
          <w:szCs w:val="24"/>
        </w:rPr>
        <w:t>Particular attribution rule for input tax credits arising from a creditable acquisition occurring before the recipient knows the total consideration</w:t>
      </w:r>
    </w:p>
    <w:p w:rsidR="00E11959" w:rsidRPr="002F0BCA" w:rsidRDefault="00E11959" w:rsidP="007F6217">
      <w:pPr>
        <w:pStyle w:val="BodyText"/>
        <w:numPr>
          <w:ilvl w:val="0"/>
          <w:numId w:val="36"/>
        </w:numPr>
        <w:shd w:val="clear" w:color="auto" w:fill="FFFFFF"/>
        <w:tabs>
          <w:tab w:val="left" w:pos="8363"/>
        </w:tabs>
        <w:spacing w:before="160" w:after="120"/>
        <w:ind w:left="714" w:hanging="357"/>
        <w:rPr>
          <w:rFonts w:ascii="Arial" w:hAnsi="Arial" w:cs="Arial"/>
          <w:i w:val="0"/>
          <w:sz w:val="22"/>
          <w:szCs w:val="22"/>
        </w:rPr>
      </w:pPr>
      <w:r w:rsidRPr="00E11959">
        <w:rPr>
          <w:rFonts w:ascii="Arial" w:hAnsi="Arial" w:cs="Arial"/>
          <w:i w:val="0"/>
          <w:sz w:val="22"/>
          <w:szCs w:val="22"/>
        </w:rPr>
        <w:t>Where, in a tax period</w:t>
      </w:r>
      <w:r w:rsidR="009F6A68">
        <w:rPr>
          <w:rFonts w:ascii="Arial" w:hAnsi="Arial" w:cs="Arial"/>
          <w:i w:val="0"/>
          <w:sz w:val="22"/>
          <w:szCs w:val="22"/>
        </w:rPr>
        <w:t>, you make a creditable acquisition</w:t>
      </w:r>
      <w:r w:rsidRPr="00E11959">
        <w:rPr>
          <w:rFonts w:ascii="Arial" w:hAnsi="Arial" w:cs="Arial"/>
          <w:i w:val="0"/>
          <w:sz w:val="22"/>
          <w:szCs w:val="22"/>
        </w:rPr>
        <w:t xml:space="preserve"> before you know the total consideration, </w:t>
      </w:r>
      <w:r w:rsidR="009F6A68">
        <w:rPr>
          <w:rFonts w:ascii="Arial" w:hAnsi="Arial" w:cs="Arial"/>
          <w:i w:val="0"/>
          <w:sz w:val="22"/>
          <w:szCs w:val="22"/>
        </w:rPr>
        <w:t xml:space="preserve">and </w:t>
      </w:r>
      <w:r w:rsidRPr="00FC5C09">
        <w:rPr>
          <w:rFonts w:ascii="Arial" w:hAnsi="Arial" w:cs="Arial"/>
          <w:sz w:val="22"/>
          <w:szCs w:val="22"/>
        </w:rPr>
        <w:t>an invoice is issued</w:t>
      </w:r>
      <w:r w:rsidRPr="00E11959">
        <w:rPr>
          <w:rFonts w:ascii="Arial" w:hAnsi="Arial" w:cs="Arial"/>
          <w:i w:val="0"/>
          <w:sz w:val="22"/>
          <w:szCs w:val="22"/>
        </w:rPr>
        <w:t xml:space="preserve"> relating to </w:t>
      </w:r>
      <w:r w:rsidR="009F6A68">
        <w:rPr>
          <w:rFonts w:ascii="Arial" w:hAnsi="Arial" w:cs="Arial"/>
          <w:i w:val="0"/>
          <w:sz w:val="22"/>
          <w:szCs w:val="22"/>
        </w:rPr>
        <w:t>the</w:t>
      </w:r>
      <w:r w:rsidRPr="00E11959">
        <w:rPr>
          <w:rFonts w:ascii="Arial" w:hAnsi="Arial" w:cs="Arial"/>
          <w:i w:val="0"/>
          <w:sz w:val="22"/>
          <w:szCs w:val="22"/>
        </w:rPr>
        <w:t xml:space="preserve"> creditable acquisition which states an amount of consideration and you:</w:t>
      </w:r>
    </w:p>
    <w:p w:rsidR="00E11959" w:rsidRPr="00E11959" w:rsidRDefault="00E11959" w:rsidP="007F6217">
      <w:pPr>
        <w:pStyle w:val="BodyText"/>
        <w:numPr>
          <w:ilvl w:val="0"/>
          <w:numId w:val="26"/>
        </w:numPr>
        <w:shd w:val="clear" w:color="auto" w:fill="FFFFFF"/>
        <w:tabs>
          <w:tab w:val="left" w:pos="8363"/>
        </w:tabs>
        <w:spacing w:before="160" w:after="120"/>
        <w:ind w:left="1276" w:right="-1"/>
        <w:rPr>
          <w:rFonts w:ascii="Arial" w:hAnsi="Arial" w:cs="Arial"/>
          <w:i w:val="0"/>
          <w:sz w:val="22"/>
          <w:szCs w:val="22"/>
        </w:rPr>
      </w:pPr>
      <w:r w:rsidRPr="00FC5C09">
        <w:rPr>
          <w:rFonts w:ascii="Arial" w:hAnsi="Arial" w:cs="Arial"/>
          <w:sz w:val="22"/>
          <w:szCs w:val="22"/>
        </w:rPr>
        <w:t>do not provide any of the consideration for the acquisition in that tax period</w:t>
      </w:r>
      <w:r w:rsidRPr="00E11959">
        <w:rPr>
          <w:rFonts w:ascii="Arial" w:hAnsi="Arial" w:cs="Arial"/>
          <w:i w:val="0"/>
          <w:sz w:val="22"/>
          <w:szCs w:val="22"/>
        </w:rPr>
        <w:t xml:space="preserve"> </w:t>
      </w:r>
      <w:r w:rsidR="00FC5C09">
        <w:rPr>
          <w:rFonts w:ascii="Arial" w:hAnsi="Arial" w:cs="Arial"/>
          <w:i w:val="0"/>
          <w:sz w:val="22"/>
          <w:szCs w:val="22"/>
        </w:rPr>
        <w:t>–</w:t>
      </w:r>
      <w:r w:rsidRPr="00E11959">
        <w:rPr>
          <w:rFonts w:ascii="Arial" w:hAnsi="Arial" w:cs="Arial"/>
          <w:i w:val="0"/>
          <w:sz w:val="22"/>
          <w:szCs w:val="22"/>
        </w:rPr>
        <w:t xml:space="preserve"> the input tax credit for the acquisition is attributable to that tax period but only to the extent of the amount of the consideration stated on the invoice</w:t>
      </w:r>
      <w:r w:rsidR="000B7828">
        <w:rPr>
          <w:rFonts w:ascii="Arial" w:hAnsi="Arial" w:cs="Arial"/>
          <w:i w:val="0"/>
          <w:sz w:val="22"/>
          <w:szCs w:val="22"/>
        </w:rPr>
        <w:t>,</w:t>
      </w:r>
      <w:r w:rsidRPr="00E11959">
        <w:rPr>
          <w:rFonts w:ascii="Arial" w:hAnsi="Arial" w:cs="Arial"/>
          <w:i w:val="0"/>
          <w:sz w:val="22"/>
          <w:szCs w:val="22"/>
        </w:rPr>
        <w:t xml:space="preserve"> or</w:t>
      </w:r>
    </w:p>
    <w:p w:rsidR="00E11959" w:rsidRPr="00E11959" w:rsidRDefault="00E11959" w:rsidP="007F6217">
      <w:pPr>
        <w:pStyle w:val="BodyText"/>
        <w:numPr>
          <w:ilvl w:val="0"/>
          <w:numId w:val="26"/>
        </w:numPr>
        <w:shd w:val="clear" w:color="auto" w:fill="FFFFFF"/>
        <w:tabs>
          <w:tab w:val="left" w:pos="8363"/>
        </w:tabs>
        <w:spacing w:before="160" w:after="120"/>
        <w:ind w:left="1276" w:right="-1"/>
        <w:rPr>
          <w:rFonts w:ascii="Arial" w:hAnsi="Arial" w:cs="Arial"/>
          <w:i w:val="0"/>
          <w:sz w:val="22"/>
          <w:szCs w:val="22"/>
        </w:rPr>
      </w:pPr>
      <w:r w:rsidRPr="00FC5C09">
        <w:rPr>
          <w:rFonts w:ascii="Arial" w:hAnsi="Arial" w:cs="Arial"/>
          <w:sz w:val="22"/>
          <w:szCs w:val="22"/>
        </w:rPr>
        <w:t>provide any of the consideration for the acquisition in that tax period</w:t>
      </w:r>
      <w:r w:rsidRPr="00E11959">
        <w:rPr>
          <w:rFonts w:ascii="Arial" w:hAnsi="Arial" w:cs="Arial"/>
          <w:i w:val="0"/>
          <w:sz w:val="22"/>
          <w:szCs w:val="22"/>
        </w:rPr>
        <w:t xml:space="preserve"> </w:t>
      </w:r>
      <w:r w:rsidR="00FC5C09">
        <w:rPr>
          <w:rFonts w:ascii="Arial" w:hAnsi="Arial" w:cs="Arial"/>
          <w:i w:val="0"/>
          <w:sz w:val="22"/>
          <w:szCs w:val="22"/>
        </w:rPr>
        <w:t>–</w:t>
      </w:r>
      <w:r w:rsidRPr="00E11959">
        <w:rPr>
          <w:rFonts w:ascii="Arial" w:hAnsi="Arial" w:cs="Arial"/>
          <w:i w:val="0"/>
          <w:sz w:val="22"/>
          <w:szCs w:val="22"/>
        </w:rPr>
        <w:t xml:space="preserve"> the input tax credit for the creditable acquisition is attributable to that tax period but only to the extent:</w:t>
      </w:r>
    </w:p>
    <w:p w:rsidR="00E11959" w:rsidRPr="00E11959" w:rsidRDefault="00E11959" w:rsidP="007F6217">
      <w:pPr>
        <w:pStyle w:val="BodyText"/>
        <w:numPr>
          <w:ilvl w:val="0"/>
          <w:numId w:val="27"/>
        </w:numPr>
        <w:shd w:val="clear" w:color="auto" w:fill="FFFFFF"/>
        <w:tabs>
          <w:tab w:val="left" w:pos="2268"/>
          <w:tab w:val="left" w:pos="8363"/>
        </w:tabs>
        <w:spacing w:before="160" w:after="120"/>
        <w:ind w:left="2268" w:right="-1"/>
        <w:rPr>
          <w:rFonts w:ascii="Arial" w:hAnsi="Arial" w:cs="Arial"/>
          <w:i w:val="0"/>
          <w:sz w:val="22"/>
          <w:szCs w:val="22"/>
        </w:rPr>
      </w:pPr>
      <w:r w:rsidRPr="00E11959">
        <w:rPr>
          <w:rFonts w:ascii="Arial" w:hAnsi="Arial" w:cs="Arial"/>
          <w:i w:val="0"/>
          <w:sz w:val="22"/>
          <w:szCs w:val="22"/>
        </w:rPr>
        <w:t>where the consideration provided by you is less than or equal to the amount of the consideration stated in the invoice - the amount of the consideration stated in the invoice</w:t>
      </w:r>
      <w:r w:rsidR="000B7828">
        <w:rPr>
          <w:rFonts w:ascii="Arial" w:hAnsi="Arial" w:cs="Arial"/>
          <w:i w:val="0"/>
          <w:sz w:val="22"/>
          <w:szCs w:val="22"/>
        </w:rPr>
        <w:t>,</w:t>
      </w:r>
      <w:r w:rsidRPr="00E11959">
        <w:rPr>
          <w:rFonts w:ascii="Arial" w:hAnsi="Arial" w:cs="Arial"/>
          <w:i w:val="0"/>
          <w:sz w:val="22"/>
          <w:szCs w:val="22"/>
        </w:rPr>
        <w:t xml:space="preserve"> or</w:t>
      </w:r>
    </w:p>
    <w:p w:rsidR="00AC4E18" w:rsidRDefault="00E11959" w:rsidP="007F6217">
      <w:pPr>
        <w:pStyle w:val="BodyText"/>
        <w:numPr>
          <w:ilvl w:val="0"/>
          <w:numId w:val="27"/>
        </w:numPr>
        <w:shd w:val="clear" w:color="auto" w:fill="FFFFFF"/>
        <w:tabs>
          <w:tab w:val="left" w:pos="2268"/>
          <w:tab w:val="left" w:pos="8363"/>
        </w:tabs>
        <w:spacing w:before="160" w:after="120"/>
        <w:ind w:left="2268" w:right="-1"/>
        <w:rPr>
          <w:rFonts w:ascii="Arial" w:hAnsi="Arial" w:cs="Arial"/>
          <w:i w:val="0"/>
          <w:sz w:val="22"/>
          <w:szCs w:val="22"/>
        </w:rPr>
      </w:pPr>
      <w:r w:rsidRPr="00E11959">
        <w:rPr>
          <w:rFonts w:ascii="Arial" w:hAnsi="Arial" w:cs="Arial"/>
          <w:i w:val="0"/>
          <w:sz w:val="22"/>
          <w:szCs w:val="22"/>
        </w:rPr>
        <w:t>where the consideration provided by you is more than the amount stated in the invoice - the amount of the consideration provided.</w:t>
      </w:r>
    </w:p>
    <w:p w:rsidR="00FC5C09" w:rsidRPr="00FC5C09" w:rsidRDefault="00FC5C09" w:rsidP="007F6217">
      <w:pPr>
        <w:pStyle w:val="BodyText"/>
        <w:numPr>
          <w:ilvl w:val="0"/>
          <w:numId w:val="36"/>
        </w:numPr>
        <w:shd w:val="clear" w:color="auto" w:fill="FFFFFF"/>
        <w:tabs>
          <w:tab w:val="left" w:pos="8363"/>
        </w:tabs>
        <w:spacing w:before="160" w:after="120"/>
        <w:ind w:left="714" w:hanging="357"/>
        <w:rPr>
          <w:rFonts w:ascii="Arial" w:hAnsi="Arial" w:cs="Arial"/>
          <w:i w:val="0"/>
          <w:sz w:val="22"/>
          <w:szCs w:val="22"/>
        </w:rPr>
      </w:pPr>
      <w:r w:rsidRPr="00FC5C09">
        <w:rPr>
          <w:rFonts w:ascii="Arial" w:hAnsi="Arial" w:cs="Arial"/>
          <w:i w:val="0"/>
          <w:sz w:val="22"/>
          <w:szCs w:val="22"/>
        </w:rPr>
        <w:t>Where, in a tax period</w:t>
      </w:r>
      <w:r w:rsidR="00531EA3">
        <w:rPr>
          <w:rFonts w:ascii="Arial" w:hAnsi="Arial" w:cs="Arial"/>
          <w:i w:val="0"/>
          <w:sz w:val="22"/>
          <w:szCs w:val="22"/>
        </w:rPr>
        <w:t>, you make a creditable acquisition</w:t>
      </w:r>
      <w:r w:rsidRPr="00FC5C09">
        <w:rPr>
          <w:rFonts w:ascii="Arial" w:hAnsi="Arial" w:cs="Arial"/>
          <w:i w:val="0"/>
          <w:sz w:val="22"/>
          <w:szCs w:val="22"/>
        </w:rPr>
        <w:t xml:space="preserve"> before you know the total consideration, </w:t>
      </w:r>
      <w:r w:rsidR="00177EA3">
        <w:rPr>
          <w:rFonts w:ascii="Arial" w:hAnsi="Arial" w:cs="Arial"/>
          <w:i w:val="0"/>
          <w:sz w:val="22"/>
          <w:szCs w:val="22"/>
        </w:rPr>
        <w:t xml:space="preserve">and </w:t>
      </w:r>
      <w:r w:rsidRPr="00FC5C09">
        <w:rPr>
          <w:rFonts w:ascii="Arial" w:hAnsi="Arial" w:cs="Arial"/>
          <w:sz w:val="22"/>
          <w:szCs w:val="22"/>
        </w:rPr>
        <w:t>an invoice is not issued</w:t>
      </w:r>
      <w:r w:rsidRPr="00FC5C09">
        <w:rPr>
          <w:rFonts w:ascii="Arial" w:hAnsi="Arial" w:cs="Arial"/>
          <w:i w:val="0"/>
          <w:sz w:val="22"/>
          <w:szCs w:val="22"/>
        </w:rPr>
        <w:t xml:space="preserve"> relating to a creditable acquisition and you:</w:t>
      </w:r>
    </w:p>
    <w:p w:rsidR="00FC5C09" w:rsidRPr="00FC5C09" w:rsidRDefault="00FC5C09" w:rsidP="007F6217">
      <w:pPr>
        <w:pStyle w:val="BodyText"/>
        <w:numPr>
          <w:ilvl w:val="0"/>
          <w:numId w:val="29"/>
        </w:numPr>
        <w:shd w:val="clear" w:color="auto" w:fill="FFFFFF"/>
        <w:tabs>
          <w:tab w:val="left" w:pos="8363"/>
        </w:tabs>
        <w:spacing w:before="160" w:after="120"/>
        <w:ind w:left="1276" w:right="-1"/>
        <w:rPr>
          <w:rFonts w:ascii="Arial" w:hAnsi="Arial" w:cs="Arial"/>
          <w:i w:val="0"/>
          <w:sz w:val="22"/>
          <w:szCs w:val="22"/>
        </w:rPr>
      </w:pPr>
      <w:r w:rsidRPr="00FC5C09">
        <w:rPr>
          <w:rFonts w:ascii="Arial" w:hAnsi="Arial" w:cs="Arial"/>
          <w:sz w:val="22"/>
          <w:szCs w:val="22"/>
        </w:rPr>
        <w:t>provide any of the consideration for the acquisition in that tax period</w:t>
      </w:r>
      <w:r w:rsidRPr="00FC5C09">
        <w:rPr>
          <w:rFonts w:ascii="Arial" w:hAnsi="Arial" w:cs="Arial"/>
          <w:i w:val="0"/>
          <w:sz w:val="22"/>
          <w:szCs w:val="22"/>
        </w:rPr>
        <w:t xml:space="preserve"> </w:t>
      </w:r>
      <w:r>
        <w:rPr>
          <w:rFonts w:ascii="Arial" w:hAnsi="Arial" w:cs="Arial"/>
          <w:i w:val="0"/>
          <w:sz w:val="22"/>
          <w:szCs w:val="22"/>
        </w:rPr>
        <w:t>–</w:t>
      </w:r>
      <w:r w:rsidRPr="00FC5C09">
        <w:rPr>
          <w:rFonts w:ascii="Arial" w:hAnsi="Arial" w:cs="Arial"/>
          <w:i w:val="0"/>
          <w:sz w:val="22"/>
          <w:szCs w:val="22"/>
        </w:rPr>
        <w:t xml:space="preserve"> the input tax credit for the creditable acquisition is attributable to that tax period but only to the extent of the consideration that you provided in that tax period</w:t>
      </w:r>
      <w:r w:rsidR="000B7828">
        <w:rPr>
          <w:rFonts w:ascii="Arial" w:hAnsi="Arial" w:cs="Arial"/>
          <w:i w:val="0"/>
          <w:sz w:val="22"/>
          <w:szCs w:val="22"/>
        </w:rPr>
        <w:t>,</w:t>
      </w:r>
      <w:r w:rsidRPr="00FC5C09">
        <w:rPr>
          <w:rFonts w:ascii="Arial" w:hAnsi="Arial" w:cs="Arial"/>
          <w:i w:val="0"/>
          <w:sz w:val="22"/>
          <w:szCs w:val="22"/>
        </w:rPr>
        <w:t xml:space="preserve"> or</w:t>
      </w:r>
    </w:p>
    <w:p w:rsidR="00AC4E18" w:rsidRDefault="00FC5C09" w:rsidP="007F6217">
      <w:pPr>
        <w:pStyle w:val="BodyText"/>
        <w:numPr>
          <w:ilvl w:val="0"/>
          <w:numId w:val="29"/>
        </w:numPr>
        <w:shd w:val="clear" w:color="auto" w:fill="FFFFFF"/>
        <w:tabs>
          <w:tab w:val="left" w:pos="8363"/>
        </w:tabs>
        <w:spacing w:before="160" w:after="120"/>
        <w:ind w:left="1276" w:right="-1"/>
        <w:rPr>
          <w:rFonts w:ascii="Arial" w:hAnsi="Arial" w:cs="Arial"/>
          <w:i w:val="0"/>
          <w:sz w:val="22"/>
          <w:szCs w:val="22"/>
        </w:rPr>
      </w:pPr>
      <w:r w:rsidRPr="00FC5C09">
        <w:rPr>
          <w:rFonts w:ascii="Arial" w:hAnsi="Arial" w:cs="Arial"/>
          <w:sz w:val="22"/>
          <w:szCs w:val="22"/>
        </w:rPr>
        <w:t>provide none of the consideration for the acquisition in that tax period</w:t>
      </w:r>
      <w:r w:rsidRPr="00FC5C09">
        <w:rPr>
          <w:rFonts w:ascii="Arial" w:hAnsi="Arial" w:cs="Arial"/>
          <w:i w:val="0"/>
          <w:sz w:val="22"/>
          <w:szCs w:val="22"/>
        </w:rPr>
        <w:t xml:space="preserve"> – none of the input tax credit for the acquisition is attributable to that tax period.</w:t>
      </w:r>
    </w:p>
    <w:p w:rsidR="001E7B37" w:rsidRPr="001E7B37" w:rsidRDefault="00531EA3" w:rsidP="007F6217">
      <w:pPr>
        <w:pStyle w:val="BodyText"/>
        <w:numPr>
          <w:ilvl w:val="0"/>
          <w:numId w:val="36"/>
        </w:numPr>
        <w:shd w:val="clear" w:color="auto" w:fill="FFFFFF"/>
        <w:tabs>
          <w:tab w:val="left" w:pos="8363"/>
        </w:tabs>
        <w:spacing w:before="160" w:after="120"/>
        <w:ind w:left="714" w:hanging="357"/>
        <w:rPr>
          <w:rFonts w:ascii="Arial" w:hAnsi="Arial" w:cs="Arial"/>
          <w:i w:val="0"/>
          <w:sz w:val="22"/>
          <w:szCs w:val="22"/>
        </w:rPr>
      </w:pPr>
      <w:r>
        <w:rPr>
          <w:rFonts w:ascii="Arial" w:hAnsi="Arial" w:cs="Arial"/>
          <w:i w:val="0"/>
          <w:sz w:val="22"/>
          <w:szCs w:val="22"/>
        </w:rPr>
        <w:t>In tax periods after the tax period in which you first attributed any GST on the taxable supply, attribute GST on any increase in consideration to the earlier of the tax period (or tax periods) in which you issue an invoice (or amended invoice) for the increase in consideration or receive any of the additional consideration.</w:t>
      </w:r>
    </w:p>
    <w:p w:rsidR="001E7B37" w:rsidRDefault="001E7B37" w:rsidP="007F6217">
      <w:pPr>
        <w:pStyle w:val="BodyText"/>
        <w:numPr>
          <w:ilvl w:val="0"/>
          <w:numId w:val="36"/>
        </w:numPr>
        <w:shd w:val="clear" w:color="auto" w:fill="FFFFFF"/>
        <w:tabs>
          <w:tab w:val="left" w:pos="8363"/>
        </w:tabs>
        <w:spacing w:before="160" w:after="120"/>
        <w:ind w:left="714" w:hanging="357"/>
        <w:rPr>
          <w:rFonts w:ascii="Arial" w:hAnsi="Arial" w:cs="Arial"/>
          <w:i w:val="0"/>
          <w:sz w:val="22"/>
          <w:szCs w:val="22"/>
        </w:rPr>
      </w:pPr>
      <w:r w:rsidRPr="001E7B37">
        <w:rPr>
          <w:rFonts w:ascii="Arial" w:hAnsi="Arial" w:cs="Arial"/>
          <w:i w:val="0"/>
          <w:sz w:val="22"/>
          <w:szCs w:val="22"/>
        </w:rPr>
        <w:t xml:space="preserve">However, the input tax credit to which you are entitled for a creditable acquisition is attributable to the tax period in which you first know the total amount of consideration for the creditable acquisition to the extent it has not been attributed to an earlier tax period. </w:t>
      </w:r>
    </w:p>
    <w:p w:rsidR="00A336C3" w:rsidRPr="001E7B37" w:rsidRDefault="00A336C3" w:rsidP="007F6217">
      <w:pPr>
        <w:pStyle w:val="BodyText"/>
        <w:numPr>
          <w:ilvl w:val="0"/>
          <w:numId w:val="36"/>
        </w:numPr>
        <w:shd w:val="clear" w:color="auto" w:fill="FFFFFF"/>
        <w:tabs>
          <w:tab w:val="left" w:pos="8363"/>
        </w:tabs>
        <w:spacing w:before="160" w:after="120"/>
        <w:ind w:left="714" w:hanging="357"/>
        <w:rPr>
          <w:rFonts w:ascii="Arial" w:hAnsi="Arial" w:cs="Arial"/>
          <w:i w:val="0"/>
          <w:sz w:val="22"/>
          <w:szCs w:val="22"/>
        </w:rPr>
      </w:pPr>
      <w:r w:rsidRPr="00A336C3">
        <w:rPr>
          <w:rFonts w:ascii="Arial" w:hAnsi="Arial" w:cs="Arial"/>
          <w:i w:val="0"/>
          <w:sz w:val="22"/>
          <w:szCs w:val="22"/>
        </w:rPr>
        <w:t>To avoid doubt, this Determination is not intended to override subsection 29-10(3) of the GST Act</w:t>
      </w:r>
    </w:p>
    <w:p w:rsidR="006C598F" w:rsidRPr="00E47EEA" w:rsidRDefault="006C598F" w:rsidP="007F6217">
      <w:pPr>
        <w:pStyle w:val="ListParagraph"/>
        <w:numPr>
          <w:ilvl w:val="0"/>
          <w:numId w:val="33"/>
        </w:numPr>
        <w:spacing w:before="160" w:after="120"/>
        <w:rPr>
          <w:rFonts w:ascii="Arial" w:hAnsi="Arial" w:cs="Arial"/>
          <w:b/>
        </w:rPr>
      </w:pPr>
      <w:r w:rsidRPr="00E47EEA">
        <w:rPr>
          <w:rFonts w:ascii="Arial" w:hAnsi="Arial" w:cs="Arial"/>
          <w:b/>
        </w:rPr>
        <w:t>Definitions</w:t>
      </w:r>
    </w:p>
    <w:p w:rsidR="00AD1790" w:rsidRPr="00E47EEA" w:rsidRDefault="00027E7E" w:rsidP="007F6217">
      <w:pPr>
        <w:spacing w:before="160" w:after="120"/>
        <w:ind w:left="426"/>
        <w:rPr>
          <w:rFonts w:ascii="Arial" w:hAnsi="Arial" w:cs="Arial"/>
          <w:sz w:val="22"/>
          <w:szCs w:val="22"/>
        </w:rPr>
      </w:pPr>
      <w:r>
        <w:rPr>
          <w:rFonts w:ascii="Arial" w:hAnsi="Arial" w:cs="Arial"/>
          <w:sz w:val="22"/>
          <w:szCs w:val="22"/>
        </w:rPr>
        <w:t>E</w:t>
      </w:r>
      <w:r w:rsidR="004D5404" w:rsidRPr="00E47EEA">
        <w:rPr>
          <w:rFonts w:ascii="Arial" w:hAnsi="Arial" w:cs="Arial"/>
          <w:sz w:val="22"/>
          <w:szCs w:val="22"/>
        </w:rPr>
        <w:t xml:space="preserve">xpressions in this </w:t>
      </w:r>
      <w:r w:rsidR="002551FF">
        <w:rPr>
          <w:rFonts w:ascii="Arial" w:hAnsi="Arial" w:cs="Arial"/>
          <w:sz w:val="22"/>
          <w:szCs w:val="22"/>
        </w:rPr>
        <w:t>d</w:t>
      </w:r>
      <w:r w:rsidR="002551FF" w:rsidRPr="00E47EEA">
        <w:rPr>
          <w:rFonts w:ascii="Arial" w:hAnsi="Arial" w:cs="Arial"/>
          <w:sz w:val="22"/>
          <w:szCs w:val="22"/>
        </w:rPr>
        <w:t xml:space="preserve">etermination </w:t>
      </w:r>
      <w:r w:rsidR="004D5404" w:rsidRPr="00E47EEA">
        <w:rPr>
          <w:rFonts w:ascii="Arial" w:hAnsi="Arial" w:cs="Arial"/>
          <w:sz w:val="22"/>
          <w:szCs w:val="22"/>
        </w:rPr>
        <w:t>have the same meaning as in the GST Act.</w:t>
      </w:r>
    </w:p>
    <w:p w:rsidR="004D5404" w:rsidRDefault="004D5404" w:rsidP="007F6217">
      <w:pPr>
        <w:spacing w:before="160" w:after="120"/>
        <w:rPr>
          <w:rFonts w:ascii="Arial" w:hAnsi="Arial" w:cs="Arial"/>
          <w:sz w:val="22"/>
          <w:szCs w:val="22"/>
        </w:rPr>
      </w:pPr>
    </w:p>
    <w:p w:rsidR="004D5404" w:rsidRPr="004D5404" w:rsidRDefault="004D5404" w:rsidP="007F6217">
      <w:pPr>
        <w:spacing w:before="160" w:after="120"/>
        <w:rPr>
          <w:rFonts w:ascii="Arial" w:hAnsi="Arial" w:cs="Arial"/>
          <w:sz w:val="22"/>
          <w:szCs w:val="22"/>
        </w:rPr>
      </w:pPr>
    </w:p>
    <w:sectPr w:rsidR="004D5404" w:rsidRPr="004D5404" w:rsidSect="00C22AC5">
      <w:headerReference w:type="first" r:id="rId14"/>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04" w:rsidRDefault="006D4B04">
      <w:r>
        <w:separator/>
      </w:r>
    </w:p>
  </w:endnote>
  <w:endnote w:type="continuationSeparator" w:id="0">
    <w:p w:rsidR="006D4B04" w:rsidRDefault="006D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04" w:rsidRDefault="006D4B04">
      <w:r>
        <w:separator/>
      </w:r>
    </w:p>
  </w:footnote>
  <w:footnote w:type="continuationSeparator" w:id="0">
    <w:p w:rsidR="006D4B04" w:rsidRDefault="006D4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B1" w:rsidRPr="00001B90" w:rsidRDefault="00001B90">
    <w:pPr>
      <w:pStyle w:val="Header"/>
      <w:rPr>
        <w:sz w:val="20"/>
        <w:szCs w:val="20"/>
      </w:rPr>
    </w:pPr>
    <w:r w:rsidRPr="00001B90">
      <w:rPr>
        <w:noProof/>
        <w:sz w:val="20"/>
        <w:szCs w:val="20"/>
      </w:rPr>
      <w:drawing>
        <wp:inline distT="0" distB="0" distL="0" distR="0" wp14:anchorId="70677E16" wp14:editId="70677E17">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CC0"/>
    <w:multiLevelType w:val="hybridMultilevel"/>
    <w:tmpl w:val="C39A6FA4"/>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3F02DB"/>
    <w:multiLevelType w:val="hybridMultilevel"/>
    <w:tmpl w:val="916ED24E"/>
    <w:lvl w:ilvl="0" w:tplc="82D6C5EE">
      <w:start w:val="1"/>
      <w:numFmt w:val="lowerRoman"/>
      <w:lvlText w:val="(%1)"/>
      <w:lvlJc w:val="righ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8F74B8"/>
    <w:multiLevelType w:val="hybridMultilevel"/>
    <w:tmpl w:val="EF6A6958"/>
    <w:lvl w:ilvl="0" w:tplc="1ED67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4">
    <w:nsid w:val="0E7D77E9"/>
    <w:multiLevelType w:val="hybridMultilevel"/>
    <w:tmpl w:val="0A1C3A8C"/>
    <w:lvl w:ilvl="0" w:tplc="0310ECBC">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nsid w:val="14CB75A0"/>
    <w:multiLevelType w:val="hybridMultilevel"/>
    <w:tmpl w:val="04D2288A"/>
    <w:lvl w:ilvl="0" w:tplc="82380528">
      <w:start w:val="1"/>
      <w:numFmt w:val="lowerLetter"/>
      <w:lvlText w:val="(%1)"/>
      <w:lvlJc w:val="left"/>
      <w:pPr>
        <w:ind w:left="1440" w:hanging="360"/>
      </w:pPr>
      <w:rPr>
        <w:rFonts w:ascii="Arial" w:eastAsia="Times New Roman" w:hAnsi="Arial" w:cs="Arial" w:hint="default"/>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9">
    <w:nsid w:val="20935DD0"/>
    <w:multiLevelType w:val="hybridMultilevel"/>
    <w:tmpl w:val="138C3F18"/>
    <w:lvl w:ilvl="0" w:tplc="E3D610B2">
      <w:start w:val="1"/>
      <w:numFmt w:val="decimal"/>
      <w:lvlText w:val="%1."/>
      <w:lvlJc w:val="left"/>
      <w:pPr>
        <w:ind w:left="360" w:hanging="360"/>
      </w:pPr>
      <w:rPr>
        <w:rFonts w:ascii="Arial" w:hAnsi="Arial" w:cs="Arial" w:hint="default"/>
        <w:b/>
        <w:sz w:val="24"/>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2AD7BB2"/>
    <w:multiLevelType w:val="hybridMultilevel"/>
    <w:tmpl w:val="54EE860C"/>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453401"/>
    <w:multiLevelType w:val="hybridMultilevel"/>
    <w:tmpl w:val="83BC278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454DC5"/>
    <w:multiLevelType w:val="hybridMultilevel"/>
    <w:tmpl w:val="021E959A"/>
    <w:lvl w:ilvl="0" w:tplc="4AAC349C">
      <w:start w:val="1"/>
      <w:numFmt w:val="decimal"/>
      <w:lvlText w:val="(%1)"/>
      <w:lvlJc w:val="left"/>
      <w:pPr>
        <w:ind w:left="786" w:hanging="360"/>
      </w:pPr>
      <w:rPr>
        <w:rFonts w:hint="default"/>
      </w:rPr>
    </w:lvl>
    <w:lvl w:ilvl="1" w:tplc="0198A04A">
      <w:start w:val="1"/>
      <w:numFmt w:val="lowerLetter"/>
      <w:lvlText w:val="(%2)"/>
      <w:lvlJc w:val="left"/>
      <w:pPr>
        <w:ind w:left="1080" w:hanging="360"/>
      </w:pPr>
      <w:rPr>
        <w:rFonts w:ascii="Arial" w:eastAsia="Times New Roman" w:hAnsi="Arial" w:cs="Arial"/>
      </w:rPr>
    </w:lvl>
    <w:lvl w:ilvl="2" w:tplc="82D6C5EE">
      <w:start w:val="1"/>
      <w:numFmt w:val="lowerRoman"/>
      <w:lvlText w:val="(%3)"/>
      <w:lvlJc w:val="right"/>
      <w:pPr>
        <w:ind w:left="1800" w:hanging="180"/>
      </w:pPr>
      <w:rPr>
        <w:rFonts w:ascii="Arial" w:eastAsia="Times New Roman" w:hAnsi="Arial" w:cs="Arial"/>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0E57A14"/>
    <w:multiLevelType w:val="hybridMultilevel"/>
    <w:tmpl w:val="6E4E1D90"/>
    <w:lvl w:ilvl="0" w:tplc="0310ECB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7BF482F"/>
    <w:multiLevelType w:val="hybridMultilevel"/>
    <w:tmpl w:val="D2604078"/>
    <w:lvl w:ilvl="0" w:tplc="82D6C5EE">
      <w:start w:val="1"/>
      <w:numFmt w:val="lowerRoman"/>
      <w:lvlText w:val="(%1)"/>
      <w:lvlJc w:val="righ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975CA0"/>
    <w:multiLevelType w:val="hybridMultilevel"/>
    <w:tmpl w:val="4936F38A"/>
    <w:lvl w:ilvl="0" w:tplc="4AAC34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09725EF"/>
    <w:multiLevelType w:val="hybridMultilevel"/>
    <w:tmpl w:val="FFE23AE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52C5A91"/>
    <w:multiLevelType w:val="hybridMultilevel"/>
    <w:tmpl w:val="5FF240D0"/>
    <w:lvl w:ilvl="0" w:tplc="E05A6A46">
      <w:start w:val="1"/>
      <w:numFmt w:val="lowerLetter"/>
      <w:lvlText w:val="(%1)"/>
      <w:lvlJc w:val="left"/>
      <w:pPr>
        <w:ind w:left="1494"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69B7B99"/>
    <w:multiLevelType w:val="hybridMultilevel"/>
    <w:tmpl w:val="411AF40E"/>
    <w:lvl w:ilvl="0" w:tplc="F90032CC">
      <w:start w:val="1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A530ABB"/>
    <w:multiLevelType w:val="hybridMultilevel"/>
    <w:tmpl w:val="290067A0"/>
    <w:lvl w:ilvl="0" w:tplc="82AA4B82">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56F447D"/>
    <w:multiLevelType w:val="hybridMultilevel"/>
    <w:tmpl w:val="202ED1E2"/>
    <w:lvl w:ilvl="0" w:tplc="720A5FD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56997885"/>
    <w:multiLevelType w:val="hybridMultilevel"/>
    <w:tmpl w:val="88B4DC42"/>
    <w:lvl w:ilvl="0" w:tplc="4AAC349C">
      <w:start w:val="1"/>
      <w:numFmt w:val="decimal"/>
      <w:lvlText w:val="(%1)"/>
      <w:lvlJc w:val="left"/>
      <w:pPr>
        <w:ind w:left="786" w:hanging="360"/>
      </w:pPr>
      <w:rPr>
        <w:rFonts w:hint="default"/>
      </w:rPr>
    </w:lvl>
    <w:lvl w:ilvl="1" w:tplc="0198A04A">
      <w:start w:val="1"/>
      <w:numFmt w:val="lowerLetter"/>
      <w:lvlText w:val="(%2)"/>
      <w:lvlJc w:val="left"/>
      <w:pPr>
        <w:ind w:left="1506" w:hanging="360"/>
      </w:pPr>
      <w:rPr>
        <w:rFonts w:ascii="Arial" w:eastAsia="Times New Roman" w:hAnsi="Arial" w:cs="Arial"/>
      </w:rPr>
    </w:lvl>
    <w:lvl w:ilvl="2" w:tplc="82D6C5EE">
      <w:start w:val="1"/>
      <w:numFmt w:val="lowerRoman"/>
      <w:lvlText w:val="(%3)"/>
      <w:lvlJc w:val="right"/>
      <w:pPr>
        <w:ind w:left="2226" w:hanging="180"/>
      </w:pPr>
      <w:rPr>
        <w:rFonts w:ascii="Arial" w:eastAsia="Times New Roman" w:hAnsi="Arial" w:cs="Arial"/>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nsid w:val="5A815A05"/>
    <w:multiLevelType w:val="hybridMultilevel"/>
    <w:tmpl w:val="8C0E6088"/>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AE84F2B"/>
    <w:multiLevelType w:val="hybridMultilevel"/>
    <w:tmpl w:val="C756B9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93F579A"/>
    <w:multiLevelType w:val="hybridMultilevel"/>
    <w:tmpl w:val="983A909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B6B35A8"/>
    <w:multiLevelType w:val="hybridMultilevel"/>
    <w:tmpl w:val="5C86DA50"/>
    <w:lvl w:ilvl="0" w:tplc="82380528">
      <w:start w:val="1"/>
      <w:numFmt w:val="lowerLetter"/>
      <w:lvlText w:val="(%1)"/>
      <w:lvlJc w:val="left"/>
      <w:pPr>
        <w:ind w:left="1440" w:hanging="360"/>
      </w:pPr>
      <w:rPr>
        <w:rFonts w:ascii="Arial" w:eastAsia="Times New Roman" w:hAnsi="Arial" w:cs="Arial" w:hint="default"/>
        <w:sz w:val="22"/>
        <w:szCs w:val="22"/>
      </w:rPr>
    </w:lvl>
    <w:lvl w:ilvl="1" w:tplc="02D4FC1A">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6F4F68C7"/>
    <w:multiLevelType w:val="hybridMultilevel"/>
    <w:tmpl w:val="6E4E1D90"/>
    <w:lvl w:ilvl="0" w:tplc="0310ECB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6F927E84"/>
    <w:multiLevelType w:val="hybridMultilevel"/>
    <w:tmpl w:val="912011A4"/>
    <w:lvl w:ilvl="0" w:tplc="4AAC349C">
      <w:start w:val="1"/>
      <w:numFmt w:val="decimal"/>
      <w:lvlText w:val="(%1)"/>
      <w:lvlJc w:val="left"/>
      <w:pPr>
        <w:ind w:left="360" w:hanging="360"/>
      </w:pPr>
      <w:rPr>
        <w:rFonts w:hint="default"/>
      </w:rPr>
    </w:lvl>
    <w:lvl w:ilvl="1" w:tplc="0198A04A">
      <w:start w:val="1"/>
      <w:numFmt w:val="lowerLetter"/>
      <w:lvlText w:val="(%2)"/>
      <w:lvlJc w:val="left"/>
      <w:pPr>
        <w:ind w:left="1080" w:hanging="360"/>
      </w:pPr>
      <w:rPr>
        <w:rFonts w:ascii="Arial" w:eastAsia="Times New Roman" w:hAnsi="Arial" w:cs="Arial"/>
      </w:rPr>
    </w:lvl>
    <w:lvl w:ilvl="2" w:tplc="82D6C5EE">
      <w:start w:val="1"/>
      <w:numFmt w:val="lowerRoman"/>
      <w:lvlText w:val="(%3)"/>
      <w:lvlJc w:val="right"/>
      <w:pPr>
        <w:ind w:left="1800" w:hanging="180"/>
      </w:pPr>
      <w:rPr>
        <w:rFonts w:ascii="Arial" w:eastAsia="Times New Roman" w:hAnsi="Arial" w:cs="Arial"/>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58836DC"/>
    <w:multiLevelType w:val="singleLevel"/>
    <w:tmpl w:val="8530EDC4"/>
    <w:lvl w:ilvl="0">
      <w:start w:val="2"/>
      <w:numFmt w:val="lowerLetter"/>
      <w:lvlText w:val="(%1)"/>
      <w:lvlJc w:val="left"/>
      <w:pPr>
        <w:tabs>
          <w:tab w:val="num" w:pos="2153"/>
        </w:tabs>
        <w:ind w:left="2153" w:hanging="735"/>
      </w:pPr>
      <w:rPr>
        <w:rFonts w:hint="default"/>
      </w:rPr>
    </w:lvl>
  </w:abstractNum>
  <w:abstractNum w:abstractNumId="30">
    <w:nsid w:val="760575D9"/>
    <w:multiLevelType w:val="singleLevel"/>
    <w:tmpl w:val="B2700426"/>
    <w:lvl w:ilvl="0">
      <w:start w:val="2"/>
      <w:numFmt w:val="lowerLetter"/>
      <w:lvlText w:val="(%1)"/>
      <w:lvlJc w:val="left"/>
      <w:pPr>
        <w:tabs>
          <w:tab w:val="num" w:pos="2126"/>
        </w:tabs>
        <w:ind w:left="2126" w:hanging="720"/>
      </w:pPr>
      <w:rPr>
        <w:rFonts w:hint="default"/>
      </w:rPr>
    </w:lvl>
  </w:abstractNum>
  <w:abstractNum w:abstractNumId="31">
    <w:nsid w:val="77932293"/>
    <w:multiLevelType w:val="hybridMultilevel"/>
    <w:tmpl w:val="375E6B60"/>
    <w:lvl w:ilvl="0" w:tplc="0310EC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80F1FB1"/>
    <w:multiLevelType w:val="hybridMultilevel"/>
    <w:tmpl w:val="13202418"/>
    <w:lvl w:ilvl="0" w:tplc="EB9AF3DA">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9BB5040"/>
    <w:multiLevelType w:val="singleLevel"/>
    <w:tmpl w:val="EB9AF3DA"/>
    <w:lvl w:ilvl="0">
      <w:start w:val="2"/>
      <w:numFmt w:val="lowerLetter"/>
      <w:lvlText w:val="(%1)"/>
      <w:lvlJc w:val="left"/>
      <w:pPr>
        <w:tabs>
          <w:tab w:val="num" w:pos="2153"/>
        </w:tabs>
        <w:ind w:left="2153" w:hanging="735"/>
      </w:pPr>
      <w:rPr>
        <w:rFonts w:hint="default"/>
      </w:rPr>
    </w:lvl>
  </w:abstractNum>
  <w:abstractNum w:abstractNumId="34">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7B9C7345"/>
    <w:multiLevelType w:val="singleLevel"/>
    <w:tmpl w:val="02D4FC1A"/>
    <w:lvl w:ilvl="0">
      <w:start w:val="1"/>
      <w:numFmt w:val="lowerRoman"/>
      <w:lvlText w:val="(%1)"/>
      <w:lvlJc w:val="left"/>
      <w:pPr>
        <w:tabs>
          <w:tab w:val="num" w:pos="720"/>
        </w:tabs>
        <w:ind w:left="720" w:hanging="720"/>
      </w:pPr>
      <w:rPr>
        <w:rFonts w:hint="default"/>
      </w:rPr>
    </w:lvl>
  </w:abstractNum>
  <w:num w:numId="1">
    <w:abstractNumId w:val="3"/>
  </w:num>
  <w:num w:numId="2">
    <w:abstractNumId w:val="19"/>
  </w:num>
  <w:num w:numId="3">
    <w:abstractNumId w:val="34"/>
  </w:num>
  <w:num w:numId="4">
    <w:abstractNumId w:val="7"/>
  </w:num>
  <w:num w:numId="5">
    <w:abstractNumId w:val="8"/>
  </w:num>
  <w:num w:numId="6">
    <w:abstractNumId w:val="6"/>
  </w:num>
  <w:num w:numId="7">
    <w:abstractNumId w:val="12"/>
  </w:num>
  <w:num w:numId="8">
    <w:abstractNumId w:val="33"/>
  </w:num>
  <w:num w:numId="9">
    <w:abstractNumId w:val="29"/>
  </w:num>
  <w:num w:numId="10">
    <w:abstractNumId w:val="35"/>
  </w:num>
  <w:num w:numId="11">
    <w:abstractNumId w:val="30"/>
  </w:num>
  <w:num w:numId="12">
    <w:abstractNumId w:val="27"/>
  </w:num>
  <w:num w:numId="13">
    <w:abstractNumId w:val="13"/>
  </w:num>
  <w:num w:numId="14">
    <w:abstractNumId w:val="32"/>
  </w:num>
  <w:num w:numId="15">
    <w:abstractNumId w:val="11"/>
  </w:num>
  <w:num w:numId="16">
    <w:abstractNumId w:val="17"/>
  </w:num>
  <w:num w:numId="17">
    <w:abstractNumId w:val="5"/>
  </w:num>
  <w:num w:numId="18">
    <w:abstractNumId w:val="26"/>
  </w:num>
  <w:num w:numId="19">
    <w:abstractNumId w:val="21"/>
  </w:num>
  <w:num w:numId="20">
    <w:abstractNumId w:val="4"/>
  </w:num>
  <w:num w:numId="21">
    <w:abstractNumId w:val="10"/>
  </w:num>
  <w:num w:numId="22">
    <w:abstractNumId w:val="31"/>
  </w:num>
  <w:num w:numId="23">
    <w:abstractNumId w:val="14"/>
  </w:num>
  <w:num w:numId="24">
    <w:abstractNumId w:val="23"/>
  </w:num>
  <w:num w:numId="25">
    <w:abstractNumId w:val="24"/>
  </w:num>
  <w:num w:numId="26">
    <w:abstractNumId w:val="0"/>
  </w:num>
  <w:num w:numId="27">
    <w:abstractNumId w:val="1"/>
  </w:num>
  <w:num w:numId="28">
    <w:abstractNumId w:val="25"/>
  </w:num>
  <w:num w:numId="29">
    <w:abstractNumId w:val="2"/>
  </w:num>
  <w:num w:numId="30">
    <w:abstractNumId w:val="16"/>
  </w:num>
  <w:num w:numId="31">
    <w:abstractNumId w:val="20"/>
  </w:num>
  <w:num w:numId="32">
    <w:abstractNumId w:val="18"/>
  </w:num>
  <w:num w:numId="33">
    <w:abstractNumId w:val="9"/>
  </w:num>
  <w:num w:numId="34">
    <w:abstractNumId w:val="15"/>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4C9"/>
    <w:rsid w:val="00013AD9"/>
    <w:rsid w:val="000171F2"/>
    <w:rsid w:val="00017CD7"/>
    <w:rsid w:val="00022C8A"/>
    <w:rsid w:val="00022FA9"/>
    <w:rsid w:val="00026BC1"/>
    <w:rsid w:val="00027E7E"/>
    <w:rsid w:val="0003261F"/>
    <w:rsid w:val="00034883"/>
    <w:rsid w:val="00035397"/>
    <w:rsid w:val="00036877"/>
    <w:rsid w:val="00036F54"/>
    <w:rsid w:val="000416CA"/>
    <w:rsid w:val="00044893"/>
    <w:rsid w:val="00045F14"/>
    <w:rsid w:val="00053761"/>
    <w:rsid w:val="00053842"/>
    <w:rsid w:val="00061054"/>
    <w:rsid w:val="0006112D"/>
    <w:rsid w:val="00061910"/>
    <w:rsid w:val="00072E3D"/>
    <w:rsid w:val="000745A8"/>
    <w:rsid w:val="0007527F"/>
    <w:rsid w:val="000761BD"/>
    <w:rsid w:val="00082A4A"/>
    <w:rsid w:val="0008372E"/>
    <w:rsid w:val="00083FAC"/>
    <w:rsid w:val="00087C21"/>
    <w:rsid w:val="00090B7A"/>
    <w:rsid w:val="0009111F"/>
    <w:rsid w:val="00096865"/>
    <w:rsid w:val="000A0909"/>
    <w:rsid w:val="000A0B93"/>
    <w:rsid w:val="000A1078"/>
    <w:rsid w:val="000A3297"/>
    <w:rsid w:val="000A6CE4"/>
    <w:rsid w:val="000A70C6"/>
    <w:rsid w:val="000B2C32"/>
    <w:rsid w:val="000B2DD7"/>
    <w:rsid w:val="000B4CE5"/>
    <w:rsid w:val="000B5D19"/>
    <w:rsid w:val="000B7828"/>
    <w:rsid w:val="000D13BC"/>
    <w:rsid w:val="000D3CC6"/>
    <w:rsid w:val="000D3FED"/>
    <w:rsid w:val="000D40A4"/>
    <w:rsid w:val="000D6A3C"/>
    <w:rsid w:val="000D6E5B"/>
    <w:rsid w:val="000E0270"/>
    <w:rsid w:val="000E2EB8"/>
    <w:rsid w:val="000F3E93"/>
    <w:rsid w:val="000F52DE"/>
    <w:rsid w:val="001051FA"/>
    <w:rsid w:val="00106686"/>
    <w:rsid w:val="00110ACA"/>
    <w:rsid w:val="00110E46"/>
    <w:rsid w:val="00110F37"/>
    <w:rsid w:val="00114408"/>
    <w:rsid w:val="00116B15"/>
    <w:rsid w:val="001243A8"/>
    <w:rsid w:val="00126EED"/>
    <w:rsid w:val="00131447"/>
    <w:rsid w:val="00134D4D"/>
    <w:rsid w:val="001361C6"/>
    <w:rsid w:val="00146217"/>
    <w:rsid w:val="00150830"/>
    <w:rsid w:val="00154159"/>
    <w:rsid w:val="00155E7A"/>
    <w:rsid w:val="00156D4B"/>
    <w:rsid w:val="001605B9"/>
    <w:rsid w:val="00162D90"/>
    <w:rsid w:val="00163373"/>
    <w:rsid w:val="00165CC9"/>
    <w:rsid w:val="00165DC1"/>
    <w:rsid w:val="0017078D"/>
    <w:rsid w:val="00172075"/>
    <w:rsid w:val="00173050"/>
    <w:rsid w:val="00175FFF"/>
    <w:rsid w:val="00176815"/>
    <w:rsid w:val="00177EA3"/>
    <w:rsid w:val="00181212"/>
    <w:rsid w:val="00182FE3"/>
    <w:rsid w:val="00184795"/>
    <w:rsid w:val="0018569E"/>
    <w:rsid w:val="00187C71"/>
    <w:rsid w:val="0019422C"/>
    <w:rsid w:val="001958EE"/>
    <w:rsid w:val="00197136"/>
    <w:rsid w:val="00197B2A"/>
    <w:rsid w:val="001A09BD"/>
    <w:rsid w:val="001A271F"/>
    <w:rsid w:val="001A34E7"/>
    <w:rsid w:val="001A5431"/>
    <w:rsid w:val="001A67BD"/>
    <w:rsid w:val="001B0FC5"/>
    <w:rsid w:val="001B1C8D"/>
    <w:rsid w:val="001C0007"/>
    <w:rsid w:val="001C6316"/>
    <w:rsid w:val="001C6C9F"/>
    <w:rsid w:val="001C7B01"/>
    <w:rsid w:val="001D0C43"/>
    <w:rsid w:val="001D1628"/>
    <w:rsid w:val="001D4C15"/>
    <w:rsid w:val="001E32EA"/>
    <w:rsid w:val="001E4F85"/>
    <w:rsid w:val="001E5A7D"/>
    <w:rsid w:val="001E7B37"/>
    <w:rsid w:val="001F17E9"/>
    <w:rsid w:val="001F30CF"/>
    <w:rsid w:val="001F3755"/>
    <w:rsid w:val="001F4720"/>
    <w:rsid w:val="0020042E"/>
    <w:rsid w:val="00200593"/>
    <w:rsid w:val="00200CD4"/>
    <w:rsid w:val="002025B9"/>
    <w:rsid w:val="00203F0E"/>
    <w:rsid w:val="00204EFB"/>
    <w:rsid w:val="002112A9"/>
    <w:rsid w:val="0021318A"/>
    <w:rsid w:val="00215A42"/>
    <w:rsid w:val="00216C38"/>
    <w:rsid w:val="00220E00"/>
    <w:rsid w:val="002213F3"/>
    <w:rsid w:val="00222180"/>
    <w:rsid w:val="00223D79"/>
    <w:rsid w:val="00224B20"/>
    <w:rsid w:val="00225B5B"/>
    <w:rsid w:val="002309BC"/>
    <w:rsid w:val="00234388"/>
    <w:rsid w:val="00237D14"/>
    <w:rsid w:val="00242CCE"/>
    <w:rsid w:val="002449E3"/>
    <w:rsid w:val="00246081"/>
    <w:rsid w:val="002476E9"/>
    <w:rsid w:val="002504EE"/>
    <w:rsid w:val="002551FF"/>
    <w:rsid w:val="00255AB5"/>
    <w:rsid w:val="00256024"/>
    <w:rsid w:val="00261022"/>
    <w:rsid w:val="002638F5"/>
    <w:rsid w:val="002674B7"/>
    <w:rsid w:val="00270137"/>
    <w:rsid w:val="00274BCD"/>
    <w:rsid w:val="00286620"/>
    <w:rsid w:val="00286BA0"/>
    <w:rsid w:val="00292E75"/>
    <w:rsid w:val="002944AD"/>
    <w:rsid w:val="002A1515"/>
    <w:rsid w:val="002A2CD1"/>
    <w:rsid w:val="002A5DD2"/>
    <w:rsid w:val="002A6D63"/>
    <w:rsid w:val="002A7FB3"/>
    <w:rsid w:val="002B014D"/>
    <w:rsid w:val="002B0B63"/>
    <w:rsid w:val="002B1231"/>
    <w:rsid w:val="002B5B41"/>
    <w:rsid w:val="002C1214"/>
    <w:rsid w:val="002C1E82"/>
    <w:rsid w:val="002C5784"/>
    <w:rsid w:val="002C7A81"/>
    <w:rsid w:val="002D066A"/>
    <w:rsid w:val="002D144F"/>
    <w:rsid w:val="002D6902"/>
    <w:rsid w:val="002D735F"/>
    <w:rsid w:val="002D7B6D"/>
    <w:rsid w:val="002D7DD0"/>
    <w:rsid w:val="002F0BCA"/>
    <w:rsid w:val="002F18CB"/>
    <w:rsid w:val="002F3447"/>
    <w:rsid w:val="0030219A"/>
    <w:rsid w:val="00302528"/>
    <w:rsid w:val="00303F72"/>
    <w:rsid w:val="003107EF"/>
    <w:rsid w:val="00312725"/>
    <w:rsid w:val="00314A4E"/>
    <w:rsid w:val="003150E0"/>
    <w:rsid w:val="0032158A"/>
    <w:rsid w:val="003229FB"/>
    <w:rsid w:val="00322E62"/>
    <w:rsid w:val="0033478D"/>
    <w:rsid w:val="0033482D"/>
    <w:rsid w:val="00337DA3"/>
    <w:rsid w:val="00340063"/>
    <w:rsid w:val="00340433"/>
    <w:rsid w:val="00342135"/>
    <w:rsid w:val="0034580A"/>
    <w:rsid w:val="003462FD"/>
    <w:rsid w:val="00347B2A"/>
    <w:rsid w:val="00354C19"/>
    <w:rsid w:val="00356F91"/>
    <w:rsid w:val="00361A02"/>
    <w:rsid w:val="003651A6"/>
    <w:rsid w:val="00367704"/>
    <w:rsid w:val="00367E7D"/>
    <w:rsid w:val="00372F98"/>
    <w:rsid w:val="00372FF9"/>
    <w:rsid w:val="00373E8D"/>
    <w:rsid w:val="0037526B"/>
    <w:rsid w:val="00375988"/>
    <w:rsid w:val="00377BCC"/>
    <w:rsid w:val="00380717"/>
    <w:rsid w:val="00381779"/>
    <w:rsid w:val="003819B3"/>
    <w:rsid w:val="00384B11"/>
    <w:rsid w:val="00386CCC"/>
    <w:rsid w:val="00391A9C"/>
    <w:rsid w:val="00397383"/>
    <w:rsid w:val="003A067D"/>
    <w:rsid w:val="003A1C6C"/>
    <w:rsid w:val="003A58BC"/>
    <w:rsid w:val="003A5A04"/>
    <w:rsid w:val="003A64FC"/>
    <w:rsid w:val="003A7CB2"/>
    <w:rsid w:val="003B123A"/>
    <w:rsid w:val="003B5EDB"/>
    <w:rsid w:val="003B6971"/>
    <w:rsid w:val="003B6B0B"/>
    <w:rsid w:val="003C0157"/>
    <w:rsid w:val="003C564E"/>
    <w:rsid w:val="003C7C74"/>
    <w:rsid w:val="003D1310"/>
    <w:rsid w:val="003D3335"/>
    <w:rsid w:val="003D354B"/>
    <w:rsid w:val="003D5A34"/>
    <w:rsid w:val="003E3E74"/>
    <w:rsid w:val="003E52ED"/>
    <w:rsid w:val="003F71AF"/>
    <w:rsid w:val="004007F2"/>
    <w:rsid w:val="0040232B"/>
    <w:rsid w:val="00411530"/>
    <w:rsid w:val="00412B77"/>
    <w:rsid w:val="00414405"/>
    <w:rsid w:val="0042007E"/>
    <w:rsid w:val="00424F2B"/>
    <w:rsid w:val="00426390"/>
    <w:rsid w:val="0043366F"/>
    <w:rsid w:val="00436E40"/>
    <w:rsid w:val="00441AC4"/>
    <w:rsid w:val="00446E2A"/>
    <w:rsid w:val="00447D82"/>
    <w:rsid w:val="00451EE1"/>
    <w:rsid w:val="00452C78"/>
    <w:rsid w:val="00453A50"/>
    <w:rsid w:val="00453FB4"/>
    <w:rsid w:val="0045428E"/>
    <w:rsid w:val="00461FBC"/>
    <w:rsid w:val="00466FCB"/>
    <w:rsid w:val="004710A7"/>
    <w:rsid w:val="004745E2"/>
    <w:rsid w:val="00475A2F"/>
    <w:rsid w:val="00480A1F"/>
    <w:rsid w:val="00484715"/>
    <w:rsid w:val="004870DE"/>
    <w:rsid w:val="00490C14"/>
    <w:rsid w:val="004975A9"/>
    <w:rsid w:val="004A30EE"/>
    <w:rsid w:val="004A3AB0"/>
    <w:rsid w:val="004B0651"/>
    <w:rsid w:val="004B1977"/>
    <w:rsid w:val="004B4F84"/>
    <w:rsid w:val="004B7906"/>
    <w:rsid w:val="004C1BDB"/>
    <w:rsid w:val="004C1E4F"/>
    <w:rsid w:val="004C3B01"/>
    <w:rsid w:val="004C68AA"/>
    <w:rsid w:val="004D0B9D"/>
    <w:rsid w:val="004D22B9"/>
    <w:rsid w:val="004D5404"/>
    <w:rsid w:val="004E04F8"/>
    <w:rsid w:val="004E2A09"/>
    <w:rsid w:val="004E3A27"/>
    <w:rsid w:val="004E4117"/>
    <w:rsid w:val="004E660F"/>
    <w:rsid w:val="004F42CE"/>
    <w:rsid w:val="004F6872"/>
    <w:rsid w:val="0050473D"/>
    <w:rsid w:val="00506840"/>
    <w:rsid w:val="00507465"/>
    <w:rsid w:val="00507C1E"/>
    <w:rsid w:val="00510446"/>
    <w:rsid w:val="00510B32"/>
    <w:rsid w:val="00510E8B"/>
    <w:rsid w:val="00513891"/>
    <w:rsid w:val="00513A8B"/>
    <w:rsid w:val="00515786"/>
    <w:rsid w:val="005251FD"/>
    <w:rsid w:val="005272E2"/>
    <w:rsid w:val="00527EC7"/>
    <w:rsid w:val="005312F5"/>
    <w:rsid w:val="00531EA3"/>
    <w:rsid w:val="00532AC5"/>
    <w:rsid w:val="005361C9"/>
    <w:rsid w:val="005364C0"/>
    <w:rsid w:val="00537059"/>
    <w:rsid w:val="00537D5D"/>
    <w:rsid w:val="00545171"/>
    <w:rsid w:val="0055072D"/>
    <w:rsid w:val="00552490"/>
    <w:rsid w:val="00552DFC"/>
    <w:rsid w:val="00554CFA"/>
    <w:rsid w:val="0056163C"/>
    <w:rsid w:val="00564D84"/>
    <w:rsid w:val="00567854"/>
    <w:rsid w:val="00570631"/>
    <w:rsid w:val="005738B5"/>
    <w:rsid w:val="0057609B"/>
    <w:rsid w:val="00582467"/>
    <w:rsid w:val="005848C1"/>
    <w:rsid w:val="005849D8"/>
    <w:rsid w:val="00585124"/>
    <w:rsid w:val="0058722D"/>
    <w:rsid w:val="005903F3"/>
    <w:rsid w:val="0059601B"/>
    <w:rsid w:val="005A3791"/>
    <w:rsid w:val="005A7C08"/>
    <w:rsid w:val="005B0F08"/>
    <w:rsid w:val="005B110F"/>
    <w:rsid w:val="005B118C"/>
    <w:rsid w:val="005B331E"/>
    <w:rsid w:val="005B4F0F"/>
    <w:rsid w:val="005B51FF"/>
    <w:rsid w:val="005B556C"/>
    <w:rsid w:val="005B6BBF"/>
    <w:rsid w:val="005C13A2"/>
    <w:rsid w:val="005C5D9A"/>
    <w:rsid w:val="005D2382"/>
    <w:rsid w:val="005D273C"/>
    <w:rsid w:val="005D55A1"/>
    <w:rsid w:val="005D7217"/>
    <w:rsid w:val="005D7ADF"/>
    <w:rsid w:val="005E214D"/>
    <w:rsid w:val="005E49E3"/>
    <w:rsid w:val="005E6E25"/>
    <w:rsid w:val="005F0683"/>
    <w:rsid w:val="005F0688"/>
    <w:rsid w:val="005F1A16"/>
    <w:rsid w:val="005F1CE6"/>
    <w:rsid w:val="005F2226"/>
    <w:rsid w:val="005F223B"/>
    <w:rsid w:val="005F26B6"/>
    <w:rsid w:val="005F5CFA"/>
    <w:rsid w:val="005F718C"/>
    <w:rsid w:val="006001AD"/>
    <w:rsid w:val="006005F4"/>
    <w:rsid w:val="00600A5F"/>
    <w:rsid w:val="00610AD4"/>
    <w:rsid w:val="00612328"/>
    <w:rsid w:val="006127B8"/>
    <w:rsid w:val="00613DA2"/>
    <w:rsid w:val="0061506A"/>
    <w:rsid w:val="00615296"/>
    <w:rsid w:val="00621779"/>
    <w:rsid w:val="00622FAC"/>
    <w:rsid w:val="006230F5"/>
    <w:rsid w:val="00627741"/>
    <w:rsid w:val="0063701F"/>
    <w:rsid w:val="00644EDE"/>
    <w:rsid w:val="0064758C"/>
    <w:rsid w:val="00650FDC"/>
    <w:rsid w:val="00655783"/>
    <w:rsid w:val="00657558"/>
    <w:rsid w:val="006577D8"/>
    <w:rsid w:val="00662DCB"/>
    <w:rsid w:val="006718E4"/>
    <w:rsid w:val="00673BA4"/>
    <w:rsid w:val="00673C52"/>
    <w:rsid w:val="00677CCB"/>
    <w:rsid w:val="0068234C"/>
    <w:rsid w:val="006910C8"/>
    <w:rsid w:val="006919FF"/>
    <w:rsid w:val="0069258C"/>
    <w:rsid w:val="00696C29"/>
    <w:rsid w:val="006B38B0"/>
    <w:rsid w:val="006B6D2D"/>
    <w:rsid w:val="006B76E1"/>
    <w:rsid w:val="006C008D"/>
    <w:rsid w:val="006C285A"/>
    <w:rsid w:val="006C344E"/>
    <w:rsid w:val="006C598F"/>
    <w:rsid w:val="006D1A36"/>
    <w:rsid w:val="006D4B04"/>
    <w:rsid w:val="006E1998"/>
    <w:rsid w:val="006E27F8"/>
    <w:rsid w:val="006E2B6D"/>
    <w:rsid w:val="006E3DDC"/>
    <w:rsid w:val="006E6EF2"/>
    <w:rsid w:val="006F00D4"/>
    <w:rsid w:val="006F0AC8"/>
    <w:rsid w:val="006F3F34"/>
    <w:rsid w:val="006F42D8"/>
    <w:rsid w:val="006F44E4"/>
    <w:rsid w:val="006F4E8C"/>
    <w:rsid w:val="006F594B"/>
    <w:rsid w:val="00703C5E"/>
    <w:rsid w:val="007047B7"/>
    <w:rsid w:val="00704877"/>
    <w:rsid w:val="0070498F"/>
    <w:rsid w:val="00705A23"/>
    <w:rsid w:val="00706ACB"/>
    <w:rsid w:val="00711825"/>
    <w:rsid w:val="0071393F"/>
    <w:rsid w:val="00713A82"/>
    <w:rsid w:val="0071520E"/>
    <w:rsid w:val="007153AD"/>
    <w:rsid w:val="007271D6"/>
    <w:rsid w:val="0072721F"/>
    <w:rsid w:val="00732F35"/>
    <w:rsid w:val="007340C5"/>
    <w:rsid w:val="00737A41"/>
    <w:rsid w:val="00740968"/>
    <w:rsid w:val="00741721"/>
    <w:rsid w:val="007478FC"/>
    <w:rsid w:val="00753596"/>
    <w:rsid w:val="00757903"/>
    <w:rsid w:val="0076476D"/>
    <w:rsid w:val="00771758"/>
    <w:rsid w:val="0077436F"/>
    <w:rsid w:val="00776EC3"/>
    <w:rsid w:val="00780EE7"/>
    <w:rsid w:val="00782943"/>
    <w:rsid w:val="007848AB"/>
    <w:rsid w:val="00784A59"/>
    <w:rsid w:val="007853B5"/>
    <w:rsid w:val="00797788"/>
    <w:rsid w:val="007A190A"/>
    <w:rsid w:val="007A5ABF"/>
    <w:rsid w:val="007A6D51"/>
    <w:rsid w:val="007B07DA"/>
    <w:rsid w:val="007B0972"/>
    <w:rsid w:val="007B0DF6"/>
    <w:rsid w:val="007B2B77"/>
    <w:rsid w:val="007B6064"/>
    <w:rsid w:val="007C5463"/>
    <w:rsid w:val="007C70AF"/>
    <w:rsid w:val="007D05B9"/>
    <w:rsid w:val="007D143D"/>
    <w:rsid w:val="007D3B7A"/>
    <w:rsid w:val="007E45F1"/>
    <w:rsid w:val="007E6004"/>
    <w:rsid w:val="007E748D"/>
    <w:rsid w:val="007F04BE"/>
    <w:rsid w:val="007F2B91"/>
    <w:rsid w:val="007F6217"/>
    <w:rsid w:val="007F6FDE"/>
    <w:rsid w:val="008036A3"/>
    <w:rsid w:val="00804728"/>
    <w:rsid w:val="00804E07"/>
    <w:rsid w:val="00805FB4"/>
    <w:rsid w:val="00805FCD"/>
    <w:rsid w:val="00807A75"/>
    <w:rsid w:val="00812B6D"/>
    <w:rsid w:val="00813040"/>
    <w:rsid w:val="00814889"/>
    <w:rsid w:val="0081525C"/>
    <w:rsid w:val="008163F0"/>
    <w:rsid w:val="00816C72"/>
    <w:rsid w:val="00820311"/>
    <w:rsid w:val="0082246B"/>
    <w:rsid w:val="008256D3"/>
    <w:rsid w:val="00826833"/>
    <w:rsid w:val="008322A4"/>
    <w:rsid w:val="00841E3C"/>
    <w:rsid w:val="008430FE"/>
    <w:rsid w:val="00843877"/>
    <w:rsid w:val="00844FBE"/>
    <w:rsid w:val="00851389"/>
    <w:rsid w:val="008571FF"/>
    <w:rsid w:val="00857716"/>
    <w:rsid w:val="008615C0"/>
    <w:rsid w:val="00864DA2"/>
    <w:rsid w:val="00864E5E"/>
    <w:rsid w:val="008668E1"/>
    <w:rsid w:val="00866BB5"/>
    <w:rsid w:val="0086713F"/>
    <w:rsid w:val="00870155"/>
    <w:rsid w:val="00872985"/>
    <w:rsid w:val="00874B25"/>
    <w:rsid w:val="00876316"/>
    <w:rsid w:val="00877DC5"/>
    <w:rsid w:val="0088047E"/>
    <w:rsid w:val="00880A93"/>
    <w:rsid w:val="008842D1"/>
    <w:rsid w:val="008906E9"/>
    <w:rsid w:val="0089182B"/>
    <w:rsid w:val="008962B4"/>
    <w:rsid w:val="00896CED"/>
    <w:rsid w:val="008B0F40"/>
    <w:rsid w:val="008B117C"/>
    <w:rsid w:val="008B17C7"/>
    <w:rsid w:val="008B283D"/>
    <w:rsid w:val="008B32F6"/>
    <w:rsid w:val="008B5E04"/>
    <w:rsid w:val="008C4914"/>
    <w:rsid w:val="008D27B9"/>
    <w:rsid w:val="008D2F8A"/>
    <w:rsid w:val="008E7713"/>
    <w:rsid w:val="008F6245"/>
    <w:rsid w:val="00906516"/>
    <w:rsid w:val="009079A5"/>
    <w:rsid w:val="009105C1"/>
    <w:rsid w:val="00911F3A"/>
    <w:rsid w:val="00912F99"/>
    <w:rsid w:val="0091304C"/>
    <w:rsid w:val="00915BA5"/>
    <w:rsid w:val="009235CB"/>
    <w:rsid w:val="00931F4E"/>
    <w:rsid w:val="0093325B"/>
    <w:rsid w:val="00933619"/>
    <w:rsid w:val="00940EC7"/>
    <w:rsid w:val="00941A33"/>
    <w:rsid w:val="00941D54"/>
    <w:rsid w:val="00950E56"/>
    <w:rsid w:val="00951288"/>
    <w:rsid w:val="00954ADE"/>
    <w:rsid w:val="00960417"/>
    <w:rsid w:val="00962392"/>
    <w:rsid w:val="00963B1F"/>
    <w:rsid w:val="009647D1"/>
    <w:rsid w:val="00964BBB"/>
    <w:rsid w:val="0096645F"/>
    <w:rsid w:val="009665E1"/>
    <w:rsid w:val="0097053C"/>
    <w:rsid w:val="00976E43"/>
    <w:rsid w:val="009827EA"/>
    <w:rsid w:val="00985810"/>
    <w:rsid w:val="00991819"/>
    <w:rsid w:val="009918FB"/>
    <w:rsid w:val="00992067"/>
    <w:rsid w:val="00994E47"/>
    <w:rsid w:val="0099547A"/>
    <w:rsid w:val="009A287E"/>
    <w:rsid w:val="009A423F"/>
    <w:rsid w:val="009A5297"/>
    <w:rsid w:val="009B01E8"/>
    <w:rsid w:val="009B1BA0"/>
    <w:rsid w:val="009C073F"/>
    <w:rsid w:val="009C1634"/>
    <w:rsid w:val="009C20DD"/>
    <w:rsid w:val="009C4448"/>
    <w:rsid w:val="009C547B"/>
    <w:rsid w:val="009C5AB4"/>
    <w:rsid w:val="009C5BD3"/>
    <w:rsid w:val="009D3BCB"/>
    <w:rsid w:val="009F1842"/>
    <w:rsid w:val="009F3B86"/>
    <w:rsid w:val="009F4AC1"/>
    <w:rsid w:val="009F6A68"/>
    <w:rsid w:val="00A00A3E"/>
    <w:rsid w:val="00A06441"/>
    <w:rsid w:val="00A07DDD"/>
    <w:rsid w:val="00A11638"/>
    <w:rsid w:val="00A12200"/>
    <w:rsid w:val="00A16341"/>
    <w:rsid w:val="00A1744D"/>
    <w:rsid w:val="00A23A72"/>
    <w:rsid w:val="00A262DA"/>
    <w:rsid w:val="00A27A0F"/>
    <w:rsid w:val="00A336C3"/>
    <w:rsid w:val="00A4474D"/>
    <w:rsid w:val="00A45272"/>
    <w:rsid w:val="00A46445"/>
    <w:rsid w:val="00A46C70"/>
    <w:rsid w:val="00A47300"/>
    <w:rsid w:val="00A51360"/>
    <w:rsid w:val="00A5679B"/>
    <w:rsid w:val="00A57C9F"/>
    <w:rsid w:val="00A60448"/>
    <w:rsid w:val="00A6416F"/>
    <w:rsid w:val="00A71E14"/>
    <w:rsid w:val="00A72E01"/>
    <w:rsid w:val="00A73020"/>
    <w:rsid w:val="00A80B02"/>
    <w:rsid w:val="00A80D6E"/>
    <w:rsid w:val="00A83945"/>
    <w:rsid w:val="00A8462D"/>
    <w:rsid w:val="00A85D08"/>
    <w:rsid w:val="00A86204"/>
    <w:rsid w:val="00A87457"/>
    <w:rsid w:val="00A90DDD"/>
    <w:rsid w:val="00A93940"/>
    <w:rsid w:val="00A95452"/>
    <w:rsid w:val="00A971F3"/>
    <w:rsid w:val="00A974AA"/>
    <w:rsid w:val="00A97580"/>
    <w:rsid w:val="00AA13B4"/>
    <w:rsid w:val="00AA7AF9"/>
    <w:rsid w:val="00AA7B18"/>
    <w:rsid w:val="00AB1E97"/>
    <w:rsid w:val="00AC449B"/>
    <w:rsid w:val="00AC4E18"/>
    <w:rsid w:val="00AC5A7A"/>
    <w:rsid w:val="00AC5E42"/>
    <w:rsid w:val="00AC60C6"/>
    <w:rsid w:val="00AC7C1E"/>
    <w:rsid w:val="00AD1237"/>
    <w:rsid w:val="00AD1790"/>
    <w:rsid w:val="00AD716F"/>
    <w:rsid w:val="00AD7346"/>
    <w:rsid w:val="00AE12C7"/>
    <w:rsid w:val="00AE2B6B"/>
    <w:rsid w:val="00AE442E"/>
    <w:rsid w:val="00AE65E4"/>
    <w:rsid w:val="00AE7FDD"/>
    <w:rsid w:val="00AF3009"/>
    <w:rsid w:val="00AF5E7A"/>
    <w:rsid w:val="00AF64D8"/>
    <w:rsid w:val="00B012C9"/>
    <w:rsid w:val="00B125A6"/>
    <w:rsid w:val="00B16DE2"/>
    <w:rsid w:val="00B172B8"/>
    <w:rsid w:val="00B17AF3"/>
    <w:rsid w:val="00B17EBE"/>
    <w:rsid w:val="00B2143E"/>
    <w:rsid w:val="00B2146A"/>
    <w:rsid w:val="00B2235F"/>
    <w:rsid w:val="00B239FE"/>
    <w:rsid w:val="00B24C21"/>
    <w:rsid w:val="00B262B2"/>
    <w:rsid w:val="00B31757"/>
    <w:rsid w:val="00B371C4"/>
    <w:rsid w:val="00B4057E"/>
    <w:rsid w:val="00B46090"/>
    <w:rsid w:val="00B501D6"/>
    <w:rsid w:val="00B518BE"/>
    <w:rsid w:val="00B629B9"/>
    <w:rsid w:val="00B65870"/>
    <w:rsid w:val="00B66C91"/>
    <w:rsid w:val="00B67050"/>
    <w:rsid w:val="00B734E6"/>
    <w:rsid w:val="00B73CFD"/>
    <w:rsid w:val="00B742A0"/>
    <w:rsid w:val="00B748C2"/>
    <w:rsid w:val="00B7511B"/>
    <w:rsid w:val="00B75411"/>
    <w:rsid w:val="00B76A2D"/>
    <w:rsid w:val="00B76BA4"/>
    <w:rsid w:val="00B81B35"/>
    <w:rsid w:val="00B85DF9"/>
    <w:rsid w:val="00B85E2A"/>
    <w:rsid w:val="00B86322"/>
    <w:rsid w:val="00B93E7D"/>
    <w:rsid w:val="00BA5341"/>
    <w:rsid w:val="00BB0565"/>
    <w:rsid w:val="00BB49A2"/>
    <w:rsid w:val="00BB5BFA"/>
    <w:rsid w:val="00BB6DC3"/>
    <w:rsid w:val="00BB6FB8"/>
    <w:rsid w:val="00BC0F5E"/>
    <w:rsid w:val="00BC2526"/>
    <w:rsid w:val="00BC5CFD"/>
    <w:rsid w:val="00BC6E02"/>
    <w:rsid w:val="00BC7610"/>
    <w:rsid w:val="00BD00D4"/>
    <w:rsid w:val="00BD2E15"/>
    <w:rsid w:val="00BE101F"/>
    <w:rsid w:val="00BF1798"/>
    <w:rsid w:val="00BF28F5"/>
    <w:rsid w:val="00BF2C4D"/>
    <w:rsid w:val="00BF3DB1"/>
    <w:rsid w:val="00BF6C55"/>
    <w:rsid w:val="00BF7305"/>
    <w:rsid w:val="00C00949"/>
    <w:rsid w:val="00C01C90"/>
    <w:rsid w:val="00C03732"/>
    <w:rsid w:val="00C0535A"/>
    <w:rsid w:val="00C0586C"/>
    <w:rsid w:val="00C05AF7"/>
    <w:rsid w:val="00C064D4"/>
    <w:rsid w:val="00C10277"/>
    <w:rsid w:val="00C11A89"/>
    <w:rsid w:val="00C12A1A"/>
    <w:rsid w:val="00C20B8E"/>
    <w:rsid w:val="00C22AC5"/>
    <w:rsid w:val="00C27BBB"/>
    <w:rsid w:val="00C339D8"/>
    <w:rsid w:val="00C3428B"/>
    <w:rsid w:val="00C376F7"/>
    <w:rsid w:val="00C37FDC"/>
    <w:rsid w:val="00C4101D"/>
    <w:rsid w:val="00C44870"/>
    <w:rsid w:val="00C46453"/>
    <w:rsid w:val="00C50AA2"/>
    <w:rsid w:val="00C52E83"/>
    <w:rsid w:val="00C53716"/>
    <w:rsid w:val="00C5538B"/>
    <w:rsid w:val="00C70C26"/>
    <w:rsid w:val="00C717BF"/>
    <w:rsid w:val="00C7339E"/>
    <w:rsid w:val="00C770F6"/>
    <w:rsid w:val="00C801D8"/>
    <w:rsid w:val="00C80EF7"/>
    <w:rsid w:val="00C906B0"/>
    <w:rsid w:val="00C93DC7"/>
    <w:rsid w:val="00C94FA8"/>
    <w:rsid w:val="00CA247C"/>
    <w:rsid w:val="00CC0732"/>
    <w:rsid w:val="00CC2EFC"/>
    <w:rsid w:val="00CC2F04"/>
    <w:rsid w:val="00CD3F00"/>
    <w:rsid w:val="00CD6869"/>
    <w:rsid w:val="00CD77B9"/>
    <w:rsid w:val="00CE0BB5"/>
    <w:rsid w:val="00CE452C"/>
    <w:rsid w:val="00CE6CFF"/>
    <w:rsid w:val="00CE6FE4"/>
    <w:rsid w:val="00CE7267"/>
    <w:rsid w:val="00CE7AC1"/>
    <w:rsid w:val="00CF17F8"/>
    <w:rsid w:val="00CF249D"/>
    <w:rsid w:val="00D05351"/>
    <w:rsid w:val="00D0547D"/>
    <w:rsid w:val="00D07216"/>
    <w:rsid w:val="00D11652"/>
    <w:rsid w:val="00D20C3F"/>
    <w:rsid w:val="00D25C53"/>
    <w:rsid w:val="00D30875"/>
    <w:rsid w:val="00D329F5"/>
    <w:rsid w:val="00D34567"/>
    <w:rsid w:val="00D34E3D"/>
    <w:rsid w:val="00D45696"/>
    <w:rsid w:val="00D4641D"/>
    <w:rsid w:val="00D466F0"/>
    <w:rsid w:val="00D509DF"/>
    <w:rsid w:val="00D526CE"/>
    <w:rsid w:val="00D6391F"/>
    <w:rsid w:val="00D6438C"/>
    <w:rsid w:val="00D655A4"/>
    <w:rsid w:val="00D6612D"/>
    <w:rsid w:val="00D67554"/>
    <w:rsid w:val="00D675E1"/>
    <w:rsid w:val="00D709F0"/>
    <w:rsid w:val="00D720D2"/>
    <w:rsid w:val="00D734B3"/>
    <w:rsid w:val="00D7675E"/>
    <w:rsid w:val="00D87EA8"/>
    <w:rsid w:val="00D977E8"/>
    <w:rsid w:val="00DA141D"/>
    <w:rsid w:val="00DA1B8E"/>
    <w:rsid w:val="00DA48EF"/>
    <w:rsid w:val="00DA56F1"/>
    <w:rsid w:val="00DA60C0"/>
    <w:rsid w:val="00DB25FA"/>
    <w:rsid w:val="00DD3766"/>
    <w:rsid w:val="00DD3997"/>
    <w:rsid w:val="00DD3DBC"/>
    <w:rsid w:val="00DD59ED"/>
    <w:rsid w:val="00DD6050"/>
    <w:rsid w:val="00DD62C3"/>
    <w:rsid w:val="00DD7C37"/>
    <w:rsid w:val="00DE154B"/>
    <w:rsid w:val="00DE64DF"/>
    <w:rsid w:val="00DE6889"/>
    <w:rsid w:val="00DE73D9"/>
    <w:rsid w:val="00DE7704"/>
    <w:rsid w:val="00DF03A8"/>
    <w:rsid w:val="00DF0AC8"/>
    <w:rsid w:val="00DF3A95"/>
    <w:rsid w:val="00DF4958"/>
    <w:rsid w:val="00DF4EC9"/>
    <w:rsid w:val="00DF663F"/>
    <w:rsid w:val="00E01746"/>
    <w:rsid w:val="00E01A01"/>
    <w:rsid w:val="00E01F5A"/>
    <w:rsid w:val="00E0250D"/>
    <w:rsid w:val="00E0571A"/>
    <w:rsid w:val="00E05893"/>
    <w:rsid w:val="00E07DB3"/>
    <w:rsid w:val="00E11959"/>
    <w:rsid w:val="00E119BD"/>
    <w:rsid w:val="00E124C3"/>
    <w:rsid w:val="00E12B7B"/>
    <w:rsid w:val="00E15B1B"/>
    <w:rsid w:val="00E27F1F"/>
    <w:rsid w:val="00E3200A"/>
    <w:rsid w:val="00E35F55"/>
    <w:rsid w:val="00E37101"/>
    <w:rsid w:val="00E4484F"/>
    <w:rsid w:val="00E45D2A"/>
    <w:rsid w:val="00E47037"/>
    <w:rsid w:val="00E47EEA"/>
    <w:rsid w:val="00E50922"/>
    <w:rsid w:val="00E55D2F"/>
    <w:rsid w:val="00E567BB"/>
    <w:rsid w:val="00E60F52"/>
    <w:rsid w:val="00E62BC8"/>
    <w:rsid w:val="00E665DF"/>
    <w:rsid w:val="00E667E0"/>
    <w:rsid w:val="00E726CD"/>
    <w:rsid w:val="00E7461B"/>
    <w:rsid w:val="00E77941"/>
    <w:rsid w:val="00E843CC"/>
    <w:rsid w:val="00E84870"/>
    <w:rsid w:val="00E85E06"/>
    <w:rsid w:val="00E86D82"/>
    <w:rsid w:val="00E9016A"/>
    <w:rsid w:val="00E9045E"/>
    <w:rsid w:val="00E92EFF"/>
    <w:rsid w:val="00E94CEB"/>
    <w:rsid w:val="00EA450D"/>
    <w:rsid w:val="00EA61A2"/>
    <w:rsid w:val="00EA6978"/>
    <w:rsid w:val="00EA7646"/>
    <w:rsid w:val="00EB16F9"/>
    <w:rsid w:val="00EB1AAB"/>
    <w:rsid w:val="00EB7AAF"/>
    <w:rsid w:val="00EC4311"/>
    <w:rsid w:val="00EC6129"/>
    <w:rsid w:val="00ED1F9F"/>
    <w:rsid w:val="00EE2AA7"/>
    <w:rsid w:val="00EE67AD"/>
    <w:rsid w:val="00EF0F5B"/>
    <w:rsid w:val="00EF18FD"/>
    <w:rsid w:val="00EF1F54"/>
    <w:rsid w:val="00EF2771"/>
    <w:rsid w:val="00EF2C52"/>
    <w:rsid w:val="00EF6B56"/>
    <w:rsid w:val="00EF6E31"/>
    <w:rsid w:val="00EF74F9"/>
    <w:rsid w:val="00F075CB"/>
    <w:rsid w:val="00F15AD6"/>
    <w:rsid w:val="00F233B1"/>
    <w:rsid w:val="00F23501"/>
    <w:rsid w:val="00F25005"/>
    <w:rsid w:val="00F252F6"/>
    <w:rsid w:val="00F253CA"/>
    <w:rsid w:val="00F25FA9"/>
    <w:rsid w:val="00F30A9A"/>
    <w:rsid w:val="00F443AD"/>
    <w:rsid w:val="00F44BAB"/>
    <w:rsid w:val="00F4596B"/>
    <w:rsid w:val="00F5040D"/>
    <w:rsid w:val="00F50DD0"/>
    <w:rsid w:val="00F52270"/>
    <w:rsid w:val="00F536A1"/>
    <w:rsid w:val="00F544CD"/>
    <w:rsid w:val="00F5726E"/>
    <w:rsid w:val="00F6226D"/>
    <w:rsid w:val="00F65AB3"/>
    <w:rsid w:val="00F74767"/>
    <w:rsid w:val="00F74AB0"/>
    <w:rsid w:val="00F75FD3"/>
    <w:rsid w:val="00F76254"/>
    <w:rsid w:val="00F816AE"/>
    <w:rsid w:val="00F858A2"/>
    <w:rsid w:val="00F85EE8"/>
    <w:rsid w:val="00F86555"/>
    <w:rsid w:val="00F871B6"/>
    <w:rsid w:val="00F97997"/>
    <w:rsid w:val="00F97FDF"/>
    <w:rsid w:val="00FA0610"/>
    <w:rsid w:val="00FA307D"/>
    <w:rsid w:val="00FA4F75"/>
    <w:rsid w:val="00FA59BF"/>
    <w:rsid w:val="00FA7A50"/>
    <w:rsid w:val="00FB0005"/>
    <w:rsid w:val="00FB1FB8"/>
    <w:rsid w:val="00FB67C4"/>
    <w:rsid w:val="00FB7367"/>
    <w:rsid w:val="00FB766C"/>
    <w:rsid w:val="00FC1C66"/>
    <w:rsid w:val="00FC49BE"/>
    <w:rsid w:val="00FC5942"/>
    <w:rsid w:val="00FC5C09"/>
    <w:rsid w:val="00FC6B03"/>
    <w:rsid w:val="00FC7296"/>
    <w:rsid w:val="00FD3DB8"/>
    <w:rsid w:val="00FD68E8"/>
    <w:rsid w:val="00FE0FE1"/>
    <w:rsid w:val="00FE24B1"/>
    <w:rsid w:val="00FE360E"/>
    <w:rsid w:val="00FE443B"/>
    <w:rsid w:val="00FE5A86"/>
    <w:rsid w:val="00FE7B6F"/>
    <w:rsid w:val="00FF1045"/>
    <w:rsid w:val="00FF11FB"/>
    <w:rsid w:val="00FF18EB"/>
    <w:rsid w:val="00FF60DC"/>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C5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172B8"/>
    <w:pPr>
      <w:ind w:left="720"/>
      <w:contextualSpacing/>
    </w:pPr>
  </w:style>
  <w:style w:type="character" w:customStyle="1" w:styleId="legsubtitle">
    <w:name w:val="legsubtitle"/>
    <w:basedOn w:val="DefaultParagraphFont"/>
    <w:rsid w:val="00B172B8"/>
  </w:style>
  <w:style w:type="paragraph" w:styleId="BodyTextIndent">
    <w:name w:val="Body Text Indent"/>
    <w:basedOn w:val="Normal"/>
    <w:link w:val="BodyTextIndentChar"/>
    <w:rsid w:val="001F3755"/>
    <w:pPr>
      <w:spacing w:after="240"/>
      <w:ind w:left="1276"/>
    </w:pPr>
    <w:rPr>
      <w:i/>
      <w:szCs w:val="20"/>
      <w:lang w:eastAsia="en-US"/>
    </w:rPr>
  </w:style>
  <w:style w:type="character" w:customStyle="1" w:styleId="BodyTextIndentChar">
    <w:name w:val="Body Text Indent Char"/>
    <w:basedOn w:val="DefaultParagraphFont"/>
    <w:link w:val="BodyTextIndent"/>
    <w:rsid w:val="001F3755"/>
    <w:rPr>
      <w:i/>
      <w:sz w:val="24"/>
      <w:lang w:eastAsia="en-US"/>
    </w:rPr>
  </w:style>
  <w:style w:type="paragraph" w:styleId="BodyText">
    <w:name w:val="Body Text"/>
    <w:basedOn w:val="Normal"/>
    <w:link w:val="BodyTextChar"/>
    <w:rsid w:val="001F3755"/>
    <w:rPr>
      <w:i/>
      <w:color w:val="000000"/>
      <w:szCs w:val="20"/>
      <w:lang w:eastAsia="en-US"/>
    </w:rPr>
  </w:style>
  <w:style w:type="character" w:customStyle="1" w:styleId="BodyTextChar">
    <w:name w:val="Body Text Char"/>
    <w:basedOn w:val="DefaultParagraphFont"/>
    <w:link w:val="BodyText"/>
    <w:rsid w:val="001F3755"/>
    <w:rPr>
      <w:i/>
      <w:color w:val="000000"/>
      <w:sz w:val="24"/>
      <w:lang w:eastAsia="en-US"/>
    </w:rPr>
  </w:style>
  <w:style w:type="character" w:customStyle="1" w:styleId="Heading2Char">
    <w:name w:val="Heading 2 Char"/>
    <w:basedOn w:val="DefaultParagraphFont"/>
    <w:link w:val="Heading2"/>
    <w:semiHidden/>
    <w:rsid w:val="006C598F"/>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6C598F"/>
    <w:rPr>
      <w:sz w:val="24"/>
      <w:szCs w:val="24"/>
    </w:rPr>
  </w:style>
  <w:style w:type="paragraph" w:styleId="Revision">
    <w:name w:val="Revision"/>
    <w:hidden/>
    <w:uiPriority w:val="99"/>
    <w:semiHidden/>
    <w:rsid w:val="000B4C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C5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172B8"/>
    <w:pPr>
      <w:ind w:left="720"/>
      <w:contextualSpacing/>
    </w:pPr>
  </w:style>
  <w:style w:type="character" w:customStyle="1" w:styleId="legsubtitle">
    <w:name w:val="legsubtitle"/>
    <w:basedOn w:val="DefaultParagraphFont"/>
    <w:rsid w:val="00B172B8"/>
  </w:style>
  <w:style w:type="paragraph" w:styleId="BodyTextIndent">
    <w:name w:val="Body Text Indent"/>
    <w:basedOn w:val="Normal"/>
    <w:link w:val="BodyTextIndentChar"/>
    <w:rsid w:val="001F3755"/>
    <w:pPr>
      <w:spacing w:after="240"/>
      <w:ind w:left="1276"/>
    </w:pPr>
    <w:rPr>
      <w:i/>
      <w:szCs w:val="20"/>
      <w:lang w:eastAsia="en-US"/>
    </w:rPr>
  </w:style>
  <w:style w:type="character" w:customStyle="1" w:styleId="BodyTextIndentChar">
    <w:name w:val="Body Text Indent Char"/>
    <w:basedOn w:val="DefaultParagraphFont"/>
    <w:link w:val="BodyTextIndent"/>
    <w:rsid w:val="001F3755"/>
    <w:rPr>
      <w:i/>
      <w:sz w:val="24"/>
      <w:lang w:eastAsia="en-US"/>
    </w:rPr>
  </w:style>
  <w:style w:type="paragraph" w:styleId="BodyText">
    <w:name w:val="Body Text"/>
    <w:basedOn w:val="Normal"/>
    <w:link w:val="BodyTextChar"/>
    <w:rsid w:val="001F3755"/>
    <w:rPr>
      <w:i/>
      <w:color w:val="000000"/>
      <w:szCs w:val="20"/>
      <w:lang w:eastAsia="en-US"/>
    </w:rPr>
  </w:style>
  <w:style w:type="character" w:customStyle="1" w:styleId="BodyTextChar">
    <w:name w:val="Body Text Char"/>
    <w:basedOn w:val="DefaultParagraphFont"/>
    <w:link w:val="BodyText"/>
    <w:rsid w:val="001F3755"/>
    <w:rPr>
      <w:i/>
      <w:color w:val="000000"/>
      <w:sz w:val="24"/>
      <w:lang w:eastAsia="en-US"/>
    </w:rPr>
  </w:style>
  <w:style w:type="character" w:customStyle="1" w:styleId="Heading2Char">
    <w:name w:val="Heading 2 Char"/>
    <w:basedOn w:val="DefaultParagraphFont"/>
    <w:link w:val="Heading2"/>
    <w:semiHidden/>
    <w:rsid w:val="006C598F"/>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6C598F"/>
    <w:rPr>
      <w:sz w:val="24"/>
      <w:szCs w:val="24"/>
    </w:rPr>
  </w:style>
  <w:style w:type="paragraph" w:styleId="Revision">
    <w:name w:val="Revision"/>
    <w:hidden/>
    <w:uiPriority w:val="99"/>
    <w:semiHidden/>
    <w:rsid w:val="000B4C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462694984">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4">
          <w:marLeft w:val="0"/>
          <w:marRight w:val="0"/>
          <w:marTop w:val="0"/>
          <w:marBottom w:val="0"/>
          <w:divBdr>
            <w:top w:val="none" w:sz="0" w:space="0" w:color="auto"/>
            <w:left w:val="none" w:sz="0" w:space="0" w:color="auto"/>
            <w:bottom w:val="none" w:sz="0" w:space="0" w:color="auto"/>
            <w:right w:val="none" w:sz="0" w:space="0" w:color="auto"/>
          </w:divBdr>
          <w:divsChild>
            <w:div w:id="2032760755">
              <w:marLeft w:val="0"/>
              <w:marRight w:val="0"/>
              <w:marTop w:val="0"/>
              <w:marBottom w:val="0"/>
              <w:divBdr>
                <w:top w:val="none" w:sz="0" w:space="0" w:color="auto"/>
                <w:left w:val="none" w:sz="0" w:space="0" w:color="auto"/>
                <w:bottom w:val="none" w:sz="0" w:space="0" w:color="auto"/>
                <w:right w:val="none" w:sz="0" w:space="0" w:color="auto"/>
              </w:divBdr>
              <w:divsChild>
                <w:div w:id="790787343">
                  <w:marLeft w:val="0"/>
                  <w:marRight w:val="0"/>
                  <w:marTop w:val="0"/>
                  <w:marBottom w:val="0"/>
                  <w:divBdr>
                    <w:top w:val="none" w:sz="0" w:space="0" w:color="auto"/>
                    <w:left w:val="none" w:sz="0" w:space="0" w:color="auto"/>
                    <w:bottom w:val="none" w:sz="0" w:space="0" w:color="auto"/>
                    <w:right w:val="none" w:sz="0" w:space="0" w:color="auto"/>
                  </w:divBdr>
                  <w:divsChild>
                    <w:div w:id="844242617">
                      <w:marLeft w:val="0"/>
                      <w:marRight w:val="0"/>
                      <w:marTop w:val="0"/>
                      <w:marBottom w:val="0"/>
                      <w:divBdr>
                        <w:top w:val="none" w:sz="0" w:space="0" w:color="auto"/>
                        <w:left w:val="none" w:sz="0" w:space="0" w:color="auto"/>
                        <w:bottom w:val="none" w:sz="0" w:space="0" w:color="auto"/>
                        <w:right w:val="none" w:sz="0" w:space="0" w:color="auto"/>
                      </w:divBdr>
                      <w:divsChild>
                        <w:div w:id="991717341">
                          <w:marLeft w:val="0"/>
                          <w:marRight w:val="0"/>
                          <w:marTop w:val="0"/>
                          <w:marBottom w:val="0"/>
                          <w:divBdr>
                            <w:top w:val="none" w:sz="0" w:space="0" w:color="auto"/>
                            <w:left w:val="none" w:sz="0" w:space="0" w:color="auto"/>
                            <w:bottom w:val="none" w:sz="0" w:space="0" w:color="auto"/>
                            <w:right w:val="none" w:sz="0" w:space="0" w:color="auto"/>
                          </w:divBdr>
                          <w:divsChild>
                            <w:div w:id="1813672859">
                              <w:marLeft w:val="0"/>
                              <w:marRight w:val="0"/>
                              <w:marTop w:val="0"/>
                              <w:marBottom w:val="0"/>
                              <w:divBdr>
                                <w:top w:val="none" w:sz="0" w:space="0" w:color="auto"/>
                                <w:left w:val="none" w:sz="0" w:space="0" w:color="auto"/>
                                <w:bottom w:val="none" w:sz="0" w:space="0" w:color="auto"/>
                                <w:right w:val="none" w:sz="0" w:space="0" w:color="auto"/>
                              </w:divBdr>
                              <w:divsChild>
                                <w:div w:id="1315717140">
                                  <w:marLeft w:val="0"/>
                                  <w:marRight w:val="0"/>
                                  <w:marTop w:val="0"/>
                                  <w:marBottom w:val="0"/>
                                  <w:divBdr>
                                    <w:top w:val="none" w:sz="0" w:space="0" w:color="auto"/>
                                    <w:left w:val="none" w:sz="0" w:space="0" w:color="auto"/>
                                    <w:bottom w:val="none" w:sz="0" w:space="0" w:color="auto"/>
                                    <w:right w:val="none" w:sz="0" w:space="0" w:color="auto"/>
                                  </w:divBdr>
                                  <w:divsChild>
                                    <w:div w:id="475805822">
                                      <w:marLeft w:val="0"/>
                                      <w:marRight w:val="0"/>
                                      <w:marTop w:val="0"/>
                                      <w:marBottom w:val="0"/>
                                      <w:divBdr>
                                        <w:top w:val="none" w:sz="0" w:space="0" w:color="auto"/>
                                        <w:left w:val="none" w:sz="0" w:space="0" w:color="auto"/>
                                        <w:bottom w:val="none" w:sz="0" w:space="0" w:color="auto"/>
                                        <w:right w:val="none" w:sz="0" w:space="0" w:color="auto"/>
                                      </w:divBdr>
                                      <w:divsChild>
                                        <w:div w:id="490410713">
                                          <w:marLeft w:val="0"/>
                                          <w:marRight w:val="0"/>
                                          <w:marTop w:val="0"/>
                                          <w:marBottom w:val="0"/>
                                          <w:divBdr>
                                            <w:top w:val="none" w:sz="0" w:space="0" w:color="auto"/>
                                            <w:left w:val="none" w:sz="0" w:space="0" w:color="auto"/>
                                            <w:bottom w:val="none" w:sz="0" w:space="0" w:color="auto"/>
                                            <w:right w:val="none" w:sz="0" w:space="0" w:color="auto"/>
                                          </w:divBdr>
                                          <w:divsChild>
                                            <w:div w:id="309411101">
                                              <w:marLeft w:val="0"/>
                                              <w:marRight w:val="0"/>
                                              <w:marTop w:val="0"/>
                                              <w:marBottom w:val="0"/>
                                              <w:divBdr>
                                                <w:top w:val="none" w:sz="0" w:space="0" w:color="auto"/>
                                                <w:left w:val="none" w:sz="0" w:space="0" w:color="auto"/>
                                                <w:bottom w:val="none" w:sz="0" w:space="0" w:color="auto"/>
                                                <w:right w:val="none" w:sz="0" w:space="0" w:color="auto"/>
                                              </w:divBdr>
                                              <w:divsChild>
                                                <w:div w:id="116026936">
                                                  <w:marLeft w:val="0"/>
                                                  <w:marRight w:val="0"/>
                                                  <w:marTop w:val="0"/>
                                                  <w:marBottom w:val="0"/>
                                                  <w:divBdr>
                                                    <w:top w:val="none" w:sz="0" w:space="0" w:color="auto"/>
                                                    <w:left w:val="none" w:sz="0" w:space="0" w:color="auto"/>
                                                    <w:bottom w:val="none" w:sz="0" w:space="0" w:color="auto"/>
                                                    <w:right w:val="none" w:sz="0" w:space="0" w:color="auto"/>
                                                  </w:divBdr>
                                                  <w:divsChild>
                                                    <w:div w:id="421418827">
                                                      <w:marLeft w:val="0"/>
                                                      <w:marRight w:val="0"/>
                                                      <w:marTop w:val="0"/>
                                                      <w:marBottom w:val="0"/>
                                                      <w:divBdr>
                                                        <w:top w:val="none" w:sz="0" w:space="0" w:color="auto"/>
                                                        <w:left w:val="none" w:sz="0" w:space="0" w:color="auto"/>
                                                        <w:bottom w:val="none" w:sz="0" w:space="0" w:color="auto"/>
                                                        <w:right w:val="none" w:sz="0" w:space="0" w:color="auto"/>
                                                      </w:divBdr>
                                                      <w:divsChild>
                                                        <w:div w:id="15937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672799">
      <w:bodyDiv w:val="1"/>
      <w:marLeft w:val="0"/>
      <w:marRight w:val="0"/>
      <w:marTop w:val="0"/>
      <w:marBottom w:val="0"/>
      <w:divBdr>
        <w:top w:val="none" w:sz="0" w:space="0" w:color="auto"/>
        <w:left w:val="none" w:sz="0" w:space="0" w:color="auto"/>
        <w:bottom w:val="none" w:sz="0" w:space="0" w:color="auto"/>
        <w:right w:val="none" w:sz="0" w:space="0" w:color="auto"/>
      </w:divBdr>
      <w:divsChild>
        <w:div w:id="96021842">
          <w:marLeft w:val="0"/>
          <w:marRight w:val="0"/>
          <w:marTop w:val="0"/>
          <w:marBottom w:val="0"/>
          <w:divBdr>
            <w:top w:val="none" w:sz="0" w:space="0" w:color="auto"/>
            <w:left w:val="none" w:sz="0" w:space="0" w:color="auto"/>
            <w:bottom w:val="none" w:sz="0" w:space="0" w:color="auto"/>
            <w:right w:val="none" w:sz="0" w:space="0" w:color="auto"/>
          </w:divBdr>
          <w:divsChild>
            <w:div w:id="13775232">
              <w:marLeft w:val="0"/>
              <w:marRight w:val="0"/>
              <w:marTop w:val="0"/>
              <w:marBottom w:val="0"/>
              <w:divBdr>
                <w:top w:val="none" w:sz="0" w:space="0" w:color="auto"/>
                <w:left w:val="none" w:sz="0" w:space="0" w:color="auto"/>
                <w:bottom w:val="none" w:sz="0" w:space="0" w:color="auto"/>
                <w:right w:val="none" w:sz="0" w:space="0" w:color="auto"/>
              </w:divBdr>
              <w:divsChild>
                <w:div w:id="1289236296">
                  <w:marLeft w:val="0"/>
                  <w:marRight w:val="0"/>
                  <w:marTop w:val="0"/>
                  <w:marBottom w:val="0"/>
                  <w:divBdr>
                    <w:top w:val="none" w:sz="0" w:space="0" w:color="auto"/>
                    <w:left w:val="none" w:sz="0" w:space="0" w:color="auto"/>
                    <w:bottom w:val="none" w:sz="0" w:space="0" w:color="auto"/>
                    <w:right w:val="none" w:sz="0" w:space="0" w:color="auto"/>
                  </w:divBdr>
                  <w:divsChild>
                    <w:div w:id="1445805356">
                      <w:marLeft w:val="0"/>
                      <w:marRight w:val="0"/>
                      <w:marTop w:val="0"/>
                      <w:marBottom w:val="0"/>
                      <w:divBdr>
                        <w:top w:val="none" w:sz="0" w:space="0" w:color="auto"/>
                        <w:left w:val="none" w:sz="0" w:space="0" w:color="auto"/>
                        <w:bottom w:val="none" w:sz="0" w:space="0" w:color="auto"/>
                        <w:right w:val="none" w:sz="0" w:space="0" w:color="auto"/>
                      </w:divBdr>
                      <w:divsChild>
                        <w:div w:id="764961808">
                          <w:marLeft w:val="0"/>
                          <w:marRight w:val="0"/>
                          <w:marTop w:val="0"/>
                          <w:marBottom w:val="0"/>
                          <w:divBdr>
                            <w:top w:val="none" w:sz="0" w:space="0" w:color="auto"/>
                            <w:left w:val="none" w:sz="0" w:space="0" w:color="auto"/>
                            <w:bottom w:val="none" w:sz="0" w:space="0" w:color="auto"/>
                            <w:right w:val="none" w:sz="0" w:space="0" w:color="auto"/>
                          </w:divBdr>
                          <w:divsChild>
                            <w:div w:id="868907848">
                              <w:marLeft w:val="0"/>
                              <w:marRight w:val="0"/>
                              <w:marTop w:val="0"/>
                              <w:marBottom w:val="0"/>
                              <w:divBdr>
                                <w:top w:val="none" w:sz="0" w:space="0" w:color="auto"/>
                                <w:left w:val="none" w:sz="0" w:space="0" w:color="auto"/>
                                <w:bottom w:val="none" w:sz="0" w:space="0" w:color="auto"/>
                                <w:right w:val="none" w:sz="0" w:space="0" w:color="auto"/>
                              </w:divBdr>
                              <w:divsChild>
                                <w:div w:id="220948025">
                                  <w:marLeft w:val="0"/>
                                  <w:marRight w:val="0"/>
                                  <w:marTop w:val="0"/>
                                  <w:marBottom w:val="0"/>
                                  <w:divBdr>
                                    <w:top w:val="none" w:sz="0" w:space="0" w:color="auto"/>
                                    <w:left w:val="none" w:sz="0" w:space="0" w:color="auto"/>
                                    <w:bottom w:val="none" w:sz="0" w:space="0" w:color="auto"/>
                                    <w:right w:val="none" w:sz="0" w:space="0" w:color="auto"/>
                                  </w:divBdr>
                                  <w:divsChild>
                                    <w:div w:id="1970739659">
                                      <w:marLeft w:val="0"/>
                                      <w:marRight w:val="0"/>
                                      <w:marTop w:val="0"/>
                                      <w:marBottom w:val="0"/>
                                      <w:divBdr>
                                        <w:top w:val="none" w:sz="0" w:space="0" w:color="auto"/>
                                        <w:left w:val="none" w:sz="0" w:space="0" w:color="auto"/>
                                        <w:bottom w:val="none" w:sz="0" w:space="0" w:color="auto"/>
                                        <w:right w:val="none" w:sz="0" w:space="0" w:color="auto"/>
                                      </w:divBdr>
                                      <w:divsChild>
                                        <w:div w:id="1518423609">
                                          <w:marLeft w:val="0"/>
                                          <w:marRight w:val="0"/>
                                          <w:marTop w:val="0"/>
                                          <w:marBottom w:val="0"/>
                                          <w:divBdr>
                                            <w:top w:val="none" w:sz="0" w:space="0" w:color="auto"/>
                                            <w:left w:val="none" w:sz="0" w:space="0" w:color="auto"/>
                                            <w:bottom w:val="none" w:sz="0" w:space="0" w:color="auto"/>
                                            <w:right w:val="none" w:sz="0" w:space="0" w:color="auto"/>
                                          </w:divBdr>
                                          <w:divsChild>
                                            <w:div w:id="1901859827">
                                              <w:marLeft w:val="0"/>
                                              <w:marRight w:val="0"/>
                                              <w:marTop w:val="0"/>
                                              <w:marBottom w:val="0"/>
                                              <w:divBdr>
                                                <w:top w:val="none" w:sz="0" w:space="0" w:color="auto"/>
                                                <w:left w:val="none" w:sz="0" w:space="0" w:color="auto"/>
                                                <w:bottom w:val="none" w:sz="0" w:space="0" w:color="auto"/>
                                                <w:right w:val="none" w:sz="0" w:space="0" w:color="auto"/>
                                              </w:divBdr>
                                              <w:divsChild>
                                                <w:div w:id="754858037">
                                                  <w:marLeft w:val="0"/>
                                                  <w:marRight w:val="0"/>
                                                  <w:marTop w:val="0"/>
                                                  <w:marBottom w:val="0"/>
                                                  <w:divBdr>
                                                    <w:top w:val="none" w:sz="0" w:space="0" w:color="auto"/>
                                                    <w:left w:val="none" w:sz="0" w:space="0" w:color="auto"/>
                                                    <w:bottom w:val="none" w:sz="0" w:space="0" w:color="auto"/>
                                                    <w:right w:val="none" w:sz="0" w:space="0" w:color="auto"/>
                                                  </w:divBdr>
                                                  <w:divsChild>
                                                    <w:div w:id="1999459428">
                                                      <w:marLeft w:val="0"/>
                                                      <w:marRight w:val="0"/>
                                                      <w:marTop w:val="0"/>
                                                      <w:marBottom w:val="0"/>
                                                      <w:divBdr>
                                                        <w:top w:val="none" w:sz="0" w:space="0" w:color="auto"/>
                                                        <w:left w:val="none" w:sz="0" w:space="0" w:color="auto"/>
                                                        <w:bottom w:val="none" w:sz="0" w:space="0" w:color="auto"/>
                                                        <w:right w:val="none" w:sz="0" w:space="0" w:color="auto"/>
                                                      </w:divBdr>
                                                      <w:divsChild>
                                                        <w:div w:id="20067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14731800">
      <w:bodyDiv w:val="1"/>
      <w:marLeft w:val="0"/>
      <w:marRight w:val="0"/>
      <w:marTop w:val="0"/>
      <w:marBottom w:val="0"/>
      <w:divBdr>
        <w:top w:val="none" w:sz="0" w:space="0" w:color="auto"/>
        <w:left w:val="none" w:sz="0" w:space="0" w:color="auto"/>
        <w:bottom w:val="none" w:sz="0" w:space="0" w:color="auto"/>
        <w:right w:val="none" w:sz="0" w:space="0" w:color="auto"/>
      </w:divBdr>
      <w:divsChild>
        <w:div w:id="1658654127">
          <w:marLeft w:val="0"/>
          <w:marRight w:val="0"/>
          <w:marTop w:val="0"/>
          <w:marBottom w:val="0"/>
          <w:divBdr>
            <w:top w:val="none" w:sz="0" w:space="0" w:color="auto"/>
            <w:left w:val="none" w:sz="0" w:space="0" w:color="auto"/>
            <w:bottom w:val="none" w:sz="0" w:space="0" w:color="auto"/>
            <w:right w:val="none" w:sz="0" w:space="0" w:color="auto"/>
          </w:divBdr>
          <w:divsChild>
            <w:div w:id="1683505402">
              <w:marLeft w:val="0"/>
              <w:marRight w:val="0"/>
              <w:marTop w:val="0"/>
              <w:marBottom w:val="0"/>
              <w:divBdr>
                <w:top w:val="none" w:sz="0" w:space="0" w:color="auto"/>
                <w:left w:val="none" w:sz="0" w:space="0" w:color="auto"/>
                <w:bottom w:val="none" w:sz="0" w:space="0" w:color="auto"/>
                <w:right w:val="none" w:sz="0" w:space="0" w:color="auto"/>
              </w:divBdr>
              <w:divsChild>
                <w:div w:id="1057971092">
                  <w:marLeft w:val="0"/>
                  <w:marRight w:val="0"/>
                  <w:marTop w:val="0"/>
                  <w:marBottom w:val="0"/>
                  <w:divBdr>
                    <w:top w:val="none" w:sz="0" w:space="0" w:color="auto"/>
                    <w:left w:val="none" w:sz="0" w:space="0" w:color="auto"/>
                    <w:bottom w:val="none" w:sz="0" w:space="0" w:color="auto"/>
                    <w:right w:val="none" w:sz="0" w:space="0" w:color="auto"/>
                  </w:divBdr>
                  <w:divsChild>
                    <w:div w:id="1123383790">
                      <w:marLeft w:val="0"/>
                      <w:marRight w:val="0"/>
                      <w:marTop w:val="0"/>
                      <w:marBottom w:val="0"/>
                      <w:divBdr>
                        <w:top w:val="none" w:sz="0" w:space="0" w:color="auto"/>
                        <w:left w:val="none" w:sz="0" w:space="0" w:color="auto"/>
                        <w:bottom w:val="none" w:sz="0" w:space="0" w:color="auto"/>
                        <w:right w:val="none" w:sz="0" w:space="0" w:color="auto"/>
                      </w:divBdr>
                      <w:divsChild>
                        <w:div w:id="931201810">
                          <w:marLeft w:val="0"/>
                          <w:marRight w:val="0"/>
                          <w:marTop w:val="0"/>
                          <w:marBottom w:val="0"/>
                          <w:divBdr>
                            <w:top w:val="none" w:sz="0" w:space="0" w:color="auto"/>
                            <w:left w:val="none" w:sz="0" w:space="0" w:color="auto"/>
                            <w:bottom w:val="none" w:sz="0" w:space="0" w:color="auto"/>
                            <w:right w:val="none" w:sz="0" w:space="0" w:color="auto"/>
                          </w:divBdr>
                          <w:divsChild>
                            <w:div w:id="648753424">
                              <w:marLeft w:val="0"/>
                              <w:marRight w:val="0"/>
                              <w:marTop w:val="0"/>
                              <w:marBottom w:val="0"/>
                              <w:divBdr>
                                <w:top w:val="none" w:sz="0" w:space="0" w:color="auto"/>
                                <w:left w:val="none" w:sz="0" w:space="0" w:color="auto"/>
                                <w:bottom w:val="none" w:sz="0" w:space="0" w:color="auto"/>
                                <w:right w:val="none" w:sz="0" w:space="0" w:color="auto"/>
                              </w:divBdr>
                              <w:divsChild>
                                <w:div w:id="181864409">
                                  <w:marLeft w:val="0"/>
                                  <w:marRight w:val="0"/>
                                  <w:marTop w:val="0"/>
                                  <w:marBottom w:val="0"/>
                                  <w:divBdr>
                                    <w:top w:val="none" w:sz="0" w:space="0" w:color="auto"/>
                                    <w:left w:val="none" w:sz="0" w:space="0" w:color="auto"/>
                                    <w:bottom w:val="none" w:sz="0" w:space="0" w:color="auto"/>
                                    <w:right w:val="none" w:sz="0" w:space="0" w:color="auto"/>
                                  </w:divBdr>
                                  <w:divsChild>
                                    <w:div w:id="540020377">
                                      <w:marLeft w:val="0"/>
                                      <w:marRight w:val="0"/>
                                      <w:marTop w:val="0"/>
                                      <w:marBottom w:val="0"/>
                                      <w:divBdr>
                                        <w:top w:val="none" w:sz="0" w:space="0" w:color="auto"/>
                                        <w:left w:val="none" w:sz="0" w:space="0" w:color="auto"/>
                                        <w:bottom w:val="none" w:sz="0" w:space="0" w:color="auto"/>
                                        <w:right w:val="none" w:sz="0" w:space="0" w:color="auto"/>
                                      </w:divBdr>
                                      <w:divsChild>
                                        <w:div w:id="1592541129">
                                          <w:marLeft w:val="0"/>
                                          <w:marRight w:val="0"/>
                                          <w:marTop w:val="0"/>
                                          <w:marBottom w:val="0"/>
                                          <w:divBdr>
                                            <w:top w:val="none" w:sz="0" w:space="0" w:color="auto"/>
                                            <w:left w:val="none" w:sz="0" w:space="0" w:color="auto"/>
                                            <w:bottom w:val="none" w:sz="0" w:space="0" w:color="auto"/>
                                            <w:right w:val="none" w:sz="0" w:space="0" w:color="auto"/>
                                          </w:divBdr>
                                          <w:divsChild>
                                            <w:div w:id="1241789659">
                                              <w:marLeft w:val="0"/>
                                              <w:marRight w:val="0"/>
                                              <w:marTop w:val="0"/>
                                              <w:marBottom w:val="0"/>
                                              <w:divBdr>
                                                <w:top w:val="none" w:sz="0" w:space="0" w:color="auto"/>
                                                <w:left w:val="none" w:sz="0" w:space="0" w:color="auto"/>
                                                <w:bottom w:val="none" w:sz="0" w:space="0" w:color="auto"/>
                                                <w:right w:val="none" w:sz="0" w:space="0" w:color="auto"/>
                                              </w:divBdr>
                                              <w:divsChild>
                                                <w:div w:id="190189904">
                                                  <w:marLeft w:val="0"/>
                                                  <w:marRight w:val="0"/>
                                                  <w:marTop w:val="0"/>
                                                  <w:marBottom w:val="0"/>
                                                  <w:divBdr>
                                                    <w:top w:val="none" w:sz="0" w:space="0" w:color="auto"/>
                                                    <w:left w:val="none" w:sz="0" w:space="0" w:color="auto"/>
                                                    <w:bottom w:val="none" w:sz="0" w:space="0" w:color="auto"/>
                                                    <w:right w:val="none" w:sz="0" w:space="0" w:color="auto"/>
                                                  </w:divBdr>
                                                  <w:divsChild>
                                                    <w:div w:id="83108693">
                                                      <w:marLeft w:val="0"/>
                                                      <w:marRight w:val="0"/>
                                                      <w:marTop w:val="0"/>
                                                      <w:marBottom w:val="0"/>
                                                      <w:divBdr>
                                                        <w:top w:val="none" w:sz="0" w:space="0" w:color="auto"/>
                                                        <w:left w:val="none" w:sz="0" w:space="0" w:color="auto"/>
                                                        <w:bottom w:val="none" w:sz="0" w:space="0" w:color="auto"/>
                                                        <w:right w:val="none" w:sz="0" w:space="0" w:color="auto"/>
                                                      </w:divBdr>
                                                      <w:divsChild>
                                                        <w:div w:id="7729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8988963">
      <w:bodyDiv w:val="1"/>
      <w:marLeft w:val="0"/>
      <w:marRight w:val="0"/>
      <w:marTop w:val="0"/>
      <w:marBottom w:val="0"/>
      <w:divBdr>
        <w:top w:val="none" w:sz="0" w:space="0" w:color="auto"/>
        <w:left w:val="none" w:sz="0" w:space="0" w:color="auto"/>
        <w:bottom w:val="none" w:sz="0" w:space="0" w:color="auto"/>
        <w:right w:val="none" w:sz="0" w:space="0" w:color="auto"/>
      </w:divBdr>
      <w:divsChild>
        <w:div w:id="1610359660">
          <w:marLeft w:val="0"/>
          <w:marRight w:val="0"/>
          <w:marTop w:val="0"/>
          <w:marBottom w:val="0"/>
          <w:divBdr>
            <w:top w:val="none" w:sz="0" w:space="0" w:color="auto"/>
            <w:left w:val="none" w:sz="0" w:space="0" w:color="auto"/>
            <w:bottom w:val="none" w:sz="0" w:space="0" w:color="auto"/>
            <w:right w:val="none" w:sz="0" w:space="0" w:color="auto"/>
          </w:divBdr>
          <w:divsChild>
            <w:div w:id="863903842">
              <w:marLeft w:val="0"/>
              <w:marRight w:val="0"/>
              <w:marTop w:val="0"/>
              <w:marBottom w:val="0"/>
              <w:divBdr>
                <w:top w:val="none" w:sz="0" w:space="0" w:color="auto"/>
                <w:left w:val="none" w:sz="0" w:space="0" w:color="auto"/>
                <w:bottom w:val="none" w:sz="0" w:space="0" w:color="auto"/>
                <w:right w:val="none" w:sz="0" w:space="0" w:color="auto"/>
              </w:divBdr>
              <w:divsChild>
                <w:div w:id="671033124">
                  <w:marLeft w:val="0"/>
                  <w:marRight w:val="0"/>
                  <w:marTop w:val="0"/>
                  <w:marBottom w:val="0"/>
                  <w:divBdr>
                    <w:top w:val="none" w:sz="0" w:space="0" w:color="auto"/>
                    <w:left w:val="none" w:sz="0" w:space="0" w:color="auto"/>
                    <w:bottom w:val="none" w:sz="0" w:space="0" w:color="auto"/>
                    <w:right w:val="none" w:sz="0" w:space="0" w:color="auto"/>
                  </w:divBdr>
                  <w:divsChild>
                    <w:div w:id="1447582684">
                      <w:marLeft w:val="0"/>
                      <w:marRight w:val="0"/>
                      <w:marTop w:val="0"/>
                      <w:marBottom w:val="0"/>
                      <w:divBdr>
                        <w:top w:val="none" w:sz="0" w:space="0" w:color="auto"/>
                        <w:left w:val="none" w:sz="0" w:space="0" w:color="auto"/>
                        <w:bottom w:val="none" w:sz="0" w:space="0" w:color="auto"/>
                        <w:right w:val="none" w:sz="0" w:space="0" w:color="auto"/>
                      </w:divBdr>
                      <w:divsChild>
                        <w:div w:id="2126580168">
                          <w:marLeft w:val="0"/>
                          <w:marRight w:val="0"/>
                          <w:marTop w:val="0"/>
                          <w:marBottom w:val="0"/>
                          <w:divBdr>
                            <w:top w:val="none" w:sz="0" w:space="0" w:color="auto"/>
                            <w:left w:val="none" w:sz="0" w:space="0" w:color="auto"/>
                            <w:bottom w:val="none" w:sz="0" w:space="0" w:color="auto"/>
                            <w:right w:val="none" w:sz="0" w:space="0" w:color="auto"/>
                          </w:divBdr>
                          <w:divsChild>
                            <w:div w:id="1516387612">
                              <w:marLeft w:val="0"/>
                              <w:marRight w:val="0"/>
                              <w:marTop w:val="0"/>
                              <w:marBottom w:val="0"/>
                              <w:divBdr>
                                <w:top w:val="none" w:sz="0" w:space="0" w:color="auto"/>
                                <w:left w:val="none" w:sz="0" w:space="0" w:color="auto"/>
                                <w:bottom w:val="none" w:sz="0" w:space="0" w:color="auto"/>
                                <w:right w:val="none" w:sz="0" w:space="0" w:color="auto"/>
                              </w:divBdr>
                              <w:divsChild>
                                <w:div w:id="866021763">
                                  <w:marLeft w:val="0"/>
                                  <w:marRight w:val="0"/>
                                  <w:marTop w:val="0"/>
                                  <w:marBottom w:val="0"/>
                                  <w:divBdr>
                                    <w:top w:val="none" w:sz="0" w:space="0" w:color="auto"/>
                                    <w:left w:val="none" w:sz="0" w:space="0" w:color="auto"/>
                                    <w:bottom w:val="none" w:sz="0" w:space="0" w:color="auto"/>
                                    <w:right w:val="none" w:sz="0" w:space="0" w:color="auto"/>
                                  </w:divBdr>
                                  <w:divsChild>
                                    <w:div w:id="1458990302">
                                      <w:marLeft w:val="0"/>
                                      <w:marRight w:val="0"/>
                                      <w:marTop w:val="0"/>
                                      <w:marBottom w:val="0"/>
                                      <w:divBdr>
                                        <w:top w:val="none" w:sz="0" w:space="0" w:color="auto"/>
                                        <w:left w:val="none" w:sz="0" w:space="0" w:color="auto"/>
                                        <w:bottom w:val="none" w:sz="0" w:space="0" w:color="auto"/>
                                        <w:right w:val="none" w:sz="0" w:space="0" w:color="auto"/>
                                      </w:divBdr>
                                      <w:divsChild>
                                        <w:div w:id="1206136087">
                                          <w:marLeft w:val="0"/>
                                          <w:marRight w:val="0"/>
                                          <w:marTop w:val="0"/>
                                          <w:marBottom w:val="0"/>
                                          <w:divBdr>
                                            <w:top w:val="none" w:sz="0" w:space="0" w:color="auto"/>
                                            <w:left w:val="none" w:sz="0" w:space="0" w:color="auto"/>
                                            <w:bottom w:val="none" w:sz="0" w:space="0" w:color="auto"/>
                                            <w:right w:val="none" w:sz="0" w:space="0" w:color="auto"/>
                                          </w:divBdr>
                                          <w:divsChild>
                                            <w:div w:id="501749310">
                                              <w:marLeft w:val="0"/>
                                              <w:marRight w:val="0"/>
                                              <w:marTop w:val="0"/>
                                              <w:marBottom w:val="0"/>
                                              <w:divBdr>
                                                <w:top w:val="none" w:sz="0" w:space="0" w:color="auto"/>
                                                <w:left w:val="none" w:sz="0" w:space="0" w:color="auto"/>
                                                <w:bottom w:val="none" w:sz="0" w:space="0" w:color="auto"/>
                                                <w:right w:val="none" w:sz="0" w:space="0" w:color="auto"/>
                                              </w:divBdr>
                                              <w:divsChild>
                                                <w:div w:id="152533705">
                                                  <w:marLeft w:val="0"/>
                                                  <w:marRight w:val="0"/>
                                                  <w:marTop w:val="0"/>
                                                  <w:marBottom w:val="0"/>
                                                  <w:divBdr>
                                                    <w:top w:val="none" w:sz="0" w:space="0" w:color="auto"/>
                                                    <w:left w:val="none" w:sz="0" w:space="0" w:color="auto"/>
                                                    <w:bottom w:val="none" w:sz="0" w:space="0" w:color="auto"/>
                                                    <w:right w:val="none" w:sz="0" w:space="0" w:color="auto"/>
                                                  </w:divBdr>
                                                  <w:divsChild>
                                                    <w:div w:id="936717705">
                                                      <w:marLeft w:val="0"/>
                                                      <w:marRight w:val="0"/>
                                                      <w:marTop w:val="0"/>
                                                      <w:marBottom w:val="0"/>
                                                      <w:divBdr>
                                                        <w:top w:val="none" w:sz="0" w:space="0" w:color="auto"/>
                                                        <w:left w:val="none" w:sz="0" w:space="0" w:color="auto"/>
                                                        <w:bottom w:val="none" w:sz="0" w:space="0" w:color="auto"/>
                                                        <w:right w:val="none" w:sz="0" w:space="0" w:color="auto"/>
                                                      </w:divBdr>
                                                      <w:divsChild>
                                                        <w:div w:id="7110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2.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3.xml><?xml version="1.0" encoding="utf-8"?>
<ds:datastoreItem xmlns:ds="http://schemas.openxmlformats.org/officeDocument/2006/customXml" ds:itemID="{0E5324EE-A4EA-4803-87EC-7781638E8A55}">
  <ds:schemaRefs>
    <ds:schemaRef ds:uri="office.server.policy"/>
  </ds:schemaRefs>
</ds:datastoreItem>
</file>

<file path=customXml/itemProps4.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5.xml><?xml version="1.0" encoding="utf-8"?>
<ds:datastoreItem xmlns:ds="http://schemas.openxmlformats.org/officeDocument/2006/customXml" ds:itemID="{5D9DC56D-192C-4587-93BF-18E6C4E93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01A2CC-2EDD-4595-9D39-605D848B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Economou, Renee</cp:lastModifiedBy>
  <cp:revision>1</cp:revision>
  <cp:lastPrinted>2017-02-03T02:55:00Z</cp:lastPrinted>
  <dcterms:created xsi:type="dcterms:W3CDTF">2017-04-11T23:52:00Z</dcterms:created>
  <dcterms:modified xsi:type="dcterms:W3CDTF">2017-04-11T23:52:00Z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