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16" w:rsidRDefault="001F2A16"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FDocName"/>
      <w:r w:rsidRPr="001F2A16">
        <w:rPr>
          <w:rFonts w:ascii="Arial" w:hAnsi="Arial" w:cs="Arial"/>
          <w:sz w:val="34"/>
          <w:szCs w:val="34"/>
        </w:rPr>
        <w:t>Explanatory Statement</w:t>
      </w:r>
    </w:p>
    <w:p w:rsidR="00E40C24" w:rsidRPr="001F2A16" w:rsidRDefault="00E40C24"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rsidR="0077651C" w:rsidRPr="00D91A1D" w:rsidRDefault="0077651C" w:rsidP="00AF4CA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D91A1D">
        <w:rPr>
          <w:rFonts w:ascii="Arial" w:hAnsi="Arial" w:cs="Arial"/>
          <w:sz w:val="34"/>
          <w:szCs w:val="34"/>
        </w:rPr>
        <w:t>Goods and Services Tax</w:t>
      </w:r>
      <w:r w:rsidR="00130131" w:rsidRPr="00D91A1D">
        <w:rPr>
          <w:rFonts w:ascii="Arial" w:hAnsi="Arial" w:cs="Arial"/>
          <w:sz w:val="34"/>
          <w:szCs w:val="34"/>
        </w:rPr>
        <w:t>:</w:t>
      </w:r>
      <w:r w:rsidRPr="00D91A1D">
        <w:rPr>
          <w:rFonts w:ascii="Arial" w:hAnsi="Arial" w:cs="Arial"/>
          <w:sz w:val="34"/>
          <w:szCs w:val="34"/>
        </w:rPr>
        <w:t xml:space="preserve"> Waiver of Requirement to hold a Tax Invoice Determination </w:t>
      </w:r>
      <w:r w:rsidR="00E23D62" w:rsidRPr="006A101F">
        <w:rPr>
          <w:rFonts w:ascii="Arial" w:hAnsi="Arial" w:cs="Arial"/>
          <w:sz w:val="34"/>
          <w:szCs w:val="34"/>
        </w:rPr>
        <w:t xml:space="preserve">2017 </w:t>
      </w:r>
      <w:r w:rsidR="00B63F2D" w:rsidRPr="00D91A1D">
        <w:rPr>
          <w:rFonts w:ascii="Arial" w:hAnsi="Arial" w:cs="Arial"/>
          <w:sz w:val="34"/>
          <w:szCs w:val="34"/>
        </w:rPr>
        <w:t>–</w:t>
      </w:r>
      <w:r w:rsidRPr="00D91A1D">
        <w:rPr>
          <w:rFonts w:ascii="Arial" w:hAnsi="Arial" w:cs="Arial"/>
          <w:sz w:val="34"/>
          <w:szCs w:val="34"/>
        </w:rPr>
        <w:t xml:space="preserve"> </w:t>
      </w:r>
      <w:r w:rsidR="00E23D62" w:rsidRPr="00D91A1D">
        <w:rPr>
          <w:rFonts w:ascii="Arial" w:hAnsi="Arial" w:cs="Arial"/>
          <w:sz w:val="34"/>
          <w:szCs w:val="34"/>
        </w:rPr>
        <w:t>Members of Master</w:t>
      </w:r>
      <w:r w:rsidR="00130131" w:rsidRPr="00D91A1D">
        <w:rPr>
          <w:rFonts w:ascii="Arial" w:hAnsi="Arial" w:cs="Arial"/>
          <w:sz w:val="34"/>
          <w:szCs w:val="34"/>
        </w:rPr>
        <w:t>C</w:t>
      </w:r>
      <w:r w:rsidR="00E23D62" w:rsidRPr="00D91A1D">
        <w:rPr>
          <w:rFonts w:ascii="Arial" w:hAnsi="Arial" w:cs="Arial"/>
          <w:sz w:val="34"/>
          <w:szCs w:val="34"/>
        </w:rPr>
        <w:t>ard</w:t>
      </w:r>
      <w:r w:rsidR="00865EAE" w:rsidRPr="00D91A1D">
        <w:rPr>
          <w:rFonts w:ascii="Arial" w:hAnsi="Arial" w:cs="Arial"/>
          <w:sz w:val="34"/>
          <w:szCs w:val="34"/>
        </w:rPr>
        <w:t xml:space="preserve"> </w:t>
      </w:r>
      <w:r w:rsidR="00E23D62" w:rsidRPr="00D91A1D">
        <w:rPr>
          <w:rFonts w:ascii="Arial" w:hAnsi="Arial" w:cs="Arial"/>
          <w:sz w:val="34"/>
          <w:szCs w:val="34"/>
        </w:rPr>
        <w:t>International and Visa International</w:t>
      </w:r>
      <w:r w:rsidR="00B63F2D" w:rsidRPr="00D91A1D">
        <w:rPr>
          <w:rFonts w:ascii="Arial" w:hAnsi="Arial" w:cs="Arial"/>
          <w:sz w:val="34"/>
          <w:szCs w:val="34"/>
        </w:rPr>
        <w:t xml:space="preserve"> – Bank Interchange</w:t>
      </w:r>
      <w:r w:rsidR="00CC35B3">
        <w:rPr>
          <w:rFonts w:ascii="Arial" w:hAnsi="Arial" w:cs="Arial"/>
          <w:sz w:val="34"/>
          <w:szCs w:val="34"/>
        </w:rPr>
        <w:t xml:space="preserve"> </w:t>
      </w:r>
      <w:r w:rsidR="00B63F2D" w:rsidRPr="00D91A1D">
        <w:rPr>
          <w:rFonts w:ascii="Arial" w:hAnsi="Arial" w:cs="Arial"/>
          <w:sz w:val="34"/>
          <w:szCs w:val="34"/>
        </w:rPr>
        <w:t>Services</w:t>
      </w:r>
      <w:r w:rsidR="006A101F">
        <w:rPr>
          <w:rFonts w:ascii="Arial" w:hAnsi="Arial" w:cs="Arial"/>
          <w:sz w:val="34"/>
          <w:szCs w:val="34"/>
        </w:rPr>
        <w:br/>
      </w:r>
    </w:p>
    <w:p w:rsidR="001F2A16" w:rsidRPr="001F2A16" w:rsidRDefault="001F2A16" w:rsidP="0099555F">
      <w:pPr>
        <w:pStyle w:val="Header"/>
        <w:tabs>
          <w:tab w:val="clear" w:pos="4153"/>
          <w:tab w:val="clear" w:pos="8306"/>
        </w:tabs>
        <w:jc w:val="center"/>
        <w:rPr>
          <w:rFonts w:ascii="Arial" w:hAnsi="Arial" w:cs="Arial"/>
          <w:szCs w:val="24"/>
        </w:rPr>
      </w:pPr>
    </w:p>
    <w:p w:rsidR="00486653" w:rsidRPr="00541DDE" w:rsidRDefault="00DB2258" w:rsidP="00486653">
      <w:pPr>
        <w:pStyle w:val="Heading2"/>
        <w:rPr>
          <w:sz w:val="24"/>
          <w:szCs w:val="24"/>
        </w:rPr>
      </w:pPr>
      <w:bookmarkStart w:id="1" w:name="EDisclaimer"/>
      <w:bookmarkStart w:id="2" w:name="HBody"/>
      <w:bookmarkStart w:id="3" w:name="LReferences"/>
      <w:bookmarkStart w:id="4" w:name="NRulingRef"/>
      <w:bookmarkStart w:id="5" w:name="OSubjectRef"/>
      <w:bookmarkStart w:id="6" w:name="PLegrefText"/>
      <w:bookmarkStart w:id="7" w:name="QLegref"/>
      <w:bookmarkStart w:id="8" w:name="RCaseRefText"/>
      <w:bookmarkStart w:id="9" w:name="SCaseRef"/>
      <w:bookmarkStart w:id="10" w:name="VISSN"/>
      <w:bookmarkEnd w:id="0"/>
      <w:bookmarkEnd w:id="1"/>
      <w:bookmarkEnd w:id="2"/>
      <w:bookmarkEnd w:id="3"/>
      <w:bookmarkEnd w:id="4"/>
      <w:bookmarkEnd w:id="5"/>
      <w:bookmarkEnd w:id="6"/>
      <w:bookmarkEnd w:id="7"/>
      <w:bookmarkEnd w:id="8"/>
      <w:bookmarkEnd w:id="9"/>
      <w:bookmarkEnd w:id="10"/>
      <w:r w:rsidRPr="00541DDE">
        <w:rPr>
          <w:sz w:val="24"/>
          <w:szCs w:val="24"/>
        </w:rPr>
        <w:t>General o</w:t>
      </w:r>
      <w:r w:rsidR="00486653" w:rsidRPr="00541DDE">
        <w:rPr>
          <w:sz w:val="24"/>
          <w:szCs w:val="24"/>
        </w:rPr>
        <w:t xml:space="preserve">utline of </w:t>
      </w:r>
      <w:r w:rsidRPr="00541DDE">
        <w:rPr>
          <w:sz w:val="24"/>
          <w:szCs w:val="24"/>
        </w:rPr>
        <w:t>determination</w:t>
      </w:r>
    </w:p>
    <w:p w:rsidR="00486653" w:rsidRDefault="00486653" w:rsidP="006C677A">
      <w:pPr>
        <w:numPr>
          <w:ilvl w:val="0"/>
          <w:numId w:val="16"/>
        </w:numPr>
        <w:tabs>
          <w:tab w:val="clear" w:pos="720"/>
          <w:tab w:val="num" w:pos="426"/>
        </w:tabs>
        <w:spacing w:after="120"/>
        <w:ind w:left="426" w:hanging="426"/>
        <w:rPr>
          <w:rFonts w:ascii="Arial" w:eastAsia="Calibri" w:hAnsi="Arial" w:cs="Arial"/>
          <w:sz w:val="22"/>
          <w:szCs w:val="22"/>
          <w:lang w:eastAsia="en-US"/>
        </w:rPr>
      </w:pPr>
      <w:bookmarkStart w:id="11" w:name="IComments"/>
      <w:r w:rsidRPr="00FC23E1">
        <w:rPr>
          <w:rFonts w:ascii="Arial" w:eastAsia="Calibri" w:hAnsi="Arial" w:cs="Arial"/>
          <w:sz w:val="22"/>
          <w:szCs w:val="22"/>
          <w:lang w:eastAsia="en-US"/>
        </w:rPr>
        <w:t xml:space="preserve">This </w:t>
      </w:r>
      <w:r w:rsidR="00FC23E1">
        <w:rPr>
          <w:rFonts w:ascii="Arial" w:eastAsia="Calibri" w:hAnsi="Arial" w:cs="Arial"/>
          <w:sz w:val="22"/>
          <w:szCs w:val="22"/>
          <w:lang w:eastAsia="en-US"/>
        </w:rPr>
        <w:t>determination</w:t>
      </w:r>
      <w:r w:rsidRPr="00FC23E1">
        <w:rPr>
          <w:rFonts w:ascii="Arial" w:eastAsia="Calibri" w:hAnsi="Arial" w:cs="Arial"/>
          <w:sz w:val="22"/>
          <w:szCs w:val="22"/>
          <w:lang w:eastAsia="en-US"/>
        </w:rPr>
        <w:t xml:space="preserve"> is made </w:t>
      </w:r>
      <w:r w:rsidR="00FC23E1" w:rsidRPr="00FC23E1">
        <w:rPr>
          <w:rFonts w:ascii="Arial" w:eastAsia="Calibri" w:hAnsi="Arial" w:cs="Arial"/>
          <w:sz w:val="22"/>
          <w:szCs w:val="22"/>
          <w:lang w:eastAsia="en-US"/>
        </w:rPr>
        <w:t xml:space="preserve">under </w:t>
      </w:r>
      <w:r w:rsidR="0077651C" w:rsidRPr="003A7CB2">
        <w:rPr>
          <w:rFonts w:ascii="Arial" w:hAnsi="Arial" w:cs="Arial"/>
          <w:sz w:val="22"/>
          <w:szCs w:val="22"/>
        </w:rPr>
        <w:t>subsection 29-</w:t>
      </w:r>
      <w:r w:rsidR="00651C0C">
        <w:rPr>
          <w:rFonts w:ascii="Arial" w:hAnsi="Arial" w:cs="Arial"/>
          <w:sz w:val="22"/>
          <w:szCs w:val="22"/>
        </w:rPr>
        <w:t>10</w:t>
      </w:r>
      <w:r w:rsidR="0077651C" w:rsidRPr="003A7CB2">
        <w:rPr>
          <w:rFonts w:ascii="Arial" w:hAnsi="Arial" w:cs="Arial"/>
          <w:sz w:val="22"/>
          <w:szCs w:val="22"/>
        </w:rPr>
        <w:t>(</w:t>
      </w:r>
      <w:r w:rsidR="00651C0C">
        <w:rPr>
          <w:rFonts w:ascii="Arial" w:hAnsi="Arial" w:cs="Arial"/>
          <w:sz w:val="22"/>
          <w:szCs w:val="22"/>
        </w:rPr>
        <w:t>3</w:t>
      </w:r>
      <w:r w:rsidR="0077651C" w:rsidRPr="003A7CB2">
        <w:rPr>
          <w:rFonts w:ascii="Arial" w:hAnsi="Arial" w:cs="Arial"/>
          <w:sz w:val="22"/>
          <w:szCs w:val="22"/>
        </w:rPr>
        <w:t xml:space="preserve">) of the </w:t>
      </w:r>
      <w:r w:rsidR="0077651C" w:rsidRPr="003A7CB2">
        <w:rPr>
          <w:rFonts w:ascii="Arial" w:hAnsi="Arial" w:cs="Arial"/>
          <w:i/>
          <w:iCs/>
          <w:sz w:val="22"/>
          <w:szCs w:val="22"/>
        </w:rPr>
        <w:t>A New Tax System (Goods and Services Tax) Act 1999</w:t>
      </w:r>
      <w:r w:rsidR="00FC23E1" w:rsidRPr="00FC23E1">
        <w:rPr>
          <w:rFonts w:ascii="Arial" w:eastAsia="Calibri" w:hAnsi="Arial" w:cs="Arial"/>
          <w:sz w:val="22"/>
          <w:szCs w:val="22"/>
          <w:lang w:eastAsia="en-US"/>
        </w:rPr>
        <w:t xml:space="preserve"> (GST Act).</w:t>
      </w:r>
    </w:p>
    <w:p w:rsidR="0044370A" w:rsidRPr="00FC23E1" w:rsidRDefault="0044370A" w:rsidP="006C677A">
      <w:pPr>
        <w:numPr>
          <w:ilvl w:val="0"/>
          <w:numId w:val="16"/>
        </w:numPr>
        <w:tabs>
          <w:tab w:val="clear" w:pos="720"/>
          <w:tab w:val="num" w:pos="426"/>
        </w:tabs>
        <w:spacing w:after="120"/>
        <w:ind w:left="426" w:hanging="426"/>
        <w:rPr>
          <w:rFonts w:ascii="Arial" w:eastAsia="Calibri" w:hAnsi="Arial" w:cs="Arial"/>
          <w:sz w:val="22"/>
          <w:szCs w:val="22"/>
          <w:lang w:eastAsia="en-US"/>
        </w:rPr>
      </w:pPr>
      <w:r w:rsidRPr="00FC23E1">
        <w:rPr>
          <w:rFonts w:ascii="Arial" w:eastAsia="Calibri" w:hAnsi="Arial" w:cs="Arial"/>
          <w:sz w:val="22"/>
          <w:szCs w:val="22"/>
          <w:lang w:eastAsia="en-US"/>
        </w:rPr>
        <w:t xml:space="preserve">Under subsection 33(3) of the </w:t>
      </w:r>
      <w:r w:rsidRPr="00FC23E1">
        <w:rPr>
          <w:rFonts w:ascii="Arial" w:eastAsia="Calibri" w:hAnsi="Arial" w:cs="Arial"/>
          <w:i/>
          <w:sz w:val="22"/>
          <w:szCs w:val="22"/>
          <w:lang w:eastAsia="en-US"/>
        </w:rPr>
        <w:t>Acts Interpretation Act 1901</w:t>
      </w:r>
      <w:r w:rsidRPr="00FC23E1">
        <w:rPr>
          <w:rFonts w:ascii="Arial" w:eastAsia="Calibri" w:hAnsi="Arial" w:cs="Arial"/>
          <w:sz w:val="22"/>
          <w:szCs w:val="22"/>
          <w:lang w:eastAsia="en-US"/>
        </w:rPr>
        <w:t>, where an Act confers a power to make, grant or issue any determination of a legislative or administrative character (including rules, regulations or by-laws) the power shall be construed as including a power exercisable in the like manner and subject to the like conditions (if any) to repeal, rescind, revoke, amend, or vary any such determination.</w:t>
      </w:r>
    </w:p>
    <w:p w:rsidR="0077422A" w:rsidRPr="0077422A" w:rsidRDefault="0077422A" w:rsidP="006C677A">
      <w:pPr>
        <w:numPr>
          <w:ilvl w:val="0"/>
          <w:numId w:val="16"/>
        </w:numPr>
        <w:tabs>
          <w:tab w:val="clear" w:pos="720"/>
          <w:tab w:val="num" w:pos="426"/>
        </w:tabs>
        <w:spacing w:after="120"/>
        <w:ind w:left="426" w:hanging="426"/>
        <w:rPr>
          <w:rFonts w:ascii="Arial" w:eastAsia="Calibri" w:hAnsi="Arial" w:cs="Arial"/>
          <w:sz w:val="22"/>
          <w:szCs w:val="22"/>
          <w:lang w:eastAsia="en-US"/>
        </w:rPr>
      </w:pPr>
      <w:r w:rsidRPr="0077422A">
        <w:rPr>
          <w:rFonts w:ascii="Arial" w:eastAsia="Calibri" w:hAnsi="Arial" w:cs="Arial"/>
          <w:sz w:val="22"/>
          <w:szCs w:val="22"/>
          <w:lang w:eastAsia="en-US"/>
        </w:rPr>
        <w:t>Th</w:t>
      </w:r>
      <w:r w:rsidR="00C36D50">
        <w:rPr>
          <w:rFonts w:ascii="Arial" w:eastAsia="Calibri" w:hAnsi="Arial" w:cs="Arial"/>
          <w:sz w:val="22"/>
          <w:szCs w:val="22"/>
          <w:lang w:eastAsia="en-US"/>
        </w:rPr>
        <w:t>is</w:t>
      </w:r>
      <w:r w:rsidRPr="0077422A">
        <w:rPr>
          <w:rFonts w:ascii="Arial" w:eastAsia="Calibri" w:hAnsi="Arial" w:cs="Arial"/>
          <w:sz w:val="22"/>
          <w:szCs w:val="22"/>
          <w:lang w:eastAsia="en-US"/>
        </w:rPr>
        <w:t xml:space="preserve"> determination allows </w:t>
      </w:r>
      <w:r w:rsidR="0015282C">
        <w:rPr>
          <w:rFonts w:ascii="Arial" w:eastAsia="Calibri" w:hAnsi="Arial" w:cs="Arial"/>
          <w:sz w:val="22"/>
          <w:szCs w:val="22"/>
          <w:lang w:eastAsia="en-US"/>
        </w:rPr>
        <w:t xml:space="preserve">a </w:t>
      </w:r>
      <w:r w:rsidR="00B34A60" w:rsidRPr="00D50972">
        <w:rPr>
          <w:rFonts w:ascii="Arial" w:eastAsia="Calibri" w:hAnsi="Arial" w:cs="Arial"/>
          <w:b/>
          <w:sz w:val="22"/>
          <w:szCs w:val="22"/>
          <w:lang w:eastAsia="en-US"/>
        </w:rPr>
        <w:t>member</w:t>
      </w:r>
      <w:r w:rsidRPr="0077422A">
        <w:rPr>
          <w:rFonts w:ascii="Arial" w:eastAsia="Calibri" w:hAnsi="Arial" w:cs="Arial"/>
          <w:sz w:val="22"/>
          <w:szCs w:val="22"/>
          <w:lang w:eastAsia="en-US"/>
        </w:rPr>
        <w:t xml:space="preserve"> to claim input tax credits </w:t>
      </w:r>
      <w:r w:rsidR="003A4EC1">
        <w:rPr>
          <w:rFonts w:ascii="Arial" w:eastAsia="Calibri" w:hAnsi="Arial" w:cs="Arial"/>
          <w:sz w:val="22"/>
          <w:szCs w:val="22"/>
          <w:lang w:eastAsia="en-US"/>
        </w:rPr>
        <w:t xml:space="preserve">related to </w:t>
      </w:r>
      <w:r w:rsidR="003A4EC1" w:rsidRPr="00D50972">
        <w:rPr>
          <w:rFonts w:ascii="Arial" w:eastAsia="Calibri" w:hAnsi="Arial" w:cs="Arial"/>
          <w:b/>
          <w:sz w:val="22"/>
          <w:szCs w:val="22"/>
          <w:lang w:eastAsia="en-US"/>
        </w:rPr>
        <w:t>bank interchange services</w:t>
      </w:r>
      <w:r w:rsidR="003A4EC1">
        <w:rPr>
          <w:rFonts w:ascii="Arial" w:eastAsia="Calibri" w:hAnsi="Arial" w:cs="Arial"/>
          <w:sz w:val="22"/>
          <w:szCs w:val="22"/>
          <w:lang w:eastAsia="en-US"/>
        </w:rPr>
        <w:t xml:space="preserve"> </w:t>
      </w:r>
      <w:r w:rsidRPr="0077422A">
        <w:rPr>
          <w:rFonts w:ascii="Arial" w:eastAsia="Calibri" w:hAnsi="Arial" w:cs="Arial"/>
          <w:sz w:val="22"/>
          <w:szCs w:val="22"/>
          <w:lang w:eastAsia="en-US"/>
        </w:rPr>
        <w:t xml:space="preserve">without holding a tax invoice in certain circumstances. </w:t>
      </w:r>
    </w:p>
    <w:p w:rsidR="00541DDE" w:rsidRDefault="00935232" w:rsidP="006C677A">
      <w:pPr>
        <w:numPr>
          <w:ilvl w:val="0"/>
          <w:numId w:val="16"/>
        </w:numPr>
        <w:tabs>
          <w:tab w:val="clear" w:pos="720"/>
          <w:tab w:val="num" w:pos="426"/>
        </w:tabs>
        <w:spacing w:after="120"/>
        <w:ind w:left="425" w:hanging="426"/>
        <w:contextualSpacing/>
        <w:rPr>
          <w:rFonts w:ascii="Arial" w:hAnsi="Arial" w:cs="Arial"/>
          <w:sz w:val="22"/>
          <w:szCs w:val="22"/>
        </w:rPr>
      </w:pPr>
      <w:r w:rsidRPr="00541DDE">
        <w:rPr>
          <w:rFonts w:ascii="Arial" w:hAnsi="Arial" w:cs="Arial"/>
          <w:sz w:val="22"/>
          <w:szCs w:val="22"/>
        </w:rPr>
        <w:t>Th</w:t>
      </w:r>
      <w:r w:rsidR="00C36D50">
        <w:rPr>
          <w:rFonts w:ascii="Arial" w:hAnsi="Arial" w:cs="Arial"/>
          <w:sz w:val="22"/>
          <w:szCs w:val="22"/>
        </w:rPr>
        <w:t>is</w:t>
      </w:r>
      <w:r w:rsidRPr="00541DDE">
        <w:rPr>
          <w:rFonts w:ascii="Arial" w:hAnsi="Arial" w:cs="Arial"/>
          <w:sz w:val="22"/>
          <w:szCs w:val="22"/>
        </w:rPr>
        <w:t xml:space="preserve"> </w:t>
      </w:r>
      <w:r w:rsidR="00DB2258" w:rsidRPr="00541DDE">
        <w:rPr>
          <w:rFonts w:ascii="Arial" w:hAnsi="Arial" w:cs="Arial"/>
          <w:sz w:val="22"/>
          <w:szCs w:val="22"/>
        </w:rPr>
        <w:t>determination</w:t>
      </w:r>
      <w:r w:rsidRPr="00541DDE">
        <w:rPr>
          <w:rFonts w:ascii="Arial" w:hAnsi="Arial" w:cs="Arial"/>
          <w:sz w:val="22"/>
          <w:szCs w:val="22"/>
        </w:rPr>
        <w:t xml:space="preserve"> is a legislative instrument for the purposes of the </w:t>
      </w:r>
      <w:r w:rsidRPr="00541DDE">
        <w:rPr>
          <w:rFonts w:ascii="Arial" w:hAnsi="Arial" w:cs="Arial"/>
          <w:i/>
          <w:sz w:val="22"/>
          <w:szCs w:val="22"/>
        </w:rPr>
        <w:t>Legislati</w:t>
      </w:r>
      <w:r w:rsidRPr="002142D7">
        <w:rPr>
          <w:rFonts w:ascii="Arial" w:hAnsi="Arial" w:cs="Arial"/>
          <w:i/>
          <w:sz w:val="22"/>
          <w:szCs w:val="22"/>
        </w:rPr>
        <w:t>on Act 2003</w:t>
      </w:r>
      <w:r w:rsidRPr="00541DDE">
        <w:rPr>
          <w:rFonts w:ascii="Arial" w:hAnsi="Arial" w:cs="Arial"/>
          <w:sz w:val="22"/>
          <w:szCs w:val="22"/>
        </w:rPr>
        <w:t>.</w:t>
      </w:r>
    </w:p>
    <w:p w:rsidR="00541DDE" w:rsidRPr="00541DDE" w:rsidRDefault="00541DDE" w:rsidP="006C677A">
      <w:pPr>
        <w:spacing w:after="120"/>
        <w:ind w:left="425"/>
        <w:contextualSpacing/>
        <w:rPr>
          <w:rFonts w:ascii="Arial" w:hAnsi="Arial" w:cs="Arial"/>
          <w:sz w:val="22"/>
          <w:szCs w:val="22"/>
        </w:rPr>
      </w:pPr>
    </w:p>
    <w:bookmarkEnd w:id="11"/>
    <w:p w:rsidR="00486653" w:rsidRPr="006C677A" w:rsidRDefault="00486653" w:rsidP="00486653">
      <w:pPr>
        <w:pStyle w:val="Heading2"/>
        <w:rPr>
          <w:sz w:val="24"/>
          <w:szCs w:val="24"/>
        </w:rPr>
      </w:pPr>
      <w:r w:rsidRPr="006C677A">
        <w:rPr>
          <w:sz w:val="24"/>
          <w:szCs w:val="24"/>
        </w:rPr>
        <w:t>Date of effect</w:t>
      </w:r>
    </w:p>
    <w:p w:rsidR="001F1A2B" w:rsidRPr="006C677A" w:rsidRDefault="001F1A2B" w:rsidP="006C677A">
      <w:pPr>
        <w:pStyle w:val="ListParagraph"/>
        <w:numPr>
          <w:ilvl w:val="0"/>
          <w:numId w:val="16"/>
        </w:numPr>
        <w:tabs>
          <w:tab w:val="clear" w:pos="720"/>
        </w:tabs>
        <w:spacing w:before="240" w:after="120" w:line="240" w:lineRule="auto"/>
        <w:ind w:left="425" w:right="561" w:hanging="425"/>
        <w:rPr>
          <w:rFonts w:ascii="Arial" w:hAnsi="Arial" w:cs="Arial"/>
        </w:rPr>
      </w:pPr>
      <w:r w:rsidRPr="006C677A">
        <w:rPr>
          <w:rFonts w:ascii="Arial" w:hAnsi="Arial" w:cs="Arial"/>
        </w:rPr>
        <w:t>This determination will commence retrospectively on 1 April 2017. This is to allow for reasonable and appropriate consultation to be completed.</w:t>
      </w:r>
    </w:p>
    <w:p w:rsidR="001F1A2B" w:rsidRPr="006C677A" w:rsidRDefault="001F1A2B" w:rsidP="006C677A">
      <w:pPr>
        <w:pStyle w:val="ListParagraph"/>
        <w:numPr>
          <w:ilvl w:val="0"/>
          <w:numId w:val="16"/>
        </w:numPr>
        <w:tabs>
          <w:tab w:val="clear" w:pos="720"/>
        </w:tabs>
        <w:spacing w:line="240" w:lineRule="auto"/>
        <w:ind w:left="425" w:hanging="425"/>
        <w:rPr>
          <w:rFonts w:cs="Arial"/>
        </w:rPr>
      </w:pPr>
      <w:r w:rsidRPr="006C677A">
        <w:rPr>
          <w:rFonts w:ascii="Arial" w:hAnsi="Arial" w:cs="Arial"/>
        </w:rPr>
        <w:t xml:space="preserve">Subsection 12(2) of the </w:t>
      </w:r>
      <w:r w:rsidRPr="006C677A">
        <w:rPr>
          <w:rFonts w:ascii="Arial" w:hAnsi="Arial" w:cs="Arial"/>
          <w:i/>
          <w:iCs/>
        </w:rPr>
        <w:t>Legislation Act 2003</w:t>
      </w:r>
      <w:r w:rsidRPr="006C677A">
        <w:rPr>
          <w:rFonts w:ascii="Arial" w:hAnsi="Arial" w:cs="Arial"/>
        </w:rPr>
        <w:t xml:space="preserve"> allows a retrospective application date for a Legislative Instrument. This determination aims to reduce compliance costs.  A commencement date after 1 April 2017 would create unexpected compliance obligations for the intervening period. To provide certainty to taxpayers who have relied upon the previous determination and continue to rely on this determination and protect the rights of all affected taxpayers the retrospective application date is reasonable and appropriate. The retrospective application date will not adversely affect the rights of any person and will not impose a liability on any person for any act or omission before this instrument’s registration date.</w:t>
      </w:r>
    </w:p>
    <w:p w:rsidR="00486653" w:rsidRPr="000D0B55" w:rsidRDefault="00486653" w:rsidP="00486653">
      <w:pPr>
        <w:pStyle w:val="Heading2"/>
        <w:rPr>
          <w:sz w:val="24"/>
          <w:szCs w:val="24"/>
        </w:rPr>
      </w:pPr>
      <w:r w:rsidRPr="006C677A">
        <w:rPr>
          <w:sz w:val="24"/>
          <w:szCs w:val="24"/>
        </w:rPr>
        <w:t>What is th</w:t>
      </w:r>
      <w:r w:rsidR="00860F0A" w:rsidRPr="006C677A">
        <w:rPr>
          <w:sz w:val="24"/>
          <w:szCs w:val="24"/>
        </w:rPr>
        <w:t>e</w:t>
      </w:r>
      <w:r w:rsidRPr="006C677A">
        <w:rPr>
          <w:sz w:val="24"/>
          <w:szCs w:val="24"/>
        </w:rPr>
        <w:t xml:space="preserve"> </w:t>
      </w:r>
      <w:r w:rsidR="001D2970" w:rsidRPr="006C677A">
        <w:rPr>
          <w:sz w:val="24"/>
          <w:szCs w:val="24"/>
        </w:rPr>
        <w:t>determination</w:t>
      </w:r>
      <w:r w:rsidR="001D2970" w:rsidRPr="000D0B55">
        <w:rPr>
          <w:sz w:val="24"/>
          <w:szCs w:val="24"/>
        </w:rPr>
        <w:t xml:space="preserve"> </w:t>
      </w:r>
      <w:r w:rsidRPr="000D0B55">
        <w:rPr>
          <w:sz w:val="24"/>
          <w:szCs w:val="24"/>
        </w:rPr>
        <w:t>about</w:t>
      </w:r>
      <w:r w:rsidR="001F1A2B" w:rsidRPr="000D0B55">
        <w:rPr>
          <w:sz w:val="24"/>
          <w:szCs w:val="24"/>
        </w:rPr>
        <w:t>?</w:t>
      </w:r>
    </w:p>
    <w:p w:rsidR="00042177" w:rsidRPr="00773D23" w:rsidRDefault="00042177" w:rsidP="006C677A">
      <w:pPr>
        <w:numPr>
          <w:ilvl w:val="0"/>
          <w:numId w:val="16"/>
        </w:numPr>
        <w:tabs>
          <w:tab w:val="clear" w:pos="720"/>
          <w:tab w:val="num" w:pos="426"/>
        </w:tabs>
        <w:spacing w:after="120"/>
        <w:ind w:left="426" w:hanging="426"/>
        <w:rPr>
          <w:rFonts w:ascii="Arial" w:hAnsi="Arial" w:cs="Arial"/>
          <w:sz w:val="22"/>
          <w:szCs w:val="22"/>
        </w:rPr>
      </w:pPr>
      <w:r w:rsidRPr="00011CCD">
        <w:rPr>
          <w:rFonts w:ascii="Arial" w:hAnsi="Arial" w:cs="Arial"/>
          <w:sz w:val="22"/>
          <w:szCs w:val="22"/>
        </w:rPr>
        <w:t xml:space="preserve">The basic attribution </w:t>
      </w:r>
      <w:r w:rsidRPr="00773D23">
        <w:rPr>
          <w:rFonts w:ascii="Arial" w:hAnsi="Arial" w:cs="Arial"/>
          <w:sz w:val="22"/>
          <w:szCs w:val="22"/>
        </w:rPr>
        <w:t xml:space="preserve">rules in subsection 29-10(3) of the GST Act </w:t>
      </w:r>
      <w:r w:rsidR="0022362A">
        <w:rPr>
          <w:rFonts w:ascii="Arial" w:hAnsi="Arial" w:cs="Arial"/>
          <w:sz w:val="22"/>
          <w:szCs w:val="22"/>
        </w:rPr>
        <w:t xml:space="preserve">generally </w:t>
      </w:r>
      <w:r w:rsidRPr="00773D23">
        <w:rPr>
          <w:rFonts w:ascii="Arial" w:hAnsi="Arial" w:cs="Arial"/>
          <w:sz w:val="22"/>
          <w:szCs w:val="22"/>
        </w:rPr>
        <w:t>require an entity to hold a tax invoice before being able to attribute the input tax credit (or any part of the input tax credit) to a tax period.</w:t>
      </w:r>
    </w:p>
    <w:p w:rsidR="00042177" w:rsidRPr="0022362A" w:rsidRDefault="00042177" w:rsidP="006C677A">
      <w:pPr>
        <w:numPr>
          <w:ilvl w:val="0"/>
          <w:numId w:val="16"/>
        </w:numPr>
        <w:tabs>
          <w:tab w:val="clear" w:pos="720"/>
          <w:tab w:val="num" w:pos="426"/>
        </w:tabs>
        <w:spacing w:after="120"/>
        <w:ind w:left="426" w:hanging="426"/>
        <w:rPr>
          <w:rFonts w:ascii="Arial" w:hAnsi="Arial" w:cs="Arial"/>
          <w:sz w:val="22"/>
          <w:szCs w:val="22"/>
        </w:rPr>
      </w:pPr>
      <w:bookmarkStart w:id="12" w:name="Content"/>
      <w:bookmarkStart w:id="13" w:name="top"/>
      <w:bookmarkEnd w:id="12"/>
      <w:bookmarkEnd w:id="13"/>
      <w:r w:rsidRPr="0022362A">
        <w:rPr>
          <w:rFonts w:ascii="Arial" w:hAnsi="Arial" w:cs="Arial"/>
          <w:sz w:val="22"/>
          <w:szCs w:val="22"/>
        </w:rPr>
        <w:t>Subsection 29-10(3) of the GST Act  also provides that the requirement to hold a tax invoice does not apply in circumstances of a kind determined in writing by the Commissioner to be circumstances in which the requirement for a tax invoice</w:t>
      </w:r>
      <w:r w:rsidR="0022362A" w:rsidRPr="0022362A">
        <w:rPr>
          <w:rFonts w:ascii="Arial" w:hAnsi="Arial" w:cs="Arial"/>
          <w:sz w:val="22"/>
          <w:szCs w:val="22"/>
        </w:rPr>
        <w:t xml:space="preserve"> does not apply</w:t>
      </w:r>
      <w:r w:rsidRPr="0022362A">
        <w:rPr>
          <w:rFonts w:ascii="Arial" w:hAnsi="Arial" w:cs="Arial"/>
          <w:sz w:val="22"/>
          <w:szCs w:val="22"/>
        </w:rPr>
        <w:t>.</w:t>
      </w:r>
    </w:p>
    <w:p w:rsidR="0077422A" w:rsidRDefault="00E23D62" w:rsidP="006C677A">
      <w:pPr>
        <w:numPr>
          <w:ilvl w:val="0"/>
          <w:numId w:val="16"/>
        </w:numPr>
        <w:tabs>
          <w:tab w:val="clear" w:pos="720"/>
          <w:tab w:val="num" w:pos="567"/>
        </w:tabs>
        <w:spacing w:after="120"/>
        <w:ind w:left="426" w:hanging="426"/>
        <w:contextualSpacing/>
        <w:rPr>
          <w:rFonts w:ascii="Arial" w:hAnsi="Arial" w:cs="Arial"/>
          <w:sz w:val="22"/>
          <w:szCs w:val="22"/>
        </w:rPr>
      </w:pPr>
      <w:r w:rsidRPr="00EE5D51">
        <w:rPr>
          <w:rFonts w:ascii="Arial" w:hAnsi="Arial" w:cs="Arial"/>
          <w:sz w:val="22"/>
          <w:szCs w:val="22"/>
        </w:rPr>
        <w:t>Th</w:t>
      </w:r>
      <w:r>
        <w:rPr>
          <w:rFonts w:ascii="Arial" w:hAnsi="Arial" w:cs="Arial"/>
          <w:sz w:val="22"/>
          <w:szCs w:val="22"/>
        </w:rPr>
        <w:t>e</w:t>
      </w:r>
      <w:r w:rsidRPr="00EE5D51">
        <w:rPr>
          <w:rFonts w:ascii="Arial" w:hAnsi="Arial" w:cs="Arial"/>
          <w:sz w:val="22"/>
          <w:szCs w:val="22"/>
        </w:rPr>
        <w:t xml:space="preserve"> </w:t>
      </w:r>
      <w:r w:rsidR="0077422A" w:rsidRPr="00EE5D51">
        <w:rPr>
          <w:rFonts w:ascii="Arial" w:hAnsi="Arial" w:cs="Arial"/>
          <w:sz w:val="22"/>
          <w:szCs w:val="22"/>
        </w:rPr>
        <w:t xml:space="preserve">determination </w:t>
      </w:r>
      <w:r w:rsidR="00042177">
        <w:rPr>
          <w:rFonts w:ascii="Arial" w:hAnsi="Arial" w:cs="Arial"/>
          <w:sz w:val="22"/>
          <w:szCs w:val="22"/>
        </w:rPr>
        <w:t>waives the requirement to hold a tax invoice before being able to attribute input tax credits</w:t>
      </w:r>
      <w:r w:rsidR="00D70618">
        <w:rPr>
          <w:rFonts w:ascii="Arial" w:hAnsi="Arial" w:cs="Arial"/>
          <w:sz w:val="22"/>
          <w:szCs w:val="22"/>
        </w:rPr>
        <w:t xml:space="preserve"> </w:t>
      </w:r>
      <w:r w:rsidR="00042177">
        <w:rPr>
          <w:rFonts w:ascii="Arial" w:hAnsi="Arial" w:cs="Arial"/>
          <w:sz w:val="22"/>
          <w:szCs w:val="22"/>
        </w:rPr>
        <w:t xml:space="preserve">for </w:t>
      </w:r>
      <w:r w:rsidR="0091650B">
        <w:rPr>
          <w:rFonts w:ascii="Arial" w:hAnsi="Arial" w:cs="Arial"/>
          <w:sz w:val="22"/>
          <w:szCs w:val="22"/>
        </w:rPr>
        <w:t xml:space="preserve">a </w:t>
      </w:r>
      <w:r w:rsidRPr="006C677A">
        <w:rPr>
          <w:rFonts w:ascii="Arial" w:hAnsi="Arial" w:cs="Arial"/>
          <w:b/>
          <w:sz w:val="22"/>
          <w:szCs w:val="22"/>
        </w:rPr>
        <w:t>member</w:t>
      </w:r>
      <w:r w:rsidR="00D70618" w:rsidRPr="00D70618">
        <w:rPr>
          <w:rFonts w:ascii="Arial" w:hAnsi="Arial" w:cs="Arial"/>
          <w:sz w:val="22"/>
          <w:szCs w:val="22"/>
        </w:rPr>
        <w:t xml:space="preserve"> </w:t>
      </w:r>
      <w:r>
        <w:rPr>
          <w:rFonts w:ascii="Arial" w:hAnsi="Arial" w:cs="Arial"/>
          <w:sz w:val="22"/>
          <w:szCs w:val="22"/>
        </w:rPr>
        <w:t>that</w:t>
      </w:r>
      <w:r w:rsidRPr="00D70618">
        <w:rPr>
          <w:rFonts w:ascii="Arial" w:hAnsi="Arial" w:cs="Arial"/>
          <w:sz w:val="22"/>
          <w:szCs w:val="22"/>
        </w:rPr>
        <w:t xml:space="preserve"> </w:t>
      </w:r>
      <w:r w:rsidR="0091650B">
        <w:rPr>
          <w:rFonts w:ascii="Arial" w:hAnsi="Arial" w:cs="Arial"/>
          <w:sz w:val="22"/>
          <w:szCs w:val="22"/>
        </w:rPr>
        <w:t>acquires</w:t>
      </w:r>
      <w:r w:rsidR="00D70618" w:rsidRPr="00D70618">
        <w:rPr>
          <w:rFonts w:ascii="Arial" w:hAnsi="Arial" w:cs="Arial"/>
          <w:sz w:val="22"/>
          <w:szCs w:val="22"/>
        </w:rPr>
        <w:t xml:space="preserve"> </w:t>
      </w:r>
      <w:r w:rsidR="00D70618" w:rsidRPr="006C677A">
        <w:rPr>
          <w:rFonts w:ascii="Arial" w:hAnsi="Arial" w:cs="Arial"/>
          <w:b/>
          <w:sz w:val="22"/>
          <w:szCs w:val="22"/>
        </w:rPr>
        <w:t>bank interchange services</w:t>
      </w:r>
      <w:r w:rsidR="00D70618">
        <w:rPr>
          <w:rFonts w:ascii="Arial" w:hAnsi="Arial" w:cs="Arial"/>
          <w:sz w:val="22"/>
          <w:szCs w:val="22"/>
        </w:rPr>
        <w:t xml:space="preserve"> provided the </w:t>
      </w:r>
      <w:r w:rsidRPr="001959DA">
        <w:rPr>
          <w:rFonts w:ascii="Arial" w:hAnsi="Arial" w:cs="Arial"/>
          <w:sz w:val="22"/>
          <w:szCs w:val="22"/>
        </w:rPr>
        <w:t>member</w:t>
      </w:r>
      <w:r>
        <w:rPr>
          <w:rFonts w:ascii="Arial" w:hAnsi="Arial" w:cs="Arial"/>
          <w:sz w:val="22"/>
          <w:szCs w:val="22"/>
        </w:rPr>
        <w:t xml:space="preserve"> </w:t>
      </w:r>
      <w:r w:rsidR="00D70618">
        <w:rPr>
          <w:rFonts w:ascii="Arial" w:hAnsi="Arial" w:cs="Arial"/>
          <w:sz w:val="22"/>
          <w:szCs w:val="22"/>
        </w:rPr>
        <w:t>hold</w:t>
      </w:r>
      <w:r w:rsidR="0091650B">
        <w:rPr>
          <w:rFonts w:ascii="Arial" w:hAnsi="Arial" w:cs="Arial"/>
          <w:sz w:val="22"/>
          <w:szCs w:val="22"/>
        </w:rPr>
        <w:t>s</w:t>
      </w:r>
      <w:r w:rsidR="00D70618">
        <w:rPr>
          <w:rFonts w:ascii="Arial" w:hAnsi="Arial" w:cs="Arial"/>
          <w:sz w:val="22"/>
          <w:szCs w:val="22"/>
        </w:rPr>
        <w:t xml:space="preserve"> a </w:t>
      </w:r>
      <w:r w:rsidRPr="006C677A">
        <w:rPr>
          <w:rFonts w:ascii="Arial" w:hAnsi="Arial" w:cs="Arial"/>
          <w:b/>
          <w:sz w:val="22"/>
          <w:szCs w:val="22"/>
        </w:rPr>
        <w:t xml:space="preserve">bank interchange services </w:t>
      </w:r>
      <w:r w:rsidR="00D70618" w:rsidRPr="006C677A">
        <w:rPr>
          <w:rFonts w:ascii="Arial" w:hAnsi="Arial" w:cs="Arial"/>
          <w:b/>
          <w:sz w:val="22"/>
          <w:szCs w:val="22"/>
        </w:rPr>
        <w:t>report</w:t>
      </w:r>
      <w:r w:rsidR="00D70618">
        <w:rPr>
          <w:rFonts w:ascii="Arial" w:hAnsi="Arial" w:cs="Arial"/>
          <w:sz w:val="22"/>
          <w:szCs w:val="22"/>
        </w:rPr>
        <w:t xml:space="preserve"> that  </w:t>
      </w:r>
      <w:r w:rsidR="00D70618" w:rsidRPr="001959DA">
        <w:rPr>
          <w:rFonts w:ascii="Arial" w:hAnsi="Arial" w:cs="Arial"/>
          <w:sz w:val="22"/>
          <w:szCs w:val="22"/>
        </w:rPr>
        <w:t>satisfies certain information requirements</w:t>
      </w:r>
      <w:r w:rsidR="00B225F3" w:rsidRPr="001959DA">
        <w:rPr>
          <w:rFonts w:ascii="Arial" w:hAnsi="Arial" w:cs="Arial"/>
          <w:sz w:val="22"/>
          <w:szCs w:val="22"/>
        </w:rPr>
        <w:t xml:space="preserve"> in subclause </w:t>
      </w:r>
      <w:r w:rsidRPr="001959DA">
        <w:rPr>
          <w:rFonts w:ascii="Arial" w:hAnsi="Arial" w:cs="Arial"/>
          <w:sz w:val="22"/>
          <w:szCs w:val="22"/>
        </w:rPr>
        <w:t>5(2) of the determination</w:t>
      </w:r>
      <w:r w:rsidR="00D70618" w:rsidRPr="001959DA">
        <w:rPr>
          <w:rFonts w:ascii="Arial" w:hAnsi="Arial" w:cs="Arial"/>
          <w:sz w:val="22"/>
          <w:szCs w:val="22"/>
        </w:rPr>
        <w:t>.</w:t>
      </w:r>
    </w:p>
    <w:p w:rsidR="00541DDE" w:rsidRPr="00D70618" w:rsidRDefault="00541DDE" w:rsidP="006C677A">
      <w:pPr>
        <w:spacing w:after="120"/>
        <w:ind w:left="426"/>
        <w:contextualSpacing/>
        <w:rPr>
          <w:rFonts w:ascii="Arial" w:hAnsi="Arial" w:cs="Arial"/>
          <w:sz w:val="22"/>
          <w:szCs w:val="22"/>
        </w:rPr>
      </w:pPr>
    </w:p>
    <w:p w:rsidR="004E58AC" w:rsidRPr="005A3BC9" w:rsidRDefault="00486653" w:rsidP="00C349C1">
      <w:pPr>
        <w:pStyle w:val="Heading2"/>
        <w:rPr>
          <w:szCs w:val="24"/>
        </w:rPr>
      </w:pPr>
      <w:r w:rsidRPr="00C349C1">
        <w:rPr>
          <w:sz w:val="24"/>
          <w:szCs w:val="24"/>
        </w:rPr>
        <w:t xml:space="preserve">What is the effect of this </w:t>
      </w:r>
      <w:r w:rsidR="001D2970" w:rsidRPr="00C349C1">
        <w:rPr>
          <w:sz w:val="24"/>
          <w:szCs w:val="24"/>
        </w:rPr>
        <w:t>determination</w:t>
      </w:r>
      <w:r w:rsidR="004E58AC" w:rsidRPr="00C349C1">
        <w:rPr>
          <w:sz w:val="24"/>
          <w:szCs w:val="24"/>
        </w:rPr>
        <w:t>?</w:t>
      </w:r>
    </w:p>
    <w:p w:rsidR="004E58AC" w:rsidRPr="00541DDE" w:rsidRDefault="004E58AC" w:rsidP="006C677A"/>
    <w:p w:rsidR="0097685E" w:rsidRPr="006C677A" w:rsidRDefault="00405A05" w:rsidP="006C677A">
      <w:pPr>
        <w:pStyle w:val="Heading2"/>
        <w:numPr>
          <w:ilvl w:val="0"/>
          <w:numId w:val="16"/>
        </w:numPr>
        <w:tabs>
          <w:tab w:val="clear" w:pos="720"/>
          <w:tab w:val="num" w:pos="426"/>
        </w:tabs>
        <w:ind w:left="426" w:hanging="426"/>
      </w:pPr>
      <w:r w:rsidRPr="00FA27F4">
        <w:rPr>
          <w:b w:val="0"/>
        </w:rPr>
        <w:t>The</w:t>
      </w:r>
      <w:r w:rsidR="0097685E" w:rsidRPr="00FA27F4">
        <w:rPr>
          <w:b w:val="0"/>
        </w:rPr>
        <w:t xml:space="preserve"> determination </w:t>
      </w:r>
      <w:r w:rsidRPr="00FA27F4">
        <w:rPr>
          <w:b w:val="0"/>
        </w:rPr>
        <w:t>provides</w:t>
      </w:r>
      <w:r w:rsidR="0097685E" w:rsidRPr="00FA27F4">
        <w:rPr>
          <w:b w:val="0"/>
        </w:rPr>
        <w:t xml:space="preserve"> that </w:t>
      </w:r>
      <w:r w:rsidR="0091650B" w:rsidRPr="00FA27F4">
        <w:rPr>
          <w:b w:val="0"/>
        </w:rPr>
        <w:t>a member that holds</w:t>
      </w:r>
      <w:r w:rsidR="0097685E" w:rsidRPr="00FA27F4">
        <w:rPr>
          <w:b w:val="0"/>
          <w:snapToGrid w:val="0"/>
        </w:rPr>
        <w:t xml:space="preserve"> a bank interchange services report</w:t>
      </w:r>
      <w:r w:rsidR="0091650B" w:rsidRPr="00FA27F4">
        <w:rPr>
          <w:b w:val="0"/>
          <w:snapToGrid w:val="0"/>
        </w:rPr>
        <w:t xml:space="preserve"> prior to lodging their GST return, where the bank interchange services report </w:t>
      </w:r>
      <w:r w:rsidR="00E23D62" w:rsidRPr="00FA27F4">
        <w:rPr>
          <w:b w:val="0"/>
          <w:snapToGrid w:val="0"/>
        </w:rPr>
        <w:t>satisf</w:t>
      </w:r>
      <w:r w:rsidR="0091650B" w:rsidRPr="00FA27F4">
        <w:rPr>
          <w:b w:val="0"/>
          <w:snapToGrid w:val="0"/>
        </w:rPr>
        <w:t>ies</w:t>
      </w:r>
      <w:r w:rsidR="00E23D62" w:rsidRPr="00FA27F4">
        <w:rPr>
          <w:b w:val="0"/>
          <w:snapToGrid w:val="0"/>
        </w:rPr>
        <w:t xml:space="preserve"> </w:t>
      </w:r>
      <w:r w:rsidR="0091650B" w:rsidRPr="00FA27F4">
        <w:rPr>
          <w:b w:val="0"/>
          <w:snapToGrid w:val="0"/>
        </w:rPr>
        <w:t>the</w:t>
      </w:r>
      <w:r w:rsidR="0097685E" w:rsidRPr="00FA27F4">
        <w:rPr>
          <w:b w:val="0"/>
          <w:snapToGrid w:val="0"/>
        </w:rPr>
        <w:t xml:space="preserve"> </w:t>
      </w:r>
      <w:r w:rsidR="00041470" w:rsidRPr="00FA27F4">
        <w:rPr>
          <w:b w:val="0"/>
          <w:snapToGrid w:val="0"/>
        </w:rPr>
        <w:t xml:space="preserve">information </w:t>
      </w:r>
      <w:r w:rsidR="0097685E" w:rsidRPr="00FA27F4">
        <w:rPr>
          <w:b w:val="0"/>
          <w:snapToGrid w:val="0"/>
        </w:rPr>
        <w:t>requirements</w:t>
      </w:r>
      <w:r w:rsidR="0091650B" w:rsidRPr="00FA27F4">
        <w:rPr>
          <w:b w:val="0"/>
          <w:snapToGrid w:val="0"/>
        </w:rPr>
        <w:t xml:space="preserve"> set out in </w:t>
      </w:r>
      <w:r w:rsidR="00E23D62" w:rsidRPr="00FA27F4">
        <w:rPr>
          <w:b w:val="0"/>
          <w:snapToGrid w:val="0"/>
        </w:rPr>
        <w:t xml:space="preserve">in </w:t>
      </w:r>
      <w:r w:rsidR="0072277C" w:rsidRPr="00FA27F4">
        <w:rPr>
          <w:b w:val="0"/>
          <w:snapToGrid w:val="0"/>
        </w:rPr>
        <w:t xml:space="preserve">subparagraph </w:t>
      </w:r>
      <w:r w:rsidR="00E23D62" w:rsidRPr="00FA27F4">
        <w:rPr>
          <w:b w:val="0"/>
          <w:snapToGrid w:val="0"/>
        </w:rPr>
        <w:t>5(2) of the determination</w:t>
      </w:r>
      <w:r w:rsidR="0097685E" w:rsidRPr="006C677A">
        <w:rPr>
          <w:b w:val="0"/>
          <w:snapToGrid w:val="0"/>
        </w:rPr>
        <w:t xml:space="preserve">, </w:t>
      </w:r>
      <w:r w:rsidR="0091650B" w:rsidRPr="006C677A">
        <w:rPr>
          <w:b w:val="0"/>
          <w:snapToGrid w:val="0"/>
        </w:rPr>
        <w:t xml:space="preserve">will not need to </w:t>
      </w:r>
      <w:r w:rsidR="0097685E" w:rsidRPr="006C677A">
        <w:rPr>
          <w:b w:val="0"/>
          <w:snapToGrid w:val="0"/>
        </w:rPr>
        <w:t>hold a tax invoice for a</w:t>
      </w:r>
      <w:r w:rsidR="0091650B" w:rsidRPr="006C677A">
        <w:rPr>
          <w:b w:val="0"/>
          <w:snapToGrid w:val="0"/>
        </w:rPr>
        <w:t>cquisitions of bank interchange services</w:t>
      </w:r>
      <w:r w:rsidR="0097685E" w:rsidRPr="006C677A">
        <w:rPr>
          <w:b w:val="0"/>
          <w:snapToGrid w:val="0"/>
        </w:rPr>
        <w:t xml:space="preserve"> recorded on the report.</w:t>
      </w:r>
      <w:r w:rsidRPr="006C677A">
        <w:rPr>
          <w:b w:val="0"/>
          <w:snapToGrid w:val="0"/>
        </w:rPr>
        <w:t xml:space="preserve"> </w:t>
      </w:r>
    </w:p>
    <w:p w:rsidR="001F1A2B" w:rsidRPr="006C677A" w:rsidRDefault="001F1A2B" w:rsidP="006C677A">
      <w:pPr>
        <w:pStyle w:val="ListParagraph"/>
        <w:numPr>
          <w:ilvl w:val="0"/>
          <w:numId w:val="16"/>
        </w:numPr>
        <w:tabs>
          <w:tab w:val="clear" w:pos="720"/>
          <w:tab w:val="num" w:pos="567"/>
        </w:tabs>
        <w:spacing w:after="120" w:line="240" w:lineRule="auto"/>
        <w:ind w:left="425" w:hanging="425"/>
        <w:rPr>
          <w:rFonts w:ascii="Arial" w:hAnsi="Arial" w:cs="Arial"/>
        </w:rPr>
      </w:pPr>
      <w:r w:rsidRPr="006C677A">
        <w:rPr>
          <w:rFonts w:ascii="Arial" w:hAnsi="Arial" w:cs="Arial"/>
        </w:rPr>
        <w:t xml:space="preserve">The determination is substantially the same as the previous determination that it replaces. </w:t>
      </w:r>
      <w:r w:rsidR="00541DDE">
        <w:rPr>
          <w:rFonts w:ascii="Arial" w:hAnsi="Arial" w:cs="Arial"/>
        </w:rPr>
        <w:t>An entity that satisfied the requirements of the previous determination will satisfy the requirements of this determination</w:t>
      </w:r>
      <w:r w:rsidRPr="006C677A">
        <w:rPr>
          <w:rFonts w:ascii="Arial" w:hAnsi="Arial" w:cs="Arial"/>
        </w:rPr>
        <w:t>.</w:t>
      </w:r>
    </w:p>
    <w:p w:rsidR="00486653" w:rsidRPr="00CE7F79" w:rsidRDefault="00DB2258" w:rsidP="006C677A">
      <w:pPr>
        <w:pStyle w:val="ListParagraph"/>
        <w:keepNext/>
        <w:keepLines/>
        <w:numPr>
          <w:ilvl w:val="0"/>
          <w:numId w:val="16"/>
        </w:numPr>
        <w:tabs>
          <w:tab w:val="clear" w:pos="720"/>
          <w:tab w:val="num" w:pos="567"/>
        </w:tabs>
        <w:spacing w:after="120" w:line="240" w:lineRule="auto"/>
        <w:ind w:left="426" w:hanging="426"/>
        <w:rPr>
          <w:rFonts w:ascii="Arial" w:eastAsia="Times New Roman" w:hAnsi="Arial" w:cs="Arial"/>
          <w:lang w:eastAsia="en-AU"/>
        </w:rPr>
      </w:pPr>
      <w:r w:rsidRPr="00CE7F79">
        <w:rPr>
          <w:rFonts w:ascii="Arial" w:eastAsia="Times New Roman" w:hAnsi="Arial" w:cs="Arial"/>
          <w:lang w:eastAsia="en-AU"/>
        </w:rPr>
        <w:t>Compliance Cost Impact: Minor – there will be no or minimal impact for both implementation and ongoing compliance costs. The legislative instrument is minor or machinery in nature.</w:t>
      </w:r>
    </w:p>
    <w:p w:rsidR="00486653" w:rsidRDefault="00486653" w:rsidP="00486653">
      <w:pPr>
        <w:pStyle w:val="Heading2"/>
        <w:rPr>
          <w:sz w:val="24"/>
          <w:szCs w:val="24"/>
        </w:rPr>
      </w:pPr>
      <w:r w:rsidRPr="005E6CCE">
        <w:rPr>
          <w:sz w:val="24"/>
          <w:szCs w:val="24"/>
        </w:rPr>
        <w:t>Background</w:t>
      </w:r>
    </w:p>
    <w:p w:rsidR="0093332A" w:rsidRDefault="00DB2258" w:rsidP="006C677A">
      <w:pPr>
        <w:numPr>
          <w:ilvl w:val="0"/>
          <w:numId w:val="16"/>
        </w:numPr>
        <w:tabs>
          <w:tab w:val="clear" w:pos="720"/>
          <w:tab w:val="num" w:pos="567"/>
        </w:tabs>
        <w:spacing w:after="120"/>
        <w:ind w:left="426" w:hanging="426"/>
        <w:contextualSpacing/>
        <w:rPr>
          <w:rFonts w:ascii="Arial" w:hAnsi="Arial" w:cs="Arial"/>
          <w:sz w:val="22"/>
          <w:szCs w:val="22"/>
        </w:rPr>
      </w:pPr>
      <w:r w:rsidRPr="006D54A7">
        <w:rPr>
          <w:rFonts w:ascii="Arial" w:hAnsi="Arial" w:cs="Arial"/>
          <w:sz w:val="22"/>
          <w:szCs w:val="22"/>
        </w:rPr>
        <w:t>Th</w:t>
      </w:r>
      <w:r w:rsidR="00853661" w:rsidRPr="006D54A7">
        <w:rPr>
          <w:rFonts w:ascii="Arial" w:hAnsi="Arial" w:cs="Arial"/>
          <w:sz w:val="22"/>
          <w:szCs w:val="22"/>
        </w:rPr>
        <w:t>e</w:t>
      </w:r>
      <w:r w:rsidRPr="006D54A7">
        <w:rPr>
          <w:rFonts w:ascii="Arial" w:hAnsi="Arial" w:cs="Arial"/>
          <w:sz w:val="22"/>
          <w:szCs w:val="22"/>
        </w:rPr>
        <w:t xml:space="preserve"> determination replaces determination </w:t>
      </w:r>
      <w:r w:rsidRPr="006D54A7">
        <w:rPr>
          <w:rFonts w:ascii="Arial" w:hAnsi="Arial" w:cs="Arial"/>
          <w:i/>
          <w:sz w:val="22"/>
          <w:szCs w:val="22"/>
        </w:rPr>
        <w:t xml:space="preserve">A New Tax System (Goods and Services Tax) Act 1999 Waiver of Requirement to hold a Tax Invoice Determination 2000 - </w:t>
      </w:r>
      <w:r w:rsidR="00130131" w:rsidRPr="006D54A7">
        <w:rPr>
          <w:rFonts w:ascii="Arial" w:hAnsi="Arial" w:cs="Arial"/>
          <w:i/>
          <w:sz w:val="22"/>
          <w:szCs w:val="22"/>
        </w:rPr>
        <w:t>Members of MasterCard International And Visa International</w:t>
      </w:r>
      <w:r w:rsidRPr="006D54A7">
        <w:rPr>
          <w:rFonts w:ascii="Arial" w:hAnsi="Arial" w:cs="Arial"/>
          <w:sz w:val="22"/>
          <w:szCs w:val="22"/>
        </w:rPr>
        <w:t xml:space="preserve"> (previous determination), registered on 11 January 2007.</w:t>
      </w:r>
      <w:r w:rsidR="00541DDE">
        <w:rPr>
          <w:rFonts w:ascii="Arial" w:hAnsi="Arial" w:cs="Arial"/>
          <w:sz w:val="22"/>
          <w:szCs w:val="22"/>
        </w:rPr>
        <w:t xml:space="preserve"> The previous determination is repealed from 1 April 2017.</w:t>
      </w:r>
    </w:p>
    <w:p w:rsidR="002142D7" w:rsidRPr="006D54A7" w:rsidRDefault="002142D7" w:rsidP="006C677A">
      <w:pPr>
        <w:spacing w:after="120"/>
        <w:ind w:left="426"/>
        <w:contextualSpacing/>
        <w:rPr>
          <w:rFonts w:ascii="Arial" w:hAnsi="Arial" w:cs="Arial"/>
          <w:sz w:val="22"/>
          <w:szCs w:val="22"/>
        </w:rPr>
      </w:pPr>
    </w:p>
    <w:p w:rsidR="00486653" w:rsidRDefault="00486653" w:rsidP="006C677A">
      <w:pPr>
        <w:pStyle w:val="Heading2"/>
        <w:contextualSpacing/>
        <w:rPr>
          <w:sz w:val="24"/>
          <w:szCs w:val="24"/>
        </w:rPr>
      </w:pPr>
      <w:r w:rsidRPr="005E6CCE">
        <w:rPr>
          <w:sz w:val="24"/>
          <w:szCs w:val="24"/>
        </w:rPr>
        <w:t>Consultation</w:t>
      </w:r>
    </w:p>
    <w:p w:rsidR="006A101F" w:rsidRPr="00D91A1D" w:rsidRDefault="006A101F" w:rsidP="006C677A">
      <w:pPr>
        <w:pStyle w:val="ListParagraph"/>
        <w:numPr>
          <w:ilvl w:val="0"/>
          <w:numId w:val="16"/>
        </w:numPr>
        <w:tabs>
          <w:tab w:val="clear" w:pos="720"/>
        </w:tabs>
        <w:spacing w:after="120" w:line="240" w:lineRule="auto"/>
        <w:ind w:left="425" w:hanging="425"/>
        <w:rPr>
          <w:rFonts w:ascii="Arial" w:eastAsiaTheme="minorHAnsi" w:hAnsi="Arial" w:cs="Arial"/>
        </w:rPr>
      </w:pPr>
      <w:r w:rsidRPr="00D91A1D">
        <w:rPr>
          <w:rFonts w:ascii="Arial" w:eastAsiaTheme="minorHAnsi" w:hAnsi="Arial" w:cs="Arial"/>
        </w:rPr>
        <w:t xml:space="preserve">Subsection 17(1) of the </w:t>
      </w:r>
      <w:r w:rsidRPr="00D91A1D">
        <w:rPr>
          <w:rFonts w:ascii="Arial" w:eastAsiaTheme="minorHAnsi" w:hAnsi="Arial" w:cs="Arial"/>
          <w:i/>
        </w:rPr>
        <w:t>Legislation Act 2003</w:t>
      </w:r>
      <w:r w:rsidRPr="00D91A1D">
        <w:rPr>
          <w:rFonts w:ascii="Arial" w:eastAsiaTheme="minorHAnsi" w:hAnsi="Arial" w:cs="Arial"/>
        </w:rPr>
        <w:t xml:space="preserve"> requires, before the making of a determination, that the rule-maker is satisfied that appropriate and reasonably practicable consultation has been undertaken. </w:t>
      </w:r>
    </w:p>
    <w:p w:rsidR="006A101F" w:rsidRPr="00D91A1D" w:rsidRDefault="006A101F" w:rsidP="006C677A">
      <w:pPr>
        <w:pStyle w:val="ListParagraph"/>
        <w:numPr>
          <w:ilvl w:val="0"/>
          <w:numId w:val="16"/>
        </w:numPr>
        <w:tabs>
          <w:tab w:val="clear" w:pos="720"/>
          <w:tab w:val="num" w:pos="426"/>
        </w:tabs>
        <w:spacing w:after="120" w:line="240" w:lineRule="auto"/>
        <w:ind w:left="425" w:hanging="425"/>
        <w:rPr>
          <w:rFonts w:ascii="Arial" w:eastAsiaTheme="minorHAnsi" w:hAnsi="Arial" w:cs="Arial"/>
        </w:rPr>
      </w:pPr>
      <w:r w:rsidRPr="00D91A1D">
        <w:rPr>
          <w:rFonts w:ascii="Arial" w:eastAsiaTheme="minorHAnsi" w:hAnsi="Arial" w:cs="Arial"/>
        </w:rPr>
        <w:t>Broad consultation has been undertaken. The draft determination and draft explanatory statement were published on the ATO Legal database at ato.gov.au seeking feedback and comments for a period of two weeks. Notice of the draft determination was also published to ato.gov.au and subscription alerts issued. Tax professionals and tax associations regularly review both the Legal database and 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have been published on the ATO Consultation Hub.  Links to these drafts were published organisations and newsletters such as the Taxation News (Chartered Accountants Australia and New Zealand) weekly bulletin. No comments have been received to date.</w:t>
      </w:r>
    </w:p>
    <w:p w:rsidR="001F1A2B" w:rsidRDefault="001F1A2B" w:rsidP="00486653">
      <w:pPr>
        <w:spacing w:after="60"/>
        <w:rPr>
          <w:rFonts w:ascii="Arial" w:hAnsi="Arial" w:cs="Arial"/>
          <w:b/>
        </w:rPr>
      </w:pPr>
    </w:p>
    <w:p w:rsidR="004E58AC" w:rsidRDefault="004E58AC" w:rsidP="00486653">
      <w:pPr>
        <w:spacing w:after="60"/>
        <w:rPr>
          <w:rFonts w:ascii="Arial" w:hAnsi="Arial" w:cs="Arial"/>
          <w:b/>
        </w:rPr>
      </w:pPr>
    </w:p>
    <w:p w:rsidR="008971B4" w:rsidRDefault="006A101F" w:rsidP="00486653">
      <w:pPr>
        <w:spacing w:after="60"/>
        <w:rPr>
          <w:rFonts w:ascii="Arial" w:hAnsi="Arial" w:cs="Arial"/>
          <w:b/>
        </w:rPr>
      </w:pPr>
      <w:r>
        <w:rPr>
          <w:rFonts w:ascii="Arial" w:hAnsi="Arial" w:cs="Arial"/>
          <w:b/>
        </w:rPr>
        <w:br/>
      </w:r>
    </w:p>
    <w:p w:rsidR="00486653" w:rsidRPr="00D91A1D" w:rsidRDefault="00486653" w:rsidP="00486653">
      <w:pPr>
        <w:spacing w:after="60"/>
        <w:rPr>
          <w:rFonts w:ascii="Arial" w:hAnsi="Arial" w:cs="Arial"/>
          <w:b/>
        </w:rPr>
      </w:pPr>
      <w:r w:rsidRPr="00D91A1D">
        <w:rPr>
          <w:rFonts w:ascii="Arial" w:hAnsi="Arial" w:cs="Arial"/>
          <w:b/>
        </w:rPr>
        <w:t>Legislative references:</w:t>
      </w:r>
    </w:p>
    <w:p w:rsidR="00D77015" w:rsidRDefault="00D77015" w:rsidP="002142D7">
      <w:pPr>
        <w:spacing w:after="60"/>
        <w:rPr>
          <w:rFonts w:ascii="Arial" w:hAnsi="Arial" w:cs="Arial"/>
          <w:i/>
          <w:color w:val="0000FF"/>
          <w:sz w:val="20"/>
        </w:rPr>
      </w:pPr>
    </w:p>
    <w:p w:rsidR="00CD7B3B" w:rsidRPr="006C677A" w:rsidRDefault="00CD7B3B" w:rsidP="00860F0A">
      <w:pPr>
        <w:spacing w:after="60"/>
        <w:rPr>
          <w:rFonts w:ascii="Arial" w:hAnsi="Arial" w:cs="Arial"/>
          <w:i/>
          <w:color w:val="000000"/>
          <w:sz w:val="22"/>
          <w:szCs w:val="22"/>
        </w:rPr>
      </w:pPr>
      <w:r w:rsidRPr="006C677A">
        <w:rPr>
          <w:rFonts w:ascii="Arial" w:hAnsi="Arial" w:cs="Arial"/>
          <w:i/>
          <w:color w:val="000000"/>
          <w:sz w:val="22"/>
          <w:szCs w:val="22"/>
        </w:rPr>
        <w:t>A New Tax System (Goods and Services Tax) Act 1999</w:t>
      </w:r>
    </w:p>
    <w:p w:rsidR="00CD7B3B" w:rsidRPr="006C677A" w:rsidRDefault="00CD7B3B">
      <w:pPr>
        <w:spacing w:after="60"/>
        <w:rPr>
          <w:rFonts w:ascii="Arial" w:hAnsi="Arial" w:cs="Arial"/>
          <w:i/>
          <w:color w:val="000000"/>
          <w:sz w:val="22"/>
          <w:szCs w:val="22"/>
        </w:rPr>
      </w:pPr>
      <w:r w:rsidRPr="006C677A">
        <w:rPr>
          <w:rFonts w:ascii="Arial" w:hAnsi="Arial" w:cs="Arial"/>
          <w:i/>
          <w:color w:val="000000"/>
          <w:sz w:val="22"/>
          <w:szCs w:val="22"/>
        </w:rPr>
        <w:t>Acts Interpretation Act 1901</w:t>
      </w:r>
    </w:p>
    <w:p w:rsidR="00935232" w:rsidRPr="006C677A" w:rsidRDefault="00935232">
      <w:pPr>
        <w:spacing w:after="60"/>
        <w:rPr>
          <w:rFonts w:ascii="Arial" w:hAnsi="Arial" w:cs="Arial"/>
          <w:i/>
          <w:color w:val="000000"/>
          <w:sz w:val="22"/>
          <w:szCs w:val="22"/>
        </w:rPr>
      </w:pPr>
      <w:r w:rsidRPr="006C677A">
        <w:rPr>
          <w:rFonts w:ascii="Arial" w:hAnsi="Arial" w:cs="Arial"/>
          <w:i/>
          <w:color w:val="000000"/>
          <w:sz w:val="22"/>
          <w:szCs w:val="22"/>
        </w:rPr>
        <w:t>Legislation Act 2003</w:t>
      </w:r>
    </w:p>
    <w:p w:rsidR="00130131" w:rsidRPr="006C677A" w:rsidRDefault="00130131">
      <w:pPr>
        <w:autoSpaceDE w:val="0"/>
        <w:autoSpaceDN w:val="0"/>
        <w:adjustRightInd w:val="0"/>
        <w:rPr>
          <w:rFonts w:ascii="Arial" w:hAnsi="Arial" w:cs="Arial"/>
          <w:color w:val="000000"/>
          <w:sz w:val="22"/>
          <w:szCs w:val="22"/>
        </w:rPr>
      </w:pPr>
      <w:r w:rsidRPr="006C677A">
        <w:rPr>
          <w:rFonts w:ascii="Arial" w:hAnsi="Arial" w:cs="Arial"/>
          <w:i/>
          <w:color w:val="000000"/>
          <w:sz w:val="22"/>
          <w:szCs w:val="22"/>
        </w:rPr>
        <w:t>Human Rights (Parliamentary Scrutiny) Act 2011</w:t>
      </w:r>
    </w:p>
    <w:p w:rsidR="00122908" w:rsidRPr="006C677A" w:rsidRDefault="00122908">
      <w:pPr>
        <w:rPr>
          <w:rFonts w:ascii="Arial" w:hAnsi="Arial" w:cs="Arial"/>
          <w:i/>
          <w:color w:val="000000"/>
          <w:sz w:val="22"/>
          <w:szCs w:val="22"/>
        </w:rPr>
      </w:pPr>
      <w:r w:rsidRPr="006C677A">
        <w:rPr>
          <w:rFonts w:ascii="Arial" w:hAnsi="Arial" w:cs="Arial"/>
          <w:i/>
          <w:color w:val="000000"/>
          <w:sz w:val="22"/>
          <w:szCs w:val="22"/>
        </w:rPr>
        <w:br w:type="page"/>
      </w:r>
    </w:p>
    <w:p w:rsidR="00122908" w:rsidRDefault="00122908" w:rsidP="00D91A1D">
      <w:pPr>
        <w:jc w:val="center"/>
        <w:rPr>
          <w:rFonts w:ascii="Arial" w:hAnsi="Arial" w:cs="Arial"/>
          <w:b/>
          <w:szCs w:val="24"/>
        </w:rPr>
      </w:pPr>
      <w:r w:rsidRPr="00D1046B">
        <w:rPr>
          <w:rFonts w:ascii="Arial" w:hAnsi="Arial" w:cs="Arial"/>
          <w:b/>
          <w:szCs w:val="24"/>
        </w:rPr>
        <w:t>Statement of</w:t>
      </w:r>
      <w:r w:rsidRPr="00CD43A0">
        <w:rPr>
          <w:rFonts w:ascii="Arial" w:hAnsi="Arial" w:cs="Arial"/>
          <w:b/>
          <w:szCs w:val="24"/>
        </w:rPr>
        <w:t xml:space="preserve"> Compatibility with Human Rights</w:t>
      </w:r>
    </w:p>
    <w:p w:rsidR="00122908" w:rsidRDefault="00122908" w:rsidP="00D91A1D">
      <w:pPr>
        <w:rPr>
          <w:rFonts w:ascii="Arial" w:hAnsi="Arial" w:cs="Arial"/>
          <w:b/>
          <w:szCs w:val="24"/>
        </w:rPr>
      </w:pPr>
    </w:p>
    <w:p w:rsidR="00122908" w:rsidRDefault="00122908" w:rsidP="002B7E4E">
      <w:pPr>
        <w:autoSpaceDE w:val="0"/>
        <w:autoSpaceDN w:val="0"/>
        <w:adjustRightInd w:val="0"/>
        <w:rPr>
          <w:rFonts w:ascii="Arial" w:hAnsi="Arial" w:cs="Arial"/>
          <w:color w:val="000000"/>
          <w:sz w:val="22"/>
          <w:szCs w:val="22"/>
        </w:rPr>
      </w:pPr>
      <w:r w:rsidRPr="005D1A68">
        <w:rPr>
          <w:rFonts w:ascii="Arial" w:hAnsi="Arial" w:cs="Arial"/>
          <w:color w:val="000000"/>
          <w:sz w:val="22"/>
          <w:szCs w:val="22"/>
        </w:rPr>
        <w:t xml:space="preserve">This </w:t>
      </w:r>
      <w:r w:rsidR="006A101F">
        <w:rPr>
          <w:rFonts w:ascii="Arial" w:hAnsi="Arial" w:cs="Arial"/>
          <w:color w:val="000000"/>
          <w:sz w:val="22"/>
          <w:szCs w:val="22"/>
        </w:rPr>
        <w:t>stateme</w:t>
      </w:r>
      <w:r w:rsidR="002142D7">
        <w:rPr>
          <w:rFonts w:ascii="Arial" w:hAnsi="Arial" w:cs="Arial"/>
          <w:color w:val="000000"/>
          <w:sz w:val="22"/>
          <w:szCs w:val="22"/>
        </w:rPr>
        <w:t>n</w:t>
      </w:r>
      <w:r w:rsidR="006A101F">
        <w:rPr>
          <w:rFonts w:ascii="Arial" w:hAnsi="Arial" w:cs="Arial"/>
          <w:color w:val="000000"/>
          <w:sz w:val="22"/>
          <w:szCs w:val="22"/>
        </w:rPr>
        <w:t xml:space="preserve">t is prepared in accordance </w:t>
      </w:r>
      <w:r w:rsidR="006A101F" w:rsidRPr="00FA27F4">
        <w:rPr>
          <w:rFonts w:ascii="Arial" w:hAnsi="Arial" w:cs="Arial"/>
          <w:color w:val="000000"/>
          <w:sz w:val="22"/>
          <w:szCs w:val="22"/>
        </w:rPr>
        <w:t xml:space="preserve">with </w:t>
      </w:r>
      <w:r w:rsidR="006A101F" w:rsidRPr="00C349C1">
        <w:rPr>
          <w:rFonts w:ascii="Arial" w:hAnsi="Arial" w:cs="Arial"/>
          <w:color w:val="000000"/>
          <w:sz w:val="22"/>
          <w:szCs w:val="22"/>
        </w:rPr>
        <w:t xml:space="preserve">Part </w:t>
      </w:r>
      <w:r w:rsidRPr="00FA27F4">
        <w:rPr>
          <w:rFonts w:ascii="Arial" w:hAnsi="Arial" w:cs="Arial"/>
          <w:color w:val="000000"/>
          <w:sz w:val="22"/>
          <w:szCs w:val="22"/>
        </w:rPr>
        <w:t>3</w:t>
      </w:r>
      <w:r w:rsidRPr="006A101F">
        <w:rPr>
          <w:rFonts w:ascii="Arial" w:hAnsi="Arial" w:cs="Arial"/>
          <w:color w:val="000000"/>
          <w:sz w:val="22"/>
          <w:szCs w:val="22"/>
        </w:rPr>
        <w:t xml:space="preserve"> </w:t>
      </w:r>
      <w:r w:rsidRPr="005D1A68">
        <w:rPr>
          <w:rFonts w:ascii="Arial" w:hAnsi="Arial" w:cs="Arial"/>
          <w:color w:val="000000"/>
          <w:sz w:val="22"/>
          <w:szCs w:val="22"/>
        </w:rPr>
        <w:t xml:space="preserve">of the </w:t>
      </w:r>
      <w:r w:rsidRPr="00FB5EC4">
        <w:rPr>
          <w:rFonts w:ascii="Arial" w:hAnsi="Arial" w:cs="Arial"/>
          <w:i/>
          <w:color w:val="000000"/>
          <w:sz w:val="22"/>
          <w:szCs w:val="22"/>
        </w:rPr>
        <w:t>Human Rights (Parliamentary Scrutiny) Act 2011</w:t>
      </w:r>
      <w:r w:rsidRPr="005D1A68">
        <w:rPr>
          <w:rFonts w:ascii="Arial" w:hAnsi="Arial" w:cs="Arial"/>
          <w:color w:val="000000"/>
          <w:sz w:val="22"/>
          <w:szCs w:val="22"/>
        </w:rPr>
        <w:t xml:space="preserve">. </w:t>
      </w:r>
    </w:p>
    <w:p w:rsidR="00D50972" w:rsidRDefault="00D50972">
      <w:pPr>
        <w:autoSpaceDE w:val="0"/>
        <w:autoSpaceDN w:val="0"/>
        <w:adjustRightInd w:val="0"/>
        <w:rPr>
          <w:rFonts w:ascii="Arial" w:hAnsi="Arial" w:cs="Arial"/>
          <w:color w:val="000000"/>
          <w:sz w:val="22"/>
          <w:szCs w:val="22"/>
        </w:rPr>
      </w:pPr>
    </w:p>
    <w:p w:rsidR="00D50972" w:rsidRPr="00D50972" w:rsidRDefault="00D50972" w:rsidP="006C677A">
      <w:pPr>
        <w:autoSpaceDE w:val="0"/>
        <w:autoSpaceDN w:val="0"/>
        <w:adjustRightInd w:val="0"/>
        <w:jc w:val="center"/>
        <w:rPr>
          <w:rFonts w:ascii="Arial" w:hAnsi="Arial" w:cs="Arial"/>
          <w:b/>
          <w:iCs/>
          <w:color w:val="000000"/>
          <w:sz w:val="22"/>
          <w:szCs w:val="22"/>
        </w:rPr>
      </w:pPr>
      <w:bookmarkStart w:id="14" w:name="OLE_LINK1"/>
      <w:r w:rsidRPr="00D50972">
        <w:rPr>
          <w:rFonts w:ascii="Arial" w:hAnsi="Arial" w:cs="Arial"/>
          <w:b/>
          <w:snapToGrid w:val="0"/>
          <w:sz w:val="22"/>
          <w:szCs w:val="22"/>
        </w:rPr>
        <w:t>Goods and Services Tax</w:t>
      </w:r>
      <w:r w:rsidR="00B70701">
        <w:rPr>
          <w:rFonts w:ascii="Arial" w:hAnsi="Arial" w:cs="Arial"/>
          <w:b/>
          <w:snapToGrid w:val="0"/>
          <w:sz w:val="22"/>
          <w:szCs w:val="22"/>
        </w:rPr>
        <w:t>:</w:t>
      </w:r>
      <w:r w:rsidRPr="00D50972">
        <w:rPr>
          <w:rFonts w:ascii="Arial" w:hAnsi="Arial" w:cs="Arial"/>
          <w:b/>
          <w:snapToGrid w:val="0"/>
          <w:sz w:val="22"/>
          <w:szCs w:val="22"/>
        </w:rPr>
        <w:t xml:space="preserve"> Waiver of Requirement to hold a Tax Invoice Determination </w:t>
      </w:r>
      <w:r w:rsidRPr="001959DA">
        <w:rPr>
          <w:rFonts w:ascii="Arial" w:hAnsi="Arial" w:cs="Arial"/>
          <w:b/>
          <w:snapToGrid w:val="0"/>
          <w:sz w:val="22"/>
          <w:szCs w:val="22"/>
        </w:rPr>
        <w:t>2017</w:t>
      </w:r>
      <w:r w:rsidRPr="00D50972">
        <w:rPr>
          <w:rFonts w:ascii="Arial" w:hAnsi="Arial" w:cs="Arial"/>
          <w:b/>
          <w:snapToGrid w:val="0"/>
          <w:sz w:val="22"/>
          <w:szCs w:val="22"/>
        </w:rPr>
        <w:t xml:space="preserve"> – Members of Master</w:t>
      </w:r>
      <w:r w:rsidR="00B70701">
        <w:rPr>
          <w:rFonts w:ascii="Arial" w:hAnsi="Arial" w:cs="Arial"/>
          <w:b/>
          <w:snapToGrid w:val="0"/>
          <w:sz w:val="22"/>
          <w:szCs w:val="22"/>
        </w:rPr>
        <w:t>C</w:t>
      </w:r>
      <w:r w:rsidRPr="00D50972">
        <w:rPr>
          <w:rFonts w:ascii="Arial" w:hAnsi="Arial" w:cs="Arial"/>
          <w:b/>
          <w:snapToGrid w:val="0"/>
          <w:sz w:val="22"/>
          <w:szCs w:val="22"/>
        </w:rPr>
        <w:t>ard International and Visa International</w:t>
      </w:r>
      <w:bookmarkEnd w:id="14"/>
      <w:r w:rsidRPr="00D50972">
        <w:rPr>
          <w:rFonts w:ascii="Arial" w:hAnsi="Arial" w:cs="Arial"/>
          <w:b/>
          <w:snapToGrid w:val="0"/>
          <w:sz w:val="22"/>
          <w:szCs w:val="22"/>
        </w:rPr>
        <w:t xml:space="preserve"> – Bank Interchange Services</w:t>
      </w:r>
    </w:p>
    <w:p w:rsidR="00122908" w:rsidRDefault="00122908">
      <w:pPr>
        <w:autoSpaceDE w:val="0"/>
        <w:autoSpaceDN w:val="0"/>
        <w:adjustRightInd w:val="0"/>
        <w:rPr>
          <w:rFonts w:ascii="Arial" w:hAnsi="Arial" w:cs="Arial"/>
          <w:color w:val="000000"/>
          <w:sz w:val="20"/>
        </w:rPr>
      </w:pPr>
    </w:p>
    <w:p w:rsidR="00D50972" w:rsidRPr="003E2C87" w:rsidRDefault="00D50972" w:rsidP="00D91A1D">
      <w:pPr>
        <w:rPr>
          <w:rFonts w:ascii="Arial" w:hAnsi="Arial" w:cs="Arial"/>
          <w:sz w:val="22"/>
          <w:szCs w:val="22"/>
        </w:rPr>
      </w:pPr>
      <w:r w:rsidRPr="003E2C87">
        <w:rPr>
          <w:rFonts w:ascii="Arial" w:hAnsi="Arial" w:cs="Arial"/>
          <w:sz w:val="22"/>
          <w:szCs w:val="22"/>
        </w:rPr>
        <w:t>Th</w:t>
      </w:r>
      <w:r w:rsidR="00FA27F4">
        <w:rPr>
          <w:rFonts w:ascii="Arial" w:hAnsi="Arial" w:cs="Arial"/>
          <w:sz w:val="22"/>
          <w:szCs w:val="22"/>
        </w:rPr>
        <w:t>is</w:t>
      </w:r>
      <w:r w:rsidRPr="003E2C87">
        <w:rPr>
          <w:rFonts w:ascii="Arial" w:hAnsi="Arial" w:cs="Arial"/>
          <w:sz w:val="22"/>
          <w:szCs w:val="22"/>
        </w:rPr>
        <w:t xml:space="preserve"> </w:t>
      </w:r>
      <w:r w:rsidR="002142D7">
        <w:rPr>
          <w:rFonts w:ascii="Arial" w:hAnsi="Arial" w:cs="Arial"/>
          <w:sz w:val="22"/>
          <w:szCs w:val="22"/>
        </w:rPr>
        <w:t>l</w:t>
      </w:r>
      <w:r w:rsidRPr="003E2C87">
        <w:rPr>
          <w:rFonts w:ascii="Arial" w:hAnsi="Arial" w:cs="Arial"/>
          <w:sz w:val="22"/>
          <w:szCs w:val="22"/>
        </w:rPr>
        <w:t xml:space="preserve">egislative </w:t>
      </w:r>
      <w:r w:rsidR="002142D7">
        <w:rPr>
          <w:rFonts w:ascii="Arial" w:hAnsi="Arial" w:cs="Arial"/>
          <w:sz w:val="22"/>
          <w:szCs w:val="22"/>
        </w:rPr>
        <w:t>i</w:t>
      </w:r>
      <w:r w:rsidRPr="003E2C87">
        <w:rPr>
          <w:rFonts w:ascii="Arial" w:hAnsi="Arial" w:cs="Arial"/>
          <w:sz w:val="22"/>
          <w:szCs w:val="22"/>
        </w:rPr>
        <w:t xml:space="preserve">nstrument is compatible with the human rights and freedoms recognised or declared in the international instruments listed in section 3 of the </w:t>
      </w:r>
      <w:r w:rsidRPr="003E2C87">
        <w:rPr>
          <w:rFonts w:ascii="Arial" w:hAnsi="Arial" w:cs="Arial"/>
          <w:i/>
          <w:sz w:val="22"/>
          <w:szCs w:val="22"/>
        </w:rPr>
        <w:t>Human Rights (Parliamentary Scrutiny) Act 2011</w:t>
      </w:r>
      <w:r w:rsidRPr="003E2C87">
        <w:rPr>
          <w:rFonts w:ascii="Arial" w:hAnsi="Arial" w:cs="Arial"/>
          <w:sz w:val="22"/>
          <w:szCs w:val="22"/>
        </w:rPr>
        <w:t>.</w:t>
      </w:r>
    </w:p>
    <w:p w:rsidR="00D50972" w:rsidRDefault="00D50972" w:rsidP="002B7E4E">
      <w:pPr>
        <w:autoSpaceDE w:val="0"/>
        <w:autoSpaceDN w:val="0"/>
        <w:adjustRightInd w:val="0"/>
        <w:rPr>
          <w:rFonts w:ascii="Arial" w:hAnsi="Arial" w:cs="Arial"/>
          <w:color w:val="000000"/>
          <w:sz w:val="20"/>
        </w:rPr>
      </w:pPr>
    </w:p>
    <w:p w:rsidR="00122908" w:rsidRDefault="00122908" w:rsidP="00D91A1D">
      <w:pPr>
        <w:jc w:val="both"/>
        <w:rPr>
          <w:rFonts w:ascii="Arial" w:hAnsi="Arial" w:cs="Arial"/>
          <w:b/>
        </w:rPr>
      </w:pPr>
      <w:r w:rsidRPr="005D1A68">
        <w:rPr>
          <w:rFonts w:ascii="Arial" w:hAnsi="Arial" w:cs="Arial"/>
          <w:b/>
        </w:rPr>
        <w:t xml:space="preserve">Overview of the </w:t>
      </w:r>
      <w:r w:rsidR="000D0B55">
        <w:rPr>
          <w:rFonts w:ascii="Arial" w:hAnsi="Arial" w:cs="Arial"/>
          <w:b/>
        </w:rPr>
        <w:t>legislative Instrument</w:t>
      </w:r>
    </w:p>
    <w:p w:rsidR="002B7E4E" w:rsidRPr="005D1A68" w:rsidRDefault="002B7E4E" w:rsidP="00D91A1D">
      <w:pPr>
        <w:jc w:val="both"/>
        <w:rPr>
          <w:rFonts w:ascii="Arial" w:hAnsi="Arial" w:cs="Arial"/>
          <w:b/>
        </w:rPr>
      </w:pPr>
    </w:p>
    <w:p w:rsidR="0044370A" w:rsidRPr="002142D7" w:rsidRDefault="0044370A" w:rsidP="00D91A1D">
      <w:pPr>
        <w:rPr>
          <w:rFonts w:ascii="Arial" w:hAnsi="Arial" w:cs="Arial"/>
          <w:sz w:val="22"/>
          <w:szCs w:val="22"/>
        </w:rPr>
      </w:pPr>
      <w:r w:rsidRPr="00803230">
        <w:rPr>
          <w:rFonts w:ascii="Arial" w:hAnsi="Arial" w:cs="Arial"/>
          <w:sz w:val="22"/>
          <w:szCs w:val="22"/>
        </w:rPr>
        <w:t>Th</w:t>
      </w:r>
      <w:r w:rsidR="00874C22">
        <w:rPr>
          <w:rFonts w:ascii="Arial" w:hAnsi="Arial" w:cs="Arial"/>
          <w:sz w:val="22"/>
          <w:szCs w:val="22"/>
        </w:rPr>
        <w:t>e</w:t>
      </w:r>
      <w:r w:rsidRPr="00803230">
        <w:rPr>
          <w:rFonts w:ascii="Arial" w:hAnsi="Arial" w:cs="Arial"/>
          <w:sz w:val="22"/>
          <w:szCs w:val="22"/>
        </w:rPr>
        <w:t xml:space="preserve"> </w:t>
      </w:r>
      <w:r w:rsidR="002142D7">
        <w:rPr>
          <w:rFonts w:ascii="Arial" w:hAnsi="Arial" w:cs="Arial"/>
          <w:sz w:val="22"/>
          <w:szCs w:val="22"/>
        </w:rPr>
        <w:t>legislative instrument</w:t>
      </w:r>
      <w:r w:rsidR="002142D7" w:rsidRPr="00803230">
        <w:rPr>
          <w:rFonts w:ascii="Arial" w:hAnsi="Arial" w:cs="Arial"/>
          <w:sz w:val="22"/>
          <w:szCs w:val="22"/>
        </w:rPr>
        <w:t xml:space="preserve"> </w:t>
      </w:r>
      <w:r w:rsidRPr="00803230">
        <w:rPr>
          <w:rFonts w:ascii="Arial" w:hAnsi="Arial" w:cs="Arial"/>
          <w:sz w:val="22"/>
          <w:szCs w:val="22"/>
        </w:rPr>
        <w:t xml:space="preserve">waives the requirement </w:t>
      </w:r>
      <w:r w:rsidR="00D50972">
        <w:rPr>
          <w:rFonts w:ascii="Arial" w:hAnsi="Arial" w:cs="Arial"/>
          <w:sz w:val="22"/>
          <w:szCs w:val="22"/>
        </w:rPr>
        <w:t>in</w:t>
      </w:r>
      <w:r w:rsidR="00D50972" w:rsidRPr="00803230">
        <w:rPr>
          <w:rFonts w:ascii="Arial" w:hAnsi="Arial" w:cs="Arial"/>
          <w:sz w:val="22"/>
          <w:szCs w:val="22"/>
        </w:rPr>
        <w:t xml:space="preserve"> </w:t>
      </w:r>
      <w:r w:rsidRPr="00803230">
        <w:rPr>
          <w:rFonts w:ascii="Arial" w:hAnsi="Arial" w:cs="Arial"/>
          <w:sz w:val="22"/>
          <w:szCs w:val="22"/>
        </w:rPr>
        <w:t xml:space="preserve">subsection 29-10(3) of the </w:t>
      </w:r>
      <w:r w:rsidR="002142D7" w:rsidRPr="002142D7">
        <w:rPr>
          <w:rFonts w:ascii="Arial" w:hAnsi="Arial" w:cs="Arial"/>
          <w:i/>
          <w:iCs/>
          <w:sz w:val="22"/>
          <w:szCs w:val="22"/>
        </w:rPr>
        <w:t>A New Tax System (Goods and Services Tax) Act 1999</w:t>
      </w:r>
      <w:r w:rsidR="002142D7" w:rsidRPr="002142D7">
        <w:rPr>
          <w:rFonts w:ascii="Arial" w:hAnsi="Arial" w:cs="Arial"/>
          <w:sz w:val="22"/>
          <w:szCs w:val="22"/>
        </w:rPr>
        <w:t xml:space="preserve"> </w:t>
      </w:r>
      <w:r w:rsidR="00D50972">
        <w:rPr>
          <w:rFonts w:ascii="Arial" w:hAnsi="Arial" w:cs="Arial"/>
          <w:sz w:val="22"/>
          <w:szCs w:val="22"/>
        </w:rPr>
        <w:t xml:space="preserve">for </w:t>
      </w:r>
      <w:r w:rsidR="00D50972" w:rsidRPr="002142D7">
        <w:rPr>
          <w:rFonts w:ascii="Arial" w:hAnsi="Arial" w:cs="Arial"/>
          <w:b/>
          <w:sz w:val="22"/>
          <w:szCs w:val="22"/>
        </w:rPr>
        <w:t>members</w:t>
      </w:r>
      <w:r w:rsidRPr="00803230">
        <w:rPr>
          <w:rFonts w:ascii="Arial" w:hAnsi="Arial" w:cs="Arial"/>
          <w:sz w:val="22"/>
          <w:szCs w:val="22"/>
        </w:rPr>
        <w:t xml:space="preserve"> to hold a tax invoice before being able to attribute an input tax credit to a tax period </w:t>
      </w:r>
      <w:r w:rsidR="00D50972">
        <w:rPr>
          <w:rFonts w:ascii="Arial" w:hAnsi="Arial" w:cs="Arial"/>
          <w:sz w:val="22"/>
          <w:szCs w:val="22"/>
        </w:rPr>
        <w:t>where a</w:t>
      </w:r>
      <w:r w:rsidR="00D50972" w:rsidRPr="00803230">
        <w:rPr>
          <w:rFonts w:ascii="Arial" w:hAnsi="Arial" w:cs="Arial"/>
          <w:sz w:val="22"/>
          <w:szCs w:val="22"/>
        </w:rPr>
        <w:t xml:space="preserve"> </w:t>
      </w:r>
      <w:r w:rsidRPr="002142D7">
        <w:rPr>
          <w:rFonts w:ascii="Arial" w:hAnsi="Arial" w:cs="Arial"/>
          <w:b/>
          <w:sz w:val="22"/>
          <w:szCs w:val="22"/>
        </w:rPr>
        <w:t>member</w:t>
      </w:r>
      <w:r w:rsidRPr="00803230">
        <w:rPr>
          <w:rFonts w:ascii="Arial" w:hAnsi="Arial" w:cs="Arial"/>
          <w:sz w:val="22"/>
          <w:szCs w:val="22"/>
        </w:rPr>
        <w:t xml:space="preserve"> </w:t>
      </w:r>
      <w:r w:rsidR="00D50972">
        <w:rPr>
          <w:rFonts w:ascii="Arial" w:eastAsia="Calibri" w:hAnsi="Arial" w:cs="Arial"/>
          <w:sz w:val="22"/>
          <w:szCs w:val="22"/>
          <w:lang w:eastAsia="en-US"/>
        </w:rPr>
        <w:t>has</w:t>
      </w:r>
      <w:r w:rsidRPr="00803230">
        <w:rPr>
          <w:rFonts w:ascii="Arial" w:eastAsia="Calibri" w:hAnsi="Arial" w:cs="Arial"/>
          <w:sz w:val="22"/>
          <w:szCs w:val="22"/>
          <w:lang w:eastAsia="en-US"/>
        </w:rPr>
        <w:t xml:space="preserve"> ma</w:t>
      </w:r>
      <w:r w:rsidR="00D50972">
        <w:rPr>
          <w:rFonts w:ascii="Arial" w:eastAsia="Calibri" w:hAnsi="Arial" w:cs="Arial"/>
          <w:sz w:val="22"/>
          <w:szCs w:val="22"/>
          <w:lang w:eastAsia="en-US"/>
        </w:rPr>
        <w:t>d</w:t>
      </w:r>
      <w:r w:rsidRPr="00803230">
        <w:rPr>
          <w:rFonts w:ascii="Arial" w:eastAsia="Calibri" w:hAnsi="Arial" w:cs="Arial"/>
          <w:sz w:val="22"/>
          <w:szCs w:val="22"/>
          <w:lang w:eastAsia="en-US"/>
        </w:rPr>
        <w:t xml:space="preserve">e </w:t>
      </w:r>
      <w:r w:rsidR="00D50972">
        <w:rPr>
          <w:rFonts w:ascii="Arial" w:eastAsia="Calibri" w:hAnsi="Arial" w:cs="Arial"/>
          <w:sz w:val="22"/>
          <w:szCs w:val="22"/>
          <w:lang w:eastAsia="en-US"/>
        </w:rPr>
        <w:t xml:space="preserve">a </w:t>
      </w:r>
      <w:r w:rsidRPr="00803230">
        <w:rPr>
          <w:rFonts w:ascii="Arial" w:eastAsia="Calibri" w:hAnsi="Arial" w:cs="Arial"/>
          <w:sz w:val="22"/>
          <w:szCs w:val="22"/>
          <w:lang w:eastAsia="en-US"/>
        </w:rPr>
        <w:t xml:space="preserve">creditable acquisitions </w:t>
      </w:r>
      <w:r w:rsidR="00803230" w:rsidRPr="00803230">
        <w:rPr>
          <w:rFonts w:ascii="Arial" w:hAnsi="Arial" w:cs="Arial"/>
          <w:snapToGrid w:val="0"/>
          <w:sz w:val="22"/>
          <w:szCs w:val="22"/>
        </w:rPr>
        <w:t xml:space="preserve">of </w:t>
      </w:r>
      <w:r w:rsidR="00803230" w:rsidRPr="002142D7">
        <w:rPr>
          <w:rFonts w:ascii="Arial" w:hAnsi="Arial" w:cs="Arial"/>
          <w:b/>
          <w:snapToGrid w:val="0"/>
          <w:sz w:val="22"/>
          <w:szCs w:val="22"/>
        </w:rPr>
        <w:t>bank interchange services</w:t>
      </w:r>
      <w:r w:rsidR="0015282C">
        <w:rPr>
          <w:rFonts w:ascii="Arial" w:eastAsia="Calibri" w:hAnsi="Arial" w:cs="Arial"/>
          <w:sz w:val="22"/>
          <w:szCs w:val="22"/>
          <w:lang w:eastAsia="en-US"/>
        </w:rPr>
        <w:t xml:space="preserve"> and</w:t>
      </w:r>
      <w:r w:rsidRPr="00803230">
        <w:rPr>
          <w:rFonts w:ascii="Arial" w:eastAsia="Calibri" w:hAnsi="Arial" w:cs="Arial"/>
          <w:sz w:val="22"/>
          <w:szCs w:val="22"/>
          <w:lang w:eastAsia="en-US"/>
        </w:rPr>
        <w:t xml:space="preserve"> </w:t>
      </w:r>
      <w:r w:rsidRPr="00803230">
        <w:rPr>
          <w:rFonts w:ascii="Arial" w:hAnsi="Arial" w:cs="Arial"/>
          <w:sz w:val="22"/>
          <w:szCs w:val="22"/>
        </w:rPr>
        <w:t>hold</w:t>
      </w:r>
      <w:r w:rsidR="003E6B23">
        <w:rPr>
          <w:rFonts w:ascii="Arial" w:hAnsi="Arial" w:cs="Arial"/>
          <w:sz w:val="22"/>
          <w:szCs w:val="22"/>
        </w:rPr>
        <w:t>s</w:t>
      </w:r>
      <w:r w:rsidRPr="00803230">
        <w:rPr>
          <w:rFonts w:ascii="Arial" w:hAnsi="Arial" w:cs="Arial"/>
          <w:sz w:val="22"/>
          <w:szCs w:val="22"/>
        </w:rPr>
        <w:t xml:space="preserve"> a </w:t>
      </w:r>
      <w:r w:rsidR="0015282C" w:rsidRPr="002142D7">
        <w:rPr>
          <w:rFonts w:ascii="Arial" w:hAnsi="Arial" w:cs="Arial"/>
          <w:b/>
          <w:snapToGrid w:val="0"/>
          <w:sz w:val="22"/>
          <w:szCs w:val="22"/>
        </w:rPr>
        <w:t>bank interchange services</w:t>
      </w:r>
      <w:r w:rsidR="0015282C" w:rsidRPr="00860F0A">
        <w:rPr>
          <w:rFonts w:ascii="Arial" w:hAnsi="Arial" w:cs="Arial"/>
          <w:sz w:val="22"/>
          <w:szCs w:val="22"/>
        </w:rPr>
        <w:t xml:space="preserve"> </w:t>
      </w:r>
      <w:r w:rsidRPr="006C677A">
        <w:rPr>
          <w:rFonts w:ascii="Arial" w:hAnsi="Arial" w:cs="Arial"/>
          <w:sz w:val="22"/>
          <w:szCs w:val="22"/>
        </w:rPr>
        <w:t>report</w:t>
      </w:r>
      <w:r w:rsidRPr="002142D7">
        <w:rPr>
          <w:rFonts w:ascii="Arial" w:hAnsi="Arial" w:cs="Arial"/>
          <w:sz w:val="22"/>
          <w:szCs w:val="22"/>
        </w:rPr>
        <w:t xml:space="preserve"> </w:t>
      </w:r>
      <w:r w:rsidR="00AA089E" w:rsidRPr="00860F0A">
        <w:rPr>
          <w:rFonts w:ascii="Arial" w:eastAsia="Calibri" w:hAnsi="Arial" w:cs="Arial"/>
          <w:sz w:val="22"/>
          <w:szCs w:val="22"/>
          <w:lang w:eastAsia="en-US"/>
        </w:rPr>
        <w:t xml:space="preserve">provided </w:t>
      </w:r>
      <w:r w:rsidRPr="002142D7">
        <w:rPr>
          <w:rFonts w:ascii="Arial" w:hAnsi="Arial" w:cs="Arial"/>
          <w:sz w:val="22"/>
          <w:szCs w:val="22"/>
        </w:rPr>
        <w:t>certain information requirements</w:t>
      </w:r>
      <w:r w:rsidR="00AA089E" w:rsidRPr="002142D7">
        <w:rPr>
          <w:rFonts w:ascii="Arial" w:hAnsi="Arial" w:cs="Arial"/>
          <w:sz w:val="22"/>
          <w:szCs w:val="22"/>
        </w:rPr>
        <w:t xml:space="preserve"> are met</w:t>
      </w:r>
      <w:r w:rsidR="00313620" w:rsidRPr="002142D7">
        <w:rPr>
          <w:rFonts w:ascii="Arial" w:hAnsi="Arial" w:cs="Arial"/>
          <w:sz w:val="22"/>
          <w:szCs w:val="22"/>
        </w:rPr>
        <w:t>.</w:t>
      </w:r>
    </w:p>
    <w:p w:rsidR="00122908" w:rsidRPr="002142D7" w:rsidRDefault="00122908" w:rsidP="00D91A1D">
      <w:pPr>
        <w:ind w:left="720"/>
      </w:pPr>
    </w:p>
    <w:p w:rsidR="00122908" w:rsidRDefault="00122908" w:rsidP="00D91A1D">
      <w:pPr>
        <w:jc w:val="both"/>
        <w:rPr>
          <w:rFonts w:ascii="Arial" w:hAnsi="Arial" w:cs="Arial"/>
          <w:b/>
        </w:rPr>
      </w:pPr>
      <w:r w:rsidRPr="005D1A68">
        <w:rPr>
          <w:rFonts w:ascii="Arial" w:hAnsi="Arial" w:cs="Arial"/>
          <w:b/>
        </w:rPr>
        <w:t>Human rights implications</w:t>
      </w:r>
    </w:p>
    <w:p w:rsidR="002B7E4E" w:rsidRPr="005D1A68" w:rsidRDefault="002B7E4E" w:rsidP="00D91A1D">
      <w:pPr>
        <w:jc w:val="both"/>
        <w:rPr>
          <w:rFonts w:ascii="Arial" w:hAnsi="Arial" w:cs="Arial"/>
          <w:b/>
        </w:rPr>
      </w:pPr>
    </w:p>
    <w:p w:rsidR="00122908" w:rsidRPr="005D1A68" w:rsidRDefault="00122908" w:rsidP="002B7E4E">
      <w:pPr>
        <w:autoSpaceDE w:val="0"/>
        <w:autoSpaceDN w:val="0"/>
        <w:adjustRightInd w:val="0"/>
        <w:rPr>
          <w:rFonts w:ascii="Arial" w:hAnsi="Arial" w:cs="Arial"/>
          <w:color w:val="000000"/>
          <w:sz w:val="22"/>
          <w:szCs w:val="22"/>
        </w:rPr>
      </w:pPr>
      <w:r w:rsidRPr="001959DA">
        <w:rPr>
          <w:rFonts w:ascii="Arial" w:hAnsi="Arial" w:cs="Arial"/>
          <w:color w:val="000000"/>
          <w:sz w:val="22"/>
          <w:szCs w:val="22"/>
        </w:rPr>
        <w:t xml:space="preserve">This </w:t>
      </w:r>
      <w:r w:rsidR="002142D7">
        <w:rPr>
          <w:rFonts w:ascii="Arial" w:hAnsi="Arial" w:cs="Arial"/>
          <w:color w:val="000000"/>
          <w:sz w:val="22"/>
          <w:szCs w:val="22"/>
        </w:rPr>
        <w:t>l</w:t>
      </w:r>
      <w:r w:rsidRPr="001959DA">
        <w:rPr>
          <w:rFonts w:ascii="Arial" w:hAnsi="Arial" w:cs="Arial"/>
          <w:color w:val="000000"/>
          <w:sz w:val="22"/>
          <w:szCs w:val="22"/>
        </w:rPr>
        <w:t xml:space="preserve">egislative </w:t>
      </w:r>
      <w:r w:rsidR="002142D7">
        <w:rPr>
          <w:rFonts w:ascii="Arial" w:hAnsi="Arial" w:cs="Arial"/>
          <w:color w:val="000000"/>
          <w:sz w:val="22"/>
          <w:szCs w:val="22"/>
        </w:rPr>
        <w:t>i</w:t>
      </w:r>
      <w:r w:rsidRPr="001959DA">
        <w:rPr>
          <w:rFonts w:ascii="Arial" w:hAnsi="Arial" w:cs="Arial"/>
          <w:color w:val="000000"/>
          <w:sz w:val="22"/>
          <w:szCs w:val="22"/>
        </w:rPr>
        <w:t xml:space="preserve">nstrument does not engage any of the applicable rights or freedoms. </w:t>
      </w:r>
      <w:r w:rsidR="00AA089E" w:rsidRPr="003E2C87">
        <w:rPr>
          <w:rFonts w:ascii="Arial" w:hAnsi="Arial" w:cs="Arial"/>
          <w:sz w:val="22"/>
          <w:szCs w:val="22"/>
        </w:rPr>
        <w:t>It allows for</w:t>
      </w:r>
      <w:r w:rsidR="00D50972">
        <w:rPr>
          <w:rFonts w:ascii="Arial" w:hAnsi="Arial" w:cs="Arial"/>
          <w:sz w:val="22"/>
          <w:szCs w:val="22"/>
        </w:rPr>
        <w:t xml:space="preserve"> a</w:t>
      </w:r>
      <w:r w:rsidR="00AA089E" w:rsidRPr="003E2C87">
        <w:rPr>
          <w:rFonts w:ascii="Arial" w:hAnsi="Arial" w:cs="Arial"/>
          <w:sz w:val="22"/>
          <w:szCs w:val="22"/>
        </w:rPr>
        <w:t xml:space="preserve"> </w:t>
      </w:r>
      <w:r w:rsidR="00D50972" w:rsidRPr="00EC3B78">
        <w:rPr>
          <w:rFonts w:ascii="Arial" w:hAnsi="Arial" w:cs="Arial"/>
          <w:b/>
          <w:sz w:val="22"/>
          <w:szCs w:val="22"/>
        </w:rPr>
        <w:t>member</w:t>
      </w:r>
      <w:r w:rsidR="00D50972">
        <w:rPr>
          <w:rFonts w:ascii="Arial" w:hAnsi="Arial" w:cs="Arial"/>
          <w:sz w:val="22"/>
          <w:szCs w:val="22"/>
        </w:rPr>
        <w:t xml:space="preserve"> to attribute an input tax credit without holding a tax invoice for </w:t>
      </w:r>
      <w:r w:rsidR="00D50972" w:rsidRPr="00EC3B78">
        <w:rPr>
          <w:rFonts w:ascii="Arial" w:hAnsi="Arial" w:cs="Arial"/>
          <w:b/>
          <w:sz w:val="22"/>
          <w:szCs w:val="22"/>
        </w:rPr>
        <w:t>bank interchange services</w:t>
      </w:r>
      <w:r w:rsidR="00D50972">
        <w:rPr>
          <w:rFonts w:ascii="Arial" w:hAnsi="Arial" w:cs="Arial"/>
          <w:b/>
          <w:sz w:val="22"/>
          <w:szCs w:val="22"/>
        </w:rPr>
        <w:t xml:space="preserve"> </w:t>
      </w:r>
      <w:r w:rsidR="00D50972" w:rsidRPr="00EC3B78">
        <w:rPr>
          <w:rFonts w:ascii="Arial" w:hAnsi="Arial" w:cs="Arial"/>
          <w:sz w:val="22"/>
          <w:szCs w:val="22"/>
        </w:rPr>
        <w:t>in certain circumstances</w:t>
      </w:r>
      <w:r w:rsidR="00AA089E" w:rsidRPr="003E2C87">
        <w:rPr>
          <w:rFonts w:ascii="Arial" w:hAnsi="Arial" w:cs="Arial"/>
          <w:sz w:val="22"/>
          <w:szCs w:val="22"/>
        </w:rPr>
        <w:t>.</w:t>
      </w:r>
    </w:p>
    <w:p w:rsidR="00122908" w:rsidRDefault="00122908" w:rsidP="00D91A1D">
      <w:pPr>
        <w:ind w:left="720"/>
        <w:rPr>
          <w:b/>
        </w:rPr>
      </w:pPr>
    </w:p>
    <w:p w:rsidR="00122908" w:rsidRDefault="00122908" w:rsidP="00D91A1D">
      <w:pPr>
        <w:jc w:val="both"/>
        <w:rPr>
          <w:rFonts w:ascii="Arial" w:hAnsi="Arial" w:cs="Arial"/>
          <w:b/>
        </w:rPr>
      </w:pPr>
      <w:r w:rsidRPr="005D1A68">
        <w:rPr>
          <w:rFonts w:ascii="Arial" w:hAnsi="Arial" w:cs="Arial"/>
          <w:b/>
        </w:rPr>
        <w:t>Conclusion</w:t>
      </w:r>
    </w:p>
    <w:p w:rsidR="002B7E4E" w:rsidRPr="005D1A68" w:rsidRDefault="002B7E4E" w:rsidP="00D91A1D">
      <w:pPr>
        <w:jc w:val="both"/>
        <w:rPr>
          <w:rFonts w:ascii="Arial" w:hAnsi="Arial" w:cs="Arial"/>
          <w:b/>
        </w:rPr>
      </w:pPr>
    </w:p>
    <w:p w:rsidR="00122908" w:rsidRPr="005D1A68" w:rsidRDefault="00122908" w:rsidP="002B7E4E">
      <w:pPr>
        <w:autoSpaceDE w:val="0"/>
        <w:autoSpaceDN w:val="0"/>
        <w:adjustRightInd w:val="0"/>
        <w:rPr>
          <w:rFonts w:ascii="Arial" w:hAnsi="Arial" w:cs="Arial"/>
          <w:color w:val="000000"/>
          <w:sz w:val="22"/>
          <w:szCs w:val="22"/>
        </w:rPr>
      </w:pPr>
      <w:r w:rsidRPr="005D1A68">
        <w:rPr>
          <w:rFonts w:ascii="Arial" w:hAnsi="Arial" w:cs="Arial"/>
          <w:color w:val="000000"/>
          <w:sz w:val="22"/>
          <w:szCs w:val="22"/>
        </w:rPr>
        <w:t xml:space="preserve">This </w:t>
      </w:r>
      <w:r w:rsidR="002142D7">
        <w:rPr>
          <w:rFonts w:ascii="Arial" w:hAnsi="Arial" w:cs="Arial"/>
          <w:color w:val="000000"/>
          <w:sz w:val="22"/>
          <w:szCs w:val="22"/>
        </w:rPr>
        <w:t>l</w:t>
      </w:r>
      <w:r w:rsidRPr="005D1A68">
        <w:rPr>
          <w:rFonts w:ascii="Arial" w:hAnsi="Arial" w:cs="Arial"/>
          <w:color w:val="000000"/>
          <w:sz w:val="22"/>
          <w:szCs w:val="22"/>
        </w:rPr>
        <w:t xml:space="preserve">egislative </w:t>
      </w:r>
      <w:r w:rsidR="002142D7">
        <w:rPr>
          <w:rFonts w:ascii="Arial" w:hAnsi="Arial" w:cs="Arial"/>
          <w:color w:val="000000"/>
          <w:sz w:val="22"/>
          <w:szCs w:val="22"/>
        </w:rPr>
        <w:t>i</w:t>
      </w:r>
      <w:r w:rsidRPr="005D1A68">
        <w:rPr>
          <w:rFonts w:ascii="Arial" w:hAnsi="Arial" w:cs="Arial"/>
          <w:color w:val="000000"/>
          <w:sz w:val="22"/>
          <w:szCs w:val="22"/>
        </w:rPr>
        <w:t>nstrument is compatible with human rights as it does not raise any human rights issues.</w:t>
      </w:r>
    </w:p>
    <w:p w:rsidR="00122908" w:rsidRPr="00CD7B3B" w:rsidRDefault="00122908" w:rsidP="00122908">
      <w:pPr>
        <w:spacing w:after="60"/>
        <w:rPr>
          <w:rFonts w:ascii="Arial" w:hAnsi="Arial" w:cs="Arial"/>
          <w:i/>
          <w:color w:val="000000"/>
          <w:sz w:val="20"/>
        </w:rPr>
      </w:pPr>
    </w:p>
    <w:p w:rsidR="00F23FB9" w:rsidRDefault="00F23FB9" w:rsidP="00F23FB9">
      <w:pPr>
        <w:spacing w:after="120"/>
        <w:rPr>
          <w:rFonts w:ascii="Arial" w:hAnsi="Arial" w:cs="Arial"/>
          <w:sz w:val="22"/>
          <w:szCs w:val="22"/>
        </w:rPr>
      </w:pPr>
    </w:p>
    <w:p w:rsidR="00F23FB9" w:rsidRPr="003E2C87" w:rsidRDefault="00F23FB9" w:rsidP="00F23FB9">
      <w:pPr>
        <w:spacing w:after="120"/>
        <w:rPr>
          <w:rFonts w:ascii="Arial" w:hAnsi="Arial" w:cs="Arial"/>
          <w:sz w:val="22"/>
          <w:szCs w:val="22"/>
        </w:rPr>
      </w:pPr>
    </w:p>
    <w:p w:rsidR="008540EA" w:rsidRPr="00CD7B3B" w:rsidRDefault="008540EA" w:rsidP="00122908">
      <w:pPr>
        <w:spacing w:after="60"/>
        <w:rPr>
          <w:rFonts w:ascii="Arial" w:hAnsi="Arial" w:cs="Arial"/>
          <w:i/>
          <w:color w:val="000000"/>
          <w:sz w:val="20"/>
        </w:rPr>
      </w:pPr>
    </w:p>
    <w:sectPr w:rsidR="008540EA" w:rsidRPr="00CD7B3B" w:rsidSect="00146ED8">
      <w:headerReference w:type="even" r:id="rId15"/>
      <w:headerReference w:type="default" r:id="rId16"/>
      <w:headerReference w:type="first" r:id="rId17"/>
      <w:pgSz w:w="11906" w:h="16838" w:code="9"/>
      <w:pgMar w:top="1440" w:right="1700" w:bottom="1358" w:left="1843"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AD" w:rsidRDefault="00FC3DAD">
      <w:r>
        <w:separator/>
      </w:r>
    </w:p>
  </w:endnote>
  <w:endnote w:type="continuationSeparator" w:id="0">
    <w:p w:rsidR="00FC3DAD" w:rsidRDefault="00FC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AD" w:rsidRDefault="00FC3DAD">
      <w:r>
        <w:separator/>
      </w:r>
    </w:p>
  </w:footnote>
  <w:footnote w:type="continuationSeparator" w:id="0">
    <w:p w:rsidR="00FC3DAD" w:rsidRDefault="00FC3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Pr="0067541C" w:rsidRDefault="00587C50">
    <w:pPr>
      <w:pStyle w:val="Header"/>
      <w:rPr>
        <w:rFonts w:ascii="Arial" w:hAnsi="Arial" w:cs="Arial"/>
        <w:sz w:val="52"/>
      </w:rPr>
    </w:pPr>
    <w:r w:rsidRPr="0067541C">
      <w:rPr>
        <w:rFonts w:ascii="Arial" w:hAnsi="Arial" w:cs="Arial"/>
        <w:sz w:val="20"/>
      </w:rPr>
      <w:t>Taxation Determination</w:t>
    </w:r>
  </w:p>
  <w:p w:rsidR="00587C50" w:rsidRPr="0067541C" w:rsidRDefault="00587C50">
    <w:pPr>
      <w:pStyle w:val="Header"/>
      <w:rPr>
        <w:rFonts w:ascii="Arial" w:hAnsi="Arial" w:cs="Arial"/>
        <w:sz w:val="52"/>
      </w:rPr>
    </w:pPr>
    <w:r w:rsidRPr="0067541C">
      <w:rPr>
        <w:rFonts w:ascii="Arial" w:hAnsi="Arial" w:cs="Arial"/>
        <w:b/>
        <w:sz w:val="52"/>
      </w:rPr>
      <w:t xml:space="preserve">TD </w:t>
    </w:r>
  </w:p>
  <w:p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664BF3">
      <w:rPr>
        <w:rFonts w:ascii="Arial" w:hAnsi="Arial" w:cs="Arial"/>
        <w:noProof/>
        <w:snapToGrid w:val="0"/>
        <w:sz w:val="20"/>
        <w:lang w:eastAsia="en-US"/>
      </w:rPr>
      <w:t>4</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D8" w:rsidRPr="00333FE9"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jc w:val="center"/>
      <w:rPr>
        <w:rFonts w:ascii="Arial" w:hAnsi="Arial" w:cs="Arial"/>
        <w:sz w:val="20"/>
      </w:rPr>
    </w:pPr>
    <w:bookmarkStart w:id="15" w:name="AType"/>
    <w:r>
      <w:rPr>
        <w:rFonts w:ascii="Arial" w:hAnsi="Arial" w:cs="Arial"/>
        <w:sz w:val="20"/>
      </w:rPr>
      <w:t xml:space="preserve">Australian </w:t>
    </w:r>
    <w:r w:rsidRPr="00333FE9">
      <w:rPr>
        <w:rFonts w:ascii="Arial" w:hAnsi="Arial" w:cs="Arial"/>
        <w:sz w:val="20"/>
      </w:rPr>
      <w:t xml:space="preserve">Taxation </w:t>
    </w:r>
    <w:r>
      <w:rPr>
        <w:rFonts w:ascii="Arial" w:hAnsi="Arial" w:cs="Arial"/>
        <w:sz w:val="20"/>
      </w:rPr>
      <w:t>Office Legislative Instrument</w:t>
    </w:r>
  </w:p>
  <w:p w:rsidR="00146ED8" w:rsidRPr="00146ED8" w:rsidRDefault="00146ED8" w:rsidP="00E36A38">
    <w:pPr>
      <w:framePr w:w="4381" w:h="732" w:hSpace="180" w:wrap="around" w:vAnchor="page" w:hAnchor="page" w:x="5761" w:y="991"/>
      <w:pBdr>
        <w:top w:val="single" w:sz="12" w:space="1" w:color="auto"/>
        <w:left w:val="single" w:sz="12" w:space="1" w:color="auto"/>
        <w:bottom w:val="single" w:sz="12" w:space="1" w:color="auto"/>
        <w:right w:val="single" w:sz="12" w:space="1" w:color="auto"/>
      </w:pBdr>
      <w:rPr>
        <w:rFonts w:ascii="Arial" w:hAnsi="Arial" w:cs="Arial"/>
        <w:sz w:val="28"/>
        <w:szCs w:val="28"/>
      </w:rPr>
    </w:pPr>
    <w:bookmarkStart w:id="16" w:name="BPrefix"/>
    <w:bookmarkEnd w:id="15"/>
    <w:r>
      <w:rPr>
        <w:rFonts w:ascii="Arial" w:hAnsi="Arial" w:cs="Arial"/>
        <w:b/>
        <w:sz w:val="32"/>
        <w:szCs w:val="32"/>
      </w:rPr>
      <w:t xml:space="preserve">  </w:t>
    </w:r>
    <w:r w:rsidRPr="00146ED8">
      <w:rPr>
        <w:rFonts w:ascii="Arial" w:hAnsi="Arial" w:cs="Arial"/>
        <w:b/>
        <w:sz w:val="28"/>
        <w:szCs w:val="28"/>
      </w:rPr>
      <w:t>Inst</w:t>
    </w:r>
    <w:bookmarkStart w:id="17" w:name="CDocnum"/>
    <w:bookmarkEnd w:id="16"/>
    <w:bookmarkEnd w:id="17"/>
    <w:r w:rsidRPr="00146ED8">
      <w:rPr>
        <w:rFonts w:ascii="Arial" w:hAnsi="Arial" w:cs="Arial"/>
        <w:b/>
        <w:sz w:val="28"/>
        <w:szCs w:val="28"/>
      </w:rPr>
      <w:t xml:space="preserve">rument ID: </w:t>
    </w:r>
    <w:r w:rsidR="003C3CFF">
      <w:rPr>
        <w:rFonts w:ascii="Arial" w:hAnsi="Arial" w:cs="Arial"/>
        <w:b/>
        <w:sz w:val="28"/>
        <w:szCs w:val="28"/>
      </w:rPr>
      <w:t>2017</w:t>
    </w:r>
    <w:r w:rsidRPr="00146ED8">
      <w:rPr>
        <w:rFonts w:ascii="Arial" w:hAnsi="Arial" w:cs="Arial"/>
        <w:b/>
        <w:sz w:val="28"/>
        <w:szCs w:val="28"/>
      </w:rPr>
      <w:t>/</w:t>
    </w:r>
    <w:r w:rsidR="003C3CFF">
      <w:rPr>
        <w:rFonts w:ascii="Arial" w:hAnsi="Arial" w:cs="Arial"/>
        <w:b/>
        <w:sz w:val="28"/>
        <w:szCs w:val="28"/>
      </w:rPr>
      <w:t>ITX</w:t>
    </w:r>
    <w:r w:rsidRPr="00146ED8">
      <w:rPr>
        <w:rFonts w:ascii="Arial" w:hAnsi="Arial" w:cs="Arial"/>
        <w:b/>
        <w:sz w:val="28"/>
        <w:szCs w:val="28"/>
      </w:rPr>
      <w:t>/</w:t>
    </w:r>
    <w:r w:rsidR="003C3CFF">
      <w:rPr>
        <w:rFonts w:ascii="Arial" w:hAnsi="Arial" w:cs="Arial"/>
        <w:b/>
        <w:sz w:val="28"/>
        <w:szCs w:val="28"/>
      </w:rPr>
      <w:t>0029</w:t>
    </w:r>
  </w:p>
  <w:p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41C76ECC" wp14:editId="41C76ECD">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rsidR="00CC1833" w:rsidRPr="001A6644" w:rsidRDefault="00CC1833" w:rsidP="001828A4">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6">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7">
    <w:nsid w:val="14B50836"/>
    <w:multiLevelType w:val="hybridMultilevel"/>
    <w:tmpl w:val="402C5142"/>
    <w:lvl w:ilvl="0" w:tplc="D4B26DB6">
      <w:start w:val="4"/>
      <w:numFmt w:val="decimal"/>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091838"/>
    <w:multiLevelType w:val="hybridMultilevel"/>
    <w:tmpl w:val="B3426F72"/>
    <w:lvl w:ilvl="0" w:tplc="2DEAF340">
      <w:start w:val="1"/>
      <w:numFmt w:val="decimal"/>
      <w:lvlText w:val="%1."/>
      <w:lvlJc w:val="left"/>
      <w:pPr>
        <w:ind w:left="786" w:hanging="360"/>
      </w:pPr>
      <w:rPr>
        <w:rFonts w:hint="default"/>
        <w:b w:val="0"/>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2">
    <w:nsid w:val="1EB25B75"/>
    <w:multiLevelType w:val="hybridMultilevel"/>
    <w:tmpl w:val="3CB8E31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5">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6">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8">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1">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2FD70175"/>
    <w:multiLevelType w:val="hybridMultilevel"/>
    <w:tmpl w:val="3CB8E31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3B7001EA"/>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3FCC3903"/>
    <w:multiLevelType w:val="hybridMultilevel"/>
    <w:tmpl w:val="3CB8E31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28">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4A1966EA"/>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nsid w:val="4F7461BC"/>
    <w:multiLevelType w:val="hybridMultilevel"/>
    <w:tmpl w:val="275A1F0E"/>
    <w:lvl w:ilvl="0" w:tplc="C6E0F63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3">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4">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6EC3730C"/>
    <w:multiLevelType w:val="hybridMultilevel"/>
    <w:tmpl w:val="275A1F0E"/>
    <w:lvl w:ilvl="0" w:tplc="C6E0F63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4">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6"/>
  </w:num>
  <w:num w:numId="4">
    <w:abstractNumId w:val="41"/>
  </w:num>
  <w:num w:numId="5">
    <w:abstractNumId w:val="4"/>
  </w:num>
  <w:num w:numId="6">
    <w:abstractNumId w:val="14"/>
  </w:num>
  <w:num w:numId="7">
    <w:abstractNumId w:val="36"/>
  </w:num>
  <w:num w:numId="8">
    <w:abstractNumId w:val="35"/>
  </w:num>
  <w:num w:numId="9">
    <w:abstractNumId w:val="28"/>
  </w:num>
  <w:num w:numId="10">
    <w:abstractNumId w:val="23"/>
  </w:num>
  <w:num w:numId="11">
    <w:abstractNumId w:val="44"/>
  </w:num>
  <w:num w:numId="12">
    <w:abstractNumId w:val="37"/>
  </w:num>
  <w:num w:numId="13">
    <w:abstractNumId w:val="40"/>
  </w:num>
  <w:num w:numId="14">
    <w:abstractNumId w:val="39"/>
  </w:num>
  <w:num w:numId="15">
    <w:abstractNumId w:val="21"/>
  </w:num>
  <w:num w:numId="16">
    <w:abstractNumId w:val="25"/>
  </w:num>
  <w:num w:numId="17">
    <w:abstractNumId w:val="11"/>
  </w:num>
  <w:num w:numId="18">
    <w:abstractNumId w:val="17"/>
  </w:num>
  <w:num w:numId="19">
    <w:abstractNumId w:val="2"/>
  </w:num>
  <w:num w:numId="20">
    <w:abstractNumId w:val="1"/>
  </w:num>
  <w:num w:numId="21">
    <w:abstractNumId w:val="13"/>
  </w:num>
  <w:num w:numId="22">
    <w:abstractNumId w:val="33"/>
  </w:num>
  <w:num w:numId="23">
    <w:abstractNumId w:val="10"/>
  </w:num>
  <w:num w:numId="24">
    <w:abstractNumId w:val="20"/>
  </w:num>
  <w:num w:numId="25">
    <w:abstractNumId w:val="32"/>
  </w:num>
  <w:num w:numId="26">
    <w:abstractNumId w:val="30"/>
  </w:num>
  <w:num w:numId="27">
    <w:abstractNumId w:val="9"/>
  </w:num>
  <w:num w:numId="28">
    <w:abstractNumId w:val="34"/>
  </w:num>
  <w:num w:numId="29">
    <w:abstractNumId w:val="19"/>
  </w:num>
  <w:num w:numId="30">
    <w:abstractNumId w:val="15"/>
  </w:num>
  <w:num w:numId="31">
    <w:abstractNumId w:val="5"/>
  </w:num>
  <w:num w:numId="32">
    <w:abstractNumId w:val="0"/>
  </w:num>
  <w:num w:numId="33">
    <w:abstractNumId w:val="6"/>
  </w:num>
  <w:num w:numId="34">
    <w:abstractNumId w:val="27"/>
  </w:num>
  <w:num w:numId="35">
    <w:abstractNumId w:val="38"/>
  </w:num>
  <w:num w:numId="36">
    <w:abstractNumId w:val="18"/>
  </w:num>
  <w:num w:numId="37">
    <w:abstractNumId w:val="43"/>
  </w:num>
  <w:num w:numId="38">
    <w:abstractNumId w:val="8"/>
  </w:num>
  <w:num w:numId="39">
    <w:abstractNumId w:val="7"/>
  </w:num>
  <w:num w:numId="40">
    <w:abstractNumId w:val="24"/>
  </w:num>
  <w:num w:numId="41">
    <w:abstractNumId w:val="29"/>
  </w:num>
  <w:num w:numId="42">
    <w:abstractNumId w:val="31"/>
  </w:num>
  <w:num w:numId="43">
    <w:abstractNumId w:val="42"/>
  </w:num>
  <w:num w:numId="44">
    <w:abstractNumId w:val="12"/>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18"/>
    <w:rsid w:val="000117B2"/>
    <w:rsid w:val="00011CCD"/>
    <w:rsid w:val="0001796D"/>
    <w:rsid w:val="00017BF0"/>
    <w:rsid w:val="0002568B"/>
    <w:rsid w:val="00041470"/>
    <w:rsid w:val="00042177"/>
    <w:rsid w:val="00043FA7"/>
    <w:rsid w:val="000552E8"/>
    <w:rsid w:val="00056585"/>
    <w:rsid w:val="0005674F"/>
    <w:rsid w:val="00065C6E"/>
    <w:rsid w:val="00073F1B"/>
    <w:rsid w:val="00075B58"/>
    <w:rsid w:val="00086268"/>
    <w:rsid w:val="000B11DD"/>
    <w:rsid w:val="000C390A"/>
    <w:rsid w:val="000C77DD"/>
    <w:rsid w:val="000D0B55"/>
    <w:rsid w:val="000E295B"/>
    <w:rsid w:val="000E45A0"/>
    <w:rsid w:val="00107460"/>
    <w:rsid w:val="00112415"/>
    <w:rsid w:val="00122908"/>
    <w:rsid w:val="00130131"/>
    <w:rsid w:val="0013678D"/>
    <w:rsid w:val="00140A34"/>
    <w:rsid w:val="00145B06"/>
    <w:rsid w:val="00146ED8"/>
    <w:rsid w:val="0015282C"/>
    <w:rsid w:val="0015796D"/>
    <w:rsid w:val="00163617"/>
    <w:rsid w:val="00167202"/>
    <w:rsid w:val="001828A4"/>
    <w:rsid w:val="001959DA"/>
    <w:rsid w:val="001A3BE2"/>
    <w:rsid w:val="001C35E7"/>
    <w:rsid w:val="001C4578"/>
    <w:rsid w:val="001D2970"/>
    <w:rsid w:val="001E1589"/>
    <w:rsid w:val="001F1A2B"/>
    <w:rsid w:val="001F28A6"/>
    <w:rsid w:val="001F2A16"/>
    <w:rsid w:val="001F6921"/>
    <w:rsid w:val="001F724C"/>
    <w:rsid w:val="001F7C3E"/>
    <w:rsid w:val="00201969"/>
    <w:rsid w:val="00213FA5"/>
    <w:rsid w:val="002142D7"/>
    <w:rsid w:val="0022362A"/>
    <w:rsid w:val="0023733A"/>
    <w:rsid w:val="0024044F"/>
    <w:rsid w:val="0024251F"/>
    <w:rsid w:val="00245D00"/>
    <w:rsid w:val="00257F2D"/>
    <w:rsid w:val="00262F9F"/>
    <w:rsid w:val="00266D2D"/>
    <w:rsid w:val="0027331F"/>
    <w:rsid w:val="00285E76"/>
    <w:rsid w:val="002949C3"/>
    <w:rsid w:val="002A10A4"/>
    <w:rsid w:val="002A26FE"/>
    <w:rsid w:val="002B1423"/>
    <w:rsid w:val="002B2F16"/>
    <w:rsid w:val="002B7E4E"/>
    <w:rsid w:val="002F1257"/>
    <w:rsid w:val="00310C61"/>
    <w:rsid w:val="00313620"/>
    <w:rsid w:val="003171B3"/>
    <w:rsid w:val="0032559D"/>
    <w:rsid w:val="00344575"/>
    <w:rsid w:val="0035113C"/>
    <w:rsid w:val="00353187"/>
    <w:rsid w:val="00354525"/>
    <w:rsid w:val="00373F88"/>
    <w:rsid w:val="00380CC4"/>
    <w:rsid w:val="003977ED"/>
    <w:rsid w:val="003A29F4"/>
    <w:rsid w:val="003A4EC1"/>
    <w:rsid w:val="003B0ABE"/>
    <w:rsid w:val="003C0686"/>
    <w:rsid w:val="003C3CFF"/>
    <w:rsid w:val="003D08CF"/>
    <w:rsid w:val="003D0CBA"/>
    <w:rsid w:val="003D0F6A"/>
    <w:rsid w:val="003D4BA8"/>
    <w:rsid w:val="003E5269"/>
    <w:rsid w:val="003E6B23"/>
    <w:rsid w:val="003F5352"/>
    <w:rsid w:val="00405394"/>
    <w:rsid w:val="00405A05"/>
    <w:rsid w:val="004066E4"/>
    <w:rsid w:val="0040680B"/>
    <w:rsid w:val="00407361"/>
    <w:rsid w:val="00417C55"/>
    <w:rsid w:val="00424A7B"/>
    <w:rsid w:val="00434FD8"/>
    <w:rsid w:val="0044370A"/>
    <w:rsid w:val="004447C1"/>
    <w:rsid w:val="0046211F"/>
    <w:rsid w:val="0046787B"/>
    <w:rsid w:val="00486653"/>
    <w:rsid w:val="004A5FDA"/>
    <w:rsid w:val="004B5451"/>
    <w:rsid w:val="004B64B2"/>
    <w:rsid w:val="004D098C"/>
    <w:rsid w:val="004D24A9"/>
    <w:rsid w:val="004E5357"/>
    <w:rsid w:val="004E58AC"/>
    <w:rsid w:val="004F4A07"/>
    <w:rsid w:val="004F5EB1"/>
    <w:rsid w:val="004F6887"/>
    <w:rsid w:val="0050081F"/>
    <w:rsid w:val="005030AD"/>
    <w:rsid w:val="0051249C"/>
    <w:rsid w:val="005176E7"/>
    <w:rsid w:val="00520330"/>
    <w:rsid w:val="00524B6B"/>
    <w:rsid w:val="005413EE"/>
    <w:rsid w:val="00541DDE"/>
    <w:rsid w:val="0056577F"/>
    <w:rsid w:val="00587443"/>
    <w:rsid w:val="00587C50"/>
    <w:rsid w:val="005917F3"/>
    <w:rsid w:val="005A3BC9"/>
    <w:rsid w:val="005B0ACD"/>
    <w:rsid w:val="005B50A2"/>
    <w:rsid w:val="005C3408"/>
    <w:rsid w:val="005D611B"/>
    <w:rsid w:val="005F1ACE"/>
    <w:rsid w:val="005F256D"/>
    <w:rsid w:val="0060183A"/>
    <w:rsid w:val="00603110"/>
    <w:rsid w:val="00611C8E"/>
    <w:rsid w:val="006276F2"/>
    <w:rsid w:val="00631F30"/>
    <w:rsid w:val="00642420"/>
    <w:rsid w:val="00646158"/>
    <w:rsid w:val="00646EB7"/>
    <w:rsid w:val="00651C0C"/>
    <w:rsid w:val="006534C0"/>
    <w:rsid w:val="00664BF3"/>
    <w:rsid w:val="0066622C"/>
    <w:rsid w:val="00666487"/>
    <w:rsid w:val="00672377"/>
    <w:rsid w:val="00673B37"/>
    <w:rsid w:val="006875EC"/>
    <w:rsid w:val="006945EA"/>
    <w:rsid w:val="00697724"/>
    <w:rsid w:val="006A101F"/>
    <w:rsid w:val="006B5470"/>
    <w:rsid w:val="006C677A"/>
    <w:rsid w:val="006D0138"/>
    <w:rsid w:val="006D54A7"/>
    <w:rsid w:val="006D6F52"/>
    <w:rsid w:val="006F16D0"/>
    <w:rsid w:val="00701718"/>
    <w:rsid w:val="00710359"/>
    <w:rsid w:val="00712FFF"/>
    <w:rsid w:val="0072277C"/>
    <w:rsid w:val="00722DBF"/>
    <w:rsid w:val="00735157"/>
    <w:rsid w:val="007518CD"/>
    <w:rsid w:val="00763AAC"/>
    <w:rsid w:val="00773D23"/>
    <w:rsid w:val="0077422A"/>
    <w:rsid w:val="00775490"/>
    <w:rsid w:val="0077651C"/>
    <w:rsid w:val="007953C5"/>
    <w:rsid w:val="00795D0C"/>
    <w:rsid w:val="007A55BA"/>
    <w:rsid w:val="007C1383"/>
    <w:rsid w:val="007C1FBD"/>
    <w:rsid w:val="007C221F"/>
    <w:rsid w:val="007E22F5"/>
    <w:rsid w:val="007F25F3"/>
    <w:rsid w:val="007F4901"/>
    <w:rsid w:val="00803230"/>
    <w:rsid w:val="00836B02"/>
    <w:rsid w:val="008467D4"/>
    <w:rsid w:val="00850FB0"/>
    <w:rsid w:val="0085238E"/>
    <w:rsid w:val="00853661"/>
    <w:rsid w:val="008540EA"/>
    <w:rsid w:val="00860F0A"/>
    <w:rsid w:val="00865EAE"/>
    <w:rsid w:val="00866A00"/>
    <w:rsid w:val="008702A6"/>
    <w:rsid w:val="00874C22"/>
    <w:rsid w:val="008757CE"/>
    <w:rsid w:val="0088392C"/>
    <w:rsid w:val="00885B51"/>
    <w:rsid w:val="008971B4"/>
    <w:rsid w:val="00897C0E"/>
    <w:rsid w:val="00897E31"/>
    <w:rsid w:val="008A046F"/>
    <w:rsid w:val="008A405A"/>
    <w:rsid w:val="008A6174"/>
    <w:rsid w:val="008A6A6A"/>
    <w:rsid w:val="008B650A"/>
    <w:rsid w:val="008B787C"/>
    <w:rsid w:val="008C3898"/>
    <w:rsid w:val="008C5DA7"/>
    <w:rsid w:val="008C66CC"/>
    <w:rsid w:val="008F483C"/>
    <w:rsid w:val="00912D61"/>
    <w:rsid w:val="0091650B"/>
    <w:rsid w:val="009322D7"/>
    <w:rsid w:val="00932BDE"/>
    <w:rsid w:val="0093332A"/>
    <w:rsid w:val="00935232"/>
    <w:rsid w:val="009366E2"/>
    <w:rsid w:val="00950D77"/>
    <w:rsid w:val="00967725"/>
    <w:rsid w:val="0097685E"/>
    <w:rsid w:val="009902F8"/>
    <w:rsid w:val="00993BB8"/>
    <w:rsid w:val="0099555F"/>
    <w:rsid w:val="009A22A1"/>
    <w:rsid w:val="009B3A1B"/>
    <w:rsid w:val="009B6332"/>
    <w:rsid w:val="009C0912"/>
    <w:rsid w:val="009D6694"/>
    <w:rsid w:val="009E19F2"/>
    <w:rsid w:val="009F0300"/>
    <w:rsid w:val="00A167A8"/>
    <w:rsid w:val="00A21F0A"/>
    <w:rsid w:val="00A26011"/>
    <w:rsid w:val="00A326E6"/>
    <w:rsid w:val="00A506C2"/>
    <w:rsid w:val="00A62886"/>
    <w:rsid w:val="00A74C38"/>
    <w:rsid w:val="00A77D24"/>
    <w:rsid w:val="00A8572F"/>
    <w:rsid w:val="00A93E07"/>
    <w:rsid w:val="00A979CF"/>
    <w:rsid w:val="00AA089E"/>
    <w:rsid w:val="00AA4DF8"/>
    <w:rsid w:val="00AB780C"/>
    <w:rsid w:val="00AD5ADE"/>
    <w:rsid w:val="00AE5905"/>
    <w:rsid w:val="00AE7138"/>
    <w:rsid w:val="00AF4CAF"/>
    <w:rsid w:val="00B117BA"/>
    <w:rsid w:val="00B20D87"/>
    <w:rsid w:val="00B225F3"/>
    <w:rsid w:val="00B34A60"/>
    <w:rsid w:val="00B40496"/>
    <w:rsid w:val="00B55254"/>
    <w:rsid w:val="00B578AC"/>
    <w:rsid w:val="00B63F2D"/>
    <w:rsid w:val="00B6433F"/>
    <w:rsid w:val="00B64CF5"/>
    <w:rsid w:val="00B70701"/>
    <w:rsid w:val="00B76C9B"/>
    <w:rsid w:val="00B823A1"/>
    <w:rsid w:val="00B8428B"/>
    <w:rsid w:val="00BA41F5"/>
    <w:rsid w:val="00BB3C9C"/>
    <w:rsid w:val="00BB7CC2"/>
    <w:rsid w:val="00BD01A2"/>
    <w:rsid w:val="00BF4822"/>
    <w:rsid w:val="00C01131"/>
    <w:rsid w:val="00C01D22"/>
    <w:rsid w:val="00C104B6"/>
    <w:rsid w:val="00C10F02"/>
    <w:rsid w:val="00C114F4"/>
    <w:rsid w:val="00C11D03"/>
    <w:rsid w:val="00C233E8"/>
    <w:rsid w:val="00C31967"/>
    <w:rsid w:val="00C31E5A"/>
    <w:rsid w:val="00C349C1"/>
    <w:rsid w:val="00C36D50"/>
    <w:rsid w:val="00C371DE"/>
    <w:rsid w:val="00C409AE"/>
    <w:rsid w:val="00C42D50"/>
    <w:rsid w:val="00C54DF8"/>
    <w:rsid w:val="00C60B49"/>
    <w:rsid w:val="00C7440A"/>
    <w:rsid w:val="00C82273"/>
    <w:rsid w:val="00C865ED"/>
    <w:rsid w:val="00C8775A"/>
    <w:rsid w:val="00CA0877"/>
    <w:rsid w:val="00CA6B59"/>
    <w:rsid w:val="00CB3B6C"/>
    <w:rsid w:val="00CC1833"/>
    <w:rsid w:val="00CC189F"/>
    <w:rsid w:val="00CC3368"/>
    <w:rsid w:val="00CC35B3"/>
    <w:rsid w:val="00CC5847"/>
    <w:rsid w:val="00CD7B3B"/>
    <w:rsid w:val="00CE7F79"/>
    <w:rsid w:val="00CF19C4"/>
    <w:rsid w:val="00D13C04"/>
    <w:rsid w:val="00D20A78"/>
    <w:rsid w:val="00D278BA"/>
    <w:rsid w:val="00D40454"/>
    <w:rsid w:val="00D4059C"/>
    <w:rsid w:val="00D50972"/>
    <w:rsid w:val="00D53D8F"/>
    <w:rsid w:val="00D54E54"/>
    <w:rsid w:val="00D61C76"/>
    <w:rsid w:val="00D70618"/>
    <w:rsid w:val="00D77015"/>
    <w:rsid w:val="00D91A1D"/>
    <w:rsid w:val="00D92B48"/>
    <w:rsid w:val="00DA4325"/>
    <w:rsid w:val="00DB1693"/>
    <w:rsid w:val="00DB2258"/>
    <w:rsid w:val="00DD5B07"/>
    <w:rsid w:val="00DE6821"/>
    <w:rsid w:val="00DF2022"/>
    <w:rsid w:val="00DF34BE"/>
    <w:rsid w:val="00DF5D59"/>
    <w:rsid w:val="00E239E4"/>
    <w:rsid w:val="00E23D62"/>
    <w:rsid w:val="00E36A38"/>
    <w:rsid w:val="00E40C24"/>
    <w:rsid w:val="00E53399"/>
    <w:rsid w:val="00E77995"/>
    <w:rsid w:val="00E87099"/>
    <w:rsid w:val="00EA28E6"/>
    <w:rsid w:val="00EC3B78"/>
    <w:rsid w:val="00EE5D51"/>
    <w:rsid w:val="00EF78C4"/>
    <w:rsid w:val="00F04CD7"/>
    <w:rsid w:val="00F23E15"/>
    <w:rsid w:val="00F23FB9"/>
    <w:rsid w:val="00F244A2"/>
    <w:rsid w:val="00F35064"/>
    <w:rsid w:val="00F374D8"/>
    <w:rsid w:val="00F50B5C"/>
    <w:rsid w:val="00F5684D"/>
    <w:rsid w:val="00F57AB6"/>
    <w:rsid w:val="00F6480F"/>
    <w:rsid w:val="00F86713"/>
    <w:rsid w:val="00F932E0"/>
    <w:rsid w:val="00FA27F4"/>
    <w:rsid w:val="00FB5EC4"/>
    <w:rsid w:val="00FB7701"/>
    <w:rsid w:val="00FC23E1"/>
    <w:rsid w:val="00FC3DAD"/>
    <w:rsid w:val="00FC40F0"/>
    <w:rsid w:val="00FC6D3B"/>
    <w:rsid w:val="00FD0129"/>
    <w:rsid w:val="00FD142A"/>
    <w:rsid w:val="00FE17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E23D6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55F"/>
    <w:rPr>
      <w:sz w:val="24"/>
    </w:rPr>
  </w:style>
  <w:style w:type="paragraph" w:styleId="Heading2">
    <w:name w:val="heading 2"/>
    <w:basedOn w:val="Normal"/>
    <w:next w:val="Normal"/>
    <w:qFormat/>
    <w:rsid w:val="0099555F"/>
    <w:pPr>
      <w:keepNext/>
      <w:spacing w:after="120"/>
      <w:outlineLvl w:val="1"/>
    </w:pPr>
    <w:rPr>
      <w:rFonts w:ascii="Arial" w:hAnsi="Arial"/>
      <w:b/>
      <w:sz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semiHidden/>
    <w:rsid w:val="00A26011"/>
    <w:rPr>
      <w:sz w:val="16"/>
      <w:szCs w:val="16"/>
    </w:rPr>
  </w:style>
  <w:style w:type="paragraph" w:styleId="CommentText">
    <w:name w:val="annotation text"/>
    <w:basedOn w:val="Normal"/>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qFormat/>
    <w:rsid w:val="00075B58"/>
    <w:pPr>
      <w:spacing w:after="200" w:line="276" w:lineRule="auto"/>
      <w:ind w:left="720"/>
    </w:pPr>
    <w:rPr>
      <w:rFonts w:ascii="Calibri" w:eastAsia="Calibri" w:hAnsi="Calibri"/>
      <w:sz w:val="22"/>
      <w:szCs w:val="22"/>
      <w:lang w:eastAsia="en-US"/>
    </w:rPr>
  </w:style>
  <w:style w:type="paragraph" w:styleId="Revision">
    <w:name w:val="Revision"/>
    <w:hidden/>
    <w:uiPriority w:val="99"/>
    <w:semiHidden/>
    <w:rsid w:val="00E23D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2025-09-30T01:55:37+00:00</_dlc_ExpireDate>
    <_dlc_DocId xmlns="5e039acd-daf0-4ba3-b421-e9b9ae1a3620">5YHNKJZSV77T-1853-1466</_dlc_DocId>
    <_dlc_DocIdUrl xmlns="5e039acd-daf0-4ba3-b421-e9b9ae1a3620">
      <Url>http://sharepoint/GASites/IntegratedTaxDesign/_layouts/DocIdRedir.aspx?ID=5YHNKJZSV77T-1853-1466</Url>
      <Description>5YHNKJZSV77T-1853-1466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
  <cached>True</cached>
  <openByDefault>False</openByDefault>
  <xsnScope>http://sharepoint</xsnScope>
</customXsn>
</file>

<file path=customXml/item4.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40" ma:contentTypeDescription="" ma:contentTypeScope="" ma:versionID="4f155f794d28294918f962e997099557">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71f3e12437f46ccb92bb16dc3fde3e2e"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nillable="true"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ma:readOnly="false">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adOnly="fals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597C1-B965-4E1A-A465-326C0C3A3173}">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2.xml><?xml version="1.0" encoding="utf-8"?>
<ds:datastoreItem xmlns:ds="http://schemas.openxmlformats.org/officeDocument/2006/customXml" ds:itemID="{9BBF1B00-FC19-4B1C-9D8B-7145DEC969EB}">
  <ds:schemaRefs>
    <ds:schemaRef ds:uri="http://schemas.microsoft.com/sharepoint/events"/>
  </ds:schemaRefs>
</ds:datastoreItem>
</file>

<file path=customXml/itemProps3.xml><?xml version="1.0" encoding="utf-8"?>
<ds:datastoreItem xmlns:ds="http://schemas.openxmlformats.org/officeDocument/2006/customXml" ds:itemID="{D3BF56F5-71FC-48FA-B98E-E9A58F8032CA}">
  <ds:schemaRefs>
    <ds:schemaRef ds:uri="http://schemas.microsoft.com/office/2006/metadata/customXsn"/>
  </ds:schemaRefs>
</ds:datastoreItem>
</file>

<file path=customXml/itemProps4.xml><?xml version="1.0" encoding="utf-8"?>
<ds:datastoreItem xmlns:ds="http://schemas.openxmlformats.org/officeDocument/2006/customXml" ds:itemID="{4DD16DA5-6BB4-4B8D-8383-5FD26C182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21B34-0B68-411B-A3EA-94C6FDB92CD2}">
  <ds:schemaRefs>
    <ds:schemaRef ds:uri="http://schemas.microsoft.com/sharepoint/v3/contenttype/forms"/>
  </ds:schemaRefs>
</ds:datastoreItem>
</file>

<file path=customXml/itemProps6.xml><?xml version="1.0" encoding="utf-8"?>
<ds:datastoreItem xmlns:ds="http://schemas.openxmlformats.org/officeDocument/2006/customXml" ds:itemID="{9092B523-521B-4F01-8DAB-0EC284B7888D}">
  <ds:schemaRefs>
    <ds:schemaRef ds:uri="office.server.policy"/>
  </ds:schemaRefs>
</ds:datastoreItem>
</file>

<file path=customXml/itemProps7.xml><?xml version="1.0" encoding="utf-8"?>
<ds:datastoreItem xmlns:ds="http://schemas.openxmlformats.org/officeDocument/2006/customXml" ds:itemID="{0E242C6D-5424-4D3D-872E-E4EDDD48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[INSERT HERE THE TITLE OF THE INSTRUMENT] Legislative Instrument 200X</vt:lpstr>
    </vt:vector>
  </TitlesOfParts>
  <Company>Australian Taxation Office</Company>
  <LinksUpToDate>false</LinksUpToDate>
  <CharactersWithSpaces>6660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TITLE OF THE INSTRUMENT] Legislative Instrument 200X</dc:title>
  <dc:creator>ubafu</dc:creator>
  <cp:lastModifiedBy>Economou, Renee</cp:lastModifiedBy>
  <cp:revision>1</cp:revision>
  <cp:lastPrinted>2017-03-22T01:27:00Z</cp:lastPrinted>
  <dcterms:created xsi:type="dcterms:W3CDTF">2017-04-12T00:03:00Z</dcterms:created>
  <dcterms:modified xsi:type="dcterms:W3CDTF">2017-04-12T00:03:00Z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b7595fec-83a9-468b-b75f-c1145ef2e88e</vt:lpwstr>
  </property>
  <property fmtid="{D5CDD505-2E9C-101B-9397-08002B2CF9AE}" pid="6" name="TaxKeyword">
    <vt:lpwstr/>
  </property>
  <property fmtid="{D5CDD505-2E9C-101B-9397-08002B2CF9AE}" pid="7" name="Security Classification">
    <vt:lpwstr>1;#UNCLASSIFIED|1bbb598d-ed8e-4faa-b9b5-c952cc7313f8</vt:lpwstr>
  </property>
</Properties>
</file>