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5F2AD" w14:textId="2A353C43" w:rsidR="002436BD" w:rsidRPr="002C6D26" w:rsidRDefault="00114E5E" w:rsidP="00DF7DA0">
      <w:pPr>
        <w:pStyle w:val="Heading"/>
        <w:spacing w:after="240"/>
        <w:jc w:val="center"/>
        <w:rPr>
          <w:rFonts w:ascii="Times New Roman" w:hAnsi="Times New Roman"/>
          <w:sz w:val="24"/>
          <w:szCs w:val="24"/>
        </w:rPr>
      </w:pPr>
      <w:bookmarkStart w:id="0" w:name="_GoBack"/>
      <w:bookmarkEnd w:id="0"/>
      <w:r>
        <w:rPr>
          <w:rFonts w:ascii="Times New Roman" w:hAnsi="Times New Roman"/>
          <w:sz w:val="24"/>
          <w:szCs w:val="24"/>
        </w:rPr>
        <w:t xml:space="preserve">Lloyd’s </w:t>
      </w:r>
      <w:r w:rsidR="004C7AD1">
        <w:rPr>
          <w:rFonts w:ascii="Times New Roman" w:hAnsi="Times New Roman"/>
          <w:sz w:val="24"/>
          <w:szCs w:val="24"/>
        </w:rPr>
        <w:t xml:space="preserve">security trust fund instrument </w:t>
      </w:r>
      <w:r w:rsidR="00530356">
        <w:rPr>
          <w:rFonts w:ascii="Times New Roman" w:hAnsi="Times New Roman"/>
          <w:sz w:val="24"/>
          <w:szCs w:val="24"/>
        </w:rPr>
        <w:t xml:space="preserve">No. </w:t>
      </w:r>
      <w:r w:rsidR="00037C3F">
        <w:rPr>
          <w:rFonts w:ascii="Times New Roman" w:hAnsi="Times New Roman"/>
          <w:sz w:val="24"/>
          <w:szCs w:val="24"/>
        </w:rPr>
        <w:t xml:space="preserve">2 </w:t>
      </w:r>
      <w:r w:rsidR="00F53B5E">
        <w:rPr>
          <w:rFonts w:ascii="Times New Roman" w:hAnsi="Times New Roman"/>
          <w:sz w:val="24"/>
          <w:szCs w:val="24"/>
        </w:rPr>
        <w:t xml:space="preserve">of </w:t>
      </w:r>
      <w:r w:rsidR="00037C3F">
        <w:rPr>
          <w:rFonts w:ascii="Times New Roman" w:hAnsi="Times New Roman"/>
          <w:sz w:val="24"/>
          <w:szCs w:val="24"/>
        </w:rPr>
        <w:t>2017</w:t>
      </w:r>
    </w:p>
    <w:p w14:paraId="4415F2AE"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415F2AF"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415F2B0" w14:textId="77777777" w:rsidR="002436BD" w:rsidRPr="002C6D26" w:rsidRDefault="00530356" w:rsidP="00DF7DA0">
      <w:pPr>
        <w:pStyle w:val="Heading"/>
        <w:tabs>
          <w:tab w:val="left" w:pos="360"/>
        </w:tabs>
        <w:spacing w:after="240"/>
        <w:jc w:val="center"/>
        <w:rPr>
          <w:rFonts w:ascii="Times New Roman" w:hAnsi="Times New Roman"/>
          <w:b w:val="0"/>
          <w:sz w:val="24"/>
          <w:szCs w:val="24"/>
        </w:rPr>
      </w:pPr>
      <w:r>
        <w:rPr>
          <w:rFonts w:ascii="Times New Roman" w:hAnsi="Times New Roman"/>
          <w:b w:val="0"/>
          <w:i/>
          <w:sz w:val="24"/>
          <w:szCs w:val="24"/>
        </w:rPr>
        <w:t>Insurance Act 1973</w:t>
      </w:r>
      <w:r w:rsidR="002436BD" w:rsidRPr="002C6D26">
        <w:rPr>
          <w:rFonts w:ascii="Times New Roman" w:hAnsi="Times New Roman"/>
          <w:b w:val="0"/>
          <w:sz w:val="24"/>
          <w:szCs w:val="24"/>
        </w:rPr>
        <w:t xml:space="preserve">, </w:t>
      </w:r>
      <w:r w:rsidR="00114E5E">
        <w:rPr>
          <w:rFonts w:ascii="Times New Roman" w:hAnsi="Times New Roman"/>
          <w:b w:val="0"/>
          <w:color w:val="000000"/>
          <w:sz w:val="24"/>
          <w:szCs w:val="24"/>
        </w:rPr>
        <w:t>section 70</w:t>
      </w:r>
    </w:p>
    <w:p w14:paraId="4415F2B1" w14:textId="77777777" w:rsidR="0023364C" w:rsidRDefault="00745EC5" w:rsidP="00DF7DA0">
      <w:pPr>
        <w:widowControl w:val="0"/>
        <w:spacing w:after="240"/>
        <w:jc w:val="both"/>
        <w:rPr>
          <w:rFonts w:ascii="Times New Roman" w:hAnsi="Times New Roman"/>
          <w:sz w:val="24"/>
          <w:szCs w:val="24"/>
        </w:rPr>
      </w:pPr>
      <w:bookmarkStart w:id="2" w:name="bkAct"/>
      <w:bookmarkStart w:id="3" w:name="bkExplanatory"/>
      <w:bookmarkEnd w:id="2"/>
      <w:bookmarkEnd w:id="3"/>
      <w:r>
        <w:rPr>
          <w:rFonts w:ascii="Times New Roman" w:hAnsi="Times New Roman"/>
          <w:sz w:val="24"/>
          <w:szCs w:val="24"/>
        </w:rPr>
        <w:t xml:space="preserve">Under </w:t>
      </w:r>
      <w:r w:rsidR="00114E5E">
        <w:rPr>
          <w:rFonts w:ascii="Times New Roman" w:hAnsi="Times New Roman"/>
          <w:sz w:val="24"/>
          <w:szCs w:val="24"/>
        </w:rPr>
        <w:t>subsection 70</w:t>
      </w:r>
      <w:r w:rsidR="002436BD" w:rsidRPr="002C6D26">
        <w:rPr>
          <w:rFonts w:ascii="Times New Roman" w:hAnsi="Times New Roman"/>
          <w:sz w:val="24"/>
          <w:szCs w:val="24"/>
        </w:rPr>
        <w:t xml:space="preserve">(1) of the </w:t>
      </w:r>
      <w:r w:rsidR="00530356" w:rsidRPr="00530356">
        <w:rPr>
          <w:rFonts w:ascii="Times New Roman" w:hAnsi="Times New Roman"/>
          <w:i/>
          <w:sz w:val="24"/>
          <w:szCs w:val="24"/>
        </w:rPr>
        <w:t xml:space="preserve">Insurance Act 1973 </w:t>
      </w:r>
      <w:r w:rsidR="002436BD" w:rsidRPr="007428D4">
        <w:rPr>
          <w:rFonts w:ascii="Times New Roman" w:hAnsi="Times New Roman"/>
          <w:sz w:val="24"/>
          <w:szCs w:val="24"/>
        </w:rPr>
        <w:t>(the Act),</w:t>
      </w:r>
      <w:r w:rsidR="002436BD" w:rsidRPr="002C6D26">
        <w:rPr>
          <w:rFonts w:ascii="Times New Roman" w:hAnsi="Times New Roman"/>
          <w:sz w:val="24"/>
          <w:szCs w:val="24"/>
        </w:rPr>
        <w:t xml:space="preserve"> APRA has the power to </w:t>
      </w:r>
      <w:r w:rsidR="00114E5E">
        <w:rPr>
          <w:rFonts w:ascii="Times New Roman" w:hAnsi="Times New Roman"/>
          <w:sz w:val="24"/>
          <w:szCs w:val="24"/>
        </w:rPr>
        <w:t>make rules</w:t>
      </w:r>
      <w:r w:rsidR="0023364C">
        <w:rPr>
          <w:rFonts w:ascii="Times New Roman" w:hAnsi="Times New Roman"/>
          <w:sz w:val="24"/>
          <w:szCs w:val="24"/>
        </w:rPr>
        <w:t xml:space="preserve"> that are applicable to the operation of designated security trust funds. </w:t>
      </w:r>
    </w:p>
    <w:p w14:paraId="4415F2B2" w14:textId="779D32CE" w:rsidR="00227171" w:rsidRPr="0080071D" w:rsidRDefault="002436BD" w:rsidP="00DF7DA0">
      <w:pPr>
        <w:widowControl w:val="0"/>
        <w:spacing w:after="240"/>
        <w:jc w:val="both"/>
        <w:rPr>
          <w:rFonts w:ascii="Times New Roman" w:hAnsi="Times New Roman"/>
          <w:sz w:val="24"/>
          <w:szCs w:val="24"/>
        </w:rPr>
      </w:pPr>
      <w:r>
        <w:rPr>
          <w:rFonts w:ascii="Times New Roman" w:hAnsi="Times New Roman"/>
          <w:sz w:val="24"/>
          <w:szCs w:val="24"/>
        </w:rPr>
        <w:t xml:space="preserve">On </w:t>
      </w:r>
      <w:r w:rsidR="008C6B7D">
        <w:rPr>
          <w:rFonts w:ascii="Times New Roman" w:hAnsi="Times New Roman"/>
          <w:sz w:val="24"/>
          <w:szCs w:val="24"/>
        </w:rPr>
        <w:t>12 April</w:t>
      </w:r>
      <w:r w:rsidR="00864AF4">
        <w:rPr>
          <w:rFonts w:ascii="Times New Roman" w:hAnsi="Times New Roman"/>
          <w:sz w:val="24"/>
          <w:szCs w:val="24"/>
        </w:rPr>
        <w:t xml:space="preserve"> </w:t>
      </w:r>
      <w:r w:rsidR="00037C3F">
        <w:rPr>
          <w:rFonts w:ascii="Times New Roman" w:hAnsi="Times New Roman"/>
          <w:sz w:val="24"/>
          <w:szCs w:val="24"/>
        </w:rPr>
        <w:t>2017</w:t>
      </w:r>
      <w:r>
        <w:rPr>
          <w:rFonts w:ascii="Times New Roman" w:hAnsi="Times New Roman"/>
          <w:sz w:val="24"/>
          <w:szCs w:val="24"/>
        </w:rPr>
        <w:t xml:space="preserve">, APRA made </w:t>
      </w:r>
      <w:r w:rsidR="006F16A2">
        <w:rPr>
          <w:rFonts w:ascii="Times New Roman" w:hAnsi="Times New Roman"/>
          <w:sz w:val="24"/>
          <w:szCs w:val="24"/>
        </w:rPr>
        <w:t xml:space="preserve">Lloyd’s </w:t>
      </w:r>
      <w:r w:rsidR="004C7AD1">
        <w:rPr>
          <w:rFonts w:ascii="Times New Roman" w:hAnsi="Times New Roman"/>
          <w:sz w:val="24"/>
          <w:szCs w:val="24"/>
        </w:rPr>
        <w:t xml:space="preserve">security trust fund instrument </w:t>
      </w:r>
      <w:r w:rsidR="00530356">
        <w:rPr>
          <w:rFonts w:ascii="Times New Roman" w:hAnsi="Times New Roman"/>
          <w:sz w:val="24"/>
          <w:szCs w:val="24"/>
        </w:rPr>
        <w:t xml:space="preserve">No. </w:t>
      </w:r>
      <w:r w:rsidR="00E46CCA">
        <w:rPr>
          <w:rFonts w:ascii="Times New Roman" w:hAnsi="Times New Roman"/>
          <w:sz w:val="24"/>
          <w:szCs w:val="24"/>
        </w:rPr>
        <w:t>2</w:t>
      </w:r>
      <w:r w:rsidR="006F16A2">
        <w:rPr>
          <w:rFonts w:ascii="Times New Roman" w:hAnsi="Times New Roman"/>
          <w:sz w:val="24"/>
          <w:szCs w:val="24"/>
        </w:rPr>
        <w:t xml:space="preserve"> of 201</w:t>
      </w:r>
      <w:r w:rsidR="00E46CCA">
        <w:rPr>
          <w:rFonts w:ascii="Times New Roman" w:hAnsi="Times New Roman"/>
          <w:sz w:val="24"/>
          <w:szCs w:val="24"/>
        </w:rPr>
        <w:t>7</w:t>
      </w:r>
      <w:r w:rsidRPr="002C6D26">
        <w:rPr>
          <w:rFonts w:ascii="Times New Roman" w:hAnsi="Times New Roman"/>
          <w:sz w:val="24"/>
          <w:szCs w:val="24"/>
        </w:rPr>
        <w:t xml:space="preserve"> </w:t>
      </w:r>
      <w:r>
        <w:rPr>
          <w:rFonts w:ascii="Times New Roman" w:hAnsi="Times New Roman"/>
          <w:sz w:val="24"/>
          <w:szCs w:val="24"/>
        </w:rPr>
        <w:t xml:space="preserve">(the </w:t>
      </w:r>
      <w:r w:rsidR="00D87BCC">
        <w:rPr>
          <w:rFonts w:ascii="Times New Roman" w:hAnsi="Times New Roman"/>
          <w:sz w:val="24"/>
          <w:szCs w:val="24"/>
        </w:rPr>
        <w:t xml:space="preserve">new </w:t>
      </w:r>
      <w:r>
        <w:rPr>
          <w:rFonts w:ascii="Times New Roman" w:hAnsi="Times New Roman"/>
          <w:sz w:val="24"/>
          <w:szCs w:val="24"/>
        </w:rPr>
        <w:t xml:space="preserve">instrument) </w:t>
      </w:r>
      <w:r w:rsidR="0080071D">
        <w:rPr>
          <w:rFonts w:ascii="Times New Roman" w:hAnsi="Times New Roman"/>
          <w:sz w:val="24"/>
          <w:szCs w:val="24"/>
        </w:rPr>
        <w:t>following the sunsetting of</w:t>
      </w:r>
      <w:r w:rsidRPr="0080071D">
        <w:rPr>
          <w:rFonts w:ascii="Times New Roman" w:hAnsi="Times New Roman"/>
          <w:sz w:val="24"/>
          <w:szCs w:val="24"/>
        </w:rPr>
        <w:t xml:space="preserve"> </w:t>
      </w:r>
      <w:r w:rsidR="0080071D">
        <w:rPr>
          <w:rFonts w:ascii="Times New Roman" w:hAnsi="Times New Roman"/>
          <w:sz w:val="24"/>
          <w:szCs w:val="24"/>
        </w:rPr>
        <w:t>Ll</w:t>
      </w:r>
      <w:r w:rsidR="006F16A2" w:rsidRPr="0080071D">
        <w:rPr>
          <w:rFonts w:ascii="Times New Roman" w:hAnsi="Times New Roman"/>
          <w:sz w:val="24"/>
          <w:szCs w:val="24"/>
        </w:rPr>
        <w:t>oy</w:t>
      </w:r>
      <w:r w:rsidR="00227171" w:rsidRPr="0080071D">
        <w:rPr>
          <w:rFonts w:ascii="Times New Roman" w:hAnsi="Times New Roman"/>
          <w:sz w:val="24"/>
          <w:szCs w:val="24"/>
        </w:rPr>
        <w:t xml:space="preserve">d’s Security Trust Fund </w:t>
      </w:r>
      <w:r w:rsidR="00307F18">
        <w:rPr>
          <w:rFonts w:ascii="Times New Roman" w:hAnsi="Times New Roman"/>
          <w:sz w:val="24"/>
          <w:szCs w:val="24"/>
        </w:rPr>
        <w:t>Rules</w:t>
      </w:r>
      <w:r w:rsidR="00227171" w:rsidRPr="0080071D">
        <w:rPr>
          <w:rFonts w:ascii="Times New Roman" w:hAnsi="Times New Roman"/>
          <w:sz w:val="24"/>
          <w:szCs w:val="24"/>
        </w:rPr>
        <w:t xml:space="preserve"> No 1 of 2000</w:t>
      </w:r>
      <w:r w:rsidR="00567B1A">
        <w:rPr>
          <w:rFonts w:ascii="Times New Roman" w:hAnsi="Times New Roman"/>
          <w:sz w:val="24"/>
          <w:szCs w:val="24"/>
        </w:rPr>
        <w:t xml:space="preserve"> made on 9 June 2000</w:t>
      </w:r>
      <w:r w:rsidR="00D87BCC">
        <w:rPr>
          <w:rFonts w:ascii="Times New Roman" w:hAnsi="Times New Roman"/>
          <w:sz w:val="24"/>
          <w:szCs w:val="24"/>
        </w:rPr>
        <w:t xml:space="preserve"> (the old instrument)</w:t>
      </w:r>
      <w:r w:rsidR="00227171" w:rsidRPr="0080071D">
        <w:rPr>
          <w:rFonts w:ascii="Times New Roman" w:hAnsi="Times New Roman"/>
          <w:sz w:val="24"/>
          <w:szCs w:val="24"/>
        </w:rPr>
        <w:t>.</w:t>
      </w:r>
    </w:p>
    <w:p w14:paraId="4415F2B3" w14:textId="44C97931" w:rsidR="002436BD" w:rsidRDefault="00530356" w:rsidP="00DF7DA0">
      <w:pPr>
        <w:widowControl w:val="0"/>
        <w:spacing w:after="240"/>
        <w:jc w:val="both"/>
        <w:rPr>
          <w:rFonts w:ascii="Times New Roman" w:hAnsi="Times New Roman"/>
          <w:sz w:val="24"/>
          <w:szCs w:val="24"/>
        </w:rPr>
      </w:pPr>
      <w:r>
        <w:rPr>
          <w:rFonts w:ascii="Times New Roman" w:hAnsi="Times New Roman"/>
          <w:sz w:val="24"/>
          <w:szCs w:val="24"/>
        </w:rPr>
        <w:t xml:space="preserve">The </w:t>
      </w:r>
      <w:r w:rsidR="00037C3F">
        <w:rPr>
          <w:rFonts w:ascii="Times New Roman" w:hAnsi="Times New Roman"/>
          <w:sz w:val="24"/>
          <w:szCs w:val="24"/>
        </w:rPr>
        <w:t xml:space="preserve">new </w:t>
      </w:r>
      <w:r>
        <w:rPr>
          <w:rFonts w:ascii="Times New Roman" w:hAnsi="Times New Roman"/>
          <w:sz w:val="24"/>
          <w:szCs w:val="24"/>
        </w:rPr>
        <w:t xml:space="preserve">instrument will take effect </w:t>
      </w:r>
      <w:r w:rsidR="00A92434">
        <w:rPr>
          <w:rFonts w:ascii="Times New Roman" w:hAnsi="Times New Roman"/>
          <w:sz w:val="24"/>
          <w:szCs w:val="24"/>
        </w:rPr>
        <w:t>upon</w:t>
      </w:r>
      <w:r w:rsidR="00037C3F">
        <w:rPr>
          <w:rFonts w:ascii="Times New Roman" w:hAnsi="Times New Roman"/>
          <w:sz w:val="24"/>
          <w:szCs w:val="24"/>
        </w:rPr>
        <w:t xml:space="preserve"> registration on the Federal Register of Instruments</w:t>
      </w:r>
      <w:r w:rsidR="002436BD" w:rsidRPr="002C6D26">
        <w:rPr>
          <w:rFonts w:ascii="Times New Roman" w:hAnsi="Times New Roman"/>
          <w:sz w:val="24"/>
          <w:szCs w:val="24"/>
        </w:rPr>
        <w:t xml:space="preserve">. </w:t>
      </w:r>
    </w:p>
    <w:p w14:paraId="4415F2B4" w14:textId="77777777" w:rsidR="002436BD" w:rsidRDefault="002436BD" w:rsidP="00904D4F">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415F2B5" w14:textId="603F7C69" w:rsidR="001A46FA" w:rsidRDefault="000A2B59" w:rsidP="00904D4F">
      <w:pPr>
        <w:pStyle w:val="Heading"/>
        <w:spacing w:after="240"/>
        <w:outlineLvl w:val="0"/>
      </w:pPr>
      <w:r>
        <w:rPr>
          <w:rFonts w:ascii="Times New Roman" w:hAnsi="Times New Roman"/>
          <w:b w:val="0"/>
          <w:sz w:val="24"/>
          <w:szCs w:val="24"/>
        </w:rPr>
        <w:t xml:space="preserve">The </w:t>
      </w:r>
      <w:r w:rsidR="001A46FA" w:rsidRPr="001A46FA">
        <w:rPr>
          <w:rFonts w:ascii="Times New Roman" w:hAnsi="Times New Roman"/>
          <w:b w:val="0"/>
          <w:sz w:val="24"/>
          <w:szCs w:val="24"/>
        </w:rPr>
        <w:t>Act provides for regulation of the operations of Lloyd’s in the Australian insurance market. This includes the capacity of APRA to require Lloyd’s</w:t>
      </w:r>
      <w:r w:rsidR="00037C3F">
        <w:rPr>
          <w:rFonts w:ascii="Times New Roman" w:hAnsi="Times New Roman"/>
          <w:b w:val="0"/>
          <w:sz w:val="24"/>
          <w:szCs w:val="24"/>
        </w:rPr>
        <w:t>, under a legislative instrument,</w:t>
      </w:r>
      <w:r w:rsidR="001A46FA" w:rsidRPr="001A46FA">
        <w:rPr>
          <w:rFonts w:ascii="Times New Roman" w:hAnsi="Times New Roman"/>
          <w:b w:val="0"/>
          <w:sz w:val="24"/>
          <w:szCs w:val="24"/>
        </w:rPr>
        <w:t xml:space="preserve"> to have a security trust fund in Australia, into which amounts are deposited to provide for the protection of policy holders in Australia.  APRA also has authority under the Act to make rules specifying certain aspects of the operation of security trust funds.</w:t>
      </w:r>
      <w:r w:rsidR="001A46FA">
        <w:t xml:space="preserve">  </w:t>
      </w:r>
    </w:p>
    <w:p w14:paraId="4415F2B6" w14:textId="7799BB02" w:rsidR="005C4FE1" w:rsidRDefault="001A46FA" w:rsidP="005C4FE1">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54586C">
        <w:rPr>
          <w:rFonts w:ascii="Times New Roman" w:hAnsi="Times New Roman"/>
          <w:b w:val="0"/>
          <w:sz w:val="24"/>
          <w:szCs w:val="24"/>
        </w:rPr>
        <w:t>relevant legislative instrument</w:t>
      </w:r>
      <w:r>
        <w:rPr>
          <w:rFonts w:ascii="Times New Roman" w:hAnsi="Times New Roman"/>
          <w:b w:val="0"/>
          <w:sz w:val="24"/>
          <w:szCs w:val="24"/>
        </w:rPr>
        <w:t xml:space="preserve"> </w:t>
      </w:r>
      <w:r w:rsidR="005C4FE1">
        <w:rPr>
          <w:rFonts w:ascii="Times New Roman" w:hAnsi="Times New Roman"/>
          <w:b w:val="0"/>
          <w:sz w:val="24"/>
          <w:szCs w:val="24"/>
        </w:rPr>
        <w:t>relating to security trust fund rules</w:t>
      </w:r>
      <w:r w:rsidR="0054586C">
        <w:rPr>
          <w:rFonts w:ascii="Times New Roman" w:hAnsi="Times New Roman"/>
          <w:b w:val="0"/>
          <w:sz w:val="24"/>
          <w:szCs w:val="24"/>
        </w:rPr>
        <w:t xml:space="preserve"> </w:t>
      </w:r>
      <w:r w:rsidR="00037C3F">
        <w:rPr>
          <w:rFonts w:ascii="Times New Roman" w:hAnsi="Times New Roman"/>
          <w:b w:val="0"/>
          <w:sz w:val="24"/>
          <w:szCs w:val="24"/>
        </w:rPr>
        <w:t xml:space="preserve">has </w:t>
      </w:r>
      <w:r>
        <w:rPr>
          <w:rFonts w:ascii="Times New Roman" w:hAnsi="Times New Roman"/>
          <w:b w:val="0"/>
          <w:sz w:val="24"/>
          <w:szCs w:val="24"/>
        </w:rPr>
        <w:t xml:space="preserve">lapsed. </w:t>
      </w:r>
      <w:r w:rsidR="0068788D">
        <w:rPr>
          <w:rFonts w:ascii="Times New Roman" w:hAnsi="Times New Roman"/>
          <w:b w:val="0"/>
          <w:sz w:val="24"/>
          <w:szCs w:val="24"/>
        </w:rPr>
        <w:t>It is necessary to remake</w:t>
      </w:r>
      <w:r>
        <w:rPr>
          <w:rFonts w:ascii="Times New Roman" w:hAnsi="Times New Roman"/>
          <w:b w:val="0"/>
          <w:sz w:val="24"/>
          <w:szCs w:val="24"/>
        </w:rPr>
        <w:t xml:space="preserve"> this legislative instrument </w:t>
      </w:r>
      <w:r w:rsidR="0080071D">
        <w:rPr>
          <w:rFonts w:ascii="Times New Roman" w:hAnsi="Times New Roman"/>
          <w:b w:val="0"/>
          <w:sz w:val="24"/>
          <w:szCs w:val="24"/>
        </w:rPr>
        <w:t xml:space="preserve">to ensure that the security trust arrangements continue to work as intended. </w:t>
      </w:r>
      <w:bookmarkStart w:id="4" w:name="bkBackground"/>
      <w:bookmarkEnd w:id="4"/>
    </w:p>
    <w:p w14:paraId="4415F2B7" w14:textId="77777777" w:rsidR="002436BD" w:rsidRDefault="002436BD" w:rsidP="005C4FE1">
      <w:pPr>
        <w:pStyle w:val="Heading"/>
        <w:spacing w:after="24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4415F2B8" w14:textId="77777777" w:rsidR="0068788D" w:rsidRDefault="00D87BCC" w:rsidP="00904D4F">
      <w:pPr>
        <w:pStyle w:val="Heading"/>
        <w:spacing w:after="240"/>
        <w:outlineLvl w:val="0"/>
        <w:rPr>
          <w:rFonts w:ascii="Times New Roman" w:hAnsi="Times New Roman"/>
          <w:b w:val="0"/>
          <w:sz w:val="24"/>
          <w:szCs w:val="24"/>
        </w:rPr>
      </w:pPr>
      <w:bookmarkStart w:id="5" w:name="bkPurpose"/>
      <w:bookmarkEnd w:id="5"/>
      <w:r>
        <w:rPr>
          <w:rFonts w:ascii="Times New Roman" w:hAnsi="Times New Roman"/>
          <w:b w:val="0"/>
          <w:sz w:val="24"/>
          <w:szCs w:val="24"/>
        </w:rPr>
        <w:t>The new instrument</w:t>
      </w:r>
      <w:r w:rsidR="00C17494">
        <w:rPr>
          <w:rFonts w:ascii="Times New Roman" w:hAnsi="Times New Roman"/>
          <w:b w:val="0"/>
          <w:sz w:val="24"/>
          <w:szCs w:val="24"/>
        </w:rPr>
        <w:t xml:space="preserve"> sets out</w:t>
      </w:r>
      <w:r w:rsidR="005C4FE1">
        <w:rPr>
          <w:rFonts w:ascii="Times New Roman" w:hAnsi="Times New Roman"/>
          <w:b w:val="0"/>
          <w:sz w:val="24"/>
          <w:szCs w:val="24"/>
        </w:rPr>
        <w:t xml:space="preserve"> rules </w:t>
      </w:r>
      <w:r>
        <w:rPr>
          <w:rFonts w:ascii="Times New Roman" w:hAnsi="Times New Roman"/>
          <w:b w:val="0"/>
          <w:sz w:val="24"/>
          <w:szCs w:val="24"/>
        </w:rPr>
        <w:t xml:space="preserve">applicable </w:t>
      </w:r>
      <w:r w:rsidR="005C4FE1">
        <w:rPr>
          <w:rFonts w:ascii="Times New Roman" w:hAnsi="Times New Roman"/>
          <w:b w:val="0"/>
          <w:sz w:val="24"/>
          <w:szCs w:val="24"/>
        </w:rPr>
        <w:t>to designated security trust funds</w:t>
      </w:r>
      <w:r>
        <w:rPr>
          <w:rFonts w:ascii="Times New Roman" w:hAnsi="Times New Roman"/>
          <w:b w:val="0"/>
          <w:sz w:val="24"/>
          <w:szCs w:val="24"/>
        </w:rPr>
        <w:t>, including rules relating to matters including: assets; liabilities; suspense accounts; records; notices; giving information and review of APRA decisions.</w:t>
      </w:r>
    </w:p>
    <w:p w14:paraId="4E3257C7" w14:textId="28F51CC7" w:rsidR="00AA0D1D" w:rsidRDefault="00D163EB" w:rsidP="00AA0D1D">
      <w:pPr>
        <w:pStyle w:val="Heading"/>
        <w:spacing w:after="240"/>
        <w:outlineLvl w:val="0"/>
        <w:rPr>
          <w:rFonts w:ascii="Times New Roman" w:hAnsi="Times New Roman"/>
          <w:b w:val="0"/>
          <w:sz w:val="24"/>
          <w:szCs w:val="24"/>
        </w:rPr>
      </w:pPr>
      <w:r>
        <w:rPr>
          <w:rFonts w:ascii="Times New Roman" w:hAnsi="Times New Roman"/>
          <w:b w:val="0"/>
          <w:sz w:val="24"/>
          <w:szCs w:val="24"/>
        </w:rPr>
        <w:t>T</w:t>
      </w:r>
      <w:r w:rsidR="00D52F37">
        <w:rPr>
          <w:rFonts w:ascii="Times New Roman" w:hAnsi="Times New Roman"/>
          <w:b w:val="0"/>
          <w:sz w:val="24"/>
          <w:szCs w:val="24"/>
        </w:rPr>
        <w:t xml:space="preserve">he requirements of </w:t>
      </w:r>
      <w:r w:rsidR="00C76399">
        <w:rPr>
          <w:rFonts w:ascii="Times New Roman" w:hAnsi="Times New Roman"/>
          <w:b w:val="0"/>
          <w:sz w:val="24"/>
          <w:szCs w:val="24"/>
        </w:rPr>
        <w:t xml:space="preserve">the </w:t>
      </w:r>
      <w:r w:rsidR="00D52F37">
        <w:rPr>
          <w:rFonts w:ascii="Times New Roman" w:hAnsi="Times New Roman"/>
          <w:b w:val="0"/>
          <w:sz w:val="24"/>
          <w:szCs w:val="24"/>
        </w:rPr>
        <w:t xml:space="preserve">new </w:t>
      </w:r>
      <w:r w:rsidR="00D87BCC">
        <w:rPr>
          <w:rFonts w:ascii="Times New Roman" w:hAnsi="Times New Roman"/>
          <w:b w:val="0"/>
          <w:sz w:val="24"/>
          <w:szCs w:val="24"/>
        </w:rPr>
        <w:t xml:space="preserve">instrument </w:t>
      </w:r>
      <w:r>
        <w:rPr>
          <w:rFonts w:ascii="Times New Roman" w:hAnsi="Times New Roman"/>
          <w:b w:val="0"/>
          <w:sz w:val="24"/>
          <w:szCs w:val="24"/>
        </w:rPr>
        <w:t>replicate</w:t>
      </w:r>
      <w:r w:rsidR="001F1113">
        <w:rPr>
          <w:rFonts w:ascii="Times New Roman" w:hAnsi="Times New Roman"/>
          <w:b w:val="0"/>
          <w:sz w:val="24"/>
          <w:szCs w:val="24"/>
        </w:rPr>
        <w:t xml:space="preserve"> in substance</w:t>
      </w:r>
      <w:r>
        <w:rPr>
          <w:rFonts w:ascii="Times New Roman" w:hAnsi="Times New Roman"/>
          <w:b w:val="0"/>
          <w:sz w:val="24"/>
          <w:szCs w:val="24"/>
        </w:rPr>
        <w:t xml:space="preserve"> those of</w:t>
      </w:r>
      <w:r w:rsidR="00C76399">
        <w:rPr>
          <w:rFonts w:ascii="Times New Roman" w:hAnsi="Times New Roman"/>
          <w:b w:val="0"/>
          <w:sz w:val="24"/>
          <w:szCs w:val="24"/>
        </w:rPr>
        <w:t xml:space="preserve"> the</w:t>
      </w:r>
      <w:r>
        <w:rPr>
          <w:rFonts w:ascii="Times New Roman" w:hAnsi="Times New Roman"/>
          <w:b w:val="0"/>
          <w:sz w:val="24"/>
          <w:szCs w:val="24"/>
        </w:rPr>
        <w:t xml:space="preserve"> old </w:t>
      </w:r>
      <w:r w:rsidR="00D87BCC">
        <w:rPr>
          <w:rFonts w:ascii="Times New Roman" w:hAnsi="Times New Roman"/>
          <w:b w:val="0"/>
          <w:sz w:val="24"/>
          <w:szCs w:val="24"/>
        </w:rPr>
        <w:t>instrument</w:t>
      </w:r>
      <w:r w:rsidR="00D52F37">
        <w:rPr>
          <w:rFonts w:ascii="Times New Roman" w:hAnsi="Times New Roman"/>
          <w:b w:val="0"/>
          <w:sz w:val="24"/>
          <w:szCs w:val="24"/>
        </w:rPr>
        <w:t xml:space="preserve">.  </w:t>
      </w:r>
      <w:r w:rsidR="00AA0D1D">
        <w:rPr>
          <w:rFonts w:ascii="Times New Roman" w:hAnsi="Times New Roman"/>
          <w:b w:val="0"/>
          <w:sz w:val="24"/>
          <w:szCs w:val="24"/>
        </w:rPr>
        <w:t>Minor amendments have been made to update the style and wording of the old instrument to align with current APRA practice.  In consultation with Lloyd’s, APRA has included in the instrument a discretion to approve from time to time the form of the audit certificate to be provided to APRA, so that it can be adjusted to reflect changed conditions.</w:t>
      </w:r>
    </w:p>
    <w:p w14:paraId="1CEA4818" w14:textId="548647F9" w:rsidR="001B1BB1" w:rsidRDefault="009A2E44" w:rsidP="00086BAB">
      <w:pPr>
        <w:pStyle w:val="Heading"/>
        <w:spacing w:after="240"/>
        <w:outlineLvl w:val="0"/>
        <w:rPr>
          <w:rFonts w:ascii="Times New Roman" w:hAnsi="Times New Roman"/>
          <w:sz w:val="24"/>
          <w:szCs w:val="24"/>
        </w:rPr>
      </w:pPr>
      <w:r>
        <w:rPr>
          <w:rFonts w:ascii="Times New Roman" w:hAnsi="Times New Roman"/>
          <w:b w:val="0"/>
          <w:sz w:val="24"/>
          <w:szCs w:val="24"/>
        </w:rPr>
        <w:t>Where the new</w:t>
      </w:r>
      <w:r w:rsidRPr="009A2E44">
        <w:rPr>
          <w:rFonts w:ascii="Times New Roman" w:hAnsi="Times New Roman"/>
          <w:b w:val="0"/>
          <w:sz w:val="24"/>
          <w:szCs w:val="24"/>
        </w:rPr>
        <w:t xml:space="preserve"> instrument incorporates by reference the provisions of an Act or a legislative instrument then, unless the contrary intention appears</w:t>
      </w:r>
      <w:r w:rsidR="00037C3F">
        <w:rPr>
          <w:rFonts w:ascii="Times New Roman" w:hAnsi="Times New Roman"/>
          <w:b w:val="0"/>
          <w:sz w:val="24"/>
          <w:szCs w:val="24"/>
        </w:rPr>
        <w:t xml:space="preserve"> in the new instrument</w:t>
      </w:r>
      <w:r w:rsidRPr="009A2E44">
        <w:rPr>
          <w:rFonts w:ascii="Times New Roman" w:hAnsi="Times New Roman"/>
          <w:b w:val="0"/>
          <w:sz w:val="24"/>
          <w:szCs w:val="24"/>
        </w:rPr>
        <w:t>, these provisions are incorporated as in force from time to time.</w:t>
      </w:r>
      <w:r w:rsidR="002A54B2">
        <w:rPr>
          <w:rFonts w:ascii="Times New Roman" w:hAnsi="Times New Roman"/>
          <w:b w:val="0"/>
          <w:sz w:val="24"/>
          <w:szCs w:val="24"/>
        </w:rPr>
        <w:t xml:space="preserve">  </w:t>
      </w:r>
      <w:r w:rsidR="00421A08">
        <w:rPr>
          <w:rFonts w:ascii="Times New Roman" w:hAnsi="Times New Roman"/>
          <w:b w:val="0"/>
          <w:sz w:val="24"/>
          <w:szCs w:val="24"/>
        </w:rPr>
        <w:t xml:space="preserve">Current and historic Australian legislation and legislative instruments referenced in this instrument are available at </w:t>
      </w:r>
      <w:hyperlink r:id="rId13" w:history="1">
        <w:r w:rsidR="00421A08" w:rsidRPr="007D5BB8">
          <w:rPr>
            <w:rStyle w:val="Hyperlink"/>
            <w:rFonts w:ascii="Times New Roman" w:hAnsi="Times New Roman"/>
            <w:b w:val="0"/>
            <w:sz w:val="24"/>
            <w:szCs w:val="24"/>
          </w:rPr>
          <w:t>www.legislation.gov.au</w:t>
        </w:r>
      </w:hyperlink>
      <w:r w:rsidR="00421A08">
        <w:rPr>
          <w:rFonts w:ascii="Times New Roman" w:hAnsi="Times New Roman"/>
          <w:b w:val="0"/>
          <w:sz w:val="24"/>
          <w:szCs w:val="24"/>
        </w:rPr>
        <w:t>.</w:t>
      </w:r>
      <w:bookmarkStart w:id="6" w:name="bkoperation"/>
      <w:bookmarkStart w:id="7" w:name="bkConsultationNo"/>
      <w:bookmarkEnd w:id="6"/>
      <w:bookmarkEnd w:id="7"/>
    </w:p>
    <w:p w14:paraId="4415F2BB" w14:textId="77777777" w:rsidR="002436BD" w:rsidRDefault="002436BD" w:rsidP="003D1CA8">
      <w:pPr>
        <w:pStyle w:val="Heading"/>
        <w:keepNext/>
        <w:spacing w:after="240"/>
        <w:outlineLvl w:val="0"/>
        <w:rPr>
          <w:rFonts w:ascii="Times New Roman" w:hAnsi="Times New Roman"/>
          <w:sz w:val="24"/>
          <w:szCs w:val="24"/>
        </w:rPr>
      </w:pPr>
      <w:r w:rsidRPr="002C6D26">
        <w:rPr>
          <w:rFonts w:ascii="Times New Roman" w:hAnsi="Times New Roman"/>
          <w:sz w:val="24"/>
          <w:szCs w:val="24"/>
        </w:rPr>
        <w:lastRenderedPageBreak/>
        <w:t>Consultation</w:t>
      </w:r>
    </w:p>
    <w:p w14:paraId="4415F2BC" w14:textId="68D345DB" w:rsidR="00F53B5E" w:rsidRDefault="00F53B5E"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w:t>
      </w:r>
      <w:r w:rsidR="00037C3F">
        <w:rPr>
          <w:rFonts w:ascii="Times New Roman" w:hAnsi="Times New Roman"/>
          <w:b w:val="0"/>
          <w:sz w:val="24"/>
          <w:szCs w:val="24"/>
        </w:rPr>
        <w:t xml:space="preserve">new </w:t>
      </w:r>
      <w:r>
        <w:rPr>
          <w:rFonts w:ascii="Times New Roman" w:hAnsi="Times New Roman"/>
          <w:b w:val="0"/>
          <w:sz w:val="24"/>
          <w:szCs w:val="24"/>
        </w:rPr>
        <w:t>instrument applies</w:t>
      </w:r>
      <w:r w:rsidR="00037C3F">
        <w:rPr>
          <w:rFonts w:ascii="Times New Roman" w:hAnsi="Times New Roman"/>
          <w:b w:val="0"/>
          <w:sz w:val="24"/>
          <w:szCs w:val="24"/>
        </w:rPr>
        <w:t xml:space="preserve"> only</w:t>
      </w:r>
      <w:r>
        <w:rPr>
          <w:rFonts w:ascii="Times New Roman" w:hAnsi="Times New Roman"/>
          <w:b w:val="0"/>
          <w:sz w:val="24"/>
          <w:szCs w:val="24"/>
        </w:rPr>
        <w:t xml:space="preserve"> to </w:t>
      </w:r>
      <w:r w:rsidR="00CC08EC">
        <w:rPr>
          <w:rFonts w:ascii="Times New Roman" w:hAnsi="Times New Roman"/>
          <w:b w:val="0"/>
          <w:sz w:val="24"/>
          <w:szCs w:val="24"/>
        </w:rPr>
        <w:t xml:space="preserve">trustees of security trust funds that are established to fulfil obligations imposed on </w:t>
      </w:r>
      <w:r>
        <w:rPr>
          <w:rFonts w:ascii="Times New Roman" w:hAnsi="Times New Roman"/>
          <w:b w:val="0"/>
          <w:sz w:val="24"/>
          <w:szCs w:val="24"/>
        </w:rPr>
        <w:t>Lloyd’s</w:t>
      </w:r>
      <w:r w:rsidR="00CC08EC">
        <w:rPr>
          <w:rFonts w:ascii="Times New Roman" w:hAnsi="Times New Roman"/>
          <w:b w:val="0"/>
          <w:sz w:val="24"/>
          <w:szCs w:val="24"/>
        </w:rPr>
        <w:t xml:space="preserve"> under any legislative instrument relating to security trust funds</w:t>
      </w:r>
      <w:r w:rsidR="0068788D">
        <w:rPr>
          <w:rFonts w:ascii="Times New Roman" w:hAnsi="Times New Roman"/>
          <w:b w:val="0"/>
          <w:sz w:val="24"/>
          <w:szCs w:val="24"/>
        </w:rPr>
        <w:t>.</w:t>
      </w:r>
      <w:r>
        <w:rPr>
          <w:rFonts w:ascii="Times New Roman" w:hAnsi="Times New Roman"/>
          <w:b w:val="0"/>
          <w:sz w:val="24"/>
          <w:szCs w:val="24"/>
        </w:rPr>
        <w:t xml:space="preserve"> APRA has consulted </w:t>
      </w:r>
      <w:r w:rsidR="00CC08EC">
        <w:rPr>
          <w:rFonts w:ascii="Times New Roman" w:hAnsi="Times New Roman"/>
          <w:b w:val="0"/>
          <w:sz w:val="24"/>
          <w:szCs w:val="24"/>
        </w:rPr>
        <w:t xml:space="preserve">both with trustees of Lloyd’s security trust funds and </w:t>
      </w:r>
      <w:r>
        <w:rPr>
          <w:rFonts w:ascii="Times New Roman" w:hAnsi="Times New Roman"/>
          <w:b w:val="0"/>
          <w:sz w:val="24"/>
          <w:szCs w:val="24"/>
        </w:rPr>
        <w:t>with Lloyd’s</w:t>
      </w:r>
      <w:r w:rsidR="0068788D">
        <w:rPr>
          <w:rFonts w:ascii="Times New Roman" w:hAnsi="Times New Roman"/>
          <w:b w:val="0"/>
          <w:sz w:val="24"/>
          <w:szCs w:val="24"/>
        </w:rPr>
        <w:t xml:space="preserve"> </w:t>
      </w:r>
      <w:r>
        <w:rPr>
          <w:rFonts w:ascii="Times New Roman" w:hAnsi="Times New Roman"/>
          <w:b w:val="0"/>
          <w:sz w:val="24"/>
          <w:szCs w:val="24"/>
        </w:rPr>
        <w:t xml:space="preserve">on the making of the </w:t>
      </w:r>
      <w:r w:rsidR="00FD7462">
        <w:rPr>
          <w:rFonts w:ascii="Times New Roman" w:hAnsi="Times New Roman"/>
          <w:b w:val="0"/>
          <w:sz w:val="24"/>
          <w:szCs w:val="24"/>
        </w:rPr>
        <w:t xml:space="preserve">new </w:t>
      </w:r>
      <w:r>
        <w:rPr>
          <w:rFonts w:ascii="Times New Roman" w:hAnsi="Times New Roman"/>
          <w:b w:val="0"/>
          <w:sz w:val="24"/>
          <w:szCs w:val="24"/>
        </w:rPr>
        <w:t>instrument.</w:t>
      </w:r>
    </w:p>
    <w:p w14:paraId="4415F2BD" w14:textId="15C89370" w:rsidR="00706241" w:rsidRDefault="00F53B5E"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new instrument</w:t>
      </w:r>
      <w:r w:rsidR="00706241">
        <w:rPr>
          <w:rFonts w:ascii="Times New Roman" w:hAnsi="Times New Roman"/>
          <w:b w:val="0"/>
          <w:sz w:val="24"/>
          <w:szCs w:val="24"/>
        </w:rPr>
        <w:t xml:space="preserve"> will apply </w:t>
      </w:r>
      <w:r w:rsidR="00CC08EC">
        <w:rPr>
          <w:rFonts w:ascii="Times New Roman" w:hAnsi="Times New Roman"/>
          <w:b w:val="0"/>
          <w:sz w:val="24"/>
          <w:szCs w:val="24"/>
        </w:rPr>
        <w:t>on the date of its registration on the Federal Register of Legislation</w:t>
      </w:r>
      <w:r w:rsidR="00706241">
        <w:rPr>
          <w:rFonts w:ascii="Times New Roman" w:hAnsi="Times New Roman"/>
          <w:b w:val="0"/>
          <w:sz w:val="24"/>
          <w:szCs w:val="24"/>
        </w:rPr>
        <w:t>.</w:t>
      </w:r>
    </w:p>
    <w:p w14:paraId="4415F2BE"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4415F2BF" w14:textId="77777777" w:rsidR="00885F41" w:rsidRPr="00F53B5E" w:rsidRDefault="00885F41" w:rsidP="00DF7DA0">
      <w:pPr>
        <w:pStyle w:val="Heading"/>
        <w:spacing w:after="240"/>
        <w:rPr>
          <w:rFonts w:ascii="Times New Roman" w:hAnsi="Times New Roman"/>
          <w:b w:val="0"/>
          <w:sz w:val="24"/>
          <w:szCs w:val="24"/>
        </w:rPr>
      </w:pPr>
      <w:r w:rsidRPr="00F53B5E">
        <w:rPr>
          <w:rFonts w:ascii="Times New Roman" w:hAnsi="Times New Roman"/>
          <w:b w:val="0"/>
          <w:sz w:val="24"/>
          <w:szCs w:val="24"/>
        </w:rPr>
        <w:t>The Office of Best Practice Regulation has advised that a Regulation Impact Statement is not required for this legislative instrument.</w:t>
      </w:r>
    </w:p>
    <w:p w14:paraId="4415F2C0"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4415F2C1"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4415F2C2" w14:textId="77777777" w:rsidR="00263132" w:rsidRDefault="00263132">
      <w:pPr>
        <w:rPr>
          <w:rFonts w:ascii="Times New Roman" w:hAnsi="Times New Roman"/>
          <w:sz w:val="24"/>
          <w:szCs w:val="24"/>
        </w:rPr>
      </w:pPr>
      <w:r>
        <w:rPr>
          <w:rFonts w:ascii="Times New Roman" w:hAnsi="Times New Roman"/>
          <w:b/>
          <w:sz w:val="24"/>
          <w:szCs w:val="24"/>
        </w:rPr>
        <w:br w:type="page"/>
      </w:r>
    </w:p>
    <w:p w14:paraId="4415F2C3" w14:textId="77777777" w:rsidR="00263132" w:rsidRPr="00263132" w:rsidRDefault="00263132" w:rsidP="00DF7DA0">
      <w:pPr>
        <w:pStyle w:val="Heading"/>
        <w:spacing w:after="240"/>
        <w:rPr>
          <w:rFonts w:ascii="Times New Roman" w:hAnsi="Times New Roman"/>
          <w:sz w:val="24"/>
          <w:szCs w:val="24"/>
        </w:rPr>
      </w:pPr>
      <w:r>
        <w:rPr>
          <w:rFonts w:ascii="Times New Roman" w:hAnsi="Times New Roman"/>
          <w:sz w:val="24"/>
          <w:szCs w:val="24"/>
        </w:rPr>
        <w:t>Attachment A</w:t>
      </w:r>
    </w:p>
    <w:p w14:paraId="4415F2C4" w14:textId="77777777" w:rsidR="00A95346" w:rsidRPr="00A95346" w:rsidRDefault="00A95346" w:rsidP="00A95346">
      <w:pPr>
        <w:spacing w:before="100" w:beforeAutospacing="1" w:after="240"/>
        <w:jc w:val="center"/>
        <w:rPr>
          <w:rFonts w:ascii="Times New Roman" w:hAnsi="Times New Roman"/>
          <w:sz w:val="24"/>
          <w:szCs w:val="24"/>
          <w:lang w:val="en-US"/>
        </w:rPr>
      </w:pPr>
      <w:r w:rsidRPr="00A95346">
        <w:rPr>
          <w:rFonts w:ascii="Times New Roman" w:hAnsi="Times New Roman"/>
          <w:b/>
          <w:bCs/>
          <w:sz w:val="24"/>
          <w:szCs w:val="24"/>
        </w:rPr>
        <w:t>Statement of Compatibility with Human Rights</w:t>
      </w:r>
    </w:p>
    <w:p w14:paraId="4415F2C5" w14:textId="77777777" w:rsidR="00A95346" w:rsidRPr="00A95346" w:rsidRDefault="00A95346" w:rsidP="00A95346">
      <w:pPr>
        <w:spacing w:before="100" w:beforeAutospacing="1" w:after="240"/>
        <w:rPr>
          <w:rFonts w:ascii="Times New Roman" w:hAnsi="Times New Roman"/>
          <w:sz w:val="24"/>
          <w:szCs w:val="24"/>
          <w:lang w:val="en-US"/>
        </w:rPr>
      </w:pPr>
      <w:r w:rsidRPr="00A95346">
        <w:rPr>
          <w:rFonts w:ascii="Times New Roman" w:hAnsi="Times New Roman"/>
          <w:i/>
          <w:iCs/>
          <w:sz w:val="24"/>
          <w:szCs w:val="24"/>
        </w:rPr>
        <w:t>Prepared in accordance with Part 3 of the Human Rights (Parliamentary Scrutiny) Act 2011</w:t>
      </w:r>
    </w:p>
    <w:p w14:paraId="4415F2C6" w14:textId="682F662C" w:rsidR="00F53B5E" w:rsidRPr="00F53B5E" w:rsidRDefault="00F53B5E" w:rsidP="00F53B5E">
      <w:pPr>
        <w:spacing w:before="100" w:beforeAutospacing="1" w:after="240"/>
        <w:jc w:val="center"/>
        <w:rPr>
          <w:rFonts w:ascii="Times New Roman" w:hAnsi="Times New Roman"/>
          <w:b/>
          <w:sz w:val="24"/>
          <w:szCs w:val="24"/>
        </w:rPr>
      </w:pPr>
      <w:r w:rsidRPr="00F53B5E">
        <w:rPr>
          <w:rFonts w:ascii="Times New Roman" w:hAnsi="Times New Roman"/>
          <w:b/>
          <w:sz w:val="24"/>
          <w:szCs w:val="24"/>
        </w:rPr>
        <w:t xml:space="preserve">Lloyd’s </w:t>
      </w:r>
      <w:r w:rsidR="007875F5">
        <w:rPr>
          <w:rFonts w:ascii="Times New Roman" w:hAnsi="Times New Roman"/>
          <w:b/>
          <w:sz w:val="24"/>
          <w:szCs w:val="24"/>
        </w:rPr>
        <w:t>s</w:t>
      </w:r>
      <w:r w:rsidR="007875F5" w:rsidRPr="00F53B5E">
        <w:rPr>
          <w:rFonts w:ascii="Times New Roman" w:hAnsi="Times New Roman"/>
          <w:b/>
          <w:sz w:val="24"/>
          <w:szCs w:val="24"/>
        </w:rPr>
        <w:t xml:space="preserve">ecurity </w:t>
      </w:r>
      <w:r w:rsidR="007875F5">
        <w:rPr>
          <w:rFonts w:ascii="Times New Roman" w:hAnsi="Times New Roman"/>
          <w:b/>
          <w:sz w:val="24"/>
          <w:szCs w:val="24"/>
        </w:rPr>
        <w:t>t</w:t>
      </w:r>
      <w:r w:rsidR="007875F5" w:rsidRPr="00F53B5E">
        <w:rPr>
          <w:rFonts w:ascii="Times New Roman" w:hAnsi="Times New Roman"/>
          <w:b/>
          <w:sz w:val="24"/>
          <w:szCs w:val="24"/>
        </w:rPr>
        <w:t xml:space="preserve">rust </w:t>
      </w:r>
      <w:r w:rsidR="007875F5">
        <w:rPr>
          <w:rFonts w:ascii="Times New Roman" w:hAnsi="Times New Roman"/>
          <w:b/>
          <w:sz w:val="24"/>
          <w:szCs w:val="24"/>
        </w:rPr>
        <w:t>f</w:t>
      </w:r>
      <w:r w:rsidR="007875F5" w:rsidRPr="00F53B5E">
        <w:rPr>
          <w:rFonts w:ascii="Times New Roman" w:hAnsi="Times New Roman"/>
          <w:b/>
          <w:sz w:val="24"/>
          <w:szCs w:val="24"/>
        </w:rPr>
        <w:t xml:space="preserve">und </w:t>
      </w:r>
      <w:r w:rsidR="007875F5">
        <w:rPr>
          <w:rFonts w:ascii="Times New Roman" w:hAnsi="Times New Roman"/>
          <w:b/>
          <w:sz w:val="24"/>
          <w:szCs w:val="24"/>
        </w:rPr>
        <w:t>instrument</w:t>
      </w:r>
      <w:r w:rsidR="007875F5" w:rsidRPr="00F53B5E">
        <w:rPr>
          <w:rFonts w:ascii="Times New Roman" w:hAnsi="Times New Roman"/>
          <w:b/>
          <w:sz w:val="24"/>
          <w:szCs w:val="24"/>
        </w:rPr>
        <w:t xml:space="preserve"> </w:t>
      </w:r>
      <w:r w:rsidRPr="00F53B5E">
        <w:rPr>
          <w:rFonts w:ascii="Times New Roman" w:hAnsi="Times New Roman"/>
          <w:b/>
          <w:sz w:val="24"/>
          <w:szCs w:val="24"/>
        </w:rPr>
        <w:t xml:space="preserve">No. </w:t>
      </w:r>
      <w:r w:rsidR="007875F5">
        <w:rPr>
          <w:rFonts w:ascii="Times New Roman" w:hAnsi="Times New Roman"/>
          <w:b/>
          <w:sz w:val="24"/>
          <w:szCs w:val="24"/>
        </w:rPr>
        <w:t>2 of 2017 (the Legislative Instrument)</w:t>
      </w:r>
    </w:p>
    <w:p w14:paraId="4415F2C7" w14:textId="77777777" w:rsidR="00A95346" w:rsidRPr="00A95346" w:rsidRDefault="001526D4" w:rsidP="00A95346">
      <w:pPr>
        <w:spacing w:before="100" w:beforeAutospacing="1" w:after="240"/>
        <w:jc w:val="both"/>
        <w:rPr>
          <w:rFonts w:ascii="Times New Roman" w:hAnsi="Times New Roman"/>
          <w:sz w:val="24"/>
          <w:szCs w:val="24"/>
          <w:lang w:val="en-US"/>
        </w:rPr>
      </w:pPr>
      <w:r>
        <w:rPr>
          <w:rFonts w:ascii="Times New Roman" w:hAnsi="Times New Roman"/>
          <w:sz w:val="24"/>
          <w:szCs w:val="24"/>
        </w:rPr>
        <w:t>The Legislative Instrument</w:t>
      </w:r>
      <w:r w:rsidR="00A95346" w:rsidRPr="00A95346">
        <w:rPr>
          <w:rFonts w:ascii="Times New Roman" w:hAnsi="Times New Roman"/>
          <w:sz w:val="24"/>
          <w:szCs w:val="24"/>
        </w:rPr>
        <w:t xml:space="preserve"> </w:t>
      </w:r>
      <w:r>
        <w:rPr>
          <w:rFonts w:ascii="Times New Roman" w:hAnsi="Times New Roman"/>
          <w:sz w:val="24"/>
          <w:szCs w:val="24"/>
        </w:rPr>
        <w:t>is</w:t>
      </w:r>
      <w:r w:rsidR="00A95346" w:rsidRPr="00A95346">
        <w:rPr>
          <w:rFonts w:ascii="Times New Roman" w:hAnsi="Times New Roman"/>
          <w:sz w:val="24"/>
          <w:szCs w:val="24"/>
        </w:rPr>
        <w:t xml:space="preserve"> compatible with the human rights and freedoms recognised or declared in the international instruments listed in section 3 of the </w:t>
      </w:r>
      <w:r w:rsidR="00A95346" w:rsidRPr="00A95346">
        <w:rPr>
          <w:rFonts w:ascii="Times New Roman" w:hAnsi="Times New Roman"/>
          <w:i/>
          <w:iCs/>
          <w:sz w:val="24"/>
          <w:szCs w:val="24"/>
        </w:rPr>
        <w:t>Human Rights (Parliamentary Scrutiny) Act 2011</w:t>
      </w:r>
      <w:r w:rsidR="00A95346" w:rsidRPr="00A95346">
        <w:rPr>
          <w:rFonts w:ascii="Times New Roman" w:hAnsi="Times New Roman"/>
          <w:sz w:val="24"/>
          <w:szCs w:val="24"/>
        </w:rPr>
        <w:t xml:space="preserve"> (HRPS Act).</w:t>
      </w:r>
    </w:p>
    <w:p w14:paraId="4415F2C8"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t xml:space="preserve">Overview of the Legislative Instrument </w:t>
      </w:r>
    </w:p>
    <w:p w14:paraId="4415F2C9" w14:textId="77777777" w:rsidR="00086BAB" w:rsidRDefault="00A95346" w:rsidP="00086BAB">
      <w:pPr>
        <w:pStyle w:val="Heading"/>
        <w:spacing w:after="240"/>
        <w:outlineLvl w:val="0"/>
        <w:rPr>
          <w:rFonts w:ascii="Times New Roman" w:hAnsi="Times New Roman"/>
          <w:b w:val="0"/>
          <w:sz w:val="24"/>
          <w:szCs w:val="24"/>
        </w:rPr>
      </w:pPr>
      <w:r w:rsidRPr="00086BAB">
        <w:rPr>
          <w:rFonts w:ascii="Times New Roman" w:hAnsi="Times New Roman"/>
          <w:b w:val="0"/>
          <w:sz w:val="24"/>
          <w:szCs w:val="24"/>
        </w:rPr>
        <w:t>The purpose of the Legislative Instrument is to</w:t>
      </w:r>
      <w:r w:rsidR="00FB2032" w:rsidRPr="00086BAB">
        <w:rPr>
          <w:rFonts w:ascii="Times New Roman" w:hAnsi="Times New Roman"/>
          <w:b w:val="0"/>
          <w:sz w:val="24"/>
          <w:szCs w:val="24"/>
        </w:rPr>
        <w:t xml:space="preserve"> </w:t>
      </w:r>
      <w:r w:rsidR="000B3FD3" w:rsidRPr="00086BAB">
        <w:rPr>
          <w:rFonts w:ascii="Times New Roman" w:hAnsi="Times New Roman"/>
          <w:b w:val="0"/>
          <w:sz w:val="24"/>
          <w:szCs w:val="24"/>
        </w:rPr>
        <w:t>remake Lloyd’s S</w:t>
      </w:r>
      <w:r w:rsidR="00086BAB" w:rsidRPr="00086BAB">
        <w:rPr>
          <w:rFonts w:ascii="Times New Roman" w:hAnsi="Times New Roman"/>
          <w:b w:val="0"/>
          <w:sz w:val="24"/>
          <w:szCs w:val="24"/>
        </w:rPr>
        <w:t>ecurity Trust Fund Rules</w:t>
      </w:r>
      <w:r w:rsidR="000B3FD3" w:rsidRPr="00086BAB">
        <w:rPr>
          <w:rFonts w:ascii="Times New Roman" w:hAnsi="Times New Roman"/>
          <w:b w:val="0"/>
          <w:sz w:val="24"/>
          <w:szCs w:val="24"/>
        </w:rPr>
        <w:t xml:space="preserve"> No 1 of 2000.</w:t>
      </w:r>
      <w:r w:rsidR="000A2B59" w:rsidRPr="00086BAB">
        <w:rPr>
          <w:rFonts w:ascii="Times New Roman" w:hAnsi="Times New Roman"/>
          <w:b w:val="0"/>
          <w:sz w:val="24"/>
          <w:szCs w:val="24"/>
        </w:rPr>
        <w:t xml:space="preserve"> The legislative instrument </w:t>
      </w:r>
      <w:r w:rsidR="00086BAB">
        <w:rPr>
          <w:rFonts w:ascii="Times New Roman" w:hAnsi="Times New Roman"/>
          <w:b w:val="0"/>
          <w:sz w:val="24"/>
          <w:szCs w:val="24"/>
        </w:rPr>
        <w:t xml:space="preserve">sets out </w:t>
      </w:r>
      <w:r w:rsidR="00D42991">
        <w:rPr>
          <w:rFonts w:ascii="Times New Roman" w:hAnsi="Times New Roman"/>
          <w:b w:val="0"/>
          <w:sz w:val="24"/>
          <w:szCs w:val="24"/>
        </w:rPr>
        <w:t xml:space="preserve">rules specifying certain aspects of the operation of Lloyd’s security trust funds. </w:t>
      </w:r>
    </w:p>
    <w:p w14:paraId="4415F2CA"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t>Human rights implications</w:t>
      </w:r>
    </w:p>
    <w:p w14:paraId="4415F2CB"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sz w:val="24"/>
          <w:szCs w:val="24"/>
        </w:rPr>
        <w:t xml:space="preserve">APRA has assessed </w:t>
      </w:r>
      <w:r>
        <w:rPr>
          <w:rFonts w:ascii="Times New Roman" w:hAnsi="Times New Roman"/>
          <w:sz w:val="24"/>
          <w:szCs w:val="24"/>
        </w:rPr>
        <w:t>the</w:t>
      </w:r>
      <w:r w:rsidR="00BC4792">
        <w:rPr>
          <w:rFonts w:ascii="Times New Roman" w:hAnsi="Times New Roman"/>
          <w:sz w:val="24"/>
          <w:szCs w:val="24"/>
        </w:rPr>
        <w:t xml:space="preserve"> Legislative Instrument</w:t>
      </w:r>
      <w:r w:rsidRPr="00A95346">
        <w:rPr>
          <w:rFonts w:ascii="Times New Roman" w:hAnsi="Times New Roman"/>
          <w:sz w:val="24"/>
          <w:szCs w:val="24"/>
        </w:rPr>
        <w:t xml:space="preserve"> and is of the view that </w:t>
      </w:r>
      <w:r>
        <w:rPr>
          <w:rFonts w:ascii="Times New Roman" w:hAnsi="Times New Roman"/>
          <w:sz w:val="24"/>
          <w:szCs w:val="24"/>
        </w:rPr>
        <w:t>it</w:t>
      </w:r>
      <w:r w:rsidRPr="00A95346">
        <w:rPr>
          <w:rFonts w:ascii="Times New Roman" w:hAnsi="Times New Roman"/>
          <w:sz w:val="24"/>
          <w:szCs w:val="24"/>
        </w:rPr>
        <w:t xml:space="preserve"> do</w:t>
      </w:r>
      <w:r>
        <w:rPr>
          <w:rFonts w:ascii="Times New Roman" w:hAnsi="Times New Roman"/>
          <w:sz w:val="24"/>
          <w:szCs w:val="24"/>
        </w:rPr>
        <w:t>es</w:t>
      </w:r>
      <w:r w:rsidRPr="00A95346">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w:t>
      </w:r>
      <w:r w:rsidR="00FF2839">
        <w:rPr>
          <w:rFonts w:ascii="Times New Roman" w:hAnsi="Times New Roman"/>
          <w:sz w:val="24"/>
          <w:szCs w:val="24"/>
        </w:rPr>
        <w:t xml:space="preserve"> is</w:t>
      </w:r>
      <w:r w:rsidRPr="00A95346">
        <w:rPr>
          <w:rFonts w:ascii="Times New Roman" w:hAnsi="Times New Roman"/>
          <w:sz w:val="24"/>
          <w:szCs w:val="24"/>
        </w:rPr>
        <w:t xml:space="preserve"> compatible with human rights.</w:t>
      </w:r>
    </w:p>
    <w:p w14:paraId="4415F2CC"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t>Conclusion</w:t>
      </w:r>
    </w:p>
    <w:p w14:paraId="4415F2CD" w14:textId="77777777" w:rsidR="00A95346" w:rsidRPr="00A95346" w:rsidRDefault="005532E5" w:rsidP="00A95346">
      <w:pPr>
        <w:spacing w:before="100" w:beforeAutospacing="1" w:after="240"/>
        <w:jc w:val="both"/>
        <w:rPr>
          <w:rFonts w:ascii="Times New Roman" w:hAnsi="Times New Roman"/>
          <w:sz w:val="24"/>
          <w:szCs w:val="24"/>
          <w:lang w:val="en-US"/>
        </w:rPr>
      </w:pPr>
      <w:r>
        <w:rPr>
          <w:rFonts w:ascii="Times New Roman" w:hAnsi="Times New Roman"/>
          <w:sz w:val="24"/>
          <w:szCs w:val="24"/>
        </w:rPr>
        <w:t>The</w:t>
      </w:r>
      <w:r w:rsidR="00A95346" w:rsidRPr="00A95346">
        <w:rPr>
          <w:rFonts w:ascii="Times New Roman" w:hAnsi="Times New Roman"/>
          <w:sz w:val="24"/>
          <w:szCs w:val="24"/>
        </w:rPr>
        <w:t xml:space="preserve"> Legislative Instrument </w:t>
      </w:r>
      <w:r>
        <w:rPr>
          <w:rFonts w:ascii="Times New Roman" w:hAnsi="Times New Roman"/>
          <w:sz w:val="24"/>
          <w:szCs w:val="24"/>
        </w:rPr>
        <w:t>is</w:t>
      </w:r>
      <w:r w:rsidR="00A95346" w:rsidRPr="00A95346">
        <w:rPr>
          <w:rFonts w:ascii="Times New Roman" w:hAnsi="Times New Roman"/>
          <w:sz w:val="24"/>
          <w:szCs w:val="24"/>
        </w:rPr>
        <w:t xml:space="preserve"> compatible with human rights because </w:t>
      </w:r>
      <w:r>
        <w:rPr>
          <w:rFonts w:ascii="Times New Roman" w:hAnsi="Times New Roman"/>
          <w:sz w:val="24"/>
          <w:szCs w:val="24"/>
        </w:rPr>
        <w:t>it</w:t>
      </w:r>
      <w:r w:rsidR="00A95346" w:rsidRPr="00A95346">
        <w:rPr>
          <w:rFonts w:ascii="Times New Roman" w:hAnsi="Times New Roman"/>
          <w:sz w:val="24"/>
          <w:szCs w:val="24"/>
        </w:rPr>
        <w:t xml:space="preserve"> do</w:t>
      </w:r>
      <w:r>
        <w:rPr>
          <w:rFonts w:ascii="Times New Roman" w:hAnsi="Times New Roman"/>
          <w:sz w:val="24"/>
          <w:szCs w:val="24"/>
        </w:rPr>
        <w:t>es</w:t>
      </w:r>
      <w:r w:rsidR="00A95346" w:rsidRPr="00A95346">
        <w:rPr>
          <w:rFonts w:ascii="Times New Roman" w:hAnsi="Times New Roman"/>
          <w:sz w:val="24"/>
          <w:szCs w:val="24"/>
        </w:rPr>
        <w:t xml:space="preserve"> not raise any human rights issues.</w:t>
      </w:r>
    </w:p>
    <w:p w14:paraId="4415F2CE" w14:textId="77777777" w:rsidR="00B04B20" w:rsidRPr="00FA5345" w:rsidRDefault="00B04B20" w:rsidP="00DF7DA0">
      <w:pPr>
        <w:spacing w:after="240"/>
      </w:pPr>
    </w:p>
    <w:sectPr w:rsidR="00B04B20" w:rsidRPr="00FA5345" w:rsidSect="003D5032">
      <w:headerReference w:type="default" r:id="rId14"/>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5F2D1" w14:textId="77777777" w:rsidR="002B37A8" w:rsidRDefault="002B37A8" w:rsidP="00DF7DA0">
      <w:r>
        <w:separator/>
      </w:r>
    </w:p>
  </w:endnote>
  <w:endnote w:type="continuationSeparator" w:id="0">
    <w:p w14:paraId="4415F2D2" w14:textId="77777777" w:rsidR="002B37A8" w:rsidRDefault="002B37A8"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4415F2D4" w14:textId="77777777" w:rsidR="00D163EB" w:rsidRPr="00DF7DA0" w:rsidRDefault="00D163EB"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194661">
          <w:rPr>
            <w:rFonts w:ascii="Times New Roman" w:hAnsi="Times New Roman"/>
            <w:bCs/>
            <w:noProof/>
            <w:sz w:val="24"/>
            <w:szCs w:val="24"/>
          </w:rPr>
          <w:t>1</w:t>
        </w:r>
        <w:r w:rsidRPr="00DF7DA0">
          <w:rPr>
            <w:rFonts w:ascii="Times New Roman" w:hAnsi="Times New Roman"/>
            <w:bCs/>
            <w:sz w:val="24"/>
            <w:szCs w:val="24"/>
          </w:rPr>
          <w:fldChar w:fldCharType="end"/>
        </w:r>
      </w:p>
    </w:sdtContent>
  </w:sdt>
  <w:p w14:paraId="4415F2D5" w14:textId="77777777" w:rsidR="00D163EB" w:rsidRDefault="00D16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5F2CF" w14:textId="77777777" w:rsidR="002B37A8" w:rsidRDefault="002B37A8" w:rsidP="00DF7DA0">
      <w:r>
        <w:separator/>
      </w:r>
    </w:p>
  </w:footnote>
  <w:footnote w:type="continuationSeparator" w:id="0">
    <w:p w14:paraId="4415F2D0" w14:textId="77777777" w:rsidR="002B37A8" w:rsidRDefault="002B37A8" w:rsidP="00DF7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F2D3" w14:textId="2EF758E9" w:rsidR="00D163EB" w:rsidRDefault="00D16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EBD"/>
    <w:multiLevelType w:val="hybridMultilevel"/>
    <w:tmpl w:val="CB5AC0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FA77C1"/>
    <w:multiLevelType w:val="hybridMultilevel"/>
    <w:tmpl w:val="D6E0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NotTrackFormatting/>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B9"/>
    <w:rsid w:val="00003D3A"/>
    <w:rsid w:val="0001722E"/>
    <w:rsid w:val="00037C3F"/>
    <w:rsid w:val="000401FC"/>
    <w:rsid w:val="000560E1"/>
    <w:rsid w:val="00073E0F"/>
    <w:rsid w:val="00086BAB"/>
    <w:rsid w:val="000A2B59"/>
    <w:rsid w:val="000B3FD3"/>
    <w:rsid w:val="000E369C"/>
    <w:rsid w:val="00114E5E"/>
    <w:rsid w:val="001468E0"/>
    <w:rsid w:val="001526D4"/>
    <w:rsid w:val="00155C61"/>
    <w:rsid w:val="0016065D"/>
    <w:rsid w:val="0016350D"/>
    <w:rsid w:val="00182FA1"/>
    <w:rsid w:val="00194661"/>
    <w:rsid w:val="001A34DD"/>
    <w:rsid w:val="001A46FA"/>
    <w:rsid w:val="001B1BB1"/>
    <w:rsid w:val="001E15A2"/>
    <w:rsid w:val="001E7E46"/>
    <w:rsid w:val="001F1113"/>
    <w:rsid w:val="00200182"/>
    <w:rsid w:val="00205A8B"/>
    <w:rsid w:val="00205D68"/>
    <w:rsid w:val="00227171"/>
    <w:rsid w:val="0023364C"/>
    <w:rsid w:val="002436BD"/>
    <w:rsid w:val="00246723"/>
    <w:rsid w:val="002610AE"/>
    <w:rsid w:val="00263132"/>
    <w:rsid w:val="0028471A"/>
    <w:rsid w:val="002867E0"/>
    <w:rsid w:val="002A54B2"/>
    <w:rsid w:val="002A73BD"/>
    <w:rsid w:val="002B37A8"/>
    <w:rsid w:val="0030506B"/>
    <w:rsid w:val="00307F18"/>
    <w:rsid w:val="003249CD"/>
    <w:rsid w:val="00354095"/>
    <w:rsid w:val="0035494A"/>
    <w:rsid w:val="00354CB8"/>
    <w:rsid w:val="00374D77"/>
    <w:rsid w:val="00376AA3"/>
    <w:rsid w:val="003866AD"/>
    <w:rsid w:val="003A3D56"/>
    <w:rsid w:val="003D1CA8"/>
    <w:rsid w:val="003D335C"/>
    <w:rsid w:val="003D5032"/>
    <w:rsid w:val="003D5368"/>
    <w:rsid w:val="003D7B96"/>
    <w:rsid w:val="0040175E"/>
    <w:rsid w:val="00421A08"/>
    <w:rsid w:val="00422164"/>
    <w:rsid w:val="00433900"/>
    <w:rsid w:val="00443A02"/>
    <w:rsid w:val="00457C57"/>
    <w:rsid w:val="00470375"/>
    <w:rsid w:val="00482346"/>
    <w:rsid w:val="004930C0"/>
    <w:rsid w:val="004C3D07"/>
    <w:rsid w:val="004C7AD1"/>
    <w:rsid w:val="004E2008"/>
    <w:rsid w:val="00530356"/>
    <w:rsid w:val="0054586C"/>
    <w:rsid w:val="005532E5"/>
    <w:rsid w:val="0056141D"/>
    <w:rsid w:val="00567B1A"/>
    <w:rsid w:val="005B5D86"/>
    <w:rsid w:val="005C4FE1"/>
    <w:rsid w:val="005E5910"/>
    <w:rsid w:val="00613CBF"/>
    <w:rsid w:val="00616A26"/>
    <w:rsid w:val="00622480"/>
    <w:rsid w:val="0064384D"/>
    <w:rsid w:val="00647D58"/>
    <w:rsid w:val="00657678"/>
    <w:rsid w:val="00682865"/>
    <w:rsid w:val="00684F73"/>
    <w:rsid w:val="0068788D"/>
    <w:rsid w:val="006A1F96"/>
    <w:rsid w:val="006B093F"/>
    <w:rsid w:val="006F16A2"/>
    <w:rsid w:val="007001E7"/>
    <w:rsid w:val="007031F4"/>
    <w:rsid w:val="007049CF"/>
    <w:rsid w:val="00706241"/>
    <w:rsid w:val="00726DE3"/>
    <w:rsid w:val="00731931"/>
    <w:rsid w:val="007368AD"/>
    <w:rsid w:val="007428D4"/>
    <w:rsid w:val="00745EC5"/>
    <w:rsid w:val="00747AFF"/>
    <w:rsid w:val="00785CDC"/>
    <w:rsid w:val="007875F5"/>
    <w:rsid w:val="007E4B2A"/>
    <w:rsid w:val="0080071D"/>
    <w:rsid w:val="00822B9A"/>
    <w:rsid w:val="00830F66"/>
    <w:rsid w:val="008648C1"/>
    <w:rsid w:val="00864AF4"/>
    <w:rsid w:val="00882C23"/>
    <w:rsid w:val="00885F41"/>
    <w:rsid w:val="008910F3"/>
    <w:rsid w:val="008C0C2E"/>
    <w:rsid w:val="008C6B7D"/>
    <w:rsid w:val="00904D4F"/>
    <w:rsid w:val="00932EFA"/>
    <w:rsid w:val="00937975"/>
    <w:rsid w:val="00942A5B"/>
    <w:rsid w:val="0095263E"/>
    <w:rsid w:val="009669EA"/>
    <w:rsid w:val="00967D16"/>
    <w:rsid w:val="00987E76"/>
    <w:rsid w:val="009921AD"/>
    <w:rsid w:val="009927BF"/>
    <w:rsid w:val="009A2C39"/>
    <w:rsid w:val="009A2E44"/>
    <w:rsid w:val="009B00AA"/>
    <w:rsid w:val="009C1DC7"/>
    <w:rsid w:val="009C5368"/>
    <w:rsid w:val="009C78B9"/>
    <w:rsid w:val="00A279AF"/>
    <w:rsid w:val="00A4133B"/>
    <w:rsid w:val="00A573C7"/>
    <w:rsid w:val="00A6325C"/>
    <w:rsid w:val="00A6378D"/>
    <w:rsid w:val="00A63A2B"/>
    <w:rsid w:val="00A73582"/>
    <w:rsid w:val="00A814DA"/>
    <w:rsid w:val="00A92434"/>
    <w:rsid w:val="00A94110"/>
    <w:rsid w:val="00A95346"/>
    <w:rsid w:val="00AA0D1D"/>
    <w:rsid w:val="00AB4F7D"/>
    <w:rsid w:val="00AC2517"/>
    <w:rsid w:val="00AC7A56"/>
    <w:rsid w:val="00AE7B90"/>
    <w:rsid w:val="00B009FA"/>
    <w:rsid w:val="00B04B20"/>
    <w:rsid w:val="00B05A74"/>
    <w:rsid w:val="00B06925"/>
    <w:rsid w:val="00B36E3B"/>
    <w:rsid w:val="00B64B2E"/>
    <w:rsid w:val="00B77ADD"/>
    <w:rsid w:val="00B85B6E"/>
    <w:rsid w:val="00BA0089"/>
    <w:rsid w:val="00BB1678"/>
    <w:rsid w:val="00BC4792"/>
    <w:rsid w:val="00BC6EB9"/>
    <w:rsid w:val="00BF2953"/>
    <w:rsid w:val="00BF7316"/>
    <w:rsid w:val="00C17494"/>
    <w:rsid w:val="00C24D9C"/>
    <w:rsid w:val="00C302FA"/>
    <w:rsid w:val="00C76399"/>
    <w:rsid w:val="00C93081"/>
    <w:rsid w:val="00C948AA"/>
    <w:rsid w:val="00CA6CB3"/>
    <w:rsid w:val="00CB384A"/>
    <w:rsid w:val="00CC08EC"/>
    <w:rsid w:val="00CD1947"/>
    <w:rsid w:val="00CE1BB4"/>
    <w:rsid w:val="00CF4EED"/>
    <w:rsid w:val="00D05765"/>
    <w:rsid w:val="00D15E4B"/>
    <w:rsid w:val="00D163EB"/>
    <w:rsid w:val="00D17ABC"/>
    <w:rsid w:val="00D42991"/>
    <w:rsid w:val="00D477CE"/>
    <w:rsid w:val="00D52F37"/>
    <w:rsid w:val="00D64906"/>
    <w:rsid w:val="00D71668"/>
    <w:rsid w:val="00D81CC2"/>
    <w:rsid w:val="00D87BCC"/>
    <w:rsid w:val="00D87E36"/>
    <w:rsid w:val="00DB3591"/>
    <w:rsid w:val="00DF524E"/>
    <w:rsid w:val="00DF7DA0"/>
    <w:rsid w:val="00E15497"/>
    <w:rsid w:val="00E16789"/>
    <w:rsid w:val="00E168E7"/>
    <w:rsid w:val="00E201A8"/>
    <w:rsid w:val="00E31748"/>
    <w:rsid w:val="00E46CCA"/>
    <w:rsid w:val="00E52DFE"/>
    <w:rsid w:val="00E53A62"/>
    <w:rsid w:val="00E758B5"/>
    <w:rsid w:val="00E90C89"/>
    <w:rsid w:val="00EC1E3D"/>
    <w:rsid w:val="00EC5653"/>
    <w:rsid w:val="00EE143B"/>
    <w:rsid w:val="00EE36BA"/>
    <w:rsid w:val="00EF1CBC"/>
    <w:rsid w:val="00EF2F8E"/>
    <w:rsid w:val="00EF72F2"/>
    <w:rsid w:val="00F2137E"/>
    <w:rsid w:val="00F30C81"/>
    <w:rsid w:val="00F33734"/>
    <w:rsid w:val="00F42871"/>
    <w:rsid w:val="00F436BC"/>
    <w:rsid w:val="00F50019"/>
    <w:rsid w:val="00F53B5E"/>
    <w:rsid w:val="00F7706D"/>
    <w:rsid w:val="00FA5345"/>
    <w:rsid w:val="00FB2032"/>
    <w:rsid w:val="00FB4FD0"/>
    <w:rsid w:val="00FD5004"/>
    <w:rsid w:val="00FD7462"/>
    <w:rsid w:val="00FE4058"/>
    <w:rsid w:val="00FE6321"/>
    <w:rsid w:val="00FF2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15F2AD"/>
  <w15:docId w15:val="{26BE031D-925E-4C1F-8950-0A2BA46B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70481">
      <w:bodyDiv w:val="1"/>
      <w:marLeft w:val="0"/>
      <w:marRight w:val="0"/>
      <w:marTop w:val="0"/>
      <w:marBottom w:val="0"/>
      <w:divBdr>
        <w:top w:val="none" w:sz="0" w:space="0" w:color="auto"/>
        <w:left w:val="none" w:sz="0" w:space="0" w:color="auto"/>
        <w:bottom w:val="none" w:sz="0" w:space="0" w:color="auto"/>
        <w:right w:val="none" w:sz="0" w:space="0" w:color="auto"/>
      </w:divBdr>
    </w:div>
    <w:div w:id="1667786642">
      <w:bodyDiv w:val="1"/>
      <w:marLeft w:val="0"/>
      <w:marRight w:val="0"/>
      <w:marTop w:val="0"/>
      <w:marBottom w:val="0"/>
      <w:divBdr>
        <w:top w:val="none" w:sz="0" w:space="0" w:color="auto"/>
        <w:left w:val="none" w:sz="0" w:space="0" w:color="auto"/>
        <w:bottom w:val="none" w:sz="0" w:space="0" w:color="auto"/>
        <w:right w:val="none" w:sz="0" w:space="0" w:color="auto"/>
      </w:divBdr>
      <w:divsChild>
        <w:div w:id="1583683244">
          <w:marLeft w:val="0"/>
          <w:marRight w:val="0"/>
          <w:marTop w:val="0"/>
          <w:marBottom w:val="0"/>
          <w:divBdr>
            <w:top w:val="none" w:sz="0" w:space="0" w:color="auto"/>
            <w:left w:val="none" w:sz="0" w:space="0" w:color="auto"/>
            <w:bottom w:val="none" w:sz="0" w:space="0" w:color="auto"/>
            <w:right w:val="none" w:sz="0" w:space="0" w:color="auto"/>
          </w:divBdr>
          <w:divsChild>
            <w:div w:id="1779908515">
              <w:marLeft w:val="0"/>
              <w:marRight w:val="0"/>
              <w:marTop w:val="0"/>
              <w:marBottom w:val="0"/>
              <w:divBdr>
                <w:top w:val="none" w:sz="0" w:space="0" w:color="auto"/>
                <w:left w:val="none" w:sz="0" w:space="0" w:color="auto"/>
                <w:bottom w:val="none" w:sz="0" w:space="0" w:color="auto"/>
                <w:right w:val="none" w:sz="0" w:space="0" w:color="auto"/>
              </w:divBdr>
              <w:divsChild>
                <w:div w:id="206378258">
                  <w:marLeft w:val="0"/>
                  <w:marRight w:val="0"/>
                  <w:marTop w:val="0"/>
                  <w:marBottom w:val="0"/>
                  <w:divBdr>
                    <w:top w:val="none" w:sz="0" w:space="0" w:color="auto"/>
                    <w:left w:val="none" w:sz="0" w:space="0" w:color="auto"/>
                    <w:bottom w:val="none" w:sz="0" w:space="0" w:color="auto"/>
                    <w:right w:val="none" w:sz="0" w:space="0" w:color="auto"/>
                  </w:divBdr>
                  <w:divsChild>
                    <w:div w:id="1687708879">
                      <w:marLeft w:val="0"/>
                      <w:marRight w:val="0"/>
                      <w:marTop w:val="0"/>
                      <w:marBottom w:val="0"/>
                      <w:divBdr>
                        <w:top w:val="none" w:sz="0" w:space="0" w:color="auto"/>
                        <w:left w:val="none" w:sz="0" w:space="0" w:color="auto"/>
                        <w:bottom w:val="none" w:sz="0" w:space="0" w:color="auto"/>
                        <w:right w:val="none" w:sz="0" w:space="0" w:color="auto"/>
                      </w:divBdr>
                      <w:divsChild>
                        <w:div w:id="964852280">
                          <w:marLeft w:val="0"/>
                          <w:marRight w:val="0"/>
                          <w:marTop w:val="0"/>
                          <w:marBottom w:val="0"/>
                          <w:divBdr>
                            <w:top w:val="none" w:sz="0" w:space="0" w:color="auto"/>
                            <w:left w:val="none" w:sz="0" w:space="0" w:color="auto"/>
                            <w:bottom w:val="none" w:sz="0" w:space="0" w:color="auto"/>
                            <w:right w:val="none" w:sz="0" w:space="0" w:color="auto"/>
                          </w:divBdr>
                          <w:divsChild>
                            <w:div w:id="233591225">
                              <w:marLeft w:val="0"/>
                              <w:marRight w:val="0"/>
                              <w:marTop w:val="0"/>
                              <w:marBottom w:val="0"/>
                              <w:divBdr>
                                <w:top w:val="single" w:sz="6" w:space="0" w:color="828282"/>
                                <w:left w:val="single" w:sz="6" w:space="0" w:color="828282"/>
                                <w:bottom w:val="single" w:sz="6" w:space="0" w:color="828282"/>
                                <w:right w:val="single" w:sz="6" w:space="0" w:color="828282"/>
                              </w:divBdr>
                              <w:divsChild>
                                <w:div w:id="575630808">
                                  <w:marLeft w:val="0"/>
                                  <w:marRight w:val="0"/>
                                  <w:marTop w:val="0"/>
                                  <w:marBottom w:val="0"/>
                                  <w:divBdr>
                                    <w:top w:val="none" w:sz="0" w:space="0" w:color="auto"/>
                                    <w:left w:val="none" w:sz="0" w:space="0" w:color="auto"/>
                                    <w:bottom w:val="none" w:sz="0" w:space="0" w:color="auto"/>
                                    <w:right w:val="none" w:sz="0" w:space="0" w:color="auto"/>
                                  </w:divBdr>
                                  <w:divsChild>
                                    <w:div w:id="1733574191">
                                      <w:marLeft w:val="0"/>
                                      <w:marRight w:val="0"/>
                                      <w:marTop w:val="0"/>
                                      <w:marBottom w:val="0"/>
                                      <w:divBdr>
                                        <w:top w:val="none" w:sz="0" w:space="0" w:color="auto"/>
                                        <w:left w:val="none" w:sz="0" w:space="0" w:color="auto"/>
                                        <w:bottom w:val="none" w:sz="0" w:space="0" w:color="auto"/>
                                        <w:right w:val="none" w:sz="0" w:space="0" w:color="auto"/>
                                      </w:divBdr>
                                      <w:divsChild>
                                        <w:div w:id="1343631683">
                                          <w:marLeft w:val="0"/>
                                          <w:marRight w:val="0"/>
                                          <w:marTop w:val="0"/>
                                          <w:marBottom w:val="0"/>
                                          <w:divBdr>
                                            <w:top w:val="none" w:sz="0" w:space="0" w:color="auto"/>
                                            <w:left w:val="none" w:sz="0" w:space="0" w:color="auto"/>
                                            <w:bottom w:val="none" w:sz="0" w:space="0" w:color="auto"/>
                                            <w:right w:val="none" w:sz="0" w:space="0" w:color="auto"/>
                                          </w:divBdr>
                                          <w:divsChild>
                                            <w:div w:id="164443914">
                                              <w:marLeft w:val="0"/>
                                              <w:marRight w:val="0"/>
                                              <w:marTop w:val="0"/>
                                              <w:marBottom w:val="0"/>
                                              <w:divBdr>
                                                <w:top w:val="none" w:sz="0" w:space="0" w:color="auto"/>
                                                <w:left w:val="none" w:sz="0" w:space="0" w:color="auto"/>
                                                <w:bottom w:val="none" w:sz="0" w:space="0" w:color="auto"/>
                                                <w:right w:val="none" w:sz="0" w:space="0" w:color="auto"/>
                                              </w:divBdr>
                                              <w:divsChild>
                                                <w:div w:id="1348826891">
                                                  <w:marLeft w:val="0"/>
                                                  <w:marRight w:val="0"/>
                                                  <w:marTop w:val="0"/>
                                                  <w:marBottom w:val="0"/>
                                                  <w:divBdr>
                                                    <w:top w:val="none" w:sz="0" w:space="0" w:color="auto"/>
                                                    <w:left w:val="none" w:sz="0" w:space="0" w:color="auto"/>
                                                    <w:bottom w:val="none" w:sz="0" w:space="0" w:color="auto"/>
                                                    <w:right w:val="none" w:sz="0" w:space="0" w:color="auto"/>
                                                  </w:divBdr>
                                                  <w:divsChild>
                                                    <w:div w:id="1290211515">
                                                      <w:marLeft w:val="0"/>
                                                      <w:marRight w:val="0"/>
                                                      <w:marTop w:val="0"/>
                                                      <w:marBottom w:val="0"/>
                                                      <w:divBdr>
                                                        <w:top w:val="none" w:sz="0" w:space="0" w:color="auto"/>
                                                        <w:left w:val="none" w:sz="0" w:space="0" w:color="auto"/>
                                                        <w:bottom w:val="none" w:sz="0" w:space="0" w:color="auto"/>
                                                        <w:right w:val="none" w:sz="0" w:space="0" w:color="auto"/>
                                                      </w:divBdr>
                                                      <w:divsChild>
                                                        <w:div w:id="836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6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29" ma:contentTypeDescription="Create a new document." ma:contentTypeScope="" ma:versionID="557bf8301a241ba6ba930414e530462f">
  <xsd:schema xmlns:xsd="http://www.w3.org/2001/XMLSchema" xmlns:xs="http://www.w3.org/2001/XMLSchema" xmlns:p="http://schemas.microsoft.com/office/2006/metadata/properties" xmlns:ns1="814d62cb-2db6-4c25-ab62-b9075facbc11" targetNamespace="http://schemas.microsoft.com/office/2006/metadata/properties" ma:root="true" ma:fieldsID="9e42df3ebc0d389bc440b1463782496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Insurance Act 1973</TermName>
          <TermId xmlns="http://schemas.microsoft.com/office/infopath/2007/PartnerControls">7712633a-b664-42a7-a4a7-80cf8b31125a</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33</Value>
      <Value>87</Value>
      <Value>99</Value>
      <Value>8</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GI Lloyd's of London</TermName>
          <TermId xmlns="http://schemas.microsoft.com/office/infopath/2007/PartnerControls">cc2d8f75-8851-e311-9e2e-005056b54f10</TermId>
        </TermInfo>
      </Terms>
    </l003ee8eff60461aa1bd0027aba92ea4>
    <APRADescription xmlns="814d62cb-2db6-4c25-ab62-b9075facbc11">Explanatory statement</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WP5AJ56JFQTV-44125397-81</_dlc_DocId>
    <_dlc_DocIdUrl xmlns="814d62cb-2db6-4c25-ab62-b9075facbc11">
      <Url>https://im/teams/POLICYINS/_layouts/15/DocIdRedir.aspx?ID=WP5AJ56JFQTV-44125397-81</Url>
      <Description>WP5AJ56JFQTV-44125397-81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D813-7AA9-4715-8ED7-3EA70585BCED}">
  <ds:schemaRefs>
    <ds:schemaRef ds:uri="Microsoft.SharePoint.Taxonomy.ContentTypeSync"/>
  </ds:schemaRefs>
</ds:datastoreItem>
</file>

<file path=customXml/itemProps2.xml><?xml version="1.0" encoding="utf-8"?>
<ds:datastoreItem xmlns:ds="http://schemas.openxmlformats.org/officeDocument/2006/customXml" ds:itemID="{1846D8AD-E0CA-4F0B-9588-E7EAD7450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8EA14-EF42-4B26-8C32-B645253223CE}">
  <ds:schemaRefs>
    <ds:schemaRef ds:uri="814d62cb-2db6-4c25-ab62-b9075facbc11"/>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7AEC3DA-F0BB-478B-B24A-3F0A4DBE158E}">
  <ds:schemaRefs>
    <ds:schemaRef ds:uri="http://schemas.microsoft.com/sharepoint/v3/contenttype/forms"/>
  </ds:schemaRefs>
</ds:datastoreItem>
</file>

<file path=customXml/itemProps5.xml><?xml version="1.0" encoding="utf-8"?>
<ds:datastoreItem xmlns:ds="http://schemas.openxmlformats.org/officeDocument/2006/customXml" ds:itemID="{94F68BF9-1507-4E21-A1D8-DCE806AFBA2E}">
  <ds:schemaRefs>
    <ds:schemaRef ds:uri="http://schemas.microsoft.com/sharepoint/events"/>
  </ds:schemaRefs>
</ds:datastoreItem>
</file>

<file path=customXml/itemProps6.xml><?xml version="1.0" encoding="utf-8"?>
<ds:datastoreItem xmlns:ds="http://schemas.openxmlformats.org/officeDocument/2006/customXml" ds:itemID="{65C36370-76DF-455D-9A10-7EA72477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3838</Characters>
  <Application>Microsoft Office Word</Application>
  <DocSecurity>0</DocSecurity>
  <Lines>73</Lines>
  <Paragraphs>38</Paragraphs>
  <ScaleCrop>false</ScaleCrop>
  <HeadingPairs>
    <vt:vector size="2" baseType="variant">
      <vt:variant>
        <vt:lpstr>Title</vt:lpstr>
      </vt:variant>
      <vt:variant>
        <vt:i4>1</vt:i4>
      </vt:variant>
    </vt:vector>
  </HeadingPairs>
  <TitlesOfParts>
    <vt:vector size="1" baseType="lpstr">
      <vt:lpstr>ES Lloyds Security Trust Fund Rules</vt:lpstr>
    </vt:vector>
  </TitlesOfParts>
  <Company>APRA</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Lloyds Security Trust Fund Rules</dc:title>
  <dc:creator>Pu, Rebecca</dc:creator>
  <cp:keywords>[SEC=UNCLASSIFIED]</cp:keywords>
  <cp:lastModifiedBy>Toni Michalis</cp:lastModifiedBy>
  <cp:revision>2</cp:revision>
  <cp:lastPrinted>2015-11-05T04:40:00Z</cp:lastPrinted>
  <dcterms:created xsi:type="dcterms:W3CDTF">2017-04-12T10:26:00Z</dcterms:created>
  <dcterms:modified xsi:type="dcterms:W3CDTF">2017-04-12T10:26:00Z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72E4215BDC330D4951586C8783F6288BBF3E4D01</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AA4EB7A8EB4FB598781763DFC6B8AB4229097222</vt:lpwstr>
  </property>
  <property fmtid="{D5CDD505-2E9C-101B-9397-08002B2CF9AE}" pid="7" name="PM_InsertionValue">
    <vt:lpwstr>UNCLASSIFIED</vt:lpwstr>
  </property>
  <property fmtid="{D5CDD505-2E9C-101B-9397-08002B2CF9AE}" pid="8" name="PM_Hash_Salt">
    <vt:lpwstr>7364831B63C32788B7E7B1E99A60EDC8</vt:lpwstr>
  </property>
  <property fmtid="{D5CDD505-2E9C-101B-9397-08002B2CF9AE}" pid="9" name="PM_Hash_Version">
    <vt:lpwstr>2016.1</vt:lpwstr>
  </property>
  <property fmtid="{D5CDD505-2E9C-101B-9397-08002B2CF9AE}" pid="10" name="PM_Hash_Salt_Prev">
    <vt:lpwstr>815FAA5BB9C852C57BC9C709204B4210</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y fmtid="{D5CDD505-2E9C-101B-9397-08002B2CF9AE}" pid="14" name="ContentTypeId">
    <vt:lpwstr>0x0101008CA7A4F8331B45C7B0D3158B4994D0CA0200E5DC771C71BB4845AB93BC02659C2DB8</vt:lpwstr>
  </property>
  <property fmtid="{D5CDD505-2E9C-101B-9397-08002B2CF9AE}" pid="15" name="_dlc_DocIdItemGuid">
    <vt:lpwstr>6b8873fb-dc15-42ea-b0ee-999c57e5bf69</vt:lpwstr>
  </property>
  <property fmtid="{D5CDD505-2E9C-101B-9397-08002B2CF9AE}" pid="16" name="IsLocked">
    <vt:lpwstr>Yes</vt:lpwstr>
  </property>
  <property fmtid="{D5CDD505-2E9C-101B-9397-08002B2CF9AE}" pid="17" name="APRAPeriod">
    <vt:lpwstr/>
  </property>
  <property fmtid="{D5CDD505-2E9C-101B-9397-08002B2CF9AE}" pid="18" name="APRACostCentre">
    <vt:lpwstr/>
  </property>
  <property fmtid="{D5CDD505-2E9C-101B-9397-08002B2CF9AE}" pid="19" name="IT system type">
    <vt:lpwstr/>
  </property>
  <property fmtid="{D5CDD505-2E9C-101B-9397-08002B2CF9AE}" pid="20" name="APRACategory">
    <vt:lpwstr/>
  </property>
  <property fmtid="{D5CDD505-2E9C-101B-9397-08002B2CF9AE}" pid="21" name="APRADocumentType">
    <vt:lpwstr>33;#Explanatory statement|b22f2e2f-3f73-411b-9a7c-34264d26fa25</vt:lpwstr>
  </property>
  <property fmtid="{D5CDD505-2E9C-101B-9397-08002B2CF9AE}" pid="22" name="APRAStatus">
    <vt:lpwstr>1;#Draft|0e1556d2-3fe8-443a-ada7-3620563b46b3</vt:lpwstr>
  </property>
  <property fmtid="{D5CDD505-2E9C-101B-9397-08002B2CF9AE}" pid="23" name="APRAPRSG">
    <vt:lpwstr/>
  </property>
  <property fmtid="{D5CDD505-2E9C-101B-9397-08002B2CF9AE}" pid="24" name="APRAActivity">
    <vt:lpwstr>8;#Prudential policy development|4cf81ba0-32a2-4f8f-8216-9e632903331b</vt:lpwstr>
  </property>
  <property fmtid="{D5CDD505-2E9C-101B-9397-08002B2CF9AE}" pid="25" name="APRAEntityAdviceSupport">
    <vt:lpwstr/>
  </property>
  <property fmtid="{D5CDD505-2E9C-101B-9397-08002B2CF9AE}" pid="26" name="APRAIndustry">
    <vt:lpwstr>99;#GI Lloyd's of London|cc2d8f75-8851-e311-9e2e-005056b54f10</vt:lpwstr>
  </property>
  <property fmtid="{D5CDD505-2E9C-101B-9397-08002B2CF9AE}" pid="27" name="APRALegislation">
    <vt:lpwstr>87;#Insurance Act 1973|7712633a-b664-42a7-a4a7-80cf8b31125a</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RecordPoint_WorkflowType">
    <vt:lpwstr>ActiveSubmitStub</vt:lpwstr>
  </property>
  <property fmtid="{D5CDD505-2E9C-101B-9397-08002B2CF9AE}" pid="32" name="RecordPoint_ActiveItemWebId">
    <vt:lpwstr>{b7c132af-ef8f-43c8-b784-c343c8358833}</vt:lpwstr>
  </property>
  <property fmtid="{D5CDD505-2E9C-101B-9397-08002B2CF9AE}" pid="33" name="RecordPoint_ActiveItemSiteId">
    <vt:lpwstr>{0108aca2-193a-480a-9365-26eca985c6f0}</vt:lpwstr>
  </property>
  <property fmtid="{D5CDD505-2E9C-101B-9397-08002B2CF9AE}" pid="34" name="RecordPoint_ActiveItemListId">
    <vt:lpwstr>{8524f2be-f3e8-4e4e-b114-b0bf6497a529}</vt:lpwstr>
  </property>
  <property fmtid="{D5CDD505-2E9C-101B-9397-08002B2CF9AE}" pid="35" name="RecordPoint_ActiveItemUniqueId">
    <vt:lpwstr>{6b8873fb-dc15-42ea-b0ee-999c57e5bf69}</vt:lpwstr>
  </property>
  <property fmtid="{D5CDD505-2E9C-101B-9397-08002B2CF9AE}" pid="36" name="RecordPoint_RecordNumberSubmitted">
    <vt:lpwstr>R0000043079</vt:lpwstr>
  </property>
  <property fmtid="{D5CDD505-2E9C-101B-9397-08002B2CF9AE}" pid="37" name="RecordPoint_SubmissionCompleted">
    <vt:lpwstr>2017-04-12T09:21:05.3054238+10:00</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3731053B74754DCCA22592F81F26FED1</vt:lpwstr>
  </property>
  <property fmtid="{D5CDD505-2E9C-101B-9397-08002B2CF9AE}" pid="45" name="PM_OriginationTimeStamp">
    <vt:lpwstr>2017-04-11T22:40:06Z</vt:lpwstr>
  </property>
  <property fmtid="{D5CDD505-2E9C-101B-9397-08002B2CF9AE}" pid="46" name="PM_MinimumSecurityClassification">
    <vt:lpwstr/>
  </property>
</Properties>
</file>