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75D28" w14:textId="7EF0E922" w:rsidR="00CD4FA5" w:rsidRDefault="00516303" w:rsidP="00CD4FA5">
      <w:pPr>
        <w:tabs>
          <w:tab w:val="right" w:pos="8312"/>
        </w:tabs>
        <w:rPr>
          <w:b/>
        </w:rPr>
      </w:pPr>
      <w:r>
        <w:rPr>
          <w:rFonts w:ascii="Arial Narrow" w:hAnsi="Arial Narrow"/>
          <w:b/>
          <w:noProof/>
          <w:color w:val="C86464"/>
          <w:sz w:val="36"/>
          <w:szCs w:val="36"/>
          <w:lang w:eastAsia="en-AU"/>
        </w:rPr>
        <w:pict w14:anchorId="07F28B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94.1pt;height:53.2pt;visibility:visible;mso-wrap-style:square">
            <v:imagedata r:id="rId9" o:title="AUSTRAC_inlineShort"/>
          </v:shape>
        </w:pict>
      </w:r>
      <w:r w:rsidR="00CD4FA5">
        <w:rPr>
          <w:b/>
        </w:rPr>
        <w:tab/>
      </w:r>
    </w:p>
    <w:p w14:paraId="139DA857" w14:textId="77777777" w:rsidR="00CD4FA5" w:rsidRDefault="00CD4FA5" w:rsidP="00CD4FA5">
      <w:pPr>
        <w:rPr>
          <w:b/>
        </w:rPr>
      </w:pPr>
    </w:p>
    <w:p w14:paraId="224FDF29" w14:textId="77777777" w:rsidR="00CD4FA5" w:rsidRDefault="00CD4FA5" w:rsidP="00CD4FA5">
      <w:pPr>
        <w:rPr>
          <w:rFonts w:ascii="Times New Roman" w:hAnsi="Times New Roman"/>
          <w:b/>
          <w:sz w:val="24"/>
        </w:rPr>
      </w:pPr>
    </w:p>
    <w:p w14:paraId="6D30DB4B" w14:textId="77777777" w:rsidR="00CD4FA5" w:rsidRPr="00051713" w:rsidRDefault="00CD4FA5" w:rsidP="00CD4FA5">
      <w:pPr>
        <w:rPr>
          <w:rFonts w:ascii="Times New Roman" w:hAnsi="Times New Roman"/>
          <w:b/>
          <w:sz w:val="24"/>
        </w:rPr>
      </w:pPr>
    </w:p>
    <w:p w14:paraId="0659BD51" w14:textId="77777777" w:rsidR="00CD4FA5" w:rsidRDefault="00CD4FA5" w:rsidP="00CD4FA5">
      <w:pPr>
        <w:tabs>
          <w:tab w:val="left" w:pos="360"/>
          <w:tab w:val="left" w:pos="1080"/>
          <w:tab w:val="left" w:pos="3600"/>
        </w:tabs>
        <w:jc w:val="center"/>
        <w:rPr>
          <w:rFonts w:ascii="Times New Roman" w:hAnsi="Times New Roman"/>
          <w:b/>
          <w:i/>
          <w:sz w:val="24"/>
        </w:rPr>
      </w:pPr>
      <w:r w:rsidRPr="00CD4FA5">
        <w:rPr>
          <w:rFonts w:ascii="Times New Roman" w:hAnsi="Times New Roman"/>
          <w:b/>
          <w:sz w:val="24"/>
        </w:rPr>
        <w:t xml:space="preserve">Explanatory Statement – </w:t>
      </w:r>
      <w:r w:rsidRPr="00CD4FA5">
        <w:rPr>
          <w:rFonts w:ascii="Times New Roman" w:hAnsi="Times New Roman"/>
          <w:b/>
          <w:i/>
          <w:sz w:val="24"/>
        </w:rPr>
        <w:t xml:space="preserve">Anti-Money </w:t>
      </w:r>
      <w:proofErr w:type="gramStart"/>
      <w:r w:rsidRPr="00CD4FA5">
        <w:rPr>
          <w:rFonts w:ascii="Times New Roman" w:hAnsi="Times New Roman"/>
          <w:b/>
          <w:i/>
          <w:sz w:val="24"/>
        </w:rPr>
        <w:t>Laundering</w:t>
      </w:r>
      <w:proofErr w:type="gramEnd"/>
      <w:r w:rsidRPr="00CD4FA5">
        <w:rPr>
          <w:rFonts w:ascii="Times New Roman" w:hAnsi="Times New Roman"/>
          <w:b/>
          <w:i/>
          <w:sz w:val="24"/>
        </w:rPr>
        <w:t xml:space="preserve"> and Counter-Terrorism Financing Rules Amendment Instrument 2017 (No. 1) </w:t>
      </w:r>
      <w:r w:rsidRPr="00CD4FA5">
        <w:rPr>
          <w:rFonts w:ascii="Times New Roman" w:hAnsi="Times New Roman"/>
          <w:b/>
          <w:sz w:val="24"/>
        </w:rPr>
        <w:t xml:space="preserve">amending the </w:t>
      </w:r>
      <w:r w:rsidRPr="00CD4FA5">
        <w:rPr>
          <w:rFonts w:ascii="Times New Roman" w:hAnsi="Times New Roman"/>
          <w:b/>
          <w:i/>
          <w:sz w:val="24"/>
        </w:rPr>
        <w:t xml:space="preserve">Anti-Money Laundering and Counter-Terrorism Financing Rules Instrument 2007 (No. 1) </w:t>
      </w:r>
    </w:p>
    <w:p w14:paraId="1448EFCD" w14:textId="77777777" w:rsidR="00A247CD" w:rsidRPr="00CD4FA5" w:rsidRDefault="00A247CD" w:rsidP="00CD4FA5">
      <w:pPr>
        <w:tabs>
          <w:tab w:val="left" w:pos="360"/>
          <w:tab w:val="left" w:pos="1080"/>
          <w:tab w:val="left" w:pos="3600"/>
        </w:tabs>
        <w:jc w:val="center"/>
        <w:rPr>
          <w:rFonts w:ascii="Times New Roman" w:hAnsi="Times New Roman"/>
          <w:b/>
          <w:sz w:val="24"/>
        </w:rPr>
      </w:pPr>
    </w:p>
    <w:p w14:paraId="588032C7" w14:textId="77777777" w:rsidR="00CD4FA5" w:rsidRDefault="00CD4FA5" w:rsidP="00A247CD">
      <w:pPr>
        <w:spacing w:before="240"/>
        <w:rPr>
          <w:rFonts w:ascii="Times New Roman" w:hAnsi="Times New Roman"/>
          <w:b/>
          <w:sz w:val="24"/>
        </w:rPr>
      </w:pPr>
      <w:proofErr w:type="gramStart"/>
      <w:r w:rsidRPr="00CD4FA5">
        <w:rPr>
          <w:rFonts w:ascii="Times New Roman" w:hAnsi="Times New Roman"/>
          <w:b/>
          <w:sz w:val="24"/>
        </w:rPr>
        <w:t>Purpose and operation of Anti-Money Laundering/Counter</w:t>
      </w:r>
      <w:r w:rsidRPr="00CD4FA5">
        <w:rPr>
          <w:rFonts w:ascii="Times New Roman" w:hAnsi="Times New Roman"/>
          <w:b/>
          <w:sz w:val="24"/>
        </w:rPr>
        <w:noBreakHyphen/>
        <w:t>Terrorism Financing Rules (AML/CTF Rules) amending Chapter 59 and adding Chapter 74.</w:t>
      </w:r>
      <w:proofErr w:type="gramEnd"/>
      <w:r w:rsidRPr="00CD4FA5">
        <w:rPr>
          <w:rFonts w:ascii="Times New Roman" w:hAnsi="Times New Roman"/>
          <w:b/>
          <w:sz w:val="24"/>
        </w:rPr>
        <w:t xml:space="preserve"> </w:t>
      </w:r>
    </w:p>
    <w:p w14:paraId="27DC2196" w14:textId="77777777" w:rsidR="00FF525E" w:rsidRPr="00CD4FA5" w:rsidRDefault="00FF525E" w:rsidP="00A247CD">
      <w:pPr>
        <w:spacing w:before="240"/>
        <w:rPr>
          <w:rFonts w:ascii="Times New Roman" w:hAnsi="Times New Roman"/>
          <w:b/>
          <w:sz w:val="24"/>
        </w:rPr>
      </w:pPr>
    </w:p>
    <w:p w14:paraId="4928DD40" w14:textId="77777777" w:rsidR="00CD4FA5" w:rsidRPr="00CD4FA5" w:rsidRDefault="00CD4FA5" w:rsidP="00CD4FA5">
      <w:pPr>
        <w:numPr>
          <w:ilvl w:val="0"/>
          <w:numId w:val="2"/>
        </w:numPr>
        <w:autoSpaceDE w:val="0"/>
        <w:autoSpaceDN w:val="0"/>
        <w:adjustRightInd w:val="0"/>
        <w:spacing w:before="120"/>
        <w:ind w:hanging="720"/>
        <w:rPr>
          <w:rFonts w:ascii="Times New Roman" w:hAnsi="Times New Roman"/>
          <w:sz w:val="24"/>
        </w:rPr>
      </w:pPr>
      <w:r w:rsidRPr="00CD4FA5">
        <w:rPr>
          <w:rFonts w:ascii="Times New Roman" w:hAnsi="Times New Roman"/>
          <w:sz w:val="24"/>
        </w:rPr>
        <w:t xml:space="preserve">Section 229 of the </w:t>
      </w:r>
      <w:r w:rsidRPr="00CD4FA5">
        <w:rPr>
          <w:rFonts w:ascii="Times New Roman" w:hAnsi="Times New Roman"/>
          <w:i/>
          <w:sz w:val="24"/>
        </w:rPr>
        <w:t>Anti-Money Laundering and Counter-Terrorism Financing Act 2006</w:t>
      </w:r>
      <w:r w:rsidRPr="00CD4FA5">
        <w:rPr>
          <w:rFonts w:ascii="Times New Roman" w:hAnsi="Times New Roman"/>
          <w:sz w:val="24"/>
        </w:rPr>
        <w:t xml:space="preserve"> (AML/CTF Act) provides that the AUSTRAC Chief Executive Officer (AUSTRAC CEO) may, by writing, make AML/CTF Rules prescribing matters required or permitted by any other provision of the AML/CTF Act.</w:t>
      </w:r>
    </w:p>
    <w:p w14:paraId="3FBCBBBD" w14:textId="77777777" w:rsidR="00CD4FA5" w:rsidRPr="00CD4FA5" w:rsidRDefault="00CD4FA5" w:rsidP="00A247CD">
      <w:pPr>
        <w:spacing w:before="240"/>
        <w:ind w:left="720" w:hanging="720"/>
        <w:rPr>
          <w:rFonts w:ascii="Times New Roman" w:hAnsi="Times New Roman"/>
          <w:b/>
          <w:i/>
          <w:sz w:val="24"/>
        </w:rPr>
      </w:pPr>
      <w:r w:rsidRPr="00CD4FA5">
        <w:rPr>
          <w:rFonts w:ascii="Times New Roman" w:hAnsi="Times New Roman"/>
          <w:b/>
          <w:i/>
          <w:sz w:val="24"/>
        </w:rPr>
        <w:t xml:space="preserve">Amendments to Chapter 59 </w:t>
      </w:r>
    </w:p>
    <w:p w14:paraId="7A9BBD86" w14:textId="4A5E8213" w:rsidR="00CD4FA5" w:rsidRPr="00CD4FA5" w:rsidRDefault="00CD4FA5" w:rsidP="00A247CD">
      <w:pPr>
        <w:spacing w:before="240"/>
        <w:ind w:left="709" w:hanging="709"/>
        <w:rPr>
          <w:rFonts w:ascii="Times New Roman" w:hAnsi="Times New Roman"/>
          <w:sz w:val="24"/>
        </w:rPr>
      </w:pPr>
      <w:r w:rsidRPr="00CD4FA5">
        <w:rPr>
          <w:rFonts w:ascii="Times New Roman" w:hAnsi="Times New Roman"/>
          <w:sz w:val="24"/>
        </w:rPr>
        <w:t>2.</w:t>
      </w:r>
      <w:r w:rsidRPr="00CD4FA5">
        <w:rPr>
          <w:rFonts w:ascii="Times New Roman" w:hAnsi="Times New Roman"/>
          <w:sz w:val="24"/>
        </w:rPr>
        <w:tab/>
        <w:t xml:space="preserve">Chapter 59 specifies the grounds on which a remittance dealer’s registration can be suspended by the AUSTRAC CEO from the Remittance Sector Register.  The amendments to Chapter 59 were prompted by the following key </w:t>
      </w:r>
      <w:r w:rsidR="008F36B9">
        <w:rPr>
          <w:rFonts w:ascii="Times New Roman" w:hAnsi="Times New Roman"/>
          <w:sz w:val="24"/>
        </w:rPr>
        <w:t>factors.</w:t>
      </w:r>
      <w:r w:rsidRPr="00CD4FA5">
        <w:rPr>
          <w:rFonts w:ascii="Times New Roman" w:hAnsi="Times New Roman"/>
          <w:sz w:val="24"/>
        </w:rPr>
        <w:t xml:space="preserve"> </w:t>
      </w:r>
    </w:p>
    <w:p w14:paraId="2079FE98" w14:textId="0B4DC7DF" w:rsidR="00CD4FA5" w:rsidRPr="00CD4FA5" w:rsidRDefault="00CD4FA5" w:rsidP="00525E3E">
      <w:pPr>
        <w:tabs>
          <w:tab w:val="left" w:pos="709"/>
        </w:tabs>
        <w:spacing w:before="240"/>
        <w:ind w:left="709"/>
        <w:rPr>
          <w:rFonts w:ascii="Times New Roman" w:hAnsi="Times New Roman"/>
          <w:b/>
          <w:sz w:val="24"/>
        </w:rPr>
      </w:pPr>
      <w:r w:rsidRPr="00CD4FA5">
        <w:rPr>
          <w:rFonts w:ascii="Times New Roman" w:hAnsi="Times New Roman"/>
          <w:b/>
          <w:sz w:val="24"/>
        </w:rPr>
        <w:t>Post-Implementation Review recommendation</w:t>
      </w:r>
    </w:p>
    <w:p w14:paraId="522F67E4" w14:textId="47F26660" w:rsidR="00CD4FA5" w:rsidRPr="00CD4FA5" w:rsidRDefault="00CD4FA5" w:rsidP="00A247CD">
      <w:pPr>
        <w:spacing w:before="240"/>
        <w:ind w:left="709" w:hanging="709"/>
        <w:rPr>
          <w:rFonts w:ascii="Times New Roman" w:hAnsi="Times New Roman"/>
          <w:sz w:val="24"/>
        </w:rPr>
      </w:pPr>
      <w:r w:rsidRPr="00CD4FA5">
        <w:rPr>
          <w:rFonts w:ascii="Times New Roman" w:hAnsi="Times New Roman"/>
          <w:sz w:val="24"/>
        </w:rPr>
        <w:t>3.</w:t>
      </w:r>
      <w:r w:rsidRPr="00CD4FA5">
        <w:rPr>
          <w:rFonts w:ascii="Times New Roman" w:hAnsi="Times New Roman"/>
          <w:sz w:val="24"/>
        </w:rPr>
        <w:tab/>
        <w:t xml:space="preserve">During 2014 and 2015, Chapters 58 and 59 of the AML/CTF Rules were subject to a ‘Post-Implementation Review’ (PIR) as required by the Office of Best Practice Regulation.  A PIR is conducted after a regulatory policy decision is made (in this case the registration of the two chapters), </w:t>
      </w:r>
      <w:r w:rsidR="00DB7E90">
        <w:rPr>
          <w:rFonts w:ascii="Times New Roman" w:hAnsi="Times New Roman"/>
          <w:sz w:val="24"/>
        </w:rPr>
        <w:t>in order</w:t>
      </w:r>
      <w:r w:rsidRPr="00CD4FA5">
        <w:rPr>
          <w:rFonts w:ascii="Times New Roman" w:hAnsi="Times New Roman"/>
          <w:sz w:val="24"/>
        </w:rPr>
        <w:t xml:space="preserve"> to test whether the regulation is performing as intended</w:t>
      </w:r>
      <w:r w:rsidR="00DB7E90">
        <w:rPr>
          <w:rFonts w:ascii="Times New Roman" w:hAnsi="Times New Roman"/>
          <w:sz w:val="24"/>
        </w:rPr>
        <w:t xml:space="preserve"> and</w:t>
      </w:r>
      <w:r w:rsidRPr="00CD4FA5">
        <w:rPr>
          <w:rFonts w:ascii="Times New Roman" w:hAnsi="Times New Roman"/>
          <w:sz w:val="24"/>
        </w:rPr>
        <w:t xml:space="preserve"> is still relevant and needed. </w:t>
      </w:r>
      <w:r w:rsidR="00525E3E" w:rsidRPr="00525E3E">
        <w:rPr>
          <w:rFonts w:ascii="Times New Roman" w:hAnsi="Times New Roman"/>
          <w:sz w:val="24"/>
        </w:rPr>
        <w:t xml:space="preserve">The final PIR report is available on the </w:t>
      </w:r>
      <w:r w:rsidR="00525E3E" w:rsidRPr="00516303">
        <w:rPr>
          <w:rFonts w:ascii="Times New Roman" w:hAnsi="Times New Roman"/>
          <w:sz w:val="24"/>
        </w:rPr>
        <w:t>Draft AM</w:t>
      </w:r>
      <w:bookmarkStart w:id="0" w:name="_GoBack"/>
      <w:bookmarkEnd w:id="0"/>
      <w:r w:rsidR="00525E3E" w:rsidRPr="00516303">
        <w:rPr>
          <w:rFonts w:ascii="Times New Roman" w:hAnsi="Times New Roman"/>
          <w:sz w:val="24"/>
        </w:rPr>
        <w:t>L/CTF Rules</w:t>
      </w:r>
      <w:r w:rsidR="00525E3E" w:rsidRPr="00525E3E">
        <w:rPr>
          <w:rFonts w:ascii="Times New Roman" w:hAnsi="Times New Roman"/>
          <w:sz w:val="24"/>
        </w:rPr>
        <w:t xml:space="preserve"> </w:t>
      </w:r>
      <w:r w:rsidR="00525E3E">
        <w:rPr>
          <w:rFonts w:ascii="Times New Roman" w:hAnsi="Times New Roman"/>
          <w:sz w:val="24"/>
        </w:rPr>
        <w:t xml:space="preserve">page </w:t>
      </w:r>
      <w:r w:rsidR="00525E3E" w:rsidRPr="00525E3E">
        <w:rPr>
          <w:rFonts w:ascii="Times New Roman" w:hAnsi="Times New Roman"/>
          <w:sz w:val="24"/>
        </w:rPr>
        <w:t>of the AUSTRAC website.</w:t>
      </w:r>
    </w:p>
    <w:p w14:paraId="53BA0B72" w14:textId="71F97D6E" w:rsidR="00CD4FA5" w:rsidRPr="00CD4FA5" w:rsidRDefault="00CD4FA5" w:rsidP="00A247CD">
      <w:pPr>
        <w:spacing w:before="240"/>
        <w:ind w:left="709" w:hanging="709"/>
        <w:rPr>
          <w:rFonts w:ascii="Times New Roman" w:hAnsi="Times New Roman"/>
          <w:sz w:val="24"/>
        </w:rPr>
      </w:pPr>
      <w:r w:rsidRPr="00CD4FA5">
        <w:rPr>
          <w:rFonts w:ascii="Times New Roman" w:hAnsi="Times New Roman"/>
          <w:sz w:val="24"/>
        </w:rPr>
        <w:t>4.</w:t>
      </w:r>
      <w:r w:rsidRPr="00CD4FA5">
        <w:rPr>
          <w:rFonts w:ascii="Times New Roman" w:hAnsi="Times New Roman"/>
          <w:sz w:val="24"/>
        </w:rPr>
        <w:tab/>
        <w:t>The PIR recommended that Chapter 59 should be amended to clarify the range of matters which the AUSTRAC CEO may consider in deciding whether to suspend the registration of a remittance service provider.</w:t>
      </w:r>
    </w:p>
    <w:p w14:paraId="313215D7" w14:textId="3CB75AB6" w:rsidR="00CD4FA5" w:rsidRPr="00CD4FA5" w:rsidRDefault="00CD4FA5" w:rsidP="00525E3E">
      <w:pPr>
        <w:tabs>
          <w:tab w:val="left" w:pos="709"/>
        </w:tabs>
        <w:spacing w:before="240"/>
        <w:ind w:left="709"/>
        <w:rPr>
          <w:rFonts w:ascii="Times New Roman" w:hAnsi="Times New Roman"/>
          <w:b/>
          <w:sz w:val="24"/>
        </w:rPr>
      </w:pPr>
      <w:r w:rsidRPr="00CD4FA5">
        <w:rPr>
          <w:rFonts w:ascii="Times New Roman" w:hAnsi="Times New Roman"/>
          <w:b/>
          <w:sz w:val="24"/>
        </w:rPr>
        <w:t xml:space="preserve">Allowing the AUSTRAC CEO to suspend a remitter’s </w:t>
      </w:r>
      <w:r w:rsidR="00525E3E">
        <w:rPr>
          <w:rFonts w:ascii="Times New Roman" w:hAnsi="Times New Roman"/>
          <w:b/>
          <w:sz w:val="24"/>
        </w:rPr>
        <w:t xml:space="preserve">registration </w:t>
      </w:r>
      <w:r w:rsidRPr="00CD4FA5">
        <w:rPr>
          <w:rFonts w:ascii="Times New Roman" w:hAnsi="Times New Roman"/>
          <w:b/>
          <w:sz w:val="24"/>
        </w:rPr>
        <w:t>without prior notice</w:t>
      </w:r>
    </w:p>
    <w:p w14:paraId="6E6890EA" w14:textId="3F094DC0" w:rsidR="00CD4FA5" w:rsidRPr="00CD4FA5" w:rsidRDefault="00CD4FA5" w:rsidP="00A247CD">
      <w:pPr>
        <w:spacing w:before="240"/>
        <w:ind w:left="709" w:hanging="709"/>
        <w:rPr>
          <w:rFonts w:ascii="Times New Roman" w:hAnsi="Times New Roman"/>
          <w:sz w:val="24"/>
        </w:rPr>
      </w:pPr>
      <w:r w:rsidRPr="00CD4FA5">
        <w:rPr>
          <w:rFonts w:ascii="Times New Roman" w:hAnsi="Times New Roman"/>
          <w:sz w:val="24"/>
        </w:rPr>
        <w:t>5.</w:t>
      </w:r>
      <w:r w:rsidRPr="00CD4FA5">
        <w:rPr>
          <w:rFonts w:ascii="Times New Roman" w:hAnsi="Times New Roman"/>
          <w:sz w:val="24"/>
        </w:rPr>
        <w:tab/>
        <w:t xml:space="preserve">There may be circumstances where it is appropriate for the AUSTRAC CEO to suspend a remittance dealer’s registration without prior notice and this is now expressly stated in the chapter. </w:t>
      </w:r>
      <w:r w:rsidR="00525E3E">
        <w:rPr>
          <w:rFonts w:ascii="Times New Roman" w:hAnsi="Times New Roman"/>
          <w:sz w:val="24"/>
        </w:rPr>
        <w:t xml:space="preserve"> </w:t>
      </w:r>
      <w:r w:rsidRPr="00CD4FA5">
        <w:rPr>
          <w:rFonts w:ascii="Times New Roman" w:hAnsi="Times New Roman"/>
          <w:sz w:val="24"/>
        </w:rPr>
        <w:t xml:space="preserve">These circumstances relate to high money laundering, financing of terrorism or people smuggling risk. The affected </w:t>
      </w:r>
      <w:r w:rsidRPr="00CD4FA5">
        <w:rPr>
          <w:rFonts w:ascii="Times New Roman" w:hAnsi="Times New Roman"/>
          <w:sz w:val="24"/>
        </w:rPr>
        <w:lastRenderedPageBreak/>
        <w:t xml:space="preserve">remitter will have the opportunity to apply for an internal review of the delegate’s decision.  </w:t>
      </w:r>
    </w:p>
    <w:p w14:paraId="6CEDCF3A" w14:textId="5C7A4182" w:rsidR="00CD4FA5" w:rsidRPr="00CD4FA5" w:rsidRDefault="00CD4FA5" w:rsidP="00A247CD">
      <w:pPr>
        <w:spacing w:before="240"/>
        <w:ind w:left="709" w:hanging="709"/>
        <w:rPr>
          <w:rFonts w:ascii="Times New Roman" w:hAnsi="Times New Roman"/>
          <w:sz w:val="24"/>
        </w:rPr>
      </w:pPr>
      <w:r w:rsidRPr="00CD4FA5">
        <w:rPr>
          <w:rFonts w:ascii="Times New Roman" w:hAnsi="Times New Roman"/>
          <w:sz w:val="24"/>
        </w:rPr>
        <w:t>6.</w:t>
      </w:r>
      <w:r w:rsidRPr="00CD4FA5">
        <w:rPr>
          <w:rFonts w:ascii="Times New Roman" w:hAnsi="Times New Roman"/>
          <w:sz w:val="24"/>
        </w:rPr>
        <w:tab/>
        <w:t xml:space="preserve">A ‘suspension’ decision is not a ‘reviewable decision’ under the AML/CTF Act and therefore the remitter is not able to appeal to the Administrative Appeals Tribunal (AAT). </w:t>
      </w:r>
      <w:r w:rsidR="00525E3E">
        <w:rPr>
          <w:rFonts w:ascii="Times New Roman" w:hAnsi="Times New Roman"/>
          <w:sz w:val="24"/>
        </w:rPr>
        <w:t xml:space="preserve"> </w:t>
      </w:r>
      <w:r w:rsidRPr="00CD4FA5">
        <w:rPr>
          <w:rFonts w:ascii="Times New Roman" w:hAnsi="Times New Roman"/>
          <w:sz w:val="24"/>
        </w:rPr>
        <w:t xml:space="preserve">However, a suspension decision may result in cancellation of the remitter’s registration on the Remittance Sector Register, and such a decision is reviewable by the Tribunal. </w:t>
      </w:r>
    </w:p>
    <w:p w14:paraId="3472BB79" w14:textId="0FD66CA4" w:rsidR="00CD4FA5" w:rsidRPr="00CD4FA5" w:rsidRDefault="00DB7E90" w:rsidP="00525E3E">
      <w:pPr>
        <w:tabs>
          <w:tab w:val="left" w:pos="709"/>
        </w:tabs>
        <w:spacing w:before="240"/>
        <w:ind w:left="709"/>
        <w:rPr>
          <w:rFonts w:ascii="Times New Roman" w:hAnsi="Times New Roman"/>
          <w:b/>
          <w:sz w:val="24"/>
        </w:rPr>
      </w:pPr>
      <w:r>
        <w:rPr>
          <w:rFonts w:ascii="Times New Roman" w:hAnsi="Times New Roman"/>
          <w:b/>
          <w:sz w:val="24"/>
        </w:rPr>
        <w:t>Legally d</w:t>
      </w:r>
      <w:r w:rsidR="00CD4FA5" w:rsidRPr="00CD4FA5">
        <w:rPr>
          <w:rFonts w:ascii="Times New Roman" w:hAnsi="Times New Roman"/>
          <w:b/>
          <w:sz w:val="24"/>
        </w:rPr>
        <w:t>elegating the AUSTRAC CEO’s responsibility for making a suspension of registration decision</w:t>
      </w:r>
    </w:p>
    <w:p w14:paraId="73D2BCCC" w14:textId="30129A5C" w:rsidR="00CD4FA5" w:rsidRPr="00CD4FA5" w:rsidRDefault="00CD4FA5" w:rsidP="00A247CD">
      <w:pPr>
        <w:spacing w:before="240"/>
        <w:ind w:left="709" w:hanging="709"/>
        <w:rPr>
          <w:rFonts w:ascii="Times New Roman" w:hAnsi="Times New Roman"/>
          <w:sz w:val="24"/>
        </w:rPr>
      </w:pPr>
      <w:r w:rsidRPr="00CD4FA5">
        <w:rPr>
          <w:rFonts w:ascii="Times New Roman" w:hAnsi="Times New Roman"/>
          <w:sz w:val="24"/>
        </w:rPr>
        <w:t>7.</w:t>
      </w:r>
      <w:r w:rsidRPr="00CD4FA5">
        <w:rPr>
          <w:rFonts w:ascii="Times New Roman" w:hAnsi="Times New Roman"/>
          <w:sz w:val="24"/>
        </w:rPr>
        <w:tab/>
        <w:t xml:space="preserve">To facilitate the internal review process for suspension of registration decisions, the chapter has been amended to expressly state that the AUSTRAC CEO is a delegate for the purpose of considering whether a person has contravened a civil penalty provision of the AML/CTF Act, whether there are reasonable grounds to commence an action to cancel a registration, whether a person has contravened an imposed condition or a provision of the AML/CTF Act or Rules, whether a person may contravene a provision of the AML/CTF Act and whether information provided by the person was not true or correct or was misleading. </w:t>
      </w:r>
    </w:p>
    <w:p w14:paraId="3B7B6D91" w14:textId="185192E3" w:rsidR="00CD4FA5" w:rsidRPr="00CD4FA5" w:rsidRDefault="00CD4FA5" w:rsidP="00525E3E">
      <w:pPr>
        <w:tabs>
          <w:tab w:val="left" w:pos="709"/>
        </w:tabs>
        <w:spacing w:before="240"/>
        <w:ind w:left="709"/>
        <w:rPr>
          <w:rFonts w:ascii="Times New Roman" w:hAnsi="Times New Roman"/>
          <w:b/>
          <w:sz w:val="24"/>
        </w:rPr>
      </w:pPr>
      <w:r w:rsidRPr="00CD4FA5">
        <w:rPr>
          <w:rFonts w:ascii="Times New Roman" w:hAnsi="Times New Roman"/>
          <w:b/>
          <w:sz w:val="24"/>
        </w:rPr>
        <w:t>Aligning the grounds for suspendi</w:t>
      </w:r>
      <w:r w:rsidR="00525E3E">
        <w:rPr>
          <w:rFonts w:ascii="Times New Roman" w:hAnsi="Times New Roman"/>
          <w:b/>
          <w:sz w:val="24"/>
        </w:rPr>
        <w:t xml:space="preserve">ng remitter registrations with </w:t>
      </w:r>
      <w:r w:rsidRPr="00CD4FA5">
        <w:rPr>
          <w:rFonts w:ascii="Times New Roman" w:hAnsi="Times New Roman"/>
          <w:b/>
          <w:sz w:val="24"/>
        </w:rPr>
        <w:t xml:space="preserve">those for cancelling remitter registrations </w:t>
      </w:r>
    </w:p>
    <w:p w14:paraId="3FEFE847" w14:textId="3F180A5D" w:rsidR="00CD4FA5" w:rsidRPr="00CD4FA5" w:rsidRDefault="00CD4FA5" w:rsidP="00A247CD">
      <w:pPr>
        <w:spacing w:before="240"/>
        <w:ind w:left="709" w:hanging="709"/>
        <w:rPr>
          <w:rFonts w:ascii="Times New Roman" w:hAnsi="Times New Roman"/>
          <w:sz w:val="24"/>
        </w:rPr>
      </w:pPr>
      <w:r w:rsidRPr="00CD4FA5">
        <w:rPr>
          <w:rFonts w:ascii="Times New Roman" w:hAnsi="Times New Roman"/>
          <w:sz w:val="24"/>
        </w:rPr>
        <w:t>8.</w:t>
      </w:r>
      <w:r w:rsidRPr="00CD4FA5">
        <w:rPr>
          <w:rFonts w:ascii="Times New Roman" w:hAnsi="Times New Roman"/>
          <w:sz w:val="24"/>
        </w:rPr>
        <w:tab/>
        <w:t xml:space="preserve">‘Significant money laundering, financing of terrorism or people smuggling risk’ is already a factor which the AUSTRAC CEO may consider in deciding whether or not to cancel a remittance dealer’s registration.  To ensure consistency between decisions to suspend or cancel a remittance dealer’s registration, amendments have been made to ensure that the ‘suspension grounds’ are substantially similar to the grounds for ‘cancellation’. </w:t>
      </w:r>
    </w:p>
    <w:p w14:paraId="5B254F66" w14:textId="77777777" w:rsidR="00CD4FA5" w:rsidRPr="00CD4FA5" w:rsidRDefault="00CD4FA5" w:rsidP="00A247CD">
      <w:pPr>
        <w:spacing w:before="240"/>
        <w:ind w:left="720" w:hanging="720"/>
        <w:rPr>
          <w:rFonts w:ascii="Times New Roman" w:hAnsi="Times New Roman"/>
          <w:b/>
          <w:i/>
          <w:sz w:val="24"/>
        </w:rPr>
      </w:pPr>
      <w:r w:rsidRPr="00CD4FA5">
        <w:rPr>
          <w:rFonts w:ascii="Times New Roman" w:hAnsi="Times New Roman"/>
          <w:b/>
          <w:i/>
          <w:sz w:val="24"/>
        </w:rPr>
        <w:t>Addition of Chapter 74</w:t>
      </w:r>
    </w:p>
    <w:p w14:paraId="4163E0FC" w14:textId="011F1981" w:rsidR="00CD4FA5" w:rsidRPr="00CD4FA5" w:rsidRDefault="00CD4FA5" w:rsidP="00A247CD">
      <w:pPr>
        <w:spacing w:before="240"/>
        <w:ind w:left="720" w:hanging="720"/>
        <w:rPr>
          <w:rFonts w:ascii="Times New Roman" w:hAnsi="Times New Roman"/>
          <w:sz w:val="24"/>
        </w:rPr>
      </w:pPr>
      <w:r w:rsidRPr="00CD4FA5">
        <w:rPr>
          <w:rFonts w:ascii="Times New Roman" w:hAnsi="Times New Roman"/>
          <w:sz w:val="24"/>
        </w:rPr>
        <w:t>9.</w:t>
      </w:r>
      <w:r w:rsidRPr="00CD4FA5">
        <w:rPr>
          <w:rFonts w:ascii="Times New Roman" w:hAnsi="Times New Roman"/>
          <w:sz w:val="24"/>
        </w:rPr>
        <w:tab/>
        <w:t xml:space="preserve">Chapter 74 exempts </w:t>
      </w:r>
      <w:r w:rsidR="00033B8D" w:rsidRPr="00CD4FA5">
        <w:rPr>
          <w:rFonts w:ascii="Times New Roman" w:hAnsi="Times New Roman"/>
          <w:sz w:val="24"/>
        </w:rPr>
        <w:t xml:space="preserve">licensed trustees </w:t>
      </w:r>
      <w:r w:rsidRPr="00CD4FA5">
        <w:rPr>
          <w:rFonts w:ascii="Times New Roman" w:hAnsi="Times New Roman"/>
          <w:sz w:val="24"/>
        </w:rPr>
        <w:t xml:space="preserve">from specified provisions of the AML/CTF Act when they provide designated services in </w:t>
      </w:r>
      <w:r w:rsidR="00525E3E">
        <w:rPr>
          <w:rFonts w:ascii="Times New Roman" w:hAnsi="Times New Roman"/>
          <w:sz w:val="24"/>
        </w:rPr>
        <w:t xml:space="preserve">specified </w:t>
      </w:r>
      <w:r w:rsidRPr="00CD4FA5">
        <w:rPr>
          <w:rFonts w:ascii="Times New Roman" w:hAnsi="Times New Roman"/>
          <w:sz w:val="24"/>
        </w:rPr>
        <w:t xml:space="preserve">circumstances. A licensed trustee is an entity which holds an Australian Financial Services Licence </w:t>
      </w:r>
      <w:r w:rsidR="00525E3E">
        <w:rPr>
          <w:rFonts w:ascii="Times New Roman" w:hAnsi="Times New Roman"/>
          <w:sz w:val="24"/>
        </w:rPr>
        <w:t xml:space="preserve">authorising them to provide </w:t>
      </w:r>
      <w:r w:rsidRPr="00CD4FA5">
        <w:rPr>
          <w:rFonts w:ascii="Times New Roman" w:hAnsi="Times New Roman"/>
          <w:sz w:val="24"/>
        </w:rPr>
        <w:t xml:space="preserve">traditional trustee company services, under section 601RAA of the </w:t>
      </w:r>
      <w:r w:rsidRPr="00CD4FA5">
        <w:rPr>
          <w:rFonts w:ascii="Times New Roman" w:hAnsi="Times New Roman"/>
          <w:i/>
          <w:sz w:val="24"/>
        </w:rPr>
        <w:t>Corporations Act 2001</w:t>
      </w:r>
      <w:r w:rsidRPr="00CD4FA5">
        <w:rPr>
          <w:rFonts w:ascii="Times New Roman" w:hAnsi="Times New Roman"/>
          <w:sz w:val="24"/>
        </w:rPr>
        <w:t xml:space="preserve">. </w:t>
      </w:r>
      <w:r w:rsidR="00525E3E">
        <w:rPr>
          <w:rFonts w:ascii="Times New Roman" w:hAnsi="Times New Roman"/>
          <w:sz w:val="24"/>
        </w:rPr>
        <w:t xml:space="preserve"> </w:t>
      </w:r>
      <w:r w:rsidRPr="00CD4FA5">
        <w:rPr>
          <w:rFonts w:ascii="Times New Roman" w:hAnsi="Times New Roman"/>
          <w:sz w:val="24"/>
        </w:rPr>
        <w:t xml:space="preserve">This is in contrast with </w:t>
      </w:r>
      <w:r w:rsidR="00525E3E">
        <w:rPr>
          <w:rFonts w:ascii="Times New Roman" w:hAnsi="Times New Roman"/>
          <w:sz w:val="24"/>
        </w:rPr>
        <w:t>p</w:t>
      </w:r>
      <w:r w:rsidRPr="00CD4FA5">
        <w:rPr>
          <w:rFonts w:ascii="Times New Roman" w:hAnsi="Times New Roman"/>
          <w:sz w:val="24"/>
        </w:rPr>
        <w:t>u</w:t>
      </w:r>
      <w:r w:rsidR="00525E3E">
        <w:rPr>
          <w:rFonts w:ascii="Times New Roman" w:hAnsi="Times New Roman"/>
          <w:sz w:val="24"/>
        </w:rPr>
        <w:t>blic t</w:t>
      </w:r>
      <w:r w:rsidRPr="00CD4FA5">
        <w:rPr>
          <w:rFonts w:ascii="Times New Roman" w:hAnsi="Times New Roman"/>
          <w:sz w:val="24"/>
        </w:rPr>
        <w:t>rustees which are established under legislation – such trustees are already exempted under the AML/CTF Act via several section 248 (Exemptions and modifications by the AUSTRAC CEO) exemptions.</w:t>
      </w:r>
    </w:p>
    <w:p w14:paraId="2FBAF0B9" w14:textId="4B53B38D" w:rsidR="00CD4FA5" w:rsidRPr="00CD4FA5" w:rsidRDefault="00CD4FA5" w:rsidP="00A247CD">
      <w:pPr>
        <w:spacing w:before="240"/>
        <w:ind w:left="720" w:hanging="720"/>
        <w:rPr>
          <w:rFonts w:ascii="Times New Roman" w:hAnsi="Times New Roman"/>
          <w:sz w:val="24"/>
        </w:rPr>
      </w:pPr>
      <w:r w:rsidRPr="00CD4FA5">
        <w:rPr>
          <w:rFonts w:ascii="Times New Roman" w:hAnsi="Times New Roman"/>
          <w:sz w:val="24"/>
        </w:rPr>
        <w:t>10.</w:t>
      </w:r>
      <w:r w:rsidRPr="00CD4FA5">
        <w:rPr>
          <w:rFonts w:ascii="Times New Roman" w:hAnsi="Times New Roman"/>
          <w:sz w:val="24"/>
        </w:rPr>
        <w:tab/>
        <w:t xml:space="preserve">Chapter 74 does not provide an exemption for licensed trustees in respect to the management of inter </w:t>
      </w:r>
      <w:proofErr w:type="spellStart"/>
      <w:r w:rsidRPr="00CD4FA5">
        <w:rPr>
          <w:rFonts w:ascii="Times New Roman" w:hAnsi="Times New Roman"/>
          <w:sz w:val="24"/>
        </w:rPr>
        <w:t>vivos</w:t>
      </w:r>
      <w:proofErr w:type="spellEnd"/>
      <w:r w:rsidRPr="00CD4FA5">
        <w:rPr>
          <w:rFonts w:ascii="Times New Roman" w:hAnsi="Times New Roman"/>
          <w:sz w:val="24"/>
        </w:rPr>
        <w:t xml:space="preserve"> trusts (trusts that commence when the settlor is alive). </w:t>
      </w:r>
      <w:r w:rsidR="00304398">
        <w:rPr>
          <w:rFonts w:ascii="Times New Roman" w:hAnsi="Times New Roman"/>
          <w:sz w:val="24"/>
        </w:rPr>
        <w:t>E</w:t>
      </w:r>
      <w:r w:rsidRPr="00CD4FA5">
        <w:rPr>
          <w:rFonts w:ascii="Times New Roman" w:hAnsi="Times New Roman"/>
          <w:sz w:val="24"/>
        </w:rPr>
        <w:t>xemption</w:t>
      </w:r>
      <w:r w:rsidR="00304398">
        <w:rPr>
          <w:rFonts w:ascii="Times New Roman" w:hAnsi="Times New Roman"/>
          <w:sz w:val="24"/>
        </w:rPr>
        <w:t>s for public trustees are</w:t>
      </w:r>
      <w:r w:rsidRPr="00CD4FA5">
        <w:rPr>
          <w:rFonts w:ascii="Times New Roman" w:hAnsi="Times New Roman"/>
          <w:sz w:val="24"/>
        </w:rPr>
        <w:t xml:space="preserve"> currently in place </w:t>
      </w:r>
      <w:r w:rsidR="00304398">
        <w:rPr>
          <w:rFonts w:ascii="Times New Roman" w:hAnsi="Times New Roman"/>
          <w:sz w:val="24"/>
        </w:rPr>
        <w:t xml:space="preserve">under section 248 (Exemptions and modifications by the AUSTRAC CEO) of the AML/CTF Act, </w:t>
      </w:r>
      <w:r w:rsidRPr="00CD4FA5">
        <w:rPr>
          <w:rFonts w:ascii="Times New Roman" w:hAnsi="Times New Roman"/>
          <w:sz w:val="24"/>
        </w:rPr>
        <w:t xml:space="preserve">because it is considered that the governance, due diligence and clientele who use inter </w:t>
      </w:r>
      <w:proofErr w:type="spellStart"/>
      <w:r w:rsidRPr="00CD4FA5">
        <w:rPr>
          <w:rFonts w:ascii="Times New Roman" w:hAnsi="Times New Roman"/>
          <w:sz w:val="24"/>
        </w:rPr>
        <w:t>vivos</w:t>
      </w:r>
      <w:proofErr w:type="spellEnd"/>
      <w:r w:rsidRPr="00CD4FA5">
        <w:rPr>
          <w:rFonts w:ascii="Times New Roman" w:hAnsi="Times New Roman"/>
          <w:sz w:val="24"/>
        </w:rPr>
        <w:t xml:space="preserve"> trusts in the public trustee context are of lower money laundering and terrorism financing risk than those who use licensed trustees.</w:t>
      </w:r>
    </w:p>
    <w:p w14:paraId="0C18AF16" w14:textId="77777777" w:rsidR="00CD4FA5" w:rsidRPr="00CD4FA5" w:rsidRDefault="00CD4FA5" w:rsidP="00A247CD">
      <w:pPr>
        <w:spacing w:before="240"/>
        <w:rPr>
          <w:rFonts w:ascii="Times New Roman" w:hAnsi="Times New Roman"/>
          <w:b/>
          <w:i/>
          <w:sz w:val="24"/>
          <w:lang w:eastAsia="en-AU"/>
        </w:rPr>
      </w:pPr>
      <w:r w:rsidRPr="00CD4FA5">
        <w:rPr>
          <w:rFonts w:ascii="Times New Roman" w:hAnsi="Times New Roman"/>
          <w:b/>
          <w:sz w:val="24"/>
          <w:lang w:eastAsia="en-AU"/>
        </w:rPr>
        <w:lastRenderedPageBreak/>
        <w:t xml:space="preserve">Statement of Compatibility with the </w:t>
      </w:r>
      <w:r w:rsidRPr="00CD4FA5">
        <w:rPr>
          <w:rFonts w:ascii="Times New Roman" w:hAnsi="Times New Roman"/>
          <w:b/>
          <w:i/>
          <w:sz w:val="24"/>
          <w:lang w:eastAsia="en-AU"/>
        </w:rPr>
        <w:t>Human Rights (Parliamentary Scrutiny) Act 2011</w:t>
      </w:r>
    </w:p>
    <w:p w14:paraId="19A1D42A" w14:textId="77777777" w:rsidR="00CD4FA5" w:rsidRPr="00CD4FA5" w:rsidRDefault="00CD4FA5" w:rsidP="00A247CD">
      <w:pPr>
        <w:autoSpaceDE w:val="0"/>
        <w:autoSpaceDN w:val="0"/>
        <w:adjustRightInd w:val="0"/>
        <w:spacing w:before="240"/>
        <w:ind w:left="709" w:hanging="709"/>
        <w:rPr>
          <w:rFonts w:ascii="Times New Roman" w:hAnsi="Times New Roman"/>
          <w:sz w:val="24"/>
        </w:rPr>
      </w:pPr>
      <w:r w:rsidRPr="00CD4FA5">
        <w:rPr>
          <w:rFonts w:ascii="Times New Roman" w:hAnsi="Times New Roman"/>
          <w:sz w:val="24"/>
        </w:rPr>
        <w:t>11.</w:t>
      </w:r>
      <w:r w:rsidRPr="00CD4FA5">
        <w:rPr>
          <w:rFonts w:ascii="Times New Roman" w:hAnsi="Times New Roman"/>
          <w:sz w:val="24"/>
        </w:rPr>
        <w:tab/>
        <w:t xml:space="preserve">The </w:t>
      </w:r>
      <w:r w:rsidRPr="00CD4FA5">
        <w:rPr>
          <w:rFonts w:ascii="Times New Roman" w:hAnsi="Times New Roman"/>
          <w:i/>
          <w:sz w:val="24"/>
        </w:rPr>
        <w:t>Human Rights (Parliamentary Scrutiny) Act 2011</w:t>
      </w:r>
      <w:r w:rsidRPr="00CD4FA5">
        <w:rPr>
          <w:rFonts w:ascii="Times New Roman" w:hAnsi="Times New Roman"/>
          <w:sz w:val="24"/>
        </w:rPr>
        <w:t xml:space="preserve"> requires a Statement of Compatibility declaring that the relevant instrument is compatible with the human rights and freedoms recognised or declared in the international instruments listed in section 3 of that Act.</w:t>
      </w:r>
    </w:p>
    <w:p w14:paraId="70551277" w14:textId="77777777" w:rsidR="00CD4FA5" w:rsidRPr="00CD4FA5" w:rsidRDefault="00CD4FA5" w:rsidP="00A247CD">
      <w:pPr>
        <w:spacing w:before="240"/>
        <w:ind w:left="720" w:hanging="720"/>
        <w:rPr>
          <w:rFonts w:ascii="Times New Roman" w:hAnsi="Times New Roman"/>
          <w:sz w:val="24"/>
        </w:rPr>
      </w:pPr>
      <w:r w:rsidRPr="00CD4FA5">
        <w:rPr>
          <w:rFonts w:ascii="Times New Roman" w:hAnsi="Times New Roman"/>
          <w:sz w:val="24"/>
        </w:rPr>
        <w:t>12.</w:t>
      </w:r>
      <w:r w:rsidRPr="00CD4FA5">
        <w:rPr>
          <w:rFonts w:ascii="Times New Roman" w:hAnsi="Times New Roman"/>
          <w:sz w:val="24"/>
        </w:rPr>
        <w:tab/>
        <w:t xml:space="preserve">The Statement of Compatibility for the </w:t>
      </w:r>
      <w:r w:rsidRPr="00CD4FA5">
        <w:rPr>
          <w:rFonts w:ascii="Times New Roman" w:hAnsi="Times New Roman"/>
          <w:i/>
          <w:sz w:val="24"/>
        </w:rPr>
        <w:t>Anti-Money Laundering and Counter-Terrorism Financing Rules Amendment Instrument 2017 (No. 1)</w:t>
      </w:r>
      <w:r w:rsidRPr="00CD4FA5">
        <w:rPr>
          <w:rFonts w:ascii="Times New Roman" w:hAnsi="Times New Roman"/>
          <w:sz w:val="24"/>
        </w:rPr>
        <w:t xml:space="preserve"> is included in this Explanatory Statement at page 7.  The AUSTRAC CEO, as the rule-maker of this legislative instrument, has stated that it is compatible with the human rights and freedoms recognised or declared in the international instruments listed in section 3 of the </w:t>
      </w:r>
      <w:r w:rsidRPr="00CD4FA5">
        <w:rPr>
          <w:rFonts w:ascii="Times New Roman" w:hAnsi="Times New Roman"/>
          <w:i/>
          <w:sz w:val="24"/>
        </w:rPr>
        <w:t>Human Rights (Parliamentary Scrutiny) Act 2011</w:t>
      </w:r>
      <w:r w:rsidRPr="00CD4FA5">
        <w:rPr>
          <w:rFonts w:ascii="Times New Roman" w:hAnsi="Times New Roman"/>
          <w:sz w:val="24"/>
        </w:rPr>
        <w:t>.</w:t>
      </w:r>
    </w:p>
    <w:p w14:paraId="779F5B85" w14:textId="77777777" w:rsidR="00CD4FA5" w:rsidRPr="00CD4FA5" w:rsidRDefault="00CD4FA5" w:rsidP="00A247CD">
      <w:pPr>
        <w:spacing w:before="240"/>
        <w:rPr>
          <w:rFonts w:ascii="Times New Roman" w:hAnsi="Times New Roman"/>
          <w:b/>
          <w:sz w:val="24"/>
        </w:rPr>
      </w:pPr>
      <w:r w:rsidRPr="00CD4FA5">
        <w:rPr>
          <w:rFonts w:ascii="Times New Roman" w:hAnsi="Times New Roman"/>
          <w:b/>
          <w:sz w:val="24"/>
        </w:rPr>
        <w:t>Notes on sections</w:t>
      </w:r>
    </w:p>
    <w:p w14:paraId="4F45D9AC" w14:textId="77777777" w:rsidR="00CD4FA5" w:rsidRPr="00CD4FA5" w:rsidRDefault="00CD4FA5" w:rsidP="00A247CD">
      <w:pPr>
        <w:spacing w:before="240"/>
        <w:rPr>
          <w:rFonts w:ascii="Times New Roman" w:hAnsi="Times New Roman"/>
          <w:b/>
          <w:sz w:val="24"/>
        </w:rPr>
      </w:pPr>
      <w:r w:rsidRPr="00CD4FA5">
        <w:rPr>
          <w:rFonts w:ascii="Times New Roman" w:hAnsi="Times New Roman"/>
          <w:b/>
          <w:sz w:val="24"/>
        </w:rPr>
        <w:t>Section 1</w:t>
      </w:r>
    </w:p>
    <w:p w14:paraId="690AAD0A" w14:textId="77777777" w:rsidR="00CD4FA5" w:rsidRPr="00CD4FA5" w:rsidRDefault="00CD4FA5" w:rsidP="00A247CD">
      <w:pPr>
        <w:spacing w:before="240"/>
        <w:rPr>
          <w:rFonts w:ascii="Times New Roman" w:hAnsi="Times New Roman"/>
          <w:i/>
          <w:sz w:val="24"/>
        </w:rPr>
      </w:pPr>
      <w:r w:rsidRPr="00CD4FA5">
        <w:rPr>
          <w:rFonts w:ascii="Times New Roman" w:hAnsi="Times New Roman"/>
          <w:sz w:val="24"/>
        </w:rPr>
        <w:t xml:space="preserve">This section sets out the name of the Instrument, i.e. the </w:t>
      </w:r>
      <w:r w:rsidRPr="00CD4FA5">
        <w:rPr>
          <w:rFonts w:ascii="Times New Roman" w:hAnsi="Times New Roman"/>
          <w:i/>
          <w:sz w:val="24"/>
        </w:rPr>
        <w:t>Anti-Money Laundering and Counter-Terrorism Financing Rules Amendment Instrument 2017 (No. 1).</w:t>
      </w:r>
    </w:p>
    <w:p w14:paraId="01609E35" w14:textId="77777777" w:rsidR="00CD4FA5" w:rsidRPr="00CD4FA5" w:rsidRDefault="00CD4FA5" w:rsidP="00A247CD">
      <w:pPr>
        <w:spacing w:before="240"/>
        <w:rPr>
          <w:rFonts w:ascii="Times New Roman" w:hAnsi="Times New Roman"/>
          <w:b/>
          <w:sz w:val="24"/>
        </w:rPr>
      </w:pPr>
      <w:r w:rsidRPr="00CD4FA5">
        <w:rPr>
          <w:rFonts w:ascii="Times New Roman" w:hAnsi="Times New Roman"/>
          <w:b/>
          <w:sz w:val="24"/>
        </w:rPr>
        <w:t>Section 2</w:t>
      </w:r>
    </w:p>
    <w:p w14:paraId="4CD8E13D" w14:textId="006DBBA2" w:rsidR="00CD4FA5" w:rsidRDefault="00CD4FA5" w:rsidP="00A247CD">
      <w:pPr>
        <w:spacing w:before="240"/>
        <w:rPr>
          <w:rFonts w:ascii="Times New Roman" w:hAnsi="Times New Roman"/>
          <w:sz w:val="24"/>
        </w:rPr>
      </w:pPr>
      <w:r w:rsidRPr="00CD4FA5">
        <w:rPr>
          <w:rFonts w:ascii="Times New Roman" w:hAnsi="Times New Roman"/>
          <w:sz w:val="24"/>
        </w:rPr>
        <w:t xml:space="preserve">This section specifies that the </w:t>
      </w:r>
      <w:r w:rsidR="00AF6BAB">
        <w:rPr>
          <w:rFonts w:ascii="Times New Roman" w:hAnsi="Times New Roman"/>
          <w:sz w:val="24"/>
        </w:rPr>
        <w:t>Instrument</w:t>
      </w:r>
      <w:r w:rsidRPr="00CD4FA5">
        <w:rPr>
          <w:rFonts w:ascii="Times New Roman" w:hAnsi="Times New Roman"/>
          <w:sz w:val="24"/>
        </w:rPr>
        <w:t xml:space="preserve"> commence</w:t>
      </w:r>
      <w:r w:rsidR="00AF6BAB">
        <w:rPr>
          <w:rFonts w:ascii="Times New Roman" w:hAnsi="Times New Roman"/>
          <w:sz w:val="24"/>
        </w:rPr>
        <w:t>s</w:t>
      </w:r>
      <w:r w:rsidRPr="00CD4FA5">
        <w:rPr>
          <w:rFonts w:ascii="Times New Roman" w:hAnsi="Times New Roman"/>
          <w:sz w:val="24"/>
        </w:rPr>
        <w:t xml:space="preserve"> on the day after </w:t>
      </w:r>
      <w:r w:rsidR="00AF6BAB">
        <w:rPr>
          <w:rFonts w:ascii="Times New Roman" w:hAnsi="Times New Roman"/>
          <w:sz w:val="24"/>
        </w:rPr>
        <w:t>it is</w:t>
      </w:r>
      <w:r w:rsidRPr="00CD4FA5">
        <w:rPr>
          <w:rFonts w:ascii="Times New Roman" w:hAnsi="Times New Roman"/>
          <w:sz w:val="24"/>
        </w:rPr>
        <w:t xml:space="preserve"> registered.</w:t>
      </w:r>
    </w:p>
    <w:p w14:paraId="4D243941" w14:textId="77777777" w:rsidR="00A247CD" w:rsidRPr="00CD4FA5" w:rsidRDefault="00A247CD" w:rsidP="00A247CD">
      <w:pPr>
        <w:spacing w:before="240"/>
        <w:rPr>
          <w:rFonts w:ascii="Times New Roman" w:hAnsi="Times New Roman"/>
          <w:sz w:val="24"/>
        </w:rPr>
      </w:pPr>
    </w:p>
    <w:p w14:paraId="06FBD982" w14:textId="77777777" w:rsidR="00CD4FA5" w:rsidRPr="00CD4FA5" w:rsidRDefault="00CD4FA5" w:rsidP="00CD4FA5">
      <w:pPr>
        <w:rPr>
          <w:rFonts w:ascii="Times New Roman" w:hAnsi="Times New Roman"/>
          <w:b/>
          <w:sz w:val="24"/>
        </w:rPr>
      </w:pPr>
      <w:r w:rsidRPr="00CD4FA5">
        <w:rPr>
          <w:rFonts w:ascii="Times New Roman" w:hAnsi="Times New Roman"/>
          <w:b/>
          <w:sz w:val="24"/>
        </w:rPr>
        <w:t>Section 3</w:t>
      </w:r>
    </w:p>
    <w:p w14:paraId="0C65BBAC" w14:textId="77777777" w:rsidR="00CD4FA5" w:rsidRPr="00CD4FA5" w:rsidRDefault="00CD4FA5" w:rsidP="00A247CD">
      <w:pPr>
        <w:spacing w:before="240"/>
        <w:rPr>
          <w:rFonts w:ascii="Times New Roman" w:hAnsi="Times New Roman"/>
          <w:sz w:val="24"/>
        </w:rPr>
      </w:pPr>
      <w:r w:rsidRPr="00CD4FA5">
        <w:rPr>
          <w:rFonts w:ascii="Times New Roman" w:hAnsi="Times New Roman"/>
          <w:sz w:val="24"/>
        </w:rPr>
        <w:t>This section contains the details of the amendment:</w:t>
      </w:r>
    </w:p>
    <w:p w14:paraId="0B8BE5F9" w14:textId="77777777" w:rsidR="00CD4FA5" w:rsidRPr="00CD4FA5" w:rsidRDefault="00CD4FA5" w:rsidP="00A247CD">
      <w:pPr>
        <w:spacing w:before="240"/>
        <w:rPr>
          <w:rFonts w:ascii="Times New Roman" w:hAnsi="Times New Roman"/>
          <w:sz w:val="24"/>
        </w:rPr>
      </w:pPr>
      <w:r w:rsidRPr="00CD4FA5">
        <w:rPr>
          <w:rFonts w:ascii="Times New Roman" w:hAnsi="Times New Roman"/>
          <w:sz w:val="24"/>
        </w:rPr>
        <w:t xml:space="preserve">Schedules 1 and 2 amend the </w:t>
      </w:r>
      <w:r w:rsidRPr="00CD4FA5">
        <w:rPr>
          <w:rFonts w:ascii="Times New Roman" w:hAnsi="Times New Roman"/>
          <w:i/>
          <w:sz w:val="24"/>
        </w:rPr>
        <w:t>Anti-Money Laundering and Counter-Terrorism Financing Rules Instrument 2007 (No. 1)</w:t>
      </w:r>
      <w:r w:rsidRPr="00CD4FA5">
        <w:rPr>
          <w:rFonts w:ascii="Times New Roman" w:hAnsi="Times New Roman"/>
          <w:sz w:val="24"/>
        </w:rPr>
        <w:t>.</w:t>
      </w:r>
    </w:p>
    <w:p w14:paraId="1B9BD32C" w14:textId="77777777" w:rsidR="00CD4FA5" w:rsidRPr="00CD4FA5" w:rsidRDefault="00CD4FA5" w:rsidP="00A247CD">
      <w:pPr>
        <w:spacing w:before="240"/>
        <w:rPr>
          <w:rFonts w:ascii="Times New Roman" w:hAnsi="Times New Roman"/>
          <w:b/>
          <w:sz w:val="24"/>
        </w:rPr>
      </w:pPr>
      <w:r w:rsidRPr="00CD4FA5">
        <w:rPr>
          <w:rFonts w:ascii="Times New Roman" w:hAnsi="Times New Roman"/>
          <w:b/>
          <w:sz w:val="24"/>
        </w:rPr>
        <w:t>Schedule 1</w:t>
      </w:r>
    </w:p>
    <w:p w14:paraId="76594865" w14:textId="77777777" w:rsidR="00CD4FA5" w:rsidRPr="00CD4FA5" w:rsidRDefault="00CD4FA5" w:rsidP="00A247CD">
      <w:pPr>
        <w:spacing w:before="240"/>
        <w:rPr>
          <w:rFonts w:ascii="Times New Roman" w:hAnsi="Times New Roman"/>
          <w:sz w:val="24"/>
        </w:rPr>
      </w:pPr>
      <w:r w:rsidRPr="00CD4FA5">
        <w:rPr>
          <w:rFonts w:ascii="Times New Roman" w:hAnsi="Times New Roman"/>
          <w:sz w:val="24"/>
        </w:rPr>
        <w:t>This schedule amends Chapter 59.</w:t>
      </w:r>
    </w:p>
    <w:p w14:paraId="2D92DD83" w14:textId="77777777" w:rsidR="00CD4FA5" w:rsidRPr="00CD4FA5" w:rsidRDefault="00CD4FA5" w:rsidP="00A247CD">
      <w:pPr>
        <w:spacing w:before="240"/>
        <w:rPr>
          <w:rFonts w:ascii="Times New Roman" w:hAnsi="Times New Roman"/>
          <w:b/>
          <w:sz w:val="24"/>
        </w:rPr>
      </w:pPr>
      <w:r w:rsidRPr="00CD4FA5">
        <w:rPr>
          <w:rFonts w:ascii="Times New Roman" w:hAnsi="Times New Roman"/>
          <w:b/>
          <w:sz w:val="24"/>
        </w:rPr>
        <w:t>Schedule 2</w:t>
      </w:r>
    </w:p>
    <w:p w14:paraId="5E3A7D70" w14:textId="77777777" w:rsidR="00CD4FA5" w:rsidRPr="00CD4FA5" w:rsidRDefault="00CD4FA5" w:rsidP="00A247CD">
      <w:pPr>
        <w:spacing w:before="240"/>
        <w:rPr>
          <w:rFonts w:ascii="Times New Roman" w:hAnsi="Times New Roman"/>
          <w:sz w:val="24"/>
        </w:rPr>
      </w:pPr>
      <w:r w:rsidRPr="00CD4FA5">
        <w:rPr>
          <w:rFonts w:ascii="Times New Roman" w:hAnsi="Times New Roman"/>
          <w:sz w:val="24"/>
        </w:rPr>
        <w:t>This schedule adds Chapter 74.</w:t>
      </w:r>
    </w:p>
    <w:p w14:paraId="48A48606" w14:textId="77777777" w:rsidR="00CD4FA5" w:rsidRPr="00CD4FA5" w:rsidRDefault="00CD4FA5" w:rsidP="00A247CD">
      <w:pPr>
        <w:spacing w:before="240"/>
        <w:rPr>
          <w:rFonts w:ascii="Times New Roman" w:hAnsi="Times New Roman"/>
          <w:b/>
          <w:sz w:val="24"/>
        </w:rPr>
      </w:pPr>
      <w:r w:rsidRPr="00CD4FA5">
        <w:rPr>
          <w:rFonts w:ascii="Times New Roman" w:hAnsi="Times New Roman"/>
          <w:b/>
          <w:sz w:val="24"/>
        </w:rPr>
        <w:t>Notes on Paragraphs</w:t>
      </w:r>
    </w:p>
    <w:p w14:paraId="6AB6780F" w14:textId="77777777" w:rsidR="00CD4FA5" w:rsidRPr="00CD4FA5" w:rsidRDefault="00CD4FA5" w:rsidP="00CD4FA5">
      <w:pPr>
        <w:spacing w:before="240"/>
        <w:rPr>
          <w:rFonts w:ascii="Times New Roman" w:hAnsi="Times New Roman"/>
          <w:b/>
          <w:sz w:val="24"/>
        </w:rPr>
      </w:pPr>
      <w:r w:rsidRPr="00CD4FA5">
        <w:rPr>
          <w:rFonts w:ascii="Times New Roman" w:hAnsi="Times New Roman"/>
          <w:b/>
          <w:sz w:val="24"/>
        </w:rPr>
        <w:t>Schedule 1</w:t>
      </w:r>
    </w:p>
    <w:p w14:paraId="7528B628" w14:textId="77777777" w:rsidR="00CD4FA5" w:rsidRPr="00CD4FA5" w:rsidRDefault="00CD4FA5" w:rsidP="00CD4FA5">
      <w:pPr>
        <w:spacing w:before="240"/>
        <w:rPr>
          <w:rFonts w:ascii="Times New Roman" w:hAnsi="Times New Roman"/>
          <w:b/>
          <w:sz w:val="24"/>
        </w:rPr>
      </w:pPr>
      <w:r w:rsidRPr="00CD4FA5">
        <w:rPr>
          <w:rFonts w:ascii="Times New Roman" w:hAnsi="Times New Roman"/>
          <w:b/>
          <w:sz w:val="24"/>
        </w:rPr>
        <w:t>Chapter 59</w:t>
      </w:r>
    </w:p>
    <w:p w14:paraId="35E10D26" w14:textId="77777777" w:rsidR="00CD4FA5" w:rsidRPr="00CD4FA5" w:rsidRDefault="00CD4FA5" w:rsidP="00CD4FA5">
      <w:pPr>
        <w:spacing w:before="240"/>
        <w:rPr>
          <w:rFonts w:ascii="Times New Roman" w:hAnsi="Times New Roman"/>
          <w:b/>
          <w:sz w:val="24"/>
        </w:rPr>
      </w:pPr>
      <w:r w:rsidRPr="00CD4FA5">
        <w:rPr>
          <w:rFonts w:ascii="Times New Roman" w:hAnsi="Times New Roman"/>
          <w:b/>
          <w:sz w:val="24"/>
        </w:rPr>
        <w:t>Item 1</w:t>
      </w:r>
    </w:p>
    <w:p w14:paraId="15C244F2" w14:textId="77777777" w:rsidR="00CD4FA5" w:rsidRDefault="00CD4FA5" w:rsidP="00CD4FA5">
      <w:pPr>
        <w:spacing w:before="240"/>
        <w:rPr>
          <w:rFonts w:ascii="Times New Roman" w:hAnsi="Times New Roman"/>
          <w:sz w:val="24"/>
        </w:rPr>
      </w:pPr>
      <w:r w:rsidRPr="00CD4FA5">
        <w:rPr>
          <w:rFonts w:ascii="Times New Roman" w:hAnsi="Times New Roman"/>
          <w:sz w:val="24"/>
        </w:rPr>
        <w:t xml:space="preserve">This item repeals the existing Chapter 59 and substitutes a new Chapter 59. </w:t>
      </w:r>
    </w:p>
    <w:p w14:paraId="1A075F35" w14:textId="77777777" w:rsidR="00FF525E" w:rsidRPr="00CD4FA5" w:rsidRDefault="00FF525E" w:rsidP="00CD4FA5">
      <w:pPr>
        <w:spacing w:before="240"/>
        <w:rPr>
          <w:rFonts w:ascii="Times New Roman" w:hAnsi="Times New Roman"/>
          <w:sz w:val="24"/>
        </w:rPr>
      </w:pPr>
    </w:p>
    <w:p w14:paraId="58DBBF18" w14:textId="77777777" w:rsidR="00CD4FA5" w:rsidRPr="00CD4FA5" w:rsidRDefault="00CD4FA5" w:rsidP="00CD4FA5">
      <w:pPr>
        <w:spacing w:before="240"/>
        <w:rPr>
          <w:rFonts w:ascii="Times New Roman" w:hAnsi="Times New Roman"/>
          <w:b/>
          <w:sz w:val="24"/>
        </w:rPr>
      </w:pPr>
      <w:r w:rsidRPr="00CD4FA5">
        <w:rPr>
          <w:rFonts w:ascii="Times New Roman" w:hAnsi="Times New Roman"/>
          <w:b/>
          <w:sz w:val="24"/>
        </w:rPr>
        <w:lastRenderedPageBreak/>
        <w:t>Paragraph 59.1</w:t>
      </w:r>
    </w:p>
    <w:p w14:paraId="013EEAFE" w14:textId="77777777" w:rsidR="00CD4FA5" w:rsidRPr="00CD4FA5" w:rsidRDefault="00CD4FA5" w:rsidP="00CD4FA5">
      <w:pPr>
        <w:spacing w:before="240"/>
        <w:rPr>
          <w:rFonts w:ascii="Times New Roman" w:hAnsi="Times New Roman"/>
          <w:sz w:val="24"/>
        </w:rPr>
      </w:pPr>
      <w:r w:rsidRPr="00CD4FA5">
        <w:rPr>
          <w:rFonts w:ascii="Times New Roman" w:hAnsi="Times New Roman"/>
          <w:sz w:val="24"/>
        </w:rPr>
        <w:t>This paragraph specifies that these AML/CTF Rules have been made under section 229 of the AML/CTF Act for the purposes of subsection 75H(1) of the AML/CTF Act.</w:t>
      </w:r>
    </w:p>
    <w:p w14:paraId="65C9BBA2" w14:textId="77777777" w:rsidR="00CD4FA5" w:rsidRPr="00CD4FA5" w:rsidRDefault="00CD4FA5" w:rsidP="00CD4FA5">
      <w:pPr>
        <w:spacing w:before="240"/>
        <w:rPr>
          <w:rFonts w:ascii="Times New Roman" w:hAnsi="Times New Roman"/>
          <w:b/>
          <w:sz w:val="24"/>
        </w:rPr>
      </w:pPr>
      <w:r w:rsidRPr="00CD4FA5">
        <w:rPr>
          <w:rFonts w:ascii="Times New Roman" w:hAnsi="Times New Roman"/>
          <w:b/>
          <w:sz w:val="24"/>
        </w:rPr>
        <w:t>Paragraph 59.2</w:t>
      </w:r>
    </w:p>
    <w:p w14:paraId="073019E3" w14:textId="0CC3E2F6" w:rsidR="00CD4FA5" w:rsidRPr="00CD4FA5" w:rsidRDefault="00CD4FA5" w:rsidP="00CD4FA5">
      <w:pPr>
        <w:spacing w:before="240"/>
        <w:rPr>
          <w:rFonts w:ascii="Times New Roman" w:hAnsi="Times New Roman"/>
          <w:sz w:val="24"/>
        </w:rPr>
      </w:pPr>
      <w:r w:rsidRPr="00CD4FA5">
        <w:rPr>
          <w:rFonts w:ascii="Times New Roman" w:hAnsi="Times New Roman"/>
          <w:sz w:val="24"/>
        </w:rPr>
        <w:t xml:space="preserve">This paragraph specifies that a suspension is subject to the circumstances specified in paragraphs 59.3, 59.4 and 59.5 and has been amended to state that </w:t>
      </w:r>
      <w:r w:rsidR="00AF6BAB">
        <w:rPr>
          <w:rFonts w:ascii="Times New Roman" w:hAnsi="Times New Roman"/>
          <w:sz w:val="24"/>
        </w:rPr>
        <w:t>the AUSTRAC CEO can suspend a person’s registration</w:t>
      </w:r>
      <w:r w:rsidRPr="00CD4FA5">
        <w:rPr>
          <w:rFonts w:ascii="Times New Roman" w:hAnsi="Times New Roman"/>
          <w:sz w:val="24"/>
        </w:rPr>
        <w:t xml:space="preserve"> with or without prior </w:t>
      </w:r>
      <w:r w:rsidR="00AF6BAB">
        <w:rPr>
          <w:rFonts w:ascii="Times New Roman" w:hAnsi="Times New Roman"/>
          <w:sz w:val="24"/>
        </w:rPr>
        <w:t xml:space="preserve">written </w:t>
      </w:r>
      <w:r w:rsidRPr="00CD4FA5">
        <w:rPr>
          <w:rFonts w:ascii="Times New Roman" w:hAnsi="Times New Roman"/>
          <w:sz w:val="24"/>
        </w:rPr>
        <w:t>notice.</w:t>
      </w:r>
    </w:p>
    <w:p w14:paraId="5B5DC4D9" w14:textId="77777777" w:rsidR="00CD4FA5" w:rsidRPr="00CD4FA5" w:rsidRDefault="00CD4FA5" w:rsidP="00CD4FA5">
      <w:pPr>
        <w:spacing w:before="240"/>
        <w:rPr>
          <w:rFonts w:ascii="Times New Roman" w:hAnsi="Times New Roman"/>
          <w:b/>
          <w:sz w:val="24"/>
        </w:rPr>
      </w:pPr>
      <w:r w:rsidRPr="00CD4FA5">
        <w:rPr>
          <w:rFonts w:ascii="Times New Roman" w:hAnsi="Times New Roman"/>
          <w:b/>
          <w:sz w:val="24"/>
        </w:rPr>
        <w:t>Paragraph 59.3</w:t>
      </w:r>
    </w:p>
    <w:p w14:paraId="37559931" w14:textId="1B34A6A0" w:rsidR="00CD4FA5" w:rsidRPr="00CD4FA5" w:rsidRDefault="00CD4FA5" w:rsidP="00CD4FA5">
      <w:pPr>
        <w:spacing w:before="240"/>
        <w:rPr>
          <w:rFonts w:ascii="Times New Roman" w:hAnsi="Times New Roman"/>
          <w:sz w:val="24"/>
        </w:rPr>
      </w:pPr>
      <w:r w:rsidRPr="00CD4FA5">
        <w:rPr>
          <w:rFonts w:ascii="Times New Roman" w:hAnsi="Times New Roman"/>
          <w:sz w:val="24"/>
        </w:rPr>
        <w:t xml:space="preserve">This paragraph now specifies that the AUSTRAC CEO may suspend a person’s registration without prior notice. </w:t>
      </w:r>
      <w:r w:rsidR="00AF6BAB">
        <w:rPr>
          <w:rFonts w:ascii="Times New Roman" w:hAnsi="Times New Roman"/>
          <w:sz w:val="24"/>
        </w:rPr>
        <w:t xml:space="preserve"> </w:t>
      </w:r>
      <w:r w:rsidRPr="00CD4FA5">
        <w:rPr>
          <w:rFonts w:ascii="Times New Roman" w:hAnsi="Times New Roman"/>
          <w:sz w:val="24"/>
        </w:rPr>
        <w:t>The ‘Note’ to this paragraph states that a person may request an internal review of the decision.</w:t>
      </w:r>
    </w:p>
    <w:p w14:paraId="69E2B6E7" w14:textId="77777777" w:rsidR="00CD4FA5" w:rsidRPr="00CD4FA5" w:rsidRDefault="00CD4FA5" w:rsidP="00CD4FA5">
      <w:pPr>
        <w:spacing w:before="240"/>
        <w:rPr>
          <w:rFonts w:ascii="Times New Roman" w:hAnsi="Times New Roman"/>
          <w:b/>
          <w:sz w:val="24"/>
        </w:rPr>
      </w:pPr>
      <w:r w:rsidRPr="00CD4FA5">
        <w:rPr>
          <w:rFonts w:ascii="Times New Roman" w:hAnsi="Times New Roman"/>
          <w:b/>
          <w:sz w:val="24"/>
        </w:rPr>
        <w:t>Paragraph 59.4</w:t>
      </w:r>
    </w:p>
    <w:p w14:paraId="398FAE69" w14:textId="5E0C5435" w:rsidR="00CD4FA5" w:rsidRPr="00CD4FA5" w:rsidRDefault="00CD4FA5" w:rsidP="00CD4FA5">
      <w:pPr>
        <w:spacing w:before="240"/>
        <w:rPr>
          <w:rFonts w:ascii="Times New Roman" w:hAnsi="Times New Roman"/>
          <w:sz w:val="24"/>
        </w:rPr>
      </w:pPr>
      <w:r w:rsidRPr="00CD4FA5">
        <w:rPr>
          <w:rFonts w:ascii="Times New Roman" w:hAnsi="Times New Roman"/>
          <w:sz w:val="24"/>
        </w:rPr>
        <w:t xml:space="preserve">This paragraph specifies the matters to which the AUSTRAC CEO may have regard in considering whether a person’s registration should be suspended. </w:t>
      </w:r>
      <w:r w:rsidR="00FF525E">
        <w:rPr>
          <w:rFonts w:ascii="Times New Roman" w:hAnsi="Times New Roman"/>
          <w:sz w:val="24"/>
        </w:rPr>
        <w:t xml:space="preserve"> </w:t>
      </w:r>
      <w:r w:rsidRPr="00CD4FA5">
        <w:rPr>
          <w:rFonts w:ascii="Times New Roman" w:hAnsi="Times New Roman"/>
          <w:sz w:val="24"/>
        </w:rPr>
        <w:t>The language has been amended to provide clarity and certainty in regard to</w:t>
      </w:r>
      <w:r w:rsidR="00304398">
        <w:rPr>
          <w:rFonts w:ascii="Times New Roman" w:hAnsi="Times New Roman"/>
          <w:sz w:val="24"/>
        </w:rPr>
        <w:t xml:space="preserve"> the </w:t>
      </w:r>
      <w:r w:rsidR="00DB7E90">
        <w:rPr>
          <w:rFonts w:ascii="Times New Roman" w:hAnsi="Times New Roman"/>
          <w:sz w:val="24"/>
        </w:rPr>
        <w:t>delegable power</w:t>
      </w:r>
      <w:r w:rsidR="00504315">
        <w:rPr>
          <w:rFonts w:ascii="Times New Roman" w:hAnsi="Times New Roman"/>
          <w:sz w:val="24"/>
        </w:rPr>
        <w:t>s</w:t>
      </w:r>
      <w:r w:rsidR="00DB7E90">
        <w:rPr>
          <w:rFonts w:ascii="Times New Roman" w:hAnsi="Times New Roman"/>
          <w:sz w:val="24"/>
        </w:rPr>
        <w:t xml:space="preserve"> of the </w:t>
      </w:r>
      <w:r w:rsidRPr="00CD4FA5">
        <w:rPr>
          <w:rFonts w:ascii="Times New Roman" w:hAnsi="Times New Roman"/>
          <w:sz w:val="24"/>
        </w:rPr>
        <w:t xml:space="preserve">AUSTRAC CEO. </w:t>
      </w:r>
    </w:p>
    <w:p w14:paraId="5822BA99" w14:textId="77777777" w:rsidR="00CD4FA5" w:rsidRPr="00CD4FA5" w:rsidRDefault="00CD4FA5" w:rsidP="00CD4FA5">
      <w:pPr>
        <w:spacing w:before="240"/>
        <w:rPr>
          <w:rFonts w:ascii="Times New Roman" w:hAnsi="Times New Roman"/>
          <w:b/>
          <w:sz w:val="24"/>
        </w:rPr>
      </w:pPr>
      <w:r w:rsidRPr="00CD4FA5">
        <w:rPr>
          <w:rFonts w:ascii="Times New Roman" w:hAnsi="Times New Roman"/>
          <w:b/>
          <w:sz w:val="24"/>
        </w:rPr>
        <w:t>Paragraph 59.5</w:t>
      </w:r>
    </w:p>
    <w:p w14:paraId="475D7239" w14:textId="47A9EC15" w:rsidR="00CD4FA5" w:rsidRPr="00CD4FA5" w:rsidRDefault="00CD4FA5" w:rsidP="00CD4FA5">
      <w:pPr>
        <w:spacing w:before="240"/>
        <w:rPr>
          <w:rFonts w:ascii="Times New Roman" w:hAnsi="Times New Roman"/>
          <w:sz w:val="24"/>
        </w:rPr>
      </w:pPr>
      <w:r w:rsidRPr="00CD4FA5">
        <w:rPr>
          <w:rFonts w:ascii="Times New Roman" w:hAnsi="Times New Roman"/>
          <w:sz w:val="24"/>
        </w:rPr>
        <w:t>This paragraph sets out the notice and review provisions which must be followed if the AUSTRAC CEO decides to suspend a person</w:t>
      </w:r>
      <w:r w:rsidR="00504315">
        <w:rPr>
          <w:rFonts w:ascii="Times New Roman" w:hAnsi="Times New Roman"/>
          <w:sz w:val="24"/>
        </w:rPr>
        <w:t>’s registration</w:t>
      </w:r>
      <w:r w:rsidRPr="00CD4FA5">
        <w:rPr>
          <w:rFonts w:ascii="Times New Roman" w:hAnsi="Times New Roman"/>
          <w:sz w:val="24"/>
        </w:rPr>
        <w:t xml:space="preserve">. In circumstances where the person being suspended is a remittance affiliate of a registered network provider, the chapter now requires that the network provider must be notified by the AUSTRAC CEO, in addition to the remittance affiliate, within seven days of the decision being made. </w:t>
      </w:r>
    </w:p>
    <w:p w14:paraId="66F3CB19" w14:textId="77777777" w:rsidR="00CD4FA5" w:rsidRPr="00CD4FA5" w:rsidRDefault="00CD4FA5" w:rsidP="00CD4FA5">
      <w:pPr>
        <w:spacing w:before="240"/>
        <w:rPr>
          <w:rFonts w:ascii="Times New Roman" w:hAnsi="Times New Roman"/>
          <w:b/>
          <w:sz w:val="24"/>
        </w:rPr>
      </w:pPr>
      <w:r w:rsidRPr="00CD4FA5">
        <w:rPr>
          <w:rFonts w:ascii="Times New Roman" w:hAnsi="Times New Roman"/>
          <w:b/>
          <w:sz w:val="24"/>
        </w:rPr>
        <w:t>Paragraph 59.6</w:t>
      </w:r>
    </w:p>
    <w:p w14:paraId="31C3687B" w14:textId="5CD2B014" w:rsidR="00CD4FA5" w:rsidRPr="00CD4FA5" w:rsidRDefault="00CD4FA5" w:rsidP="00CD4FA5">
      <w:pPr>
        <w:spacing w:before="240"/>
        <w:rPr>
          <w:rFonts w:ascii="Times New Roman" w:hAnsi="Times New Roman"/>
          <w:bCs/>
          <w:iCs/>
          <w:sz w:val="24"/>
          <w:lang w:eastAsia="en-AU"/>
        </w:rPr>
      </w:pPr>
      <w:r w:rsidRPr="00CD4FA5">
        <w:rPr>
          <w:rFonts w:ascii="Times New Roman" w:hAnsi="Times New Roman"/>
          <w:sz w:val="24"/>
        </w:rPr>
        <w:t>This paragraph specifies that a suspension cannot commence before the date specified in the notice</w:t>
      </w:r>
      <w:r w:rsidRPr="00CD4FA5">
        <w:rPr>
          <w:rFonts w:ascii="Times New Roman" w:hAnsi="Times New Roman"/>
          <w:bCs/>
          <w:iCs/>
          <w:sz w:val="24"/>
          <w:lang w:eastAsia="en-AU"/>
        </w:rPr>
        <w:t>.</w:t>
      </w:r>
    </w:p>
    <w:p w14:paraId="308C0DD4" w14:textId="77777777" w:rsidR="00CD4FA5" w:rsidRPr="00CD4FA5" w:rsidRDefault="00CD4FA5" w:rsidP="00CD4FA5">
      <w:pPr>
        <w:spacing w:before="240"/>
        <w:rPr>
          <w:rFonts w:ascii="Times New Roman" w:hAnsi="Times New Roman"/>
          <w:b/>
          <w:bCs/>
          <w:iCs/>
          <w:sz w:val="24"/>
          <w:lang w:eastAsia="en-AU"/>
        </w:rPr>
      </w:pPr>
      <w:r w:rsidRPr="00CD4FA5">
        <w:rPr>
          <w:rFonts w:ascii="Times New Roman" w:hAnsi="Times New Roman"/>
          <w:b/>
          <w:bCs/>
          <w:iCs/>
          <w:sz w:val="24"/>
          <w:lang w:eastAsia="en-AU"/>
        </w:rPr>
        <w:t>Paragraph 59.7</w:t>
      </w:r>
    </w:p>
    <w:p w14:paraId="07FB3B03" w14:textId="2D4CC395" w:rsidR="00CD4FA5" w:rsidRPr="00CD4FA5" w:rsidRDefault="00CD4FA5" w:rsidP="00CD4FA5">
      <w:pPr>
        <w:spacing w:before="240"/>
        <w:rPr>
          <w:rFonts w:ascii="Times New Roman" w:hAnsi="Times New Roman"/>
          <w:bCs/>
          <w:iCs/>
          <w:sz w:val="24"/>
          <w:lang w:eastAsia="en-AU"/>
        </w:rPr>
      </w:pPr>
      <w:r w:rsidRPr="00CD4FA5">
        <w:rPr>
          <w:rFonts w:ascii="Times New Roman" w:hAnsi="Times New Roman"/>
          <w:bCs/>
          <w:iCs/>
          <w:sz w:val="24"/>
          <w:lang w:eastAsia="en-AU"/>
        </w:rPr>
        <w:t xml:space="preserve">This paragraph specifies that the AUSTRAC CEO may publish the notice or extracts from </w:t>
      </w:r>
      <w:r w:rsidR="00304398">
        <w:rPr>
          <w:rFonts w:ascii="Times New Roman" w:hAnsi="Times New Roman"/>
          <w:bCs/>
          <w:iCs/>
          <w:sz w:val="24"/>
          <w:lang w:eastAsia="en-AU"/>
        </w:rPr>
        <w:t xml:space="preserve">the notice </w:t>
      </w:r>
      <w:r w:rsidRPr="00CD4FA5">
        <w:rPr>
          <w:rFonts w:ascii="Times New Roman" w:hAnsi="Times New Roman"/>
          <w:bCs/>
          <w:iCs/>
          <w:sz w:val="24"/>
          <w:lang w:eastAsia="en-AU"/>
        </w:rPr>
        <w:t xml:space="preserve">on the AUSTRAC website or in any other manner. </w:t>
      </w:r>
    </w:p>
    <w:p w14:paraId="4C139005" w14:textId="77777777" w:rsidR="00CD4FA5" w:rsidRPr="00CD4FA5" w:rsidRDefault="00CD4FA5" w:rsidP="00CD4FA5">
      <w:pPr>
        <w:spacing w:before="240"/>
        <w:rPr>
          <w:rFonts w:ascii="Times New Roman" w:hAnsi="Times New Roman"/>
          <w:b/>
          <w:bCs/>
          <w:iCs/>
          <w:sz w:val="24"/>
          <w:lang w:eastAsia="en-AU"/>
        </w:rPr>
      </w:pPr>
      <w:r w:rsidRPr="00CD4FA5">
        <w:rPr>
          <w:rFonts w:ascii="Times New Roman" w:hAnsi="Times New Roman"/>
          <w:b/>
          <w:bCs/>
          <w:iCs/>
          <w:sz w:val="24"/>
          <w:lang w:eastAsia="en-AU"/>
        </w:rPr>
        <w:t>Paragraph 59.8</w:t>
      </w:r>
    </w:p>
    <w:p w14:paraId="2588F6EB" w14:textId="74F7E964" w:rsidR="00CD4FA5" w:rsidRDefault="00CD4FA5" w:rsidP="00CD4FA5">
      <w:pPr>
        <w:spacing w:before="240"/>
        <w:rPr>
          <w:rFonts w:ascii="Times New Roman" w:hAnsi="Times New Roman"/>
          <w:sz w:val="24"/>
        </w:rPr>
      </w:pPr>
      <w:r w:rsidRPr="00CD4FA5">
        <w:rPr>
          <w:rFonts w:ascii="Times New Roman" w:hAnsi="Times New Roman"/>
          <w:sz w:val="24"/>
        </w:rPr>
        <w:t xml:space="preserve">Due to the amendments to </w:t>
      </w:r>
      <w:r w:rsidR="00DB7E90">
        <w:rPr>
          <w:rFonts w:ascii="Times New Roman" w:hAnsi="Times New Roman"/>
          <w:sz w:val="24"/>
        </w:rPr>
        <w:t>sub</w:t>
      </w:r>
      <w:r w:rsidRPr="00CD4FA5">
        <w:rPr>
          <w:rFonts w:ascii="Times New Roman" w:hAnsi="Times New Roman"/>
          <w:sz w:val="24"/>
        </w:rPr>
        <w:t xml:space="preserve">paragraph 59.5(1), this paragraph has been amended to remove the now redundant wording relating to the AUSTRAC CEO informing the registered network provider of the remitter affiliate’s suspension. </w:t>
      </w:r>
    </w:p>
    <w:p w14:paraId="43014D36" w14:textId="77777777" w:rsidR="00FF525E" w:rsidRDefault="00FF525E" w:rsidP="00CD4FA5">
      <w:pPr>
        <w:spacing w:before="240"/>
        <w:rPr>
          <w:rFonts w:ascii="Times New Roman" w:hAnsi="Times New Roman"/>
          <w:sz w:val="24"/>
        </w:rPr>
      </w:pPr>
    </w:p>
    <w:p w14:paraId="12756CD1" w14:textId="77777777" w:rsidR="00CD4FA5" w:rsidRPr="00CD4FA5" w:rsidRDefault="00CD4FA5" w:rsidP="00CD4FA5">
      <w:pPr>
        <w:spacing w:before="240"/>
        <w:rPr>
          <w:rFonts w:ascii="Times New Roman" w:hAnsi="Times New Roman"/>
          <w:b/>
          <w:sz w:val="24"/>
        </w:rPr>
      </w:pPr>
      <w:r w:rsidRPr="00CD4FA5">
        <w:rPr>
          <w:rFonts w:ascii="Times New Roman" w:hAnsi="Times New Roman"/>
          <w:b/>
          <w:sz w:val="24"/>
        </w:rPr>
        <w:lastRenderedPageBreak/>
        <w:t>Paragraph 59.9</w:t>
      </w:r>
    </w:p>
    <w:p w14:paraId="3DDC406E" w14:textId="77777777" w:rsidR="00CD4FA5" w:rsidRPr="00CD4FA5" w:rsidRDefault="00CD4FA5" w:rsidP="00CD4FA5">
      <w:pPr>
        <w:spacing w:before="240"/>
        <w:rPr>
          <w:rFonts w:ascii="Times New Roman" w:hAnsi="Times New Roman"/>
          <w:sz w:val="24"/>
        </w:rPr>
      </w:pPr>
      <w:r w:rsidRPr="00CD4FA5">
        <w:rPr>
          <w:rFonts w:ascii="Times New Roman" w:hAnsi="Times New Roman"/>
          <w:sz w:val="24"/>
        </w:rPr>
        <w:t xml:space="preserve">This paragraph specifies that the entry for the suspended registration may be removed from the Remittance Sector Register for the period of the suspension. </w:t>
      </w:r>
    </w:p>
    <w:p w14:paraId="45A07FC5" w14:textId="77777777" w:rsidR="00CD4FA5" w:rsidRPr="00CD4FA5" w:rsidRDefault="00CD4FA5" w:rsidP="00CD4FA5">
      <w:pPr>
        <w:spacing w:before="240"/>
        <w:rPr>
          <w:rFonts w:ascii="Times New Roman" w:hAnsi="Times New Roman"/>
          <w:b/>
          <w:sz w:val="24"/>
        </w:rPr>
      </w:pPr>
      <w:r w:rsidRPr="00CD4FA5">
        <w:rPr>
          <w:rFonts w:ascii="Times New Roman" w:hAnsi="Times New Roman"/>
          <w:b/>
          <w:sz w:val="24"/>
        </w:rPr>
        <w:t>Paragraph 59.10</w:t>
      </w:r>
    </w:p>
    <w:p w14:paraId="3952912B" w14:textId="77777777" w:rsidR="00CD4FA5" w:rsidRPr="00CD4FA5" w:rsidRDefault="00CD4FA5" w:rsidP="00CD4FA5">
      <w:pPr>
        <w:spacing w:before="240"/>
        <w:rPr>
          <w:rFonts w:ascii="Times New Roman" w:hAnsi="Times New Roman"/>
          <w:sz w:val="24"/>
        </w:rPr>
      </w:pPr>
      <w:r w:rsidRPr="00CD4FA5">
        <w:rPr>
          <w:rFonts w:ascii="Times New Roman" w:hAnsi="Times New Roman"/>
          <w:sz w:val="24"/>
        </w:rPr>
        <w:t xml:space="preserve">This paragraph specifies that conviction of an offence includes orders relating to a person which have been made under section 19B of the </w:t>
      </w:r>
      <w:r w:rsidRPr="00CD4FA5">
        <w:rPr>
          <w:rFonts w:ascii="Times New Roman" w:hAnsi="Times New Roman"/>
          <w:i/>
          <w:sz w:val="24"/>
        </w:rPr>
        <w:t>Crimes Act 1914</w:t>
      </w:r>
      <w:r w:rsidRPr="00CD4FA5">
        <w:rPr>
          <w:rFonts w:ascii="Times New Roman" w:hAnsi="Times New Roman"/>
          <w:sz w:val="24"/>
        </w:rPr>
        <w:t xml:space="preserve">. </w:t>
      </w:r>
    </w:p>
    <w:p w14:paraId="2F97E7FA" w14:textId="77777777" w:rsidR="00CD4FA5" w:rsidRPr="00CD4FA5" w:rsidRDefault="00CD4FA5" w:rsidP="00CD4FA5">
      <w:pPr>
        <w:spacing w:before="240"/>
        <w:rPr>
          <w:rFonts w:ascii="Times New Roman" w:hAnsi="Times New Roman"/>
          <w:b/>
          <w:sz w:val="24"/>
        </w:rPr>
      </w:pPr>
      <w:r w:rsidRPr="00CD4FA5">
        <w:rPr>
          <w:rFonts w:ascii="Times New Roman" w:hAnsi="Times New Roman"/>
          <w:b/>
          <w:sz w:val="24"/>
        </w:rPr>
        <w:t>Paragraph 59.11</w:t>
      </w:r>
    </w:p>
    <w:p w14:paraId="71AB34FD" w14:textId="77777777" w:rsidR="00CD4FA5" w:rsidRPr="00CD4FA5" w:rsidRDefault="00CD4FA5" w:rsidP="00CD4FA5">
      <w:pPr>
        <w:spacing w:before="240"/>
        <w:rPr>
          <w:rFonts w:ascii="Times New Roman" w:hAnsi="Times New Roman"/>
          <w:sz w:val="24"/>
        </w:rPr>
      </w:pPr>
      <w:r w:rsidRPr="00CD4FA5">
        <w:rPr>
          <w:rFonts w:ascii="Times New Roman" w:hAnsi="Times New Roman"/>
          <w:sz w:val="24"/>
        </w:rPr>
        <w:t xml:space="preserve">This paragraph specifies definitions for ‘beneficial owner’, ‘enforcement action’, ‘fraud’, ‘key personnel’, ‘people smuggling’, ‘person’, ‘serious offence’ and ‘terrorism’. </w:t>
      </w:r>
    </w:p>
    <w:p w14:paraId="501CBF93" w14:textId="77777777" w:rsidR="00CD4FA5" w:rsidRPr="00CD4FA5" w:rsidRDefault="00CD4FA5" w:rsidP="00CD4FA5">
      <w:pPr>
        <w:spacing w:before="240"/>
        <w:rPr>
          <w:rFonts w:ascii="Times New Roman" w:hAnsi="Times New Roman"/>
          <w:b/>
          <w:sz w:val="24"/>
        </w:rPr>
      </w:pPr>
      <w:r w:rsidRPr="00CD4FA5">
        <w:rPr>
          <w:rFonts w:ascii="Times New Roman" w:hAnsi="Times New Roman"/>
          <w:b/>
          <w:sz w:val="24"/>
        </w:rPr>
        <w:t>Schedule 2</w:t>
      </w:r>
    </w:p>
    <w:p w14:paraId="79EE595E" w14:textId="77777777" w:rsidR="00CD4FA5" w:rsidRPr="00CD4FA5" w:rsidRDefault="00CD4FA5" w:rsidP="00CD4FA5">
      <w:pPr>
        <w:spacing w:before="240"/>
        <w:rPr>
          <w:rFonts w:ascii="Times New Roman" w:hAnsi="Times New Roman"/>
          <w:b/>
          <w:sz w:val="24"/>
        </w:rPr>
      </w:pPr>
      <w:r w:rsidRPr="00CD4FA5">
        <w:rPr>
          <w:rFonts w:ascii="Times New Roman" w:hAnsi="Times New Roman"/>
          <w:b/>
          <w:sz w:val="24"/>
        </w:rPr>
        <w:t>Item 1</w:t>
      </w:r>
    </w:p>
    <w:p w14:paraId="47E76BBA" w14:textId="77777777" w:rsidR="00CD4FA5" w:rsidRPr="00CD4FA5" w:rsidRDefault="00CD4FA5" w:rsidP="00CD4FA5">
      <w:pPr>
        <w:spacing w:before="240"/>
        <w:rPr>
          <w:rFonts w:ascii="Times New Roman" w:hAnsi="Times New Roman"/>
          <w:b/>
          <w:sz w:val="24"/>
        </w:rPr>
      </w:pPr>
      <w:r w:rsidRPr="00CD4FA5">
        <w:rPr>
          <w:rFonts w:ascii="Times New Roman" w:hAnsi="Times New Roman"/>
          <w:b/>
          <w:sz w:val="24"/>
        </w:rPr>
        <w:t>Paragraph 74.1</w:t>
      </w:r>
    </w:p>
    <w:p w14:paraId="141C8CB9" w14:textId="77777777" w:rsidR="00CD4FA5" w:rsidRPr="00CD4FA5" w:rsidRDefault="00CD4FA5" w:rsidP="00CD4FA5">
      <w:pPr>
        <w:spacing w:before="240"/>
        <w:rPr>
          <w:rFonts w:ascii="Times New Roman" w:hAnsi="Times New Roman"/>
          <w:sz w:val="24"/>
        </w:rPr>
      </w:pPr>
      <w:r w:rsidRPr="00CD4FA5">
        <w:rPr>
          <w:rFonts w:ascii="Times New Roman" w:hAnsi="Times New Roman"/>
          <w:sz w:val="24"/>
        </w:rPr>
        <w:t>This paragraph specifies that these AML/CTF Rules have been made under section 229 of the AML/CTF Act for the purposes of subsection 247(4) of the AML/CTF Act.</w:t>
      </w:r>
    </w:p>
    <w:p w14:paraId="264F59FE" w14:textId="77777777" w:rsidR="00CD4FA5" w:rsidRPr="00CD4FA5" w:rsidRDefault="00CD4FA5" w:rsidP="00CD4FA5">
      <w:pPr>
        <w:spacing w:before="240"/>
        <w:rPr>
          <w:rFonts w:ascii="Times New Roman" w:hAnsi="Times New Roman"/>
          <w:b/>
          <w:sz w:val="24"/>
        </w:rPr>
      </w:pPr>
      <w:r w:rsidRPr="00CD4FA5">
        <w:rPr>
          <w:rFonts w:ascii="Times New Roman" w:hAnsi="Times New Roman"/>
          <w:b/>
          <w:sz w:val="24"/>
        </w:rPr>
        <w:t>Paragraph 74.2</w:t>
      </w:r>
    </w:p>
    <w:p w14:paraId="4D3C355F" w14:textId="65C19F5B" w:rsidR="00CD4FA5" w:rsidRPr="00CD4FA5" w:rsidRDefault="00CD4FA5" w:rsidP="00CD4FA5">
      <w:pPr>
        <w:spacing w:before="240"/>
        <w:rPr>
          <w:rFonts w:ascii="Times New Roman" w:hAnsi="Times New Roman"/>
          <w:sz w:val="24"/>
        </w:rPr>
      </w:pPr>
      <w:r w:rsidRPr="00CD4FA5">
        <w:rPr>
          <w:rFonts w:ascii="Times New Roman" w:hAnsi="Times New Roman"/>
          <w:sz w:val="24"/>
        </w:rPr>
        <w:t xml:space="preserve">This paragraph </w:t>
      </w:r>
      <w:r w:rsidRPr="00CD4FA5">
        <w:rPr>
          <w:rFonts w:ascii="Times New Roman" w:hAnsi="Times New Roman"/>
          <w:sz w:val="24"/>
          <w:lang w:eastAsia="en-AU"/>
        </w:rPr>
        <w:t xml:space="preserve">sets out the designated services to which the exemption applies and the provisions of the AML/CTF Act from which </w:t>
      </w:r>
      <w:r w:rsidR="00504315">
        <w:rPr>
          <w:rFonts w:ascii="Times New Roman" w:hAnsi="Times New Roman"/>
          <w:sz w:val="24"/>
          <w:lang w:eastAsia="en-AU"/>
        </w:rPr>
        <w:t>licensed trustee companies</w:t>
      </w:r>
      <w:r w:rsidRPr="00CD4FA5">
        <w:rPr>
          <w:rFonts w:ascii="Times New Roman" w:hAnsi="Times New Roman"/>
          <w:sz w:val="24"/>
          <w:lang w:eastAsia="en-AU"/>
        </w:rPr>
        <w:t xml:space="preserve"> are exempted. </w:t>
      </w:r>
    </w:p>
    <w:p w14:paraId="19D85E06" w14:textId="77777777" w:rsidR="00CD4FA5" w:rsidRPr="00CD4FA5" w:rsidRDefault="00CD4FA5" w:rsidP="00CD4FA5">
      <w:pPr>
        <w:spacing w:before="240"/>
        <w:rPr>
          <w:rFonts w:ascii="Times New Roman" w:hAnsi="Times New Roman"/>
          <w:b/>
          <w:sz w:val="24"/>
        </w:rPr>
      </w:pPr>
      <w:r w:rsidRPr="00CD4FA5">
        <w:rPr>
          <w:rFonts w:ascii="Times New Roman" w:hAnsi="Times New Roman"/>
          <w:b/>
          <w:sz w:val="24"/>
        </w:rPr>
        <w:t>Paragraph 74.3</w:t>
      </w:r>
    </w:p>
    <w:p w14:paraId="1C9BBDDC" w14:textId="77777777" w:rsidR="00CD4FA5" w:rsidRPr="00CD4FA5" w:rsidRDefault="00CD4FA5" w:rsidP="00CD4FA5">
      <w:pPr>
        <w:spacing w:before="240"/>
        <w:rPr>
          <w:rFonts w:ascii="Times New Roman" w:hAnsi="Times New Roman"/>
          <w:sz w:val="24"/>
        </w:rPr>
      </w:pPr>
      <w:r w:rsidRPr="00CD4FA5">
        <w:rPr>
          <w:rFonts w:ascii="Times New Roman" w:hAnsi="Times New Roman"/>
          <w:sz w:val="24"/>
        </w:rPr>
        <w:t>This paragraph lists the conditions that must be satisfied for the exemption to apply.</w:t>
      </w:r>
    </w:p>
    <w:p w14:paraId="1DCF64CF" w14:textId="77777777" w:rsidR="00CD4FA5" w:rsidRPr="00CD4FA5" w:rsidRDefault="00CD4FA5" w:rsidP="00CD4FA5">
      <w:pPr>
        <w:spacing w:before="240"/>
        <w:rPr>
          <w:rFonts w:ascii="Times New Roman" w:hAnsi="Times New Roman"/>
          <w:b/>
          <w:sz w:val="24"/>
        </w:rPr>
      </w:pPr>
      <w:r w:rsidRPr="00CD4FA5">
        <w:rPr>
          <w:rFonts w:ascii="Times New Roman" w:hAnsi="Times New Roman"/>
          <w:b/>
          <w:sz w:val="24"/>
        </w:rPr>
        <w:t>Paragraph 74.4</w:t>
      </w:r>
    </w:p>
    <w:p w14:paraId="385B2268" w14:textId="77777777" w:rsidR="00CD4FA5" w:rsidRPr="00CD4FA5" w:rsidRDefault="00CD4FA5" w:rsidP="00CD4FA5">
      <w:pPr>
        <w:spacing w:before="240"/>
        <w:rPr>
          <w:rFonts w:ascii="Times New Roman" w:hAnsi="Times New Roman"/>
          <w:sz w:val="24"/>
        </w:rPr>
      </w:pPr>
      <w:r w:rsidRPr="00CD4FA5">
        <w:rPr>
          <w:rFonts w:ascii="Times New Roman" w:hAnsi="Times New Roman"/>
          <w:sz w:val="24"/>
        </w:rPr>
        <w:t xml:space="preserve">This paragraph specifies that the exemption </w:t>
      </w:r>
      <w:r w:rsidRPr="00CD4FA5">
        <w:rPr>
          <w:rFonts w:ascii="Times New Roman" w:hAnsi="Times New Roman"/>
          <w:sz w:val="24"/>
          <w:lang w:eastAsia="en-AU"/>
        </w:rPr>
        <w:t xml:space="preserve">does not apply where the person is acting in the capacity of a trustee of an inter </w:t>
      </w:r>
      <w:proofErr w:type="spellStart"/>
      <w:r w:rsidRPr="00CD4FA5">
        <w:rPr>
          <w:rFonts w:ascii="Times New Roman" w:hAnsi="Times New Roman"/>
          <w:sz w:val="24"/>
          <w:lang w:eastAsia="en-AU"/>
        </w:rPr>
        <w:t>vivos</w:t>
      </w:r>
      <w:proofErr w:type="spellEnd"/>
      <w:r w:rsidRPr="00CD4FA5">
        <w:rPr>
          <w:rFonts w:ascii="Times New Roman" w:hAnsi="Times New Roman"/>
          <w:sz w:val="24"/>
          <w:lang w:eastAsia="en-AU"/>
        </w:rPr>
        <w:t xml:space="preserve"> trust.</w:t>
      </w:r>
    </w:p>
    <w:p w14:paraId="1B43B504" w14:textId="77777777" w:rsidR="00CD4FA5" w:rsidRPr="00CD4FA5" w:rsidRDefault="00CD4FA5" w:rsidP="00CD4FA5">
      <w:pPr>
        <w:spacing w:before="240"/>
        <w:rPr>
          <w:rFonts w:ascii="Times New Roman" w:hAnsi="Times New Roman"/>
          <w:b/>
          <w:sz w:val="24"/>
        </w:rPr>
      </w:pPr>
      <w:r w:rsidRPr="00CD4FA5">
        <w:rPr>
          <w:rFonts w:ascii="Times New Roman" w:hAnsi="Times New Roman"/>
          <w:b/>
          <w:sz w:val="24"/>
        </w:rPr>
        <w:t>Paragraph 74.5</w:t>
      </w:r>
    </w:p>
    <w:p w14:paraId="0F842E00" w14:textId="7A616952" w:rsidR="00CD4FA5" w:rsidRPr="00CD4FA5" w:rsidRDefault="00CD4FA5" w:rsidP="00CD4FA5">
      <w:pPr>
        <w:spacing w:before="240"/>
        <w:rPr>
          <w:rFonts w:ascii="Times New Roman" w:hAnsi="Times New Roman"/>
          <w:sz w:val="24"/>
        </w:rPr>
      </w:pPr>
      <w:r w:rsidRPr="00CD4FA5">
        <w:rPr>
          <w:rFonts w:ascii="Times New Roman" w:hAnsi="Times New Roman"/>
          <w:sz w:val="24"/>
        </w:rPr>
        <w:t>This paragraph defines the terms</w:t>
      </w:r>
      <w:r w:rsidR="00DB7E90">
        <w:rPr>
          <w:rFonts w:ascii="Times New Roman" w:hAnsi="Times New Roman"/>
          <w:sz w:val="24"/>
        </w:rPr>
        <w:t xml:space="preserve"> for</w:t>
      </w:r>
      <w:r w:rsidRPr="00CD4FA5">
        <w:rPr>
          <w:rFonts w:ascii="Times New Roman" w:hAnsi="Times New Roman"/>
          <w:sz w:val="24"/>
        </w:rPr>
        <w:t xml:space="preserve"> </w:t>
      </w:r>
      <w:r w:rsidRPr="00CD4FA5">
        <w:rPr>
          <w:rFonts w:ascii="Times New Roman" w:hAnsi="Times New Roman"/>
          <w:sz w:val="24"/>
          <w:lang w:eastAsia="en-AU"/>
        </w:rPr>
        <w:t xml:space="preserve">‘licensed trustee company’, ‘statutory office holder’ and ‘inter </w:t>
      </w:r>
      <w:proofErr w:type="spellStart"/>
      <w:r w:rsidRPr="00CD4FA5">
        <w:rPr>
          <w:rFonts w:ascii="Times New Roman" w:hAnsi="Times New Roman"/>
          <w:sz w:val="24"/>
          <w:lang w:eastAsia="en-AU"/>
        </w:rPr>
        <w:t>vivos</w:t>
      </w:r>
      <w:proofErr w:type="spellEnd"/>
      <w:r w:rsidRPr="00CD4FA5">
        <w:rPr>
          <w:rFonts w:ascii="Times New Roman" w:hAnsi="Times New Roman"/>
          <w:sz w:val="24"/>
          <w:lang w:eastAsia="en-AU"/>
        </w:rPr>
        <w:t xml:space="preserve"> trust’.</w:t>
      </w:r>
    </w:p>
    <w:p w14:paraId="5CE57DC8" w14:textId="77777777" w:rsidR="00CD4FA5" w:rsidRPr="00CD4FA5" w:rsidRDefault="00CD4FA5" w:rsidP="00CD4FA5">
      <w:pPr>
        <w:autoSpaceDE w:val="0"/>
        <w:autoSpaceDN w:val="0"/>
        <w:adjustRightInd w:val="0"/>
        <w:spacing w:before="240"/>
        <w:rPr>
          <w:rFonts w:ascii="Times New Roman" w:hAnsi="Times New Roman"/>
          <w:b/>
          <w:sz w:val="24"/>
        </w:rPr>
      </w:pPr>
      <w:r w:rsidRPr="00CD4FA5">
        <w:rPr>
          <w:rFonts w:ascii="Times New Roman" w:hAnsi="Times New Roman"/>
          <w:b/>
          <w:sz w:val="24"/>
        </w:rPr>
        <w:t>Legislative instruments</w:t>
      </w:r>
    </w:p>
    <w:p w14:paraId="6B173BF1" w14:textId="77777777" w:rsidR="00CD4FA5" w:rsidRDefault="00CD4FA5" w:rsidP="00CD4FA5">
      <w:pPr>
        <w:spacing w:before="240"/>
        <w:rPr>
          <w:rFonts w:ascii="Times New Roman" w:hAnsi="Times New Roman"/>
          <w:sz w:val="24"/>
        </w:rPr>
      </w:pPr>
      <w:r w:rsidRPr="00CD4FA5">
        <w:rPr>
          <w:rFonts w:ascii="Times New Roman" w:hAnsi="Times New Roman"/>
          <w:sz w:val="24"/>
        </w:rPr>
        <w:t xml:space="preserve">These AML/CTF Rules are legislative instruments as defined in section 8 of the </w:t>
      </w:r>
      <w:r w:rsidRPr="00CD4FA5">
        <w:rPr>
          <w:rFonts w:ascii="Times New Roman" w:hAnsi="Times New Roman"/>
          <w:i/>
          <w:sz w:val="24"/>
        </w:rPr>
        <w:t>Legislation Act 2003</w:t>
      </w:r>
      <w:r w:rsidRPr="00CD4FA5">
        <w:rPr>
          <w:rFonts w:ascii="Times New Roman" w:hAnsi="Times New Roman"/>
          <w:sz w:val="24"/>
        </w:rPr>
        <w:t>.</w:t>
      </w:r>
    </w:p>
    <w:p w14:paraId="23FBE2AA" w14:textId="77777777" w:rsidR="00FF525E" w:rsidRDefault="00FF525E" w:rsidP="00CD4FA5">
      <w:pPr>
        <w:spacing w:before="240"/>
        <w:rPr>
          <w:rFonts w:ascii="Times New Roman" w:hAnsi="Times New Roman"/>
          <w:sz w:val="24"/>
        </w:rPr>
      </w:pPr>
    </w:p>
    <w:p w14:paraId="113369A1" w14:textId="77777777" w:rsidR="00FF525E" w:rsidRPr="00CD4FA5" w:rsidRDefault="00FF525E" w:rsidP="00CD4FA5">
      <w:pPr>
        <w:spacing w:before="240"/>
        <w:rPr>
          <w:rFonts w:ascii="Times New Roman" w:hAnsi="Times New Roman"/>
          <w:sz w:val="24"/>
        </w:rPr>
      </w:pPr>
    </w:p>
    <w:p w14:paraId="75638808" w14:textId="77777777" w:rsidR="00CD4FA5" w:rsidRPr="00CD4FA5" w:rsidRDefault="00CD4FA5" w:rsidP="00CD4FA5">
      <w:pPr>
        <w:spacing w:before="240"/>
        <w:rPr>
          <w:rFonts w:ascii="Times New Roman" w:hAnsi="Times New Roman"/>
          <w:b/>
          <w:sz w:val="24"/>
        </w:rPr>
      </w:pPr>
      <w:r w:rsidRPr="00CD4FA5">
        <w:rPr>
          <w:rFonts w:ascii="Times New Roman" w:hAnsi="Times New Roman"/>
          <w:b/>
          <w:sz w:val="24"/>
        </w:rPr>
        <w:lastRenderedPageBreak/>
        <w:t>Likely impact</w:t>
      </w:r>
    </w:p>
    <w:p w14:paraId="066681F0" w14:textId="77777777" w:rsidR="00CD4FA5" w:rsidRPr="00CD4FA5" w:rsidRDefault="00CD4FA5" w:rsidP="00CD4FA5">
      <w:pPr>
        <w:spacing w:before="240"/>
        <w:rPr>
          <w:rFonts w:ascii="Times New Roman" w:hAnsi="Times New Roman"/>
          <w:sz w:val="24"/>
        </w:rPr>
      </w:pPr>
      <w:r w:rsidRPr="00CD4FA5">
        <w:rPr>
          <w:rFonts w:ascii="Times New Roman" w:hAnsi="Times New Roman"/>
          <w:sz w:val="24"/>
        </w:rPr>
        <w:t xml:space="preserve">The amendments to Chapter 59 and the addition of Chapter 74 will have impacts on reporting entities. </w:t>
      </w:r>
    </w:p>
    <w:p w14:paraId="25937E60" w14:textId="77777777" w:rsidR="00CD4FA5" w:rsidRPr="00CD4FA5" w:rsidRDefault="00CD4FA5" w:rsidP="00CD4FA5">
      <w:pPr>
        <w:spacing w:before="240"/>
        <w:rPr>
          <w:rFonts w:ascii="Times New Roman" w:hAnsi="Times New Roman"/>
          <w:b/>
          <w:color w:val="000000"/>
          <w:sz w:val="24"/>
        </w:rPr>
      </w:pPr>
      <w:r w:rsidRPr="00CD4FA5">
        <w:rPr>
          <w:rFonts w:ascii="Times New Roman" w:hAnsi="Times New Roman"/>
          <w:b/>
          <w:color w:val="000000"/>
          <w:sz w:val="24"/>
        </w:rPr>
        <w:t>Assessment of benefits</w:t>
      </w:r>
    </w:p>
    <w:p w14:paraId="687512D1" w14:textId="6B81B2B5" w:rsidR="00304398" w:rsidRDefault="00CD4FA5" w:rsidP="00A247CD">
      <w:pPr>
        <w:autoSpaceDE w:val="0"/>
        <w:autoSpaceDN w:val="0"/>
        <w:adjustRightInd w:val="0"/>
        <w:spacing w:before="240"/>
        <w:rPr>
          <w:rFonts w:ascii="Times New Roman" w:hAnsi="Times New Roman"/>
          <w:sz w:val="24"/>
        </w:rPr>
      </w:pPr>
      <w:r w:rsidRPr="00CD4FA5">
        <w:rPr>
          <w:rFonts w:ascii="Times New Roman" w:hAnsi="Times New Roman"/>
          <w:sz w:val="24"/>
        </w:rPr>
        <w:t xml:space="preserve">The amendments to Chapter 59 will provide greater clarity and certainty for industry in knowing and understanding the basis on which the relevant AUSTRAC CEO </w:t>
      </w:r>
      <w:proofErr w:type="gramStart"/>
      <w:r w:rsidRPr="00CD4FA5">
        <w:rPr>
          <w:rFonts w:ascii="Times New Roman" w:hAnsi="Times New Roman"/>
          <w:sz w:val="24"/>
        </w:rPr>
        <w:t>powers</w:t>
      </w:r>
      <w:proofErr w:type="gramEnd"/>
      <w:r w:rsidRPr="00CD4FA5">
        <w:rPr>
          <w:rFonts w:ascii="Times New Roman" w:hAnsi="Times New Roman"/>
          <w:sz w:val="24"/>
        </w:rPr>
        <w:t xml:space="preserve"> are applied.  Costings were not undertaken for the amendments to Chapter 59 as they are of a minor nature </w:t>
      </w:r>
      <w:r w:rsidR="00304398">
        <w:rPr>
          <w:rFonts w:ascii="Times New Roman" w:hAnsi="Times New Roman"/>
          <w:sz w:val="24"/>
        </w:rPr>
        <w:t xml:space="preserve">and </w:t>
      </w:r>
      <w:r w:rsidRPr="00CD4FA5">
        <w:rPr>
          <w:rFonts w:ascii="Times New Roman" w:hAnsi="Times New Roman"/>
          <w:sz w:val="24"/>
        </w:rPr>
        <w:t>do not substantially alter existing regulatory arrangements.</w:t>
      </w:r>
    </w:p>
    <w:p w14:paraId="2DB324BC" w14:textId="5FA40810" w:rsidR="00CD4FA5" w:rsidRPr="00CD4FA5" w:rsidRDefault="00CD4FA5" w:rsidP="00A247CD">
      <w:pPr>
        <w:autoSpaceDE w:val="0"/>
        <w:autoSpaceDN w:val="0"/>
        <w:adjustRightInd w:val="0"/>
        <w:spacing w:before="240"/>
        <w:rPr>
          <w:rFonts w:ascii="Times New Roman" w:hAnsi="Times New Roman"/>
          <w:sz w:val="24"/>
        </w:rPr>
      </w:pPr>
      <w:r w:rsidRPr="00CD4FA5">
        <w:rPr>
          <w:rFonts w:ascii="Times New Roman" w:hAnsi="Times New Roman"/>
          <w:sz w:val="24"/>
        </w:rPr>
        <w:t xml:space="preserve">The addition of Chapter 74 will provide regulatory relief to licensed trustees from </w:t>
      </w:r>
      <w:r w:rsidR="00504315">
        <w:rPr>
          <w:rFonts w:ascii="Times New Roman" w:hAnsi="Times New Roman"/>
          <w:sz w:val="24"/>
        </w:rPr>
        <w:t xml:space="preserve">complying with </w:t>
      </w:r>
      <w:r w:rsidRPr="00CD4FA5">
        <w:rPr>
          <w:rFonts w:ascii="Times New Roman" w:hAnsi="Times New Roman"/>
          <w:sz w:val="24"/>
        </w:rPr>
        <w:t>certain provisions of the AML/CTF Act while leaving in place obligations which will identify, mitigate and manage ML/TF risk.</w:t>
      </w:r>
    </w:p>
    <w:p w14:paraId="4C94FCFD" w14:textId="77777777" w:rsidR="00CD4FA5" w:rsidRPr="00CD4FA5" w:rsidRDefault="00CD4FA5" w:rsidP="00CD4FA5">
      <w:pPr>
        <w:pStyle w:val="Paragraph"/>
        <w:rPr>
          <w:b/>
          <w:szCs w:val="24"/>
        </w:rPr>
      </w:pPr>
      <w:r w:rsidRPr="00CD4FA5">
        <w:rPr>
          <w:b/>
          <w:szCs w:val="24"/>
        </w:rPr>
        <w:t>Consultation</w:t>
      </w:r>
    </w:p>
    <w:p w14:paraId="295001E3" w14:textId="5F73493D" w:rsidR="00CD4FA5" w:rsidRPr="00CD4FA5" w:rsidRDefault="00CD4FA5" w:rsidP="00A247CD">
      <w:pPr>
        <w:spacing w:before="240"/>
        <w:rPr>
          <w:rFonts w:ascii="Times New Roman" w:hAnsi="Times New Roman"/>
          <w:sz w:val="24"/>
        </w:rPr>
      </w:pPr>
      <w:r w:rsidRPr="00CD4FA5">
        <w:rPr>
          <w:rFonts w:ascii="Times New Roman" w:hAnsi="Times New Roman"/>
          <w:sz w:val="24"/>
        </w:rPr>
        <w:t>The amendments to Chapter 59 were published on the AUSTRAC website from 12 January 201</w:t>
      </w:r>
      <w:r w:rsidR="00504315">
        <w:rPr>
          <w:rFonts w:ascii="Times New Roman" w:hAnsi="Times New Roman"/>
          <w:sz w:val="24"/>
        </w:rPr>
        <w:t>7</w:t>
      </w:r>
      <w:r w:rsidRPr="00CD4FA5">
        <w:rPr>
          <w:rFonts w:ascii="Times New Roman" w:hAnsi="Times New Roman"/>
          <w:sz w:val="24"/>
        </w:rPr>
        <w:t xml:space="preserve"> to 9 February 201</w:t>
      </w:r>
      <w:r w:rsidR="00504315">
        <w:rPr>
          <w:rFonts w:ascii="Times New Roman" w:hAnsi="Times New Roman"/>
          <w:sz w:val="24"/>
        </w:rPr>
        <w:t>7</w:t>
      </w:r>
      <w:r w:rsidRPr="00CD4FA5">
        <w:rPr>
          <w:rFonts w:ascii="Times New Roman" w:hAnsi="Times New Roman"/>
          <w:sz w:val="24"/>
        </w:rPr>
        <w:t>.  Chapter 74 was published on the AUSTRAC website from 7 September 2016 to 5 October 2016.</w:t>
      </w:r>
    </w:p>
    <w:p w14:paraId="7D653767" w14:textId="77777777" w:rsidR="00CD4FA5" w:rsidRPr="00CD4FA5" w:rsidRDefault="00CD4FA5" w:rsidP="00CD4FA5">
      <w:pPr>
        <w:spacing w:before="240"/>
        <w:rPr>
          <w:rFonts w:ascii="Times New Roman" w:hAnsi="Times New Roman"/>
          <w:sz w:val="24"/>
        </w:rPr>
      </w:pPr>
      <w:r w:rsidRPr="00CD4FA5">
        <w:rPr>
          <w:rFonts w:ascii="Times New Roman" w:hAnsi="Times New Roman"/>
          <w:sz w:val="24"/>
        </w:rPr>
        <w:t>AUSTRAC has consulted with the Australian Taxation Office, the Department of Immigration and Border Protection, the Australian Federal Police, the Australian Criminal Intelligence Commission and the Office of the Australian Information Commissioner.</w:t>
      </w:r>
    </w:p>
    <w:p w14:paraId="2F0B77BC" w14:textId="77777777" w:rsidR="00CD4FA5" w:rsidRPr="00CD4FA5" w:rsidRDefault="00CD4FA5" w:rsidP="00CD4FA5">
      <w:pPr>
        <w:spacing w:before="240"/>
        <w:rPr>
          <w:rFonts w:ascii="Times New Roman" w:hAnsi="Times New Roman"/>
          <w:b/>
          <w:sz w:val="24"/>
        </w:rPr>
      </w:pPr>
      <w:r w:rsidRPr="00CD4FA5">
        <w:rPr>
          <w:rFonts w:ascii="Times New Roman" w:hAnsi="Times New Roman"/>
          <w:b/>
          <w:sz w:val="24"/>
        </w:rPr>
        <w:t>Ongoing consultation</w:t>
      </w:r>
    </w:p>
    <w:p w14:paraId="65FD30CD" w14:textId="77777777" w:rsidR="00CD4FA5" w:rsidRPr="00CD4FA5" w:rsidRDefault="00CD4FA5" w:rsidP="00CD4FA5">
      <w:pPr>
        <w:spacing w:before="240"/>
        <w:rPr>
          <w:rFonts w:ascii="Times New Roman" w:hAnsi="Times New Roman"/>
          <w:sz w:val="24"/>
        </w:rPr>
      </w:pPr>
      <w:r w:rsidRPr="00CD4FA5">
        <w:rPr>
          <w:rFonts w:ascii="Times New Roman" w:hAnsi="Times New Roman"/>
          <w:sz w:val="24"/>
        </w:rPr>
        <w:t xml:space="preserve">AUSTRAC will conduct ongoing consultation with stakeholders on the operation of these AML/CTF Rules. </w:t>
      </w:r>
    </w:p>
    <w:p w14:paraId="3D460995" w14:textId="77777777" w:rsidR="00CD4FA5" w:rsidRDefault="00CD4FA5" w:rsidP="00CD4FA5">
      <w:pPr>
        <w:pBdr>
          <w:top w:val="single" w:sz="4" w:space="1" w:color="auto"/>
          <w:left w:val="single" w:sz="4" w:space="4" w:color="auto"/>
          <w:bottom w:val="single" w:sz="4" w:space="1" w:color="auto"/>
          <w:right w:val="single" w:sz="4" w:space="4" w:color="auto"/>
        </w:pBdr>
        <w:jc w:val="center"/>
        <w:rPr>
          <w:rFonts w:ascii="Times New Roman" w:hAnsi="Times New Roman"/>
          <w:b/>
          <w:sz w:val="24"/>
        </w:rPr>
      </w:pPr>
      <w:r w:rsidRPr="00CD4FA5">
        <w:rPr>
          <w:rFonts w:ascii="Times New Roman" w:hAnsi="Times New Roman"/>
          <w:sz w:val="24"/>
        </w:rPr>
        <w:br w:type="page"/>
      </w:r>
      <w:r w:rsidRPr="00CD4FA5">
        <w:rPr>
          <w:rFonts w:ascii="Times New Roman" w:hAnsi="Times New Roman"/>
          <w:b/>
          <w:sz w:val="24"/>
        </w:rPr>
        <w:lastRenderedPageBreak/>
        <w:t>Statement of Compatibility with Human Rights</w:t>
      </w:r>
    </w:p>
    <w:p w14:paraId="64CD9967" w14:textId="77777777" w:rsidR="00304398" w:rsidRPr="00CD4FA5" w:rsidRDefault="00304398" w:rsidP="00CD4FA5">
      <w:pPr>
        <w:pBdr>
          <w:top w:val="single" w:sz="4" w:space="1" w:color="auto"/>
          <w:left w:val="single" w:sz="4" w:space="4" w:color="auto"/>
          <w:bottom w:val="single" w:sz="4" w:space="1" w:color="auto"/>
          <w:right w:val="single" w:sz="4" w:space="4" w:color="auto"/>
        </w:pBdr>
        <w:jc w:val="center"/>
        <w:rPr>
          <w:rFonts w:ascii="Times New Roman" w:hAnsi="Times New Roman"/>
          <w:b/>
          <w:sz w:val="24"/>
        </w:rPr>
      </w:pPr>
    </w:p>
    <w:p w14:paraId="33DF8D15" w14:textId="77777777"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i/>
          <w:sz w:val="24"/>
        </w:rPr>
      </w:pPr>
      <w:r w:rsidRPr="00CD4FA5">
        <w:rPr>
          <w:rFonts w:ascii="Times New Roman" w:hAnsi="Times New Roman"/>
          <w:i/>
          <w:sz w:val="24"/>
        </w:rPr>
        <w:t>Prepared in accordance with Part 3 of the Human Rights (Parliamentary Scrutiny) Act 2011</w:t>
      </w:r>
    </w:p>
    <w:p w14:paraId="465BFCCE" w14:textId="77777777" w:rsidR="00CD4FA5" w:rsidRDefault="00CD4FA5" w:rsidP="00A247CD">
      <w:pPr>
        <w:pBdr>
          <w:top w:val="single" w:sz="4" w:space="1" w:color="auto"/>
          <w:left w:val="single" w:sz="4" w:space="4" w:color="auto"/>
          <w:bottom w:val="single" w:sz="4" w:space="1" w:color="auto"/>
          <w:right w:val="single" w:sz="4" w:space="4" w:color="auto"/>
        </w:pBdr>
        <w:spacing w:before="240"/>
        <w:jc w:val="center"/>
        <w:rPr>
          <w:rFonts w:ascii="Times New Roman" w:hAnsi="Times New Roman"/>
          <w:b/>
          <w:i/>
          <w:sz w:val="24"/>
        </w:rPr>
      </w:pPr>
      <w:r w:rsidRPr="00CD4FA5">
        <w:rPr>
          <w:rFonts w:ascii="Times New Roman" w:hAnsi="Times New Roman"/>
          <w:b/>
          <w:i/>
          <w:sz w:val="24"/>
        </w:rPr>
        <w:t>Anti-Money Laundering and Counter-Terrorism Financing Rules Amendment Instrument 2017 (No. 1)</w:t>
      </w:r>
    </w:p>
    <w:p w14:paraId="1FF7110B" w14:textId="77777777"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r w:rsidRPr="00CD4FA5">
        <w:rPr>
          <w:rFonts w:ascii="Times New Roman" w:hAnsi="Times New Roman"/>
          <w:sz w:val="24"/>
        </w:rPr>
        <w:t xml:space="preserve">This Instrument is compatible with the human rights and freedoms recognised or declared in the international instruments listed in section 3 of the </w:t>
      </w:r>
      <w:r w:rsidRPr="00CD4FA5">
        <w:rPr>
          <w:rFonts w:ascii="Times New Roman" w:hAnsi="Times New Roman"/>
          <w:i/>
          <w:sz w:val="24"/>
        </w:rPr>
        <w:t>Human Rights (Parliamentary Scrutiny) Act 2011</w:t>
      </w:r>
      <w:r w:rsidRPr="00CD4FA5">
        <w:rPr>
          <w:rFonts w:ascii="Times New Roman" w:hAnsi="Times New Roman"/>
          <w:sz w:val="24"/>
        </w:rPr>
        <w:t>.</w:t>
      </w:r>
    </w:p>
    <w:p w14:paraId="4208CB20" w14:textId="77777777" w:rsid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b/>
          <w:sz w:val="24"/>
        </w:rPr>
      </w:pPr>
      <w:r w:rsidRPr="00CD4FA5">
        <w:rPr>
          <w:rFonts w:ascii="Times New Roman" w:hAnsi="Times New Roman"/>
          <w:b/>
          <w:sz w:val="24"/>
        </w:rPr>
        <w:t>Overview of the legislative instrument</w:t>
      </w:r>
    </w:p>
    <w:p w14:paraId="74B17EEF" w14:textId="77777777" w:rsidR="00A247CD" w:rsidRPr="00CD4FA5" w:rsidRDefault="00A247CD" w:rsidP="00A247CD">
      <w:pPr>
        <w:pBdr>
          <w:top w:val="single" w:sz="4" w:space="1" w:color="auto"/>
          <w:left w:val="single" w:sz="4" w:space="4" w:color="auto"/>
          <w:bottom w:val="single" w:sz="4" w:space="1" w:color="auto"/>
          <w:right w:val="single" w:sz="4" w:space="4" w:color="auto"/>
        </w:pBdr>
        <w:spacing w:before="240"/>
        <w:rPr>
          <w:rFonts w:ascii="Times New Roman" w:hAnsi="Times New Roman"/>
          <w:b/>
          <w:sz w:val="24"/>
        </w:rPr>
      </w:pPr>
    </w:p>
    <w:p w14:paraId="5C80E73E" w14:textId="3A10C6C0" w:rsidR="00CD4FA5" w:rsidRPr="00CD4FA5" w:rsidRDefault="00CD4FA5" w:rsidP="00A247CD">
      <w:pPr>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sidRPr="00CD4FA5">
        <w:rPr>
          <w:rFonts w:ascii="Times New Roman" w:hAnsi="Times New Roman"/>
          <w:sz w:val="24"/>
        </w:rPr>
        <w:t xml:space="preserve">The Instrument amends Chapter 59 and will provide greater clarity and certainty for industry in knowing and understanding the basis on which the AUSTRAC CEO </w:t>
      </w:r>
      <w:r w:rsidR="00504315">
        <w:rPr>
          <w:rFonts w:ascii="Times New Roman" w:hAnsi="Times New Roman"/>
          <w:sz w:val="24"/>
        </w:rPr>
        <w:t>can suspend a remittance dealers’ registration</w:t>
      </w:r>
      <w:r w:rsidRPr="00CD4FA5">
        <w:rPr>
          <w:rFonts w:ascii="Times New Roman" w:hAnsi="Times New Roman"/>
          <w:sz w:val="24"/>
        </w:rPr>
        <w:t>.</w:t>
      </w:r>
    </w:p>
    <w:p w14:paraId="6409C8BE" w14:textId="4DB62486"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r w:rsidRPr="00CD4FA5">
        <w:rPr>
          <w:rFonts w:ascii="Times New Roman" w:eastAsia="MS Mincho" w:hAnsi="Times New Roman"/>
          <w:sz w:val="24"/>
        </w:rPr>
        <w:t xml:space="preserve">The Instrument also adds Chapter 74 to the AML/CTF Rules, which </w:t>
      </w:r>
      <w:r w:rsidRPr="00CD4FA5">
        <w:rPr>
          <w:rFonts w:ascii="Times New Roman" w:hAnsi="Times New Roman"/>
          <w:sz w:val="24"/>
        </w:rPr>
        <w:t xml:space="preserve">exempts </w:t>
      </w:r>
      <w:r w:rsidR="00504315">
        <w:rPr>
          <w:rFonts w:ascii="Times New Roman" w:hAnsi="Times New Roman"/>
          <w:sz w:val="24"/>
        </w:rPr>
        <w:t xml:space="preserve">licensed trustees </w:t>
      </w:r>
      <w:r w:rsidRPr="00CD4FA5">
        <w:rPr>
          <w:rFonts w:ascii="Times New Roman" w:hAnsi="Times New Roman"/>
          <w:sz w:val="24"/>
        </w:rPr>
        <w:t xml:space="preserve">from specified provisions of the AML/CTF Act when they provide </w:t>
      </w:r>
      <w:r w:rsidR="00504315">
        <w:rPr>
          <w:rFonts w:ascii="Times New Roman" w:hAnsi="Times New Roman"/>
          <w:sz w:val="24"/>
        </w:rPr>
        <w:t xml:space="preserve">certain </w:t>
      </w:r>
      <w:r w:rsidRPr="00CD4FA5">
        <w:rPr>
          <w:rFonts w:ascii="Times New Roman" w:hAnsi="Times New Roman"/>
          <w:sz w:val="24"/>
        </w:rPr>
        <w:t>designated services in prescribed circumstances.</w:t>
      </w:r>
    </w:p>
    <w:p w14:paraId="1B9B14F4" w14:textId="77777777"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b/>
          <w:sz w:val="24"/>
        </w:rPr>
      </w:pPr>
      <w:r w:rsidRPr="00CD4FA5">
        <w:rPr>
          <w:rFonts w:ascii="Times New Roman" w:hAnsi="Times New Roman"/>
          <w:b/>
          <w:sz w:val="24"/>
        </w:rPr>
        <w:t>Human rights implications</w:t>
      </w:r>
    </w:p>
    <w:p w14:paraId="6610D07A" w14:textId="273DCBAD"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r w:rsidRPr="00CD4FA5">
        <w:rPr>
          <w:rFonts w:ascii="Times New Roman" w:hAnsi="Times New Roman"/>
          <w:sz w:val="24"/>
        </w:rPr>
        <w:t>It is considered that this Instrument does not engage any of the applicable rights or freedoms.</w:t>
      </w:r>
    </w:p>
    <w:p w14:paraId="5525730B" w14:textId="77777777"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b/>
          <w:sz w:val="24"/>
        </w:rPr>
      </w:pPr>
      <w:r w:rsidRPr="00CD4FA5">
        <w:rPr>
          <w:rFonts w:ascii="Times New Roman" w:hAnsi="Times New Roman"/>
          <w:b/>
          <w:sz w:val="24"/>
        </w:rPr>
        <w:t>Conclusion</w:t>
      </w:r>
    </w:p>
    <w:p w14:paraId="649C05C6" w14:textId="77777777"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r w:rsidRPr="00CD4FA5">
        <w:rPr>
          <w:rFonts w:ascii="Times New Roman" w:hAnsi="Times New Roman"/>
          <w:sz w:val="24"/>
        </w:rPr>
        <w:t>This Instrument is, therefore, compatible with human rights as it does not raise any human rights issues.</w:t>
      </w:r>
    </w:p>
    <w:p w14:paraId="5504F49E" w14:textId="77777777"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p>
    <w:p w14:paraId="3A2936B4" w14:textId="08BB63E6" w:rsidR="00CD4FA5" w:rsidRPr="00CD4FA5" w:rsidRDefault="00AB4A86" w:rsidP="00CD4FA5">
      <w:pPr>
        <w:pBdr>
          <w:top w:val="single" w:sz="4" w:space="1" w:color="auto"/>
          <w:left w:val="single" w:sz="4" w:space="4" w:color="auto"/>
          <w:bottom w:val="single" w:sz="4" w:space="1" w:color="auto"/>
          <w:right w:val="single" w:sz="4" w:space="4" w:color="auto"/>
        </w:pBdr>
        <w:rPr>
          <w:rFonts w:ascii="Times New Roman" w:hAnsi="Times New Roman"/>
          <w:sz w:val="24"/>
        </w:rPr>
      </w:pPr>
      <w:r>
        <w:rPr>
          <w:rFonts w:ascii="Times New Roman" w:hAnsi="Times New Roman"/>
          <w:sz w:val="24"/>
        </w:rPr>
        <w:t>Peter Clark</w:t>
      </w:r>
    </w:p>
    <w:p w14:paraId="5A24610B" w14:textId="21C122A0" w:rsidR="00CD4FA5" w:rsidRPr="00CD4FA5" w:rsidRDefault="00AB4A86" w:rsidP="00CD4FA5">
      <w:pPr>
        <w:pBdr>
          <w:top w:val="single" w:sz="4" w:space="1" w:color="auto"/>
          <w:left w:val="single" w:sz="4" w:space="4" w:color="auto"/>
          <w:bottom w:val="single" w:sz="4" w:space="1" w:color="auto"/>
          <w:right w:val="single" w:sz="4" w:space="4" w:color="auto"/>
        </w:pBdr>
        <w:rPr>
          <w:rFonts w:ascii="Times New Roman" w:hAnsi="Times New Roman"/>
          <w:sz w:val="24"/>
        </w:rPr>
      </w:pPr>
      <w:r>
        <w:rPr>
          <w:rFonts w:ascii="Times New Roman" w:hAnsi="Times New Roman"/>
          <w:sz w:val="24"/>
        </w:rPr>
        <w:t xml:space="preserve">Deputy </w:t>
      </w:r>
      <w:r w:rsidR="00CD4FA5" w:rsidRPr="00CD4FA5">
        <w:rPr>
          <w:rFonts w:ascii="Times New Roman" w:hAnsi="Times New Roman"/>
          <w:sz w:val="24"/>
        </w:rPr>
        <w:t>Chief Executive Officer</w:t>
      </w:r>
    </w:p>
    <w:p w14:paraId="40ABD20A" w14:textId="77777777" w:rsidR="00CD4FA5" w:rsidRPr="00CD4FA5" w:rsidRDefault="00CD4FA5" w:rsidP="00CD4FA5">
      <w:pPr>
        <w:pBdr>
          <w:top w:val="single" w:sz="4" w:space="1" w:color="auto"/>
          <w:left w:val="single" w:sz="4" w:space="4" w:color="auto"/>
          <w:bottom w:val="single" w:sz="4" w:space="1" w:color="auto"/>
          <w:right w:val="single" w:sz="4" w:space="4" w:color="auto"/>
        </w:pBdr>
        <w:rPr>
          <w:rFonts w:ascii="Times New Roman" w:hAnsi="Times New Roman"/>
          <w:sz w:val="24"/>
        </w:rPr>
      </w:pPr>
      <w:r w:rsidRPr="00CD4FA5">
        <w:rPr>
          <w:rFonts w:ascii="Times New Roman" w:hAnsi="Times New Roman"/>
          <w:sz w:val="24"/>
        </w:rPr>
        <w:t>Australian Transaction Reports and Analysis Centre</w:t>
      </w:r>
    </w:p>
    <w:sectPr w:rsidR="00CD4FA5" w:rsidRPr="00CD4FA5" w:rsidSect="0091656F">
      <w:footerReference w:type="even" r:id="rId10"/>
      <w:footerReference w:type="default" r:id="rId11"/>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2029E" w14:textId="77777777" w:rsidR="00FD6954" w:rsidRDefault="00FD6954">
      <w:r>
        <w:separator/>
      </w:r>
    </w:p>
  </w:endnote>
  <w:endnote w:type="continuationSeparator" w:id="0">
    <w:p w14:paraId="1CED8562" w14:textId="77777777" w:rsidR="00FD6954" w:rsidRDefault="00FD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4BEE1" w14:textId="77777777" w:rsidR="00FD6954" w:rsidRDefault="00FD6954" w:rsidP="003F25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07F4">
      <w:rPr>
        <w:rStyle w:val="PageNumber"/>
        <w:noProof/>
      </w:rPr>
      <w:t>6</w:t>
    </w:r>
    <w:r>
      <w:rPr>
        <w:rStyle w:val="PageNumber"/>
      </w:rPr>
      <w:fldChar w:fldCharType="end"/>
    </w:r>
  </w:p>
  <w:p w14:paraId="74EB9ADF" w14:textId="77777777" w:rsidR="00FD6954" w:rsidRDefault="00FD69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D0745" w14:textId="77777777" w:rsidR="00FD6954" w:rsidRDefault="00FD6954" w:rsidP="003F25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6303">
      <w:rPr>
        <w:rStyle w:val="PageNumber"/>
        <w:noProof/>
      </w:rPr>
      <w:t>2</w:t>
    </w:r>
    <w:r>
      <w:rPr>
        <w:rStyle w:val="PageNumber"/>
      </w:rPr>
      <w:fldChar w:fldCharType="end"/>
    </w:r>
  </w:p>
  <w:p w14:paraId="1D4C9A6A" w14:textId="77777777" w:rsidR="00FD6954" w:rsidRDefault="00FD6954" w:rsidP="003B752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02A4F" w14:textId="77777777" w:rsidR="00FD6954" w:rsidRDefault="00FD6954">
      <w:r>
        <w:separator/>
      </w:r>
    </w:p>
  </w:footnote>
  <w:footnote w:type="continuationSeparator" w:id="0">
    <w:p w14:paraId="385BED6D" w14:textId="77777777" w:rsidR="00FD6954" w:rsidRDefault="00FD6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503"/>
    <w:multiLevelType w:val="hybridMultilevel"/>
    <w:tmpl w:val="FDC2C2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3126EF2"/>
    <w:multiLevelType w:val="hybridMultilevel"/>
    <w:tmpl w:val="8BE0A230"/>
    <w:lvl w:ilvl="0" w:tplc="5AF4C4D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8252079"/>
    <w:multiLevelType w:val="hybridMultilevel"/>
    <w:tmpl w:val="D42C468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
    <w:nsid w:val="0C6D6350"/>
    <w:multiLevelType w:val="hybridMultilevel"/>
    <w:tmpl w:val="427E53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0F6B255C"/>
    <w:multiLevelType w:val="hybridMultilevel"/>
    <w:tmpl w:val="D1C87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5A2E73"/>
    <w:multiLevelType w:val="hybridMultilevel"/>
    <w:tmpl w:val="626638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9A32BF4"/>
    <w:multiLevelType w:val="hybridMultilevel"/>
    <w:tmpl w:val="C6288D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1CBD24EF"/>
    <w:multiLevelType w:val="hybridMultilevel"/>
    <w:tmpl w:val="60F407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3AD4AC9"/>
    <w:multiLevelType w:val="hybridMultilevel"/>
    <w:tmpl w:val="3C54B8EA"/>
    <w:lvl w:ilvl="0" w:tplc="4AAAE60E">
      <w:start w:val="17"/>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2853313A"/>
    <w:multiLevelType w:val="hybridMultilevel"/>
    <w:tmpl w:val="93804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8C13A8D"/>
    <w:multiLevelType w:val="hybridMultilevel"/>
    <w:tmpl w:val="FDB83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CCC40D1"/>
    <w:multiLevelType w:val="hybridMultilevel"/>
    <w:tmpl w:val="F880D4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2F06278F"/>
    <w:multiLevelType w:val="multilevel"/>
    <w:tmpl w:val="FF9C90D0"/>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0DC16C4"/>
    <w:multiLevelType w:val="hybridMultilevel"/>
    <w:tmpl w:val="57B2ABA4"/>
    <w:lvl w:ilvl="0" w:tplc="FFB6A95A">
      <w:start w:val="1"/>
      <w:numFmt w:val="decimal"/>
      <w:lvlText w:val="%1."/>
      <w:lvlJc w:val="left"/>
      <w:pPr>
        <w:ind w:left="360" w:hanging="360"/>
      </w:pPr>
      <w:rPr>
        <w:rFonts w:ascii="Times New Roman" w:eastAsia="Times New Roman" w:hAnsi="Times New Roman" w:cs="Times New Roman"/>
      </w:rPr>
    </w:lvl>
    <w:lvl w:ilvl="1" w:tplc="515A7CE6">
      <w:start w:val="1"/>
      <w:numFmt w:val="lowerLetter"/>
      <w:lvlText w:val="(%2)"/>
      <w:lvlJc w:val="left"/>
      <w:pPr>
        <w:ind w:left="1080" w:hanging="360"/>
      </w:pPr>
      <w:rPr>
        <w:rFonts w:ascii="Times New Roman" w:eastAsia="Times New Roman" w:hAnsi="Times New Roman" w:cs="Times New Roman"/>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9CB548B"/>
    <w:multiLevelType w:val="hybridMultilevel"/>
    <w:tmpl w:val="3A08B9A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5">
    <w:nsid w:val="3D6F0001"/>
    <w:multiLevelType w:val="hybridMultilevel"/>
    <w:tmpl w:val="9A763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212D74"/>
    <w:multiLevelType w:val="hybridMultilevel"/>
    <w:tmpl w:val="04429D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04A293B"/>
    <w:multiLevelType w:val="hybridMultilevel"/>
    <w:tmpl w:val="830A868E"/>
    <w:lvl w:ilvl="0" w:tplc="F6606D1A">
      <w:start w:val="1"/>
      <w:numFmt w:val="bullet"/>
      <w:lvlText w:val=""/>
      <w:lvlJc w:val="left"/>
      <w:pPr>
        <w:tabs>
          <w:tab w:val="num" w:pos="0"/>
        </w:tabs>
        <w:ind w:left="17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2807B4B"/>
    <w:multiLevelType w:val="hybridMultilevel"/>
    <w:tmpl w:val="7D3A8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AF029E9"/>
    <w:multiLevelType w:val="hybridMultilevel"/>
    <w:tmpl w:val="27B6D4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F98301C"/>
    <w:multiLevelType w:val="hybridMultilevel"/>
    <w:tmpl w:val="B7A0FB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517670BA"/>
    <w:multiLevelType w:val="hybridMultilevel"/>
    <w:tmpl w:val="9C0CDF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20C64AE"/>
    <w:multiLevelType w:val="hybridMultilevel"/>
    <w:tmpl w:val="A7C6D62A"/>
    <w:lvl w:ilvl="0" w:tplc="1FECFAA6">
      <w:start w:val="1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5296005F"/>
    <w:multiLevelType w:val="hybridMultilevel"/>
    <w:tmpl w:val="AB989A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2FC5908"/>
    <w:multiLevelType w:val="hybridMultilevel"/>
    <w:tmpl w:val="A32C36E0"/>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5">
    <w:nsid w:val="58C65A21"/>
    <w:multiLevelType w:val="hybridMultilevel"/>
    <w:tmpl w:val="EEF4C094"/>
    <w:lvl w:ilvl="0" w:tplc="5AF4C4DC">
      <w:start w:val="30"/>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FC13A1B"/>
    <w:multiLevelType w:val="hybridMultilevel"/>
    <w:tmpl w:val="4C8E725C"/>
    <w:lvl w:ilvl="0" w:tplc="F6606D1A">
      <w:start w:val="1"/>
      <w:numFmt w:val="bullet"/>
      <w:lvlText w:val=""/>
      <w:lvlJc w:val="left"/>
      <w:pPr>
        <w:tabs>
          <w:tab w:val="num" w:pos="1500"/>
        </w:tabs>
        <w:ind w:left="1670" w:hanging="170"/>
      </w:pPr>
      <w:rPr>
        <w:rFonts w:ascii="Symbol" w:hAnsi="Symbol" w:hint="default"/>
      </w:rPr>
    </w:lvl>
    <w:lvl w:ilvl="1" w:tplc="0C090003" w:tentative="1">
      <w:start w:val="1"/>
      <w:numFmt w:val="bullet"/>
      <w:lvlText w:val="o"/>
      <w:lvlJc w:val="left"/>
      <w:pPr>
        <w:tabs>
          <w:tab w:val="num" w:pos="2940"/>
        </w:tabs>
        <w:ind w:left="2940" w:hanging="360"/>
      </w:pPr>
      <w:rPr>
        <w:rFonts w:ascii="Courier New" w:hAnsi="Courier New" w:cs="Courier New" w:hint="default"/>
      </w:rPr>
    </w:lvl>
    <w:lvl w:ilvl="2" w:tplc="0C090005" w:tentative="1">
      <w:start w:val="1"/>
      <w:numFmt w:val="bullet"/>
      <w:lvlText w:val=""/>
      <w:lvlJc w:val="left"/>
      <w:pPr>
        <w:tabs>
          <w:tab w:val="num" w:pos="3660"/>
        </w:tabs>
        <w:ind w:left="3660" w:hanging="360"/>
      </w:pPr>
      <w:rPr>
        <w:rFonts w:ascii="Wingdings" w:hAnsi="Wingdings" w:hint="default"/>
      </w:rPr>
    </w:lvl>
    <w:lvl w:ilvl="3" w:tplc="0C090001" w:tentative="1">
      <w:start w:val="1"/>
      <w:numFmt w:val="bullet"/>
      <w:lvlText w:val=""/>
      <w:lvlJc w:val="left"/>
      <w:pPr>
        <w:tabs>
          <w:tab w:val="num" w:pos="4380"/>
        </w:tabs>
        <w:ind w:left="4380" w:hanging="360"/>
      </w:pPr>
      <w:rPr>
        <w:rFonts w:ascii="Symbol" w:hAnsi="Symbol" w:hint="default"/>
      </w:rPr>
    </w:lvl>
    <w:lvl w:ilvl="4" w:tplc="0C090003" w:tentative="1">
      <w:start w:val="1"/>
      <w:numFmt w:val="bullet"/>
      <w:lvlText w:val="o"/>
      <w:lvlJc w:val="left"/>
      <w:pPr>
        <w:tabs>
          <w:tab w:val="num" w:pos="5100"/>
        </w:tabs>
        <w:ind w:left="5100" w:hanging="360"/>
      </w:pPr>
      <w:rPr>
        <w:rFonts w:ascii="Courier New" w:hAnsi="Courier New" w:cs="Courier New" w:hint="default"/>
      </w:rPr>
    </w:lvl>
    <w:lvl w:ilvl="5" w:tplc="0C090005" w:tentative="1">
      <w:start w:val="1"/>
      <w:numFmt w:val="bullet"/>
      <w:lvlText w:val=""/>
      <w:lvlJc w:val="left"/>
      <w:pPr>
        <w:tabs>
          <w:tab w:val="num" w:pos="5820"/>
        </w:tabs>
        <w:ind w:left="5820" w:hanging="360"/>
      </w:pPr>
      <w:rPr>
        <w:rFonts w:ascii="Wingdings" w:hAnsi="Wingdings" w:hint="default"/>
      </w:rPr>
    </w:lvl>
    <w:lvl w:ilvl="6" w:tplc="0C090001" w:tentative="1">
      <w:start w:val="1"/>
      <w:numFmt w:val="bullet"/>
      <w:lvlText w:val=""/>
      <w:lvlJc w:val="left"/>
      <w:pPr>
        <w:tabs>
          <w:tab w:val="num" w:pos="6540"/>
        </w:tabs>
        <w:ind w:left="6540" w:hanging="360"/>
      </w:pPr>
      <w:rPr>
        <w:rFonts w:ascii="Symbol" w:hAnsi="Symbol" w:hint="default"/>
      </w:rPr>
    </w:lvl>
    <w:lvl w:ilvl="7" w:tplc="0C090003" w:tentative="1">
      <w:start w:val="1"/>
      <w:numFmt w:val="bullet"/>
      <w:lvlText w:val="o"/>
      <w:lvlJc w:val="left"/>
      <w:pPr>
        <w:tabs>
          <w:tab w:val="num" w:pos="7260"/>
        </w:tabs>
        <w:ind w:left="7260" w:hanging="360"/>
      </w:pPr>
      <w:rPr>
        <w:rFonts w:ascii="Courier New" w:hAnsi="Courier New" w:cs="Courier New" w:hint="default"/>
      </w:rPr>
    </w:lvl>
    <w:lvl w:ilvl="8" w:tplc="0C090005" w:tentative="1">
      <w:start w:val="1"/>
      <w:numFmt w:val="bullet"/>
      <w:lvlText w:val=""/>
      <w:lvlJc w:val="left"/>
      <w:pPr>
        <w:tabs>
          <w:tab w:val="num" w:pos="7980"/>
        </w:tabs>
        <w:ind w:left="7980" w:hanging="360"/>
      </w:pPr>
      <w:rPr>
        <w:rFonts w:ascii="Wingdings" w:hAnsi="Wingdings" w:hint="default"/>
      </w:rPr>
    </w:lvl>
  </w:abstractNum>
  <w:abstractNum w:abstractNumId="27">
    <w:nsid w:val="5FE80D0D"/>
    <w:multiLevelType w:val="hybridMultilevel"/>
    <w:tmpl w:val="D6EA8562"/>
    <w:lvl w:ilvl="0" w:tplc="78ACFE64">
      <w:start w:val="1"/>
      <w:numFmt w:val="decimal"/>
      <w:lvlText w:val="%1."/>
      <w:lvlJc w:val="left"/>
      <w:pPr>
        <w:tabs>
          <w:tab w:val="num" w:pos="720"/>
        </w:tabs>
        <w:ind w:left="720" w:hanging="360"/>
      </w:pPr>
      <w:rPr>
        <w:rFonts w:hint="default"/>
        <w:b w:val="0"/>
        <w:i w:val="0"/>
        <w:sz w:val="24"/>
        <w:szCs w:val="24"/>
      </w:rPr>
    </w:lvl>
    <w:lvl w:ilvl="1" w:tplc="F6606D1A">
      <w:start w:val="1"/>
      <w:numFmt w:val="bullet"/>
      <w:lvlText w:val=""/>
      <w:lvlJc w:val="left"/>
      <w:pPr>
        <w:tabs>
          <w:tab w:val="num" w:pos="1080"/>
        </w:tabs>
        <w:ind w:left="1250" w:hanging="170"/>
      </w:pPr>
      <w:rPr>
        <w:rFonts w:ascii="Symbol" w:hAnsi="Symbol" w:hint="default"/>
        <w:sz w:val="24"/>
        <w:szCs w:val="24"/>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64F429FD"/>
    <w:multiLevelType w:val="hybridMultilevel"/>
    <w:tmpl w:val="5A1A1DA4"/>
    <w:lvl w:ilvl="0" w:tplc="414099EC">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nsid w:val="65B173D7"/>
    <w:multiLevelType w:val="hybridMultilevel"/>
    <w:tmpl w:val="AD9CF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5BF2A2F"/>
    <w:multiLevelType w:val="multilevel"/>
    <w:tmpl w:val="468CB70C"/>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64070E2"/>
    <w:multiLevelType w:val="hybridMultilevel"/>
    <w:tmpl w:val="3B90928A"/>
    <w:lvl w:ilvl="0" w:tplc="952667DA">
      <w:start w:val="2"/>
      <w:numFmt w:val="decimal"/>
      <w:lvlText w:val="(%1)"/>
      <w:lvlJc w:val="left"/>
      <w:pPr>
        <w:ind w:left="1080" w:hanging="360"/>
      </w:pPr>
      <w:rPr>
        <w:rFonts w:hint="default"/>
      </w:rPr>
    </w:lvl>
    <w:lvl w:ilvl="1" w:tplc="3B4C537C">
      <w:start w:val="1"/>
      <w:numFmt w:val="lowerLetter"/>
      <w:lvlText w:val="(%2)"/>
      <w:lvlJc w:val="left"/>
      <w:pPr>
        <w:ind w:left="1800" w:hanging="360"/>
      </w:pPr>
      <w:rPr>
        <w:rFonts w:ascii="Times New Roman" w:eastAsia="Times New Roman" w:hAnsi="Times New Roman" w:cs="Times New Roman"/>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689A19DC"/>
    <w:multiLevelType w:val="multilevel"/>
    <w:tmpl w:val="5100D6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8C34085"/>
    <w:multiLevelType w:val="hybridMultilevel"/>
    <w:tmpl w:val="ECEA7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BCC4578"/>
    <w:multiLevelType w:val="hybridMultilevel"/>
    <w:tmpl w:val="A134CFE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5">
    <w:nsid w:val="6DC2042D"/>
    <w:multiLevelType w:val="hybridMultilevel"/>
    <w:tmpl w:val="A9B2C40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6">
    <w:nsid w:val="7101756C"/>
    <w:multiLevelType w:val="hybridMultilevel"/>
    <w:tmpl w:val="1834CE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737E09C7"/>
    <w:multiLevelType w:val="hybridMultilevel"/>
    <w:tmpl w:val="7196F280"/>
    <w:lvl w:ilvl="0" w:tplc="04463F80">
      <w:start w:val="1"/>
      <w:numFmt w:val="decimal"/>
      <w:lvlText w:val="(%1)"/>
      <w:lvlJc w:val="left"/>
      <w:pPr>
        <w:tabs>
          <w:tab w:val="num" w:pos="1110"/>
        </w:tabs>
        <w:ind w:left="1110" w:hanging="39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8">
    <w:nsid w:val="75493ED5"/>
    <w:multiLevelType w:val="hybridMultilevel"/>
    <w:tmpl w:val="041015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27"/>
  </w:num>
  <w:num w:numId="3">
    <w:abstractNumId w:val="1"/>
  </w:num>
  <w:num w:numId="4">
    <w:abstractNumId w:val="25"/>
  </w:num>
  <w:num w:numId="5">
    <w:abstractNumId w:val="32"/>
  </w:num>
  <w:num w:numId="6">
    <w:abstractNumId w:val="22"/>
  </w:num>
  <w:num w:numId="7">
    <w:abstractNumId w:val="37"/>
  </w:num>
  <w:num w:numId="8">
    <w:abstractNumId w:val="30"/>
  </w:num>
  <w:num w:numId="9">
    <w:abstractNumId w:val="12"/>
  </w:num>
  <w:num w:numId="10">
    <w:abstractNumId w:val="26"/>
  </w:num>
  <w:num w:numId="11">
    <w:abstractNumId w:val="17"/>
  </w:num>
  <w:num w:numId="12">
    <w:abstractNumId w:val="28"/>
  </w:num>
  <w:num w:numId="13">
    <w:abstractNumId w:val="9"/>
  </w:num>
  <w:num w:numId="14">
    <w:abstractNumId w:val="3"/>
  </w:num>
  <w:num w:numId="15">
    <w:abstractNumId w:val="6"/>
  </w:num>
  <w:num w:numId="16">
    <w:abstractNumId w:val="13"/>
  </w:num>
  <w:num w:numId="17">
    <w:abstractNumId w:val="31"/>
  </w:num>
  <w:num w:numId="18">
    <w:abstractNumId w:val="5"/>
  </w:num>
  <w:num w:numId="19">
    <w:abstractNumId w:val="0"/>
  </w:num>
  <w:num w:numId="20">
    <w:abstractNumId w:val="33"/>
  </w:num>
  <w:num w:numId="21">
    <w:abstractNumId w:val="23"/>
  </w:num>
  <w:num w:numId="22">
    <w:abstractNumId w:val="18"/>
  </w:num>
  <w:num w:numId="23">
    <w:abstractNumId w:val="7"/>
  </w:num>
  <w:num w:numId="24">
    <w:abstractNumId w:val="16"/>
  </w:num>
  <w:num w:numId="25">
    <w:abstractNumId w:val="35"/>
  </w:num>
  <w:num w:numId="26">
    <w:abstractNumId w:val="19"/>
  </w:num>
  <w:num w:numId="27">
    <w:abstractNumId w:val="20"/>
  </w:num>
  <w:num w:numId="28">
    <w:abstractNumId w:val="2"/>
  </w:num>
  <w:num w:numId="29">
    <w:abstractNumId w:val="24"/>
  </w:num>
  <w:num w:numId="30">
    <w:abstractNumId w:val="14"/>
  </w:num>
  <w:num w:numId="31">
    <w:abstractNumId w:val="34"/>
  </w:num>
  <w:num w:numId="32">
    <w:abstractNumId w:val="10"/>
  </w:num>
  <w:num w:numId="33">
    <w:abstractNumId w:val="4"/>
  </w:num>
  <w:num w:numId="34">
    <w:abstractNumId w:val="29"/>
  </w:num>
  <w:num w:numId="35">
    <w:abstractNumId w:val="15"/>
  </w:num>
  <w:num w:numId="36">
    <w:abstractNumId w:val="38"/>
  </w:num>
  <w:num w:numId="37">
    <w:abstractNumId w:val="36"/>
  </w:num>
  <w:num w:numId="38">
    <w:abstractNumId w:val="8"/>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524"/>
    <w:rsid w:val="0000129C"/>
    <w:rsid w:val="00002D59"/>
    <w:rsid w:val="00004237"/>
    <w:rsid w:val="00005185"/>
    <w:rsid w:val="0001158F"/>
    <w:rsid w:val="00011BFD"/>
    <w:rsid w:val="00013686"/>
    <w:rsid w:val="000222A4"/>
    <w:rsid w:val="00024C66"/>
    <w:rsid w:val="00027747"/>
    <w:rsid w:val="00033B8D"/>
    <w:rsid w:val="00035795"/>
    <w:rsid w:val="000358DA"/>
    <w:rsid w:val="00037327"/>
    <w:rsid w:val="000430D4"/>
    <w:rsid w:val="00050CE5"/>
    <w:rsid w:val="00051713"/>
    <w:rsid w:val="00053A7A"/>
    <w:rsid w:val="000572EA"/>
    <w:rsid w:val="00057C98"/>
    <w:rsid w:val="0006328D"/>
    <w:rsid w:val="00072759"/>
    <w:rsid w:val="00075472"/>
    <w:rsid w:val="0008191B"/>
    <w:rsid w:val="000926BD"/>
    <w:rsid w:val="00092891"/>
    <w:rsid w:val="0009363E"/>
    <w:rsid w:val="000942AF"/>
    <w:rsid w:val="000A0109"/>
    <w:rsid w:val="000A1B36"/>
    <w:rsid w:val="000A25BE"/>
    <w:rsid w:val="000A448C"/>
    <w:rsid w:val="000A71FF"/>
    <w:rsid w:val="000B07C2"/>
    <w:rsid w:val="000B3D22"/>
    <w:rsid w:val="000B4EE1"/>
    <w:rsid w:val="000B7D16"/>
    <w:rsid w:val="000C4CBB"/>
    <w:rsid w:val="000C4DEC"/>
    <w:rsid w:val="000C5E2A"/>
    <w:rsid w:val="000D0E25"/>
    <w:rsid w:val="000D13F2"/>
    <w:rsid w:val="000D143A"/>
    <w:rsid w:val="000D180A"/>
    <w:rsid w:val="000D1DA2"/>
    <w:rsid w:val="000D261E"/>
    <w:rsid w:val="000D4F84"/>
    <w:rsid w:val="000D658D"/>
    <w:rsid w:val="000E63EE"/>
    <w:rsid w:val="000F0AA0"/>
    <w:rsid w:val="00100A29"/>
    <w:rsid w:val="00100E9D"/>
    <w:rsid w:val="00101CDF"/>
    <w:rsid w:val="0010234E"/>
    <w:rsid w:val="0010649D"/>
    <w:rsid w:val="001138C2"/>
    <w:rsid w:val="00115CA1"/>
    <w:rsid w:val="001161BA"/>
    <w:rsid w:val="001212F7"/>
    <w:rsid w:val="00121FC3"/>
    <w:rsid w:val="00122D9B"/>
    <w:rsid w:val="00133529"/>
    <w:rsid w:val="0013429C"/>
    <w:rsid w:val="00134CA6"/>
    <w:rsid w:val="00142983"/>
    <w:rsid w:val="00143BAA"/>
    <w:rsid w:val="00146670"/>
    <w:rsid w:val="00146C29"/>
    <w:rsid w:val="001475BE"/>
    <w:rsid w:val="00151851"/>
    <w:rsid w:val="00151CE0"/>
    <w:rsid w:val="0015491C"/>
    <w:rsid w:val="00156041"/>
    <w:rsid w:val="0015621A"/>
    <w:rsid w:val="00156C39"/>
    <w:rsid w:val="00160041"/>
    <w:rsid w:val="001663D5"/>
    <w:rsid w:val="0017034F"/>
    <w:rsid w:val="00190C40"/>
    <w:rsid w:val="00193377"/>
    <w:rsid w:val="001941DA"/>
    <w:rsid w:val="00194C14"/>
    <w:rsid w:val="001970B1"/>
    <w:rsid w:val="00197E8A"/>
    <w:rsid w:val="001A58BA"/>
    <w:rsid w:val="001A63E8"/>
    <w:rsid w:val="001B005E"/>
    <w:rsid w:val="001B3A61"/>
    <w:rsid w:val="001B679A"/>
    <w:rsid w:val="001B6FCC"/>
    <w:rsid w:val="001B7DCC"/>
    <w:rsid w:val="001C2371"/>
    <w:rsid w:val="001C37C9"/>
    <w:rsid w:val="001C57DA"/>
    <w:rsid w:val="001C5B36"/>
    <w:rsid w:val="001C60F1"/>
    <w:rsid w:val="001C6C6F"/>
    <w:rsid w:val="001D3034"/>
    <w:rsid w:val="001D3559"/>
    <w:rsid w:val="001D3968"/>
    <w:rsid w:val="001D3C6E"/>
    <w:rsid w:val="001D5E25"/>
    <w:rsid w:val="001D6003"/>
    <w:rsid w:val="001E005B"/>
    <w:rsid w:val="001E23BF"/>
    <w:rsid w:val="001E2728"/>
    <w:rsid w:val="001E4D8A"/>
    <w:rsid w:val="001F108A"/>
    <w:rsid w:val="001F396D"/>
    <w:rsid w:val="0020292C"/>
    <w:rsid w:val="00205D35"/>
    <w:rsid w:val="0020702F"/>
    <w:rsid w:val="00207A4E"/>
    <w:rsid w:val="002166F0"/>
    <w:rsid w:val="002222BA"/>
    <w:rsid w:val="00231302"/>
    <w:rsid w:val="00232C59"/>
    <w:rsid w:val="00234EE9"/>
    <w:rsid w:val="002358FE"/>
    <w:rsid w:val="00236988"/>
    <w:rsid w:val="00237735"/>
    <w:rsid w:val="00241858"/>
    <w:rsid w:val="00243298"/>
    <w:rsid w:val="00243C97"/>
    <w:rsid w:val="00244D95"/>
    <w:rsid w:val="00246666"/>
    <w:rsid w:val="00247043"/>
    <w:rsid w:val="002475AC"/>
    <w:rsid w:val="002526C4"/>
    <w:rsid w:val="00252A86"/>
    <w:rsid w:val="0025603C"/>
    <w:rsid w:val="002570AB"/>
    <w:rsid w:val="00261776"/>
    <w:rsid w:val="00263EDA"/>
    <w:rsid w:val="002700FC"/>
    <w:rsid w:val="00270F89"/>
    <w:rsid w:val="00272368"/>
    <w:rsid w:val="002748A5"/>
    <w:rsid w:val="00276CC0"/>
    <w:rsid w:val="00285882"/>
    <w:rsid w:val="00291994"/>
    <w:rsid w:val="00292115"/>
    <w:rsid w:val="002948D1"/>
    <w:rsid w:val="0029686B"/>
    <w:rsid w:val="002A02FC"/>
    <w:rsid w:val="002A0A5F"/>
    <w:rsid w:val="002A5004"/>
    <w:rsid w:val="002A6852"/>
    <w:rsid w:val="002A6B5F"/>
    <w:rsid w:val="002B0655"/>
    <w:rsid w:val="002B0D2D"/>
    <w:rsid w:val="002B4D5C"/>
    <w:rsid w:val="002C10AE"/>
    <w:rsid w:val="002C2936"/>
    <w:rsid w:val="002C3BD6"/>
    <w:rsid w:val="002C75DD"/>
    <w:rsid w:val="002C76AE"/>
    <w:rsid w:val="002D123A"/>
    <w:rsid w:val="002D18EA"/>
    <w:rsid w:val="002D67A4"/>
    <w:rsid w:val="002D7A9B"/>
    <w:rsid w:val="002E74AC"/>
    <w:rsid w:val="002F4E2A"/>
    <w:rsid w:val="003017CC"/>
    <w:rsid w:val="00303AFD"/>
    <w:rsid w:val="00304398"/>
    <w:rsid w:val="0030571B"/>
    <w:rsid w:val="00306189"/>
    <w:rsid w:val="003112C7"/>
    <w:rsid w:val="00313FAF"/>
    <w:rsid w:val="00316294"/>
    <w:rsid w:val="00322DBF"/>
    <w:rsid w:val="00325102"/>
    <w:rsid w:val="00326047"/>
    <w:rsid w:val="00330393"/>
    <w:rsid w:val="003340DB"/>
    <w:rsid w:val="00344E15"/>
    <w:rsid w:val="00345CA1"/>
    <w:rsid w:val="003568F8"/>
    <w:rsid w:val="00363F21"/>
    <w:rsid w:val="00365FD7"/>
    <w:rsid w:val="003676D9"/>
    <w:rsid w:val="003747EE"/>
    <w:rsid w:val="003911F4"/>
    <w:rsid w:val="003912AD"/>
    <w:rsid w:val="003932F4"/>
    <w:rsid w:val="00393952"/>
    <w:rsid w:val="00393D2A"/>
    <w:rsid w:val="003A1795"/>
    <w:rsid w:val="003A3B0B"/>
    <w:rsid w:val="003A49E8"/>
    <w:rsid w:val="003A73B8"/>
    <w:rsid w:val="003B2DDD"/>
    <w:rsid w:val="003B4F88"/>
    <w:rsid w:val="003B7524"/>
    <w:rsid w:val="003C0500"/>
    <w:rsid w:val="003C43B6"/>
    <w:rsid w:val="003C57E7"/>
    <w:rsid w:val="003D1772"/>
    <w:rsid w:val="003D672A"/>
    <w:rsid w:val="003D7390"/>
    <w:rsid w:val="003E07F4"/>
    <w:rsid w:val="003E13D0"/>
    <w:rsid w:val="003E6AA6"/>
    <w:rsid w:val="003F12F1"/>
    <w:rsid w:val="003F166D"/>
    <w:rsid w:val="003F16C9"/>
    <w:rsid w:val="003F250A"/>
    <w:rsid w:val="003F2F59"/>
    <w:rsid w:val="003F5ADD"/>
    <w:rsid w:val="003F623E"/>
    <w:rsid w:val="00402D9E"/>
    <w:rsid w:val="0040415D"/>
    <w:rsid w:val="00404190"/>
    <w:rsid w:val="0040525D"/>
    <w:rsid w:val="004062DD"/>
    <w:rsid w:val="004065F6"/>
    <w:rsid w:val="00412303"/>
    <w:rsid w:val="004132BB"/>
    <w:rsid w:val="00413391"/>
    <w:rsid w:val="00413620"/>
    <w:rsid w:val="0041386C"/>
    <w:rsid w:val="0041387C"/>
    <w:rsid w:val="004171CA"/>
    <w:rsid w:val="0042132D"/>
    <w:rsid w:val="004253AB"/>
    <w:rsid w:val="004255A4"/>
    <w:rsid w:val="00426515"/>
    <w:rsid w:val="00430DA3"/>
    <w:rsid w:val="00431575"/>
    <w:rsid w:val="004321FD"/>
    <w:rsid w:val="00433B24"/>
    <w:rsid w:val="00433C9D"/>
    <w:rsid w:val="0043626D"/>
    <w:rsid w:val="004379C6"/>
    <w:rsid w:val="00445B35"/>
    <w:rsid w:val="004479B7"/>
    <w:rsid w:val="004521B8"/>
    <w:rsid w:val="004571E2"/>
    <w:rsid w:val="00460BA8"/>
    <w:rsid w:val="00460E86"/>
    <w:rsid w:val="004619BB"/>
    <w:rsid w:val="004661D5"/>
    <w:rsid w:val="00474718"/>
    <w:rsid w:val="00474DE4"/>
    <w:rsid w:val="004760F8"/>
    <w:rsid w:val="0048013E"/>
    <w:rsid w:val="00482B80"/>
    <w:rsid w:val="004849C5"/>
    <w:rsid w:val="00484BF4"/>
    <w:rsid w:val="00486E49"/>
    <w:rsid w:val="004878CA"/>
    <w:rsid w:val="0049116B"/>
    <w:rsid w:val="0049443F"/>
    <w:rsid w:val="004A3E59"/>
    <w:rsid w:val="004A49A4"/>
    <w:rsid w:val="004A4CD9"/>
    <w:rsid w:val="004B06CC"/>
    <w:rsid w:val="004B06F0"/>
    <w:rsid w:val="004B17CA"/>
    <w:rsid w:val="004B231F"/>
    <w:rsid w:val="004B3D32"/>
    <w:rsid w:val="004C1454"/>
    <w:rsid w:val="004D1BEF"/>
    <w:rsid w:val="004D29B8"/>
    <w:rsid w:val="004D3937"/>
    <w:rsid w:val="004D4B9B"/>
    <w:rsid w:val="004D6131"/>
    <w:rsid w:val="004F566E"/>
    <w:rsid w:val="004F6865"/>
    <w:rsid w:val="00504315"/>
    <w:rsid w:val="005073C6"/>
    <w:rsid w:val="00507EC4"/>
    <w:rsid w:val="005107A4"/>
    <w:rsid w:val="005114F2"/>
    <w:rsid w:val="005117CC"/>
    <w:rsid w:val="00512DE8"/>
    <w:rsid w:val="00514F91"/>
    <w:rsid w:val="00515AE5"/>
    <w:rsid w:val="00515F66"/>
    <w:rsid w:val="00516303"/>
    <w:rsid w:val="00517752"/>
    <w:rsid w:val="00521F8E"/>
    <w:rsid w:val="0052299B"/>
    <w:rsid w:val="00524990"/>
    <w:rsid w:val="00525E3E"/>
    <w:rsid w:val="00527C66"/>
    <w:rsid w:val="005300D6"/>
    <w:rsid w:val="00531FCB"/>
    <w:rsid w:val="005352F5"/>
    <w:rsid w:val="00535FD4"/>
    <w:rsid w:val="0054012A"/>
    <w:rsid w:val="00542129"/>
    <w:rsid w:val="00543C45"/>
    <w:rsid w:val="005467A0"/>
    <w:rsid w:val="005472C1"/>
    <w:rsid w:val="005474A0"/>
    <w:rsid w:val="005516F3"/>
    <w:rsid w:val="005522D5"/>
    <w:rsid w:val="00555A1B"/>
    <w:rsid w:val="0055701C"/>
    <w:rsid w:val="00560220"/>
    <w:rsid w:val="0056172E"/>
    <w:rsid w:val="00565748"/>
    <w:rsid w:val="00570274"/>
    <w:rsid w:val="005723CF"/>
    <w:rsid w:val="00573FB1"/>
    <w:rsid w:val="00575F3B"/>
    <w:rsid w:val="00580BF2"/>
    <w:rsid w:val="00582944"/>
    <w:rsid w:val="0058606F"/>
    <w:rsid w:val="00592027"/>
    <w:rsid w:val="0059487B"/>
    <w:rsid w:val="00596868"/>
    <w:rsid w:val="005A3C8A"/>
    <w:rsid w:val="005A3F83"/>
    <w:rsid w:val="005B0550"/>
    <w:rsid w:val="005B548D"/>
    <w:rsid w:val="005B5AD3"/>
    <w:rsid w:val="005B5D9A"/>
    <w:rsid w:val="005B6807"/>
    <w:rsid w:val="005B69DB"/>
    <w:rsid w:val="005B7452"/>
    <w:rsid w:val="005C0442"/>
    <w:rsid w:val="005C0E87"/>
    <w:rsid w:val="005C51C8"/>
    <w:rsid w:val="005D1AAB"/>
    <w:rsid w:val="005D51C8"/>
    <w:rsid w:val="005D58B2"/>
    <w:rsid w:val="005D59E2"/>
    <w:rsid w:val="005D650F"/>
    <w:rsid w:val="005D67E7"/>
    <w:rsid w:val="005E5E7F"/>
    <w:rsid w:val="005E600A"/>
    <w:rsid w:val="005E7F24"/>
    <w:rsid w:val="005F2F3D"/>
    <w:rsid w:val="005F5E52"/>
    <w:rsid w:val="005F5F9C"/>
    <w:rsid w:val="0060028C"/>
    <w:rsid w:val="006032DC"/>
    <w:rsid w:val="00603BC5"/>
    <w:rsid w:val="00604416"/>
    <w:rsid w:val="00605791"/>
    <w:rsid w:val="00607A71"/>
    <w:rsid w:val="00611827"/>
    <w:rsid w:val="00613E6B"/>
    <w:rsid w:val="00617ECA"/>
    <w:rsid w:val="00621D05"/>
    <w:rsid w:val="00624DF2"/>
    <w:rsid w:val="00625479"/>
    <w:rsid w:val="006262A1"/>
    <w:rsid w:val="00626E80"/>
    <w:rsid w:val="00627996"/>
    <w:rsid w:val="00627C0B"/>
    <w:rsid w:val="0063048E"/>
    <w:rsid w:val="00631371"/>
    <w:rsid w:val="006361B8"/>
    <w:rsid w:val="00637851"/>
    <w:rsid w:val="00640C28"/>
    <w:rsid w:val="00642710"/>
    <w:rsid w:val="006474D5"/>
    <w:rsid w:val="00650E63"/>
    <w:rsid w:val="006552E8"/>
    <w:rsid w:val="006568C2"/>
    <w:rsid w:val="00656B01"/>
    <w:rsid w:val="00657A4D"/>
    <w:rsid w:val="006613BC"/>
    <w:rsid w:val="00661BFE"/>
    <w:rsid w:val="00662190"/>
    <w:rsid w:val="006757A9"/>
    <w:rsid w:val="006760CB"/>
    <w:rsid w:val="00685865"/>
    <w:rsid w:val="00685FBE"/>
    <w:rsid w:val="006867FD"/>
    <w:rsid w:val="00686BF3"/>
    <w:rsid w:val="006A0527"/>
    <w:rsid w:val="006A44F1"/>
    <w:rsid w:val="006B1285"/>
    <w:rsid w:val="006B2808"/>
    <w:rsid w:val="006B3A2F"/>
    <w:rsid w:val="006B520D"/>
    <w:rsid w:val="006C1ED7"/>
    <w:rsid w:val="006C3F77"/>
    <w:rsid w:val="006D0503"/>
    <w:rsid w:val="006D1560"/>
    <w:rsid w:val="006E438F"/>
    <w:rsid w:val="006E51E2"/>
    <w:rsid w:val="006E5F4D"/>
    <w:rsid w:val="006F4E28"/>
    <w:rsid w:val="006F5D16"/>
    <w:rsid w:val="0070191D"/>
    <w:rsid w:val="0070277B"/>
    <w:rsid w:val="007030C7"/>
    <w:rsid w:val="00703DE2"/>
    <w:rsid w:val="0070408F"/>
    <w:rsid w:val="00704289"/>
    <w:rsid w:val="00706BE4"/>
    <w:rsid w:val="007102B3"/>
    <w:rsid w:val="007103FF"/>
    <w:rsid w:val="00710EA7"/>
    <w:rsid w:val="00712840"/>
    <w:rsid w:val="00713311"/>
    <w:rsid w:val="00715DED"/>
    <w:rsid w:val="007202F1"/>
    <w:rsid w:val="00720D25"/>
    <w:rsid w:val="00722B4C"/>
    <w:rsid w:val="00722E42"/>
    <w:rsid w:val="00723200"/>
    <w:rsid w:val="00725474"/>
    <w:rsid w:val="00730049"/>
    <w:rsid w:val="00731178"/>
    <w:rsid w:val="00731CAB"/>
    <w:rsid w:val="007350B4"/>
    <w:rsid w:val="00736E51"/>
    <w:rsid w:val="007402D2"/>
    <w:rsid w:val="00740E05"/>
    <w:rsid w:val="00743DDD"/>
    <w:rsid w:val="007442E3"/>
    <w:rsid w:val="00745E6D"/>
    <w:rsid w:val="00746C4A"/>
    <w:rsid w:val="00747409"/>
    <w:rsid w:val="00753E95"/>
    <w:rsid w:val="00766E95"/>
    <w:rsid w:val="00774219"/>
    <w:rsid w:val="00775723"/>
    <w:rsid w:val="00775BBE"/>
    <w:rsid w:val="00780E18"/>
    <w:rsid w:val="00784906"/>
    <w:rsid w:val="00785B2D"/>
    <w:rsid w:val="007868DF"/>
    <w:rsid w:val="00787D9C"/>
    <w:rsid w:val="00791450"/>
    <w:rsid w:val="007929FC"/>
    <w:rsid w:val="00794DB6"/>
    <w:rsid w:val="007A4967"/>
    <w:rsid w:val="007A7979"/>
    <w:rsid w:val="007B0B01"/>
    <w:rsid w:val="007B0ECA"/>
    <w:rsid w:val="007B1B95"/>
    <w:rsid w:val="007B404C"/>
    <w:rsid w:val="007C52B3"/>
    <w:rsid w:val="007C6B20"/>
    <w:rsid w:val="007C7671"/>
    <w:rsid w:val="007D0816"/>
    <w:rsid w:val="007D191E"/>
    <w:rsid w:val="007D1961"/>
    <w:rsid w:val="007D2DBB"/>
    <w:rsid w:val="007D3E7B"/>
    <w:rsid w:val="007D52F8"/>
    <w:rsid w:val="007D57F7"/>
    <w:rsid w:val="007D5F87"/>
    <w:rsid w:val="007D7E86"/>
    <w:rsid w:val="007E08A2"/>
    <w:rsid w:val="007E2861"/>
    <w:rsid w:val="007E2D73"/>
    <w:rsid w:val="007E32CD"/>
    <w:rsid w:val="007E6720"/>
    <w:rsid w:val="007E67BF"/>
    <w:rsid w:val="007F2F0F"/>
    <w:rsid w:val="007F6190"/>
    <w:rsid w:val="007F6303"/>
    <w:rsid w:val="007F7874"/>
    <w:rsid w:val="00800383"/>
    <w:rsid w:val="00800465"/>
    <w:rsid w:val="00801D69"/>
    <w:rsid w:val="00803999"/>
    <w:rsid w:val="008156AC"/>
    <w:rsid w:val="008158AC"/>
    <w:rsid w:val="008169EF"/>
    <w:rsid w:val="0082090C"/>
    <w:rsid w:val="00821DE1"/>
    <w:rsid w:val="00822B6C"/>
    <w:rsid w:val="008275EE"/>
    <w:rsid w:val="00832FD7"/>
    <w:rsid w:val="008344D1"/>
    <w:rsid w:val="00834E6A"/>
    <w:rsid w:val="00836D05"/>
    <w:rsid w:val="00842441"/>
    <w:rsid w:val="00844BEE"/>
    <w:rsid w:val="00850188"/>
    <w:rsid w:val="00851AE0"/>
    <w:rsid w:val="00853BDB"/>
    <w:rsid w:val="00853EB5"/>
    <w:rsid w:val="00854FDF"/>
    <w:rsid w:val="00856FD6"/>
    <w:rsid w:val="00860109"/>
    <w:rsid w:val="008634E5"/>
    <w:rsid w:val="008759D0"/>
    <w:rsid w:val="00881FF0"/>
    <w:rsid w:val="0088590B"/>
    <w:rsid w:val="008929D0"/>
    <w:rsid w:val="00893479"/>
    <w:rsid w:val="00893E97"/>
    <w:rsid w:val="008944A3"/>
    <w:rsid w:val="008A5AE5"/>
    <w:rsid w:val="008A602F"/>
    <w:rsid w:val="008B14C4"/>
    <w:rsid w:val="008B2491"/>
    <w:rsid w:val="008B4637"/>
    <w:rsid w:val="008B5AA2"/>
    <w:rsid w:val="008C002C"/>
    <w:rsid w:val="008C3631"/>
    <w:rsid w:val="008C3CEA"/>
    <w:rsid w:val="008C67CA"/>
    <w:rsid w:val="008D00E8"/>
    <w:rsid w:val="008D0E3B"/>
    <w:rsid w:val="008D128E"/>
    <w:rsid w:val="008D1D16"/>
    <w:rsid w:val="008D25B6"/>
    <w:rsid w:val="008E09CA"/>
    <w:rsid w:val="008E4D07"/>
    <w:rsid w:val="008E7F86"/>
    <w:rsid w:val="008F36B9"/>
    <w:rsid w:val="008F5EA5"/>
    <w:rsid w:val="008F6EB6"/>
    <w:rsid w:val="00901510"/>
    <w:rsid w:val="00901A26"/>
    <w:rsid w:val="00903128"/>
    <w:rsid w:val="009103AC"/>
    <w:rsid w:val="00915C8B"/>
    <w:rsid w:val="0091656F"/>
    <w:rsid w:val="00920455"/>
    <w:rsid w:val="00922EA2"/>
    <w:rsid w:val="009413B8"/>
    <w:rsid w:val="009430AC"/>
    <w:rsid w:val="0094470E"/>
    <w:rsid w:val="009451CB"/>
    <w:rsid w:val="009471D1"/>
    <w:rsid w:val="00951A7D"/>
    <w:rsid w:val="009531E4"/>
    <w:rsid w:val="00955AF7"/>
    <w:rsid w:val="0096018A"/>
    <w:rsid w:val="00961CA2"/>
    <w:rsid w:val="00962024"/>
    <w:rsid w:val="0096237A"/>
    <w:rsid w:val="009671EF"/>
    <w:rsid w:val="00972512"/>
    <w:rsid w:val="0097268A"/>
    <w:rsid w:val="0097373B"/>
    <w:rsid w:val="00976AF8"/>
    <w:rsid w:val="009808DB"/>
    <w:rsid w:val="00980BB2"/>
    <w:rsid w:val="00981803"/>
    <w:rsid w:val="00983976"/>
    <w:rsid w:val="00986F88"/>
    <w:rsid w:val="00992FA8"/>
    <w:rsid w:val="00995FE6"/>
    <w:rsid w:val="009A05A7"/>
    <w:rsid w:val="009A188F"/>
    <w:rsid w:val="009A70D8"/>
    <w:rsid w:val="009B18E1"/>
    <w:rsid w:val="009B30D9"/>
    <w:rsid w:val="009B66AA"/>
    <w:rsid w:val="009C2AEA"/>
    <w:rsid w:val="009C7626"/>
    <w:rsid w:val="009D20F2"/>
    <w:rsid w:val="009D4EDA"/>
    <w:rsid w:val="009D7365"/>
    <w:rsid w:val="009E2403"/>
    <w:rsid w:val="009E3615"/>
    <w:rsid w:val="009E3ABB"/>
    <w:rsid w:val="009F1526"/>
    <w:rsid w:val="009F24E4"/>
    <w:rsid w:val="009F55D4"/>
    <w:rsid w:val="009F7B8D"/>
    <w:rsid w:val="00A046E3"/>
    <w:rsid w:val="00A15D25"/>
    <w:rsid w:val="00A15FD8"/>
    <w:rsid w:val="00A220EF"/>
    <w:rsid w:val="00A247CD"/>
    <w:rsid w:val="00A3220B"/>
    <w:rsid w:val="00A33486"/>
    <w:rsid w:val="00A33736"/>
    <w:rsid w:val="00A35354"/>
    <w:rsid w:val="00A364BC"/>
    <w:rsid w:val="00A40D24"/>
    <w:rsid w:val="00A41DC2"/>
    <w:rsid w:val="00A42783"/>
    <w:rsid w:val="00A427FE"/>
    <w:rsid w:val="00A42967"/>
    <w:rsid w:val="00A434EF"/>
    <w:rsid w:val="00A44FB5"/>
    <w:rsid w:val="00A52F00"/>
    <w:rsid w:val="00A55140"/>
    <w:rsid w:val="00A55530"/>
    <w:rsid w:val="00A56A87"/>
    <w:rsid w:val="00A57F33"/>
    <w:rsid w:val="00A629AC"/>
    <w:rsid w:val="00A66647"/>
    <w:rsid w:val="00A66E81"/>
    <w:rsid w:val="00A673EB"/>
    <w:rsid w:val="00A67B86"/>
    <w:rsid w:val="00A72603"/>
    <w:rsid w:val="00A73A2F"/>
    <w:rsid w:val="00A76C79"/>
    <w:rsid w:val="00A810CD"/>
    <w:rsid w:val="00A82F52"/>
    <w:rsid w:val="00A83001"/>
    <w:rsid w:val="00A91296"/>
    <w:rsid w:val="00A920E5"/>
    <w:rsid w:val="00A93FC1"/>
    <w:rsid w:val="00AA28B4"/>
    <w:rsid w:val="00AB3147"/>
    <w:rsid w:val="00AB4A86"/>
    <w:rsid w:val="00AC2B2D"/>
    <w:rsid w:val="00AC4DF8"/>
    <w:rsid w:val="00AC4EFE"/>
    <w:rsid w:val="00AD12F4"/>
    <w:rsid w:val="00AE0609"/>
    <w:rsid w:val="00AE0E61"/>
    <w:rsid w:val="00AE10CB"/>
    <w:rsid w:val="00AE23BF"/>
    <w:rsid w:val="00AE52B2"/>
    <w:rsid w:val="00AE7619"/>
    <w:rsid w:val="00AF361F"/>
    <w:rsid w:val="00AF543F"/>
    <w:rsid w:val="00AF6BAB"/>
    <w:rsid w:val="00B0398F"/>
    <w:rsid w:val="00B05B5F"/>
    <w:rsid w:val="00B06115"/>
    <w:rsid w:val="00B0751C"/>
    <w:rsid w:val="00B12DE7"/>
    <w:rsid w:val="00B12E5F"/>
    <w:rsid w:val="00B142A8"/>
    <w:rsid w:val="00B14DFD"/>
    <w:rsid w:val="00B20C44"/>
    <w:rsid w:val="00B235C2"/>
    <w:rsid w:val="00B268B2"/>
    <w:rsid w:val="00B3042A"/>
    <w:rsid w:val="00B319D0"/>
    <w:rsid w:val="00B35542"/>
    <w:rsid w:val="00B41C9C"/>
    <w:rsid w:val="00B47D6F"/>
    <w:rsid w:val="00B53805"/>
    <w:rsid w:val="00B572B0"/>
    <w:rsid w:val="00B647FD"/>
    <w:rsid w:val="00B66083"/>
    <w:rsid w:val="00B7008F"/>
    <w:rsid w:val="00B70663"/>
    <w:rsid w:val="00B76175"/>
    <w:rsid w:val="00B77480"/>
    <w:rsid w:val="00B804DA"/>
    <w:rsid w:val="00B85A4C"/>
    <w:rsid w:val="00B907A6"/>
    <w:rsid w:val="00B925C6"/>
    <w:rsid w:val="00B936F6"/>
    <w:rsid w:val="00B94373"/>
    <w:rsid w:val="00B950C0"/>
    <w:rsid w:val="00B96862"/>
    <w:rsid w:val="00B969D5"/>
    <w:rsid w:val="00BA0C4A"/>
    <w:rsid w:val="00BA11F5"/>
    <w:rsid w:val="00BA1275"/>
    <w:rsid w:val="00BA2CFE"/>
    <w:rsid w:val="00BA7E86"/>
    <w:rsid w:val="00BB186F"/>
    <w:rsid w:val="00BB454B"/>
    <w:rsid w:val="00BB57CE"/>
    <w:rsid w:val="00BB59CE"/>
    <w:rsid w:val="00BB6C62"/>
    <w:rsid w:val="00BB6FC8"/>
    <w:rsid w:val="00BC0846"/>
    <w:rsid w:val="00BC1C66"/>
    <w:rsid w:val="00BC221B"/>
    <w:rsid w:val="00BC71EB"/>
    <w:rsid w:val="00BD06AD"/>
    <w:rsid w:val="00BD07E8"/>
    <w:rsid w:val="00BD14DB"/>
    <w:rsid w:val="00BD2466"/>
    <w:rsid w:val="00BD3813"/>
    <w:rsid w:val="00BE3D82"/>
    <w:rsid w:val="00BE509D"/>
    <w:rsid w:val="00BF0E87"/>
    <w:rsid w:val="00BF4F6F"/>
    <w:rsid w:val="00BF7EAB"/>
    <w:rsid w:val="00C00D41"/>
    <w:rsid w:val="00C039F5"/>
    <w:rsid w:val="00C13200"/>
    <w:rsid w:val="00C13686"/>
    <w:rsid w:val="00C1446B"/>
    <w:rsid w:val="00C15AD7"/>
    <w:rsid w:val="00C21C37"/>
    <w:rsid w:val="00C32017"/>
    <w:rsid w:val="00C320D4"/>
    <w:rsid w:val="00C3257C"/>
    <w:rsid w:val="00C35234"/>
    <w:rsid w:val="00C3543E"/>
    <w:rsid w:val="00C35547"/>
    <w:rsid w:val="00C40447"/>
    <w:rsid w:val="00C40751"/>
    <w:rsid w:val="00C40CB3"/>
    <w:rsid w:val="00C44C32"/>
    <w:rsid w:val="00C47BCA"/>
    <w:rsid w:val="00C53B7B"/>
    <w:rsid w:val="00C562F5"/>
    <w:rsid w:val="00C5647C"/>
    <w:rsid w:val="00C64858"/>
    <w:rsid w:val="00C672BC"/>
    <w:rsid w:val="00C70146"/>
    <w:rsid w:val="00C74DF5"/>
    <w:rsid w:val="00C813A6"/>
    <w:rsid w:val="00C822A4"/>
    <w:rsid w:val="00C83B9B"/>
    <w:rsid w:val="00C87509"/>
    <w:rsid w:val="00CA0D07"/>
    <w:rsid w:val="00CA1878"/>
    <w:rsid w:val="00CA215F"/>
    <w:rsid w:val="00CA239D"/>
    <w:rsid w:val="00CA497D"/>
    <w:rsid w:val="00CB12E9"/>
    <w:rsid w:val="00CB2871"/>
    <w:rsid w:val="00CB2E92"/>
    <w:rsid w:val="00CB5002"/>
    <w:rsid w:val="00CB6711"/>
    <w:rsid w:val="00CB675F"/>
    <w:rsid w:val="00CC054E"/>
    <w:rsid w:val="00CC0775"/>
    <w:rsid w:val="00CC34D4"/>
    <w:rsid w:val="00CC3776"/>
    <w:rsid w:val="00CD4FA5"/>
    <w:rsid w:val="00CD5822"/>
    <w:rsid w:val="00CE05AD"/>
    <w:rsid w:val="00CE3A3D"/>
    <w:rsid w:val="00CE3E37"/>
    <w:rsid w:val="00CE7678"/>
    <w:rsid w:val="00CE7F16"/>
    <w:rsid w:val="00CF081A"/>
    <w:rsid w:val="00CF3A4F"/>
    <w:rsid w:val="00CF684B"/>
    <w:rsid w:val="00D008C3"/>
    <w:rsid w:val="00D071F3"/>
    <w:rsid w:val="00D07AC3"/>
    <w:rsid w:val="00D13DE2"/>
    <w:rsid w:val="00D13F7F"/>
    <w:rsid w:val="00D17CB5"/>
    <w:rsid w:val="00D21F50"/>
    <w:rsid w:val="00D25D42"/>
    <w:rsid w:val="00D26799"/>
    <w:rsid w:val="00D300A2"/>
    <w:rsid w:val="00D335F0"/>
    <w:rsid w:val="00D34049"/>
    <w:rsid w:val="00D36795"/>
    <w:rsid w:val="00D37860"/>
    <w:rsid w:val="00D426F8"/>
    <w:rsid w:val="00D4382C"/>
    <w:rsid w:val="00D44977"/>
    <w:rsid w:val="00D44DEA"/>
    <w:rsid w:val="00D456F1"/>
    <w:rsid w:val="00D569FC"/>
    <w:rsid w:val="00D62BC3"/>
    <w:rsid w:val="00D631C4"/>
    <w:rsid w:val="00D65393"/>
    <w:rsid w:val="00D656CC"/>
    <w:rsid w:val="00D70C84"/>
    <w:rsid w:val="00D71B84"/>
    <w:rsid w:val="00D72E28"/>
    <w:rsid w:val="00D74443"/>
    <w:rsid w:val="00D763EF"/>
    <w:rsid w:val="00D808DA"/>
    <w:rsid w:val="00D80A79"/>
    <w:rsid w:val="00D80B64"/>
    <w:rsid w:val="00D852BA"/>
    <w:rsid w:val="00D92A32"/>
    <w:rsid w:val="00D932DB"/>
    <w:rsid w:val="00DA141C"/>
    <w:rsid w:val="00DA5511"/>
    <w:rsid w:val="00DA6BA2"/>
    <w:rsid w:val="00DA6E85"/>
    <w:rsid w:val="00DA7965"/>
    <w:rsid w:val="00DB317D"/>
    <w:rsid w:val="00DB32A9"/>
    <w:rsid w:val="00DB46BA"/>
    <w:rsid w:val="00DB59B1"/>
    <w:rsid w:val="00DB626B"/>
    <w:rsid w:val="00DB6EF1"/>
    <w:rsid w:val="00DB7E90"/>
    <w:rsid w:val="00DC3F5A"/>
    <w:rsid w:val="00DC5399"/>
    <w:rsid w:val="00DC73ED"/>
    <w:rsid w:val="00DD029B"/>
    <w:rsid w:val="00DD17DD"/>
    <w:rsid w:val="00DE08BE"/>
    <w:rsid w:val="00DE43EB"/>
    <w:rsid w:val="00DE4563"/>
    <w:rsid w:val="00DE6A9B"/>
    <w:rsid w:val="00DE7AA1"/>
    <w:rsid w:val="00DE7DBA"/>
    <w:rsid w:val="00DF0101"/>
    <w:rsid w:val="00E00882"/>
    <w:rsid w:val="00E0591C"/>
    <w:rsid w:val="00E06A12"/>
    <w:rsid w:val="00E07FA9"/>
    <w:rsid w:val="00E108DB"/>
    <w:rsid w:val="00E1250A"/>
    <w:rsid w:val="00E1267D"/>
    <w:rsid w:val="00E13361"/>
    <w:rsid w:val="00E157F5"/>
    <w:rsid w:val="00E1765C"/>
    <w:rsid w:val="00E32833"/>
    <w:rsid w:val="00E32F27"/>
    <w:rsid w:val="00E33BDF"/>
    <w:rsid w:val="00E36D58"/>
    <w:rsid w:val="00E454F8"/>
    <w:rsid w:val="00E5533D"/>
    <w:rsid w:val="00E600DC"/>
    <w:rsid w:val="00E61D36"/>
    <w:rsid w:val="00E635EC"/>
    <w:rsid w:val="00E64F1D"/>
    <w:rsid w:val="00E67FF6"/>
    <w:rsid w:val="00E72232"/>
    <w:rsid w:val="00E773B9"/>
    <w:rsid w:val="00E83DF0"/>
    <w:rsid w:val="00E90EF9"/>
    <w:rsid w:val="00E9115C"/>
    <w:rsid w:val="00E912AF"/>
    <w:rsid w:val="00E93F84"/>
    <w:rsid w:val="00E943AE"/>
    <w:rsid w:val="00E961FB"/>
    <w:rsid w:val="00EA1048"/>
    <w:rsid w:val="00EA5F4F"/>
    <w:rsid w:val="00EB1C10"/>
    <w:rsid w:val="00EB51D0"/>
    <w:rsid w:val="00EB5C57"/>
    <w:rsid w:val="00EB6E3B"/>
    <w:rsid w:val="00EC51D6"/>
    <w:rsid w:val="00EC58C8"/>
    <w:rsid w:val="00EC638E"/>
    <w:rsid w:val="00ED38BE"/>
    <w:rsid w:val="00ED6C78"/>
    <w:rsid w:val="00ED7333"/>
    <w:rsid w:val="00EE04A8"/>
    <w:rsid w:val="00EE3472"/>
    <w:rsid w:val="00EE7D92"/>
    <w:rsid w:val="00EF1910"/>
    <w:rsid w:val="00EF1BAE"/>
    <w:rsid w:val="00EF30D3"/>
    <w:rsid w:val="00EF7964"/>
    <w:rsid w:val="00F021D4"/>
    <w:rsid w:val="00F03C63"/>
    <w:rsid w:val="00F06A0F"/>
    <w:rsid w:val="00F10923"/>
    <w:rsid w:val="00F15258"/>
    <w:rsid w:val="00F17295"/>
    <w:rsid w:val="00F21CB2"/>
    <w:rsid w:val="00F228A0"/>
    <w:rsid w:val="00F239B5"/>
    <w:rsid w:val="00F2653B"/>
    <w:rsid w:val="00F30B06"/>
    <w:rsid w:val="00F30D1C"/>
    <w:rsid w:val="00F35A73"/>
    <w:rsid w:val="00F36D4C"/>
    <w:rsid w:val="00F3748B"/>
    <w:rsid w:val="00F43D4C"/>
    <w:rsid w:val="00F44835"/>
    <w:rsid w:val="00F45001"/>
    <w:rsid w:val="00F47B4B"/>
    <w:rsid w:val="00F53284"/>
    <w:rsid w:val="00F62A16"/>
    <w:rsid w:val="00F7392E"/>
    <w:rsid w:val="00F74E13"/>
    <w:rsid w:val="00F76DE0"/>
    <w:rsid w:val="00F7776E"/>
    <w:rsid w:val="00F81405"/>
    <w:rsid w:val="00F82B9F"/>
    <w:rsid w:val="00F83DEF"/>
    <w:rsid w:val="00F8508D"/>
    <w:rsid w:val="00F85165"/>
    <w:rsid w:val="00F86738"/>
    <w:rsid w:val="00F905A2"/>
    <w:rsid w:val="00F910C0"/>
    <w:rsid w:val="00F927A7"/>
    <w:rsid w:val="00F92905"/>
    <w:rsid w:val="00FA17AB"/>
    <w:rsid w:val="00FA1EEF"/>
    <w:rsid w:val="00FA4351"/>
    <w:rsid w:val="00FA45DE"/>
    <w:rsid w:val="00FA4A39"/>
    <w:rsid w:val="00FA5793"/>
    <w:rsid w:val="00FA7AE1"/>
    <w:rsid w:val="00FC3DE0"/>
    <w:rsid w:val="00FC42B9"/>
    <w:rsid w:val="00FC504D"/>
    <w:rsid w:val="00FD3177"/>
    <w:rsid w:val="00FD5727"/>
    <w:rsid w:val="00FD5819"/>
    <w:rsid w:val="00FD6954"/>
    <w:rsid w:val="00FE38AB"/>
    <w:rsid w:val="00FE415A"/>
    <w:rsid w:val="00FE5A97"/>
    <w:rsid w:val="00FE78D3"/>
    <w:rsid w:val="00FF299A"/>
    <w:rsid w:val="00FF525E"/>
    <w:rsid w:val="00FF7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8F4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7524"/>
    <w:rPr>
      <w:rFonts w:ascii="CG Omega" w:hAnsi="CG Omega"/>
      <w:sz w:val="22"/>
      <w:szCs w:val="24"/>
      <w:lang w:eastAsia="en-US"/>
    </w:rPr>
  </w:style>
  <w:style w:type="paragraph" w:styleId="Heading2">
    <w:name w:val="heading 2"/>
    <w:basedOn w:val="Normal"/>
    <w:next w:val="Normal"/>
    <w:link w:val="Heading2Char"/>
    <w:uiPriority w:val="9"/>
    <w:unhideWhenUsed/>
    <w:qFormat/>
    <w:rsid w:val="00DB32A9"/>
    <w:pPr>
      <w:keepNext/>
      <w:keepLines/>
      <w:spacing w:before="200"/>
      <w:outlineLvl w:val="1"/>
    </w:pPr>
    <w:rPr>
      <w:rFonts w:ascii="Times New Roman" w:hAnsi="Times New Roman"/>
      <w:b/>
      <w:bCs/>
      <w:color w:val="4F81BD"/>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7524"/>
    <w:pPr>
      <w:numPr>
        <w:ilvl w:val="12"/>
      </w:numPr>
      <w:spacing w:before="240"/>
    </w:pPr>
    <w:rPr>
      <w:rFonts w:ascii="Times New Roman" w:hAnsi="Times New Roman"/>
      <w:sz w:val="24"/>
      <w:szCs w:val="20"/>
      <w:lang w:eastAsia="en-AU"/>
    </w:rPr>
  </w:style>
  <w:style w:type="paragraph" w:customStyle="1" w:styleId="StyleLeft349cmRight-011cm">
    <w:name w:val="Style Left:  3.49 cm Right:  -0.11 cm"/>
    <w:basedOn w:val="Normal"/>
    <w:rsid w:val="003B7524"/>
    <w:pPr>
      <w:ind w:left="1979" w:right="1701"/>
    </w:pPr>
    <w:rPr>
      <w:rFonts w:ascii="Times New Roman" w:hAnsi="Times New Roman"/>
      <w:sz w:val="24"/>
      <w:szCs w:val="20"/>
      <w:lang w:eastAsia="en-AU"/>
    </w:rPr>
  </w:style>
  <w:style w:type="paragraph" w:styleId="Footer">
    <w:name w:val="footer"/>
    <w:basedOn w:val="Normal"/>
    <w:rsid w:val="003B7524"/>
    <w:pPr>
      <w:tabs>
        <w:tab w:val="center" w:pos="4153"/>
        <w:tab w:val="right" w:pos="8306"/>
      </w:tabs>
    </w:pPr>
  </w:style>
  <w:style w:type="character" w:styleId="PageNumber">
    <w:name w:val="page number"/>
    <w:basedOn w:val="DefaultParagraphFont"/>
    <w:rsid w:val="003B7524"/>
  </w:style>
  <w:style w:type="paragraph" w:customStyle="1" w:styleId="Default1">
    <w:name w:val="Default1"/>
    <w:basedOn w:val="Normal"/>
    <w:next w:val="Normal"/>
    <w:rsid w:val="003B7524"/>
    <w:pPr>
      <w:autoSpaceDE w:val="0"/>
      <w:autoSpaceDN w:val="0"/>
      <w:adjustRightInd w:val="0"/>
      <w:spacing w:after="240"/>
    </w:pPr>
    <w:rPr>
      <w:rFonts w:ascii="Times New Roman" w:hAnsi="Times New Roman"/>
      <w:sz w:val="24"/>
      <w:lang w:eastAsia="en-AU"/>
    </w:rPr>
  </w:style>
  <w:style w:type="paragraph" w:styleId="Header">
    <w:name w:val="header"/>
    <w:aliases w:val="h"/>
    <w:basedOn w:val="Normal"/>
    <w:rsid w:val="003B7524"/>
    <w:pPr>
      <w:tabs>
        <w:tab w:val="center" w:pos="4153"/>
        <w:tab w:val="right" w:pos="8306"/>
      </w:tabs>
    </w:pPr>
  </w:style>
  <w:style w:type="paragraph" w:styleId="BalloonText">
    <w:name w:val="Balloon Text"/>
    <w:basedOn w:val="Normal"/>
    <w:semiHidden/>
    <w:rsid w:val="00146C29"/>
    <w:rPr>
      <w:rFonts w:ascii="Tahoma" w:hAnsi="Tahoma" w:cs="Tahoma"/>
      <w:sz w:val="16"/>
      <w:szCs w:val="16"/>
    </w:rPr>
  </w:style>
  <w:style w:type="character" w:styleId="CommentReference">
    <w:name w:val="annotation reference"/>
    <w:semiHidden/>
    <w:rsid w:val="0009363E"/>
    <w:rPr>
      <w:sz w:val="16"/>
      <w:szCs w:val="16"/>
    </w:rPr>
  </w:style>
  <w:style w:type="paragraph" w:styleId="CommentText">
    <w:name w:val="annotation text"/>
    <w:basedOn w:val="Normal"/>
    <w:link w:val="CommentTextChar"/>
    <w:semiHidden/>
    <w:rsid w:val="0009363E"/>
    <w:rPr>
      <w:sz w:val="20"/>
      <w:szCs w:val="20"/>
    </w:rPr>
  </w:style>
  <w:style w:type="paragraph" w:styleId="CommentSubject">
    <w:name w:val="annotation subject"/>
    <w:basedOn w:val="CommentText"/>
    <w:next w:val="CommentText"/>
    <w:semiHidden/>
    <w:rsid w:val="0009363E"/>
    <w:rPr>
      <w:b/>
      <w:bCs/>
    </w:rPr>
  </w:style>
  <w:style w:type="paragraph" w:customStyle="1" w:styleId="Default">
    <w:name w:val="Default"/>
    <w:rsid w:val="00F7392E"/>
    <w:pPr>
      <w:autoSpaceDE w:val="0"/>
      <w:autoSpaceDN w:val="0"/>
      <w:adjustRightInd w:val="0"/>
    </w:pPr>
    <w:rPr>
      <w:color w:val="000000"/>
      <w:sz w:val="24"/>
      <w:szCs w:val="24"/>
    </w:rPr>
  </w:style>
  <w:style w:type="character" w:styleId="Hyperlink">
    <w:name w:val="Hyperlink"/>
    <w:rsid w:val="004D1BEF"/>
    <w:rPr>
      <w:color w:val="0000FF"/>
      <w:u w:val="single"/>
    </w:rPr>
  </w:style>
  <w:style w:type="paragraph" w:styleId="ListParagraph">
    <w:name w:val="List Paragraph"/>
    <w:basedOn w:val="Normal"/>
    <w:uiPriority w:val="34"/>
    <w:qFormat/>
    <w:rsid w:val="00433B24"/>
    <w:pPr>
      <w:ind w:left="720"/>
    </w:pPr>
  </w:style>
  <w:style w:type="character" w:customStyle="1" w:styleId="CommentTextChar">
    <w:name w:val="Comment Text Char"/>
    <w:link w:val="CommentText"/>
    <w:semiHidden/>
    <w:rsid w:val="00190C40"/>
    <w:rPr>
      <w:rFonts w:ascii="CG Omega" w:hAnsi="CG Omega"/>
      <w:lang w:eastAsia="en-US"/>
    </w:rPr>
  </w:style>
  <w:style w:type="character" w:customStyle="1" w:styleId="Heading2Char">
    <w:name w:val="Heading 2 Char"/>
    <w:basedOn w:val="DefaultParagraphFont"/>
    <w:link w:val="Heading2"/>
    <w:uiPriority w:val="9"/>
    <w:rsid w:val="00DB32A9"/>
    <w:rPr>
      <w:b/>
      <w:bCs/>
      <w:color w:val="4F81BD"/>
      <w:sz w:val="26"/>
      <w:szCs w:val="26"/>
    </w:rPr>
  </w:style>
  <w:style w:type="table" w:styleId="TableGrid">
    <w:name w:val="Table Grid"/>
    <w:basedOn w:val="TableNormal"/>
    <w:rsid w:val="00DB32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25E3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900722">
      <w:bodyDiv w:val="1"/>
      <w:marLeft w:val="0"/>
      <w:marRight w:val="0"/>
      <w:marTop w:val="0"/>
      <w:marBottom w:val="0"/>
      <w:divBdr>
        <w:top w:val="none" w:sz="0" w:space="0" w:color="auto"/>
        <w:left w:val="none" w:sz="0" w:space="0" w:color="auto"/>
        <w:bottom w:val="none" w:sz="0" w:space="0" w:color="auto"/>
        <w:right w:val="none" w:sz="0" w:space="0" w:color="auto"/>
      </w:divBdr>
    </w:div>
    <w:div w:id="156179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066CF-40A6-4B78-9A3C-0A11AB6CF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1839</Words>
  <Characters>10334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AUSTRAC</Company>
  <LinksUpToDate>false</LinksUpToDate>
  <CharactersWithSpaces>12149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pjohns</dc:creator>
  <cp:lastModifiedBy>Hugh Dixon</cp:lastModifiedBy>
  <cp:revision>3</cp:revision>
  <cp:lastPrinted>2017-03-27T03:51:00Z</cp:lastPrinted>
  <dcterms:created xsi:type="dcterms:W3CDTF">2017-04-18T05:50:00Z</dcterms:created>
  <dcterms:modified xsi:type="dcterms:W3CDTF">2017-04-18T05:56:00Z</dcterms:modified>
</cp:coreProperties>
</file>