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E0" w:rsidRPr="00680EB2" w:rsidRDefault="00FF03E0" w:rsidP="00FF03E0">
      <w:pPr>
        <w:rPr>
          <w:sz w:val="28"/>
        </w:rPr>
      </w:pPr>
      <w:r w:rsidRPr="00680EB2">
        <w:rPr>
          <w:noProof/>
          <w:lang w:eastAsia="en-AU"/>
        </w:rPr>
        <w:drawing>
          <wp:inline distT="0" distB="0" distL="0" distR="0" wp14:anchorId="15F5913E" wp14:editId="08D1C3F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E0" w:rsidRPr="00680EB2" w:rsidRDefault="00FF03E0" w:rsidP="00FF03E0">
      <w:pPr>
        <w:rPr>
          <w:sz w:val="19"/>
        </w:rPr>
      </w:pPr>
    </w:p>
    <w:p w:rsidR="00FF03E0" w:rsidRPr="00680EB2" w:rsidRDefault="00FF03E0" w:rsidP="00FF03E0">
      <w:pPr>
        <w:pStyle w:val="ShortT"/>
      </w:pPr>
      <w:r w:rsidRPr="00680EB2">
        <w:t>Fair Work (Registered Organisations) Amendment Regulation</w:t>
      </w:r>
      <w:r w:rsidR="008949F0" w:rsidRPr="00680EB2">
        <w:t>s</w:t>
      </w:r>
      <w:r w:rsidR="00680EB2" w:rsidRPr="00680EB2">
        <w:t> </w:t>
      </w:r>
      <w:r w:rsidRPr="00680EB2">
        <w:t>201</w:t>
      </w:r>
      <w:r w:rsidR="008949F0" w:rsidRPr="00680EB2">
        <w:t>7</w:t>
      </w:r>
    </w:p>
    <w:p w:rsidR="00FF03E0" w:rsidRPr="00680EB2" w:rsidRDefault="00FF03E0" w:rsidP="00FF03E0">
      <w:pPr>
        <w:pStyle w:val="SignCoverPageStart"/>
        <w:spacing w:before="240"/>
        <w:rPr>
          <w:szCs w:val="22"/>
        </w:rPr>
      </w:pPr>
      <w:r w:rsidRPr="00680EB2">
        <w:rPr>
          <w:szCs w:val="22"/>
        </w:rPr>
        <w:t>I, General the Honourable Sir Peter Cosgrove AK MC (</w:t>
      </w:r>
      <w:proofErr w:type="spellStart"/>
      <w:r w:rsidRPr="00680EB2">
        <w:rPr>
          <w:szCs w:val="22"/>
        </w:rPr>
        <w:t>Ret</w:t>
      </w:r>
      <w:r w:rsidR="00E75B4E" w:rsidRPr="00680EB2">
        <w:rPr>
          <w:szCs w:val="22"/>
        </w:rPr>
        <w:t>’</w:t>
      </w:r>
      <w:r w:rsidRPr="00680EB2">
        <w:rPr>
          <w:szCs w:val="22"/>
        </w:rPr>
        <w:t>d</w:t>
      </w:r>
      <w:proofErr w:type="spellEnd"/>
      <w:r w:rsidRPr="00680EB2">
        <w:rPr>
          <w:szCs w:val="22"/>
        </w:rPr>
        <w:t xml:space="preserve">), </w:t>
      </w:r>
      <w:r w:rsidR="00680EB2" w:rsidRPr="00680EB2">
        <w:rPr>
          <w:szCs w:val="22"/>
        </w:rPr>
        <w:t>Governor</w:t>
      </w:r>
      <w:r w:rsidR="00680EB2">
        <w:rPr>
          <w:szCs w:val="22"/>
        </w:rPr>
        <w:noBreakHyphen/>
      </w:r>
      <w:r w:rsidR="00680EB2" w:rsidRPr="00680EB2">
        <w:rPr>
          <w:szCs w:val="22"/>
        </w:rPr>
        <w:t>General</w:t>
      </w:r>
      <w:r w:rsidRPr="00680EB2">
        <w:rPr>
          <w:szCs w:val="22"/>
        </w:rPr>
        <w:t xml:space="preserve"> of the Commonwealth of Australia, acting with the advice of the Federal Executive Council, make the following regulation</w:t>
      </w:r>
      <w:r w:rsidR="00141133" w:rsidRPr="00680EB2">
        <w:rPr>
          <w:szCs w:val="22"/>
        </w:rPr>
        <w:t>s</w:t>
      </w:r>
      <w:r w:rsidR="0006637B" w:rsidRPr="00680EB2">
        <w:rPr>
          <w:szCs w:val="22"/>
        </w:rPr>
        <w:t>.</w:t>
      </w:r>
    </w:p>
    <w:p w:rsidR="00FF03E0" w:rsidRPr="00680EB2" w:rsidRDefault="00FF03E0" w:rsidP="00FF03E0">
      <w:pPr>
        <w:keepNext/>
        <w:spacing w:before="720" w:line="240" w:lineRule="atLeast"/>
        <w:ind w:right="397"/>
        <w:jc w:val="both"/>
        <w:rPr>
          <w:szCs w:val="22"/>
        </w:rPr>
      </w:pPr>
      <w:r w:rsidRPr="00680EB2">
        <w:rPr>
          <w:szCs w:val="22"/>
        </w:rPr>
        <w:t xml:space="preserve">Dated </w:t>
      </w:r>
      <w:bookmarkStart w:id="0" w:name="BKCheck15B_1"/>
      <w:bookmarkEnd w:id="0"/>
      <w:r w:rsidRPr="00680EB2">
        <w:rPr>
          <w:szCs w:val="22"/>
        </w:rPr>
        <w:fldChar w:fldCharType="begin"/>
      </w:r>
      <w:r w:rsidRPr="00680EB2">
        <w:rPr>
          <w:szCs w:val="22"/>
        </w:rPr>
        <w:instrText xml:space="preserve"> DOCPROPERTY  DateMade </w:instrText>
      </w:r>
      <w:r w:rsidRPr="00680EB2">
        <w:rPr>
          <w:szCs w:val="22"/>
        </w:rPr>
        <w:fldChar w:fldCharType="separate"/>
      </w:r>
      <w:r w:rsidR="00A314B8">
        <w:rPr>
          <w:szCs w:val="22"/>
        </w:rPr>
        <w:t>13 April 2017</w:t>
      </w:r>
      <w:r w:rsidRPr="00680EB2">
        <w:rPr>
          <w:szCs w:val="22"/>
        </w:rPr>
        <w:fldChar w:fldCharType="end"/>
      </w:r>
    </w:p>
    <w:p w:rsidR="00FF03E0" w:rsidRPr="00680EB2" w:rsidRDefault="00FF03E0" w:rsidP="00FF03E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80EB2">
        <w:rPr>
          <w:szCs w:val="22"/>
        </w:rPr>
        <w:t>Peter Cosgrove</w:t>
      </w:r>
    </w:p>
    <w:p w:rsidR="00FF03E0" w:rsidRPr="00680EB2" w:rsidRDefault="00680EB2" w:rsidP="00FF03E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80EB2">
        <w:rPr>
          <w:szCs w:val="22"/>
        </w:rPr>
        <w:t>Governor</w:t>
      </w:r>
      <w:r>
        <w:rPr>
          <w:szCs w:val="22"/>
        </w:rPr>
        <w:noBreakHyphen/>
      </w:r>
      <w:r w:rsidRPr="00680EB2">
        <w:rPr>
          <w:szCs w:val="22"/>
        </w:rPr>
        <w:t>General</w:t>
      </w:r>
    </w:p>
    <w:p w:rsidR="00FF03E0" w:rsidRPr="00680EB2" w:rsidRDefault="00FF03E0" w:rsidP="00FF03E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80EB2">
        <w:rPr>
          <w:szCs w:val="22"/>
        </w:rPr>
        <w:t>By His Excellency</w:t>
      </w:r>
      <w:r w:rsidR="00E75B4E" w:rsidRPr="00680EB2">
        <w:rPr>
          <w:szCs w:val="22"/>
        </w:rPr>
        <w:t>’</w:t>
      </w:r>
      <w:r w:rsidRPr="00680EB2">
        <w:rPr>
          <w:szCs w:val="22"/>
        </w:rPr>
        <w:t>s Command</w:t>
      </w:r>
    </w:p>
    <w:p w:rsidR="00FF03E0" w:rsidRPr="00680EB2" w:rsidRDefault="00B31187" w:rsidP="00FF03E0">
      <w:pPr>
        <w:keepNext/>
        <w:tabs>
          <w:tab w:val="left" w:pos="3402"/>
        </w:tabs>
        <w:spacing w:before="480" w:line="300" w:lineRule="atLeast"/>
        <w:ind w:right="397"/>
        <w:rPr>
          <w:b/>
          <w:szCs w:val="22"/>
        </w:rPr>
      </w:pPr>
      <w:proofErr w:type="spellStart"/>
      <w:r w:rsidRPr="00680EB2">
        <w:rPr>
          <w:szCs w:val="22"/>
        </w:rPr>
        <w:t>Michaelia</w:t>
      </w:r>
      <w:proofErr w:type="spellEnd"/>
      <w:r w:rsidRPr="00680EB2">
        <w:rPr>
          <w:szCs w:val="22"/>
        </w:rPr>
        <w:t xml:space="preserve"> Cash</w:t>
      </w:r>
    </w:p>
    <w:p w:rsidR="00FF03E0" w:rsidRPr="00680EB2" w:rsidRDefault="00FF03E0" w:rsidP="00FF03E0">
      <w:pPr>
        <w:pStyle w:val="SignCoverPageEnd"/>
        <w:rPr>
          <w:szCs w:val="22"/>
        </w:rPr>
      </w:pPr>
      <w:r w:rsidRPr="00680EB2">
        <w:rPr>
          <w:szCs w:val="22"/>
        </w:rPr>
        <w:t>Minister for Employment</w:t>
      </w:r>
    </w:p>
    <w:p w:rsidR="00FF03E0" w:rsidRPr="00680EB2" w:rsidRDefault="00FF03E0" w:rsidP="00FF03E0"/>
    <w:p w:rsidR="00FF03E0" w:rsidRPr="00680EB2" w:rsidRDefault="00FF03E0" w:rsidP="00FF03E0">
      <w:pPr>
        <w:pStyle w:val="Header"/>
        <w:tabs>
          <w:tab w:val="clear" w:pos="4150"/>
          <w:tab w:val="clear" w:pos="8307"/>
        </w:tabs>
      </w:pPr>
      <w:r w:rsidRPr="00680EB2">
        <w:rPr>
          <w:rStyle w:val="CharAmSchNo"/>
        </w:rPr>
        <w:t xml:space="preserve"> </w:t>
      </w:r>
      <w:r w:rsidRPr="00680EB2">
        <w:rPr>
          <w:rStyle w:val="CharAmSchText"/>
        </w:rPr>
        <w:t xml:space="preserve"> </w:t>
      </w:r>
    </w:p>
    <w:p w:rsidR="00FF03E0" w:rsidRPr="00680EB2" w:rsidRDefault="00FF03E0" w:rsidP="00FF03E0">
      <w:pPr>
        <w:pStyle w:val="Header"/>
        <w:tabs>
          <w:tab w:val="clear" w:pos="4150"/>
          <w:tab w:val="clear" w:pos="8307"/>
        </w:tabs>
      </w:pPr>
      <w:r w:rsidRPr="00680EB2">
        <w:rPr>
          <w:rStyle w:val="CharAmPartNo"/>
        </w:rPr>
        <w:t xml:space="preserve"> </w:t>
      </w:r>
      <w:r w:rsidRPr="00680EB2">
        <w:rPr>
          <w:rStyle w:val="CharAmPartText"/>
        </w:rPr>
        <w:t xml:space="preserve"> </w:t>
      </w:r>
    </w:p>
    <w:p w:rsidR="00FF03E0" w:rsidRPr="00680EB2" w:rsidRDefault="00FF03E0" w:rsidP="00FF03E0">
      <w:pPr>
        <w:sectPr w:rsidR="00FF03E0" w:rsidRPr="00680EB2" w:rsidSect="002841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FF03E0" w:rsidRPr="00680EB2" w:rsidRDefault="00FF03E0" w:rsidP="003A1C87">
      <w:pPr>
        <w:rPr>
          <w:sz w:val="36"/>
        </w:rPr>
      </w:pPr>
      <w:r w:rsidRPr="00680EB2">
        <w:rPr>
          <w:sz w:val="36"/>
        </w:rPr>
        <w:lastRenderedPageBreak/>
        <w:t>Contents</w:t>
      </w:r>
    </w:p>
    <w:bookmarkStart w:id="1" w:name="BKCheck15B_3"/>
    <w:bookmarkStart w:id="2" w:name="BKCheck15B_2"/>
    <w:bookmarkEnd w:id="1"/>
    <w:bookmarkEnd w:id="2"/>
    <w:p w:rsidR="00D84809" w:rsidRPr="00680EB2" w:rsidRDefault="00D8480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0EB2">
        <w:fldChar w:fldCharType="begin"/>
      </w:r>
      <w:r w:rsidRPr="00680EB2">
        <w:instrText xml:space="preserve"> TOC \o "1-9" </w:instrText>
      </w:r>
      <w:r w:rsidRPr="00680EB2">
        <w:fldChar w:fldCharType="separate"/>
      </w:r>
      <w:r w:rsidRPr="00680EB2">
        <w:rPr>
          <w:noProof/>
        </w:rPr>
        <w:t>1</w:t>
      </w:r>
      <w:r w:rsidRPr="00680EB2">
        <w:rPr>
          <w:noProof/>
        </w:rPr>
        <w:tab/>
        <w:t>Name</w:t>
      </w:r>
      <w:r w:rsidRPr="00680EB2">
        <w:rPr>
          <w:noProof/>
        </w:rPr>
        <w:tab/>
      </w:r>
      <w:r w:rsidRPr="00680EB2">
        <w:rPr>
          <w:noProof/>
        </w:rPr>
        <w:fldChar w:fldCharType="begin"/>
      </w:r>
      <w:r w:rsidRPr="00680EB2">
        <w:rPr>
          <w:noProof/>
        </w:rPr>
        <w:instrText xml:space="preserve"> PAGEREF _Toc473101237 \h </w:instrText>
      </w:r>
      <w:r w:rsidRPr="00680EB2">
        <w:rPr>
          <w:noProof/>
        </w:rPr>
      </w:r>
      <w:r w:rsidRPr="00680EB2">
        <w:rPr>
          <w:noProof/>
        </w:rPr>
        <w:fldChar w:fldCharType="separate"/>
      </w:r>
      <w:r w:rsidR="00A314B8">
        <w:rPr>
          <w:noProof/>
        </w:rPr>
        <w:t>1</w:t>
      </w:r>
      <w:r w:rsidRPr="00680EB2">
        <w:rPr>
          <w:noProof/>
        </w:rPr>
        <w:fldChar w:fldCharType="end"/>
      </w:r>
    </w:p>
    <w:p w:rsidR="00D84809" w:rsidRPr="00680EB2" w:rsidRDefault="00D8480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0EB2">
        <w:rPr>
          <w:noProof/>
        </w:rPr>
        <w:t>2</w:t>
      </w:r>
      <w:r w:rsidRPr="00680EB2">
        <w:rPr>
          <w:noProof/>
        </w:rPr>
        <w:tab/>
        <w:t>Commencement</w:t>
      </w:r>
      <w:r w:rsidRPr="00680EB2">
        <w:rPr>
          <w:noProof/>
        </w:rPr>
        <w:tab/>
      </w:r>
      <w:r w:rsidRPr="00680EB2">
        <w:rPr>
          <w:noProof/>
        </w:rPr>
        <w:fldChar w:fldCharType="begin"/>
      </w:r>
      <w:r w:rsidRPr="00680EB2">
        <w:rPr>
          <w:noProof/>
        </w:rPr>
        <w:instrText xml:space="preserve"> PAGEREF _Toc473101238 \h </w:instrText>
      </w:r>
      <w:r w:rsidRPr="00680EB2">
        <w:rPr>
          <w:noProof/>
        </w:rPr>
      </w:r>
      <w:r w:rsidRPr="00680EB2">
        <w:rPr>
          <w:noProof/>
        </w:rPr>
        <w:fldChar w:fldCharType="separate"/>
      </w:r>
      <w:r w:rsidR="00A314B8">
        <w:rPr>
          <w:noProof/>
        </w:rPr>
        <w:t>1</w:t>
      </w:r>
      <w:r w:rsidRPr="00680EB2">
        <w:rPr>
          <w:noProof/>
        </w:rPr>
        <w:fldChar w:fldCharType="end"/>
      </w:r>
    </w:p>
    <w:p w:rsidR="00D84809" w:rsidRPr="00680EB2" w:rsidRDefault="00D8480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0EB2">
        <w:rPr>
          <w:noProof/>
        </w:rPr>
        <w:t>3</w:t>
      </w:r>
      <w:r w:rsidRPr="00680EB2">
        <w:rPr>
          <w:noProof/>
        </w:rPr>
        <w:tab/>
        <w:t>Authority</w:t>
      </w:r>
      <w:r w:rsidRPr="00680EB2">
        <w:rPr>
          <w:noProof/>
        </w:rPr>
        <w:tab/>
      </w:r>
      <w:r w:rsidRPr="00680EB2">
        <w:rPr>
          <w:noProof/>
        </w:rPr>
        <w:fldChar w:fldCharType="begin"/>
      </w:r>
      <w:r w:rsidRPr="00680EB2">
        <w:rPr>
          <w:noProof/>
        </w:rPr>
        <w:instrText xml:space="preserve"> PAGEREF _Toc473101239 \h </w:instrText>
      </w:r>
      <w:r w:rsidRPr="00680EB2">
        <w:rPr>
          <w:noProof/>
        </w:rPr>
      </w:r>
      <w:r w:rsidRPr="00680EB2">
        <w:rPr>
          <w:noProof/>
        </w:rPr>
        <w:fldChar w:fldCharType="separate"/>
      </w:r>
      <w:r w:rsidR="00A314B8">
        <w:rPr>
          <w:noProof/>
        </w:rPr>
        <w:t>1</w:t>
      </w:r>
      <w:r w:rsidRPr="00680EB2">
        <w:rPr>
          <w:noProof/>
        </w:rPr>
        <w:fldChar w:fldCharType="end"/>
      </w:r>
    </w:p>
    <w:p w:rsidR="00D84809" w:rsidRPr="00680EB2" w:rsidRDefault="00D8480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0EB2">
        <w:rPr>
          <w:noProof/>
        </w:rPr>
        <w:t>4</w:t>
      </w:r>
      <w:r w:rsidRPr="00680EB2">
        <w:rPr>
          <w:noProof/>
        </w:rPr>
        <w:tab/>
        <w:t>Schedules</w:t>
      </w:r>
      <w:r w:rsidRPr="00680EB2">
        <w:rPr>
          <w:noProof/>
        </w:rPr>
        <w:tab/>
      </w:r>
      <w:r w:rsidRPr="00680EB2">
        <w:rPr>
          <w:noProof/>
        </w:rPr>
        <w:fldChar w:fldCharType="begin"/>
      </w:r>
      <w:r w:rsidRPr="00680EB2">
        <w:rPr>
          <w:noProof/>
        </w:rPr>
        <w:instrText xml:space="preserve"> PAGEREF _Toc473101240 \h </w:instrText>
      </w:r>
      <w:r w:rsidRPr="00680EB2">
        <w:rPr>
          <w:noProof/>
        </w:rPr>
      </w:r>
      <w:r w:rsidRPr="00680EB2">
        <w:rPr>
          <w:noProof/>
        </w:rPr>
        <w:fldChar w:fldCharType="separate"/>
      </w:r>
      <w:r w:rsidR="00A314B8">
        <w:rPr>
          <w:noProof/>
        </w:rPr>
        <w:t>1</w:t>
      </w:r>
      <w:r w:rsidRPr="00680EB2">
        <w:rPr>
          <w:noProof/>
        </w:rPr>
        <w:fldChar w:fldCharType="end"/>
      </w:r>
    </w:p>
    <w:p w:rsidR="00D84809" w:rsidRPr="00680EB2" w:rsidRDefault="00D8480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80EB2">
        <w:rPr>
          <w:noProof/>
        </w:rPr>
        <w:t>Schedule</w:t>
      </w:r>
      <w:r w:rsidR="00680EB2" w:rsidRPr="00680EB2">
        <w:rPr>
          <w:noProof/>
        </w:rPr>
        <w:t> </w:t>
      </w:r>
      <w:r w:rsidRPr="00680EB2">
        <w:rPr>
          <w:noProof/>
        </w:rPr>
        <w:t>1—Amendments relating to the Registered Organisations Commissioner</w:t>
      </w:r>
      <w:r w:rsidRPr="00680EB2">
        <w:rPr>
          <w:b w:val="0"/>
          <w:noProof/>
          <w:sz w:val="18"/>
        </w:rPr>
        <w:tab/>
      </w:r>
      <w:r w:rsidRPr="00680EB2">
        <w:rPr>
          <w:b w:val="0"/>
          <w:noProof/>
          <w:sz w:val="18"/>
        </w:rPr>
        <w:fldChar w:fldCharType="begin"/>
      </w:r>
      <w:r w:rsidRPr="00680EB2">
        <w:rPr>
          <w:b w:val="0"/>
          <w:noProof/>
          <w:sz w:val="18"/>
        </w:rPr>
        <w:instrText xml:space="preserve"> PAGEREF _Toc473101241 \h </w:instrText>
      </w:r>
      <w:r w:rsidRPr="00680EB2">
        <w:rPr>
          <w:b w:val="0"/>
          <w:noProof/>
          <w:sz w:val="18"/>
        </w:rPr>
      </w:r>
      <w:r w:rsidRPr="00680EB2">
        <w:rPr>
          <w:b w:val="0"/>
          <w:noProof/>
          <w:sz w:val="18"/>
        </w:rPr>
        <w:fldChar w:fldCharType="separate"/>
      </w:r>
      <w:r w:rsidR="00A314B8">
        <w:rPr>
          <w:b w:val="0"/>
          <w:noProof/>
          <w:sz w:val="18"/>
        </w:rPr>
        <w:t>2</w:t>
      </w:r>
      <w:r w:rsidRPr="00680EB2">
        <w:rPr>
          <w:b w:val="0"/>
          <w:noProof/>
          <w:sz w:val="18"/>
        </w:rPr>
        <w:fldChar w:fldCharType="end"/>
      </w:r>
    </w:p>
    <w:p w:rsidR="00D84809" w:rsidRPr="00680EB2" w:rsidRDefault="00D8480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80EB2">
        <w:rPr>
          <w:noProof/>
        </w:rPr>
        <w:t>Fair Work (Registered Organisations) Regulations</w:t>
      </w:r>
      <w:r w:rsidR="00680EB2" w:rsidRPr="00680EB2">
        <w:rPr>
          <w:noProof/>
        </w:rPr>
        <w:t> </w:t>
      </w:r>
      <w:r w:rsidRPr="00680EB2">
        <w:rPr>
          <w:noProof/>
        </w:rPr>
        <w:t>2009</w:t>
      </w:r>
      <w:r w:rsidRPr="00680EB2">
        <w:rPr>
          <w:i w:val="0"/>
          <w:noProof/>
          <w:sz w:val="18"/>
        </w:rPr>
        <w:tab/>
      </w:r>
      <w:r w:rsidRPr="00680EB2">
        <w:rPr>
          <w:i w:val="0"/>
          <w:noProof/>
          <w:sz w:val="18"/>
        </w:rPr>
        <w:fldChar w:fldCharType="begin"/>
      </w:r>
      <w:r w:rsidRPr="00680EB2">
        <w:rPr>
          <w:i w:val="0"/>
          <w:noProof/>
          <w:sz w:val="18"/>
        </w:rPr>
        <w:instrText xml:space="preserve"> PAGEREF _Toc473101242 \h </w:instrText>
      </w:r>
      <w:r w:rsidRPr="00680EB2">
        <w:rPr>
          <w:i w:val="0"/>
          <w:noProof/>
          <w:sz w:val="18"/>
        </w:rPr>
      </w:r>
      <w:r w:rsidRPr="00680EB2">
        <w:rPr>
          <w:i w:val="0"/>
          <w:noProof/>
          <w:sz w:val="18"/>
        </w:rPr>
        <w:fldChar w:fldCharType="separate"/>
      </w:r>
      <w:r w:rsidR="00A314B8">
        <w:rPr>
          <w:i w:val="0"/>
          <w:noProof/>
          <w:sz w:val="18"/>
        </w:rPr>
        <w:t>2</w:t>
      </w:r>
      <w:r w:rsidRPr="00680EB2">
        <w:rPr>
          <w:i w:val="0"/>
          <w:noProof/>
          <w:sz w:val="18"/>
        </w:rPr>
        <w:fldChar w:fldCharType="end"/>
      </w:r>
    </w:p>
    <w:p w:rsidR="00D84809" w:rsidRPr="00680EB2" w:rsidRDefault="00D8480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80EB2">
        <w:rPr>
          <w:noProof/>
        </w:rPr>
        <w:t>Schedule</w:t>
      </w:r>
      <w:r w:rsidR="00680EB2" w:rsidRPr="00680EB2">
        <w:rPr>
          <w:noProof/>
        </w:rPr>
        <w:t> </w:t>
      </w:r>
      <w:r w:rsidRPr="00680EB2">
        <w:rPr>
          <w:noProof/>
        </w:rPr>
        <w:t>2—Other amendments relating to the Fair Work (Registered Organisations) Amendment Act 2016</w:t>
      </w:r>
      <w:r w:rsidRPr="00680EB2">
        <w:rPr>
          <w:b w:val="0"/>
          <w:noProof/>
          <w:sz w:val="18"/>
        </w:rPr>
        <w:tab/>
      </w:r>
      <w:r w:rsidRPr="00680EB2">
        <w:rPr>
          <w:b w:val="0"/>
          <w:noProof/>
          <w:sz w:val="18"/>
        </w:rPr>
        <w:fldChar w:fldCharType="begin"/>
      </w:r>
      <w:r w:rsidRPr="00680EB2">
        <w:rPr>
          <w:b w:val="0"/>
          <w:noProof/>
          <w:sz w:val="18"/>
        </w:rPr>
        <w:instrText xml:space="preserve"> PAGEREF _Toc473101254 \h </w:instrText>
      </w:r>
      <w:r w:rsidRPr="00680EB2">
        <w:rPr>
          <w:b w:val="0"/>
          <w:noProof/>
          <w:sz w:val="18"/>
        </w:rPr>
      </w:r>
      <w:r w:rsidRPr="00680EB2">
        <w:rPr>
          <w:b w:val="0"/>
          <w:noProof/>
          <w:sz w:val="18"/>
        </w:rPr>
        <w:fldChar w:fldCharType="separate"/>
      </w:r>
      <w:r w:rsidR="00A314B8">
        <w:rPr>
          <w:b w:val="0"/>
          <w:noProof/>
          <w:sz w:val="18"/>
        </w:rPr>
        <w:t>9</w:t>
      </w:r>
      <w:r w:rsidRPr="00680EB2">
        <w:rPr>
          <w:b w:val="0"/>
          <w:noProof/>
          <w:sz w:val="18"/>
        </w:rPr>
        <w:fldChar w:fldCharType="end"/>
      </w:r>
    </w:p>
    <w:p w:rsidR="00D84809" w:rsidRPr="00680EB2" w:rsidRDefault="00D8480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80EB2">
        <w:rPr>
          <w:noProof/>
        </w:rPr>
        <w:t>Fair Work (Registered Organisations) Regulations</w:t>
      </w:r>
      <w:r w:rsidR="00680EB2" w:rsidRPr="00680EB2">
        <w:rPr>
          <w:noProof/>
        </w:rPr>
        <w:t> </w:t>
      </w:r>
      <w:r w:rsidRPr="00680EB2">
        <w:rPr>
          <w:noProof/>
        </w:rPr>
        <w:t>2009</w:t>
      </w:r>
      <w:r w:rsidRPr="00680EB2">
        <w:rPr>
          <w:i w:val="0"/>
          <w:noProof/>
          <w:sz w:val="18"/>
        </w:rPr>
        <w:tab/>
      </w:r>
      <w:r w:rsidRPr="00680EB2">
        <w:rPr>
          <w:i w:val="0"/>
          <w:noProof/>
          <w:sz w:val="18"/>
        </w:rPr>
        <w:fldChar w:fldCharType="begin"/>
      </w:r>
      <w:r w:rsidRPr="00680EB2">
        <w:rPr>
          <w:i w:val="0"/>
          <w:noProof/>
          <w:sz w:val="18"/>
        </w:rPr>
        <w:instrText xml:space="preserve"> PAGEREF _Toc473101255 \h </w:instrText>
      </w:r>
      <w:r w:rsidRPr="00680EB2">
        <w:rPr>
          <w:i w:val="0"/>
          <w:noProof/>
          <w:sz w:val="18"/>
        </w:rPr>
      </w:r>
      <w:r w:rsidRPr="00680EB2">
        <w:rPr>
          <w:i w:val="0"/>
          <w:noProof/>
          <w:sz w:val="18"/>
        </w:rPr>
        <w:fldChar w:fldCharType="separate"/>
      </w:r>
      <w:r w:rsidR="00A314B8">
        <w:rPr>
          <w:i w:val="0"/>
          <w:noProof/>
          <w:sz w:val="18"/>
        </w:rPr>
        <w:t>9</w:t>
      </w:r>
      <w:r w:rsidRPr="00680EB2">
        <w:rPr>
          <w:i w:val="0"/>
          <w:noProof/>
          <w:sz w:val="18"/>
        </w:rPr>
        <w:fldChar w:fldCharType="end"/>
      </w:r>
    </w:p>
    <w:p w:rsidR="00D84809" w:rsidRPr="00680EB2" w:rsidRDefault="00D8480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80EB2">
        <w:rPr>
          <w:noProof/>
        </w:rPr>
        <w:t>Schedule</w:t>
      </w:r>
      <w:r w:rsidR="00680EB2" w:rsidRPr="00680EB2">
        <w:rPr>
          <w:noProof/>
        </w:rPr>
        <w:t> </w:t>
      </w:r>
      <w:r w:rsidRPr="00680EB2">
        <w:rPr>
          <w:noProof/>
        </w:rPr>
        <w:t>3—Minor technical amendments</w:t>
      </w:r>
      <w:r w:rsidRPr="00680EB2">
        <w:rPr>
          <w:b w:val="0"/>
          <w:noProof/>
          <w:sz w:val="18"/>
        </w:rPr>
        <w:tab/>
      </w:r>
      <w:r w:rsidRPr="00680EB2">
        <w:rPr>
          <w:b w:val="0"/>
          <w:noProof/>
          <w:sz w:val="18"/>
        </w:rPr>
        <w:fldChar w:fldCharType="begin"/>
      </w:r>
      <w:r w:rsidRPr="00680EB2">
        <w:rPr>
          <w:b w:val="0"/>
          <w:noProof/>
          <w:sz w:val="18"/>
        </w:rPr>
        <w:instrText xml:space="preserve"> PAGEREF _Toc473101278 \h </w:instrText>
      </w:r>
      <w:r w:rsidRPr="00680EB2">
        <w:rPr>
          <w:b w:val="0"/>
          <w:noProof/>
          <w:sz w:val="18"/>
        </w:rPr>
      </w:r>
      <w:r w:rsidRPr="00680EB2">
        <w:rPr>
          <w:b w:val="0"/>
          <w:noProof/>
          <w:sz w:val="18"/>
        </w:rPr>
        <w:fldChar w:fldCharType="separate"/>
      </w:r>
      <w:r w:rsidR="00A314B8">
        <w:rPr>
          <w:b w:val="0"/>
          <w:noProof/>
          <w:sz w:val="18"/>
        </w:rPr>
        <w:t>19</w:t>
      </w:r>
      <w:r w:rsidRPr="00680EB2">
        <w:rPr>
          <w:b w:val="0"/>
          <w:noProof/>
          <w:sz w:val="18"/>
        </w:rPr>
        <w:fldChar w:fldCharType="end"/>
      </w:r>
    </w:p>
    <w:p w:rsidR="00D84809" w:rsidRPr="00680EB2" w:rsidRDefault="00D8480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80EB2">
        <w:rPr>
          <w:noProof/>
        </w:rPr>
        <w:t>Fair Work (Registered Organisations) Regulations</w:t>
      </w:r>
      <w:r w:rsidR="00680EB2" w:rsidRPr="00680EB2">
        <w:rPr>
          <w:noProof/>
        </w:rPr>
        <w:t> </w:t>
      </w:r>
      <w:r w:rsidRPr="00680EB2">
        <w:rPr>
          <w:noProof/>
        </w:rPr>
        <w:t>2009</w:t>
      </w:r>
      <w:r w:rsidRPr="00680EB2">
        <w:rPr>
          <w:i w:val="0"/>
          <w:noProof/>
          <w:sz w:val="18"/>
        </w:rPr>
        <w:tab/>
      </w:r>
      <w:r w:rsidRPr="00680EB2">
        <w:rPr>
          <w:i w:val="0"/>
          <w:noProof/>
          <w:sz w:val="18"/>
        </w:rPr>
        <w:fldChar w:fldCharType="begin"/>
      </w:r>
      <w:r w:rsidRPr="00680EB2">
        <w:rPr>
          <w:i w:val="0"/>
          <w:noProof/>
          <w:sz w:val="18"/>
        </w:rPr>
        <w:instrText xml:space="preserve"> PAGEREF _Toc473101279 \h </w:instrText>
      </w:r>
      <w:r w:rsidRPr="00680EB2">
        <w:rPr>
          <w:i w:val="0"/>
          <w:noProof/>
          <w:sz w:val="18"/>
        </w:rPr>
      </w:r>
      <w:r w:rsidRPr="00680EB2">
        <w:rPr>
          <w:i w:val="0"/>
          <w:noProof/>
          <w:sz w:val="18"/>
        </w:rPr>
        <w:fldChar w:fldCharType="separate"/>
      </w:r>
      <w:r w:rsidR="00A314B8">
        <w:rPr>
          <w:i w:val="0"/>
          <w:noProof/>
          <w:sz w:val="18"/>
        </w:rPr>
        <w:t>19</w:t>
      </w:r>
      <w:r w:rsidRPr="00680EB2">
        <w:rPr>
          <w:i w:val="0"/>
          <w:noProof/>
          <w:sz w:val="18"/>
        </w:rPr>
        <w:fldChar w:fldCharType="end"/>
      </w:r>
    </w:p>
    <w:p w:rsidR="0048364F" w:rsidRPr="00680EB2" w:rsidRDefault="00D84809" w:rsidP="0048364F">
      <w:r w:rsidRPr="00680EB2">
        <w:fldChar w:fldCharType="end"/>
      </w:r>
    </w:p>
    <w:p w:rsidR="0048364F" w:rsidRPr="00680EB2" w:rsidRDefault="0048364F" w:rsidP="0048364F">
      <w:pPr>
        <w:sectPr w:rsidR="0048364F" w:rsidRPr="00680EB2" w:rsidSect="002841B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680EB2" w:rsidRDefault="0048364F" w:rsidP="0048364F">
      <w:pPr>
        <w:pStyle w:val="ActHead5"/>
      </w:pPr>
      <w:bookmarkStart w:id="3" w:name="_Toc473101237"/>
      <w:r w:rsidRPr="00680EB2">
        <w:rPr>
          <w:rStyle w:val="CharSectno"/>
        </w:rPr>
        <w:lastRenderedPageBreak/>
        <w:t>1</w:t>
      </w:r>
      <w:r w:rsidRPr="00680EB2">
        <w:t xml:space="preserve">  </w:t>
      </w:r>
      <w:r w:rsidR="004F676E" w:rsidRPr="00680EB2">
        <w:t>Name</w:t>
      </w:r>
      <w:bookmarkEnd w:id="3"/>
    </w:p>
    <w:p w:rsidR="0048364F" w:rsidRPr="00680EB2" w:rsidRDefault="0048364F" w:rsidP="0048364F">
      <w:pPr>
        <w:pStyle w:val="subsection"/>
      </w:pPr>
      <w:r w:rsidRPr="00680EB2">
        <w:tab/>
      </w:r>
      <w:r w:rsidRPr="00680EB2">
        <w:tab/>
        <w:t>This</w:t>
      </w:r>
      <w:r w:rsidR="008949F0" w:rsidRPr="00680EB2">
        <w:t xml:space="preserve"> instrument</w:t>
      </w:r>
      <w:r w:rsidRPr="00680EB2">
        <w:t xml:space="preserve"> </w:t>
      </w:r>
      <w:r w:rsidR="00613EAD" w:rsidRPr="00680EB2">
        <w:t>is</w:t>
      </w:r>
      <w:r w:rsidRPr="00680EB2">
        <w:t xml:space="preserve"> the</w:t>
      </w:r>
      <w:r w:rsidR="00B3140A" w:rsidRPr="00680EB2">
        <w:rPr>
          <w:i/>
        </w:rPr>
        <w:t xml:space="preserve"> </w:t>
      </w:r>
      <w:r w:rsidR="0068229B" w:rsidRPr="00680EB2">
        <w:rPr>
          <w:i/>
        </w:rPr>
        <w:t>Fair Work</w:t>
      </w:r>
      <w:r w:rsidR="00B3140A" w:rsidRPr="00680EB2">
        <w:rPr>
          <w:i/>
        </w:rPr>
        <w:t xml:space="preserve"> (</w:t>
      </w:r>
      <w:r w:rsidR="0068229B" w:rsidRPr="00680EB2">
        <w:rPr>
          <w:i/>
        </w:rPr>
        <w:t>Registered Organisations</w:t>
      </w:r>
      <w:r w:rsidR="00B3140A" w:rsidRPr="00680EB2">
        <w:rPr>
          <w:i/>
        </w:rPr>
        <w:t>)</w:t>
      </w:r>
      <w:r w:rsidR="0068229B" w:rsidRPr="00680EB2">
        <w:rPr>
          <w:i/>
        </w:rPr>
        <w:t xml:space="preserve"> Amendment</w:t>
      </w:r>
      <w:r w:rsidR="00B3140A" w:rsidRPr="00680EB2">
        <w:rPr>
          <w:i/>
        </w:rPr>
        <w:t xml:space="preserve"> Regulation</w:t>
      </w:r>
      <w:r w:rsidR="008949F0" w:rsidRPr="00680EB2">
        <w:rPr>
          <w:i/>
        </w:rPr>
        <w:t>s</w:t>
      </w:r>
      <w:r w:rsidR="00680EB2" w:rsidRPr="00680EB2">
        <w:rPr>
          <w:i/>
        </w:rPr>
        <w:t> </w:t>
      </w:r>
      <w:r w:rsidR="00B31187" w:rsidRPr="00680EB2">
        <w:rPr>
          <w:i/>
        </w:rPr>
        <w:t>201</w:t>
      </w:r>
      <w:r w:rsidR="008949F0" w:rsidRPr="00680EB2">
        <w:rPr>
          <w:i/>
        </w:rPr>
        <w:t>7</w:t>
      </w:r>
      <w:r w:rsidR="0006637B" w:rsidRPr="00680EB2">
        <w:t>.</w:t>
      </w:r>
    </w:p>
    <w:p w:rsidR="0048364F" w:rsidRPr="00680EB2" w:rsidRDefault="0048364F" w:rsidP="0048364F">
      <w:pPr>
        <w:pStyle w:val="ActHead5"/>
      </w:pPr>
      <w:bookmarkStart w:id="4" w:name="_Toc473101238"/>
      <w:r w:rsidRPr="00680EB2">
        <w:rPr>
          <w:rStyle w:val="CharSectno"/>
        </w:rPr>
        <w:t>2</w:t>
      </w:r>
      <w:r w:rsidRPr="00680EB2">
        <w:t xml:space="preserve">  Commencement</w:t>
      </w:r>
      <w:bookmarkEnd w:id="4"/>
    </w:p>
    <w:p w:rsidR="00B31187" w:rsidRPr="00680EB2" w:rsidRDefault="00B31187" w:rsidP="00B31187">
      <w:pPr>
        <w:pStyle w:val="subsection"/>
      </w:pPr>
      <w:r w:rsidRPr="00680EB2">
        <w:tab/>
        <w:t>(1)</w:t>
      </w:r>
      <w:r w:rsidRPr="00680EB2">
        <w:tab/>
        <w:t>Each provision of this instrument specified in column 1 of the table commences, or is taken to have commenced, in accordance with column 2 of the table</w:t>
      </w:r>
      <w:r w:rsidR="0006637B" w:rsidRPr="00680EB2">
        <w:t>.</w:t>
      </w:r>
      <w:r w:rsidRPr="00680EB2">
        <w:t xml:space="preserve"> Any other statement in column 2 has effect according to its terms</w:t>
      </w:r>
      <w:r w:rsidR="0006637B" w:rsidRPr="00680EB2">
        <w:t>.</w:t>
      </w:r>
    </w:p>
    <w:p w:rsidR="00B31187" w:rsidRPr="00680EB2" w:rsidRDefault="00B31187" w:rsidP="00B31187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31187" w:rsidRPr="00680EB2" w:rsidTr="00B31187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Heading"/>
            </w:pPr>
            <w:r w:rsidRPr="00680EB2">
              <w:t>Commencement information</w:t>
            </w:r>
          </w:p>
        </w:tc>
      </w:tr>
      <w:tr w:rsidR="00B31187" w:rsidRPr="00680EB2" w:rsidTr="00B31187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Heading"/>
            </w:pPr>
            <w:r w:rsidRPr="00680EB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Heading"/>
            </w:pPr>
            <w:r w:rsidRPr="00680EB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Heading"/>
            </w:pPr>
            <w:r w:rsidRPr="00680EB2">
              <w:t>Column 3</w:t>
            </w:r>
          </w:p>
        </w:tc>
      </w:tr>
      <w:tr w:rsidR="00B31187" w:rsidRPr="00680EB2" w:rsidTr="00B31187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Heading"/>
            </w:pPr>
            <w:r w:rsidRPr="00680EB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Heading"/>
            </w:pPr>
            <w:r w:rsidRPr="00680EB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Heading"/>
            </w:pPr>
            <w:r w:rsidRPr="00680EB2">
              <w:t>Date/Details</w:t>
            </w:r>
          </w:p>
        </w:tc>
      </w:tr>
      <w:tr w:rsidR="00B31187" w:rsidRPr="00680EB2" w:rsidTr="00B31187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text"/>
            </w:pPr>
            <w:r w:rsidRPr="00680EB2">
              <w:t>1</w:t>
            </w:r>
            <w:r w:rsidR="0006637B" w:rsidRPr="00680EB2">
              <w:t>.</w:t>
            </w:r>
            <w:r w:rsidRPr="00680EB2">
              <w:t xml:space="preserve">  Sections</w:t>
            </w:r>
            <w:r w:rsidR="00680EB2" w:rsidRPr="00680EB2">
              <w:t> </w:t>
            </w:r>
            <w:r w:rsidRPr="00680EB2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31187" w:rsidRPr="00680EB2" w:rsidRDefault="00B31187" w:rsidP="00B31187">
            <w:pPr>
              <w:pStyle w:val="Tabletext"/>
            </w:pPr>
            <w:r w:rsidRPr="00680EB2">
              <w:t>The day after this instrument is registered</w:t>
            </w:r>
            <w:r w:rsidR="0006637B" w:rsidRPr="00680EB2"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31187" w:rsidRPr="00680EB2" w:rsidRDefault="00E3115A">
            <w:pPr>
              <w:pStyle w:val="Tabletext"/>
            </w:pPr>
            <w:r>
              <w:t>25 April 2017</w:t>
            </w:r>
          </w:p>
        </w:tc>
      </w:tr>
      <w:tr w:rsidR="00B31187" w:rsidRPr="00680EB2" w:rsidTr="00B31187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31187" w:rsidRPr="00680EB2" w:rsidRDefault="00B31187">
            <w:pPr>
              <w:pStyle w:val="Tabletext"/>
            </w:pPr>
            <w:r w:rsidRPr="00680EB2">
              <w:t>2</w:t>
            </w:r>
            <w:r w:rsidR="0006637B" w:rsidRPr="00680EB2">
              <w:t>.</w:t>
            </w:r>
            <w:r w:rsidRPr="00680EB2">
              <w:t xml:space="preserve">  Schedule</w:t>
            </w:r>
            <w:r w:rsidR="00680EB2" w:rsidRPr="00680EB2">
              <w:t> </w:t>
            </w:r>
            <w:r w:rsidRPr="00680EB2"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1187" w:rsidRPr="00680EB2" w:rsidRDefault="000461AB" w:rsidP="000461AB">
            <w:pPr>
              <w:pStyle w:val="Tabletext"/>
            </w:pPr>
            <w:r w:rsidRPr="00680EB2">
              <w:t>At the same time as Schedule</w:t>
            </w:r>
            <w:r w:rsidR="00680EB2" w:rsidRPr="00680EB2">
              <w:t> </w:t>
            </w:r>
            <w:r w:rsidRPr="00680EB2">
              <w:t xml:space="preserve">1 to the </w:t>
            </w:r>
            <w:r w:rsidRPr="00680EB2">
              <w:rPr>
                <w:i/>
              </w:rPr>
              <w:t>Fair Work (Registered Organisations) Amendment Act 2016</w:t>
            </w:r>
            <w:r w:rsidRPr="00680EB2">
              <w:t xml:space="preserve"> commences.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1187" w:rsidRPr="00680EB2" w:rsidRDefault="00E3115A">
            <w:pPr>
              <w:pStyle w:val="Tabletext"/>
            </w:pPr>
            <w:r>
              <w:t>1 May 2017</w:t>
            </w:r>
          </w:p>
        </w:tc>
      </w:tr>
      <w:tr w:rsidR="00B31187" w:rsidRPr="00680EB2" w:rsidTr="00A52105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31187" w:rsidRPr="00680EB2" w:rsidRDefault="00B31187">
            <w:pPr>
              <w:pStyle w:val="Tabletext"/>
            </w:pPr>
            <w:r w:rsidRPr="00680EB2">
              <w:t>3</w:t>
            </w:r>
            <w:r w:rsidR="0006637B" w:rsidRPr="00680EB2">
              <w:t>.</w:t>
            </w:r>
            <w:r w:rsidRPr="00680EB2">
              <w:t xml:space="preserve">  </w:t>
            </w:r>
            <w:r w:rsidR="009E70DF" w:rsidRPr="00680EB2">
              <w:t>Schedule</w:t>
            </w:r>
            <w:r w:rsidR="00680EB2" w:rsidRPr="00680EB2">
              <w:t> </w:t>
            </w:r>
            <w:r w:rsidR="009E70DF" w:rsidRPr="00680EB2"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1187" w:rsidRPr="00680EB2" w:rsidRDefault="000461AB" w:rsidP="0051280E">
            <w:pPr>
              <w:pStyle w:val="Tabletext"/>
            </w:pPr>
            <w:r w:rsidRPr="00680EB2">
              <w:t xml:space="preserve">At the same time as </w:t>
            </w:r>
            <w:r w:rsidR="009E70DF" w:rsidRPr="00680EB2">
              <w:t>Schedule</w:t>
            </w:r>
            <w:r w:rsidR="00680EB2" w:rsidRPr="00680EB2">
              <w:t> </w:t>
            </w:r>
            <w:r w:rsidR="009E70DF" w:rsidRPr="00680EB2">
              <w:t xml:space="preserve">2 to the </w:t>
            </w:r>
            <w:r w:rsidR="009E70DF" w:rsidRPr="00680EB2">
              <w:rPr>
                <w:i/>
              </w:rPr>
              <w:t>Fair Work (Registered O</w:t>
            </w:r>
            <w:r w:rsidR="009373EF" w:rsidRPr="00680EB2">
              <w:rPr>
                <w:i/>
              </w:rPr>
              <w:t>rganisations) Amendment Act 2016</w:t>
            </w:r>
            <w:r w:rsidRPr="00680EB2">
              <w:t xml:space="preserve"> commences.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1187" w:rsidRPr="00680EB2" w:rsidRDefault="00E3115A">
            <w:pPr>
              <w:pStyle w:val="Tabletext"/>
            </w:pPr>
            <w:r>
              <w:t>2 May 2017</w:t>
            </w:r>
            <w:bookmarkStart w:id="5" w:name="_GoBack"/>
            <w:bookmarkEnd w:id="5"/>
          </w:p>
        </w:tc>
      </w:tr>
      <w:tr w:rsidR="00A52105" w:rsidRPr="00680EB2" w:rsidTr="00B31187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52105" w:rsidRPr="00680EB2" w:rsidRDefault="00A52105">
            <w:pPr>
              <w:pStyle w:val="Tabletext"/>
            </w:pPr>
            <w:r w:rsidRPr="00680EB2">
              <w:t>4</w:t>
            </w:r>
            <w:r w:rsidR="0006637B" w:rsidRPr="00680EB2">
              <w:t>.</w:t>
            </w:r>
            <w:r w:rsidRPr="00680EB2">
              <w:t xml:space="preserve">  Schedule</w:t>
            </w:r>
            <w:r w:rsidR="00680EB2" w:rsidRPr="00680EB2">
              <w:t> </w:t>
            </w:r>
            <w:r w:rsidRPr="00680EB2"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52105" w:rsidRPr="00680EB2" w:rsidRDefault="000461AB" w:rsidP="000461AB">
            <w:pPr>
              <w:pStyle w:val="Tabletext"/>
            </w:pPr>
            <w:r w:rsidRPr="00680EB2">
              <w:t xml:space="preserve">At the same time as </w:t>
            </w:r>
            <w:r w:rsidR="001B38C2" w:rsidRPr="00680EB2">
              <w:t>Schedule</w:t>
            </w:r>
            <w:r w:rsidR="00680EB2" w:rsidRPr="00680EB2">
              <w:t> </w:t>
            </w:r>
            <w:r w:rsidR="001B38C2" w:rsidRPr="00680EB2">
              <w:t xml:space="preserve">1 to the </w:t>
            </w:r>
            <w:r w:rsidR="001B38C2" w:rsidRPr="00680EB2">
              <w:rPr>
                <w:i/>
              </w:rPr>
              <w:t>Fair Work (Registered Organisations) Amendment Act 2016</w:t>
            </w:r>
            <w:r w:rsidRPr="00680EB2">
              <w:t xml:space="preserve"> commences.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52105" w:rsidRPr="00680EB2" w:rsidRDefault="00E3115A">
            <w:pPr>
              <w:pStyle w:val="Tabletext"/>
            </w:pPr>
            <w:r>
              <w:t>1 May 2017</w:t>
            </w:r>
          </w:p>
        </w:tc>
      </w:tr>
    </w:tbl>
    <w:p w:rsidR="00B31187" w:rsidRPr="00680EB2" w:rsidRDefault="00B31187" w:rsidP="00B31187">
      <w:pPr>
        <w:pStyle w:val="notetext"/>
      </w:pPr>
      <w:r w:rsidRPr="00680EB2">
        <w:rPr>
          <w:snapToGrid w:val="0"/>
          <w:lang w:eastAsia="en-US"/>
        </w:rPr>
        <w:t>Note:</w:t>
      </w:r>
      <w:r w:rsidRPr="00680EB2">
        <w:rPr>
          <w:snapToGrid w:val="0"/>
          <w:lang w:eastAsia="en-US"/>
        </w:rPr>
        <w:tab/>
        <w:t xml:space="preserve">This table relates only to the provisions of this </w:t>
      </w:r>
      <w:r w:rsidRPr="00680EB2">
        <w:t xml:space="preserve">instrument </w:t>
      </w:r>
      <w:r w:rsidRPr="00680EB2">
        <w:rPr>
          <w:snapToGrid w:val="0"/>
          <w:lang w:eastAsia="en-US"/>
        </w:rPr>
        <w:t>as originally made</w:t>
      </w:r>
      <w:r w:rsidR="0006637B" w:rsidRPr="00680EB2">
        <w:rPr>
          <w:snapToGrid w:val="0"/>
          <w:lang w:eastAsia="en-US"/>
        </w:rPr>
        <w:t>.</w:t>
      </w:r>
      <w:r w:rsidRPr="00680EB2">
        <w:rPr>
          <w:snapToGrid w:val="0"/>
          <w:lang w:eastAsia="en-US"/>
        </w:rPr>
        <w:t xml:space="preserve"> It will not be amended to deal with any later amendments of this </w:t>
      </w:r>
      <w:r w:rsidRPr="00680EB2">
        <w:t>instrument</w:t>
      </w:r>
      <w:r w:rsidR="0006637B" w:rsidRPr="00680EB2">
        <w:rPr>
          <w:snapToGrid w:val="0"/>
          <w:lang w:eastAsia="en-US"/>
        </w:rPr>
        <w:t>.</w:t>
      </w:r>
    </w:p>
    <w:p w:rsidR="00B31187" w:rsidRPr="00680EB2" w:rsidRDefault="00B31187" w:rsidP="00B31187">
      <w:pPr>
        <w:pStyle w:val="subsection"/>
      </w:pPr>
      <w:r w:rsidRPr="00680EB2">
        <w:tab/>
        <w:t>(2)</w:t>
      </w:r>
      <w:r w:rsidRPr="00680EB2">
        <w:tab/>
        <w:t>Any information in column 3 of the table is not part of this instrument</w:t>
      </w:r>
      <w:r w:rsidR="0006637B" w:rsidRPr="00680EB2">
        <w:t>.</w:t>
      </w:r>
      <w:r w:rsidRPr="00680EB2">
        <w:t xml:space="preserve"> Information may be inserted in this column, or information in it may be edited, in any published version of this instrument</w:t>
      </w:r>
      <w:r w:rsidR="0006637B" w:rsidRPr="00680EB2">
        <w:t>.</w:t>
      </w:r>
    </w:p>
    <w:p w:rsidR="00BF6650" w:rsidRPr="00680EB2" w:rsidRDefault="00BF6650" w:rsidP="00121463">
      <w:pPr>
        <w:pStyle w:val="ActHead5"/>
      </w:pPr>
      <w:bookmarkStart w:id="6" w:name="_Toc473101239"/>
      <w:r w:rsidRPr="00680EB2">
        <w:rPr>
          <w:rStyle w:val="CharSectno"/>
        </w:rPr>
        <w:t>3</w:t>
      </w:r>
      <w:r w:rsidRPr="00680EB2">
        <w:t xml:space="preserve">  Authority</w:t>
      </w:r>
      <w:bookmarkEnd w:id="6"/>
    </w:p>
    <w:p w:rsidR="00BF6650" w:rsidRPr="00680EB2" w:rsidRDefault="00BF6650" w:rsidP="00BF6650">
      <w:pPr>
        <w:pStyle w:val="subsection"/>
      </w:pPr>
      <w:r w:rsidRPr="00680EB2">
        <w:tab/>
      </w:r>
      <w:r w:rsidRPr="00680EB2">
        <w:tab/>
        <w:t xml:space="preserve">This </w:t>
      </w:r>
      <w:r w:rsidR="005D168D" w:rsidRPr="00680EB2">
        <w:t>instrument</w:t>
      </w:r>
      <w:r w:rsidRPr="00680EB2">
        <w:t xml:space="preserve"> is made under the</w:t>
      </w:r>
      <w:r w:rsidR="00B3140A" w:rsidRPr="00680EB2">
        <w:t xml:space="preserve"> </w:t>
      </w:r>
      <w:r w:rsidR="00461F48" w:rsidRPr="00680EB2">
        <w:rPr>
          <w:i/>
        </w:rPr>
        <w:t>Fair Work (Registered Organisation</w:t>
      </w:r>
      <w:r w:rsidR="00F23353" w:rsidRPr="00680EB2">
        <w:rPr>
          <w:i/>
        </w:rPr>
        <w:t>s</w:t>
      </w:r>
      <w:r w:rsidR="00461F48" w:rsidRPr="00680EB2">
        <w:rPr>
          <w:i/>
        </w:rPr>
        <w:t>)</w:t>
      </w:r>
      <w:r w:rsidR="00B3140A" w:rsidRPr="00680EB2">
        <w:rPr>
          <w:i/>
        </w:rPr>
        <w:t xml:space="preserve"> Act </w:t>
      </w:r>
      <w:r w:rsidR="00461F48" w:rsidRPr="00680EB2">
        <w:rPr>
          <w:i/>
        </w:rPr>
        <w:t>200</w:t>
      </w:r>
      <w:r w:rsidR="00B3140A" w:rsidRPr="00680EB2">
        <w:rPr>
          <w:i/>
        </w:rPr>
        <w:t>9</w:t>
      </w:r>
      <w:r w:rsidR="0006637B" w:rsidRPr="00680EB2">
        <w:rPr>
          <w:i/>
        </w:rPr>
        <w:t>.</w:t>
      </w:r>
    </w:p>
    <w:p w:rsidR="00557C7A" w:rsidRPr="00680EB2" w:rsidRDefault="00BF6650" w:rsidP="00557C7A">
      <w:pPr>
        <w:pStyle w:val="ActHead5"/>
      </w:pPr>
      <w:bookmarkStart w:id="7" w:name="_Toc473101240"/>
      <w:r w:rsidRPr="00680EB2">
        <w:rPr>
          <w:rStyle w:val="CharSectno"/>
        </w:rPr>
        <w:t>4</w:t>
      </w:r>
      <w:r w:rsidR="00557C7A" w:rsidRPr="00680EB2">
        <w:t xml:space="preserve">  </w:t>
      </w:r>
      <w:r w:rsidR="00083F48" w:rsidRPr="00680EB2">
        <w:t>Schedules</w:t>
      </w:r>
      <w:bookmarkEnd w:id="7"/>
    </w:p>
    <w:p w:rsidR="00557C7A" w:rsidRPr="00680EB2" w:rsidRDefault="00557C7A" w:rsidP="00557C7A">
      <w:pPr>
        <w:pStyle w:val="subsection"/>
      </w:pPr>
      <w:r w:rsidRPr="00680EB2">
        <w:tab/>
      </w:r>
      <w:r w:rsidRPr="00680EB2">
        <w:tab/>
      </w:r>
      <w:r w:rsidR="00083F48" w:rsidRPr="00680EB2">
        <w:t xml:space="preserve">Each </w:t>
      </w:r>
      <w:r w:rsidR="00160BD7" w:rsidRPr="00680EB2">
        <w:t>instrument</w:t>
      </w:r>
      <w:r w:rsidR="00083F48" w:rsidRPr="00680EB2">
        <w:t xml:space="preserve"> that is specified in a Schedule to this</w:t>
      </w:r>
      <w:r w:rsidR="00160BD7" w:rsidRPr="00680EB2">
        <w:t xml:space="preserve"> instrument</w:t>
      </w:r>
      <w:r w:rsidR="00083F48" w:rsidRPr="00680EB2">
        <w:t xml:space="preserve"> is amended or repealed as set out in the applicable items in the Schedule concerned, and any other item in a Schedule to this </w:t>
      </w:r>
      <w:r w:rsidR="00160BD7" w:rsidRPr="00680EB2">
        <w:t>instrument</w:t>
      </w:r>
      <w:r w:rsidR="00083F48" w:rsidRPr="00680EB2">
        <w:t xml:space="preserve"> has effect according to its terms</w:t>
      </w:r>
      <w:r w:rsidR="0006637B" w:rsidRPr="00680EB2">
        <w:t>.</w:t>
      </w:r>
    </w:p>
    <w:p w:rsidR="0048364F" w:rsidRPr="00680EB2" w:rsidRDefault="0048364F" w:rsidP="009C5989">
      <w:pPr>
        <w:pStyle w:val="ActHead6"/>
        <w:pageBreakBefore/>
      </w:pPr>
      <w:bookmarkStart w:id="8" w:name="_Toc473101241"/>
      <w:bookmarkStart w:id="9" w:name="opcAmSched"/>
      <w:r w:rsidRPr="00680EB2">
        <w:rPr>
          <w:rStyle w:val="CharAmSchNo"/>
        </w:rPr>
        <w:t>Schedule</w:t>
      </w:r>
      <w:r w:rsidR="00680EB2" w:rsidRPr="00680EB2">
        <w:rPr>
          <w:rStyle w:val="CharAmSchNo"/>
        </w:rPr>
        <w:t> </w:t>
      </w:r>
      <w:r w:rsidRPr="00680EB2">
        <w:rPr>
          <w:rStyle w:val="CharAmSchNo"/>
        </w:rPr>
        <w:t>1</w:t>
      </w:r>
      <w:r w:rsidRPr="00680EB2">
        <w:t>—</w:t>
      </w:r>
      <w:r w:rsidR="00460499" w:rsidRPr="00680EB2">
        <w:rPr>
          <w:rStyle w:val="CharAmSchText"/>
        </w:rPr>
        <w:t>Amendments</w:t>
      </w:r>
      <w:r w:rsidR="00500BF3" w:rsidRPr="00680EB2">
        <w:rPr>
          <w:rStyle w:val="CharAmSchText"/>
        </w:rPr>
        <w:t xml:space="preserve"> relating to the Registered Organisations Commissioner</w:t>
      </w:r>
      <w:bookmarkEnd w:id="8"/>
    </w:p>
    <w:bookmarkEnd w:id="9"/>
    <w:p w:rsidR="0004044E" w:rsidRPr="00680EB2" w:rsidRDefault="0004044E" w:rsidP="0004044E">
      <w:pPr>
        <w:pStyle w:val="Header"/>
      </w:pPr>
      <w:r w:rsidRPr="00680EB2">
        <w:rPr>
          <w:rStyle w:val="CharAmPartNo"/>
        </w:rPr>
        <w:t xml:space="preserve"> </w:t>
      </w:r>
      <w:r w:rsidRPr="00680EB2">
        <w:rPr>
          <w:rStyle w:val="CharAmPartText"/>
        </w:rPr>
        <w:t xml:space="preserve"> </w:t>
      </w:r>
    </w:p>
    <w:p w:rsidR="00B3140A" w:rsidRPr="00680EB2" w:rsidRDefault="00FF03E0" w:rsidP="00B3140A">
      <w:pPr>
        <w:pStyle w:val="ActHead9"/>
      </w:pPr>
      <w:bookmarkStart w:id="10" w:name="_Toc473101242"/>
      <w:r w:rsidRPr="00680EB2">
        <w:t>Fair Work (Registered Organisations) Regulations</w:t>
      </w:r>
      <w:r w:rsidR="00680EB2" w:rsidRPr="00680EB2">
        <w:t> </w:t>
      </w:r>
      <w:r w:rsidRPr="00680EB2">
        <w:t>2009</w:t>
      </w:r>
      <w:bookmarkEnd w:id="10"/>
    </w:p>
    <w:p w:rsidR="00E25650" w:rsidRPr="00680EB2" w:rsidRDefault="00027406" w:rsidP="00E25650">
      <w:pPr>
        <w:pStyle w:val="ItemHead"/>
      </w:pPr>
      <w:r w:rsidRPr="00680EB2">
        <w:t>1</w:t>
      </w:r>
      <w:r w:rsidR="00E25650" w:rsidRPr="00680EB2">
        <w:t xml:space="preserve">  </w:t>
      </w:r>
      <w:proofErr w:type="spellStart"/>
      <w:r w:rsidR="00E25650" w:rsidRPr="00680EB2">
        <w:t>Subregulation</w:t>
      </w:r>
      <w:proofErr w:type="spellEnd"/>
      <w:r w:rsidR="00680EB2" w:rsidRPr="00680EB2">
        <w:t> </w:t>
      </w:r>
      <w:r w:rsidR="00E25650" w:rsidRPr="00680EB2">
        <w:t xml:space="preserve">3(1) (definition of </w:t>
      </w:r>
      <w:r w:rsidR="00E25650" w:rsidRPr="00680EB2">
        <w:rPr>
          <w:i/>
        </w:rPr>
        <w:t>authorised</w:t>
      </w:r>
      <w:r w:rsidR="00E25650" w:rsidRPr="00680EB2">
        <w:t>)</w:t>
      </w:r>
    </w:p>
    <w:p w:rsidR="00E25650" w:rsidRPr="00680EB2" w:rsidRDefault="00E25650" w:rsidP="00E25650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or the Commission</w:t>
      </w:r>
      <w:r w:rsidR="00906B57" w:rsidRPr="00680EB2">
        <w:t>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2</w:t>
      </w:r>
      <w:r w:rsidR="00520AE9" w:rsidRPr="00680EB2">
        <w:t xml:space="preserve">  Subparagraph 4(1)(b)(ii)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5F698E" w:rsidRPr="00680EB2" w:rsidRDefault="00027406" w:rsidP="005F698E">
      <w:pPr>
        <w:pStyle w:val="ItemHead"/>
      </w:pPr>
      <w:r w:rsidRPr="00680EB2">
        <w:t>3</w:t>
      </w:r>
      <w:r w:rsidR="005F698E" w:rsidRPr="00680EB2">
        <w:t xml:space="preserve">  </w:t>
      </w:r>
      <w:r w:rsidR="00CC1BAD" w:rsidRPr="00680EB2">
        <w:t>Before</w:t>
      </w:r>
      <w:r w:rsidR="005F698E" w:rsidRPr="00680EB2">
        <w:t xml:space="preserve"> regulation</w:t>
      </w:r>
      <w:r w:rsidR="00680EB2" w:rsidRPr="00680EB2">
        <w:t> </w:t>
      </w:r>
      <w:r w:rsidR="005F698E" w:rsidRPr="00680EB2">
        <w:t>12</w:t>
      </w:r>
    </w:p>
    <w:p w:rsidR="005F698E" w:rsidRPr="00680EB2" w:rsidRDefault="005F698E" w:rsidP="005F698E">
      <w:pPr>
        <w:pStyle w:val="Item"/>
      </w:pPr>
      <w:r w:rsidRPr="00680EB2">
        <w:t>Insert:</w:t>
      </w:r>
    </w:p>
    <w:p w:rsidR="005F698E" w:rsidRPr="00680EB2" w:rsidRDefault="005F698E" w:rsidP="005F698E">
      <w:pPr>
        <w:pStyle w:val="ActHead3"/>
      </w:pPr>
      <w:bookmarkStart w:id="11" w:name="_Toc473101243"/>
      <w:r w:rsidRPr="00680EB2">
        <w:rPr>
          <w:rStyle w:val="CharDivNo"/>
        </w:rPr>
        <w:t>Division</w:t>
      </w:r>
      <w:r w:rsidR="00680EB2" w:rsidRPr="00680EB2">
        <w:rPr>
          <w:rStyle w:val="CharDivNo"/>
        </w:rPr>
        <w:t> </w:t>
      </w:r>
      <w:r w:rsidRPr="00680EB2">
        <w:rPr>
          <w:rStyle w:val="CharDivNo"/>
        </w:rPr>
        <w:t>1</w:t>
      </w:r>
      <w:r w:rsidRPr="00680EB2">
        <w:t>—</w:t>
      </w:r>
      <w:r w:rsidRPr="00680EB2">
        <w:rPr>
          <w:rStyle w:val="CharDivText"/>
        </w:rPr>
        <w:t>Preliminary</w:t>
      </w:r>
      <w:bookmarkEnd w:id="11"/>
    </w:p>
    <w:p w:rsidR="00721AF0" w:rsidRPr="00680EB2" w:rsidRDefault="00027406" w:rsidP="005F698E">
      <w:pPr>
        <w:pStyle w:val="ItemHead"/>
      </w:pPr>
      <w:r w:rsidRPr="00680EB2">
        <w:t>4</w:t>
      </w:r>
      <w:r w:rsidR="00721AF0" w:rsidRPr="00680EB2">
        <w:t xml:space="preserve">  After regulation</w:t>
      </w:r>
      <w:r w:rsidR="00680EB2" w:rsidRPr="00680EB2">
        <w:t> </w:t>
      </w:r>
      <w:r w:rsidR="00721AF0" w:rsidRPr="00680EB2">
        <w:t>12</w:t>
      </w:r>
    </w:p>
    <w:p w:rsidR="00721AF0" w:rsidRPr="00680EB2" w:rsidRDefault="00721AF0" w:rsidP="00721AF0">
      <w:pPr>
        <w:pStyle w:val="Item"/>
      </w:pPr>
      <w:r w:rsidRPr="00680EB2">
        <w:t>Insert:</w:t>
      </w:r>
    </w:p>
    <w:p w:rsidR="00721AF0" w:rsidRPr="00680EB2" w:rsidRDefault="00721AF0" w:rsidP="00721AF0">
      <w:pPr>
        <w:pStyle w:val="ActHead3"/>
      </w:pPr>
      <w:bookmarkStart w:id="12" w:name="_Toc473101244"/>
      <w:r w:rsidRPr="00680EB2">
        <w:rPr>
          <w:rStyle w:val="CharDivNo"/>
        </w:rPr>
        <w:t>Division</w:t>
      </w:r>
      <w:r w:rsidR="00680EB2" w:rsidRPr="00680EB2">
        <w:rPr>
          <w:rStyle w:val="CharDivNo"/>
        </w:rPr>
        <w:t> </w:t>
      </w:r>
      <w:r w:rsidRPr="00680EB2">
        <w:rPr>
          <w:rStyle w:val="CharDivNo"/>
        </w:rPr>
        <w:t>2</w:t>
      </w:r>
      <w:r w:rsidRPr="00680EB2">
        <w:t>—</w:t>
      </w:r>
      <w:r w:rsidR="0086446D" w:rsidRPr="00680EB2">
        <w:rPr>
          <w:rStyle w:val="CharDivText"/>
        </w:rPr>
        <w:t>Lodgement</w:t>
      </w:r>
      <w:r w:rsidRPr="00680EB2">
        <w:rPr>
          <w:rStyle w:val="CharDivText"/>
        </w:rPr>
        <w:t xml:space="preserve"> of documents with </w:t>
      </w:r>
      <w:proofErr w:type="spellStart"/>
      <w:r w:rsidRPr="00680EB2">
        <w:rPr>
          <w:rStyle w:val="CharDivText"/>
        </w:rPr>
        <w:t>FWC</w:t>
      </w:r>
      <w:proofErr w:type="spellEnd"/>
      <w:r w:rsidRPr="00680EB2">
        <w:rPr>
          <w:rStyle w:val="CharDivText"/>
        </w:rPr>
        <w:t xml:space="preserve"> etc</w:t>
      </w:r>
      <w:r w:rsidR="0006637B" w:rsidRPr="00680EB2">
        <w:rPr>
          <w:rStyle w:val="CharDivText"/>
        </w:rPr>
        <w:t>.</w:t>
      </w:r>
      <w:bookmarkEnd w:id="12"/>
    </w:p>
    <w:p w:rsidR="005F698E" w:rsidRPr="00680EB2" w:rsidRDefault="00027406" w:rsidP="005F698E">
      <w:pPr>
        <w:pStyle w:val="ItemHead"/>
      </w:pPr>
      <w:r w:rsidRPr="00680EB2">
        <w:t>5</w:t>
      </w:r>
      <w:r w:rsidR="005F698E" w:rsidRPr="00680EB2">
        <w:t xml:space="preserve">  </w:t>
      </w:r>
      <w:r w:rsidR="00CC1BAD" w:rsidRPr="00680EB2">
        <w:t>After</w:t>
      </w:r>
      <w:r w:rsidR="005F698E" w:rsidRPr="00680EB2">
        <w:t xml:space="preserve"> regulation</w:t>
      </w:r>
      <w:r w:rsidR="00680EB2" w:rsidRPr="00680EB2">
        <w:t> </w:t>
      </w:r>
      <w:r w:rsidR="00721AF0" w:rsidRPr="00680EB2">
        <w:t>16</w:t>
      </w:r>
    </w:p>
    <w:p w:rsidR="005F698E" w:rsidRPr="00680EB2" w:rsidRDefault="005F698E" w:rsidP="005F698E">
      <w:pPr>
        <w:pStyle w:val="Item"/>
      </w:pPr>
      <w:r w:rsidRPr="00680EB2">
        <w:t>Insert:</w:t>
      </w:r>
    </w:p>
    <w:p w:rsidR="005F698E" w:rsidRPr="00680EB2" w:rsidRDefault="005F698E" w:rsidP="005F698E">
      <w:pPr>
        <w:pStyle w:val="ActHead3"/>
      </w:pPr>
      <w:bookmarkStart w:id="13" w:name="_Toc473101245"/>
      <w:r w:rsidRPr="00680EB2">
        <w:rPr>
          <w:rStyle w:val="CharDivNo"/>
        </w:rPr>
        <w:t>Division</w:t>
      </w:r>
      <w:r w:rsidR="00680EB2" w:rsidRPr="00680EB2">
        <w:rPr>
          <w:rStyle w:val="CharDivNo"/>
        </w:rPr>
        <w:t> </w:t>
      </w:r>
      <w:r w:rsidR="00721AF0" w:rsidRPr="00680EB2">
        <w:rPr>
          <w:rStyle w:val="CharDivNo"/>
        </w:rPr>
        <w:t>3</w:t>
      </w:r>
      <w:r w:rsidRPr="00680EB2">
        <w:t>—</w:t>
      </w:r>
      <w:r w:rsidR="0086446D" w:rsidRPr="00680EB2">
        <w:rPr>
          <w:rStyle w:val="CharDivText"/>
        </w:rPr>
        <w:t>Lodgement</w:t>
      </w:r>
      <w:r w:rsidRPr="00680EB2">
        <w:rPr>
          <w:rStyle w:val="CharDivText"/>
        </w:rPr>
        <w:t xml:space="preserve"> of documents with the Commission</w:t>
      </w:r>
      <w:r w:rsidR="0032739B" w:rsidRPr="00680EB2">
        <w:rPr>
          <w:rStyle w:val="CharDivText"/>
        </w:rPr>
        <w:t>er</w:t>
      </w:r>
      <w:r w:rsidRPr="00680EB2">
        <w:rPr>
          <w:rStyle w:val="CharDivText"/>
        </w:rPr>
        <w:t xml:space="preserve"> etc</w:t>
      </w:r>
      <w:r w:rsidR="0006637B" w:rsidRPr="00680EB2">
        <w:rPr>
          <w:rStyle w:val="CharDivText"/>
        </w:rPr>
        <w:t>.</w:t>
      </w:r>
      <w:bookmarkEnd w:id="13"/>
    </w:p>
    <w:p w:rsidR="005F698E" w:rsidRPr="00680EB2" w:rsidRDefault="00721AF0" w:rsidP="005F698E">
      <w:pPr>
        <w:pStyle w:val="ActHead5"/>
      </w:pPr>
      <w:bookmarkStart w:id="14" w:name="_Toc473101246"/>
      <w:r w:rsidRPr="00680EB2">
        <w:rPr>
          <w:rStyle w:val="CharSectno"/>
        </w:rPr>
        <w:t>16</w:t>
      </w:r>
      <w:r w:rsidR="005F698E" w:rsidRPr="00680EB2">
        <w:rPr>
          <w:rStyle w:val="CharSectno"/>
        </w:rPr>
        <w:t>A</w:t>
      </w:r>
      <w:r w:rsidR="005F698E" w:rsidRPr="00680EB2">
        <w:t xml:space="preserve">  </w:t>
      </w:r>
      <w:r w:rsidR="0086446D" w:rsidRPr="00680EB2">
        <w:t>Lodgement</w:t>
      </w:r>
      <w:r w:rsidR="005F698E" w:rsidRPr="00680EB2">
        <w:t xml:space="preserve"> of documents with the Commission</w:t>
      </w:r>
      <w:r w:rsidR="0032739B" w:rsidRPr="00680EB2">
        <w:t>er</w:t>
      </w:r>
      <w:bookmarkEnd w:id="14"/>
    </w:p>
    <w:p w:rsidR="005F698E" w:rsidRPr="00680EB2" w:rsidRDefault="005F698E" w:rsidP="005F698E">
      <w:pPr>
        <w:pStyle w:val="subsection"/>
      </w:pPr>
      <w:r w:rsidRPr="00680EB2">
        <w:tab/>
        <w:t>(1)</w:t>
      </w:r>
      <w:r w:rsidRPr="00680EB2">
        <w:tab/>
        <w:t>Any document required under the Act or these Regulations to be lodged with the Commission</w:t>
      </w:r>
      <w:r w:rsidR="0032739B" w:rsidRPr="00680EB2">
        <w:t>er</w:t>
      </w:r>
      <w:r w:rsidRPr="00680EB2">
        <w:t xml:space="preserve"> may be lodged by:</w:t>
      </w:r>
    </w:p>
    <w:p w:rsidR="005F698E" w:rsidRPr="00680EB2" w:rsidRDefault="005F698E" w:rsidP="005F698E">
      <w:pPr>
        <w:pStyle w:val="paragraph"/>
      </w:pPr>
      <w:r w:rsidRPr="00680EB2">
        <w:tab/>
        <w:t>(a)</w:t>
      </w:r>
      <w:r w:rsidRPr="00680EB2">
        <w:tab/>
        <w:t>leaving it with the Commissioner; or</w:t>
      </w:r>
    </w:p>
    <w:p w:rsidR="005F698E" w:rsidRPr="00680EB2" w:rsidRDefault="005F698E" w:rsidP="005F698E">
      <w:pPr>
        <w:pStyle w:val="paragraph"/>
      </w:pPr>
      <w:r w:rsidRPr="00680EB2">
        <w:tab/>
        <w:t>(b)</w:t>
      </w:r>
      <w:r w:rsidRPr="00680EB2">
        <w:tab/>
        <w:t>properly addressing, prepaying and posting the document; or</w:t>
      </w:r>
    </w:p>
    <w:p w:rsidR="005F698E" w:rsidRPr="00680EB2" w:rsidRDefault="005F698E" w:rsidP="005F698E">
      <w:pPr>
        <w:pStyle w:val="paragraph"/>
      </w:pPr>
      <w:r w:rsidRPr="00680EB2">
        <w:tab/>
        <w:t>(c)</w:t>
      </w:r>
      <w:r w:rsidRPr="00680EB2">
        <w:tab/>
        <w:t xml:space="preserve">any </w:t>
      </w:r>
      <w:r w:rsidR="00A85A8B" w:rsidRPr="00680EB2">
        <w:t>electronic or other means</w:t>
      </w:r>
      <w:r w:rsidR="00205E80" w:rsidRPr="00680EB2">
        <w:t xml:space="preserve"> </w:t>
      </w:r>
      <w:r w:rsidRPr="00680EB2">
        <w:t>authorised in writing by the Commission</w:t>
      </w:r>
      <w:r w:rsidR="0032739B" w:rsidRPr="00680EB2">
        <w:t>er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(2)</w:t>
      </w:r>
      <w:r w:rsidRPr="00680EB2">
        <w:tab/>
        <w:t>An application or notice lodged with the Commission</w:t>
      </w:r>
      <w:r w:rsidR="0032739B" w:rsidRPr="00680EB2">
        <w:t>er</w:t>
      </w:r>
      <w:r w:rsidRPr="00680EB2">
        <w:t xml:space="preserve"> must:</w:t>
      </w:r>
    </w:p>
    <w:p w:rsidR="005F698E" w:rsidRPr="00680EB2" w:rsidRDefault="005F698E" w:rsidP="005F698E">
      <w:pPr>
        <w:pStyle w:val="paragraph"/>
      </w:pPr>
      <w:r w:rsidRPr="00680EB2">
        <w:tab/>
        <w:t>(a)</w:t>
      </w:r>
      <w:r w:rsidRPr="00680EB2">
        <w:tab/>
        <w:t>if lodged by an organisation—be under the common seal of the organisation or be signed by a person authorised to sign the application or notice; or</w:t>
      </w:r>
    </w:p>
    <w:p w:rsidR="005F698E" w:rsidRPr="00680EB2" w:rsidRDefault="005F698E" w:rsidP="005F698E">
      <w:pPr>
        <w:pStyle w:val="paragraph"/>
      </w:pPr>
      <w:r w:rsidRPr="00680EB2">
        <w:tab/>
        <w:t>(b)</w:t>
      </w:r>
      <w:r w:rsidRPr="00680EB2">
        <w:tab/>
        <w:t>if lodged by an association or branch—be signed by a person authorised to sign the application or notice; or</w:t>
      </w:r>
    </w:p>
    <w:p w:rsidR="005F698E" w:rsidRPr="00680EB2" w:rsidRDefault="005F698E" w:rsidP="005F698E">
      <w:pPr>
        <w:pStyle w:val="paragraph"/>
      </w:pPr>
      <w:r w:rsidRPr="00680EB2">
        <w:tab/>
        <w:t>(c)</w:t>
      </w:r>
      <w:r w:rsidRPr="00680EB2">
        <w:tab/>
        <w:t>if lodged by a committee of management—be signed by a member of the committee of management; or</w:t>
      </w:r>
    </w:p>
    <w:p w:rsidR="005F698E" w:rsidRPr="00680EB2" w:rsidRDefault="005F698E" w:rsidP="005F698E">
      <w:pPr>
        <w:pStyle w:val="paragraph"/>
      </w:pPr>
      <w:r w:rsidRPr="00680EB2">
        <w:tab/>
        <w:t>(d)</w:t>
      </w:r>
      <w:r w:rsidRPr="00680EB2">
        <w:tab/>
        <w:t xml:space="preserve">if jointly lodged—be signed in accordance with this </w:t>
      </w:r>
      <w:proofErr w:type="spellStart"/>
      <w:r w:rsidRPr="00680EB2">
        <w:t>subregulation</w:t>
      </w:r>
      <w:proofErr w:type="spellEnd"/>
      <w:r w:rsidR="00680EB2" w:rsidRPr="00680EB2">
        <w:t> </w:t>
      </w:r>
      <w:r w:rsidRPr="00680EB2">
        <w:t xml:space="preserve">by each party to the </w:t>
      </w:r>
      <w:r w:rsidR="0086446D" w:rsidRPr="00680EB2">
        <w:t>lodgement</w:t>
      </w:r>
      <w:r w:rsidRPr="00680EB2">
        <w:t>; or</w:t>
      </w:r>
    </w:p>
    <w:p w:rsidR="005F698E" w:rsidRPr="00680EB2" w:rsidRDefault="005F698E" w:rsidP="005F698E">
      <w:pPr>
        <w:pStyle w:val="paragraph"/>
      </w:pPr>
      <w:r w:rsidRPr="00680EB2">
        <w:tab/>
        <w:t>(e)</w:t>
      </w:r>
      <w:r w:rsidRPr="00680EB2">
        <w:tab/>
        <w:t>if lodged by an individual—be signed by the individual</w:t>
      </w:r>
      <w:r w:rsidR="0006637B" w:rsidRPr="00680EB2">
        <w:t>.</w:t>
      </w:r>
    </w:p>
    <w:p w:rsidR="005F698E" w:rsidRPr="00680EB2" w:rsidRDefault="00721AF0" w:rsidP="005F698E">
      <w:pPr>
        <w:pStyle w:val="ActHead5"/>
      </w:pPr>
      <w:bookmarkStart w:id="15" w:name="_Toc473101247"/>
      <w:r w:rsidRPr="00680EB2">
        <w:rPr>
          <w:rStyle w:val="CharSectno"/>
        </w:rPr>
        <w:t>16</w:t>
      </w:r>
      <w:r w:rsidR="005F698E" w:rsidRPr="00680EB2">
        <w:rPr>
          <w:rStyle w:val="CharSectno"/>
        </w:rPr>
        <w:t>B</w:t>
      </w:r>
      <w:r w:rsidR="005F698E" w:rsidRPr="00680EB2">
        <w:t xml:space="preserve">  Content of notices of objections lodged with the Commission</w:t>
      </w:r>
      <w:r w:rsidR="0032739B" w:rsidRPr="00680EB2">
        <w:t>er</w:t>
      </w:r>
      <w:bookmarkEnd w:id="15"/>
    </w:p>
    <w:p w:rsidR="005F698E" w:rsidRPr="00680EB2" w:rsidRDefault="005F698E" w:rsidP="005F698E">
      <w:pPr>
        <w:pStyle w:val="subsection"/>
      </w:pPr>
      <w:r w:rsidRPr="00680EB2">
        <w:tab/>
      </w:r>
      <w:r w:rsidRPr="00680EB2">
        <w:tab/>
        <w:t>A notice of objection lodged with the Commission</w:t>
      </w:r>
      <w:r w:rsidR="0032739B" w:rsidRPr="00680EB2">
        <w:t>er</w:t>
      </w:r>
      <w:r w:rsidRPr="00680EB2">
        <w:t xml:space="preserve"> must:</w:t>
      </w:r>
    </w:p>
    <w:p w:rsidR="005F698E" w:rsidRPr="00680EB2" w:rsidRDefault="005F698E" w:rsidP="005F698E">
      <w:pPr>
        <w:pStyle w:val="paragraph"/>
      </w:pPr>
      <w:r w:rsidRPr="00680EB2">
        <w:tab/>
        <w:t>(a)</w:t>
      </w:r>
      <w:r w:rsidRPr="00680EB2">
        <w:tab/>
        <w:t xml:space="preserve">state the name and address of the organisation, association or person lodging the notice of objection (the </w:t>
      </w:r>
      <w:r w:rsidRPr="00680EB2">
        <w:rPr>
          <w:b/>
          <w:i/>
        </w:rPr>
        <w:t>objector</w:t>
      </w:r>
      <w:r w:rsidRPr="00680EB2">
        <w:t>); and</w:t>
      </w:r>
    </w:p>
    <w:p w:rsidR="005F698E" w:rsidRPr="00680EB2" w:rsidRDefault="005F698E" w:rsidP="005F698E">
      <w:pPr>
        <w:pStyle w:val="paragraph"/>
      </w:pPr>
      <w:r w:rsidRPr="00680EB2">
        <w:tab/>
        <w:t>(b)</w:t>
      </w:r>
      <w:r w:rsidRPr="00680EB2">
        <w:tab/>
        <w:t>state the grounds of objection; and</w:t>
      </w:r>
    </w:p>
    <w:p w:rsidR="005F698E" w:rsidRPr="00680EB2" w:rsidRDefault="005F698E" w:rsidP="005F698E">
      <w:pPr>
        <w:pStyle w:val="paragraph"/>
      </w:pPr>
      <w:r w:rsidRPr="00680EB2">
        <w:tab/>
        <w:t>(c)</w:t>
      </w:r>
      <w:r w:rsidRPr="00680EB2">
        <w:tab/>
        <w:t>set out the particulars of each ground of objection; and</w:t>
      </w:r>
    </w:p>
    <w:p w:rsidR="005F698E" w:rsidRPr="00680EB2" w:rsidRDefault="005F698E" w:rsidP="005F698E">
      <w:pPr>
        <w:pStyle w:val="paragraph"/>
      </w:pPr>
      <w:r w:rsidRPr="00680EB2">
        <w:tab/>
        <w:t>(d)</w:t>
      </w:r>
      <w:r w:rsidRPr="00680EB2">
        <w:tab/>
        <w:t>briefly state the facts the objector relies on for each ground of objection</w:t>
      </w:r>
      <w:r w:rsidR="0006637B" w:rsidRPr="00680EB2">
        <w:t>.</w:t>
      </w:r>
    </w:p>
    <w:p w:rsidR="005F698E" w:rsidRPr="00680EB2" w:rsidRDefault="005F698E" w:rsidP="005F698E">
      <w:pPr>
        <w:pStyle w:val="ActHead5"/>
      </w:pPr>
      <w:bookmarkStart w:id="16" w:name="_Toc473101248"/>
      <w:r w:rsidRPr="00680EB2">
        <w:rPr>
          <w:rStyle w:val="CharSectno"/>
        </w:rPr>
        <w:t>1</w:t>
      </w:r>
      <w:r w:rsidR="00721AF0" w:rsidRPr="00680EB2">
        <w:rPr>
          <w:rStyle w:val="CharSectno"/>
        </w:rPr>
        <w:t>6</w:t>
      </w:r>
      <w:r w:rsidRPr="00680EB2">
        <w:rPr>
          <w:rStyle w:val="CharSectno"/>
        </w:rPr>
        <w:t>C</w:t>
      </w:r>
      <w:r w:rsidRPr="00680EB2">
        <w:t xml:space="preserve">  Service of documents</w:t>
      </w:r>
      <w:bookmarkEnd w:id="16"/>
    </w:p>
    <w:p w:rsidR="005F698E" w:rsidRPr="00680EB2" w:rsidRDefault="005F698E" w:rsidP="005F698E">
      <w:pPr>
        <w:pStyle w:val="subsection"/>
      </w:pPr>
      <w:r w:rsidRPr="00680EB2">
        <w:tab/>
        <w:t>(1)</w:t>
      </w:r>
      <w:r w:rsidRPr="00680EB2">
        <w:tab/>
        <w:t>Every document lodged with the Commission</w:t>
      </w:r>
      <w:r w:rsidR="0032739B" w:rsidRPr="00680EB2">
        <w:t>er</w:t>
      </w:r>
      <w:r w:rsidRPr="00680EB2">
        <w:t xml:space="preserve"> must be endorsed with:</w:t>
      </w:r>
    </w:p>
    <w:p w:rsidR="005F698E" w:rsidRPr="00680EB2" w:rsidRDefault="005F698E" w:rsidP="005F698E">
      <w:pPr>
        <w:pStyle w:val="paragraph"/>
      </w:pPr>
      <w:r w:rsidRPr="00680EB2">
        <w:tab/>
        <w:t>(a)</w:t>
      </w:r>
      <w:r w:rsidRPr="00680EB2">
        <w:tab/>
        <w:t>the name of the party lodging the document; and</w:t>
      </w:r>
    </w:p>
    <w:p w:rsidR="005F698E" w:rsidRPr="00680EB2" w:rsidRDefault="005F698E" w:rsidP="005F698E">
      <w:pPr>
        <w:pStyle w:val="paragraph"/>
      </w:pPr>
      <w:r w:rsidRPr="00680EB2">
        <w:tab/>
        <w:t>(b)</w:t>
      </w:r>
      <w:r w:rsidRPr="00680EB2">
        <w:tab/>
        <w:t>an address that may be used as an address for service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(2)</w:t>
      </w:r>
      <w:r w:rsidRPr="00680EB2">
        <w:tab/>
        <w:t xml:space="preserve">A document lodged by an association, organisation or person with an </w:t>
      </w:r>
      <w:r w:rsidR="000A3A32" w:rsidRPr="00680EB2">
        <w:t>electronic</w:t>
      </w:r>
      <w:r w:rsidRPr="00680EB2">
        <w:t xml:space="preserve"> address may be endorsed with an </w:t>
      </w:r>
      <w:r w:rsidR="000A3A32" w:rsidRPr="00680EB2">
        <w:t>electronic</w:t>
      </w:r>
      <w:r w:rsidRPr="00680EB2">
        <w:t xml:space="preserve"> address for service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(3)</w:t>
      </w:r>
      <w:r w:rsidRPr="00680EB2">
        <w:tab/>
        <w:t xml:space="preserve">A document may be served electronically on an association, organisation or person with an </w:t>
      </w:r>
      <w:r w:rsidR="000A3A32" w:rsidRPr="00680EB2">
        <w:t>electronic</w:t>
      </w:r>
      <w:r w:rsidRPr="00680EB2">
        <w:t xml:space="preserve"> address for service</w:t>
      </w:r>
      <w:r w:rsidR="0006637B" w:rsidRPr="00680EB2">
        <w:t>.</w:t>
      </w:r>
    </w:p>
    <w:p w:rsidR="005F698E" w:rsidRPr="00680EB2" w:rsidRDefault="005F698E" w:rsidP="005F698E">
      <w:pPr>
        <w:pStyle w:val="ActHead5"/>
      </w:pPr>
      <w:bookmarkStart w:id="17" w:name="_Toc473101249"/>
      <w:r w:rsidRPr="00680EB2">
        <w:rPr>
          <w:rStyle w:val="CharSectno"/>
        </w:rPr>
        <w:t>1</w:t>
      </w:r>
      <w:r w:rsidR="00721AF0" w:rsidRPr="00680EB2">
        <w:rPr>
          <w:rStyle w:val="CharSectno"/>
        </w:rPr>
        <w:t>6</w:t>
      </w:r>
      <w:r w:rsidRPr="00680EB2">
        <w:rPr>
          <w:rStyle w:val="CharSectno"/>
        </w:rPr>
        <w:t>D</w:t>
      </w:r>
      <w:r w:rsidRPr="00680EB2">
        <w:t xml:space="preserve">  Publication of documents</w:t>
      </w:r>
      <w:bookmarkEnd w:id="17"/>
    </w:p>
    <w:p w:rsidR="005F698E" w:rsidRPr="00680EB2" w:rsidRDefault="005F698E" w:rsidP="005F698E">
      <w:pPr>
        <w:pStyle w:val="subsection"/>
      </w:pPr>
      <w:r w:rsidRPr="00680EB2">
        <w:tab/>
        <w:t>(1)</w:t>
      </w:r>
      <w:r w:rsidRPr="00680EB2">
        <w:tab/>
        <w:t>A person who is required under the Act or these Regulations to publish notice of a matter in a specified manner may publish an additional notice of the matter by other reasonable means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(2)</w:t>
      </w:r>
      <w:r w:rsidRPr="00680EB2">
        <w:tab/>
        <w:t>If the Act or these Regulations require the Commission</w:t>
      </w:r>
      <w:r w:rsidR="0032739B" w:rsidRPr="00680EB2">
        <w:t>er</w:t>
      </w:r>
      <w:r w:rsidRPr="00680EB2">
        <w:t xml:space="preserve"> to publish any application or notice in the Gazette or a newspaper, the application or notice must also be published on the Commission</w:t>
      </w:r>
      <w:r w:rsidR="0032739B" w:rsidRPr="00680EB2">
        <w:t>er</w:t>
      </w:r>
      <w:r w:rsidR="00E75B4E" w:rsidRPr="00680EB2">
        <w:t>’</w:t>
      </w:r>
      <w:r w:rsidRPr="00680EB2">
        <w:t>s website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(3)</w:t>
      </w:r>
      <w:r w:rsidRPr="00680EB2">
        <w:tab/>
        <w:t>A notice published by the Commissioner in the Gazette, in a newspaper or on Commission</w:t>
      </w:r>
      <w:r w:rsidR="0032739B" w:rsidRPr="00680EB2">
        <w:t>er</w:t>
      </w:r>
      <w:r w:rsidR="00E75B4E" w:rsidRPr="00680EB2">
        <w:t>’</w:t>
      </w:r>
      <w:r w:rsidRPr="00680EB2">
        <w:t xml:space="preserve">s website must include the postal address and electronic address of the Commissioner for </w:t>
      </w:r>
      <w:r w:rsidR="0086446D" w:rsidRPr="00680EB2">
        <w:t>lodgement</w:t>
      </w:r>
      <w:r w:rsidRPr="00680EB2">
        <w:t xml:space="preserve"> and service of documents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(4)</w:t>
      </w:r>
      <w:r w:rsidRPr="00680EB2">
        <w:tab/>
        <w:t>An application published by the Commissioner in the Gazette, in a newspaper or on</w:t>
      </w:r>
      <w:r w:rsidR="0032739B" w:rsidRPr="00680EB2">
        <w:t xml:space="preserve"> the</w:t>
      </w:r>
      <w:r w:rsidRPr="00680EB2">
        <w:t xml:space="preserve"> Commission</w:t>
      </w:r>
      <w:r w:rsidR="0032739B" w:rsidRPr="00680EB2">
        <w:t>er</w:t>
      </w:r>
      <w:r w:rsidR="00E75B4E" w:rsidRPr="00680EB2">
        <w:t>’</w:t>
      </w:r>
      <w:r w:rsidRPr="00680EB2">
        <w:t>s website must be accompanied by a note advising that a copy of the application, and copies of any documents relating to the application, can be obtained from the Commissioner on the request of:</w:t>
      </w:r>
    </w:p>
    <w:p w:rsidR="005F698E" w:rsidRPr="00680EB2" w:rsidRDefault="005F698E" w:rsidP="005F698E">
      <w:pPr>
        <w:pStyle w:val="paragraph"/>
      </w:pPr>
      <w:r w:rsidRPr="00680EB2">
        <w:tab/>
        <w:t>(a)</w:t>
      </w:r>
      <w:r w:rsidRPr="00680EB2">
        <w:tab/>
        <w:t>any organisation, association, branch, constituent part or reporting unit; or</w:t>
      </w:r>
    </w:p>
    <w:p w:rsidR="005F698E" w:rsidRPr="00680EB2" w:rsidRDefault="005F698E" w:rsidP="005F698E">
      <w:pPr>
        <w:pStyle w:val="paragraph"/>
      </w:pPr>
      <w:r w:rsidRPr="00680EB2">
        <w:tab/>
        <w:t>(b)</w:t>
      </w:r>
      <w:r w:rsidRPr="00680EB2">
        <w:tab/>
        <w:t>a member of one of those bodies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(5)</w:t>
      </w:r>
      <w:r w:rsidRPr="00680EB2">
        <w:tab/>
        <w:t xml:space="preserve">The Commissioner must supply a copy of an application to the organisation, association, branch, constituent part, reporting unit or member as soon as practicable after receiving a request under </w:t>
      </w:r>
      <w:proofErr w:type="spellStart"/>
      <w:r w:rsidRPr="00680EB2">
        <w:t>subregulation</w:t>
      </w:r>
      <w:proofErr w:type="spellEnd"/>
      <w:r w:rsidR="00680EB2" w:rsidRPr="00680EB2">
        <w:t> </w:t>
      </w:r>
      <w:r w:rsidRPr="00680EB2">
        <w:t>(4)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(6)</w:t>
      </w:r>
      <w:r w:rsidRPr="00680EB2">
        <w:tab/>
        <w:t>Unless the Act or these Regulations provide otherwise, a document that is required by this regulation to be published on a website must be published on the website no later than the day the document is required to be published by other means</w:t>
      </w:r>
      <w:r w:rsidR="0006637B" w:rsidRPr="00680EB2">
        <w:t>.</w:t>
      </w:r>
    </w:p>
    <w:p w:rsidR="00131CEC" w:rsidRPr="00680EB2" w:rsidRDefault="00131CEC" w:rsidP="00131CEC">
      <w:pPr>
        <w:pStyle w:val="ActHead3"/>
      </w:pPr>
      <w:bookmarkStart w:id="18" w:name="_Toc473101250"/>
      <w:r w:rsidRPr="00680EB2">
        <w:rPr>
          <w:rStyle w:val="CharDivNo"/>
        </w:rPr>
        <w:t>Division</w:t>
      </w:r>
      <w:r w:rsidR="00680EB2" w:rsidRPr="00680EB2">
        <w:rPr>
          <w:rStyle w:val="CharDivNo"/>
        </w:rPr>
        <w:t> </w:t>
      </w:r>
      <w:r w:rsidRPr="00680EB2">
        <w:rPr>
          <w:rStyle w:val="CharDivNo"/>
        </w:rPr>
        <w:t>4</w:t>
      </w:r>
      <w:r w:rsidRPr="00680EB2">
        <w:t>—</w:t>
      </w:r>
      <w:r w:rsidRPr="00680EB2">
        <w:rPr>
          <w:rStyle w:val="CharDivText"/>
        </w:rPr>
        <w:t>Other matters relating to documents</w:t>
      </w:r>
      <w:bookmarkEnd w:id="18"/>
    </w:p>
    <w:p w:rsidR="001554B0" w:rsidRPr="00680EB2" w:rsidRDefault="00027406" w:rsidP="001554B0">
      <w:pPr>
        <w:pStyle w:val="ItemHead"/>
      </w:pPr>
      <w:r w:rsidRPr="00680EB2">
        <w:t>6</w:t>
      </w:r>
      <w:r w:rsidR="001554B0" w:rsidRPr="00680EB2">
        <w:t xml:space="preserve">  Regulation</w:t>
      </w:r>
      <w:r w:rsidR="00680EB2" w:rsidRPr="00680EB2">
        <w:t> </w:t>
      </w:r>
      <w:r w:rsidR="001554B0" w:rsidRPr="00680EB2">
        <w:t>17</w:t>
      </w:r>
    </w:p>
    <w:p w:rsidR="001554B0" w:rsidRPr="00680EB2" w:rsidRDefault="001554B0" w:rsidP="001554B0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, the Commissioner</w:t>
      </w:r>
      <w:r w:rsidR="00E75B4E" w:rsidRPr="00680EB2">
        <w:t>”</w:t>
      </w:r>
      <w:r w:rsidR="0006637B" w:rsidRPr="00680EB2">
        <w:t>.</w:t>
      </w:r>
    </w:p>
    <w:p w:rsidR="001554B0" w:rsidRPr="00680EB2" w:rsidRDefault="00027406" w:rsidP="001554B0">
      <w:pPr>
        <w:pStyle w:val="ItemHead"/>
      </w:pPr>
      <w:r w:rsidRPr="00680EB2">
        <w:t>7</w:t>
      </w:r>
      <w:r w:rsidR="001554B0" w:rsidRPr="00680EB2">
        <w:t xml:space="preserve">  </w:t>
      </w:r>
      <w:proofErr w:type="spellStart"/>
      <w:r w:rsidR="001554B0" w:rsidRPr="00680EB2">
        <w:t>Subregulation</w:t>
      </w:r>
      <w:r w:rsidR="00CF73B6" w:rsidRPr="00680EB2">
        <w:t>s</w:t>
      </w:r>
      <w:proofErr w:type="spellEnd"/>
      <w:r w:rsidR="00680EB2" w:rsidRPr="00680EB2">
        <w:t> </w:t>
      </w:r>
      <w:r w:rsidR="001554B0" w:rsidRPr="00680EB2">
        <w:t>18(1)</w:t>
      </w:r>
      <w:r w:rsidR="00CF73B6" w:rsidRPr="00680EB2">
        <w:t xml:space="preserve"> and (2)</w:t>
      </w:r>
    </w:p>
    <w:p w:rsidR="001554B0" w:rsidRPr="00680EB2" w:rsidRDefault="001554B0" w:rsidP="001554B0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>General Manager,</w:t>
      </w:r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the Commissioner,</w:t>
      </w:r>
      <w:r w:rsidR="00E75B4E" w:rsidRPr="00680EB2">
        <w:t>”</w:t>
      </w:r>
      <w:r w:rsidR="0006637B" w:rsidRPr="00680EB2">
        <w:t>.</w:t>
      </w:r>
    </w:p>
    <w:p w:rsidR="00013A2B" w:rsidRPr="00680EB2" w:rsidRDefault="00027406" w:rsidP="00013A2B">
      <w:pPr>
        <w:pStyle w:val="ItemHead"/>
      </w:pPr>
      <w:r w:rsidRPr="00680EB2">
        <w:t>8</w:t>
      </w:r>
      <w:r w:rsidR="00013A2B" w:rsidRPr="00680EB2">
        <w:t xml:space="preserve">  Paragraph 20(1)(a)</w:t>
      </w:r>
    </w:p>
    <w:p w:rsidR="00013A2B" w:rsidRPr="00680EB2" w:rsidRDefault="00013A2B" w:rsidP="00013A2B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(other than a document lodged under section</w:t>
      </w:r>
      <w:r w:rsidR="00680EB2" w:rsidRPr="00680EB2">
        <w:t> </w:t>
      </w:r>
      <w:r w:rsidRPr="00680EB2">
        <w:t>236, 237 or 272 of the Act)</w:t>
      </w:r>
      <w:r w:rsidR="00E75B4E" w:rsidRPr="00680EB2">
        <w:t>”</w:t>
      </w:r>
      <w:r w:rsidR="0006637B" w:rsidRPr="00680EB2">
        <w:t>.</w:t>
      </w:r>
    </w:p>
    <w:p w:rsidR="005F698E" w:rsidRPr="00680EB2" w:rsidRDefault="00027406" w:rsidP="005F698E">
      <w:pPr>
        <w:pStyle w:val="ItemHead"/>
      </w:pPr>
      <w:r w:rsidRPr="00680EB2">
        <w:t>9</w:t>
      </w:r>
      <w:r w:rsidR="005F698E" w:rsidRPr="00680EB2">
        <w:t xml:space="preserve">  </w:t>
      </w:r>
      <w:r w:rsidR="00013A2B" w:rsidRPr="00680EB2">
        <w:t>After</w:t>
      </w:r>
      <w:r w:rsidR="005F698E" w:rsidRPr="00680EB2">
        <w:t xml:space="preserve"> </w:t>
      </w:r>
      <w:proofErr w:type="spellStart"/>
      <w:r w:rsidR="005F698E" w:rsidRPr="00680EB2">
        <w:t>subregulation</w:t>
      </w:r>
      <w:proofErr w:type="spellEnd"/>
      <w:r w:rsidR="00680EB2" w:rsidRPr="00680EB2">
        <w:t> </w:t>
      </w:r>
      <w:r w:rsidR="005F698E" w:rsidRPr="00680EB2">
        <w:t>20(1)</w:t>
      </w:r>
    </w:p>
    <w:p w:rsidR="005F698E" w:rsidRPr="00680EB2" w:rsidRDefault="005F698E" w:rsidP="005F698E">
      <w:pPr>
        <w:pStyle w:val="Item"/>
      </w:pPr>
      <w:r w:rsidRPr="00680EB2">
        <w:t>Insert:</w:t>
      </w:r>
    </w:p>
    <w:p w:rsidR="005F698E" w:rsidRPr="00680EB2" w:rsidRDefault="005F698E" w:rsidP="005F698E">
      <w:pPr>
        <w:pStyle w:val="subsection"/>
      </w:pPr>
      <w:r w:rsidRPr="00680EB2">
        <w:tab/>
        <w:t>(1A)</w:t>
      </w:r>
      <w:r w:rsidRPr="00680EB2">
        <w:tab/>
        <w:t>A person may, after giving reasonable notice, inspect at the Commission</w:t>
      </w:r>
      <w:r w:rsidR="000E2500" w:rsidRPr="00680EB2">
        <w:t>er</w:t>
      </w:r>
      <w:r w:rsidR="00E75B4E" w:rsidRPr="00680EB2">
        <w:t>’</w:t>
      </w:r>
      <w:r w:rsidR="000E2500" w:rsidRPr="00680EB2">
        <w:t>s premises</w:t>
      </w:r>
      <w:r w:rsidRPr="00680EB2">
        <w:t>:</w:t>
      </w:r>
    </w:p>
    <w:p w:rsidR="005F698E" w:rsidRPr="00680EB2" w:rsidRDefault="005F698E" w:rsidP="005F698E">
      <w:pPr>
        <w:pStyle w:val="paragraph"/>
      </w:pPr>
      <w:r w:rsidRPr="00680EB2">
        <w:tab/>
        <w:t>(a)</w:t>
      </w:r>
      <w:r w:rsidRPr="00680EB2">
        <w:tab/>
        <w:t>a document lodged with the Commission</w:t>
      </w:r>
      <w:r w:rsidR="000E2500" w:rsidRPr="00680EB2">
        <w:t>er</w:t>
      </w:r>
      <w:r w:rsidRPr="00680EB2">
        <w:t xml:space="preserve"> under the Act (other than a document lodged under section</w:t>
      </w:r>
      <w:r w:rsidR="00680EB2" w:rsidRPr="00680EB2">
        <w:t> </w:t>
      </w:r>
      <w:r w:rsidRPr="00680EB2">
        <w:t>236, 237 or 272</w:t>
      </w:r>
      <w:r w:rsidR="00BC4CDB" w:rsidRPr="00680EB2">
        <w:t xml:space="preserve"> or Part</w:t>
      </w:r>
      <w:r w:rsidR="00680EB2" w:rsidRPr="00680EB2">
        <w:t> </w:t>
      </w:r>
      <w:r w:rsidR="00BC4CDB" w:rsidRPr="00680EB2">
        <w:t>4A</w:t>
      </w:r>
      <w:r w:rsidR="003644E8" w:rsidRPr="00680EB2">
        <w:t xml:space="preserve"> of Chapter</w:t>
      </w:r>
      <w:r w:rsidR="00680EB2" w:rsidRPr="00680EB2">
        <w:t> </w:t>
      </w:r>
      <w:r w:rsidR="003644E8" w:rsidRPr="00680EB2">
        <w:t>11</w:t>
      </w:r>
      <w:r w:rsidRPr="00680EB2">
        <w:t xml:space="preserve"> of the Act); or</w:t>
      </w:r>
    </w:p>
    <w:p w:rsidR="005F698E" w:rsidRPr="00680EB2" w:rsidRDefault="005F698E" w:rsidP="005F698E">
      <w:pPr>
        <w:pStyle w:val="paragraph"/>
      </w:pPr>
      <w:r w:rsidRPr="00680EB2">
        <w:tab/>
        <w:t>(b)</w:t>
      </w:r>
      <w:r w:rsidRPr="00680EB2">
        <w:tab/>
        <w:t>a document lodged with the Commission</w:t>
      </w:r>
      <w:r w:rsidR="000E2500" w:rsidRPr="00680EB2">
        <w:t>er</w:t>
      </w:r>
      <w:r w:rsidRPr="00680EB2">
        <w:t xml:space="preserve"> under these Regulations</w:t>
      </w:r>
      <w:r w:rsidR="0006637B" w:rsidRPr="00680EB2">
        <w:t>.</w:t>
      </w:r>
    </w:p>
    <w:p w:rsidR="00031747" w:rsidRPr="00680EB2" w:rsidRDefault="00027406" w:rsidP="00031747">
      <w:pPr>
        <w:pStyle w:val="ItemHead"/>
      </w:pPr>
      <w:r w:rsidRPr="00680EB2">
        <w:t>10</w:t>
      </w:r>
      <w:r w:rsidR="00031747" w:rsidRPr="00680EB2">
        <w:t xml:space="preserve">  Before paragraph</w:t>
      </w:r>
      <w:r w:rsidR="00680EB2" w:rsidRPr="00680EB2">
        <w:t> </w:t>
      </w:r>
      <w:r w:rsidR="00031747" w:rsidRPr="00680EB2">
        <w:t>26(a)</w:t>
      </w:r>
    </w:p>
    <w:p w:rsidR="00031747" w:rsidRPr="00680EB2" w:rsidRDefault="00031747" w:rsidP="00031747">
      <w:pPr>
        <w:pStyle w:val="Item"/>
      </w:pPr>
      <w:r w:rsidRPr="00680EB2">
        <w:t>Insert:</w:t>
      </w:r>
    </w:p>
    <w:p w:rsidR="00031747" w:rsidRPr="00680EB2" w:rsidRDefault="00031747" w:rsidP="00031747">
      <w:pPr>
        <w:pStyle w:val="paragraph"/>
      </w:pPr>
      <w:r w:rsidRPr="00680EB2">
        <w:tab/>
        <w:t>(aa)</w:t>
      </w:r>
      <w:r w:rsidRPr="00680EB2">
        <w:tab/>
        <w:t>the Commissioner;</w:t>
      </w:r>
    </w:p>
    <w:p w:rsidR="00520AE9" w:rsidRPr="00680EB2" w:rsidRDefault="00027406" w:rsidP="00520AE9">
      <w:pPr>
        <w:pStyle w:val="ItemHead"/>
      </w:pPr>
      <w:r w:rsidRPr="00680EB2">
        <w:t>11</w:t>
      </w:r>
      <w:r w:rsidR="00520AE9" w:rsidRPr="00680EB2">
        <w:t xml:space="preserve">  </w:t>
      </w:r>
      <w:proofErr w:type="spellStart"/>
      <w:r w:rsidR="00520AE9" w:rsidRPr="00680EB2">
        <w:t>Subregulations</w:t>
      </w:r>
      <w:proofErr w:type="spellEnd"/>
      <w:r w:rsidR="00680EB2" w:rsidRPr="00680EB2">
        <w:t> </w:t>
      </w:r>
      <w:r w:rsidR="002229B9" w:rsidRPr="00680EB2">
        <w:t xml:space="preserve">32(1) and </w:t>
      </w:r>
      <w:r w:rsidR="00520AE9" w:rsidRPr="00680EB2">
        <w:t>38(5)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paragraph</w:t>
      </w:r>
      <w:r w:rsidR="00680EB2" w:rsidRPr="00680EB2">
        <w:t> </w:t>
      </w:r>
      <w:r w:rsidRPr="00680EB2">
        <w:t>13(1)(a)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subsection</w:t>
      </w:r>
      <w:r w:rsidR="00680EB2" w:rsidRPr="00680EB2">
        <w:t> </w:t>
      </w:r>
      <w:r w:rsidRPr="00680EB2">
        <w:t>13(1)</w:t>
      </w:r>
      <w:r w:rsidR="00E75B4E" w:rsidRPr="00680EB2">
        <w:t>”</w:t>
      </w:r>
      <w:r w:rsidR="0006637B" w:rsidRPr="00680EB2">
        <w:t>.</w:t>
      </w:r>
    </w:p>
    <w:p w:rsidR="001554B0" w:rsidRPr="00680EB2" w:rsidRDefault="00027406" w:rsidP="001554B0">
      <w:pPr>
        <w:pStyle w:val="ItemHead"/>
      </w:pPr>
      <w:r w:rsidRPr="00680EB2">
        <w:t>12</w:t>
      </w:r>
      <w:r w:rsidR="001554B0" w:rsidRPr="00680EB2">
        <w:t xml:space="preserve">  </w:t>
      </w:r>
      <w:proofErr w:type="spellStart"/>
      <w:r w:rsidR="001554B0" w:rsidRPr="00680EB2">
        <w:t>Subregulation</w:t>
      </w:r>
      <w:r w:rsidR="002229B9" w:rsidRPr="00680EB2">
        <w:t>s</w:t>
      </w:r>
      <w:proofErr w:type="spellEnd"/>
      <w:r w:rsidR="00680EB2" w:rsidRPr="00680EB2">
        <w:t> </w:t>
      </w:r>
      <w:r w:rsidR="001554B0" w:rsidRPr="00680EB2">
        <w:t>68(9)</w:t>
      </w:r>
      <w:r w:rsidR="002229B9" w:rsidRPr="00680EB2">
        <w:t>, 87(3) and 97(11)</w:t>
      </w:r>
    </w:p>
    <w:p w:rsidR="001554B0" w:rsidRPr="00680EB2" w:rsidRDefault="001554B0" w:rsidP="001554B0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and the Commissioner</w:t>
      </w:r>
      <w:r w:rsidR="00E75B4E" w:rsidRPr="00680EB2">
        <w:t>”</w:t>
      </w:r>
      <w:r w:rsidR="0006637B" w:rsidRPr="00680EB2">
        <w:t>.</w:t>
      </w:r>
    </w:p>
    <w:p w:rsidR="00031747" w:rsidRPr="00680EB2" w:rsidRDefault="00027406" w:rsidP="00031747">
      <w:pPr>
        <w:pStyle w:val="ItemHead"/>
      </w:pPr>
      <w:r w:rsidRPr="00680EB2">
        <w:t>13</w:t>
      </w:r>
      <w:r w:rsidR="00031747" w:rsidRPr="00680EB2">
        <w:t xml:space="preserve">  Before paragraph</w:t>
      </w:r>
      <w:r w:rsidR="00680EB2" w:rsidRPr="00680EB2">
        <w:t> </w:t>
      </w:r>
      <w:r w:rsidR="00031747" w:rsidRPr="00680EB2">
        <w:t>111(a)</w:t>
      </w:r>
    </w:p>
    <w:p w:rsidR="00031747" w:rsidRPr="00680EB2" w:rsidRDefault="00031747" w:rsidP="00031747">
      <w:pPr>
        <w:pStyle w:val="Item"/>
      </w:pPr>
      <w:r w:rsidRPr="00680EB2">
        <w:t>Insert:</w:t>
      </w:r>
    </w:p>
    <w:p w:rsidR="00031747" w:rsidRPr="00680EB2" w:rsidRDefault="00031747" w:rsidP="00031747">
      <w:pPr>
        <w:pStyle w:val="paragraph"/>
      </w:pPr>
      <w:r w:rsidRPr="00680EB2">
        <w:tab/>
        <w:t>(aa)</w:t>
      </w:r>
      <w:r w:rsidRPr="00680EB2">
        <w:tab/>
        <w:t>the Commissioner;</w:t>
      </w:r>
    </w:p>
    <w:p w:rsidR="001554B0" w:rsidRPr="00680EB2" w:rsidRDefault="00027406" w:rsidP="001554B0">
      <w:pPr>
        <w:pStyle w:val="ItemHead"/>
      </w:pPr>
      <w:r w:rsidRPr="00680EB2">
        <w:t>14</w:t>
      </w:r>
      <w:r w:rsidR="001554B0" w:rsidRPr="00680EB2">
        <w:t xml:space="preserve">  </w:t>
      </w:r>
      <w:proofErr w:type="spellStart"/>
      <w:r w:rsidR="001554B0" w:rsidRPr="00680EB2">
        <w:t>Subregulations</w:t>
      </w:r>
      <w:proofErr w:type="spellEnd"/>
      <w:r w:rsidR="00680EB2" w:rsidRPr="00680EB2">
        <w:t> </w:t>
      </w:r>
      <w:r w:rsidR="001554B0" w:rsidRPr="00680EB2">
        <w:t>112(3) and 113(2)</w:t>
      </w:r>
    </w:p>
    <w:p w:rsidR="001554B0" w:rsidRPr="00680EB2" w:rsidRDefault="001554B0" w:rsidP="001554B0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and the Commissioner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15</w:t>
      </w:r>
      <w:r w:rsidR="00520AE9" w:rsidRPr="00680EB2">
        <w:t xml:space="preserve">  Paragraph 125H(3)(a)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paragraph</w:t>
      </w:r>
      <w:r w:rsidR="00680EB2" w:rsidRPr="00680EB2">
        <w:t> </w:t>
      </w:r>
      <w:r w:rsidRPr="00680EB2">
        <w:t>13(1)(a)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subsection</w:t>
      </w:r>
      <w:r w:rsidR="00680EB2" w:rsidRPr="00680EB2">
        <w:t> </w:t>
      </w:r>
      <w:r w:rsidRPr="00680EB2">
        <w:t>13(1)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16</w:t>
      </w:r>
      <w:r w:rsidR="00520AE9" w:rsidRPr="00680EB2">
        <w:t xml:space="preserve">  </w:t>
      </w:r>
      <w:proofErr w:type="spellStart"/>
      <w:r w:rsidR="00520AE9" w:rsidRPr="00680EB2">
        <w:t>Subregulation</w:t>
      </w:r>
      <w:proofErr w:type="spellEnd"/>
      <w:r w:rsidR="00680EB2" w:rsidRPr="00680EB2">
        <w:t> </w:t>
      </w:r>
      <w:r w:rsidR="00520AE9" w:rsidRPr="00680EB2">
        <w:t>131(1)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17</w:t>
      </w:r>
      <w:r w:rsidR="00520AE9" w:rsidRPr="00680EB2">
        <w:t xml:space="preserve">  Paragraph 133(1)(d)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FWC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</w:t>
      </w:r>
      <w:r w:rsidR="000D50BE" w:rsidRPr="00680EB2">
        <w:t>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18</w:t>
      </w:r>
      <w:r w:rsidR="00520AE9" w:rsidRPr="00680EB2">
        <w:t xml:space="preserve">  </w:t>
      </w:r>
      <w:proofErr w:type="spellStart"/>
      <w:r w:rsidR="00520AE9" w:rsidRPr="00680EB2">
        <w:t>Subregulation</w:t>
      </w:r>
      <w:proofErr w:type="spellEnd"/>
      <w:r w:rsidR="00680EB2" w:rsidRPr="00680EB2">
        <w:t> </w:t>
      </w:r>
      <w:r w:rsidR="00520AE9" w:rsidRPr="00680EB2">
        <w:t>134(1)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C53E69" w:rsidRPr="00680EB2" w:rsidRDefault="00027406" w:rsidP="00C53E69">
      <w:pPr>
        <w:pStyle w:val="ItemHead"/>
      </w:pPr>
      <w:r w:rsidRPr="00680EB2">
        <w:t>19</w:t>
      </w:r>
      <w:r w:rsidR="00C53E69" w:rsidRPr="00680EB2">
        <w:t xml:space="preserve">  Paragraph 134(1)(b)</w:t>
      </w:r>
    </w:p>
    <w:p w:rsidR="00C53E69" w:rsidRPr="00680EB2" w:rsidRDefault="00C53E69" w:rsidP="00C53E69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FWC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</w:t>
      </w:r>
      <w:r w:rsidR="00C72B4D" w:rsidRPr="00680EB2">
        <w:t>er</w:t>
      </w:r>
      <w:r w:rsidR="00E75B4E" w:rsidRPr="00680EB2">
        <w:t>”</w:t>
      </w:r>
      <w:r w:rsidR="0006637B" w:rsidRPr="00680EB2">
        <w:t>.</w:t>
      </w:r>
    </w:p>
    <w:p w:rsidR="00C53E69" w:rsidRPr="00680EB2" w:rsidRDefault="00027406" w:rsidP="00520AE9">
      <w:pPr>
        <w:pStyle w:val="ItemHead"/>
      </w:pPr>
      <w:r w:rsidRPr="00680EB2">
        <w:t>20</w:t>
      </w:r>
      <w:r w:rsidR="00C53E69" w:rsidRPr="00680EB2">
        <w:t xml:space="preserve">  </w:t>
      </w:r>
      <w:proofErr w:type="spellStart"/>
      <w:r w:rsidR="00C53E69" w:rsidRPr="00680EB2">
        <w:t>Subregulation</w:t>
      </w:r>
      <w:proofErr w:type="spellEnd"/>
      <w:r w:rsidR="00680EB2" w:rsidRPr="00680EB2">
        <w:t> </w:t>
      </w:r>
      <w:r w:rsidR="00C53E69" w:rsidRPr="00680EB2">
        <w:t>134(2)</w:t>
      </w:r>
    </w:p>
    <w:p w:rsidR="00C53E69" w:rsidRPr="00680EB2" w:rsidRDefault="00C53E69" w:rsidP="00C53E6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475BBF" w:rsidRPr="00680EB2" w:rsidRDefault="00027406" w:rsidP="00475BBF">
      <w:pPr>
        <w:pStyle w:val="ItemHead"/>
      </w:pPr>
      <w:r w:rsidRPr="00680EB2">
        <w:t>21</w:t>
      </w:r>
      <w:r w:rsidR="00475BBF" w:rsidRPr="00680EB2">
        <w:t xml:space="preserve">  Paragraph 135(4)(</w:t>
      </w:r>
      <w:r w:rsidR="00C72B4D" w:rsidRPr="00680EB2">
        <w:t>a</w:t>
      </w:r>
      <w:r w:rsidR="00475BBF" w:rsidRPr="00680EB2">
        <w:t>)</w:t>
      </w:r>
    </w:p>
    <w:p w:rsidR="00475BBF" w:rsidRPr="00680EB2" w:rsidRDefault="00475BBF" w:rsidP="00475BBF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FWC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</w:t>
      </w:r>
      <w:r w:rsidR="00C72B4D" w:rsidRPr="00680EB2">
        <w:t>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22</w:t>
      </w:r>
      <w:r w:rsidR="00520AE9" w:rsidRPr="00680EB2">
        <w:t xml:space="preserve">  </w:t>
      </w:r>
      <w:proofErr w:type="spellStart"/>
      <w:r w:rsidR="00520AE9" w:rsidRPr="00680EB2">
        <w:t>Subregulation</w:t>
      </w:r>
      <w:proofErr w:type="spellEnd"/>
      <w:r w:rsidR="00680EB2" w:rsidRPr="00680EB2">
        <w:t> </w:t>
      </w:r>
      <w:r w:rsidR="00520AE9" w:rsidRPr="00680EB2">
        <w:t>136(1)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C72B4D" w:rsidRPr="00680EB2">
        <w:t xml:space="preserve"> who is to hear a matter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C72B4D" w:rsidRPr="00680EB2" w:rsidRDefault="00027406" w:rsidP="00C72B4D">
      <w:pPr>
        <w:pStyle w:val="ItemHead"/>
      </w:pPr>
      <w:r w:rsidRPr="00680EB2">
        <w:t>23</w:t>
      </w:r>
      <w:r w:rsidR="00C72B4D" w:rsidRPr="00680EB2">
        <w:t xml:space="preserve">  </w:t>
      </w:r>
      <w:proofErr w:type="spellStart"/>
      <w:r w:rsidR="00C72B4D" w:rsidRPr="00680EB2">
        <w:t>Subregulations</w:t>
      </w:r>
      <w:proofErr w:type="spellEnd"/>
      <w:r w:rsidR="00680EB2" w:rsidRPr="00680EB2">
        <w:t> </w:t>
      </w:r>
      <w:r w:rsidR="00C72B4D" w:rsidRPr="00680EB2">
        <w:t>136(2) and (3)</w:t>
      </w:r>
    </w:p>
    <w:p w:rsidR="00C72B4D" w:rsidRPr="00680EB2" w:rsidRDefault="00C72B4D" w:rsidP="00C72B4D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24</w:t>
      </w:r>
      <w:r w:rsidR="00520AE9" w:rsidRPr="00680EB2">
        <w:t xml:space="preserve">  Paragraph 137(1)(c)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FWC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</w:t>
      </w:r>
      <w:r w:rsidR="00C72B4D" w:rsidRPr="00680EB2">
        <w:t>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25</w:t>
      </w:r>
      <w:r w:rsidR="00520AE9" w:rsidRPr="00680EB2">
        <w:t xml:space="preserve">  </w:t>
      </w:r>
      <w:proofErr w:type="spellStart"/>
      <w:r w:rsidR="00520AE9" w:rsidRPr="00680EB2">
        <w:t>Subregulation</w:t>
      </w:r>
      <w:proofErr w:type="spellEnd"/>
      <w:r w:rsidR="00680EB2" w:rsidRPr="00680EB2">
        <w:t> </w:t>
      </w:r>
      <w:r w:rsidR="00520AE9" w:rsidRPr="00680EB2">
        <w:t>137(2)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 (wherever occurring),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236A35" w:rsidRPr="00680EB2" w:rsidRDefault="00027406" w:rsidP="00236A35">
      <w:pPr>
        <w:pStyle w:val="ItemHead"/>
      </w:pPr>
      <w:r w:rsidRPr="00680EB2">
        <w:t>26</w:t>
      </w:r>
      <w:r w:rsidR="00236A35" w:rsidRPr="00680EB2">
        <w:t xml:space="preserve">  Paragraph 140(3)(a)</w:t>
      </w:r>
    </w:p>
    <w:p w:rsidR="00236A35" w:rsidRPr="00680EB2" w:rsidRDefault="00236A35" w:rsidP="00236A35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27</w:t>
      </w:r>
      <w:r w:rsidR="00520AE9" w:rsidRPr="00680EB2">
        <w:t xml:space="preserve">  </w:t>
      </w:r>
      <w:proofErr w:type="spellStart"/>
      <w:r w:rsidR="00520AE9" w:rsidRPr="00680EB2">
        <w:t>Subregulations</w:t>
      </w:r>
      <w:proofErr w:type="spellEnd"/>
      <w:r w:rsidR="00680EB2" w:rsidRPr="00680EB2">
        <w:t> </w:t>
      </w:r>
      <w:r w:rsidR="006A2D57" w:rsidRPr="00680EB2">
        <w:t xml:space="preserve">142(1), 145(2) and </w:t>
      </w:r>
      <w:r w:rsidR="00520AE9" w:rsidRPr="00680EB2">
        <w:t>152(2)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28</w:t>
      </w:r>
      <w:r w:rsidR="00520AE9" w:rsidRPr="00680EB2">
        <w:t xml:space="preserve">  </w:t>
      </w:r>
      <w:proofErr w:type="spellStart"/>
      <w:r w:rsidR="00520AE9" w:rsidRPr="00680EB2">
        <w:t>Subregulation</w:t>
      </w:r>
      <w:proofErr w:type="spellEnd"/>
      <w:r w:rsidR="00680EB2" w:rsidRPr="00680EB2">
        <w:t> </w:t>
      </w:r>
      <w:r w:rsidR="00520AE9" w:rsidRPr="00680EB2">
        <w:t>166(5)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 (wherever occurring),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520AE9" w:rsidRPr="00680EB2" w:rsidRDefault="00027406" w:rsidP="00520AE9">
      <w:pPr>
        <w:pStyle w:val="ItemHead"/>
      </w:pPr>
      <w:r w:rsidRPr="00680EB2">
        <w:t>29</w:t>
      </w:r>
      <w:r w:rsidR="00520AE9" w:rsidRPr="00680EB2">
        <w:t xml:space="preserve">  Regulation</w:t>
      </w:r>
      <w:r w:rsidR="00680EB2" w:rsidRPr="00680EB2">
        <w:t> </w:t>
      </w:r>
      <w:r w:rsidR="00520AE9" w:rsidRPr="00680EB2">
        <w:t>167</w:t>
      </w:r>
    </w:p>
    <w:p w:rsidR="00520AE9" w:rsidRPr="00680EB2" w:rsidRDefault="00520AE9" w:rsidP="00520AE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 (wherever occurring), substitute </w:t>
      </w:r>
      <w:r w:rsidR="00E75B4E" w:rsidRPr="00680EB2">
        <w:t>“</w:t>
      </w:r>
      <w:r w:rsidRPr="00680EB2">
        <w:t>Commissioner</w:t>
      </w:r>
      <w:r w:rsidR="00E75B4E" w:rsidRPr="00680EB2">
        <w:t>”</w:t>
      </w:r>
      <w:r w:rsidR="0006637B" w:rsidRPr="00680EB2">
        <w:t>.</w:t>
      </w:r>
    </w:p>
    <w:p w:rsidR="00031747" w:rsidRPr="00680EB2" w:rsidRDefault="00027406" w:rsidP="00031747">
      <w:pPr>
        <w:pStyle w:val="ItemHead"/>
      </w:pPr>
      <w:r w:rsidRPr="00680EB2">
        <w:t>30</w:t>
      </w:r>
      <w:r w:rsidR="00031747" w:rsidRPr="00680EB2">
        <w:t xml:space="preserve">  </w:t>
      </w:r>
      <w:proofErr w:type="spellStart"/>
      <w:r w:rsidR="00031747" w:rsidRPr="00680EB2">
        <w:t>Subregulation</w:t>
      </w:r>
      <w:proofErr w:type="spellEnd"/>
      <w:r w:rsidR="00680EB2" w:rsidRPr="00680EB2">
        <w:t> </w:t>
      </w:r>
      <w:r w:rsidR="00031747" w:rsidRPr="00680EB2">
        <w:t>171(1)</w:t>
      </w:r>
    </w:p>
    <w:p w:rsidR="00031747" w:rsidRPr="00680EB2" w:rsidRDefault="00031747" w:rsidP="00031747">
      <w:pPr>
        <w:pStyle w:val="Item"/>
      </w:pPr>
      <w:r w:rsidRPr="00680EB2">
        <w:t xml:space="preserve">Repeal the </w:t>
      </w:r>
      <w:proofErr w:type="spellStart"/>
      <w:r w:rsidRPr="00680EB2">
        <w:t>subregulation</w:t>
      </w:r>
      <w:proofErr w:type="spellEnd"/>
      <w:r w:rsidRPr="00680EB2">
        <w:t>, substitute</w:t>
      </w:r>
      <w:r w:rsidR="000A3A32" w:rsidRPr="00680EB2">
        <w:t>:</w:t>
      </w:r>
    </w:p>
    <w:p w:rsidR="00031747" w:rsidRPr="00680EB2" w:rsidRDefault="00031747" w:rsidP="00031747">
      <w:pPr>
        <w:pStyle w:val="SubsectionHead"/>
      </w:pPr>
      <w:r w:rsidRPr="00680EB2">
        <w:t>Making applications</w:t>
      </w:r>
    </w:p>
    <w:p w:rsidR="00031747" w:rsidRPr="00680EB2" w:rsidRDefault="00031747" w:rsidP="00031747">
      <w:pPr>
        <w:pStyle w:val="subsection"/>
      </w:pPr>
      <w:r w:rsidRPr="00680EB2">
        <w:tab/>
        <w:t>(1)</w:t>
      </w:r>
      <w:r w:rsidRPr="00680EB2">
        <w:tab/>
        <w:t>The following persons may apply for an order under this Part:</w:t>
      </w:r>
    </w:p>
    <w:p w:rsidR="00031747" w:rsidRPr="00680EB2" w:rsidRDefault="00031747" w:rsidP="00031747">
      <w:pPr>
        <w:pStyle w:val="paragraph"/>
      </w:pPr>
      <w:r w:rsidRPr="00680EB2">
        <w:tab/>
        <w:t>(a)</w:t>
      </w:r>
      <w:r w:rsidRPr="00680EB2">
        <w:tab/>
        <w:t>the General Manager;</w:t>
      </w:r>
    </w:p>
    <w:p w:rsidR="00031747" w:rsidRPr="00680EB2" w:rsidRDefault="00031747" w:rsidP="00031747">
      <w:pPr>
        <w:pStyle w:val="paragraph"/>
      </w:pPr>
      <w:r w:rsidRPr="00680EB2">
        <w:tab/>
        <w:t>(b)</w:t>
      </w:r>
      <w:r w:rsidRPr="00680EB2">
        <w:tab/>
        <w:t xml:space="preserve">a person authorised in writing by the General Manager under this </w:t>
      </w:r>
      <w:r w:rsidR="0086446D" w:rsidRPr="00680EB2">
        <w:t>paragraph</w:t>
      </w:r>
      <w:r w:rsidRPr="00680EB2">
        <w:t>;</w:t>
      </w:r>
    </w:p>
    <w:p w:rsidR="00031747" w:rsidRPr="00680EB2" w:rsidRDefault="00031747" w:rsidP="00031747">
      <w:pPr>
        <w:pStyle w:val="paragraph"/>
      </w:pPr>
      <w:r w:rsidRPr="00680EB2">
        <w:tab/>
        <w:t>(c)</w:t>
      </w:r>
      <w:r w:rsidRPr="00680EB2">
        <w:tab/>
        <w:t>the Commissioner;</w:t>
      </w:r>
    </w:p>
    <w:p w:rsidR="00031747" w:rsidRPr="00680EB2" w:rsidRDefault="00031747" w:rsidP="00031747">
      <w:pPr>
        <w:pStyle w:val="paragraph"/>
      </w:pPr>
      <w:r w:rsidRPr="00680EB2">
        <w:tab/>
        <w:t>(d)</w:t>
      </w:r>
      <w:r w:rsidRPr="00680EB2">
        <w:tab/>
        <w:t xml:space="preserve">a person authorised in writing by the Commissioner under this </w:t>
      </w:r>
      <w:r w:rsidR="0086446D" w:rsidRPr="00680EB2">
        <w:t>paragraph</w:t>
      </w:r>
      <w:r w:rsidR="0006637B" w:rsidRPr="00680EB2">
        <w:t>.</w:t>
      </w:r>
    </w:p>
    <w:p w:rsidR="00C75658" w:rsidRPr="00680EB2" w:rsidRDefault="00027406" w:rsidP="00C75658">
      <w:pPr>
        <w:pStyle w:val="ItemHead"/>
      </w:pPr>
      <w:r w:rsidRPr="00680EB2">
        <w:t>31</w:t>
      </w:r>
      <w:r w:rsidR="00C75658" w:rsidRPr="00680EB2">
        <w:t xml:space="preserve">  Regulation</w:t>
      </w:r>
      <w:r w:rsidR="00680EB2" w:rsidRPr="00680EB2">
        <w:t> </w:t>
      </w:r>
      <w:r w:rsidR="00C75658" w:rsidRPr="00680EB2">
        <w:t>177</w:t>
      </w:r>
    </w:p>
    <w:p w:rsidR="00C75658" w:rsidRPr="00680EB2" w:rsidRDefault="00C75658" w:rsidP="00C75658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or the Commissioner</w:t>
      </w:r>
      <w:r w:rsidR="00E75B4E" w:rsidRPr="00680EB2">
        <w:t>”</w:t>
      </w:r>
      <w:r w:rsidR="0006637B" w:rsidRPr="00680EB2">
        <w:t>.</w:t>
      </w:r>
    </w:p>
    <w:p w:rsidR="005F698E" w:rsidRPr="00680EB2" w:rsidRDefault="00027406" w:rsidP="005F698E">
      <w:pPr>
        <w:pStyle w:val="ItemHead"/>
      </w:pPr>
      <w:r w:rsidRPr="00680EB2">
        <w:t>32</w:t>
      </w:r>
      <w:r w:rsidR="005F698E" w:rsidRPr="00680EB2">
        <w:t xml:space="preserve">  After regulation</w:t>
      </w:r>
      <w:r w:rsidR="00680EB2" w:rsidRPr="00680EB2">
        <w:t> </w:t>
      </w:r>
      <w:r w:rsidR="005F698E" w:rsidRPr="00680EB2">
        <w:t>178</w:t>
      </w:r>
    </w:p>
    <w:p w:rsidR="005F698E" w:rsidRPr="00680EB2" w:rsidRDefault="005F698E" w:rsidP="005F698E">
      <w:pPr>
        <w:pStyle w:val="Item"/>
      </w:pPr>
      <w:r w:rsidRPr="00680EB2">
        <w:t>Insert:</w:t>
      </w:r>
    </w:p>
    <w:p w:rsidR="005F698E" w:rsidRPr="00680EB2" w:rsidRDefault="005F698E" w:rsidP="005F698E">
      <w:pPr>
        <w:pStyle w:val="ActHead5"/>
      </w:pPr>
      <w:bookmarkStart w:id="19" w:name="_Toc473101251"/>
      <w:r w:rsidRPr="00680EB2">
        <w:rPr>
          <w:rStyle w:val="CharSectno"/>
        </w:rPr>
        <w:t>178A</w:t>
      </w:r>
      <w:r w:rsidRPr="00680EB2">
        <w:t xml:space="preserve">  Proceedings before the Commissioner</w:t>
      </w:r>
      <w:bookmarkEnd w:id="19"/>
    </w:p>
    <w:p w:rsidR="005F698E" w:rsidRPr="00680EB2" w:rsidRDefault="005F698E" w:rsidP="005F698E">
      <w:pPr>
        <w:pStyle w:val="subsection"/>
      </w:pPr>
      <w:r w:rsidRPr="00680EB2">
        <w:tab/>
        <w:t>(1)</w:t>
      </w:r>
      <w:r w:rsidRPr="00680EB2">
        <w:tab/>
        <w:t>In any proceedings before the Commissioner, the Commissioner may exempt a person from compliance with a procedural requirement under the Act or these Regulations if the Commissioner is satisfied that there are special circumstances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(2)</w:t>
      </w:r>
      <w:r w:rsidRPr="00680EB2">
        <w:tab/>
        <w:t xml:space="preserve">An exemption under </w:t>
      </w:r>
      <w:proofErr w:type="spellStart"/>
      <w:r w:rsidRPr="00680EB2">
        <w:t>subregulation</w:t>
      </w:r>
      <w:proofErr w:type="spellEnd"/>
      <w:r w:rsidR="00680EB2" w:rsidRPr="00680EB2">
        <w:t> </w:t>
      </w:r>
      <w:r w:rsidRPr="00680EB2">
        <w:t>(1) may be granted:</w:t>
      </w:r>
    </w:p>
    <w:p w:rsidR="005F698E" w:rsidRPr="00680EB2" w:rsidRDefault="005F698E" w:rsidP="005F698E">
      <w:pPr>
        <w:pStyle w:val="paragraph"/>
      </w:pPr>
      <w:r w:rsidRPr="00680EB2">
        <w:tab/>
        <w:t>(a)</w:t>
      </w:r>
      <w:r w:rsidRPr="00680EB2">
        <w:tab/>
        <w:t>absolutely; or</w:t>
      </w:r>
    </w:p>
    <w:p w:rsidR="005F698E" w:rsidRPr="00680EB2" w:rsidRDefault="005F698E" w:rsidP="005F698E">
      <w:pPr>
        <w:pStyle w:val="paragraph"/>
      </w:pPr>
      <w:r w:rsidRPr="00680EB2">
        <w:tab/>
        <w:t>(b)</w:t>
      </w:r>
      <w:r w:rsidRPr="00680EB2">
        <w:tab/>
        <w:t>subject to conditions</w:t>
      </w:r>
      <w:r w:rsidR="0006637B" w:rsidRPr="00680EB2">
        <w:t>.</w:t>
      </w:r>
    </w:p>
    <w:p w:rsidR="005F698E" w:rsidRPr="00680EB2" w:rsidRDefault="005F698E" w:rsidP="005F698E">
      <w:pPr>
        <w:pStyle w:val="subsection"/>
      </w:pPr>
      <w:r w:rsidRPr="00680EB2">
        <w:tab/>
        <w:t>(3)</w:t>
      </w:r>
      <w:r w:rsidRPr="00680EB2">
        <w:tab/>
        <w:t>Failure to comply with a procedural requirement for proceedings before the Commissioner does not render the proceedings void but the proceedings may be:</w:t>
      </w:r>
    </w:p>
    <w:p w:rsidR="005F698E" w:rsidRPr="00680EB2" w:rsidRDefault="005F698E" w:rsidP="005F698E">
      <w:pPr>
        <w:pStyle w:val="paragraph"/>
      </w:pPr>
      <w:r w:rsidRPr="00680EB2">
        <w:tab/>
        <w:t>(a)</w:t>
      </w:r>
      <w:r w:rsidRPr="00680EB2">
        <w:tab/>
        <w:t>set aside, either wholly or in part, as irregular; or</w:t>
      </w:r>
    </w:p>
    <w:p w:rsidR="005F698E" w:rsidRPr="00680EB2" w:rsidRDefault="005F698E" w:rsidP="005F698E">
      <w:pPr>
        <w:pStyle w:val="paragraph"/>
      </w:pPr>
      <w:r w:rsidRPr="00680EB2">
        <w:tab/>
        <w:t>(b)</w:t>
      </w:r>
      <w:r w:rsidRPr="00680EB2">
        <w:tab/>
        <w:t>amended; or</w:t>
      </w:r>
    </w:p>
    <w:p w:rsidR="005F698E" w:rsidRPr="00680EB2" w:rsidRDefault="005F698E" w:rsidP="005F698E">
      <w:pPr>
        <w:pStyle w:val="paragraph"/>
      </w:pPr>
      <w:r w:rsidRPr="00680EB2">
        <w:tab/>
        <w:t>(c)</w:t>
      </w:r>
      <w:r w:rsidRPr="00680EB2">
        <w:tab/>
        <w:t>otherwise dealt with as and how the Commissioner thinks fit</w:t>
      </w:r>
      <w:r w:rsidR="0006637B" w:rsidRPr="00680EB2">
        <w:t>.</w:t>
      </w:r>
    </w:p>
    <w:p w:rsidR="00AA2E5C" w:rsidRPr="00680EB2" w:rsidRDefault="00027406" w:rsidP="00AA2E5C">
      <w:pPr>
        <w:pStyle w:val="ItemHead"/>
      </w:pPr>
      <w:r w:rsidRPr="00680EB2">
        <w:t>33</w:t>
      </w:r>
      <w:r w:rsidR="00AA2E5C" w:rsidRPr="00680EB2">
        <w:t xml:space="preserve">  </w:t>
      </w:r>
      <w:proofErr w:type="spellStart"/>
      <w:r w:rsidR="00AA2E5C" w:rsidRPr="00680EB2">
        <w:t>Subregulation</w:t>
      </w:r>
      <w:proofErr w:type="spellEnd"/>
      <w:r w:rsidR="00680EB2" w:rsidRPr="00680EB2">
        <w:t> </w:t>
      </w:r>
      <w:r w:rsidR="00AA2E5C" w:rsidRPr="00680EB2">
        <w:t>180(1)</w:t>
      </w:r>
    </w:p>
    <w:p w:rsidR="00AA2E5C" w:rsidRPr="00680EB2" w:rsidRDefault="00AA2E5C" w:rsidP="00AA2E5C">
      <w:pPr>
        <w:pStyle w:val="Item"/>
      </w:pPr>
      <w:r w:rsidRPr="00680EB2">
        <w:t xml:space="preserve">Repeal the </w:t>
      </w:r>
      <w:proofErr w:type="spellStart"/>
      <w:r w:rsidRPr="00680EB2">
        <w:t>subregulation</w:t>
      </w:r>
      <w:proofErr w:type="spellEnd"/>
      <w:r w:rsidRPr="00680EB2">
        <w:t>, substitute:</w:t>
      </w:r>
    </w:p>
    <w:p w:rsidR="00AA2E5C" w:rsidRPr="00680EB2" w:rsidRDefault="00AA2E5C" w:rsidP="00AA2E5C">
      <w:pPr>
        <w:pStyle w:val="subsection"/>
      </w:pPr>
      <w:r w:rsidRPr="00680EB2">
        <w:tab/>
        <w:t>(1)</w:t>
      </w:r>
      <w:r w:rsidRPr="00680EB2">
        <w:tab/>
        <w:t xml:space="preserve">Any evidence given in any proceedings (the </w:t>
      </w:r>
      <w:r w:rsidRPr="00680EB2">
        <w:rPr>
          <w:b/>
          <w:i/>
        </w:rPr>
        <w:t>earlier proceedings</w:t>
      </w:r>
      <w:r w:rsidRPr="00680EB2">
        <w:t>) in relation to a matter under the Act or these Regulations may be used in any subsequent proceedings:</w:t>
      </w:r>
    </w:p>
    <w:p w:rsidR="00AA2E5C" w:rsidRPr="00680EB2" w:rsidRDefault="00AA2E5C" w:rsidP="00AA2E5C">
      <w:pPr>
        <w:pStyle w:val="paragraph"/>
      </w:pPr>
      <w:r w:rsidRPr="00680EB2">
        <w:tab/>
        <w:t>(a)</w:t>
      </w:r>
      <w:r w:rsidRPr="00680EB2">
        <w:tab/>
        <w:t>before the General Manager in relation to that matter:</w:t>
      </w:r>
    </w:p>
    <w:p w:rsidR="00AA2E5C" w:rsidRPr="00680EB2" w:rsidRDefault="00AA2E5C" w:rsidP="00AA2E5C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if the General Manager permits; and</w:t>
      </w:r>
    </w:p>
    <w:p w:rsidR="00AA2E5C" w:rsidRPr="00680EB2" w:rsidRDefault="00AA2E5C" w:rsidP="00AA2E5C">
      <w:pPr>
        <w:pStyle w:val="paragraphsub"/>
      </w:pPr>
      <w:r w:rsidRPr="00680EB2">
        <w:tab/>
        <w:t>(ii)</w:t>
      </w:r>
      <w:r w:rsidRPr="00680EB2">
        <w:tab/>
        <w:t>on any terms and conditions determined by the General Manager; or</w:t>
      </w:r>
    </w:p>
    <w:p w:rsidR="00AA2E5C" w:rsidRPr="00680EB2" w:rsidRDefault="00AA2E5C" w:rsidP="00AA2E5C">
      <w:pPr>
        <w:pStyle w:val="paragraph"/>
      </w:pPr>
      <w:r w:rsidRPr="00680EB2">
        <w:tab/>
        <w:t>(b)</w:t>
      </w:r>
      <w:r w:rsidRPr="00680EB2">
        <w:tab/>
        <w:t>before the Commissioner in relation to that matter:</w:t>
      </w:r>
    </w:p>
    <w:p w:rsidR="00AA2E5C" w:rsidRPr="00680EB2" w:rsidRDefault="00AA2E5C" w:rsidP="00AA2E5C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if the Commissioner permits; and</w:t>
      </w:r>
    </w:p>
    <w:p w:rsidR="00AA2E5C" w:rsidRPr="00680EB2" w:rsidRDefault="00AA2E5C" w:rsidP="00AA2E5C">
      <w:pPr>
        <w:pStyle w:val="paragraphsub"/>
      </w:pPr>
      <w:r w:rsidRPr="00680EB2">
        <w:tab/>
        <w:t>(ii)</w:t>
      </w:r>
      <w:r w:rsidRPr="00680EB2">
        <w:tab/>
        <w:t>on any terms and conditions determined by the Commissioner</w:t>
      </w:r>
      <w:r w:rsidR="0006637B" w:rsidRPr="00680EB2">
        <w:t>.</w:t>
      </w:r>
    </w:p>
    <w:p w:rsidR="00AA2E5C" w:rsidRPr="00680EB2" w:rsidRDefault="00027406" w:rsidP="00AA2E5C">
      <w:pPr>
        <w:pStyle w:val="ItemHead"/>
      </w:pPr>
      <w:r w:rsidRPr="00680EB2">
        <w:t>34</w:t>
      </w:r>
      <w:r w:rsidR="00AA2E5C" w:rsidRPr="00680EB2">
        <w:t xml:space="preserve">  </w:t>
      </w:r>
      <w:proofErr w:type="spellStart"/>
      <w:r w:rsidR="00AA2E5C" w:rsidRPr="00680EB2">
        <w:t>Subregulation</w:t>
      </w:r>
      <w:proofErr w:type="spellEnd"/>
      <w:r w:rsidR="00680EB2" w:rsidRPr="00680EB2">
        <w:t> </w:t>
      </w:r>
      <w:r w:rsidR="00AA2E5C" w:rsidRPr="00680EB2">
        <w:t>180(3)</w:t>
      </w:r>
    </w:p>
    <w:p w:rsidR="00AA2E5C" w:rsidRPr="00680EB2" w:rsidRDefault="00AA2E5C" w:rsidP="00AA2E5C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>General Manager</w:t>
      </w:r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or the Commissioner</w:t>
      </w:r>
      <w:r w:rsidR="00E75B4E" w:rsidRPr="00680EB2">
        <w:t>”</w:t>
      </w:r>
      <w:r w:rsidR="0006637B" w:rsidRPr="00680EB2">
        <w:t>.</w:t>
      </w:r>
    </w:p>
    <w:p w:rsidR="00AA2E5C" w:rsidRPr="00680EB2" w:rsidRDefault="00027406" w:rsidP="00AA2E5C">
      <w:pPr>
        <w:pStyle w:val="ItemHead"/>
      </w:pPr>
      <w:r w:rsidRPr="00680EB2">
        <w:t>35</w:t>
      </w:r>
      <w:r w:rsidR="00AA2E5C" w:rsidRPr="00680EB2">
        <w:t xml:space="preserve">  </w:t>
      </w:r>
      <w:proofErr w:type="spellStart"/>
      <w:r w:rsidR="00AA2E5C" w:rsidRPr="00680EB2">
        <w:t>Subregulation</w:t>
      </w:r>
      <w:proofErr w:type="spellEnd"/>
      <w:r w:rsidR="00680EB2" w:rsidRPr="00680EB2">
        <w:t> </w:t>
      </w:r>
      <w:r w:rsidR="00AA2E5C" w:rsidRPr="00680EB2">
        <w:t>180(4)</w:t>
      </w:r>
    </w:p>
    <w:p w:rsidR="00AA2E5C" w:rsidRPr="00680EB2" w:rsidRDefault="00AA2E5C" w:rsidP="00AA2E5C">
      <w:pPr>
        <w:pStyle w:val="Item"/>
      </w:pPr>
      <w:r w:rsidRPr="00680EB2">
        <w:t xml:space="preserve">Repeal the </w:t>
      </w:r>
      <w:proofErr w:type="spellStart"/>
      <w:r w:rsidRPr="00680EB2">
        <w:t>subregulation</w:t>
      </w:r>
      <w:proofErr w:type="spellEnd"/>
      <w:r w:rsidRPr="00680EB2">
        <w:t>, substitute:</w:t>
      </w:r>
    </w:p>
    <w:p w:rsidR="00AA2E5C" w:rsidRPr="00680EB2" w:rsidRDefault="00AA2E5C" w:rsidP="00AA2E5C">
      <w:pPr>
        <w:pStyle w:val="subsection"/>
      </w:pPr>
      <w:r w:rsidRPr="00680EB2">
        <w:tab/>
        <w:t>(4)</w:t>
      </w:r>
      <w:r w:rsidRPr="00680EB2">
        <w:tab/>
        <w:t>If evidence has been given orally, this regulation does not authorise its use in the subsequent proceedings unless:</w:t>
      </w:r>
    </w:p>
    <w:p w:rsidR="00AA2E5C" w:rsidRPr="00680EB2" w:rsidRDefault="00AA2E5C" w:rsidP="00AA2E5C">
      <w:pPr>
        <w:pStyle w:val="paragraph"/>
      </w:pPr>
      <w:r w:rsidRPr="00680EB2">
        <w:tab/>
        <w:t>(a)</w:t>
      </w:r>
      <w:r w:rsidRPr="00680EB2">
        <w:tab/>
        <w:t>in the case of subsequent proceedings before the General Manager—both:</w:t>
      </w:r>
    </w:p>
    <w:p w:rsidR="00AA2E5C" w:rsidRPr="00680EB2" w:rsidRDefault="00AA2E5C" w:rsidP="00AA2E5C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a written record of the evidence is available for the use of the General Manager; and</w:t>
      </w:r>
    </w:p>
    <w:p w:rsidR="00AA2E5C" w:rsidRPr="00680EB2" w:rsidRDefault="00AA2E5C" w:rsidP="00AA2E5C">
      <w:pPr>
        <w:pStyle w:val="paragraphsub"/>
      </w:pPr>
      <w:r w:rsidRPr="00680EB2">
        <w:tab/>
        <w:t>(ii)</w:t>
      </w:r>
      <w:r w:rsidRPr="00680EB2">
        <w:tab/>
        <w:t>the General Manager is satisfied the written record is a true record of the evidence; or</w:t>
      </w:r>
    </w:p>
    <w:p w:rsidR="00AA2E5C" w:rsidRPr="00680EB2" w:rsidRDefault="00AA2E5C" w:rsidP="00AA2E5C">
      <w:pPr>
        <w:pStyle w:val="paragraph"/>
      </w:pPr>
      <w:r w:rsidRPr="00680EB2">
        <w:tab/>
        <w:t>(b)</w:t>
      </w:r>
      <w:r w:rsidRPr="00680EB2">
        <w:tab/>
        <w:t>in the case of subsequent proceedings before the Commissioner—both:</w:t>
      </w:r>
    </w:p>
    <w:p w:rsidR="00AA2E5C" w:rsidRPr="00680EB2" w:rsidRDefault="00AA2E5C" w:rsidP="00AA2E5C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a written record of the evidence is available for the use of the Commissioner; and</w:t>
      </w:r>
    </w:p>
    <w:p w:rsidR="00AA2E5C" w:rsidRPr="00680EB2" w:rsidRDefault="00AA2E5C" w:rsidP="00AA2E5C">
      <w:pPr>
        <w:pStyle w:val="paragraphsub"/>
      </w:pPr>
      <w:r w:rsidRPr="00680EB2">
        <w:tab/>
        <w:t>(ii)</w:t>
      </w:r>
      <w:r w:rsidRPr="00680EB2">
        <w:tab/>
        <w:t>the Commissioner is satisfied the written record is a true record of the evidence</w:t>
      </w:r>
      <w:r w:rsidR="0006637B" w:rsidRPr="00680EB2">
        <w:t>.</w:t>
      </w:r>
    </w:p>
    <w:p w:rsidR="00AA2E5C" w:rsidRPr="00680EB2" w:rsidRDefault="00027406" w:rsidP="00AA2E5C">
      <w:pPr>
        <w:pStyle w:val="ItemHead"/>
      </w:pPr>
      <w:r w:rsidRPr="00680EB2">
        <w:t>36</w:t>
      </w:r>
      <w:r w:rsidR="00AA2E5C" w:rsidRPr="00680EB2">
        <w:t xml:space="preserve">  Regulation</w:t>
      </w:r>
      <w:r w:rsidR="00680EB2" w:rsidRPr="00680EB2">
        <w:t> </w:t>
      </w:r>
      <w:r w:rsidR="00AA2E5C" w:rsidRPr="00680EB2">
        <w:t>181 (heading)</w:t>
      </w:r>
    </w:p>
    <w:p w:rsidR="00AA2E5C" w:rsidRPr="00680EB2" w:rsidRDefault="00AA2E5C" w:rsidP="00AA2E5C">
      <w:pPr>
        <w:pStyle w:val="Item"/>
      </w:pPr>
      <w:r w:rsidRPr="00680EB2">
        <w:t>Repeal the heading, substitute:</w:t>
      </w:r>
    </w:p>
    <w:p w:rsidR="00AA2E5C" w:rsidRPr="00680EB2" w:rsidRDefault="00AA2E5C" w:rsidP="00AA2E5C">
      <w:pPr>
        <w:pStyle w:val="ActHead5"/>
      </w:pPr>
      <w:bookmarkStart w:id="20" w:name="_Toc473101252"/>
      <w:r w:rsidRPr="00680EB2">
        <w:rPr>
          <w:rStyle w:val="CharSectno"/>
        </w:rPr>
        <w:t>181</w:t>
      </w:r>
      <w:r w:rsidRPr="00680EB2">
        <w:t xml:space="preserve">  General powers of General Manager and Commissioner</w:t>
      </w:r>
      <w:bookmarkEnd w:id="20"/>
    </w:p>
    <w:p w:rsidR="00F906BE" w:rsidRPr="00680EB2" w:rsidRDefault="00027406" w:rsidP="00F906BE">
      <w:pPr>
        <w:pStyle w:val="ItemHead"/>
      </w:pPr>
      <w:r w:rsidRPr="00680EB2">
        <w:t>37</w:t>
      </w:r>
      <w:r w:rsidR="00F906BE" w:rsidRPr="00680EB2">
        <w:t xml:space="preserve">  Paragraph 181(1)(b)</w:t>
      </w:r>
    </w:p>
    <w:p w:rsidR="00F906BE" w:rsidRPr="00680EB2" w:rsidRDefault="00F906BE" w:rsidP="00F906BE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>on oath</w:t>
      </w:r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or affirmation</w:t>
      </w:r>
      <w:r w:rsidR="00E75B4E" w:rsidRPr="00680EB2">
        <w:t>”</w:t>
      </w:r>
      <w:r w:rsidR="0006637B" w:rsidRPr="00680EB2">
        <w:t>.</w:t>
      </w:r>
    </w:p>
    <w:p w:rsidR="00AA2E5C" w:rsidRPr="00680EB2" w:rsidRDefault="00027406" w:rsidP="00AA2E5C">
      <w:pPr>
        <w:pStyle w:val="ItemHead"/>
      </w:pPr>
      <w:r w:rsidRPr="00680EB2">
        <w:t>38</w:t>
      </w:r>
      <w:r w:rsidR="00AA2E5C" w:rsidRPr="00680EB2">
        <w:t xml:space="preserve">  After </w:t>
      </w:r>
      <w:proofErr w:type="spellStart"/>
      <w:r w:rsidR="00AA2E5C" w:rsidRPr="00680EB2">
        <w:t>subregulation</w:t>
      </w:r>
      <w:proofErr w:type="spellEnd"/>
      <w:r w:rsidR="00680EB2" w:rsidRPr="00680EB2">
        <w:t> </w:t>
      </w:r>
      <w:r w:rsidR="00AA2E5C" w:rsidRPr="00680EB2">
        <w:t>181(1)</w:t>
      </w:r>
    </w:p>
    <w:p w:rsidR="00AA2E5C" w:rsidRPr="00680EB2" w:rsidRDefault="00AA2E5C" w:rsidP="00AA2E5C">
      <w:pPr>
        <w:pStyle w:val="Item"/>
      </w:pPr>
      <w:r w:rsidRPr="00680EB2">
        <w:t>Insert:</w:t>
      </w:r>
    </w:p>
    <w:p w:rsidR="00AA2E5C" w:rsidRPr="00680EB2" w:rsidRDefault="00AA2E5C" w:rsidP="00AA2E5C">
      <w:pPr>
        <w:pStyle w:val="subsection"/>
      </w:pPr>
      <w:r w:rsidRPr="00680EB2">
        <w:tab/>
        <w:t>(1A)</w:t>
      </w:r>
      <w:r w:rsidRPr="00680EB2">
        <w:tab/>
        <w:t>In any proceedings before the Commissioner, the Commissioner, on the application of a party or on the Commissioner</w:t>
      </w:r>
      <w:r w:rsidR="00E75B4E" w:rsidRPr="00680EB2">
        <w:t>’</w:t>
      </w:r>
      <w:r w:rsidRPr="00680EB2">
        <w:t xml:space="preserve">s own </w:t>
      </w:r>
      <w:r w:rsidR="00373541" w:rsidRPr="00680EB2">
        <w:t>motion</w:t>
      </w:r>
      <w:r w:rsidRPr="00680EB2">
        <w:t>, may:</w:t>
      </w:r>
    </w:p>
    <w:p w:rsidR="00AA2E5C" w:rsidRPr="00680EB2" w:rsidRDefault="00AA2E5C" w:rsidP="00AA2E5C">
      <w:pPr>
        <w:pStyle w:val="paragraph"/>
      </w:pPr>
      <w:r w:rsidRPr="00680EB2">
        <w:tab/>
        <w:t>(a)</w:t>
      </w:r>
      <w:r w:rsidRPr="00680EB2">
        <w:tab/>
        <w:t>require a person, by summons served on the person, to appear before the Commissioner:</w:t>
      </w:r>
    </w:p>
    <w:p w:rsidR="00AA2E5C" w:rsidRPr="00680EB2" w:rsidRDefault="00AA2E5C" w:rsidP="00AA2E5C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to give evidence; and</w:t>
      </w:r>
    </w:p>
    <w:p w:rsidR="00AA2E5C" w:rsidRPr="00680EB2" w:rsidRDefault="00AA2E5C" w:rsidP="00AA2E5C">
      <w:pPr>
        <w:pStyle w:val="paragraphsub"/>
      </w:pPr>
      <w:r w:rsidRPr="00680EB2">
        <w:tab/>
        <w:t>(ii)</w:t>
      </w:r>
      <w:r w:rsidRPr="00680EB2">
        <w:tab/>
        <w:t>to produce such books, documents or things as are referred to in the summons for inspection by the Commissioner or by such party as the Commissioner determines; and</w:t>
      </w:r>
    </w:p>
    <w:p w:rsidR="00AA2E5C" w:rsidRPr="00680EB2" w:rsidRDefault="00AA2E5C" w:rsidP="00AA2E5C">
      <w:pPr>
        <w:pStyle w:val="paragraph"/>
      </w:pPr>
      <w:r w:rsidRPr="00680EB2">
        <w:tab/>
        <w:t>(b)</w:t>
      </w:r>
      <w:r w:rsidRPr="00680EB2">
        <w:tab/>
        <w:t>take evidence on oath</w:t>
      </w:r>
      <w:r w:rsidR="006A34A9" w:rsidRPr="00680EB2">
        <w:t xml:space="preserve"> </w:t>
      </w:r>
      <w:r w:rsidR="00F906BE" w:rsidRPr="00680EB2">
        <w:t>or affirmation</w:t>
      </w:r>
      <w:r w:rsidRPr="00680EB2">
        <w:t>; and</w:t>
      </w:r>
    </w:p>
    <w:p w:rsidR="00AA2E5C" w:rsidRPr="00680EB2" w:rsidRDefault="00AA2E5C" w:rsidP="00AA2E5C">
      <w:pPr>
        <w:pStyle w:val="paragraph"/>
      </w:pPr>
      <w:r w:rsidRPr="00680EB2">
        <w:tab/>
        <w:t>(c)</w:t>
      </w:r>
      <w:r w:rsidRPr="00680EB2">
        <w:tab/>
        <w:t>adjourn any matter or hearing; and</w:t>
      </w:r>
    </w:p>
    <w:p w:rsidR="00AA2E5C" w:rsidRPr="00680EB2" w:rsidRDefault="00AA2E5C" w:rsidP="00AA2E5C">
      <w:pPr>
        <w:pStyle w:val="paragraph"/>
      </w:pPr>
      <w:r w:rsidRPr="00680EB2">
        <w:tab/>
        <w:t>(d)</w:t>
      </w:r>
      <w:r w:rsidRPr="00680EB2">
        <w:tab/>
        <w:t>amend or give leave to amend any application, notice or other document; and</w:t>
      </w:r>
    </w:p>
    <w:p w:rsidR="00AA2E5C" w:rsidRPr="00680EB2" w:rsidRDefault="00AA2E5C" w:rsidP="00AA2E5C">
      <w:pPr>
        <w:pStyle w:val="paragraph"/>
      </w:pPr>
      <w:r w:rsidRPr="00680EB2">
        <w:tab/>
        <w:t>(e)</w:t>
      </w:r>
      <w:r w:rsidRPr="00680EB2">
        <w:tab/>
        <w:t>extend the time fixed by these Regulations for the lodging of any document or the doing of any act (whether that time has expired or not); and</w:t>
      </w:r>
    </w:p>
    <w:p w:rsidR="00AA2E5C" w:rsidRPr="00680EB2" w:rsidRDefault="00AA2E5C" w:rsidP="00AA2E5C">
      <w:pPr>
        <w:pStyle w:val="paragraph"/>
      </w:pPr>
      <w:r w:rsidRPr="00680EB2">
        <w:tab/>
        <w:t>(f)</w:t>
      </w:r>
      <w:r w:rsidRPr="00680EB2">
        <w:tab/>
        <w:t>give directions to any party in relation to the service of documents and the manner of service of documents; and</w:t>
      </w:r>
    </w:p>
    <w:p w:rsidR="00AA2E5C" w:rsidRPr="00680EB2" w:rsidRDefault="00AA2E5C" w:rsidP="00AA2E5C">
      <w:pPr>
        <w:pStyle w:val="paragraph"/>
      </w:pPr>
      <w:r w:rsidRPr="00680EB2">
        <w:tab/>
        <w:t>(g)</w:t>
      </w:r>
      <w:r w:rsidRPr="00680EB2">
        <w:tab/>
        <w:t>order any party to pay any other party such reasonable sum for costs as he or she thinks just</w:t>
      </w:r>
      <w:r w:rsidR="0006637B" w:rsidRPr="00680EB2">
        <w:t>.</w:t>
      </w:r>
    </w:p>
    <w:p w:rsidR="00AA2E5C" w:rsidRPr="00680EB2" w:rsidRDefault="00027406" w:rsidP="00901717">
      <w:pPr>
        <w:pStyle w:val="ItemHead"/>
      </w:pPr>
      <w:r w:rsidRPr="00680EB2">
        <w:t>39</w:t>
      </w:r>
      <w:r w:rsidR="00AA2E5C" w:rsidRPr="00680EB2">
        <w:t xml:space="preserve">  </w:t>
      </w:r>
      <w:proofErr w:type="spellStart"/>
      <w:r w:rsidR="00D85765" w:rsidRPr="00680EB2">
        <w:t>Subregulation</w:t>
      </w:r>
      <w:proofErr w:type="spellEnd"/>
      <w:r w:rsidR="00680EB2" w:rsidRPr="00680EB2">
        <w:t> </w:t>
      </w:r>
      <w:r w:rsidR="00AA2E5C" w:rsidRPr="00680EB2">
        <w:t>181(2)</w:t>
      </w:r>
    </w:p>
    <w:p w:rsidR="00AA2E5C" w:rsidRPr="00680EB2" w:rsidRDefault="00D85765" w:rsidP="00AA2E5C">
      <w:pPr>
        <w:pStyle w:val="Item"/>
      </w:pPr>
      <w:r w:rsidRPr="00680EB2">
        <w:t>Omit</w:t>
      </w:r>
      <w:r w:rsidR="00AA2E5C" w:rsidRPr="00680EB2">
        <w:t xml:space="preserve"> </w:t>
      </w:r>
      <w:r w:rsidR="00E75B4E" w:rsidRPr="00680EB2">
        <w:t>“</w:t>
      </w:r>
      <w:r w:rsidR="00680EB2" w:rsidRPr="00680EB2">
        <w:t>paragraph (</w:t>
      </w:r>
      <w:r w:rsidRPr="00680EB2">
        <w:t>1)(a)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="00680EB2" w:rsidRPr="00680EB2">
        <w:t>paragraph (</w:t>
      </w:r>
      <w:r w:rsidRPr="00680EB2">
        <w:t xml:space="preserve">1)(a) </w:t>
      </w:r>
      <w:r w:rsidR="00AA2E5C" w:rsidRPr="00680EB2">
        <w:t>or (1A)(a)</w:t>
      </w:r>
      <w:r w:rsidR="00E75B4E" w:rsidRPr="00680EB2">
        <w:t>”</w:t>
      </w:r>
      <w:r w:rsidR="0006637B" w:rsidRPr="00680EB2">
        <w:t>.</w:t>
      </w:r>
    </w:p>
    <w:p w:rsidR="00AA2E5C" w:rsidRPr="00680EB2" w:rsidRDefault="00027406" w:rsidP="00AA2E5C">
      <w:pPr>
        <w:pStyle w:val="ItemHead"/>
      </w:pPr>
      <w:r w:rsidRPr="00680EB2">
        <w:t>40</w:t>
      </w:r>
      <w:r w:rsidR="00AA2E5C" w:rsidRPr="00680EB2">
        <w:t xml:space="preserve">  At the end of regulation</w:t>
      </w:r>
      <w:r w:rsidR="00680EB2" w:rsidRPr="00680EB2">
        <w:t> </w:t>
      </w:r>
      <w:r w:rsidR="00AA2E5C" w:rsidRPr="00680EB2">
        <w:t>181</w:t>
      </w:r>
    </w:p>
    <w:p w:rsidR="00AA2E5C" w:rsidRPr="00680EB2" w:rsidRDefault="00AA2E5C" w:rsidP="00AA2E5C">
      <w:pPr>
        <w:pStyle w:val="Item"/>
      </w:pPr>
      <w:r w:rsidRPr="00680EB2">
        <w:t>Add:</w:t>
      </w:r>
    </w:p>
    <w:p w:rsidR="00AA2E5C" w:rsidRPr="00680EB2" w:rsidRDefault="00AA2E5C" w:rsidP="00AA2E5C">
      <w:pPr>
        <w:pStyle w:val="subsection"/>
      </w:pPr>
      <w:r w:rsidRPr="00680EB2">
        <w:tab/>
        <w:t>(6)</w:t>
      </w:r>
      <w:r w:rsidRPr="00680EB2">
        <w:tab/>
        <w:t xml:space="preserve">If the Commissioner exercises a power under </w:t>
      </w:r>
      <w:proofErr w:type="spellStart"/>
      <w:r w:rsidRPr="00680EB2">
        <w:t>subregulation</w:t>
      </w:r>
      <w:proofErr w:type="spellEnd"/>
      <w:r w:rsidR="00680EB2" w:rsidRPr="00680EB2">
        <w:t> </w:t>
      </w:r>
      <w:r w:rsidRPr="00680EB2">
        <w:t>(1</w:t>
      </w:r>
      <w:r w:rsidR="00645529" w:rsidRPr="00680EB2">
        <w:t>A</w:t>
      </w:r>
      <w:r w:rsidRPr="00680EB2">
        <w:t xml:space="preserve">) on the application of a party, the Commissioner may make an order for payment of fees or costs relating to the exercise of the power </w:t>
      </w:r>
      <w:r w:rsidR="00D85765" w:rsidRPr="00680EB2">
        <w:t>that</w:t>
      </w:r>
      <w:r w:rsidRPr="00680EB2">
        <w:t xml:space="preserve"> the Commissioner thinks just</w:t>
      </w:r>
      <w:r w:rsidR="0006637B" w:rsidRPr="00680EB2">
        <w:t>.</w:t>
      </w:r>
    </w:p>
    <w:p w:rsidR="00385D7E" w:rsidRPr="00680EB2" w:rsidRDefault="00027406" w:rsidP="00385D7E">
      <w:pPr>
        <w:pStyle w:val="ItemHead"/>
      </w:pPr>
      <w:r w:rsidRPr="00680EB2">
        <w:t>41</w:t>
      </w:r>
      <w:r w:rsidR="00385D7E" w:rsidRPr="00680EB2">
        <w:t xml:space="preserve">  Schedule</w:t>
      </w:r>
      <w:r w:rsidR="00680EB2" w:rsidRPr="00680EB2">
        <w:t> </w:t>
      </w:r>
      <w:r w:rsidR="00385D7E" w:rsidRPr="00680EB2">
        <w:t>3</w:t>
      </w:r>
      <w:r w:rsidR="0013167A" w:rsidRPr="00680EB2">
        <w:t xml:space="preserve"> (Form 8)</w:t>
      </w:r>
    </w:p>
    <w:p w:rsidR="00385D7E" w:rsidRPr="00680EB2" w:rsidRDefault="00385D7E" w:rsidP="00385D7E">
      <w:pPr>
        <w:pStyle w:val="Item"/>
      </w:pPr>
      <w:r w:rsidRPr="00680EB2">
        <w:t>Repeal</w:t>
      </w:r>
      <w:r w:rsidR="0013167A" w:rsidRPr="00680EB2">
        <w:t xml:space="preserve"> the form</w:t>
      </w:r>
      <w:r w:rsidRPr="00680EB2">
        <w:t>, substitute:</w:t>
      </w:r>
    </w:p>
    <w:p w:rsidR="00385D7E" w:rsidRPr="00680EB2" w:rsidRDefault="00385D7E" w:rsidP="00385D7E">
      <w:pPr>
        <w:pStyle w:val="ActHead2"/>
      </w:pPr>
      <w:bookmarkStart w:id="21" w:name="_Toc473101253"/>
      <w:r w:rsidRPr="00680EB2">
        <w:rPr>
          <w:rStyle w:val="CharPartNo"/>
        </w:rPr>
        <w:t>Form 8</w:t>
      </w:r>
      <w:r w:rsidRPr="00680EB2">
        <w:t>—</w:t>
      </w:r>
      <w:r w:rsidRPr="00680EB2">
        <w:rPr>
          <w:rStyle w:val="CharPartText"/>
        </w:rPr>
        <w:t>Identity card—</w:t>
      </w:r>
      <w:r w:rsidR="003C23A5" w:rsidRPr="00680EB2">
        <w:rPr>
          <w:rStyle w:val="CharPartText"/>
        </w:rPr>
        <w:t>s</w:t>
      </w:r>
      <w:r w:rsidR="00E3032C" w:rsidRPr="00680EB2">
        <w:rPr>
          <w:rStyle w:val="CharPartText"/>
        </w:rPr>
        <w:t xml:space="preserve">taff </w:t>
      </w:r>
      <w:r w:rsidR="00277ACA" w:rsidRPr="00680EB2">
        <w:rPr>
          <w:rStyle w:val="CharPartText"/>
        </w:rPr>
        <w:t xml:space="preserve">members </w:t>
      </w:r>
      <w:r w:rsidR="00E3032C" w:rsidRPr="00680EB2">
        <w:rPr>
          <w:rStyle w:val="CharPartText"/>
        </w:rPr>
        <w:t>to whom</w:t>
      </w:r>
      <w:r w:rsidR="0013167A" w:rsidRPr="00680EB2">
        <w:rPr>
          <w:rStyle w:val="CharPartText"/>
        </w:rPr>
        <w:t xml:space="preserve"> certain</w:t>
      </w:r>
      <w:r w:rsidR="00E3032C" w:rsidRPr="00680EB2">
        <w:rPr>
          <w:rStyle w:val="CharPartText"/>
        </w:rPr>
        <w:t xml:space="preserve"> powers have been delegated</w:t>
      </w:r>
      <w:bookmarkEnd w:id="21"/>
    </w:p>
    <w:p w:rsidR="00385D7E" w:rsidRPr="00680EB2" w:rsidRDefault="00385D7E" w:rsidP="00385D7E">
      <w:pPr>
        <w:pStyle w:val="notemargin"/>
      </w:pPr>
      <w:bookmarkStart w:id="22" w:name="f_Check_Lines_above"/>
      <w:bookmarkEnd w:id="22"/>
      <w:r w:rsidRPr="00680EB2">
        <w:t>(regulation</w:t>
      </w:r>
      <w:r w:rsidR="00680EB2" w:rsidRPr="00680EB2">
        <w:t> </w:t>
      </w:r>
      <w:r w:rsidRPr="00680EB2">
        <w:t>144)</w:t>
      </w:r>
    </w:p>
    <w:p w:rsidR="00385D7E" w:rsidRPr="00680EB2" w:rsidRDefault="00385D7E" w:rsidP="00385D7E">
      <w:pPr>
        <w:rPr>
          <w:szCs w:val="22"/>
        </w:rPr>
      </w:pPr>
    </w:p>
    <w:p w:rsidR="00385D7E" w:rsidRPr="00680EB2" w:rsidRDefault="00385D7E" w:rsidP="00385D7E">
      <w:pPr>
        <w:tabs>
          <w:tab w:val="left" w:pos="560"/>
          <w:tab w:val="right" w:pos="1160"/>
          <w:tab w:val="left" w:pos="1400"/>
          <w:tab w:val="right" w:pos="1720"/>
          <w:tab w:val="left" w:pos="1980"/>
          <w:tab w:val="right" w:pos="2320"/>
          <w:tab w:val="left" w:pos="2540"/>
        </w:tabs>
        <w:rPr>
          <w:b/>
          <w:bCs/>
          <w:szCs w:val="22"/>
        </w:rPr>
      </w:pPr>
      <w:r w:rsidRPr="00680EB2">
        <w:rPr>
          <w:b/>
          <w:bCs/>
          <w:szCs w:val="22"/>
        </w:rPr>
        <w:t>COMMONWEALTH OF AUSTRALIA</w:t>
      </w: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rPr>
          <w:i/>
          <w:iCs/>
          <w:szCs w:val="22"/>
        </w:rPr>
      </w:pP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rPr>
          <w:i/>
          <w:iCs/>
          <w:szCs w:val="22"/>
        </w:rPr>
      </w:pPr>
      <w:r w:rsidRPr="00680EB2">
        <w:rPr>
          <w:i/>
          <w:szCs w:val="22"/>
        </w:rPr>
        <w:t>Fair Work (Registered Organisations) Act 2009</w:t>
      </w:r>
      <w:r w:rsidRPr="00680EB2">
        <w:rPr>
          <w:szCs w:val="22"/>
        </w:rPr>
        <w:t xml:space="preserve">, </w:t>
      </w:r>
      <w:r w:rsidRPr="00680EB2">
        <w:rPr>
          <w:iCs/>
          <w:szCs w:val="22"/>
        </w:rPr>
        <w:t>paragraph</w:t>
      </w:r>
      <w:r w:rsidR="00680EB2" w:rsidRPr="00680EB2">
        <w:rPr>
          <w:iCs/>
          <w:szCs w:val="22"/>
        </w:rPr>
        <w:t> </w:t>
      </w:r>
      <w:r w:rsidRPr="00680EB2">
        <w:rPr>
          <w:szCs w:val="22"/>
        </w:rPr>
        <w:t>203(2)(a)</w:t>
      </w: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rPr>
          <w:i/>
          <w:iCs/>
          <w:szCs w:val="22"/>
        </w:rPr>
      </w:pP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rPr>
          <w:b/>
          <w:bCs/>
          <w:szCs w:val="22"/>
        </w:rPr>
      </w:pPr>
      <w:r w:rsidRPr="00680EB2">
        <w:rPr>
          <w:b/>
          <w:bCs/>
          <w:szCs w:val="22"/>
        </w:rPr>
        <w:t>IDENTITY CARD—</w:t>
      </w:r>
      <w:r w:rsidR="0013167A" w:rsidRPr="00680EB2">
        <w:rPr>
          <w:b/>
          <w:szCs w:val="22"/>
        </w:rPr>
        <w:t xml:space="preserve">STAFF </w:t>
      </w:r>
      <w:r w:rsidR="00277ACA" w:rsidRPr="00680EB2">
        <w:rPr>
          <w:b/>
          <w:szCs w:val="22"/>
        </w:rPr>
        <w:t>MEMBER</w:t>
      </w: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jc w:val="center"/>
        <w:rPr>
          <w:szCs w:val="22"/>
        </w:rPr>
      </w:pP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ind w:right="3418"/>
        <w:jc w:val="both"/>
        <w:rPr>
          <w:szCs w:val="22"/>
        </w:rPr>
      </w:pPr>
      <w:r w:rsidRPr="00680EB2">
        <w:rPr>
          <w:szCs w:val="22"/>
        </w:rPr>
        <w:t xml:space="preserve">I, </w:t>
      </w:r>
      <w:r w:rsidR="00680EB2" w:rsidRPr="00680EB2">
        <w:rPr>
          <w:position w:val="6"/>
          <w:sz w:val="16"/>
          <w:szCs w:val="22"/>
        </w:rPr>
        <w:t>*</w:t>
      </w:r>
      <w:r w:rsidRPr="00680EB2">
        <w:rPr>
          <w:szCs w:val="22"/>
        </w:rPr>
        <w:t xml:space="preserve">the </w:t>
      </w:r>
      <w:r w:rsidRPr="00680EB2">
        <w:t>Commissioner</w:t>
      </w:r>
      <w:r w:rsidRPr="00680EB2">
        <w:rPr>
          <w:szCs w:val="22"/>
        </w:rPr>
        <w:t xml:space="preserve"> /</w:t>
      </w:r>
      <w:r w:rsidR="00680EB2" w:rsidRPr="00680EB2">
        <w:rPr>
          <w:position w:val="6"/>
          <w:sz w:val="16"/>
          <w:szCs w:val="22"/>
        </w:rPr>
        <w:t>*</w:t>
      </w:r>
      <w:r w:rsidRPr="00680EB2">
        <w:rPr>
          <w:szCs w:val="22"/>
        </w:rPr>
        <w:t>delegate of the</w:t>
      </w:r>
      <w:r w:rsidRPr="00680EB2">
        <w:t xml:space="preserve"> Commissioner</w:t>
      </w:r>
      <w:r w:rsidRPr="00680EB2">
        <w:rPr>
          <w:szCs w:val="22"/>
        </w:rPr>
        <w:t>, acting under subsection</w:t>
      </w:r>
      <w:r w:rsidR="00680EB2" w:rsidRPr="00680EB2">
        <w:rPr>
          <w:szCs w:val="22"/>
        </w:rPr>
        <w:t> </w:t>
      </w:r>
      <w:r w:rsidRPr="00680EB2">
        <w:rPr>
          <w:szCs w:val="22"/>
        </w:rPr>
        <w:t>203(1) of</w:t>
      </w:r>
      <w:r w:rsidR="00A26B5E" w:rsidRPr="00680EB2">
        <w:rPr>
          <w:szCs w:val="22"/>
        </w:rPr>
        <w:t xml:space="preserve"> the</w:t>
      </w:r>
      <w:r w:rsidRPr="00680EB2">
        <w:rPr>
          <w:szCs w:val="22"/>
        </w:rPr>
        <w:t xml:space="preserve"> </w:t>
      </w:r>
      <w:r w:rsidRPr="00680EB2">
        <w:rPr>
          <w:i/>
          <w:szCs w:val="22"/>
        </w:rPr>
        <w:t>Fair Work (Registered Organisations) Act 2009</w:t>
      </w:r>
      <w:r w:rsidRPr="00680EB2">
        <w:rPr>
          <w:szCs w:val="22"/>
        </w:rPr>
        <w:t>, certify that</w:t>
      </w: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spacing w:before="400"/>
        <w:ind w:right="3419"/>
        <w:rPr>
          <w:szCs w:val="22"/>
        </w:rPr>
      </w:pPr>
    </w:p>
    <w:p w:rsidR="00385D7E" w:rsidRPr="00680EB2" w:rsidRDefault="00385D7E" w:rsidP="0013167A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ind w:right="3419"/>
        <w:jc w:val="both"/>
        <w:rPr>
          <w:szCs w:val="22"/>
        </w:rPr>
      </w:pPr>
      <w:r w:rsidRPr="00680EB2">
        <w:rPr>
          <w:szCs w:val="22"/>
        </w:rPr>
        <w:t xml:space="preserve">whose photograph and signature appear on this card is a </w:t>
      </w:r>
      <w:r w:rsidR="00E3032C" w:rsidRPr="00680EB2">
        <w:rPr>
          <w:szCs w:val="22"/>
        </w:rPr>
        <w:t>member of the staff assisting the Commissioner</w:t>
      </w:r>
      <w:r w:rsidR="0013167A" w:rsidRPr="00680EB2">
        <w:rPr>
          <w:szCs w:val="22"/>
        </w:rPr>
        <w:t xml:space="preserve"> to whom powers of the Commissioner under section</w:t>
      </w:r>
      <w:r w:rsidR="00680EB2" w:rsidRPr="00680EB2">
        <w:rPr>
          <w:szCs w:val="22"/>
        </w:rPr>
        <w:t> </w:t>
      </w:r>
      <w:r w:rsidR="0013167A" w:rsidRPr="00680EB2">
        <w:rPr>
          <w:szCs w:val="22"/>
        </w:rPr>
        <w:t>202 of the Act have been delegated under section</w:t>
      </w:r>
      <w:r w:rsidR="00680EB2" w:rsidRPr="00680EB2">
        <w:rPr>
          <w:szCs w:val="22"/>
        </w:rPr>
        <w:t> </w:t>
      </w:r>
      <w:r w:rsidR="0013167A" w:rsidRPr="00680EB2">
        <w:rPr>
          <w:szCs w:val="22"/>
        </w:rPr>
        <w:t>343B of the Act</w:t>
      </w:r>
      <w:r w:rsidR="0006637B" w:rsidRPr="00680EB2">
        <w:rPr>
          <w:szCs w:val="22"/>
        </w:rPr>
        <w:t>.</w:t>
      </w: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ind w:right="-82"/>
        <w:rPr>
          <w:szCs w:val="22"/>
        </w:rPr>
      </w:pPr>
    </w:p>
    <w:p w:rsidR="00385D7E" w:rsidRPr="00680EB2" w:rsidRDefault="0006637B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jc w:val="right"/>
        <w:rPr>
          <w:szCs w:val="22"/>
        </w:rPr>
      </w:pPr>
      <w:r w:rsidRPr="00680EB2">
        <w:rPr>
          <w:szCs w:val="22"/>
        </w:rPr>
        <w:t>..................................................</w:t>
      </w: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jc w:val="right"/>
        <w:rPr>
          <w:szCs w:val="22"/>
        </w:rPr>
      </w:pPr>
      <w:r w:rsidRPr="00680EB2">
        <w:rPr>
          <w:szCs w:val="22"/>
        </w:rPr>
        <w:t>(</w:t>
      </w:r>
      <w:r w:rsidRPr="00680EB2">
        <w:rPr>
          <w:i/>
          <w:szCs w:val="22"/>
        </w:rPr>
        <w:t>Signature of</w:t>
      </w:r>
      <w:r w:rsidRPr="00680EB2">
        <w:t xml:space="preserve"> </w:t>
      </w:r>
      <w:r w:rsidR="0013167A" w:rsidRPr="00680EB2">
        <w:rPr>
          <w:i/>
        </w:rPr>
        <w:t>staff</w:t>
      </w:r>
      <w:r w:rsidR="005D47B3" w:rsidRPr="00680EB2">
        <w:rPr>
          <w:i/>
        </w:rPr>
        <w:t xml:space="preserve"> member</w:t>
      </w:r>
      <w:r w:rsidRPr="00680EB2">
        <w:rPr>
          <w:szCs w:val="22"/>
        </w:rPr>
        <w:t>)</w:t>
      </w: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jc w:val="right"/>
        <w:rPr>
          <w:szCs w:val="22"/>
        </w:rPr>
      </w:pP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rPr>
          <w:szCs w:val="22"/>
        </w:rPr>
      </w:pP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rPr>
          <w:szCs w:val="22"/>
        </w:rPr>
      </w:pPr>
      <w:r w:rsidRPr="00680EB2">
        <w:rPr>
          <w:szCs w:val="22"/>
        </w:rPr>
        <w:t xml:space="preserve">Dated                                20    </w:t>
      </w:r>
      <w:r w:rsidR="0006637B" w:rsidRPr="00680EB2">
        <w:rPr>
          <w:szCs w:val="22"/>
        </w:rPr>
        <w:t>.</w:t>
      </w:r>
    </w:p>
    <w:p w:rsidR="00385D7E" w:rsidRPr="00680EB2" w:rsidRDefault="00385D7E" w:rsidP="00385D7E">
      <w:pPr>
        <w:tabs>
          <w:tab w:val="right" w:pos="7086"/>
        </w:tabs>
        <w:jc w:val="right"/>
        <w:rPr>
          <w:szCs w:val="22"/>
        </w:rPr>
      </w:pPr>
    </w:p>
    <w:p w:rsidR="00385D7E" w:rsidRPr="00680EB2" w:rsidRDefault="00385D7E" w:rsidP="00385D7E">
      <w:pPr>
        <w:tabs>
          <w:tab w:val="right" w:pos="7086"/>
        </w:tabs>
        <w:jc w:val="right"/>
        <w:rPr>
          <w:szCs w:val="22"/>
        </w:rPr>
      </w:pPr>
    </w:p>
    <w:p w:rsidR="00385D7E" w:rsidRPr="00680EB2" w:rsidRDefault="0006637B" w:rsidP="00385D7E">
      <w:pPr>
        <w:tabs>
          <w:tab w:val="right" w:pos="7086"/>
        </w:tabs>
        <w:jc w:val="right"/>
        <w:rPr>
          <w:szCs w:val="22"/>
        </w:rPr>
      </w:pPr>
      <w:r w:rsidRPr="00680EB2">
        <w:rPr>
          <w:szCs w:val="22"/>
        </w:rPr>
        <w:t>..................................................</w:t>
      </w:r>
    </w:p>
    <w:p w:rsidR="00385D7E" w:rsidRPr="00680EB2" w:rsidRDefault="00680EB2" w:rsidP="00385D7E">
      <w:pPr>
        <w:tabs>
          <w:tab w:val="right" w:pos="7086"/>
        </w:tabs>
        <w:jc w:val="right"/>
        <w:rPr>
          <w:szCs w:val="22"/>
        </w:rPr>
      </w:pPr>
      <w:r w:rsidRPr="00680EB2">
        <w:rPr>
          <w:position w:val="6"/>
          <w:sz w:val="16"/>
          <w:szCs w:val="22"/>
        </w:rPr>
        <w:t>*</w:t>
      </w:r>
      <w:r w:rsidR="0013167A" w:rsidRPr="00680EB2">
        <w:rPr>
          <w:szCs w:val="22"/>
        </w:rPr>
        <w:t>Commissioner</w:t>
      </w:r>
    </w:p>
    <w:p w:rsidR="00385D7E" w:rsidRPr="00680EB2" w:rsidRDefault="00680EB2" w:rsidP="00385D7E">
      <w:pPr>
        <w:tabs>
          <w:tab w:val="right" w:pos="7086"/>
        </w:tabs>
        <w:jc w:val="right"/>
        <w:rPr>
          <w:szCs w:val="22"/>
        </w:rPr>
      </w:pPr>
      <w:r w:rsidRPr="00680EB2">
        <w:rPr>
          <w:position w:val="6"/>
          <w:sz w:val="16"/>
          <w:szCs w:val="22"/>
        </w:rPr>
        <w:t>*</w:t>
      </w:r>
      <w:r w:rsidR="00385D7E" w:rsidRPr="00680EB2">
        <w:rPr>
          <w:szCs w:val="22"/>
        </w:rPr>
        <w:t xml:space="preserve">Delegate of </w:t>
      </w:r>
      <w:r w:rsidR="0013167A" w:rsidRPr="00680EB2">
        <w:rPr>
          <w:szCs w:val="22"/>
        </w:rPr>
        <w:t>Commissioner</w:t>
      </w:r>
    </w:p>
    <w:p w:rsidR="00385D7E" w:rsidRPr="00680EB2" w:rsidRDefault="00680EB2" w:rsidP="00385D7E">
      <w:pPr>
        <w:tabs>
          <w:tab w:val="right" w:pos="1160"/>
          <w:tab w:val="left" w:pos="1400"/>
          <w:tab w:val="right" w:pos="1720"/>
          <w:tab w:val="left" w:pos="1980"/>
          <w:tab w:val="right" w:pos="2320"/>
          <w:tab w:val="left" w:pos="2540"/>
        </w:tabs>
        <w:rPr>
          <w:i/>
          <w:iCs/>
          <w:szCs w:val="22"/>
        </w:rPr>
      </w:pPr>
      <w:r w:rsidRPr="00680EB2">
        <w:rPr>
          <w:position w:val="6"/>
          <w:sz w:val="16"/>
          <w:szCs w:val="22"/>
        </w:rPr>
        <w:t>*</w:t>
      </w:r>
      <w:r w:rsidR="00385D7E" w:rsidRPr="00680EB2">
        <w:rPr>
          <w:i/>
          <w:iCs/>
          <w:szCs w:val="22"/>
        </w:rPr>
        <w:t>Omit if inapplicable</w:t>
      </w:r>
      <w:r w:rsidR="0006637B" w:rsidRPr="00680EB2">
        <w:rPr>
          <w:i/>
          <w:iCs/>
          <w:szCs w:val="22"/>
        </w:rPr>
        <w:t>.</w:t>
      </w:r>
    </w:p>
    <w:p w:rsidR="00385D7E" w:rsidRPr="00680EB2" w:rsidRDefault="00385D7E" w:rsidP="00385D7E">
      <w:pPr>
        <w:tabs>
          <w:tab w:val="right" w:pos="7086"/>
        </w:tabs>
        <w:jc w:val="right"/>
        <w:rPr>
          <w:szCs w:val="22"/>
        </w:rPr>
      </w:pPr>
    </w:p>
    <w:p w:rsidR="00385D7E" w:rsidRPr="00680EB2" w:rsidRDefault="00385D7E" w:rsidP="00385D7E">
      <w:pPr>
        <w:tabs>
          <w:tab w:val="right" w:pos="1160"/>
          <w:tab w:val="left" w:pos="1440"/>
          <w:tab w:val="right" w:pos="1720"/>
          <w:tab w:val="left" w:pos="1980"/>
          <w:tab w:val="right" w:pos="2320"/>
          <w:tab w:val="left" w:pos="2540"/>
        </w:tabs>
        <w:jc w:val="center"/>
        <w:rPr>
          <w:szCs w:val="22"/>
        </w:rPr>
      </w:pPr>
    </w:p>
    <w:p w:rsidR="00520AE9" w:rsidRPr="00680EB2" w:rsidRDefault="00520AE9" w:rsidP="00520AE9">
      <w:pPr>
        <w:pStyle w:val="ActHead6"/>
        <w:pageBreakBefore/>
      </w:pPr>
      <w:bookmarkStart w:id="23" w:name="_Toc473101254"/>
      <w:r w:rsidRPr="00680EB2">
        <w:rPr>
          <w:rStyle w:val="CharAmSchNo"/>
        </w:rPr>
        <w:t>Schedule</w:t>
      </w:r>
      <w:r w:rsidR="00680EB2" w:rsidRPr="00680EB2">
        <w:rPr>
          <w:rStyle w:val="CharAmSchNo"/>
        </w:rPr>
        <w:t> </w:t>
      </w:r>
      <w:r w:rsidRPr="00680EB2">
        <w:rPr>
          <w:rStyle w:val="CharAmSchNo"/>
        </w:rPr>
        <w:t>2</w:t>
      </w:r>
      <w:r w:rsidRPr="00680EB2">
        <w:t>—</w:t>
      </w:r>
      <w:r w:rsidR="00076383" w:rsidRPr="00680EB2">
        <w:rPr>
          <w:rStyle w:val="CharAmSchText"/>
        </w:rPr>
        <w:t>Other a</w:t>
      </w:r>
      <w:r w:rsidRPr="00680EB2">
        <w:rPr>
          <w:rStyle w:val="CharAmSchText"/>
        </w:rPr>
        <w:t>mendments</w:t>
      </w:r>
      <w:r w:rsidR="00B72FD9" w:rsidRPr="00680EB2">
        <w:rPr>
          <w:rStyle w:val="CharAmSchText"/>
        </w:rPr>
        <w:t xml:space="preserve"> relating to</w:t>
      </w:r>
      <w:r w:rsidR="00C80D23" w:rsidRPr="00680EB2">
        <w:rPr>
          <w:rStyle w:val="CharAmSchText"/>
        </w:rPr>
        <w:t xml:space="preserve"> the</w:t>
      </w:r>
      <w:r w:rsidR="00B72FD9" w:rsidRPr="00680EB2">
        <w:rPr>
          <w:rStyle w:val="CharAmSchText"/>
        </w:rPr>
        <w:t xml:space="preserve"> Fair Work (Registered Organisations) Amendment Act 2016</w:t>
      </w:r>
      <w:bookmarkEnd w:id="23"/>
    </w:p>
    <w:p w:rsidR="00A82AA1" w:rsidRPr="00680EB2" w:rsidRDefault="00A82AA1" w:rsidP="00A82AA1">
      <w:pPr>
        <w:pStyle w:val="Header"/>
      </w:pPr>
      <w:r w:rsidRPr="00680EB2">
        <w:rPr>
          <w:rStyle w:val="CharAmPartNo"/>
        </w:rPr>
        <w:t xml:space="preserve"> </w:t>
      </w:r>
      <w:r w:rsidRPr="00680EB2">
        <w:rPr>
          <w:rStyle w:val="CharAmPartText"/>
        </w:rPr>
        <w:t xml:space="preserve"> </w:t>
      </w:r>
    </w:p>
    <w:p w:rsidR="00CC444D" w:rsidRPr="00680EB2" w:rsidRDefault="00CC444D" w:rsidP="00CC444D">
      <w:pPr>
        <w:pStyle w:val="ActHead9"/>
      </w:pPr>
      <w:bookmarkStart w:id="24" w:name="_Toc473101255"/>
      <w:r w:rsidRPr="00680EB2">
        <w:t>Fair Work (Registered Organisations) Regulations</w:t>
      </w:r>
      <w:r w:rsidR="00680EB2" w:rsidRPr="00680EB2">
        <w:t> </w:t>
      </w:r>
      <w:r w:rsidRPr="00680EB2">
        <w:t>2009</w:t>
      </w:r>
      <w:bookmarkEnd w:id="24"/>
    </w:p>
    <w:p w:rsidR="00CE4F81" w:rsidRPr="00680EB2" w:rsidRDefault="00027406" w:rsidP="00CE4F81">
      <w:pPr>
        <w:pStyle w:val="ItemHead"/>
      </w:pPr>
      <w:r w:rsidRPr="00680EB2">
        <w:t>1</w:t>
      </w:r>
      <w:r w:rsidR="00CE4F81" w:rsidRPr="00680EB2">
        <w:t xml:space="preserve">  </w:t>
      </w:r>
      <w:proofErr w:type="spellStart"/>
      <w:r w:rsidR="00CE4F81" w:rsidRPr="00680EB2">
        <w:t>Subregulation</w:t>
      </w:r>
      <w:proofErr w:type="spellEnd"/>
      <w:r w:rsidR="00680EB2" w:rsidRPr="00680EB2">
        <w:t> </w:t>
      </w:r>
      <w:r w:rsidR="00CE4F81" w:rsidRPr="00680EB2">
        <w:t>3(1)</w:t>
      </w:r>
    </w:p>
    <w:p w:rsidR="00CE4F81" w:rsidRPr="00680EB2" w:rsidRDefault="00CE4F81" w:rsidP="00CE4F81">
      <w:pPr>
        <w:pStyle w:val="Item"/>
      </w:pPr>
      <w:r w:rsidRPr="00680EB2">
        <w:t>Insert:</w:t>
      </w:r>
    </w:p>
    <w:p w:rsidR="00A54A09" w:rsidRPr="00680EB2" w:rsidRDefault="00A54A09" w:rsidP="00CE4F81">
      <w:pPr>
        <w:pStyle w:val="Definition"/>
      </w:pPr>
      <w:r w:rsidRPr="00680EB2">
        <w:rPr>
          <w:b/>
          <w:i/>
        </w:rPr>
        <w:t>designated civil penalty provision</w:t>
      </w:r>
      <w:r w:rsidRPr="00680EB2">
        <w:t xml:space="preserve"> means:</w:t>
      </w:r>
    </w:p>
    <w:p w:rsidR="00A54A09" w:rsidRPr="00680EB2" w:rsidRDefault="00A54A09" w:rsidP="00A54A09">
      <w:pPr>
        <w:pStyle w:val="paragraph"/>
      </w:pPr>
      <w:r w:rsidRPr="00680EB2">
        <w:tab/>
        <w:t>(a)</w:t>
      </w:r>
      <w:r w:rsidRPr="00680EB2">
        <w:tab/>
        <w:t>a civil penalty provision (see subsection</w:t>
      </w:r>
      <w:r w:rsidR="00680EB2" w:rsidRPr="00680EB2">
        <w:t> </w:t>
      </w:r>
      <w:r w:rsidRPr="00680EB2">
        <w:t>305(2) of the Act); or</w:t>
      </w:r>
    </w:p>
    <w:p w:rsidR="00A54A09" w:rsidRPr="00680EB2" w:rsidRDefault="00A54A09" w:rsidP="00A54A09">
      <w:pPr>
        <w:pStyle w:val="paragraph"/>
      </w:pPr>
      <w:r w:rsidRPr="00680EB2">
        <w:tab/>
        <w:t>(b)</w:t>
      </w:r>
      <w:r w:rsidRPr="00680EB2">
        <w:tab/>
        <w:t xml:space="preserve">a civil remedy provision within the meaning of the </w:t>
      </w:r>
      <w:r w:rsidRPr="00680EB2">
        <w:rPr>
          <w:i/>
        </w:rPr>
        <w:t>Fair Work Act 2009</w:t>
      </w:r>
      <w:r w:rsidR="00C80D23" w:rsidRPr="00680EB2">
        <w:t>; or</w:t>
      </w:r>
    </w:p>
    <w:p w:rsidR="00C80D23" w:rsidRPr="00680EB2" w:rsidRDefault="00C80D23" w:rsidP="00A54A09">
      <w:pPr>
        <w:pStyle w:val="paragraph"/>
      </w:pPr>
      <w:r w:rsidRPr="00680EB2">
        <w:tab/>
        <w:t>(c)</w:t>
      </w:r>
      <w:r w:rsidRPr="00680EB2">
        <w:tab/>
        <w:t xml:space="preserve">a civil remedy provision within the meaning of the </w:t>
      </w:r>
      <w:r w:rsidRPr="00680EB2">
        <w:rPr>
          <w:i/>
        </w:rPr>
        <w:t>Building and Construction Industry (Improving Productivity) Act 2016</w:t>
      </w:r>
      <w:r w:rsidR="0006637B" w:rsidRPr="00680EB2">
        <w:t>.</w:t>
      </w:r>
    </w:p>
    <w:p w:rsidR="00CE4F81" w:rsidRPr="00680EB2" w:rsidRDefault="00CE4F81" w:rsidP="00CE4F81">
      <w:pPr>
        <w:pStyle w:val="Definition"/>
      </w:pPr>
      <w:r w:rsidRPr="00680EB2">
        <w:rPr>
          <w:b/>
          <w:i/>
        </w:rPr>
        <w:t>designated offence</w:t>
      </w:r>
      <w:r w:rsidRPr="00680EB2">
        <w:t xml:space="preserve"> means an offence that is:</w:t>
      </w:r>
    </w:p>
    <w:p w:rsidR="00CE4F81" w:rsidRPr="00680EB2" w:rsidRDefault="00CE4F81" w:rsidP="00CE4F81">
      <w:pPr>
        <w:pStyle w:val="paragraph"/>
      </w:pPr>
      <w:r w:rsidRPr="00680EB2">
        <w:tab/>
        <w:t>(a)</w:t>
      </w:r>
      <w:r w:rsidRPr="00680EB2">
        <w:tab/>
        <w:t xml:space="preserve">a prescribed offence </w:t>
      </w:r>
      <w:r w:rsidR="00A54A09" w:rsidRPr="00680EB2">
        <w:t xml:space="preserve">(see </w:t>
      </w:r>
      <w:r w:rsidRPr="00680EB2">
        <w:t>section</w:t>
      </w:r>
      <w:r w:rsidR="00680EB2" w:rsidRPr="00680EB2">
        <w:t> </w:t>
      </w:r>
      <w:r w:rsidRPr="00680EB2">
        <w:t>212 of the Act</w:t>
      </w:r>
      <w:r w:rsidR="00A54A09" w:rsidRPr="00680EB2">
        <w:t>)</w:t>
      </w:r>
      <w:r w:rsidRPr="00680EB2">
        <w:t>; or</w:t>
      </w:r>
    </w:p>
    <w:p w:rsidR="00CE4F81" w:rsidRPr="00680EB2" w:rsidRDefault="00CE4F81" w:rsidP="00CE4F81">
      <w:pPr>
        <w:pStyle w:val="paragraph"/>
      </w:pPr>
      <w:r w:rsidRPr="00680EB2">
        <w:tab/>
        <w:t>(b)</w:t>
      </w:r>
      <w:r w:rsidRPr="00680EB2">
        <w:tab/>
        <w:t>a prescribed offence within the meaning of section</w:t>
      </w:r>
      <w:r w:rsidR="00680EB2" w:rsidRPr="00680EB2">
        <w:t> </w:t>
      </w:r>
      <w:r w:rsidRPr="00680EB2">
        <w:t xml:space="preserve">1313 of the </w:t>
      </w:r>
      <w:r w:rsidRPr="00680EB2">
        <w:rPr>
          <w:i/>
        </w:rPr>
        <w:t>Corporations Act 2001</w:t>
      </w:r>
      <w:r w:rsidR="00AA55DC" w:rsidRPr="00680EB2">
        <w:t>; or</w:t>
      </w:r>
    </w:p>
    <w:p w:rsidR="00AA55DC" w:rsidRPr="00680EB2" w:rsidRDefault="00AA55DC" w:rsidP="00CE4F81">
      <w:pPr>
        <w:pStyle w:val="paragraph"/>
      </w:pPr>
      <w:r w:rsidRPr="00680EB2">
        <w:tab/>
        <w:t>(c)</w:t>
      </w:r>
      <w:r w:rsidRPr="00680EB2">
        <w:tab/>
        <w:t xml:space="preserve">an offence against the </w:t>
      </w:r>
      <w:r w:rsidRPr="00680EB2">
        <w:rPr>
          <w:i/>
        </w:rPr>
        <w:t>Building and Construction Industry (Improving Productivity) Act 2016</w:t>
      </w:r>
      <w:r w:rsidR="0006637B" w:rsidRPr="00680EB2">
        <w:t>.</w:t>
      </w:r>
    </w:p>
    <w:p w:rsidR="00E75B4E" w:rsidRPr="00680EB2" w:rsidRDefault="00556305" w:rsidP="00E75B4E">
      <w:pPr>
        <w:pStyle w:val="Definition"/>
      </w:pPr>
      <w:r w:rsidRPr="00680EB2">
        <w:rPr>
          <w:b/>
          <w:i/>
        </w:rPr>
        <w:t>government authority</w:t>
      </w:r>
      <w:r w:rsidR="00E75B4E" w:rsidRPr="00680EB2">
        <w:t xml:space="preserve"> has the meaning given by </w:t>
      </w:r>
      <w:proofErr w:type="spellStart"/>
      <w:r w:rsidR="00E75B4E" w:rsidRPr="00680EB2">
        <w:t>subregulation</w:t>
      </w:r>
      <w:proofErr w:type="spellEnd"/>
      <w:r w:rsidR="00680EB2" w:rsidRPr="00680EB2">
        <w:t> </w:t>
      </w:r>
      <w:r w:rsidR="00E75B4E" w:rsidRPr="00680EB2">
        <w:t>176M(3).</w:t>
      </w:r>
    </w:p>
    <w:p w:rsidR="00CC444D" w:rsidRPr="00680EB2" w:rsidRDefault="00027406" w:rsidP="00143B6C">
      <w:pPr>
        <w:pStyle w:val="ItemHead"/>
      </w:pPr>
      <w:r w:rsidRPr="00680EB2">
        <w:t>2</w:t>
      </w:r>
      <w:r w:rsidR="00143B6C" w:rsidRPr="00680EB2">
        <w:t xml:space="preserve">  Regulation</w:t>
      </w:r>
      <w:r w:rsidR="00680EB2" w:rsidRPr="00680EB2">
        <w:t> </w:t>
      </w:r>
      <w:r w:rsidR="00143B6C" w:rsidRPr="00680EB2">
        <w:t>4</w:t>
      </w:r>
    </w:p>
    <w:p w:rsidR="00143B6C" w:rsidRPr="00680EB2" w:rsidRDefault="00143B6C" w:rsidP="00143B6C">
      <w:pPr>
        <w:pStyle w:val="Item"/>
      </w:pPr>
      <w:r w:rsidRPr="00680EB2">
        <w:t>Repeal the regulation</w:t>
      </w:r>
      <w:r w:rsidR="0006637B" w:rsidRPr="00680EB2">
        <w:t>.</w:t>
      </w:r>
    </w:p>
    <w:p w:rsidR="00143B6C" w:rsidRPr="00680EB2" w:rsidRDefault="00027406" w:rsidP="007820D3">
      <w:pPr>
        <w:pStyle w:val="ItemHead"/>
      </w:pPr>
      <w:r w:rsidRPr="00680EB2">
        <w:t>3</w:t>
      </w:r>
      <w:r w:rsidR="00143B6C" w:rsidRPr="00680EB2">
        <w:t xml:space="preserve">  </w:t>
      </w:r>
      <w:r w:rsidR="007820D3" w:rsidRPr="00680EB2">
        <w:t>After regulation</w:t>
      </w:r>
      <w:r w:rsidR="00680EB2" w:rsidRPr="00680EB2">
        <w:t> </w:t>
      </w:r>
      <w:r w:rsidR="007820D3" w:rsidRPr="00680EB2">
        <w:t>159</w:t>
      </w:r>
    </w:p>
    <w:p w:rsidR="007820D3" w:rsidRPr="00680EB2" w:rsidRDefault="007820D3" w:rsidP="007820D3">
      <w:pPr>
        <w:pStyle w:val="Item"/>
      </w:pPr>
      <w:r w:rsidRPr="00680EB2">
        <w:t>Insert:</w:t>
      </w:r>
    </w:p>
    <w:p w:rsidR="007820D3" w:rsidRPr="00680EB2" w:rsidRDefault="007820D3" w:rsidP="007820D3">
      <w:pPr>
        <w:pStyle w:val="ActHead5"/>
      </w:pPr>
      <w:bookmarkStart w:id="25" w:name="_Toc473101256"/>
      <w:r w:rsidRPr="00680EB2">
        <w:rPr>
          <w:rStyle w:val="CharSectno"/>
        </w:rPr>
        <w:t>159A</w:t>
      </w:r>
      <w:r w:rsidRPr="00680EB2">
        <w:t xml:space="preserve">  Application for registration as an auditor</w:t>
      </w:r>
      <w:bookmarkEnd w:id="25"/>
    </w:p>
    <w:p w:rsidR="00FF0581" w:rsidRPr="00680EB2" w:rsidRDefault="00FF0581" w:rsidP="00FF0581">
      <w:pPr>
        <w:pStyle w:val="subsection"/>
      </w:pPr>
      <w:r w:rsidRPr="00680EB2">
        <w:tab/>
      </w:r>
      <w:r w:rsidRPr="00680EB2">
        <w:tab/>
        <w:t>For the purposes of paragraph</w:t>
      </w:r>
      <w:r w:rsidR="00680EB2" w:rsidRPr="00680EB2">
        <w:t> </w:t>
      </w:r>
      <w:r w:rsidRPr="00680EB2">
        <w:t xml:space="preserve">255A(2)(c) of the Act, an application for registration as an auditor made by a person who is not a registered company auditor </w:t>
      </w:r>
      <w:r w:rsidR="007E108F" w:rsidRPr="00680EB2">
        <w:t>must contain the following information:</w:t>
      </w:r>
    </w:p>
    <w:p w:rsidR="004957A0" w:rsidRPr="00680EB2" w:rsidRDefault="00956ACF" w:rsidP="004957A0">
      <w:pPr>
        <w:pStyle w:val="paragraph"/>
      </w:pPr>
      <w:r w:rsidRPr="00680EB2">
        <w:tab/>
        <w:t>(a)</w:t>
      </w:r>
      <w:r w:rsidRPr="00680EB2">
        <w:tab/>
      </w:r>
      <w:r w:rsidR="00EF11BD" w:rsidRPr="00680EB2">
        <w:t xml:space="preserve">if the person seeks to satisfy the requirements </w:t>
      </w:r>
      <w:r w:rsidR="00A94550" w:rsidRPr="00680EB2">
        <w:t>of</w:t>
      </w:r>
      <w:r w:rsidR="00EF11BD" w:rsidRPr="00680EB2">
        <w:t xml:space="preserve"> subsection</w:t>
      </w:r>
      <w:r w:rsidR="00680EB2" w:rsidRPr="00680EB2">
        <w:t> </w:t>
      </w:r>
      <w:r w:rsidR="00EF11BD" w:rsidRPr="00680EB2">
        <w:t>255</w:t>
      </w:r>
      <w:r w:rsidR="005B502B" w:rsidRPr="00680EB2">
        <w:t>C</w:t>
      </w:r>
      <w:r w:rsidR="00EF11BD" w:rsidRPr="00680EB2">
        <w:t xml:space="preserve">(1) of the Act—details </w:t>
      </w:r>
      <w:r w:rsidR="00D43D2F" w:rsidRPr="00680EB2">
        <w:t>about</w:t>
      </w:r>
      <w:r w:rsidR="00EF11BD" w:rsidRPr="00680EB2">
        <w:t xml:space="preserve"> </w:t>
      </w:r>
      <w:r w:rsidR="00D43D2F" w:rsidRPr="00680EB2">
        <w:t>how the person meets those requirements</w:t>
      </w:r>
      <w:r w:rsidR="00EF11BD" w:rsidRPr="00680EB2">
        <w:t>;</w:t>
      </w:r>
    </w:p>
    <w:p w:rsidR="00EF11BD" w:rsidRPr="00680EB2" w:rsidRDefault="00956ACF" w:rsidP="004957A0">
      <w:pPr>
        <w:pStyle w:val="paragraph"/>
      </w:pPr>
      <w:r w:rsidRPr="00680EB2">
        <w:tab/>
        <w:t>(b)</w:t>
      </w:r>
      <w:r w:rsidRPr="00680EB2">
        <w:tab/>
      </w:r>
      <w:r w:rsidR="00EF11BD" w:rsidRPr="00680EB2">
        <w:t xml:space="preserve">if the person seeks to satisfy the requirements </w:t>
      </w:r>
      <w:r w:rsidR="00A94550" w:rsidRPr="00680EB2">
        <w:t>of</w:t>
      </w:r>
      <w:r w:rsidR="00EF11BD" w:rsidRPr="00680EB2">
        <w:t xml:space="preserve"> subsection</w:t>
      </w:r>
      <w:r w:rsidR="00680EB2" w:rsidRPr="00680EB2">
        <w:t> </w:t>
      </w:r>
      <w:r w:rsidR="00EF11BD" w:rsidRPr="00680EB2">
        <w:t>255</w:t>
      </w:r>
      <w:r w:rsidR="005B502B" w:rsidRPr="00680EB2">
        <w:t>C</w:t>
      </w:r>
      <w:r w:rsidR="00EF11BD" w:rsidRPr="00680EB2">
        <w:t>(2) of the Act—</w:t>
      </w:r>
      <w:r w:rsidR="005B502B" w:rsidRPr="00680EB2">
        <w:t xml:space="preserve">details of </w:t>
      </w:r>
      <w:r w:rsidR="00A94550" w:rsidRPr="00680EB2">
        <w:t>the person</w:t>
      </w:r>
      <w:r w:rsidR="00E75B4E" w:rsidRPr="00680EB2">
        <w:t>’</w:t>
      </w:r>
      <w:r w:rsidR="00A94550" w:rsidRPr="00680EB2">
        <w:t xml:space="preserve">s </w:t>
      </w:r>
      <w:r w:rsidR="005B502B" w:rsidRPr="00680EB2">
        <w:t xml:space="preserve">other qualifications and experience </w:t>
      </w:r>
      <w:r w:rsidR="00A94550" w:rsidRPr="00680EB2">
        <w:t xml:space="preserve">that </w:t>
      </w:r>
      <w:r w:rsidRPr="00680EB2">
        <w:t xml:space="preserve">the person </w:t>
      </w:r>
      <w:r w:rsidR="005B502B" w:rsidRPr="00680EB2">
        <w:t>considers to be equivalent to the req</w:t>
      </w:r>
      <w:r w:rsidR="001D0585" w:rsidRPr="00680EB2">
        <w:t>uirements of subsection</w:t>
      </w:r>
      <w:r w:rsidR="00680EB2" w:rsidRPr="00680EB2">
        <w:t> </w:t>
      </w:r>
      <w:r w:rsidR="00D43D2F" w:rsidRPr="00680EB2">
        <w:t>255C(1)</w:t>
      </w:r>
      <w:r w:rsidR="003C23A5" w:rsidRPr="00680EB2">
        <w:t xml:space="preserve"> of the Act</w:t>
      </w:r>
      <w:r w:rsidR="001D0585" w:rsidRPr="00680EB2">
        <w:t>;</w:t>
      </w:r>
    </w:p>
    <w:p w:rsidR="001D0585" w:rsidRPr="00680EB2" w:rsidRDefault="00956ACF" w:rsidP="004957A0">
      <w:pPr>
        <w:pStyle w:val="paragraph"/>
      </w:pPr>
      <w:r w:rsidRPr="00680EB2">
        <w:tab/>
        <w:t>(c)</w:t>
      </w:r>
      <w:r w:rsidRPr="00680EB2">
        <w:tab/>
      </w:r>
      <w:r w:rsidR="001D0585" w:rsidRPr="00680EB2">
        <w:t xml:space="preserve">if the person seeks to satisfy the requirements </w:t>
      </w:r>
      <w:r w:rsidR="00A94550" w:rsidRPr="00680EB2">
        <w:t>of</w:t>
      </w:r>
      <w:r w:rsidR="001D0585" w:rsidRPr="00680EB2">
        <w:t xml:space="preserve"> subparagraph</w:t>
      </w:r>
      <w:r w:rsidR="00680EB2" w:rsidRPr="00680EB2">
        <w:t> </w:t>
      </w:r>
      <w:r w:rsidR="001D0585" w:rsidRPr="00680EB2">
        <w:t>255B(3)(b)(</w:t>
      </w:r>
      <w:proofErr w:type="spellStart"/>
      <w:r w:rsidR="001D0585" w:rsidRPr="00680EB2">
        <w:t>i</w:t>
      </w:r>
      <w:proofErr w:type="spellEnd"/>
      <w:r w:rsidR="001D0585" w:rsidRPr="00680EB2">
        <w:t>) of the Act</w:t>
      </w:r>
      <w:r w:rsidR="00D43D2F" w:rsidRPr="00680EB2">
        <w:t>—details about how the person meets those requirements;</w:t>
      </w:r>
    </w:p>
    <w:p w:rsidR="00D43D2F" w:rsidRPr="00680EB2" w:rsidRDefault="00956ACF" w:rsidP="004957A0">
      <w:pPr>
        <w:pStyle w:val="paragraph"/>
      </w:pPr>
      <w:r w:rsidRPr="00680EB2">
        <w:tab/>
        <w:t>(d)</w:t>
      </w:r>
      <w:r w:rsidRPr="00680EB2">
        <w:tab/>
      </w:r>
      <w:r w:rsidR="00D43D2F" w:rsidRPr="00680EB2">
        <w:t xml:space="preserve">if the person seeks to satisfy the requirements </w:t>
      </w:r>
      <w:r w:rsidR="00A94550" w:rsidRPr="00680EB2">
        <w:t>of</w:t>
      </w:r>
      <w:r w:rsidR="00D43D2F" w:rsidRPr="00680EB2">
        <w:t xml:space="preserve"> subparagraph</w:t>
      </w:r>
      <w:r w:rsidR="00680EB2" w:rsidRPr="00680EB2">
        <w:t> </w:t>
      </w:r>
      <w:r w:rsidR="00D43D2F" w:rsidRPr="00680EB2">
        <w:t>255B(3)(b)(ii) of the Act—</w:t>
      </w:r>
      <w:r w:rsidR="008B73DE" w:rsidRPr="00680EB2">
        <w:t>details of the person</w:t>
      </w:r>
      <w:r w:rsidR="00E75B4E" w:rsidRPr="00680EB2">
        <w:t>’</w:t>
      </w:r>
      <w:r w:rsidR="008B73DE" w:rsidRPr="00680EB2">
        <w:t>s practical experience as prescribe</w:t>
      </w:r>
      <w:r w:rsidR="005E6DD0" w:rsidRPr="00680EB2">
        <w:t>d by regulation</w:t>
      </w:r>
      <w:r w:rsidR="00680EB2" w:rsidRPr="00680EB2">
        <w:t> </w:t>
      </w:r>
      <w:r w:rsidR="005E6DD0" w:rsidRPr="00680EB2">
        <w:t>159</w:t>
      </w:r>
      <w:r w:rsidR="008B73DE" w:rsidRPr="00680EB2">
        <w:t>B;</w:t>
      </w:r>
    </w:p>
    <w:p w:rsidR="005E6DD0" w:rsidRPr="00680EB2" w:rsidRDefault="00956ACF" w:rsidP="002F42B9">
      <w:pPr>
        <w:pStyle w:val="paragraph"/>
      </w:pPr>
      <w:r w:rsidRPr="00680EB2">
        <w:tab/>
        <w:t>(e)</w:t>
      </w:r>
      <w:r w:rsidRPr="00680EB2">
        <w:tab/>
      </w:r>
      <w:r w:rsidR="00CB27F5" w:rsidRPr="00680EB2">
        <w:t>in relation to</w:t>
      </w:r>
      <w:r w:rsidRPr="00680EB2">
        <w:t xml:space="preserve"> any</w:t>
      </w:r>
      <w:r w:rsidR="005E6DD0" w:rsidRPr="00680EB2">
        <w:t xml:space="preserve"> audit work </w:t>
      </w:r>
      <w:r w:rsidRPr="00680EB2">
        <w:t xml:space="preserve">the person has </w:t>
      </w:r>
      <w:r w:rsidR="005E6DD0" w:rsidRPr="00680EB2">
        <w:t>done during at least the previous 5 years</w:t>
      </w:r>
      <w:r w:rsidR="00CB27F5" w:rsidRPr="00680EB2">
        <w:t>—details of</w:t>
      </w:r>
      <w:r w:rsidR="005E6DD0" w:rsidRPr="00680EB2">
        <w:t>:</w:t>
      </w:r>
    </w:p>
    <w:p w:rsidR="005E6DD0" w:rsidRPr="00680EB2" w:rsidRDefault="005E6DD0" w:rsidP="005E6DD0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the nature of the audit;</w:t>
      </w:r>
      <w:r w:rsidR="00CB27F5" w:rsidRPr="00680EB2">
        <w:t xml:space="preserve"> and</w:t>
      </w:r>
    </w:p>
    <w:p w:rsidR="005E6DD0" w:rsidRPr="00680EB2" w:rsidRDefault="005E6DD0" w:rsidP="005E6DD0">
      <w:pPr>
        <w:pStyle w:val="paragraphsub"/>
      </w:pPr>
      <w:r w:rsidRPr="00680EB2">
        <w:tab/>
        <w:t>(ii)</w:t>
      </w:r>
      <w:r w:rsidRPr="00680EB2">
        <w:tab/>
        <w:t>the extent of the person</w:t>
      </w:r>
      <w:r w:rsidR="00E75B4E" w:rsidRPr="00680EB2">
        <w:t>’</w:t>
      </w:r>
      <w:r w:rsidRPr="00680EB2">
        <w:t>s involvement in the audit;</w:t>
      </w:r>
      <w:r w:rsidR="00CB27F5" w:rsidRPr="00680EB2">
        <w:t xml:space="preserve"> and</w:t>
      </w:r>
    </w:p>
    <w:p w:rsidR="005E6DD0" w:rsidRPr="00680EB2" w:rsidRDefault="005E6DD0" w:rsidP="005E6DD0">
      <w:pPr>
        <w:pStyle w:val="paragraphsub"/>
      </w:pPr>
      <w:r w:rsidRPr="00680EB2">
        <w:tab/>
        <w:t>(iii)</w:t>
      </w:r>
      <w:r w:rsidRPr="00680EB2">
        <w:tab/>
        <w:t>the person</w:t>
      </w:r>
      <w:r w:rsidR="00E75B4E" w:rsidRPr="00680EB2">
        <w:t>’</w:t>
      </w:r>
      <w:r w:rsidRPr="00680EB2">
        <w:t>s level of responsibility for the audit;</w:t>
      </w:r>
    </w:p>
    <w:p w:rsidR="001808A9" w:rsidRPr="00680EB2" w:rsidRDefault="00956ACF" w:rsidP="00D40FA3">
      <w:pPr>
        <w:pStyle w:val="paragraph"/>
      </w:pPr>
      <w:r w:rsidRPr="00680EB2">
        <w:tab/>
        <w:t>(f)</w:t>
      </w:r>
      <w:r w:rsidRPr="00680EB2">
        <w:tab/>
      </w:r>
      <w:r w:rsidR="001808A9" w:rsidRPr="00680EB2">
        <w:t>details of a</w:t>
      </w:r>
      <w:r w:rsidR="001D3AE6" w:rsidRPr="00680EB2">
        <w:t>ny conviction of the person for a designated offence;</w:t>
      </w:r>
    </w:p>
    <w:p w:rsidR="002F42B9" w:rsidRPr="00680EB2" w:rsidRDefault="00956ACF" w:rsidP="00D40FA3">
      <w:pPr>
        <w:pStyle w:val="paragraph"/>
      </w:pPr>
      <w:r w:rsidRPr="00680EB2">
        <w:tab/>
        <w:t>(g)</w:t>
      </w:r>
      <w:r w:rsidRPr="00680EB2">
        <w:tab/>
      </w:r>
      <w:r w:rsidR="00CC7E4E" w:rsidRPr="00680EB2">
        <w:t xml:space="preserve">details of any order made </w:t>
      </w:r>
      <w:r w:rsidR="00C044E4" w:rsidRPr="00680EB2">
        <w:t>in respect of a</w:t>
      </w:r>
      <w:r w:rsidR="00CC7E4E" w:rsidRPr="00680EB2">
        <w:t xml:space="preserve"> contravention</w:t>
      </w:r>
      <w:r w:rsidR="00C044E4" w:rsidRPr="00680EB2">
        <w:t xml:space="preserve"> by the person</w:t>
      </w:r>
      <w:r w:rsidR="00CC7E4E" w:rsidRPr="00680EB2">
        <w:t xml:space="preserve"> of a designated civil penalty provision;</w:t>
      </w:r>
    </w:p>
    <w:p w:rsidR="00956ACF" w:rsidRPr="00680EB2" w:rsidRDefault="00956ACF" w:rsidP="00D40FA3">
      <w:pPr>
        <w:pStyle w:val="paragraph"/>
      </w:pPr>
      <w:r w:rsidRPr="00680EB2">
        <w:tab/>
        <w:t>(h)</w:t>
      </w:r>
      <w:r w:rsidRPr="00680EB2">
        <w:tab/>
        <w:t>if the person has been charged with a designated offence, or an application has been made for an order in respect of a contravention by the person of a designated civil penalty provision, and the matter has not been finally dealt with—details of the matter;</w:t>
      </w:r>
    </w:p>
    <w:p w:rsidR="007E108F" w:rsidRPr="00680EB2" w:rsidRDefault="00956ACF" w:rsidP="001808A9">
      <w:pPr>
        <w:pStyle w:val="paragraph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</w:r>
      <w:r w:rsidR="001808A9" w:rsidRPr="00680EB2">
        <w:t>details of any order made under section</w:t>
      </w:r>
      <w:r w:rsidR="00680EB2" w:rsidRPr="00680EB2">
        <w:t> </w:t>
      </w:r>
      <w:r w:rsidR="001808A9" w:rsidRPr="00680EB2">
        <w:t>307A of the Act disqualifying the person from holding office in an organisation;</w:t>
      </w:r>
    </w:p>
    <w:p w:rsidR="001808A9" w:rsidRPr="00680EB2" w:rsidRDefault="00956ACF" w:rsidP="001808A9">
      <w:pPr>
        <w:pStyle w:val="paragraph"/>
      </w:pPr>
      <w:r w:rsidRPr="00680EB2">
        <w:tab/>
        <w:t>(j)</w:t>
      </w:r>
      <w:r w:rsidRPr="00680EB2">
        <w:tab/>
      </w:r>
      <w:r w:rsidR="001808A9" w:rsidRPr="00680EB2">
        <w:t>details of any other matter that may be relevant to the Commissioner</w:t>
      </w:r>
      <w:r w:rsidR="00E75B4E" w:rsidRPr="00680EB2">
        <w:t>’</w:t>
      </w:r>
      <w:r w:rsidR="001808A9" w:rsidRPr="00680EB2">
        <w:t>s assessment of</w:t>
      </w:r>
      <w:r w:rsidRPr="00680EB2">
        <w:t xml:space="preserve"> whether the person </w:t>
      </w:r>
      <w:r w:rsidR="001808A9" w:rsidRPr="00680EB2">
        <w:t>is capable of performing the duties of an auditor and is a fit and proper person to be regi</w:t>
      </w:r>
      <w:r w:rsidR="00090BA3" w:rsidRPr="00680EB2">
        <w:t>stered as an auditor;</w:t>
      </w:r>
    </w:p>
    <w:p w:rsidR="00090BA3" w:rsidRPr="00680EB2" w:rsidRDefault="00956ACF" w:rsidP="001808A9">
      <w:pPr>
        <w:pStyle w:val="paragraph"/>
      </w:pPr>
      <w:r w:rsidRPr="00680EB2">
        <w:tab/>
        <w:t>(k)</w:t>
      </w:r>
      <w:r w:rsidRPr="00680EB2">
        <w:tab/>
      </w:r>
      <w:r w:rsidR="00090BA3" w:rsidRPr="00680EB2">
        <w:t>the person</w:t>
      </w:r>
      <w:r w:rsidR="00E75B4E" w:rsidRPr="00680EB2">
        <w:t>’</w:t>
      </w:r>
      <w:r w:rsidR="00090BA3" w:rsidRPr="00680EB2">
        <w:t>s place of residence</w:t>
      </w:r>
      <w:r w:rsidR="0006637B" w:rsidRPr="00680EB2">
        <w:t>.</w:t>
      </w:r>
    </w:p>
    <w:p w:rsidR="00090BA3" w:rsidRPr="00680EB2" w:rsidRDefault="00090BA3" w:rsidP="00090BA3">
      <w:pPr>
        <w:pStyle w:val="ActHead5"/>
      </w:pPr>
      <w:bookmarkStart w:id="26" w:name="_Toc473101257"/>
      <w:r w:rsidRPr="00680EB2">
        <w:rPr>
          <w:rStyle w:val="CharSectno"/>
        </w:rPr>
        <w:t>159B</w:t>
      </w:r>
      <w:r w:rsidRPr="00680EB2">
        <w:t xml:space="preserve">  Practical experience </w:t>
      </w:r>
      <w:r w:rsidR="007665BB" w:rsidRPr="00680EB2">
        <w:t>in auditing</w:t>
      </w:r>
      <w:bookmarkEnd w:id="26"/>
    </w:p>
    <w:p w:rsidR="005E6DD0" w:rsidRPr="00680EB2" w:rsidRDefault="005E6DD0" w:rsidP="005E6DD0">
      <w:pPr>
        <w:pStyle w:val="subsection"/>
      </w:pPr>
      <w:r w:rsidRPr="00680EB2">
        <w:tab/>
      </w:r>
      <w:r w:rsidRPr="00680EB2">
        <w:tab/>
        <w:t>For the purposes of subparagraph</w:t>
      </w:r>
      <w:r w:rsidR="00680EB2" w:rsidRPr="00680EB2">
        <w:t> </w:t>
      </w:r>
      <w:r w:rsidRPr="00680EB2">
        <w:t xml:space="preserve">255B(3)(b)(ii) of the Act, </w:t>
      </w:r>
      <w:r w:rsidR="001F14D3" w:rsidRPr="00680EB2">
        <w:t xml:space="preserve">either of the following kinds of </w:t>
      </w:r>
      <w:r w:rsidRPr="00680EB2">
        <w:t>practical experience in auditing</w:t>
      </w:r>
      <w:r w:rsidR="00362EB2" w:rsidRPr="00680EB2">
        <w:t xml:space="preserve"> is prescribed</w:t>
      </w:r>
      <w:r w:rsidRPr="00680EB2">
        <w:t>:</w:t>
      </w:r>
    </w:p>
    <w:p w:rsidR="00D5233D" w:rsidRPr="00680EB2" w:rsidRDefault="005E6DD0" w:rsidP="00D75D58">
      <w:pPr>
        <w:pStyle w:val="paragraph"/>
      </w:pPr>
      <w:r w:rsidRPr="00680EB2">
        <w:tab/>
        <w:t>(a)</w:t>
      </w:r>
      <w:r w:rsidRPr="00680EB2">
        <w:tab/>
      </w:r>
      <w:r w:rsidR="003F21F0" w:rsidRPr="00680EB2">
        <w:t>during the 5 years immediately before the date of the person</w:t>
      </w:r>
      <w:r w:rsidR="00E75B4E" w:rsidRPr="00680EB2">
        <w:t>’</w:t>
      </w:r>
      <w:r w:rsidR="003F21F0" w:rsidRPr="00680EB2">
        <w:t>s application to be registered, the person has</w:t>
      </w:r>
      <w:r w:rsidR="00B55068" w:rsidRPr="00680EB2">
        <w:t xml:space="preserve"> undertaken</w:t>
      </w:r>
      <w:r w:rsidR="00D75D58" w:rsidRPr="00680EB2">
        <w:t xml:space="preserve"> </w:t>
      </w:r>
      <w:r w:rsidR="00B55068" w:rsidRPr="00680EB2">
        <w:t xml:space="preserve">at least 3,000 hours work in auditing </w:t>
      </w:r>
      <w:r w:rsidR="00227D96" w:rsidRPr="00680EB2">
        <w:t>companies</w:t>
      </w:r>
      <w:r w:rsidR="00D75D58" w:rsidRPr="00680EB2">
        <w:t xml:space="preserve"> or organisations, including </w:t>
      </w:r>
      <w:r w:rsidR="00D5233D" w:rsidRPr="00680EB2">
        <w:t xml:space="preserve">at least 750 hours supervising audits of </w:t>
      </w:r>
      <w:r w:rsidR="00362EB2" w:rsidRPr="00680EB2">
        <w:t>companies or</w:t>
      </w:r>
      <w:r w:rsidR="00D5233D" w:rsidRPr="00680EB2">
        <w:t xml:space="preserve"> organisations;</w:t>
      </w:r>
    </w:p>
    <w:p w:rsidR="00D5233D" w:rsidRPr="00680EB2" w:rsidRDefault="00D5233D" w:rsidP="005E6DD0">
      <w:pPr>
        <w:pStyle w:val="paragraph"/>
      </w:pPr>
      <w:r w:rsidRPr="00680EB2">
        <w:tab/>
        <w:t>(b)</w:t>
      </w:r>
      <w:r w:rsidRPr="00680EB2">
        <w:tab/>
        <w:t>practical experience that the Commissioner considers equivalent to experien</w:t>
      </w:r>
      <w:r w:rsidR="00361536" w:rsidRPr="00680EB2">
        <w:t xml:space="preserve">ce referred to in </w:t>
      </w:r>
      <w:r w:rsidR="00680EB2" w:rsidRPr="00680EB2">
        <w:t>paragraph (</w:t>
      </w:r>
      <w:r w:rsidR="00361536" w:rsidRPr="00680EB2">
        <w:t>a)</w:t>
      </w:r>
      <w:r w:rsidR="0006637B" w:rsidRPr="00680EB2">
        <w:t>.</w:t>
      </w:r>
    </w:p>
    <w:p w:rsidR="00361536" w:rsidRPr="00680EB2" w:rsidRDefault="00361536" w:rsidP="00361536">
      <w:pPr>
        <w:pStyle w:val="ActHead5"/>
      </w:pPr>
      <w:bookmarkStart w:id="27" w:name="_Toc473101258"/>
      <w:r w:rsidRPr="00680EB2">
        <w:rPr>
          <w:rStyle w:val="CharSectno"/>
        </w:rPr>
        <w:t>159C</w:t>
      </w:r>
      <w:r w:rsidRPr="00680EB2">
        <w:t xml:space="preserve">  </w:t>
      </w:r>
      <w:r w:rsidR="00DE6C8E" w:rsidRPr="00680EB2">
        <w:t>Cancellation and s</w:t>
      </w:r>
      <w:r w:rsidR="00E21A06" w:rsidRPr="00680EB2">
        <w:t>us</w:t>
      </w:r>
      <w:r w:rsidR="009354D0" w:rsidRPr="00680EB2">
        <w:t>pension of registration of person as an auditor</w:t>
      </w:r>
      <w:bookmarkEnd w:id="27"/>
    </w:p>
    <w:p w:rsidR="00D834D1" w:rsidRPr="00680EB2" w:rsidRDefault="00D834D1" w:rsidP="009354D0">
      <w:pPr>
        <w:pStyle w:val="subsection"/>
      </w:pPr>
      <w:r w:rsidRPr="00680EB2">
        <w:tab/>
        <w:t>(1)</w:t>
      </w:r>
      <w:r w:rsidRPr="00680EB2">
        <w:tab/>
        <w:t>In accordance with subsection</w:t>
      </w:r>
      <w:r w:rsidR="00680EB2" w:rsidRPr="00680EB2">
        <w:t> </w:t>
      </w:r>
      <w:r w:rsidRPr="00680EB2">
        <w:t>255G(5)</w:t>
      </w:r>
      <w:r w:rsidR="001F14D3" w:rsidRPr="00680EB2">
        <w:t xml:space="preserve"> and paragraph</w:t>
      </w:r>
      <w:r w:rsidR="00680EB2" w:rsidRPr="00680EB2">
        <w:t> </w:t>
      </w:r>
      <w:r w:rsidR="001F14D3" w:rsidRPr="00680EB2">
        <w:t>255N(2)(d)</w:t>
      </w:r>
      <w:r w:rsidRPr="00680EB2">
        <w:t xml:space="preserve"> of the Act, this regulation makes </w:t>
      </w:r>
      <w:r w:rsidR="00513DF7" w:rsidRPr="00680EB2">
        <w:t xml:space="preserve">further provision for and in relation to the suspension of the registration of a person as an auditor, and </w:t>
      </w:r>
      <w:r w:rsidRPr="00680EB2">
        <w:t xml:space="preserve">provision for and in relation to </w:t>
      </w:r>
      <w:r w:rsidR="001F14D3" w:rsidRPr="00680EB2">
        <w:t xml:space="preserve">matters relating to </w:t>
      </w:r>
      <w:r w:rsidRPr="00680EB2">
        <w:t>the suspension</w:t>
      </w:r>
      <w:r w:rsidR="001F14D3" w:rsidRPr="00680EB2">
        <w:t xml:space="preserve"> and cancellation</w:t>
      </w:r>
      <w:r w:rsidRPr="00680EB2">
        <w:t xml:space="preserve"> of the registration of a person as an auditor</w:t>
      </w:r>
      <w:r w:rsidR="0006637B" w:rsidRPr="00680EB2">
        <w:t>.</w:t>
      </w:r>
    </w:p>
    <w:p w:rsidR="009354D0" w:rsidRPr="00680EB2" w:rsidRDefault="00CE4F81" w:rsidP="009354D0">
      <w:pPr>
        <w:pStyle w:val="subsection"/>
      </w:pPr>
      <w:r w:rsidRPr="00680EB2">
        <w:tab/>
        <w:t>(2)</w:t>
      </w:r>
      <w:r w:rsidRPr="00680EB2">
        <w:tab/>
        <w:t>The Commissioner may suspend for a specified period the registration of a person as an auditor if</w:t>
      </w:r>
      <w:r w:rsidR="00A54A09" w:rsidRPr="00680EB2">
        <w:t xml:space="preserve"> the Commissioner becomes aware that</w:t>
      </w:r>
      <w:r w:rsidRPr="00680EB2">
        <w:t>:</w:t>
      </w:r>
    </w:p>
    <w:p w:rsidR="00E21A06" w:rsidRPr="00680EB2" w:rsidRDefault="00E21A06" w:rsidP="00E21A06">
      <w:pPr>
        <w:pStyle w:val="paragraph"/>
      </w:pPr>
      <w:r w:rsidRPr="00680EB2">
        <w:tab/>
        <w:t>(a)</w:t>
      </w:r>
      <w:r w:rsidRPr="00680EB2">
        <w:tab/>
        <w:t>an investigation</w:t>
      </w:r>
      <w:r w:rsidR="00D834D1" w:rsidRPr="00680EB2">
        <w:t xml:space="preserve"> has begun</w:t>
      </w:r>
      <w:r w:rsidRPr="00680EB2">
        <w:t xml:space="preserve"> </w:t>
      </w:r>
      <w:r w:rsidR="00D834D1" w:rsidRPr="00680EB2">
        <w:t>into</w:t>
      </w:r>
      <w:r w:rsidRPr="00680EB2">
        <w:t xml:space="preserve"> whether the person has committ</w:t>
      </w:r>
      <w:r w:rsidR="00A54A09" w:rsidRPr="00680EB2">
        <w:t>ed a designated offence or contravened a designated civil penalty provision; or</w:t>
      </w:r>
    </w:p>
    <w:p w:rsidR="00D834D1" w:rsidRPr="00680EB2" w:rsidRDefault="00D834D1" w:rsidP="00E21A06">
      <w:pPr>
        <w:pStyle w:val="paragraph"/>
      </w:pPr>
      <w:r w:rsidRPr="00680EB2">
        <w:tab/>
        <w:t>(b)</w:t>
      </w:r>
      <w:r w:rsidRPr="00680EB2">
        <w:tab/>
        <w:t>the person has been charged with a designated offence, or an application has been made for an order in respect of a contravention by the person of a designated civil penalty provision, and the matter has not been finally dealt with</w:t>
      </w:r>
      <w:r w:rsidR="0006637B" w:rsidRPr="00680EB2">
        <w:t>.</w:t>
      </w:r>
    </w:p>
    <w:p w:rsidR="00642F0A" w:rsidRPr="00680EB2" w:rsidRDefault="00642F0A" w:rsidP="00642F0A">
      <w:pPr>
        <w:pStyle w:val="notetext"/>
      </w:pPr>
      <w:r w:rsidRPr="00680EB2">
        <w:t>Note:</w:t>
      </w:r>
      <w:r w:rsidRPr="00680EB2">
        <w:tab/>
      </w:r>
      <w:r w:rsidR="00C25D6E" w:rsidRPr="00680EB2">
        <w:t xml:space="preserve">Before making the decision, the Commissioner must give the person an opportunity to be heard (see </w:t>
      </w:r>
      <w:proofErr w:type="spellStart"/>
      <w:r w:rsidR="00C25D6E" w:rsidRPr="00680EB2">
        <w:t>subregulation</w:t>
      </w:r>
      <w:proofErr w:type="spellEnd"/>
      <w:r w:rsidR="00680EB2" w:rsidRPr="00680EB2">
        <w:t> </w:t>
      </w:r>
      <w:r w:rsidR="00C25D6E" w:rsidRPr="00680EB2">
        <w:t>(5))</w:t>
      </w:r>
      <w:r w:rsidR="0006637B" w:rsidRPr="00680EB2">
        <w:t>.</w:t>
      </w:r>
      <w:r w:rsidR="00C25D6E" w:rsidRPr="00680EB2">
        <w:t xml:space="preserve"> After making the decision, t</w:t>
      </w:r>
      <w:r w:rsidRPr="00680EB2">
        <w:t xml:space="preserve">he Commissioner must give notice </w:t>
      </w:r>
      <w:r w:rsidR="00717EE5" w:rsidRPr="00680EB2">
        <w:t>i</w:t>
      </w:r>
      <w:r w:rsidRPr="00680EB2">
        <w:t>n accordance with section</w:t>
      </w:r>
      <w:r w:rsidR="00680EB2" w:rsidRPr="00680EB2">
        <w:t> </w:t>
      </w:r>
      <w:r w:rsidRPr="00680EB2">
        <w:t>255J of the Act</w:t>
      </w:r>
      <w:r w:rsidR="0006637B" w:rsidRPr="00680EB2">
        <w:t>.</w:t>
      </w:r>
    </w:p>
    <w:p w:rsidR="00D8002E" w:rsidRPr="00680EB2" w:rsidRDefault="00D8002E" w:rsidP="00D8002E">
      <w:pPr>
        <w:pStyle w:val="subsection"/>
      </w:pPr>
      <w:r w:rsidRPr="00680EB2">
        <w:tab/>
        <w:t>(3)</w:t>
      </w:r>
      <w:r w:rsidRPr="00680EB2">
        <w:tab/>
        <w:t>The Commissioner may</w:t>
      </w:r>
      <w:r w:rsidR="00513DF7" w:rsidRPr="00680EB2">
        <w:t xml:space="preserve"> cancel, or</w:t>
      </w:r>
      <w:r w:rsidRPr="00680EB2">
        <w:t xml:space="preserve"> suspend for a specified period</w:t>
      </w:r>
      <w:r w:rsidR="00513DF7" w:rsidRPr="00680EB2">
        <w:t>,</w:t>
      </w:r>
      <w:r w:rsidRPr="00680EB2">
        <w:t xml:space="preserve"> the registration of a person as an auditor if the person has ceased to be</w:t>
      </w:r>
      <w:r w:rsidR="00A21C46" w:rsidRPr="00680EB2">
        <w:t xml:space="preserve"> </w:t>
      </w:r>
      <w:r w:rsidRPr="00680EB2">
        <w:t xml:space="preserve">resident </w:t>
      </w:r>
      <w:r w:rsidR="00A21C46" w:rsidRPr="00680EB2">
        <w:t>in</w:t>
      </w:r>
      <w:r w:rsidRPr="00680EB2">
        <w:t xml:space="preserve"> Australia</w:t>
      </w:r>
      <w:r w:rsidR="0006637B" w:rsidRPr="00680EB2">
        <w:t>.</w:t>
      </w:r>
    </w:p>
    <w:p w:rsidR="00C25D6E" w:rsidRPr="00680EB2" w:rsidRDefault="00C25D6E" w:rsidP="00C25D6E">
      <w:pPr>
        <w:pStyle w:val="notetext"/>
      </w:pPr>
      <w:r w:rsidRPr="00680EB2">
        <w:t>Note:</w:t>
      </w:r>
      <w:r w:rsidRPr="00680EB2">
        <w:tab/>
        <w:t xml:space="preserve">Before making the decision, the Commissioner must give the person an opportunity to be heard (see </w:t>
      </w:r>
      <w:proofErr w:type="spellStart"/>
      <w:r w:rsidRPr="00680EB2">
        <w:t>subregulation</w:t>
      </w:r>
      <w:proofErr w:type="spellEnd"/>
      <w:r w:rsidR="00680EB2" w:rsidRPr="00680EB2">
        <w:t> </w:t>
      </w:r>
      <w:r w:rsidRPr="00680EB2">
        <w:t>(5))</w:t>
      </w:r>
      <w:r w:rsidR="0006637B" w:rsidRPr="00680EB2">
        <w:t>.</w:t>
      </w:r>
      <w:r w:rsidRPr="00680EB2">
        <w:t xml:space="preserve"> After making the decision, the Commissioner must give notice </w:t>
      </w:r>
      <w:r w:rsidR="00717EE5" w:rsidRPr="00680EB2">
        <w:t>i</w:t>
      </w:r>
      <w:r w:rsidRPr="00680EB2">
        <w:t>n accordance with section</w:t>
      </w:r>
      <w:r w:rsidR="00680EB2" w:rsidRPr="00680EB2">
        <w:t> </w:t>
      </w:r>
      <w:r w:rsidRPr="00680EB2">
        <w:t>255J of the Act</w:t>
      </w:r>
      <w:r w:rsidR="0006637B" w:rsidRPr="00680EB2">
        <w:t>.</w:t>
      </w:r>
    </w:p>
    <w:p w:rsidR="003952AF" w:rsidRPr="00680EB2" w:rsidRDefault="003952AF" w:rsidP="003952AF">
      <w:pPr>
        <w:pStyle w:val="subsection"/>
      </w:pPr>
      <w:r w:rsidRPr="00680EB2">
        <w:tab/>
      </w:r>
      <w:r w:rsidR="0085371A" w:rsidRPr="00680EB2">
        <w:t>(4)</w:t>
      </w:r>
      <w:r w:rsidRPr="00680EB2">
        <w:tab/>
        <w:t xml:space="preserve">The Commissioner may, in writing, request further information from any person for the purposes of making a decision under </w:t>
      </w:r>
      <w:proofErr w:type="spellStart"/>
      <w:r w:rsidRPr="00680EB2">
        <w:t>subregulation</w:t>
      </w:r>
      <w:proofErr w:type="spellEnd"/>
      <w:r w:rsidR="00680EB2" w:rsidRPr="00680EB2">
        <w:t> </w:t>
      </w:r>
      <w:r w:rsidRPr="00680EB2">
        <w:t>(2) or (3)</w:t>
      </w:r>
      <w:r w:rsidR="0006637B" w:rsidRPr="00680EB2">
        <w:t>.</w:t>
      </w:r>
    </w:p>
    <w:p w:rsidR="0085371A" w:rsidRPr="00680EB2" w:rsidRDefault="0085371A" w:rsidP="009010FA">
      <w:pPr>
        <w:pStyle w:val="subsection"/>
      </w:pPr>
      <w:r w:rsidRPr="00680EB2">
        <w:tab/>
        <w:t>(5)</w:t>
      </w:r>
      <w:r w:rsidRPr="00680EB2">
        <w:tab/>
        <w:t xml:space="preserve">Before making a decision about a person under </w:t>
      </w:r>
      <w:proofErr w:type="spellStart"/>
      <w:r w:rsidRPr="00680EB2">
        <w:t>subregulation</w:t>
      </w:r>
      <w:proofErr w:type="spellEnd"/>
      <w:r w:rsidR="00680EB2" w:rsidRPr="00680EB2">
        <w:t> </w:t>
      </w:r>
      <w:r w:rsidRPr="00680EB2">
        <w:t xml:space="preserve">(2) or (3), the Commissioner must give the person an </w:t>
      </w:r>
      <w:r w:rsidR="006A7FEB" w:rsidRPr="00680EB2">
        <w:t>opportunity</w:t>
      </w:r>
      <w:r w:rsidRPr="00680EB2">
        <w:t xml:space="preserve"> to</w:t>
      </w:r>
      <w:r w:rsidR="009010FA" w:rsidRPr="00680EB2">
        <w:t xml:space="preserve"> </w:t>
      </w:r>
      <w:r w:rsidRPr="00680EB2">
        <w:t>appear at a hearing before the Commissioner</w:t>
      </w:r>
      <w:r w:rsidR="009010FA" w:rsidRPr="00680EB2">
        <w:t xml:space="preserve"> and to </w:t>
      </w:r>
      <w:r w:rsidRPr="00680EB2">
        <w:t>make submissions and give evidence to the Commissioner in relation to the matter</w:t>
      </w:r>
      <w:r w:rsidR="0006637B" w:rsidRPr="00680EB2">
        <w:t>.</w:t>
      </w:r>
    </w:p>
    <w:p w:rsidR="003B135E" w:rsidRPr="00680EB2" w:rsidRDefault="003B135E" w:rsidP="003B135E">
      <w:pPr>
        <w:pStyle w:val="ActHead5"/>
      </w:pPr>
      <w:bookmarkStart w:id="28" w:name="_Toc473101259"/>
      <w:r w:rsidRPr="00680EB2">
        <w:rPr>
          <w:rStyle w:val="CharSectno"/>
        </w:rPr>
        <w:t>159D</w:t>
      </w:r>
      <w:r w:rsidRPr="00680EB2">
        <w:t xml:space="preserve">  Register of auditors</w:t>
      </w:r>
      <w:bookmarkEnd w:id="28"/>
    </w:p>
    <w:p w:rsidR="003B135E" w:rsidRPr="00680EB2" w:rsidRDefault="003C23A5" w:rsidP="003B135E">
      <w:pPr>
        <w:pStyle w:val="subsection"/>
      </w:pPr>
      <w:r w:rsidRPr="00680EB2">
        <w:tab/>
        <w:t>(1)</w:t>
      </w:r>
      <w:r w:rsidRPr="00680EB2">
        <w:tab/>
      </w:r>
      <w:r w:rsidR="001B25E0" w:rsidRPr="00680EB2">
        <w:t xml:space="preserve">In accordance with </w:t>
      </w:r>
      <w:r w:rsidR="003B135E" w:rsidRPr="00680EB2">
        <w:t>paragraph</w:t>
      </w:r>
      <w:r w:rsidR="00680EB2" w:rsidRPr="00680EB2">
        <w:t> </w:t>
      </w:r>
      <w:r w:rsidR="003B135E" w:rsidRPr="00680EB2">
        <w:t>255N(2)(b) of the Act</w:t>
      </w:r>
      <w:r w:rsidR="001B25E0" w:rsidRPr="00680EB2">
        <w:t>, this regulation makes provision for and in relation to the keeping of a register of auditors</w:t>
      </w:r>
      <w:r w:rsidR="0006637B" w:rsidRPr="00680EB2">
        <w:t>.</w:t>
      </w:r>
    </w:p>
    <w:p w:rsidR="003B135E" w:rsidRPr="00680EB2" w:rsidRDefault="003C23A5" w:rsidP="003B135E">
      <w:pPr>
        <w:pStyle w:val="subsection"/>
      </w:pPr>
      <w:r w:rsidRPr="00680EB2">
        <w:tab/>
        <w:t>(2)</w:t>
      </w:r>
      <w:r w:rsidRPr="00680EB2">
        <w:tab/>
      </w:r>
      <w:r w:rsidR="003B135E" w:rsidRPr="00680EB2">
        <w:t>The Commissioner must</w:t>
      </w:r>
      <w:r w:rsidR="007F0BDA" w:rsidRPr="00680EB2">
        <w:t xml:space="preserve"> establish and</w:t>
      </w:r>
      <w:r w:rsidR="003B135E" w:rsidRPr="00680EB2">
        <w:t xml:space="preserve"> keep a register </w:t>
      </w:r>
      <w:r w:rsidR="007F0BDA" w:rsidRPr="00680EB2">
        <w:t>of auditors</w:t>
      </w:r>
      <w:r w:rsidR="0006637B" w:rsidRPr="00680EB2">
        <w:t>.</w:t>
      </w:r>
    </w:p>
    <w:p w:rsidR="003B135E" w:rsidRPr="00680EB2" w:rsidRDefault="003C23A5" w:rsidP="003B135E">
      <w:pPr>
        <w:pStyle w:val="subsection"/>
      </w:pPr>
      <w:r w:rsidRPr="00680EB2">
        <w:tab/>
        <w:t>(3)</w:t>
      </w:r>
      <w:r w:rsidRPr="00680EB2">
        <w:tab/>
      </w:r>
      <w:r w:rsidR="007F0BDA" w:rsidRPr="00680EB2">
        <w:t>The register must include the following details in relation to each person the Commissioner registers as an auditor:</w:t>
      </w:r>
    </w:p>
    <w:p w:rsidR="007F0BDA" w:rsidRPr="00680EB2" w:rsidRDefault="00AE287E" w:rsidP="007F0BDA">
      <w:pPr>
        <w:pStyle w:val="paragraph"/>
      </w:pPr>
      <w:r w:rsidRPr="00680EB2">
        <w:tab/>
        <w:t>(a)</w:t>
      </w:r>
      <w:r w:rsidRPr="00680EB2">
        <w:tab/>
      </w:r>
      <w:r w:rsidR="007F0BDA" w:rsidRPr="00680EB2">
        <w:t>the person</w:t>
      </w:r>
      <w:r w:rsidR="00E75B4E" w:rsidRPr="00680EB2">
        <w:t>’</w:t>
      </w:r>
      <w:r w:rsidR="007F0BDA" w:rsidRPr="00680EB2">
        <w:t>s name;</w:t>
      </w:r>
    </w:p>
    <w:p w:rsidR="002908F8" w:rsidRPr="00680EB2" w:rsidRDefault="00AE287E" w:rsidP="007F0BDA">
      <w:pPr>
        <w:pStyle w:val="paragraph"/>
      </w:pPr>
      <w:r w:rsidRPr="00680EB2">
        <w:tab/>
        <w:t>(b)</w:t>
      </w:r>
      <w:r w:rsidRPr="00680EB2">
        <w:tab/>
      </w:r>
      <w:r w:rsidR="002908F8" w:rsidRPr="00680EB2">
        <w:t>the registration number allocated to the person by the Commissioner;</w:t>
      </w:r>
    </w:p>
    <w:p w:rsidR="007F0BDA" w:rsidRPr="00680EB2" w:rsidRDefault="00AE287E" w:rsidP="007F0BDA">
      <w:pPr>
        <w:pStyle w:val="paragraph"/>
      </w:pPr>
      <w:r w:rsidRPr="00680EB2">
        <w:tab/>
        <w:t>(c)</w:t>
      </w:r>
      <w:r w:rsidRPr="00680EB2">
        <w:tab/>
      </w:r>
      <w:r w:rsidR="007F0BDA" w:rsidRPr="00680EB2">
        <w:t>the day the Commissioner granted the person</w:t>
      </w:r>
      <w:r w:rsidR="00E75B4E" w:rsidRPr="00680EB2">
        <w:t>’</w:t>
      </w:r>
      <w:r w:rsidR="007F0BDA" w:rsidRPr="00680EB2">
        <w:t>s application for registration as an auditor;</w:t>
      </w:r>
    </w:p>
    <w:p w:rsidR="007F0BDA" w:rsidRPr="00680EB2" w:rsidRDefault="00AE287E" w:rsidP="007F0BDA">
      <w:pPr>
        <w:pStyle w:val="paragraph"/>
      </w:pPr>
      <w:r w:rsidRPr="00680EB2">
        <w:tab/>
        <w:t>(d)</w:t>
      </w:r>
      <w:r w:rsidRPr="00680EB2">
        <w:tab/>
      </w:r>
      <w:r w:rsidR="007F0BDA" w:rsidRPr="00680EB2">
        <w:t xml:space="preserve">the </w:t>
      </w:r>
      <w:r w:rsidRPr="00680EB2">
        <w:t xml:space="preserve">following elements of the </w:t>
      </w:r>
      <w:r w:rsidR="007F0BDA" w:rsidRPr="00680EB2">
        <w:t>address of the principal place where the per</w:t>
      </w:r>
      <w:r w:rsidRPr="00680EB2">
        <w:t>son practises as an auditor:</w:t>
      </w:r>
    </w:p>
    <w:p w:rsidR="00AE287E" w:rsidRPr="00680EB2" w:rsidRDefault="00AE287E" w:rsidP="00AE287E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city or town;</w:t>
      </w:r>
    </w:p>
    <w:p w:rsidR="00AE287E" w:rsidRPr="00680EB2" w:rsidRDefault="00AE287E" w:rsidP="00AE287E">
      <w:pPr>
        <w:pStyle w:val="paragraphsub"/>
      </w:pPr>
      <w:r w:rsidRPr="00680EB2">
        <w:tab/>
        <w:t>(ii)</w:t>
      </w:r>
      <w:r w:rsidRPr="00680EB2">
        <w:tab/>
        <w:t>State or Territory;</w:t>
      </w:r>
    </w:p>
    <w:p w:rsidR="00AE287E" w:rsidRPr="00680EB2" w:rsidRDefault="00AE287E" w:rsidP="00AE287E">
      <w:pPr>
        <w:pStyle w:val="paragraphsub"/>
      </w:pPr>
      <w:r w:rsidRPr="00680EB2">
        <w:tab/>
        <w:t>(iii)</w:t>
      </w:r>
      <w:r w:rsidRPr="00680EB2">
        <w:tab/>
        <w:t>postcode;</w:t>
      </w:r>
    </w:p>
    <w:p w:rsidR="00AE287E" w:rsidRPr="00680EB2" w:rsidRDefault="00AE287E" w:rsidP="00AE287E">
      <w:pPr>
        <w:pStyle w:val="paragraphsub"/>
      </w:pPr>
      <w:r w:rsidRPr="00680EB2">
        <w:tab/>
        <w:t>(iv)</w:t>
      </w:r>
      <w:r w:rsidRPr="00680EB2">
        <w:tab/>
        <w:t>country;</w:t>
      </w:r>
    </w:p>
    <w:p w:rsidR="007F0BDA" w:rsidRPr="00680EB2" w:rsidRDefault="00AE287E" w:rsidP="007F0BDA">
      <w:pPr>
        <w:pStyle w:val="paragraph"/>
      </w:pPr>
      <w:r w:rsidRPr="00680EB2">
        <w:tab/>
        <w:t>(e)</w:t>
      </w:r>
      <w:r w:rsidRPr="00680EB2">
        <w:tab/>
      </w:r>
      <w:r w:rsidR="007F0BDA" w:rsidRPr="00680EB2">
        <w:t>if the person practises as an auditor under the name of a company or firm or under any other name or style other than the person</w:t>
      </w:r>
      <w:r w:rsidR="00E75B4E" w:rsidRPr="00680EB2">
        <w:t>’</w:t>
      </w:r>
      <w:r w:rsidR="007F0BDA" w:rsidRPr="00680EB2">
        <w:t xml:space="preserve">s own name—the name of the company </w:t>
      </w:r>
      <w:r w:rsidRPr="00680EB2">
        <w:t xml:space="preserve">and its </w:t>
      </w:r>
      <w:proofErr w:type="spellStart"/>
      <w:r w:rsidRPr="00680EB2">
        <w:t>ACN</w:t>
      </w:r>
      <w:proofErr w:type="spellEnd"/>
      <w:r w:rsidRPr="00680EB2">
        <w:t xml:space="preserve">, or the name of the </w:t>
      </w:r>
      <w:r w:rsidR="007F0BDA" w:rsidRPr="00680EB2">
        <w:t>firm, or the other name or style;</w:t>
      </w:r>
    </w:p>
    <w:p w:rsidR="007F0BDA" w:rsidRPr="00680EB2" w:rsidRDefault="00AE287E" w:rsidP="007F0BDA">
      <w:pPr>
        <w:pStyle w:val="paragraph"/>
      </w:pPr>
      <w:r w:rsidRPr="00680EB2">
        <w:tab/>
        <w:t>(f)</w:t>
      </w:r>
      <w:r w:rsidRPr="00680EB2">
        <w:tab/>
      </w:r>
      <w:r w:rsidR="00FF1B07" w:rsidRPr="00680EB2">
        <w:t>if the person</w:t>
      </w:r>
      <w:r w:rsidR="00E75B4E" w:rsidRPr="00680EB2">
        <w:t>’</w:t>
      </w:r>
      <w:r w:rsidR="00FF1B07" w:rsidRPr="00680EB2">
        <w:t>s registration</w:t>
      </w:r>
      <w:r w:rsidR="001B25E0" w:rsidRPr="00680EB2">
        <w:t xml:space="preserve"> is suspended</w:t>
      </w:r>
      <w:r w:rsidR="00FF1B07" w:rsidRPr="00680EB2">
        <w:t>—</w:t>
      </w:r>
      <w:r w:rsidR="00527338" w:rsidRPr="00680EB2">
        <w:t>the date</w:t>
      </w:r>
      <w:r w:rsidR="001B25E0" w:rsidRPr="00680EB2">
        <w:t xml:space="preserve"> the suspension took effect and the date it will end</w:t>
      </w:r>
      <w:r w:rsidR="00FF1B07" w:rsidRPr="00680EB2">
        <w:t>;</w:t>
      </w:r>
    </w:p>
    <w:p w:rsidR="00FF1B07" w:rsidRPr="00680EB2" w:rsidRDefault="00AE287E" w:rsidP="007F0BDA">
      <w:pPr>
        <w:pStyle w:val="paragraph"/>
      </w:pPr>
      <w:r w:rsidRPr="00680EB2">
        <w:tab/>
        <w:t>(g)</w:t>
      </w:r>
      <w:r w:rsidRPr="00680EB2">
        <w:tab/>
      </w:r>
      <w:r w:rsidR="00651978" w:rsidRPr="00680EB2">
        <w:t>any other details the Commissioner considers appropriate in relation to registered auditor</w:t>
      </w:r>
      <w:r w:rsidR="009010FA" w:rsidRPr="00680EB2">
        <w:t>s</w:t>
      </w:r>
      <w:r w:rsidR="0006637B" w:rsidRPr="00680EB2">
        <w:t>.</w:t>
      </w:r>
    </w:p>
    <w:p w:rsidR="00651978" w:rsidRPr="00680EB2" w:rsidRDefault="003C23A5" w:rsidP="00651978">
      <w:pPr>
        <w:pStyle w:val="subsection"/>
      </w:pPr>
      <w:r w:rsidRPr="00680EB2">
        <w:tab/>
        <w:t>(4)</w:t>
      </w:r>
      <w:r w:rsidRPr="00680EB2">
        <w:tab/>
      </w:r>
      <w:r w:rsidR="00651978" w:rsidRPr="00680EB2">
        <w:t>If a person</w:t>
      </w:r>
      <w:r w:rsidR="00E75B4E" w:rsidRPr="00680EB2">
        <w:t>’</w:t>
      </w:r>
      <w:r w:rsidR="00651978" w:rsidRPr="00680EB2">
        <w:t>s registration as an auditor is cancelled, the Commissioner must remove the details about the person from the register</w:t>
      </w:r>
      <w:r w:rsidR="0006637B" w:rsidRPr="00680EB2">
        <w:t>.</w:t>
      </w:r>
    </w:p>
    <w:p w:rsidR="00DE6C8E" w:rsidRPr="00680EB2" w:rsidRDefault="003C23A5" w:rsidP="00651978">
      <w:pPr>
        <w:pStyle w:val="subsection"/>
      </w:pPr>
      <w:r w:rsidRPr="00680EB2">
        <w:tab/>
        <w:t>(5)</w:t>
      </w:r>
      <w:r w:rsidRPr="00680EB2">
        <w:tab/>
      </w:r>
      <w:r w:rsidR="00227D96" w:rsidRPr="00680EB2">
        <w:t>The Commissioner</w:t>
      </w:r>
      <w:r w:rsidR="00DE6C8E" w:rsidRPr="00680EB2">
        <w:t>:</w:t>
      </w:r>
    </w:p>
    <w:p w:rsidR="00DE6C8E" w:rsidRPr="00680EB2" w:rsidRDefault="00DE6C8E" w:rsidP="00DE6C8E">
      <w:pPr>
        <w:pStyle w:val="paragraph"/>
      </w:pPr>
      <w:r w:rsidRPr="00680EB2">
        <w:tab/>
        <w:t>(a)</w:t>
      </w:r>
      <w:r w:rsidRPr="00680EB2">
        <w:tab/>
      </w:r>
      <w:r w:rsidR="00227D96" w:rsidRPr="00680EB2">
        <w:t xml:space="preserve">must </w:t>
      </w:r>
      <w:r w:rsidR="00C54481" w:rsidRPr="00680EB2">
        <w:t xml:space="preserve">publish </w:t>
      </w:r>
      <w:r w:rsidRPr="00680EB2">
        <w:t>the register on</w:t>
      </w:r>
      <w:r w:rsidR="00C54481" w:rsidRPr="00680EB2">
        <w:t xml:space="preserve"> the Commissioner</w:t>
      </w:r>
      <w:r w:rsidR="00E75B4E" w:rsidRPr="00680EB2">
        <w:t>’</w:t>
      </w:r>
      <w:r w:rsidR="00C54481" w:rsidRPr="00680EB2">
        <w:t>s website</w:t>
      </w:r>
      <w:r w:rsidRPr="00680EB2">
        <w:t>; and</w:t>
      </w:r>
    </w:p>
    <w:p w:rsidR="00980C28" w:rsidRPr="00680EB2" w:rsidRDefault="00DE6C8E" w:rsidP="00980C28">
      <w:pPr>
        <w:pStyle w:val="paragraph"/>
      </w:pPr>
      <w:r w:rsidRPr="00680EB2">
        <w:tab/>
        <w:t>(b)</w:t>
      </w:r>
      <w:r w:rsidRPr="00680EB2">
        <w:tab/>
      </w:r>
      <w:r w:rsidR="00227D96" w:rsidRPr="00680EB2">
        <w:t xml:space="preserve">may </w:t>
      </w:r>
      <w:r w:rsidRPr="00680EB2">
        <w:t>publish the register, or otherwise make it publicly available, in any other way the Commissioner considers appropriate</w:t>
      </w:r>
      <w:r w:rsidR="0006637B" w:rsidRPr="00680EB2">
        <w:t>.</w:t>
      </w:r>
    </w:p>
    <w:p w:rsidR="00195292" w:rsidRPr="00680EB2" w:rsidRDefault="00027406" w:rsidP="00195292">
      <w:pPr>
        <w:pStyle w:val="ItemHead"/>
      </w:pPr>
      <w:r w:rsidRPr="00680EB2">
        <w:t>4</w:t>
      </w:r>
      <w:r w:rsidR="00195292" w:rsidRPr="00680EB2">
        <w:t xml:space="preserve">  After Part</w:t>
      </w:r>
      <w:r w:rsidR="00680EB2" w:rsidRPr="00680EB2">
        <w:t> </w:t>
      </w:r>
      <w:r w:rsidR="00195292" w:rsidRPr="00680EB2">
        <w:t>8</w:t>
      </w:r>
    </w:p>
    <w:p w:rsidR="00195292" w:rsidRPr="00680EB2" w:rsidRDefault="00195292" w:rsidP="00195292">
      <w:pPr>
        <w:pStyle w:val="Item"/>
      </w:pPr>
      <w:r w:rsidRPr="00680EB2">
        <w:t>Insert:</w:t>
      </w:r>
    </w:p>
    <w:p w:rsidR="00195292" w:rsidRPr="00680EB2" w:rsidRDefault="00195292" w:rsidP="00195292">
      <w:pPr>
        <w:pStyle w:val="ActHead2"/>
      </w:pPr>
      <w:bookmarkStart w:id="29" w:name="_Toc473101260"/>
      <w:r w:rsidRPr="00680EB2">
        <w:rPr>
          <w:rStyle w:val="CharPartNo"/>
        </w:rPr>
        <w:t>Part</w:t>
      </w:r>
      <w:r w:rsidR="00680EB2" w:rsidRPr="00680EB2">
        <w:rPr>
          <w:rStyle w:val="CharPartNo"/>
        </w:rPr>
        <w:t> </w:t>
      </w:r>
      <w:r w:rsidRPr="00680EB2">
        <w:rPr>
          <w:rStyle w:val="CharPartNo"/>
        </w:rPr>
        <w:t>8A</w:t>
      </w:r>
      <w:r w:rsidRPr="00680EB2">
        <w:t>—</w:t>
      </w:r>
      <w:r w:rsidRPr="00680EB2">
        <w:rPr>
          <w:rStyle w:val="CharPartText"/>
        </w:rPr>
        <w:t>Conduct of officers and employees (</w:t>
      </w:r>
      <w:proofErr w:type="spellStart"/>
      <w:r w:rsidRPr="00680EB2">
        <w:rPr>
          <w:rStyle w:val="CharPartText"/>
        </w:rPr>
        <w:t>Ch</w:t>
      </w:r>
      <w:proofErr w:type="spellEnd"/>
      <w:r w:rsidRPr="00680EB2">
        <w:rPr>
          <w:rStyle w:val="CharPartText"/>
        </w:rPr>
        <w:t xml:space="preserve"> 9)</w:t>
      </w:r>
      <w:bookmarkEnd w:id="29"/>
    </w:p>
    <w:p w:rsidR="00195292" w:rsidRPr="00680EB2" w:rsidRDefault="00195292" w:rsidP="00195292">
      <w:pPr>
        <w:pStyle w:val="Header"/>
      </w:pPr>
      <w:r w:rsidRPr="00680EB2">
        <w:rPr>
          <w:rStyle w:val="CharDivNo"/>
        </w:rPr>
        <w:t xml:space="preserve"> </w:t>
      </w:r>
      <w:r w:rsidRPr="00680EB2">
        <w:rPr>
          <w:rStyle w:val="CharDivText"/>
        </w:rPr>
        <w:t xml:space="preserve"> </w:t>
      </w:r>
    </w:p>
    <w:p w:rsidR="00195292" w:rsidRPr="00680EB2" w:rsidRDefault="00195292" w:rsidP="00195292">
      <w:pPr>
        <w:pStyle w:val="ActHead5"/>
      </w:pPr>
      <w:bookmarkStart w:id="30" w:name="_Toc473101261"/>
      <w:r w:rsidRPr="00680EB2">
        <w:rPr>
          <w:rStyle w:val="CharSectno"/>
        </w:rPr>
        <w:t>167A</w:t>
      </w:r>
      <w:r w:rsidRPr="00680EB2">
        <w:t xml:space="preserve">  Payments made to a related party</w:t>
      </w:r>
      <w:bookmarkEnd w:id="30"/>
    </w:p>
    <w:p w:rsidR="00195292" w:rsidRPr="00680EB2" w:rsidRDefault="00195292" w:rsidP="00195292">
      <w:pPr>
        <w:pStyle w:val="subsection"/>
      </w:pPr>
      <w:r w:rsidRPr="00680EB2">
        <w:tab/>
      </w:r>
      <w:r w:rsidRPr="00680EB2">
        <w:tab/>
        <w:t>For the purposes of subsection</w:t>
      </w:r>
      <w:r w:rsidR="00680EB2" w:rsidRPr="00680EB2">
        <w:t> </w:t>
      </w:r>
      <w:r w:rsidRPr="00680EB2">
        <w:t>293G(5B) of the Act, $5,000 is prescribed</w:t>
      </w:r>
      <w:r w:rsidR="0006637B" w:rsidRPr="00680EB2">
        <w:t>.</w:t>
      </w:r>
    </w:p>
    <w:p w:rsidR="00195292" w:rsidRPr="00680EB2" w:rsidRDefault="00195292" w:rsidP="00195292">
      <w:pPr>
        <w:pStyle w:val="ActHead5"/>
      </w:pPr>
      <w:bookmarkStart w:id="31" w:name="_Toc473101262"/>
      <w:r w:rsidRPr="00680EB2">
        <w:rPr>
          <w:rStyle w:val="CharSectno"/>
        </w:rPr>
        <w:t>167B</w:t>
      </w:r>
      <w:r w:rsidRPr="00680EB2">
        <w:t xml:space="preserve">  Revocation of order for alternative disclosure arrangement</w:t>
      </w:r>
      <w:bookmarkEnd w:id="31"/>
    </w:p>
    <w:p w:rsidR="00195292" w:rsidRPr="00680EB2" w:rsidRDefault="00195292" w:rsidP="00195292">
      <w:pPr>
        <w:pStyle w:val="subsection"/>
      </w:pPr>
      <w:r w:rsidRPr="00680EB2">
        <w:tab/>
      </w:r>
      <w:r w:rsidRPr="00680EB2">
        <w:tab/>
        <w:t>For the purposes of paragraph</w:t>
      </w:r>
      <w:r w:rsidR="00680EB2" w:rsidRPr="00680EB2">
        <w:t> </w:t>
      </w:r>
      <w:r w:rsidRPr="00680EB2">
        <w:t>293H(6)(b) of the Act, the Commissioner must, to give an organisation an opportunity to show cause why an order made under subsection</w:t>
      </w:r>
      <w:r w:rsidR="00680EB2" w:rsidRPr="00680EB2">
        <w:t> </w:t>
      </w:r>
      <w:r w:rsidRPr="00680EB2">
        <w:t>293H(3) of the Act should not be revoked:</w:t>
      </w:r>
    </w:p>
    <w:p w:rsidR="00195292" w:rsidRPr="00680EB2" w:rsidRDefault="00195292" w:rsidP="008A6B94">
      <w:pPr>
        <w:pStyle w:val="paragraph"/>
      </w:pPr>
      <w:r w:rsidRPr="00680EB2">
        <w:tab/>
        <w:t>(a)</w:t>
      </w:r>
      <w:r w:rsidRPr="00680EB2">
        <w:tab/>
        <w:t xml:space="preserve">fix a time and place at which </w:t>
      </w:r>
      <w:r w:rsidR="008A6B94" w:rsidRPr="00680EB2">
        <w:t>the organisation</w:t>
      </w:r>
      <w:r w:rsidRPr="00680EB2">
        <w:t xml:space="preserve"> may appear before the Commissioner to make an oral submission to show cause why the order should not be revoked; and</w:t>
      </w:r>
    </w:p>
    <w:p w:rsidR="00195292" w:rsidRPr="00680EB2" w:rsidRDefault="00195292" w:rsidP="00195292">
      <w:pPr>
        <w:pStyle w:val="paragraph"/>
      </w:pPr>
      <w:r w:rsidRPr="00680EB2">
        <w:tab/>
        <w:t>(b)</w:t>
      </w:r>
      <w:r w:rsidRPr="00680EB2">
        <w:tab/>
        <w:t>give the organisation, not less than 7 days before the time so fixed, a written notice:</w:t>
      </w:r>
    </w:p>
    <w:p w:rsidR="00195292" w:rsidRPr="00680EB2" w:rsidRDefault="00195292" w:rsidP="00195292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 xml:space="preserve">containing particulars of the time and place fixed under </w:t>
      </w:r>
      <w:r w:rsidR="00680EB2" w:rsidRPr="00680EB2">
        <w:t>paragraph (</w:t>
      </w:r>
      <w:r w:rsidRPr="00680EB2">
        <w:t>a); and</w:t>
      </w:r>
    </w:p>
    <w:p w:rsidR="00195292" w:rsidRPr="00680EB2" w:rsidRDefault="00195292" w:rsidP="00195292">
      <w:pPr>
        <w:pStyle w:val="paragraphsub"/>
      </w:pPr>
      <w:r w:rsidRPr="00680EB2">
        <w:tab/>
        <w:t>(ii)</w:t>
      </w:r>
      <w:r w:rsidRPr="00680EB2">
        <w:tab/>
        <w:t>stating the reasons for the proposed revocation; and</w:t>
      </w:r>
    </w:p>
    <w:p w:rsidR="00195292" w:rsidRPr="00680EB2" w:rsidRDefault="00195292" w:rsidP="00195292">
      <w:pPr>
        <w:pStyle w:val="paragraphsub"/>
      </w:pPr>
      <w:r w:rsidRPr="00680EB2">
        <w:tab/>
        <w:t>(iii)</w:t>
      </w:r>
      <w:r w:rsidRPr="00680EB2">
        <w:tab/>
        <w:t>notifying the organisation of its entitlement to an opportunity to show cause why the order should not be revoked</w:t>
      </w:r>
      <w:r w:rsidR="0006637B" w:rsidRPr="00680EB2">
        <w:t>.</w:t>
      </w:r>
    </w:p>
    <w:p w:rsidR="00195292" w:rsidRPr="00680EB2" w:rsidRDefault="00027406" w:rsidP="00195292">
      <w:pPr>
        <w:pStyle w:val="ItemHead"/>
      </w:pPr>
      <w:r w:rsidRPr="00680EB2">
        <w:t>5</w:t>
      </w:r>
      <w:r w:rsidR="00195292" w:rsidRPr="00680EB2">
        <w:t xml:space="preserve">  Before regulation</w:t>
      </w:r>
      <w:r w:rsidR="00680EB2" w:rsidRPr="00680EB2">
        <w:t> </w:t>
      </w:r>
      <w:r w:rsidR="00195292" w:rsidRPr="00680EB2">
        <w:t>177</w:t>
      </w:r>
    </w:p>
    <w:p w:rsidR="00195292" w:rsidRPr="00680EB2" w:rsidRDefault="00195292" w:rsidP="00195292">
      <w:pPr>
        <w:pStyle w:val="Item"/>
      </w:pPr>
      <w:r w:rsidRPr="00680EB2">
        <w:t>Insert:</w:t>
      </w:r>
    </w:p>
    <w:p w:rsidR="00CF73B6" w:rsidRPr="00680EB2" w:rsidRDefault="00CF73B6" w:rsidP="00CF73B6">
      <w:pPr>
        <w:pStyle w:val="ActHead3"/>
      </w:pPr>
      <w:bookmarkStart w:id="32" w:name="_Toc473101263"/>
      <w:r w:rsidRPr="00680EB2">
        <w:rPr>
          <w:rStyle w:val="CharDivNo"/>
        </w:rPr>
        <w:t>Division</w:t>
      </w:r>
      <w:r w:rsidR="00680EB2" w:rsidRPr="00680EB2">
        <w:rPr>
          <w:rStyle w:val="CharDivNo"/>
        </w:rPr>
        <w:t> </w:t>
      </w:r>
      <w:r w:rsidRPr="00680EB2">
        <w:rPr>
          <w:rStyle w:val="CharDivNo"/>
        </w:rPr>
        <w:t>1</w:t>
      </w:r>
      <w:r w:rsidRPr="00680EB2">
        <w:t>—</w:t>
      </w:r>
      <w:r w:rsidRPr="00680EB2">
        <w:rPr>
          <w:rStyle w:val="CharDivText"/>
        </w:rPr>
        <w:t>Expenses incurred in complying with a notice to attend</w:t>
      </w:r>
      <w:bookmarkEnd w:id="32"/>
    </w:p>
    <w:p w:rsidR="00CF73B6" w:rsidRPr="00680EB2" w:rsidRDefault="0006637B" w:rsidP="00CF73B6">
      <w:pPr>
        <w:pStyle w:val="ActHead5"/>
      </w:pPr>
      <w:bookmarkStart w:id="33" w:name="_Toc473101264"/>
      <w:r w:rsidRPr="00680EB2">
        <w:rPr>
          <w:rStyle w:val="CharSectno"/>
        </w:rPr>
        <w:t>176A</w:t>
      </w:r>
      <w:r w:rsidR="00CF73B6" w:rsidRPr="00680EB2">
        <w:t xml:space="preserve">  Application</w:t>
      </w:r>
      <w:bookmarkEnd w:id="33"/>
    </w:p>
    <w:p w:rsidR="00CF73B6" w:rsidRPr="00680EB2" w:rsidRDefault="00CF73B6" w:rsidP="00CF73B6">
      <w:pPr>
        <w:pStyle w:val="subsection"/>
      </w:pPr>
      <w:r w:rsidRPr="00680EB2">
        <w:tab/>
        <w:t>(1)</w:t>
      </w:r>
      <w:r w:rsidRPr="00680EB2">
        <w:tab/>
        <w:t>This Division is made for the purposes of subsection</w:t>
      </w:r>
      <w:r w:rsidR="00680EB2" w:rsidRPr="00680EB2">
        <w:t> </w:t>
      </w:r>
      <w:r w:rsidRPr="00680EB2">
        <w:t>337AP(1) of the Act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(2)</w:t>
      </w:r>
      <w:r w:rsidRPr="00680EB2">
        <w:tab/>
        <w:t xml:space="preserve">This Division sets out the allowances payable to a person (the </w:t>
      </w:r>
      <w:r w:rsidRPr="00680EB2">
        <w:rPr>
          <w:b/>
          <w:i/>
        </w:rPr>
        <w:t>witness</w:t>
      </w:r>
      <w:r w:rsidRPr="00680EB2">
        <w:t>) who is required by a notice given under subsection</w:t>
      </w:r>
      <w:r w:rsidR="00680EB2" w:rsidRPr="00680EB2">
        <w:t> </w:t>
      </w:r>
      <w:r w:rsidRPr="00680EB2">
        <w:t>335(2) of the Act to attend before:</w:t>
      </w:r>
    </w:p>
    <w:p w:rsidR="00CF73B6" w:rsidRPr="00680EB2" w:rsidRDefault="00CF73B6" w:rsidP="00CF73B6">
      <w:pPr>
        <w:pStyle w:val="paragraph"/>
      </w:pPr>
      <w:r w:rsidRPr="00680EB2">
        <w:tab/>
        <w:t>(a)</w:t>
      </w:r>
      <w:r w:rsidRPr="00680EB2">
        <w:tab/>
        <w:t>the Commissioner; or</w:t>
      </w:r>
    </w:p>
    <w:p w:rsidR="00CF73B6" w:rsidRPr="00680EB2" w:rsidRDefault="00CF73B6" w:rsidP="00CF73B6">
      <w:pPr>
        <w:pStyle w:val="paragraph"/>
      </w:pPr>
      <w:r w:rsidRPr="00680EB2">
        <w:tab/>
        <w:t>(b)</w:t>
      </w:r>
      <w:r w:rsidRPr="00680EB2">
        <w:tab/>
        <w:t>a person or body to whom the Commissioner has delegated the conduct of an investigation</w:t>
      </w:r>
      <w:r w:rsidR="0006637B" w:rsidRPr="00680EB2">
        <w:t>.</w:t>
      </w:r>
    </w:p>
    <w:p w:rsidR="00CF73B6" w:rsidRPr="00680EB2" w:rsidRDefault="0006637B" w:rsidP="00CF73B6">
      <w:pPr>
        <w:pStyle w:val="ActHead5"/>
      </w:pPr>
      <w:bookmarkStart w:id="34" w:name="_Toc473101265"/>
      <w:r w:rsidRPr="00680EB2">
        <w:rPr>
          <w:rStyle w:val="CharSectno"/>
        </w:rPr>
        <w:t>176B</w:t>
      </w:r>
      <w:r w:rsidR="00CF73B6" w:rsidRPr="00680EB2">
        <w:t xml:space="preserve">  Definitions</w:t>
      </w:r>
      <w:bookmarkEnd w:id="34"/>
    </w:p>
    <w:p w:rsidR="00CF73B6" w:rsidRPr="00680EB2" w:rsidRDefault="00CF73B6" w:rsidP="00CF73B6">
      <w:pPr>
        <w:pStyle w:val="subsection"/>
      </w:pPr>
      <w:r w:rsidRPr="00680EB2">
        <w:tab/>
      </w:r>
      <w:r w:rsidRPr="00680EB2">
        <w:tab/>
        <w:t>In this Division:</w:t>
      </w:r>
    </w:p>
    <w:p w:rsidR="00CF73B6" w:rsidRPr="00680EB2" w:rsidRDefault="00CF73B6" w:rsidP="00CF73B6">
      <w:pPr>
        <w:pStyle w:val="Definition"/>
      </w:pPr>
      <w:r w:rsidRPr="00680EB2">
        <w:rPr>
          <w:b/>
          <w:i/>
        </w:rPr>
        <w:t>public transport</w:t>
      </w:r>
      <w:r w:rsidRPr="00680EB2">
        <w:t xml:space="preserve"> means any form of passenger transport that is available for use by the public on payment of a fare</w:t>
      </w:r>
      <w:r w:rsidR="0006637B" w:rsidRPr="00680EB2">
        <w:t>.</w:t>
      </w:r>
    </w:p>
    <w:p w:rsidR="00CF73B6" w:rsidRPr="00680EB2" w:rsidRDefault="00CF73B6" w:rsidP="00CF73B6">
      <w:pPr>
        <w:pStyle w:val="Definition"/>
      </w:pPr>
      <w:r w:rsidRPr="00680EB2">
        <w:rPr>
          <w:b/>
          <w:i/>
        </w:rPr>
        <w:t>specified place</w:t>
      </w:r>
      <w:r w:rsidRPr="00680EB2">
        <w:t xml:space="preserve"> means the place specified in the notice given to the witness under subsection</w:t>
      </w:r>
      <w:r w:rsidR="00680EB2" w:rsidRPr="00680EB2">
        <w:t> </w:t>
      </w:r>
      <w:r w:rsidRPr="00680EB2">
        <w:t>335(2) of the Act where the witness is to attend</w:t>
      </w:r>
      <w:r w:rsidR="0006637B" w:rsidRPr="00680EB2">
        <w:t>.</w:t>
      </w:r>
    </w:p>
    <w:p w:rsidR="00CF73B6" w:rsidRPr="00680EB2" w:rsidRDefault="00CF73B6" w:rsidP="00CF73B6">
      <w:pPr>
        <w:pStyle w:val="Definition"/>
      </w:pPr>
      <w:r w:rsidRPr="00680EB2">
        <w:rPr>
          <w:b/>
          <w:i/>
        </w:rPr>
        <w:t>Taxation Office Determination</w:t>
      </w:r>
      <w:r w:rsidRPr="00680EB2">
        <w:t xml:space="preserve"> means the determination that sets out the amounts that the Commissioner of Taxation considers are reasonable for the purposes of the substantiation exception in Subdivision</w:t>
      </w:r>
      <w:r w:rsidR="00680EB2" w:rsidRPr="00680EB2">
        <w:t> </w:t>
      </w:r>
      <w:r w:rsidRPr="00680EB2">
        <w:t>900</w:t>
      </w:r>
      <w:r w:rsidR="00680EB2">
        <w:noBreakHyphen/>
      </w:r>
      <w:r w:rsidRPr="00680EB2">
        <w:t xml:space="preserve">B of the </w:t>
      </w:r>
      <w:r w:rsidRPr="00680EB2">
        <w:rPr>
          <w:i/>
        </w:rPr>
        <w:t>Income Tax Assessment Act 1997</w:t>
      </w:r>
      <w:r w:rsidRPr="00680EB2">
        <w:t xml:space="preserve"> for domestic travel allowance expenses and reasonable overtime meal allowance expenses</w:t>
      </w:r>
      <w:r w:rsidR="0006637B" w:rsidRPr="00680EB2">
        <w:t>.</w:t>
      </w:r>
    </w:p>
    <w:p w:rsidR="00CF73B6" w:rsidRPr="00680EB2" w:rsidRDefault="0006637B" w:rsidP="00CF73B6">
      <w:pPr>
        <w:pStyle w:val="ActHead5"/>
      </w:pPr>
      <w:bookmarkStart w:id="35" w:name="_Toc473101266"/>
      <w:r w:rsidRPr="00680EB2">
        <w:rPr>
          <w:rStyle w:val="CharSectno"/>
        </w:rPr>
        <w:t>176C</w:t>
      </w:r>
      <w:r w:rsidR="00CF73B6" w:rsidRPr="00680EB2">
        <w:t xml:space="preserve">  Travelling allowance</w:t>
      </w:r>
      <w:bookmarkEnd w:id="35"/>
    </w:p>
    <w:p w:rsidR="00CF73B6" w:rsidRPr="00680EB2" w:rsidRDefault="00CF73B6" w:rsidP="00CF73B6">
      <w:pPr>
        <w:pStyle w:val="subsection"/>
      </w:pPr>
      <w:r w:rsidRPr="00680EB2">
        <w:tab/>
        <w:t>(1)</w:t>
      </w:r>
      <w:r w:rsidRPr="00680EB2">
        <w:tab/>
        <w:t xml:space="preserve">The witness is entitled to a payment (the </w:t>
      </w:r>
      <w:r w:rsidRPr="00680EB2">
        <w:rPr>
          <w:b/>
          <w:i/>
        </w:rPr>
        <w:t>travelling allowance</w:t>
      </w:r>
      <w:r w:rsidRPr="00680EB2">
        <w:t>) towards meeting the expenses that the witness incurs in travelling between the witness</w:t>
      </w:r>
      <w:r w:rsidR="00E75B4E" w:rsidRPr="00680EB2">
        <w:t>’</w:t>
      </w:r>
      <w:r w:rsidRPr="00680EB2">
        <w:t>s work or residence and the specified place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(2)</w:t>
      </w:r>
      <w:r w:rsidRPr="00680EB2">
        <w:tab/>
        <w:t>The amount of the travelling allowance is as follows:</w:t>
      </w:r>
    </w:p>
    <w:p w:rsidR="00CF73B6" w:rsidRPr="00680EB2" w:rsidRDefault="00CF73B6" w:rsidP="00CF73B6">
      <w:pPr>
        <w:pStyle w:val="paragraph"/>
      </w:pPr>
      <w:r w:rsidRPr="00680EB2">
        <w:tab/>
        <w:t>(a)</w:t>
      </w:r>
      <w:r w:rsidRPr="00680EB2">
        <w:tab/>
        <w:t>if it is reasonable for the witness to travel by air—the amount that is payable for economy class air travel;</w:t>
      </w:r>
    </w:p>
    <w:p w:rsidR="00CF73B6" w:rsidRPr="00680EB2" w:rsidRDefault="00CF73B6" w:rsidP="00CF73B6">
      <w:pPr>
        <w:pStyle w:val="paragraph"/>
      </w:pPr>
      <w:r w:rsidRPr="00680EB2">
        <w:tab/>
        <w:t>(b)</w:t>
      </w:r>
      <w:r w:rsidRPr="00680EB2">
        <w:tab/>
        <w:t>if public transport is available—the amount that the witness actually and properly pays for the public transport;</w:t>
      </w:r>
    </w:p>
    <w:p w:rsidR="00CF73B6" w:rsidRPr="00680EB2" w:rsidRDefault="00CF73B6" w:rsidP="00CF73B6">
      <w:pPr>
        <w:pStyle w:val="paragraph"/>
      </w:pPr>
      <w:r w:rsidRPr="00680EB2">
        <w:tab/>
        <w:t>(c)</w:t>
      </w:r>
      <w:r w:rsidRPr="00680EB2">
        <w:tab/>
        <w:t>if public transport is not available and the witness travels using their private motor vehicle—the amount calculated at the rate of $0</w:t>
      </w:r>
      <w:r w:rsidR="0006637B" w:rsidRPr="00680EB2">
        <w:t>.</w:t>
      </w:r>
      <w:r w:rsidRPr="00680EB2">
        <w:t>74 a kilometre travelled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(3)</w:t>
      </w:r>
      <w:r w:rsidRPr="00680EB2">
        <w:tab/>
        <w:t>However, the maximum amount payable for the travelling allowance is $2,000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(4)</w:t>
      </w:r>
      <w:r w:rsidRPr="00680EB2">
        <w:tab/>
        <w:t>When deciding whether or not public transport is available, regard must be had to whether a public transport system is operating by which the witness could conveniently:</w:t>
      </w:r>
    </w:p>
    <w:p w:rsidR="00CF73B6" w:rsidRPr="00680EB2" w:rsidRDefault="00CF73B6" w:rsidP="00CF73B6">
      <w:pPr>
        <w:pStyle w:val="paragraph"/>
      </w:pPr>
      <w:r w:rsidRPr="00680EB2">
        <w:tab/>
        <w:t>(a)</w:t>
      </w:r>
      <w:r w:rsidRPr="00680EB2">
        <w:tab/>
        <w:t>travel to the specified place in a reasonable time before the witness</w:t>
      </w:r>
      <w:r w:rsidR="00E75B4E" w:rsidRPr="00680EB2">
        <w:t>’</w:t>
      </w:r>
      <w:r w:rsidRPr="00680EB2">
        <w:t>s required attendance; and</w:t>
      </w:r>
    </w:p>
    <w:p w:rsidR="00CF73B6" w:rsidRPr="00680EB2" w:rsidRDefault="00CF73B6" w:rsidP="00CF73B6">
      <w:pPr>
        <w:pStyle w:val="paragraph"/>
      </w:pPr>
      <w:r w:rsidRPr="00680EB2">
        <w:tab/>
        <w:t>(b)</w:t>
      </w:r>
      <w:r w:rsidRPr="00680EB2">
        <w:tab/>
        <w:t>return to the witness</w:t>
      </w:r>
      <w:r w:rsidR="00E75B4E" w:rsidRPr="00680EB2">
        <w:t>’</w:t>
      </w:r>
      <w:r w:rsidRPr="00680EB2">
        <w:t>s work or residence in a reasonable time after the witness</w:t>
      </w:r>
      <w:r w:rsidR="00E75B4E" w:rsidRPr="00680EB2">
        <w:t>’</w:t>
      </w:r>
      <w:r w:rsidRPr="00680EB2">
        <w:t>s attendance at the specified place</w:t>
      </w:r>
      <w:r w:rsidR="0006637B" w:rsidRPr="00680EB2">
        <w:t>.</w:t>
      </w:r>
    </w:p>
    <w:p w:rsidR="00CF73B6" w:rsidRPr="00680EB2" w:rsidRDefault="0006637B" w:rsidP="00CF73B6">
      <w:pPr>
        <w:pStyle w:val="ActHead5"/>
      </w:pPr>
      <w:bookmarkStart w:id="36" w:name="_Toc473101267"/>
      <w:r w:rsidRPr="00680EB2">
        <w:rPr>
          <w:rStyle w:val="CharSectno"/>
        </w:rPr>
        <w:t>176D</w:t>
      </w:r>
      <w:r w:rsidR="00CF73B6" w:rsidRPr="00680EB2">
        <w:t xml:space="preserve">  Accommodation allowance</w:t>
      </w:r>
      <w:bookmarkEnd w:id="36"/>
    </w:p>
    <w:p w:rsidR="00CF73B6" w:rsidRPr="00680EB2" w:rsidRDefault="00CF73B6" w:rsidP="00CF73B6">
      <w:pPr>
        <w:pStyle w:val="subsection"/>
      </w:pPr>
      <w:r w:rsidRPr="00680EB2">
        <w:tab/>
        <w:t>(1)</w:t>
      </w:r>
      <w:r w:rsidRPr="00680EB2">
        <w:tab/>
        <w:t xml:space="preserve">The witness is entitled to a payment (the </w:t>
      </w:r>
      <w:r w:rsidRPr="00680EB2">
        <w:rPr>
          <w:b/>
          <w:i/>
        </w:rPr>
        <w:t>accommodation allowance</w:t>
      </w:r>
      <w:r w:rsidRPr="00680EB2">
        <w:t>) towards meeting the expenses that the witness incurs for accommodation when the witness is necessarily absent overnight from the witness</w:t>
      </w:r>
      <w:r w:rsidR="00E75B4E" w:rsidRPr="00680EB2">
        <w:t>’</w:t>
      </w:r>
      <w:r w:rsidRPr="00680EB2">
        <w:t>s residence to comply with a notice to attend given under subsection</w:t>
      </w:r>
      <w:r w:rsidR="00680EB2" w:rsidRPr="00680EB2">
        <w:t> </w:t>
      </w:r>
      <w:r w:rsidRPr="00680EB2">
        <w:t>335(2) of the Act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(2)</w:t>
      </w:r>
      <w:r w:rsidRPr="00680EB2">
        <w:tab/>
        <w:t>The amount of the accommodation allowance is the amount calculated at the accommodation rate specified in the Taxation Office Determination for the lowest salary range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(3)</w:t>
      </w:r>
      <w:r w:rsidRPr="00680EB2">
        <w:tab/>
        <w:t>The amount must be calculated having regard to:</w:t>
      </w:r>
    </w:p>
    <w:p w:rsidR="00CF73B6" w:rsidRPr="00680EB2" w:rsidRDefault="00CF73B6" w:rsidP="00CF73B6">
      <w:pPr>
        <w:pStyle w:val="paragraph"/>
      </w:pPr>
      <w:r w:rsidRPr="00680EB2">
        <w:tab/>
        <w:t>(a)</w:t>
      </w:r>
      <w:r w:rsidRPr="00680EB2">
        <w:tab/>
        <w:t>the time of the latest public transport by which the witness could conveniently travel to the specified place in a reasonable time before the witness</w:t>
      </w:r>
      <w:r w:rsidR="00E75B4E" w:rsidRPr="00680EB2">
        <w:t>’</w:t>
      </w:r>
      <w:r w:rsidRPr="00680EB2">
        <w:t>s required attendance; and</w:t>
      </w:r>
    </w:p>
    <w:p w:rsidR="00CF73B6" w:rsidRPr="00680EB2" w:rsidRDefault="00CF73B6" w:rsidP="00CF73B6">
      <w:pPr>
        <w:pStyle w:val="paragraph"/>
      </w:pPr>
      <w:r w:rsidRPr="00680EB2">
        <w:tab/>
        <w:t>(b)</w:t>
      </w:r>
      <w:r w:rsidRPr="00680EB2">
        <w:tab/>
        <w:t>the time by which the witness could conveniently return to the witness</w:t>
      </w:r>
      <w:r w:rsidR="00E75B4E" w:rsidRPr="00680EB2">
        <w:t>’</w:t>
      </w:r>
      <w:r w:rsidRPr="00680EB2">
        <w:t>s work or residence using the earliest public transport in a reasonable time after the witness</w:t>
      </w:r>
      <w:r w:rsidR="00E75B4E" w:rsidRPr="00680EB2">
        <w:t>’</w:t>
      </w:r>
      <w:r w:rsidRPr="00680EB2">
        <w:t>s attendance at the specified place</w:t>
      </w:r>
      <w:r w:rsidR="0006637B" w:rsidRPr="00680EB2">
        <w:t>.</w:t>
      </w:r>
    </w:p>
    <w:p w:rsidR="00CF73B6" w:rsidRPr="00680EB2" w:rsidRDefault="0006637B" w:rsidP="00CF73B6">
      <w:pPr>
        <w:pStyle w:val="ActHead5"/>
      </w:pPr>
      <w:bookmarkStart w:id="37" w:name="_Toc473101268"/>
      <w:r w:rsidRPr="00680EB2">
        <w:rPr>
          <w:rStyle w:val="CharSectno"/>
        </w:rPr>
        <w:t>176E</w:t>
      </w:r>
      <w:r w:rsidR="00CF73B6" w:rsidRPr="00680EB2">
        <w:t xml:space="preserve">  Attendance allowance</w:t>
      </w:r>
      <w:bookmarkEnd w:id="37"/>
    </w:p>
    <w:p w:rsidR="00CF73B6" w:rsidRPr="00680EB2" w:rsidRDefault="00CF73B6" w:rsidP="00CF73B6">
      <w:pPr>
        <w:pStyle w:val="subsection"/>
      </w:pPr>
      <w:r w:rsidRPr="00680EB2">
        <w:tab/>
        <w:t>(1)</w:t>
      </w:r>
      <w:r w:rsidRPr="00680EB2">
        <w:tab/>
        <w:t xml:space="preserve">The witness is entitled to a payment (the </w:t>
      </w:r>
      <w:r w:rsidRPr="00680EB2">
        <w:rPr>
          <w:b/>
          <w:i/>
        </w:rPr>
        <w:t>attendance allowance</w:t>
      </w:r>
      <w:r w:rsidRPr="00680EB2">
        <w:t>) towards meeting any loss of earnings that the witness incurs when the witness is necessarily absent from the witness</w:t>
      </w:r>
      <w:r w:rsidR="00E75B4E" w:rsidRPr="00680EB2">
        <w:t>’</w:t>
      </w:r>
      <w:r w:rsidRPr="00680EB2">
        <w:t>s work to comply with a notice to attend given under subsection</w:t>
      </w:r>
      <w:r w:rsidR="00680EB2" w:rsidRPr="00680EB2">
        <w:t> </w:t>
      </w:r>
      <w:r w:rsidRPr="00680EB2">
        <w:t>335(2) of the Act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(2)</w:t>
      </w:r>
      <w:r w:rsidRPr="00680EB2">
        <w:tab/>
        <w:t xml:space="preserve">The amount of the attendance allowance is the amount (the </w:t>
      </w:r>
      <w:r w:rsidRPr="00680EB2">
        <w:rPr>
          <w:b/>
          <w:i/>
        </w:rPr>
        <w:t>usual pay</w:t>
      </w:r>
      <w:r w:rsidRPr="00680EB2">
        <w:t>) that the witness would otherwise have been entitled to receive for performing his or her normal duties during the witness</w:t>
      </w:r>
      <w:r w:rsidR="00E75B4E" w:rsidRPr="00680EB2">
        <w:t>’</w:t>
      </w:r>
      <w:r w:rsidRPr="00680EB2">
        <w:t>s absence from work to attend the specified place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(3)</w:t>
      </w:r>
      <w:r w:rsidRPr="00680EB2">
        <w:tab/>
        <w:t>When claiming the attendance allowance, the witness must provide evidence that confirms:</w:t>
      </w:r>
    </w:p>
    <w:p w:rsidR="00CF73B6" w:rsidRPr="00680EB2" w:rsidRDefault="00CF73B6" w:rsidP="00CF73B6">
      <w:pPr>
        <w:pStyle w:val="paragraph"/>
      </w:pPr>
      <w:r w:rsidRPr="00680EB2">
        <w:tab/>
        <w:t>(a)</w:t>
      </w:r>
      <w:r w:rsidRPr="00680EB2">
        <w:tab/>
        <w:t>the witness</w:t>
      </w:r>
      <w:r w:rsidR="00E75B4E" w:rsidRPr="00680EB2">
        <w:t>’</w:t>
      </w:r>
      <w:r w:rsidRPr="00680EB2">
        <w:t>s usual pay; and</w:t>
      </w:r>
    </w:p>
    <w:p w:rsidR="00CF73B6" w:rsidRPr="00680EB2" w:rsidRDefault="00CF73B6" w:rsidP="00CF73B6">
      <w:pPr>
        <w:pStyle w:val="paragraph"/>
      </w:pPr>
      <w:r w:rsidRPr="00680EB2">
        <w:tab/>
        <w:t>(b)</w:t>
      </w:r>
      <w:r w:rsidRPr="00680EB2">
        <w:tab/>
        <w:t>that the witness did not receive the witness</w:t>
      </w:r>
      <w:r w:rsidR="00E75B4E" w:rsidRPr="00680EB2">
        <w:t>’</w:t>
      </w:r>
      <w:r w:rsidRPr="00680EB2">
        <w:t>s usual pay for the time when the witness was necessarily absent from the witness</w:t>
      </w:r>
      <w:r w:rsidR="00E75B4E" w:rsidRPr="00680EB2">
        <w:t>’</w:t>
      </w:r>
      <w:r w:rsidRPr="00680EB2">
        <w:t>s work to attend the specified place</w:t>
      </w:r>
      <w:r w:rsidR="0006637B" w:rsidRPr="00680EB2">
        <w:t>.</w:t>
      </w:r>
    </w:p>
    <w:p w:rsidR="00CF73B6" w:rsidRPr="00680EB2" w:rsidRDefault="0006637B" w:rsidP="00CF73B6">
      <w:pPr>
        <w:pStyle w:val="ActHead5"/>
      </w:pPr>
      <w:bookmarkStart w:id="38" w:name="_Toc473101269"/>
      <w:r w:rsidRPr="00680EB2">
        <w:rPr>
          <w:rStyle w:val="CharSectno"/>
        </w:rPr>
        <w:t>176F</w:t>
      </w:r>
      <w:r w:rsidR="00CF73B6" w:rsidRPr="00680EB2">
        <w:t xml:space="preserve">  Legal allowance</w:t>
      </w:r>
      <w:bookmarkEnd w:id="38"/>
    </w:p>
    <w:p w:rsidR="00CF73B6" w:rsidRPr="00680EB2" w:rsidRDefault="00CF73B6" w:rsidP="00CF73B6">
      <w:pPr>
        <w:pStyle w:val="subsection"/>
      </w:pPr>
      <w:r w:rsidRPr="00680EB2">
        <w:tab/>
        <w:t>(1)</w:t>
      </w:r>
      <w:r w:rsidRPr="00680EB2">
        <w:tab/>
        <w:t xml:space="preserve">The witness is entitled to a payment (the </w:t>
      </w:r>
      <w:r w:rsidRPr="00680EB2">
        <w:rPr>
          <w:b/>
          <w:i/>
        </w:rPr>
        <w:t>legal allowance</w:t>
      </w:r>
      <w:r w:rsidRPr="00680EB2">
        <w:t>) towards meeting the legal costs and disbursements that the witness reasonably incurs for a lawyer to represent the witness at the specified place</w:t>
      </w:r>
      <w:r w:rsidR="0006637B" w:rsidRPr="00680EB2">
        <w:t>.</w:t>
      </w:r>
    </w:p>
    <w:p w:rsidR="00CF73B6" w:rsidRPr="00680EB2" w:rsidRDefault="00CF73B6" w:rsidP="00CF73B6">
      <w:pPr>
        <w:pStyle w:val="subsection"/>
      </w:pPr>
      <w:r w:rsidRPr="00680EB2">
        <w:tab/>
        <w:t>(2)</w:t>
      </w:r>
      <w:r w:rsidRPr="00680EB2">
        <w:tab/>
        <w:t xml:space="preserve">The amount of the legal allowance is an amount calculated using the costs for general federal law proceedings set out in the </w:t>
      </w:r>
      <w:r w:rsidRPr="00680EB2">
        <w:rPr>
          <w:i/>
        </w:rPr>
        <w:t>Federal Circuit Court Rules</w:t>
      </w:r>
      <w:r w:rsidR="00680EB2" w:rsidRPr="00680EB2">
        <w:rPr>
          <w:i/>
        </w:rPr>
        <w:t> </w:t>
      </w:r>
      <w:r w:rsidRPr="00680EB2">
        <w:rPr>
          <w:i/>
        </w:rPr>
        <w:t>2001</w:t>
      </w:r>
      <w:r w:rsidR="0006637B" w:rsidRPr="00680EB2">
        <w:t>.</w:t>
      </w:r>
    </w:p>
    <w:p w:rsidR="00195292" w:rsidRPr="00680EB2" w:rsidRDefault="00195292" w:rsidP="00195292">
      <w:pPr>
        <w:pStyle w:val="ActHead3"/>
      </w:pPr>
      <w:bookmarkStart w:id="39" w:name="_Toc473101270"/>
      <w:r w:rsidRPr="00680EB2">
        <w:rPr>
          <w:rStyle w:val="CharDivNo"/>
        </w:rPr>
        <w:t>Division</w:t>
      </w:r>
      <w:r w:rsidR="00680EB2" w:rsidRPr="00680EB2">
        <w:rPr>
          <w:rStyle w:val="CharDivNo"/>
        </w:rPr>
        <w:t> </w:t>
      </w:r>
      <w:r w:rsidR="00CF73B6" w:rsidRPr="00680EB2">
        <w:rPr>
          <w:rStyle w:val="CharDivNo"/>
        </w:rPr>
        <w:t>2</w:t>
      </w:r>
      <w:r w:rsidRPr="00680EB2">
        <w:t>—</w:t>
      </w:r>
      <w:r w:rsidR="00555AF9" w:rsidRPr="00680EB2">
        <w:rPr>
          <w:rStyle w:val="CharDivText"/>
        </w:rPr>
        <w:t>Investigation of protected disclosures</w:t>
      </w:r>
      <w:bookmarkEnd w:id="39"/>
    </w:p>
    <w:p w:rsidR="00C10A5B" w:rsidRPr="00680EB2" w:rsidRDefault="0006637B" w:rsidP="00C10A5B">
      <w:pPr>
        <w:pStyle w:val="ActHead5"/>
      </w:pPr>
      <w:bookmarkStart w:id="40" w:name="_Toc473101271"/>
      <w:r w:rsidRPr="00680EB2">
        <w:rPr>
          <w:rStyle w:val="CharSectno"/>
        </w:rPr>
        <w:t>176G</w:t>
      </w:r>
      <w:r w:rsidR="00C10A5B" w:rsidRPr="00680EB2">
        <w:t xml:space="preserve">  Discretion not to investigate</w:t>
      </w:r>
      <w:bookmarkEnd w:id="40"/>
    </w:p>
    <w:p w:rsidR="00962692" w:rsidRPr="00680EB2" w:rsidRDefault="00962692" w:rsidP="00962692">
      <w:pPr>
        <w:pStyle w:val="subsection"/>
      </w:pPr>
      <w:r w:rsidRPr="00680EB2">
        <w:tab/>
        <w:t>(1)</w:t>
      </w:r>
      <w:r w:rsidRPr="00680EB2">
        <w:tab/>
        <w:t>For the purposes of subsection</w:t>
      </w:r>
      <w:r w:rsidR="00680EB2" w:rsidRPr="00680EB2">
        <w:t> </w:t>
      </w:r>
      <w:r w:rsidRPr="00680EB2">
        <w:t>337CA(2)</w:t>
      </w:r>
      <w:r w:rsidR="00DC5BFD" w:rsidRPr="00680EB2">
        <w:t xml:space="preserve"> of the Act</w:t>
      </w:r>
      <w:r w:rsidRPr="00680EB2">
        <w:t xml:space="preserve">, </w:t>
      </w:r>
      <w:r w:rsidR="00830C51" w:rsidRPr="00680EB2">
        <w:t xml:space="preserve">any of </w:t>
      </w:r>
      <w:r w:rsidRPr="00680EB2">
        <w:t xml:space="preserve">the following circumstances </w:t>
      </w:r>
      <w:r w:rsidR="00830C51" w:rsidRPr="00680EB2">
        <w:t>are</w:t>
      </w:r>
      <w:r w:rsidRPr="00680EB2">
        <w:t xml:space="preserve"> circumstances in which an authorised official </w:t>
      </w:r>
      <w:r w:rsidR="00A423B6" w:rsidRPr="00680EB2">
        <w:t xml:space="preserve">(the </w:t>
      </w:r>
      <w:r w:rsidR="00A423B6" w:rsidRPr="00680EB2">
        <w:rPr>
          <w:b/>
          <w:i/>
        </w:rPr>
        <w:t>investigator</w:t>
      </w:r>
      <w:r w:rsidR="00A423B6" w:rsidRPr="00680EB2">
        <w:t xml:space="preserve">) </w:t>
      </w:r>
      <w:r w:rsidRPr="00680EB2">
        <w:t>may decide not to investigate a disclosure, or not to investigate a disclosure further</w:t>
      </w:r>
      <w:r w:rsidR="00FD36A0" w:rsidRPr="00680EB2">
        <w:t>, under Division</w:t>
      </w:r>
      <w:r w:rsidR="00680EB2" w:rsidRPr="00680EB2">
        <w:t> </w:t>
      </w:r>
      <w:r w:rsidR="00FD36A0" w:rsidRPr="00680EB2">
        <w:t>3 of Part</w:t>
      </w:r>
      <w:r w:rsidR="00680EB2" w:rsidRPr="00680EB2">
        <w:t> </w:t>
      </w:r>
      <w:r w:rsidR="00FD36A0" w:rsidRPr="00680EB2">
        <w:t>4A of Chapter</w:t>
      </w:r>
      <w:r w:rsidR="00680EB2" w:rsidRPr="00680EB2">
        <w:t> </w:t>
      </w:r>
      <w:r w:rsidR="00FD36A0" w:rsidRPr="00680EB2">
        <w:t xml:space="preserve">11 of the Act (the </w:t>
      </w:r>
      <w:r w:rsidR="00FD36A0" w:rsidRPr="00680EB2">
        <w:rPr>
          <w:b/>
          <w:i/>
        </w:rPr>
        <w:t>investigation provisions</w:t>
      </w:r>
      <w:r w:rsidR="00FD36A0" w:rsidRPr="00680EB2">
        <w:t>)</w:t>
      </w:r>
      <w:r w:rsidRPr="00680EB2">
        <w:t>:</w:t>
      </w:r>
    </w:p>
    <w:p w:rsidR="008507F3" w:rsidRPr="00680EB2" w:rsidRDefault="008507F3" w:rsidP="008507F3">
      <w:pPr>
        <w:pStyle w:val="paragraph"/>
      </w:pPr>
      <w:r w:rsidRPr="00680EB2">
        <w:tab/>
        <w:t>(a)</w:t>
      </w:r>
      <w:r w:rsidRPr="00680EB2">
        <w:tab/>
        <w:t>the information does not, to any extent, concern serious disclosable conduct;</w:t>
      </w:r>
    </w:p>
    <w:p w:rsidR="00612AF6" w:rsidRPr="00680EB2" w:rsidRDefault="00612AF6" w:rsidP="00612AF6">
      <w:pPr>
        <w:pStyle w:val="paragraph"/>
      </w:pPr>
      <w:r w:rsidRPr="00680EB2">
        <w:tab/>
        <w:t>(</w:t>
      </w:r>
      <w:r w:rsidR="008507F3" w:rsidRPr="00680EB2">
        <w:t>b</w:t>
      </w:r>
      <w:r w:rsidRPr="00680EB2">
        <w:t>)</w:t>
      </w:r>
      <w:r w:rsidRPr="00680EB2">
        <w:tab/>
        <w:t>the disclosure is frivolous or vexatious</w:t>
      </w:r>
      <w:r w:rsidR="008507F3" w:rsidRPr="00680EB2">
        <w:t>;</w:t>
      </w:r>
    </w:p>
    <w:p w:rsidR="008507F3" w:rsidRPr="00680EB2" w:rsidRDefault="008507F3" w:rsidP="008507F3">
      <w:pPr>
        <w:pStyle w:val="paragraph"/>
        <w:rPr>
          <w:szCs w:val="22"/>
        </w:rPr>
      </w:pPr>
      <w:r w:rsidRPr="00680EB2">
        <w:rPr>
          <w:szCs w:val="22"/>
        </w:rPr>
        <w:tab/>
        <w:t>(c)</w:t>
      </w:r>
      <w:r w:rsidRPr="00680EB2">
        <w:rPr>
          <w:szCs w:val="22"/>
        </w:rPr>
        <w:tab/>
        <w:t xml:space="preserve">the discloser has informed the </w:t>
      </w:r>
      <w:r w:rsidR="00A423B6" w:rsidRPr="00680EB2">
        <w:t>investigator</w:t>
      </w:r>
      <w:r w:rsidRPr="00680EB2">
        <w:rPr>
          <w:szCs w:val="22"/>
        </w:rPr>
        <w:t xml:space="preserve"> that the discloser does not wish the investigation to be pursued, </w:t>
      </w:r>
      <w:r w:rsidRPr="00680EB2">
        <w:t xml:space="preserve">and the </w:t>
      </w:r>
      <w:r w:rsidR="00A423B6" w:rsidRPr="00680EB2">
        <w:t>investigator</w:t>
      </w:r>
      <w:r w:rsidRPr="00680EB2">
        <w:t xml:space="preserve"> is reasonably satisfied that there are no matters concerning the disclosure that warrant investigation</w:t>
      </w:r>
      <w:r w:rsidRPr="00680EB2">
        <w:rPr>
          <w:szCs w:val="22"/>
        </w:rPr>
        <w:t>;</w:t>
      </w:r>
    </w:p>
    <w:p w:rsidR="008507F3" w:rsidRPr="00680EB2" w:rsidRDefault="008507F3" w:rsidP="008507F3">
      <w:pPr>
        <w:pStyle w:val="paragraph"/>
      </w:pPr>
      <w:r w:rsidRPr="00680EB2">
        <w:rPr>
          <w:szCs w:val="22"/>
        </w:rPr>
        <w:tab/>
        <w:t>(d)</w:t>
      </w:r>
      <w:r w:rsidRPr="00680EB2">
        <w:rPr>
          <w:szCs w:val="22"/>
        </w:rPr>
        <w:tab/>
      </w:r>
      <w:r w:rsidRPr="00680EB2">
        <w:t>it is impracticable for the disclosure to be investigated:</w:t>
      </w:r>
    </w:p>
    <w:p w:rsidR="008507F3" w:rsidRPr="00680EB2" w:rsidRDefault="008507F3" w:rsidP="008507F3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because the discloser</w:t>
      </w:r>
      <w:r w:rsidR="00E75B4E" w:rsidRPr="00680EB2">
        <w:t>’</w:t>
      </w:r>
      <w:r w:rsidRPr="00680EB2">
        <w:t>s contact details have not been disclosed; or</w:t>
      </w:r>
    </w:p>
    <w:p w:rsidR="008507F3" w:rsidRPr="00680EB2" w:rsidRDefault="008507F3" w:rsidP="008507F3">
      <w:pPr>
        <w:pStyle w:val="paragraphsub"/>
      </w:pPr>
      <w:r w:rsidRPr="00680EB2">
        <w:tab/>
        <w:t>(ii)</w:t>
      </w:r>
      <w:r w:rsidRPr="00680EB2">
        <w:tab/>
        <w:t xml:space="preserve">because the discloser refuses or fails, or is unable, to give, for the purposes of the investigation, such information or assistance as the </w:t>
      </w:r>
      <w:r w:rsidR="00A423B6" w:rsidRPr="00680EB2">
        <w:t>investigator</w:t>
      </w:r>
      <w:r w:rsidRPr="00680EB2">
        <w:t xml:space="preserve"> asks the discloser to give; or</w:t>
      </w:r>
    </w:p>
    <w:p w:rsidR="008507F3" w:rsidRPr="00680EB2" w:rsidRDefault="008507F3" w:rsidP="008507F3">
      <w:pPr>
        <w:pStyle w:val="paragraphsub"/>
      </w:pPr>
      <w:r w:rsidRPr="00680EB2">
        <w:tab/>
        <w:t>(iii)</w:t>
      </w:r>
      <w:r w:rsidRPr="00680EB2">
        <w:tab/>
        <w:t>because of the age of the information;</w:t>
      </w:r>
    </w:p>
    <w:p w:rsidR="008507F3" w:rsidRPr="00680EB2" w:rsidRDefault="008507F3" w:rsidP="008507F3">
      <w:pPr>
        <w:pStyle w:val="paragraph"/>
      </w:pPr>
      <w:r w:rsidRPr="00680EB2">
        <w:tab/>
        <w:t>(e)</w:t>
      </w:r>
      <w:r w:rsidRPr="00680EB2">
        <w:tab/>
      </w:r>
      <w:r w:rsidR="00ED6CA3" w:rsidRPr="00680EB2">
        <w:t xml:space="preserve">column 1 of </w:t>
      </w:r>
      <w:r w:rsidRPr="00680EB2">
        <w:t>an item of the following table applies</w:t>
      </w:r>
      <w:r w:rsidR="0094461C" w:rsidRPr="00680EB2">
        <w:t xml:space="preserve"> to the information</w:t>
      </w:r>
      <w:r w:rsidR="00A83E92" w:rsidRPr="00680EB2">
        <w:t xml:space="preserve">, or the </w:t>
      </w:r>
      <w:r w:rsidR="0094461C" w:rsidRPr="00680EB2">
        <w:t>disclosable conduct</w:t>
      </w:r>
      <w:r w:rsidR="00A83E92" w:rsidRPr="00680EB2">
        <w:t xml:space="preserve"> that the information concerns,</w:t>
      </w:r>
      <w:r w:rsidR="0094461C" w:rsidRPr="00680EB2">
        <w:t xml:space="preserve"> </w:t>
      </w:r>
      <w:r w:rsidR="00ED6CA3" w:rsidRPr="00680EB2">
        <w:t>and any additional condition in column 2 of that item is satisfied</w:t>
      </w:r>
      <w:r w:rsidRPr="00680EB2">
        <w:t>.</w:t>
      </w:r>
    </w:p>
    <w:p w:rsidR="00612AF6" w:rsidRPr="00680EB2" w:rsidRDefault="00612AF6" w:rsidP="00612AF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612AF6" w:rsidRPr="00680EB2" w:rsidTr="008507F3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12AF6" w:rsidRPr="00680EB2" w:rsidRDefault="009A7676" w:rsidP="009A7676">
            <w:pPr>
              <w:pStyle w:val="TableHeading"/>
            </w:pPr>
            <w:r w:rsidRPr="00680EB2">
              <w:t>Information</w:t>
            </w:r>
            <w:r w:rsidR="00237930" w:rsidRPr="00680EB2">
              <w:t xml:space="preserve"> or disclosable conduct</w:t>
            </w:r>
            <w:r w:rsidRPr="00680EB2">
              <w:t xml:space="preserve"> that has been or is being dealt with adequately</w:t>
            </w:r>
          </w:p>
        </w:tc>
      </w:tr>
      <w:tr w:rsidR="00612AF6" w:rsidRPr="00680EB2" w:rsidTr="008507F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12AF6" w:rsidRPr="00680EB2" w:rsidRDefault="00612AF6" w:rsidP="00612AF6">
            <w:pPr>
              <w:pStyle w:val="TableHeading"/>
            </w:pPr>
            <w:r w:rsidRPr="00680EB2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008DD" w:rsidRPr="00680EB2" w:rsidRDefault="000008DD" w:rsidP="00612AF6">
            <w:pPr>
              <w:pStyle w:val="TableHeading"/>
            </w:pPr>
            <w:r w:rsidRPr="00680EB2">
              <w:t>Column 1</w:t>
            </w:r>
          </w:p>
          <w:p w:rsidR="00612AF6" w:rsidRPr="00680EB2" w:rsidRDefault="000008DD" w:rsidP="00612AF6">
            <w:pPr>
              <w:pStyle w:val="TableHeading"/>
            </w:pPr>
            <w:r w:rsidRPr="00680EB2">
              <w:t>Information</w:t>
            </w:r>
            <w:r w:rsidR="00ED6CA3" w:rsidRPr="00680EB2">
              <w:t xml:space="preserve"> or disclosable conduct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008DD" w:rsidRPr="00680EB2" w:rsidRDefault="000008DD" w:rsidP="008507F3">
            <w:pPr>
              <w:pStyle w:val="TableHeading"/>
            </w:pPr>
            <w:r w:rsidRPr="00680EB2">
              <w:t>Column 2</w:t>
            </w:r>
          </w:p>
          <w:p w:rsidR="00612AF6" w:rsidRPr="00680EB2" w:rsidRDefault="000008DD" w:rsidP="008507F3">
            <w:pPr>
              <w:pStyle w:val="TableHeading"/>
            </w:pPr>
            <w:r w:rsidRPr="00680EB2">
              <w:t>Additional condition</w:t>
            </w:r>
          </w:p>
        </w:tc>
      </w:tr>
      <w:tr w:rsidR="000008DD" w:rsidRPr="00680EB2" w:rsidTr="00ED6CA3">
        <w:tc>
          <w:tcPr>
            <w:tcW w:w="714" w:type="dxa"/>
            <w:shd w:val="clear" w:color="auto" w:fill="auto"/>
          </w:tcPr>
          <w:p w:rsidR="000008DD" w:rsidRPr="00680EB2" w:rsidRDefault="000008DD" w:rsidP="00ED6CA3">
            <w:pPr>
              <w:pStyle w:val="Tabletext"/>
            </w:pPr>
            <w:r w:rsidRPr="00680EB2">
              <w:t>1</w:t>
            </w:r>
          </w:p>
        </w:tc>
        <w:tc>
          <w:tcPr>
            <w:tcW w:w="3799" w:type="dxa"/>
            <w:shd w:val="clear" w:color="auto" w:fill="auto"/>
          </w:tcPr>
          <w:p w:rsidR="000008DD" w:rsidRPr="00680EB2" w:rsidRDefault="000008DD" w:rsidP="00FD36A0">
            <w:pPr>
              <w:pStyle w:val="Tabletext"/>
            </w:pPr>
            <w:r w:rsidRPr="00680EB2">
              <w:t>the information or disclosable conduct is the same</w:t>
            </w:r>
            <w:r w:rsidR="00ED6CA3" w:rsidRPr="00680EB2">
              <w:t>, or substantially the same,</w:t>
            </w:r>
            <w:r w:rsidRPr="00680EB2">
              <w:t xml:space="preserve"> as information or disclosable conduct that is </w:t>
            </w:r>
            <w:r w:rsidR="0028078E" w:rsidRPr="00680EB2">
              <w:t xml:space="preserve">being </w:t>
            </w:r>
            <w:r w:rsidRPr="00680EB2">
              <w:t xml:space="preserve">or has been investigated under </w:t>
            </w:r>
            <w:r w:rsidR="00FD36A0" w:rsidRPr="00680EB2">
              <w:t>the investigation provisions</w:t>
            </w:r>
          </w:p>
        </w:tc>
        <w:tc>
          <w:tcPr>
            <w:tcW w:w="3799" w:type="dxa"/>
            <w:shd w:val="clear" w:color="auto" w:fill="auto"/>
          </w:tcPr>
          <w:p w:rsidR="000008DD" w:rsidRPr="00680EB2" w:rsidRDefault="000008DD" w:rsidP="00472F74">
            <w:pPr>
              <w:pStyle w:val="Tabletext"/>
            </w:pPr>
            <w:r w:rsidRPr="00680EB2">
              <w:t>none</w:t>
            </w:r>
          </w:p>
        </w:tc>
      </w:tr>
      <w:tr w:rsidR="00612AF6" w:rsidRPr="00680EB2" w:rsidTr="008507F3">
        <w:tc>
          <w:tcPr>
            <w:tcW w:w="714" w:type="dxa"/>
            <w:shd w:val="clear" w:color="auto" w:fill="auto"/>
          </w:tcPr>
          <w:p w:rsidR="00612AF6" w:rsidRPr="00680EB2" w:rsidRDefault="00237932" w:rsidP="00612AF6">
            <w:pPr>
              <w:pStyle w:val="Tabletext"/>
            </w:pPr>
            <w:r w:rsidRPr="00680EB2">
              <w:t>2</w:t>
            </w:r>
          </w:p>
        </w:tc>
        <w:tc>
          <w:tcPr>
            <w:tcW w:w="3799" w:type="dxa"/>
            <w:shd w:val="clear" w:color="auto" w:fill="auto"/>
          </w:tcPr>
          <w:p w:rsidR="009A7676" w:rsidRPr="00680EB2" w:rsidRDefault="009A7676" w:rsidP="000008DD">
            <w:pPr>
              <w:pStyle w:val="Tabletext"/>
            </w:pPr>
            <w:r w:rsidRPr="00680EB2">
              <w:t xml:space="preserve">the information or disclosable conduct </w:t>
            </w:r>
            <w:r w:rsidR="000008DD" w:rsidRPr="00680EB2">
              <w:t>is the same</w:t>
            </w:r>
            <w:r w:rsidR="00ED6CA3" w:rsidRPr="00680EB2">
              <w:t>, or substantially the same,</w:t>
            </w:r>
            <w:r w:rsidR="00A83E92" w:rsidRPr="00680EB2">
              <w:t xml:space="preserve"> as</w:t>
            </w:r>
            <w:r w:rsidRPr="00680EB2">
              <w:t>:</w:t>
            </w:r>
          </w:p>
          <w:p w:rsidR="009A7676" w:rsidRPr="00680EB2" w:rsidRDefault="009A7676" w:rsidP="0028078E">
            <w:pPr>
              <w:pStyle w:val="Tablea"/>
            </w:pPr>
            <w:r w:rsidRPr="00680EB2">
              <w:t xml:space="preserve">(a) </w:t>
            </w:r>
            <w:r w:rsidR="00A83E92" w:rsidRPr="00680EB2">
              <w:t xml:space="preserve">information or disclosable conduct that </w:t>
            </w:r>
            <w:r w:rsidR="00ED6CA3" w:rsidRPr="00680EB2">
              <w:t xml:space="preserve">is being or has been </w:t>
            </w:r>
            <w:r w:rsidRPr="00680EB2">
              <w:t>investigated under</w:t>
            </w:r>
            <w:r w:rsidR="0028078E" w:rsidRPr="00680EB2">
              <w:t xml:space="preserve"> </w:t>
            </w:r>
            <w:r w:rsidR="000008DD" w:rsidRPr="00680EB2">
              <w:t>another law of the Commonwealth</w:t>
            </w:r>
            <w:r w:rsidR="0028078E" w:rsidRPr="00680EB2">
              <w:t xml:space="preserve"> or </w:t>
            </w:r>
            <w:r w:rsidR="000008DD" w:rsidRPr="00680EB2">
              <w:t>the executive power of the Commonwealth</w:t>
            </w:r>
            <w:r w:rsidRPr="00680EB2">
              <w:t>; or</w:t>
            </w:r>
          </w:p>
          <w:p w:rsidR="009A7676" w:rsidRPr="00680EB2" w:rsidRDefault="009A7676" w:rsidP="00ED6CA3">
            <w:pPr>
              <w:pStyle w:val="Tablea"/>
            </w:pPr>
            <w:r w:rsidRPr="00680EB2">
              <w:t xml:space="preserve">(b) </w:t>
            </w:r>
            <w:r w:rsidR="00ED6CA3" w:rsidRPr="00680EB2">
              <w:t xml:space="preserve">information </w:t>
            </w:r>
            <w:r w:rsidR="00237930" w:rsidRPr="00680EB2">
              <w:t xml:space="preserve">included in evidence </w:t>
            </w:r>
            <w:r w:rsidR="00ED6CA3" w:rsidRPr="00680EB2">
              <w:t>that has been admitted in</w:t>
            </w:r>
            <w:r w:rsidR="00237930" w:rsidRPr="00680EB2">
              <w:t xml:space="preserve"> a proceeding</w:t>
            </w:r>
            <w:r w:rsidR="00ED6CA3" w:rsidRPr="00680EB2">
              <w:t xml:space="preserve">, or disclosable conduct that is or has been the subject of a </w:t>
            </w:r>
            <w:r w:rsidRPr="00680EB2">
              <w:t>proceeding; or</w:t>
            </w:r>
          </w:p>
          <w:p w:rsidR="00612AF6" w:rsidRPr="00680EB2" w:rsidRDefault="009A7676" w:rsidP="00ED6CA3">
            <w:pPr>
              <w:pStyle w:val="Tablea"/>
            </w:pPr>
            <w:r w:rsidRPr="00680EB2">
              <w:t xml:space="preserve">(c) </w:t>
            </w:r>
            <w:r w:rsidR="00A83E92" w:rsidRPr="00680EB2">
              <w:t xml:space="preserve">information or disclosable conduct that </w:t>
            </w:r>
            <w:r w:rsidR="00ED6CA3" w:rsidRPr="00680EB2">
              <w:t xml:space="preserve">is being or has been </w:t>
            </w:r>
            <w:r w:rsidR="0028078E" w:rsidRPr="00680EB2">
              <w:t>dealt with by an</w:t>
            </w:r>
            <w:r w:rsidRPr="00680EB2">
              <w:t xml:space="preserve"> authorised official under another process</w:t>
            </w:r>
          </w:p>
        </w:tc>
        <w:tc>
          <w:tcPr>
            <w:tcW w:w="3799" w:type="dxa"/>
            <w:shd w:val="clear" w:color="auto" w:fill="auto"/>
          </w:tcPr>
          <w:p w:rsidR="00612AF6" w:rsidRPr="00680EB2" w:rsidRDefault="009A7676" w:rsidP="009A7676">
            <w:pPr>
              <w:pStyle w:val="Tablea"/>
            </w:pPr>
            <w:r w:rsidRPr="00680EB2">
              <w:t xml:space="preserve">(a) </w:t>
            </w:r>
            <w:r w:rsidR="00612AF6" w:rsidRPr="00680EB2">
              <w:t>it would be inappropriate to conduct another investigation at the same time</w:t>
            </w:r>
            <w:r w:rsidRPr="00680EB2">
              <w:t xml:space="preserve"> as that other investigation, proceeding or process; or</w:t>
            </w:r>
          </w:p>
          <w:p w:rsidR="009A7676" w:rsidRPr="00680EB2" w:rsidRDefault="009A7676" w:rsidP="00A423B6">
            <w:pPr>
              <w:pStyle w:val="Tablea"/>
            </w:pPr>
            <w:r w:rsidRPr="00680EB2">
              <w:t xml:space="preserve">(b) the </w:t>
            </w:r>
            <w:r w:rsidR="00A423B6" w:rsidRPr="00680EB2">
              <w:t>investigator</w:t>
            </w:r>
            <w:r w:rsidRPr="00680EB2">
              <w:t xml:space="preserve"> is reasonably satisfied that, because of that investigation, proceedings or process, investigation under the investigation provisions is not warranted</w:t>
            </w:r>
          </w:p>
        </w:tc>
      </w:tr>
      <w:tr w:rsidR="00612AF6" w:rsidRPr="00680EB2" w:rsidTr="008507F3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612AF6" w:rsidRPr="00680EB2" w:rsidRDefault="00237932" w:rsidP="00612AF6">
            <w:pPr>
              <w:pStyle w:val="Tabletext"/>
            </w:pPr>
            <w:r w:rsidRPr="00680EB2">
              <w:t>3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612AF6" w:rsidRPr="00680EB2" w:rsidRDefault="00237930" w:rsidP="00237930">
            <w:pPr>
              <w:pStyle w:val="Tabletext"/>
            </w:pPr>
            <w:r w:rsidRPr="00680EB2">
              <w:t xml:space="preserve">an </w:t>
            </w:r>
            <w:r w:rsidR="00C6713B" w:rsidRPr="00680EB2">
              <w:t xml:space="preserve">authorised official has </w:t>
            </w:r>
            <w:r w:rsidR="000008DD" w:rsidRPr="00680EB2">
              <w:t xml:space="preserve">disclosed some or all of the information </w:t>
            </w:r>
            <w:r w:rsidR="00612AF6" w:rsidRPr="00680EB2">
              <w:t>to a member of an Australian police force or to the Australian Competition and Consumer Commission</w:t>
            </w:r>
            <w:r w:rsidR="008507F3" w:rsidRPr="00680EB2">
              <w:t xml:space="preserve"> under section</w:t>
            </w:r>
            <w:r w:rsidR="00680EB2" w:rsidRPr="00680EB2">
              <w:t> </w:t>
            </w:r>
            <w:r w:rsidR="008507F3" w:rsidRPr="00680EB2">
              <w:t>337CD of the Act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612AF6" w:rsidRPr="00680EB2" w:rsidRDefault="00A423B6" w:rsidP="00A423B6">
            <w:pPr>
              <w:pStyle w:val="Tabletext"/>
            </w:pPr>
            <w:r w:rsidRPr="00680EB2">
              <w:t>the investigator</w:t>
            </w:r>
            <w:r w:rsidR="008507F3" w:rsidRPr="00680EB2">
              <w:t xml:space="preserve"> </w:t>
            </w:r>
            <w:r w:rsidR="00612AF6" w:rsidRPr="00680EB2">
              <w:t>is reasonably satisfied that there are no matters</w:t>
            </w:r>
            <w:r w:rsidR="000008DD" w:rsidRPr="00680EB2">
              <w:t xml:space="preserve"> concerning the disclosure, </w:t>
            </w:r>
            <w:r w:rsidR="008507F3" w:rsidRPr="00680EB2">
              <w:t xml:space="preserve">other than the </w:t>
            </w:r>
            <w:r w:rsidR="00ED6CA3" w:rsidRPr="00680EB2">
              <w:t xml:space="preserve">offence or contravention </w:t>
            </w:r>
            <w:r w:rsidR="008507F3" w:rsidRPr="00680EB2">
              <w:t>mentioned in that section</w:t>
            </w:r>
            <w:r w:rsidR="000008DD" w:rsidRPr="00680EB2">
              <w:t>,</w:t>
            </w:r>
            <w:r w:rsidR="008507F3" w:rsidRPr="00680EB2">
              <w:t xml:space="preserve"> that warrant investigation</w:t>
            </w:r>
          </w:p>
        </w:tc>
      </w:tr>
      <w:tr w:rsidR="00612AF6" w:rsidRPr="00680EB2" w:rsidTr="008507F3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12AF6" w:rsidRPr="00680EB2" w:rsidRDefault="00237932" w:rsidP="00612AF6">
            <w:pPr>
              <w:pStyle w:val="Tabletext"/>
            </w:pPr>
            <w:r w:rsidRPr="00680EB2">
              <w:t>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12AF6" w:rsidRPr="00680EB2" w:rsidRDefault="00237930" w:rsidP="00237930">
            <w:pPr>
              <w:pStyle w:val="Tabletext"/>
            </w:pPr>
            <w:r w:rsidRPr="00680EB2">
              <w:t xml:space="preserve">an authorised official or any other person or body </w:t>
            </w:r>
            <w:r w:rsidR="00C6713B" w:rsidRPr="00680EB2">
              <w:t xml:space="preserve">has </w:t>
            </w:r>
            <w:r w:rsidRPr="00680EB2">
              <w:t>disclosed the information t</w:t>
            </w:r>
            <w:r w:rsidR="00C6713B" w:rsidRPr="00680EB2">
              <w:t>o another person or body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12AF6" w:rsidRPr="00680EB2" w:rsidRDefault="008507F3" w:rsidP="00A423B6">
            <w:pPr>
              <w:pStyle w:val="Tabletext"/>
            </w:pPr>
            <w:r w:rsidRPr="00680EB2">
              <w:t xml:space="preserve">the </w:t>
            </w:r>
            <w:r w:rsidR="00A423B6" w:rsidRPr="00680EB2">
              <w:t>investigator</w:t>
            </w:r>
            <w:r w:rsidRPr="00680EB2">
              <w:t xml:space="preserve"> is reasonably satisfied that the person or body </w:t>
            </w:r>
            <w:r w:rsidR="00C6713B" w:rsidRPr="00680EB2">
              <w:t xml:space="preserve">to whom the information has been disclosed </w:t>
            </w:r>
            <w:r w:rsidRPr="00680EB2">
              <w:t>will deal with the information in such a way that</w:t>
            </w:r>
            <w:r w:rsidR="0028078E" w:rsidRPr="00680EB2">
              <w:t xml:space="preserve"> further</w:t>
            </w:r>
            <w:r w:rsidRPr="00680EB2">
              <w:t xml:space="preserve"> investigation under the investigation provisions is not warranted</w:t>
            </w:r>
          </w:p>
        </w:tc>
      </w:tr>
    </w:tbl>
    <w:p w:rsidR="00962692" w:rsidRPr="00680EB2" w:rsidRDefault="00962692" w:rsidP="000008DD">
      <w:pPr>
        <w:pStyle w:val="subsection"/>
      </w:pPr>
      <w:r w:rsidRPr="00680EB2">
        <w:tab/>
        <w:t>(</w:t>
      </w:r>
      <w:r w:rsidR="000008DD" w:rsidRPr="00680EB2">
        <w:t>2</w:t>
      </w:r>
      <w:r w:rsidRPr="00680EB2">
        <w:t>)</w:t>
      </w:r>
      <w:r w:rsidRPr="00680EB2">
        <w:tab/>
        <w:t xml:space="preserve">If the </w:t>
      </w:r>
      <w:r w:rsidR="00A423B6" w:rsidRPr="00680EB2">
        <w:t>investigator</w:t>
      </w:r>
      <w:r w:rsidRPr="00680EB2">
        <w:t xml:space="preserve"> decides not to investigate the disclosure, or not to investigate it further, Part</w:t>
      </w:r>
      <w:r w:rsidR="00680EB2" w:rsidRPr="00680EB2">
        <w:t> </w:t>
      </w:r>
      <w:r w:rsidRPr="00680EB2">
        <w:t>4A of Chapter</w:t>
      </w:r>
      <w:r w:rsidR="00680EB2" w:rsidRPr="00680EB2">
        <w:t> </w:t>
      </w:r>
      <w:r w:rsidRPr="00680EB2">
        <w:t xml:space="preserve">11 of the Act does not, by implication, prevent the information from being investigated otherwise than under the </w:t>
      </w:r>
      <w:r w:rsidR="00830C51" w:rsidRPr="00680EB2">
        <w:t>investigation provisions</w:t>
      </w:r>
      <w:r w:rsidR="0006637B" w:rsidRPr="00680EB2">
        <w:t>.</w:t>
      </w:r>
    </w:p>
    <w:p w:rsidR="00962692" w:rsidRPr="00680EB2" w:rsidRDefault="0006637B" w:rsidP="00E90511">
      <w:pPr>
        <w:pStyle w:val="ActHead5"/>
      </w:pPr>
      <w:bookmarkStart w:id="41" w:name="_Toc473101272"/>
      <w:r w:rsidRPr="00680EB2">
        <w:rPr>
          <w:rStyle w:val="CharSectno"/>
        </w:rPr>
        <w:t>176H</w:t>
      </w:r>
      <w:r w:rsidR="00E90511" w:rsidRPr="00680EB2">
        <w:t xml:space="preserve">  </w:t>
      </w:r>
      <w:r w:rsidR="00DA273F" w:rsidRPr="00680EB2">
        <w:t xml:space="preserve">Consent to </w:t>
      </w:r>
      <w:r w:rsidR="003552CD" w:rsidRPr="00680EB2">
        <w:t xml:space="preserve">and notice of </w:t>
      </w:r>
      <w:r w:rsidR="00DA273F" w:rsidRPr="00680EB2">
        <w:t>a</w:t>
      </w:r>
      <w:r w:rsidR="00E90511" w:rsidRPr="00680EB2">
        <w:t>llocation of handling of disclosure</w:t>
      </w:r>
      <w:bookmarkEnd w:id="41"/>
    </w:p>
    <w:p w:rsidR="00F21C5A" w:rsidRPr="00680EB2" w:rsidRDefault="00F21C5A" w:rsidP="00E90511">
      <w:pPr>
        <w:pStyle w:val="subsection"/>
      </w:pPr>
      <w:r w:rsidRPr="00680EB2">
        <w:tab/>
        <w:t>(1)</w:t>
      </w:r>
      <w:r w:rsidRPr="00680EB2">
        <w:tab/>
      </w:r>
      <w:r w:rsidR="004C4695" w:rsidRPr="00680EB2">
        <w:t>In accordance with subsection</w:t>
      </w:r>
      <w:r w:rsidR="00680EB2" w:rsidRPr="00680EB2">
        <w:t> </w:t>
      </w:r>
      <w:r w:rsidR="004C4695" w:rsidRPr="00680EB2">
        <w:t>337CC(1) of the Act, t</w:t>
      </w:r>
      <w:r w:rsidRPr="00680EB2">
        <w:t xml:space="preserve">his regulation prescribes </w:t>
      </w:r>
      <w:r w:rsidR="004C4695" w:rsidRPr="00680EB2">
        <w:t>procedures to be followed</w:t>
      </w:r>
      <w:r w:rsidRPr="00680EB2">
        <w:t xml:space="preserve"> </w:t>
      </w:r>
      <w:r w:rsidR="00830C51" w:rsidRPr="00680EB2">
        <w:t xml:space="preserve">and other matters </w:t>
      </w:r>
      <w:r w:rsidRPr="00680EB2">
        <w:t xml:space="preserve">in relation to </w:t>
      </w:r>
      <w:r w:rsidR="004C4695" w:rsidRPr="00680EB2">
        <w:t xml:space="preserve">the </w:t>
      </w:r>
      <w:r w:rsidRPr="00680EB2">
        <w:t>allocation of handling of disclosures that qualify for protection under the Act</w:t>
      </w:r>
      <w:r w:rsidR="0006637B" w:rsidRPr="00680EB2">
        <w:t>.</w:t>
      </w:r>
    </w:p>
    <w:p w:rsidR="00E90511" w:rsidRPr="00680EB2" w:rsidRDefault="00E90511" w:rsidP="00E90511">
      <w:pPr>
        <w:pStyle w:val="subsection"/>
      </w:pPr>
      <w:r w:rsidRPr="00680EB2">
        <w:tab/>
      </w:r>
      <w:r w:rsidR="00F21C5A" w:rsidRPr="00680EB2">
        <w:t>(2)</w:t>
      </w:r>
      <w:r w:rsidRPr="00680EB2">
        <w:tab/>
      </w:r>
      <w:r w:rsidR="00F21C5A" w:rsidRPr="00680EB2">
        <w:t>T</w:t>
      </w:r>
      <w:r w:rsidRPr="00680EB2">
        <w:t>he person to whom a disclosure is made</w:t>
      </w:r>
      <w:r w:rsidR="004C4695" w:rsidRPr="00680EB2">
        <w:t xml:space="preserve"> (the </w:t>
      </w:r>
      <w:r w:rsidR="004C4695" w:rsidRPr="00680EB2">
        <w:rPr>
          <w:b/>
          <w:i/>
        </w:rPr>
        <w:t>recipient</w:t>
      </w:r>
      <w:r w:rsidR="004C4695" w:rsidRPr="00680EB2">
        <w:t>)</w:t>
      </w:r>
      <w:r w:rsidRPr="00680EB2">
        <w:t xml:space="preserve"> </w:t>
      </w:r>
      <w:r w:rsidR="00BD7CB9" w:rsidRPr="00680EB2">
        <w:t xml:space="preserve">must not allocate the handling of a disclosure to an authorised official (other than </w:t>
      </w:r>
      <w:r w:rsidR="004C4695" w:rsidRPr="00680EB2">
        <w:t>the recipient</w:t>
      </w:r>
      <w:r w:rsidR="00BD7CB9" w:rsidRPr="00680EB2">
        <w:t>) under section</w:t>
      </w:r>
      <w:r w:rsidR="00680EB2" w:rsidRPr="00680EB2">
        <w:t> </w:t>
      </w:r>
      <w:r w:rsidR="00BD7CB9" w:rsidRPr="00680EB2">
        <w:t>337C</w:t>
      </w:r>
      <w:r w:rsidR="003230EF" w:rsidRPr="00680EB2">
        <w:t xml:space="preserve"> of the Act</w:t>
      </w:r>
      <w:r w:rsidR="00BD7CB9" w:rsidRPr="00680EB2">
        <w:t xml:space="preserve"> unless the authorised official has consented to the </w:t>
      </w:r>
      <w:r w:rsidR="00DA273F" w:rsidRPr="00680EB2">
        <w:t>allocation</w:t>
      </w:r>
      <w:r w:rsidR="0006637B" w:rsidRPr="00680EB2">
        <w:t>.</w:t>
      </w:r>
    </w:p>
    <w:p w:rsidR="004C4695" w:rsidRPr="00680EB2" w:rsidRDefault="004C4695" w:rsidP="004C4695">
      <w:pPr>
        <w:pStyle w:val="subsection"/>
      </w:pPr>
      <w:r w:rsidRPr="00680EB2">
        <w:tab/>
        <w:t>(3)</w:t>
      </w:r>
      <w:r w:rsidRPr="00680EB2">
        <w:tab/>
        <w:t xml:space="preserve">Unless the recipient is, or allocates the disclosure to, the Commissioner, the recipient must inform the Commissioner of the </w:t>
      </w:r>
      <w:r w:rsidR="00830C51" w:rsidRPr="00680EB2">
        <w:t xml:space="preserve">following </w:t>
      </w:r>
      <w:r w:rsidRPr="00680EB2">
        <w:t>matters</w:t>
      </w:r>
      <w:r w:rsidR="00830C51" w:rsidRPr="00680EB2">
        <w:t>:</w:t>
      </w:r>
    </w:p>
    <w:p w:rsidR="004C4695" w:rsidRPr="00680EB2" w:rsidRDefault="004C4695" w:rsidP="004C4695">
      <w:pPr>
        <w:pStyle w:val="paragraph"/>
      </w:pPr>
      <w:r w:rsidRPr="00680EB2">
        <w:tab/>
        <w:t>(a)</w:t>
      </w:r>
      <w:r w:rsidRPr="00680EB2">
        <w:tab/>
        <w:t>the allocation of the disclos</w:t>
      </w:r>
      <w:r w:rsidR="00830C51" w:rsidRPr="00680EB2">
        <w:t>ure to the authorised official;</w:t>
      </w:r>
    </w:p>
    <w:p w:rsidR="004C4695" w:rsidRPr="00680EB2" w:rsidRDefault="004C4695" w:rsidP="004C4695">
      <w:pPr>
        <w:pStyle w:val="paragraph"/>
      </w:pPr>
      <w:r w:rsidRPr="00680EB2">
        <w:tab/>
        <w:t>(b)</w:t>
      </w:r>
      <w:r w:rsidRPr="00680EB2">
        <w:tab/>
        <w:t xml:space="preserve">the </w:t>
      </w:r>
      <w:r w:rsidR="00830C51" w:rsidRPr="00680EB2">
        <w:t>information that was disclosed;</w:t>
      </w:r>
    </w:p>
    <w:p w:rsidR="004C4695" w:rsidRPr="00680EB2" w:rsidRDefault="004C4695" w:rsidP="004C4695">
      <w:pPr>
        <w:pStyle w:val="paragraph"/>
      </w:pPr>
      <w:r w:rsidRPr="00680EB2">
        <w:tab/>
        <w:t>(c)</w:t>
      </w:r>
      <w:r w:rsidRPr="00680EB2">
        <w:tab/>
        <w:t>the suspecte</w:t>
      </w:r>
      <w:r w:rsidR="00830C51" w:rsidRPr="00680EB2">
        <w:t>d disclosable conduct (if any);</w:t>
      </w:r>
    </w:p>
    <w:p w:rsidR="004C4695" w:rsidRPr="00680EB2" w:rsidRDefault="004C4695" w:rsidP="004C4695">
      <w:pPr>
        <w:pStyle w:val="paragraph"/>
      </w:pPr>
      <w:r w:rsidRPr="00680EB2">
        <w:tab/>
        <w:t>(d)</w:t>
      </w:r>
      <w:r w:rsidRPr="00680EB2">
        <w:tab/>
        <w:t>if the discloser</w:t>
      </w:r>
      <w:r w:rsidR="00E75B4E" w:rsidRPr="00680EB2">
        <w:t>’</w:t>
      </w:r>
      <w:r w:rsidR="005F129D" w:rsidRPr="00680EB2">
        <w:t>s name is known to the recipient, and the discloser</w:t>
      </w:r>
      <w:r w:rsidRPr="00680EB2">
        <w:t xml:space="preserve"> consents to disclosure of his or</w:t>
      </w:r>
      <w:r w:rsidR="00830C51" w:rsidRPr="00680EB2">
        <w:t xml:space="preserve"> her name—the discloser</w:t>
      </w:r>
      <w:r w:rsidR="00E75B4E" w:rsidRPr="00680EB2">
        <w:t>’</w:t>
      </w:r>
      <w:r w:rsidR="00830C51" w:rsidRPr="00680EB2">
        <w:t>s name;</w:t>
      </w:r>
    </w:p>
    <w:p w:rsidR="004C4695" w:rsidRPr="00680EB2" w:rsidRDefault="004C4695" w:rsidP="004C4695">
      <w:pPr>
        <w:pStyle w:val="paragraph"/>
      </w:pPr>
      <w:r w:rsidRPr="00680EB2">
        <w:tab/>
        <w:t>(e)</w:t>
      </w:r>
      <w:r w:rsidRPr="00680EB2">
        <w:tab/>
        <w:t>if the discloser</w:t>
      </w:r>
      <w:r w:rsidR="00E75B4E" w:rsidRPr="00680EB2">
        <w:t>’</w:t>
      </w:r>
      <w:r w:rsidRPr="00680EB2">
        <w:t>s contact details are known to the recipient, and the discloser consents to disclosure of the contact details—the discloser</w:t>
      </w:r>
      <w:r w:rsidR="00E75B4E" w:rsidRPr="00680EB2">
        <w:t>’</w:t>
      </w:r>
      <w:r w:rsidRPr="00680EB2">
        <w:t>s contact details</w:t>
      </w:r>
      <w:r w:rsidR="0006637B" w:rsidRPr="00680EB2">
        <w:t>.</w:t>
      </w:r>
    </w:p>
    <w:p w:rsidR="004C4695" w:rsidRPr="00680EB2" w:rsidRDefault="004C4695" w:rsidP="004C4695">
      <w:pPr>
        <w:pStyle w:val="subsection"/>
      </w:pPr>
      <w:r w:rsidRPr="00680EB2">
        <w:tab/>
        <w:t>(</w:t>
      </w:r>
      <w:r w:rsidR="00830C51" w:rsidRPr="00680EB2">
        <w:t>4</w:t>
      </w:r>
      <w:r w:rsidRPr="00680EB2">
        <w:t>)</w:t>
      </w:r>
      <w:r w:rsidRPr="00680EB2">
        <w:tab/>
        <w:t>The recipient must inform the discloser of the allocation</w:t>
      </w:r>
      <w:r w:rsidR="0006637B" w:rsidRPr="00680EB2">
        <w:t>.</w:t>
      </w:r>
    </w:p>
    <w:p w:rsidR="004C4695" w:rsidRPr="00680EB2" w:rsidRDefault="004C4695" w:rsidP="004C4695">
      <w:pPr>
        <w:pStyle w:val="subsection"/>
      </w:pPr>
      <w:r w:rsidRPr="00680EB2">
        <w:tab/>
        <w:t>(</w:t>
      </w:r>
      <w:r w:rsidR="00830C51" w:rsidRPr="00680EB2">
        <w:t>5</w:t>
      </w:r>
      <w:r w:rsidRPr="00680EB2">
        <w:t>)</w:t>
      </w:r>
      <w:r w:rsidRPr="00680EB2">
        <w:tab/>
      </w:r>
      <w:proofErr w:type="spellStart"/>
      <w:r w:rsidRPr="00680EB2">
        <w:t>Subregulation</w:t>
      </w:r>
      <w:proofErr w:type="spellEnd"/>
      <w:r w:rsidR="00556096" w:rsidRPr="00680EB2">
        <w:t xml:space="preserve"> </w:t>
      </w:r>
      <w:r w:rsidRPr="00680EB2">
        <w:t>(</w:t>
      </w:r>
      <w:r w:rsidR="00830C51" w:rsidRPr="00680EB2">
        <w:t>4</w:t>
      </w:r>
      <w:r w:rsidRPr="00680EB2">
        <w:t>) does not apply if contacting the discloser is not reasonably practicable</w:t>
      </w:r>
      <w:r w:rsidR="0006637B" w:rsidRPr="00680EB2">
        <w:t>.</w:t>
      </w:r>
    </w:p>
    <w:p w:rsidR="003230EF" w:rsidRPr="00680EB2" w:rsidRDefault="003230EF" w:rsidP="003230EF">
      <w:pPr>
        <w:pStyle w:val="subsection"/>
      </w:pPr>
      <w:r w:rsidRPr="00680EB2">
        <w:tab/>
        <w:t>(</w:t>
      </w:r>
      <w:r w:rsidR="00830C51" w:rsidRPr="00680EB2">
        <w:t>6</w:t>
      </w:r>
      <w:r w:rsidRPr="00680EB2">
        <w:t>)</w:t>
      </w:r>
      <w:r w:rsidRPr="00680EB2">
        <w:tab/>
      </w:r>
      <w:proofErr w:type="spellStart"/>
      <w:r w:rsidR="00F35781" w:rsidRPr="00680EB2">
        <w:t>Subr</w:t>
      </w:r>
      <w:r w:rsidRPr="00680EB2">
        <w:t>egulation</w:t>
      </w:r>
      <w:r w:rsidR="00F35781" w:rsidRPr="00680EB2">
        <w:t>s</w:t>
      </w:r>
      <w:proofErr w:type="spellEnd"/>
      <w:r w:rsidRPr="00680EB2">
        <w:t xml:space="preserve"> </w:t>
      </w:r>
      <w:r w:rsidR="00F35781" w:rsidRPr="00680EB2">
        <w:t>(2) to (</w:t>
      </w:r>
      <w:r w:rsidR="00830C51" w:rsidRPr="00680EB2">
        <w:t>5</w:t>
      </w:r>
      <w:r w:rsidR="00F35781" w:rsidRPr="00680EB2">
        <w:t>) apply</w:t>
      </w:r>
      <w:r w:rsidR="007B40FA" w:rsidRPr="00680EB2">
        <w:t>,</w:t>
      </w:r>
      <w:r w:rsidRPr="00680EB2">
        <w:t xml:space="preserve"> in relation to a subsequent allocation under subsection</w:t>
      </w:r>
      <w:r w:rsidR="00680EB2" w:rsidRPr="00680EB2">
        <w:t> </w:t>
      </w:r>
      <w:r w:rsidRPr="00680EB2">
        <w:t xml:space="preserve">337C(3) of the Act of </w:t>
      </w:r>
      <w:r w:rsidR="00343B73" w:rsidRPr="00680EB2">
        <w:t xml:space="preserve">the </w:t>
      </w:r>
      <w:r w:rsidRPr="00680EB2">
        <w:t>handling of a disclosure</w:t>
      </w:r>
      <w:r w:rsidR="007B40FA" w:rsidRPr="00680EB2">
        <w:t>,</w:t>
      </w:r>
      <w:r w:rsidRPr="00680EB2">
        <w:t xml:space="preserve"> in the same way as </w:t>
      </w:r>
      <w:r w:rsidR="00F35781" w:rsidRPr="00680EB2">
        <w:t xml:space="preserve">they apply </w:t>
      </w:r>
      <w:r w:rsidRPr="00680EB2">
        <w:t xml:space="preserve">to </w:t>
      </w:r>
      <w:r w:rsidR="007B40FA" w:rsidRPr="00680EB2">
        <w:t xml:space="preserve">an initial allocation of </w:t>
      </w:r>
      <w:r w:rsidR="00343B73" w:rsidRPr="00680EB2">
        <w:t xml:space="preserve">the </w:t>
      </w:r>
      <w:r w:rsidR="007B40FA" w:rsidRPr="00680EB2">
        <w:t>handling of a disclosure</w:t>
      </w:r>
      <w:r w:rsidR="0006637B" w:rsidRPr="00680EB2">
        <w:t>.</w:t>
      </w:r>
    </w:p>
    <w:p w:rsidR="00B60C93" w:rsidRPr="00680EB2" w:rsidRDefault="0006637B" w:rsidP="00B60C93">
      <w:pPr>
        <w:pStyle w:val="ActHead5"/>
      </w:pPr>
      <w:bookmarkStart w:id="42" w:name="_Toc473101273"/>
      <w:r w:rsidRPr="00680EB2">
        <w:rPr>
          <w:rStyle w:val="CharSectno"/>
        </w:rPr>
        <w:t>176J</w:t>
      </w:r>
      <w:r w:rsidR="00B60C93" w:rsidRPr="00680EB2">
        <w:t xml:space="preserve">  Notice of investigation of disclosure</w:t>
      </w:r>
      <w:bookmarkEnd w:id="42"/>
    </w:p>
    <w:p w:rsidR="00B60C93" w:rsidRPr="00680EB2" w:rsidRDefault="00B60C93" w:rsidP="00B60C93">
      <w:pPr>
        <w:pStyle w:val="subsection"/>
      </w:pPr>
      <w:r w:rsidRPr="00680EB2">
        <w:tab/>
        <w:t>(1)</w:t>
      </w:r>
      <w:r w:rsidRPr="00680EB2">
        <w:tab/>
        <w:t>In accordance with subsection</w:t>
      </w:r>
      <w:r w:rsidR="00680EB2" w:rsidRPr="00680EB2">
        <w:t> </w:t>
      </w:r>
      <w:r w:rsidRPr="00680EB2">
        <w:t>337CC(2) of the Act, this regulation prescribes procedures to be followed</w:t>
      </w:r>
      <w:r w:rsidR="00600ABC" w:rsidRPr="00680EB2">
        <w:t xml:space="preserve"> and other matters</w:t>
      </w:r>
      <w:r w:rsidRPr="00680EB2">
        <w:t xml:space="preserve"> in relation to investigations under </w:t>
      </w:r>
      <w:r w:rsidR="00FD36A0" w:rsidRPr="00680EB2">
        <w:t>Division</w:t>
      </w:r>
      <w:r w:rsidR="00680EB2" w:rsidRPr="00680EB2">
        <w:t> </w:t>
      </w:r>
      <w:r w:rsidR="00FD36A0" w:rsidRPr="00680EB2">
        <w:t>3 of Part</w:t>
      </w:r>
      <w:r w:rsidR="00680EB2" w:rsidRPr="00680EB2">
        <w:t> </w:t>
      </w:r>
      <w:r w:rsidR="00FD36A0" w:rsidRPr="00680EB2">
        <w:t>4A of Chapter</w:t>
      </w:r>
      <w:r w:rsidR="00680EB2" w:rsidRPr="00680EB2">
        <w:t> </w:t>
      </w:r>
      <w:r w:rsidR="00FD36A0" w:rsidRPr="00680EB2">
        <w:t xml:space="preserve">11 of the Act (the </w:t>
      </w:r>
      <w:r w:rsidR="00FD36A0" w:rsidRPr="00680EB2">
        <w:rPr>
          <w:b/>
          <w:i/>
        </w:rPr>
        <w:t>investigation provisions</w:t>
      </w:r>
      <w:r w:rsidR="00FD36A0" w:rsidRPr="00680EB2">
        <w:t>)</w:t>
      </w:r>
      <w:r w:rsidR="0006637B" w:rsidRPr="00680EB2">
        <w:t>.</w:t>
      </w:r>
    </w:p>
    <w:p w:rsidR="00B60C93" w:rsidRPr="00680EB2" w:rsidRDefault="00B60C93" w:rsidP="00B60C93">
      <w:pPr>
        <w:pStyle w:val="subsection"/>
      </w:pPr>
      <w:r w:rsidRPr="00680EB2">
        <w:tab/>
        <w:t>(2)</w:t>
      </w:r>
      <w:r w:rsidRPr="00680EB2">
        <w:tab/>
      </w:r>
      <w:r w:rsidRPr="00680EB2">
        <w:rPr>
          <w:sz w:val="20"/>
        </w:rPr>
        <w:t>T</w:t>
      </w:r>
      <w:r w:rsidRPr="00680EB2">
        <w:t>he authorised official</w:t>
      </w:r>
      <w:r w:rsidR="00DB7181" w:rsidRPr="00680EB2">
        <w:t xml:space="preserve"> to whom the handling of the disclosure is allocated</w:t>
      </w:r>
      <w:r w:rsidRPr="00680EB2">
        <w:t xml:space="preserve"> must, as soon as reasonably practicable, inform the discloser of the following (whichever is applicable):</w:t>
      </w:r>
    </w:p>
    <w:p w:rsidR="00B60C93" w:rsidRPr="00680EB2" w:rsidRDefault="00B60C93" w:rsidP="00B60C93">
      <w:pPr>
        <w:pStyle w:val="paragraph"/>
      </w:pPr>
      <w:r w:rsidRPr="00680EB2">
        <w:tab/>
        <w:t>(a)</w:t>
      </w:r>
      <w:r w:rsidRPr="00680EB2">
        <w:tab/>
        <w:t>that the authorised official is required to investigate the disclosure;</w:t>
      </w:r>
    </w:p>
    <w:p w:rsidR="00B60C93" w:rsidRPr="00680EB2" w:rsidRDefault="00B60C93" w:rsidP="00B60C93">
      <w:pPr>
        <w:pStyle w:val="paragraph"/>
      </w:pPr>
      <w:r w:rsidRPr="00680EB2">
        <w:tab/>
        <w:t>(b)</w:t>
      </w:r>
      <w:r w:rsidRPr="00680EB2">
        <w:tab/>
        <w:t>that the authorised official has decided under</w:t>
      </w:r>
      <w:r w:rsidR="00A65DEC" w:rsidRPr="00680EB2">
        <w:t xml:space="preserve"> subsection</w:t>
      </w:r>
      <w:r w:rsidR="00680EB2" w:rsidRPr="00680EB2">
        <w:t> </w:t>
      </w:r>
      <w:r w:rsidR="00A65DEC" w:rsidRPr="00680EB2">
        <w:t>337CA(2) of the Act and</w:t>
      </w:r>
      <w:r w:rsidRPr="00680EB2">
        <w:t xml:space="preserve"> </w:t>
      </w:r>
      <w:r w:rsidR="00DB7181" w:rsidRPr="00680EB2">
        <w:t>regulation</w:t>
      </w:r>
      <w:r w:rsidR="00680EB2" w:rsidRPr="00680EB2">
        <w:t> </w:t>
      </w:r>
      <w:r w:rsidR="0006637B" w:rsidRPr="00680EB2">
        <w:t>176G</w:t>
      </w:r>
      <w:r w:rsidRPr="00680EB2">
        <w:t xml:space="preserve"> not to investigate the disclosure, or not to investigate the disclosure further</w:t>
      </w:r>
      <w:r w:rsidR="0006637B" w:rsidRPr="00680EB2">
        <w:t>.</w:t>
      </w:r>
    </w:p>
    <w:p w:rsidR="00B60C93" w:rsidRPr="00680EB2" w:rsidRDefault="00DB7181" w:rsidP="00B60C93">
      <w:pPr>
        <w:pStyle w:val="subsection"/>
      </w:pPr>
      <w:r w:rsidRPr="00680EB2">
        <w:tab/>
        <w:t>(3)</w:t>
      </w:r>
      <w:r w:rsidRPr="00680EB2">
        <w:tab/>
        <w:t xml:space="preserve">If </w:t>
      </w:r>
      <w:r w:rsidR="00680EB2" w:rsidRPr="00680EB2">
        <w:t>paragraph (</w:t>
      </w:r>
      <w:r w:rsidRPr="00680EB2">
        <w:t>2</w:t>
      </w:r>
      <w:r w:rsidR="00B60C93" w:rsidRPr="00680EB2">
        <w:t>)(a) applies, the authorised official must inform the discloser of the estimated length of the investigation</w:t>
      </w:r>
      <w:r w:rsidR="0006637B" w:rsidRPr="00680EB2">
        <w:t>.</w:t>
      </w:r>
    </w:p>
    <w:p w:rsidR="00B60C93" w:rsidRPr="00680EB2" w:rsidRDefault="00DB7181" w:rsidP="00B60C93">
      <w:pPr>
        <w:pStyle w:val="subsection"/>
      </w:pPr>
      <w:r w:rsidRPr="00680EB2">
        <w:tab/>
        <w:t>(4</w:t>
      </w:r>
      <w:r w:rsidR="00B60C93" w:rsidRPr="00680EB2">
        <w:t>)</w:t>
      </w:r>
      <w:r w:rsidR="00B60C93" w:rsidRPr="00680EB2">
        <w:tab/>
        <w:t xml:space="preserve">If </w:t>
      </w:r>
      <w:r w:rsidR="00680EB2" w:rsidRPr="00680EB2">
        <w:t>paragraph (</w:t>
      </w:r>
      <w:r w:rsidRPr="00680EB2">
        <w:t>2</w:t>
      </w:r>
      <w:r w:rsidR="00B60C93" w:rsidRPr="00680EB2">
        <w:t>)(b) applies, the authorised official must inform the discloser of:</w:t>
      </w:r>
    </w:p>
    <w:p w:rsidR="00B60C93" w:rsidRPr="00680EB2" w:rsidRDefault="00B60C93" w:rsidP="00B60C93">
      <w:pPr>
        <w:pStyle w:val="paragraph"/>
      </w:pPr>
      <w:r w:rsidRPr="00680EB2">
        <w:tab/>
        <w:t>(a)</w:t>
      </w:r>
      <w:r w:rsidRPr="00680EB2">
        <w:tab/>
        <w:t>the reasons for the decision; and</w:t>
      </w:r>
    </w:p>
    <w:p w:rsidR="00B60C93" w:rsidRPr="00680EB2" w:rsidRDefault="00B60C93" w:rsidP="00B60C93">
      <w:pPr>
        <w:pStyle w:val="paragraph"/>
      </w:pPr>
      <w:r w:rsidRPr="00680EB2">
        <w:tab/>
        <w:t>(b)</w:t>
      </w:r>
      <w:r w:rsidRPr="00680EB2">
        <w:tab/>
        <w:t>other courses of action that might be available to the discloser under other laws of the Commonwealth</w:t>
      </w:r>
      <w:r w:rsidR="0006637B" w:rsidRPr="00680EB2">
        <w:t>.</w:t>
      </w:r>
    </w:p>
    <w:p w:rsidR="00B60C93" w:rsidRPr="00680EB2" w:rsidRDefault="00DB7181" w:rsidP="00B60C93">
      <w:pPr>
        <w:pStyle w:val="subsection"/>
      </w:pPr>
      <w:r w:rsidRPr="00680EB2">
        <w:tab/>
        <w:t>(5)</w:t>
      </w:r>
      <w:r w:rsidRPr="00680EB2">
        <w:tab/>
        <w:t xml:space="preserve">Despite </w:t>
      </w:r>
      <w:r w:rsidR="00680EB2" w:rsidRPr="00680EB2">
        <w:t>paragraph (</w:t>
      </w:r>
      <w:r w:rsidRPr="00680EB2">
        <w:t>4</w:t>
      </w:r>
      <w:r w:rsidR="00B60C93" w:rsidRPr="00680EB2">
        <w:t>)(a),</w:t>
      </w:r>
      <w:r w:rsidR="00B60C93" w:rsidRPr="00680EB2">
        <w:rPr>
          <w:szCs w:val="22"/>
        </w:rPr>
        <w:t xml:space="preserve"> the </w:t>
      </w:r>
      <w:r w:rsidR="00B60C93" w:rsidRPr="00680EB2">
        <w:t>authorised official</w:t>
      </w:r>
      <w:r w:rsidR="00B60C93" w:rsidRPr="00680EB2">
        <w:rPr>
          <w:szCs w:val="22"/>
        </w:rPr>
        <w:t xml:space="preserve"> may delete from the reasons given to the discloser </w:t>
      </w:r>
      <w:r w:rsidR="00B60C93" w:rsidRPr="00680EB2">
        <w:t>any reasons that would, if contained in a document, cause the document to be exempt for the purposes of Part</w:t>
      </w:r>
      <w:r w:rsidR="00680EB2" w:rsidRPr="00680EB2">
        <w:t> </w:t>
      </w:r>
      <w:r w:rsidR="00B60C93" w:rsidRPr="00680EB2">
        <w:t xml:space="preserve">IV of the </w:t>
      </w:r>
      <w:r w:rsidR="00B60C93" w:rsidRPr="00680EB2">
        <w:rPr>
          <w:i/>
        </w:rPr>
        <w:t>Freedom of Information Act 1982</w:t>
      </w:r>
      <w:r w:rsidR="0006637B" w:rsidRPr="00680EB2">
        <w:t>.</w:t>
      </w:r>
    </w:p>
    <w:p w:rsidR="00B60C93" w:rsidRPr="00680EB2" w:rsidRDefault="00DB7181" w:rsidP="00B60C93">
      <w:pPr>
        <w:pStyle w:val="subsection"/>
      </w:pPr>
      <w:r w:rsidRPr="00680EB2">
        <w:tab/>
        <w:t>(6</w:t>
      </w:r>
      <w:r w:rsidR="00B60C93" w:rsidRPr="00680EB2">
        <w:t>)</w:t>
      </w:r>
      <w:r w:rsidR="00B60C93" w:rsidRPr="00680EB2">
        <w:tab/>
      </w:r>
      <w:proofErr w:type="spellStart"/>
      <w:r w:rsidR="00CF73B6" w:rsidRPr="00680EB2">
        <w:t>Sub</w:t>
      </w:r>
      <w:r w:rsidRPr="00680EB2">
        <w:t>regulation</w:t>
      </w:r>
      <w:proofErr w:type="spellEnd"/>
      <w:r w:rsidR="00CF73B6" w:rsidRPr="00680EB2">
        <w:t xml:space="preserve"> (2)</w:t>
      </w:r>
      <w:r w:rsidR="00B60C93" w:rsidRPr="00680EB2">
        <w:t xml:space="preserve"> does not apply if contacting the discloser is not reasonably practicable</w:t>
      </w:r>
      <w:r w:rsidR="0006637B" w:rsidRPr="00680EB2">
        <w:t>.</w:t>
      </w:r>
    </w:p>
    <w:p w:rsidR="00B60C93" w:rsidRPr="00680EB2" w:rsidRDefault="00B60C93" w:rsidP="00B60C93">
      <w:pPr>
        <w:pStyle w:val="subsection"/>
      </w:pPr>
      <w:r w:rsidRPr="00680EB2">
        <w:tab/>
      </w:r>
      <w:r w:rsidR="00600ABC" w:rsidRPr="00680EB2">
        <w:t>(7)</w:t>
      </w:r>
      <w:r w:rsidRPr="00680EB2">
        <w:tab/>
        <w:t>If:</w:t>
      </w:r>
    </w:p>
    <w:p w:rsidR="00B60C93" w:rsidRPr="00680EB2" w:rsidRDefault="00B60C93" w:rsidP="00B60C93">
      <w:pPr>
        <w:pStyle w:val="paragraph"/>
      </w:pPr>
      <w:r w:rsidRPr="00680EB2">
        <w:tab/>
        <w:t>(a)</w:t>
      </w:r>
      <w:r w:rsidRPr="00680EB2">
        <w:tab/>
        <w:t xml:space="preserve">the authorised official has decided under </w:t>
      </w:r>
      <w:r w:rsidR="00A65DEC" w:rsidRPr="00680EB2">
        <w:t>subsection</w:t>
      </w:r>
      <w:r w:rsidR="00680EB2" w:rsidRPr="00680EB2">
        <w:t> </w:t>
      </w:r>
      <w:r w:rsidR="00A65DEC" w:rsidRPr="00680EB2">
        <w:t xml:space="preserve">337CA(2) of the Act and </w:t>
      </w:r>
      <w:r w:rsidR="00600ABC" w:rsidRPr="00680EB2">
        <w:t>regulation</w:t>
      </w:r>
      <w:r w:rsidR="00680EB2" w:rsidRPr="00680EB2">
        <w:t> </w:t>
      </w:r>
      <w:r w:rsidR="0006637B" w:rsidRPr="00680EB2">
        <w:t>176G</w:t>
      </w:r>
      <w:r w:rsidRPr="00680EB2">
        <w:t xml:space="preserve"> not to investigate the disclosure, or not to investigate the disclosure further; and</w:t>
      </w:r>
    </w:p>
    <w:p w:rsidR="00B60C93" w:rsidRPr="00680EB2" w:rsidRDefault="00B60C93" w:rsidP="00B60C93">
      <w:pPr>
        <w:pStyle w:val="paragraph"/>
      </w:pPr>
      <w:r w:rsidRPr="00680EB2">
        <w:tab/>
        <w:t>(b)</w:t>
      </w:r>
      <w:r w:rsidRPr="00680EB2">
        <w:tab/>
        <w:t>the authorised official is not the Commissioner;</w:t>
      </w:r>
    </w:p>
    <w:p w:rsidR="00B60C93" w:rsidRPr="00680EB2" w:rsidRDefault="00B60C93" w:rsidP="00B60C93">
      <w:pPr>
        <w:pStyle w:val="subsection2"/>
      </w:pPr>
      <w:r w:rsidRPr="00680EB2">
        <w:t xml:space="preserve">the </w:t>
      </w:r>
      <w:r w:rsidR="0007496C" w:rsidRPr="00680EB2">
        <w:t>authorised official</w:t>
      </w:r>
      <w:r w:rsidRPr="00680EB2">
        <w:t xml:space="preserve"> must inform the Commissioner of the decision, and of the reasons for the decision</w:t>
      </w:r>
      <w:r w:rsidR="0006637B" w:rsidRPr="00680EB2">
        <w:t>.</w:t>
      </w:r>
    </w:p>
    <w:p w:rsidR="00690B7F" w:rsidRPr="00680EB2" w:rsidRDefault="00690B7F" w:rsidP="00690B7F">
      <w:pPr>
        <w:pStyle w:val="ActHead5"/>
      </w:pPr>
      <w:bookmarkStart w:id="43" w:name="_Toc473101274"/>
      <w:r w:rsidRPr="00680EB2">
        <w:rPr>
          <w:rStyle w:val="CharSectno"/>
        </w:rPr>
        <w:t>176K</w:t>
      </w:r>
      <w:r w:rsidRPr="00680EB2">
        <w:t xml:space="preserve">  </w:t>
      </w:r>
      <w:r w:rsidR="00901717" w:rsidRPr="00680EB2">
        <w:t>Suspending Part</w:t>
      </w:r>
      <w:r w:rsidR="00680EB2" w:rsidRPr="00680EB2">
        <w:t> </w:t>
      </w:r>
      <w:r w:rsidR="00C72919" w:rsidRPr="00680EB2">
        <w:t>4</w:t>
      </w:r>
      <w:r w:rsidR="00901717" w:rsidRPr="00680EB2">
        <w:t xml:space="preserve">A investigation while conducting an investigation under another </w:t>
      </w:r>
      <w:r w:rsidRPr="00680EB2">
        <w:t>law</w:t>
      </w:r>
      <w:bookmarkEnd w:id="43"/>
    </w:p>
    <w:p w:rsidR="00690B7F" w:rsidRPr="00680EB2" w:rsidRDefault="00690B7F" w:rsidP="00690B7F">
      <w:pPr>
        <w:pStyle w:val="subsection"/>
      </w:pPr>
      <w:r w:rsidRPr="00680EB2">
        <w:tab/>
        <w:t>(1)</w:t>
      </w:r>
      <w:r w:rsidRPr="00680EB2">
        <w:tab/>
        <w:t>In accordance with subsection</w:t>
      </w:r>
      <w:r w:rsidR="00680EB2" w:rsidRPr="00680EB2">
        <w:t> </w:t>
      </w:r>
      <w:r w:rsidRPr="00680EB2">
        <w:t xml:space="preserve">337CC(2) of the Act, this regulation prescribes procedures to be followed in relation to investigations under </w:t>
      </w:r>
      <w:r w:rsidR="00FD36A0" w:rsidRPr="00680EB2">
        <w:t>Division</w:t>
      </w:r>
      <w:r w:rsidR="00680EB2" w:rsidRPr="00680EB2">
        <w:t> </w:t>
      </w:r>
      <w:r w:rsidR="00FD36A0" w:rsidRPr="00680EB2">
        <w:t>3 of Part</w:t>
      </w:r>
      <w:r w:rsidR="00680EB2" w:rsidRPr="00680EB2">
        <w:t> </w:t>
      </w:r>
      <w:r w:rsidR="00FD36A0" w:rsidRPr="00680EB2">
        <w:t>4A of Chapter</w:t>
      </w:r>
      <w:r w:rsidR="00680EB2" w:rsidRPr="00680EB2">
        <w:t> </w:t>
      </w:r>
      <w:r w:rsidR="00FD36A0" w:rsidRPr="00680EB2">
        <w:t xml:space="preserve">11 of the Act (the </w:t>
      </w:r>
      <w:r w:rsidR="00FD36A0" w:rsidRPr="00680EB2">
        <w:rPr>
          <w:b/>
          <w:i/>
        </w:rPr>
        <w:t>investigation provisions</w:t>
      </w:r>
      <w:r w:rsidR="00FD36A0" w:rsidRPr="00680EB2">
        <w:t>)</w:t>
      </w:r>
      <w:r w:rsidRPr="00680EB2">
        <w:t>.</w:t>
      </w:r>
    </w:p>
    <w:p w:rsidR="00920441" w:rsidRPr="00680EB2" w:rsidRDefault="00690B7F" w:rsidP="00920441">
      <w:pPr>
        <w:pStyle w:val="subsection"/>
        <w:rPr>
          <w:szCs w:val="22"/>
        </w:rPr>
      </w:pPr>
      <w:r w:rsidRPr="00680EB2">
        <w:tab/>
        <w:t>(2)</w:t>
      </w:r>
      <w:r w:rsidRPr="00680EB2">
        <w:tab/>
        <w:t>The authorised official conducting an investigation</w:t>
      </w:r>
      <w:r w:rsidR="00920441" w:rsidRPr="00680EB2">
        <w:t xml:space="preserve"> under the investigation provisions</w:t>
      </w:r>
      <w:r w:rsidRPr="00680EB2">
        <w:t xml:space="preserve"> of a disclosure that concerns disclosable conduct </w:t>
      </w:r>
      <w:r w:rsidR="00920441" w:rsidRPr="00680EB2">
        <w:t xml:space="preserve">(the </w:t>
      </w:r>
      <w:r w:rsidR="00920441" w:rsidRPr="00680EB2">
        <w:rPr>
          <w:b/>
          <w:i/>
        </w:rPr>
        <w:t>Part</w:t>
      </w:r>
      <w:r w:rsidR="00680EB2" w:rsidRPr="00680EB2">
        <w:rPr>
          <w:b/>
          <w:i/>
        </w:rPr>
        <w:t> </w:t>
      </w:r>
      <w:r w:rsidR="00920441" w:rsidRPr="00680EB2">
        <w:rPr>
          <w:b/>
          <w:i/>
        </w:rPr>
        <w:t>4A conduct</w:t>
      </w:r>
      <w:r w:rsidR="00920441" w:rsidRPr="00680EB2">
        <w:t xml:space="preserve">) </w:t>
      </w:r>
      <w:r w:rsidRPr="00680EB2">
        <w:t>must suspend the investigation for any period</w:t>
      </w:r>
      <w:r w:rsidR="00920441" w:rsidRPr="00680EB2">
        <w:t xml:space="preserve"> during which </w:t>
      </w:r>
      <w:r w:rsidR="00E174F1" w:rsidRPr="00680EB2">
        <w:t xml:space="preserve">the authorised official </w:t>
      </w:r>
      <w:r w:rsidR="00A83E92" w:rsidRPr="00680EB2">
        <w:t xml:space="preserve">reasonably believes </w:t>
      </w:r>
      <w:r w:rsidR="00E174F1" w:rsidRPr="00680EB2">
        <w:t xml:space="preserve">that any </w:t>
      </w:r>
      <w:r w:rsidR="00920441" w:rsidRPr="00680EB2">
        <w:t xml:space="preserve">authorised official is </w:t>
      </w:r>
      <w:r w:rsidRPr="00680EB2">
        <w:t>investigat</w:t>
      </w:r>
      <w:r w:rsidR="00920441" w:rsidRPr="00680EB2">
        <w:t>ing,</w:t>
      </w:r>
      <w:r w:rsidR="00920441" w:rsidRPr="00680EB2">
        <w:rPr>
          <w:szCs w:val="22"/>
        </w:rPr>
        <w:t xml:space="preserve"> under:</w:t>
      </w:r>
    </w:p>
    <w:p w:rsidR="00920441" w:rsidRPr="00680EB2" w:rsidRDefault="00920441" w:rsidP="00920441">
      <w:pPr>
        <w:pStyle w:val="paragraph"/>
      </w:pPr>
      <w:r w:rsidRPr="00680EB2">
        <w:tab/>
        <w:t>(a)</w:t>
      </w:r>
      <w:r w:rsidRPr="00680EB2">
        <w:tab/>
        <w:t>a law of the Commonwealth other than the investigation provisions; or</w:t>
      </w:r>
    </w:p>
    <w:p w:rsidR="00920441" w:rsidRPr="00680EB2" w:rsidRDefault="00920441" w:rsidP="00920441">
      <w:pPr>
        <w:pStyle w:val="paragraph"/>
      </w:pPr>
      <w:r w:rsidRPr="00680EB2">
        <w:tab/>
        <w:t>(b)</w:t>
      </w:r>
      <w:r w:rsidRPr="00680EB2">
        <w:tab/>
        <w:t>the executive power of the Commonwealth;</w:t>
      </w:r>
    </w:p>
    <w:p w:rsidR="00690B7F" w:rsidRPr="00680EB2" w:rsidRDefault="00920441" w:rsidP="00920441">
      <w:pPr>
        <w:pStyle w:val="subsection2"/>
        <w:rPr>
          <w:szCs w:val="22"/>
        </w:rPr>
      </w:pPr>
      <w:r w:rsidRPr="00680EB2">
        <w:t>disclosable conduct that is the same, or substantially the same, as the Part</w:t>
      </w:r>
      <w:r w:rsidR="00680EB2" w:rsidRPr="00680EB2">
        <w:t> </w:t>
      </w:r>
      <w:r w:rsidRPr="00680EB2">
        <w:t>4A</w:t>
      </w:r>
      <w:r w:rsidR="00690B7F" w:rsidRPr="00680EB2">
        <w:rPr>
          <w:szCs w:val="22"/>
        </w:rPr>
        <w:t xml:space="preserve"> conduct</w:t>
      </w:r>
      <w:r w:rsidRPr="00680EB2">
        <w:rPr>
          <w:szCs w:val="22"/>
        </w:rPr>
        <w:t>.</w:t>
      </w:r>
    </w:p>
    <w:p w:rsidR="00B60C93" w:rsidRPr="00680EB2" w:rsidRDefault="0006637B" w:rsidP="00B60C93">
      <w:pPr>
        <w:pStyle w:val="ActHead5"/>
      </w:pPr>
      <w:bookmarkStart w:id="44" w:name="_Toc473101275"/>
      <w:r w:rsidRPr="00680EB2">
        <w:rPr>
          <w:rStyle w:val="CharSectno"/>
        </w:rPr>
        <w:t>176</w:t>
      </w:r>
      <w:r w:rsidR="00690B7F" w:rsidRPr="00680EB2">
        <w:rPr>
          <w:rStyle w:val="CharSectno"/>
        </w:rPr>
        <w:t>L</w:t>
      </w:r>
      <w:r w:rsidR="00B60C93" w:rsidRPr="00680EB2">
        <w:t xml:space="preserve">  </w:t>
      </w:r>
      <w:r w:rsidR="00A64149" w:rsidRPr="00680EB2">
        <w:t>Adoption of finding</w:t>
      </w:r>
      <w:r w:rsidR="00CA43C5" w:rsidRPr="00680EB2">
        <w:t>s</w:t>
      </w:r>
      <w:bookmarkEnd w:id="44"/>
    </w:p>
    <w:p w:rsidR="00600ABC" w:rsidRPr="00680EB2" w:rsidRDefault="00A64149" w:rsidP="00B60C93">
      <w:pPr>
        <w:pStyle w:val="subsection"/>
        <w:rPr>
          <w:szCs w:val="22"/>
        </w:rPr>
      </w:pPr>
      <w:r w:rsidRPr="00680EB2">
        <w:rPr>
          <w:szCs w:val="22"/>
        </w:rPr>
        <w:tab/>
        <w:t>(1)</w:t>
      </w:r>
      <w:r w:rsidRPr="00680EB2">
        <w:rPr>
          <w:szCs w:val="22"/>
        </w:rPr>
        <w:tab/>
      </w:r>
      <w:r w:rsidR="00600ABC" w:rsidRPr="00680EB2">
        <w:rPr>
          <w:szCs w:val="22"/>
        </w:rPr>
        <w:t>In accordance with subsection</w:t>
      </w:r>
      <w:r w:rsidR="00680EB2" w:rsidRPr="00680EB2">
        <w:rPr>
          <w:szCs w:val="22"/>
        </w:rPr>
        <w:t> </w:t>
      </w:r>
      <w:r w:rsidR="00600ABC" w:rsidRPr="00680EB2">
        <w:rPr>
          <w:szCs w:val="22"/>
        </w:rPr>
        <w:t xml:space="preserve">337CC(2) of the Act, this regulation prescribes matters in relation to investigations under </w:t>
      </w:r>
      <w:r w:rsidR="00FD36A0" w:rsidRPr="00680EB2">
        <w:t>Division</w:t>
      </w:r>
      <w:r w:rsidR="00680EB2" w:rsidRPr="00680EB2">
        <w:t> </w:t>
      </w:r>
      <w:r w:rsidR="00FD36A0" w:rsidRPr="00680EB2">
        <w:t>3 of Part</w:t>
      </w:r>
      <w:r w:rsidR="00680EB2" w:rsidRPr="00680EB2">
        <w:t> </w:t>
      </w:r>
      <w:r w:rsidR="00FD36A0" w:rsidRPr="00680EB2">
        <w:t>4A of Chapter</w:t>
      </w:r>
      <w:r w:rsidR="00680EB2" w:rsidRPr="00680EB2">
        <w:t> </w:t>
      </w:r>
      <w:r w:rsidR="00FD36A0" w:rsidRPr="00680EB2">
        <w:t xml:space="preserve">11 of the Act (the </w:t>
      </w:r>
      <w:r w:rsidR="00FD36A0" w:rsidRPr="00680EB2">
        <w:rPr>
          <w:b/>
          <w:i/>
        </w:rPr>
        <w:t>investigation provisions</w:t>
      </w:r>
      <w:r w:rsidR="00FD36A0" w:rsidRPr="00680EB2">
        <w:t>).</w:t>
      </w:r>
    </w:p>
    <w:p w:rsidR="00A64149" w:rsidRPr="00680EB2" w:rsidRDefault="00A64149" w:rsidP="00A64149">
      <w:pPr>
        <w:pStyle w:val="subsection"/>
      </w:pPr>
      <w:r w:rsidRPr="00680EB2">
        <w:tab/>
        <w:t>(2)</w:t>
      </w:r>
      <w:r w:rsidRPr="00680EB2">
        <w:tab/>
        <w:t>The authorised official conducting an investigation under the investigation provisions may, for the purposes of the investigation, adopt a finding set out in the report of:</w:t>
      </w:r>
    </w:p>
    <w:p w:rsidR="00A64149" w:rsidRPr="00680EB2" w:rsidRDefault="00A64149" w:rsidP="00A64149">
      <w:pPr>
        <w:pStyle w:val="paragraph"/>
        <w:rPr>
          <w:szCs w:val="22"/>
        </w:rPr>
      </w:pPr>
      <w:r w:rsidRPr="00680EB2">
        <w:rPr>
          <w:szCs w:val="22"/>
        </w:rPr>
        <w:tab/>
        <w:t>(a)</w:t>
      </w:r>
      <w:r w:rsidRPr="00680EB2">
        <w:rPr>
          <w:szCs w:val="22"/>
        </w:rPr>
        <w:tab/>
        <w:t>an investigation or inquiry under:</w:t>
      </w:r>
    </w:p>
    <w:p w:rsidR="00A64149" w:rsidRPr="00680EB2" w:rsidRDefault="00A64149" w:rsidP="00A64149">
      <w:pPr>
        <w:pStyle w:val="paragraphsub"/>
        <w:rPr>
          <w:sz w:val="20"/>
        </w:rPr>
      </w:pPr>
      <w:r w:rsidRPr="00680EB2">
        <w:rPr>
          <w:sz w:val="20"/>
        </w:rPr>
        <w:tab/>
      </w:r>
      <w:r w:rsidRPr="00680EB2"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rPr>
          <w:sz w:val="20"/>
        </w:rPr>
        <w:tab/>
      </w:r>
      <w:r w:rsidRPr="00680EB2">
        <w:t>a law of the Commonwealth other than the investigation provisions; or</w:t>
      </w:r>
    </w:p>
    <w:p w:rsidR="00A64149" w:rsidRPr="00680EB2" w:rsidRDefault="00A64149" w:rsidP="00A64149">
      <w:pPr>
        <w:pStyle w:val="paragraphsub"/>
      </w:pPr>
      <w:r w:rsidRPr="00680EB2">
        <w:rPr>
          <w:sz w:val="20"/>
        </w:rPr>
        <w:tab/>
      </w:r>
      <w:r w:rsidRPr="00680EB2">
        <w:t>(ii)</w:t>
      </w:r>
      <w:r w:rsidRPr="00680EB2">
        <w:rPr>
          <w:sz w:val="20"/>
        </w:rPr>
        <w:tab/>
      </w:r>
      <w:r w:rsidRPr="00680EB2">
        <w:t>the executive power of the Commonwealth; or</w:t>
      </w:r>
    </w:p>
    <w:p w:rsidR="00A64149" w:rsidRPr="00680EB2" w:rsidRDefault="00A64149" w:rsidP="00A64149">
      <w:pPr>
        <w:pStyle w:val="paragraph"/>
      </w:pPr>
      <w:r w:rsidRPr="00680EB2">
        <w:tab/>
        <w:t>(b)</w:t>
      </w:r>
      <w:r w:rsidRPr="00680EB2">
        <w:tab/>
        <w:t>another investigation under the investigation provisions;</w:t>
      </w:r>
    </w:p>
    <w:p w:rsidR="00A64149" w:rsidRPr="00680EB2" w:rsidRDefault="00A64149" w:rsidP="00A64149">
      <w:pPr>
        <w:pStyle w:val="subsection2"/>
      </w:pPr>
      <w:r w:rsidRPr="00680EB2">
        <w:t>conducted by the authorised official or any other person</w:t>
      </w:r>
      <w:r w:rsidR="0006637B" w:rsidRPr="00680EB2">
        <w:t>.</w:t>
      </w:r>
    </w:p>
    <w:p w:rsidR="00BC3808" w:rsidRPr="00680EB2" w:rsidRDefault="00BC3808" w:rsidP="00BC3808">
      <w:pPr>
        <w:pStyle w:val="ActHead5"/>
      </w:pPr>
      <w:bookmarkStart w:id="45" w:name="_Toc473101276"/>
      <w:r w:rsidRPr="00680EB2">
        <w:rPr>
          <w:rStyle w:val="CharSectno"/>
        </w:rPr>
        <w:t>176M</w:t>
      </w:r>
      <w:r w:rsidRPr="00680EB2">
        <w:t xml:space="preserve">  Completion of investigation</w:t>
      </w:r>
      <w:bookmarkEnd w:id="45"/>
    </w:p>
    <w:p w:rsidR="00BC3808" w:rsidRPr="00680EB2" w:rsidRDefault="00BC3808" w:rsidP="00BC3808">
      <w:pPr>
        <w:pStyle w:val="subsection"/>
        <w:rPr>
          <w:szCs w:val="22"/>
        </w:rPr>
      </w:pPr>
      <w:r w:rsidRPr="00680EB2">
        <w:rPr>
          <w:szCs w:val="22"/>
        </w:rPr>
        <w:tab/>
        <w:t>(1)</w:t>
      </w:r>
      <w:r w:rsidRPr="00680EB2">
        <w:rPr>
          <w:szCs w:val="22"/>
        </w:rPr>
        <w:tab/>
        <w:t>In accordance with subsection</w:t>
      </w:r>
      <w:r w:rsidR="00680EB2" w:rsidRPr="00680EB2">
        <w:rPr>
          <w:szCs w:val="22"/>
        </w:rPr>
        <w:t> </w:t>
      </w:r>
      <w:r w:rsidRPr="00680EB2">
        <w:rPr>
          <w:szCs w:val="22"/>
        </w:rPr>
        <w:t xml:space="preserve">337CC(2) of the Act, this regulation prescribes </w:t>
      </w:r>
      <w:r w:rsidR="00805D5A" w:rsidRPr="00680EB2">
        <w:t xml:space="preserve">procedures to be followed and other </w:t>
      </w:r>
      <w:r w:rsidRPr="00680EB2">
        <w:rPr>
          <w:szCs w:val="22"/>
        </w:rPr>
        <w:t xml:space="preserve">matters in relation to investigations under </w:t>
      </w:r>
      <w:r w:rsidR="00FD36A0" w:rsidRPr="00680EB2">
        <w:t>Division</w:t>
      </w:r>
      <w:r w:rsidR="00680EB2" w:rsidRPr="00680EB2">
        <w:t> </w:t>
      </w:r>
      <w:r w:rsidR="00FD36A0" w:rsidRPr="00680EB2">
        <w:t>3 of Part</w:t>
      </w:r>
      <w:r w:rsidR="00680EB2" w:rsidRPr="00680EB2">
        <w:t> </w:t>
      </w:r>
      <w:r w:rsidR="00FD36A0" w:rsidRPr="00680EB2">
        <w:t>4A of Chapter</w:t>
      </w:r>
      <w:r w:rsidR="00680EB2" w:rsidRPr="00680EB2">
        <w:t> </w:t>
      </w:r>
      <w:r w:rsidR="00FD36A0" w:rsidRPr="00680EB2">
        <w:t xml:space="preserve">11 of the Act (the </w:t>
      </w:r>
      <w:r w:rsidR="00FD36A0" w:rsidRPr="00680EB2">
        <w:rPr>
          <w:b/>
          <w:i/>
        </w:rPr>
        <w:t>investigation provisions</w:t>
      </w:r>
      <w:r w:rsidR="00FD36A0" w:rsidRPr="00680EB2">
        <w:t>)</w:t>
      </w:r>
      <w:r w:rsidRPr="00680EB2">
        <w:rPr>
          <w:szCs w:val="22"/>
        </w:rPr>
        <w:t>.</w:t>
      </w:r>
    </w:p>
    <w:p w:rsidR="00BC3808" w:rsidRPr="00680EB2" w:rsidRDefault="00BC3808" w:rsidP="00BC3808">
      <w:pPr>
        <w:pStyle w:val="SubsectionHead"/>
      </w:pPr>
      <w:r w:rsidRPr="00680EB2">
        <w:t>Notice to discloser</w:t>
      </w:r>
    </w:p>
    <w:p w:rsidR="00BC3808" w:rsidRPr="00680EB2" w:rsidRDefault="00BC3808" w:rsidP="00BC3808">
      <w:pPr>
        <w:pStyle w:val="subsection"/>
      </w:pPr>
      <w:r w:rsidRPr="00680EB2">
        <w:rPr>
          <w:szCs w:val="22"/>
        </w:rPr>
        <w:tab/>
        <w:t>(2)</w:t>
      </w:r>
      <w:r w:rsidRPr="00680EB2">
        <w:rPr>
          <w:szCs w:val="22"/>
        </w:rPr>
        <w:tab/>
        <w:t xml:space="preserve">On completing an investigation under the investigation provisions, the </w:t>
      </w:r>
      <w:r w:rsidRPr="00680EB2">
        <w:t>authorised official</w:t>
      </w:r>
      <w:r w:rsidRPr="00680EB2">
        <w:rPr>
          <w:szCs w:val="22"/>
        </w:rPr>
        <w:t xml:space="preserve"> must, as soon as reasonably practicable</w:t>
      </w:r>
      <w:r w:rsidR="00FA2A90" w:rsidRPr="00680EB2">
        <w:rPr>
          <w:szCs w:val="22"/>
        </w:rPr>
        <w:t xml:space="preserve"> and subject to </w:t>
      </w:r>
      <w:proofErr w:type="spellStart"/>
      <w:r w:rsidR="00FA2A90" w:rsidRPr="00680EB2">
        <w:rPr>
          <w:szCs w:val="22"/>
        </w:rPr>
        <w:t>subregulation</w:t>
      </w:r>
      <w:proofErr w:type="spellEnd"/>
      <w:r w:rsidR="00680EB2" w:rsidRPr="00680EB2">
        <w:rPr>
          <w:szCs w:val="22"/>
        </w:rPr>
        <w:t> </w:t>
      </w:r>
      <w:r w:rsidR="00FA2A90" w:rsidRPr="00680EB2">
        <w:rPr>
          <w:szCs w:val="22"/>
        </w:rPr>
        <w:t>(4)</w:t>
      </w:r>
      <w:r w:rsidRPr="00680EB2">
        <w:rPr>
          <w:szCs w:val="22"/>
        </w:rPr>
        <w:t>, inform the dis</w:t>
      </w:r>
      <w:r w:rsidRPr="00680EB2">
        <w:t>closer of the following:</w:t>
      </w:r>
    </w:p>
    <w:p w:rsidR="00BC3808" w:rsidRPr="00680EB2" w:rsidRDefault="00BC3808" w:rsidP="00BC3808">
      <w:pPr>
        <w:pStyle w:val="paragraph"/>
      </w:pPr>
      <w:r w:rsidRPr="00680EB2">
        <w:tab/>
        <w:t>(a)</w:t>
      </w:r>
      <w:r w:rsidRPr="00680EB2">
        <w:tab/>
      </w:r>
      <w:r w:rsidR="00805D5A" w:rsidRPr="00680EB2">
        <w:t xml:space="preserve">that </w:t>
      </w:r>
      <w:r w:rsidRPr="00680EB2">
        <w:t xml:space="preserve">the authorised </w:t>
      </w:r>
      <w:r w:rsidR="00805D5A" w:rsidRPr="00680EB2">
        <w:t>official has completed the investigation;</w:t>
      </w:r>
    </w:p>
    <w:p w:rsidR="00BC4CDB" w:rsidRPr="00680EB2" w:rsidRDefault="00BC4CDB" w:rsidP="00BC3808">
      <w:pPr>
        <w:pStyle w:val="paragraph"/>
      </w:pPr>
      <w:r w:rsidRPr="00680EB2">
        <w:tab/>
        <w:t>(b)</w:t>
      </w:r>
      <w:r w:rsidRPr="00680EB2">
        <w:tab/>
      </w:r>
      <w:r w:rsidR="00A20438" w:rsidRPr="00680EB2">
        <w:t>whichever of the following apply:</w:t>
      </w:r>
    </w:p>
    <w:p w:rsidR="00BC4CDB" w:rsidRPr="00680EB2" w:rsidRDefault="00BC4CDB" w:rsidP="00BC4CDB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</w:r>
      <w:r w:rsidR="0094622B" w:rsidRPr="00680EB2">
        <w:t xml:space="preserve">that </w:t>
      </w:r>
      <w:r w:rsidR="00A20438" w:rsidRPr="00680EB2">
        <w:t xml:space="preserve">the </w:t>
      </w:r>
      <w:r w:rsidR="0081087F" w:rsidRPr="00680EB2">
        <w:t>authorised official will be taking further action</w:t>
      </w:r>
      <w:r w:rsidR="00A20438" w:rsidRPr="00680EB2">
        <w:t xml:space="preserve"> as a result of the investigation</w:t>
      </w:r>
      <w:r w:rsidR="0081087F" w:rsidRPr="00680EB2">
        <w:t>;</w:t>
      </w:r>
    </w:p>
    <w:p w:rsidR="0081087F" w:rsidRPr="00680EB2" w:rsidRDefault="0081087F" w:rsidP="00BC4CDB">
      <w:pPr>
        <w:pStyle w:val="paragraphsub"/>
      </w:pPr>
      <w:r w:rsidRPr="00680EB2">
        <w:tab/>
        <w:t>(ii)</w:t>
      </w:r>
      <w:r w:rsidRPr="00680EB2">
        <w:tab/>
      </w:r>
      <w:r w:rsidR="0094622B" w:rsidRPr="00680EB2">
        <w:t xml:space="preserve">that </w:t>
      </w:r>
      <w:r w:rsidR="00A20438" w:rsidRPr="00680EB2">
        <w:t xml:space="preserve">the authorised official has </w:t>
      </w:r>
      <w:r w:rsidR="00E93B18" w:rsidRPr="00680EB2">
        <w:t xml:space="preserve">recommended, </w:t>
      </w:r>
      <w:r w:rsidR="00A20438" w:rsidRPr="00680EB2">
        <w:t>or will be recommending</w:t>
      </w:r>
      <w:r w:rsidR="00E93B18" w:rsidRPr="00680EB2">
        <w:t>,</w:t>
      </w:r>
      <w:r w:rsidR="00A20438" w:rsidRPr="00680EB2">
        <w:t xml:space="preserve"> that a</w:t>
      </w:r>
      <w:r w:rsidR="00E75B4E" w:rsidRPr="00680EB2">
        <w:t xml:space="preserve"> </w:t>
      </w:r>
      <w:r w:rsidR="00556305" w:rsidRPr="00680EB2">
        <w:t>government authority</w:t>
      </w:r>
      <w:r w:rsidR="00A20438" w:rsidRPr="00680EB2">
        <w:t xml:space="preserve"> take action as a result of the investigation</w:t>
      </w:r>
      <w:r w:rsidR="00BE7B6A" w:rsidRPr="00680EB2">
        <w:t>, and the name of the authority</w:t>
      </w:r>
      <w:r w:rsidR="00A20438" w:rsidRPr="00680EB2">
        <w:t>;</w:t>
      </w:r>
    </w:p>
    <w:p w:rsidR="00A20438" w:rsidRPr="00680EB2" w:rsidRDefault="00A20438" w:rsidP="00BC4CDB">
      <w:pPr>
        <w:pStyle w:val="paragraphsub"/>
      </w:pPr>
      <w:r w:rsidRPr="00680EB2">
        <w:tab/>
        <w:t>(iii)</w:t>
      </w:r>
      <w:r w:rsidRPr="00680EB2">
        <w:tab/>
      </w:r>
      <w:r w:rsidR="00E75B4E" w:rsidRPr="00680EB2">
        <w:t xml:space="preserve">that </w:t>
      </w:r>
      <w:r w:rsidRPr="00680EB2">
        <w:t xml:space="preserve">the authorised official will not be taking further action, and has not </w:t>
      </w:r>
      <w:r w:rsidR="00E93B18" w:rsidRPr="00680EB2">
        <w:t xml:space="preserve">recommended, </w:t>
      </w:r>
      <w:r w:rsidRPr="00680EB2">
        <w:t>and will not be recommending</w:t>
      </w:r>
      <w:r w:rsidR="00E93B18" w:rsidRPr="00680EB2">
        <w:t>,</w:t>
      </w:r>
      <w:r w:rsidRPr="00680EB2">
        <w:t xml:space="preserve"> that a</w:t>
      </w:r>
      <w:r w:rsidR="00556305" w:rsidRPr="00680EB2">
        <w:t>ny government authority</w:t>
      </w:r>
      <w:r w:rsidRPr="00680EB2">
        <w:t xml:space="preserve"> take action, as a result of the investigation.</w:t>
      </w:r>
    </w:p>
    <w:p w:rsidR="0094622B" w:rsidRPr="00680EB2" w:rsidRDefault="0094622B" w:rsidP="0094622B">
      <w:pPr>
        <w:pStyle w:val="subsection"/>
      </w:pPr>
      <w:r w:rsidRPr="00680EB2">
        <w:tab/>
        <w:t>(3)</w:t>
      </w:r>
      <w:r w:rsidRPr="00680EB2">
        <w:tab/>
        <w:t xml:space="preserve">Each of the following is a </w:t>
      </w:r>
      <w:r w:rsidR="003E0932" w:rsidRPr="00680EB2">
        <w:rPr>
          <w:b/>
          <w:i/>
        </w:rPr>
        <w:t>government authority</w:t>
      </w:r>
      <w:r w:rsidRPr="00680EB2">
        <w:t>:</w:t>
      </w:r>
    </w:p>
    <w:p w:rsidR="0094622B" w:rsidRPr="00680EB2" w:rsidRDefault="0094622B" w:rsidP="0094622B">
      <w:pPr>
        <w:pStyle w:val="paragraph"/>
      </w:pPr>
      <w:r w:rsidRPr="00680EB2">
        <w:tab/>
        <w:t>(a)</w:t>
      </w:r>
      <w:r w:rsidRPr="00680EB2">
        <w:tab/>
        <w:t>the Commonwealth, a State or a Territory;</w:t>
      </w:r>
    </w:p>
    <w:p w:rsidR="0094622B" w:rsidRPr="00680EB2" w:rsidRDefault="0094622B" w:rsidP="0094622B">
      <w:pPr>
        <w:pStyle w:val="paragraph"/>
      </w:pPr>
      <w:r w:rsidRPr="00680EB2">
        <w:tab/>
        <w:t>(b)</w:t>
      </w:r>
      <w:r w:rsidRPr="00680EB2">
        <w:tab/>
        <w:t>an authority of the Commonwealth, a State or a Territory.</w:t>
      </w:r>
    </w:p>
    <w:p w:rsidR="00805D5A" w:rsidRPr="00680EB2" w:rsidRDefault="00805D5A" w:rsidP="00805D5A">
      <w:pPr>
        <w:pStyle w:val="subsection"/>
      </w:pPr>
      <w:r w:rsidRPr="00680EB2">
        <w:tab/>
        <w:t>(</w:t>
      </w:r>
      <w:r w:rsidR="00E75B4E" w:rsidRPr="00680EB2">
        <w:t>4</w:t>
      </w:r>
      <w:r w:rsidRPr="00680EB2">
        <w:t>)</w:t>
      </w:r>
      <w:r w:rsidRPr="00680EB2">
        <w:tab/>
      </w:r>
      <w:proofErr w:type="spellStart"/>
      <w:r w:rsidRPr="00680EB2">
        <w:t>Subregulation</w:t>
      </w:r>
      <w:proofErr w:type="spellEnd"/>
      <w:r w:rsidRPr="00680EB2">
        <w:t xml:space="preserve"> (2) does not apply if contacting the discloser is not reasonably practicable.</w:t>
      </w:r>
    </w:p>
    <w:p w:rsidR="00307D76" w:rsidRPr="00680EB2" w:rsidRDefault="00307D76" w:rsidP="00307D76">
      <w:pPr>
        <w:pStyle w:val="SubsectionHead"/>
      </w:pPr>
      <w:r w:rsidRPr="00680EB2">
        <w:t>Report</w:t>
      </w:r>
    </w:p>
    <w:p w:rsidR="00B60C93" w:rsidRPr="00680EB2" w:rsidRDefault="00A64149" w:rsidP="00B60C93">
      <w:pPr>
        <w:pStyle w:val="subsection"/>
        <w:rPr>
          <w:szCs w:val="22"/>
        </w:rPr>
      </w:pPr>
      <w:r w:rsidRPr="00680EB2">
        <w:rPr>
          <w:szCs w:val="22"/>
        </w:rPr>
        <w:tab/>
        <w:t>(</w:t>
      </w:r>
      <w:r w:rsidR="00E75B4E" w:rsidRPr="00680EB2">
        <w:rPr>
          <w:szCs w:val="22"/>
        </w:rPr>
        <w:t>5</w:t>
      </w:r>
      <w:r w:rsidRPr="00680EB2">
        <w:rPr>
          <w:szCs w:val="22"/>
        </w:rPr>
        <w:t>)</w:t>
      </w:r>
      <w:r w:rsidRPr="00680EB2">
        <w:rPr>
          <w:szCs w:val="22"/>
        </w:rPr>
        <w:tab/>
      </w:r>
      <w:r w:rsidR="00B60C93" w:rsidRPr="00680EB2">
        <w:rPr>
          <w:szCs w:val="22"/>
        </w:rPr>
        <w:t xml:space="preserve">On completing an investigation under </w:t>
      </w:r>
      <w:r w:rsidR="00600ABC" w:rsidRPr="00680EB2">
        <w:rPr>
          <w:szCs w:val="22"/>
        </w:rPr>
        <w:t xml:space="preserve">the </w:t>
      </w:r>
      <w:r w:rsidR="00830C51" w:rsidRPr="00680EB2">
        <w:rPr>
          <w:szCs w:val="22"/>
        </w:rPr>
        <w:t>investigation provisions</w:t>
      </w:r>
      <w:r w:rsidR="00B60C93" w:rsidRPr="00680EB2">
        <w:rPr>
          <w:szCs w:val="22"/>
        </w:rPr>
        <w:t xml:space="preserve">, the </w:t>
      </w:r>
      <w:r w:rsidR="00B60C93" w:rsidRPr="00680EB2">
        <w:t>authorised official</w:t>
      </w:r>
      <w:r w:rsidR="00B60C93" w:rsidRPr="00680EB2">
        <w:rPr>
          <w:szCs w:val="22"/>
        </w:rPr>
        <w:t xml:space="preserve"> must prepare a report of the investigation</w:t>
      </w:r>
      <w:r w:rsidR="0006637B" w:rsidRPr="00680EB2">
        <w:rPr>
          <w:szCs w:val="22"/>
        </w:rPr>
        <w:t>.</w:t>
      </w:r>
    </w:p>
    <w:p w:rsidR="00B60C93" w:rsidRPr="00680EB2" w:rsidRDefault="00805D5A" w:rsidP="00B60C93">
      <w:pPr>
        <w:pStyle w:val="subsection"/>
        <w:rPr>
          <w:sz w:val="20"/>
        </w:rPr>
      </w:pPr>
      <w:r w:rsidRPr="00680EB2">
        <w:rPr>
          <w:sz w:val="20"/>
        </w:rPr>
        <w:tab/>
        <w:t>(</w:t>
      </w:r>
      <w:r w:rsidR="00E75B4E" w:rsidRPr="00680EB2">
        <w:rPr>
          <w:sz w:val="20"/>
        </w:rPr>
        <w:t>6</w:t>
      </w:r>
      <w:r w:rsidR="00A64149" w:rsidRPr="00680EB2">
        <w:rPr>
          <w:sz w:val="20"/>
        </w:rPr>
        <w:t>)</w:t>
      </w:r>
      <w:r w:rsidR="00A64149" w:rsidRPr="00680EB2">
        <w:rPr>
          <w:sz w:val="20"/>
        </w:rPr>
        <w:tab/>
      </w:r>
      <w:r w:rsidR="00B60C93" w:rsidRPr="00680EB2">
        <w:t>The report must set out:</w:t>
      </w:r>
    </w:p>
    <w:p w:rsidR="00B60C93" w:rsidRPr="00680EB2" w:rsidRDefault="00B60C93" w:rsidP="00B60C93">
      <w:pPr>
        <w:pStyle w:val="paragraph"/>
        <w:rPr>
          <w:sz w:val="20"/>
        </w:rPr>
      </w:pPr>
      <w:r w:rsidRPr="00680EB2">
        <w:rPr>
          <w:sz w:val="20"/>
        </w:rPr>
        <w:tab/>
      </w:r>
      <w:r w:rsidRPr="00680EB2">
        <w:t>(a)</w:t>
      </w:r>
      <w:r w:rsidRPr="00680EB2">
        <w:rPr>
          <w:sz w:val="20"/>
        </w:rPr>
        <w:tab/>
      </w:r>
      <w:r w:rsidRPr="00680EB2">
        <w:t>the matters considered in the course of the investigation; and</w:t>
      </w:r>
    </w:p>
    <w:p w:rsidR="00B60C93" w:rsidRPr="00680EB2" w:rsidRDefault="00B60C93" w:rsidP="00B60C93">
      <w:pPr>
        <w:pStyle w:val="paragraph"/>
        <w:rPr>
          <w:sz w:val="20"/>
        </w:rPr>
      </w:pPr>
      <w:r w:rsidRPr="00680EB2">
        <w:rPr>
          <w:sz w:val="20"/>
        </w:rPr>
        <w:tab/>
      </w:r>
      <w:r w:rsidRPr="00680EB2">
        <w:t>(b)</w:t>
      </w:r>
      <w:r w:rsidRPr="00680EB2">
        <w:rPr>
          <w:sz w:val="20"/>
        </w:rPr>
        <w:tab/>
      </w:r>
      <w:r w:rsidRPr="00680EB2">
        <w:t>the duration of the investigation; and</w:t>
      </w:r>
    </w:p>
    <w:p w:rsidR="00B60C93" w:rsidRPr="00680EB2" w:rsidRDefault="00B60C93" w:rsidP="00B60C93">
      <w:pPr>
        <w:pStyle w:val="paragraph"/>
        <w:rPr>
          <w:sz w:val="20"/>
        </w:rPr>
      </w:pPr>
      <w:r w:rsidRPr="00680EB2">
        <w:rPr>
          <w:sz w:val="20"/>
        </w:rPr>
        <w:tab/>
      </w:r>
      <w:r w:rsidRPr="00680EB2">
        <w:t>(c)</w:t>
      </w:r>
      <w:r w:rsidRPr="00680EB2">
        <w:rPr>
          <w:sz w:val="20"/>
        </w:rPr>
        <w:tab/>
      </w:r>
      <w:r w:rsidRPr="00680EB2">
        <w:t>the authorised official</w:t>
      </w:r>
      <w:r w:rsidR="00E75B4E" w:rsidRPr="00680EB2">
        <w:t>’</w:t>
      </w:r>
      <w:r w:rsidRPr="00680EB2">
        <w:t>s findings (if any); and</w:t>
      </w:r>
    </w:p>
    <w:p w:rsidR="00B60C93" w:rsidRPr="00680EB2" w:rsidRDefault="00B60C93" w:rsidP="00B60C93">
      <w:pPr>
        <w:pStyle w:val="paragraph"/>
      </w:pPr>
      <w:r w:rsidRPr="00680EB2">
        <w:rPr>
          <w:sz w:val="20"/>
        </w:rPr>
        <w:tab/>
      </w:r>
      <w:r w:rsidRPr="00680EB2">
        <w:t>(d)</w:t>
      </w:r>
      <w:r w:rsidRPr="00680EB2">
        <w:rPr>
          <w:sz w:val="20"/>
        </w:rPr>
        <w:tab/>
      </w:r>
      <w:r w:rsidRPr="00680EB2">
        <w:t>the action (if any) that has been, is being, or is recommended to be, taken; and</w:t>
      </w:r>
    </w:p>
    <w:p w:rsidR="00B60C93" w:rsidRPr="00680EB2" w:rsidRDefault="00B60C93" w:rsidP="00B60C93">
      <w:pPr>
        <w:pStyle w:val="paragraph"/>
      </w:pPr>
      <w:r w:rsidRPr="00680EB2">
        <w:tab/>
        <w:t>(e)</w:t>
      </w:r>
      <w:r w:rsidRPr="00680EB2">
        <w:tab/>
        <w:t>any claims made about, and any evidence of, detrimental action taken against the discloser, and any response to those claims and that evidence</w:t>
      </w:r>
      <w:r w:rsidR="0006637B" w:rsidRPr="00680EB2">
        <w:t>.</w:t>
      </w:r>
    </w:p>
    <w:p w:rsidR="00A20438" w:rsidRPr="00680EB2" w:rsidRDefault="00805D5A" w:rsidP="00BC3808">
      <w:pPr>
        <w:pStyle w:val="subsection"/>
      </w:pPr>
      <w:r w:rsidRPr="00680EB2">
        <w:rPr>
          <w:sz w:val="20"/>
        </w:rPr>
        <w:tab/>
        <w:t>(</w:t>
      </w:r>
      <w:r w:rsidR="00E75B4E" w:rsidRPr="00680EB2">
        <w:rPr>
          <w:sz w:val="20"/>
        </w:rPr>
        <w:t>7</w:t>
      </w:r>
      <w:r w:rsidR="00A64149" w:rsidRPr="00680EB2">
        <w:rPr>
          <w:sz w:val="20"/>
        </w:rPr>
        <w:t>)</w:t>
      </w:r>
      <w:r w:rsidR="00A64149" w:rsidRPr="00680EB2">
        <w:rPr>
          <w:sz w:val="20"/>
        </w:rPr>
        <w:tab/>
      </w:r>
      <w:r w:rsidR="00B60C93" w:rsidRPr="00680EB2">
        <w:t>The authorised official must</w:t>
      </w:r>
      <w:r w:rsidR="00C1309A" w:rsidRPr="00680EB2">
        <w:t xml:space="preserve">, within 30 days after preparing the report under </w:t>
      </w:r>
      <w:proofErr w:type="spellStart"/>
      <w:r w:rsidR="00C1309A" w:rsidRPr="00680EB2">
        <w:t>subregulation</w:t>
      </w:r>
      <w:proofErr w:type="spellEnd"/>
      <w:r w:rsidR="00680EB2" w:rsidRPr="00680EB2">
        <w:t> </w:t>
      </w:r>
      <w:r w:rsidR="00C1309A" w:rsidRPr="00680EB2">
        <w:t>(</w:t>
      </w:r>
      <w:r w:rsidR="00E75B4E" w:rsidRPr="00680EB2">
        <w:t>5</w:t>
      </w:r>
      <w:r w:rsidR="00C1309A" w:rsidRPr="00680EB2">
        <w:t xml:space="preserve">), give </w:t>
      </w:r>
      <w:r w:rsidR="00BC3808" w:rsidRPr="00680EB2">
        <w:t xml:space="preserve">a copy of the report to another person or body if the </w:t>
      </w:r>
      <w:r w:rsidR="001867D0" w:rsidRPr="00680EB2">
        <w:t xml:space="preserve">report sets out action that is recommended to be taken by </w:t>
      </w:r>
      <w:r w:rsidR="00BC3808" w:rsidRPr="00680EB2">
        <w:t xml:space="preserve">the other </w:t>
      </w:r>
      <w:r w:rsidR="004878AC" w:rsidRPr="00680EB2">
        <w:t xml:space="preserve">person or </w:t>
      </w:r>
      <w:r w:rsidR="001867D0" w:rsidRPr="00680EB2">
        <w:t>bod</w:t>
      </w:r>
      <w:r w:rsidR="00BC3808" w:rsidRPr="00680EB2">
        <w:t>y.</w:t>
      </w:r>
    </w:p>
    <w:p w:rsidR="006B2CCD" w:rsidRPr="00680EB2" w:rsidRDefault="006B2CCD" w:rsidP="006B2CCD">
      <w:pPr>
        <w:pStyle w:val="subsection"/>
        <w:rPr>
          <w:szCs w:val="22"/>
        </w:rPr>
      </w:pPr>
      <w:r w:rsidRPr="00680EB2">
        <w:rPr>
          <w:szCs w:val="22"/>
        </w:rPr>
        <w:tab/>
        <w:t>(8)</w:t>
      </w:r>
      <w:r w:rsidRPr="00680EB2">
        <w:rPr>
          <w:szCs w:val="22"/>
        </w:rPr>
        <w:tab/>
        <w:t xml:space="preserve">The </w:t>
      </w:r>
      <w:r w:rsidRPr="00680EB2">
        <w:t>authorised official</w:t>
      </w:r>
      <w:r w:rsidRPr="00680EB2">
        <w:rPr>
          <w:szCs w:val="22"/>
        </w:rPr>
        <w:t xml:space="preserve"> may delete from </w:t>
      </w:r>
      <w:r w:rsidR="00E93B18" w:rsidRPr="00680EB2">
        <w:rPr>
          <w:szCs w:val="22"/>
        </w:rPr>
        <w:t>a</w:t>
      </w:r>
      <w:r w:rsidRPr="00680EB2">
        <w:rPr>
          <w:szCs w:val="22"/>
        </w:rPr>
        <w:t xml:space="preserve"> copy </w:t>
      </w:r>
      <w:r w:rsidR="00E93B18" w:rsidRPr="00680EB2">
        <w:rPr>
          <w:szCs w:val="22"/>
        </w:rPr>
        <w:t xml:space="preserve">of the report </w:t>
      </w:r>
      <w:r w:rsidRPr="00680EB2">
        <w:rPr>
          <w:szCs w:val="22"/>
        </w:rPr>
        <w:t xml:space="preserve">given to a person or body under </w:t>
      </w:r>
      <w:proofErr w:type="spellStart"/>
      <w:r w:rsidRPr="00680EB2">
        <w:rPr>
          <w:szCs w:val="22"/>
        </w:rPr>
        <w:t>subregulation</w:t>
      </w:r>
      <w:proofErr w:type="spellEnd"/>
      <w:r w:rsidR="00680EB2" w:rsidRPr="00680EB2">
        <w:rPr>
          <w:szCs w:val="22"/>
        </w:rPr>
        <w:t> </w:t>
      </w:r>
      <w:r w:rsidRPr="00680EB2">
        <w:rPr>
          <w:szCs w:val="22"/>
        </w:rPr>
        <w:t>(</w:t>
      </w:r>
      <w:r w:rsidR="00E93B18" w:rsidRPr="00680EB2">
        <w:rPr>
          <w:szCs w:val="22"/>
        </w:rPr>
        <w:t>7</w:t>
      </w:r>
      <w:r w:rsidRPr="00680EB2">
        <w:rPr>
          <w:szCs w:val="22"/>
        </w:rPr>
        <w:t>) any material:</w:t>
      </w:r>
    </w:p>
    <w:p w:rsidR="006B2CCD" w:rsidRPr="00680EB2" w:rsidRDefault="006B2CCD" w:rsidP="006B2CCD">
      <w:pPr>
        <w:pStyle w:val="paragraph"/>
      </w:pPr>
      <w:r w:rsidRPr="00680EB2">
        <w:tab/>
        <w:t>(a)</w:t>
      </w:r>
      <w:r w:rsidRPr="00680EB2">
        <w:tab/>
        <w:t>that is likely to enable the identification of the discloser or another person; or</w:t>
      </w:r>
    </w:p>
    <w:p w:rsidR="006B2CCD" w:rsidRPr="00680EB2" w:rsidRDefault="006B2CCD" w:rsidP="006B2CCD">
      <w:pPr>
        <w:pStyle w:val="paragraph"/>
      </w:pPr>
      <w:r w:rsidRPr="00680EB2">
        <w:tab/>
        <w:t>(b)</w:t>
      </w:r>
      <w:r w:rsidRPr="00680EB2">
        <w:tab/>
        <w:t>the inclusion of which would:</w:t>
      </w:r>
    </w:p>
    <w:p w:rsidR="006B2CCD" w:rsidRPr="00680EB2" w:rsidRDefault="006B2CCD" w:rsidP="006B2CCD">
      <w:pPr>
        <w:pStyle w:val="paragraphsub"/>
      </w:pPr>
      <w:r w:rsidRPr="00680EB2">
        <w:tab/>
        <w:t>(</w:t>
      </w:r>
      <w:proofErr w:type="spellStart"/>
      <w:r w:rsidRPr="00680EB2">
        <w:t>i</w:t>
      </w:r>
      <w:proofErr w:type="spellEnd"/>
      <w:r w:rsidRPr="00680EB2">
        <w:t>)</w:t>
      </w:r>
      <w:r w:rsidRPr="00680EB2">
        <w:tab/>
        <w:t>result in the copy being a document that is exempt for the purposes of Part</w:t>
      </w:r>
      <w:r w:rsidR="00680EB2" w:rsidRPr="00680EB2">
        <w:t> </w:t>
      </w:r>
      <w:r w:rsidRPr="00680EB2">
        <w:t xml:space="preserve">IV of the </w:t>
      </w:r>
      <w:r w:rsidRPr="00680EB2">
        <w:rPr>
          <w:i/>
        </w:rPr>
        <w:t>Freedom of Information Act 1982</w:t>
      </w:r>
      <w:r w:rsidRPr="00680EB2">
        <w:t>; or</w:t>
      </w:r>
    </w:p>
    <w:p w:rsidR="006B2CCD" w:rsidRPr="00680EB2" w:rsidRDefault="006B2CCD" w:rsidP="006B2CCD">
      <w:pPr>
        <w:pStyle w:val="paragraphsub"/>
      </w:pPr>
      <w:r w:rsidRPr="00680EB2">
        <w:tab/>
        <w:t>(ii)</w:t>
      </w:r>
      <w:r w:rsidRPr="00680EB2">
        <w:tab/>
        <w:t>contravene a designated publication restriction.</w:t>
      </w:r>
    </w:p>
    <w:p w:rsidR="00972E55" w:rsidRPr="00680EB2" w:rsidRDefault="00972E55" w:rsidP="00972E55">
      <w:pPr>
        <w:pStyle w:val="ActHead3"/>
      </w:pPr>
      <w:bookmarkStart w:id="46" w:name="_Toc473101277"/>
      <w:r w:rsidRPr="00680EB2">
        <w:rPr>
          <w:rStyle w:val="CharDivNo"/>
        </w:rPr>
        <w:t>Division</w:t>
      </w:r>
      <w:r w:rsidR="00680EB2" w:rsidRPr="00680EB2">
        <w:rPr>
          <w:rStyle w:val="CharDivNo"/>
        </w:rPr>
        <w:t> </w:t>
      </w:r>
      <w:r w:rsidRPr="00680EB2">
        <w:rPr>
          <w:rStyle w:val="CharDivNo"/>
        </w:rPr>
        <w:t>3</w:t>
      </w:r>
      <w:r w:rsidRPr="00680EB2">
        <w:t>—</w:t>
      </w:r>
      <w:r w:rsidRPr="00680EB2">
        <w:rPr>
          <w:rStyle w:val="CharDivText"/>
        </w:rPr>
        <w:t>Other matters</w:t>
      </w:r>
      <w:bookmarkEnd w:id="46"/>
    </w:p>
    <w:p w:rsidR="00DD0F7E" w:rsidRPr="00680EB2" w:rsidRDefault="003C7BB5" w:rsidP="003C7BB5">
      <w:pPr>
        <w:pStyle w:val="ActHead6"/>
        <w:pageBreakBefore/>
      </w:pPr>
      <w:bookmarkStart w:id="47" w:name="_Toc473101278"/>
      <w:bookmarkStart w:id="48" w:name="opcCurrentFind"/>
      <w:r w:rsidRPr="00680EB2">
        <w:rPr>
          <w:rStyle w:val="CharAmSchNo"/>
        </w:rPr>
        <w:t>Schedule</w:t>
      </w:r>
      <w:r w:rsidR="00680EB2" w:rsidRPr="00680EB2">
        <w:rPr>
          <w:rStyle w:val="CharAmSchNo"/>
        </w:rPr>
        <w:t> </w:t>
      </w:r>
      <w:r w:rsidRPr="00680EB2">
        <w:rPr>
          <w:rStyle w:val="CharAmSchNo"/>
        </w:rPr>
        <w:t>3</w:t>
      </w:r>
      <w:r w:rsidR="00DD0F7E" w:rsidRPr="00680EB2">
        <w:t>—</w:t>
      </w:r>
      <w:r w:rsidR="00DD0F7E" w:rsidRPr="00680EB2">
        <w:rPr>
          <w:rStyle w:val="CharAmSchText"/>
        </w:rPr>
        <w:t>Minor technical amendments</w:t>
      </w:r>
      <w:bookmarkEnd w:id="47"/>
    </w:p>
    <w:bookmarkEnd w:id="48"/>
    <w:p w:rsidR="00A82AA1" w:rsidRPr="00680EB2" w:rsidRDefault="00A82AA1" w:rsidP="00A82AA1">
      <w:pPr>
        <w:pStyle w:val="Header"/>
      </w:pPr>
      <w:r w:rsidRPr="00680EB2">
        <w:rPr>
          <w:rStyle w:val="CharAmPartNo"/>
        </w:rPr>
        <w:t xml:space="preserve"> </w:t>
      </w:r>
      <w:r w:rsidRPr="00680EB2">
        <w:rPr>
          <w:rStyle w:val="CharAmPartText"/>
        </w:rPr>
        <w:t xml:space="preserve"> </w:t>
      </w:r>
    </w:p>
    <w:p w:rsidR="00DD0F7E" w:rsidRPr="00680EB2" w:rsidRDefault="00DD0F7E" w:rsidP="00DD0F7E">
      <w:pPr>
        <w:pStyle w:val="ActHead9"/>
      </w:pPr>
      <w:bookmarkStart w:id="49" w:name="_Toc473101279"/>
      <w:r w:rsidRPr="00680EB2">
        <w:t>Fair Work (Registered Organisations) Regulations</w:t>
      </w:r>
      <w:r w:rsidR="00680EB2" w:rsidRPr="00680EB2">
        <w:t> </w:t>
      </w:r>
      <w:r w:rsidRPr="00680EB2">
        <w:t>2009</w:t>
      </w:r>
      <w:bookmarkEnd w:id="49"/>
    </w:p>
    <w:p w:rsidR="000F056C" w:rsidRPr="00680EB2" w:rsidRDefault="00027406" w:rsidP="007A6863">
      <w:pPr>
        <w:pStyle w:val="ItemHead"/>
      </w:pPr>
      <w:r w:rsidRPr="00680EB2">
        <w:t>1</w:t>
      </w:r>
      <w:r w:rsidR="000F056C" w:rsidRPr="00680EB2">
        <w:t xml:space="preserve">  Regulation</w:t>
      </w:r>
      <w:r w:rsidR="00680EB2" w:rsidRPr="00680EB2">
        <w:t> </w:t>
      </w:r>
      <w:r w:rsidR="000F056C" w:rsidRPr="00680EB2">
        <w:t>10 (heading)</w:t>
      </w:r>
    </w:p>
    <w:p w:rsidR="000F056C" w:rsidRPr="00680EB2" w:rsidRDefault="000F056C" w:rsidP="000F056C">
      <w:pPr>
        <w:pStyle w:val="Item"/>
      </w:pPr>
      <w:r w:rsidRPr="00680EB2">
        <w:t>Repeal the heading, substitute:</w:t>
      </w:r>
    </w:p>
    <w:p w:rsidR="000F056C" w:rsidRPr="00680EB2" w:rsidRDefault="000F056C" w:rsidP="000F056C">
      <w:pPr>
        <w:pStyle w:val="ActHead5"/>
      </w:pPr>
      <w:bookmarkStart w:id="50" w:name="_Toc473101280"/>
      <w:r w:rsidRPr="00680EB2">
        <w:rPr>
          <w:rStyle w:val="CharSectno"/>
        </w:rPr>
        <w:t>10</w:t>
      </w:r>
      <w:r w:rsidRPr="00680EB2">
        <w:t xml:space="preserve">  Prescribed State (</w:t>
      </w:r>
      <w:proofErr w:type="spellStart"/>
      <w:r w:rsidRPr="00680EB2">
        <w:t>Ch</w:t>
      </w:r>
      <w:proofErr w:type="spellEnd"/>
      <w:r w:rsidRPr="00680EB2">
        <w:t xml:space="preserve"> 11, Pt 7)</w:t>
      </w:r>
      <w:bookmarkEnd w:id="50"/>
    </w:p>
    <w:p w:rsidR="005669A6" w:rsidRPr="00680EB2" w:rsidRDefault="00027406" w:rsidP="007A6863">
      <w:pPr>
        <w:pStyle w:val="ItemHead"/>
      </w:pPr>
      <w:r w:rsidRPr="00680EB2">
        <w:t>2</w:t>
      </w:r>
      <w:r w:rsidR="005669A6" w:rsidRPr="00680EB2">
        <w:t xml:space="preserve">  Regulation</w:t>
      </w:r>
      <w:r w:rsidR="00680EB2" w:rsidRPr="00680EB2">
        <w:t> </w:t>
      </w:r>
      <w:r w:rsidR="005669A6" w:rsidRPr="00680EB2">
        <w:t>11</w:t>
      </w:r>
    </w:p>
    <w:p w:rsidR="005669A6" w:rsidRPr="00680EB2" w:rsidRDefault="005669A6" w:rsidP="005669A6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rPr>
          <w:i/>
        </w:rPr>
        <w:t>Industrial and Employee Relations Act 1994</w:t>
      </w:r>
      <w:r w:rsidRPr="00680EB2">
        <w:t xml:space="preserve"> (SA)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rPr>
          <w:i/>
        </w:rPr>
        <w:t>Fair Work Act 1994</w:t>
      </w:r>
      <w:r w:rsidRPr="00680EB2">
        <w:t xml:space="preserve"> (SA)</w:t>
      </w:r>
      <w:r w:rsidR="00E75B4E" w:rsidRPr="00680EB2">
        <w:t>”</w:t>
      </w:r>
      <w:r w:rsidR="0006637B" w:rsidRPr="00680EB2">
        <w:t>.</w:t>
      </w:r>
    </w:p>
    <w:p w:rsidR="00EF09BF" w:rsidRPr="00680EB2" w:rsidRDefault="00027406" w:rsidP="00295DBD">
      <w:pPr>
        <w:pStyle w:val="ItemHead"/>
      </w:pPr>
      <w:r w:rsidRPr="00680EB2">
        <w:t>3</w:t>
      </w:r>
      <w:r w:rsidR="00EF09BF" w:rsidRPr="00680EB2">
        <w:t xml:space="preserve">  Paragraph 17(a)</w:t>
      </w:r>
    </w:p>
    <w:p w:rsidR="00EF09BF" w:rsidRPr="00680EB2" w:rsidRDefault="00EF09BF" w:rsidP="00EF09BF">
      <w:pPr>
        <w:pStyle w:val="Item"/>
      </w:pPr>
      <w:r w:rsidRPr="00680EB2">
        <w:t xml:space="preserve">After </w:t>
      </w:r>
      <w:r w:rsidR="00E75B4E" w:rsidRPr="00680EB2">
        <w:t>“</w:t>
      </w:r>
      <w:r w:rsidRPr="00680EB2">
        <w:t>disk</w:t>
      </w:r>
      <w:r w:rsidR="00E75B4E" w:rsidRPr="00680EB2">
        <w:t>”</w:t>
      </w:r>
      <w:r w:rsidRPr="00680EB2">
        <w:t xml:space="preserve">, insert </w:t>
      </w:r>
      <w:r w:rsidR="00E75B4E" w:rsidRPr="00680EB2">
        <w:t>“</w:t>
      </w:r>
      <w:r w:rsidRPr="00680EB2">
        <w:t>or other storage device</w:t>
      </w:r>
      <w:r w:rsidR="00E75B4E" w:rsidRPr="00680EB2">
        <w:t>”</w:t>
      </w:r>
      <w:r w:rsidR="0006637B" w:rsidRPr="00680EB2">
        <w:t>.</w:t>
      </w:r>
    </w:p>
    <w:p w:rsidR="00E505DF" w:rsidRPr="00680EB2" w:rsidRDefault="00027406" w:rsidP="00E505DF">
      <w:pPr>
        <w:pStyle w:val="ItemHead"/>
      </w:pPr>
      <w:r w:rsidRPr="00680EB2">
        <w:t>4</w:t>
      </w:r>
      <w:r w:rsidR="00E505DF" w:rsidRPr="00680EB2">
        <w:t xml:space="preserve">  </w:t>
      </w:r>
      <w:proofErr w:type="spellStart"/>
      <w:r w:rsidR="003063F1" w:rsidRPr="00680EB2">
        <w:t>Subr</w:t>
      </w:r>
      <w:r w:rsidR="00A560C2" w:rsidRPr="00680EB2">
        <w:t>egulation</w:t>
      </w:r>
      <w:proofErr w:type="spellEnd"/>
      <w:r w:rsidR="00680EB2" w:rsidRPr="00680EB2">
        <w:t> </w:t>
      </w:r>
      <w:r w:rsidR="00E505DF" w:rsidRPr="00680EB2">
        <w:t>18(1) (at the end of example 2)</w:t>
      </w:r>
    </w:p>
    <w:p w:rsidR="00E505DF" w:rsidRPr="00680EB2" w:rsidRDefault="00E505DF" w:rsidP="00E505DF">
      <w:pPr>
        <w:pStyle w:val="Item"/>
      </w:pPr>
      <w:r w:rsidRPr="00680EB2">
        <w:t xml:space="preserve">Add </w:t>
      </w:r>
      <w:r w:rsidR="00E75B4E" w:rsidRPr="00680EB2">
        <w:t>“</w:t>
      </w:r>
      <w:r w:rsidRPr="00680EB2">
        <w:t xml:space="preserve">or </w:t>
      </w:r>
      <w:r w:rsidR="00CB63A5" w:rsidRPr="00680EB2">
        <w:t>other</w:t>
      </w:r>
      <w:r w:rsidRPr="00680EB2">
        <w:t xml:space="preserve"> storage device</w:t>
      </w:r>
      <w:r w:rsidR="00E75B4E" w:rsidRPr="00680EB2">
        <w:t>”</w:t>
      </w:r>
      <w:r w:rsidR="0006637B" w:rsidRPr="00680EB2">
        <w:t>.</w:t>
      </w:r>
    </w:p>
    <w:p w:rsidR="002B6D16" w:rsidRPr="00680EB2" w:rsidRDefault="00027406" w:rsidP="007A6863">
      <w:pPr>
        <w:pStyle w:val="ItemHead"/>
      </w:pPr>
      <w:r w:rsidRPr="00680EB2">
        <w:t>5</w:t>
      </w:r>
      <w:r w:rsidR="00A560C2" w:rsidRPr="00680EB2">
        <w:t xml:space="preserve">  </w:t>
      </w:r>
      <w:proofErr w:type="spellStart"/>
      <w:r w:rsidR="00A560C2" w:rsidRPr="00680EB2">
        <w:t>Subregulation</w:t>
      </w:r>
      <w:proofErr w:type="spellEnd"/>
      <w:r w:rsidR="00680EB2" w:rsidRPr="00680EB2">
        <w:t> </w:t>
      </w:r>
      <w:r w:rsidR="002B6D16" w:rsidRPr="00680EB2">
        <w:t>23(1)</w:t>
      </w:r>
    </w:p>
    <w:p w:rsidR="002B6D16" w:rsidRPr="00680EB2" w:rsidRDefault="002B6D16" w:rsidP="002B6D16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F13D4C" w:rsidRPr="00680EB2" w:rsidRDefault="00027406" w:rsidP="00F13D4C">
      <w:pPr>
        <w:pStyle w:val="ItemHead"/>
      </w:pPr>
      <w:r w:rsidRPr="00680EB2">
        <w:t>6</w:t>
      </w:r>
      <w:r w:rsidR="00F13D4C" w:rsidRPr="00680EB2">
        <w:t xml:space="preserve">  Paragraph 23(2)(b)</w:t>
      </w:r>
    </w:p>
    <w:p w:rsidR="00F13D4C" w:rsidRPr="00680EB2" w:rsidRDefault="00F13D4C" w:rsidP="00F13D4C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F13D4C" w:rsidRPr="00680EB2" w:rsidRDefault="00027406" w:rsidP="00F13D4C">
      <w:pPr>
        <w:pStyle w:val="ItemHead"/>
      </w:pPr>
      <w:r w:rsidRPr="00680EB2">
        <w:t>7</w:t>
      </w:r>
      <w:r w:rsidR="00A560C2" w:rsidRPr="00680EB2">
        <w:t xml:space="preserve">  </w:t>
      </w:r>
      <w:proofErr w:type="spellStart"/>
      <w:r w:rsidR="00A560C2" w:rsidRPr="00680EB2">
        <w:t>Subregulation</w:t>
      </w:r>
      <w:proofErr w:type="spellEnd"/>
      <w:r w:rsidR="00680EB2" w:rsidRPr="00680EB2">
        <w:t> </w:t>
      </w:r>
      <w:r w:rsidR="00F13D4C" w:rsidRPr="00680EB2">
        <w:t>23(4)</w:t>
      </w:r>
    </w:p>
    <w:p w:rsidR="00F13D4C" w:rsidRPr="00680EB2" w:rsidRDefault="00F13D4C" w:rsidP="00F13D4C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F13D4C" w:rsidRPr="00680EB2" w:rsidRDefault="00027406" w:rsidP="00F13D4C">
      <w:pPr>
        <w:pStyle w:val="ItemHead"/>
      </w:pPr>
      <w:r w:rsidRPr="00680EB2">
        <w:t>8</w:t>
      </w:r>
      <w:r w:rsidR="00F13D4C" w:rsidRPr="00680EB2">
        <w:t xml:space="preserve">  Paragraph 23(5)(a)</w:t>
      </w:r>
    </w:p>
    <w:p w:rsidR="00F13D4C" w:rsidRPr="00680EB2" w:rsidRDefault="00F13D4C" w:rsidP="00F13D4C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0F056C" w:rsidRPr="00680EB2" w:rsidRDefault="00027406" w:rsidP="000F056C">
      <w:pPr>
        <w:pStyle w:val="ItemHead"/>
      </w:pPr>
      <w:r w:rsidRPr="00680EB2">
        <w:t>9</w:t>
      </w:r>
      <w:r w:rsidR="000F056C" w:rsidRPr="00680EB2">
        <w:t xml:space="preserve">  Regulation</w:t>
      </w:r>
      <w:r w:rsidR="00680EB2" w:rsidRPr="00680EB2">
        <w:t> </w:t>
      </w:r>
      <w:r w:rsidR="000F056C" w:rsidRPr="00680EB2">
        <w:t>42 (heading)</w:t>
      </w:r>
    </w:p>
    <w:p w:rsidR="000F056C" w:rsidRPr="00680EB2" w:rsidRDefault="000F056C" w:rsidP="000F056C">
      <w:pPr>
        <w:pStyle w:val="Item"/>
      </w:pPr>
      <w:r w:rsidRPr="00680EB2">
        <w:t>Repeal the heading, substitute:</w:t>
      </w:r>
    </w:p>
    <w:p w:rsidR="000F056C" w:rsidRPr="00680EB2" w:rsidRDefault="001D1883" w:rsidP="001D1883">
      <w:pPr>
        <w:pStyle w:val="ActHead5"/>
      </w:pPr>
      <w:bookmarkStart w:id="51" w:name="_Toc473101281"/>
      <w:r w:rsidRPr="00680EB2">
        <w:rPr>
          <w:rStyle w:val="CharSectno"/>
        </w:rPr>
        <w:t>42</w:t>
      </w:r>
      <w:r w:rsidR="000F056C" w:rsidRPr="00680EB2">
        <w:t xml:space="preserve">  Application for ballot not conducted under section</w:t>
      </w:r>
      <w:r w:rsidR="00680EB2" w:rsidRPr="00680EB2">
        <w:t> </w:t>
      </w:r>
      <w:r w:rsidR="000F056C" w:rsidRPr="00680EB2">
        <w:t>65 of the Act (s 47(1))</w:t>
      </w:r>
      <w:bookmarkEnd w:id="51"/>
    </w:p>
    <w:p w:rsidR="00034879" w:rsidRPr="00680EB2" w:rsidRDefault="00027406" w:rsidP="00AD1B15">
      <w:pPr>
        <w:pStyle w:val="ItemHead"/>
      </w:pPr>
      <w:r w:rsidRPr="00680EB2">
        <w:t>10</w:t>
      </w:r>
      <w:r w:rsidR="00034879" w:rsidRPr="00680EB2">
        <w:t xml:space="preserve">  Paragraphs 69(1)(c) and (</w:t>
      </w:r>
      <w:proofErr w:type="spellStart"/>
      <w:r w:rsidR="00034879" w:rsidRPr="00680EB2">
        <w:t>i</w:t>
      </w:r>
      <w:proofErr w:type="spellEnd"/>
      <w:r w:rsidR="00034879" w:rsidRPr="00680EB2">
        <w:t>)</w:t>
      </w:r>
    </w:p>
    <w:p w:rsidR="00034879" w:rsidRPr="00680EB2" w:rsidRDefault="00034879" w:rsidP="0003487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RAO Schedule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Act</w:t>
      </w:r>
      <w:r w:rsidR="00E75B4E" w:rsidRPr="00680EB2">
        <w:t>”</w:t>
      </w:r>
      <w:r w:rsidR="0006637B" w:rsidRPr="00680EB2">
        <w:t>.</w:t>
      </w:r>
    </w:p>
    <w:p w:rsidR="00034879" w:rsidRPr="00680EB2" w:rsidRDefault="00027406" w:rsidP="00034879">
      <w:pPr>
        <w:pStyle w:val="ItemHead"/>
      </w:pPr>
      <w:r w:rsidRPr="00680EB2">
        <w:t>11</w:t>
      </w:r>
      <w:r w:rsidR="00A560C2" w:rsidRPr="00680EB2">
        <w:t xml:space="preserve">  </w:t>
      </w:r>
      <w:proofErr w:type="spellStart"/>
      <w:r w:rsidR="00A560C2" w:rsidRPr="00680EB2">
        <w:t>Subregulat</w:t>
      </w:r>
      <w:r w:rsidR="00034879" w:rsidRPr="00680EB2">
        <w:t>ion</w:t>
      </w:r>
      <w:proofErr w:type="spellEnd"/>
      <w:r w:rsidR="00680EB2" w:rsidRPr="00680EB2">
        <w:t> </w:t>
      </w:r>
      <w:r w:rsidR="00034879" w:rsidRPr="00680EB2">
        <w:t>69(4)</w:t>
      </w:r>
    </w:p>
    <w:p w:rsidR="00034879" w:rsidRPr="00680EB2" w:rsidRDefault="00034879" w:rsidP="00034879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RAO Schedule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Act</w:t>
      </w:r>
      <w:r w:rsidR="00E75B4E" w:rsidRPr="00680EB2">
        <w:t>”</w:t>
      </w:r>
      <w:r w:rsidR="0006637B" w:rsidRPr="00680EB2">
        <w:t>.</w:t>
      </w:r>
    </w:p>
    <w:p w:rsidR="00034879" w:rsidRPr="00680EB2" w:rsidRDefault="00027406" w:rsidP="00491CA7">
      <w:pPr>
        <w:pStyle w:val="ItemHead"/>
      </w:pPr>
      <w:r w:rsidRPr="00680EB2">
        <w:t>12</w:t>
      </w:r>
      <w:r w:rsidR="00034879" w:rsidRPr="00680EB2">
        <w:t xml:space="preserve">  </w:t>
      </w:r>
      <w:r w:rsidR="00A56EF4" w:rsidRPr="00680EB2">
        <w:t>Regulation</w:t>
      </w:r>
      <w:r w:rsidR="00680EB2" w:rsidRPr="00680EB2">
        <w:t> </w:t>
      </w:r>
      <w:r w:rsidR="00034879" w:rsidRPr="00680EB2">
        <w:t>114</w:t>
      </w:r>
      <w:r w:rsidR="00A560C2" w:rsidRPr="00680EB2">
        <w:t>A</w:t>
      </w:r>
      <w:r w:rsidR="00034879" w:rsidRPr="00680EB2">
        <w:t xml:space="preserve"> (heading)</w:t>
      </w:r>
    </w:p>
    <w:p w:rsidR="00034879" w:rsidRPr="00680EB2" w:rsidRDefault="00034879" w:rsidP="00034879">
      <w:pPr>
        <w:pStyle w:val="Item"/>
      </w:pPr>
      <w:r w:rsidRPr="00680EB2">
        <w:t>Repeal the heading, substitute:</w:t>
      </w:r>
    </w:p>
    <w:p w:rsidR="00034879" w:rsidRPr="00680EB2" w:rsidRDefault="00034879" w:rsidP="00034879">
      <w:pPr>
        <w:pStyle w:val="ActHead5"/>
      </w:pPr>
      <w:bookmarkStart w:id="52" w:name="_Toc473101282"/>
      <w:r w:rsidRPr="00680EB2">
        <w:rPr>
          <w:rStyle w:val="CharSectno"/>
        </w:rPr>
        <w:t>114A</w:t>
      </w:r>
      <w:r w:rsidRPr="00680EB2">
        <w:t xml:space="preserve">  Representation rights of former State</w:t>
      </w:r>
      <w:r w:rsidR="00680EB2">
        <w:noBreakHyphen/>
      </w:r>
      <w:r w:rsidRPr="00680EB2">
        <w:t>registered association subject to demarcation order—transitional recognition without demarcation order and no previous order under Chapter</w:t>
      </w:r>
      <w:r w:rsidR="00680EB2" w:rsidRPr="00680EB2">
        <w:t> </w:t>
      </w:r>
      <w:r w:rsidRPr="00680EB2">
        <w:t>4 of the Act (section</w:t>
      </w:r>
      <w:r w:rsidR="00680EB2" w:rsidRPr="00680EB2">
        <w:t> </w:t>
      </w:r>
      <w:r w:rsidRPr="00680EB2">
        <w:t>138A)</w:t>
      </w:r>
      <w:bookmarkEnd w:id="52"/>
    </w:p>
    <w:p w:rsidR="00A667D0" w:rsidRPr="00680EB2" w:rsidRDefault="00027406" w:rsidP="00491CA7">
      <w:pPr>
        <w:pStyle w:val="ItemHead"/>
      </w:pPr>
      <w:r w:rsidRPr="00680EB2">
        <w:t>13</w:t>
      </w:r>
      <w:r w:rsidR="00A560C2" w:rsidRPr="00680EB2">
        <w:t xml:space="preserve">  </w:t>
      </w:r>
      <w:proofErr w:type="spellStart"/>
      <w:r w:rsidR="00A560C2" w:rsidRPr="00680EB2">
        <w:t>Subregulati</w:t>
      </w:r>
      <w:r w:rsidR="001D1883" w:rsidRPr="00680EB2">
        <w:t>ons</w:t>
      </w:r>
      <w:proofErr w:type="spellEnd"/>
      <w:r w:rsidR="00680EB2" w:rsidRPr="00680EB2">
        <w:t> </w:t>
      </w:r>
      <w:r w:rsidR="001D1883" w:rsidRPr="00680EB2">
        <w:t>114E(2</w:t>
      </w:r>
      <w:r w:rsidR="00A667D0" w:rsidRPr="00680EB2">
        <w:t>)</w:t>
      </w:r>
      <w:r w:rsidR="000A3A32" w:rsidRPr="00680EB2">
        <w:t xml:space="preserve">, </w:t>
      </w:r>
      <w:r w:rsidR="00A667D0" w:rsidRPr="00680EB2">
        <w:t>(3)</w:t>
      </w:r>
      <w:r w:rsidR="000A3A32" w:rsidRPr="00680EB2">
        <w:t xml:space="preserve"> and (4) and 114F(2), (3) and (4)</w:t>
      </w:r>
    </w:p>
    <w:p w:rsidR="00A667D0" w:rsidRPr="00680EB2" w:rsidRDefault="00A667D0" w:rsidP="00A667D0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="000A3A32" w:rsidRPr="00680EB2">
        <w:t xml:space="preserve"> (wherever occurring)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1D1883" w:rsidRPr="00680EB2" w:rsidRDefault="00027406" w:rsidP="00780F63">
      <w:pPr>
        <w:pStyle w:val="ItemHead"/>
      </w:pPr>
      <w:r w:rsidRPr="00680EB2">
        <w:t>14</w:t>
      </w:r>
      <w:r w:rsidR="001D1883" w:rsidRPr="00680EB2">
        <w:t xml:space="preserve">  </w:t>
      </w:r>
      <w:proofErr w:type="spellStart"/>
      <w:r w:rsidR="001D1883" w:rsidRPr="00680EB2">
        <w:t>Subregulation</w:t>
      </w:r>
      <w:r w:rsidR="00891CE5" w:rsidRPr="00680EB2">
        <w:t>s</w:t>
      </w:r>
      <w:proofErr w:type="spellEnd"/>
      <w:r w:rsidR="00680EB2" w:rsidRPr="00680EB2">
        <w:t> </w:t>
      </w:r>
      <w:r w:rsidR="001D1883" w:rsidRPr="00680EB2">
        <w:t>133(1)</w:t>
      </w:r>
      <w:r w:rsidR="00891CE5" w:rsidRPr="00680EB2">
        <w:t xml:space="preserve"> and 135(1)</w:t>
      </w:r>
    </w:p>
    <w:p w:rsidR="001D1883" w:rsidRPr="00680EB2" w:rsidRDefault="001D1883" w:rsidP="001D1883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RAO Schedule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Act</w:t>
      </w:r>
      <w:r w:rsidR="00E75B4E" w:rsidRPr="00680EB2">
        <w:t>”</w:t>
      </w:r>
      <w:r w:rsidR="0006637B" w:rsidRPr="00680EB2">
        <w:t>.</w:t>
      </w:r>
    </w:p>
    <w:p w:rsidR="006A2D57" w:rsidRPr="00680EB2" w:rsidRDefault="00027406" w:rsidP="004F62A4">
      <w:pPr>
        <w:pStyle w:val="ItemHead"/>
      </w:pPr>
      <w:r w:rsidRPr="00680EB2">
        <w:t>15</w:t>
      </w:r>
      <w:r w:rsidR="006A2D57" w:rsidRPr="00680EB2">
        <w:t xml:space="preserve">  </w:t>
      </w:r>
      <w:proofErr w:type="spellStart"/>
      <w:r w:rsidR="004F62A4" w:rsidRPr="00680EB2">
        <w:t>Subregulation</w:t>
      </w:r>
      <w:proofErr w:type="spellEnd"/>
      <w:r w:rsidR="00680EB2" w:rsidRPr="00680EB2">
        <w:t> </w:t>
      </w:r>
      <w:r w:rsidR="004F62A4" w:rsidRPr="00680EB2">
        <w:t>152(2)</w:t>
      </w:r>
    </w:p>
    <w:p w:rsidR="004F62A4" w:rsidRPr="00680EB2" w:rsidRDefault="004F62A4" w:rsidP="004F62A4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t>amalgamation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>exemption</w:t>
      </w:r>
      <w:r w:rsidR="00E75B4E" w:rsidRPr="00680EB2">
        <w:t>”</w:t>
      </w:r>
      <w:r w:rsidR="0006637B" w:rsidRPr="00680EB2">
        <w:t>.</w:t>
      </w:r>
    </w:p>
    <w:p w:rsidR="004F62A4" w:rsidRPr="00680EB2" w:rsidRDefault="00027406" w:rsidP="004F62A4">
      <w:pPr>
        <w:pStyle w:val="ItemHead"/>
      </w:pPr>
      <w:r w:rsidRPr="00680EB2">
        <w:t>16</w:t>
      </w:r>
      <w:r w:rsidR="004F62A4" w:rsidRPr="00680EB2">
        <w:t xml:space="preserve">  Paragraph 163(1)(a)</w:t>
      </w:r>
    </w:p>
    <w:p w:rsidR="004F62A4" w:rsidRPr="00680EB2" w:rsidRDefault="004F62A4" w:rsidP="004F62A4">
      <w:pPr>
        <w:pStyle w:val="Item"/>
      </w:pPr>
      <w:r w:rsidRPr="00680EB2">
        <w:t xml:space="preserve">Omit </w:t>
      </w:r>
      <w:r w:rsidR="00E75B4E" w:rsidRPr="00680EB2">
        <w:t>“</w:t>
      </w:r>
      <w:r w:rsidRPr="00680EB2">
        <w:rPr>
          <w:i/>
        </w:rPr>
        <w:t>Industrial and Employee Relations Act 1994</w:t>
      </w:r>
      <w:r w:rsidRPr="00680EB2">
        <w:t xml:space="preserve"> (SA)</w:t>
      </w:r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rPr>
          <w:i/>
        </w:rPr>
        <w:t>Fair Work Act 1994</w:t>
      </w:r>
      <w:r w:rsidRPr="00680EB2">
        <w:t xml:space="preserve"> (SA)</w:t>
      </w:r>
      <w:r w:rsidR="00E75B4E" w:rsidRPr="00680EB2">
        <w:t>”</w:t>
      </w:r>
      <w:r w:rsidR="0006637B" w:rsidRPr="00680EB2">
        <w:t>.</w:t>
      </w:r>
    </w:p>
    <w:p w:rsidR="00A667D0" w:rsidRPr="00680EB2" w:rsidRDefault="00027406" w:rsidP="00A667D0">
      <w:pPr>
        <w:pStyle w:val="ItemHead"/>
      </w:pPr>
      <w:r w:rsidRPr="00680EB2">
        <w:t>17</w:t>
      </w:r>
      <w:r w:rsidR="00A667D0" w:rsidRPr="00680EB2">
        <w:t xml:space="preserve">  Paragraph 1</w:t>
      </w:r>
      <w:r w:rsidR="0006637B" w:rsidRPr="00680EB2">
        <w:t>.</w:t>
      </w:r>
      <w:r w:rsidR="00A667D0" w:rsidRPr="00680EB2">
        <w:t>7(1)(b) of Schedule</w:t>
      </w:r>
      <w:r w:rsidR="00680EB2" w:rsidRPr="00680EB2">
        <w:t> </w:t>
      </w:r>
      <w:r w:rsidR="00A667D0" w:rsidRPr="00680EB2">
        <w:t>1</w:t>
      </w:r>
    </w:p>
    <w:p w:rsidR="00A667D0" w:rsidRPr="00680EB2" w:rsidRDefault="00A667D0" w:rsidP="00A667D0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D71994" w:rsidRPr="00680EB2" w:rsidRDefault="00027406" w:rsidP="00D71994">
      <w:pPr>
        <w:pStyle w:val="ItemHead"/>
      </w:pPr>
      <w:r w:rsidRPr="00680EB2">
        <w:t>18</w:t>
      </w:r>
      <w:r w:rsidR="00D71994" w:rsidRPr="00680EB2">
        <w:t xml:space="preserve">  Subclause</w:t>
      </w:r>
      <w:r w:rsidR="00680EB2" w:rsidRPr="00680EB2">
        <w:t> </w:t>
      </w:r>
      <w:r w:rsidR="00D71994" w:rsidRPr="00680EB2">
        <w:t>1</w:t>
      </w:r>
      <w:r w:rsidR="0006637B" w:rsidRPr="00680EB2">
        <w:t>.</w:t>
      </w:r>
      <w:r w:rsidR="00D71994" w:rsidRPr="00680EB2">
        <w:t>7A(1) of Schedule</w:t>
      </w:r>
      <w:r w:rsidR="00680EB2" w:rsidRPr="00680EB2">
        <w:t> </w:t>
      </w:r>
      <w:r w:rsidR="00D71994" w:rsidRPr="00680EB2">
        <w:t>1</w:t>
      </w:r>
    </w:p>
    <w:p w:rsidR="00D71994" w:rsidRPr="00680EB2" w:rsidRDefault="00D71994" w:rsidP="00D71994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125DDC" w:rsidRPr="00680EB2" w:rsidRDefault="00027406" w:rsidP="00D71994">
      <w:pPr>
        <w:pStyle w:val="ItemHead"/>
      </w:pPr>
      <w:r w:rsidRPr="00680EB2">
        <w:t>19</w:t>
      </w:r>
      <w:r w:rsidR="00125DDC" w:rsidRPr="00680EB2">
        <w:t xml:space="preserve">  Subclause</w:t>
      </w:r>
      <w:r w:rsidR="00680EB2" w:rsidRPr="00680EB2">
        <w:t> </w:t>
      </w:r>
      <w:r w:rsidR="00125DDC" w:rsidRPr="00680EB2">
        <w:t>1</w:t>
      </w:r>
      <w:r w:rsidR="0006637B" w:rsidRPr="00680EB2">
        <w:t>.</w:t>
      </w:r>
      <w:r w:rsidR="00125DDC" w:rsidRPr="00680EB2">
        <w:t>7A(2) of Schedule</w:t>
      </w:r>
      <w:r w:rsidR="00680EB2" w:rsidRPr="00680EB2">
        <w:t> </w:t>
      </w:r>
      <w:r w:rsidR="00125DDC" w:rsidRPr="00680EB2">
        <w:t>1</w:t>
      </w:r>
    </w:p>
    <w:p w:rsidR="00125DDC" w:rsidRPr="00680EB2" w:rsidRDefault="00125DDC" w:rsidP="00125DDC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D71994" w:rsidRPr="00680EB2" w:rsidRDefault="00027406" w:rsidP="00D71994">
      <w:pPr>
        <w:pStyle w:val="ItemHead"/>
      </w:pPr>
      <w:r w:rsidRPr="00680EB2">
        <w:t>20</w:t>
      </w:r>
      <w:r w:rsidR="00D71994" w:rsidRPr="00680EB2">
        <w:t xml:space="preserve">  </w:t>
      </w:r>
      <w:r w:rsidR="00E108FD" w:rsidRPr="00680EB2">
        <w:t>Subclause</w:t>
      </w:r>
      <w:r w:rsidR="00680EB2" w:rsidRPr="00680EB2">
        <w:t> </w:t>
      </w:r>
      <w:r w:rsidR="00D71994" w:rsidRPr="00680EB2">
        <w:t>1</w:t>
      </w:r>
      <w:r w:rsidR="0006637B" w:rsidRPr="00680EB2">
        <w:t>.</w:t>
      </w:r>
      <w:r w:rsidR="00D71994" w:rsidRPr="00680EB2">
        <w:t>7A(3) of Schedule</w:t>
      </w:r>
      <w:r w:rsidR="00680EB2" w:rsidRPr="00680EB2">
        <w:t> </w:t>
      </w:r>
      <w:r w:rsidR="00D71994" w:rsidRPr="00680EB2">
        <w:t>1</w:t>
      </w:r>
    </w:p>
    <w:p w:rsidR="00D71994" w:rsidRPr="00680EB2" w:rsidRDefault="00D71994" w:rsidP="00D71994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="00E108FD" w:rsidRPr="00680EB2">
        <w:t xml:space="preserve"> (wherever occurring)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D71994" w:rsidRPr="00680EB2" w:rsidRDefault="00027406" w:rsidP="00D71994">
      <w:pPr>
        <w:pStyle w:val="ItemHead"/>
      </w:pPr>
      <w:r w:rsidRPr="00680EB2">
        <w:t>21</w:t>
      </w:r>
      <w:r w:rsidR="00D71994" w:rsidRPr="00680EB2">
        <w:t xml:space="preserve">  </w:t>
      </w:r>
      <w:r w:rsidR="00D24B3F" w:rsidRPr="00680EB2">
        <w:t>Subclause</w:t>
      </w:r>
      <w:r w:rsidR="00680EB2" w:rsidRPr="00680EB2">
        <w:t> </w:t>
      </w:r>
      <w:r w:rsidR="00D71994" w:rsidRPr="00680EB2">
        <w:t>1</w:t>
      </w:r>
      <w:r w:rsidR="0006637B" w:rsidRPr="00680EB2">
        <w:t>.</w:t>
      </w:r>
      <w:r w:rsidR="00D71994" w:rsidRPr="00680EB2">
        <w:t>7A(4) of Schedule</w:t>
      </w:r>
      <w:r w:rsidR="00680EB2" w:rsidRPr="00680EB2">
        <w:t> </w:t>
      </w:r>
      <w:r w:rsidR="00D71994" w:rsidRPr="00680EB2">
        <w:t>1</w:t>
      </w:r>
    </w:p>
    <w:p w:rsidR="00D71994" w:rsidRPr="00680EB2" w:rsidRDefault="00D71994" w:rsidP="00D71994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2A3867" w:rsidRPr="00680EB2" w:rsidRDefault="00027406" w:rsidP="002A3867">
      <w:pPr>
        <w:pStyle w:val="ItemHead"/>
      </w:pPr>
      <w:r w:rsidRPr="00680EB2">
        <w:t>22</w:t>
      </w:r>
      <w:r w:rsidR="002A3867" w:rsidRPr="00680EB2">
        <w:t xml:space="preserve">  Clause</w:t>
      </w:r>
      <w:r w:rsidR="0009313E" w:rsidRPr="00680EB2">
        <w:t>s</w:t>
      </w:r>
      <w:r w:rsidR="00680EB2" w:rsidRPr="00680EB2">
        <w:t> </w:t>
      </w:r>
      <w:r w:rsidR="002A3867" w:rsidRPr="00680EB2">
        <w:t>1</w:t>
      </w:r>
      <w:r w:rsidR="0006637B" w:rsidRPr="00680EB2">
        <w:t>.</w:t>
      </w:r>
      <w:r w:rsidR="002A3867" w:rsidRPr="00680EB2">
        <w:t>8</w:t>
      </w:r>
      <w:r w:rsidR="0009313E" w:rsidRPr="00680EB2">
        <w:t>, 1</w:t>
      </w:r>
      <w:r w:rsidR="0006637B" w:rsidRPr="00680EB2">
        <w:t>.</w:t>
      </w:r>
      <w:r w:rsidR="0009313E" w:rsidRPr="00680EB2">
        <w:t>9 and 1</w:t>
      </w:r>
      <w:r w:rsidR="0006637B" w:rsidRPr="00680EB2">
        <w:t>.</w:t>
      </w:r>
      <w:r w:rsidR="0009313E" w:rsidRPr="00680EB2">
        <w:t>10</w:t>
      </w:r>
      <w:r w:rsidR="002A3867" w:rsidRPr="00680EB2">
        <w:t xml:space="preserve"> of Schedule</w:t>
      </w:r>
      <w:r w:rsidR="00680EB2" w:rsidRPr="00680EB2">
        <w:t> </w:t>
      </w:r>
      <w:r w:rsidR="002A3867" w:rsidRPr="00680EB2">
        <w:t>1</w:t>
      </w:r>
    </w:p>
    <w:p w:rsidR="002A3867" w:rsidRPr="00680EB2" w:rsidRDefault="002A3867" w:rsidP="002A3867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1D1A03" w:rsidRPr="00680EB2" w:rsidRDefault="00027406" w:rsidP="001D1A03">
      <w:pPr>
        <w:pStyle w:val="ItemHead"/>
      </w:pPr>
      <w:r w:rsidRPr="00680EB2">
        <w:t>23</w:t>
      </w:r>
      <w:r w:rsidR="001D1A03" w:rsidRPr="00680EB2">
        <w:t xml:space="preserve">  Clause</w:t>
      </w:r>
      <w:r w:rsidR="00680EB2" w:rsidRPr="00680EB2">
        <w:t> </w:t>
      </w:r>
      <w:r w:rsidR="001D1A03" w:rsidRPr="00680EB2">
        <w:t>2</w:t>
      </w:r>
      <w:r w:rsidR="0006637B" w:rsidRPr="00680EB2">
        <w:t>.</w:t>
      </w:r>
      <w:r w:rsidR="001D1A03" w:rsidRPr="00680EB2">
        <w:t>1</w:t>
      </w:r>
      <w:r w:rsidR="0009313E" w:rsidRPr="00680EB2">
        <w:t xml:space="preserve"> </w:t>
      </w:r>
      <w:r w:rsidR="001D1A03" w:rsidRPr="00680EB2">
        <w:t>of Schedule</w:t>
      </w:r>
      <w:r w:rsidR="00680EB2" w:rsidRPr="00680EB2">
        <w:t> </w:t>
      </w:r>
      <w:r w:rsidR="001D1A03" w:rsidRPr="00680EB2">
        <w:t>2</w:t>
      </w:r>
    </w:p>
    <w:p w:rsidR="001D1A03" w:rsidRPr="00680EB2" w:rsidRDefault="001D1A03" w:rsidP="001D1A03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p w:rsidR="005669A6" w:rsidRPr="00680EB2" w:rsidRDefault="00027406" w:rsidP="005669A6">
      <w:pPr>
        <w:pStyle w:val="ItemHead"/>
      </w:pPr>
      <w:r w:rsidRPr="00680EB2">
        <w:t>24</w:t>
      </w:r>
      <w:r w:rsidR="005669A6" w:rsidRPr="00680EB2">
        <w:t xml:space="preserve">  Clause</w:t>
      </w:r>
      <w:r w:rsidR="00680EB2" w:rsidRPr="00680EB2">
        <w:t> </w:t>
      </w:r>
      <w:r w:rsidR="005669A6" w:rsidRPr="00680EB2">
        <w:t>2</w:t>
      </w:r>
      <w:r w:rsidR="0006637B" w:rsidRPr="00680EB2">
        <w:t>.</w:t>
      </w:r>
      <w:r w:rsidR="005669A6" w:rsidRPr="00680EB2">
        <w:t>2 of Schedule</w:t>
      </w:r>
      <w:r w:rsidR="00680EB2" w:rsidRPr="00680EB2">
        <w:t> </w:t>
      </w:r>
      <w:r w:rsidR="005669A6" w:rsidRPr="00680EB2">
        <w:t>2</w:t>
      </w:r>
    </w:p>
    <w:p w:rsidR="005669A6" w:rsidRPr="00680EB2" w:rsidRDefault="005669A6" w:rsidP="005669A6">
      <w:pPr>
        <w:pStyle w:val="Item"/>
      </w:pPr>
      <w:r w:rsidRPr="00680EB2">
        <w:t xml:space="preserve">Omit </w:t>
      </w:r>
      <w:r w:rsidR="00E75B4E" w:rsidRPr="00680EB2">
        <w:t>“</w:t>
      </w:r>
      <w:proofErr w:type="spellStart"/>
      <w:r w:rsidRPr="00680EB2">
        <w:t>FWA</w:t>
      </w:r>
      <w:proofErr w:type="spellEnd"/>
      <w:r w:rsidR="00E75B4E" w:rsidRPr="00680EB2">
        <w:t>”</w:t>
      </w:r>
      <w:r w:rsidRPr="00680EB2">
        <w:t xml:space="preserve"> (wherever occurring), substitute </w:t>
      </w:r>
      <w:r w:rsidR="00E75B4E" w:rsidRPr="00680EB2">
        <w:t>“</w:t>
      </w:r>
      <w:r w:rsidRPr="00680EB2">
        <w:t xml:space="preserve">the </w:t>
      </w:r>
      <w:proofErr w:type="spellStart"/>
      <w:r w:rsidRPr="00680EB2">
        <w:t>FWC</w:t>
      </w:r>
      <w:proofErr w:type="spellEnd"/>
      <w:r w:rsidR="00E75B4E" w:rsidRPr="00680EB2">
        <w:t>”</w:t>
      </w:r>
      <w:r w:rsidR="0006637B" w:rsidRPr="00680EB2">
        <w:t>.</w:t>
      </w:r>
    </w:p>
    <w:sectPr w:rsidR="005669A6" w:rsidRPr="00680EB2" w:rsidSect="002841B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78" w:rsidRDefault="00F10D78" w:rsidP="0048364F">
      <w:pPr>
        <w:spacing w:line="240" w:lineRule="auto"/>
      </w:pPr>
      <w:r>
        <w:separator/>
      </w:r>
    </w:p>
  </w:endnote>
  <w:endnote w:type="continuationSeparator" w:id="0">
    <w:p w:rsidR="00F10D78" w:rsidRDefault="00F10D7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2841B5" w:rsidRDefault="00F10D78" w:rsidP="002841B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841B5">
      <w:rPr>
        <w:i/>
        <w:sz w:val="18"/>
      </w:rPr>
      <w:t xml:space="preserve"> </w:t>
    </w:r>
    <w:r w:rsidR="002841B5" w:rsidRPr="002841B5">
      <w:rPr>
        <w:i/>
        <w:sz w:val="18"/>
      </w:rPr>
      <w:t>OPC60917 -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B5" w:rsidRDefault="002841B5" w:rsidP="002841B5">
    <w:pPr>
      <w:pStyle w:val="Footer"/>
    </w:pPr>
    <w:r w:rsidRPr="002841B5">
      <w:rPr>
        <w:i/>
        <w:sz w:val="18"/>
      </w:rPr>
      <w:t>OPC60917 -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2841B5" w:rsidRDefault="00F10D78" w:rsidP="00664BE9">
    <w:pPr>
      <w:pStyle w:val="Footer"/>
      <w:rPr>
        <w:sz w:val="18"/>
      </w:rPr>
    </w:pPr>
  </w:p>
  <w:p w:rsidR="00F10D78" w:rsidRPr="002841B5" w:rsidRDefault="002841B5" w:rsidP="002841B5">
    <w:pPr>
      <w:pStyle w:val="Footer"/>
      <w:rPr>
        <w:sz w:val="18"/>
      </w:rPr>
    </w:pPr>
    <w:r w:rsidRPr="002841B5">
      <w:rPr>
        <w:i/>
        <w:sz w:val="18"/>
      </w:rPr>
      <w:t>OPC60917 -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2841B5" w:rsidRDefault="00F10D78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F10D78" w:rsidRPr="002841B5" w:rsidTr="00B31187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10D78" w:rsidRPr="002841B5" w:rsidRDefault="00F10D78" w:rsidP="00664BE9">
          <w:pPr>
            <w:spacing w:line="0" w:lineRule="atLeast"/>
            <w:rPr>
              <w:rFonts w:cs="Times New Roman"/>
              <w:i/>
              <w:sz w:val="18"/>
            </w:rPr>
          </w:pPr>
          <w:r w:rsidRPr="002841B5">
            <w:rPr>
              <w:rFonts w:cs="Times New Roman"/>
              <w:i/>
              <w:sz w:val="18"/>
            </w:rPr>
            <w:fldChar w:fldCharType="begin"/>
          </w:r>
          <w:r w:rsidRPr="002841B5">
            <w:rPr>
              <w:rFonts w:cs="Times New Roman"/>
              <w:i/>
              <w:sz w:val="18"/>
            </w:rPr>
            <w:instrText xml:space="preserve"> PAGE </w:instrText>
          </w:r>
          <w:r w:rsidRPr="002841B5">
            <w:rPr>
              <w:rFonts w:cs="Times New Roman"/>
              <w:i/>
              <w:sz w:val="18"/>
            </w:rPr>
            <w:fldChar w:fldCharType="separate"/>
          </w:r>
          <w:r w:rsidR="00F80A7C">
            <w:rPr>
              <w:rFonts w:cs="Times New Roman"/>
              <w:i/>
              <w:noProof/>
              <w:sz w:val="18"/>
            </w:rPr>
            <w:t>xix</w:t>
          </w:r>
          <w:r w:rsidRPr="002841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10D78" w:rsidRPr="002841B5" w:rsidRDefault="00F10D78" w:rsidP="00664BE9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841B5">
            <w:rPr>
              <w:rFonts w:cs="Times New Roman"/>
              <w:i/>
              <w:sz w:val="18"/>
            </w:rPr>
            <w:fldChar w:fldCharType="begin"/>
          </w:r>
          <w:r w:rsidRPr="002841B5">
            <w:rPr>
              <w:rFonts w:cs="Times New Roman"/>
              <w:i/>
              <w:sz w:val="18"/>
            </w:rPr>
            <w:instrText xml:space="preserve"> DOCPROPERTY ShortT </w:instrText>
          </w:r>
          <w:r w:rsidRPr="002841B5">
            <w:rPr>
              <w:rFonts w:cs="Times New Roman"/>
              <w:i/>
              <w:sz w:val="18"/>
            </w:rPr>
            <w:fldChar w:fldCharType="separate"/>
          </w:r>
          <w:r w:rsidR="00A314B8">
            <w:rPr>
              <w:rFonts w:cs="Times New Roman"/>
              <w:i/>
              <w:sz w:val="18"/>
            </w:rPr>
            <w:t>Fair Work (Registered Organisations) Amendment Regulations 2017</w:t>
          </w:r>
          <w:r w:rsidRPr="002841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10D78" w:rsidRPr="002841B5" w:rsidRDefault="00F10D78" w:rsidP="00664BE9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F10D78" w:rsidRPr="002841B5" w:rsidRDefault="002841B5" w:rsidP="002841B5">
    <w:pPr>
      <w:rPr>
        <w:rFonts w:cs="Times New Roman"/>
        <w:i/>
        <w:sz w:val="18"/>
      </w:rPr>
    </w:pPr>
    <w:r w:rsidRPr="002841B5">
      <w:rPr>
        <w:rFonts w:cs="Times New Roman"/>
        <w:i/>
        <w:sz w:val="18"/>
      </w:rPr>
      <w:t>OPC60917 -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E33C1C" w:rsidRDefault="00F10D7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F10D78" w:rsidTr="00B31187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14B8">
            <w:rPr>
              <w:i/>
              <w:sz w:val="18"/>
            </w:rPr>
            <w:t>Fair Work (Registered Organisations) Amendment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115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10D78" w:rsidRPr="00ED79B6" w:rsidRDefault="002841B5" w:rsidP="002841B5">
    <w:pPr>
      <w:rPr>
        <w:i/>
        <w:sz w:val="18"/>
      </w:rPr>
    </w:pPr>
    <w:r w:rsidRPr="002841B5">
      <w:rPr>
        <w:rFonts w:cs="Times New Roman"/>
        <w:i/>
        <w:sz w:val="18"/>
      </w:rPr>
      <w:t>OPC60917 -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2841B5" w:rsidRDefault="00F10D78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F10D78" w:rsidRPr="002841B5" w:rsidTr="00B31187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10D78" w:rsidRPr="002841B5" w:rsidRDefault="00F10D78" w:rsidP="00664BE9">
          <w:pPr>
            <w:spacing w:line="0" w:lineRule="atLeast"/>
            <w:rPr>
              <w:rFonts w:cs="Times New Roman"/>
              <w:i/>
              <w:sz w:val="18"/>
            </w:rPr>
          </w:pPr>
          <w:r w:rsidRPr="002841B5">
            <w:rPr>
              <w:rFonts w:cs="Times New Roman"/>
              <w:i/>
              <w:sz w:val="18"/>
            </w:rPr>
            <w:fldChar w:fldCharType="begin"/>
          </w:r>
          <w:r w:rsidRPr="002841B5">
            <w:rPr>
              <w:rFonts w:cs="Times New Roman"/>
              <w:i/>
              <w:sz w:val="18"/>
            </w:rPr>
            <w:instrText xml:space="preserve"> PAGE </w:instrText>
          </w:r>
          <w:r w:rsidRPr="002841B5">
            <w:rPr>
              <w:rFonts w:cs="Times New Roman"/>
              <w:i/>
              <w:sz w:val="18"/>
            </w:rPr>
            <w:fldChar w:fldCharType="separate"/>
          </w:r>
          <w:r w:rsidR="00E3115A">
            <w:rPr>
              <w:rFonts w:cs="Times New Roman"/>
              <w:i/>
              <w:noProof/>
              <w:sz w:val="18"/>
            </w:rPr>
            <w:t>20</w:t>
          </w:r>
          <w:r w:rsidRPr="002841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10D78" w:rsidRPr="002841B5" w:rsidRDefault="00F10D78" w:rsidP="00664BE9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841B5">
            <w:rPr>
              <w:rFonts w:cs="Times New Roman"/>
              <w:i/>
              <w:sz w:val="18"/>
            </w:rPr>
            <w:fldChar w:fldCharType="begin"/>
          </w:r>
          <w:r w:rsidRPr="002841B5">
            <w:rPr>
              <w:rFonts w:cs="Times New Roman"/>
              <w:i/>
              <w:sz w:val="18"/>
            </w:rPr>
            <w:instrText xml:space="preserve"> DOCPROPERTY ShortT </w:instrText>
          </w:r>
          <w:r w:rsidRPr="002841B5">
            <w:rPr>
              <w:rFonts w:cs="Times New Roman"/>
              <w:i/>
              <w:sz w:val="18"/>
            </w:rPr>
            <w:fldChar w:fldCharType="separate"/>
          </w:r>
          <w:r w:rsidR="00A314B8">
            <w:rPr>
              <w:rFonts w:cs="Times New Roman"/>
              <w:i/>
              <w:sz w:val="18"/>
            </w:rPr>
            <w:t>Fair Work (Registered Organisations) Amendment Regulations 2017</w:t>
          </w:r>
          <w:r w:rsidRPr="002841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10D78" w:rsidRPr="002841B5" w:rsidRDefault="00F10D78" w:rsidP="00664BE9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F10D78" w:rsidRPr="002841B5" w:rsidRDefault="002841B5" w:rsidP="002841B5">
    <w:pPr>
      <w:rPr>
        <w:rFonts w:cs="Times New Roman"/>
        <w:i/>
        <w:sz w:val="18"/>
      </w:rPr>
    </w:pPr>
    <w:r w:rsidRPr="002841B5">
      <w:rPr>
        <w:rFonts w:cs="Times New Roman"/>
        <w:i/>
        <w:sz w:val="18"/>
      </w:rPr>
      <w:t>OPC60917 -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E33C1C" w:rsidRDefault="00F10D7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F10D78" w:rsidTr="00B31187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14B8">
            <w:rPr>
              <w:i/>
              <w:sz w:val="18"/>
            </w:rPr>
            <w:t>Fair Work (Registered Organisations) Amendment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115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10D78" w:rsidRPr="00ED79B6" w:rsidRDefault="002841B5" w:rsidP="002841B5">
    <w:pPr>
      <w:rPr>
        <w:i/>
        <w:sz w:val="18"/>
      </w:rPr>
    </w:pPr>
    <w:r w:rsidRPr="002841B5">
      <w:rPr>
        <w:rFonts w:cs="Times New Roman"/>
        <w:i/>
        <w:sz w:val="18"/>
      </w:rPr>
      <w:t>OPC60917 -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E33C1C" w:rsidRDefault="00F10D7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F10D78" w:rsidTr="00B31187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14B8">
            <w:rPr>
              <w:i/>
              <w:sz w:val="18"/>
            </w:rPr>
            <w:t>Fair Work (Registered Organisations) Amendment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10D78" w:rsidRDefault="00F10D78" w:rsidP="00664BE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80A7C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10D78" w:rsidRPr="00ED79B6" w:rsidRDefault="00F10D7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78" w:rsidRDefault="00F10D78" w:rsidP="0048364F">
      <w:pPr>
        <w:spacing w:line="240" w:lineRule="auto"/>
      </w:pPr>
      <w:r>
        <w:separator/>
      </w:r>
    </w:p>
  </w:footnote>
  <w:footnote w:type="continuationSeparator" w:id="0">
    <w:p w:rsidR="00F10D78" w:rsidRDefault="00F10D7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5F1388" w:rsidRDefault="00F10D78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5F1388" w:rsidRDefault="00F10D78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5F1388" w:rsidRDefault="00F10D7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ED79B6" w:rsidRDefault="00F10D78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ED79B6" w:rsidRDefault="00F10D78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ED79B6" w:rsidRDefault="00F10D7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A961C4" w:rsidRDefault="00F10D7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3115A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3115A">
      <w:rPr>
        <w:noProof/>
        <w:sz w:val="20"/>
      </w:rPr>
      <w:t>Minor technical amendments</w:t>
    </w:r>
    <w:r>
      <w:rPr>
        <w:sz w:val="20"/>
      </w:rPr>
      <w:fldChar w:fldCharType="end"/>
    </w:r>
  </w:p>
  <w:p w:rsidR="00F10D78" w:rsidRPr="00A961C4" w:rsidRDefault="00F10D7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10D78" w:rsidRPr="00A961C4" w:rsidRDefault="00F10D7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A961C4" w:rsidRDefault="00F10D78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F10D78" w:rsidRPr="00A961C4" w:rsidRDefault="00F10D7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F10D78" w:rsidRPr="00A961C4" w:rsidRDefault="00F10D7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8" w:rsidRPr="00A961C4" w:rsidRDefault="00F10D78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A"/>
    <w:rsid w:val="00000263"/>
    <w:rsid w:val="000008DD"/>
    <w:rsid w:val="000033D8"/>
    <w:rsid w:val="00003DC4"/>
    <w:rsid w:val="00005DAC"/>
    <w:rsid w:val="00010E6D"/>
    <w:rsid w:val="000113BC"/>
    <w:rsid w:val="000136AF"/>
    <w:rsid w:val="00013A2B"/>
    <w:rsid w:val="00014419"/>
    <w:rsid w:val="00027406"/>
    <w:rsid w:val="00031747"/>
    <w:rsid w:val="00034879"/>
    <w:rsid w:val="00036008"/>
    <w:rsid w:val="0004044E"/>
    <w:rsid w:val="00041D2B"/>
    <w:rsid w:val="000461AB"/>
    <w:rsid w:val="00046EBB"/>
    <w:rsid w:val="0005120E"/>
    <w:rsid w:val="00054577"/>
    <w:rsid w:val="00060974"/>
    <w:rsid w:val="000614BF"/>
    <w:rsid w:val="00063F3D"/>
    <w:rsid w:val="0006637B"/>
    <w:rsid w:val="0007169C"/>
    <w:rsid w:val="000731E6"/>
    <w:rsid w:val="0007496C"/>
    <w:rsid w:val="00076383"/>
    <w:rsid w:val="00077593"/>
    <w:rsid w:val="00083F48"/>
    <w:rsid w:val="00085CF9"/>
    <w:rsid w:val="0008733F"/>
    <w:rsid w:val="00090BA3"/>
    <w:rsid w:val="0009313E"/>
    <w:rsid w:val="000A3A32"/>
    <w:rsid w:val="000A6D67"/>
    <w:rsid w:val="000A7DF9"/>
    <w:rsid w:val="000B19D0"/>
    <w:rsid w:val="000B6514"/>
    <w:rsid w:val="000C619D"/>
    <w:rsid w:val="000D05EF"/>
    <w:rsid w:val="000D50BE"/>
    <w:rsid w:val="000D5485"/>
    <w:rsid w:val="000E2500"/>
    <w:rsid w:val="000F056C"/>
    <w:rsid w:val="000F21C1"/>
    <w:rsid w:val="00101567"/>
    <w:rsid w:val="0010745C"/>
    <w:rsid w:val="00111022"/>
    <w:rsid w:val="00117277"/>
    <w:rsid w:val="00121463"/>
    <w:rsid w:val="00125DDC"/>
    <w:rsid w:val="001311C4"/>
    <w:rsid w:val="0013167A"/>
    <w:rsid w:val="00131CEC"/>
    <w:rsid w:val="00141133"/>
    <w:rsid w:val="00143B6C"/>
    <w:rsid w:val="0015468A"/>
    <w:rsid w:val="001554B0"/>
    <w:rsid w:val="00160BD7"/>
    <w:rsid w:val="001643C9"/>
    <w:rsid w:val="00165568"/>
    <w:rsid w:val="00166082"/>
    <w:rsid w:val="00166C2F"/>
    <w:rsid w:val="001716C9"/>
    <w:rsid w:val="001808A9"/>
    <w:rsid w:val="0018337C"/>
    <w:rsid w:val="00184261"/>
    <w:rsid w:val="00184719"/>
    <w:rsid w:val="001867D0"/>
    <w:rsid w:val="00191673"/>
    <w:rsid w:val="0019215D"/>
    <w:rsid w:val="00193461"/>
    <w:rsid w:val="001939E1"/>
    <w:rsid w:val="00195292"/>
    <w:rsid w:val="00195382"/>
    <w:rsid w:val="001A291C"/>
    <w:rsid w:val="001A3B9F"/>
    <w:rsid w:val="001A65C0"/>
    <w:rsid w:val="001B10BE"/>
    <w:rsid w:val="001B25E0"/>
    <w:rsid w:val="001B38C2"/>
    <w:rsid w:val="001B46A5"/>
    <w:rsid w:val="001B6456"/>
    <w:rsid w:val="001B7A5D"/>
    <w:rsid w:val="001C1729"/>
    <w:rsid w:val="001C2644"/>
    <w:rsid w:val="001C69C4"/>
    <w:rsid w:val="001D0585"/>
    <w:rsid w:val="001D1883"/>
    <w:rsid w:val="001D1A03"/>
    <w:rsid w:val="001D3AE6"/>
    <w:rsid w:val="001D3EC0"/>
    <w:rsid w:val="001E0A8D"/>
    <w:rsid w:val="001E0DAD"/>
    <w:rsid w:val="001E20AA"/>
    <w:rsid w:val="001E3590"/>
    <w:rsid w:val="001E7407"/>
    <w:rsid w:val="001F0B82"/>
    <w:rsid w:val="001F14D3"/>
    <w:rsid w:val="00201D27"/>
    <w:rsid w:val="0020300C"/>
    <w:rsid w:val="00203C8D"/>
    <w:rsid w:val="00203DCD"/>
    <w:rsid w:val="00205E80"/>
    <w:rsid w:val="00220A0C"/>
    <w:rsid w:val="002229B9"/>
    <w:rsid w:val="00223E4A"/>
    <w:rsid w:val="00224D55"/>
    <w:rsid w:val="00227D96"/>
    <w:rsid w:val="002302EA"/>
    <w:rsid w:val="00236A35"/>
    <w:rsid w:val="00237930"/>
    <w:rsid w:val="00237932"/>
    <w:rsid w:val="00237A3A"/>
    <w:rsid w:val="00240749"/>
    <w:rsid w:val="00243911"/>
    <w:rsid w:val="00246343"/>
    <w:rsid w:val="002468D7"/>
    <w:rsid w:val="0025649D"/>
    <w:rsid w:val="00264EA2"/>
    <w:rsid w:val="002664B4"/>
    <w:rsid w:val="002706CF"/>
    <w:rsid w:val="00277ACA"/>
    <w:rsid w:val="0028078E"/>
    <w:rsid w:val="002841B5"/>
    <w:rsid w:val="00285778"/>
    <w:rsid w:val="00285CDD"/>
    <w:rsid w:val="002878B0"/>
    <w:rsid w:val="002908F8"/>
    <w:rsid w:val="00291167"/>
    <w:rsid w:val="00295DBD"/>
    <w:rsid w:val="002967ED"/>
    <w:rsid w:val="00297ECB"/>
    <w:rsid w:val="002A3867"/>
    <w:rsid w:val="002B38BD"/>
    <w:rsid w:val="002B6D16"/>
    <w:rsid w:val="002C0D6F"/>
    <w:rsid w:val="002C152A"/>
    <w:rsid w:val="002C3DDC"/>
    <w:rsid w:val="002C3F2E"/>
    <w:rsid w:val="002C54EE"/>
    <w:rsid w:val="002C72C5"/>
    <w:rsid w:val="002D043A"/>
    <w:rsid w:val="002D4AF2"/>
    <w:rsid w:val="002F42B9"/>
    <w:rsid w:val="002F4F6F"/>
    <w:rsid w:val="003063F1"/>
    <w:rsid w:val="00306ED5"/>
    <w:rsid w:val="00307D76"/>
    <w:rsid w:val="0031713F"/>
    <w:rsid w:val="003230EF"/>
    <w:rsid w:val="0032739B"/>
    <w:rsid w:val="00331E36"/>
    <w:rsid w:val="00332E0D"/>
    <w:rsid w:val="003415D3"/>
    <w:rsid w:val="0034317B"/>
    <w:rsid w:val="00343B73"/>
    <w:rsid w:val="00346335"/>
    <w:rsid w:val="00346C29"/>
    <w:rsid w:val="00352B0F"/>
    <w:rsid w:val="003552CD"/>
    <w:rsid w:val="003561B0"/>
    <w:rsid w:val="00361536"/>
    <w:rsid w:val="00362EB2"/>
    <w:rsid w:val="003644E8"/>
    <w:rsid w:val="00373541"/>
    <w:rsid w:val="00373951"/>
    <w:rsid w:val="00382165"/>
    <w:rsid w:val="00385D7E"/>
    <w:rsid w:val="00390F80"/>
    <w:rsid w:val="003952AF"/>
    <w:rsid w:val="0039597B"/>
    <w:rsid w:val="003A15AC"/>
    <w:rsid w:val="003A1C87"/>
    <w:rsid w:val="003A1DFB"/>
    <w:rsid w:val="003A4458"/>
    <w:rsid w:val="003A56EB"/>
    <w:rsid w:val="003A7140"/>
    <w:rsid w:val="003B0627"/>
    <w:rsid w:val="003B135E"/>
    <w:rsid w:val="003C1861"/>
    <w:rsid w:val="003C23A5"/>
    <w:rsid w:val="003C5F2B"/>
    <w:rsid w:val="003C7BB5"/>
    <w:rsid w:val="003D0BFE"/>
    <w:rsid w:val="003D5700"/>
    <w:rsid w:val="003D5B39"/>
    <w:rsid w:val="003D5E2F"/>
    <w:rsid w:val="003E0932"/>
    <w:rsid w:val="003E671C"/>
    <w:rsid w:val="003F0F5A"/>
    <w:rsid w:val="003F21F0"/>
    <w:rsid w:val="003F3C78"/>
    <w:rsid w:val="00400A30"/>
    <w:rsid w:val="004017CA"/>
    <w:rsid w:val="004022CA"/>
    <w:rsid w:val="00403CE0"/>
    <w:rsid w:val="004116CD"/>
    <w:rsid w:val="00411968"/>
    <w:rsid w:val="004124B6"/>
    <w:rsid w:val="00414ADE"/>
    <w:rsid w:val="0042084B"/>
    <w:rsid w:val="00424CA9"/>
    <w:rsid w:val="004257BB"/>
    <w:rsid w:val="004261D9"/>
    <w:rsid w:val="00433583"/>
    <w:rsid w:val="004358FF"/>
    <w:rsid w:val="00435ADB"/>
    <w:rsid w:val="00435B76"/>
    <w:rsid w:val="004420FA"/>
    <w:rsid w:val="0044291A"/>
    <w:rsid w:val="00447FA0"/>
    <w:rsid w:val="0045676F"/>
    <w:rsid w:val="00460499"/>
    <w:rsid w:val="00461F48"/>
    <w:rsid w:val="00462498"/>
    <w:rsid w:val="004700C2"/>
    <w:rsid w:val="00470B4B"/>
    <w:rsid w:val="00470EC7"/>
    <w:rsid w:val="00471300"/>
    <w:rsid w:val="00472F74"/>
    <w:rsid w:val="00474835"/>
    <w:rsid w:val="00475BBF"/>
    <w:rsid w:val="00476DAA"/>
    <w:rsid w:val="004819C7"/>
    <w:rsid w:val="0048364F"/>
    <w:rsid w:val="00486726"/>
    <w:rsid w:val="004878AC"/>
    <w:rsid w:val="00490650"/>
    <w:rsid w:val="00490F2E"/>
    <w:rsid w:val="00491CA7"/>
    <w:rsid w:val="004957A0"/>
    <w:rsid w:val="00496F97"/>
    <w:rsid w:val="004A275D"/>
    <w:rsid w:val="004A53EA"/>
    <w:rsid w:val="004B3119"/>
    <w:rsid w:val="004C4695"/>
    <w:rsid w:val="004D7D90"/>
    <w:rsid w:val="004E49C2"/>
    <w:rsid w:val="004F1FAC"/>
    <w:rsid w:val="004F5979"/>
    <w:rsid w:val="004F62A4"/>
    <w:rsid w:val="004F676E"/>
    <w:rsid w:val="00500BF3"/>
    <w:rsid w:val="0051280E"/>
    <w:rsid w:val="00513764"/>
    <w:rsid w:val="00513DF7"/>
    <w:rsid w:val="00516B8D"/>
    <w:rsid w:val="00520AE9"/>
    <w:rsid w:val="0052454D"/>
    <w:rsid w:val="00525048"/>
    <w:rsid w:val="0052686F"/>
    <w:rsid w:val="00527338"/>
    <w:rsid w:val="0052756C"/>
    <w:rsid w:val="00530230"/>
    <w:rsid w:val="00530413"/>
    <w:rsid w:val="00530CC9"/>
    <w:rsid w:val="00534A05"/>
    <w:rsid w:val="00537FBC"/>
    <w:rsid w:val="00540340"/>
    <w:rsid w:val="00541D73"/>
    <w:rsid w:val="00543469"/>
    <w:rsid w:val="00546FA3"/>
    <w:rsid w:val="0055340F"/>
    <w:rsid w:val="00554243"/>
    <w:rsid w:val="00555AF9"/>
    <w:rsid w:val="00556096"/>
    <w:rsid w:val="00556305"/>
    <w:rsid w:val="00557C7A"/>
    <w:rsid w:val="005612B1"/>
    <w:rsid w:val="00562A58"/>
    <w:rsid w:val="005669A6"/>
    <w:rsid w:val="00581211"/>
    <w:rsid w:val="00581F2E"/>
    <w:rsid w:val="00584811"/>
    <w:rsid w:val="005906CB"/>
    <w:rsid w:val="00593AA6"/>
    <w:rsid w:val="00594161"/>
    <w:rsid w:val="00594749"/>
    <w:rsid w:val="00597D8C"/>
    <w:rsid w:val="005A2DAD"/>
    <w:rsid w:val="005A482B"/>
    <w:rsid w:val="005B4067"/>
    <w:rsid w:val="005B502B"/>
    <w:rsid w:val="005C25E0"/>
    <w:rsid w:val="005C3F41"/>
    <w:rsid w:val="005C7C52"/>
    <w:rsid w:val="005D070D"/>
    <w:rsid w:val="005D168D"/>
    <w:rsid w:val="005D47B3"/>
    <w:rsid w:val="005D5EA1"/>
    <w:rsid w:val="005E61D3"/>
    <w:rsid w:val="005E6DD0"/>
    <w:rsid w:val="005F129D"/>
    <w:rsid w:val="005F698E"/>
    <w:rsid w:val="005F7738"/>
    <w:rsid w:val="005F7BBF"/>
    <w:rsid w:val="00600219"/>
    <w:rsid w:val="0060042F"/>
    <w:rsid w:val="00600ABC"/>
    <w:rsid w:val="00612AF6"/>
    <w:rsid w:val="00613EAD"/>
    <w:rsid w:val="006158AC"/>
    <w:rsid w:val="0063187B"/>
    <w:rsid w:val="00632BA9"/>
    <w:rsid w:val="00640402"/>
    <w:rsid w:val="00640F78"/>
    <w:rsid w:val="00642F0A"/>
    <w:rsid w:val="00645529"/>
    <w:rsid w:val="00646E7B"/>
    <w:rsid w:val="00651978"/>
    <w:rsid w:val="00655D6A"/>
    <w:rsid w:val="00656DE9"/>
    <w:rsid w:val="00664BE9"/>
    <w:rsid w:val="00670D9A"/>
    <w:rsid w:val="00677CC2"/>
    <w:rsid w:val="00680EB2"/>
    <w:rsid w:val="0068229B"/>
    <w:rsid w:val="00685F42"/>
    <w:rsid w:val="006866A1"/>
    <w:rsid w:val="00687615"/>
    <w:rsid w:val="00690B7F"/>
    <w:rsid w:val="0069207B"/>
    <w:rsid w:val="006A2D57"/>
    <w:rsid w:val="006A34A9"/>
    <w:rsid w:val="006A4309"/>
    <w:rsid w:val="006A49A4"/>
    <w:rsid w:val="006A7FEB"/>
    <w:rsid w:val="006B0AE8"/>
    <w:rsid w:val="006B2CCD"/>
    <w:rsid w:val="006B7006"/>
    <w:rsid w:val="006C7F8C"/>
    <w:rsid w:val="006D0991"/>
    <w:rsid w:val="006D3FC9"/>
    <w:rsid w:val="006D7AB9"/>
    <w:rsid w:val="006F041D"/>
    <w:rsid w:val="006F094F"/>
    <w:rsid w:val="00700B2C"/>
    <w:rsid w:val="00713084"/>
    <w:rsid w:val="00714534"/>
    <w:rsid w:val="00717EE5"/>
    <w:rsid w:val="007204D4"/>
    <w:rsid w:val="00720FC2"/>
    <w:rsid w:val="00721AF0"/>
    <w:rsid w:val="00731B07"/>
    <w:rsid w:val="00731E00"/>
    <w:rsid w:val="00732E9D"/>
    <w:rsid w:val="0073491A"/>
    <w:rsid w:val="007440B7"/>
    <w:rsid w:val="0074788A"/>
    <w:rsid w:val="00747993"/>
    <w:rsid w:val="0076082F"/>
    <w:rsid w:val="007634AD"/>
    <w:rsid w:val="007665BB"/>
    <w:rsid w:val="007715C9"/>
    <w:rsid w:val="00774EDD"/>
    <w:rsid w:val="007757EC"/>
    <w:rsid w:val="00780F63"/>
    <w:rsid w:val="007820D3"/>
    <w:rsid w:val="007A35E6"/>
    <w:rsid w:val="007A6863"/>
    <w:rsid w:val="007A7050"/>
    <w:rsid w:val="007B0E5D"/>
    <w:rsid w:val="007B40FA"/>
    <w:rsid w:val="007C3DF1"/>
    <w:rsid w:val="007C4C32"/>
    <w:rsid w:val="007D0DAE"/>
    <w:rsid w:val="007D45C1"/>
    <w:rsid w:val="007E108F"/>
    <w:rsid w:val="007E7D4A"/>
    <w:rsid w:val="007F0BDA"/>
    <w:rsid w:val="007F48ED"/>
    <w:rsid w:val="007F7947"/>
    <w:rsid w:val="00805D5A"/>
    <w:rsid w:val="0081087F"/>
    <w:rsid w:val="00812F45"/>
    <w:rsid w:val="00820531"/>
    <w:rsid w:val="00830C51"/>
    <w:rsid w:val="008311EE"/>
    <w:rsid w:val="00835274"/>
    <w:rsid w:val="0084172C"/>
    <w:rsid w:val="00845881"/>
    <w:rsid w:val="008507F3"/>
    <w:rsid w:val="0085371A"/>
    <w:rsid w:val="00856A31"/>
    <w:rsid w:val="00861773"/>
    <w:rsid w:val="0086446D"/>
    <w:rsid w:val="008754D0"/>
    <w:rsid w:val="00877D48"/>
    <w:rsid w:val="00882E2A"/>
    <w:rsid w:val="0088345B"/>
    <w:rsid w:val="00891CE5"/>
    <w:rsid w:val="008949F0"/>
    <w:rsid w:val="008A16A5"/>
    <w:rsid w:val="008A6B94"/>
    <w:rsid w:val="008B40FB"/>
    <w:rsid w:val="008B73DE"/>
    <w:rsid w:val="008C5AEC"/>
    <w:rsid w:val="008D0EE0"/>
    <w:rsid w:val="008D5B99"/>
    <w:rsid w:val="008D7A27"/>
    <w:rsid w:val="008E4702"/>
    <w:rsid w:val="008E69AA"/>
    <w:rsid w:val="008E7721"/>
    <w:rsid w:val="008F157D"/>
    <w:rsid w:val="008F4E3E"/>
    <w:rsid w:val="008F4F1C"/>
    <w:rsid w:val="009010FA"/>
    <w:rsid w:val="009013A4"/>
    <w:rsid w:val="00901717"/>
    <w:rsid w:val="00904C26"/>
    <w:rsid w:val="00906B57"/>
    <w:rsid w:val="009104EC"/>
    <w:rsid w:val="00920441"/>
    <w:rsid w:val="00922764"/>
    <w:rsid w:val="00924BDC"/>
    <w:rsid w:val="00927E58"/>
    <w:rsid w:val="0093231A"/>
    <w:rsid w:val="00932377"/>
    <w:rsid w:val="0093271E"/>
    <w:rsid w:val="009354D0"/>
    <w:rsid w:val="009373EF"/>
    <w:rsid w:val="00940A32"/>
    <w:rsid w:val="00943102"/>
    <w:rsid w:val="0094461C"/>
    <w:rsid w:val="0094523D"/>
    <w:rsid w:val="0094622B"/>
    <w:rsid w:val="00954349"/>
    <w:rsid w:val="00956ACF"/>
    <w:rsid w:val="00962692"/>
    <w:rsid w:val="009641A7"/>
    <w:rsid w:val="00972E55"/>
    <w:rsid w:val="00976A63"/>
    <w:rsid w:val="00980C28"/>
    <w:rsid w:val="00983419"/>
    <w:rsid w:val="009A7676"/>
    <w:rsid w:val="009C0936"/>
    <w:rsid w:val="009C1036"/>
    <w:rsid w:val="009C22F4"/>
    <w:rsid w:val="009C3431"/>
    <w:rsid w:val="009C5989"/>
    <w:rsid w:val="009D08DA"/>
    <w:rsid w:val="009D4BE5"/>
    <w:rsid w:val="009D4E15"/>
    <w:rsid w:val="009E0F95"/>
    <w:rsid w:val="009E2504"/>
    <w:rsid w:val="009E6B56"/>
    <w:rsid w:val="009E70DF"/>
    <w:rsid w:val="00A06860"/>
    <w:rsid w:val="00A136F5"/>
    <w:rsid w:val="00A20438"/>
    <w:rsid w:val="00A21C46"/>
    <w:rsid w:val="00A231E2"/>
    <w:rsid w:val="00A2550D"/>
    <w:rsid w:val="00A26B5E"/>
    <w:rsid w:val="00A314B8"/>
    <w:rsid w:val="00A31902"/>
    <w:rsid w:val="00A40AC5"/>
    <w:rsid w:val="00A4169B"/>
    <w:rsid w:val="00A423B6"/>
    <w:rsid w:val="00A47032"/>
    <w:rsid w:val="00A5084D"/>
    <w:rsid w:val="00A50D55"/>
    <w:rsid w:val="00A5165B"/>
    <w:rsid w:val="00A52105"/>
    <w:rsid w:val="00A52FDA"/>
    <w:rsid w:val="00A53281"/>
    <w:rsid w:val="00A54A09"/>
    <w:rsid w:val="00A560C2"/>
    <w:rsid w:val="00A56EF4"/>
    <w:rsid w:val="00A64149"/>
    <w:rsid w:val="00A64912"/>
    <w:rsid w:val="00A65DEC"/>
    <w:rsid w:val="00A667D0"/>
    <w:rsid w:val="00A70A74"/>
    <w:rsid w:val="00A82AA1"/>
    <w:rsid w:val="00A83E92"/>
    <w:rsid w:val="00A85A8B"/>
    <w:rsid w:val="00A90774"/>
    <w:rsid w:val="00A90B93"/>
    <w:rsid w:val="00A94550"/>
    <w:rsid w:val="00AA0343"/>
    <w:rsid w:val="00AA2E5C"/>
    <w:rsid w:val="00AA55DC"/>
    <w:rsid w:val="00AA5C68"/>
    <w:rsid w:val="00AB75DA"/>
    <w:rsid w:val="00AC356B"/>
    <w:rsid w:val="00AC3F04"/>
    <w:rsid w:val="00AC5B61"/>
    <w:rsid w:val="00AD1B15"/>
    <w:rsid w:val="00AD3467"/>
    <w:rsid w:val="00AD4BAD"/>
    <w:rsid w:val="00AD5641"/>
    <w:rsid w:val="00AD7ACF"/>
    <w:rsid w:val="00AE0F9B"/>
    <w:rsid w:val="00AE287E"/>
    <w:rsid w:val="00AF1378"/>
    <w:rsid w:val="00AF21DB"/>
    <w:rsid w:val="00AF55FF"/>
    <w:rsid w:val="00B032D8"/>
    <w:rsid w:val="00B123BC"/>
    <w:rsid w:val="00B155F5"/>
    <w:rsid w:val="00B212F8"/>
    <w:rsid w:val="00B27C03"/>
    <w:rsid w:val="00B31187"/>
    <w:rsid w:val="00B3140A"/>
    <w:rsid w:val="00B33B3C"/>
    <w:rsid w:val="00B40782"/>
    <w:rsid w:val="00B40D74"/>
    <w:rsid w:val="00B427E3"/>
    <w:rsid w:val="00B479C6"/>
    <w:rsid w:val="00B52663"/>
    <w:rsid w:val="00B52F5C"/>
    <w:rsid w:val="00B55068"/>
    <w:rsid w:val="00B56DCB"/>
    <w:rsid w:val="00B57DDF"/>
    <w:rsid w:val="00B6074E"/>
    <w:rsid w:val="00B60C93"/>
    <w:rsid w:val="00B62D8F"/>
    <w:rsid w:val="00B721ED"/>
    <w:rsid w:val="00B72FD9"/>
    <w:rsid w:val="00B770D2"/>
    <w:rsid w:val="00B87584"/>
    <w:rsid w:val="00B87B8C"/>
    <w:rsid w:val="00BA15EA"/>
    <w:rsid w:val="00BA47A3"/>
    <w:rsid w:val="00BA5026"/>
    <w:rsid w:val="00BA6D86"/>
    <w:rsid w:val="00BB57D8"/>
    <w:rsid w:val="00BB6E79"/>
    <w:rsid w:val="00BC3808"/>
    <w:rsid w:val="00BC4CDB"/>
    <w:rsid w:val="00BC50E3"/>
    <w:rsid w:val="00BC771D"/>
    <w:rsid w:val="00BD7CB9"/>
    <w:rsid w:val="00BE3B31"/>
    <w:rsid w:val="00BE3F09"/>
    <w:rsid w:val="00BE6398"/>
    <w:rsid w:val="00BE70C4"/>
    <w:rsid w:val="00BE719A"/>
    <w:rsid w:val="00BE720A"/>
    <w:rsid w:val="00BE7B6A"/>
    <w:rsid w:val="00BF5C45"/>
    <w:rsid w:val="00BF6650"/>
    <w:rsid w:val="00C044E4"/>
    <w:rsid w:val="00C067E5"/>
    <w:rsid w:val="00C10A5B"/>
    <w:rsid w:val="00C1309A"/>
    <w:rsid w:val="00C164CA"/>
    <w:rsid w:val="00C20F88"/>
    <w:rsid w:val="00C25D6E"/>
    <w:rsid w:val="00C42BF8"/>
    <w:rsid w:val="00C460AE"/>
    <w:rsid w:val="00C50043"/>
    <w:rsid w:val="00C50782"/>
    <w:rsid w:val="00C50A0F"/>
    <w:rsid w:val="00C51325"/>
    <w:rsid w:val="00C53E69"/>
    <w:rsid w:val="00C54481"/>
    <w:rsid w:val="00C57754"/>
    <w:rsid w:val="00C63C6A"/>
    <w:rsid w:val="00C6713B"/>
    <w:rsid w:val="00C721BB"/>
    <w:rsid w:val="00C72919"/>
    <w:rsid w:val="00C72B4D"/>
    <w:rsid w:val="00C75658"/>
    <w:rsid w:val="00C7573B"/>
    <w:rsid w:val="00C76CF3"/>
    <w:rsid w:val="00C80B70"/>
    <w:rsid w:val="00C80D23"/>
    <w:rsid w:val="00C968EE"/>
    <w:rsid w:val="00CA3158"/>
    <w:rsid w:val="00CA43C5"/>
    <w:rsid w:val="00CA44F0"/>
    <w:rsid w:val="00CA7844"/>
    <w:rsid w:val="00CB27F5"/>
    <w:rsid w:val="00CB58EF"/>
    <w:rsid w:val="00CB63A5"/>
    <w:rsid w:val="00CB67AD"/>
    <w:rsid w:val="00CC1BAD"/>
    <w:rsid w:val="00CC444D"/>
    <w:rsid w:val="00CC7E4E"/>
    <w:rsid w:val="00CD2D1A"/>
    <w:rsid w:val="00CD717B"/>
    <w:rsid w:val="00CD7B59"/>
    <w:rsid w:val="00CE0C41"/>
    <w:rsid w:val="00CE4F81"/>
    <w:rsid w:val="00CE7D64"/>
    <w:rsid w:val="00CF0BB2"/>
    <w:rsid w:val="00CF73B6"/>
    <w:rsid w:val="00CF7B73"/>
    <w:rsid w:val="00D13441"/>
    <w:rsid w:val="00D243A3"/>
    <w:rsid w:val="00D24B3F"/>
    <w:rsid w:val="00D27783"/>
    <w:rsid w:val="00D30A2E"/>
    <w:rsid w:val="00D3200B"/>
    <w:rsid w:val="00D33440"/>
    <w:rsid w:val="00D40FA3"/>
    <w:rsid w:val="00D43D2F"/>
    <w:rsid w:val="00D5233D"/>
    <w:rsid w:val="00D52EFE"/>
    <w:rsid w:val="00D56A0D"/>
    <w:rsid w:val="00D63EF6"/>
    <w:rsid w:val="00D66518"/>
    <w:rsid w:val="00D70DFB"/>
    <w:rsid w:val="00D71994"/>
    <w:rsid w:val="00D71EEA"/>
    <w:rsid w:val="00D735CD"/>
    <w:rsid w:val="00D73EB0"/>
    <w:rsid w:val="00D74A8E"/>
    <w:rsid w:val="00D75D58"/>
    <w:rsid w:val="00D76125"/>
    <w:rsid w:val="00D766DF"/>
    <w:rsid w:val="00D8002E"/>
    <w:rsid w:val="00D834D1"/>
    <w:rsid w:val="00D83C93"/>
    <w:rsid w:val="00D84809"/>
    <w:rsid w:val="00D85765"/>
    <w:rsid w:val="00D95891"/>
    <w:rsid w:val="00DA273F"/>
    <w:rsid w:val="00DB33F2"/>
    <w:rsid w:val="00DB3464"/>
    <w:rsid w:val="00DB5640"/>
    <w:rsid w:val="00DB5CB4"/>
    <w:rsid w:val="00DB7181"/>
    <w:rsid w:val="00DC5BFD"/>
    <w:rsid w:val="00DD0F7E"/>
    <w:rsid w:val="00DD7579"/>
    <w:rsid w:val="00DE149E"/>
    <w:rsid w:val="00DE6C8E"/>
    <w:rsid w:val="00E046E9"/>
    <w:rsid w:val="00E05704"/>
    <w:rsid w:val="00E1061C"/>
    <w:rsid w:val="00E108FD"/>
    <w:rsid w:val="00E12F1A"/>
    <w:rsid w:val="00E174F1"/>
    <w:rsid w:val="00E21A06"/>
    <w:rsid w:val="00E21CFB"/>
    <w:rsid w:val="00E22935"/>
    <w:rsid w:val="00E24551"/>
    <w:rsid w:val="00E25650"/>
    <w:rsid w:val="00E27F5C"/>
    <w:rsid w:val="00E3032C"/>
    <w:rsid w:val="00E3115A"/>
    <w:rsid w:val="00E35DA7"/>
    <w:rsid w:val="00E505DF"/>
    <w:rsid w:val="00E54292"/>
    <w:rsid w:val="00E60191"/>
    <w:rsid w:val="00E74DC7"/>
    <w:rsid w:val="00E75718"/>
    <w:rsid w:val="00E75B4E"/>
    <w:rsid w:val="00E769DA"/>
    <w:rsid w:val="00E87699"/>
    <w:rsid w:val="00E904D3"/>
    <w:rsid w:val="00E90511"/>
    <w:rsid w:val="00E92E27"/>
    <w:rsid w:val="00E93B18"/>
    <w:rsid w:val="00E93BFC"/>
    <w:rsid w:val="00E9586B"/>
    <w:rsid w:val="00E97334"/>
    <w:rsid w:val="00ED022B"/>
    <w:rsid w:val="00ED4928"/>
    <w:rsid w:val="00ED6CA3"/>
    <w:rsid w:val="00EE6190"/>
    <w:rsid w:val="00EF09BF"/>
    <w:rsid w:val="00EF11BD"/>
    <w:rsid w:val="00EF2E3A"/>
    <w:rsid w:val="00EF3307"/>
    <w:rsid w:val="00EF6402"/>
    <w:rsid w:val="00F047E2"/>
    <w:rsid w:val="00F04D57"/>
    <w:rsid w:val="00F078DC"/>
    <w:rsid w:val="00F10D78"/>
    <w:rsid w:val="00F13D4C"/>
    <w:rsid w:val="00F13E86"/>
    <w:rsid w:val="00F21C5A"/>
    <w:rsid w:val="00F23353"/>
    <w:rsid w:val="00F3262E"/>
    <w:rsid w:val="00F32FCB"/>
    <w:rsid w:val="00F35781"/>
    <w:rsid w:val="00F55688"/>
    <w:rsid w:val="00F566FF"/>
    <w:rsid w:val="00F6709F"/>
    <w:rsid w:val="00F677A9"/>
    <w:rsid w:val="00F732EA"/>
    <w:rsid w:val="00F7391E"/>
    <w:rsid w:val="00F75F0E"/>
    <w:rsid w:val="00F80A7C"/>
    <w:rsid w:val="00F80FF1"/>
    <w:rsid w:val="00F84CF5"/>
    <w:rsid w:val="00F8612E"/>
    <w:rsid w:val="00F906BE"/>
    <w:rsid w:val="00F95FE0"/>
    <w:rsid w:val="00FA2A90"/>
    <w:rsid w:val="00FA420B"/>
    <w:rsid w:val="00FA463D"/>
    <w:rsid w:val="00FB0906"/>
    <w:rsid w:val="00FB2C01"/>
    <w:rsid w:val="00FB5105"/>
    <w:rsid w:val="00FC0BE4"/>
    <w:rsid w:val="00FC0F1F"/>
    <w:rsid w:val="00FC477F"/>
    <w:rsid w:val="00FD0FFF"/>
    <w:rsid w:val="00FD36A0"/>
    <w:rsid w:val="00FE0781"/>
    <w:rsid w:val="00FF03E0"/>
    <w:rsid w:val="00FF0581"/>
    <w:rsid w:val="00FF1B07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0EB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1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1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1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1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1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80EB2"/>
  </w:style>
  <w:style w:type="paragraph" w:customStyle="1" w:styleId="OPCParaBase">
    <w:name w:val="OPCParaBase"/>
    <w:qFormat/>
    <w:rsid w:val="00680EB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80E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80EB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80E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80EB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80E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80E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80E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80E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80E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80E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80EB2"/>
  </w:style>
  <w:style w:type="paragraph" w:customStyle="1" w:styleId="Blocks">
    <w:name w:val="Blocks"/>
    <w:aliases w:val="bb"/>
    <w:basedOn w:val="OPCParaBase"/>
    <w:qFormat/>
    <w:rsid w:val="00680E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80E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80E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80EB2"/>
    <w:rPr>
      <w:i/>
    </w:rPr>
  </w:style>
  <w:style w:type="paragraph" w:customStyle="1" w:styleId="BoxList">
    <w:name w:val="BoxList"/>
    <w:aliases w:val="bl"/>
    <w:basedOn w:val="BoxText"/>
    <w:qFormat/>
    <w:rsid w:val="00680E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80E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80E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80EB2"/>
    <w:pPr>
      <w:ind w:left="1985" w:hanging="851"/>
    </w:pPr>
  </w:style>
  <w:style w:type="character" w:customStyle="1" w:styleId="CharAmPartNo">
    <w:name w:val="CharAmPartNo"/>
    <w:basedOn w:val="OPCCharBase"/>
    <w:qFormat/>
    <w:rsid w:val="00680EB2"/>
  </w:style>
  <w:style w:type="character" w:customStyle="1" w:styleId="CharAmPartText">
    <w:name w:val="CharAmPartText"/>
    <w:basedOn w:val="OPCCharBase"/>
    <w:qFormat/>
    <w:rsid w:val="00680EB2"/>
  </w:style>
  <w:style w:type="character" w:customStyle="1" w:styleId="CharAmSchNo">
    <w:name w:val="CharAmSchNo"/>
    <w:basedOn w:val="OPCCharBase"/>
    <w:qFormat/>
    <w:rsid w:val="00680EB2"/>
  </w:style>
  <w:style w:type="character" w:customStyle="1" w:styleId="CharAmSchText">
    <w:name w:val="CharAmSchText"/>
    <w:basedOn w:val="OPCCharBase"/>
    <w:qFormat/>
    <w:rsid w:val="00680EB2"/>
  </w:style>
  <w:style w:type="character" w:customStyle="1" w:styleId="CharBoldItalic">
    <w:name w:val="CharBoldItalic"/>
    <w:basedOn w:val="OPCCharBase"/>
    <w:uiPriority w:val="1"/>
    <w:qFormat/>
    <w:rsid w:val="00680E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80EB2"/>
  </w:style>
  <w:style w:type="character" w:customStyle="1" w:styleId="CharChapText">
    <w:name w:val="CharChapText"/>
    <w:basedOn w:val="OPCCharBase"/>
    <w:uiPriority w:val="1"/>
    <w:qFormat/>
    <w:rsid w:val="00680EB2"/>
  </w:style>
  <w:style w:type="character" w:customStyle="1" w:styleId="CharDivNo">
    <w:name w:val="CharDivNo"/>
    <w:basedOn w:val="OPCCharBase"/>
    <w:uiPriority w:val="1"/>
    <w:qFormat/>
    <w:rsid w:val="00680EB2"/>
  </w:style>
  <w:style w:type="character" w:customStyle="1" w:styleId="CharDivText">
    <w:name w:val="CharDivText"/>
    <w:basedOn w:val="OPCCharBase"/>
    <w:uiPriority w:val="1"/>
    <w:qFormat/>
    <w:rsid w:val="00680EB2"/>
  </w:style>
  <w:style w:type="character" w:customStyle="1" w:styleId="CharItalic">
    <w:name w:val="CharItalic"/>
    <w:basedOn w:val="OPCCharBase"/>
    <w:uiPriority w:val="1"/>
    <w:qFormat/>
    <w:rsid w:val="00680EB2"/>
    <w:rPr>
      <w:i/>
    </w:rPr>
  </w:style>
  <w:style w:type="character" w:customStyle="1" w:styleId="CharPartNo">
    <w:name w:val="CharPartNo"/>
    <w:basedOn w:val="OPCCharBase"/>
    <w:uiPriority w:val="1"/>
    <w:qFormat/>
    <w:rsid w:val="00680EB2"/>
  </w:style>
  <w:style w:type="character" w:customStyle="1" w:styleId="CharPartText">
    <w:name w:val="CharPartText"/>
    <w:basedOn w:val="OPCCharBase"/>
    <w:uiPriority w:val="1"/>
    <w:qFormat/>
    <w:rsid w:val="00680EB2"/>
  </w:style>
  <w:style w:type="character" w:customStyle="1" w:styleId="CharSectno">
    <w:name w:val="CharSectno"/>
    <w:basedOn w:val="OPCCharBase"/>
    <w:qFormat/>
    <w:rsid w:val="00680EB2"/>
  </w:style>
  <w:style w:type="character" w:customStyle="1" w:styleId="CharSubdNo">
    <w:name w:val="CharSubdNo"/>
    <w:basedOn w:val="OPCCharBase"/>
    <w:uiPriority w:val="1"/>
    <w:qFormat/>
    <w:rsid w:val="00680EB2"/>
  </w:style>
  <w:style w:type="character" w:customStyle="1" w:styleId="CharSubdText">
    <w:name w:val="CharSubdText"/>
    <w:basedOn w:val="OPCCharBase"/>
    <w:uiPriority w:val="1"/>
    <w:qFormat/>
    <w:rsid w:val="00680EB2"/>
  </w:style>
  <w:style w:type="paragraph" w:customStyle="1" w:styleId="CTA--">
    <w:name w:val="CTA --"/>
    <w:basedOn w:val="OPCParaBase"/>
    <w:next w:val="Normal"/>
    <w:rsid w:val="00680E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80E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80E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80E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80E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80E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80E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80E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80E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80E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80E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80E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80E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80E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80E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80EB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80E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80E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80E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80E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80E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80EB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80EB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80E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80E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80E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80E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80E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80E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80E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80E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80E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80E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80EB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80EB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80EB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80E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80E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80E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80E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80E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80E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80E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80E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80E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80E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80E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80E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80E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80E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80E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80E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80E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80E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80E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80EB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80EB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80EB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80EB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80EB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80EB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80EB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80EB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80EB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80E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80E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80E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80E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80E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80E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80EB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80E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80EB2"/>
    <w:rPr>
      <w:sz w:val="16"/>
    </w:rPr>
  </w:style>
  <w:style w:type="table" w:customStyle="1" w:styleId="CFlag">
    <w:name w:val="CFlag"/>
    <w:basedOn w:val="TableNormal"/>
    <w:uiPriority w:val="99"/>
    <w:rsid w:val="00680EB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80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80EB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80EB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80EB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80EB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80EB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80EB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80EB2"/>
    <w:pPr>
      <w:spacing w:before="120"/>
    </w:pPr>
  </w:style>
  <w:style w:type="paragraph" w:customStyle="1" w:styleId="CompiledActNo">
    <w:name w:val="CompiledActNo"/>
    <w:basedOn w:val="OPCParaBase"/>
    <w:next w:val="Normal"/>
    <w:rsid w:val="00680EB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80EB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80E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80EB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80E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80E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80E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80EB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80E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80E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80E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80E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80E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80E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80E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80E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80E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80EB2"/>
  </w:style>
  <w:style w:type="character" w:customStyle="1" w:styleId="CharSubPartNoCASA">
    <w:name w:val="CharSubPartNo(CASA)"/>
    <w:basedOn w:val="OPCCharBase"/>
    <w:uiPriority w:val="1"/>
    <w:rsid w:val="00680EB2"/>
  </w:style>
  <w:style w:type="paragraph" w:customStyle="1" w:styleId="ENoteTTIndentHeadingSub">
    <w:name w:val="ENoteTTIndentHeadingSub"/>
    <w:aliases w:val="enTTHis"/>
    <w:basedOn w:val="OPCParaBase"/>
    <w:rsid w:val="00680E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80E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80E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80E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80E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3118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80E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80EB2"/>
    <w:rPr>
      <w:sz w:val="22"/>
    </w:rPr>
  </w:style>
  <w:style w:type="paragraph" w:customStyle="1" w:styleId="SOTextNote">
    <w:name w:val="SO TextNote"/>
    <w:aliases w:val="sont"/>
    <w:basedOn w:val="SOText"/>
    <w:qFormat/>
    <w:rsid w:val="00680E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80E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80EB2"/>
    <w:rPr>
      <w:sz w:val="22"/>
    </w:rPr>
  </w:style>
  <w:style w:type="paragraph" w:customStyle="1" w:styleId="FileName">
    <w:name w:val="FileName"/>
    <w:basedOn w:val="Normal"/>
    <w:rsid w:val="00680EB2"/>
  </w:style>
  <w:style w:type="paragraph" w:customStyle="1" w:styleId="TableHeading">
    <w:name w:val="TableHeading"/>
    <w:aliases w:val="th"/>
    <w:basedOn w:val="OPCParaBase"/>
    <w:next w:val="Tabletext"/>
    <w:rsid w:val="00680E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80EB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80E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80EB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80E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80EB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80E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80E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80E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80E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80E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80EB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311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311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31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1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1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1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1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1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1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E287E"/>
    <w:rPr>
      <w:color w:val="0000FF" w:themeColor="hyperlink"/>
      <w:u w:val="single"/>
    </w:rPr>
  </w:style>
  <w:style w:type="character" w:customStyle="1" w:styleId="paragraphChar">
    <w:name w:val="paragraph Char"/>
    <w:aliases w:val="a Char"/>
    <w:link w:val="paragraph"/>
    <w:rsid w:val="00962692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0EB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1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1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1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1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1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80EB2"/>
  </w:style>
  <w:style w:type="paragraph" w:customStyle="1" w:styleId="OPCParaBase">
    <w:name w:val="OPCParaBase"/>
    <w:qFormat/>
    <w:rsid w:val="00680EB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80E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80EB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80E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80EB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80E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80E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80E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80E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80E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80E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80EB2"/>
  </w:style>
  <w:style w:type="paragraph" w:customStyle="1" w:styleId="Blocks">
    <w:name w:val="Blocks"/>
    <w:aliases w:val="bb"/>
    <w:basedOn w:val="OPCParaBase"/>
    <w:qFormat/>
    <w:rsid w:val="00680E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80E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80E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80EB2"/>
    <w:rPr>
      <w:i/>
    </w:rPr>
  </w:style>
  <w:style w:type="paragraph" w:customStyle="1" w:styleId="BoxList">
    <w:name w:val="BoxList"/>
    <w:aliases w:val="bl"/>
    <w:basedOn w:val="BoxText"/>
    <w:qFormat/>
    <w:rsid w:val="00680E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80E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80E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80EB2"/>
    <w:pPr>
      <w:ind w:left="1985" w:hanging="851"/>
    </w:pPr>
  </w:style>
  <w:style w:type="character" w:customStyle="1" w:styleId="CharAmPartNo">
    <w:name w:val="CharAmPartNo"/>
    <w:basedOn w:val="OPCCharBase"/>
    <w:qFormat/>
    <w:rsid w:val="00680EB2"/>
  </w:style>
  <w:style w:type="character" w:customStyle="1" w:styleId="CharAmPartText">
    <w:name w:val="CharAmPartText"/>
    <w:basedOn w:val="OPCCharBase"/>
    <w:qFormat/>
    <w:rsid w:val="00680EB2"/>
  </w:style>
  <w:style w:type="character" w:customStyle="1" w:styleId="CharAmSchNo">
    <w:name w:val="CharAmSchNo"/>
    <w:basedOn w:val="OPCCharBase"/>
    <w:qFormat/>
    <w:rsid w:val="00680EB2"/>
  </w:style>
  <w:style w:type="character" w:customStyle="1" w:styleId="CharAmSchText">
    <w:name w:val="CharAmSchText"/>
    <w:basedOn w:val="OPCCharBase"/>
    <w:qFormat/>
    <w:rsid w:val="00680EB2"/>
  </w:style>
  <w:style w:type="character" w:customStyle="1" w:styleId="CharBoldItalic">
    <w:name w:val="CharBoldItalic"/>
    <w:basedOn w:val="OPCCharBase"/>
    <w:uiPriority w:val="1"/>
    <w:qFormat/>
    <w:rsid w:val="00680E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80EB2"/>
  </w:style>
  <w:style w:type="character" w:customStyle="1" w:styleId="CharChapText">
    <w:name w:val="CharChapText"/>
    <w:basedOn w:val="OPCCharBase"/>
    <w:uiPriority w:val="1"/>
    <w:qFormat/>
    <w:rsid w:val="00680EB2"/>
  </w:style>
  <w:style w:type="character" w:customStyle="1" w:styleId="CharDivNo">
    <w:name w:val="CharDivNo"/>
    <w:basedOn w:val="OPCCharBase"/>
    <w:uiPriority w:val="1"/>
    <w:qFormat/>
    <w:rsid w:val="00680EB2"/>
  </w:style>
  <w:style w:type="character" w:customStyle="1" w:styleId="CharDivText">
    <w:name w:val="CharDivText"/>
    <w:basedOn w:val="OPCCharBase"/>
    <w:uiPriority w:val="1"/>
    <w:qFormat/>
    <w:rsid w:val="00680EB2"/>
  </w:style>
  <w:style w:type="character" w:customStyle="1" w:styleId="CharItalic">
    <w:name w:val="CharItalic"/>
    <w:basedOn w:val="OPCCharBase"/>
    <w:uiPriority w:val="1"/>
    <w:qFormat/>
    <w:rsid w:val="00680EB2"/>
    <w:rPr>
      <w:i/>
    </w:rPr>
  </w:style>
  <w:style w:type="character" w:customStyle="1" w:styleId="CharPartNo">
    <w:name w:val="CharPartNo"/>
    <w:basedOn w:val="OPCCharBase"/>
    <w:uiPriority w:val="1"/>
    <w:qFormat/>
    <w:rsid w:val="00680EB2"/>
  </w:style>
  <w:style w:type="character" w:customStyle="1" w:styleId="CharPartText">
    <w:name w:val="CharPartText"/>
    <w:basedOn w:val="OPCCharBase"/>
    <w:uiPriority w:val="1"/>
    <w:qFormat/>
    <w:rsid w:val="00680EB2"/>
  </w:style>
  <w:style w:type="character" w:customStyle="1" w:styleId="CharSectno">
    <w:name w:val="CharSectno"/>
    <w:basedOn w:val="OPCCharBase"/>
    <w:qFormat/>
    <w:rsid w:val="00680EB2"/>
  </w:style>
  <w:style w:type="character" w:customStyle="1" w:styleId="CharSubdNo">
    <w:name w:val="CharSubdNo"/>
    <w:basedOn w:val="OPCCharBase"/>
    <w:uiPriority w:val="1"/>
    <w:qFormat/>
    <w:rsid w:val="00680EB2"/>
  </w:style>
  <w:style w:type="character" w:customStyle="1" w:styleId="CharSubdText">
    <w:name w:val="CharSubdText"/>
    <w:basedOn w:val="OPCCharBase"/>
    <w:uiPriority w:val="1"/>
    <w:qFormat/>
    <w:rsid w:val="00680EB2"/>
  </w:style>
  <w:style w:type="paragraph" w:customStyle="1" w:styleId="CTA--">
    <w:name w:val="CTA --"/>
    <w:basedOn w:val="OPCParaBase"/>
    <w:next w:val="Normal"/>
    <w:rsid w:val="00680E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80E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80E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80E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80E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80E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80E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80E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80E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80E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80E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80E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80E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80E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80E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80EB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80E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80E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80E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80E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80E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80EB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80EB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80E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80E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80E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80E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80E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80E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80E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80E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80E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80E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80EB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80EB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80EB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80E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80E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80E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80E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80E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80E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80E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80E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80E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80E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80E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80E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80E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80E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80E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80E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80E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80E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80E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80EB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80EB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80EB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80EB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80EB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80EB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80EB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80EB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80EB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80E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80E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80E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80E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80E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80E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80EB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80E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80EB2"/>
    <w:rPr>
      <w:sz w:val="16"/>
    </w:rPr>
  </w:style>
  <w:style w:type="table" w:customStyle="1" w:styleId="CFlag">
    <w:name w:val="CFlag"/>
    <w:basedOn w:val="TableNormal"/>
    <w:uiPriority w:val="99"/>
    <w:rsid w:val="00680EB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80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80EB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80EB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80EB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80EB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80EB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80EB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80EB2"/>
    <w:pPr>
      <w:spacing w:before="120"/>
    </w:pPr>
  </w:style>
  <w:style w:type="paragraph" w:customStyle="1" w:styleId="CompiledActNo">
    <w:name w:val="CompiledActNo"/>
    <w:basedOn w:val="OPCParaBase"/>
    <w:next w:val="Normal"/>
    <w:rsid w:val="00680EB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80EB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80E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80EB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80E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80E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80E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80EB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80E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80E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80E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80E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80E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80E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80E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80E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80E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80EB2"/>
  </w:style>
  <w:style w:type="character" w:customStyle="1" w:styleId="CharSubPartNoCASA">
    <w:name w:val="CharSubPartNo(CASA)"/>
    <w:basedOn w:val="OPCCharBase"/>
    <w:uiPriority w:val="1"/>
    <w:rsid w:val="00680EB2"/>
  </w:style>
  <w:style w:type="paragraph" w:customStyle="1" w:styleId="ENoteTTIndentHeadingSub">
    <w:name w:val="ENoteTTIndentHeadingSub"/>
    <w:aliases w:val="enTTHis"/>
    <w:basedOn w:val="OPCParaBase"/>
    <w:rsid w:val="00680E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80E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80E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80E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80E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3118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80E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80EB2"/>
    <w:rPr>
      <w:sz w:val="22"/>
    </w:rPr>
  </w:style>
  <w:style w:type="paragraph" w:customStyle="1" w:styleId="SOTextNote">
    <w:name w:val="SO TextNote"/>
    <w:aliases w:val="sont"/>
    <w:basedOn w:val="SOText"/>
    <w:qFormat/>
    <w:rsid w:val="00680E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80E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80EB2"/>
    <w:rPr>
      <w:sz w:val="22"/>
    </w:rPr>
  </w:style>
  <w:style w:type="paragraph" w:customStyle="1" w:styleId="FileName">
    <w:name w:val="FileName"/>
    <w:basedOn w:val="Normal"/>
    <w:rsid w:val="00680EB2"/>
  </w:style>
  <w:style w:type="paragraph" w:customStyle="1" w:styleId="TableHeading">
    <w:name w:val="TableHeading"/>
    <w:aliases w:val="th"/>
    <w:basedOn w:val="OPCParaBase"/>
    <w:next w:val="Tabletext"/>
    <w:rsid w:val="00680E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80EB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80E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80EB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80E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80EB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80E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80E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80E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80E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80E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80EB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311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311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31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1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1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1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1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1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1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E287E"/>
    <w:rPr>
      <w:color w:val="0000FF" w:themeColor="hyperlink"/>
      <w:u w:val="single"/>
    </w:rPr>
  </w:style>
  <w:style w:type="character" w:customStyle="1" w:styleId="paragraphChar">
    <w:name w:val="paragraph Char"/>
    <w:aliases w:val="a Char"/>
    <w:link w:val="paragraph"/>
    <w:rsid w:val="00962692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24</Pages>
  <Words>5949</Words>
  <Characters>33913</Characters>
  <Application>Microsoft Office Word</Application>
  <DocSecurity>0</DocSecurity>
  <PresentationFormat/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2017-01-22T23:34:00Z</cp:lastPrinted>
  <dcterms:created xsi:type="dcterms:W3CDTF">2017-04-24T01:44:00Z</dcterms:created>
  <dcterms:modified xsi:type="dcterms:W3CDTF">2017-04-24T01:44:00Z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Fair Work (Registered Organisations) Amendment Regulations 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13 April 2017</vt:lpwstr>
  </property>
  <property fmtid="{D5CDD505-2E9C-101B-9397-08002B2CF9AE}" pid="10" name="ID">
    <vt:lpwstr>OPC60917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13 April 2017</vt:lpwstr>
  </property>
</Properties>
</file>