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BC794" w14:textId="77777777" w:rsidR="00A04611" w:rsidRPr="002D770B" w:rsidRDefault="00A04611" w:rsidP="00A04611">
      <w:pPr>
        <w:pStyle w:val="Heading2"/>
        <w:ind w:left="0" w:firstLine="0"/>
      </w:pPr>
      <w:r w:rsidRPr="002D770B">
        <w:t>Explanatory Statement</w:t>
      </w:r>
    </w:p>
    <w:p w14:paraId="08D47124" w14:textId="77777777" w:rsidR="00A04611" w:rsidRPr="007D723A" w:rsidRDefault="00A04611" w:rsidP="00A04611">
      <w:pPr>
        <w:widowControl/>
        <w:rPr>
          <w:rFonts w:eastAsia="Calibri" w:cs="Arial"/>
          <w:b/>
          <w:bCs/>
          <w:szCs w:val="22"/>
          <w:lang w:eastAsia="en-GB" w:bidi="ar-SA"/>
        </w:rPr>
      </w:pPr>
      <w:r w:rsidRPr="007D723A">
        <w:rPr>
          <w:rFonts w:eastAsia="Calibri" w:cs="Arial"/>
          <w:b/>
          <w:bCs/>
          <w:szCs w:val="22"/>
          <w:lang w:eastAsia="en-GB" w:bidi="ar-SA"/>
        </w:rPr>
        <w:t>1.</w:t>
      </w:r>
      <w:r w:rsidRPr="007D723A">
        <w:rPr>
          <w:rFonts w:eastAsia="Calibri" w:cs="Arial"/>
          <w:b/>
          <w:bCs/>
          <w:szCs w:val="22"/>
          <w:lang w:eastAsia="en-GB" w:bidi="ar-SA"/>
        </w:rPr>
        <w:tab/>
        <w:t>Authority</w:t>
      </w:r>
    </w:p>
    <w:p w14:paraId="5905313E" w14:textId="77777777" w:rsidR="00A04611" w:rsidRPr="007D723A" w:rsidRDefault="00A04611" w:rsidP="00A04611">
      <w:pPr>
        <w:widowControl/>
        <w:rPr>
          <w:rFonts w:eastAsia="Calibri" w:cs="Arial"/>
          <w:sz w:val="20"/>
          <w:szCs w:val="20"/>
          <w:lang w:eastAsia="en-GB" w:bidi="ar-SA"/>
        </w:rPr>
      </w:pPr>
    </w:p>
    <w:p w14:paraId="373EF615" w14:textId="77777777" w:rsidR="00A04611" w:rsidRPr="00EE4708" w:rsidRDefault="00A04611" w:rsidP="00A04611">
      <w:pPr>
        <w:widowControl/>
        <w:autoSpaceDE w:val="0"/>
        <w:autoSpaceDN w:val="0"/>
        <w:rPr>
          <w:rFonts w:eastAsia="Calibri" w:cs="Arial"/>
          <w:szCs w:val="22"/>
          <w:lang w:bidi="ar-SA"/>
        </w:rPr>
      </w:pPr>
      <w:r w:rsidRPr="00EE4708">
        <w:rPr>
          <w:rFonts w:eastAsia="Calibri" w:cs="Arial"/>
          <w:szCs w:val="22"/>
          <w:lang w:bidi="ar-SA"/>
        </w:rPr>
        <w:t xml:space="preserve">Section 13 of the </w:t>
      </w:r>
      <w:r w:rsidRPr="00EE4708">
        <w:rPr>
          <w:rFonts w:eastAsia="Calibri" w:cs="Arial"/>
          <w:i/>
          <w:iCs/>
          <w:szCs w:val="22"/>
          <w:lang w:bidi="ar-SA"/>
        </w:rPr>
        <w:t>Food Standards Australia New Zealand Act 1991</w:t>
      </w:r>
      <w:r w:rsidRPr="00EE4708">
        <w:rPr>
          <w:rFonts w:eastAsia="Calibri" w:cs="Arial"/>
          <w:szCs w:val="22"/>
          <w:lang w:bidi="ar-SA"/>
        </w:rPr>
        <w:t xml:space="preserve"> (the FSANZ Act) provides that the functions of Food Standards Australia New Zealand (the Authority) include the development of standards and variations of standards for inclusion in the </w:t>
      </w:r>
      <w:r w:rsidRPr="00EE4708">
        <w:rPr>
          <w:rFonts w:eastAsia="Calibri" w:cs="Arial"/>
          <w:i/>
          <w:iCs/>
          <w:szCs w:val="22"/>
          <w:lang w:bidi="ar-SA"/>
        </w:rPr>
        <w:t>Australia New Zealand Food Standards Code</w:t>
      </w:r>
      <w:r w:rsidRPr="00EE4708">
        <w:rPr>
          <w:rFonts w:eastAsia="Calibri" w:cs="Arial"/>
          <w:szCs w:val="22"/>
          <w:lang w:bidi="ar-SA"/>
        </w:rPr>
        <w:t xml:space="preserve"> (the Code).</w:t>
      </w:r>
    </w:p>
    <w:p w14:paraId="05736650" w14:textId="77777777" w:rsidR="00A04611" w:rsidRPr="00EE4708" w:rsidRDefault="00A04611" w:rsidP="00A04611">
      <w:pPr>
        <w:widowControl/>
        <w:autoSpaceDE w:val="0"/>
        <w:autoSpaceDN w:val="0"/>
        <w:rPr>
          <w:rFonts w:eastAsia="Calibri" w:cs="Arial"/>
          <w:szCs w:val="22"/>
          <w:lang w:bidi="ar-SA"/>
        </w:rPr>
      </w:pPr>
    </w:p>
    <w:p w14:paraId="3728C702" w14:textId="77777777" w:rsidR="00A04611" w:rsidRPr="00EE4708" w:rsidRDefault="00A04611" w:rsidP="00A04611">
      <w:pPr>
        <w:widowControl/>
        <w:autoSpaceDE w:val="0"/>
        <w:autoSpaceDN w:val="0"/>
        <w:adjustRightInd w:val="0"/>
        <w:rPr>
          <w:rFonts w:eastAsia="Calibri" w:cs="Arial"/>
          <w:bCs/>
          <w:szCs w:val="22"/>
          <w:lang w:val="en-AU" w:bidi="ar-SA"/>
        </w:rPr>
      </w:pPr>
      <w:r w:rsidRPr="00EE4708">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2675731" w14:textId="77777777" w:rsidR="00A04611" w:rsidRPr="00EE4708" w:rsidRDefault="00A04611" w:rsidP="00A04611">
      <w:pPr>
        <w:widowControl/>
        <w:autoSpaceDE w:val="0"/>
        <w:autoSpaceDN w:val="0"/>
        <w:adjustRightInd w:val="0"/>
        <w:rPr>
          <w:rFonts w:eastAsia="Calibri" w:cs="Arial"/>
          <w:bCs/>
          <w:szCs w:val="22"/>
          <w:lang w:val="en-AU" w:bidi="ar-SA"/>
        </w:rPr>
      </w:pPr>
    </w:p>
    <w:p w14:paraId="4188C6DF" w14:textId="77777777" w:rsidR="00A04611" w:rsidRPr="00EE4708" w:rsidRDefault="00A04611" w:rsidP="00A04611">
      <w:pPr>
        <w:widowControl/>
        <w:autoSpaceDE w:val="0"/>
        <w:autoSpaceDN w:val="0"/>
        <w:adjustRightInd w:val="0"/>
        <w:rPr>
          <w:rFonts w:eastAsia="Calibri" w:cs="Arial"/>
          <w:bCs/>
          <w:szCs w:val="22"/>
          <w:lang w:val="en-AU" w:bidi="ar-SA"/>
        </w:rPr>
      </w:pPr>
      <w:r w:rsidRPr="00EE4708">
        <w:rPr>
          <w:rFonts w:eastAsia="Calibri" w:cs="Arial"/>
          <w:bCs/>
          <w:szCs w:val="22"/>
          <w:lang w:val="en-AU" w:bidi="ar-SA"/>
        </w:rPr>
        <w:t xml:space="preserve">The Authority prepared Proposal P1042 to develop a food regulatory measure to permit seeds of low delta 9-tetrahydrocannabinol (low THC) varieties of </w:t>
      </w:r>
      <w:r w:rsidRPr="00EE4708">
        <w:rPr>
          <w:rFonts w:eastAsia="Calibri" w:cs="Arial"/>
          <w:bCs/>
          <w:i/>
          <w:szCs w:val="22"/>
          <w:lang w:val="en-AU" w:bidi="ar-SA"/>
        </w:rPr>
        <w:t>Cannabis sativa</w:t>
      </w:r>
      <w:r w:rsidRPr="00EE4708">
        <w:rPr>
          <w:rFonts w:eastAsia="Calibri" w:cs="Arial"/>
          <w:bCs/>
          <w:szCs w:val="22"/>
          <w:lang w:val="en-AU" w:bidi="ar-SA"/>
        </w:rPr>
        <w:t xml:space="preserve">, and certain products derived from those seeds, to be </w:t>
      </w:r>
      <w:r w:rsidRPr="00EE4708">
        <w:rPr>
          <w:rFonts w:eastAsia="Calibri"/>
        </w:rPr>
        <w:t>a food for sale or used as an ingredient in a food for sale.</w:t>
      </w:r>
      <w:r w:rsidRPr="00EE4708">
        <w:rPr>
          <w:rFonts w:eastAsia="Calibri" w:cs="Arial"/>
          <w:bCs/>
          <w:szCs w:val="22"/>
          <w:lang w:val="en-AU" w:bidi="ar-SA"/>
        </w:rPr>
        <w:t xml:space="preserve"> The Authority considered the Proposal in accordance with Division 2 of Part 3 and has approved a draft </w:t>
      </w:r>
      <w:r>
        <w:rPr>
          <w:rFonts w:eastAsia="Calibri" w:cs="Arial"/>
          <w:bCs/>
          <w:szCs w:val="22"/>
          <w:lang w:val="en-AU" w:bidi="ar-SA"/>
        </w:rPr>
        <w:t>variation</w:t>
      </w:r>
      <w:r w:rsidRPr="00992839">
        <w:rPr>
          <w:rFonts w:eastAsia="Calibri" w:cs="Arial"/>
          <w:bCs/>
          <w:szCs w:val="22"/>
          <w:lang w:val="en-AU" w:bidi="ar-SA"/>
        </w:rPr>
        <w:t xml:space="preserve"> </w:t>
      </w:r>
      <w:r w:rsidRPr="00EE4708">
        <w:rPr>
          <w:rFonts w:eastAsia="Calibri" w:cs="Arial"/>
          <w:bCs/>
          <w:szCs w:val="22"/>
          <w:lang w:val="en-AU" w:bidi="ar-SA"/>
        </w:rPr>
        <w:t xml:space="preserve">of a standard. </w:t>
      </w:r>
    </w:p>
    <w:p w14:paraId="37422B35" w14:textId="77777777" w:rsidR="00A04611" w:rsidRPr="00EE4708" w:rsidRDefault="00A04611" w:rsidP="00A04611">
      <w:pPr>
        <w:widowControl/>
        <w:autoSpaceDE w:val="0"/>
        <w:autoSpaceDN w:val="0"/>
        <w:adjustRightInd w:val="0"/>
        <w:rPr>
          <w:rFonts w:eastAsia="Calibri" w:cs="Arial"/>
          <w:bCs/>
          <w:szCs w:val="22"/>
          <w:lang w:val="en-AU" w:bidi="ar-SA"/>
        </w:rPr>
      </w:pPr>
    </w:p>
    <w:p w14:paraId="00807410" w14:textId="77777777" w:rsidR="00A04611" w:rsidRPr="00EE4708" w:rsidRDefault="00A04611" w:rsidP="00A04611">
      <w:pPr>
        <w:widowControl/>
        <w:autoSpaceDE w:val="0"/>
        <w:autoSpaceDN w:val="0"/>
        <w:adjustRightInd w:val="0"/>
        <w:rPr>
          <w:rFonts w:eastAsia="Calibri" w:cs="Arial"/>
          <w:bCs/>
          <w:szCs w:val="22"/>
          <w:lang w:val="en-AU" w:bidi="ar-SA"/>
        </w:rPr>
      </w:pPr>
      <w:r w:rsidRPr="00EE4708">
        <w:rPr>
          <w:rFonts w:eastAsia="Calibri" w:cs="Arial"/>
          <w:bCs/>
          <w:szCs w:val="22"/>
          <w:lang w:val="en-AU" w:bidi="ar-SA"/>
        </w:rPr>
        <w:t xml:space="preserve">Following consideration by the </w:t>
      </w:r>
      <w:r w:rsidRPr="00EE4708">
        <w:rPr>
          <w:rFonts w:cs="Helvetica"/>
          <w:lang w:val="en-AU"/>
        </w:rPr>
        <w:t xml:space="preserve">Australia and New Zealand Ministerial Forum on Food </w:t>
      </w:r>
      <w:r w:rsidRPr="00EE4708">
        <w:rPr>
          <w:rFonts w:cs="Arial"/>
        </w:rPr>
        <w:t>Regulation</w:t>
      </w:r>
      <w:r w:rsidRPr="00EE4708">
        <w:rPr>
          <w:rFonts w:eastAsia="Calibri" w:cs="Arial"/>
          <w:bCs/>
          <w:szCs w:val="22"/>
          <w:lang w:val="en-AU" w:bidi="ar-SA"/>
        </w:rPr>
        <w:t xml:space="preserve">, section 92 of the FSANZ Act stipulates that the Authority must publish a notice about the standard or draft variation of a standard. </w:t>
      </w:r>
    </w:p>
    <w:p w14:paraId="5AF13B30" w14:textId="77777777" w:rsidR="00A04611" w:rsidRPr="00EE4708" w:rsidRDefault="00A04611" w:rsidP="00A04611">
      <w:pPr>
        <w:widowControl/>
        <w:autoSpaceDE w:val="0"/>
        <w:autoSpaceDN w:val="0"/>
        <w:adjustRightInd w:val="0"/>
        <w:rPr>
          <w:rFonts w:eastAsia="Calibri" w:cs="Arial"/>
          <w:bCs/>
          <w:szCs w:val="22"/>
          <w:lang w:val="en-AU" w:bidi="ar-SA"/>
        </w:rPr>
      </w:pPr>
    </w:p>
    <w:p w14:paraId="7378952D" w14:textId="77777777" w:rsidR="00A04611" w:rsidRPr="00EE4708" w:rsidRDefault="00A04611" w:rsidP="00A04611">
      <w:pPr>
        <w:widowControl/>
        <w:rPr>
          <w:rFonts w:eastAsia="Calibri" w:cs="Arial"/>
          <w:bCs/>
          <w:szCs w:val="22"/>
          <w:lang w:val="en-AU" w:bidi="ar-SA"/>
        </w:rPr>
      </w:pPr>
      <w:r w:rsidRPr="00EE4708">
        <w:rPr>
          <w:rFonts w:eastAsia="Calibri" w:cs="Arial"/>
          <w:bCs/>
          <w:szCs w:val="22"/>
          <w:lang w:val="en-AU" w:bidi="ar-SA"/>
        </w:rPr>
        <w:t>Section 94 of the FSANZ Act specifies that a</w:t>
      </w:r>
      <w:r w:rsidRPr="00EE4708">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EE4708">
        <w:rPr>
          <w:rFonts w:eastAsia="Calibri" w:cs="Arial"/>
          <w:i/>
          <w:szCs w:val="22"/>
          <w:lang w:val="en-AU" w:bidi="ar-SA"/>
        </w:rPr>
        <w:t>Legislation Act 2003</w:t>
      </w:r>
      <w:r>
        <w:rPr>
          <w:rFonts w:eastAsia="Calibri" w:cs="Arial"/>
          <w:szCs w:val="22"/>
          <w:lang w:val="en-AU" w:bidi="ar-SA"/>
        </w:rPr>
        <w:t>.</w:t>
      </w:r>
    </w:p>
    <w:p w14:paraId="73FFC47F" w14:textId="77777777" w:rsidR="00A04611" w:rsidRPr="00EE4708" w:rsidRDefault="00A04611" w:rsidP="00A04611">
      <w:pPr>
        <w:widowControl/>
        <w:rPr>
          <w:rFonts w:eastAsia="Calibri" w:cs="Arial"/>
          <w:sz w:val="20"/>
          <w:szCs w:val="20"/>
          <w:lang w:eastAsia="en-GB" w:bidi="ar-SA"/>
        </w:rPr>
      </w:pPr>
    </w:p>
    <w:p w14:paraId="36224495" w14:textId="77777777" w:rsidR="00A04611" w:rsidRPr="00EE4708" w:rsidRDefault="00A04611" w:rsidP="00A04611">
      <w:pPr>
        <w:widowControl/>
        <w:rPr>
          <w:rFonts w:eastAsia="Calibri" w:cs="Arial"/>
          <w:b/>
          <w:bCs/>
          <w:szCs w:val="22"/>
          <w:lang w:eastAsia="en-GB" w:bidi="ar-SA"/>
        </w:rPr>
      </w:pPr>
      <w:r w:rsidRPr="00EE4708">
        <w:rPr>
          <w:rFonts w:eastAsia="Calibri" w:cs="Arial"/>
          <w:b/>
          <w:bCs/>
          <w:szCs w:val="22"/>
          <w:lang w:eastAsia="en-GB" w:bidi="ar-SA"/>
        </w:rPr>
        <w:t>2.</w:t>
      </w:r>
      <w:r w:rsidRPr="00EE4708">
        <w:rPr>
          <w:rFonts w:eastAsia="Calibri" w:cs="Arial"/>
          <w:b/>
          <w:bCs/>
          <w:szCs w:val="22"/>
          <w:lang w:eastAsia="en-GB" w:bidi="ar-SA"/>
        </w:rPr>
        <w:tab/>
        <w:t>Purpose and operation</w:t>
      </w:r>
    </w:p>
    <w:p w14:paraId="5BADD920" w14:textId="77777777" w:rsidR="00A04611" w:rsidRPr="00EE4708" w:rsidRDefault="00A04611" w:rsidP="00A04611">
      <w:pPr>
        <w:widowControl/>
        <w:rPr>
          <w:rFonts w:eastAsia="Calibri" w:cs="Arial"/>
          <w:i/>
          <w:iCs/>
          <w:szCs w:val="22"/>
          <w:lang w:bidi="ar-SA"/>
        </w:rPr>
      </w:pPr>
    </w:p>
    <w:p w14:paraId="376F8807" w14:textId="7A454AA4" w:rsidR="00A04611" w:rsidRDefault="00A04611" w:rsidP="00A04611">
      <w:pPr>
        <w:widowControl/>
        <w:rPr>
          <w:rFonts w:eastAsia="Calibri" w:cs="Arial"/>
          <w:iCs/>
          <w:szCs w:val="22"/>
          <w:lang w:bidi="ar-SA"/>
        </w:rPr>
      </w:pPr>
      <w:r w:rsidRPr="002D770B">
        <w:rPr>
          <w:rFonts w:eastAsia="Calibri" w:cs="Arial"/>
          <w:iCs/>
          <w:szCs w:val="22"/>
          <w:lang w:bidi="ar-SA"/>
        </w:rPr>
        <w:t xml:space="preserve">The Authority has </w:t>
      </w:r>
      <w:r>
        <w:rPr>
          <w:rFonts w:eastAsia="Calibri" w:cs="Arial"/>
          <w:iCs/>
          <w:szCs w:val="22"/>
          <w:lang w:bidi="ar-SA"/>
        </w:rPr>
        <w:t>prepared a draft</w:t>
      </w:r>
      <w:r w:rsidRPr="002D770B">
        <w:rPr>
          <w:rFonts w:eastAsia="Calibri" w:cs="Arial"/>
          <w:iCs/>
          <w:szCs w:val="22"/>
          <w:lang w:bidi="ar-SA"/>
        </w:rPr>
        <w:t xml:space="preserve"> </w:t>
      </w:r>
      <w:r>
        <w:rPr>
          <w:rFonts w:eastAsia="Calibri" w:cs="Arial"/>
          <w:iCs/>
          <w:szCs w:val="22"/>
          <w:lang w:bidi="ar-SA"/>
        </w:rPr>
        <w:t>variation</w:t>
      </w:r>
      <w:r w:rsidRPr="002D770B">
        <w:rPr>
          <w:rFonts w:eastAsia="Calibri" w:cs="Arial"/>
          <w:iCs/>
          <w:szCs w:val="22"/>
          <w:lang w:bidi="ar-SA"/>
        </w:rPr>
        <w:t xml:space="preserve"> to Standard</w:t>
      </w:r>
      <w:r w:rsidR="004D06BB">
        <w:rPr>
          <w:rFonts w:eastAsia="Calibri" w:cs="Arial"/>
          <w:iCs/>
          <w:szCs w:val="22"/>
          <w:lang w:bidi="ar-SA"/>
        </w:rPr>
        <w:t>s 1.2.7 and</w:t>
      </w:r>
      <w:r w:rsidRPr="002D770B">
        <w:rPr>
          <w:rFonts w:eastAsia="Calibri" w:cs="Arial"/>
          <w:iCs/>
          <w:szCs w:val="22"/>
          <w:lang w:bidi="ar-SA"/>
        </w:rPr>
        <w:t xml:space="preserve"> 1.4.4 to permit </w:t>
      </w:r>
      <w:r>
        <w:rPr>
          <w:rFonts w:eastAsia="Calibri" w:cs="Arial"/>
          <w:iCs/>
          <w:szCs w:val="22"/>
          <w:lang w:bidi="ar-SA"/>
        </w:rPr>
        <w:t>certain types of</w:t>
      </w:r>
      <w:r w:rsidRPr="002D770B">
        <w:rPr>
          <w:rFonts w:eastAsia="Calibri" w:cs="Arial"/>
          <w:iCs/>
          <w:szCs w:val="22"/>
          <w:lang w:bidi="ar-SA"/>
        </w:rPr>
        <w:t xml:space="preserve"> seed</w:t>
      </w:r>
      <w:r>
        <w:rPr>
          <w:rFonts w:eastAsia="Calibri" w:cs="Arial"/>
          <w:iCs/>
          <w:szCs w:val="22"/>
          <w:lang w:bidi="ar-SA"/>
        </w:rPr>
        <w:t>s</w:t>
      </w:r>
      <w:r w:rsidRPr="002D770B">
        <w:rPr>
          <w:rFonts w:eastAsia="Calibri" w:cs="Arial"/>
          <w:iCs/>
          <w:szCs w:val="22"/>
          <w:lang w:bidi="ar-SA"/>
        </w:rPr>
        <w:t xml:space="preserve"> and seed products from </w:t>
      </w:r>
      <w:r w:rsidRPr="00E20E2C">
        <w:rPr>
          <w:rFonts w:eastAsia="Calibri" w:cs="Arial"/>
          <w:i/>
          <w:iCs/>
          <w:szCs w:val="22"/>
          <w:lang w:bidi="ar-SA"/>
        </w:rPr>
        <w:t xml:space="preserve">Cannabis </w:t>
      </w:r>
      <w:r w:rsidRPr="003122B8">
        <w:rPr>
          <w:rFonts w:eastAsia="Calibri" w:cs="Arial"/>
          <w:iCs/>
          <w:szCs w:val="22"/>
          <w:lang w:bidi="ar-SA"/>
        </w:rPr>
        <w:t>species</w:t>
      </w:r>
      <w:r w:rsidRPr="002D770B">
        <w:rPr>
          <w:rFonts w:eastAsia="Calibri" w:cs="Arial"/>
          <w:iCs/>
          <w:szCs w:val="22"/>
          <w:lang w:bidi="ar-SA"/>
        </w:rPr>
        <w:t xml:space="preserve"> </w:t>
      </w:r>
      <w:r>
        <w:rPr>
          <w:rFonts w:eastAsia="Calibri" w:cs="Arial"/>
          <w:iCs/>
          <w:szCs w:val="22"/>
          <w:lang w:bidi="ar-SA"/>
        </w:rPr>
        <w:t xml:space="preserve">to be sold as </w:t>
      </w:r>
      <w:r w:rsidRPr="002D770B">
        <w:rPr>
          <w:rFonts w:eastAsia="Calibri" w:cs="Arial"/>
          <w:iCs/>
          <w:szCs w:val="22"/>
          <w:lang w:bidi="ar-SA"/>
        </w:rPr>
        <w:t>a food</w:t>
      </w:r>
      <w:r>
        <w:rPr>
          <w:rFonts w:eastAsia="Calibri" w:cs="Arial"/>
          <w:iCs/>
          <w:szCs w:val="22"/>
          <w:lang w:bidi="ar-SA"/>
        </w:rPr>
        <w:t xml:space="preserve"> or used</w:t>
      </w:r>
      <w:r w:rsidRPr="002D770B">
        <w:rPr>
          <w:rFonts w:eastAsia="Calibri" w:cs="Arial"/>
          <w:iCs/>
          <w:szCs w:val="22"/>
          <w:lang w:bidi="ar-SA"/>
        </w:rPr>
        <w:t xml:space="preserve"> </w:t>
      </w:r>
      <w:r>
        <w:rPr>
          <w:rFonts w:eastAsia="Calibri" w:cs="Arial"/>
          <w:iCs/>
          <w:szCs w:val="22"/>
          <w:lang w:bidi="ar-SA"/>
        </w:rPr>
        <w:t xml:space="preserve">as </w:t>
      </w:r>
      <w:r w:rsidRPr="002D770B">
        <w:rPr>
          <w:rFonts w:eastAsia="Calibri" w:cs="Arial"/>
          <w:iCs/>
          <w:szCs w:val="22"/>
          <w:lang w:bidi="ar-SA"/>
        </w:rPr>
        <w:t xml:space="preserve">an ingredient </w:t>
      </w:r>
      <w:r>
        <w:rPr>
          <w:rFonts w:eastAsia="Calibri" w:cs="Arial"/>
          <w:iCs/>
          <w:szCs w:val="22"/>
          <w:lang w:bidi="ar-SA"/>
        </w:rPr>
        <w:t>in</w:t>
      </w:r>
      <w:r w:rsidRPr="002D770B">
        <w:rPr>
          <w:rFonts w:eastAsia="Calibri" w:cs="Arial"/>
          <w:iCs/>
          <w:szCs w:val="22"/>
          <w:lang w:bidi="ar-SA"/>
        </w:rPr>
        <w:t xml:space="preserve"> a food</w:t>
      </w:r>
      <w:r>
        <w:rPr>
          <w:rFonts w:eastAsia="Calibri" w:cs="Arial"/>
          <w:iCs/>
          <w:szCs w:val="22"/>
          <w:lang w:bidi="ar-SA"/>
        </w:rPr>
        <w:t xml:space="preserve"> provided that certain conditions are met. </w:t>
      </w:r>
    </w:p>
    <w:p w14:paraId="4CC2417E" w14:textId="77777777" w:rsidR="00A04611" w:rsidRPr="002D770B" w:rsidRDefault="00A04611" w:rsidP="00A04611">
      <w:pPr>
        <w:widowControl/>
        <w:rPr>
          <w:rFonts w:eastAsia="Calibri" w:cs="Arial"/>
          <w:iCs/>
          <w:szCs w:val="22"/>
          <w:lang w:bidi="ar-SA"/>
        </w:rPr>
      </w:pPr>
    </w:p>
    <w:p w14:paraId="53576D84" w14:textId="77777777" w:rsidR="00A04611" w:rsidRPr="007D723A" w:rsidRDefault="00A04611" w:rsidP="00A04611">
      <w:pPr>
        <w:widowControl/>
        <w:rPr>
          <w:rFonts w:eastAsia="Calibri" w:cs="Arial"/>
          <w:b/>
          <w:bCs/>
          <w:szCs w:val="22"/>
          <w:lang w:eastAsia="en-GB" w:bidi="ar-SA"/>
        </w:rPr>
      </w:pPr>
      <w:r w:rsidRPr="007D723A">
        <w:rPr>
          <w:rFonts w:eastAsia="Calibri" w:cs="Arial"/>
          <w:b/>
          <w:bCs/>
          <w:szCs w:val="22"/>
          <w:lang w:eastAsia="en-GB" w:bidi="ar-SA"/>
        </w:rPr>
        <w:t>3.</w:t>
      </w:r>
      <w:r w:rsidRPr="007D723A">
        <w:rPr>
          <w:rFonts w:eastAsia="Calibri" w:cs="Arial"/>
          <w:b/>
          <w:bCs/>
          <w:szCs w:val="22"/>
          <w:lang w:eastAsia="en-GB" w:bidi="ar-SA"/>
        </w:rPr>
        <w:tab/>
        <w:t>Documents incorporated by reference</w:t>
      </w:r>
    </w:p>
    <w:p w14:paraId="5C114CA0" w14:textId="77777777" w:rsidR="00A04611" w:rsidRPr="007D723A" w:rsidRDefault="00A04611" w:rsidP="00A04611">
      <w:pPr>
        <w:widowControl/>
        <w:rPr>
          <w:rFonts w:eastAsia="Calibri" w:cs="Arial"/>
          <w:szCs w:val="22"/>
          <w:lang w:eastAsia="en-GB" w:bidi="ar-SA"/>
        </w:rPr>
      </w:pPr>
    </w:p>
    <w:p w14:paraId="1EB570A4" w14:textId="77777777" w:rsidR="00A04611" w:rsidRPr="007D723A" w:rsidRDefault="00A04611" w:rsidP="00A04611">
      <w:pPr>
        <w:widowControl/>
        <w:autoSpaceDE w:val="0"/>
        <w:autoSpaceDN w:val="0"/>
        <w:rPr>
          <w:rFonts w:eastAsia="Calibri" w:cs="Arial"/>
          <w:szCs w:val="22"/>
          <w:lang w:bidi="ar-SA"/>
        </w:rPr>
      </w:pPr>
      <w:r w:rsidRPr="007D723A">
        <w:rPr>
          <w:rFonts w:eastAsia="Calibri" w:cs="Arial"/>
          <w:szCs w:val="22"/>
          <w:lang w:bidi="ar-SA"/>
        </w:rPr>
        <w:t>The variation does not incorporate any documents by reference.</w:t>
      </w:r>
    </w:p>
    <w:p w14:paraId="31AF073D" w14:textId="77777777" w:rsidR="00A04611" w:rsidRPr="007D723A" w:rsidRDefault="00A04611" w:rsidP="00A04611">
      <w:pPr>
        <w:widowControl/>
        <w:rPr>
          <w:rFonts w:eastAsia="Calibri" w:cs="Arial"/>
          <w:szCs w:val="22"/>
          <w:lang w:eastAsia="en-GB" w:bidi="ar-SA"/>
        </w:rPr>
      </w:pPr>
    </w:p>
    <w:p w14:paraId="22B589D3" w14:textId="77777777" w:rsidR="00A04611" w:rsidRPr="007D723A" w:rsidRDefault="00A04611" w:rsidP="00A04611">
      <w:pPr>
        <w:widowControl/>
        <w:rPr>
          <w:rFonts w:eastAsia="Calibri" w:cs="Arial"/>
          <w:b/>
          <w:bCs/>
          <w:szCs w:val="22"/>
          <w:lang w:eastAsia="en-GB" w:bidi="ar-SA"/>
        </w:rPr>
      </w:pPr>
      <w:r w:rsidRPr="007D723A">
        <w:rPr>
          <w:rFonts w:eastAsia="Calibri" w:cs="Arial"/>
          <w:b/>
          <w:bCs/>
          <w:szCs w:val="22"/>
          <w:lang w:eastAsia="en-GB" w:bidi="ar-SA"/>
        </w:rPr>
        <w:t>4.</w:t>
      </w:r>
      <w:r w:rsidRPr="007D723A">
        <w:rPr>
          <w:rFonts w:eastAsia="Calibri" w:cs="Arial"/>
          <w:b/>
          <w:bCs/>
          <w:szCs w:val="22"/>
          <w:lang w:eastAsia="en-GB" w:bidi="ar-SA"/>
        </w:rPr>
        <w:tab/>
        <w:t>Consultation</w:t>
      </w:r>
    </w:p>
    <w:p w14:paraId="29753540" w14:textId="77777777" w:rsidR="00A04611" w:rsidRPr="007D723A" w:rsidRDefault="00A04611" w:rsidP="00A04611">
      <w:pPr>
        <w:widowControl/>
        <w:rPr>
          <w:rFonts w:eastAsia="Calibri" w:cs="Arial"/>
          <w:szCs w:val="22"/>
          <w:highlight w:val="yellow"/>
          <w:lang w:eastAsia="en-GB" w:bidi="ar-SA"/>
        </w:rPr>
      </w:pPr>
    </w:p>
    <w:p w14:paraId="1088AAAD" w14:textId="77777777" w:rsidR="00A04611" w:rsidRPr="00206981" w:rsidRDefault="00A04611" w:rsidP="00A04611">
      <w:pPr>
        <w:rPr>
          <w:szCs w:val="22"/>
        </w:rPr>
      </w:pPr>
      <w:r w:rsidRPr="00584AF3">
        <w:rPr>
          <w:szCs w:val="22"/>
        </w:rPr>
        <w:t xml:space="preserve">In accordance with the procedure in Division 2 of Part 3 of the FSANZ Act, </w:t>
      </w:r>
      <w:r w:rsidRPr="00584AF3">
        <w:rPr>
          <w:rFonts w:eastAsia="Calibri" w:cs="Arial"/>
          <w:bCs/>
          <w:szCs w:val="22"/>
          <w:lang w:val="en-AU" w:bidi="ar-SA"/>
        </w:rPr>
        <w:t>the Authority</w:t>
      </w:r>
      <w:r w:rsidRPr="00584AF3">
        <w:rPr>
          <w:szCs w:val="22"/>
        </w:rPr>
        <w:t xml:space="preserve">’s consideration of </w:t>
      </w:r>
      <w:r>
        <w:rPr>
          <w:szCs w:val="22"/>
        </w:rPr>
        <w:t xml:space="preserve">the </w:t>
      </w:r>
      <w:r w:rsidRPr="00584AF3">
        <w:rPr>
          <w:szCs w:val="22"/>
        </w:rPr>
        <w:t>Proposal include</w:t>
      </w:r>
      <w:r>
        <w:rPr>
          <w:szCs w:val="22"/>
        </w:rPr>
        <w:t>d</w:t>
      </w:r>
      <w:r w:rsidRPr="00584AF3">
        <w:rPr>
          <w:szCs w:val="22"/>
        </w:rPr>
        <w:t xml:space="preserve"> one round of public consultation following an assessment and the preparation of a draft </w:t>
      </w:r>
      <w:r>
        <w:rPr>
          <w:szCs w:val="22"/>
        </w:rPr>
        <w:t>variation</w:t>
      </w:r>
      <w:r w:rsidRPr="00584AF3">
        <w:rPr>
          <w:szCs w:val="22"/>
        </w:rPr>
        <w:t xml:space="preserve"> and associated report. </w:t>
      </w:r>
      <w:r w:rsidRPr="00206981">
        <w:rPr>
          <w:szCs w:val="22"/>
        </w:rPr>
        <w:t xml:space="preserve">Submissions were called for on 28 July 2016 for a </w:t>
      </w:r>
      <w:r>
        <w:rPr>
          <w:szCs w:val="22"/>
        </w:rPr>
        <w:t>four</w:t>
      </w:r>
      <w:r w:rsidRPr="00206981">
        <w:rPr>
          <w:szCs w:val="22"/>
        </w:rPr>
        <w:t>-week consultation period</w:t>
      </w:r>
      <w:r w:rsidRPr="00584AF3">
        <w:rPr>
          <w:szCs w:val="22"/>
        </w:rPr>
        <w:t xml:space="preserve">. </w:t>
      </w:r>
    </w:p>
    <w:p w14:paraId="66085AD4" w14:textId="77777777" w:rsidR="00A04611" w:rsidRPr="00584AF3" w:rsidRDefault="00A04611" w:rsidP="00A04611">
      <w:pPr>
        <w:rPr>
          <w:rFonts w:eastAsia="Calibri"/>
          <w:lang w:val="en-AU" w:bidi="ar-SA"/>
        </w:rPr>
      </w:pPr>
    </w:p>
    <w:p w14:paraId="699168C1" w14:textId="77777777" w:rsidR="00A04611" w:rsidRPr="007D723A" w:rsidRDefault="00A04611" w:rsidP="00A04611">
      <w:pPr>
        <w:widowControl/>
        <w:autoSpaceDE w:val="0"/>
        <w:autoSpaceDN w:val="0"/>
        <w:rPr>
          <w:rFonts w:eastAsia="Calibri" w:cs="Arial"/>
          <w:szCs w:val="22"/>
          <w:lang w:bidi="ar-SA"/>
        </w:rPr>
      </w:pPr>
      <w:r w:rsidRPr="00584AF3">
        <w:rPr>
          <w:rFonts w:eastAsia="Calibri" w:cs="Arial"/>
          <w:bCs/>
          <w:szCs w:val="22"/>
          <w:lang w:val="en-AU" w:bidi="ar-SA"/>
        </w:rPr>
        <w:t xml:space="preserve">A Regulation Impact Statement was not required because the proposed variation </w:t>
      </w:r>
      <w:r>
        <w:t>is</w:t>
      </w:r>
      <w:r w:rsidRPr="00584AF3">
        <w:t xml:space="preserve"> likely to have </w:t>
      </w:r>
      <w:r>
        <w:t xml:space="preserve">only </w:t>
      </w:r>
      <w:r w:rsidRPr="00584AF3">
        <w:t>a minor regulatory impact on business, community organisations or individuals</w:t>
      </w:r>
      <w:r>
        <w:t xml:space="preserve">. </w:t>
      </w:r>
    </w:p>
    <w:p w14:paraId="0A6CA9FB" w14:textId="77777777" w:rsidR="00A04611" w:rsidRPr="007D723A" w:rsidRDefault="00A04611" w:rsidP="00A04611">
      <w:pPr>
        <w:widowControl/>
        <w:autoSpaceDE w:val="0"/>
        <w:autoSpaceDN w:val="0"/>
        <w:rPr>
          <w:rFonts w:eastAsia="Calibri" w:cs="Arial"/>
          <w:szCs w:val="22"/>
          <w:lang w:bidi="ar-SA"/>
        </w:rPr>
      </w:pPr>
    </w:p>
    <w:p w14:paraId="05C1AAF3" w14:textId="77777777" w:rsidR="00A04611" w:rsidRPr="007D723A" w:rsidRDefault="00A04611" w:rsidP="00A04611">
      <w:pPr>
        <w:widowControl/>
        <w:rPr>
          <w:rFonts w:eastAsia="Calibri" w:cs="Arial"/>
          <w:b/>
          <w:bCs/>
          <w:szCs w:val="22"/>
          <w:lang w:bidi="ar-SA"/>
        </w:rPr>
      </w:pPr>
      <w:r w:rsidRPr="007D723A">
        <w:rPr>
          <w:rFonts w:eastAsia="Calibri" w:cs="Arial"/>
          <w:b/>
          <w:bCs/>
          <w:szCs w:val="22"/>
          <w:lang w:bidi="ar-SA"/>
        </w:rPr>
        <w:t>5.</w:t>
      </w:r>
      <w:r w:rsidRPr="007D723A">
        <w:rPr>
          <w:rFonts w:eastAsia="Calibri" w:cs="Arial"/>
          <w:b/>
          <w:bCs/>
          <w:szCs w:val="22"/>
          <w:lang w:bidi="ar-SA"/>
        </w:rPr>
        <w:tab/>
        <w:t>Statement of compatibility with human rights</w:t>
      </w:r>
    </w:p>
    <w:p w14:paraId="71C7D88F" w14:textId="77777777" w:rsidR="00A04611" w:rsidRPr="007D723A" w:rsidRDefault="00A04611" w:rsidP="00A04611">
      <w:pPr>
        <w:rPr>
          <w:rFonts w:eastAsia="Calibri"/>
          <w:lang w:bidi="ar-SA"/>
        </w:rPr>
      </w:pPr>
    </w:p>
    <w:p w14:paraId="1ACBCD34" w14:textId="77777777" w:rsidR="00A04611" w:rsidRPr="007D723A" w:rsidRDefault="00A04611" w:rsidP="00A04611">
      <w:pPr>
        <w:rPr>
          <w:rFonts w:eastAsia="Calibri"/>
          <w:lang w:bidi="ar-SA"/>
        </w:rPr>
      </w:pPr>
      <w:r w:rsidRPr="007D723A">
        <w:rPr>
          <w:rFonts w:eastAsia="Calibri"/>
          <w:lang w:bidi="ar-SA"/>
        </w:rPr>
        <w:t>This instrument is exempt from the requirements for a statement of compatibility with human rights as it is a non-disallowable instrument under section 94 of the FSANZ Act.</w:t>
      </w:r>
    </w:p>
    <w:p w14:paraId="178C02E8" w14:textId="77777777" w:rsidR="00A04611" w:rsidRPr="007D723A" w:rsidRDefault="00A04611" w:rsidP="00A04611">
      <w:pPr>
        <w:widowControl/>
        <w:rPr>
          <w:rFonts w:eastAsia="Calibri" w:cs="Arial"/>
          <w:szCs w:val="22"/>
          <w:lang w:eastAsia="en-GB" w:bidi="ar-SA"/>
        </w:rPr>
      </w:pPr>
    </w:p>
    <w:p w14:paraId="71584EE7" w14:textId="77777777" w:rsidR="00A04611" w:rsidRDefault="00A04611" w:rsidP="00A04611">
      <w:pPr>
        <w:widowControl/>
        <w:rPr>
          <w:rFonts w:eastAsia="Calibri" w:cs="Arial"/>
          <w:b/>
          <w:bCs/>
          <w:szCs w:val="22"/>
          <w:lang w:bidi="ar-SA"/>
        </w:rPr>
      </w:pPr>
      <w:r>
        <w:rPr>
          <w:rFonts w:eastAsia="Calibri" w:cs="Arial"/>
          <w:b/>
          <w:bCs/>
          <w:szCs w:val="22"/>
          <w:lang w:bidi="ar-SA"/>
        </w:rPr>
        <w:br w:type="page"/>
      </w:r>
    </w:p>
    <w:p w14:paraId="63D7DED7" w14:textId="77777777" w:rsidR="00A04611" w:rsidRPr="002D770B" w:rsidRDefault="00A04611" w:rsidP="00A04611">
      <w:pPr>
        <w:widowControl/>
        <w:rPr>
          <w:rFonts w:eastAsia="Calibri" w:cs="Arial"/>
          <w:b/>
          <w:bCs/>
          <w:szCs w:val="22"/>
          <w:lang w:bidi="ar-SA"/>
        </w:rPr>
      </w:pPr>
      <w:r w:rsidRPr="007D723A">
        <w:rPr>
          <w:rFonts w:eastAsia="Calibri" w:cs="Arial"/>
          <w:b/>
          <w:bCs/>
          <w:szCs w:val="22"/>
          <w:lang w:bidi="ar-SA"/>
        </w:rPr>
        <w:lastRenderedPageBreak/>
        <w:t>6.</w:t>
      </w:r>
      <w:r w:rsidRPr="007D723A">
        <w:rPr>
          <w:rFonts w:eastAsia="Calibri" w:cs="Arial"/>
          <w:b/>
          <w:bCs/>
          <w:szCs w:val="22"/>
          <w:lang w:bidi="ar-SA"/>
        </w:rPr>
        <w:tab/>
        <w:t xml:space="preserve">Variation </w:t>
      </w:r>
    </w:p>
    <w:p w14:paraId="6B8CBFBC" w14:textId="77777777" w:rsidR="00A04611" w:rsidRPr="007C3A4C" w:rsidRDefault="00A04611" w:rsidP="00A04611">
      <w:pPr>
        <w:widowControl/>
        <w:rPr>
          <w:rFonts w:eastAsia="Calibri" w:cs="Arial"/>
          <w:color w:val="000000" w:themeColor="text1"/>
          <w:szCs w:val="22"/>
          <w:lang w:bidi="ar-SA"/>
        </w:rPr>
      </w:pPr>
    </w:p>
    <w:p w14:paraId="11A48324" w14:textId="77777777" w:rsidR="00A04611" w:rsidRDefault="00A04611" w:rsidP="00A04611">
      <w:pPr>
        <w:rPr>
          <w:color w:val="000000" w:themeColor="text1"/>
          <w:szCs w:val="22"/>
        </w:rPr>
      </w:pPr>
      <w:r>
        <w:rPr>
          <w:color w:val="000000" w:themeColor="text1"/>
          <w:szCs w:val="22"/>
        </w:rPr>
        <w:t xml:space="preserve">Item [1] amends Standard 1.2.7 by inserting a Note after section 1.2.7—4. The Note provides a reference in Standard 1.2.7 to the prohibition imposed by subsection 1.4.4—7(3) on </w:t>
      </w:r>
      <w:r w:rsidRPr="00602FD6">
        <w:t xml:space="preserve">health claims and nutrition content claims in relation to </w:t>
      </w:r>
      <w:r w:rsidRPr="00602FD6">
        <w:rPr>
          <w:lang w:val="en-AU"/>
        </w:rPr>
        <w:t xml:space="preserve">cannabidiol </w:t>
      </w:r>
      <w:r w:rsidRPr="00602FD6">
        <w:t>in hemp food products</w:t>
      </w:r>
      <w:r>
        <w:rPr>
          <w:color w:val="000000" w:themeColor="text1"/>
          <w:szCs w:val="22"/>
        </w:rPr>
        <w:t>.</w:t>
      </w:r>
    </w:p>
    <w:p w14:paraId="6F47A882" w14:textId="77777777" w:rsidR="00A04611" w:rsidRDefault="00A04611" w:rsidP="00A04611">
      <w:pPr>
        <w:rPr>
          <w:color w:val="000000" w:themeColor="text1"/>
          <w:szCs w:val="22"/>
        </w:rPr>
      </w:pPr>
    </w:p>
    <w:p w14:paraId="2B18786A" w14:textId="2C164D6E" w:rsidR="00A04611" w:rsidRDefault="00A04611" w:rsidP="00A04611">
      <w:pPr>
        <w:rPr>
          <w:color w:val="000000" w:themeColor="text1"/>
          <w:szCs w:val="22"/>
        </w:rPr>
      </w:pPr>
      <w:r>
        <w:rPr>
          <w:color w:val="000000" w:themeColor="text1"/>
          <w:szCs w:val="22"/>
        </w:rPr>
        <w:t>Item [2.1]</w:t>
      </w:r>
      <w:r w:rsidRPr="007C3A4C">
        <w:rPr>
          <w:color w:val="000000" w:themeColor="text1"/>
          <w:szCs w:val="22"/>
        </w:rPr>
        <w:t xml:space="preserve"> </w:t>
      </w:r>
      <w:r>
        <w:rPr>
          <w:color w:val="000000" w:themeColor="text1"/>
          <w:szCs w:val="22"/>
        </w:rPr>
        <w:t xml:space="preserve">amends Standard 1.4.4 by omitting the Note to section 1.4.4—2 and substituting three new Notes. Note 1 provides a reference in Standard 1.4.4 to sections 1.1.2—2 and 1.1.2—3, which define certain terms used in Standard 1.4.4 including in new sections </w:t>
      </w:r>
      <w:r w:rsidRPr="007C3A4C">
        <w:rPr>
          <w:color w:val="000000" w:themeColor="text1"/>
          <w:szCs w:val="22"/>
        </w:rPr>
        <w:t>1.4.4—6</w:t>
      </w:r>
      <w:r>
        <w:rPr>
          <w:color w:val="000000" w:themeColor="text1"/>
          <w:szCs w:val="22"/>
        </w:rPr>
        <w:t xml:space="preserve"> and </w:t>
      </w:r>
      <w:r w:rsidRPr="007C3A4C">
        <w:rPr>
          <w:color w:val="000000" w:themeColor="text1"/>
          <w:szCs w:val="22"/>
        </w:rPr>
        <w:t>1.4.4—</w:t>
      </w:r>
      <w:r>
        <w:rPr>
          <w:color w:val="000000" w:themeColor="text1"/>
          <w:szCs w:val="22"/>
        </w:rPr>
        <w:t>7.</w:t>
      </w:r>
    </w:p>
    <w:p w14:paraId="64D057A4" w14:textId="77777777" w:rsidR="00A04611" w:rsidRDefault="00A04611" w:rsidP="00A04611">
      <w:pPr>
        <w:rPr>
          <w:color w:val="000000" w:themeColor="text1"/>
          <w:szCs w:val="22"/>
        </w:rPr>
      </w:pPr>
    </w:p>
    <w:p w14:paraId="27BF2651" w14:textId="77777777" w:rsidR="00A04611" w:rsidRDefault="00A04611" w:rsidP="00A04611">
      <w:pPr>
        <w:rPr>
          <w:color w:val="000000" w:themeColor="text1"/>
          <w:szCs w:val="22"/>
        </w:rPr>
      </w:pPr>
      <w:r>
        <w:rPr>
          <w:color w:val="000000" w:themeColor="text1"/>
          <w:szCs w:val="22"/>
        </w:rPr>
        <w:t xml:space="preserve">Note 2 provides a reference in Standard 1.4.4 to the definition in section 1.1.2—9 of the term ‘nutrition content claim’. Section </w:t>
      </w:r>
      <w:r w:rsidRPr="007C3A4C">
        <w:rPr>
          <w:color w:val="000000" w:themeColor="text1"/>
          <w:szCs w:val="22"/>
        </w:rPr>
        <w:t>1.4.4—</w:t>
      </w:r>
      <w:r>
        <w:rPr>
          <w:color w:val="000000" w:themeColor="text1"/>
          <w:szCs w:val="22"/>
        </w:rPr>
        <w:t xml:space="preserve">7 includes a reference to nutrition content claims made </w:t>
      </w:r>
      <w:r w:rsidRPr="00602FD6">
        <w:t xml:space="preserve">in relation to </w:t>
      </w:r>
      <w:r w:rsidRPr="00602FD6">
        <w:rPr>
          <w:lang w:val="en-AU"/>
        </w:rPr>
        <w:t xml:space="preserve">cannabidiol </w:t>
      </w:r>
      <w:r w:rsidRPr="00602FD6">
        <w:t>in hemp food products</w:t>
      </w:r>
      <w:r>
        <w:t xml:space="preserve"> and foods that contain hemp food products as ingredients</w:t>
      </w:r>
      <w:r>
        <w:rPr>
          <w:color w:val="000000" w:themeColor="text1"/>
          <w:szCs w:val="22"/>
        </w:rPr>
        <w:t>.</w:t>
      </w:r>
    </w:p>
    <w:p w14:paraId="6B2DAEF1" w14:textId="77777777" w:rsidR="00A04611" w:rsidRDefault="00A04611" w:rsidP="00A04611">
      <w:pPr>
        <w:rPr>
          <w:color w:val="000000" w:themeColor="text1"/>
          <w:szCs w:val="22"/>
        </w:rPr>
      </w:pPr>
    </w:p>
    <w:p w14:paraId="529D3242" w14:textId="77777777" w:rsidR="00A04611" w:rsidRPr="00711D05" w:rsidRDefault="00A04611" w:rsidP="00A04611">
      <w:pPr>
        <w:rPr>
          <w:color w:val="000000" w:themeColor="text1"/>
          <w:szCs w:val="22"/>
        </w:rPr>
      </w:pPr>
      <w:r>
        <w:rPr>
          <w:color w:val="000000" w:themeColor="text1"/>
          <w:szCs w:val="22"/>
        </w:rPr>
        <w:t xml:space="preserve">Note 3 provides a reference to Standard 1.2.7 and the requirements in that Standard for making health claims and nutrition content claims. Section </w:t>
      </w:r>
      <w:r w:rsidRPr="007C3A4C">
        <w:rPr>
          <w:color w:val="000000" w:themeColor="text1"/>
          <w:szCs w:val="22"/>
        </w:rPr>
        <w:t>1.4.4—</w:t>
      </w:r>
      <w:r>
        <w:rPr>
          <w:color w:val="000000" w:themeColor="text1"/>
          <w:szCs w:val="22"/>
        </w:rPr>
        <w:t xml:space="preserve">7 refers to health claims and nutrition content claims made </w:t>
      </w:r>
      <w:r w:rsidRPr="00602FD6">
        <w:t xml:space="preserve">in relation to </w:t>
      </w:r>
      <w:r w:rsidRPr="00602FD6">
        <w:rPr>
          <w:lang w:val="en-AU"/>
        </w:rPr>
        <w:t xml:space="preserve">cannabidiol </w:t>
      </w:r>
      <w:r w:rsidRPr="00602FD6">
        <w:t>in hemp food products</w:t>
      </w:r>
      <w:r>
        <w:t xml:space="preserve"> and foods that contain hemp food products as ingredients.</w:t>
      </w:r>
    </w:p>
    <w:p w14:paraId="739DFE97" w14:textId="77777777" w:rsidR="00A04611" w:rsidRDefault="00A04611" w:rsidP="00A04611">
      <w:pPr>
        <w:rPr>
          <w:color w:val="000000" w:themeColor="text1"/>
          <w:szCs w:val="22"/>
        </w:rPr>
      </w:pPr>
    </w:p>
    <w:p w14:paraId="0F3CE749" w14:textId="77777777" w:rsidR="00A04611" w:rsidRDefault="00A04611" w:rsidP="00A04611">
      <w:pPr>
        <w:rPr>
          <w:color w:val="000000" w:themeColor="text1"/>
          <w:szCs w:val="22"/>
        </w:rPr>
      </w:pPr>
      <w:r>
        <w:rPr>
          <w:color w:val="000000" w:themeColor="text1"/>
          <w:szCs w:val="22"/>
        </w:rPr>
        <w:t xml:space="preserve">Item [2.2] amends Standard 1.4.4 by inserting </w:t>
      </w:r>
      <w:r w:rsidRPr="007C3A4C">
        <w:rPr>
          <w:color w:val="000000" w:themeColor="text1"/>
          <w:szCs w:val="22"/>
        </w:rPr>
        <w:t>section</w:t>
      </w:r>
      <w:r>
        <w:rPr>
          <w:color w:val="000000" w:themeColor="text1"/>
          <w:szCs w:val="22"/>
        </w:rPr>
        <w:t>s</w:t>
      </w:r>
      <w:r w:rsidRPr="007C3A4C">
        <w:rPr>
          <w:color w:val="000000" w:themeColor="text1"/>
          <w:szCs w:val="22"/>
        </w:rPr>
        <w:t xml:space="preserve"> 1.4.4—6</w:t>
      </w:r>
      <w:r>
        <w:rPr>
          <w:color w:val="000000" w:themeColor="text1"/>
          <w:szCs w:val="22"/>
        </w:rPr>
        <w:t>, 1.4.4—7 and 1.4.4—8 into the Standard.</w:t>
      </w:r>
    </w:p>
    <w:p w14:paraId="2E819BBC" w14:textId="77777777" w:rsidR="00A04611" w:rsidRDefault="00A04611" w:rsidP="00A04611">
      <w:pPr>
        <w:tabs>
          <w:tab w:val="left" w:pos="6315"/>
        </w:tabs>
        <w:rPr>
          <w:color w:val="000000" w:themeColor="text1"/>
          <w:szCs w:val="22"/>
        </w:rPr>
      </w:pPr>
    </w:p>
    <w:p w14:paraId="3D404853" w14:textId="77777777" w:rsidR="00A04611" w:rsidRDefault="00A04611" w:rsidP="00A04611">
      <w:pPr>
        <w:rPr>
          <w:color w:val="000000" w:themeColor="text1"/>
          <w:szCs w:val="22"/>
        </w:rPr>
      </w:pPr>
      <w:r w:rsidRPr="004D06BB">
        <w:rPr>
          <w:color w:val="000000" w:themeColor="text1"/>
          <w:szCs w:val="22"/>
        </w:rPr>
        <w:t xml:space="preserve">Section 1.4.4—6 </w:t>
      </w:r>
      <w:r>
        <w:rPr>
          <w:color w:val="000000" w:themeColor="text1"/>
          <w:szCs w:val="22"/>
        </w:rPr>
        <w:t>provides a permission for the purposes of</w:t>
      </w:r>
      <w:r w:rsidRPr="007C3A4C">
        <w:rPr>
          <w:color w:val="000000" w:themeColor="text1"/>
          <w:szCs w:val="22"/>
        </w:rPr>
        <w:t xml:space="preserve"> </w:t>
      </w:r>
      <w:r>
        <w:rPr>
          <w:color w:val="000000" w:themeColor="text1"/>
          <w:szCs w:val="22"/>
        </w:rPr>
        <w:t>paragraphs</w:t>
      </w:r>
      <w:r w:rsidRPr="007C3A4C">
        <w:rPr>
          <w:color w:val="000000" w:themeColor="text1"/>
          <w:szCs w:val="22"/>
        </w:rPr>
        <w:t xml:space="preserve"> 1.</w:t>
      </w:r>
      <w:r>
        <w:rPr>
          <w:color w:val="000000" w:themeColor="text1"/>
          <w:szCs w:val="22"/>
        </w:rPr>
        <w:t>1.1—10(5)(a) and 1.1.1—10(6)(e) of the Code</w:t>
      </w:r>
      <w:r w:rsidRPr="007C3A4C">
        <w:rPr>
          <w:color w:val="000000" w:themeColor="text1"/>
          <w:szCs w:val="22"/>
        </w:rPr>
        <w:t xml:space="preserve"> to </w:t>
      </w:r>
      <w:r>
        <w:rPr>
          <w:color w:val="000000" w:themeColor="text1"/>
          <w:szCs w:val="22"/>
        </w:rPr>
        <w:t>allow</w:t>
      </w:r>
      <w:r w:rsidRPr="007C3A4C">
        <w:rPr>
          <w:color w:val="000000" w:themeColor="text1"/>
          <w:szCs w:val="22"/>
        </w:rPr>
        <w:t xml:space="preserve"> certain seeds and seed products from low THC varieties of </w:t>
      </w:r>
      <w:r w:rsidRPr="007C3A4C">
        <w:rPr>
          <w:rFonts w:eastAsia="Calibri" w:cs="Arial"/>
          <w:i/>
          <w:iCs/>
          <w:color w:val="000000" w:themeColor="text1"/>
          <w:szCs w:val="22"/>
          <w:lang w:bidi="ar-SA"/>
        </w:rPr>
        <w:t>Cannabis sativa</w:t>
      </w:r>
      <w:r>
        <w:rPr>
          <w:color w:val="000000" w:themeColor="text1"/>
          <w:szCs w:val="22"/>
        </w:rPr>
        <w:t xml:space="preserve"> to be sold as food or added to food.</w:t>
      </w:r>
    </w:p>
    <w:p w14:paraId="66236780" w14:textId="77777777" w:rsidR="00A04611" w:rsidRDefault="00A04611" w:rsidP="00A04611">
      <w:pPr>
        <w:rPr>
          <w:color w:val="000000" w:themeColor="text1"/>
          <w:szCs w:val="22"/>
        </w:rPr>
      </w:pPr>
    </w:p>
    <w:p w14:paraId="7746810C" w14:textId="77777777" w:rsidR="00A04611" w:rsidRDefault="00A04611" w:rsidP="00A04611">
      <w:pPr>
        <w:rPr>
          <w:rFonts w:eastAsia="Calibri" w:cs="Arial"/>
          <w:i/>
          <w:iCs/>
          <w:color w:val="000000" w:themeColor="text1"/>
          <w:szCs w:val="22"/>
          <w:lang w:bidi="ar-SA"/>
        </w:rPr>
      </w:pPr>
      <w:r>
        <w:rPr>
          <w:color w:val="000000" w:themeColor="text1"/>
          <w:szCs w:val="22"/>
        </w:rPr>
        <w:t xml:space="preserve">Subsection </w:t>
      </w:r>
      <w:r w:rsidRPr="007C3A4C">
        <w:rPr>
          <w:color w:val="000000" w:themeColor="text1"/>
          <w:szCs w:val="22"/>
        </w:rPr>
        <w:t>1.4.4—6</w:t>
      </w:r>
      <w:r>
        <w:rPr>
          <w:color w:val="000000" w:themeColor="text1"/>
          <w:szCs w:val="22"/>
        </w:rPr>
        <w:t xml:space="preserve">(1) provides that </w:t>
      </w:r>
      <w:r w:rsidRPr="007C3A4C">
        <w:rPr>
          <w:rFonts w:eastAsia="Calibri" w:cs="Arial"/>
          <w:i/>
          <w:iCs/>
          <w:color w:val="000000" w:themeColor="text1"/>
          <w:szCs w:val="22"/>
          <w:lang w:bidi="ar-SA"/>
        </w:rPr>
        <w:t>Cannabis sativa</w:t>
      </w:r>
      <w:r>
        <w:rPr>
          <w:rFonts w:eastAsia="Calibri" w:cs="Arial"/>
          <w:i/>
          <w:iCs/>
          <w:color w:val="000000" w:themeColor="text1"/>
          <w:szCs w:val="22"/>
          <w:lang w:bidi="ar-SA"/>
        </w:rPr>
        <w:t xml:space="preserve"> </w:t>
      </w:r>
      <w:r w:rsidRPr="00790704">
        <w:rPr>
          <w:rFonts w:eastAsia="Calibri" w:cs="Arial"/>
          <w:iCs/>
          <w:color w:val="000000" w:themeColor="text1"/>
          <w:szCs w:val="22"/>
          <w:lang w:bidi="ar-SA"/>
        </w:rPr>
        <w:t xml:space="preserve">seeds </w:t>
      </w:r>
      <w:r>
        <w:rPr>
          <w:rFonts w:eastAsia="Calibri" w:cs="Arial"/>
          <w:iCs/>
          <w:color w:val="000000" w:themeColor="text1"/>
          <w:szCs w:val="22"/>
          <w:lang w:bidi="ar-SA"/>
        </w:rPr>
        <w:t>may be a food for sale or used as an ingredient in a food for sale only if</w:t>
      </w:r>
      <w:r>
        <w:rPr>
          <w:rFonts w:eastAsia="Calibri" w:cs="Arial"/>
          <w:i/>
          <w:iCs/>
          <w:color w:val="000000" w:themeColor="text1"/>
          <w:szCs w:val="22"/>
          <w:lang w:bidi="ar-SA"/>
        </w:rPr>
        <w:t xml:space="preserve"> </w:t>
      </w:r>
      <w:r>
        <w:rPr>
          <w:rFonts w:eastAsia="Calibri" w:cs="Arial"/>
          <w:iCs/>
          <w:color w:val="000000" w:themeColor="text1"/>
          <w:szCs w:val="22"/>
          <w:lang w:bidi="ar-SA"/>
        </w:rPr>
        <w:t>each of the following conditions is met:</w:t>
      </w:r>
    </w:p>
    <w:p w14:paraId="66D1AA9C" w14:textId="77777777" w:rsidR="00A04611" w:rsidRDefault="00A04611" w:rsidP="00A04611">
      <w:pPr>
        <w:rPr>
          <w:rFonts w:eastAsia="Calibri" w:cs="Arial"/>
          <w:i/>
          <w:iCs/>
          <w:color w:val="000000" w:themeColor="text1"/>
          <w:szCs w:val="22"/>
          <w:lang w:bidi="ar-SA"/>
        </w:rPr>
      </w:pPr>
    </w:p>
    <w:p w14:paraId="148B0940" w14:textId="77777777" w:rsidR="00A04611" w:rsidRPr="00790704" w:rsidRDefault="00A04611" w:rsidP="00A04611">
      <w:pPr>
        <w:pStyle w:val="FSBullet1"/>
        <w:widowControl/>
        <w:numPr>
          <w:ilvl w:val="0"/>
          <w:numId w:val="14"/>
        </w:numPr>
        <w:ind w:left="567" w:hanging="567"/>
        <w:rPr>
          <w:rFonts w:eastAsia="Calibri"/>
        </w:rPr>
      </w:pPr>
      <w:r>
        <w:rPr>
          <w:rFonts w:eastAsia="Calibri"/>
        </w:rPr>
        <w:t>the seeds are</w:t>
      </w:r>
      <w:r w:rsidRPr="002D770B">
        <w:rPr>
          <w:rFonts w:eastAsia="Calibri"/>
        </w:rPr>
        <w:t xml:space="preserve"> </w:t>
      </w:r>
      <w:r>
        <w:rPr>
          <w:rFonts w:eastAsia="Calibri"/>
        </w:rPr>
        <w:t>of</w:t>
      </w:r>
      <w:r w:rsidRPr="00790704">
        <w:rPr>
          <w:rFonts w:eastAsia="Calibri"/>
        </w:rPr>
        <w:t xml:space="preserve"> a </w:t>
      </w:r>
      <w:r w:rsidRPr="00790704">
        <w:rPr>
          <w:rFonts w:eastAsia="Calibri"/>
          <w:i/>
          <w:iCs/>
          <w:color w:val="000000" w:themeColor="text1"/>
          <w:szCs w:val="22"/>
        </w:rPr>
        <w:t>Cannabis sativa</w:t>
      </w:r>
      <w:r w:rsidRPr="00790704">
        <w:rPr>
          <w:rFonts w:eastAsia="Calibri"/>
        </w:rPr>
        <w:t xml:space="preserve"> plant</w:t>
      </w:r>
      <w:r>
        <w:rPr>
          <w:rFonts w:eastAsia="Calibri"/>
        </w:rPr>
        <w:t xml:space="preserve">, the leaves and flowering heads of which </w:t>
      </w:r>
      <w:r w:rsidRPr="002D770B">
        <w:rPr>
          <w:rFonts w:eastAsia="Calibri"/>
          <w:iCs/>
          <w:szCs w:val="22"/>
        </w:rPr>
        <w:t xml:space="preserve">contain no more than </w:t>
      </w:r>
      <w:r>
        <w:rPr>
          <w:rFonts w:eastAsia="Calibri"/>
          <w:iCs/>
          <w:szCs w:val="22"/>
        </w:rPr>
        <w:t>1</w:t>
      </w:r>
      <w:r w:rsidRPr="002D770B">
        <w:t>% delta 9</w:t>
      </w:r>
      <w:r>
        <w:rPr>
          <w:szCs w:val="20"/>
          <w:lang w:val="en-NZ"/>
        </w:rPr>
        <w:t>-</w:t>
      </w:r>
      <w:r>
        <w:rPr>
          <w:lang w:val="en-NZ"/>
        </w:rPr>
        <w:t>tetrahydrocannabinol</w:t>
      </w:r>
      <w:r>
        <w:t xml:space="preserve">. </w:t>
      </w:r>
    </w:p>
    <w:p w14:paraId="34EEA947" w14:textId="77777777" w:rsidR="00A04611" w:rsidRDefault="00A04611" w:rsidP="00A04611">
      <w:pPr>
        <w:pStyle w:val="FSBullet1"/>
        <w:widowControl/>
        <w:numPr>
          <w:ilvl w:val="0"/>
          <w:numId w:val="14"/>
        </w:numPr>
        <w:ind w:left="567" w:hanging="567"/>
        <w:rPr>
          <w:rFonts w:eastAsia="Calibri"/>
        </w:rPr>
      </w:pP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seeds does not exceed </w:t>
      </w:r>
      <w:r w:rsidRPr="002D770B">
        <w:rPr>
          <w:rFonts w:eastAsia="Calibri"/>
        </w:rPr>
        <w:t>5 mg per kg of seeds</w:t>
      </w:r>
      <w:r>
        <w:rPr>
          <w:rFonts w:eastAsia="Calibri"/>
        </w:rPr>
        <w:t>.</w:t>
      </w:r>
    </w:p>
    <w:p w14:paraId="42E0D824" w14:textId="77777777" w:rsidR="00A04611" w:rsidRPr="00790704" w:rsidRDefault="00A04611" w:rsidP="00A04611">
      <w:pPr>
        <w:pStyle w:val="FSBullet1"/>
        <w:widowControl/>
        <w:numPr>
          <w:ilvl w:val="0"/>
          <w:numId w:val="14"/>
        </w:numPr>
        <w:ind w:left="567" w:hanging="567"/>
        <w:rPr>
          <w:rFonts w:eastAsia="Calibri"/>
        </w:rPr>
      </w:pPr>
      <w:r>
        <w:rPr>
          <w:rFonts w:eastAsia="Calibri"/>
        </w:rPr>
        <w:t>t</w:t>
      </w:r>
      <w:r w:rsidRPr="00B74645">
        <w:rPr>
          <w:rFonts w:eastAsia="Calibri"/>
        </w:rPr>
        <w:t xml:space="preserve">he </w:t>
      </w:r>
      <w:r>
        <w:rPr>
          <w:szCs w:val="20"/>
        </w:rPr>
        <w:t>only</w:t>
      </w:r>
      <w:r>
        <w:rPr>
          <w:rFonts w:eastAsia="Calibri"/>
        </w:rPr>
        <w:t xml:space="preserve"> cannabinoids </w:t>
      </w:r>
      <w:r w:rsidRPr="00B74645">
        <w:rPr>
          <w:rFonts w:eastAsia="Calibri"/>
        </w:rPr>
        <w:t xml:space="preserve">present in the seeds </w:t>
      </w:r>
      <w:r>
        <w:rPr>
          <w:rFonts w:eastAsia="Calibri"/>
        </w:rPr>
        <w:t xml:space="preserve">are </w:t>
      </w:r>
      <w:r w:rsidRPr="00B74645">
        <w:rPr>
          <w:rFonts w:eastAsia="Calibri"/>
        </w:rPr>
        <w:t>naturally occurring</w:t>
      </w:r>
      <w:r>
        <w:rPr>
          <w:rFonts w:eastAsia="Calibri"/>
        </w:rPr>
        <w:t xml:space="preserve"> in or on the seeds</w:t>
      </w:r>
      <w:r w:rsidRPr="00B74645">
        <w:rPr>
          <w:rFonts w:eastAsia="Calibri"/>
        </w:rPr>
        <w:t>.</w:t>
      </w:r>
    </w:p>
    <w:p w14:paraId="46D0C4A1" w14:textId="77777777" w:rsidR="00A04611" w:rsidRPr="00707FC0" w:rsidRDefault="00A04611" w:rsidP="00A04611">
      <w:pPr>
        <w:pStyle w:val="FSBullet1"/>
        <w:widowControl/>
        <w:numPr>
          <w:ilvl w:val="0"/>
          <w:numId w:val="14"/>
        </w:numPr>
        <w:ind w:left="567" w:hanging="567"/>
        <w:rPr>
          <w:rFonts w:eastAsia="Calibri"/>
        </w:rPr>
      </w:pPr>
      <w:r>
        <w:rPr>
          <w:rFonts w:eastAsia="Calibri"/>
        </w:rPr>
        <w:t xml:space="preserve">if for retail sale – the seeds are non-viable and </w:t>
      </w:r>
      <w:r w:rsidRPr="00707FC0">
        <w:rPr>
          <w:rFonts w:eastAsia="Calibri"/>
        </w:rPr>
        <w:t xml:space="preserve">hulled </w:t>
      </w:r>
      <w:r w:rsidRPr="00707FC0">
        <w:rPr>
          <w:color w:val="000000" w:themeColor="text1"/>
          <w:szCs w:val="22"/>
        </w:rPr>
        <w:t>(that is, the outer coat has been removed)</w:t>
      </w:r>
      <w:r w:rsidRPr="00707FC0">
        <w:rPr>
          <w:rFonts w:eastAsia="Calibri"/>
        </w:rPr>
        <w:t>.</w:t>
      </w:r>
    </w:p>
    <w:p w14:paraId="52142F60" w14:textId="77777777" w:rsidR="00A04611" w:rsidRDefault="00A04611" w:rsidP="00A04611">
      <w:pPr>
        <w:pStyle w:val="FSBullet1"/>
        <w:numPr>
          <w:ilvl w:val="0"/>
          <w:numId w:val="0"/>
        </w:numPr>
        <w:ind w:left="567"/>
        <w:rPr>
          <w:rFonts w:eastAsia="Calibri"/>
        </w:rPr>
      </w:pPr>
    </w:p>
    <w:p w14:paraId="6B6A5C60" w14:textId="77777777" w:rsidR="00A04611" w:rsidRDefault="00A04611" w:rsidP="00A04611">
      <w:pPr>
        <w:rPr>
          <w:rFonts w:eastAsia="Calibri" w:cs="Arial"/>
          <w:iCs/>
          <w:color w:val="000000" w:themeColor="text1"/>
          <w:szCs w:val="22"/>
          <w:lang w:bidi="ar-SA"/>
        </w:rPr>
      </w:pPr>
      <w:r>
        <w:rPr>
          <w:color w:val="000000" w:themeColor="text1"/>
          <w:szCs w:val="22"/>
        </w:rPr>
        <w:t xml:space="preserve">Subsection </w:t>
      </w:r>
      <w:r w:rsidRPr="007C3A4C">
        <w:rPr>
          <w:color w:val="000000" w:themeColor="text1"/>
          <w:szCs w:val="22"/>
        </w:rPr>
        <w:t>1.4.4—6</w:t>
      </w:r>
      <w:r>
        <w:rPr>
          <w:color w:val="000000" w:themeColor="text1"/>
          <w:szCs w:val="22"/>
        </w:rPr>
        <w:t xml:space="preserve">(2) provides permission for three specific types of products derived </w:t>
      </w:r>
      <w:r w:rsidRPr="007C3A4C">
        <w:rPr>
          <w:color w:val="000000" w:themeColor="text1"/>
          <w:szCs w:val="22"/>
        </w:rPr>
        <w:t xml:space="preserve">from </w:t>
      </w:r>
      <w:r>
        <w:rPr>
          <w:color w:val="000000" w:themeColor="text1"/>
          <w:szCs w:val="22"/>
        </w:rPr>
        <w:t xml:space="preserve">seeds of </w:t>
      </w:r>
      <w:r w:rsidRPr="007C3A4C">
        <w:rPr>
          <w:color w:val="000000" w:themeColor="text1"/>
          <w:szCs w:val="22"/>
        </w:rPr>
        <w:t xml:space="preserve">low THC varieties of </w:t>
      </w:r>
      <w:r w:rsidRPr="007C3A4C">
        <w:rPr>
          <w:rFonts w:eastAsia="Calibri" w:cs="Arial"/>
          <w:i/>
          <w:iCs/>
          <w:color w:val="000000" w:themeColor="text1"/>
          <w:szCs w:val="22"/>
          <w:lang w:bidi="ar-SA"/>
        </w:rPr>
        <w:t>Cannabis sativa</w:t>
      </w:r>
      <w:r>
        <w:rPr>
          <w:rFonts w:eastAsia="Calibri" w:cs="Arial"/>
          <w:iCs/>
          <w:color w:val="000000" w:themeColor="text1"/>
          <w:szCs w:val="22"/>
          <w:lang w:bidi="ar-SA"/>
        </w:rPr>
        <w:t xml:space="preserve">. </w:t>
      </w:r>
    </w:p>
    <w:p w14:paraId="6A66BB4B" w14:textId="77777777" w:rsidR="00A04611" w:rsidRDefault="00A04611" w:rsidP="00A04611">
      <w:pPr>
        <w:rPr>
          <w:rFonts w:eastAsia="Calibri" w:cs="Arial"/>
          <w:iCs/>
          <w:color w:val="000000" w:themeColor="text1"/>
          <w:szCs w:val="22"/>
          <w:lang w:bidi="ar-SA"/>
        </w:rPr>
      </w:pPr>
    </w:p>
    <w:p w14:paraId="022C2629" w14:textId="77777777" w:rsidR="00A04611" w:rsidRDefault="00A04611" w:rsidP="00A04611">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(2)(a) permits </w:t>
      </w:r>
      <w:r w:rsidRPr="002D770B">
        <w:rPr>
          <w:rFonts w:eastAsia="Calibri"/>
        </w:rPr>
        <w:t>oil extracted from the seed</w:t>
      </w:r>
      <w:r>
        <w:rPr>
          <w:rFonts w:eastAsia="Calibri"/>
        </w:rPr>
        <w:t>s</w:t>
      </w:r>
      <w:r w:rsidRPr="002D770B">
        <w:rPr>
          <w:rFonts w:eastAsia="Calibri"/>
        </w:rPr>
        <w:t xml:space="preserve"> of low THC </w:t>
      </w:r>
      <w:r w:rsidRPr="002D770B">
        <w:rPr>
          <w:rFonts w:eastAsia="Calibri"/>
          <w:i/>
        </w:rPr>
        <w:t>Cannabis sativa</w:t>
      </w:r>
      <w:r>
        <w:rPr>
          <w:rFonts w:eastAsia="Calibri"/>
          <w: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oil does not exceed 10</w:t>
      </w:r>
      <w:r w:rsidRPr="002D770B">
        <w:rPr>
          <w:rFonts w:eastAsia="Calibri"/>
        </w:rPr>
        <w:t xml:space="preserve"> mg per kg of </w:t>
      </w:r>
      <w:r>
        <w:rPr>
          <w:rFonts w:eastAsia="Calibri"/>
        </w:rPr>
        <w:t xml:space="preserve">oil. </w:t>
      </w:r>
    </w:p>
    <w:p w14:paraId="72C0944F" w14:textId="77777777" w:rsidR="00A04611" w:rsidRDefault="00A04611" w:rsidP="00A04611">
      <w:pPr>
        <w:rPr>
          <w:rFonts w:eastAsia="Calibri"/>
        </w:rPr>
      </w:pPr>
    </w:p>
    <w:p w14:paraId="61069B5A" w14:textId="77777777" w:rsidR="00A04611" w:rsidRDefault="00A04611" w:rsidP="00A04611">
      <w:pPr>
        <w:rPr>
          <w:rFonts w:eastAsia="Calibri"/>
        </w:rPr>
      </w:pPr>
      <w:r>
        <w:rPr>
          <w:rFonts w:eastAsia="Calibri" w:cs="Arial"/>
          <w:iCs/>
          <w:color w:val="000000" w:themeColor="text1"/>
          <w:szCs w:val="22"/>
          <w:lang w:bidi="ar-SA"/>
        </w:rPr>
        <w:t xml:space="preserve">Paragraph </w:t>
      </w:r>
      <w:r w:rsidRPr="007C3A4C">
        <w:rPr>
          <w:color w:val="000000" w:themeColor="text1"/>
          <w:szCs w:val="22"/>
        </w:rPr>
        <w:t>1.4.4—6</w:t>
      </w:r>
      <w:r>
        <w:rPr>
          <w:color w:val="000000" w:themeColor="text1"/>
          <w:szCs w:val="22"/>
        </w:rPr>
        <w:t xml:space="preserve">(2)(b) permits </w:t>
      </w:r>
      <w:r w:rsidRPr="002D770B">
        <w:rPr>
          <w:rFonts w:eastAsia="Calibri"/>
        </w:rPr>
        <w:t>a beverage derived from the seed</w:t>
      </w:r>
      <w:r>
        <w:rPr>
          <w:rFonts w:eastAsia="Calibri"/>
        </w:rPr>
        <w:t>s</w:t>
      </w:r>
      <w:r w:rsidRPr="002D770B">
        <w:rPr>
          <w:rFonts w:eastAsia="Calibri"/>
        </w:rPr>
        <w:t xml:space="preserve"> of low THC </w:t>
      </w:r>
      <w:r w:rsidRPr="002D770B">
        <w:rPr>
          <w:rFonts w:eastAsia="Calibri"/>
          <w:i/>
        </w:rPr>
        <w:t>Cannabis sativa</w:t>
      </w:r>
      <w:r w:rsidRPr="002D770B">
        <w:rPr>
          <w:rFonts w:eastAsia="Calibr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 xml:space="preserve">amount of delta 9-tetrahydrocannabinol and delta </w:t>
      </w:r>
      <w:r w:rsidRPr="009444F8">
        <w:rPr>
          <w:szCs w:val="20"/>
          <w:lang w:val="en-NZ"/>
        </w:rPr>
        <w:t>9</w:t>
      </w:r>
      <w:r>
        <w:rPr>
          <w:szCs w:val="20"/>
          <w:lang w:val="en-NZ"/>
        </w:rPr>
        <w:t>-</w:t>
      </w:r>
      <w:r w:rsidRPr="009444F8">
        <w:rPr>
          <w:szCs w:val="20"/>
          <w:lang w:val="en-NZ"/>
        </w:rPr>
        <w:t>tetrahydrocannabinol</w:t>
      </w:r>
      <w:r w:rsidRPr="009444F8">
        <w:rPr>
          <w:bCs/>
          <w:szCs w:val="20"/>
          <w:lang w:val="en-NZ"/>
        </w:rPr>
        <w:t>ic acid</w:t>
      </w:r>
      <w:r>
        <w:rPr>
          <w:rFonts w:eastAsia="Calibri"/>
        </w:rPr>
        <w:t xml:space="preserve"> in the beverage does not exceed 0.2</w:t>
      </w:r>
      <w:r w:rsidRPr="002D770B">
        <w:rPr>
          <w:rFonts w:eastAsia="Calibri"/>
        </w:rPr>
        <w:t xml:space="preserve"> mg per kg of </w:t>
      </w:r>
      <w:r>
        <w:rPr>
          <w:rFonts w:eastAsia="Calibri"/>
        </w:rPr>
        <w:t>the beverage.</w:t>
      </w:r>
    </w:p>
    <w:p w14:paraId="5582B7D1" w14:textId="77777777" w:rsidR="00A04611" w:rsidRDefault="00A04611" w:rsidP="00A04611">
      <w:pPr>
        <w:rPr>
          <w:rFonts w:eastAsia="Calibri"/>
          <w:b/>
          <w:i/>
        </w:rPr>
      </w:pPr>
    </w:p>
    <w:p w14:paraId="70F4D66B" w14:textId="77777777" w:rsidR="004D06BB" w:rsidRDefault="004D06BB" w:rsidP="00A04611">
      <w:pPr>
        <w:rPr>
          <w:rFonts w:eastAsia="Calibri" w:cs="Arial"/>
          <w:iCs/>
          <w:color w:val="000000" w:themeColor="text1"/>
          <w:szCs w:val="22"/>
          <w:lang w:bidi="ar-SA"/>
        </w:rPr>
      </w:pPr>
      <w:r>
        <w:rPr>
          <w:rFonts w:eastAsia="Calibri" w:cs="Arial"/>
          <w:iCs/>
          <w:color w:val="000000" w:themeColor="text1"/>
          <w:szCs w:val="22"/>
          <w:lang w:bidi="ar-SA"/>
        </w:rPr>
        <w:br w:type="page"/>
      </w:r>
    </w:p>
    <w:p w14:paraId="36F297C3" w14:textId="394D990A" w:rsidR="00A04611" w:rsidRDefault="00A04611" w:rsidP="00A04611">
      <w:pPr>
        <w:rPr>
          <w:rFonts w:eastAsia="Calibri"/>
        </w:rPr>
      </w:pPr>
      <w:r>
        <w:rPr>
          <w:rFonts w:eastAsia="Calibri" w:cs="Arial"/>
          <w:iCs/>
          <w:color w:val="000000" w:themeColor="text1"/>
          <w:szCs w:val="22"/>
          <w:lang w:bidi="ar-SA"/>
        </w:rPr>
        <w:lastRenderedPageBreak/>
        <w:t xml:space="preserve">Paragraph </w:t>
      </w:r>
      <w:r w:rsidRPr="007C3A4C">
        <w:rPr>
          <w:color w:val="000000" w:themeColor="text1"/>
          <w:szCs w:val="22"/>
        </w:rPr>
        <w:t>1.4.4—6</w:t>
      </w:r>
      <w:r>
        <w:rPr>
          <w:color w:val="000000" w:themeColor="text1"/>
          <w:szCs w:val="22"/>
        </w:rPr>
        <w:t xml:space="preserve">(2)(c) permits </w:t>
      </w:r>
      <w:r w:rsidRPr="002D770B">
        <w:rPr>
          <w:rFonts w:eastAsia="Calibri"/>
        </w:rPr>
        <w:t xml:space="preserve">any other </w:t>
      </w:r>
      <w:r>
        <w:rPr>
          <w:rFonts w:eastAsia="Calibri"/>
        </w:rPr>
        <w:t>product that is</w:t>
      </w:r>
      <w:r w:rsidRPr="002D770B">
        <w:rPr>
          <w:rFonts w:eastAsia="Calibri"/>
        </w:rPr>
        <w:t xml:space="preserve"> extracted or derived from the seed</w:t>
      </w:r>
      <w:r>
        <w:rPr>
          <w:rFonts w:eastAsia="Calibri"/>
        </w:rPr>
        <w:t>s</w:t>
      </w:r>
      <w:r w:rsidRPr="002D770B">
        <w:rPr>
          <w:rFonts w:eastAsia="Calibri"/>
        </w:rPr>
        <w:t xml:space="preserve"> of low THC </w:t>
      </w:r>
      <w:r w:rsidRPr="002D770B">
        <w:rPr>
          <w:rFonts w:eastAsia="Calibri"/>
          <w:i/>
        </w:rPr>
        <w:t>Cannabis sativa</w:t>
      </w:r>
      <w:r>
        <w:rPr>
          <w:rFonts w:eastAsia="Calibri"/>
          <w:i/>
        </w:rPr>
        <w:t xml:space="preserve"> </w:t>
      </w:r>
      <w:r w:rsidRPr="00790704">
        <w:rPr>
          <w:rFonts w:eastAsia="Calibri"/>
        </w:rPr>
        <w:t>to</w:t>
      </w:r>
      <w:r>
        <w:rPr>
          <w:rFonts w:eastAsia="Calibri"/>
          <w:i/>
        </w:rPr>
        <w:t xml:space="preserve"> </w:t>
      </w:r>
      <w:r>
        <w:rPr>
          <w:rFonts w:eastAsia="Calibri" w:cs="Arial"/>
          <w:iCs/>
          <w:color w:val="000000" w:themeColor="text1"/>
          <w:szCs w:val="22"/>
          <w:lang w:bidi="ar-SA"/>
        </w:rPr>
        <w:t xml:space="preserve">be a food for sale or used as an ingredient in a food for sale if </w:t>
      </w:r>
      <w:r>
        <w:rPr>
          <w:rFonts w:eastAsia="Calibri"/>
        </w:rPr>
        <w:t xml:space="preserve">the </w:t>
      </w:r>
      <w:r w:rsidRPr="009444F8">
        <w:rPr>
          <w:szCs w:val="20"/>
        </w:rPr>
        <w:t xml:space="preserve">total </w:t>
      </w:r>
      <w:r>
        <w:rPr>
          <w:szCs w:val="20"/>
        </w:rPr>
        <w:t xml:space="preserve">combined </w:t>
      </w:r>
      <w:r w:rsidRPr="009444F8">
        <w:rPr>
          <w:szCs w:val="20"/>
        </w:rPr>
        <w:t>amount of delta 9-t</w:t>
      </w:r>
      <w:r>
        <w:rPr>
          <w:szCs w:val="20"/>
        </w:rPr>
        <w:t xml:space="preserve">etrahydrocannabinol and delta </w:t>
      </w:r>
      <w:r w:rsidRPr="009444F8">
        <w:rPr>
          <w:szCs w:val="20"/>
          <w:lang w:val="en-NZ"/>
        </w:rPr>
        <w:t>9</w:t>
      </w:r>
      <w:r>
        <w:rPr>
          <w:szCs w:val="20"/>
          <w:lang w:val="en-NZ"/>
        </w:rPr>
        <w:noBreakHyphen/>
      </w:r>
      <w:r w:rsidRPr="009444F8">
        <w:rPr>
          <w:szCs w:val="20"/>
          <w:lang w:val="en-NZ"/>
        </w:rPr>
        <w:t>tetrahydrocannabinol</w:t>
      </w:r>
      <w:r w:rsidRPr="009444F8">
        <w:rPr>
          <w:bCs/>
          <w:szCs w:val="20"/>
          <w:lang w:val="en-NZ"/>
        </w:rPr>
        <w:t>ic acid</w:t>
      </w:r>
      <w:r>
        <w:rPr>
          <w:rFonts w:eastAsia="Calibri"/>
        </w:rPr>
        <w:t xml:space="preserve"> in the product does not exceed </w:t>
      </w:r>
      <w:r w:rsidRPr="002D770B">
        <w:rPr>
          <w:rFonts w:eastAsia="Calibri"/>
        </w:rPr>
        <w:t xml:space="preserve">5 mg per kg of </w:t>
      </w:r>
      <w:r>
        <w:rPr>
          <w:rFonts w:eastAsia="Calibri"/>
        </w:rPr>
        <w:t>the product.</w:t>
      </w:r>
    </w:p>
    <w:p w14:paraId="13B4F0C1" w14:textId="77777777" w:rsidR="00A04611" w:rsidRDefault="00A04611" w:rsidP="00A04611">
      <w:pPr>
        <w:rPr>
          <w:color w:val="000000" w:themeColor="text1"/>
          <w:szCs w:val="22"/>
        </w:rPr>
      </w:pPr>
    </w:p>
    <w:p w14:paraId="1F84D895" w14:textId="77777777" w:rsidR="00A04611" w:rsidRDefault="00A04611" w:rsidP="00A04611">
      <w:pPr>
        <w:rPr>
          <w:rFonts w:eastAsia="Calibri"/>
        </w:rPr>
      </w:pPr>
      <w:r>
        <w:rPr>
          <w:color w:val="000000" w:themeColor="text1"/>
          <w:szCs w:val="22"/>
        </w:rPr>
        <w:t xml:space="preserve">Subsection </w:t>
      </w:r>
      <w:r w:rsidRPr="007C3A4C">
        <w:rPr>
          <w:color w:val="000000" w:themeColor="text1"/>
          <w:szCs w:val="22"/>
        </w:rPr>
        <w:t>1.4.4—6</w:t>
      </w:r>
      <w:r>
        <w:rPr>
          <w:color w:val="000000" w:themeColor="text1"/>
          <w:szCs w:val="22"/>
        </w:rPr>
        <w:t xml:space="preserve">(3) requires that </w:t>
      </w:r>
      <w:r>
        <w:rPr>
          <w:rFonts w:eastAsia="Calibri"/>
        </w:rPr>
        <w:t>the</w:t>
      </w:r>
      <w:r>
        <w:rPr>
          <w:rFonts w:eastAsia="Calibri"/>
          <w:b/>
          <w:i/>
        </w:rPr>
        <w:t xml:space="preserve"> </w:t>
      </w:r>
      <w:r>
        <w:rPr>
          <w:szCs w:val="20"/>
        </w:rPr>
        <w:t xml:space="preserve">only cannabinoids present in a product listed in </w:t>
      </w:r>
      <w:r>
        <w:rPr>
          <w:color w:val="000000" w:themeColor="text1"/>
          <w:szCs w:val="22"/>
        </w:rPr>
        <w:t xml:space="preserve">subsection </w:t>
      </w:r>
      <w:r w:rsidRPr="007C3A4C">
        <w:rPr>
          <w:color w:val="000000" w:themeColor="text1"/>
          <w:szCs w:val="22"/>
        </w:rPr>
        <w:t>1.4.4—6</w:t>
      </w:r>
      <w:r>
        <w:rPr>
          <w:color w:val="000000" w:themeColor="text1"/>
          <w:szCs w:val="22"/>
        </w:rPr>
        <w:t xml:space="preserve">(2) </w:t>
      </w:r>
      <w:r>
        <w:rPr>
          <w:szCs w:val="20"/>
        </w:rPr>
        <w:t>must be those that were naturally present in or on the seeds from which the product was extracted or derived. The purpose of this requirement is to prevent the fortification of seed products with cannabinoids.</w:t>
      </w:r>
    </w:p>
    <w:p w14:paraId="46759602" w14:textId="77777777" w:rsidR="00A04611" w:rsidRPr="00790704" w:rsidRDefault="00A04611" w:rsidP="00A04611">
      <w:pPr>
        <w:rPr>
          <w:rFonts w:eastAsia="Calibri"/>
          <w:b/>
          <w:i/>
        </w:rPr>
      </w:pPr>
    </w:p>
    <w:p w14:paraId="2808A850" w14:textId="77777777" w:rsidR="00A04611" w:rsidRDefault="00A04611" w:rsidP="00A04611">
      <w:pPr>
        <w:rPr>
          <w:rFonts w:eastAsia="Calibri" w:cs="Arial"/>
          <w:i/>
          <w:iCs/>
          <w:color w:val="000000" w:themeColor="text1"/>
          <w:szCs w:val="22"/>
          <w:lang w:bidi="ar-SA"/>
        </w:rPr>
      </w:pPr>
      <w:r>
        <w:rPr>
          <w:color w:val="000000" w:themeColor="text1"/>
          <w:szCs w:val="22"/>
        </w:rPr>
        <w:t>Subsection 1.4.4—6(4</w:t>
      </w:r>
      <w:r w:rsidRPr="00790704">
        <w:rPr>
          <w:color w:val="000000" w:themeColor="text1"/>
          <w:szCs w:val="22"/>
        </w:rPr>
        <w:t>)</w:t>
      </w:r>
      <w:r>
        <w:rPr>
          <w:color w:val="000000" w:themeColor="text1"/>
          <w:szCs w:val="22"/>
        </w:rPr>
        <w:t xml:space="preserve"> provides that the seed products permitted by subsection </w:t>
      </w:r>
      <w:r w:rsidRPr="007C3A4C">
        <w:rPr>
          <w:color w:val="000000" w:themeColor="text1"/>
          <w:szCs w:val="22"/>
        </w:rPr>
        <w:t>1.4.4—6</w:t>
      </w:r>
      <w:r>
        <w:rPr>
          <w:color w:val="000000" w:themeColor="text1"/>
          <w:szCs w:val="22"/>
        </w:rPr>
        <w:t xml:space="preserve">(2) may be derived or extracted from hulled, unhulled, viable or non-viable seeds. </w:t>
      </w:r>
    </w:p>
    <w:p w14:paraId="6F2DD9E1" w14:textId="77777777" w:rsidR="00A04611" w:rsidRDefault="00A04611" w:rsidP="00A04611">
      <w:pPr>
        <w:pStyle w:val="FSBullet1"/>
        <w:numPr>
          <w:ilvl w:val="0"/>
          <w:numId w:val="0"/>
        </w:numPr>
        <w:rPr>
          <w:rFonts w:eastAsia="Calibri"/>
        </w:rPr>
      </w:pPr>
    </w:p>
    <w:p w14:paraId="4D0C7E41" w14:textId="77777777" w:rsidR="00A04611" w:rsidRDefault="00A04611" w:rsidP="00A04611">
      <w:pPr>
        <w:rPr>
          <w:color w:val="000000" w:themeColor="text1"/>
          <w:szCs w:val="22"/>
        </w:rPr>
      </w:pPr>
      <w:r>
        <w:rPr>
          <w:color w:val="000000" w:themeColor="text1"/>
          <w:szCs w:val="22"/>
        </w:rPr>
        <w:t xml:space="preserve">Subsection </w:t>
      </w:r>
      <w:r w:rsidRPr="00B74645">
        <w:rPr>
          <w:color w:val="000000" w:themeColor="text1"/>
          <w:szCs w:val="22"/>
        </w:rPr>
        <w:t>1.4.4—6</w:t>
      </w:r>
      <w:r>
        <w:rPr>
          <w:color w:val="000000" w:themeColor="text1"/>
          <w:szCs w:val="22"/>
        </w:rPr>
        <w:t>(5</w:t>
      </w:r>
      <w:r w:rsidRPr="00B74645">
        <w:rPr>
          <w:color w:val="000000" w:themeColor="text1"/>
          <w:szCs w:val="22"/>
        </w:rPr>
        <w:t>)</w:t>
      </w:r>
      <w:r>
        <w:rPr>
          <w:color w:val="000000" w:themeColor="text1"/>
          <w:szCs w:val="22"/>
        </w:rPr>
        <w:t xml:space="preserve"> defines certain terms for the purposes of section </w:t>
      </w:r>
      <w:r w:rsidRPr="00B74645">
        <w:rPr>
          <w:color w:val="000000" w:themeColor="text1"/>
          <w:szCs w:val="22"/>
        </w:rPr>
        <w:t>1.4.4—6</w:t>
      </w:r>
      <w:r>
        <w:rPr>
          <w:color w:val="000000" w:themeColor="text1"/>
          <w:szCs w:val="22"/>
        </w:rPr>
        <w:t xml:space="preserve">. </w:t>
      </w:r>
    </w:p>
    <w:p w14:paraId="735464A5" w14:textId="77777777" w:rsidR="00A04611" w:rsidRDefault="00A04611" w:rsidP="00A04611">
      <w:pPr>
        <w:rPr>
          <w:color w:val="000000" w:themeColor="text1"/>
          <w:szCs w:val="22"/>
        </w:rPr>
      </w:pPr>
    </w:p>
    <w:p w14:paraId="07A5F067" w14:textId="77777777" w:rsidR="00A04611" w:rsidRPr="00790704" w:rsidRDefault="00A04611" w:rsidP="00A04611">
      <w:pPr>
        <w:rPr>
          <w:rFonts w:eastAsia="Calibri"/>
        </w:rPr>
      </w:pPr>
      <w:r>
        <w:rPr>
          <w:color w:val="000000" w:themeColor="text1"/>
          <w:szCs w:val="22"/>
        </w:rPr>
        <w:t xml:space="preserve">Subsection </w:t>
      </w:r>
      <w:r w:rsidRPr="00B74645">
        <w:rPr>
          <w:color w:val="000000" w:themeColor="text1"/>
          <w:szCs w:val="22"/>
        </w:rPr>
        <w:t>1.4.4—6</w:t>
      </w:r>
      <w:r>
        <w:rPr>
          <w:color w:val="000000" w:themeColor="text1"/>
          <w:szCs w:val="22"/>
        </w:rPr>
        <w:t>(6) defines the phrase ‘</w:t>
      </w:r>
      <w:r w:rsidRPr="00790704">
        <w:rPr>
          <w:rFonts w:eastAsia="Calibri"/>
        </w:rPr>
        <w:t xml:space="preserve">low THC </w:t>
      </w:r>
      <w:r w:rsidRPr="00B178B6">
        <w:rPr>
          <w:rFonts w:eastAsia="Calibri"/>
          <w:i/>
        </w:rPr>
        <w:t>Cannabis sativa</w:t>
      </w:r>
      <w:r>
        <w:rPr>
          <w:rFonts w:eastAsia="Calibri"/>
        </w:rPr>
        <w:t>’</w:t>
      </w:r>
      <w:r>
        <w:rPr>
          <w:rFonts w:eastAsia="Calibri"/>
          <w:i/>
        </w:rPr>
        <w:t xml:space="preserve"> </w:t>
      </w:r>
      <w:r w:rsidRPr="00790704">
        <w:rPr>
          <w:rFonts w:eastAsia="Calibri"/>
        </w:rPr>
        <w:t xml:space="preserve">for the purposes of </w:t>
      </w:r>
      <w:r w:rsidRPr="00790704">
        <w:rPr>
          <w:color w:val="000000" w:themeColor="text1"/>
          <w:szCs w:val="22"/>
        </w:rPr>
        <w:t>section 1.4.4—6.</w:t>
      </w:r>
    </w:p>
    <w:p w14:paraId="04044676" w14:textId="77777777" w:rsidR="00A04611" w:rsidRDefault="00A04611" w:rsidP="00A04611"/>
    <w:p w14:paraId="330FC255" w14:textId="77777777" w:rsidR="00A04611" w:rsidRPr="003747AF" w:rsidRDefault="00A04611" w:rsidP="00A04611">
      <w:pPr>
        <w:rPr>
          <w:szCs w:val="22"/>
        </w:rPr>
      </w:pPr>
      <w:r w:rsidRPr="00641776">
        <w:rPr>
          <w:b/>
          <w:color w:val="000000" w:themeColor="text1"/>
          <w:szCs w:val="22"/>
        </w:rPr>
        <w:t>Section 1.4.4—7</w:t>
      </w:r>
      <w:r w:rsidRPr="009D261A">
        <w:rPr>
          <w:color w:val="000000" w:themeColor="text1"/>
          <w:szCs w:val="22"/>
        </w:rPr>
        <w:t xml:space="preserve"> restricts how food for sale </w:t>
      </w:r>
      <w:r w:rsidRPr="003747AF">
        <w:rPr>
          <w:szCs w:val="22"/>
        </w:rPr>
        <w:t>that consists of, or has as an ingredient, a hemp food product, may be packaged, labelled, advertised or sold.</w:t>
      </w:r>
    </w:p>
    <w:p w14:paraId="7E9F09D2" w14:textId="77777777" w:rsidR="00A04611" w:rsidRPr="003747AF" w:rsidRDefault="00A04611" w:rsidP="00A04611">
      <w:pPr>
        <w:rPr>
          <w:szCs w:val="22"/>
        </w:rPr>
      </w:pPr>
    </w:p>
    <w:p w14:paraId="3648C06A" w14:textId="77777777" w:rsidR="00A04611" w:rsidRPr="009D261A" w:rsidRDefault="00A04611" w:rsidP="00A04611">
      <w:pPr>
        <w:rPr>
          <w:color w:val="000000" w:themeColor="text1"/>
          <w:szCs w:val="22"/>
        </w:rPr>
      </w:pPr>
      <w:r w:rsidRPr="009D261A">
        <w:rPr>
          <w:color w:val="000000" w:themeColor="text1"/>
          <w:szCs w:val="22"/>
        </w:rPr>
        <w:t xml:space="preserve">Subsection 1.4.4—7(1) provides that section 1.4.4—7, and the restrictions imposed by it,  apply only in relation to a food for sale </w:t>
      </w:r>
      <w:r w:rsidRPr="003747AF">
        <w:rPr>
          <w:szCs w:val="22"/>
        </w:rPr>
        <w:t>that consists of, or has as an ingredient, a hemp food product.</w:t>
      </w:r>
      <w:r>
        <w:rPr>
          <w:szCs w:val="22"/>
        </w:rPr>
        <w:t xml:space="preserve"> </w:t>
      </w:r>
      <w:r w:rsidRPr="009D261A">
        <w:rPr>
          <w:color w:val="000000" w:themeColor="text1"/>
          <w:szCs w:val="22"/>
        </w:rPr>
        <w:t>Subsection 1.4.4—7(</w:t>
      </w:r>
      <w:r>
        <w:rPr>
          <w:color w:val="000000" w:themeColor="text1"/>
          <w:szCs w:val="22"/>
        </w:rPr>
        <w:t>5</w:t>
      </w:r>
      <w:r w:rsidRPr="009D261A">
        <w:rPr>
          <w:color w:val="000000" w:themeColor="text1"/>
          <w:szCs w:val="22"/>
        </w:rPr>
        <w:t xml:space="preserve">) defines the </w:t>
      </w:r>
      <w:r>
        <w:rPr>
          <w:color w:val="000000" w:themeColor="text1"/>
          <w:szCs w:val="22"/>
        </w:rPr>
        <w:t>term</w:t>
      </w:r>
      <w:r w:rsidRPr="009D261A">
        <w:rPr>
          <w:color w:val="000000" w:themeColor="text1"/>
          <w:szCs w:val="22"/>
        </w:rPr>
        <w:t xml:space="preserve"> ‘</w:t>
      </w:r>
      <w:r>
        <w:rPr>
          <w:szCs w:val="22"/>
          <w:lang w:val="en-NZ" w:eastAsia="en-GB"/>
        </w:rPr>
        <w:t>hemp food product</w:t>
      </w:r>
      <w:r w:rsidRPr="003747AF">
        <w:rPr>
          <w:szCs w:val="22"/>
          <w:lang w:val="en-NZ" w:eastAsia="en-GB"/>
        </w:rPr>
        <w:t xml:space="preserve">’ for the purposes of </w:t>
      </w:r>
      <w:r>
        <w:rPr>
          <w:color w:val="000000" w:themeColor="text1"/>
          <w:szCs w:val="22"/>
        </w:rPr>
        <w:t>subsection 1.4.4—7(1</w:t>
      </w:r>
      <w:r w:rsidRPr="009D261A">
        <w:rPr>
          <w:color w:val="000000" w:themeColor="text1"/>
          <w:szCs w:val="22"/>
        </w:rPr>
        <w:t>).</w:t>
      </w:r>
    </w:p>
    <w:p w14:paraId="200A7767" w14:textId="77777777" w:rsidR="00A04611" w:rsidRPr="003747AF" w:rsidRDefault="00A04611" w:rsidP="00A04611">
      <w:pPr>
        <w:rPr>
          <w:szCs w:val="22"/>
        </w:rPr>
      </w:pPr>
    </w:p>
    <w:p w14:paraId="4C937C8A" w14:textId="77777777" w:rsidR="00A04611" w:rsidRPr="009D261A" w:rsidRDefault="00A04611" w:rsidP="00A04611">
      <w:pPr>
        <w:rPr>
          <w:color w:val="000000" w:themeColor="text1"/>
          <w:szCs w:val="22"/>
        </w:rPr>
      </w:pPr>
      <w:r w:rsidRPr="009D261A">
        <w:rPr>
          <w:color w:val="000000" w:themeColor="text1"/>
          <w:szCs w:val="22"/>
        </w:rPr>
        <w:t xml:space="preserve">Subsection 1.4.4—7(2) </w:t>
      </w:r>
      <w:r w:rsidRPr="003747AF">
        <w:rPr>
          <w:szCs w:val="22"/>
        </w:rPr>
        <w:t xml:space="preserve">provides that such a food for sale must not be labelled or otherwise presented for sale in a form which expressly or by implication suggests that the product has a </w:t>
      </w:r>
      <w:r w:rsidRPr="003747AF">
        <w:rPr>
          <w:szCs w:val="22"/>
          <w:lang w:val="en-NZ" w:eastAsia="en-GB"/>
        </w:rPr>
        <w:t xml:space="preserve">psychoactive effect. </w:t>
      </w:r>
      <w:r w:rsidRPr="009D261A">
        <w:rPr>
          <w:color w:val="000000" w:themeColor="text1"/>
          <w:szCs w:val="22"/>
        </w:rPr>
        <w:t>Subsection 1.4.4—7(</w:t>
      </w:r>
      <w:r>
        <w:rPr>
          <w:color w:val="000000" w:themeColor="text1"/>
          <w:szCs w:val="22"/>
        </w:rPr>
        <w:t>5</w:t>
      </w:r>
      <w:r w:rsidRPr="009D261A">
        <w:rPr>
          <w:color w:val="000000" w:themeColor="text1"/>
          <w:szCs w:val="22"/>
        </w:rPr>
        <w:t xml:space="preserve">) defines the </w:t>
      </w:r>
      <w:r>
        <w:rPr>
          <w:color w:val="000000" w:themeColor="text1"/>
          <w:szCs w:val="22"/>
        </w:rPr>
        <w:t>term</w:t>
      </w:r>
      <w:r w:rsidRPr="009D261A">
        <w:rPr>
          <w:color w:val="000000" w:themeColor="text1"/>
          <w:szCs w:val="22"/>
        </w:rPr>
        <w:t xml:space="preserve"> ‘</w:t>
      </w:r>
      <w:r w:rsidRPr="003747AF">
        <w:rPr>
          <w:szCs w:val="22"/>
          <w:lang w:val="en-NZ" w:eastAsia="en-GB"/>
        </w:rPr>
        <w:t xml:space="preserve">psychoactive effect’ for the purposes of </w:t>
      </w:r>
      <w:r w:rsidRPr="009D261A">
        <w:rPr>
          <w:color w:val="000000" w:themeColor="text1"/>
          <w:szCs w:val="22"/>
        </w:rPr>
        <w:t>subsection 1.4.4—7(2).</w:t>
      </w:r>
    </w:p>
    <w:p w14:paraId="511D96F8" w14:textId="77777777" w:rsidR="00A04611" w:rsidRPr="009D261A" w:rsidRDefault="00A04611" w:rsidP="00A04611">
      <w:pPr>
        <w:rPr>
          <w:color w:val="000000" w:themeColor="text1"/>
          <w:szCs w:val="22"/>
        </w:rPr>
      </w:pPr>
    </w:p>
    <w:p w14:paraId="773583F4" w14:textId="77777777" w:rsidR="00A04611" w:rsidRDefault="00A04611" w:rsidP="00A04611">
      <w:pPr>
        <w:rPr>
          <w:color w:val="000000" w:themeColor="text1"/>
          <w:szCs w:val="22"/>
        </w:rPr>
      </w:pPr>
      <w:r>
        <w:rPr>
          <w:color w:val="000000" w:themeColor="text1"/>
          <w:szCs w:val="22"/>
        </w:rPr>
        <w:t xml:space="preserve">Subsection </w:t>
      </w:r>
      <w:r w:rsidRPr="009D261A">
        <w:rPr>
          <w:color w:val="000000" w:themeColor="text1"/>
          <w:szCs w:val="22"/>
        </w:rPr>
        <w:t>1.4.4—7(3)</w:t>
      </w:r>
      <w:r>
        <w:rPr>
          <w:color w:val="000000" w:themeColor="text1"/>
          <w:szCs w:val="22"/>
        </w:rPr>
        <w:t xml:space="preserve"> imposes restrictions in relation to the </w:t>
      </w:r>
      <w:r w:rsidRPr="003747AF">
        <w:rPr>
          <w:szCs w:val="22"/>
        </w:rPr>
        <w:t>label for the food for sale</w:t>
      </w:r>
      <w:r>
        <w:rPr>
          <w:szCs w:val="22"/>
        </w:rPr>
        <w:t>.</w:t>
      </w:r>
    </w:p>
    <w:p w14:paraId="5B141C01" w14:textId="77777777" w:rsidR="00A04611" w:rsidRDefault="00A04611" w:rsidP="00A04611">
      <w:pPr>
        <w:rPr>
          <w:color w:val="000000" w:themeColor="text1"/>
          <w:szCs w:val="22"/>
        </w:rPr>
      </w:pPr>
    </w:p>
    <w:p w14:paraId="2D832FA7" w14:textId="77777777" w:rsidR="00A04611" w:rsidRDefault="00A04611" w:rsidP="00A04611">
      <w:pPr>
        <w:rPr>
          <w:szCs w:val="22"/>
        </w:rPr>
      </w:pPr>
      <w:r>
        <w:rPr>
          <w:color w:val="000000" w:themeColor="text1"/>
          <w:szCs w:val="22"/>
        </w:rPr>
        <w:t>Paragraph</w:t>
      </w:r>
      <w:r w:rsidRPr="009D261A">
        <w:rPr>
          <w:color w:val="000000" w:themeColor="text1"/>
          <w:szCs w:val="22"/>
        </w:rPr>
        <w:t xml:space="preserve"> 1.4.4—7(3)</w:t>
      </w:r>
      <w:r>
        <w:rPr>
          <w:color w:val="000000" w:themeColor="text1"/>
          <w:szCs w:val="22"/>
        </w:rPr>
        <w:t>(a)</w:t>
      </w:r>
      <w:r w:rsidRPr="009D261A">
        <w:rPr>
          <w:color w:val="000000" w:themeColor="text1"/>
          <w:szCs w:val="22"/>
        </w:rPr>
        <w:t xml:space="preserve"> </w:t>
      </w:r>
      <w:r w:rsidRPr="003747AF">
        <w:rPr>
          <w:szCs w:val="22"/>
        </w:rPr>
        <w:t xml:space="preserve">provides that the label must not include </w:t>
      </w:r>
      <w:r>
        <w:rPr>
          <w:szCs w:val="22"/>
        </w:rPr>
        <w:t>a nutrition content claim about cannabidiol.</w:t>
      </w:r>
      <w:bookmarkStart w:id="0" w:name="_GoBack"/>
      <w:bookmarkEnd w:id="0"/>
    </w:p>
    <w:p w14:paraId="1CC7D29E" w14:textId="77777777" w:rsidR="00A04611" w:rsidRDefault="00A04611" w:rsidP="00A04611">
      <w:pPr>
        <w:rPr>
          <w:szCs w:val="22"/>
        </w:rPr>
      </w:pPr>
    </w:p>
    <w:p w14:paraId="38E7ACAC" w14:textId="77777777" w:rsidR="00A04611" w:rsidRDefault="00A04611" w:rsidP="00A04611">
      <w:pPr>
        <w:rPr>
          <w:szCs w:val="22"/>
        </w:rPr>
      </w:pPr>
      <w:r>
        <w:rPr>
          <w:color w:val="000000" w:themeColor="text1"/>
          <w:szCs w:val="22"/>
        </w:rPr>
        <w:t>Paragraph</w:t>
      </w:r>
      <w:r w:rsidDel="00EA0466">
        <w:rPr>
          <w:szCs w:val="22"/>
        </w:rPr>
        <w:t xml:space="preserve"> </w:t>
      </w:r>
      <w:r>
        <w:rPr>
          <w:szCs w:val="22"/>
        </w:rPr>
        <w:t xml:space="preserve">1.4.4—7(3)(b) provides that the label must not include a health claim about cannabidiol. </w:t>
      </w:r>
    </w:p>
    <w:p w14:paraId="2AD821F2" w14:textId="77777777" w:rsidR="00A04611" w:rsidRDefault="00A04611" w:rsidP="00A04611">
      <w:pPr>
        <w:rPr>
          <w:szCs w:val="22"/>
        </w:rPr>
      </w:pPr>
    </w:p>
    <w:p w14:paraId="409B0420" w14:textId="77777777" w:rsidR="00A04611" w:rsidRDefault="00A04611" w:rsidP="00A04611">
      <w:pPr>
        <w:rPr>
          <w:szCs w:val="22"/>
        </w:rPr>
      </w:pPr>
      <w:r>
        <w:rPr>
          <w:color w:val="000000" w:themeColor="text1"/>
          <w:szCs w:val="22"/>
        </w:rPr>
        <w:t>Paragraph</w:t>
      </w:r>
      <w:r w:rsidRPr="009D261A" w:rsidDel="00EA0466">
        <w:rPr>
          <w:color w:val="000000" w:themeColor="text1"/>
          <w:szCs w:val="22"/>
        </w:rPr>
        <w:t xml:space="preserve"> </w:t>
      </w:r>
      <w:r w:rsidRPr="009D261A">
        <w:rPr>
          <w:color w:val="000000" w:themeColor="text1"/>
          <w:szCs w:val="22"/>
        </w:rPr>
        <w:t>1.4.4—7(</w:t>
      </w:r>
      <w:r>
        <w:rPr>
          <w:color w:val="000000" w:themeColor="text1"/>
          <w:szCs w:val="22"/>
        </w:rPr>
        <w:t>3</w:t>
      </w:r>
      <w:r w:rsidRPr="009D261A">
        <w:rPr>
          <w:color w:val="000000" w:themeColor="text1"/>
          <w:szCs w:val="22"/>
        </w:rPr>
        <w:t>)</w:t>
      </w:r>
      <w:r>
        <w:rPr>
          <w:color w:val="000000" w:themeColor="text1"/>
          <w:szCs w:val="22"/>
        </w:rPr>
        <w:t>(c)</w:t>
      </w:r>
      <w:r w:rsidRPr="009D261A">
        <w:rPr>
          <w:color w:val="000000" w:themeColor="text1"/>
          <w:szCs w:val="22"/>
        </w:rPr>
        <w:t xml:space="preserve"> provides that</w:t>
      </w:r>
      <w:r w:rsidRPr="003747AF">
        <w:rPr>
          <w:szCs w:val="22"/>
        </w:rPr>
        <w:t xml:space="preserve"> the label must not include an image or representation of any part of the </w:t>
      </w:r>
      <w:r w:rsidRPr="003747AF">
        <w:rPr>
          <w:i/>
          <w:szCs w:val="22"/>
        </w:rPr>
        <w:t>Cannabis</w:t>
      </w:r>
      <w:r w:rsidRPr="003747AF">
        <w:rPr>
          <w:szCs w:val="22"/>
        </w:rPr>
        <w:t xml:space="preserve"> </w:t>
      </w:r>
      <w:r w:rsidRPr="003747AF">
        <w:rPr>
          <w:i/>
          <w:szCs w:val="22"/>
        </w:rPr>
        <w:t xml:space="preserve">sativa </w:t>
      </w:r>
      <w:r>
        <w:rPr>
          <w:szCs w:val="22"/>
        </w:rPr>
        <w:t>plant (</w:t>
      </w:r>
      <w:r w:rsidRPr="003747AF">
        <w:rPr>
          <w:szCs w:val="22"/>
        </w:rPr>
        <w:t>including the leaf of that plant</w:t>
      </w:r>
      <w:r>
        <w:rPr>
          <w:szCs w:val="22"/>
        </w:rPr>
        <w:t>) other than the seed</w:t>
      </w:r>
      <w:r w:rsidRPr="003747AF">
        <w:rPr>
          <w:szCs w:val="22"/>
        </w:rPr>
        <w:t>.</w:t>
      </w:r>
    </w:p>
    <w:p w14:paraId="15FA16D8" w14:textId="77777777" w:rsidR="00A04611" w:rsidRDefault="00A04611" w:rsidP="00A04611">
      <w:pPr>
        <w:rPr>
          <w:szCs w:val="22"/>
        </w:rPr>
      </w:pPr>
    </w:p>
    <w:p w14:paraId="364B206E" w14:textId="77777777" w:rsidR="00A04611" w:rsidRPr="003747AF" w:rsidRDefault="00A04611" w:rsidP="00A04611">
      <w:pPr>
        <w:rPr>
          <w:szCs w:val="22"/>
        </w:rPr>
      </w:pPr>
      <w:r>
        <w:rPr>
          <w:color w:val="000000" w:themeColor="text1"/>
          <w:szCs w:val="22"/>
        </w:rPr>
        <w:t>Paragraph</w:t>
      </w:r>
      <w:r w:rsidDel="00EA0466">
        <w:rPr>
          <w:szCs w:val="22"/>
        </w:rPr>
        <w:t xml:space="preserve"> </w:t>
      </w:r>
      <w:r>
        <w:rPr>
          <w:szCs w:val="22"/>
        </w:rPr>
        <w:t xml:space="preserve">1.4.4—7(3)(d) provides that the label must not include </w:t>
      </w:r>
      <w:r w:rsidRPr="003747AF">
        <w:rPr>
          <w:szCs w:val="22"/>
        </w:rPr>
        <w:t>the words ‘cannabis’, ‘marijuana’ or words of similar meaning.</w:t>
      </w:r>
    </w:p>
    <w:p w14:paraId="7B27EC22" w14:textId="77777777" w:rsidR="00A04611" w:rsidRPr="003747AF" w:rsidRDefault="00A04611" w:rsidP="00A04611">
      <w:pPr>
        <w:rPr>
          <w:szCs w:val="22"/>
        </w:rPr>
      </w:pPr>
    </w:p>
    <w:p w14:paraId="459ABBD4" w14:textId="77777777" w:rsidR="00A04611" w:rsidRPr="003747AF" w:rsidRDefault="00A04611" w:rsidP="00A04611">
      <w:pPr>
        <w:rPr>
          <w:szCs w:val="22"/>
        </w:rPr>
      </w:pPr>
      <w:r w:rsidRPr="009D261A">
        <w:rPr>
          <w:color w:val="000000" w:themeColor="text1"/>
          <w:szCs w:val="22"/>
        </w:rPr>
        <w:t xml:space="preserve">Subsection 1.4.4—7(4) provides that, notwithstanding subsection 1.4.4—7(3), the </w:t>
      </w:r>
      <w:r w:rsidRPr="003747AF">
        <w:rPr>
          <w:szCs w:val="22"/>
        </w:rPr>
        <w:t>label for the food for sale may include the word ‘hemp’.</w:t>
      </w:r>
    </w:p>
    <w:p w14:paraId="5C248802" w14:textId="77777777" w:rsidR="00A04611" w:rsidRPr="003747AF" w:rsidRDefault="00A04611" w:rsidP="00A04611">
      <w:pPr>
        <w:rPr>
          <w:szCs w:val="22"/>
        </w:rPr>
      </w:pPr>
    </w:p>
    <w:p w14:paraId="0082A652" w14:textId="77777777" w:rsidR="00A04611" w:rsidRDefault="00A04611" w:rsidP="00A04611">
      <w:pPr>
        <w:rPr>
          <w:color w:val="000000" w:themeColor="text1"/>
          <w:szCs w:val="22"/>
        </w:rPr>
      </w:pPr>
      <w:r w:rsidRPr="009D261A">
        <w:rPr>
          <w:color w:val="000000" w:themeColor="text1"/>
          <w:szCs w:val="22"/>
        </w:rPr>
        <w:t>Subsection 1.4.4—7(</w:t>
      </w:r>
      <w:r>
        <w:rPr>
          <w:color w:val="000000" w:themeColor="text1"/>
          <w:szCs w:val="22"/>
        </w:rPr>
        <w:t>5</w:t>
      </w:r>
      <w:r w:rsidRPr="009D261A">
        <w:rPr>
          <w:color w:val="000000" w:themeColor="text1"/>
          <w:szCs w:val="22"/>
        </w:rPr>
        <w:t>) defines certain terms for the purposes of section 1.4.4—7.</w:t>
      </w:r>
    </w:p>
    <w:p w14:paraId="2F33595A" w14:textId="77777777" w:rsidR="00A04611" w:rsidRPr="009D261A" w:rsidRDefault="00A04611" w:rsidP="00A04611">
      <w:pPr>
        <w:rPr>
          <w:color w:val="000000" w:themeColor="text1"/>
          <w:szCs w:val="22"/>
        </w:rPr>
      </w:pPr>
    </w:p>
    <w:p w14:paraId="5FF7A910" w14:textId="77777777" w:rsidR="00D5526B" w:rsidRPr="003A01FB" w:rsidRDefault="00A04611" w:rsidP="00A04611">
      <w:bookmarkStart w:id="1" w:name="_Toc477327087"/>
      <w:r w:rsidRPr="00641776">
        <w:rPr>
          <w:b/>
        </w:rPr>
        <w:t>Section 1.4.4—8</w:t>
      </w:r>
      <w:r w:rsidRPr="00361C91">
        <w:t xml:space="preserve"> provides that food for sale must not contain cannabidiol in excess of 75</w:t>
      </w:r>
      <w:r>
        <w:t> </w:t>
      </w:r>
      <w:r w:rsidRPr="00361C91">
        <w:t xml:space="preserve">mg/kg. The purpose of this requirement is to provide a compliance value to support the prohibition </w:t>
      </w:r>
      <w:r>
        <w:t xml:space="preserve">in section 1.4.4—6 </w:t>
      </w:r>
      <w:r w:rsidRPr="00361C91">
        <w:t xml:space="preserve">on the fortification of </w:t>
      </w:r>
      <w:r>
        <w:t xml:space="preserve">seeds and </w:t>
      </w:r>
      <w:r w:rsidRPr="00361C91">
        <w:t>products with cannabinoids</w:t>
      </w:r>
      <w:r>
        <w:t xml:space="preserve"> </w:t>
      </w:r>
      <w:r w:rsidRPr="00361C91">
        <w:t>and to ensure foods do not contain CBD at a level that would not be expected to be naturally present.</w:t>
      </w:r>
      <w:bookmarkEnd w:id="1"/>
    </w:p>
    <w:sectPr w:rsidR="00D5526B" w:rsidRPr="003A01FB" w:rsidSect="008E2339">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7EA09" w14:textId="77777777" w:rsidR="00A04611" w:rsidRDefault="00A04611" w:rsidP="00A04611">
      <w:r>
        <w:separator/>
      </w:r>
    </w:p>
  </w:endnote>
  <w:endnote w:type="continuationSeparator" w:id="0">
    <w:p w14:paraId="241BE58D" w14:textId="77777777" w:rsidR="00A04611" w:rsidRDefault="00A04611" w:rsidP="00A0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09907"/>
      <w:docPartObj>
        <w:docPartGallery w:val="Page Numbers (Bottom of Page)"/>
        <w:docPartUnique/>
      </w:docPartObj>
    </w:sdtPr>
    <w:sdtEndPr>
      <w:rPr>
        <w:noProof/>
      </w:rPr>
    </w:sdtEndPr>
    <w:sdtContent>
      <w:p w14:paraId="48D5F637" w14:textId="0B8F322F" w:rsidR="00A04611" w:rsidRDefault="00A04611" w:rsidP="00A04611">
        <w:pPr>
          <w:pStyle w:val="Footer"/>
          <w:jc w:val="center"/>
        </w:pPr>
        <w:r>
          <w:fldChar w:fldCharType="begin"/>
        </w:r>
        <w:r>
          <w:instrText xml:space="preserve"> PAGE   \* MERGEFORMAT </w:instrText>
        </w:r>
        <w:r>
          <w:fldChar w:fldCharType="separate"/>
        </w:r>
        <w:r w:rsidR="004D06B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A836" w14:textId="77777777" w:rsidR="00A04611" w:rsidRDefault="00A04611" w:rsidP="00A04611">
      <w:r>
        <w:separator/>
      </w:r>
    </w:p>
  </w:footnote>
  <w:footnote w:type="continuationSeparator" w:id="0">
    <w:p w14:paraId="345534BD" w14:textId="77777777" w:rsidR="00A04611" w:rsidRDefault="00A04611" w:rsidP="00A0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11"/>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06BB"/>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04611"/>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A418"/>
  <w15:docId w15:val="{6F965BAC-69EA-43BD-A422-DFF11CB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A04611"/>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X3VAMR3A5FUY-552-5585</_dlc_DocId>
    <_dlc_DocIdUrl xmlns="ff5de93e-c5e8-4efc-a1bd-21450292fcfe">
      <Url>http://teams/Sections/RAP/_layouts/15/DocIdRedir.aspx?ID=X3VAMR3A5FUY-552-5585</Url>
      <Description>X3VAMR3A5FUY-552-5585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3F81A-CDBC-469B-99E0-8F032BEACE03}">
  <ds:schemaRefs>
    <ds:schemaRef ds:uri="Microsoft.SharePoint.Taxonomy.ContentTypeSync"/>
  </ds:schemaRefs>
</ds:datastoreItem>
</file>

<file path=customXml/itemProps2.xml><?xml version="1.0" encoding="utf-8"?>
<ds:datastoreItem xmlns:ds="http://schemas.openxmlformats.org/officeDocument/2006/customXml" ds:itemID="{54DFD94F-CA5E-483B-B44A-BF42ACAE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71BB8-6517-407B-9E44-B49B6F47AA2E}">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 ds:uri="ec50576e-4a27-4780-a1e1-e59563bc70b8"/>
    <ds:schemaRef ds:uri="http://schemas.microsoft.com/office/2006/metadata/properties"/>
    <ds:schemaRef ds:uri="http://schemas.microsoft.com/office/infopath/2007/PartnerControls"/>
    <ds:schemaRef ds:uri="ff5de93e-c5e8-4efc-a1bd-21450292fcfe"/>
  </ds:schemaRefs>
</ds:datastoreItem>
</file>

<file path=customXml/itemProps4.xml><?xml version="1.0" encoding="utf-8"?>
<ds:datastoreItem xmlns:ds="http://schemas.openxmlformats.org/officeDocument/2006/customXml" ds:itemID="{BC949A73-DDDB-4666-AAB9-02AF6ABA3C60}">
  <ds:schemaRefs>
    <ds:schemaRef ds:uri="http://schemas.microsoft.com/sharepoint/v3/contenttype/forms"/>
  </ds:schemaRefs>
</ds:datastoreItem>
</file>

<file path=customXml/itemProps5.xml><?xml version="1.0" encoding="utf-8"?>
<ds:datastoreItem xmlns:ds="http://schemas.openxmlformats.org/officeDocument/2006/customXml" ds:itemID="{F9C48C58-CEC4-4F1E-AE20-17E853B3ED82}">
  <ds:schemaRefs>
    <ds:schemaRef ds:uri="http://schemas.microsoft.com/sharepoint/events"/>
  </ds:schemaRefs>
</ds:datastoreItem>
</file>

<file path=customXml/itemProps6.xml><?xml version="1.0" encoding="utf-8"?>
<ds:datastoreItem xmlns:ds="http://schemas.openxmlformats.org/officeDocument/2006/customXml" ds:itemID="{37667FAC-2CEE-4594-9E7D-73FA7828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7365</Characters>
  <Application>Microsoft Office Word</Application>
  <DocSecurity>0</DocSecurity>
  <Lines>61</Lines>
  <Paragraphs>17</Paragraphs>
  <ScaleCrop>false</ScaleCrop>
  <Company>Foodstandards</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2</cp:revision>
  <dcterms:created xsi:type="dcterms:W3CDTF">2017-03-21T22:39:00Z</dcterms:created>
  <dcterms:modified xsi:type="dcterms:W3CDTF">2017-05-02T23:42:00Z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b9c3d626-f5e5-41c6-a986-7a8e12e108bc</vt:lpwstr>
  </property>
  <property fmtid="{D5CDD505-2E9C-101B-9397-08002B2CF9AE}" pid="6" name="TitusGUID">
    <vt:lpwstr>a2d029e8-02d0-45dd-ab4f-36d0f442fe40</vt:lpwstr>
  </property>
</Properties>
</file>