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BF" w:rsidRPr="00340A9B" w:rsidRDefault="007D63BF" w:rsidP="007D63BF">
      <w:pPr>
        <w:pStyle w:val="Title"/>
        <w:rPr>
          <w:szCs w:val="24"/>
        </w:rPr>
      </w:pPr>
      <w:bookmarkStart w:id="0" w:name="_GoBack"/>
      <w:bookmarkEnd w:id="0"/>
      <w:r w:rsidRPr="00340A9B">
        <w:rPr>
          <w:szCs w:val="24"/>
        </w:rPr>
        <w:t>EXPLANATORY STATEMENT</w:t>
      </w:r>
    </w:p>
    <w:p w:rsidR="007D63BF" w:rsidRPr="00340A9B" w:rsidRDefault="007D63BF" w:rsidP="007D63BF">
      <w:pPr>
        <w:pStyle w:val="Title"/>
        <w:rPr>
          <w:szCs w:val="24"/>
        </w:rPr>
      </w:pPr>
    </w:p>
    <w:p w:rsidR="007D63BF" w:rsidRPr="00340A9B" w:rsidRDefault="007D63BF" w:rsidP="007D63BF">
      <w:pPr>
        <w:jc w:val="center"/>
        <w:rPr>
          <w:szCs w:val="24"/>
        </w:rPr>
      </w:pPr>
      <w:r w:rsidRPr="00340A9B">
        <w:rPr>
          <w:szCs w:val="24"/>
        </w:rPr>
        <w:t>Issued by the Autho</w:t>
      </w:r>
      <w:r w:rsidR="00E10D70" w:rsidRPr="00340A9B">
        <w:rPr>
          <w:szCs w:val="24"/>
        </w:rPr>
        <w:t>rity of the Minister for Health</w:t>
      </w:r>
    </w:p>
    <w:p w:rsidR="007D63BF" w:rsidRPr="00340A9B" w:rsidRDefault="007D63BF" w:rsidP="007D63BF">
      <w:pPr>
        <w:jc w:val="center"/>
        <w:rPr>
          <w:szCs w:val="24"/>
        </w:rPr>
      </w:pPr>
    </w:p>
    <w:p w:rsidR="005C11C6" w:rsidRPr="00340A9B" w:rsidRDefault="007D63BF" w:rsidP="007D63BF">
      <w:pPr>
        <w:jc w:val="center"/>
        <w:rPr>
          <w:szCs w:val="24"/>
        </w:rPr>
      </w:pPr>
      <w:r w:rsidRPr="00340A9B">
        <w:rPr>
          <w:i/>
          <w:szCs w:val="24"/>
        </w:rPr>
        <w:t>P</w:t>
      </w:r>
      <w:r w:rsidR="005C11C6" w:rsidRPr="00340A9B">
        <w:rPr>
          <w:i/>
          <w:szCs w:val="24"/>
        </w:rPr>
        <w:t>rivate Health Insurance</w:t>
      </w:r>
      <w:r w:rsidR="00143E48" w:rsidRPr="00340A9B">
        <w:rPr>
          <w:i/>
          <w:szCs w:val="24"/>
        </w:rPr>
        <w:t xml:space="preserve"> (Risk Equalisation Levy)</w:t>
      </w:r>
      <w:r w:rsidR="005C11C6" w:rsidRPr="00340A9B">
        <w:rPr>
          <w:i/>
          <w:szCs w:val="24"/>
        </w:rPr>
        <w:t xml:space="preserve"> Act </w:t>
      </w:r>
      <w:r w:rsidR="00917583" w:rsidRPr="00340A9B">
        <w:rPr>
          <w:i/>
          <w:szCs w:val="24"/>
        </w:rPr>
        <w:t>200</w:t>
      </w:r>
      <w:r w:rsidR="00143E48" w:rsidRPr="00340A9B">
        <w:rPr>
          <w:i/>
          <w:szCs w:val="24"/>
        </w:rPr>
        <w:t>3</w:t>
      </w:r>
    </w:p>
    <w:p w:rsidR="005C11C6" w:rsidRPr="00340A9B" w:rsidRDefault="005C11C6">
      <w:pPr>
        <w:jc w:val="center"/>
        <w:rPr>
          <w:b/>
          <w:szCs w:val="24"/>
          <w:u w:val="single"/>
        </w:rPr>
      </w:pPr>
    </w:p>
    <w:p w:rsidR="00917583" w:rsidRPr="00340A9B" w:rsidRDefault="00917583" w:rsidP="00917583">
      <w:pPr>
        <w:jc w:val="center"/>
        <w:rPr>
          <w:szCs w:val="24"/>
        </w:rPr>
      </w:pPr>
      <w:r w:rsidRPr="00340A9B">
        <w:rPr>
          <w:i/>
          <w:szCs w:val="24"/>
        </w:rPr>
        <w:t xml:space="preserve">Private Health Insurance </w:t>
      </w:r>
      <w:r w:rsidR="000A253C" w:rsidRPr="00340A9B">
        <w:rPr>
          <w:i/>
          <w:szCs w:val="24"/>
        </w:rPr>
        <w:t>(</w:t>
      </w:r>
      <w:r w:rsidR="00F10A44" w:rsidRPr="00340A9B">
        <w:rPr>
          <w:i/>
          <w:szCs w:val="24"/>
        </w:rPr>
        <w:t>Risk Equalisation Levy</w:t>
      </w:r>
      <w:r w:rsidR="000A253C" w:rsidRPr="00340A9B">
        <w:rPr>
          <w:i/>
          <w:szCs w:val="24"/>
        </w:rPr>
        <w:t>)</w:t>
      </w:r>
      <w:r w:rsidRPr="00340A9B">
        <w:rPr>
          <w:i/>
          <w:szCs w:val="24"/>
        </w:rPr>
        <w:t xml:space="preserve"> Rule</w:t>
      </w:r>
      <w:r w:rsidR="000A253C" w:rsidRPr="00340A9B">
        <w:rPr>
          <w:i/>
          <w:szCs w:val="24"/>
        </w:rPr>
        <w:t>s</w:t>
      </w:r>
      <w:r w:rsidRPr="00340A9B">
        <w:rPr>
          <w:i/>
          <w:szCs w:val="24"/>
        </w:rPr>
        <w:t xml:space="preserve"> 20</w:t>
      </w:r>
      <w:r w:rsidR="00542D63" w:rsidRPr="00340A9B">
        <w:rPr>
          <w:i/>
          <w:szCs w:val="24"/>
        </w:rPr>
        <w:t>1</w:t>
      </w:r>
      <w:r w:rsidRPr="00340A9B">
        <w:rPr>
          <w:i/>
          <w:szCs w:val="24"/>
        </w:rPr>
        <w:t>7</w:t>
      </w:r>
    </w:p>
    <w:p w:rsidR="00917583" w:rsidRPr="00340A9B" w:rsidRDefault="00917583" w:rsidP="00917583">
      <w:pPr>
        <w:jc w:val="center"/>
        <w:rPr>
          <w:b/>
          <w:szCs w:val="24"/>
          <w:u w:val="single"/>
        </w:rPr>
      </w:pPr>
    </w:p>
    <w:p w:rsidR="00B97AB7" w:rsidRPr="00340A9B" w:rsidRDefault="00B97AB7" w:rsidP="006817B0">
      <w:pPr>
        <w:pStyle w:val="Subtitle"/>
        <w:rPr>
          <w:szCs w:val="24"/>
        </w:rPr>
      </w:pPr>
      <w:r w:rsidRPr="00340A9B">
        <w:rPr>
          <w:szCs w:val="24"/>
        </w:rPr>
        <w:t>Authority</w:t>
      </w:r>
    </w:p>
    <w:p w:rsidR="006817B0" w:rsidRPr="00340A9B" w:rsidRDefault="006817B0" w:rsidP="006817B0">
      <w:pPr>
        <w:pStyle w:val="Subtitle"/>
        <w:rPr>
          <w:szCs w:val="24"/>
          <w:u w:val="none"/>
        </w:rPr>
      </w:pPr>
      <w:r w:rsidRPr="00340A9B">
        <w:rPr>
          <w:szCs w:val="24"/>
          <w:u w:val="none"/>
        </w:rPr>
        <w:t xml:space="preserve">Section </w:t>
      </w:r>
      <w:r w:rsidR="00143E48" w:rsidRPr="00340A9B">
        <w:rPr>
          <w:szCs w:val="24"/>
          <w:u w:val="none"/>
        </w:rPr>
        <w:t>10A</w:t>
      </w:r>
      <w:r w:rsidR="00917583" w:rsidRPr="00340A9B">
        <w:rPr>
          <w:szCs w:val="24"/>
          <w:u w:val="none"/>
        </w:rPr>
        <w:t xml:space="preserve"> </w:t>
      </w:r>
      <w:r w:rsidRPr="00340A9B">
        <w:rPr>
          <w:szCs w:val="24"/>
          <w:u w:val="none"/>
        </w:rPr>
        <w:t xml:space="preserve">of the </w:t>
      </w:r>
      <w:r w:rsidRPr="00340A9B">
        <w:rPr>
          <w:i/>
          <w:iCs/>
          <w:szCs w:val="24"/>
          <w:u w:val="none"/>
        </w:rPr>
        <w:t>Private Health Insurance</w:t>
      </w:r>
      <w:r w:rsidR="00143E48" w:rsidRPr="00340A9B">
        <w:rPr>
          <w:i/>
          <w:iCs/>
          <w:szCs w:val="24"/>
          <w:u w:val="none"/>
        </w:rPr>
        <w:t xml:space="preserve"> (Risk Equalisation Levy)</w:t>
      </w:r>
      <w:r w:rsidRPr="00340A9B">
        <w:rPr>
          <w:i/>
          <w:iCs/>
          <w:szCs w:val="24"/>
          <w:u w:val="none"/>
        </w:rPr>
        <w:t xml:space="preserve"> Act </w:t>
      </w:r>
      <w:r w:rsidR="00575A24" w:rsidRPr="00340A9B">
        <w:rPr>
          <w:i/>
          <w:iCs/>
          <w:szCs w:val="24"/>
          <w:u w:val="none"/>
        </w:rPr>
        <w:t>200</w:t>
      </w:r>
      <w:r w:rsidR="00143E48" w:rsidRPr="00340A9B">
        <w:rPr>
          <w:i/>
          <w:iCs/>
          <w:szCs w:val="24"/>
          <w:u w:val="none"/>
        </w:rPr>
        <w:t>3</w:t>
      </w:r>
      <w:r w:rsidRPr="00340A9B">
        <w:rPr>
          <w:i/>
          <w:iCs/>
          <w:szCs w:val="24"/>
          <w:u w:val="none"/>
        </w:rPr>
        <w:t xml:space="preserve"> </w:t>
      </w:r>
      <w:r w:rsidRPr="00340A9B">
        <w:rPr>
          <w:szCs w:val="24"/>
          <w:u w:val="none"/>
        </w:rPr>
        <w:t xml:space="preserve">(the Act) provides that the </w:t>
      </w:r>
      <w:r w:rsidR="00575A24" w:rsidRPr="00340A9B">
        <w:rPr>
          <w:szCs w:val="24"/>
          <w:u w:val="none"/>
        </w:rPr>
        <w:t>Minister</w:t>
      </w:r>
      <w:r w:rsidRPr="00340A9B">
        <w:rPr>
          <w:szCs w:val="24"/>
          <w:u w:val="none"/>
        </w:rPr>
        <w:t xml:space="preserve"> may make</w:t>
      </w:r>
      <w:r w:rsidR="00892BD6" w:rsidRPr="00340A9B">
        <w:rPr>
          <w:szCs w:val="24"/>
          <w:u w:val="none"/>
        </w:rPr>
        <w:t xml:space="preserve"> </w:t>
      </w:r>
      <w:r w:rsidR="00892BD6" w:rsidRPr="00340A9B">
        <w:rPr>
          <w:i/>
          <w:szCs w:val="24"/>
          <w:u w:val="none"/>
        </w:rPr>
        <w:t>Private Health Insurance (Risk Equalisation Levy) Rules</w:t>
      </w:r>
      <w:r w:rsidRPr="00340A9B">
        <w:rPr>
          <w:szCs w:val="24"/>
          <w:u w:val="none"/>
        </w:rPr>
        <w:t xml:space="preserve"> </w:t>
      </w:r>
      <w:r w:rsidR="002715FA" w:rsidRPr="00340A9B">
        <w:rPr>
          <w:szCs w:val="24"/>
          <w:u w:val="none"/>
        </w:rPr>
        <w:t xml:space="preserve">(the </w:t>
      </w:r>
      <w:r w:rsidR="008532D2" w:rsidRPr="00340A9B">
        <w:rPr>
          <w:szCs w:val="24"/>
          <w:u w:val="none"/>
        </w:rPr>
        <w:t>R</w:t>
      </w:r>
      <w:r w:rsidR="00BA1281" w:rsidRPr="00340A9B">
        <w:rPr>
          <w:szCs w:val="24"/>
          <w:u w:val="none"/>
        </w:rPr>
        <w:t xml:space="preserve">ules) </w:t>
      </w:r>
      <w:r w:rsidRPr="00340A9B">
        <w:rPr>
          <w:szCs w:val="24"/>
          <w:u w:val="none"/>
        </w:rPr>
        <w:t>pr</w:t>
      </w:r>
      <w:r w:rsidR="00575A24" w:rsidRPr="00340A9B">
        <w:rPr>
          <w:szCs w:val="24"/>
          <w:u w:val="none"/>
        </w:rPr>
        <w:t xml:space="preserve">oviding for </w:t>
      </w:r>
      <w:r w:rsidRPr="00340A9B">
        <w:rPr>
          <w:szCs w:val="24"/>
          <w:u w:val="none"/>
        </w:rPr>
        <w:t xml:space="preserve">matters required or permitted by the </w:t>
      </w:r>
      <w:r w:rsidR="00575A24" w:rsidRPr="00340A9B">
        <w:rPr>
          <w:szCs w:val="24"/>
          <w:u w:val="none"/>
        </w:rPr>
        <w:t>Act</w:t>
      </w:r>
      <w:r w:rsidR="00892BD6" w:rsidRPr="00340A9B">
        <w:rPr>
          <w:szCs w:val="24"/>
          <w:u w:val="none"/>
        </w:rPr>
        <w:t>,</w:t>
      </w:r>
      <w:r w:rsidR="00575A24" w:rsidRPr="00340A9B">
        <w:rPr>
          <w:szCs w:val="24"/>
          <w:u w:val="none"/>
        </w:rPr>
        <w:t xml:space="preserve"> or necessary or convenient in order to carry out or give effect to </w:t>
      </w:r>
      <w:r w:rsidR="00892BD6" w:rsidRPr="00340A9B">
        <w:rPr>
          <w:szCs w:val="24"/>
          <w:u w:val="none"/>
        </w:rPr>
        <w:t>the Act</w:t>
      </w:r>
      <w:r w:rsidRPr="00340A9B">
        <w:rPr>
          <w:szCs w:val="24"/>
          <w:u w:val="none"/>
        </w:rPr>
        <w:t>.</w:t>
      </w:r>
    </w:p>
    <w:p w:rsidR="00892BD6" w:rsidRPr="00340A9B" w:rsidRDefault="00892BD6" w:rsidP="006817B0">
      <w:pPr>
        <w:pStyle w:val="Subtitle"/>
        <w:rPr>
          <w:szCs w:val="24"/>
          <w:u w:val="none"/>
        </w:rPr>
      </w:pPr>
    </w:p>
    <w:p w:rsidR="00B97AB7" w:rsidRPr="00340A9B" w:rsidRDefault="00B97AB7" w:rsidP="006817B0">
      <w:pPr>
        <w:pStyle w:val="Subtitle"/>
        <w:rPr>
          <w:szCs w:val="24"/>
        </w:rPr>
      </w:pPr>
      <w:r w:rsidRPr="00340A9B">
        <w:rPr>
          <w:szCs w:val="24"/>
        </w:rPr>
        <w:t>Purpose</w:t>
      </w:r>
    </w:p>
    <w:p w:rsidR="00EA597E" w:rsidRPr="00340A9B" w:rsidRDefault="00EA597E" w:rsidP="006817B0">
      <w:pPr>
        <w:pStyle w:val="Subtitle"/>
        <w:rPr>
          <w:szCs w:val="24"/>
          <w:u w:val="none"/>
        </w:rPr>
      </w:pPr>
      <w:r w:rsidRPr="00340A9B">
        <w:rPr>
          <w:szCs w:val="24"/>
          <w:u w:val="none"/>
        </w:rPr>
        <w:t>The purpose of the private health insurance r</w:t>
      </w:r>
      <w:r w:rsidR="00BA1281" w:rsidRPr="00340A9B">
        <w:rPr>
          <w:szCs w:val="24"/>
          <w:u w:val="none"/>
        </w:rPr>
        <w:t>isk equalisation levy</w:t>
      </w:r>
      <w:r w:rsidRPr="00340A9B">
        <w:rPr>
          <w:szCs w:val="24"/>
          <w:u w:val="none"/>
        </w:rPr>
        <w:t xml:space="preserve"> is</w:t>
      </w:r>
      <w:r w:rsidR="00C84627" w:rsidRPr="00340A9B">
        <w:rPr>
          <w:szCs w:val="24"/>
          <w:u w:val="none"/>
        </w:rPr>
        <w:t xml:space="preserve"> to transfer and share risk across </w:t>
      </w:r>
      <w:r w:rsidR="00F4093C" w:rsidRPr="00340A9B">
        <w:rPr>
          <w:szCs w:val="24"/>
          <w:u w:val="none"/>
        </w:rPr>
        <w:t>private health insurers</w:t>
      </w:r>
      <w:r w:rsidR="00C84627" w:rsidRPr="00340A9B">
        <w:rPr>
          <w:szCs w:val="24"/>
          <w:u w:val="none"/>
        </w:rPr>
        <w:t xml:space="preserve"> so that </w:t>
      </w:r>
      <w:r w:rsidR="00F4093C" w:rsidRPr="00340A9B">
        <w:rPr>
          <w:szCs w:val="24"/>
          <w:u w:val="none"/>
        </w:rPr>
        <w:t>insurers</w:t>
      </w:r>
      <w:r w:rsidR="00C84627" w:rsidRPr="00340A9B">
        <w:rPr>
          <w:szCs w:val="24"/>
          <w:u w:val="none"/>
        </w:rPr>
        <w:t xml:space="preserve"> with an older and less healthy demographic membership are not disadvantaged. The risk equalisation levy enables private health insurers to charge the same premium to everyone, regardless of their indiv</w:t>
      </w:r>
      <w:r w:rsidR="00340A9B">
        <w:rPr>
          <w:szCs w:val="24"/>
          <w:u w:val="none"/>
        </w:rPr>
        <w:t>idual risk (community rating).</w:t>
      </w:r>
    </w:p>
    <w:p w:rsidR="00EA597E" w:rsidRPr="00340A9B" w:rsidRDefault="00EA597E" w:rsidP="006817B0">
      <w:pPr>
        <w:pStyle w:val="Subtitle"/>
        <w:rPr>
          <w:szCs w:val="24"/>
          <w:u w:val="none"/>
        </w:rPr>
      </w:pPr>
    </w:p>
    <w:p w:rsidR="002B1013" w:rsidRPr="00340A9B" w:rsidRDefault="00812845" w:rsidP="006817B0">
      <w:pPr>
        <w:pStyle w:val="Subtitle"/>
        <w:rPr>
          <w:szCs w:val="24"/>
          <w:u w:val="none"/>
        </w:rPr>
      </w:pPr>
      <w:r w:rsidRPr="00340A9B">
        <w:rPr>
          <w:szCs w:val="24"/>
          <w:u w:val="none"/>
        </w:rPr>
        <w:t>P</w:t>
      </w:r>
      <w:r w:rsidR="00F4093C" w:rsidRPr="00340A9B">
        <w:rPr>
          <w:szCs w:val="24"/>
          <w:u w:val="none"/>
        </w:rPr>
        <w:t>aragraph</w:t>
      </w:r>
      <w:r w:rsidR="00BA1281" w:rsidRPr="00340A9B">
        <w:rPr>
          <w:szCs w:val="24"/>
          <w:u w:val="none"/>
        </w:rPr>
        <w:t xml:space="preserve"> 6(1)(a) of the Act provides that risk equalisation levy is imposed on each private health insurer on each day specified in the </w:t>
      </w:r>
      <w:r w:rsidR="008532D2" w:rsidRPr="00340A9B">
        <w:rPr>
          <w:szCs w:val="24"/>
          <w:u w:val="none"/>
        </w:rPr>
        <w:t>R</w:t>
      </w:r>
      <w:r w:rsidR="00BA1281" w:rsidRPr="00340A9B">
        <w:rPr>
          <w:szCs w:val="24"/>
          <w:u w:val="none"/>
        </w:rPr>
        <w:t>ules as a levy day for a financial year.</w:t>
      </w:r>
      <w:r w:rsidR="00F4093C" w:rsidRPr="00340A9B">
        <w:rPr>
          <w:szCs w:val="24"/>
          <w:u w:val="none"/>
        </w:rPr>
        <w:t xml:space="preserve"> </w:t>
      </w:r>
      <w:r w:rsidR="008532D2" w:rsidRPr="00340A9B">
        <w:rPr>
          <w:szCs w:val="24"/>
          <w:u w:val="none"/>
        </w:rPr>
        <w:t>The purpose of these R</w:t>
      </w:r>
      <w:r w:rsidR="00BA1281" w:rsidRPr="00340A9B">
        <w:rPr>
          <w:szCs w:val="24"/>
          <w:u w:val="none"/>
        </w:rPr>
        <w:t>ules is to specify the levy days for a financial year. The</w:t>
      </w:r>
      <w:r w:rsidR="00C8588F" w:rsidRPr="00340A9B">
        <w:rPr>
          <w:szCs w:val="24"/>
          <w:u w:val="none"/>
        </w:rPr>
        <w:t xml:space="preserve"> levy days are the</w:t>
      </w:r>
      <w:r w:rsidR="00BA1281" w:rsidRPr="00340A9B">
        <w:rPr>
          <w:szCs w:val="24"/>
          <w:u w:val="none"/>
        </w:rPr>
        <w:t xml:space="preserve"> </w:t>
      </w:r>
      <w:r w:rsidR="002B1013" w:rsidRPr="00340A9B">
        <w:rPr>
          <w:szCs w:val="24"/>
          <w:u w:val="none"/>
        </w:rPr>
        <w:t>21</w:t>
      </w:r>
      <w:r w:rsidR="002B1013" w:rsidRPr="00340A9B">
        <w:rPr>
          <w:szCs w:val="24"/>
          <w:u w:val="none"/>
          <w:vertAlign w:val="superscript"/>
        </w:rPr>
        <w:t>st</w:t>
      </w:r>
      <w:r w:rsidR="002B1013" w:rsidRPr="00340A9B">
        <w:rPr>
          <w:szCs w:val="24"/>
          <w:u w:val="none"/>
        </w:rPr>
        <w:t xml:space="preserve"> day of the second month of each quarter in a financial year</w:t>
      </w:r>
      <w:r w:rsidR="00C8588F" w:rsidRPr="00340A9B">
        <w:rPr>
          <w:szCs w:val="24"/>
          <w:u w:val="none"/>
        </w:rPr>
        <w:t>.</w:t>
      </w:r>
      <w:r w:rsidR="00BA1281" w:rsidRPr="00340A9B">
        <w:rPr>
          <w:szCs w:val="24"/>
          <w:u w:val="none"/>
        </w:rPr>
        <w:t xml:space="preserve"> </w:t>
      </w:r>
    </w:p>
    <w:p w:rsidR="00BA1281" w:rsidRPr="00340A9B" w:rsidRDefault="00BA1281" w:rsidP="006817B0">
      <w:pPr>
        <w:pStyle w:val="Subtitle"/>
        <w:rPr>
          <w:szCs w:val="24"/>
          <w:u w:val="none"/>
        </w:rPr>
      </w:pPr>
    </w:p>
    <w:p w:rsidR="00BA1281" w:rsidRPr="00340A9B" w:rsidRDefault="00BA1281" w:rsidP="006817B0">
      <w:pPr>
        <w:pStyle w:val="Subtitle"/>
        <w:rPr>
          <w:szCs w:val="24"/>
          <w:u w:val="none"/>
        </w:rPr>
      </w:pPr>
      <w:r w:rsidRPr="00340A9B">
        <w:rPr>
          <w:szCs w:val="24"/>
          <w:u w:val="none"/>
        </w:rPr>
        <w:t xml:space="preserve">Section </w:t>
      </w:r>
      <w:r w:rsidR="004925C3" w:rsidRPr="00340A9B">
        <w:rPr>
          <w:szCs w:val="24"/>
          <w:u w:val="none"/>
        </w:rPr>
        <w:t>6(2) of the Act provides t</w:t>
      </w:r>
      <w:r w:rsidR="008532D2" w:rsidRPr="00340A9B">
        <w:rPr>
          <w:szCs w:val="24"/>
          <w:u w:val="none"/>
        </w:rPr>
        <w:t>hat the R</w:t>
      </w:r>
      <w:r w:rsidR="004925C3" w:rsidRPr="00340A9B">
        <w:rPr>
          <w:szCs w:val="24"/>
          <w:u w:val="none"/>
        </w:rPr>
        <w:t>ules must not specify more than 4 levy days in a financial year.</w:t>
      </w:r>
    </w:p>
    <w:p w:rsidR="00966559" w:rsidRPr="00340A9B" w:rsidRDefault="00966559" w:rsidP="006817B0">
      <w:pPr>
        <w:rPr>
          <w:szCs w:val="24"/>
        </w:rPr>
      </w:pPr>
    </w:p>
    <w:p w:rsidR="0097208A" w:rsidRPr="00340A9B" w:rsidRDefault="0097208A" w:rsidP="0097208A">
      <w:pPr>
        <w:pStyle w:val="Subtitle"/>
        <w:rPr>
          <w:szCs w:val="24"/>
          <w:u w:val="none"/>
        </w:rPr>
      </w:pPr>
      <w:r w:rsidRPr="00340A9B">
        <w:rPr>
          <w:szCs w:val="24"/>
          <w:u w:val="none"/>
        </w:rPr>
        <w:t xml:space="preserve">The creation of the </w:t>
      </w:r>
      <w:r w:rsidRPr="00340A9B">
        <w:rPr>
          <w:i/>
          <w:szCs w:val="24"/>
          <w:u w:val="none"/>
        </w:rPr>
        <w:t xml:space="preserve">Private Health Insurance (Risk Equalisation Levy) Rules 2017 </w:t>
      </w:r>
      <w:r w:rsidR="005A0B91" w:rsidRPr="00340A9B">
        <w:rPr>
          <w:szCs w:val="24"/>
          <w:u w:val="none"/>
        </w:rPr>
        <w:t>replaces</w:t>
      </w:r>
      <w:r w:rsidRPr="00340A9B">
        <w:rPr>
          <w:szCs w:val="24"/>
          <w:u w:val="none"/>
        </w:rPr>
        <w:t xml:space="preserve"> the </w:t>
      </w:r>
      <w:r w:rsidRPr="00340A9B">
        <w:rPr>
          <w:i/>
          <w:szCs w:val="24"/>
          <w:u w:val="none"/>
        </w:rPr>
        <w:t xml:space="preserve">Private Health Insurance (Risk Equalisation Levy) Rules 2007 </w:t>
      </w:r>
      <w:r w:rsidRPr="00340A9B">
        <w:rPr>
          <w:szCs w:val="24"/>
          <w:u w:val="none"/>
        </w:rPr>
        <w:t>which sunset on</w:t>
      </w:r>
      <w:r w:rsidR="00340A9B" w:rsidRPr="00340A9B">
        <w:rPr>
          <w:szCs w:val="24"/>
          <w:u w:val="none"/>
        </w:rPr>
        <w:t xml:space="preserve"> </w:t>
      </w:r>
      <w:r w:rsidRPr="00340A9B">
        <w:rPr>
          <w:szCs w:val="24"/>
          <w:u w:val="none"/>
        </w:rPr>
        <w:t xml:space="preserve">1 April 2017. </w:t>
      </w:r>
    </w:p>
    <w:p w:rsidR="00B97AB7" w:rsidRPr="00340A9B" w:rsidRDefault="00B97AB7" w:rsidP="00B97AB7">
      <w:pPr>
        <w:rPr>
          <w:bCs/>
          <w:szCs w:val="24"/>
        </w:rPr>
      </w:pPr>
    </w:p>
    <w:p w:rsidR="00B97AB7" w:rsidRPr="00340A9B" w:rsidRDefault="00B97AB7" w:rsidP="00B97AB7">
      <w:pPr>
        <w:rPr>
          <w:bCs/>
          <w:szCs w:val="24"/>
        </w:rPr>
      </w:pPr>
      <w:r w:rsidRPr="00340A9B">
        <w:rPr>
          <w:bCs/>
          <w:szCs w:val="24"/>
        </w:rPr>
        <w:t>The Act does not specify any conditions that need to be met before the power to make the Rules may be exercised.</w:t>
      </w:r>
    </w:p>
    <w:p w:rsidR="0097208A" w:rsidRPr="00340A9B" w:rsidRDefault="0097208A" w:rsidP="00B97AB7">
      <w:pPr>
        <w:rPr>
          <w:bCs/>
          <w:szCs w:val="24"/>
        </w:rPr>
      </w:pPr>
    </w:p>
    <w:p w:rsidR="00B97AB7" w:rsidRPr="00340A9B" w:rsidRDefault="00B97AB7" w:rsidP="00243B15">
      <w:pPr>
        <w:rPr>
          <w:bCs/>
          <w:szCs w:val="24"/>
          <w:u w:val="single"/>
        </w:rPr>
      </w:pPr>
      <w:r w:rsidRPr="00340A9B">
        <w:rPr>
          <w:bCs/>
          <w:szCs w:val="24"/>
          <w:u w:val="single"/>
        </w:rPr>
        <w:t>Details</w:t>
      </w:r>
    </w:p>
    <w:p w:rsidR="00243B15" w:rsidRPr="00340A9B" w:rsidRDefault="00243B15" w:rsidP="00243B15">
      <w:pPr>
        <w:rPr>
          <w:bCs/>
          <w:szCs w:val="24"/>
        </w:rPr>
      </w:pPr>
      <w:r w:rsidRPr="00340A9B">
        <w:rPr>
          <w:bCs/>
          <w:szCs w:val="24"/>
        </w:rPr>
        <w:t xml:space="preserve">Details of the Rules are set out in the </w:t>
      </w:r>
      <w:r w:rsidRPr="00340A9B">
        <w:rPr>
          <w:b/>
          <w:bCs/>
          <w:szCs w:val="24"/>
        </w:rPr>
        <w:t>Attachment</w:t>
      </w:r>
      <w:r w:rsidRPr="00340A9B">
        <w:rPr>
          <w:bCs/>
          <w:szCs w:val="24"/>
        </w:rPr>
        <w:t>.</w:t>
      </w:r>
    </w:p>
    <w:p w:rsidR="00243B15" w:rsidRPr="00340A9B" w:rsidRDefault="00243B15" w:rsidP="00243B15">
      <w:pPr>
        <w:jc w:val="right"/>
        <w:rPr>
          <w:b/>
          <w:bCs/>
          <w:szCs w:val="24"/>
        </w:rPr>
      </w:pPr>
    </w:p>
    <w:p w:rsidR="00542D63" w:rsidRPr="00340A9B" w:rsidRDefault="00542D63" w:rsidP="00542D63">
      <w:pPr>
        <w:rPr>
          <w:szCs w:val="24"/>
          <w:u w:val="single"/>
        </w:rPr>
      </w:pPr>
      <w:r w:rsidRPr="00340A9B">
        <w:rPr>
          <w:szCs w:val="24"/>
          <w:u w:val="single"/>
        </w:rPr>
        <w:t>Consultation</w:t>
      </w:r>
    </w:p>
    <w:p w:rsidR="00542D63" w:rsidRPr="00340A9B" w:rsidRDefault="00542D63" w:rsidP="00542D63">
      <w:pPr>
        <w:rPr>
          <w:szCs w:val="24"/>
        </w:rPr>
      </w:pPr>
      <w:r w:rsidRPr="00340A9B">
        <w:rPr>
          <w:szCs w:val="24"/>
        </w:rPr>
        <w:t xml:space="preserve">These Rules are made as a result of the sunsetting of the previous Rules on 1 April 2017.  </w:t>
      </w:r>
    </w:p>
    <w:p w:rsidR="00542D63" w:rsidRPr="00340A9B" w:rsidRDefault="00542D63" w:rsidP="00542D63">
      <w:pPr>
        <w:rPr>
          <w:szCs w:val="24"/>
        </w:rPr>
      </w:pPr>
      <w:r w:rsidRPr="00340A9B">
        <w:rPr>
          <w:szCs w:val="24"/>
        </w:rPr>
        <w:t xml:space="preserve">The assessment that the instrument is operating effectively and efficiently was informed by a consultation process which involved subject matter experts in the Private Health Insurance Branch, Legal Services Branch, and the Best Practice Regulation Branch over the period </w:t>
      </w:r>
      <w:r w:rsidRPr="00340A9B">
        <w:rPr>
          <w:szCs w:val="24"/>
        </w:rPr>
        <w:br/>
        <w:t>2 March 2017 to 1</w:t>
      </w:r>
      <w:r w:rsidR="00A16AE7" w:rsidRPr="00340A9B">
        <w:rPr>
          <w:szCs w:val="24"/>
        </w:rPr>
        <w:t>4</w:t>
      </w:r>
      <w:r w:rsidRPr="00340A9B">
        <w:rPr>
          <w:szCs w:val="24"/>
        </w:rPr>
        <w:t xml:space="preserve"> April 2017. The Department also consulted with Special Counsel at the Australian Prudential Regulation Authority from 2 March 2017 to 23 March 2017.</w:t>
      </w:r>
    </w:p>
    <w:p w:rsidR="00542D63" w:rsidRPr="00340A9B" w:rsidRDefault="00542D63" w:rsidP="00542D63">
      <w:pPr>
        <w:rPr>
          <w:szCs w:val="24"/>
        </w:rPr>
      </w:pPr>
      <w:r w:rsidRPr="00340A9B">
        <w:rPr>
          <w:szCs w:val="24"/>
        </w:rPr>
        <w:t xml:space="preserve">The assessment supported the remaking of the previous Rules in the same form. </w:t>
      </w:r>
    </w:p>
    <w:p w:rsidR="00542D63" w:rsidRPr="00340A9B" w:rsidRDefault="00542D63" w:rsidP="00542D63">
      <w:pPr>
        <w:rPr>
          <w:bCs/>
          <w:szCs w:val="24"/>
        </w:rPr>
      </w:pPr>
    </w:p>
    <w:p w:rsidR="00542D63" w:rsidRPr="00340A9B" w:rsidRDefault="00542D63" w:rsidP="00542D63">
      <w:pPr>
        <w:rPr>
          <w:szCs w:val="24"/>
        </w:rPr>
      </w:pPr>
      <w:r w:rsidRPr="00340A9B">
        <w:rPr>
          <w:szCs w:val="24"/>
        </w:rPr>
        <w:t xml:space="preserve">These Rules commence </w:t>
      </w:r>
      <w:r w:rsidR="00852AE5" w:rsidRPr="00340A9B">
        <w:rPr>
          <w:szCs w:val="24"/>
        </w:rPr>
        <w:t>on 2</w:t>
      </w:r>
      <w:r w:rsidR="00A16AE7" w:rsidRPr="00340A9B">
        <w:rPr>
          <w:szCs w:val="24"/>
        </w:rPr>
        <w:t>0</w:t>
      </w:r>
      <w:r w:rsidR="00852AE5" w:rsidRPr="00340A9B">
        <w:rPr>
          <w:szCs w:val="24"/>
        </w:rPr>
        <w:t xml:space="preserve"> May</w:t>
      </w:r>
      <w:r w:rsidRPr="00340A9B">
        <w:rPr>
          <w:szCs w:val="24"/>
        </w:rPr>
        <w:t xml:space="preserve"> 2017.</w:t>
      </w:r>
    </w:p>
    <w:p w:rsidR="00542D63" w:rsidRPr="00340A9B" w:rsidRDefault="00542D63" w:rsidP="00542D63">
      <w:pPr>
        <w:rPr>
          <w:szCs w:val="24"/>
        </w:rPr>
      </w:pPr>
    </w:p>
    <w:p w:rsidR="00542D63" w:rsidRPr="00340A9B" w:rsidRDefault="00542D63" w:rsidP="00542D63">
      <w:pPr>
        <w:rPr>
          <w:b/>
          <w:szCs w:val="24"/>
        </w:rPr>
      </w:pPr>
      <w:r w:rsidRPr="00340A9B">
        <w:rPr>
          <w:szCs w:val="24"/>
        </w:rPr>
        <w:t xml:space="preserve">These Rules are a legislative instrument for the purposes of the </w:t>
      </w:r>
      <w:r w:rsidRPr="00340A9B">
        <w:rPr>
          <w:i/>
          <w:iCs/>
          <w:szCs w:val="24"/>
        </w:rPr>
        <w:t>Legislation Act 2003</w:t>
      </w:r>
      <w:r w:rsidRPr="00340A9B">
        <w:rPr>
          <w:szCs w:val="24"/>
        </w:rPr>
        <w:t xml:space="preserve">.  </w:t>
      </w:r>
    </w:p>
    <w:p w:rsidR="006817B0" w:rsidRPr="00340A9B" w:rsidRDefault="00623BC9" w:rsidP="006817B0">
      <w:pPr>
        <w:jc w:val="right"/>
        <w:rPr>
          <w:b/>
          <w:bCs/>
          <w:szCs w:val="24"/>
        </w:rPr>
      </w:pPr>
      <w:r w:rsidRPr="00340A9B">
        <w:rPr>
          <w:b/>
          <w:bCs/>
          <w:szCs w:val="24"/>
        </w:rPr>
        <w:br w:type="page"/>
      </w:r>
      <w:r w:rsidR="006817B0" w:rsidRPr="00340A9B">
        <w:rPr>
          <w:b/>
          <w:bCs/>
          <w:szCs w:val="24"/>
        </w:rPr>
        <w:lastRenderedPageBreak/>
        <w:t xml:space="preserve">ATTACHMENT </w:t>
      </w:r>
    </w:p>
    <w:p w:rsidR="006817B0" w:rsidRPr="00340A9B" w:rsidRDefault="006817B0" w:rsidP="006817B0">
      <w:pPr>
        <w:pStyle w:val="Header"/>
        <w:tabs>
          <w:tab w:val="clear" w:pos="4153"/>
          <w:tab w:val="clear" w:pos="8306"/>
        </w:tabs>
        <w:rPr>
          <w:szCs w:val="24"/>
        </w:rPr>
      </w:pPr>
    </w:p>
    <w:p w:rsidR="0097208A" w:rsidRPr="00340A9B" w:rsidRDefault="006817B0" w:rsidP="0000206A">
      <w:pPr>
        <w:pStyle w:val="Heading6"/>
        <w:tabs>
          <w:tab w:val="left" w:pos="1418"/>
        </w:tabs>
        <w:jc w:val="left"/>
        <w:rPr>
          <w:szCs w:val="24"/>
        </w:rPr>
      </w:pPr>
      <w:r w:rsidRPr="00340A9B">
        <w:rPr>
          <w:i w:val="0"/>
          <w:iCs/>
          <w:szCs w:val="24"/>
        </w:rPr>
        <w:t>D</w:t>
      </w:r>
      <w:r w:rsidR="0097208A" w:rsidRPr="00340A9B">
        <w:rPr>
          <w:i w:val="0"/>
          <w:iCs/>
          <w:szCs w:val="24"/>
        </w:rPr>
        <w:t xml:space="preserve">etails of the </w:t>
      </w:r>
      <w:r w:rsidR="0097208A" w:rsidRPr="00340A9B">
        <w:rPr>
          <w:iCs/>
          <w:szCs w:val="24"/>
        </w:rPr>
        <w:t>Private Health Insurance</w:t>
      </w:r>
      <w:r w:rsidR="0097208A" w:rsidRPr="00340A9B">
        <w:rPr>
          <w:i w:val="0"/>
          <w:iCs/>
          <w:szCs w:val="24"/>
        </w:rPr>
        <w:t xml:space="preserve"> </w:t>
      </w:r>
      <w:r w:rsidR="00171489" w:rsidRPr="00340A9B">
        <w:rPr>
          <w:szCs w:val="24"/>
        </w:rPr>
        <w:t>(</w:t>
      </w:r>
      <w:r w:rsidR="0097208A" w:rsidRPr="00340A9B">
        <w:rPr>
          <w:szCs w:val="24"/>
        </w:rPr>
        <w:t>Risk Equalisation Levy) Rules 2017</w:t>
      </w:r>
    </w:p>
    <w:p w:rsidR="006817B0" w:rsidRPr="00340A9B" w:rsidRDefault="006817B0" w:rsidP="006817B0">
      <w:pPr>
        <w:pStyle w:val="Heading6"/>
        <w:tabs>
          <w:tab w:val="left" w:pos="1418"/>
        </w:tabs>
        <w:jc w:val="left"/>
        <w:rPr>
          <w:caps/>
          <w:szCs w:val="24"/>
        </w:rPr>
      </w:pPr>
    </w:p>
    <w:p w:rsidR="006817B0" w:rsidRPr="00340A9B" w:rsidRDefault="0097208A" w:rsidP="006817B0">
      <w:pPr>
        <w:pStyle w:val="Header"/>
        <w:tabs>
          <w:tab w:val="clear" w:pos="4153"/>
          <w:tab w:val="clear" w:pos="8306"/>
        </w:tabs>
        <w:rPr>
          <w:b/>
          <w:bCs/>
          <w:szCs w:val="24"/>
        </w:rPr>
      </w:pPr>
      <w:r w:rsidRPr="00340A9B">
        <w:rPr>
          <w:b/>
          <w:bCs/>
          <w:szCs w:val="24"/>
        </w:rPr>
        <w:t xml:space="preserve">Section 1 - </w:t>
      </w:r>
      <w:r w:rsidR="00575A24" w:rsidRPr="00340A9B">
        <w:rPr>
          <w:b/>
          <w:bCs/>
          <w:szCs w:val="24"/>
        </w:rPr>
        <w:t>Name of Rules</w:t>
      </w:r>
    </w:p>
    <w:p w:rsidR="006817B0" w:rsidRPr="00340A9B" w:rsidRDefault="0097208A" w:rsidP="006817B0">
      <w:pPr>
        <w:pStyle w:val="Header"/>
        <w:tabs>
          <w:tab w:val="clear" w:pos="4153"/>
          <w:tab w:val="clear" w:pos="8306"/>
        </w:tabs>
        <w:rPr>
          <w:i/>
          <w:iCs/>
          <w:szCs w:val="24"/>
        </w:rPr>
      </w:pPr>
      <w:r w:rsidRPr="00340A9B">
        <w:rPr>
          <w:szCs w:val="24"/>
        </w:rPr>
        <w:t xml:space="preserve">Section 1 of the </w:t>
      </w:r>
      <w:r w:rsidR="006817B0" w:rsidRPr="00340A9B">
        <w:rPr>
          <w:szCs w:val="24"/>
        </w:rPr>
        <w:t>R</w:t>
      </w:r>
      <w:r w:rsidR="00575A24" w:rsidRPr="00340A9B">
        <w:rPr>
          <w:szCs w:val="24"/>
        </w:rPr>
        <w:t>ule</w:t>
      </w:r>
      <w:r w:rsidRPr="00340A9B">
        <w:rPr>
          <w:szCs w:val="24"/>
        </w:rPr>
        <w:t>s</w:t>
      </w:r>
      <w:r w:rsidR="006817B0" w:rsidRPr="00340A9B">
        <w:rPr>
          <w:szCs w:val="24"/>
        </w:rPr>
        <w:t xml:space="preserve"> provides that the title of the R</w:t>
      </w:r>
      <w:r w:rsidR="00575A24" w:rsidRPr="00340A9B">
        <w:rPr>
          <w:szCs w:val="24"/>
        </w:rPr>
        <w:t>ules</w:t>
      </w:r>
      <w:r w:rsidR="006817B0" w:rsidRPr="00340A9B">
        <w:rPr>
          <w:szCs w:val="24"/>
        </w:rPr>
        <w:t xml:space="preserve"> is the </w:t>
      </w:r>
      <w:r w:rsidR="00D16A7A" w:rsidRPr="00340A9B">
        <w:rPr>
          <w:i/>
          <w:iCs/>
          <w:szCs w:val="24"/>
        </w:rPr>
        <w:t xml:space="preserve">Private Health Insurance </w:t>
      </w:r>
      <w:r w:rsidR="000A253C" w:rsidRPr="00340A9B">
        <w:rPr>
          <w:i/>
          <w:iCs/>
          <w:szCs w:val="24"/>
        </w:rPr>
        <w:t>(</w:t>
      </w:r>
      <w:r w:rsidR="00F10A44" w:rsidRPr="00340A9B">
        <w:rPr>
          <w:i/>
          <w:iCs/>
          <w:szCs w:val="24"/>
        </w:rPr>
        <w:t>Risk Equalisation Levy</w:t>
      </w:r>
      <w:r w:rsidR="000A253C" w:rsidRPr="00340A9B">
        <w:rPr>
          <w:i/>
          <w:iCs/>
          <w:szCs w:val="24"/>
        </w:rPr>
        <w:t xml:space="preserve">) </w:t>
      </w:r>
      <w:r w:rsidR="00575A24" w:rsidRPr="00340A9B">
        <w:rPr>
          <w:i/>
          <w:iCs/>
          <w:szCs w:val="24"/>
        </w:rPr>
        <w:t>Rules</w:t>
      </w:r>
      <w:r w:rsidR="00171489" w:rsidRPr="00340A9B">
        <w:rPr>
          <w:i/>
          <w:iCs/>
          <w:szCs w:val="24"/>
        </w:rPr>
        <w:t xml:space="preserve"> 20</w:t>
      </w:r>
      <w:r w:rsidRPr="00340A9B">
        <w:rPr>
          <w:i/>
          <w:iCs/>
          <w:szCs w:val="24"/>
        </w:rPr>
        <w:t>1</w:t>
      </w:r>
      <w:r w:rsidR="00171489" w:rsidRPr="00340A9B">
        <w:rPr>
          <w:i/>
          <w:iCs/>
          <w:szCs w:val="24"/>
        </w:rPr>
        <w:t>7</w:t>
      </w:r>
      <w:r w:rsidR="00FB465C" w:rsidRPr="00340A9B">
        <w:rPr>
          <w:i/>
          <w:iCs/>
          <w:szCs w:val="24"/>
        </w:rPr>
        <w:t>.</w:t>
      </w:r>
    </w:p>
    <w:p w:rsidR="006F0A0D" w:rsidRPr="00340A9B" w:rsidRDefault="006F0A0D" w:rsidP="006817B0">
      <w:pPr>
        <w:pStyle w:val="Header"/>
        <w:tabs>
          <w:tab w:val="clear" w:pos="4153"/>
          <w:tab w:val="clear" w:pos="8306"/>
        </w:tabs>
        <w:rPr>
          <w:szCs w:val="24"/>
        </w:rPr>
      </w:pPr>
    </w:p>
    <w:p w:rsidR="006817B0" w:rsidRPr="00340A9B" w:rsidRDefault="0097208A" w:rsidP="006817B0">
      <w:pPr>
        <w:pStyle w:val="Header"/>
        <w:tabs>
          <w:tab w:val="clear" w:pos="4153"/>
          <w:tab w:val="clear" w:pos="8306"/>
        </w:tabs>
        <w:rPr>
          <w:b/>
          <w:bCs/>
          <w:szCs w:val="24"/>
        </w:rPr>
      </w:pPr>
      <w:r w:rsidRPr="00340A9B">
        <w:rPr>
          <w:b/>
          <w:bCs/>
          <w:szCs w:val="24"/>
        </w:rPr>
        <w:t xml:space="preserve">Section 2 - </w:t>
      </w:r>
      <w:r w:rsidR="006817B0" w:rsidRPr="00340A9B">
        <w:rPr>
          <w:b/>
          <w:bCs/>
          <w:szCs w:val="24"/>
        </w:rPr>
        <w:t>Commencement</w:t>
      </w:r>
    </w:p>
    <w:p w:rsidR="0097208A" w:rsidRPr="00340A9B" w:rsidRDefault="0097208A" w:rsidP="0097208A">
      <w:pPr>
        <w:rPr>
          <w:szCs w:val="24"/>
        </w:rPr>
      </w:pPr>
      <w:r w:rsidRPr="00340A9B">
        <w:rPr>
          <w:szCs w:val="24"/>
        </w:rPr>
        <w:t xml:space="preserve">Section 2 of the Rules provides that it commences on </w:t>
      </w:r>
      <w:r w:rsidR="00FF4448" w:rsidRPr="00340A9B">
        <w:rPr>
          <w:szCs w:val="24"/>
        </w:rPr>
        <w:t>2</w:t>
      </w:r>
      <w:r w:rsidR="003C29C1" w:rsidRPr="00340A9B">
        <w:rPr>
          <w:szCs w:val="24"/>
        </w:rPr>
        <w:t>0</w:t>
      </w:r>
      <w:r w:rsidR="00FF4448" w:rsidRPr="00340A9B">
        <w:rPr>
          <w:szCs w:val="24"/>
        </w:rPr>
        <w:t xml:space="preserve"> May 201</w:t>
      </w:r>
      <w:r w:rsidRPr="00340A9B">
        <w:rPr>
          <w:szCs w:val="24"/>
        </w:rPr>
        <w:t xml:space="preserve">7.  </w:t>
      </w:r>
    </w:p>
    <w:p w:rsidR="006817B0" w:rsidRPr="00340A9B" w:rsidRDefault="006817B0" w:rsidP="006817B0">
      <w:pPr>
        <w:pStyle w:val="Header"/>
        <w:tabs>
          <w:tab w:val="clear" w:pos="4153"/>
          <w:tab w:val="clear" w:pos="8306"/>
        </w:tabs>
        <w:rPr>
          <w:szCs w:val="24"/>
        </w:rPr>
      </w:pPr>
    </w:p>
    <w:p w:rsidR="00FF4448" w:rsidRPr="00340A9B" w:rsidRDefault="00FF4448" w:rsidP="00FF4448">
      <w:pPr>
        <w:rPr>
          <w:b/>
          <w:szCs w:val="24"/>
        </w:rPr>
      </w:pPr>
      <w:r w:rsidRPr="00340A9B">
        <w:rPr>
          <w:b/>
          <w:szCs w:val="24"/>
        </w:rPr>
        <w:t>Section 3 - Authority</w:t>
      </w:r>
    </w:p>
    <w:p w:rsidR="00FF4448" w:rsidRPr="00340A9B" w:rsidRDefault="00FF4448" w:rsidP="00FF4448">
      <w:pPr>
        <w:rPr>
          <w:i/>
          <w:szCs w:val="24"/>
        </w:rPr>
      </w:pPr>
      <w:r w:rsidRPr="00340A9B">
        <w:rPr>
          <w:szCs w:val="24"/>
        </w:rPr>
        <w:t xml:space="preserve">Section 3 of the Rules provides that it is made under </w:t>
      </w:r>
      <w:r w:rsidR="003C29C1" w:rsidRPr="00340A9B">
        <w:rPr>
          <w:szCs w:val="24"/>
        </w:rPr>
        <w:t>Section 10A</w:t>
      </w:r>
      <w:r w:rsidRPr="00340A9B">
        <w:rPr>
          <w:szCs w:val="24"/>
        </w:rPr>
        <w:t xml:space="preserve"> of the </w:t>
      </w:r>
      <w:r w:rsidRPr="00340A9B">
        <w:rPr>
          <w:i/>
          <w:szCs w:val="24"/>
        </w:rPr>
        <w:t xml:space="preserve">Private Health Insurance </w:t>
      </w:r>
      <w:r w:rsidR="003C29C1" w:rsidRPr="00340A9B">
        <w:rPr>
          <w:i/>
          <w:szCs w:val="24"/>
        </w:rPr>
        <w:t xml:space="preserve">(Risk Equalisation Levy) </w:t>
      </w:r>
      <w:r w:rsidRPr="00340A9B">
        <w:rPr>
          <w:i/>
          <w:szCs w:val="24"/>
        </w:rPr>
        <w:t>Act 200</w:t>
      </w:r>
      <w:r w:rsidR="003C29C1" w:rsidRPr="00340A9B">
        <w:rPr>
          <w:i/>
          <w:szCs w:val="24"/>
        </w:rPr>
        <w:t>3</w:t>
      </w:r>
      <w:r w:rsidRPr="00340A9B">
        <w:rPr>
          <w:i/>
          <w:szCs w:val="24"/>
        </w:rPr>
        <w:t>.</w:t>
      </w:r>
    </w:p>
    <w:p w:rsidR="00FF4448" w:rsidRPr="00340A9B" w:rsidRDefault="00FF4448" w:rsidP="00FF4448">
      <w:pPr>
        <w:rPr>
          <w:i/>
          <w:szCs w:val="24"/>
        </w:rPr>
      </w:pPr>
    </w:p>
    <w:p w:rsidR="00FF4448" w:rsidRPr="00340A9B" w:rsidRDefault="00FF4448" w:rsidP="00FF4448">
      <w:pPr>
        <w:rPr>
          <w:b/>
          <w:szCs w:val="24"/>
        </w:rPr>
      </w:pPr>
      <w:r w:rsidRPr="00340A9B">
        <w:rPr>
          <w:b/>
          <w:szCs w:val="24"/>
        </w:rPr>
        <w:t>Section 4 - Schedule</w:t>
      </w:r>
    </w:p>
    <w:p w:rsidR="00FF4448" w:rsidRPr="00340A9B" w:rsidRDefault="00FF4448" w:rsidP="00FF4448">
      <w:pPr>
        <w:rPr>
          <w:szCs w:val="24"/>
        </w:rPr>
      </w:pPr>
      <w:r w:rsidRPr="00340A9B">
        <w:rPr>
          <w:szCs w:val="24"/>
        </w:rPr>
        <w:t xml:space="preserve">Section 4 of the Rules provides that any instrument specified in a Schedule to the Rules is amended or repealed as set out in the applicable items in the Schedule concerned, and any other item in a Schedule has effect according to its terms. </w:t>
      </w:r>
    </w:p>
    <w:p w:rsidR="00FF4448" w:rsidRPr="00340A9B" w:rsidRDefault="00FF4448" w:rsidP="0097208A">
      <w:pPr>
        <w:rPr>
          <w:b/>
          <w:bCs/>
          <w:szCs w:val="24"/>
        </w:rPr>
      </w:pPr>
    </w:p>
    <w:p w:rsidR="00D16A7A" w:rsidRPr="00340A9B" w:rsidRDefault="0097208A" w:rsidP="0097208A">
      <w:pPr>
        <w:rPr>
          <w:b/>
          <w:szCs w:val="24"/>
        </w:rPr>
      </w:pPr>
      <w:r w:rsidRPr="00340A9B">
        <w:rPr>
          <w:b/>
          <w:bCs/>
          <w:szCs w:val="24"/>
        </w:rPr>
        <w:t xml:space="preserve">Section </w:t>
      </w:r>
      <w:r w:rsidR="00FF4448" w:rsidRPr="00340A9B">
        <w:rPr>
          <w:b/>
          <w:bCs/>
          <w:szCs w:val="24"/>
        </w:rPr>
        <w:t>5</w:t>
      </w:r>
      <w:r w:rsidRPr="00340A9B">
        <w:rPr>
          <w:b/>
          <w:bCs/>
          <w:szCs w:val="24"/>
        </w:rPr>
        <w:t xml:space="preserve"> - </w:t>
      </w:r>
      <w:r w:rsidR="00D16A7A" w:rsidRPr="00340A9B">
        <w:rPr>
          <w:b/>
          <w:szCs w:val="24"/>
        </w:rPr>
        <w:t>Definitions</w:t>
      </w:r>
    </w:p>
    <w:p w:rsidR="00D16A7A" w:rsidRPr="00340A9B" w:rsidRDefault="00FF4448" w:rsidP="00FF4448">
      <w:pPr>
        <w:rPr>
          <w:i/>
          <w:szCs w:val="24"/>
        </w:rPr>
      </w:pPr>
      <w:r w:rsidRPr="00340A9B">
        <w:rPr>
          <w:szCs w:val="24"/>
        </w:rPr>
        <w:t>Section 5 of the Rules</w:t>
      </w:r>
      <w:r w:rsidR="00B55743" w:rsidRPr="00340A9B">
        <w:rPr>
          <w:szCs w:val="24"/>
        </w:rPr>
        <w:t xml:space="preserve"> provides that the</w:t>
      </w:r>
      <w:r w:rsidR="003E1F80" w:rsidRPr="00340A9B">
        <w:rPr>
          <w:szCs w:val="24"/>
        </w:rPr>
        <w:t xml:space="preserve"> </w:t>
      </w:r>
      <w:r w:rsidR="00D16A7A" w:rsidRPr="00340A9B">
        <w:rPr>
          <w:szCs w:val="24"/>
        </w:rPr>
        <w:t>Act</w:t>
      </w:r>
      <w:r w:rsidR="00D16A7A" w:rsidRPr="00340A9B">
        <w:rPr>
          <w:i/>
          <w:szCs w:val="24"/>
        </w:rPr>
        <w:t xml:space="preserve"> </w:t>
      </w:r>
      <w:r w:rsidR="00D16A7A" w:rsidRPr="00340A9B">
        <w:rPr>
          <w:szCs w:val="24"/>
        </w:rPr>
        <w:t xml:space="preserve">means the </w:t>
      </w:r>
      <w:r w:rsidR="00D16A7A" w:rsidRPr="00340A9B">
        <w:rPr>
          <w:i/>
          <w:szCs w:val="24"/>
        </w:rPr>
        <w:t>Private Health Insurance</w:t>
      </w:r>
      <w:r w:rsidR="00F10A44" w:rsidRPr="00340A9B">
        <w:rPr>
          <w:i/>
          <w:szCs w:val="24"/>
        </w:rPr>
        <w:t xml:space="preserve"> (Risk Equalisation Levy)</w:t>
      </w:r>
      <w:r w:rsidR="00D16A7A" w:rsidRPr="00340A9B">
        <w:rPr>
          <w:i/>
          <w:szCs w:val="24"/>
        </w:rPr>
        <w:t xml:space="preserve"> Act 200</w:t>
      </w:r>
      <w:r w:rsidR="00F10A44" w:rsidRPr="00340A9B">
        <w:rPr>
          <w:i/>
          <w:szCs w:val="24"/>
        </w:rPr>
        <w:t>3</w:t>
      </w:r>
      <w:r w:rsidR="00EC3195" w:rsidRPr="00340A9B">
        <w:rPr>
          <w:i/>
          <w:szCs w:val="24"/>
        </w:rPr>
        <w:t>.</w:t>
      </w:r>
    </w:p>
    <w:p w:rsidR="00D16A7A" w:rsidRPr="00340A9B" w:rsidRDefault="00D16A7A" w:rsidP="00D16A7A">
      <w:pPr>
        <w:ind w:left="60"/>
        <w:rPr>
          <w:szCs w:val="24"/>
        </w:rPr>
      </w:pPr>
    </w:p>
    <w:p w:rsidR="006817B0" w:rsidRPr="00340A9B" w:rsidRDefault="0097208A" w:rsidP="0097208A">
      <w:pPr>
        <w:pStyle w:val="Header"/>
        <w:tabs>
          <w:tab w:val="clear" w:pos="4153"/>
          <w:tab w:val="clear" w:pos="8306"/>
        </w:tabs>
        <w:rPr>
          <w:b/>
          <w:szCs w:val="24"/>
        </w:rPr>
      </w:pPr>
      <w:r w:rsidRPr="00340A9B">
        <w:rPr>
          <w:b/>
          <w:bCs/>
          <w:szCs w:val="24"/>
        </w:rPr>
        <w:t xml:space="preserve">Section </w:t>
      </w:r>
      <w:r w:rsidR="00FF4448" w:rsidRPr="00340A9B">
        <w:rPr>
          <w:b/>
          <w:bCs/>
          <w:szCs w:val="24"/>
        </w:rPr>
        <w:t>6</w:t>
      </w:r>
      <w:r w:rsidRPr="00340A9B">
        <w:rPr>
          <w:b/>
          <w:bCs/>
          <w:szCs w:val="24"/>
        </w:rPr>
        <w:t xml:space="preserve"> - </w:t>
      </w:r>
      <w:r w:rsidR="00FF4448" w:rsidRPr="00340A9B">
        <w:rPr>
          <w:b/>
          <w:szCs w:val="24"/>
        </w:rPr>
        <w:t>Risk equalis</w:t>
      </w:r>
      <w:r w:rsidR="00F10A44" w:rsidRPr="00340A9B">
        <w:rPr>
          <w:b/>
          <w:szCs w:val="24"/>
        </w:rPr>
        <w:t>ation levy day</w:t>
      </w:r>
    </w:p>
    <w:p w:rsidR="00D9132B" w:rsidRPr="00340A9B" w:rsidRDefault="00FF4448" w:rsidP="00FF4448">
      <w:pPr>
        <w:pStyle w:val="Header"/>
        <w:tabs>
          <w:tab w:val="clear" w:pos="4153"/>
          <w:tab w:val="clear" w:pos="8306"/>
        </w:tabs>
        <w:rPr>
          <w:szCs w:val="24"/>
        </w:rPr>
      </w:pPr>
      <w:r w:rsidRPr="00340A9B">
        <w:rPr>
          <w:szCs w:val="24"/>
        </w:rPr>
        <w:t>Section 6 of the Rules</w:t>
      </w:r>
      <w:r w:rsidR="002D4FF3" w:rsidRPr="00340A9B">
        <w:rPr>
          <w:szCs w:val="24"/>
        </w:rPr>
        <w:t xml:space="preserve"> </w:t>
      </w:r>
      <w:r w:rsidR="003E1F80" w:rsidRPr="00340A9B">
        <w:rPr>
          <w:szCs w:val="24"/>
        </w:rPr>
        <w:t xml:space="preserve">provides </w:t>
      </w:r>
      <w:r w:rsidR="000A253C" w:rsidRPr="00340A9B">
        <w:rPr>
          <w:szCs w:val="24"/>
        </w:rPr>
        <w:t>that the</w:t>
      </w:r>
      <w:r w:rsidRPr="00340A9B">
        <w:rPr>
          <w:szCs w:val="24"/>
        </w:rPr>
        <w:t xml:space="preserve"> risk equalis</w:t>
      </w:r>
      <w:r w:rsidR="00F10A44" w:rsidRPr="00340A9B">
        <w:rPr>
          <w:szCs w:val="24"/>
        </w:rPr>
        <w:t>ation levy day</w:t>
      </w:r>
      <w:r w:rsidR="006F0A0D" w:rsidRPr="00340A9B">
        <w:rPr>
          <w:szCs w:val="24"/>
        </w:rPr>
        <w:t>s</w:t>
      </w:r>
      <w:r w:rsidR="00F10A44" w:rsidRPr="00340A9B">
        <w:rPr>
          <w:szCs w:val="24"/>
        </w:rPr>
        <w:t xml:space="preserve"> </w:t>
      </w:r>
      <w:r w:rsidR="006F0A0D" w:rsidRPr="00340A9B">
        <w:rPr>
          <w:szCs w:val="24"/>
        </w:rPr>
        <w:t xml:space="preserve">are </w:t>
      </w:r>
      <w:r w:rsidR="00F10A44" w:rsidRPr="00340A9B">
        <w:rPr>
          <w:szCs w:val="24"/>
        </w:rPr>
        <w:t>the 21</w:t>
      </w:r>
      <w:r w:rsidR="00F10A44" w:rsidRPr="00340A9B">
        <w:rPr>
          <w:szCs w:val="24"/>
          <w:vertAlign w:val="superscript"/>
        </w:rPr>
        <w:t>st</w:t>
      </w:r>
      <w:r w:rsidR="00F10A44" w:rsidRPr="00340A9B">
        <w:rPr>
          <w:szCs w:val="24"/>
        </w:rPr>
        <w:t xml:space="preserve"> day of the second month of each quarter in a financial year</w:t>
      </w:r>
      <w:r w:rsidR="00A9249E" w:rsidRPr="00340A9B">
        <w:rPr>
          <w:szCs w:val="24"/>
        </w:rPr>
        <w:t>.</w:t>
      </w:r>
    </w:p>
    <w:p w:rsidR="00D9132B" w:rsidRPr="00340A9B" w:rsidRDefault="00D9132B" w:rsidP="00FF4448">
      <w:pPr>
        <w:pStyle w:val="Header"/>
        <w:tabs>
          <w:tab w:val="clear" w:pos="4153"/>
          <w:tab w:val="clear" w:pos="8306"/>
        </w:tabs>
        <w:rPr>
          <w:szCs w:val="24"/>
        </w:rPr>
      </w:pPr>
    </w:p>
    <w:p w:rsidR="00FF4448" w:rsidRDefault="00FF4448" w:rsidP="00FF4448">
      <w:pPr>
        <w:pStyle w:val="Header"/>
        <w:tabs>
          <w:tab w:val="clear" w:pos="4153"/>
          <w:tab w:val="clear" w:pos="8306"/>
        </w:tabs>
      </w:pPr>
      <w:r>
        <w:br w:type="page"/>
      </w:r>
      <w:r w:rsidR="00BA05D6">
        <w:rPr>
          <w:noProof/>
          <w:snapToGrid/>
          <w:lang w:val="en-AU" w:eastAsia="en-AU"/>
        </w:rPr>
        <w:lastRenderedPageBreak/>
        <mc:AlternateContent>
          <mc:Choice Requires="wps">
            <w:drawing>
              <wp:anchor distT="0" distB="0" distL="114300" distR="114300" simplePos="0" relativeHeight="251658240" behindDoc="0" locked="0" layoutInCell="1" allowOverlap="1">
                <wp:simplePos x="0" y="0"/>
                <wp:positionH relativeFrom="column">
                  <wp:posOffset>-520065</wp:posOffset>
                </wp:positionH>
                <wp:positionV relativeFrom="paragraph">
                  <wp:posOffset>-381635</wp:posOffset>
                </wp:positionV>
                <wp:extent cx="6762115" cy="9428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115" cy="9428480"/>
                        </a:xfrm>
                        <a:prstGeom prst="rect">
                          <a:avLst/>
                        </a:prstGeom>
                        <a:solidFill>
                          <a:srgbClr val="FFFFFF"/>
                        </a:solidFill>
                        <a:ln w="76200" cmpd="tri">
                          <a:solidFill>
                            <a:srgbClr val="000000"/>
                          </a:solidFill>
                          <a:miter lim="800000"/>
                          <a:headEnd/>
                          <a:tailEnd/>
                        </a:ln>
                      </wps:spPr>
                      <wps:txbx>
                        <w:txbxContent>
                          <w:p w:rsidR="00FF4448" w:rsidRPr="00E4135E" w:rsidRDefault="00FF4448" w:rsidP="00FF4448">
                            <w:pPr>
                              <w:spacing w:before="360" w:after="120"/>
                              <w:jc w:val="center"/>
                              <w:rPr>
                                <w:b/>
                                <w:sz w:val="28"/>
                                <w:szCs w:val="28"/>
                              </w:rPr>
                            </w:pPr>
                            <w:r w:rsidRPr="00E4135E">
                              <w:rPr>
                                <w:b/>
                                <w:sz w:val="28"/>
                                <w:szCs w:val="28"/>
                              </w:rPr>
                              <w:t>Statement of Compatibility with Human Rights</w:t>
                            </w:r>
                          </w:p>
                          <w:p w:rsidR="00FF4448" w:rsidRPr="00E4135E" w:rsidRDefault="00FF4448" w:rsidP="00FF4448">
                            <w:pPr>
                              <w:spacing w:before="120" w:after="120"/>
                              <w:jc w:val="center"/>
                              <w:rPr>
                                <w:szCs w:val="24"/>
                              </w:rPr>
                            </w:pPr>
                            <w:r w:rsidRPr="00E4135E">
                              <w:rPr>
                                <w:i/>
                                <w:szCs w:val="24"/>
                              </w:rPr>
                              <w:t>Prepared in accordance with Part 3 of the Human Rights (Parliamentary Scrutiny) Act 2011</w:t>
                            </w:r>
                          </w:p>
                          <w:p w:rsidR="00FF4448" w:rsidRPr="0082484E" w:rsidRDefault="00FF4448" w:rsidP="00FF4448">
                            <w:pPr>
                              <w:spacing w:before="120" w:after="120"/>
                              <w:jc w:val="center"/>
                              <w:rPr>
                                <w:b/>
                                <w:i/>
                                <w:szCs w:val="24"/>
                              </w:rPr>
                            </w:pPr>
                            <w:r w:rsidRPr="0082484E">
                              <w:rPr>
                                <w:b/>
                                <w:i/>
                                <w:szCs w:val="24"/>
                              </w:rPr>
                              <w:t xml:space="preserve">Private Health Insurance (Risk Equalisation Levy) Rules 2017 </w:t>
                            </w:r>
                          </w:p>
                          <w:p w:rsidR="00FF4448" w:rsidRPr="00E4135E" w:rsidRDefault="00FF4448" w:rsidP="00FF4448">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FF4448" w:rsidRPr="009C5303" w:rsidRDefault="00FF4448" w:rsidP="00FF4448">
                            <w:pPr>
                              <w:spacing w:before="120" w:after="120"/>
                              <w:jc w:val="both"/>
                              <w:rPr>
                                <w:b/>
                                <w:szCs w:val="24"/>
                              </w:rPr>
                            </w:pPr>
                            <w:r w:rsidRPr="00466784">
                              <w:rPr>
                                <w:b/>
                                <w:szCs w:val="24"/>
                              </w:rPr>
                              <w:t>Overview of the Legislative Instrument</w:t>
                            </w:r>
                          </w:p>
                          <w:p w:rsidR="00E10D70" w:rsidRPr="00340A9B" w:rsidRDefault="00FF4448" w:rsidP="00E10D70">
                            <w:pPr>
                              <w:pStyle w:val="Subtitle"/>
                              <w:spacing w:after="120"/>
                              <w:rPr>
                                <w:szCs w:val="24"/>
                                <w:u w:val="none"/>
                              </w:rPr>
                            </w:pPr>
                            <w:r w:rsidRPr="00FF4448">
                              <w:rPr>
                                <w:u w:val="none"/>
                              </w:rPr>
                              <w:t xml:space="preserve">The purpose of the private health insurance risk equalisation levy is to transfer and share risk across private health insurers so that insurers with an older and less healthy demographic membership are not disadvantaged. The risk equalisation levy enables private health insurers to charge the same premium </w:t>
                            </w:r>
                            <w:r w:rsidRPr="00340A9B">
                              <w:rPr>
                                <w:szCs w:val="24"/>
                                <w:u w:val="none"/>
                              </w:rPr>
                              <w:t>to everyone, regardless of their indiv</w:t>
                            </w:r>
                            <w:r w:rsidR="00340A9B">
                              <w:rPr>
                                <w:szCs w:val="24"/>
                                <w:u w:val="none"/>
                              </w:rPr>
                              <w:t>idual risk (community rating).</w:t>
                            </w:r>
                          </w:p>
                          <w:p w:rsidR="00340A9B" w:rsidRPr="00340A9B" w:rsidRDefault="00340A9B" w:rsidP="00340A9B">
                            <w:pPr>
                              <w:pStyle w:val="Subtitle"/>
                              <w:rPr>
                                <w:szCs w:val="24"/>
                                <w:u w:val="none"/>
                              </w:rPr>
                            </w:pPr>
                            <w:r w:rsidRPr="00340A9B">
                              <w:rPr>
                                <w:szCs w:val="24"/>
                                <w:u w:val="none"/>
                              </w:rPr>
                              <w:t xml:space="preserve">The creation of the </w:t>
                            </w:r>
                            <w:r w:rsidRPr="00340A9B">
                              <w:rPr>
                                <w:i/>
                                <w:szCs w:val="24"/>
                                <w:u w:val="none"/>
                              </w:rPr>
                              <w:t xml:space="preserve">Private Health Insurance (Risk Equalisation Levy) Rules 2017 </w:t>
                            </w:r>
                            <w:r w:rsidRPr="00340A9B">
                              <w:rPr>
                                <w:szCs w:val="24"/>
                                <w:u w:val="none"/>
                              </w:rPr>
                              <w:t xml:space="preserve">replaces the </w:t>
                            </w:r>
                            <w:r w:rsidRPr="00340A9B">
                              <w:rPr>
                                <w:i/>
                                <w:szCs w:val="24"/>
                                <w:u w:val="none"/>
                              </w:rPr>
                              <w:t xml:space="preserve">Private Health Insurance (Risk Equalisation Levy) Rules 2007 </w:t>
                            </w:r>
                            <w:r w:rsidRPr="00340A9B">
                              <w:rPr>
                                <w:szCs w:val="24"/>
                                <w:u w:val="none"/>
                              </w:rPr>
                              <w:t xml:space="preserve">which sunset on </w:t>
                            </w:r>
                            <w:r>
                              <w:rPr>
                                <w:szCs w:val="24"/>
                                <w:u w:val="none"/>
                              </w:rPr>
                              <w:t>1 April 2017.</w:t>
                            </w:r>
                          </w:p>
                          <w:p w:rsidR="00FF4448" w:rsidRPr="00A163C5" w:rsidRDefault="00FF4448" w:rsidP="00FF4448">
                            <w:pPr>
                              <w:spacing w:before="120" w:after="120"/>
                              <w:rPr>
                                <w:b/>
                                <w:szCs w:val="24"/>
                              </w:rPr>
                            </w:pPr>
                            <w:r w:rsidRPr="00A163C5">
                              <w:rPr>
                                <w:b/>
                                <w:szCs w:val="24"/>
                              </w:rPr>
                              <w:t>Human rights implications</w:t>
                            </w:r>
                          </w:p>
                          <w:p w:rsidR="00FF4448" w:rsidRDefault="00FF4448" w:rsidP="00FF4448">
                            <w:pPr>
                              <w:autoSpaceDE w:val="0"/>
                              <w:autoSpaceDN w:val="0"/>
                              <w:adjustRightInd w:val="0"/>
                              <w:spacing w:before="120" w:after="120"/>
                              <w:rPr>
                                <w:color w:val="000000"/>
                                <w:szCs w:val="24"/>
                              </w:rPr>
                            </w:pPr>
                            <w:r>
                              <w:rPr>
                                <w:color w:val="000000"/>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rsidR="00FF4448" w:rsidRDefault="00FF4448" w:rsidP="00FF4448">
                            <w:pPr>
                              <w:rPr>
                                <w:color w:val="000000"/>
                                <w:szCs w:val="24"/>
                              </w:rPr>
                            </w:pPr>
                            <w:r>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w:t>
                            </w:r>
                            <w:r w:rsidR="00340A9B">
                              <w:rPr>
                                <w:color w:val="000000"/>
                                <w:szCs w:val="24"/>
                              </w:rPr>
                              <w:t>teristics such as poor health.</w:t>
                            </w:r>
                          </w:p>
                          <w:p w:rsidR="00FF4448" w:rsidRDefault="00FF4448" w:rsidP="00FF4448">
                            <w:pPr>
                              <w:rPr>
                                <w:szCs w:val="24"/>
                              </w:rPr>
                            </w:pPr>
                          </w:p>
                          <w:p w:rsidR="00FF4448" w:rsidRDefault="00FF4448" w:rsidP="00FF4448">
                            <w:pPr>
                              <w:rPr>
                                <w:b/>
                                <w:szCs w:val="24"/>
                              </w:rPr>
                            </w:pPr>
                            <w:r>
                              <w:rPr>
                                <w:b/>
                                <w:szCs w:val="24"/>
                              </w:rPr>
                              <w:t>Conclusion</w:t>
                            </w:r>
                          </w:p>
                          <w:p w:rsidR="00FF4448" w:rsidRDefault="00FF4448" w:rsidP="00FF4448">
                            <w:pPr>
                              <w:spacing w:before="120" w:after="120"/>
                              <w:rPr>
                                <w:szCs w:val="24"/>
                              </w:rPr>
                            </w:pPr>
                            <w:r>
                              <w:rPr>
                                <w:szCs w:val="24"/>
                              </w:rPr>
                              <w:t>This legislative instrument is compatible with human rights because it advances the protection of human rights.</w:t>
                            </w:r>
                          </w:p>
                          <w:p w:rsidR="0082484E" w:rsidRDefault="0082484E" w:rsidP="00FF4448">
                            <w:pPr>
                              <w:spacing w:before="120" w:after="120"/>
                              <w:rPr>
                                <w:b/>
                                <w:szCs w:val="24"/>
                              </w:rPr>
                            </w:pPr>
                          </w:p>
                          <w:p w:rsidR="00FF4448" w:rsidRDefault="00FF4448" w:rsidP="00FF4448">
                            <w:pPr>
                              <w:jc w:val="center"/>
                              <w:rPr>
                                <w:b/>
                                <w:szCs w:val="24"/>
                              </w:rPr>
                            </w:pPr>
                          </w:p>
                          <w:p w:rsidR="00FF4448" w:rsidRDefault="0040368E" w:rsidP="00FF4448">
                            <w:pPr>
                              <w:spacing w:after="240"/>
                              <w:jc w:val="center"/>
                              <w:rPr>
                                <w:b/>
                                <w:szCs w:val="24"/>
                              </w:rPr>
                            </w:pPr>
                            <w:r>
                              <w:rPr>
                                <w:b/>
                                <w:szCs w:val="24"/>
                              </w:rPr>
                              <w:t>Greg Hunt</w:t>
                            </w:r>
                          </w:p>
                          <w:p w:rsidR="0082484E" w:rsidRDefault="0082484E" w:rsidP="00FF4448">
                            <w:pPr>
                              <w:spacing w:after="240"/>
                              <w:jc w:val="center"/>
                              <w:rPr>
                                <w:b/>
                                <w:szCs w:val="24"/>
                              </w:rPr>
                            </w:pPr>
                            <w:r>
                              <w:rPr>
                                <w:b/>
                                <w:szCs w:val="24"/>
                              </w:rPr>
                              <w:t>Minister for Health</w:t>
                            </w:r>
                          </w:p>
                          <w:p w:rsidR="00FF4448" w:rsidRPr="00E4135E" w:rsidRDefault="00FF4448" w:rsidP="00FF4448">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95pt;margin-top:-30.05pt;width:532.45pt;height:7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" strokeweight="6pt">
                <v:stroke linestyle="thickBetweenThin"/>
                <v:textbox inset="5mm,,5mm">
                  <w:txbxContent>
                    <w:p w:rsidR="00FF4448" w:rsidRPr="00E4135E" w:rsidRDefault="00FF4448" w:rsidP="00FF4448">
                      <w:pPr>
                        <w:spacing w:before="360" w:after="120"/>
                        <w:jc w:val="center"/>
                        <w:rPr>
                          <w:b/>
                          <w:sz w:val="28"/>
                          <w:szCs w:val="28"/>
                        </w:rPr>
                      </w:pPr>
                      <w:r w:rsidRPr="00E4135E">
                        <w:rPr>
                          <w:b/>
                          <w:sz w:val="28"/>
                          <w:szCs w:val="28"/>
                        </w:rPr>
                        <w:t>Statement of Compatibility with Human Rights</w:t>
                      </w:r>
                    </w:p>
                    <w:p w:rsidR="00FF4448" w:rsidRPr="00E4135E" w:rsidRDefault="00FF4448" w:rsidP="00FF4448">
                      <w:pPr>
                        <w:spacing w:before="120" w:after="120"/>
                        <w:jc w:val="center"/>
                        <w:rPr>
                          <w:szCs w:val="24"/>
                        </w:rPr>
                      </w:pPr>
                      <w:r w:rsidRPr="00E4135E">
                        <w:rPr>
                          <w:i/>
                          <w:szCs w:val="24"/>
                        </w:rPr>
                        <w:t>Prepared in accordance with Part 3 of the Human Rights (Parliamentary Scrutiny) Act 2011</w:t>
                      </w:r>
                    </w:p>
                    <w:p w:rsidR="00FF4448" w:rsidRPr="0082484E" w:rsidRDefault="00FF4448" w:rsidP="00FF4448">
                      <w:pPr>
                        <w:spacing w:before="120" w:after="120"/>
                        <w:jc w:val="center"/>
                        <w:rPr>
                          <w:b/>
                          <w:i/>
                          <w:szCs w:val="24"/>
                        </w:rPr>
                      </w:pPr>
                      <w:r w:rsidRPr="0082484E">
                        <w:rPr>
                          <w:b/>
                          <w:i/>
                          <w:szCs w:val="24"/>
                        </w:rPr>
                        <w:t xml:space="preserve">Private Health Insurance (Risk Equalisation Levy) Rules 2017 </w:t>
                      </w:r>
                    </w:p>
                    <w:p w:rsidR="00FF4448" w:rsidRPr="00E4135E" w:rsidRDefault="00FF4448" w:rsidP="00FF4448">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FF4448" w:rsidRPr="009C5303" w:rsidRDefault="00FF4448" w:rsidP="00FF4448">
                      <w:pPr>
                        <w:spacing w:before="120" w:after="120"/>
                        <w:jc w:val="both"/>
                        <w:rPr>
                          <w:b/>
                          <w:szCs w:val="24"/>
                        </w:rPr>
                      </w:pPr>
                      <w:r w:rsidRPr="00466784">
                        <w:rPr>
                          <w:b/>
                          <w:szCs w:val="24"/>
                        </w:rPr>
                        <w:t>Overview of the Legislative Instrument</w:t>
                      </w:r>
                    </w:p>
                    <w:p w:rsidR="00E10D70" w:rsidRPr="00340A9B" w:rsidRDefault="00FF4448" w:rsidP="00E10D70">
                      <w:pPr>
                        <w:pStyle w:val="Subtitle"/>
                        <w:spacing w:after="120"/>
                        <w:rPr>
                          <w:szCs w:val="24"/>
                          <w:u w:val="none"/>
                        </w:rPr>
                      </w:pPr>
                      <w:r w:rsidRPr="00FF4448">
                        <w:rPr>
                          <w:u w:val="none"/>
                        </w:rPr>
                        <w:t xml:space="preserve">The purpose of the private health insurance risk equalisation levy is to transfer and share risk across private health insurers so that insurers with an older and less healthy demographic membership are not disadvantaged. The risk equalisation levy enables private health insurers to charge the same premium </w:t>
                      </w:r>
                      <w:r w:rsidRPr="00340A9B">
                        <w:rPr>
                          <w:szCs w:val="24"/>
                          <w:u w:val="none"/>
                        </w:rPr>
                        <w:t>to everyone, regardless of their indiv</w:t>
                      </w:r>
                      <w:r w:rsidR="00340A9B">
                        <w:rPr>
                          <w:szCs w:val="24"/>
                          <w:u w:val="none"/>
                        </w:rPr>
                        <w:t>idual risk (community rating).</w:t>
                      </w:r>
                    </w:p>
                    <w:p w:rsidR="00340A9B" w:rsidRPr="00340A9B" w:rsidRDefault="00340A9B" w:rsidP="00340A9B">
                      <w:pPr>
                        <w:pStyle w:val="Subtitle"/>
                        <w:rPr>
                          <w:szCs w:val="24"/>
                          <w:u w:val="none"/>
                        </w:rPr>
                      </w:pPr>
                      <w:r w:rsidRPr="00340A9B">
                        <w:rPr>
                          <w:szCs w:val="24"/>
                          <w:u w:val="none"/>
                        </w:rPr>
                        <w:t xml:space="preserve">The creation of the </w:t>
                      </w:r>
                      <w:r w:rsidRPr="00340A9B">
                        <w:rPr>
                          <w:i/>
                          <w:szCs w:val="24"/>
                          <w:u w:val="none"/>
                        </w:rPr>
                        <w:t xml:space="preserve">Private Health Insurance (Risk Equalisation Levy) Rules 2017 </w:t>
                      </w:r>
                      <w:r w:rsidRPr="00340A9B">
                        <w:rPr>
                          <w:szCs w:val="24"/>
                          <w:u w:val="none"/>
                        </w:rPr>
                        <w:t xml:space="preserve">replaces the </w:t>
                      </w:r>
                      <w:r w:rsidRPr="00340A9B">
                        <w:rPr>
                          <w:i/>
                          <w:szCs w:val="24"/>
                          <w:u w:val="none"/>
                        </w:rPr>
                        <w:t xml:space="preserve">Private Health Insurance (Risk Equalisation Levy) Rules 2007 </w:t>
                      </w:r>
                      <w:r w:rsidRPr="00340A9B">
                        <w:rPr>
                          <w:szCs w:val="24"/>
                          <w:u w:val="none"/>
                        </w:rPr>
                        <w:t xml:space="preserve">which sunset on </w:t>
                      </w:r>
                      <w:r>
                        <w:rPr>
                          <w:szCs w:val="24"/>
                          <w:u w:val="none"/>
                        </w:rPr>
                        <w:t>1 April 2017.</w:t>
                      </w:r>
                    </w:p>
                    <w:p w:rsidR="00FF4448" w:rsidRPr="00A163C5" w:rsidRDefault="00FF4448" w:rsidP="00FF4448">
                      <w:pPr>
                        <w:spacing w:before="120" w:after="120"/>
                        <w:rPr>
                          <w:b/>
                          <w:szCs w:val="24"/>
                        </w:rPr>
                      </w:pPr>
                      <w:r w:rsidRPr="00A163C5">
                        <w:rPr>
                          <w:b/>
                          <w:szCs w:val="24"/>
                        </w:rPr>
                        <w:t>Human rights implications</w:t>
                      </w:r>
                    </w:p>
                    <w:p w:rsidR="00FF4448" w:rsidRDefault="00FF4448" w:rsidP="00FF4448">
                      <w:pPr>
                        <w:autoSpaceDE w:val="0"/>
                        <w:autoSpaceDN w:val="0"/>
                        <w:adjustRightInd w:val="0"/>
                        <w:spacing w:before="120" w:after="120"/>
                        <w:rPr>
                          <w:color w:val="000000"/>
                          <w:szCs w:val="24"/>
                        </w:rPr>
                      </w:pPr>
                      <w:r>
                        <w:rPr>
                          <w:color w:val="000000"/>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rsidR="00FF4448" w:rsidRDefault="00FF4448" w:rsidP="00FF4448">
                      <w:pPr>
                        <w:rPr>
                          <w:color w:val="000000"/>
                          <w:szCs w:val="24"/>
                        </w:rPr>
                      </w:pPr>
                      <w:r>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w:t>
                      </w:r>
                      <w:r w:rsidR="00340A9B">
                        <w:rPr>
                          <w:color w:val="000000"/>
                          <w:szCs w:val="24"/>
                        </w:rPr>
                        <w:t>teristics such as poor health.</w:t>
                      </w:r>
                    </w:p>
                    <w:p w:rsidR="00FF4448" w:rsidRDefault="00FF4448" w:rsidP="00FF4448">
                      <w:pPr>
                        <w:rPr>
                          <w:szCs w:val="24"/>
                        </w:rPr>
                      </w:pPr>
                    </w:p>
                    <w:p w:rsidR="00FF4448" w:rsidRDefault="00FF4448" w:rsidP="00FF4448">
                      <w:pPr>
                        <w:rPr>
                          <w:b/>
                          <w:szCs w:val="24"/>
                        </w:rPr>
                      </w:pPr>
                      <w:r>
                        <w:rPr>
                          <w:b/>
                          <w:szCs w:val="24"/>
                        </w:rPr>
                        <w:t>Conclusion</w:t>
                      </w:r>
                    </w:p>
                    <w:p w:rsidR="00FF4448" w:rsidRDefault="00FF4448" w:rsidP="00FF4448">
                      <w:pPr>
                        <w:spacing w:before="120" w:after="120"/>
                        <w:rPr>
                          <w:szCs w:val="24"/>
                        </w:rPr>
                      </w:pPr>
                      <w:r>
                        <w:rPr>
                          <w:szCs w:val="24"/>
                        </w:rPr>
                        <w:t>This legislative instrument is compatible with human rights because it advances the protection of human rights.</w:t>
                      </w:r>
                    </w:p>
                    <w:p w:rsidR="0082484E" w:rsidRDefault="0082484E" w:rsidP="00FF4448">
                      <w:pPr>
                        <w:spacing w:before="120" w:after="120"/>
                        <w:rPr>
                          <w:b/>
                          <w:szCs w:val="24"/>
                        </w:rPr>
                      </w:pPr>
                    </w:p>
                    <w:p w:rsidR="00FF4448" w:rsidRDefault="00FF4448" w:rsidP="00FF4448">
                      <w:pPr>
                        <w:jc w:val="center"/>
                        <w:rPr>
                          <w:b/>
                          <w:szCs w:val="24"/>
                        </w:rPr>
                      </w:pPr>
                    </w:p>
                    <w:p w:rsidR="00FF4448" w:rsidRDefault="0040368E" w:rsidP="00FF4448">
                      <w:pPr>
                        <w:spacing w:after="240"/>
                        <w:jc w:val="center"/>
                        <w:rPr>
                          <w:b/>
                          <w:szCs w:val="24"/>
                        </w:rPr>
                      </w:pPr>
                      <w:r>
                        <w:rPr>
                          <w:b/>
                          <w:szCs w:val="24"/>
                        </w:rPr>
                        <w:t>Greg Hunt</w:t>
                      </w:r>
                    </w:p>
                    <w:p w:rsidR="0082484E" w:rsidRDefault="0082484E" w:rsidP="00FF4448">
                      <w:pPr>
                        <w:spacing w:after="240"/>
                        <w:jc w:val="center"/>
                        <w:rPr>
                          <w:b/>
                          <w:szCs w:val="24"/>
                        </w:rPr>
                      </w:pPr>
                      <w:r>
                        <w:rPr>
                          <w:b/>
                          <w:szCs w:val="24"/>
                        </w:rPr>
                        <w:t>Minister for Health</w:t>
                      </w:r>
                    </w:p>
                    <w:p w:rsidR="00FF4448" w:rsidRPr="00E4135E" w:rsidRDefault="00FF4448" w:rsidP="00FF4448">
                      <w:pPr>
                        <w:spacing w:before="120" w:after="120"/>
                        <w:rPr>
                          <w:szCs w:val="24"/>
                        </w:rPr>
                      </w:pPr>
                    </w:p>
                  </w:txbxContent>
                </v:textbox>
              </v:rect>
            </w:pict>
          </mc:Fallback>
        </mc:AlternateContent>
      </w:r>
    </w:p>
    <w:sectPr w:rsidR="00FF4448" w:rsidSect="00790A5E">
      <w:headerReference w:type="even" r:id="rId8"/>
      <w:headerReference w:type="default" r:id="rId9"/>
      <w:headerReference w:type="first" r:id="rId10"/>
      <w:pgSz w:w="11906" w:h="16838"/>
      <w:pgMar w:top="1135" w:right="1440" w:bottom="1134"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3C" w:rsidRDefault="00627A3C">
      <w:r>
        <w:separator/>
      </w:r>
    </w:p>
  </w:endnote>
  <w:endnote w:type="continuationSeparator" w:id="0">
    <w:p w:rsidR="00627A3C" w:rsidRDefault="0062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3C" w:rsidRDefault="00627A3C">
      <w:r>
        <w:separator/>
      </w:r>
    </w:p>
  </w:footnote>
  <w:footnote w:type="continuationSeparator" w:id="0">
    <w:p w:rsidR="00627A3C" w:rsidRDefault="0062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3C" w:rsidRDefault="00627A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7A3C" w:rsidRDefault="00627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3C" w:rsidRDefault="00627A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5D6">
      <w:rPr>
        <w:rStyle w:val="PageNumber"/>
        <w:noProof/>
      </w:rPr>
      <w:t>2</w:t>
    </w:r>
    <w:r>
      <w:rPr>
        <w:rStyle w:val="PageNumber"/>
      </w:rPr>
      <w:fldChar w:fldCharType="end"/>
    </w:r>
  </w:p>
  <w:p w:rsidR="00627A3C" w:rsidRDefault="00627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3C" w:rsidRPr="0072447C" w:rsidRDefault="00627A3C" w:rsidP="0072447C">
    <w:pPr>
      <w:pStyle w:val="Header"/>
      <w:jc w:val="center"/>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1C3"/>
    <w:multiLevelType w:val="hybridMultilevel"/>
    <w:tmpl w:val="1E10A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7463A66"/>
    <w:multiLevelType w:val="hybridMultilevel"/>
    <w:tmpl w:val="9DAC3650"/>
    <w:lvl w:ilvl="0" w:tplc="4FD623CC">
      <w:start w:val="3"/>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7C"/>
    <w:rsid w:val="0000206A"/>
    <w:rsid w:val="0001486F"/>
    <w:rsid w:val="00025876"/>
    <w:rsid w:val="00034965"/>
    <w:rsid w:val="00087C33"/>
    <w:rsid w:val="000A253C"/>
    <w:rsid w:val="000A5E45"/>
    <w:rsid w:val="000B1A63"/>
    <w:rsid w:val="000E7AC5"/>
    <w:rsid w:val="0011463E"/>
    <w:rsid w:val="00132030"/>
    <w:rsid w:val="00136EF4"/>
    <w:rsid w:val="00143E48"/>
    <w:rsid w:val="00160617"/>
    <w:rsid w:val="00171489"/>
    <w:rsid w:val="001C1679"/>
    <w:rsid w:val="001D6AA5"/>
    <w:rsid w:val="002167CC"/>
    <w:rsid w:val="0024225B"/>
    <w:rsid w:val="00243B15"/>
    <w:rsid w:val="00256C3D"/>
    <w:rsid w:val="002715FA"/>
    <w:rsid w:val="002920A2"/>
    <w:rsid w:val="002B1013"/>
    <w:rsid w:val="002C2B62"/>
    <w:rsid w:val="002D4FF3"/>
    <w:rsid w:val="002F25D7"/>
    <w:rsid w:val="002F4262"/>
    <w:rsid w:val="002F4988"/>
    <w:rsid w:val="00340A9B"/>
    <w:rsid w:val="00342A6C"/>
    <w:rsid w:val="00350756"/>
    <w:rsid w:val="003612B5"/>
    <w:rsid w:val="00365BB7"/>
    <w:rsid w:val="00380294"/>
    <w:rsid w:val="00386463"/>
    <w:rsid w:val="0039618E"/>
    <w:rsid w:val="003B5F11"/>
    <w:rsid w:val="003C29C1"/>
    <w:rsid w:val="003C7466"/>
    <w:rsid w:val="003D495C"/>
    <w:rsid w:val="003E1F80"/>
    <w:rsid w:val="003E7B8D"/>
    <w:rsid w:val="0040368E"/>
    <w:rsid w:val="00412788"/>
    <w:rsid w:val="00425811"/>
    <w:rsid w:val="004925C3"/>
    <w:rsid w:val="004A09D9"/>
    <w:rsid w:val="004C5166"/>
    <w:rsid w:val="004D2334"/>
    <w:rsid w:val="004F2CE7"/>
    <w:rsid w:val="004F3C67"/>
    <w:rsid w:val="004F7195"/>
    <w:rsid w:val="005261F6"/>
    <w:rsid w:val="0053024E"/>
    <w:rsid w:val="0053207C"/>
    <w:rsid w:val="00542D63"/>
    <w:rsid w:val="0055716E"/>
    <w:rsid w:val="005571AB"/>
    <w:rsid w:val="00575A24"/>
    <w:rsid w:val="005775B1"/>
    <w:rsid w:val="005A0B91"/>
    <w:rsid w:val="005B1122"/>
    <w:rsid w:val="005B1560"/>
    <w:rsid w:val="005C11C6"/>
    <w:rsid w:val="005C4CD9"/>
    <w:rsid w:val="005D0BD2"/>
    <w:rsid w:val="00623BC9"/>
    <w:rsid w:val="00627A3C"/>
    <w:rsid w:val="0066352C"/>
    <w:rsid w:val="006817B0"/>
    <w:rsid w:val="006D7A8C"/>
    <w:rsid w:val="006E333D"/>
    <w:rsid w:val="006E52B3"/>
    <w:rsid w:val="006F0A0D"/>
    <w:rsid w:val="00713703"/>
    <w:rsid w:val="0072447C"/>
    <w:rsid w:val="00775D3A"/>
    <w:rsid w:val="00790A5E"/>
    <w:rsid w:val="007A4D4C"/>
    <w:rsid w:val="007B534D"/>
    <w:rsid w:val="007B6468"/>
    <w:rsid w:val="007D63BF"/>
    <w:rsid w:val="0080192D"/>
    <w:rsid w:val="00812845"/>
    <w:rsid w:val="0082484E"/>
    <w:rsid w:val="008407B3"/>
    <w:rsid w:val="00844385"/>
    <w:rsid w:val="00852AE5"/>
    <w:rsid w:val="008532D2"/>
    <w:rsid w:val="008571FA"/>
    <w:rsid w:val="00880CCF"/>
    <w:rsid w:val="00892BD6"/>
    <w:rsid w:val="0089324B"/>
    <w:rsid w:val="008E010A"/>
    <w:rsid w:val="008F09D1"/>
    <w:rsid w:val="00914AD7"/>
    <w:rsid w:val="00917583"/>
    <w:rsid w:val="00936049"/>
    <w:rsid w:val="009456CF"/>
    <w:rsid w:val="00952ED5"/>
    <w:rsid w:val="009551F0"/>
    <w:rsid w:val="00966559"/>
    <w:rsid w:val="0097208A"/>
    <w:rsid w:val="00981066"/>
    <w:rsid w:val="009D3BCF"/>
    <w:rsid w:val="009D6BC1"/>
    <w:rsid w:val="009E0A88"/>
    <w:rsid w:val="00A11DB6"/>
    <w:rsid w:val="00A1321C"/>
    <w:rsid w:val="00A16AE7"/>
    <w:rsid w:val="00A30AD0"/>
    <w:rsid w:val="00A3132B"/>
    <w:rsid w:val="00A34A37"/>
    <w:rsid w:val="00A8012A"/>
    <w:rsid w:val="00A9249E"/>
    <w:rsid w:val="00AB2E55"/>
    <w:rsid w:val="00AB2EC7"/>
    <w:rsid w:val="00AC43AF"/>
    <w:rsid w:val="00AD4E6F"/>
    <w:rsid w:val="00AD69F4"/>
    <w:rsid w:val="00B05283"/>
    <w:rsid w:val="00B064D8"/>
    <w:rsid w:val="00B24631"/>
    <w:rsid w:val="00B36F75"/>
    <w:rsid w:val="00B41824"/>
    <w:rsid w:val="00B446E7"/>
    <w:rsid w:val="00B509E0"/>
    <w:rsid w:val="00B54F5B"/>
    <w:rsid w:val="00B55743"/>
    <w:rsid w:val="00B71A59"/>
    <w:rsid w:val="00B765EC"/>
    <w:rsid w:val="00B84E23"/>
    <w:rsid w:val="00B97AB7"/>
    <w:rsid w:val="00BA05D6"/>
    <w:rsid w:val="00BA1281"/>
    <w:rsid w:val="00BA6617"/>
    <w:rsid w:val="00BA6A62"/>
    <w:rsid w:val="00BA7243"/>
    <w:rsid w:val="00BD1FC2"/>
    <w:rsid w:val="00BF08E8"/>
    <w:rsid w:val="00C44764"/>
    <w:rsid w:val="00C54C8E"/>
    <w:rsid w:val="00C66A3B"/>
    <w:rsid w:val="00C84627"/>
    <w:rsid w:val="00C8588F"/>
    <w:rsid w:val="00C87978"/>
    <w:rsid w:val="00C91612"/>
    <w:rsid w:val="00CC1FC4"/>
    <w:rsid w:val="00D16A7A"/>
    <w:rsid w:val="00D42F7A"/>
    <w:rsid w:val="00D533C0"/>
    <w:rsid w:val="00D70C8B"/>
    <w:rsid w:val="00D9132B"/>
    <w:rsid w:val="00DA16FA"/>
    <w:rsid w:val="00DB0BD6"/>
    <w:rsid w:val="00DE6600"/>
    <w:rsid w:val="00DE7BB7"/>
    <w:rsid w:val="00E03888"/>
    <w:rsid w:val="00E07696"/>
    <w:rsid w:val="00E10901"/>
    <w:rsid w:val="00E10D70"/>
    <w:rsid w:val="00E17ED6"/>
    <w:rsid w:val="00E21909"/>
    <w:rsid w:val="00E64278"/>
    <w:rsid w:val="00E67868"/>
    <w:rsid w:val="00E921EA"/>
    <w:rsid w:val="00EA597E"/>
    <w:rsid w:val="00EC3195"/>
    <w:rsid w:val="00EE4BF1"/>
    <w:rsid w:val="00EE65DE"/>
    <w:rsid w:val="00F0272B"/>
    <w:rsid w:val="00F0508D"/>
    <w:rsid w:val="00F10A44"/>
    <w:rsid w:val="00F4093C"/>
    <w:rsid w:val="00F4675F"/>
    <w:rsid w:val="00F96500"/>
    <w:rsid w:val="00FB465C"/>
    <w:rsid w:val="00FD3C72"/>
    <w:rsid w:val="00FE1967"/>
    <w:rsid w:val="00FF4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basedOn w:val="DefaultParagraphFont"/>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basedOn w:val="DefaultParagraphFont"/>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a">
    <w:basedOn w:val="Normal"/>
    <w:rsid w:val="007D63BF"/>
    <w:rPr>
      <w:rFonts w:ascii="Arial" w:hAnsi="Arial" w:cs="Arial"/>
      <w:sz w:val="22"/>
      <w:szCs w:val="22"/>
      <w:lang w:eastAsia="en-US"/>
    </w:rPr>
  </w:style>
  <w:style w:type="paragraph" w:customStyle="1" w:styleId="definition">
    <w:name w:val="definition"/>
    <w:basedOn w:val="Normal"/>
    <w:rsid w:val="00D16A7A"/>
    <w:pPr>
      <w:spacing w:before="180"/>
      <w:ind w:left="1134"/>
    </w:pPr>
    <w:rPr>
      <w:sz w:val="22"/>
      <w:szCs w:val="22"/>
    </w:rPr>
  </w:style>
  <w:style w:type="character" w:customStyle="1" w:styleId="SubtitleChar">
    <w:name w:val="Subtitle Char"/>
    <w:link w:val="Subtitle"/>
    <w:rsid w:val="00FF4448"/>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basedOn w:val="DefaultParagraphFont"/>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basedOn w:val="DefaultParagraphFont"/>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a">
    <w:basedOn w:val="Normal"/>
    <w:rsid w:val="007D63BF"/>
    <w:rPr>
      <w:rFonts w:ascii="Arial" w:hAnsi="Arial" w:cs="Arial"/>
      <w:sz w:val="22"/>
      <w:szCs w:val="22"/>
      <w:lang w:eastAsia="en-US"/>
    </w:rPr>
  </w:style>
  <w:style w:type="paragraph" w:customStyle="1" w:styleId="definition">
    <w:name w:val="definition"/>
    <w:basedOn w:val="Normal"/>
    <w:rsid w:val="00D16A7A"/>
    <w:pPr>
      <w:spacing w:before="180"/>
      <w:ind w:left="1134"/>
    </w:pPr>
    <w:rPr>
      <w:sz w:val="22"/>
      <w:szCs w:val="22"/>
    </w:rPr>
  </w:style>
  <w:style w:type="character" w:customStyle="1" w:styleId="SubtitleChar">
    <w:name w:val="Subtitle Char"/>
    <w:link w:val="Subtitle"/>
    <w:rsid w:val="00FF444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2007-03-09T03:33:00Z</cp:lastPrinted>
  <dcterms:created xsi:type="dcterms:W3CDTF">2017-05-05T00:47:00Z</dcterms:created>
  <dcterms:modified xsi:type="dcterms:W3CDTF">2017-05-05T00:47:00Z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