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4" w:rsidRPr="00E549CD" w:rsidRDefault="00C07FE4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8958"/>
        </w:tabs>
        <w:rPr>
          <w:b/>
          <w:vanish/>
          <w:sz w:val="28"/>
          <w:szCs w:val="28"/>
          <w:u w:val="none"/>
          <w:specVanish/>
        </w:rPr>
      </w:pPr>
      <w:r w:rsidRPr="00E44934">
        <w:rPr>
          <w:b/>
          <w:sz w:val="28"/>
          <w:szCs w:val="28"/>
          <w:u w:val="none"/>
        </w:rPr>
        <w:t>EXPLANATORY STATEMENT</w:t>
      </w:r>
    </w:p>
    <w:p w:rsidR="00CC1F2D" w:rsidRDefault="00E549CD">
      <w:pPr>
        <w:spacing w:before="120"/>
        <w:jc w:val="center"/>
        <w:rPr>
          <w:b/>
        </w:rPr>
      </w:pPr>
      <w:r>
        <w:rPr>
          <w:b/>
        </w:rPr>
        <w:t xml:space="preserve"> </w:t>
      </w:r>
    </w:p>
    <w:p w:rsidR="00C07FE4" w:rsidRPr="00E44934" w:rsidRDefault="00C07FE4">
      <w:pPr>
        <w:spacing w:before="120"/>
        <w:jc w:val="center"/>
        <w:rPr>
          <w:b/>
        </w:rPr>
      </w:pPr>
      <w:r w:rsidRPr="00E44934">
        <w:rPr>
          <w:b/>
        </w:rPr>
        <w:t xml:space="preserve">Issued by the authority of the Minister for Finance </w:t>
      </w:r>
    </w:p>
    <w:p w:rsidR="002A0BFE" w:rsidRDefault="00E44934" w:rsidP="002A0BFE">
      <w:pPr>
        <w:pStyle w:val="Heading8"/>
        <w:spacing w:before="120" w:after="120"/>
        <w:jc w:val="center"/>
        <w:rPr>
          <w:iCs/>
          <w:sz w:val="24"/>
        </w:rPr>
      </w:pPr>
      <w:r w:rsidRPr="00E44934">
        <w:rPr>
          <w:iCs/>
          <w:sz w:val="24"/>
        </w:rPr>
        <w:t>Public Gov</w:t>
      </w:r>
      <w:bookmarkStart w:id="0" w:name="_GoBack"/>
      <w:bookmarkEnd w:id="0"/>
      <w:r w:rsidRPr="00E44934">
        <w:rPr>
          <w:iCs/>
          <w:sz w:val="24"/>
        </w:rPr>
        <w:t>ernance, Performance and Accountability Act 2013</w:t>
      </w:r>
    </w:p>
    <w:p w:rsidR="00E44934" w:rsidRDefault="00E44934" w:rsidP="00E44934">
      <w:pPr>
        <w:jc w:val="center"/>
        <w:rPr>
          <w:i/>
        </w:rPr>
      </w:pPr>
      <w:r w:rsidRPr="008E60E1">
        <w:rPr>
          <w:i/>
        </w:rPr>
        <w:t>Public Governance, Performance and Accountability</w:t>
      </w:r>
    </w:p>
    <w:p w:rsidR="00E44934" w:rsidRDefault="00E44934" w:rsidP="00E44934">
      <w:pPr>
        <w:jc w:val="center"/>
        <w:rPr>
          <w:i/>
        </w:rPr>
      </w:pPr>
      <w:r>
        <w:rPr>
          <w:i/>
        </w:rPr>
        <w:t xml:space="preserve">(Financial Reporting) </w:t>
      </w:r>
      <w:r w:rsidR="00A956FA">
        <w:rPr>
          <w:i/>
        </w:rPr>
        <w:t xml:space="preserve">Amendment </w:t>
      </w:r>
      <w:r w:rsidR="008F774A">
        <w:rPr>
          <w:i/>
        </w:rPr>
        <w:t>(</w:t>
      </w:r>
      <w:r w:rsidR="00804FB8">
        <w:rPr>
          <w:i/>
        </w:rPr>
        <w:t>Tiered Reporting and Other Measures</w:t>
      </w:r>
      <w:r w:rsidR="008F774A">
        <w:rPr>
          <w:i/>
        </w:rPr>
        <w:t xml:space="preserve">) </w:t>
      </w:r>
      <w:r w:rsidRPr="008E60E1">
        <w:rPr>
          <w:i/>
        </w:rPr>
        <w:t>Rule 201</w:t>
      </w:r>
      <w:r w:rsidR="00804FB8">
        <w:rPr>
          <w:i/>
        </w:rPr>
        <w:t>7</w:t>
      </w:r>
    </w:p>
    <w:p w:rsidR="00E44934" w:rsidRPr="00407B73" w:rsidRDefault="00E44934" w:rsidP="00E44934">
      <w:pPr>
        <w:jc w:val="center"/>
      </w:pPr>
    </w:p>
    <w:p w:rsidR="00E44934" w:rsidRDefault="00E44934" w:rsidP="00E44934"/>
    <w:p w:rsidR="00E44934" w:rsidRDefault="00804FB8" w:rsidP="00E44934">
      <w:r>
        <w:t>Section 101 of t</w:t>
      </w:r>
      <w:r w:rsidR="00E44934" w:rsidRPr="00F95FE8">
        <w:t xml:space="preserve">he </w:t>
      </w:r>
      <w:r w:rsidR="00E44934" w:rsidRPr="00F95FE8">
        <w:rPr>
          <w:i/>
        </w:rPr>
        <w:t>Public Governance, Performance and Accountability Act 2013</w:t>
      </w:r>
      <w:r w:rsidR="00E44934" w:rsidRPr="00F95FE8">
        <w:t xml:space="preserve"> (PGPA Act) </w:t>
      </w:r>
      <w:r w:rsidR="00E44934">
        <w:t xml:space="preserve">provides that the Finance Minister may make rules by legislative instrument to prescribe matters giving effect to the Act. </w:t>
      </w:r>
    </w:p>
    <w:p w:rsidR="00E44934" w:rsidRDefault="00E44934" w:rsidP="00E44934"/>
    <w:p w:rsidR="00E44934" w:rsidRDefault="00A956FA" w:rsidP="00E44934">
      <w:r>
        <w:t xml:space="preserve">The </w:t>
      </w:r>
      <w:r w:rsidRPr="00A956FA">
        <w:rPr>
          <w:i/>
        </w:rPr>
        <w:t xml:space="preserve">Public Governance, Performance and Accountability (Financial Reporting) Amendment </w:t>
      </w:r>
      <w:r w:rsidR="008F774A">
        <w:rPr>
          <w:i/>
        </w:rPr>
        <w:t>(</w:t>
      </w:r>
      <w:r w:rsidR="00804FB8">
        <w:rPr>
          <w:i/>
        </w:rPr>
        <w:t>Tiered Reporting and Other Measures</w:t>
      </w:r>
      <w:r w:rsidR="008F774A">
        <w:rPr>
          <w:i/>
        </w:rPr>
        <w:t xml:space="preserve">) </w:t>
      </w:r>
      <w:r w:rsidRPr="00A956FA">
        <w:rPr>
          <w:i/>
        </w:rPr>
        <w:t>Rule 201</w:t>
      </w:r>
      <w:r w:rsidR="00804FB8">
        <w:rPr>
          <w:i/>
        </w:rPr>
        <w:t>7</w:t>
      </w:r>
      <w:r>
        <w:t xml:space="preserve"> amends the </w:t>
      </w:r>
      <w:r w:rsidR="00E44934" w:rsidRPr="00A479B1">
        <w:rPr>
          <w:i/>
        </w:rPr>
        <w:t>Public G</w:t>
      </w:r>
      <w:r w:rsidR="00E44934" w:rsidRPr="008E60E1">
        <w:rPr>
          <w:i/>
        </w:rPr>
        <w:t>overnance, Performance and Accountability</w:t>
      </w:r>
      <w:r w:rsidR="00E44934">
        <w:rPr>
          <w:i/>
        </w:rPr>
        <w:t xml:space="preserve"> (Financial Reporting) </w:t>
      </w:r>
      <w:r w:rsidR="00E44934" w:rsidRPr="008E60E1">
        <w:rPr>
          <w:i/>
        </w:rPr>
        <w:t>Rule 201</w:t>
      </w:r>
      <w:r w:rsidR="00E44934">
        <w:rPr>
          <w:i/>
        </w:rPr>
        <w:t xml:space="preserve">5 </w:t>
      </w:r>
      <w:r w:rsidR="00E44934" w:rsidRPr="004226F4">
        <w:t>(</w:t>
      </w:r>
      <w:r w:rsidR="00E44934" w:rsidRPr="00595EE8">
        <w:rPr>
          <w:b/>
        </w:rPr>
        <w:t>FRR</w:t>
      </w:r>
      <w:r w:rsidR="00E44934" w:rsidRPr="004226F4">
        <w:t>)</w:t>
      </w:r>
      <w:r>
        <w:t xml:space="preserve">. Both rules are </w:t>
      </w:r>
      <w:r w:rsidR="00E44934" w:rsidRPr="00706F2A">
        <w:t>legisla</w:t>
      </w:r>
      <w:r w:rsidR="00E44934">
        <w:t>tive instrument</w:t>
      </w:r>
      <w:r>
        <w:t>s</w:t>
      </w:r>
      <w:r w:rsidR="00E44934">
        <w:t xml:space="preserve"> for the purpose</w:t>
      </w:r>
      <w:r w:rsidR="00E44934" w:rsidRPr="00706F2A">
        <w:t xml:space="preserve"> of the</w:t>
      </w:r>
      <w:r w:rsidR="00E44934" w:rsidRPr="00706F2A">
        <w:rPr>
          <w:i/>
        </w:rPr>
        <w:t xml:space="preserve"> Legislative Instruments Act</w:t>
      </w:r>
      <w:r w:rsidR="00E44934">
        <w:rPr>
          <w:i/>
        </w:rPr>
        <w:t> </w:t>
      </w:r>
      <w:r w:rsidR="00E44934" w:rsidRPr="00706F2A">
        <w:rPr>
          <w:i/>
        </w:rPr>
        <w:t>2003.</w:t>
      </w:r>
    </w:p>
    <w:p w:rsidR="00E44934" w:rsidRPr="00B87FAD" w:rsidRDefault="00E44934" w:rsidP="00E44934"/>
    <w:p w:rsidR="00E44934" w:rsidRPr="00F70A7B" w:rsidRDefault="00E44934" w:rsidP="00E44934">
      <w:pPr>
        <w:tabs>
          <w:tab w:val="left" w:pos="4536"/>
        </w:tabs>
        <w:spacing w:after="120" w:line="240" w:lineRule="atLeast"/>
        <w:rPr>
          <w:b/>
          <w:bCs/>
          <w:specVanish/>
        </w:rPr>
      </w:pPr>
      <w:r w:rsidRPr="00F70A7B">
        <w:rPr>
          <w:b/>
          <w:bCs/>
        </w:rPr>
        <w:t>Other Legislative Provisions</w:t>
      </w:r>
    </w:p>
    <w:p w:rsidR="00E44934" w:rsidRDefault="00E44934" w:rsidP="006B4D64">
      <w:pPr>
        <w:tabs>
          <w:tab w:val="left" w:pos="4536"/>
        </w:tabs>
        <w:spacing w:line="240" w:lineRule="atLeast"/>
      </w:pPr>
      <w:r>
        <w:t>The FRR sets out the requirements for preparation of financial statements under the following legislative provisions: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 42(2) of the </w:t>
      </w:r>
      <w:r w:rsidRPr="0071547F">
        <w:rPr>
          <w:i/>
        </w:rPr>
        <w:t>Public Governance, Performance and Accountability Act 2013</w:t>
      </w:r>
      <w:r w:rsidRPr="009C5606">
        <w:t xml:space="preserve">; 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 47(1) of the </w:t>
      </w:r>
      <w:r w:rsidRPr="0071547F">
        <w:rPr>
          <w:i/>
        </w:rPr>
        <w:t>High Court of Australia Act 1979</w:t>
      </w:r>
      <w:r w:rsidRPr="009C5606">
        <w:t xml:space="preserve"> in relation to how financial statements must be prepared by the High Court of Australia; 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section 193H of the </w:t>
      </w:r>
      <w:r w:rsidRPr="0071547F">
        <w:rPr>
          <w:i/>
        </w:rPr>
        <w:t>Aboriginal and Torres Strait Islander Act 2005</w:t>
      </w:r>
      <w:r w:rsidRPr="009C5606">
        <w:t xml:space="preserve"> in relation to how the accounts and financial statements must be prepared for the Land Account;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subsections 50B(2) and (4) of the </w:t>
      </w:r>
      <w:r w:rsidRPr="0071547F">
        <w:rPr>
          <w:i/>
        </w:rPr>
        <w:t>Defence Service Homes Act 1918</w:t>
      </w:r>
      <w:r w:rsidRPr="009C5606">
        <w:t xml:space="preserve"> in relation to how financial statements must be prepared by the Defence Service Homes Corporation; and </w:t>
      </w:r>
    </w:p>
    <w:p w:rsidR="00E44934" w:rsidRPr="009C5606" w:rsidRDefault="00E44934" w:rsidP="006B4D64">
      <w:pPr>
        <w:pStyle w:val="ListParagraph"/>
        <w:numPr>
          <w:ilvl w:val="0"/>
          <w:numId w:val="9"/>
        </w:numPr>
        <w:jc w:val="both"/>
      </w:pPr>
      <w:r w:rsidRPr="009C5606">
        <w:t xml:space="preserve">subsections 43(1) and (3) of the </w:t>
      </w:r>
      <w:r w:rsidRPr="0071547F">
        <w:rPr>
          <w:i/>
        </w:rPr>
        <w:t>Natural Heritage Trust of Australia Act 1997</w:t>
      </w:r>
      <w:r w:rsidRPr="009C5606">
        <w:t xml:space="preserve"> in relation to how financial statements must be prepared for the Natural Heritage Trust of Australia Account. </w:t>
      </w:r>
    </w:p>
    <w:p w:rsidR="00E44934" w:rsidRDefault="00E44934" w:rsidP="006B4D64"/>
    <w:p w:rsidR="00E44934" w:rsidRDefault="00E44934" w:rsidP="006B4D64">
      <w:r>
        <w:t>Some provisions of the FRR are also made under subsection 102(1</w:t>
      </w:r>
      <w:proofErr w:type="gramStart"/>
      <w:r>
        <w:t>)(</w:t>
      </w:r>
      <w:proofErr w:type="gramEnd"/>
      <w:r>
        <w:t>b) of the PGPA Act.</w:t>
      </w:r>
    </w:p>
    <w:p w:rsidR="00634A51" w:rsidRPr="00AF493A" w:rsidRDefault="00DD1D67" w:rsidP="00AF493A">
      <w:pPr>
        <w:pStyle w:val="BodyText3"/>
        <w:spacing w:before="0" w:after="0"/>
        <w:rPr>
          <w:sz w:val="24"/>
        </w:rPr>
      </w:pPr>
      <w:r w:rsidRPr="00AF493A">
        <w:rPr>
          <w:sz w:val="24"/>
        </w:rPr>
        <w:t xml:space="preserve">The </w:t>
      </w:r>
      <w:r w:rsidR="00AF493A" w:rsidRPr="00AF493A">
        <w:rPr>
          <w:sz w:val="24"/>
        </w:rPr>
        <w:t xml:space="preserve">amendments to the </w:t>
      </w:r>
      <w:r w:rsidR="00595EE8" w:rsidRPr="00595EE8">
        <w:rPr>
          <w:sz w:val="24"/>
        </w:rPr>
        <w:t>FRR</w:t>
      </w:r>
      <w:r w:rsidR="009766BD" w:rsidRPr="00595EE8">
        <w:rPr>
          <w:sz w:val="24"/>
        </w:rPr>
        <w:t xml:space="preserve"> </w:t>
      </w:r>
      <w:r w:rsidR="00AF493A" w:rsidRPr="00AF493A">
        <w:rPr>
          <w:sz w:val="24"/>
        </w:rPr>
        <w:t xml:space="preserve">apply for </w:t>
      </w:r>
      <w:r w:rsidR="00C07FE4" w:rsidRPr="00AF493A">
        <w:rPr>
          <w:sz w:val="24"/>
        </w:rPr>
        <w:t>reporting periods ending on o</w:t>
      </w:r>
      <w:r w:rsidR="009766BD" w:rsidRPr="00AF493A">
        <w:rPr>
          <w:sz w:val="24"/>
        </w:rPr>
        <w:t>r after</w:t>
      </w:r>
      <w:r w:rsidR="00165423" w:rsidRPr="00AF493A">
        <w:rPr>
          <w:sz w:val="24"/>
        </w:rPr>
        <w:t xml:space="preserve"> </w:t>
      </w:r>
      <w:r w:rsidR="00C07FE4" w:rsidRPr="00AF493A">
        <w:rPr>
          <w:sz w:val="24"/>
        </w:rPr>
        <w:t xml:space="preserve">1 July </w:t>
      </w:r>
      <w:r w:rsidR="00504407" w:rsidRPr="00AF493A">
        <w:rPr>
          <w:sz w:val="24"/>
        </w:rPr>
        <w:t>201</w:t>
      </w:r>
      <w:r w:rsidR="006E1B49">
        <w:rPr>
          <w:sz w:val="24"/>
        </w:rPr>
        <w:t>6</w:t>
      </w:r>
      <w:r w:rsidR="00C07FE4" w:rsidRPr="00AF493A">
        <w:rPr>
          <w:sz w:val="24"/>
        </w:rPr>
        <w:t xml:space="preserve">. </w:t>
      </w:r>
      <w:r w:rsidR="00C5393C" w:rsidRPr="00AF493A">
        <w:rPr>
          <w:sz w:val="24"/>
        </w:rPr>
        <w:t xml:space="preserve"> </w:t>
      </w:r>
      <w:r w:rsidR="00AF493A" w:rsidRPr="00AF493A">
        <w:rPr>
          <w:sz w:val="24"/>
        </w:rPr>
        <w:t xml:space="preserve">Details of the amendments are at </w:t>
      </w:r>
      <w:r w:rsidR="00AF493A" w:rsidRPr="00AF493A">
        <w:rPr>
          <w:sz w:val="24"/>
          <w:u w:val="single"/>
        </w:rPr>
        <w:t>Attachment A</w:t>
      </w:r>
      <w:r w:rsidR="00AF493A" w:rsidRPr="00AF493A">
        <w:rPr>
          <w:sz w:val="24"/>
        </w:rPr>
        <w:t>.</w:t>
      </w:r>
    </w:p>
    <w:p w:rsidR="006B4D64" w:rsidRDefault="006B4D64" w:rsidP="006B4D64">
      <w:pPr>
        <w:rPr>
          <w:b/>
        </w:rPr>
      </w:pPr>
    </w:p>
    <w:p w:rsidR="00AF493A" w:rsidRDefault="00AF493A" w:rsidP="006B4D64">
      <w:pPr>
        <w:rPr>
          <w:b/>
        </w:rPr>
      </w:pPr>
    </w:p>
    <w:p w:rsidR="003C52D4" w:rsidRPr="00407B73" w:rsidRDefault="00504407" w:rsidP="006B4D64">
      <w:pPr>
        <w:spacing w:after="120"/>
        <w:rPr>
          <w:b/>
        </w:rPr>
      </w:pPr>
      <w:r w:rsidRPr="00407B73">
        <w:rPr>
          <w:b/>
        </w:rPr>
        <w:t>201</w:t>
      </w:r>
      <w:r w:rsidR="006E1B49">
        <w:rPr>
          <w:b/>
        </w:rPr>
        <w:t>6</w:t>
      </w:r>
      <w:r w:rsidRPr="00407B73">
        <w:rPr>
          <w:b/>
        </w:rPr>
        <w:t>-1</w:t>
      </w:r>
      <w:r w:rsidR="006E1B49">
        <w:rPr>
          <w:b/>
        </w:rPr>
        <w:t>7</w:t>
      </w:r>
      <w:r w:rsidRPr="00407B73">
        <w:rPr>
          <w:b/>
        </w:rPr>
        <w:t xml:space="preserve"> </w:t>
      </w:r>
      <w:r w:rsidR="00A365D1" w:rsidRPr="00407B73">
        <w:rPr>
          <w:b/>
        </w:rPr>
        <w:t>A</w:t>
      </w:r>
      <w:r w:rsidR="003C52D4" w:rsidRPr="00407B73">
        <w:rPr>
          <w:b/>
        </w:rPr>
        <w:t>mendments</w:t>
      </w:r>
    </w:p>
    <w:p w:rsidR="00AF493A" w:rsidRPr="00AF493A" w:rsidRDefault="00AF493A" w:rsidP="00AF493A">
      <w:pPr>
        <w:pStyle w:val="Paragraph"/>
        <w:spacing w:before="0"/>
        <w:rPr>
          <w:szCs w:val="24"/>
        </w:rPr>
      </w:pPr>
      <w:r>
        <w:rPr>
          <w:szCs w:val="24"/>
        </w:rPr>
        <w:t xml:space="preserve">The proposed amendments represent changes to financial reporting policy </w:t>
      </w:r>
      <w:r w:rsidR="006E1B49">
        <w:rPr>
          <w:szCs w:val="24"/>
        </w:rPr>
        <w:t xml:space="preserve">that </w:t>
      </w:r>
      <w:r w:rsidRPr="00AF493A">
        <w:rPr>
          <w:szCs w:val="24"/>
        </w:rPr>
        <w:t>arise from th</w:t>
      </w:r>
      <w:r w:rsidR="004C2E3F">
        <w:rPr>
          <w:szCs w:val="24"/>
        </w:rPr>
        <w:t>e</w:t>
      </w:r>
      <w:r w:rsidRPr="00AF493A">
        <w:rPr>
          <w:szCs w:val="24"/>
        </w:rPr>
        <w:t xml:space="preserve"> </w:t>
      </w:r>
      <w:r w:rsidR="004C2E3F">
        <w:rPr>
          <w:szCs w:val="24"/>
        </w:rPr>
        <w:t xml:space="preserve">following </w:t>
      </w:r>
      <w:r w:rsidRPr="00AF493A">
        <w:rPr>
          <w:szCs w:val="24"/>
        </w:rPr>
        <w:t>main sources:</w:t>
      </w:r>
    </w:p>
    <w:p w:rsidR="00602012" w:rsidRDefault="00804FB8" w:rsidP="00602012">
      <w:pPr>
        <w:pStyle w:val="ListParagraph"/>
        <w:numPr>
          <w:ilvl w:val="0"/>
          <w:numId w:val="9"/>
        </w:numPr>
        <w:jc w:val="both"/>
      </w:pPr>
      <w:r>
        <w:t>application of Australian Accounting Standards effective from 1 July 2016;</w:t>
      </w:r>
    </w:p>
    <w:p w:rsidR="00602012" w:rsidRDefault="00602012" w:rsidP="00602012">
      <w:pPr>
        <w:pStyle w:val="ListParagraph"/>
        <w:numPr>
          <w:ilvl w:val="0"/>
          <w:numId w:val="9"/>
        </w:numPr>
        <w:jc w:val="both"/>
      </w:pPr>
      <w:r>
        <w:t xml:space="preserve">consistent with these standards, adoption of tiered reporting for entity annual </w:t>
      </w:r>
      <w:r w:rsidRPr="00AF493A">
        <w:t xml:space="preserve">financial statements; </w:t>
      </w:r>
    </w:p>
    <w:p w:rsidR="004C2E3F" w:rsidRDefault="00AF493A" w:rsidP="004C2E3F">
      <w:pPr>
        <w:pStyle w:val="ListParagraph"/>
        <w:numPr>
          <w:ilvl w:val="0"/>
          <w:numId w:val="9"/>
        </w:numPr>
        <w:jc w:val="both"/>
      </w:pPr>
      <w:r w:rsidRPr="00AF493A">
        <w:t>minor changes to improve t</w:t>
      </w:r>
      <w:r w:rsidR="004C2E3F">
        <w:t xml:space="preserve">he understanding of disclosures; and </w:t>
      </w:r>
    </w:p>
    <w:p w:rsidR="004C2E3F" w:rsidRPr="001A32A8" w:rsidRDefault="004C2E3F" w:rsidP="004C2E3F">
      <w:pPr>
        <w:pStyle w:val="ListParagraph"/>
        <w:numPr>
          <w:ilvl w:val="0"/>
          <w:numId w:val="9"/>
        </w:numPr>
        <w:jc w:val="both"/>
      </w:pPr>
      <w:proofErr w:type="gramStart"/>
      <w:r>
        <w:lastRenderedPageBreak/>
        <w:t>changes</w:t>
      </w:r>
      <w:proofErr w:type="gramEnd"/>
      <w:r>
        <w:t xml:space="preserve"> of an editorial nature, including the removal of provisions that are no longer applicable</w:t>
      </w:r>
      <w:r w:rsidRPr="001A32A8">
        <w:t>.</w:t>
      </w:r>
    </w:p>
    <w:p w:rsidR="00A365D1" w:rsidRPr="00407B73" w:rsidRDefault="00A365D1" w:rsidP="006B4D64">
      <w:pPr>
        <w:rPr>
          <w:lang w:eastAsia="en-AU"/>
        </w:rPr>
      </w:pPr>
    </w:p>
    <w:p w:rsidR="006B4D64" w:rsidRDefault="006B4D64" w:rsidP="006B4D64">
      <w:pPr>
        <w:rPr>
          <w:b/>
        </w:rPr>
      </w:pPr>
    </w:p>
    <w:p w:rsidR="0072275C" w:rsidRPr="00407B73" w:rsidRDefault="00921AAE" w:rsidP="006B4D64">
      <w:pPr>
        <w:spacing w:after="120"/>
        <w:rPr>
          <w:b/>
        </w:rPr>
      </w:pPr>
      <w:r w:rsidRPr="00407B73">
        <w:rPr>
          <w:b/>
        </w:rPr>
        <w:t>Retrospectivity</w:t>
      </w:r>
      <w:r w:rsidR="002E02B6">
        <w:rPr>
          <w:b/>
        </w:rPr>
        <w:t xml:space="preserve"> and Timing</w:t>
      </w:r>
    </w:p>
    <w:p w:rsidR="00E6511D" w:rsidRPr="00407B73" w:rsidRDefault="00921AAE" w:rsidP="006B4D64">
      <w:pPr>
        <w:pStyle w:val="Paragraph"/>
        <w:spacing w:before="0"/>
        <w:rPr>
          <w:szCs w:val="24"/>
        </w:rPr>
      </w:pPr>
      <w:r w:rsidRPr="00407B73">
        <w:rPr>
          <w:szCs w:val="24"/>
        </w:rPr>
        <w:t>The retrospective commencement date of this legislative instrument does not adversely affect the rights of persons or otherwise impose liabilities, other than onto the Commonwealth</w:t>
      </w:r>
      <w:r w:rsidR="002E02B6">
        <w:rPr>
          <w:szCs w:val="24"/>
        </w:rPr>
        <w:t xml:space="preserve"> or Australian Government entities</w:t>
      </w:r>
      <w:r w:rsidRPr="00407B73">
        <w:rPr>
          <w:szCs w:val="24"/>
        </w:rPr>
        <w:t xml:space="preserve">, and as such, does not contravene subsection 12 (2) of the </w:t>
      </w:r>
      <w:r w:rsidRPr="00407B73">
        <w:rPr>
          <w:i/>
          <w:szCs w:val="24"/>
        </w:rPr>
        <w:t>Legislative Instruments Act 2003</w:t>
      </w:r>
      <w:r w:rsidRPr="00407B73">
        <w:rPr>
          <w:szCs w:val="24"/>
        </w:rPr>
        <w:t>.</w:t>
      </w:r>
      <w:r w:rsidR="0072275C" w:rsidRPr="00407B73">
        <w:rPr>
          <w:szCs w:val="24"/>
        </w:rPr>
        <w:br/>
      </w:r>
    </w:p>
    <w:p w:rsidR="003F1486" w:rsidRDefault="00FF2F93" w:rsidP="006B4D64">
      <w:pPr>
        <w:pStyle w:val="Paragraph"/>
        <w:spacing w:before="0"/>
        <w:rPr>
          <w:szCs w:val="24"/>
        </w:rPr>
      </w:pPr>
      <w:r w:rsidRPr="00407B73">
        <w:rPr>
          <w:szCs w:val="24"/>
        </w:rPr>
        <w:t>A</w:t>
      </w:r>
      <w:r w:rsidR="00EB68DA" w:rsidRPr="00407B73">
        <w:rPr>
          <w:szCs w:val="24"/>
        </w:rPr>
        <w:t xml:space="preserve"> retrospective commencement date </w:t>
      </w:r>
      <w:proofErr w:type="gramStart"/>
      <w:r w:rsidR="00BE10C4" w:rsidRPr="00407B73">
        <w:rPr>
          <w:szCs w:val="24"/>
        </w:rPr>
        <w:t>has always been</w:t>
      </w:r>
      <w:r w:rsidRPr="00407B73">
        <w:rPr>
          <w:szCs w:val="24"/>
        </w:rPr>
        <w:t xml:space="preserve"> used</w:t>
      </w:r>
      <w:proofErr w:type="gramEnd"/>
      <w:r w:rsidRPr="00407B73">
        <w:rPr>
          <w:szCs w:val="24"/>
        </w:rPr>
        <w:t xml:space="preserve"> </w:t>
      </w:r>
      <w:r w:rsidR="00957770">
        <w:rPr>
          <w:szCs w:val="24"/>
        </w:rPr>
        <w:t xml:space="preserve">for financial reporting purposes </w:t>
      </w:r>
      <w:r w:rsidR="00EB68DA" w:rsidRPr="00407B73">
        <w:rPr>
          <w:szCs w:val="24"/>
        </w:rPr>
        <w:t xml:space="preserve">as this ensures </w:t>
      </w:r>
      <w:r w:rsidRPr="00407B73">
        <w:rPr>
          <w:szCs w:val="24"/>
        </w:rPr>
        <w:t xml:space="preserve">that </w:t>
      </w:r>
      <w:r w:rsidR="007E7DC5" w:rsidRPr="00407B73">
        <w:rPr>
          <w:szCs w:val="24"/>
        </w:rPr>
        <w:t xml:space="preserve">changes are applicable in the same </w:t>
      </w:r>
      <w:r w:rsidR="00957770">
        <w:rPr>
          <w:szCs w:val="24"/>
        </w:rPr>
        <w:t xml:space="preserve">reporting </w:t>
      </w:r>
      <w:r w:rsidR="007E7DC5" w:rsidRPr="00407B73">
        <w:rPr>
          <w:szCs w:val="24"/>
        </w:rPr>
        <w:t>period in which the</w:t>
      </w:r>
      <w:r w:rsidRPr="00407B73">
        <w:rPr>
          <w:szCs w:val="24"/>
        </w:rPr>
        <w:t xml:space="preserve"> </w:t>
      </w:r>
      <w:r w:rsidR="007E7DC5" w:rsidRPr="00407B73">
        <w:rPr>
          <w:szCs w:val="24"/>
        </w:rPr>
        <w:t>amendments are made</w:t>
      </w:r>
      <w:r w:rsidRPr="00407B73">
        <w:rPr>
          <w:szCs w:val="24"/>
        </w:rPr>
        <w:t>.</w:t>
      </w:r>
    </w:p>
    <w:p w:rsidR="002E02B6" w:rsidRDefault="002E02B6" w:rsidP="006B4D64">
      <w:pPr>
        <w:pStyle w:val="Paragraph"/>
        <w:spacing w:before="0"/>
        <w:rPr>
          <w:szCs w:val="24"/>
        </w:rPr>
      </w:pPr>
    </w:p>
    <w:p w:rsidR="002E02B6" w:rsidRPr="00407B73" w:rsidRDefault="002E02B6" w:rsidP="006B4D64">
      <w:pPr>
        <w:pStyle w:val="Paragraph"/>
        <w:spacing w:before="0"/>
        <w:rPr>
          <w:szCs w:val="24"/>
        </w:rPr>
      </w:pPr>
      <w:r>
        <w:rPr>
          <w:szCs w:val="24"/>
        </w:rPr>
        <w:t xml:space="preserve">For reporting periods ending </w:t>
      </w:r>
      <w:r w:rsidR="00957770">
        <w:rPr>
          <w:szCs w:val="24"/>
        </w:rPr>
        <w:t>befo</w:t>
      </w:r>
      <w:r>
        <w:rPr>
          <w:szCs w:val="24"/>
        </w:rPr>
        <w:t>re 1 July 201</w:t>
      </w:r>
      <w:r w:rsidR="006E1B49">
        <w:rPr>
          <w:szCs w:val="24"/>
        </w:rPr>
        <w:t>6</w:t>
      </w:r>
      <w:r>
        <w:rPr>
          <w:szCs w:val="24"/>
        </w:rPr>
        <w:t xml:space="preserve">, these amendments to </w:t>
      </w:r>
      <w:r w:rsidR="006B4D64">
        <w:rPr>
          <w:szCs w:val="24"/>
        </w:rPr>
        <w:t xml:space="preserve">the </w:t>
      </w:r>
      <w:r w:rsidR="006B4D64" w:rsidRPr="00AF493A">
        <w:rPr>
          <w:i/>
          <w:szCs w:val="24"/>
        </w:rPr>
        <w:t>Public Governance, Performance and Accountability (Financial Reporting) Rule 2015</w:t>
      </w:r>
      <w:r w:rsidR="006B4D64">
        <w:rPr>
          <w:szCs w:val="24"/>
        </w:rPr>
        <w:t xml:space="preserve"> </w:t>
      </w:r>
      <w:r>
        <w:rPr>
          <w:szCs w:val="24"/>
        </w:rPr>
        <w:t>are not applicable.</w:t>
      </w:r>
    </w:p>
    <w:p w:rsidR="003F1486" w:rsidRDefault="003F1486" w:rsidP="006B4D64">
      <w:pPr>
        <w:pStyle w:val="Paragraph"/>
        <w:spacing w:before="0"/>
        <w:rPr>
          <w:szCs w:val="24"/>
        </w:rPr>
      </w:pPr>
    </w:p>
    <w:p w:rsidR="006B4D64" w:rsidRPr="00407B73" w:rsidRDefault="006B4D64" w:rsidP="006B4D64">
      <w:pPr>
        <w:pStyle w:val="Paragraph"/>
        <w:spacing w:before="0"/>
        <w:rPr>
          <w:szCs w:val="24"/>
        </w:rPr>
      </w:pPr>
    </w:p>
    <w:p w:rsidR="00C07FE4" w:rsidRPr="00407B73" w:rsidRDefault="00C07FE4" w:rsidP="000B5C59">
      <w:pPr>
        <w:pStyle w:val="Heading7"/>
        <w:spacing w:after="120"/>
        <w:ind w:left="0"/>
        <w:rPr>
          <w:i w:val="0"/>
          <w:iCs/>
          <w:sz w:val="24"/>
          <w:szCs w:val="24"/>
        </w:rPr>
      </w:pPr>
      <w:r w:rsidRPr="00407B73">
        <w:rPr>
          <w:i w:val="0"/>
          <w:iCs/>
          <w:sz w:val="24"/>
          <w:szCs w:val="24"/>
        </w:rPr>
        <w:t>Consultation</w:t>
      </w:r>
    </w:p>
    <w:p w:rsidR="00E87790" w:rsidRPr="00407B73" w:rsidRDefault="00634A51" w:rsidP="006B4D64">
      <w:pPr>
        <w:rPr>
          <w:lang w:val="en-GB"/>
        </w:rPr>
      </w:pPr>
      <w:r w:rsidRPr="00407B73">
        <w:rPr>
          <w:lang w:val="en-GB"/>
        </w:rPr>
        <w:t xml:space="preserve">In accordance with </w:t>
      </w:r>
      <w:r w:rsidRPr="00407B73">
        <w:rPr>
          <w:iCs/>
        </w:rPr>
        <w:t xml:space="preserve">section 17 of the </w:t>
      </w:r>
      <w:r w:rsidRPr="00407B73">
        <w:rPr>
          <w:i/>
          <w:iCs/>
        </w:rPr>
        <w:t>Legislative Instruments Act 2003</w:t>
      </w:r>
      <w:r w:rsidRPr="00407B73">
        <w:rPr>
          <w:iCs/>
        </w:rPr>
        <w:t xml:space="preserve">, </w:t>
      </w:r>
      <w:r w:rsidR="00100D03" w:rsidRPr="00407B73">
        <w:t xml:space="preserve">all </w:t>
      </w:r>
      <w:r w:rsidR="003E7DE2">
        <w:t>Australian Government</w:t>
      </w:r>
      <w:r w:rsidR="00100D03" w:rsidRPr="00407B73">
        <w:t xml:space="preserve"> entities required to apply the</w:t>
      </w:r>
      <w:r w:rsidR="00AF493A">
        <w:t xml:space="preserve"> amendments to the </w:t>
      </w:r>
      <w:r w:rsidR="00AF493A" w:rsidRPr="00AF493A">
        <w:rPr>
          <w:i/>
        </w:rPr>
        <w:t>Public Governance, Performance and Accountability (Financial Reporting) Rule 2015</w:t>
      </w:r>
      <w:r w:rsidR="00100D03" w:rsidRPr="00407B73">
        <w:t xml:space="preserve">, including the Australian National Audit Office, have been consulted on the exposure draft and provided with the opportunity to submit comments. </w:t>
      </w:r>
    </w:p>
    <w:p w:rsidR="00E87790" w:rsidRPr="00407B73" w:rsidRDefault="00E87790" w:rsidP="006B4D64">
      <w:pPr>
        <w:rPr>
          <w:lang w:val="en-GB"/>
        </w:rPr>
      </w:pPr>
    </w:p>
    <w:p w:rsidR="00C07FE4" w:rsidRPr="00407B73" w:rsidRDefault="00C07FE4" w:rsidP="006B4D64"/>
    <w:p w:rsidR="007329EA" w:rsidRPr="00407B73" w:rsidRDefault="006B4D64" w:rsidP="006B4D64">
      <w:pPr>
        <w:pStyle w:val="BodyText3"/>
        <w:spacing w:before="0"/>
        <w:rPr>
          <w:b/>
          <w:sz w:val="24"/>
        </w:rPr>
      </w:pPr>
      <w:r>
        <w:rPr>
          <w:b/>
          <w:sz w:val="24"/>
        </w:rPr>
        <w:t>Attachments</w:t>
      </w:r>
    </w:p>
    <w:p w:rsidR="00D344F8" w:rsidRPr="00407B73" w:rsidRDefault="00037F9E" w:rsidP="006B4D64">
      <w:pPr>
        <w:rPr>
          <w:lang w:val="en-GB"/>
        </w:rPr>
      </w:pPr>
      <w:r>
        <w:rPr>
          <w:lang w:val="en-GB"/>
        </w:rPr>
        <w:t xml:space="preserve">Details of the </w:t>
      </w:r>
      <w:r w:rsidR="00157755" w:rsidRPr="00407B73">
        <w:rPr>
          <w:lang w:val="en-GB"/>
        </w:rPr>
        <w:t>amendments</w:t>
      </w:r>
      <w:r w:rsidR="007329EA" w:rsidRPr="00407B73">
        <w:rPr>
          <w:lang w:val="en-GB"/>
        </w:rPr>
        <w:t xml:space="preserve"> to reporting requirements for the reporting periods ending on or after 1 July </w:t>
      </w:r>
      <w:r w:rsidR="008D1087" w:rsidRPr="00407B73">
        <w:rPr>
          <w:lang w:val="en-GB"/>
        </w:rPr>
        <w:t>201</w:t>
      </w:r>
      <w:r w:rsidR="006E1B49">
        <w:rPr>
          <w:lang w:val="en-GB"/>
        </w:rPr>
        <w:t>6</w:t>
      </w:r>
      <w:r w:rsidR="007329EA" w:rsidRPr="00407B73">
        <w:rPr>
          <w:lang w:val="en-GB"/>
        </w:rPr>
        <w:t xml:space="preserve"> </w:t>
      </w:r>
      <w:proofErr w:type="gramStart"/>
      <w:r w:rsidR="007329EA" w:rsidRPr="00407B73">
        <w:rPr>
          <w:lang w:val="en-GB"/>
        </w:rPr>
        <w:t>are provided</w:t>
      </w:r>
      <w:proofErr w:type="gramEnd"/>
      <w:r w:rsidR="007329EA" w:rsidRPr="00407B73">
        <w:rPr>
          <w:lang w:val="en-GB"/>
        </w:rPr>
        <w:t xml:space="preserve"> in </w:t>
      </w:r>
      <w:r w:rsidR="007329EA" w:rsidRPr="00407B73">
        <w:rPr>
          <w:u w:val="single"/>
          <w:lang w:val="en-GB"/>
        </w:rPr>
        <w:t>Attachment A</w:t>
      </w:r>
      <w:r w:rsidR="00D515B1" w:rsidRPr="00407B73">
        <w:rPr>
          <w:lang w:val="en-GB"/>
        </w:rPr>
        <w:t>.</w:t>
      </w:r>
    </w:p>
    <w:p w:rsidR="00D344F8" w:rsidRPr="00407B73" w:rsidRDefault="00D344F8" w:rsidP="006B4D64">
      <w:pPr>
        <w:rPr>
          <w:lang w:val="en-GB"/>
        </w:rPr>
      </w:pPr>
    </w:p>
    <w:p w:rsidR="00802A29" w:rsidRPr="00407B73" w:rsidRDefault="00802A29" w:rsidP="006B4D64">
      <w:r w:rsidRPr="00407B73">
        <w:rPr>
          <w:lang w:val="en-GB"/>
        </w:rPr>
        <w:t xml:space="preserve">The Statement of Compatibility with Human Rights as required by the </w:t>
      </w:r>
      <w:r w:rsidRPr="00407B73">
        <w:rPr>
          <w:i/>
          <w:lang w:val="en-GB"/>
        </w:rPr>
        <w:t>Human Rights (Parliamentary Scrutiny) Act 2011</w:t>
      </w:r>
      <w:r w:rsidRPr="00407B73">
        <w:rPr>
          <w:lang w:val="en-GB"/>
        </w:rPr>
        <w:t xml:space="preserve"> </w:t>
      </w:r>
      <w:proofErr w:type="gramStart"/>
      <w:r w:rsidRPr="00407B73">
        <w:rPr>
          <w:lang w:val="en-GB"/>
        </w:rPr>
        <w:t>is provided</w:t>
      </w:r>
      <w:proofErr w:type="gramEnd"/>
      <w:r w:rsidRPr="00407B73">
        <w:rPr>
          <w:lang w:val="en-GB"/>
        </w:rPr>
        <w:t xml:space="preserve"> in </w:t>
      </w:r>
      <w:r w:rsidRPr="00407B73">
        <w:rPr>
          <w:u w:val="single"/>
          <w:lang w:val="en-GB"/>
        </w:rPr>
        <w:t xml:space="preserve">Attachment </w:t>
      </w:r>
      <w:r w:rsidR="00AA3B70" w:rsidRPr="00407B73">
        <w:rPr>
          <w:u w:val="single"/>
          <w:lang w:val="en-GB"/>
        </w:rPr>
        <w:t>B</w:t>
      </w:r>
      <w:r w:rsidRPr="00407B73">
        <w:rPr>
          <w:lang w:val="en-GB"/>
        </w:rPr>
        <w:t>.</w:t>
      </w:r>
    </w:p>
    <w:p w:rsidR="007329EA" w:rsidRPr="00407B73" w:rsidRDefault="007329EA" w:rsidP="007329EA">
      <w:pPr>
        <w:pStyle w:val="BodyText3"/>
        <w:rPr>
          <w:sz w:val="24"/>
        </w:rPr>
      </w:pPr>
    </w:p>
    <w:p w:rsidR="00AE0023" w:rsidRPr="00407B73" w:rsidRDefault="00AE0023" w:rsidP="00397D8B">
      <w:pPr>
        <w:pStyle w:val="Heading1"/>
        <w:rPr>
          <w:lang w:val="en-AU"/>
        </w:rPr>
      </w:pPr>
    </w:p>
    <w:p w:rsidR="007329EA" w:rsidRPr="00407B73" w:rsidRDefault="007329EA" w:rsidP="007329EA">
      <w:pPr>
        <w:sectPr w:rsidR="007329EA" w:rsidRPr="00407B73" w:rsidSect="00080F3C">
          <w:headerReference w:type="default" r:id="rId8"/>
          <w:footerReference w:type="default" r:id="rId9"/>
          <w:footerReference w:type="first" r:id="rId10"/>
          <w:pgSz w:w="11907" w:h="16840" w:code="9"/>
          <w:pgMar w:top="1440" w:right="1797" w:bottom="1440" w:left="1797" w:header="720" w:footer="209" w:gutter="0"/>
          <w:cols w:space="720"/>
          <w:docGrid w:linePitch="326"/>
        </w:sectPr>
      </w:pPr>
    </w:p>
    <w:p w:rsidR="00C07FE4" w:rsidRPr="00407B73" w:rsidRDefault="00C07FE4" w:rsidP="00397D8B">
      <w:pPr>
        <w:pStyle w:val="Heading1"/>
        <w:rPr>
          <w:u w:val="single"/>
          <w:lang w:val="en-AU"/>
        </w:rPr>
      </w:pPr>
      <w:r w:rsidRPr="00407B73">
        <w:rPr>
          <w:u w:val="single"/>
          <w:lang w:val="en-AU"/>
        </w:rPr>
        <w:lastRenderedPageBreak/>
        <w:t>Explanatory Statement</w:t>
      </w:r>
      <w:r w:rsidR="00421053" w:rsidRPr="00407B73">
        <w:rPr>
          <w:u w:val="single"/>
          <w:lang w:val="en-AU"/>
        </w:rPr>
        <w:t xml:space="preserve"> – Attachment A</w:t>
      </w:r>
    </w:p>
    <w:p w:rsidR="003E590E" w:rsidRPr="00407B73" w:rsidRDefault="003E590E"/>
    <w:p w:rsidR="00C07FE4" w:rsidRPr="00407B73" w:rsidRDefault="00C07FE4">
      <w:r w:rsidRPr="00407B73">
        <w:t>This attac</w:t>
      </w:r>
      <w:r w:rsidR="00CB165A" w:rsidRPr="00407B73">
        <w:t>hment summarises the</w:t>
      </w:r>
      <w:r w:rsidR="00037F9E">
        <w:t xml:space="preserve"> </w:t>
      </w:r>
      <w:r w:rsidR="00CB165A" w:rsidRPr="00407B73">
        <w:t xml:space="preserve">amendments </w:t>
      </w:r>
      <w:r w:rsidRPr="00407B73">
        <w:t xml:space="preserve">to </w:t>
      </w:r>
      <w:r w:rsidR="00E44934">
        <w:t xml:space="preserve">the </w:t>
      </w:r>
      <w:r w:rsidR="00E44934" w:rsidRPr="00E44934">
        <w:rPr>
          <w:i/>
        </w:rPr>
        <w:t>Public Governance, Performance and Accountability (Financial Reporting) Rule 2015</w:t>
      </w:r>
      <w:r w:rsidR="00E44934">
        <w:t xml:space="preserve"> </w:t>
      </w:r>
      <w:r w:rsidRPr="00407B73">
        <w:t>requir</w:t>
      </w:r>
      <w:r w:rsidR="00D5036C" w:rsidRPr="00407B73">
        <w:t>ed in</w:t>
      </w:r>
      <w:r w:rsidRPr="00407B73">
        <w:t xml:space="preserve"> the preparation of financial statements for reporting periods ending on or after 1</w:t>
      </w:r>
      <w:r w:rsidR="000B5C59" w:rsidRPr="00407B73">
        <w:t> </w:t>
      </w:r>
      <w:r w:rsidRPr="00407B73">
        <w:t>July</w:t>
      </w:r>
      <w:r w:rsidR="000B5C59" w:rsidRPr="00407B73">
        <w:t> </w:t>
      </w:r>
      <w:r w:rsidR="00504407" w:rsidRPr="00407B73">
        <w:t>201</w:t>
      </w:r>
      <w:r w:rsidR="006E1B49">
        <w:t>6</w:t>
      </w:r>
      <w:r w:rsidR="00935A56" w:rsidRPr="00407B73">
        <w:t xml:space="preserve"> </w:t>
      </w:r>
      <w:r w:rsidRPr="00407B73">
        <w:t>for</w:t>
      </w:r>
      <w:r w:rsidR="00397D8B" w:rsidRPr="00407B73">
        <w:t xml:space="preserve"> </w:t>
      </w:r>
      <w:r w:rsidR="0043071F">
        <w:t>Commonwealth entities</w:t>
      </w:r>
      <w:r w:rsidR="00397D8B" w:rsidRPr="00407B73">
        <w:t>.</w:t>
      </w:r>
    </w:p>
    <w:p w:rsidR="0058371C" w:rsidRDefault="0058371C" w:rsidP="008C15F5">
      <w:pPr>
        <w:spacing w:after="100"/>
        <w:ind w:right="-341"/>
      </w:pPr>
    </w:p>
    <w:p w:rsidR="00CF60E2" w:rsidRPr="00637578" w:rsidRDefault="00EF773E" w:rsidP="00E44934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 xml:space="preserve">Part 1, </w:t>
      </w:r>
      <w:r w:rsidR="00CF60E2" w:rsidRPr="00637578">
        <w:rPr>
          <w:i/>
          <w:u w:val="single"/>
        </w:rPr>
        <w:t xml:space="preserve">Division </w:t>
      </w:r>
      <w:r w:rsidR="00B403FC">
        <w:rPr>
          <w:i/>
          <w:u w:val="single"/>
        </w:rPr>
        <w:t>1 - Section</w:t>
      </w:r>
      <w:r w:rsidRPr="00637578">
        <w:rPr>
          <w:i/>
          <w:u w:val="single"/>
        </w:rPr>
        <w:t xml:space="preserve"> 3 Authority</w:t>
      </w:r>
      <w:r w:rsidR="00CF60E2" w:rsidRPr="00637578">
        <w:t xml:space="preserve"> </w:t>
      </w:r>
    </w:p>
    <w:p w:rsidR="00CF60E2" w:rsidRDefault="00B403FC" w:rsidP="00CF60E2">
      <w:pPr>
        <w:pStyle w:val="ListParagraph"/>
        <w:spacing w:after="100"/>
        <w:ind w:left="360" w:right="-341"/>
      </w:pPr>
      <w:r>
        <w:t xml:space="preserve">The applicable reporting period </w:t>
      </w:r>
      <w:proofErr w:type="gramStart"/>
      <w:r>
        <w:t>has been amended</w:t>
      </w:r>
      <w:proofErr w:type="gramEnd"/>
      <w:r>
        <w:t xml:space="preserve"> to reflect reporting requirements applying on or after 1 July 201</w:t>
      </w:r>
      <w:r w:rsidR="006E1B49">
        <w:t>6</w:t>
      </w:r>
      <w:r>
        <w:t>.</w:t>
      </w:r>
    </w:p>
    <w:p w:rsidR="000F39BE" w:rsidRDefault="000F39BE" w:rsidP="00770FCA">
      <w:pPr>
        <w:pStyle w:val="ListParagraph"/>
        <w:spacing w:after="100"/>
        <w:ind w:left="357" w:right="-340"/>
      </w:pPr>
    </w:p>
    <w:p w:rsidR="00CB0429" w:rsidRPr="00CB0429" w:rsidRDefault="00CB0429" w:rsidP="00CB0429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 xml:space="preserve">Part 1, Division </w:t>
      </w:r>
      <w:r>
        <w:rPr>
          <w:i/>
          <w:u w:val="single"/>
        </w:rPr>
        <w:t>1 - Section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4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Guide to this rule</w:t>
      </w:r>
    </w:p>
    <w:p w:rsidR="002A2256" w:rsidRDefault="00CB0429" w:rsidP="00CB0429">
      <w:pPr>
        <w:pStyle w:val="ListParagraph"/>
        <w:spacing w:after="100"/>
        <w:ind w:left="360" w:right="-341"/>
      </w:pPr>
      <w:r>
        <w:t xml:space="preserve">The guide to this rule </w:t>
      </w:r>
      <w:proofErr w:type="gramStart"/>
      <w:r>
        <w:t>has been amended</w:t>
      </w:r>
      <w:proofErr w:type="gramEnd"/>
      <w:r>
        <w:t xml:space="preserve"> to </w:t>
      </w:r>
      <w:r w:rsidR="009743A6">
        <w:t xml:space="preserve">better </w:t>
      </w:r>
      <w:r>
        <w:t>descri</w:t>
      </w:r>
      <w:r w:rsidR="009743A6">
        <w:t>be</w:t>
      </w:r>
      <w:r>
        <w:t xml:space="preserve"> the objective of financial statements</w:t>
      </w:r>
      <w:r w:rsidR="009743A6">
        <w:t xml:space="preserve">, which is </w:t>
      </w:r>
      <w:r>
        <w:t xml:space="preserve">outlined in the Australian Accounting Standards </w:t>
      </w:r>
      <w:r w:rsidR="00B8228D">
        <w:t xml:space="preserve">Board (AASB) </w:t>
      </w:r>
      <w:r>
        <w:t xml:space="preserve">document, </w:t>
      </w:r>
      <w:r w:rsidRPr="00CB0429">
        <w:rPr>
          <w:i/>
        </w:rPr>
        <w:t>Framework for the Preparation and Presentation of Financial Statements</w:t>
      </w:r>
      <w:r w:rsidR="002A2256">
        <w:rPr>
          <w:i/>
        </w:rPr>
        <w:t xml:space="preserve"> </w:t>
      </w:r>
      <w:r w:rsidR="00244804" w:rsidRPr="00244804">
        <w:t>(the Framework)</w:t>
      </w:r>
      <w:r w:rsidR="00244804">
        <w:rPr>
          <w:i/>
        </w:rPr>
        <w:t xml:space="preserve"> </w:t>
      </w:r>
      <w:r w:rsidR="002A2256">
        <w:t xml:space="preserve">as: </w:t>
      </w:r>
    </w:p>
    <w:p w:rsidR="002A2256" w:rsidRDefault="002A2256" w:rsidP="002A2256">
      <w:pPr>
        <w:pStyle w:val="ListParagraph"/>
        <w:spacing w:after="100"/>
        <w:ind w:left="680"/>
        <w:rPr>
          <w:i/>
        </w:rPr>
      </w:pPr>
      <w:r>
        <w:t>“To provide information about the financial position, financial performance and cash flows of the entity that is useful to a wide range of users in making economic decisions.”</w:t>
      </w:r>
    </w:p>
    <w:p w:rsidR="00CB0429" w:rsidRDefault="006938EF" w:rsidP="002A2256">
      <w:pPr>
        <w:pStyle w:val="ListParagraph"/>
        <w:spacing w:after="100"/>
        <w:ind w:left="360" w:right="-341"/>
      </w:pPr>
      <w:r>
        <w:t xml:space="preserve">The </w:t>
      </w:r>
      <w:r w:rsidR="00244804">
        <w:t xml:space="preserve">Framework </w:t>
      </w:r>
      <w:r w:rsidR="009743A6">
        <w:t xml:space="preserve">and Statement of Accounting Concepts note that rendering of </w:t>
      </w:r>
      <w:r>
        <w:t xml:space="preserve">accountability </w:t>
      </w:r>
      <w:r w:rsidR="009743A6">
        <w:t xml:space="preserve">by reporting entities </w:t>
      </w:r>
      <w:proofErr w:type="gramStart"/>
      <w:r w:rsidR="009743A6">
        <w:t>is encompassed</w:t>
      </w:r>
      <w:proofErr w:type="gramEnd"/>
      <w:r w:rsidR="009743A6">
        <w:t xml:space="preserve"> in the broader objective of financial statements</w:t>
      </w:r>
      <w:r w:rsidR="00B8228D">
        <w:t xml:space="preserve"> described above.</w:t>
      </w:r>
      <w:r w:rsidR="002A2256">
        <w:t xml:space="preserve"> </w:t>
      </w:r>
    </w:p>
    <w:p w:rsidR="009743A6" w:rsidRDefault="009743A6" w:rsidP="002A2256">
      <w:pPr>
        <w:pStyle w:val="ListParagraph"/>
        <w:spacing w:after="100"/>
        <w:ind w:left="360" w:right="-341"/>
      </w:pPr>
      <w:r>
        <w:t xml:space="preserve">Outside of the FRR, there may be broader accountability and transparency requirements </w:t>
      </w:r>
      <w:r w:rsidR="00B400D9">
        <w:t xml:space="preserve">that are not required in financial statements but are important </w:t>
      </w:r>
      <w:r w:rsidR="00602012">
        <w:t>for</w:t>
      </w:r>
      <w:r w:rsidR="00B400D9">
        <w:t xml:space="preserve"> the efficient and effective use of scarce resources. For example, publishing details of contracts on </w:t>
      </w:r>
      <w:proofErr w:type="spellStart"/>
      <w:r w:rsidR="00B400D9">
        <w:t>Austender</w:t>
      </w:r>
      <w:proofErr w:type="spellEnd"/>
      <w:r w:rsidR="00B8228D">
        <w:t>.</w:t>
      </w:r>
    </w:p>
    <w:p w:rsidR="00B8228D" w:rsidRDefault="00B8228D" w:rsidP="002A2256">
      <w:pPr>
        <w:pStyle w:val="ListParagraph"/>
        <w:spacing w:after="100"/>
        <w:ind w:left="360" w:right="-341"/>
      </w:pPr>
      <w:r>
        <w:t xml:space="preserve">Whilst the purpose of financial statements </w:t>
      </w:r>
      <w:proofErr w:type="gramStart"/>
      <w:r>
        <w:t>has been clarified</w:t>
      </w:r>
      <w:proofErr w:type="gramEnd"/>
      <w:r>
        <w:t xml:space="preserve"> in the </w:t>
      </w:r>
      <w:r w:rsidRPr="00B8228D">
        <w:rPr>
          <w:i/>
        </w:rPr>
        <w:t>guide</w:t>
      </w:r>
      <w:r>
        <w:t xml:space="preserve"> to the rule, there is no change to any rule arising from this change. </w:t>
      </w:r>
    </w:p>
    <w:p w:rsidR="00B8228D" w:rsidRPr="006938EF" w:rsidRDefault="00B8228D" w:rsidP="002A2256">
      <w:pPr>
        <w:pStyle w:val="ListParagraph"/>
        <w:spacing w:after="100"/>
        <w:ind w:left="360" w:right="-341"/>
      </w:pPr>
    </w:p>
    <w:p w:rsidR="000F39BE" w:rsidRPr="00637578" w:rsidRDefault="000F39BE" w:rsidP="000F39BE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 xml:space="preserve">Part 1, Division </w:t>
      </w:r>
      <w:r>
        <w:rPr>
          <w:i/>
          <w:u w:val="single"/>
        </w:rPr>
        <w:t>2 - Section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5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Definitions</w:t>
      </w:r>
      <w:r w:rsidRPr="00637578">
        <w:t xml:space="preserve"> </w:t>
      </w:r>
    </w:p>
    <w:p w:rsidR="000F39BE" w:rsidRDefault="008968B4" w:rsidP="000F39BE">
      <w:pPr>
        <w:pStyle w:val="ListParagraph"/>
        <w:spacing w:after="100"/>
        <w:ind w:left="360" w:right="-341"/>
      </w:pPr>
      <w:r>
        <w:t>The definition of ‘</w:t>
      </w:r>
      <w:r w:rsidR="00B8228D">
        <w:t>key management personnel</w:t>
      </w:r>
      <w:r w:rsidR="006E1B49">
        <w:t xml:space="preserve">’ </w:t>
      </w:r>
      <w:r w:rsidR="00B8228D">
        <w:t xml:space="preserve">as per AASB 124 </w:t>
      </w:r>
      <w:r w:rsidR="00B8228D" w:rsidRPr="00B8228D">
        <w:rPr>
          <w:i/>
        </w:rPr>
        <w:t>Related Party Disclosures</w:t>
      </w:r>
      <w:r w:rsidR="00B8228D">
        <w:t xml:space="preserve"> </w:t>
      </w:r>
      <w:proofErr w:type="gramStart"/>
      <w:r w:rsidR="006E1B49">
        <w:t>has been added</w:t>
      </w:r>
      <w:proofErr w:type="gramEnd"/>
      <w:r w:rsidR="006E1B49">
        <w:t xml:space="preserve"> to enable reporting under Section 27 of the FRR</w:t>
      </w:r>
      <w:r>
        <w:t xml:space="preserve">. </w:t>
      </w:r>
    </w:p>
    <w:p w:rsidR="00DA74CD" w:rsidRDefault="00DA74CD" w:rsidP="008968B4">
      <w:pPr>
        <w:pStyle w:val="ListParagraph"/>
        <w:spacing w:after="100"/>
        <w:ind w:left="360" w:right="-341"/>
      </w:pPr>
    </w:p>
    <w:p w:rsidR="00414B72" w:rsidRDefault="00414B72" w:rsidP="00414B72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 xml:space="preserve">Part 2 – </w:t>
      </w:r>
      <w:r>
        <w:rPr>
          <w:i/>
          <w:u w:val="single"/>
        </w:rPr>
        <w:t>Section 9 Administered reporting – Guide to this section</w:t>
      </w:r>
      <w:r w:rsidRPr="00637578">
        <w:t xml:space="preserve"> </w:t>
      </w:r>
    </w:p>
    <w:p w:rsidR="00414B72" w:rsidRPr="00637578" w:rsidRDefault="00414B72" w:rsidP="00414B72">
      <w:pPr>
        <w:spacing w:after="100"/>
        <w:ind w:left="360" w:right="-341"/>
      </w:pPr>
      <w:r>
        <w:t xml:space="preserve">The final paragraph of the guide to this section has been </w:t>
      </w:r>
      <w:proofErr w:type="gramStart"/>
      <w:r>
        <w:t>deleted</w:t>
      </w:r>
      <w:proofErr w:type="gramEnd"/>
      <w:r>
        <w:t xml:space="preserve"> as it is not relevant in the context of what is required under this section.</w:t>
      </w:r>
    </w:p>
    <w:p w:rsidR="008968B4" w:rsidRPr="00637578" w:rsidRDefault="008968B4" w:rsidP="008968B4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 xml:space="preserve">Part 2 – </w:t>
      </w:r>
      <w:r w:rsidR="006E1B49">
        <w:rPr>
          <w:i/>
          <w:u w:val="single"/>
        </w:rPr>
        <w:t>Section 9</w:t>
      </w:r>
      <w:r w:rsidR="005D0626">
        <w:rPr>
          <w:i/>
          <w:u w:val="single"/>
        </w:rPr>
        <w:t xml:space="preserve"> Administered reporting</w:t>
      </w:r>
      <w:r w:rsidRPr="00637578">
        <w:t xml:space="preserve"> </w:t>
      </w:r>
    </w:p>
    <w:p w:rsidR="008968B4" w:rsidRDefault="00BB1181" w:rsidP="008968B4">
      <w:pPr>
        <w:pStyle w:val="ListParagraph"/>
        <w:spacing w:after="100"/>
        <w:ind w:left="360" w:right="-341"/>
      </w:pPr>
      <w:r>
        <w:t>An</w:t>
      </w:r>
      <w:r w:rsidR="008968B4">
        <w:t xml:space="preserve"> </w:t>
      </w:r>
      <w:r w:rsidR="00AF5175">
        <w:t>amendment</w:t>
      </w:r>
      <w:r>
        <w:t xml:space="preserve"> is required</w:t>
      </w:r>
      <w:r w:rsidR="005D0626">
        <w:t xml:space="preserve"> to </w:t>
      </w:r>
      <w:r>
        <w:t>clarify that e</w:t>
      </w:r>
      <w:r w:rsidR="005D0626">
        <w:t xml:space="preserve">ntities </w:t>
      </w:r>
      <w:r>
        <w:t xml:space="preserve">must </w:t>
      </w:r>
      <w:r w:rsidR="005D0626">
        <w:t>comply with all accounting standards</w:t>
      </w:r>
      <w:r>
        <w:t xml:space="preserve"> in the preparation of disclosure notes for administered items</w:t>
      </w:r>
      <w:r w:rsidR="008968B4">
        <w:t>.</w:t>
      </w:r>
    </w:p>
    <w:p w:rsidR="008968B4" w:rsidRPr="00DA74CD" w:rsidRDefault="008968B4" w:rsidP="00770FCA">
      <w:pPr>
        <w:pStyle w:val="ListParagraph"/>
        <w:spacing w:after="100"/>
        <w:ind w:left="357" w:right="-340"/>
      </w:pPr>
    </w:p>
    <w:p w:rsidR="00CF60E2" w:rsidRPr="00637578" w:rsidRDefault="00EF773E" w:rsidP="00E44934">
      <w:pPr>
        <w:pStyle w:val="ListParagraph"/>
        <w:numPr>
          <w:ilvl w:val="0"/>
          <w:numId w:val="7"/>
        </w:numPr>
        <w:spacing w:after="100"/>
        <w:ind w:right="-341"/>
      </w:pPr>
      <w:r w:rsidRPr="00637578">
        <w:rPr>
          <w:i/>
          <w:u w:val="single"/>
        </w:rPr>
        <w:t>Part 2 – Section 10 Certificates and Assurance</w:t>
      </w:r>
      <w:r w:rsidR="00CF60E2" w:rsidRPr="00637578">
        <w:t xml:space="preserve"> </w:t>
      </w:r>
    </w:p>
    <w:p w:rsidR="00414B72" w:rsidRDefault="00414B72" w:rsidP="008968B4">
      <w:pPr>
        <w:pStyle w:val="ListParagraph"/>
        <w:spacing w:after="100"/>
        <w:ind w:left="360" w:right="-341"/>
      </w:pPr>
      <w:r>
        <w:t>Minor amendments clarify the requirement for the signatory for the certificate and assurance statement.</w:t>
      </w:r>
    </w:p>
    <w:p w:rsidR="001F4437" w:rsidRDefault="00414B72" w:rsidP="008968B4">
      <w:pPr>
        <w:pStyle w:val="ListParagraph"/>
        <w:spacing w:after="100"/>
        <w:ind w:left="360" w:right="-341"/>
      </w:pPr>
      <w:r>
        <w:t>A minor a</w:t>
      </w:r>
      <w:r w:rsidR="00AF5175">
        <w:t xml:space="preserve">mendment </w:t>
      </w:r>
      <w:proofErr w:type="gramStart"/>
      <w:r>
        <w:t xml:space="preserve">has </w:t>
      </w:r>
      <w:r w:rsidR="001F4437">
        <w:t>been made</w:t>
      </w:r>
      <w:proofErr w:type="gramEnd"/>
      <w:r w:rsidR="00BB1181">
        <w:t xml:space="preserve"> to </w:t>
      </w:r>
      <w:r>
        <w:t xml:space="preserve">subsection </w:t>
      </w:r>
      <w:r w:rsidR="002619D9">
        <w:t xml:space="preserve">(e) to </w:t>
      </w:r>
      <w:r w:rsidR="00BB1181">
        <w:t xml:space="preserve">avoid any potential duplication of the disclosure of exemptions from </w:t>
      </w:r>
      <w:r w:rsidR="002619D9">
        <w:t xml:space="preserve">any requirements </w:t>
      </w:r>
      <w:r w:rsidR="00BB1181">
        <w:t>of the rule. Th</w:t>
      </w:r>
      <w:r w:rsidR="002619D9">
        <w:t xml:space="preserve">e exemption </w:t>
      </w:r>
      <w:proofErr w:type="gramStart"/>
      <w:r w:rsidR="002619D9">
        <w:t>must now be disclosed</w:t>
      </w:r>
      <w:proofErr w:type="gramEnd"/>
      <w:r w:rsidR="002619D9">
        <w:t xml:space="preserve"> in the certificate by the accountable authority </w:t>
      </w:r>
      <w:r w:rsidR="00595EE8">
        <w:t>rather than</w:t>
      </w:r>
      <w:r w:rsidR="002619D9">
        <w:t xml:space="preserve"> in the notes to the financial statements</w:t>
      </w:r>
      <w:r w:rsidR="001F4437">
        <w:t>.</w:t>
      </w:r>
    </w:p>
    <w:p w:rsidR="008968B4" w:rsidRPr="00637578" w:rsidRDefault="008968B4" w:rsidP="00770FCA">
      <w:pPr>
        <w:pStyle w:val="ListParagraph"/>
        <w:spacing w:after="100"/>
        <w:ind w:left="357" w:right="-340"/>
      </w:pPr>
    </w:p>
    <w:p w:rsidR="005D0626" w:rsidRPr="00BB1181" w:rsidRDefault="005D0626" w:rsidP="00E44934">
      <w:pPr>
        <w:pStyle w:val="ListParagraph"/>
        <w:numPr>
          <w:ilvl w:val="0"/>
          <w:numId w:val="7"/>
        </w:numPr>
        <w:spacing w:after="100"/>
        <w:ind w:right="-341"/>
        <w:rPr>
          <w:i/>
          <w:u w:val="single"/>
        </w:rPr>
      </w:pPr>
      <w:r w:rsidRPr="00BB1181">
        <w:rPr>
          <w:i/>
          <w:u w:val="single"/>
        </w:rPr>
        <w:t>Part 2 – Section 11 Exemptions from requirements in this rule</w:t>
      </w:r>
    </w:p>
    <w:p w:rsidR="005D0626" w:rsidRPr="007011A9" w:rsidRDefault="007E4038" w:rsidP="007011A9">
      <w:pPr>
        <w:pStyle w:val="ListParagraph"/>
        <w:spacing w:after="100"/>
        <w:ind w:left="360" w:right="-341"/>
      </w:pPr>
      <w:r>
        <w:t xml:space="preserve">Subsection 4 </w:t>
      </w:r>
      <w:proofErr w:type="gramStart"/>
      <w:r>
        <w:t>has been deleted</w:t>
      </w:r>
      <w:proofErr w:type="gramEnd"/>
      <w:r>
        <w:t>. This avoids duplication of the requirement to disclose details of e</w:t>
      </w:r>
      <w:r w:rsidR="00A9217D">
        <w:t>xemptions to the rule</w:t>
      </w:r>
      <w:r>
        <w:t xml:space="preserve">. This disclosure is already required by section 10 (e) of the rule. </w:t>
      </w:r>
    </w:p>
    <w:p w:rsidR="005D0626" w:rsidRPr="007011A9" w:rsidRDefault="005D0626" w:rsidP="007011A9">
      <w:pPr>
        <w:pStyle w:val="ListParagraph"/>
        <w:spacing w:after="100"/>
        <w:ind w:left="360" w:right="-341"/>
      </w:pPr>
    </w:p>
    <w:p w:rsidR="009004C4" w:rsidRPr="008C15F5" w:rsidRDefault="009004C4" w:rsidP="008C15F5">
      <w:pPr>
        <w:pStyle w:val="ListParagraph"/>
        <w:numPr>
          <w:ilvl w:val="0"/>
          <w:numId w:val="7"/>
        </w:numPr>
        <w:spacing w:after="100"/>
        <w:ind w:right="-341"/>
        <w:rPr>
          <w:i/>
          <w:u w:val="single"/>
        </w:rPr>
      </w:pPr>
      <w:r w:rsidRPr="009004C4">
        <w:rPr>
          <w:i/>
          <w:u w:val="single"/>
        </w:rPr>
        <w:t>Part 3 – Section 1</w:t>
      </w:r>
      <w:r>
        <w:rPr>
          <w:i/>
          <w:u w:val="single"/>
        </w:rPr>
        <w:t>8</w:t>
      </w:r>
      <w:r w:rsidRPr="009004C4">
        <w:rPr>
          <w:i/>
          <w:u w:val="single"/>
        </w:rPr>
        <w:t xml:space="preserve"> </w:t>
      </w:r>
      <w:r>
        <w:rPr>
          <w:i/>
          <w:u w:val="single"/>
        </w:rPr>
        <w:t>AASB 1053 Application of Tiers of Australian Accounting Standards</w:t>
      </w:r>
    </w:p>
    <w:p w:rsidR="00377742" w:rsidRDefault="007E4038" w:rsidP="00377742">
      <w:pPr>
        <w:pStyle w:val="ListParagraph"/>
        <w:spacing w:after="100"/>
        <w:ind w:left="360" w:right="-341"/>
      </w:pPr>
      <w:r>
        <w:t>Section 18</w:t>
      </w:r>
      <w:r w:rsidR="00377742">
        <w:t>,</w:t>
      </w:r>
      <w:r>
        <w:t xml:space="preserve"> </w:t>
      </w:r>
      <w:r w:rsidR="00377742">
        <w:t xml:space="preserve">subsection 1 </w:t>
      </w:r>
      <w:r w:rsidR="00595EE8">
        <w:t xml:space="preserve">has been made to </w:t>
      </w:r>
      <w:r w:rsidR="00377742">
        <w:t xml:space="preserve">enable Commonwealth entities not listed in subsections 2 and 3, to prepare financial statement disclosures that meet the minimum requirements for disclosure under the relevant accounting standards. </w:t>
      </w:r>
    </w:p>
    <w:p w:rsidR="00377742" w:rsidRDefault="00377742" w:rsidP="00377742">
      <w:pPr>
        <w:pStyle w:val="ListParagraph"/>
        <w:spacing w:after="100"/>
        <w:ind w:left="360" w:right="-341"/>
      </w:pPr>
    </w:p>
    <w:p w:rsidR="0089329B" w:rsidRDefault="00377742" w:rsidP="00770FCA">
      <w:pPr>
        <w:pStyle w:val="ListParagraph"/>
        <w:spacing w:after="100"/>
        <w:ind w:left="360" w:right="-341"/>
      </w:pPr>
      <w:r>
        <w:t>T</w:t>
      </w:r>
      <w:r w:rsidR="00504894">
        <w:t xml:space="preserve">hose </w:t>
      </w:r>
      <w:r w:rsidR="008F631D">
        <w:t xml:space="preserve">Commonwealth entities </w:t>
      </w:r>
      <w:r w:rsidR="00504894">
        <w:t xml:space="preserve">required </w:t>
      </w:r>
      <w:r w:rsidR="00A9217D">
        <w:t>to prepare disclosure</w:t>
      </w:r>
      <w:r w:rsidR="009E5297">
        <w:t xml:space="preserve"> notes</w:t>
      </w:r>
      <w:r w:rsidR="00A9217D">
        <w:t xml:space="preserve"> </w:t>
      </w:r>
      <w:r w:rsidR="00504894">
        <w:t xml:space="preserve">above </w:t>
      </w:r>
      <w:r w:rsidR="007E4038">
        <w:t xml:space="preserve">Tier </w:t>
      </w:r>
      <w:r w:rsidR="00504894">
        <w:t>2 minimum disclosure requirements</w:t>
      </w:r>
      <w:r w:rsidR="00526615">
        <w:t>,</w:t>
      </w:r>
      <w:r w:rsidR="00504894" w:rsidRPr="00504894">
        <w:t xml:space="preserve"> </w:t>
      </w:r>
      <w:r>
        <w:t xml:space="preserve">under the relevant </w:t>
      </w:r>
      <w:r w:rsidR="00504894">
        <w:t>the accounting standard</w:t>
      </w:r>
      <w:r>
        <w:t>s</w:t>
      </w:r>
      <w:r w:rsidR="00526615">
        <w:t>,</w:t>
      </w:r>
      <w:r>
        <w:t xml:space="preserve"> </w:t>
      </w:r>
      <w:proofErr w:type="gramStart"/>
      <w:r>
        <w:t>are listed</w:t>
      </w:r>
      <w:proofErr w:type="gramEnd"/>
      <w:r>
        <w:t xml:space="preserve"> in subsections 2 and 3. </w:t>
      </w:r>
      <w:r w:rsidR="0089329B">
        <w:t xml:space="preserve">The entities listed </w:t>
      </w:r>
      <w:proofErr w:type="gramStart"/>
      <w:r w:rsidR="0089329B">
        <w:t>are broadly based</w:t>
      </w:r>
      <w:proofErr w:type="gramEnd"/>
      <w:r w:rsidR="0089329B">
        <w:t xml:space="preserve"> on the primary criteria of those with complex financial arrangements.</w:t>
      </w:r>
    </w:p>
    <w:p w:rsidR="00377742" w:rsidRDefault="00377742" w:rsidP="00770FCA">
      <w:pPr>
        <w:pStyle w:val="ListParagraph"/>
        <w:spacing w:after="100"/>
        <w:ind w:left="360" w:right="-341"/>
      </w:pPr>
    </w:p>
    <w:p w:rsidR="00957B20" w:rsidRDefault="00377742" w:rsidP="00770FCA">
      <w:pPr>
        <w:pStyle w:val="ListParagraph"/>
        <w:spacing w:after="100"/>
        <w:ind w:left="360" w:right="-341"/>
      </w:pPr>
      <w:r>
        <w:t xml:space="preserve">The </w:t>
      </w:r>
      <w:r w:rsidR="00595EE8">
        <w:t xml:space="preserve">Australian </w:t>
      </w:r>
      <w:r w:rsidR="00526615">
        <w:t xml:space="preserve">accounting standards </w:t>
      </w:r>
      <w:r w:rsidR="007510B4">
        <w:t>(</w:t>
      </w:r>
      <w:r w:rsidR="007510B4" w:rsidRPr="007510B4">
        <w:rPr>
          <w:b/>
        </w:rPr>
        <w:t>AAS</w:t>
      </w:r>
      <w:r w:rsidR="007510B4">
        <w:t xml:space="preserve">) </w:t>
      </w:r>
      <w:r w:rsidR="00526615">
        <w:t xml:space="preserve">explain that </w:t>
      </w:r>
      <w:r>
        <w:t xml:space="preserve">entities which are able to apply </w:t>
      </w:r>
      <w:r w:rsidR="00957B20">
        <w:t xml:space="preserve">Tier 2 </w:t>
      </w:r>
      <w:r>
        <w:t>reporting requirements</w:t>
      </w:r>
      <w:r w:rsidR="00526615">
        <w:t>,</w:t>
      </w:r>
      <w:r>
        <w:t xml:space="preserve"> </w:t>
      </w:r>
      <w:r w:rsidR="00957B20">
        <w:t>may elect to apply Tier 1 reporting requirements or include additional disclosures using Tier 1 reporting requirements as a guide if, in their judgement, such additional disclosures are consistent with the objective of general purpose financial statements.</w:t>
      </w:r>
    </w:p>
    <w:p w:rsidR="00E14925" w:rsidRDefault="00E14925" w:rsidP="00770FCA">
      <w:pPr>
        <w:pStyle w:val="ListParagraph"/>
        <w:spacing w:after="100"/>
        <w:ind w:left="360" w:right="-341"/>
      </w:pPr>
    </w:p>
    <w:p w:rsidR="00770FCA" w:rsidRDefault="00595EE8" w:rsidP="00770FCA">
      <w:pPr>
        <w:pStyle w:val="ListParagraph"/>
        <w:spacing w:after="100"/>
        <w:ind w:left="360" w:right="-341"/>
      </w:pPr>
      <w:r>
        <w:t>The previous s</w:t>
      </w:r>
      <w:r w:rsidR="00526615">
        <w:t xml:space="preserve">ubsection </w:t>
      </w:r>
      <w:r>
        <w:t xml:space="preserve">2 has now been included as subsection </w:t>
      </w:r>
      <w:r w:rsidR="00526615">
        <w:t>4</w:t>
      </w:r>
      <w:r>
        <w:t xml:space="preserve">. This </w:t>
      </w:r>
      <w:r w:rsidR="00526615">
        <w:t>requires that, f</w:t>
      </w:r>
      <w:r w:rsidR="00504894">
        <w:t>or the purposes of preparing the Australian Government consolidated financial statements</w:t>
      </w:r>
      <w:r>
        <w:t>, which are prepared under Tier 1 reporting requirements</w:t>
      </w:r>
      <w:r w:rsidR="00526615">
        <w:t>, entities</w:t>
      </w:r>
      <w:r w:rsidR="00504894">
        <w:t xml:space="preserve"> may need to provide additional financial information to the Department of Finance</w:t>
      </w:r>
      <w:r w:rsidR="00526615">
        <w:t>, if that information is not available in their entity financial statements.</w:t>
      </w:r>
    </w:p>
    <w:p w:rsidR="00770FCA" w:rsidRDefault="00770FCA" w:rsidP="00770FCA">
      <w:pPr>
        <w:pStyle w:val="ListParagraph"/>
        <w:spacing w:after="100"/>
        <w:ind w:left="357" w:right="-340"/>
      </w:pPr>
    </w:p>
    <w:p w:rsidR="00770FCA" w:rsidRPr="008C15F5" w:rsidRDefault="00770FCA" w:rsidP="00770FCA">
      <w:pPr>
        <w:pStyle w:val="ListParagraph"/>
        <w:numPr>
          <w:ilvl w:val="0"/>
          <w:numId w:val="7"/>
        </w:numPr>
        <w:spacing w:after="100"/>
        <w:ind w:right="-341"/>
        <w:rPr>
          <w:i/>
          <w:u w:val="single"/>
        </w:rPr>
      </w:pPr>
      <w:r w:rsidRPr="009004C4">
        <w:rPr>
          <w:i/>
          <w:u w:val="single"/>
        </w:rPr>
        <w:t xml:space="preserve">Part </w:t>
      </w:r>
      <w:r>
        <w:rPr>
          <w:i/>
          <w:u w:val="single"/>
        </w:rPr>
        <w:t>4</w:t>
      </w:r>
      <w:r w:rsidRPr="009004C4">
        <w:rPr>
          <w:i/>
          <w:u w:val="single"/>
        </w:rPr>
        <w:t xml:space="preserve"> – Section </w:t>
      </w:r>
      <w:r w:rsidR="00FE3F5B">
        <w:rPr>
          <w:i/>
          <w:u w:val="single"/>
        </w:rPr>
        <w:t>27</w:t>
      </w:r>
      <w:r w:rsidRPr="009004C4">
        <w:rPr>
          <w:i/>
          <w:u w:val="single"/>
        </w:rPr>
        <w:t xml:space="preserve"> </w:t>
      </w:r>
      <w:r w:rsidR="00E14925">
        <w:rPr>
          <w:i/>
          <w:u w:val="single"/>
        </w:rPr>
        <w:t>Key</w:t>
      </w:r>
      <w:r w:rsidR="00FE3F5B">
        <w:rPr>
          <w:i/>
          <w:u w:val="single"/>
        </w:rPr>
        <w:t xml:space="preserve"> management personnel remuneration</w:t>
      </w:r>
    </w:p>
    <w:p w:rsidR="00080103" w:rsidRDefault="00E14925" w:rsidP="00080103">
      <w:pPr>
        <w:pStyle w:val="ListParagraph"/>
        <w:spacing w:after="100"/>
        <w:ind w:left="360" w:right="-341"/>
      </w:pPr>
      <w:r>
        <w:t xml:space="preserve">The section </w:t>
      </w:r>
      <w:proofErr w:type="gramStart"/>
      <w:r w:rsidR="0089329B">
        <w:t>has</w:t>
      </w:r>
      <w:r>
        <w:t xml:space="preserve"> been amended</w:t>
      </w:r>
      <w:proofErr w:type="gramEnd"/>
      <w:r>
        <w:t xml:space="preserve"> to require disclosure of remuneration of key management personnel (KMP) as defined in AASB 124 </w:t>
      </w:r>
      <w:r w:rsidRPr="00E14925">
        <w:rPr>
          <w:i/>
        </w:rPr>
        <w:t>Related Party Disclosures</w:t>
      </w:r>
      <w:r>
        <w:t xml:space="preserve">. </w:t>
      </w:r>
      <w:r w:rsidR="00595EE8">
        <w:t xml:space="preserve">This </w:t>
      </w:r>
      <w:r w:rsidR="009212D5">
        <w:t xml:space="preserve">disclosure </w:t>
      </w:r>
      <w:r w:rsidR="00595EE8">
        <w:t xml:space="preserve">is </w:t>
      </w:r>
      <w:r w:rsidR="0089329B">
        <w:t xml:space="preserve">a requirement of the standard </w:t>
      </w:r>
      <w:r w:rsidR="00595EE8">
        <w:t>for public sector financial statements</w:t>
      </w:r>
      <w:r w:rsidR="009212D5">
        <w:t xml:space="preserve">; </w:t>
      </w:r>
      <w:r w:rsidR="00ED0BE6">
        <w:t>the amendment clarifies the requirement for this group</w:t>
      </w:r>
      <w:r w:rsidR="00595EE8">
        <w:t>.</w:t>
      </w:r>
      <w:r>
        <w:t xml:space="preserve"> </w:t>
      </w:r>
      <w:r w:rsidR="009212D5">
        <w:t>S</w:t>
      </w:r>
      <w:r w:rsidR="007510B4">
        <w:t>ubsection</w:t>
      </w:r>
      <w:r w:rsidR="00ED0BE6">
        <w:t>s</w:t>
      </w:r>
      <w:r>
        <w:t xml:space="preserve"> 4 </w:t>
      </w:r>
      <w:r w:rsidR="00ED0BE6">
        <w:t>and 5 continue disclosure</w:t>
      </w:r>
      <w:r w:rsidR="009212D5">
        <w:t>s</w:t>
      </w:r>
      <w:r w:rsidR="00ED0BE6">
        <w:t xml:space="preserve"> under the previous version of this rule, but </w:t>
      </w:r>
      <w:r w:rsidR="009212D5">
        <w:t xml:space="preserve">are now </w:t>
      </w:r>
      <w:r w:rsidR="00ED0BE6">
        <w:t>applied to KMPs.</w:t>
      </w:r>
    </w:p>
    <w:p w:rsidR="00ED0BE6" w:rsidRDefault="00ED0BE6" w:rsidP="00080103">
      <w:pPr>
        <w:pStyle w:val="ListParagraph"/>
        <w:spacing w:after="100"/>
        <w:ind w:left="360" w:right="-341"/>
      </w:pPr>
    </w:p>
    <w:p w:rsidR="00080103" w:rsidRDefault="00080103" w:rsidP="00080103">
      <w:pPr>
        <w:pStyle w:val="ListParagraph"/>
        <w:numPr>
          <w:ilvl w:val="0"/>
          <w:numId w:val="7"/>
        </w:numPr>
        <w:spacing w:after="100"/>
        <w:ind w:right="-341"/>
        <w:rPr>
          <w:i/>
          <w:u w:val="single"/>
        </w:rPr>
      </w:pPr>
      <w:r w:rsidRPr="00080103">
        <w:rPr>
          <w:i/>
          <w:u w:val="single"/>
        </w:rPr>
        <w:t>Part 5 – Guide to this Part</w:t>
      </w:r>
    </w:p>
    <w:p w:rsidR="00080103" w:rsidRPr="00080103" w:rsidRDefault="00080103" w:rsidP="00080103">
      <w:pPr>
        <w:spacing w:after="100"/>
        <w:ind w:left="360" w:right="-341"/>
      </w:pPr>
      <w:r>
        <w:t>The guide</w:t>
      </w:r>
      <w:r w:rsidR="007510B4">
        <w:t xml:space="preserve"> to this part</w:t>
      </w:r>
      <w:r>
        <w:t xml:space="preserve"> </w:t>
      </w:r>
      <w:proofErr w:type="gramStart"/>
      <w:r>
        <w:t>is amended</w:t>
      </w:r>
      <w:proofErr w:type="gramEnd"/>
      <w:r>
        <w:t xml:space="preserve"> to better reflect that disclosures required under this part are to assist with understanding of the financial position of the entity. </w:t>
      </w:r>
    </w:p>
    <w:p w:rsidR="00BB1181" w:rsidRPr="002D7154" w:rsidRDefault="00BB1181" w:rsidP="00080103">
      <w:pPr>
        <w:pStyle w:val="ListParagraph"/>
        <w:numPr>
          <w:ilvl w:val="0"/>
          <w:numId w:val="7"/>
        </w:numPr>
        <w:spacing w:after="100"/>
        <w:ind w:right="-341"/>
      </w:pPr>
      <w:r w:rsidRPr="00080103">
        <w:rPr>
          <w:i/>
          <w:u w:val="single"/>
        </w:rPr>
        <w:t>Part 5 – Section 32 Administered Investments</w:t>
      </w:r>
    </w:p>
    <w:p w:rsidR="00BB1181" w:rsidRDefault="007510B4" w:rsidP="00770FCA">
      <w:pPr>
        <w:pStyle w:val="ListParagraph"/>
        <w:spacing w:after="100"/>
        <w:ind w:left="357" w:right="-340"/>
      </w:pPr>
      <w:r>
        <w:t>There is a m</w:t>
      </w:r>
      <w:r w:rsidR="00BB1181">
        <w:t>inor amendment to subsection 3(d) in relation to administered investment</w:t>
      </w:r>
      <w:r w:rsidR="00C759D1">
        <w:t>s.</w:t>
      </w:r>
    </w:p>
    <w:p w:rsidR="00C759D1" w:rsidRPr="005344EA" w:rsidRDefault="00C759D1" w:rsidP="00770FCA">
      <w:pPr>
        <w:pStyle w:val="ListParagraph"/>
        <w:spacing w:after="100"/>
        <w:ind w:left="357" w:right="-340"/>
      </w:pPr>
    </w:p>
    <w:p w:rsidR="00FE3F5B" w:rsidRDefault="00EF773E" w:rsidP="00FE3F5B">
      <w:pPr>
        <w:pStyle w:val="ListParagraph"/>
        <w:spacing w:after="100"/>
        <w:ind w:left="360" w:right="-341"/>
      </w:pPr>
      <w:r w:rsidRPr="00FE3F5B">
        <w:rPr>
          <w:i/>
          <w:u w:val="single"/>
        </w:rPr>
        <w:t xml:space="preserve">Part </w:t>
      </w:r>
      <w:r w:rsidR="00FE3F5B" w:rsidRPr="00FE3F5B">
        <w:rPr>
          <w:i/>
          <w:u w:val="single"/>
        </w:rPr>
        <w:t>5</w:t>
      </w:r>
      <w:r w:rsidRPr="00FE3F5B">
        <w:rPr>
          <w:i/>
          <w:u w:val="single"/>
        </w:rPr>
        <w:t xml:space="preserve"> – </w:t>
      </w:r>
      <w:r w:rsidR="00EC6984" w:rsidRPr="00FE3F5B">
        <w:rPr>
          <w:i/>
          <w:u w:val="single"/>
        </w:rPr>
        <w:t xml:space="preserve">Section </w:t>
      </w:r>
      <w:r w:rsidR="00FE3F5B" w:rsidRPr="00FE3F5B">
        <w:rPr>
          <w:i/>
          <w:u w:val="single"/>
        </w:rPr>
        <w:t>34 Reporting of Outcomes</w:t>
      </w:r>
    </w:p>
    <w:p w:rsidR="00E76533" w:rsidRDefault="00FE3F5B" w:rsidP="00FE3F5B">
      <w:pPr>
        <w:pStyle w:val="ListParagraph"/>
        <w:spacing w:after="100"/>
        <w:ind w:left="360" w:right="-341"/>
      </w:pPr>
      <w:r w:rsidRPr="007011A9">
        <w:t xml:space="preserve">The section </w:t>
      </w:r>
      <w:proofErr w:type="gramStart"/>
      <w:r w:rsidRPr="007011A9">
        <w:t>has been repealed</w:t>
      </w:r>
      <w:proofErr w:type="gramEnd"/>
      <w:r w:rsidR="005D561B" w:rsidRPr="007011A9">
        <w:t>. Out</w:t>
      </w:r>
      <w:r w:rsidR="009E5297">
        <w:t>c</w:t>
      </w:r>
      <w:r w:rsidR="005D561B" w:rsidRPr="007011A9">
        <w:t xml:space="preserve">omes reporting is not required </w:t>
      </w:r>
      <w:r w:rsidR="0066001B">
        <w:t xml:space="preserve">in the financial statements </w:t>
      </w:r>
      <w:r w:rsidR="005D561B" w:rsidRPr="007011A9">
        <w:t xml:space="preserve">for entities preparing </w:t>
      </w:r>
      <w:r w:rsidR="009E5297">
        <w:t xml:space="preserve">Tier 2 </w:t>
      </w:r>
      <w:r w:rsidR="005D561B" w:rsidRPr="007011A9">
        <w:t xml:space="preserve">disclosures. All other entities will report </w:t>
      </w:r>
      <w:r w:rsidR="00C759D1">
        <w:t xml:space="preserve">in accordance with </w:t>
      </w:r>
      <w:r w:rsidR="005D561B" w:rsidRPr="007011A9">
        <w:t xml:space="preserve">accounting standard </w:t>
      </w:r>
      <w:r w:rsidR="005D561B" w:rsidRPr="007011A9">
        <w:rPr>
          <w:i/>
        </w:rPr>
        <w:t>AASB 1052 Disaggregated Di</w:t>
      </w:r>
      <w:r w:rsidR="005D561B">
        <w:rPr>
          <w:i/>
        </w:rPr>
        <w:t>s</w:t>
      </w:r>
      <w:r w:rsidR="005D561B" w:rsidRPr="007011A9">
        <w:rPr>
          <w:i/>
        </w:rPr>
        <w:t>closures</w:t>
      </w:r>
      <w:r w:rsidR="005D561B" w:rsidRPr="007011A9">
        <w:t>.</w:t>
      </w:r>
      <w:r w:rsidR="0066001B">
        <w:t xml:space="preserve"> </w:t>
      </w:r>
      <w:r w:rsidR="007510B4">
        <w:t xml:space="preserve">The outcomes disclosure note in the financial statements previously duplicated some disclosures in the annual report. </w:t>
      </w:r>
      <w:r w:rsidR="0066001B">
        <w:t xml:space="preserve">The annual report requirements will retain disclosures for expenses by outcome, which compare to the relevant portfolio budget statements. </w:t>
      </w:r>
    </w:p>
    <w:p w:rsidR="00770FCA" w:rsidRDefault="00770FCA" w:rsidP="00770FCA">
      <w:pPr>
        <w:spacing w:after="100"/>
      </w:pPr>
      <w:r>
        <w:br w:type="page"/>
      </w:r>
    </w:p>
    <w:p w:rsidR="009004C4" w:rsidRPr="00637578" w:rsidRDefault="009004C4" w:rsidP="009004C4">
      <w:pPr>
        <w:pStyle w:val="ListParagraph"/>
        <w:spacing w:after="100"/>
        <w:ind w:left="360" w:right="-341"/>
      </w:pPr>
    </w:p>
    <w:p w:rsidR="00AC3C71" w:rsidRPr="002D7154" w:rsidRDefault="00AC3C71" w:rsidP="005B171F">
      <w:pPr>
        <w:pStyle w:val="ListParagraph"/>
        <w:keepNext/>
        <w:numPr>
          <w:ilvl w:val="0"/>
          <w:numId w:val="7"/>
        </w:numPr>
        <w:spacing w:after="100"/>
        <w:ind w:left="357" w:right="-340"/>
        <w:rPr>
          <w:i/>
          <w:u w:val="single"/>
        </w:rPr>
      </w:pPr>
      <w:r w:rsidRPr="002D7154">
        <w:rPr>
          <w:i/>
          <w:u w:val="single"/>
        </w:rPr>
        <w:t>Part 6, Division 3 – Section 39 Equity returns and adjustments</w:t>
      </w:r>
      <w:r w:rsidR="002D7154" w:rsidRPr="002D7154">
        <w:rPr>
          <w:i/>
          <w:u w:val="single"/>
        </w:rPr>
        <w:t xml:space="preserve">  - Guide to this Section</w:t>
      </w:r>
    </w:p>
    <w:p w:rsidR="002D7154" w:rsidRDefault="002D7154" w:rsidP="00AC3C71">
      <w:pPr>
        <w:keepNext/>
        <w:spacing w:after="100"/>
        <w:ind w:right="-340"/>
      </w:pPr>
      <w:r>
        <w:t xml:space="preserve">Minor editorial amendments </w:t>
      </w:r>
      <w:proofErr w:type="gramStart"/>
      <w:r>
        <w:t>have been made</w:t>
      </w:r>
      <w:proofErr w:type="gramEnd"/>
      <w:r>
        <w:t>.</w:t>
      </w:r>
    </w:p>
    <w:p w:rsidR="002D7154" w:rsidRDefault="002D7154" w:rsidP="00AC3C71">
      <w:pPr>
        <w:keepNext/>
        <w:spacing w:after="100"/>
        <w:ind w:right="-340"/>
      </w:pPr>
      <w:r w:rsidRPr="002D7154">
        <w:rPr>
          <w:i/>
          <w:u w:val="single"/>
        </w:rPr>
        <w:t xml:space="preserve">Part 6 Division 3 – Section 39 Equity returns and adjustments  </w:t>
      </w:r>
    </w:p>
    <w:p w:rsidR="002D7154" w:rsidRPr="00AC3C71" w:rsidRDefault="002D7154" w:rsidP="00AC3C71">
      <w:pPr>
        <w:keepNext/>
        <w:spacing w:after="100"/>
        <w:ind w:right="-340"/>
      </w:pPr>
      <w:r>
        <w:t>Subsection 39(2</w:t>
      </w:r>
      <w:proofErr w:type="gramStart"/>
      <w:r>
        <w:t>)(</w:t>
      </w:r>
      <w:proofErr w:type="gramEnd"/>
      <w:r>
        <w:t>a)(</w:t>
      </w:r>
      <w:proofErr w:type="spellStart"/>
      <w:r>
        <w:t>i</w:t>
      </w:r>
      <w:proofErr w:type="spellEnd"/>
      <w:r>
        <w:t>) has been amended to include return of contribute</w:t>
      </w:r>
      <w:r w:rsidR="007510B4">
        <w:t>d</w:t>
      </w:r>
      <w:r>
        <w:t xml:space="preserve"> equity. Subsection 39(2</w:t>
      </w:r>
      <w:proofErr w:type="gramStart"/>
      <w:r>
        <w:t>)(</w:t>
      </w:r>
      <w:proofErr w:type="gramEnd"/>
      <w:r>
        <w:t>b)(iii) has been amended to refer to transfer of funds to the OPA instead of payments, which may have implied an exchange for goods and services.</w:t>
      </w:r>
    </w:p>
    <w:p w:rsidR="005B171F" w:rsidRPr="00637578" w:rsidRDefault="005B171F" w:rsidP="005B171F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>Part 6, Division 5 – Section 4</w:t>
      </w:r>
      <w:r w:rsidR="009004C4">
        <w:rPr>
          <w:i/>
          <w:u w:val="single"/>
        </w:rPr>
        <w:t>3</w:t>
      </w:r>
      <w:r w:rsidR="00574A5F">
        <w:rPr>
          <w:i/>
          <w:u w:val="single"/>
        </w:rPr>
        <w:t xml:space="preserve"> </w:t>
      </w:r>
      <w:r w:rsidRPr="00637578">
        <w:rPr>
          <w:i/>
          <w:u w:val="single"/>
        </w:rPr>
        <w:t xml:space="preserve">Annual </w:t>
      </w:r>
      <w:r w:rsidR="000006AD">
        <w:rPr>
          <w:i/>
          <w:u w:val="single"/>
        </w:rPr>
        <w:t>Appropriations</w:t>
      </w:r>
      <w:r w:rsidRPr="00637578">
        <w:t xml:space="preserve"> </w:t>
      </w:r>
    </w:p>
    <w:p w:rsidR="005B171F" w:rsidRDefault="00AC3C71" w:rsidP="00973D8F">
      <w:pPr>
        <w:pStyle w:val="ListParagraph"/>
        <w:spacing w:after="100"/>
        <w:ind w:left="360" w:right="-341"/>
      </w:pPr>
      <w:r>
        <w:t>Subs</w:t>
      </w:r>
      <w:r w:rsidR="000B0097">
        <w:t>ection 4</w:t>
      </w:r>
      <w:r w:rsidR="00B546C3">
        <w:t>3(2)</w:t>
      </w:r>
      <w:r w:rsidR="000B0097">
        <w:t xml:space="preserve"> </w:t>
      </w:r>
      <w:proofErr w:type="gramStart"/>
      <w:r w:rsidR="000B0097">
        <w:t xml:space="preserve">has been </w:t>
      </w:r>
      <w:r w:rsidR="00B546C3">
        <w:t>amended</w:t>
      </w:r>
      <w:proofErr w:type="gramEnd"/>
      <w:r w:rsidR="00B546C3">
        <w:t xml:space="preserve"> to allow entities to aggregate appropriation adjustments rather than being separately listed.</w:t>
      </w:r>
    </w:p>
    <w:p w:rsidR="00592ED3" w:rsidRDefault="00592ED3" w:rsidP="005B171F">
      <w:pPr>
        <w:pStyle w:val="ListParagraph"/>
        <w:spacing w:after="100"/>
        <w:ind w:left="360" w:right="-341"/>
      </w:pPr>
    </w:p>
    <w:p w:rsidR="00592ED3" w:rsidRPr="00637578" w:rsidRDefault="00592ED3" w:rsidP="00592ED3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>Part 6, Division 6</w:t>
      </w:r>
      <w:r>
        <w:rPr>
          <w:i/>
          <w:u w:val="single"/>
        </w:rPr>
        <w:t xml:space="preserve"> – </w:t>
      </w:r>
      <w:r w:rsidR="003E2256">
        <w:rPr>
          <w:i/>
          <w:u w:val="single"/>
        </w:rPr>
        <w:t>Section 46 Special appropriations</w:t>
      </w:r>
    </w:p>
    <w:p w:rsidR="00592ED3" w:rsidRPr="00637578" w:rsidRDefault="00592ED3" w:rsidP="005B171F">
      <w:pPr>
        <w:pStyle w:val="ListParagraph"/>
        <w:spacing w:after="100"/>
        <w:ind w:left="360" w:right="-341"/>
      </w:pPr>
      <w:r>
        <w:t xml:space="preserve">Minor editorial amendments </w:t>
      </w:r>
      <w:proofErr w:type="gramStart"/>
      <w:r>
        <w:t>have been made</w:t>
      </w:r>
      <w:proofErr w:type="gramEnd"/>
      <w:r>
        <w:t>.</w:t>
      </w:r>
    </w:p>
    <w:p w:rsidR="005B171F" w:rsidRPr="00637578" w:rsidRDefault="005B171F" w:rsidP="004F5A0F">
      <w:pPr>
        <w:pStyle w:val="ListParagraph"/>
        <w:spacing w:after="100"/>
        <w:ind w:left="360" w:right="-341"/>
        <w:rPr>
          <w:sz w:val="22"/>
        </w:rPr>
      </w:pPr>
    </w:p>
    <w:p w:rsidR="003E2256" w:rsidRPr="007011A9" w:rsidRDefault="003E2256" w:rsidP="005B171F">
      <w:pPr>
        <w:pStyle w:val="ListParagraph"/>
        <w:keepNext/>
        <w:numPr>
          <w:ilvl w:val="0"/>
          <w:numId w:val="7"/>
        </w:numPr>
        <w:spacing w:after="100"/>
        <w:ind w:left="357" w:right="-340"/>
        <w:rPr>
          <w:i/>
          <w:u w:val="single"/>
        </w:rPr>
      </w:pPr>
      <w:r w:rsidRPr="007011A9">
        <w:rPr>
          <w:i/>
          <w:u w:val="single"/>
        </w:rPr>
        <w:t>Part 6, Division 6 – Special accounts – Guide to this Division</w:t>
      </w:r>
    </w:p>
    <w:p w:rsidR="00513C8F" w:rsidRDefault="00513C8F" w:rsidP="007011A9">
      <w:pPr>
        <w:pStyle w:val="ListParagraph"/>
        <w:spacing w:after="100"/>
        <w:ind w:left="360" w:right="-341"/>
      </w:pPr>
      <w:r>
        <w:t xml:space="preserve">Minor editorial amendments </w:t>
      </w:r>
      <w:proofErr w:type="gramStart"/>
      <w:r>
        <w:t>have been made</w:t>
      </w:r>
      <w:proofErr w:type="gramEnd"/>
      <w:r w:rsidR="00AC3C71">
        <w:t xml:space="preserve"> to </w:t>
      </w:r>
      <w:r w:rsidR="002D7154">
        <w:t>reflect appropriate terminology</w:t>
      </w:r>
      <w:r>
        <w:t>.</w:t>
      </w:r>
    </w:p>
    <w:p w:rsidR="00513C8F" w:rsidRPr="00637578" w:rsidRDefault="00513C8F" w:rsidP="007011A9">
      <w:pPr>
        <w:pStyle w:val="ListParagraph"/>
        <w:spacing w:after="100"/>
        <w:ind w:left="360" w:right="-341"/>
      </w:pPr>
    </w:p>
    <w:p w:rsidR="005B171F" w:rsidRPr="00637578" w:rsidRDefault="005B171F" w:rsidP="005B171F">
      <w:pPr>
        <w:pStyle w:val="ListParagraph"/>
        <w:keepNext/>
        <w:numPr>
          <w:ilvl w:val="0"/>
          <w:numId w:val="7"/>
        </w:numPr>
        <w:spacing w:after="100"/>
        <w:ind w:left="357" w:right="-340"/>
      </w:pPr>
      <w:r w:rsidRPr="00637578">
        <w:rPr>
          <w:i/>
          <w:u w:val="single"/>
        </w:rPr>
        <w:t>Part 6, Division 6 – Section 4</w:t>
      </w:r>
      <w:r w:rsidR="000B0097">
        <w:rPr>
          <w:i/>
          <w:u w:val="single"/>
        </w:rPr>
        <w:t>8</w:t>
      </w:r>
      <w:r w:rsidRPr="00637578">
        <w:rPr>
          <w:i/>
          <w:u w:val="single"/>
        </w:rPr>
        <w:t xml:space="preserve"> Special Accounts</w:t>
      </w:r>
      <w:r w:rsidRPr="00637578">
        <w:t xml:space="preserve">  </w:t>
      </w:r>
    </w:p>
    <w:p w:rsidR="007510B4" w:rsidRDefault="007510B4" w:rsidP="005B171F">
      <w:pPr>
        <w:pStyle w:val="ListParagraph"/>
        <w:spacing w:after="100"/>
        <w:ind w:left="360" w:right="-341"/>
      </w:pPr>
      <w:r>
        <w:t xml:space="preserve">Subsection 4 </w:t>
      </w:r>
      <w:proofErr w:type="gramStart"/>
      <w:r>
        <w:t>has been deleted</w:t>
      </w:r>
      <w:proofErr w:type="gramEnd"/>
      <w:r>
        <w:t xml:space="preserve">. The requirement to disclose amounts held in trust </w:t>
      </w:r>
      <w:proofErr w:type="gramStart"/>
      <w:r>
        <w:t>is already covered</w:t>
      </w:r>
      <w:proofErr w:type="gramEnd"/>
      <w:r>
        <w:t xml:space="preserve"> in section 31 of the rule.</w:t>
      </w:r>
    </w:p>
    <w:p w:rsidR="005B171F" w:rsidRDefault="002D7154" w:rsidP="005B171F">
      <w:pPr>
        <w:pStyle w:val="ListParagraph"/>
        <w:spacing w:after="100"/>
        <w:ind w:left="360" w:right="-341"/>
      </w:pPr>
      <w:r>
        <w:t xml:space="preserve">Subsection 48(6) </w:t>
      </w:r>
      <w:proofErr w:type="gramStart"/>
      <w:r>
        <w:t>has been added</w:t>
      </w:r>
      <w:proofErr w:type="gramEnd"/>
      <w:r>
        <w:t xml:space="preserve"> to </w:t>
      </w:r>
      <w:r w:rsidR="00513C8F">
        <w:t xml:space="preserve">require entities to </w:t>
      </w:r>
      <w:r w:rsidR="00265A2D">
        <w:t>disclose</w:t>
      </w:r>
      <w:r w:rsidR="00513C8F">
        <w:t xml:space="preserve"> special account balances as cash </w:t>
      </w:r>
      <w:r w:rsidR="00265A2D">
        <w:t>held by the entity or held in the Official Public Account</w:t>
      </w:r>
      <w:r w:rsidR="00513C8F">
        <w:t>. M</w:t>
      </w:r>
      <w:r w:rsidR="00D8231E">
        <w:t>inor editorial amendment</w:t>
      </w:r>
      <w:r w:rsidR="00513C8F">
        <w:t>s</w:t>
      </w:r>
      <w:r w:rsidR="00D8231E">
        <w:t xml:space="preserve"> </w:t>
      </w:r>
      <w:proofErr w:type="gramStart"/>
      <w:r w:rsidR="00D8231E">
        <w:t>ha</w:t>
      </w:r>
      <w:r w:rsidR="00513C8F">
        <w:t>ve</w:t>
      </w:r>
      <w:r w:rsidR="00D8231E">
        <w:t xml:space="preserve"> also been made</w:t>
      </w:r>
      <w:proofErr w:type="gramEnd"/>
      <w:r w:rsidR="00265A2D">
        <w:t xml:space="preserve"> to other subsections</w:t>
      </w:r>
      <w:r w:rsidR="00D8231E">
        <w:t>.</w:t>
      </w:r>
    </w:p>
    <w:p w:rsidR="008D5ED9" w:rsidRDefault="008D5ED9" w:rsidP="005B171F">
      <w:pPr>
        <w:pStyle w:val="ListParagraph"/>
        <w:spacing w:after="100"/>
        <w:ind w:left="360" w:right="-341"/>
      </w:pPr>
    </w:p>
    <w:p w:rsidR="00BA129C" w:rsidRPr="00A813A7" w:rsidRDefault="00BA129C" w:rsidP="00A813A7">
      <w:pPr>
        <w:spacing w:after="100"/>
        <w:ind w:right="-341"/>
        <w:rPr>
          <w:sz w:val="22"/>
        </w:rPr>
      </w:pPr>
      <w:r w:rsidRPr="00A813A7">
        <w:rPr>
          <w:sz w:val="22"/>
        </w:rPr>
        <w:br w:type="page"/>
      </w:r>
    </w:p>
    <w:p w:rsidR="00F53ADE" w:rsidRPr="00647838" w:rsidRDefault="00F53ADE" w:rsidP="00F53ADE">
      <w:pPr>
        <w:pStyle w:val="Heading1"/>
        <w:rPr>
          <w:u w:val="single"/>
          <w:lang w:val="en-AU"/>
        </w:rPr>
      </w:pPr>
      <w:r w:rsidRPr="00647838">
        <w:rPr>
          <w:u w:val="single"/>
          <w:lang w:val="en-AU"/>
        </w:rPr>
        <w:lastRenderedPageBreak/>
        <w:t>Explanatory Statement</w:t>
      </w:r>
      <w:r w:rsidR="00421053" w:rsidRPr="00647838">
        <w:rPr>
          <w:u w:val="single"/>
          <w:lang w:val="en-AU"/>
        </w:rPr>
        <w:t xml:space="preserve"> – Attachment B</w:t>
      </w:r>
    </w:p>
    <w:p w:rsidR="00F53ADE" w:rsidRDefault="00F53ADE" w:rsidP="00F53ADE">
      <w:pPr>
        <w:pStyle w:val="Heading1"/>
        <w:spacing w:after="120"/>
        <w:rPr>
          <w:rFonts w:ascii="Calibri" w:hAnsi="Calibri" w:cs="Arial"/>
          <w:i/>
          <w:iCs/>
          <w:sz w:val="22"/>
          <w:szCs w:val="22"/>
          <w:lang w:val="en-AU"/>
        </w:rPr>
      </w:pPr>
    </w:p>
    <w:p w:rsidR="00BA129C" w:rsidRPr="00FA4C97" w:rsidRDefault="00BA129C" w:rsidP="00BA129C">
      <w:pPr>
        <w:jc w:val="center"/>
        <w:rPr>
          <w:b/>
          <w:sz w:val="36"/>
        </w:rPr>
      </w:pPr>
      <w:r w:rsidRPr="00FA4C97">
        <w:rPr>
          <w:b/>
          <w:sz w:val="36"/>
        </w:rPr>
        <w:t>Statement of Compatibility with Human Rights</w:t>
      </w:r>
    </w:p>
    <w:p w:rsidR="00524B43" w:rsidRDefault="00BA129C" w:rsidP="00BA129C">
      <w:pPr>
        <w:jc w:val="center"/>
        <w:rPr>
          <w:i/>
        </w:rPr>
      </w:pPr>
      <w:r w:rsidRPr="00FA5D6D">
        <w:t>Prepared in accordance with</w:t>
      </w:r>
      <w:r>
        <w:rPr>
          <w:i/>
        </w:rPr>
        <w:t xml:space="preserve"> </w:t>
      </w:r>
      <w:r w:rsidRPr="00FA5D6D">
        <w:t>Part 3 of the</w:t>
      </w:r>
      <w:r>
        <w:rPr>
          <w:i/>
        </w:rPr>
        <w:t xml:space="preserve"> </w:t>
      </w:r>
    </w:p>
    <w:p w:rsidR="00BA129C" w:rsidRDefault="00BA129C" w:rsidP="00BA129C">
      <w:pPr>
        <w:jc w:val="center"/>
        <w:rPr>
          <w:i/>
        </w:rPr>
      </w:pPr>
      <w:r>
        <w:rPr>
          <w:i/>
        </w:rPr>
        <w:t>Human Rights (Parliamentary Scrutiny) Act 2011</w:t>
      </w:r>
      <w:r w:rsidR="00091CF8">
        <w:rPr>
          <w:i/>
        </w:rPr>
        <w:t>, section 9</w:t>
      </w:r>
    </w:p>
    <w:p w:rsidR="00BA129C" w:rsidRDefault="00BA129C" w:rsidP="00BA129C">
      <w:pPr>
        <w:jc w:val="center"/>
        <w:rPr>
          <w:i/>
        </w:rPr>
      </w:pPr>
    </w:p>
    <w:p w:rsidR="00BA129C" w:rsidRDefault="0043071F" w:rsidP="00BA129C">
      <w:pPr>
        <w:jc w:val="center"/>
        <w:rPr>
          <w:b/>
          <w:sz w:val="28"/>
        </w:rPr>
      </w:pPr>
      <w:r w:rsidRPr="003E7A7B">
        <w:rPr>
          <w:b/>
          <w:i/>
          <w:sz w:val="28"/>
        </w:rPr>
        <w:t xml:space="preserve">Public Governance, Performance and Accountability (Financial Reporting) </w:t>
      </w:r>
      <w:r w:rsidR="00150320">
        <w:rPr>
          <w:b/>
          <w:i/>
          <w:sz w:val="28"/>
        </w:rPr>
        <w:t xml:space="preserve">Amendment </w:t>
      </w:r>
      <w:r w:rsidRPr="003E7A7B">
        <w:rPr>
          <w:b/>
          <w:i/>
          <w:sz w:val="28"/>
        </w:rPr>
        <w:t xml:space="preserve">Rule </w:t>
      </w:r>
      <w:r w:rsidR="008F774A">
        <w:rPr>
          <w:b/>
          <w:i/>
          <w:sz w:val="28"/>
        </w:rPr>
        <w:t xml:space="preserve">(Miscellaneous) </w:t>
      </w:r>
      <w:r w:rsidRPr="003E7A7B">
        <w:rPr>
          <w:b/>
          <w:i/>
          <w:sz w:val="28"/>
        </w:rPr>
        <w:t>201</w:t>
      </w:r>
      <w:r w:rsidR="00150320">
        <w:rPr>
          <w:b/>
          <w:i/>
          <w:sz w:val="28"/>
        </w:rPr>
        <w:t>6</w:t>
      </w:r>
    </w:p>
    <w:p w:rsidR="0043071F" w:rsidRPr="00BA129C" w:rsidRDefault="0043071F" w:rsidP="0043071F">
      <w:pPr>
        <w:rPr>
          <w:b/>
          <w:sz w:val="28"/>
        </w:rPr>
      </w:pPr>
    </w:p>
    <w:p w:rsidR="00E835FF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The proposed amendments do not engage any of the applicable rights or freedoms outlined in the </w:t>
      </w:r>
      <w:r w:rsidRPr="00662BFB">
        <w:rPr>
          <w:i/>
          <w:iCs/>
        </w:rPr>
        <w:t>Human Rights (Parliamentary Scrutiny) Act 2011</w:t>
      </w:r>
      <w:r w:rsidRPr="00662BFB">
        <w:t xml:space="preserve">, such as encompassed in the </w:t>
      </w:r>
      <w:r w:rsidRPr="00662BFB">
        <w:rPr>
          <w:i/>
          <w:iCs/>
        </w:rPr>
        <w:t>International Covenant on Civil and Political Rights</w:t>
      </w:r>
      <w:r w:rsidRPr="00662BFB">
        <w:t>.</w:t>
      </w:r>
    </w:p>
    <w:p w:rsidR="00E835FF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The proposed amendments do not limit any human rights, nor propose any offences or penalties.  </w:t>
      </w:r>
    </w:p>
    <w:p w:rsidR="00F53ADE" w:rsidRPr="00662BFB" w:rsidRDefault="00F53ADE" w:rsidP="00E44934">
      <w:pPr>
        <w:pStyle w:val="ListParagraph"/>
        <w:numPr>
          <w:ilvl w:val="0"/>
          <w:numId w:val="6"/>
        </w:numPr>
        <w:spacing w:before="120" w:after="120"/>
        <w:rPr>
          <w:rFonts w:ascii="Calibri" w:eastAsiaTheme="minorHAnsi" w:hAnsi="Calibri"/>
        </w:rPr>
      </w:pPr>
      <w:r w:rsidRPr="00662BFB">
        <w:t xml:space="preserve">This legislative instrument is therefore compatible with the human rights and freedoms recognised or declared in the international instruments listed in subsection 3(1) of the </w:t>
      </w:r>
      <w:r w:rsidRPr="00662BFB">
        <w:rPr>
          <w:i/>
          <w:iCs/>
        </w:rPr>
        <w:t xml:space="preserve">Human Rights (Parliamentary Scrutiny) Act </w:t>
      </w:r>
      <w:r w:rsidRPr="00091CF8">
        <w:rPr>
          <w:i/>
          <w:iCs/>
        </w:rPr>
        <w:t>2011</w:t>
      </w:r>
      <w:r w:rsidRPr="00091CF8">
        <w:rPr>
          <w:bCs/>
        </w:rPr>
        <w:t>.</w:t>
      </w:r>
    </w:p>
    <w:p w:rsidR="00B3043B" w:rsidRDefault="00B3043B" w:rsidP="00B3043B">
      <w:pPr>
        <w:spacing w:after="100"/>
        <w:ind w:right="-341"/>
      </w:pPr>
    </w:p>
    <w:p w:rsidR="00BA129C" w:rsidRPr="00933F1E" w:rsidRDefault="00091CF8" w:rsidP="00BA129C">
      <w:pPr>
        <w:jc w:val="center"/>
        <w:rPr>
          <w:b/>
        </w:rPr>
      </w:pPr>
      <w:r>
        <w:rPr>
          <w:b/>
        </w:rPr>
        <w:t xml:space="preserve">Senator the Honourable </w:t>
      </w:r>
      <w:r w:rsidR="00504407">
        <w:rPr>
          <w:b/>
        </w:rPr>
        <w:t>Mathias Cormann</w:t>
      </w:r>
      <w:r w:rsidR="00BA129C" w:rsidRPr="00933F1E">
        <w:rPr>
          <w:b/>
        </w:rPr>
        <w:t xml:space="preserve">, Minister for Finance </w:t>
      </w:r>
    </w:p>
    <w:p w:rsidR="002A4F19" w:rsidRPr="00552752" w:rsidRDefault="002A4F19" w:rsidP="00AE0023">
      <w:pPr>
        <w:rPr>
          <w:sz w:val="22"/>
          <w:szCs w:val="22"/>
          <w:highlight w:val="yellow"/>
        </w:rPr>
      </w:pPr>
    </w:p>
    <w:sectPr w:rsidR="002A4F19" w:rsidRPr="00552752" w:rsidSect="00091CF8">
      <w:pgSz w:w="11907" w:h="16840" w:code="9"/>
      <w:pgMar w:top="993" w:right="1797" w:bottom="709" w:left="17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25" w:rsidRDefault="00E14925">
      <w:r>
        <w:separator/>
      </w:r>
    </w:p>
  </w:endnote>
  <w:endnote w:type="continuationSeparator" w:id="0">
    <w:p w:rsidR="00E14925" w:rsidRDefault="00E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5"/>
      <w:gridCol w:w="5954"/>
      <w:gridCol w:w="673"/>
    </w:tblGrid>
    <w:tr w:rsidR="00E14925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E14925" w:rsidRPr="006B1927" w:rsidRDefault="00E14925" w:rsidP="00557BB0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E14925" w:rsidRDefault="00E14925" w:rsidP="008F774A">
          <w:pPr>
            <w:pStyle w:val="Footer"/>
            <w:jc w:val="center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</w:p>
        <w:p w:rsidR="00E14925" w:rsidRPr="00EF11AE" w:rsidRDefault="00E14925" w:rsidP="008F774A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 xml:space="preserve"> (</w:t>
          </w:r>
          <w:r w:rsidR="007510B4">
            <w:rPr>
              <w:rFonts w:ascii="Arial" w:hAnsi="Arial"/>
              <w:i/>
              <w:sz w:val="18"/>
            </w:rPr>
            <w:t>Tiered Reporting and Other Measures</w:t>
          </w:r>
          <w:r>
            <w:rPr>
              <w:rFonts w:ascii="Arial" w:hAnsi="Arial"/>
              <w:i/>
              <w:sz w:val="18"/>
            </w:rPr>
            <w:t>) Rule 201</w:t>
          </w:r>
          <w:r w:rsidR="007510B4">
            <w:rPr>
              <w:rFonts w:ascii="Arial" w:hAnsi="Arial"/>
              <w:i/>
              <w:sz w:val="18"/>
            </w:rPr>
            <w:t>7</w:t>
          </w:r>
        </w:p>
        <w:p w:rsidR="00E14925" w:rsidRDefault="00E14925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C435EA">
            <w:rPr>
              <w:rStyle w:val="PageNumber"/>
              <w:rFonts w:ascii="Arial" w:hAnsi="Arial" w:cs="Arial"/>
              <w:noProof/>
            </w:rPr>
            <w:t>4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E14925" w:rsidRDefault="00E1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5"/>
      <w:gridCol w:w="5954"/>
      <w:gridCol w:w="673"/>
    </w:tblGrid>
    <w:tr w:rsidR="00E14925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E14925" w:rsidRDefault="00E14925" w:rsidP="00192834">
          <w:pPr>
            <w:pStyle w:val="Footer"/>
            <w:jc w:val="center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</w:p>
        <w:p w:rsidR="00E14925" w:rsidRPr="00EF11AE" w:rsidRDefault="00E14925" w:rsidP="00192834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 xml:space="preserve"> (Miscellaneous) Rule 2016</w:t>
          </w:r>
        </w:p>
        <w:p w:rsidR="00E14925" w:rsidRDefault="00E14925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C435EA">
            <w:rPr>
              <w:rStyle w:val="PageNumber"/>
              <w:rFonts w:ascii="Arial" w:hAnsi="Arial" w:cs="Arial"/>
              <w:noProof/>
            </w:rPr>
            <w:t>3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E14925" w:rsidRDefault="00E1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25" w:rsidRDefault="00E14925">
      <w:r>
        <w:separator/>
      </w:r>
    </w:p>
  </w:footnote>
  <w:footnote w:type="continuationSeparator" w:id="0">
    <w:p w:rsidR="00E14925" w:rsidRDefault="00E1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25" w:rsidRDefault="00E14925">
    <w:pPr>
      <w:pStyle w:val="Header"/>
      <w:pBdr>
        <w:between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20AB"/>
    <w:multiLevelType w:val="hybridMultilevel"/>
    <w:tmpl w:val="D122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9D7"/>
    <w:multiLevelType w:val="multilevel"/>
    <w:tmpl w:val="1DD006AA"/>
    <w:lvl w:ilvl="0">
      <w:start w:val="1"/>
      <w:numFmt w:val="bullet"/>
      <w:pStyle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8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</w:abstractNum>
  <w:abstractNum w:abstractNumId="2" w15:restartNumberingAfterBreak="0">
    <w:nsid w:val="22ED0DF7"/>
    <w:multiLevelType w:val="hybridMultilevel"/>
    <w:tmpl w:val="99524468"/>
    <w:lvl w:ilvl="0" w:tplc="D48451A8">
      <w:start w:val="1"/>
      <w:numFmt w:val="bullet"/>
      <w:pStyle w:val="StyleNew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</w:rPr>
    </w:lvl>
    <w:lvl w:ilvl="1" w:tplc="F294D27C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53FD"/>
    <w:multiLevelType w:val="hybridMultilevel"/>
    <w:tmpl w:val="F6E08226"/>
    <w:lvl w:ilvl="0" w:tplc="CAA24094">
      <w:start w:val="2"/>
      <w:numFmt w:val="decimal"/>
      <w:pStyle w:val="Numbered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51A0B"/>
    <w:multiLevelType w:val="hybridMultilevel"/>
    <w:tmpl w:val="F11AFA8E"/>
    <w:lvl w:ilvl="0" w:tplc="B442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453FF"/>
    <w:multiLevelType w:val="hybridMultilevel"/>
    <w:tmpl w:val="3D72ADDC"/>
    <w:lvl w:ilvl="0" w:tplc="518600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CA3C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AE8450">
      <w:start w:val="1"/>
      <w:numFmt w:val="lowerLetter"/>
      <w:pStyle w:val="AmendmentHeading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3CA284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7" w15:restartNumberingAfterBreak="0">
    <w:nsid w:val="5E815138"/>
    <w:multiLevelType w:val="multilevel"/>
    <w:tmpl w:val="1578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A38338E"/>
    <w:multiLevelType w:val="singleLevel"/>
    <w:tmpl w:val="2922866A"/>
    <w:lvl w:ilvl="0">
      <w:start w:val="1"/>
      <w:numFmt w:val="bullet"/>
      <w:pStyle w:val="Colon"/>
      <w:lvlText w:val="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20"/>
  <w:displayHorizontalDrawingGridEvery w:val="2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71"/>
    <w:rsid w:val="000006AD"/>
    <w:rsid w:val="00005B1F"/>
    <w:rsid w:val="0000674E"/>
    <w:rsid w:val="000225FF"/>
    <w:rsid w:val="00025A18"/>
    <w:rsid w:val="00026225"/>
    <w:rsid w:val="000359A8"/>
    <w:rsid w:val="00037F5D"/>
    <w:rsid w:val="00037F9E"/>
    <w:rsid w:val="000431C7"/>
    <w:rsid w:val="00046DF4"/>
    <w:rsid w:val="00047EC3"/>
    <w:rsid w:val="00051243"/>
    <w:rsid w:val="00061CFC"/>
    <w:rsid w:val="0007348C"/>
    <w:rsid w:val="00080103"/>
    <w:rsid w:val="00080BD7"/>
    <w:rsid w:val="00080F3C"/>
    <w:rsid w:val="000828E6"/>
    <w:rsid w:val="00082AF0"/>
    <w:rsid w:val="0008325B"/>
    <w:rsid w:val="000849FA"/>
    <w:rsid w:val="00086BCA"/>
    <w:rsid w:val="000877BA"/>
    <w:rsid w:val="00087D74"/>
    <w:rsid w:val="00091CF8"/>
    <w:rsid w:val="000922BC"/>
    <w:rsid w:val="00092773"/>
    <w:rsid w:val="000929A9"/>
    <w:rsid w:val="000A154D"/>
    <w:rsid w:val="000A2D37"/>
    <w:rsid w:val="000A5D30"/>
    <w:rsid w:val="000B0097"/>
    <w:rsid w:val="000B5C59"/>
    <w:rsid w:val="000D5BC6"/>
    <w:rsid w:val="000D6AA8"/>
    <w:rsid w:val="000F0D7E"/>
    <w:rsid w:val="000F357C"/>
    <w:rsid w:val="000F39BE"/>
    <w:rsid w:val="000F54DA"/>
    <w:rsid w:val="000F611B"/>
    <w:rsid w:val="00100533"/>
    <w:rsid w:val="00100D03"/>
    <w:rsid w:val="001025A9"/>
    <w:rsid w:val="00107D09"/>
    <w:rsid w:val="00120B88"/>
    <w:rsid w:val="00131A52"/>
    <w:rsid w:val="00136DC3"/>
    <w:rsid w:val="00147057"/>
    <w:rsid w:val="00150320"/>
    <w:rsid w:val="00152759"/>
    <w:rsid w:val="00152F75"/>
    <w:rsid w:val="00157755"/>
    <w:rsid w:val="00162D25"/>
    <w:rsid w:val="00165423"/>
    <w:rsid w:val="00171AE6"/>
    <w:rsid w:val="00172AAE"/>
    <w:rsid w:val="00186884"/>
    <w:rsid w:val="00187921"/>
    <w:rsid w:val="00191A88"/>
    <w:rsid w:val="00192834"/>
    <w:rsid w:val="00192B28"/>
    <w:rsid w:val="00194265"/>
    <w:rsid w:val="001A1BDE"/>
    <w:rsid w:val="001A5CE0"/>
    <w:rsid w:val="001B3EE8"/>
    <w:rsid w:val="001D2D11"/>
    <w:rsid w:val="001D2E78"/>
    <w:rsid w:val="001D3594"/>
    <w:rsid w:val="001D6154"/>
    <w:rsid w:val="001E0E7C"/>
    <w:rsid w:val="001E451E"/>
    <w:rsid w:val="001F3301"/>
    <w:rsid w:val="001F4437"/>
    <w:rsid w:val="001F63DC"/>
    <w:rsid w:val="00205DBF"/>
    <w:rsid w:val="002256D1"/>
    <w:rsid w:val="00244804"/>
    <w:rsid w:val="00246B5F"/>
    <w:rsid w:val="0025231B"/>
    <w:rsid w:val="002559F4"/>
    <w:rsid w:val="00260C0B"/>
    <w:rsid w:val="002619D9"/>
    <w:rsid w:val="00264B34"/>
    <w:rsid w:val="00265A2D"/>
    <w:rsid w:val="00272419"/>
    <w:rsid w:val="00280BE8"/>
    <w:rsid w:val="0028188A"/>
    <w:rsid w:val="00283A8B"/>
    <w:rsid w:val="00283EB3"/>
    <w:rsid w:val="002914C7"/>
    <w:rsid w:val="00291940"/>
    <w:rsid w:val="00291AF2"/>
    <w:rsid w:val="0029530D"/>
    <w:rsid w:val="002A0BFE"/>
    <w:rsid w:val="002A1AC4"/>
    <w:rsid w:val="002A2256"/>
    <w:rsid w:val="002A4F19"/>
    <w:rsid w:val="002B0ECE"/>
    <w:rsid w:val="002B2A8F"/>
    <w:rsid w:val="002B519F"/>
    <w:rsid w:val="002C2376"/>
    <w:rsid w:val="002C61CF"/>
    <w:rsid w:val="002D46B0"/>
    <w:rsid w:val="002D7154"/>
    <w:rsid w:val="002E02B6"/>
    <w:rsid w:val="002E5296"/>
    <w:rsid w:val="002E56A4"/>
    <w:rsid w:val="002E6107"/>
    <w:rsid w:val="002E6FC0"/>
    <w:rsid w:val="002F07C0"/>
    <w:rsid w:val="002F413D"/>
    <w:rsid w:val="00313323"/>
    <w:rsid w:val="0031543F"/>
    <w:rsid w:val="00316808"/>
    <w:rsid w:val="00317818"/>
    <w:rsid w:val="00334843"/>
    <w:rsid w:val="0034240F"/>
    <w:rsid w:val="00342FE2"/>
    <w:rsid w:val="0035006A"/>
    <w:rsid w:val="00377742"/>
    <w:rsid w:val="00377E45"/>
    <w:rsid w:val="00380F37"/>
    <w:rsid w:val="003846EF"/>
    <w:rsid w:val="0039160A"/>
    <w:rsid w:val="00393A73"/>
    <w:rsid w:val="00397D8B"/>
    <w:rsid w:val="003A158A"/>
    <w:rsid w:val="003A7F2B"/>
    <w:rsid w:val="003B0BCD"/>
    <w:rsid w:val="003B6541"/>
    <w:rsid w:val="003B7D2E"/>
    <w:rsid w:val="003C3115"/>
    <w:rsid w:val="003C52C7"/>
    <w:rsid w:val="003C52D4"/>
    <w:rsid w:val="003D3B28"/>
    <w:rsid w:val="003D7C22"/>
    <w:rsid w:val="003E1B8D"/>
    <w:rsid w:val="003E2256"/>
    <w:rsid w:val="003E4D0F"/>
    <w:rsid w:val="003E590E"/>
    <w:rsid w:val="003E6864"/>
    <w:rsid w:val="003E7A7B"/>
    <w:rsid w:val="003E7DE2"/>
    <w:rsid w:val="003F1486"/>
    <w:rsid w:val="003F4C4C"/>
    <w:rsid w:val="00401667"/>
    <w:rsid w:val="00402FEF"/>
    <w:rsid w:val="004079A5"/>
    <w:rsid w:val="00407B73"/>
    <w:rsid w:val="00414B72"/>
    <w:rsid w:val="00415CC5"/>
    <w:rsid w:val="00420E32"/>
    <w:rsid w:val="00421053"/>
    <w:rsid w:val="00421949"/>
    <w:rsid w:val="0043008C"/>
    <w:rsid w:val="0043071F"/>
    <w:rsid w:val="00433E04"/>
    <w:rsid w:val="004350D7"/>
    <w:rsid w:val="004373D6"/>
    <w:rsid w:val="004437CA"/>
    <w:rsid w:val="004450C3"/>
    <w:rsid w:val="00447B1D"/>
    <w:rsid w:val="00460056"/>
    <w:rsid w:val="004636B2"/>
    <w:rsid w:val="00463A94"/>
    <w:rsid w:val="00471C6A"/>
    <w:rsid w:val="0047360F"/>
    <w:rsid w:val="00474D61"/>
    <w:rsid w:val="004810EA"/>
    <w:rsid w:val="00483742"/>
    <w:rsid w:val="00485048"/>
    <w:rsid w:val="00490663"/>
    <w:rsid w:val="00492354"/>
    <w:rsid w:val="004A7FBD"/>
    <w:rsid w:val="004B3C3B"/>
    <w:rsid w:val="004B6DC8"/>
    <w:rsid w:val="004C2E3F"/>
    <w:rsid w:val="004D0284"/>
    <w:rsid w:val="004D0C5F"/>
    <w:rsid w:val="004D32CD"/>
    <w:rsid w:val="004D44EF"/>
    <w:rsid w:val="004D50FB"/>
    <w:rsid w:val="004D6E83"/>
    <w:rsid w:val="004D783B"/>
    <w:rsid w:val="004E2414"/>
    <w:rsid w:val="004E43F1"/>
    <w:rsid w:val="004E4B77"/>
    <w:rsid w:val="004E6863"/>
    <w:rsid w:val="004F37C4"/>
    <w:rsid w:val="004F5A0F"/>
    <w:rsid w:val="0050039A"/>
    <w:rsid w:val="00500498"/>
    <w:rsid w:val="00504407"/>
    <w:rsid w:val="00504894"/>
    <w:rsid w:val="00506090"/>
    <w:rsid w:val="005106EC"/>
    <w:rsid w:val="0051188E"/>
    <w:rsid w:val="00513C8F"/>
    <w:rsid w:val="005158CA"/>
    <w:rsid w:val="00517ECC"/>
    <w:rsid w:val="00524B43"/>
    <w:rsid w:val="00526615"/>
    <w:rsid w:val="00527733"/>
    <w:rsid w:val="00532337"/>
    <w:rsid w:val="005344EA"/>
    <w:rsid w:val="0053606E"/>
    <w:rsid w:val="0054303D"/>
    <w:rsid w:val="00544DC1"/>
    <w:rsid w:val="00552752"/>
    <w:rsid w:val="00557BB0"/>
    <w:rsid w:val="00560BB8"/>
    <w:rsid w:val="0056220C"/>
    <w:rsid w:val="0056441E"/>
    <w:rsid w:val="00565BEB"/>
    <w:rsid w:val="00574A5F"/>
    <w:rsid w:val="00576107"/>
    <w:rsid w:val="0057752C"/>
    <w:rsid w:val="005775C2"/>
    <w:rsid w:val="00580AA7"/>
    <w:rsid w:val="0058371C"/>
    <w:rsid w:val="00592ED3"/>
    <w:rsid w:val="00595EE8"/>
    <w:rsid w:val="005A24B2"/>
    <w:rsid w:val="005A32F6"/>
    <w:rsid w:val="005A65AF"/>
    <w:rsid w:val="005B171F"/>
    <w:rsid w:val="005D0626"/>
    <w:rsid w:val="005D07D3"/>
    <w:rsid w:val="005D0E5E"/>
    <w:rsid w:val="005D1255"/>
    <w:rsid w:val="005D54B7"/>
    <w:rsid w:val="005D561B"/>
    <w:rsid w:val="005E014D"/>
    <w:rsid w:val="005E34F3"/>
    <w:rsid w:val="005E55DD"/>
    <w:rsid w:val="005E597D"/>
    <w:rsid w:val="005E6DE6"/>
    <w:rsid w:val="005E6FAE"/>
    <w:rsid w:val="005E7724"/>
    <w:rsid w:val="005F0A83"/>
    <w:rsid w:val="005F421E"/>
    <w:rsid w:val="00602012"/>
    <w:rsid w:val="006023D2"/>
    <w:rsid w:val="0060489C"/>
    <w:rsid w:val="00612E1E"/>
    <w:rsid w:val="00622F4E"/>
    <w:rsid w:val="00634A51"/>
    <w:rsid w:val="0063500A"/>
    <w:rsid w:val="00637578"/>
    <w:rsid w:val="00637C60"/>
    <w:rsid w:val="00637DC3"/>
    <w:rsid w:val="00643CC6"/>
    <w:rsid w:val="00645069"/>
    <w:rsid w:val="00647838"/>
    <w:rsid w:val="00653198"/>
    <w:rsid w:val="00655AEE"/>
    <w:rsid w:val="00656569"/>
    <w:rsid w:val="0066001B"/>
    <w:rsid w:val="0066197A"/>
    <w:rsid w:val="00662BFB"/>
    <w:rsid w:val="00663FC9"/>
    <w:rsid w:val="00664B4F"/>
    <w:rsid w:val="00666856"/>
    <w:rsid w:val="006726F2"/>
    <w:rsid w:val="00673FA9"/>
    <w:rsid w:val="006743F7"/>
    <w:rsid w:val="00676D14"/>
    <w:rsid w:val="00686983"/>
    <w:rsid w:val="00691088"/>
    <w:rsid w:val="006938EF"/>
    <w:rsid w:val="00693D80"/>
    <w:rsid w:val="006A025B"/>
    <w:rsid w:val="006B075B"/>
    <w:rsid w:val="006B07DA"/>
    <w:rsid w:val="006B16ED"/>
    <w:rsid w:val="006B3BED"/>
    <w:rsid w:val="006B49EA"/>
    <w:rsid w:val="006B4D64"/>
    <w:rsid w:val="006C0D5B"/>
    <w:rsid w:val="006C1849"/>
    <w:rsid w:val="006C2972"/>
    <w:rsid w:val="006D0AE0"/>
    <w:rsid w:val="006D6AEE"/>
    <w:rsid w:val="006E1B49"/>
    <w:rsid w:val="006E2ABE"/>
    <w:rsid w:val="006E4996"/>
    <w:rsid w:val="007011A9"/>
    <w:rsid w:val="00704BCD"/>
    <w:rsid w:val="007107BA"/>
    <w:rsid w:val="0071140C"/>
    <w:rsid w:val="007142DC"/>
    <w:rsid w:val="00714300"/>
    <w:rsid w:val="0072275C"/>
    <w:rsid w:val="00722F61"/>
    <w:rsid w:val="0072401B"/>
    <w:rsid w:val="00726491"/>
    <w:rsid w:val="007329EA"/>
    <w:rsid w:val="007334F8"/>
    <w:rsid w:val="007356CC"/>
    <w:rsid w:val="00737756"/>
    <w:rsid w:val="007415A3"/>
    <w:rsid w:val="0074667E"/>
    <w:rsid w:val="007510B4"/>
    <w:rsid w:val="00753CD8"/>
    <w:rsid w:val="00770FCA"/>
    <w:rsid w:val="00781368"/>
    <w:rsid w:val="007816D7"/>
    <w:rsid w:val="00781CF3"/>
    <w:rsid w:val="00782EF0"/>
    <w:rsid w:val="00783638"/>
    <w:rsid w:val="00784361"/>
    <w:rsid w:val="0078564E"/>
    <w:rsid w:val="00792494"/>
    <w:rsid w:val="00792E4C"/>
    <w:rsid w:val="007A5E36"/>
    <w:rsid w:val="007B19C1"/>
    <w:rsid w:val="007B2238"/>
    <w:rsid w:val="007C186E"/>
    <w:rsid w:val="007C424A"/>
    <w:rsid w:val="007C43FC"/>
    <w:rsid w:val="007C559A"/>
    <w:rsid w:val="007D036E"/>
    <w:rsid w:val="007E4038"/>
    <w:rsid w:val="007E6787"/>
    <w:rsid w:val="007E704C"/>
    <w:rsid w:val="007E7DC5"/>
    <w:rsid w:val="007F01FA"/>
    <w:rsid w:val="007F1E8F"/>
    <w:rsid w:val="007F4300"/>
    <w:rsid w:val="00800BFF"/>
    <w:rsid w:val="00801B54"/>
    <w:rsid w:val="00802A29"/>
    <w:rsid w:val="00804FB8"/>
    <w:rsid w:val="008063B7"/>
    <w:rsid w:val="008068CF"/>
    <w:rsid w:val="0081179F"/>
    <w:rsid w:val="00820235"/>
    <w:rsid w:val="00822284"/>
    <w:rsid w:val="008228F4"/>
    <w:rsid w:val="00826F2F"/>
    <w:rsid w:val="0083136D"/>
    <w:rsid w:val="0083205F"/>
    <w:rsid w:val="008325BE"/>
    <w:rsid w:val="00833243"/>
    <w:rsid w:val="008356AC"/>
    <w:rsid w:val="00846FCB"/>
    <w:rsid w:val="00850535"/>
    <w:rsid w:val="00851C50"/>
    <w:rsid w:val="00852AF7"/>
    <w:rsid w:val="008658C0"/>
    <w:rsid w:val="00867E15"/>
    <w:rsid w:val="00877539"/>
    <w:rsid w:val="00883EF9"/>
    <w:rsid w:val="00885099"/>
    <w:rsid w:val="008921CA"/>
    <w:rsid w:val="0089329B"/>
    <w:rsid w:val="00894B98"/>
    <w:rsid w:val="008968B4"/>
    <w:rsid w:val="008A00E5"/>
    <w:rsid w:val="008A1BDA"/>
    <w:rsid w:val="008A6315"/>
    <w:rsid w:val="008A7621"/>
    <w:rsid w:val="008B23D0"/>
    <w:rsid w:val="008C0198"/>
    <w:rsid w:val="008C15F5"/>
    <w:rsid w:val="008D0219"/>
    <w:rsid w:val="008D1087"/>
    <w:rsid w:val="008D4E91"/>
    <w:rsid w:val="008D5ED9"/>
    <w:rsid w:val="008E144D"/>
    <w:rsid w:val="008E1EF8"/>
    <w:rsid w:val="008E64A4"/>
    <w:rsid w:val="008F0FE1"/>
    <w:rsid w:val="008F48A3"/>
    <w:rsid w:val="008F631D"/>
    <w:rsid w:val="008F774A"/>
    <w:rsid w:val="009004C4"/>
    <w:rsid w:val="00903BC5"/>
    <w:rsid w:val="00920E7B"/>
    <w:rsid w:val="009212D5"/>
    <w:rsid w:val="00921AAE"/>
    <w:rsid w:val="009301EC"/>
    <w:rsid w:val="00932D06"/>
    <w:rsid w:val="00933FDE"/>
    <w:rsid w:val="00935A56"/>
    <w:rsid w:val="0093607D"/>
    <w:rsid w:val="00947296"/>
    <w:rsid w:val="009565DD"/>
    <w:rsid w:val="00957770"/>
    <w:rsid w:val="00957B20"/>
    <w:rsid w:val="00962C2B"/>
    <w:rsid w:val="009646B1"/>
    <w:rsid w:val="00966042"/>
    <w:rsid w:val="00966BE4"/>
    <w:rsid w:val="00973D8F"/>
    <w:rsid w:val="009743A6"/>
    <w:rsid w:val="009766BD"/>
    <w:rsid w:val="009873C4"/>
    <w:rsid w:val="009900EE"/>
    <w:rsid w:val="009A03BF"/>
    <w:rsid w:val="009A158E"/>
    <w:rsid w:val="009A40AB"/>
    <w:rsid w:val="009A51A2"/>
    <w:rsid w:val="009A6ACB"/>
    <w:rsid w:val="009A7188"/>
    <w:rsid w:val="009B5ABE"/>
    <w:rsid w:val="009C6DA8"/>
    <w:rsid w:val="009D0F0F"/>
    <w:rsid w:val="009D2058"/>
    <w:rsid w:val="009D2CB0"/>
    <w:rsid w:val="009D3BA7"/>
    <w:rsid w:val="009D42C3"/>
    <w:rsid w:val="009D50F8"/>
    <w:rsid w:val="009E2A6F"/>
    <w:rsid w:val="009E3AC5"/>
    <w:rsid w:val="009E4155"/>
    <w:rsid w:val="009E5297"/>
    <w:rsid w:val="009F4285"/>
    <w:rsid w:val="00A02879"/>
    <w:rsid w:val="00A03E9B"/>
    <w:rsid w:val="00A04C8D"/>
    <w:rsid w:val="00A13A6F"/>
    <w:rsid w:val="00A13C0C"/>
    <w:rsid w:val="00A14A22"/>
    <w:rsid w:val="00A15936"/>
    <w:rsid w:val="00A17E7E"/>
    <w:rsid w:val="00A22631"/>
    <w:rsid w:val="00A242F8"/>
    <w:rsid w:val="00A25B03"/>
    <w:rsid w:val="00A26C80"/>
    <w:rsid w:val="00A365D1"/>
    <w:rsid w:val="00A36BEF"/>
    <w:rsid w:val="00A36EDF"/>
    <w:rsid w:val="00A37F70"/>
    <w:rsid w:val="00A40D51"/>
    <w:rsid w:val="00A444FC"/>
    <w:rsid w:val="00A453BF"/>
    <w:rsid w:val="00A515D7"/>
    <w:rsid w:val="00A54AC3"/>
    <w:rsid w:val="00A66004"/>
    <w:rsid w:val="00A72962"/>
    <w:rsid w:val="00A74B02"/>
    <w:rsid w:val="00A75307"/>
    <w:rsid w:val="00A813A7"/>
    <w:rsid w:val="00A82581"/>
    <w:rsid w:val="00A87691"/>
    <w:rsid w:val="00A9217D"/>
    <w:rsid w:val="00A92C78"/>
    <w:rsid w:val="00A956FA"/>
    <w:rsid w:val="00AA3B70"/>
    <w:rsid w:val="00AC3C71"/>
    <w:rsid w:val="00AC4724"/>
    <w:rsid w:val="00AC7E87"/>
    <w:rsid w:val="00AD23B9"/>
    <w:rsid w:val="00AD782F"/>
    <w:rsid w:val="00AE000F"/>
    <w:rsid w:val="00AE0023"/>
    <w:rsid w:val="00AE316C"/>
    <w:rsid w:val="00AF00A4"/>
    <w:rsid w:val="00AF1341"/>
    <w:rsid w:val="00AF493A"/>
    <w:rsid w:val="00AF4F1F"/>
    <w:rsid w:val="00AF5175"/>
    <w:rsid w:val="00AF6CC3"/>
    <w:rsid w:val="00B00F76"/>
    <w:rsid w:val="00B03931"/>
    <w:rsid w:val="00B04180"/>
    <w:rsid w:val="00B04D05"/>
    <w:rsid w:val="00B0703A"/>
    <w:rsid w:val="00B12D7B"/>
    <w:rsid w:val="00B1303F"/>
    <w:rsid w:val="00B14E83"/>
    <w:rsid w:val="00B163FC"/>
    <w:rsid w:val="00B2178C"/>
    <w:rsid w:val="00B23E29"/>
    <w:rsid w:val="00B3043B"/>
    <w:rsid w:val="00B33711"/>
    <w:rsid w:val="00B3474A"/>
    <w:rsid w:val="00B400D9"/>
    <w:rsid w:val="00B403FC"/>
    <w:rsid w:val="00B40BF9"/>
    <w:rsid w:val="00B546C3"/>
    <w:rsid w:val="00B57F74"/>
    <w:rsid w:val="00B60189"/>
    <w:rsid w:val="00B60A92"/>
    <w:rsid w:val="00B6108D"/>
    <w:rsid w:val="00B66C72"/>
    <w:rsid w:val="00B77B86"/>
    <w:rsid w:val="00B8228D"/>
    <w:rsid w:val="00B83BCD"/>
    <w:rsid w:val="00B8691D"/>
    <w:rsid w:val="00B92945"/>
    <w:rsid w:val="00BA0F45"/>
    <w:rsid w:val="00BA129C"/>
    <w:rsid w:val="00BA3775"/>
    <w:rsid w:val="00BA4BD5"/>
    <w:rsid w:val="00BB1181"/>
    <w:rsid w:val="00BB2BFB"/>
    <w:rsid w:val="00BC3AA2"/>
    <w:rsid w:val="00BC79C3"/>
    <w:rsid w:val="00BE10C4"/>
    <w:rsid w:val="00BE1461"/>
    <w:rsid w:val="00BE2929"/>
    <w:rsid w:val="00BF1257"/>
    <w:rsid w:val="00BF642F"/>
    <w:rsid w:val="00C04EDA"/>
    <w:rsid w:val="00C07FE4"/>
    <w:rsid w:val="00C1173D"/>
    <w:rsid w:val="00C1317F"/>
    <w:rsid w:val="00C1372C"/>
    <w:rsid w:val="00C16078"/>
    <w:rsid w:val="00C20B32"/>
    <w:rsid w:val="00C21AFD"/>
    <w:rsid w:val="00C23646"/>
    <w:rsid w:val="00C42242"/>
    <w:rsid w:val="00C435EA"/>
    <w:rsid w:val="00C45A5C"/>
    <w:rsid w:val="00C5251E"/>
    <w:rsid w:val="00C5393C"/>
    <w:rsid w:val="00C54B34"/>
    <w:rsid w:val="00C57046"/>
    <w:rsid w:val="00C61AB9"/>
    <w:rsid w:val="00C62D1C"/>
    <w:rsid w:val="00C65E72"/>
    <w:rsid w:val="00C748B2"/>
    <w:rsid w:val="00C74DEE"/>
    <w:rsid w:val="00C759D1"/>
    <w:rsid w:val="00C80021"/>
    <w:rsid w:val="00C8629C"/>
    <w:rsid w:val="00C94F6C"/>
    <w:rsid w:val="00C95FFD"/>
    <w:rsid w:val="00C97DDA"/>
    <w:rsid w:val="00CA1AB8"/>
    <w:rsid w:val="00CB0429"/>
    <w:rsid w:val="00CB165A"/>
    <w:rsid w:val="00CB2978"/>
    <w:rsid w:val="00CB2A31"/>
    <w:rsid w:val="00CC12B3"/>
    <w:rsid w:val="00CC1F2D"/>
    <w:rsid w:val="00CC6493"/>
    <w:rsid w:val="00CD5987"/>
    <w:rsid w:val="00CE37D8"/>
    <w:rsid w:val="00CE5717"/>
    <w:rsid w:val="00CE67B8"/>
    <w:rsid w:val="00CF1AE9"/>
    <w:rsid w:val="00CF2286"/>
    <w:rsid w:val="00CF60E2"/>
    <w:rsid w:val="00CF6BBF"/>
    <w:rsid w:val="00D0245E"/>
    <w:rsid w:val="00D07826"/>
    <w:rsid w:val="00D104A4"/>
    <w:rsid w:val="00D17F28"/>
    <w:rsid w:val="00D344F8"/>
    <w:rsid w:val="00D37ED2"/>
    <w:rsid w:val="00D46A63"/>
    <w:rsid w:val="00D5036C"/>
    <w:rsid w:val="00D515B1"/>
    <w:rsid w:val="00D56281"/>
    <w:rsid w:val="00D65880"/>
    <w:rsid w:val="00D72A20"/>
    <w:rsid w:val="00D75DC3"/>
    <w:rsid w:val="00D8231E"/>
    <w:rsid w:val="00D82A3C"/>
    <w:rsid w:val="00D84F5A"/>
    <w:rsid w:val="00D8500D"/>
    <w:rsid w:val="00D95A58"/>
    <w:rsid w:val="00DA003F"/>
    <w:rsid w:val="00DA3305"/>
    <w:rsid w:val="00DA47EA"/>
    <w:rsid w:val="00DA74CD"/>
    <w:rsid w:val="00DB1F1C"/>
    <w:rsid w:val="00DB29DB"/>
    <w:rsid w:val="00DC52F8"/>
    <w:rsid w:val="00DC6B86"/>
    <w:rsid w:val="00DD1D67"/>
    <w:rsid w:val="00DE0F68"/>
    <w:rsid w:val="00DE288F"/>
    <w:rsid w:val="00DF632B"/>
    <w:rsid w:val="00E02A89"/>
    <w:rsid w:val="00E061F0"/>
    <w:rsid w:val="00E13AED"/>
    <w:rsid w:val="00E14925"/>
    <w:rsid w:val="00E15E81"/>
    <w:rsid w:val="00E21A41"/>
    <w:rsid w:val="00E21BFF"/>
    <w:rsid w:val="00E22740"/>
    <w:rsid w:val="00E23480"/>
    <w:rsid w:val="00E259A1"/>
    <w:rsid w:val="00E33B33"/>
    <w:rsid w:val="00E44934"/>
    <w:rsid w:val="00E50935"/>
    <w:rsid w:val="00E5242E"/>
    <w:rsid w:val="00E53E2D"/>
    <w:rsid w:val="00E549CD"/>
    <w:rsid w:val="00E62438"/>
    <w:rsid w:val="00E6511D"/>
    <w:rsid w:val="00E65551"/>
    <w:rsid w:val="00E717FC"/>
    <w:rsid w:val="00E725EC"/>
    <w:rsid w:val="00E76533"/>
    <w:rsid w:val="00E835FF"/>
    <w:rsid w:val="00E8558E"/>
    <w:rsid w:val="00E87790"/>
    <w:rsid w:val="00E9733F"/>
    <w:rsid w:val="00EB68DA"/>
    <w:rsid w:val="00EC07FE"/>
    <w:rsid w:val="00EC1E9C"/>
    <w:rsid w:val="00EC6984"/>
    <w:rsid w:val="00ED0BE6"/>
    <w:rsid w:val="00EE2330"/>
    <w:rsid w:val="00EE4401"/>
    <w:rsid w:val="00EF3971"/>
    <w:rsid w:val="00EF773E"/>
    <w:rsid w:val="00F011CD"/>
    <w:rsid w:val="00F03DE8"/>
    <w:rsid w:val="00F04C95"/>
    <w:rsid w:val="00F04CC3"/>
    <w:rsid w:val="00F05198"/>
    <w:rsid w:val="00F056B8"/>
    <w:rsid w:val="00F12FAB"/>
    <w:rsid w:val="00F20000"/>
    <w:rsid w:val="00F20DD3"/>
    <w:rsid w:val="00F275C6"/>
    <w:rsid w:val="00F27848"/>
    <w:rsid w:val="00F33A42"/>
    <w:rsid w:val="00F3635A"/>
    <w:rsid w:val="00F42690"/>
    <w:rsid w:val="00F458E0"/>
    <w:rsid w:val="00F46D6E"/>
    <w:rsid w:val="00F473CA"/>
    <w:rsid w:val="00F478C5"/>
    <w:rsid w:val="00F52747"/>
    <w:rsid w:val="00F52BB0"/>
    <w:rsid w:val="00F53ADE"/>
    <w:rsid w:val="00F658F6"/>
    <w:rsid w:val="00F67AD6"/>
    <w:rsid w:val="00F7060C"/>
    <w:rsid w:val="00F74DBB"/>
    <w:rsid w:val="00F7561A"/>
    <w:rsid w:val="00F816BD"/>
    <w:rsid w:val="00F81B25"/>
    <w:rsid w:val="00F95328"/>
    <w:rsid w:val="00FA5D6D"/>
    <w:rsid w:val="00FB03C1"/>
    <w:rsid w:val="00FB1304"/>
    <w:rsid w:val="00FB34CC"/>
    <w:rsid w:val="00FB77AF"/>
    <w:rsid w:val="00FC13D9"/>
    <w:rsid w:val="00FC2768"/>
    <w:rsid w:val="00FD22CD"/>
    <w:rsid w:val="00FD286F"/>
    <w:rsid w:val="00FE1447"/>
    <w:rsid w:val="00FE3F5B"/>
    <w:rsid w:val="00FE3FB9"/>
    <w:rsid w:val="00FF063C"/>
    <w:rsid w:val="00FF2F93"/>
    <w:rsid w:val="00FF544E"/>
    <w:rsid w:val="00FF56D2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,"/>
  <w15:docId w15:val="{77528ED5-1D6D-493C-8D1C-7493D8D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2"/>
    <w:rPr>
      <w:sz w:val="24"/>
      <w:szCs w:val="24"/>
      <w:lang w:eastAsia="en-US"/>
    </w:rPr>
  </w:style>
  <w:style w:type="paragraph" w:styleId="Heading1">
    <w:name w:val="heading 1"/>
    <w:aliases w:val="Attribute Heading 1,h1,Attribute Heading 11,Attribute Heading 12,Attribute Heading 13,Attribute Heading 14,Attribute Heading 15,Attribute Heading 16,Attribute Heading 17,Attribute Heading 18,Attribute Heading 111,Attribute Heading 121"/>
    <w:basedOn w:val="Normal"/>
    <w:next w:val="Normal"/>
    <w:qFormat/>
    <w:rsid w:val="00FF56D2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F5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3,l3,Level 3 Head,HeadSmall,h31,31,l31,Level 3 Head1,H31,HeadSmall1,h32,32,l32,Level 3 Head2,H32,HeadSmall2,h33,33,l33,Level 3 Head3,H33,HeadSmall3,heading 31,Level 1 - 1,C Sub-Sub/Italic,h34,34,l34,Level 3 Head4,H34,heading 3,HeadSmall4"/>
    <w:basedOn w:val="Normal"/>
    <w:next w:val="Normal"/>
    <w:qFormat/>
    <w:rsid w:val="00FF56D2"/>
    <w:pPr>
      <w:keepNext/>
      <w:spacing w:before="240" w:after="60"/>
      <w:outlineLvl w:val="2"/>
    </w:pPr>
  </w:style>
  <w:style w:type="paragraph" w:styleId="Heading4">
    <w:name w:val="heading 4"/>
    <w:aliases w:val="Map Title"/>
    <w:basedOn w:val="Normal"/>
    <w:next w:val="Normal"/>
    <w:qFormat/>
    <w:rsid w:val="00FF56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56D2"/>
    <w:pPr>
      <w:keepLines/>
      <w:spacing w:before="120"/>
      <w:ind w:left="1985"/>
      <w:outlineLvl w:val="4"/>
    </w:pPr>
    <w:rPr>
      <w:b/>
      <w:bCs/>
      <w:i/>
      <w:i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FF56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56D2"/>
    <w:pPr>
      <w:keepNext/>
      <w:ind w:left="851"/>
      <w:outlineLvl w:val="6"/>
    </w:pPr>
    <w:rPr>
      <w:b/>
      <w:i/>
      <w:sz w:val="22"/>
      <w:szCs w:val="20"/>
      <w:lang w:val="en-GB"/>
    </w:rPr>
  </w:style>
  <w:style w:type="paragraph" w:styleId="Heading8">
    <w:name w:val="heading 8"/>
    <w:basedOn w:val="Normal"/>
    <w:next w:val="Normal"/>
    <w:qFormat/>
    <w:rsid w:val="00FF56D2"/>
    <w:pPr>
      <w:keepNext/>
      <w:outlineLvl w:val="7"/>
    </w:pPr>
    <w:rPr>
      <w:i/>
      <w:sz w:val="18"/>
    </w:rPr>
  </w:style>
  <w:style w:type="paragraph" w:styleId="Heading9">
    <w:name w:val="heading 9"/>
    <w:basedOn w:val="Normal"/>
    <w:next w:val="Normal"/>
    <w:qFormat/>
    <w:rsid w:val="00FF56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6D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jc w:val="center"/>
    </w:pPr>
    <w:rPr>
      <w:snapToGrid w:val="0"/>
      <w:color w:val="000000"/>
      <w:szCs w:val="20"/>
      <w:u w:val="single"/>
    </w:rPr>
  </w:style>
  <w:style w:type="paragraph" w:styleId="BodyText2">
    <w:name w:val="Body Text 2"/>
    <w:basedOn w:val="Normal"/>
    <w:rsid w:val="00FF56D2"/>
    <w:pPr>
      <w:spacing w:before="120" w:after="120"/>
      <w:jc w:val="center"/>
    </w:pPr>
    <w:rPr>
      <w:sz w:val="22"/>
      <w:lang w:val="en-US"/>
    </w:rPr>
  </w:style>
  <w:style w:type="paragraph" w:customStyle="1" w:styleId="ParaNumbering">
    <w:name w:val="Para Numbering"/>
    <w:basedOn w:val="Normal"/>
    <w:rsid w:val="00FF56D2"/>
    <w:pPr>
      <w:tabs>
        <w:tab w:val="left" w:pos="567"/>
      </w:tabs>
      <w:spacing w:after="200"/>
    </w:pPr>
    <w:rPr>
      <w:szCs w:val="20"/>
    </w:rPr>
  </w:style>
  <w:style w:type="paragraph" w:customStyle="1" w:styleId="ExplanatoryGuidance">
    <w:name w:val="Explanatory Guidance"/>
    <w:basedOn w:val="Normal"/>
    <w:rsid w:val="00FF56D2"/>
    <w:pPr>
      <w:keepNext/>
      <w:spacing w:before="200"/>
    </w:pPr>
    <w:rPr>
      <w:rFonts w:ascii="Arial" w:hAnsi="Arial"/>
      <w:szCs w:val="20"/>
      <w:lang w:val="en-GB"/>
    </w:rPr>
  </w:style>
  <w:style w:type="paragraph" w:customStyle="1" w:styleId="AmendmentHeading">
    <w:name w:val="Amendment Heading"/>
    <w:basedOn w:val="Normal"/>
    <w:rsid w:val="00FF56D2"/>
    <w:pPr>
      <w:numPr>
        <w:ilvl w:val="3"/>
        <w:numId w:val="1"/>
      </w:numPr>
      <w:tabs>
        <w:tab w:val="clear" w:pos="3240"/>
        <w:tab w:val="num" w:pos="800"/>
      </w:tabs>
      <w:spacing w:before="120"/>
      <w:ind w:left="499" w:hanging="357"/>
    </w:pPr>
    <w:rPr>
      <w:b/>
      <w:bCs/>
    </w:rPr>
  </w:style>
  <w:style w:type="paragraph" w:customStyle="1" w:styleId="Year">
    <w:name w:val="Year"/>
    <w:basedOn w:val="Normal"/>
    <w:rsid w:val="00FF56D2"/>
    <w:pPr>
      <w:keepNext/>
      <w:keepLines/>
      <w:pBdr>
        <w:bottom w:val="single" w:sz="6" w:space="3" w:color="auto"/>
      </w:pBdr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</w:pPr>
    <w:rPr>
      <w:i/>
      <w:iCs/>
      <w:sz w:val="22"/>
      <w:szCs w:val="22"/>
      <w:lang w:val="en-GB"/>
    </w:rPr>
  </w:style>
  <w:style w:type="paragraph" w:customStyle="1" w:styleId="BlackLetterText">
    <w:name w:val="Black Letter Text"/>
    <w:basedOn w:val="Heading2"/>
    <w:rsid w:val="00FF56D2"/>
    <w:pPr>
      <w:numPr>
        <w:ilvl w:val="1"/>
      </w:numPr>
      <w:spacing w:before="120" w:after="120"/>
      <w:ind w:left="72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customStyle="1" w:styleId="Policy">
    <w:name w:val="Policy"/>
    <w:basedOn w:val="Heading9"/>
    <w:rsid w:val="00FF56D2"/>
    <w:pPr>
      <w:keepNext/>
      <w:spacing w:before="200" w:after="0"/>
    </w:pPr>
    <w:rPr>
      <w:b/>
      <w:bCs/>
      <w:sz w:val="24"/>
      <w:szCs w:val="24"/>
      <w:lang w:val="en-GB"/>
    </w:rPr>
  </w:style>
  <w:style w:type="paragraph" w:customStyle="1" w:styleId="BlackLetterBP">
    <w:name w:val="Black Letter BP"/>
    <w:basedOn w:val="Heading4"/>
    <w:rsid w:val="00FF56D2"/>
    <w:pPr>
      <w:keepNext w:val="0"/>
      <w:keepLines/>
      <w:tabs>
        <w:tab w:val="num" w:pos="1440"/>
      </w:tabs>
      <w:spacing w:before="120" w:after="0"/>
      <w:ind w:left="1440" w:hanging="720"/>
      <w:jc w:val="both"/>
    </w:pPr>
    <w:rPr>
      <w:sz w:val="22"/>
      <w:szCs w:val="22"/>
    </w:rPr>
  </w:style>
  <w:style w:type="paragraph" w:customStyle="1" w:styleId="41">
    <w:name w:val="4.1"/>
    <w:basedOn w:val="Normal"/>
    <w:rsid w:val="00FF56D2"/>
    <w:rPr>
      <w:b/>
      <w:bCs/>
    </w:rPr>
  </w:style>
  <w:style w:type="paragraph" w:customStyle="1" w:styleId="SC1">
    <w:name w:val="SC1"/>
    <w:basedOn w:val="Normal"/>
    <w:rsid w:val="00FF56D2"/>
    <w:pPr>
      <w:keepNext/>
      <w:tabs>
        <w:tab w:val="left" w:pos="454"/>
      </w:tabs>
      <w:spacing w:after="60"/>
      <w:outlineLvl w:val="5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FootnoteText">
    <w:name w:val="footnote text"/>
    <w:basedOn w:val="Normal"/>
    <w:semiHidden/>
    <w:rsid w:val="00FF56D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56D2"/>
    <w:rPr>
      <w:vertAlign w:val="superscript"/>
    </w:rPr>
  </w:style>
  <w:style w:type="paragraph" w:customStyle="1" w:styleId="Colon">
    <w:name w:val="Colon"/>
    <w:basedOn w:val="Normal"/>
    <w:rsid w:val="00FF56D2"/>
    <w:pPr>
      <w:numPr>
        <w:numId w:val="2"/>
      </w:numPr>
      <w:spacing w:line="240" w:lineRule="atLeast"/>
      <w:ind w:left="0" w:firstLine="0"/>
    </w:pPr>
  </w:style>
  <w:style w:type="paragraph" w:customStyle="1" w:styleId="Tabletext">
    <w:name w:val="Table text"/>
    <w:basedOn w:val="Normal"/>
    <w:rsid w:val="00FF56D2"/>
    <w:pPr>
      <w:spacing w:before="60" w:after="60"/>
    </w:pPr>
    <w:rPr>
      <w:sz w:val="18"/>
      <w:szCs w:val="18"/>
      <w:lang w:val="en-GB"/>
    </w:rPr>
  </w:style>
  <w:style w:type="paragraph" w:customStyle="1" w:styleId="H6">
    <w:name w:val="H6"/>
    <w:basedOn w:val="Heading6"/>
    <w:rsid w:val="00FF56D2"/>
    <w:pPr>
      <w:keepNext/>
      <w:tabs>
        <w:tab w:val="left" w:pos="454"/>
      </w:tabs>
      <w:spacing w:before="0"/>
    </w:pPr>
    <w:rPr>
      <w:i/>
      <w:iCs/>
      <w:sz w:val="20"/>
      <w:szCs w:val="20"/>
    </w:rPr>
  </w:style>
  <w:style w:type="paragraph" w:customStyle="1" w:styleId="BlackLetterSubBullet">
    <w:name w:val="Black Letter Sub Bullet"/>
    <w:basedOn w:val="Heading2"/>
    <w:rsid w:val="00FF56D2"/>
    <w:pPr>
      <w:numPr>
        <w:ilvl w:val="1"/>
      </w:numPr>
      <w:tabs>
        <w:tab w:val="left" w:pos="3570"/>
      </w:tabs>
      <w:spacing w:before="120" w:after="120"/>
      <w:ind w:left="216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styleId="Header">
    <w:name w:val="header"/>
    <w:basedOn w:val="Normal"/>
    <w:rsid w:val="00FF56D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F56D2"/>
    <w:pPr>
      <w:spacing w:before="120" w:after="120"/>
      <w:jc w:val="center"/>
    </w:pPr>
    <w:rPr>
      <w:i/>
      <w:iCs/>
      <w:sz w:val="22"/>
    </w:rPr>
  </w:style>
  <w:style w:type="paragraph" w:styleId="BodyText3">
    <w:name w:val="Body Text 3"/>
    <w:basedOn w:val="Normal"/>
    <w:rsid w:val="00FF56D2"/>
    <w:pPr>
      <w:spacing w:before="120" w:after="120"/>
    </w:pPr>
    <w:rPr>
      <w:sz w:val="22"/>
    </w:rPr>
  </w:style>
  <w:style w:type="paragraph" w:customStyle="1" w:styleId="H3">
    <w:name w:val="H3"/>
    <w:basedOn w:val="Normal"/>
    <w:next w:val="Normal"/>
    <w:rsid w:val="00FF56D2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BodyTextIndent2">
    <w:name w:val="Body Text Indent 2"/>
    <w:basedOn w:val="Normal"/>
    <w:rsid w:val="00FF56D2"/>
    <w:pPr>
      <w:ind w:left="720" w:hanging="720"/>
      <w:jc w:val="both"/>
    </w:pPr>
    <w:rPr>
      <w:b/>
      <w:bCs/>
    </w:rPr>
  </w:style>
  <w:style w:type="paragraph" w:customStyle="1" w:styleId="TextboxDot">
    <w:name w:val="Text box Dot"/>
    <w:basedOn w:val="Textbox"/>
    <w:rsid w:val="00FF56D2"/>
    <w:pPr>
      <w:tabs>
        <w:tab w:val="num" w:pos="814"/>
      </w:tabs>
      <w:ind w:left="737" w:hanging="283"/>
    </w:pPr>
  </w:style>
  <w:style w:type="paragraph" w:customStyle="1" w:styleId="Textbox">
    <w:name w:val="Text box"/>
    <w:basedOn w:val="Normal"/>
    <w:rsid w:val="00FF56D2"/>
    <w:pPr>
      <w:spacing w:before="60"/>
      <w:jc w:val="center"/>
    </w:pPr>
    <w:rPr>
      <w:sz w:val="20"/>
      <w:szCs w:val="20"/>
      <w:lang w:val="en-GB"/>
    </w:rPr>
  </w:style>
  <w:style w:type="paragraph" w:customStyle="1" w:styleId="Style2">
    <w:name w:val="Style2"/>
    <w:basedOn w:val="Normal"/>
    <w:rsid w:val="00FF56D2"/>
    <w:pPr>
      <w:tabs>
        <w:tab w:val="num" w:pos="1701"/>
      </w:tabs>
      <w:spacing w:before="240"/>
      <w:ind w:left="1701" w:hanging="283"/>
    </w:pPr>
    <w:rPr>
      <w:b/>
      <w:bCs/>
      <w:sz w:val="22"/>
      <w:szCs w:val="22"/>
      <w:lang w:val="en-GB"/>
    </w:rPr>
  </w:style>
  <w:style w:type="paragraph" w:customStyle="1" w:styleId="Group">
    <w:name w:val="Group"/>
    <w:basedOn w:val="Normal"/>
    <w:rsid w:val="00FF56D2"/>
    <w:pPr>
      <w:keepNext/>
      <w:tabs>
        <w:tab w:val="num" w:pos="720"/>
      </w:tabs>
      <w:ind w:left="567" w:hanging="567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BRM2">
    <w:name w:val="ABRM 2"/>
    <w:basedOn w:val="Normal"/>
    <w:rsid w:val="00FF56D2"/>
    <w:pPr>
      <w:tabs>
        <w:tab w:val="num" w:pos="720"/>
        <w:tab w:val="left" w:pos="851"/>
      </w:tabs>
      <w:spacing w:before="120" w:after="120"/>
      <w:ind w:left="851" w:hanging="851"/>
    </w:pPr>
    <w:rPr>
      <w:b/>
      <w:bCs/>
      <w:lang w:val="en-GB"/>
    </w:rPr>
  </w:style>
  <w:style w:type="paragraph" w:customStyle="1" w:styleId="Year1">
    <w:name w:val="Year1"/>
    <w:basedOn w:val="Year"/>
    <w:rsid w:val="00FF56D2"/>
    <w:pPr>
      <w:spacing w:before="60" w:after="60"/>
    </w:pPr>
    <w:rPr>
      <w:sz w:val="20"/>
      <w:szCs w:val="20"/>
    </w:rPr>
  </w:style>
  <w:style w:type="paragraph" w:customStyle="1" w:styleId="Tot">
    <w:name w:val="Tot"/>
    <w:basedOn w:val="Total"/>
    <w:rsid w:val="00FF56D2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6521"/>
        <w:tab w:val="right" w:pos="7938"/>
      </w:tabs>
    </w:pPr>
  </w:style>
  <w:style w:type="paragraph" w:customStyle="1" w:styleId="Total">
    <w:name w:val="Total"/>
    <w:basedOn w:val="Normal"/>
    <w:rsid w:val="00FF56D2"/>
    <w:pPr>
      <w:keepNext/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60"/>
      <w:jc w:val="both"/>
    </w:pPr>
    <w:rPr>
      <w:b/>
      <w:bCs/>
      <w:sz w:val="18"/>
      <w:szCs w:val="18"/>
      <w:lang w:val="en-GB"/>
    </w:rPr>
  </w:style>
  <w:style w:type="paragraph" w:customStyle="1" w:styleId="GreyLetterText">
    <w:name w:val="Grey Letter Text"/>
    <w:basedOn w:val="Heading4"/>
    <w:rsid w:val="00FF56D2"/>
    <w:pPr>
      <w:keepNext w:val="0"/>
      <w:keepLines/>
      <w:numPr>
        <w:ilvl w:val="2"/>
      </w:numPr>
      <w:spacing w:before="120" w:after="0"/>
      <w:ind w:left="720" w:hanging="720"/>
      <w:jc w:val="both"/>
    </w:pPr>
    <w:rPr>
      <w:b w:val="0"/>
      <w:bCs w:val="0"/>
      <w:sz w:val="22"/>
      <w:szCs w:val="22"/>
    </w:rPr>
  </w:style>
  <w:style w:type="paragraph" w:customStyle="1" w:styleId="H5">
    <w:name w:val="H5"/>
    <w:basedOn w:val="Normal"/>
    <w:next w:val="Normal"/>
    <w:rsid w:val="00FF56D2"/>
    <w:pPr>
      <w:keepNext/>
      <w:spacing w:before="100" w:after="100"/>
      <w:outlineLvl w:val="5"/>
    </w:pPr>
    <w:rPr>
      <w:b/>
      <w:bCs/>
      <w:sz w:val="20"/>
      <w:szCs w:val="20"/>
    </w:rPr>
  </w:style>
  <w:style w:type="paragraph" w:customStyle="1" w:styleId="Classy">
    <w:name w:val="Classy"/>
    <w:basedOn w:val="Class"/>
    <w:rsid w:val="00FF56D2"/>
    <w:pPr>
      <w:spacing w:before="0"/>
      <w:jc w:val="left"/>
    </w:pPr>
  </w:style>
  <w:style w:type="paragraph" w:customStyle="1" w:styleId="Class">
    <w:name w:val="Class"/>
    <w:basedOn w:val="Normal"/>
    <w:rsid w:val="00FF56D2"/>
    <w:pPr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  <w:ind w:left="454"/>
      <w:jc w:val="both"/>
    </w:pPr>
    <w:rPr>
      <w:sz w:val="18"/>
      <w:szCs w:val="18"/>
      <w:lang w:val="en-GB"/>
    </w:rPr>
  </w:style>
  <w:style w:type="paragraph" w:customStyle="1" w:styleId="BlackLetterSubheadings">
    <w:name w:val="Black Letter Subheadings"/>
    <w:basedOn w:val="BlackLetterText"/>
    <w:rsid w:val="00FF56D2"/>
    <w:rPr>
      <w:i/>
      <w:iCs/>
    </w:rPr>
  </w:style>
  <w:style w:type="paragraph" w:customStyle="1" w:styleId="GreyLetterBP">
    <w:name w:val="Grey Letter BP"/>
    <w:basedOn w:val="Normal"/>
    <w:rsid w:val="00FF56D2"/>
    <w:pPr>
      <w:tabs>
        <w:tab w:val="left" w:pos="1442"/>
      </w:tabs>
      <w:spacing w:before="120"/>
      <w:ind w:left="1440" w:hanging="712"/>
      <w:jc w:val="both"/>
    </w:pPr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FF56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56D2"/>
  </w:style>
  <w:style w:type="paragraph" w:styleId="BodyTextIndent">
    <w:name w:val="Body Text Indent"/>
    <w:basedOn w:val="Normal"/>
    <w:rsid w:val="00FF56D2"/>
    <w:pPr>
      <w:ind w:left="720" w:hanging="720"/>
    </w:pPr>
    <w:rPr>
      <w:sz w:val="22"/>
    </w:rPr>
  </w:style>
  <w:style w:type="paragraph" w:customStyle="1" w:styleId="Item">
    <w:name w:val="Item"/>
    <w:basedOn w:val="Class"/>
    <w:rsid w:val="00FF56D2"/>
    <w:pPr>
      <w:spacing w:before="60"/>
      <w:jc w:val="left"/>
    </w:pPr>
    <w:rPr>
      <w:b/>
      <w:bCs/>
    </w:rPr>
  </w:style>
  <w:style w:type="paragraph" w:customStyle="1" w:styleId="Class2">
    <w:name w:val="Class 2"/>
    <w:basedOn w:val="Class"/>
    <w:rsid w:val="00FF56D2"/>
    <w:pPr>
      <w:spacing w:before="0"/>
      <w:ind w:left="907"/>
      <w:jc w:val="left"/>
    </w:pPr>
  </w:style>
  <w:style w:type="paragraph" w:customStyle="1" w:styleId="ABRMHEAD1">
    <w:name w:val="ABRM HEAD1"/>
    <w:basedOn w:val="Heading1"/>
    <w:rsid w:val="00FF56D2"/>
    <w:pPr>
      <w:tabs>
        <w:tab w:val="num" w:pos="720"/>
      </w:tabs>
      <w:spacing w:after="240"/>
      <w:ind w:left="720" w:hanging="720"/>
    </w:pPr>
    <w:rPr>
      <w:b w:val="0"/>
      <w:bCs w:val="0"/>
      <w:sz w:val="28"/>
      <w:szCs w:val="28"/>
    </w:rPr>
  </w:style>
  <w:style w:type="paragraph" w:customStyle="1" w:styleId="ABRMHEAD2">
    <w:name w:val="ABRM HEAD2"/>
    <w:basedOn w:val="Normal"/>
    <w:rsid w:val="00FF56D2"/>
    <w:pPr>
      <w:tabs>
        <w:tab w:val="num" w:pos="360"/>
      </w:tabs>
      <w:spacing w:before="120" w:after="240"/>
    </w:pPr>
    <w:rPr>
      <w:b/>
      <w:bCs/>
    </w:rPr>
  </w:style>
  <w:style w:type="paragraph" w:customStyle="1" w:styleId="ABRMHEAD3">
    <w:name w:val="ABRM HEAD 3"/>
    <w:basedOn w:val="Normal"/>
    <w:rsid w:val="00FF56D2"/>
    <w:pPr>
      <w:tabs>
        <w:tab w:val="num" w:pos="720"/>
      </w:tabs>
      <w:spacing w:before="120" w:after="240"/>
      <w:ind w:left="720" w:hanging="720"/>
    </w:pPr>
  </w:style>
  <w:style w:type="paragraph" w:customStyle="1" w:styleId="Heading">
    <w:name w:val="Heading"/>
    <w:basedOn w:val="Normal"/>
    <w:autoRedefine/>
    <w:rsid w:val="00FF56D2"/>
    <w:pPr>
      <w:spacing w:before="120"/>
      <w:ind w:right="45"/>
    </w:pPr>
    <w:rPr>
      <w:b/>
      <w:bCs/>
      <w:caps/>
      <w:sz w:val="28"/>
      <w:szCs w:val="22"/>
    </w:rPr>
  </w:style>
  <w:style w:type="paragraph" w:customStyle="1" w:styleId="ChapterTitles">
    <w:name w:val="Chapter Titles"/>
    <w:basedOn w:val="Heading1"/>
    <w:rsid w:val="00FF56D2"/>
    <w:pPr>
      <w:spacing w:before="200" w:after="40"/>
      <w:ind w:left="2200" w:hanging="600"/>
    </w:pPr>
    <w:rPr>
      <w:kern w:val="28"/>
      <w:sz w:val="28"/>
      <w:szCs w:val="28"/>
      <w:lang w:val="en-GB"/>
    </w:rPr>
  </w:style>
  <w:style w:type="paragraph" w:customStyle="1" w:styleId="CHead1">
    <w:name w:val="C Head 1"/>
    <w:basedOn w:val="Normal"/>
    <w:rsid w:val="00FF56D2"/>
    <w:rPr>
      <w:b/>
      <w:bCs/>
      <w:sz w:val="22"/>
    </w:rPr>
  </w:style>
  <w:style w:type="paragraph" w:customStyle="1" w:styleId="H1">
    <w:name w:val="H1"/>
    <w:basedOn w:val="Normal"/>
    <w:next w:val="Normal"/>
    <w:rsid w:val="00FF56D2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rsid w:val="00FF56D2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Ross1">
    <w:name w:val="Ross1"/>
    <w:basedOn w:val="Heading3"/>
    <w:rsid w:val="00FF56D2"/>
    <w:pPr>
      <w:keepNext w:val="0"/>
      <w:keepLines/>
      <w:spacing w:before="200" w:after="0"/>
      <w:ind w:left="851"/>
    </w:pPr>
    <w:rPr>
      <w:b/>
      <w:bCs/>
      <w:sz w:val="22"/>
      <w:szCs w:val="22"/>
    </w:rPr>
  </w:style>
  <w:style w:type="paragraph" w:customStyle="1" w:styleId="Heading20">
    <w:name w:val="Heading2"/>
    <w:basedOn w:val="Normal"/>
    <w:rsid w:val="00FF56D2"/>
    <w:pPr>
      <w:spacing w:before="240"/>
    </w:pPr>
    <w:rPr>
      <w:b/>
      <w:bCs/>
      <w:sz w:val="22"/>
      <w:szCs w:val="22"/>
      <w:lang w:val="en-GB"/>
    </w:rPr>
  </w:style>
  <w:style w:type="paragraph" w:customStyle="1" w:styleId="Class3">
    <w:name w:val="Class 3"/>
    <w:basedOn w:val="Class2"/>
    <w:rsid w:val="00FF56D2"/>
    <w:pPr>
      <w:ind w:left="1361"/>
    </w:pPr>
  </w:style>
  <w:style w:type="paragraph" w:customStyle="1" w:styleId="Heading1A">
    <w:name w:val="Heading 1A"/>
    <w:basedOn w:val="Heading1"/>
    <w:rsid w:val="00FF56D2"/>
    <w:pPr>
      <w:spacing w:after="40"/>
      <w:ind w:left="567"/>
    </w:pPr>
    <w:rPr>
      <w:kern w:val="28"/>
      <w:sz w:val="26"/>
      <w:szCs w:val="26"/>
      <w:lang w:val="en-GB"/>
    </w:rPr>
  </w:style>
  <w:style w:type="paragraph" w:customStyle="1" w:styleId="H7">
    <w:name w:val="H7"/>
    <w:basedOn w:val="H6"/>
    <w:rsid w:val="00FF56D2"/>
    <w:pPr>
      <w:keepNext w:val="0"/>
      <w:keepLines/>
      <w:spacing w:before="300" w:after="40"/>
      <w:outlineLvl w:val="0"/>
    </w:pPr>
  </w:style>
  <w:style w:type="paragraph" w:customStyle="1" w:styleId="H4">
    <w:name w:val="H4"/>
    <w:basedOn w:val="H3"/>
    <w:rsid w:val="00FF56D2"/>
    <w:rPr>
      <w:sz w:val="20"/>
      <w:szCs w:val="20"/>
    </w:rPr>
  </w:style>
  <w:style w:type="paragraph" w:customStyle="1" w:styleId="ForwardBullet">
    <w:name w:val="ForwardBullet"/>
    <w:basedOn w:val="Normal"/>
    <w:rsid w:val="00FF56D2"/>
    <w:pPr>
      <w:tabs>
        <w:tab w:val="num" w:pos="720"/>
        <w:tab w:val="num" w:pos="1134"/>
      </w:tabs>
      <w:spacing w:before="120"/>
      <w:ind w:left="1134" w:hanging="567"/>
    </w:pPr>
    <w:rPr>
      <w:sz w:val="22"/>
      <w:szCs w:val="20"/>
      <w:lang w:val="en-GB"/>
    </w:rPr>
  </w:style>
  <w:style w:type="character" w:customStyle="1" w:styleId="EmailStyle71">
    <w:name w:val="EmailStyle71"/>
    <w:basedOn w:val="DefaultParagraphFont"/>
    <w:rsid w:val="00FF56D2"/>
    <w:rPr>
      <w:rFonts w:ascii="Arial" w:hAnsi="Arial" w:cs="Arial"/>
      <w:color w:val="000000"/>
      <w:sz w:val="20"/>
      <w:szCs w:val="20"/>
    </w:rPr>
  </w:style>
  <w:style w:type="paragraph" w:customStyle="1" w:styleId="FMO">
    <w:name w:val="FMO"/>
    <w:basedOn w:val="Normal"/>
    <w:rsid w:val="00FF56D2"/>
    <w:pPr>
      <w:ind w:left="700" w:hanging="700"/>
    </w:pPr>
    <w:rPr>
      <w:sz w:val="22"/>
      <w:szCs w:val="22"/>
    </w:rPr>
  </w:style>
  <w:style w:type="paragraph" w:customStyle="1" w:styleId="DefnSubpoint1">
    <w:name w:val="Defn Subpoint1"/>
    <w:basedOn w:val="Normal"/>
    <w:rsid w:val="00FF56D2"/>
    <w:pPr>
      <w:spacing w:after="200" w:line="200" w:lineRule="exact"/>
      <w:ind w:left="1587" w:hanging="510"/>
    </w:pPr>
    <w:rPr>
      <w:b/>
      <w:sz w:val="20"/>
      <w:szCs w:val="20"/>
    </w:rPr>
  </w:style>
  <w:style w:type="paragraph" w:customStyle="1" w:styleId="DefnSubpoint2">
    <w:name w:val="Defn Subpoint2"/>
    <w:basedOn w:val="DefnSubpoint1"/>
    <w:rsid w:val="00FF56D2"/>
    <w:pPr>
      <w:ind w:left="2098"/>
    </w:pPr>
  </w:style>
  <w:style w:type="paragraph" w:styleId="BodyTextIndent3">
    <w:name w:val="Body Text Indent 3"/>
    <w:basedOn w:val="Normal"/>
    <w:rsid w:val="00FF56D2"/>
    <w:pPr>
      <w:ind w:left="360"/>
    </w:pPr>
    <w:rPr>
      <w:b/>
      <w:bCs/>
    </w:rPr>
  </w:style>
  <w:style w:type="paragraph" w:styleId="BalloonText">
    <w:name w:val="Balloon Text"/>
    <w:basedOn w:val="Normal"/>
    <w:semiHidden/>
    <w:rsid w:val="00C97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1179F"/>
    <w:rPr>
      <w:color w:val="0000FF"/>
      <w:u w:val="single"/>
    </w:rPr>
  </w:style>
  <w:style w:type="paragraph" w:styleId="NormalWeb">
    <w:name w:val="Normal (Web)"/>
    <w:basedOn w:val="Normal"/>
    <w:rsid w:val="00C95FFD"/>
    <w:pPr>
      <w:spacing w:before="100" w:beforeAutospacing="1" w:after="100" w:afterAutospacing="1"/>
    </w:pPr>
    <w:rPr>
      <w:lang w:eastAsia="en-AU"/>
    </w:rPr>
  </w:style>
  <w:style w:type="paragraph" w:styleId="DocumentMap">
    <w:name w:val="Document Map"/>
    <w:basedOn w:val="Normal"/>
    <w:semiHidden/>
    <w:rsid w:val="005E5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">
    <w:name w:val="Char Char Char Char Char"/>
    <w:basedOn w:val="Normal"/>
    <w:rsid w:val="00E23480"/>
    <w:rPr>
      <w:rFonts w:ascii="Arial" w:hAnsi="Arial" w:cs="Arial"/>
      <w:sz w:val="22"/>
      <w:szCs w:val="22"/>
    </w:rPr>
  </w:style>
  <w:style w:type="character" w:customStyle="1" w:styleId="HelpText">
    <w:name w:val="Help Text"/>
    <w:basedOn w:val="DefaultParagraphFont"/>
    <w:rsid w:val="00885099"/>
    <w:rPr>
      <w:color w:val="808080"/>
    </w:rPr>
  </w:style>
  <w:style w:type="paragraph" w:customStyle="1" w:styleId="Bullet">
    <w:name w:val="Bullet"/>
    <w:basedOn w:val="Normal"/>
    <w:rsid w:val="00885099"/>
    <w:pPr>
      <w:numPr>
        <w:numId w:val="3"/>
      </w:numPr>
      <w:spacing w:after="240" w:line="240" w:lineRule="atLeast"/>
    </w:pPr>
  </w:style>
  <w:style w:type="paragraph" w:customStyle="1" w:styleId="Bulletsinglespaced">
    <w:name w:val="Bullet (single spaced)"/>
    <w:basedOn w:val="Bullet"/>
    <w:rsid w:val="00885099"/>
    <w:pPr>
      <w:spacing w:after="0"/>
    </w:pPr>
  </w:style>
  <w:style w:type="character" w:styleId="CommentReference">
    <w:name w:val="annotation reference"/>
    <w:basedOn w:val="DefaultParagraphFont"/>
    <w:rsid w:val="00F45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8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8E0"/>
    <w:rPr>
      <w:b/>
      <w:bCs/>
      <w:lang w:eastAsia="en-US"/>
    </w:rPr>
  </w:style>
  <w:style w:type="paragraph" w:customStyle="1" w:styleId="Paragraph">
    <w:name w:val="Paragraph"/>
    <w:basedOn w:val="Normal"/>
    <w:rsid w:val="0072275C"/>
    <w:pPr>
      <w:numPr>
        <w:ilvl w:val="12"/>
      </w:numPr>
      <w:spacing w:before="240"/>
    </w:pPr>
    <w:rPr>
      <w:szCs w:val="20"/>
      <w:lang w:eastAsia="en-AU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753CD8"/>
    <w:pPr>
      <w:ind w:left="720"/>
      <w:contextualSpacing/>
    </w:pPr>
  </w:style>
  <w:style w:type="paragraph" w:customStyle="1" w:styleId="StyleNew">
    <w:name w:val="Style_New"/>
    <w:basedOn w:val="Normal"/>
    <w:qFormat/>
    <w:rsid w:val="00377E45"/>
    <w:pPr>
      <w:numPr>
        <w:numId w:val="4"/>
      </w:numPr>
    </w:pPr>
    <w:rPr>
      <w:color w:val="76923C" w:themeColor="accent3" w:themeShade="BF"/>
      <w:sz w:val="22"/>
      <w:szCs w:val="22"/>
    </w:rPr>
  </w:style>
  <w:style w:type="paragraph" w:customStyle="1" w:styleId="NumberedParagraph">
    <w:name w:val="Numbered Paragraph"/>
    <w:basedOn w:val="Normal"/>
    <w:rsid w:val="00DA47EA"/>
    <w:pPr>
      <w:numPr>
        <w:numId w:val="5"/>
      </w:numPr>
      <w:spacing w:after="240" w:line="240" w:lineRule="atLeast"/>
    </w:pPr>
  </w:style>
  <w:style w:type="paragraph" w:customStyle="1" w:styleId="NumberList">
    <w:name w:val="Number List"/>
    <w:basedOn w:val="Normal"/>
    <w:rsid w:val="00407B73"/>
    <w:pPr>
      <w:numPr>
        <w:numId w:val="8"/>
      </w:numPr>
      <w:tabs>
        <w:tab w:val="left" w:pos="1985"/>
      </w:tabs>
      <w:spacing w:before="240" w:line="240" w:lineRule="atLeast"/>
    </w:pPr>
  </w:style>
  <w:style w:type="paragraph" w:customStyle="1" w:styleId="NumberListSub">
    <w:name w:val="Number List Sub"/>
    <w:basedOn w:val="NumberList"/>
    <w:rsid w:val="00407B73"/>
    <w:pPr>
      <w:numPr>
        <w:ilvl w:val="1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0D"/>
    <w:rPr>
      <w:sz w:val="24"/>
      <w:szCs w:val="24"/>
      <w:lang w:eastAsia="en-US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E449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03A3-7AC0-433F-B6AF-5CA490C9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1733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Manager>Leslie Macdonald</Manager>
  <Company>Finance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Tony Rose</dc:creator>
  <cp:lastModifiedBy>Liu, Xiaoxia</cp:lastModifiedBy>
  <cp:revision>24</cp:revision>
  <cp:lastPrinted>2017-04-11T01:58:00Z</cp:lastPrinted>
  <dcterms:created xsi:type="dcterms:W3CDTF">2017-01-17T05:15:00Z</dcterms:created>
  <dcterms:modified xsi:type="dcterms:W3CDTF">2017-04-11T23:17:00Z</dcterms:modified>
</cp:coreProperties>
</file>