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858E4" w14:textId="77777777" w:rsidR="00BE7638" w:rsidRPr="00453FB7" w:rsidRDefault="007041E3">
      <w:pPr>
        <w:pStyle w:val="Title"/>
        <w:rPr>
          <w:rFonts w:ascii="Times New Roman" w:hAnsi="Times New Roman"/>
          <w:szCs w:val="24"/>
          <w:u w:val="none"/>
        </w:rPr>
      </w:pPr>
      <w:bookmarkStart w:id="0" w:name="_GoBack"/>
      <w:bookmarkEnd w:id="0"/>
      <w:r w:rsidRPr="00453FB7">
        <w:rPr>
          <w:rFonts w:ascii="Times New Roman" w:hAnsi="Times New Roman"/>
          <w:szCs w:val="24"/>
          <w:u w:val="none"/>
        </w:rPr>
        <w:t xml:space="preserve">EXPLANATORY STATEMENT </w:t>
      </w:r>
    </w:p>
    <w:p w14:paraId="49D6F819" w14:textId="77777777" w:rsidR="00A9422C" w:rsidRPr="00453FB7" w:rsidRDefault="00A9422C">
      <w:pPr>
        <w:pStyle w:val="Title"/>
        <w:rPr>
          <w:rFonts w:ascii="Times New Roman" w:hAnsi="Times New Roman"/>
          <w:szCs w:val="24"/>
          <w:u w:val="none"/>
        </w:rPr>
      </w:pPr>
    </w:p>
    <w:p w14:paraId="56F8A5AE" w14:textId="77777777" w:rsidR="001B4B48" w:rsidRPr="00453FB7" w:rsidRDefault="001B4B48" w:rsidP="001B4B48">
      <w:pPr>
        <w:jc w:val="center"/>
        <w:rPr>
          <w:szCs w:val="24"/>
        </w:rPr>
      </w:pPr>
      <w:r w:rsidRPr="00453FB7">
        <w:rPr>
          <w:i/>
          <w:iCs/>
          <w:szCs w:val="24"/>
        </w:rPr>
        <w:t>Australian Communications and Media Authority Act 2005</w:t>
      </w:r>
    </w:p>
    <w:p w14:paraId="1BF8F2CF" w14:textId="77777777" w:rsidR="00A9422C" w:rsidRPr="00453FB7" w:rsidRDefault="00A9422C" w:rsidP="00A9422C">
      <w:pPr>
        <w:jc w:val="center"/>
        <w:rPr>
          <w:szCs w:val="24"/>
        </w:rPr>
      </w:pPr>
    </w:p>
    <w:p w14:paraId="3887A692" w14:textId="777C2C7D" w:rsidR="001B4B48" w:rsidRPr="00453FB7" w:rsidRDefault="001B4B48" w:rsidP="001B4B48">
      <w:pPr>
        <w:jc w:val="center"/>
        <w:rPr>
          <w:b/>
          <w:i/>
          <w:szCs w:val="24"/>
        </w:rPr>
      </w:pPr>
      <w:r w:rsidRPr="00453FB7">
        <w:rPr>
          <w:b/>
          <w:i/>
          <w:szCs w:val="24"/>
        </w:rPr>
        <w:t xml:space="preserve">Australian Communications and Media Authority (Annual Carrier Licence Charge) Direction </w:t>
      </w:r>
      <w:r w:rsidR="00453FB7" w:rsidRPr="00453FB7">
        <w:rPr>
          <w:b/>
          <w:i/>
          <w:szCs w:val="24"/>
        </w:rPr>
        <w:t>2017</w:t>
      </w:r>
      <w:r w:rsidRPr="00453FB7">
        <w:rPr>
          <w:b/>
          <w:i/>
          <w:szCs w:val="24"/>
        </w:rPr>
        <w:t xml:space="preserve"> </w:t>
      </w:r>
    </w:p>
    <w:p w14:paraId="470E11CB" w14:textId="77777777" w:rsidR="00A9422C" w:rsidRPr="00453FB7" w:rsidRDefault="00A9422C">
      <w:pPr>
        <w:jc w:val="center"/>
        <w:rPr>
          <w:szCs w:val="24"/>
        </w:rPr>
      </w:pPr>
    </w:p>
    <w:p w14:paraId="01CD8206" w14:textId="77777777" w:rsidR="0081794C" w:rsidRPr="00453FB7" w:rsidRDefault="007041E3" w:rsidP="0081794C">
      <w:pPr>
        <w:pStyle w:val="Heading2"/>
        <w:jc w:val="center"/>
        <w:rPr>
          <w:szCs w:val="24"/>
        </w:rPr>
      </w:pPr>
      <w:r w:rsidRPr="00453FB7">
        <w:rPr>
          <w:szCs w:val="24"/>
        </w:rPr>
        <w:t xml:space="preserve">Issued by the Authority of the Minister for Communications </w:t>
      </w:r>
    </w:p>
    <w:p w14:paraId="4401DB86" w14:textId="77777777" w:rsidR="00BE7638" w:rsidRPr="00453FB7" w:rsidRDefault="00BE7638">
      <w:pPr>
        <w:jc w:val="center"/>
        <w:rPr>
          <w:szCs w:val="24"/>
        </w:rPr>
      </w:pPr>
    </w:p>
    <w:p w14:paraId="164F7821" w14:textId="77777777" w:rsidR="008D4FEF" w:rsidRPr="00453FB7" w:rsidRDefault="008D4FEF" w:rsidP="00073DDD">
      <w:pPr>
        <w:rPr>
          <w:b/>
          <w:szCs w:val="24"/>
        </w:rPr>
      </w:pPr>
      <w:r w:rsidRPr="00453FB7">
        <w:rPr>
          <w:b/>
          <w:szCs w:val="24"/>
        </w:rPr>
        <w:t xml:space="preserve">Authority </w:t>
      </w:r>
    </w:p>
    <w:p w14:paraId="01C0494F" w14:textId="77777777" w:rsidR="008D4FEF" w:rsidRPr="00453FB7" w:rsidRDefault="008D4FEF" w:rsidP="00073DDD">
      <w:pPr>
        <w:rPr>
          <w:szCs w:val="24"/>
          <w:u w:val="single"/>
        </w:rPr>
      </w:pPr>
    </w:p>
    <w:p w14:paraId="48C8FB78" w14:textId="30700DF9" w:rsidR="008D4FEF" w:rsidRPr="00453FB7" w:rsidRDefault="008D4FEF" w:rsidP="008D4FEF">
      <w:pPr>
        <w:rPr>
          <w:szCs w:val="24"/>
        </w:rPr>
      </w:pPr>
      <w:r w:rsidRPr="00453FB7">
        <w:rPr>
          <w:szCs w:val="24"/>
        </w:rPr>
        <w:t xml:space="preserve">The </w:t>
      </w:r>
      <w:r w:rsidR="005E13DF" w:rsidRPr="00453FB7">
        <w:rPr>
          <w:i/>
          <w:szCs w:val="24"/>
        </w:rPr>
        <w:t>Australian Communications and Media Authority (Annual Carrier Licence Charge) Direction 201</w:t>
      </w:r>
      <w:r w:rsidR="00453FB7" w:rsidRPr="00453FB7">
        <w:rPr>
          <w:i/>
          <w:szCs w:val="24"/>
        </w:rPr>
        <w:t>7</w:t>
      </w:r>
      <w:r w:rsidR="00801EF9" w:rsidRPr="00453FB7">
        <w:rPr>
          <w:szCs w:val="24"/>
        </w:rPr>
        <w:t xml:space="preserve"> </w:t>
      </w:r>
      <w:r w:rsidRPr="00453FB7">
        <w:rPr>
          <w:szCs w:val="24"/>
        </w:rPr>
        <w:t>(</w:t>
      </w:r>
      <w:r w:rsidR="005E13DF" w:rsidRPr="00453FB7">
        <w:rPr>
          <w:szCs w:val="24"/>
        </w:rPr>
        <w:t>Direction</w:t>
      </w:r>
      <w:r w:rsidRPr="00453FB7">
        <w:rPr>
          <w:szCs w:val="24"/>
        </w:rPr>
        <w:t>) is made by the Minister for</w:t>
      </w:r>
      <w:r w:rsidR="00F22279" w:rsidRPr="00453FB7">
        <w:rPr>
          <w:szCs w:val="24"/>
        </w:rPr>
        <w:t xml:space="preserve"> </w:t>
      </w:r>
      <w:r w:rsidRPr="00453FB7">
        <w:rPr>
          <w:szCs w:val="24"/>
        </w:rPr>
        <w:t xml:space="preserve">Communications (the Minister) </w:t>
      </w:r>
      <w:r w:rsidR="005E13DF" w:rsidRPr="00453FB7">
        <w:rPr>
          <w:szCs w:val="24"/>
        </w:rPr>
        <w:t>under</w:t>
      </w:r>
      <w:r w:rsidRPr="00453FB7">
        <w:rPr>
          <w:szCs w:val="24"/>
        </w:rPr>
        <w:t xml:space="preserve"> </w:t>
      </w:r>
      <w:r w:rsidR="005E13DF" w:rsidRPr="00453FB7">
        <w:rPr>
          <w:szCs w:val="24"/>
        </w:rPr>
        <w:t>section 14</w:t>
      </w:r>
      <w:r w:rsidRPr="00453FB7">
        <w:rPr>
          <w:szCs w:val="24"/>
        </w:rPr>
        <w:t xml:space="preserve"> of the </w:t>
      </w:r>
      <w:r w:rsidR="005E13DF" w:rsidRPr="00453FB7">
        <w:rPr>
          <w:i/>
          <w:iCs/>
          <w:szCs w:val="24"/>
        </w:rPr>
        <w:t>Australian Communications and Media Authority Act 2005</w:t>
      </w:r>
      <w:r w:rsidRPr="00453FB7">
        <w:rPr>
          <w:szCs w:val="24"/>
        </w:rPr>
        <w:t xml:space="preserve"> (</w:t>
      </w:r>
      <w:r w:rsidR="00842037" w:rsidRPr="00453FB7">
        <w:rPr>
          <w:szCs w:val="24"/>
        </w:rPr>
        <w:t xml:space="preserve">ACMA </w:t>
      </w:r>
      <w:r w:rsidRPr="00453FB7">
        <w:rPr>
          <w:szCs w:val="24"/>
        </w:rPr>
        <w:t>Act)</w:t>
      </w:r>
      <w:r w:rsidR="00EB5437" w:rsidRPr="00453FB7">
        <w:rPr>
          <w:szCs w:val="24"/>
        </w:rPr>
        <w:t>.  Section 14 of the ACMA Act</w:t>
      </w:r>
      <w:r w:rsidRPr="00453FB7">
        <w:rPr>
          <w:szCs w:val="24"/>
        </w:rPr>
        <w:t xml:space="preserve"> provides that the Minister </w:t>
      </w:r>
      <w:r w:rsidR="005E13DF" w:rsidRPr="00453FB7">
        <w:rPr>
          <w:szCs w:val="24"/>
        </w:rPr>
        <w:t>may give written directions to the Australian Communications and Media Authority (ACMA) in relation to the performance of its functions and the exercise of its powers.</w:t>
      </w:r>
    </w:p>
    <w:p w14:paraId="61640508" w14:textId="77777777" w:rsidR="008D4FEF" w:rsidRPr="00453FB7" w:rsidRDefault="008D4FEF" w:rsidP="00073DDD">
      <w:pPr>
        <w:rPr>
          <w:szCs w:val="24"/>
          <w:u w:val="single"/>
        </w:rPr>
      </w:pPr>
    </w:p>
    <w:p w14:paraId="5521FDF7" w14:textId="77777777" w:rsidR="00222EBA" w:rsidRPr="00453FB7" w:rsidRDefault="00222EBA" w:rsidP="00073DDD">
      <w:pPr>
        <w:rPr>
          <w:b/>
          <w:szCs w:val="24"/>
        </w:rPr>
      </w:pPr>
      <w:r w:rsidRPr="00453FB7">
        <w:rPr>
          <w:b/>
          <w:szCs w:val="24"/>
        </w:rPr>
        <w:t>Purpose</w:t>
      </w:r>
    </w:p>
    <w:p w14:paraId="1418C274" w14:textId="77777777" w:rsidR="00222EBA" w:rsidRPr="00453FB7" w:rsidRDefault="00222EBA" w:rsidP="00073DDD">
      <w:pPr>
        <w:rPr>
          <w:szCs w:val="24"/>
          <w:u w:val="single"/>
        </w:rPr>
      </w:pPr>
    </w:p>
    <w:p w14:paraId="14E887D4" w14:textId="29FA3B53" w:rsidR="00481A0A" w:rsidRPr="00453FB7" w:rsidRDefault="00481A0A" w:rsidP="00481A0A">
      <w:pPr>
        <w:rPr>
          <w:szCs w:val="24"/>
        </w:rPr>
      </w:pPr>
      <w:r w:rsidRPr="00453FB7">
        <w:rPr>
          <w:szCs w:val="24"/>
        </w:rPr>
        <w:t>The purpose of th</w:t>
      </w:r>
      <w:r w:rsidR="00EB5437" w:rsidRPr="00453FB7">
        <w:rPr>
          <w:szCs w:val="24"/>
        </w:rPr>
        <w:t>is</w:t>
      </w:r>
      <w:r w:rsidRPr="00453FB7">
        <w:rPr>
          <w:szCs w:val="24"/>
        </w:rPr>
        <w:t xml:space="preserve"> Direction is to </w:t>
      </w:r>
      <w:r w:rsidR="00EB5437" w:rsidRPr="00453FB7">
        <w:rPr>
          <w:szCs w:val="24"/>
        </w:rPr>
        <w:t>direct</w:t>
      </w:r>
      <w:r w:rsidRPr="00453FB7">
        <w:rPr>
          <w:szCs w:val="24"/>
        </w:rPr>
        <w:t xml:space="preserve"> the ACMA to make determinations under subsection 14(1) of the </w:t>
      </w:r>
      <w:r w:rsidRPr="00453FB7">
        <w:rPr>
          <w:bCs/>
          <w:i/>
          <w:iCs/>
          <w:szCs w:val="24"/>
        </w:rPr>
        <w:t xml:space="preserve">Telecommunications (Carrier Licence Charges) Act 1997 </w:t>
      </w:r>
      <w:r w:rsidRPr="00453FB7">
        <w:rPr>
          <w:bCs/>
          <w:iCs/>
          <w:szCs w:val="24"/>
        </w:rPr>
        <w:t>(</w:t>
      </w:r>
      <w:r w:rsidRPr="00453FB7">
        <w:rPr>
          <w:bCs/>
          <w:szCs w:val="24"/>
        </w:rPr>
        <w:t>Carrier Licence Charges Act</w:t>
      </w:r>
      <w:r w:rsidRPr="00453FB7">
        <w:rPr>
          <w:bCs/>
          <w:iCs/>
          <w:szCs w:val="24"/>
        </w:rPr>
        <w:t xml:space="preserve">) which have the </w:t>
      </w:r>
      <w:r w:rsidR="00D7757C" w:rsidRPr="00453FB7">
        <w:rPr>
          <w:bCs/>
          <w:iCs/>
          <w:szCs w:val="24"/>
        </w:rPr>
        <w:t xml:space="preserve">continued </w:t>
      </w:r>
      <w:r w:rsidRPr="00453FB7">
        <w:rPr>
          <w:noProof/>
          <w:szCs w:val="24"/>
        </w:rPr>
        <w:t>effect</w:t>
      </w:r>
      <w:r w:rsidRPr="00453FB7">
        <w:rPr>
          <w:szCs w:val="24"/>
        </w:rPr>
        <w:t xml:space="preserve"> of removing the annual carrier licence charge for a licence held by a carrier that was a ‘</w:t>
      </w:r>
      <w:r w:rsidR="00AE7A34" w:rsidRPr="00453FB7">
        <w:rPr>
          <w:szCs w:val="24"/>
        </w:rPr>
        <w:t>non-par</w:t>
      </w:r>
      <w:r w:rsidRPr="00453FB7">
        <w:rPr>
          <w:szCs w:val="24"/>
        </w:rPr>
        <w:t xml:space="preserve">ticipating </w:t>
      </w:r>
      <w:r w:rsidR="00AE7A34" w:rsidRPr="00453FB7">
        <w:rPr>
          <w:szCs w:val="24"/>
        </w:rPr>
        <w:t>p</w:t>
      </w:r>
      <w:r w:rsidRPr="00453FB7">
        <w:rPr>
          <w:szCs w:val="24"/>
        </w:rPr>
        <w:t xml:space="preserve">erson’ for </w:t>
      </w:r>
      <w:r w:rsidR="00E21AF0" w:rsidRPr="00453FB7">
        <w:rPr>
          <w:szCs w:val="24"/>
        </w:rPr>
        <w:t>an eligible</w:t>
      </w:r>
      <w:r w:rsidRPr="00453FB7">
        <w:rPr>
          <w:szCs w:val="24"/>
        </w:rPr>
        <w:t xml:space="preserve"> revenue period immediately preceding </w:t>
      </w:r>
      <w:r w:rsidR="00314F6E" w:rsidRPr="00453FB7">
        <w:rPr>
          <w:szCs w:val="24"/>
        </w:rPr>
        <w:t xml:space="preserve">the relevant </w:t>
      </w:r>
      <w:r w:rsidRPr="00453FB7">
        <w:rPr>
          <w:szCs w:val="24"/>
        </w:rPr>
        <w:t>financial year</w:t>
      </w:r>
      <w:r w:rsidR="00E21AF0" w:rsidRPr="00453FB7">
        <w:rPr>
          <w:szCs w:val="24"/>
        </w:rPr>
        <w:t>.</w:t>
      </w:r>
      <w:r w:rsidR="00D7757C" w:rsidRPr="00453FB7">
        <w:rPr>
          <w:szCs w:val="24"/>
        </w:rPr>
        <w:t xml:space="preserve"> </w:t>
      </w:r>
      <w:r w:rsidR="00E21AF0" w:rsidRPr="00453FB7">
        <w:rPr>
          <w:szCs w:val="24"/>
        </w:rPr>
        <w:t xml:space="preserve"> </w:t>
      </w:r>
      <w:r w:rsidR="00D7757C" w:rsidRPr="00453FB7">
        <w:rPr>
          <w:szCs w:val="24"/>
        </w:rPr>
        <w:t xml:space="preserve">The Direction is in substantially the same terms as the </w:t>
      </w:r>
      <w:r w:rsidR="00D7757C" w:rsidRPr="00453FB7">
        <w:rPr>
          <w:i/>
          <w:szCs w:val="24"/>
        </w:rPr>
        <w:t>Australian Communications and Media Authority (Annual Carrier Licence Charge) Direction 2013</w:t>
      </w:r>
      <w:r w:rsidR="00D7757C" w:rsidRPr="00453FB7">
        <w:rPr>
          <w:szCs w:val="24"/>
        </w:rPr>
        <w:t xml:space="preserve">, however it </w:t>
      </w:r>
      <w:r w:rsidR="00EF7A7B" w:rsidRPr="00453FB7">
        <w:rPr>
          <w:szCs w:val="24"/>
        </w:rPr>
        <w:t xml:space="preserve">makes several </w:t>
      </w:r>
      <w:r w:rsidR="00D7757C" w:rsidRPr="00453FB7">
        <w:rPr>
          <w:szCs w:val="24"/>
        </w:rPr>
        <w:t>update</w:t>
      </w:r>
      <w:r w:rsidR="00EF7A7B" w:rsidRPr="00453FB7">
        <w:rPr>
          <w:szCs w:val="24"/>
        </w:rPr>
        <w:t>s</w:t>
      </w:r>
      <w:r w:rsidR="00D7757C" w:rsidRPr="00453FB7">
        <w:rPr>
          <w:szCs w:val="24"/>
        </w:rPr>
        <w:t xml:space="preserve"> </w:t>
      </w:r>
      <w:r w:rsidR="00E21AF0" w:rsidRPr="00453FB7">
        <w:rPr>
          <w:szCs w:val="24"/>
        </w:rPr>
        <w:t>to</w:t>
      </w:r>
      <w:r w:rsidR="00EF7A7B" w:rsidRPr="00453FB7">
        <w:rPr>
          <w:szCs w:val="24"/>
        </w:rPr>
        <w:t xml:space="preserve"> </w:t>
      </w:r>
      <w:r w:rsidR="00D7757C" w:rsidRPr="00453FB7">
        <w:rPr>
          <w:szCs w:val="24"/>
        </w:rPr>
        <w:t xml:space="preserve">legislative references stemming from the abolition of the </w:t>
      </w:r>
      <w:r w:rsidR="00D7757C" w:rsidRPr="00453FB7">
        <w:rPr>
          <w:i/>
          <w:szCs w:val="24"/>
        </w:rPr>
        <w:t>Telecommunications Universal Service Management Agency Act 2012</w:t>
      </w:r>
      <w:r w:rsidR="00D7757C" w:rsidRPr="00453FB7">
        <w:rPr>
          <w:szCs w:val="24"/>
        </w:rPr>
        <w:t xml:space="preserve"> (the TUSMA Act)</w:t>
      </w:r>
      <w:r w:rsidR="00EF7A7B" w:rsidRPr="00453FB7">
        <w:rPr>
          <w:szCs w:val="24"/>
        </w:rPr>
        <w:t xml:space="preserve"> and updates to the determination which specifies the class of carriers that are participating persons for the purposes of carrier licen</w:t>
      </w:r>
      <w:r w:rsidR="00E21AF0" w:rsidRPr="00453FB7">
        <w:rPr>
          <w:szCs w:val="24"/>
        </w:rPr>
        <w:t>c</w:t>
      </w:r>
      <w:r w:rsidR="00EF7A7B" w:rsidRPr="00453FB7">
        <w:rPr>
          <w:szCs w:val="24"/>
        </w:rPr>
        <w:t>ing charges.</w:t>
      </w:r>
    </w:p>
    <w:p w14:paraId="37AF7F85" w14:textId="77777777" w:rsidR="008D4FEF" w:rsidRPr="00453FB7" w:rsidRDefault="008D4FEF" w:rsidP="008D4FEF">
      <w:pPr>
        <w:spacing w:before="240" w:after="240"/>
        <w:rPr>
          <w:b/>
          <w:szCs w:val="24"/>
        </w:rPr>
      </w:pPr>
      <w:r w:rsidRPr="00453FB7">
        <w:rPr>
          <w:b/>
          <w:szCs w:val="24"/>
        </w:rPr>
        <w:t>Background</w:t>
      </w:r>
    </w:p>
    <w:p w14:paraId="62BBF14C" w14:textId="77777777" w:rsidR="00992D6A" w:rsidRPr="00453FB7" w:rsidRDefault="00992D6A" w:rsidP="00992D6A">
      <w:pPr>
        <w:rPr>
          <w:i/>
          <w:szCs w:val="24"/>
        </w:rPr>
      </w:pPr>
      <w:r w:rsidRPr="00453FB7">
        <w:rPr>
          <w:i/>
          <w:szCs w:val="24"/>
        </w:rPr>
        <w:t xml:space="preserve">Annual Carrier Licencing </w:t>
      </w:r>
    </w:p>
    <w:p w14:paraId="5F24E499" w14:textId="77777777" w:rsidR="00992D6A" w:rsidRPr="00453FB7" w:rsidRDefault="00992D6A" w:rsidP="00992D6A">
      <w:pPr>
        <w:rPr>
          <w:szCs w:val="24"/>
        </w:rPr>
      </w:pPr>
    </w:p>
    <w:p w14:paraId="2562A251" w14:textId="77777777" w:rsidR="002C46A3" w:rsidRPr="00453FB7" w:rsidRDefault="00992D6A" w:rsidP="00992D6A">
      <w:pPr>
        <w:rPr>
          <w:szCs w:val="24"/>
        </w:rPr>
      </w:pPr>
      <w:r w:rsidRPr="00453FB7">
        <w:rPr>
          <w:szCs w:val="24"/>
        </w:rPr>
        <w:lastRenderedPageBreak/>
        <w:t xml:space="preserve">Under section 13 of the </w:t>
      </w:r>
      <w:r w:rsidRPr="00453FB7">
        <w:rPr>
          <w:bCs/>
          <w:szCs w:val="24"/>
        </w:rPr>
        <w:t>Carrier Licence Charges Act</w:t>
      </w:r>
      <w:r w:rsidRPr="00453FB7">
        <w:rPr>
          <w:szCs w:val="24"/>
        </w:rPr>
        <w:t>, a holder of a telecommunications carrier licence is required to pay annual carrier licence charges</w:t>
      </w:r>
      <w:r w:rsidR="00741AA1" w:rsidRPr="00453FB7">
        <w:rPr>
          <w:szCs w:val="24"/>
        </w:rPr>
        <w:t xml:space="preserve">.  </w:t>
      </w:r>
      <w:r w:rsidRPr="00453FB7">
        <w:rPr>
          <w:szCs w:val="24"/>
        </w:rPr>
        <w:t>The annual carrier licence charge recovers the costs of regulating the telecommunications industry</w:t>
      </w:r>
      <w:r w:rsidR="00741AA1" w:rsidRPr="00453FB7">
        <w:rPr>
          <w:szCs w:val="24"/>
        </w:rPr>
        <w:t xml:space="preserve">.  </w:t>
      </w:r>
      <w:r w:rsidRPr="00453FB7">
        <w:rPr>
          <w:szCs w:val="24"/>
        </w:rPr>
        <w:t xml:space="preserve">The amount of the annual carrier licence charge is </w:t>
      </w:r>
      <w:r w:rsidR="006F4CB0" w:rsidRPr="00453FB7">
        <w:rPr>
          <w:szCs w:val="24"/>
        </w:rPr>
        <w:t xml:space="preserve">annually </w:t>
      </w:r>
      <w:r w:rsidRPr="00453FB7">
        <w:rPr>
          <w:szCs w:val="24"/>
        </w:rPr>
        <w:t>set by the ACMA in a written determination</w:t>
      </w:r>
      <w:r w:rsidR="00DE37B0" w:rsidRPr="00453FB7">
        <w:rPr>
          <w:szCs w:val="24"/>
        </w:rPr>
        <w:t>,</w:t>
      </w:r>
      <w:r w:rsidRPr="00453FB7">
        <w:rPr>
          <w:szCs w:val="24"/>
        </w:rPr>
        <w:t xml:space="preserve"> </w:t>
      </w:r>
      <w:r w:rsidR="00DE37B0" w:rsidRPr="00453FB7">
        <w:rPr>
          <w:szCs w:val="24"/>
        </w:rPr>
        <w:t>under</w:t>
      </w:r>
      <w:r w:rsidRPr="00453FB7">
        <w:rPr>
          <w:szCs w:val="24"/>
        </w:rPr>
        <w:t xml:space="preserve"> section 14 of the Carrier Licence Charges Act. </w:t>
      </w:r>
    </w:p>
    <w:p w14:paraId="53F9C402" w14:textId="77777777" w:rsidR="00612A2A" w:rsidRPr="00453FB7" w:rsidRDefault="00612A2A" w:rsidP="00992D6A">
      <w:pPr>
        <w:rPr>
          <w:szCs w:val="24"/>
        </w:rPr>
      </w:pPr>
    </w:p>
    <w:p w14:paraId="2FE15E9D" w14:textId="4EF7309C" w:rsidR="00F92096" w:rsidRPr="00453FB7" w:rsidRDefault="00F92096" w:rsidP="00741AA1">
      <w:pPr>
        <w:rPr>
          <w:szCs w:val="24"/>
        </w:rPr>
      </w:pPr>
      <w:r w:rsidRPr="00453FB7">
        <w:rPr>
          <w:szCs w:val="24"/>
        </w:rPr>
        <w:t xml:space="preserve">The </w:t>
      </w:r>
      <w:r w:rsidR="0064445C" w:rsidRPr="00453FB7">
        <w:rPr>
          <w:i/>
          <w:szCs w:val="24"/>
        </w:rPr>
        <w:t>Telecommunications (Participating Persons) Determination 201</w:t>
      </w:r>
      <w:r w:rsidR="00C72091" w:rsidRPr="00453FB7">
        <w:rPr>
          <w:i/>
          <w:szCs w:val="24"/>
        </w:rPr>
        <w:t>5</w:t>
      </w:r>
      <w:r w:rsidR="0064445C" w:rsidRPr="00453FB7">
        <w:rPr>
          <w:i/>
          <w:szCs w:val="24"/>
        </w:rPr>
        <w:t xml:space="preserve"> </w:t>
      </w:r>
      <w:r w:rsidR="0064445C" w:rsidRPr="00453FB7">
        <w:rPr>
          <w:szCs w:val="24"/>
        </w:rPr>
        <w:t xml:space="preserve">(the Participating Persons Determination) </w:t>
      </w:r>
      <w:r w:rsidRPr="00453FB7">
        <w:rPr>
          <w:szCs w:val="24"/>
        </w:rPr>
        <w:t xml:space="preserve">provides that carriers that satisfy </w:t>
      </w:r>
      <w:r w:rsidR="000B4830" w:rsidRPr="00453FB7">
        <w:rPr>
          <w:szCs w:val="24"/>
        </w:rPr>
        <w:t xml:space="preserve">specific </w:t>
      </w:r>
      <w:r w:rsidRPr="00453FB7">
        <w:rPr>
          <w:szCs w:val="24"/>
        </w:rPr>
        <w:t>criteria</w:t>
      </w:r>
      <w:r w:rsidR="005B51A5" w:rsidRPr="00453FB7">
        <w:rPr>
          <w:szCs w:val="24"/>
        </w:rPr>
        <w:t xml:space="preserve"> </w:t>
      </w:r>
      <w:r w:rsidR="000B4830" w:rsidRPr="00453FB7">
        <w:rPr>
          <w:szCs w:val="24"/>
        </w:rPr>
        <w:t xml:space="preserve">will be </w:t>
      </w:r>
      <w:r w:rsidRPr="00453FB7">
        <w:rPr>
          <w:szCs w:val="24"/>
        </w:rPr>
        <w:t xml:space="preserve">non-participating persons under the </w:t>
      </w:r>
      <w:r w:rsidR="00C72091" w:rsidRPr="00453FB7">
        <w:rPr>
          <w:i/>
          <w:szCs w:val="24"/>
        </w:rPr>
        <w:t>Telecommunications (Consumer Protection and Service Standards) Act 1999</w:t>
      </w:r>
      <w:r w:rsidR="00C72091" w:rsidRPr="00453FB7">
        <w:rPr>
          <w:szCs w:val="24"/>
        </w:rPr>
        <w:t xml:space="preserve"> </w:t>
      </w:r>
      <w:r w:rsidRPr="00453FB7">
        <w:rPr>
          <w:szCs w:val="24"/>
        </w:rPr>
        <w:t xml:space="preserve">for the relevant </w:t>
      </w:r>
      <w:r w:rsidR="00466C31" w:rsidRPr="00453FB7">
        <w:rPr>
          <w:szCs w:val="24"/>
        </w:rPr>
        <w:t>eligible revenue period</w:t>
      </w:r>
      <w:r w:rsidR="000B4830" w:rsidRPr="00453FB7">
        <w:rPr>
          <w:szCs w:val="24"/>
        </w:rPr>
        <w:t xml:space="preserve">. The </w:t>
      </w:r>
      <w:r w:rsidR="00D41C71" w:rsidRPr="00453FB7">
        <w:rPr>
          <w:szCs w:val="24"/>
        </w:rPr>
        <w:t>criteria</w:t>
      </w:r>
      <w:r w:rsidR="000B4830" w:rsidRPr="00453FB7">
        <w:rPr>
          <w:szCs w:val="24"/>
        </w:rPr>
        <w:t xml:space="preserve"> includes:</w:t>
      </w:r>
    </w:p>
    <w:p w14:paraId="73F7775C" w14:textId="77777777" w:rsidR="000B4830" w:rsidRPr="00453FB7" w:rsidRDefault="000B4830" w:rsidP="00741AA1">
      <w:pPr>
        <w:rPr>
          <w:szCs w:val="24"/>
        </w:rPr>
      </w:pPr>
    </w:p>
    <w:p w14:paraId="77AB0BD0" w14:textId="4322F932" w:rsidR="00F92096" w:rsidRPr="00453FB7" w:rsidRDefault="00F92096" w:rsidP="00F92096">
      <w:pPr>
        <w:numPr>
          <w:ilvl w:val="0"/>
          <w:numId w:val="33"/>
        </w:numPr>
        <w:rPr>
          <w:szCs w:val="24"/>
        </w:rPr>
      </w:pPr>
      <w:r w:rsidRPr="00453FB7">
        <w:rPr>
          <w:szCs w:val="24"/>
        </w:rPr>
        <w:t>have an initial sales revenue, gross telecommunications sales revenue or eligible revenue of less than $25 million</w:t>
      </w:r>
      <w:r w:rsidR="00E21AF0" w:rsidRPr="00453FB7">
        <w:rPr>
          <w:szCs w:val="24"/>
        </w:rPr>
        <w:t>,</w:t>
      </w:r>
      <w:r w:rsidRPr="00453FB7">
        <w:rPr>
          <w:szCs w:val="24"/>
        </w:rPr>
        <w:t xml:space="preserve"> </w:t>
      </w:r>
      <w:r w:rsidR="00D41C71" w:rsidRPr="00453FB7">
        <w:rPr>
          <w:szCs w:val="24"/>
        </w:rPr>
        <w:t>or the person is an externally-administered body corporate</w:t>
      </w:r>
      <w:r w:rsidR="00E21AF0" w:rsidRPr="00453FB7">
        <w:rPr>
          <w:szCs w:val="24"/>
        </w:rPr>
        <w:t>,</w:t>
      </w:r>
      <w:r w:rsidR="00D41C71" w:rsidRPr="00453FB7">
        <w:rPr>
          <w:szCs w:val="24"/>
        </w:rPr>
        <w:t xml:space="preserve"> or is deregistered; and </w:t>
      </w:r>
    </w:p>
    <w:p w14:paraId="77F13374" w14:textId="77777777" w:rsidR="000E6FD6" w:rsidRPr="00453FB7" w:rsidRDefault="00466C31" w:rsidP="00F92096">
      <w:pPr>
        <w:numPr>
          <w:ilvl w:val="0"/>
          <w:numId w:val="33"/>
        </w:numPr>
        <w:rPr>
          <w:szCs w:val="24"/>
        </w:rPr>
      </w:pPr>
      <w:r w:rsidRPr="00453FB7">
        <w:rPr>
          <w:szCs w:val="24"/>
        </w:rPr>
        <w:t xml:space="preserve">lodge an eligible </w:t>
      </w:r>
      <w:r w:rsidR="006B1D2B" w:rsidRPr="00453FB7">
        <w:rPr>
          <w:szCs w:val="24"/>
        </w:rPr>
        <w:t xml:space="preserve">statutory </w:t>
      </w:r>
      <w:r w:rsidRPr="00453FB7">
        <w:rPr>
          <w:szCs w:val="24"/>
        </w:rPr>
        <w:t>declaration</w:t>
      </w:r>
      <w:r w:rsidR="00F92096" w:rsidRPr="00453FB7">
        <w:rPr>
          <w:szCs w:val="24"/>
        </w:rPr>
        <w:t xml:space="preserve"> with the ACMA within the specified timeframe.  </w:t>
      </w:r>
    </w:p>
    <w:p w14:paraId="7B4FE3F2" w14:textId="77777777" w:rsidR="008D4FEF" w:rsidRPr="00453FB7" w:rsidRDefault="008D4FEF" w:rsidP="00486B24">
      <w:pPr>
        <w:rPr>
          <w:szCs w:val="24"/>
        </w:rPr>
      </w:pPr>
    </w:p>
    <w:p w14:paraId="42E8B007" w14:textId="069A6838" w:rsidR="00C72091" w:rsidRPr="00453FB7" w:rsidRDefault="00E92AA7" w:rsidP="0064445C">
      <w:pPr>
        <w:spacing w:before="120"/>
        <w:rPr>
          <w:szCs w:val="24"/>
        </w:rPr>
      </w:pPr>
      <w:r w:rsidRPr="00453FB7">
        <w:rPr>
          <w:szCs w:val="24"/>
        </w:rPr>
        <w:t xml:space="preserve">The purpose of this </w:t>
      </w:r>
      <w:r w:rsidR="00EF45D6" w:rsidRPr="00453FB7">
        <w:rPr>
          <w:szCs w:val="24"/>
        </w:rPr>
        <w:t>D</w:t>
      </w:r>
      <w:r w:rsidRPr="00453FB7">
        <w:rPr>
          <w:szCs w:val="24"/>
        </w:rPr>
        <w:t>irection is to</w:t>
      </w:r>
      <w:r w:rsidR="00D7757C" w:rsidRPr="00453FB7">
        <w:rPr>
          <w:szCs w:val="24"/>
        </w:rPr>
        <w:t xml:space="preserve"> continue to</w:t>
      </w:r>
      <w:r w:rsidRPr="00453FB7">
        <w:rPr>
          <w:szCs w:val="24"/>
        </w:rPr>
        <w:t xml:space="preserve"> </w:t>
      </w:r>
      <w:r w:rsidR="00EF45D6" w:rsidRPr="00453FB7">
        <w:rPr>
          <w:szCs w:val="24"/>
        </w:rPr>
        <w:t>direct the ACMA to provide that</w:t>
      </w:r>
      <w:r w:rsidRPr="00453FB7">
        <w:rPr>
          <w:szCs w:val="24"/>
        </w:rPr>
        <w:t xml:space="preserve"> </w:t>
      </w:r>
      <w:r w:rsidR="001F3F67" w:rsidRPr="00453FB7">
        <w:rPr>
          <w:szCs w:val="24"/>
        </w:rPr>
        <w:t>a ‘non-participating person’ under the Participating Persons Determination</w:t>
      </w:r>
      <w:r w:rsidR="00466C31" w:rsidRPr="00453FB7">
        <w:rPr>
          <w:szCs w:val="24"/>
        </w:rPr>
        <w:t>,</w:t>
      </w:r>
      <w:r w:rsidR="001F3F67" w:rsidRPr="00453FB7">
        <w:rPr>
          <w:szCs w:val="24"/>
        </w:rPr>
        <w:t xml:space="preserve"> for the eligible revenue period immediately preceding </w:t>
      </w:r>
      <w:r w:rsidR="00C72091" w:rsidRPr="00453FB7">
        <w:rPr>
          <w:szCs w:val="24"/>
        </w:rPr>
        <w:t xml:space="preserve">the </w:t>
      </w:r>
      <w:r w:rsidR="00DF3D25" w:rsidRPr="00453FB7">
        <w:rPr>
          <w:szCs w:val="24"/>
        </w:rPr>
        <w:t>2016-</w:t>
      </w:r>
      <w:r w:rsidR="00C72091" w:rsidRPr="00453FB7">
        <w:rPr>
          <w:szCs w:val="24"/>
        </w:rPr>
        <w:t xml:space="preserve">17 </w:t>
      </w:r>
      <w:r w:rsidR="001F3F67" w:rsidRPr="00453FB7">
        <w:rPr>
          <w:szCs w:val="24"/>
        </w:rPr>
        <w:t>financial year</w:t>
      </w:r>
      <w:r w:rsidR="00466C31" w:rsidRPr="00453FB7">
        <w:rPr>
          <w:szCs w:val="24"/>
        </w:rPr>
        <w:t>,</w:t>
      </w:r>
      <w:r w:rsidR="001F3F67" w:rsidRPr="00453FB7">
        <w:rPr>
          <w:szCs w:val="24"/>
        </w:rPr>
        <w:t xml:space="preserve"> will not be liable to pay an annual carrier licence charge for that financial year.</w:t>
      </w:r>
      <w:r w:rsidR="00466C31" w:rsidRPr="00453FB7">
        <w:rPr>
          <w:szCs w:val="24"/>
        </w:rPr>
        <w:t xml:space="preserve">  </w:t>
      </w:r>
    </w:p>
    <w:p w14:paraId="73B5D2C8" w14:textId="67106A40" w:rsidR="001F3F67" w:rsidRPr="00453FB7" w:rsidRDefault="00466C31" w:rsidP="0064445C">
      <w:pPr>
        <w:spacing w:before="120"/>
        <w:rPr>
          <w:szCs w:val="24"/>
        </w:rPr>
      </w:pPr>
      <w:r w:rsidRPr="00453FB7">
        <w:rPr>
          <w:szCs w:val="24"/>
        </w:rPr>
        <w:t xml:space="preserve">For example, Carrier A is a non-participating person for the </w:t>
      </w:r>
      <w:r w:rsidR="00B1160C" w:rsidRPr="00453FB7">
        <w:rPr>
          <w:szCs w:val="24"/>
        </w:rPr>
        <w:t xml:space="preserve">2016-17 </w:t>
      </w:r>
      <w:r w:rsidRPr="00453FB7">
        <w:rPr>
          <w:szCs w:val="24"/>
        </w:rPr>
        <w:t>eligible revenue period.  Applying this Direction, the determination made by the ACMA under section 14 of the Carrier Licence Charge Act would provide that Carrier A is not liable to pay an annual carrier licence charge for the 201</w:t>
      </w:r>
      <w:r w:rsidR="00E21AF0" w:rsidRPr="00453FB7">
        <w:rPr>
          <w:szCs w:val="24"/>
        </w:rPr>
        <w:t>5</w:t>
      </w:r>
      <w:r w:rsidRPr="00453FB7">
        <w:rPr>
          <w:szCs w:val="24"/>
        </w:rPr>
        <w:t>-1</w:t>
      </w:r>
      <w:r w:rsidR="00E21AF0" w:rsidRPr="00453FB7">
        <w:rPr>
          <w:szCs w:val="24"/>
        </w:rPr>
        <w:t>6</w:t>
      </w:r>
      <w:r w:rsidRPr="00453FB7">
        <w:rPr>
          <w:szCs w:val="24"/>
        </w:rPr>
        <w:t xml:space="preserve"> financial year. </w:t>
      </w:r>
    </w:p>
    <w:p w14:paraId="2164457C" w14:textId="77777777" w:rsidR="00EF2804" w:rsidRPr="00453FB7" w:rsidRDefault="00EF2804" w:rsidP="001F3F67">
      <w:pPr>
        <w:rPr>
          <w:szCs w:val="24"/>
        </w:rPr>
      </w:pPr>
    </w:p>
    <w:p w14:paraId="1ECA5F38" w14:textId="77777777" w:rsidR="006E07FA" w:rsidRPr="00453FB7" w:rsidRDefault="006E07FA" w:rsidP="001F3F67">
      <w:pPr>
        <w:rPr>
          <w:szCs w:val="24"/>
        </w:rPr>
      </w:pPr>
      <w:r w:rsidRPr="00453FB7">
        <w:rPr>
          <w:szCs w:val="24"/>
        </w:rPr>
        <w:t xml:space="preserve">This Direction applies to the </w:t>
      </w:r>
      <w:r w:rsidR="00C72091" w:rsidRPr="00453FB7">
        <w:rPr>
          <w:szCs w:val="24"/>
        </w:rPr>
        <w:t>2016</w:t>
      </w:r>
      <w:r w:rsidRPr="00453FB7">
        <w:rPr>
          <w:szCs w:val="24"/>
        </w:rPr>
        <w:t>-</w:t>
      </w:r>
      <w:r w:rsidR="00C72091" w:rsidRPr="00453FB7">
        <w:rPr>
          <w:szCs w:val="24"/>
        </w:rPr>
        <w:t>1</w:t>
      </w:r>
      <w:r w:rsidR="00D41C71" w:rsidRPr="00453FB7">
        <w:rPr>
          <w:szCs w:val="24"/>
        </w:rPr>
        <w:t>7</w:t>
      </w:r>
      <w:r w:rsidR="00C72091" w:rsidRPr="00453FB7">
        <w:rPr>
          <w:szCs w:val="24"/>
        </w:rPr>
        <w:t xml:space="preserve"> </w:t>
      </w:r>
      <w:r w:rsidRPr="00453FB7">
        <w:rPr>
          <w:szCs w:val="24"/>
        </w:rPr>
        <w:t xml:space="preserve">eligible revenue period and future eligible revenue periods. </w:t>
      </w:r>
    </w:p>
    <w:p w14:paraId="54B3B186" w14:textId="77777777" w:rsidR="006E07FA" w:rsidRPr="00453FB7" w:rsidRDefault="006E07FA" w:rsidP="001F3F67">
      <w:pPr>
        <w:rPr>
          <w:szCs w:val="24"/>
        </w:rPr>
      </w:pPr>
    </w:p>
    <w:p w14:paraId="0CAE34C7" w14:textId="7C10BCF1" w:rsidR="00BB592E" w:rsidRPr="00453FB7" w:rsidRDefault="00BB592E" w:rsidP="00BB592E">
      <w:pPr>
        <w:rPr>
          <w:szCs w:val="24"/>
        </w:rPr>
      </w:pPr>
      <w:r w:rsidRPr="00453FB7">
        <w:rPr>
          <w:szCs w:val="24"/>
        </w:rPr>
        <w:t xml:space="preserve">The Direction is a legislative instrument for the purposes of the </w:t>
      </w:r>
      <w:r w:rsidR="00C72091" w:rsidRPr="00453FB7">
        <w:rPr>
          <w:i/>
          <w:szCs w:val="24"/>
        </w:rPr>
        <w:t xml:space="preserve">Legislation Act </w:t>
      </w:r>
      <w:r w:rsidRPr="00453FB7">
        <w:rPr>
          <w:i/>
          <w:szCs w:val="24"/>
        </w:rPr>
        <w:t>2003.</w:t>
      </w:r>
      <w:r w:rsidRPr="00453FB7">
        <w:rPr>
          <w:szCs w:val="24"/>
        </w:rPr>
        <w:t xml:space="preserve"> </w:t>
      </w:r>
      <w:r w:rsidR="00E3184B" w:rsidRPr="00453FB7">
        <w:rPr>
          <w:szCs w:val="24"/>
        </w:rPr>
        <w:t xml:space="preserve">The  Determination is a class of instruments specified at item 2 of the table at section 9 </w:t>
      </w:r>
      <w:r w:rsidR="00D7757C" w:rsidRPr="00453FB7">
        <w:rPr>
          <w:szCs w:val="24"/>
        </w:rPr>
        <w:t xml:space="preserve">of the </w:t>
      </w:r>
      <w:r w:rsidR="00EF7A7B" w:rsidRPr="00453FB7">
        <w:rPr>
          <w:i/>
          <w:szCs w:val="24"/>
        </w:rPr>
        <w:t>Legislation (</w:t>
      </w:r>
      <w:r w:rsidR="00D7757C" w:rsidRPr="00453FB7">
        <w:rPr>
          <w:i/>
          <w:szCs w:val="24"/>
        </w:rPr>
        <w:t xml:space="preserve">Exemptions </w:t>
      </w:r>
      <w:r w:rsidR="00EF7A7B" w:rsidRPr="00453FB7">
        <w:rPr>
          <w:i/>
          <w:szCs w:val="24"/>
        </w:rPr>
        <w:t>and Other Matters) Regulations 2015</w:t>
      </w:r>
      <w:r w:rsidR="00EF7A7B" w:rsidRPr="00453FB7">
        <w:rPr>
          <w:szCs w:val="24"/>
        </w:rPr>
        <w:t xml:space="preserve"> for the purposes of </w:t>
      </w:r>
      <w:r w:rsidR="00E3184B" w:rsidRPr="00453FB7">
        <w:rPr>
          <w:szCs w:val="24"/>
        </w:rPr>
        <w:t xml:space="preserve">paragraph </w:t>
      </w:r>
      <w:r w:rsidR="00EF7A7B" w:rsidRPr="00453FB7">
        <w:rPr>
          <w:szCs w:val="24"/>
        </w:rPr>
        <w:t xml:space="preserve">42(2)(b) </w:t>
      </w:r>
      <w:r w:rsidR="00E3184B" w:rsidRPr="00453FB7">
        <w:rPr>
          <w:szCs w:val="24"/>
        </w:rPr>
        <w:t>o</w:t>
      </w:r>
      <w:r w:rsidR="00EF7A7B" w:rsidRPr="00453FB7">
        <w:rPr>
          <w:szCs w:val="24"/>
        </w:rPr>
        <w:t>f the Legislation Act</w:t>
      </w:r>
      <w:r w:rsidR="00E3184B" w:rsidRPr="00453FB7">
        <w:rPr>
          <w:szCs w:val="24"/>
        </w:rPr>
        <w:t xml:space="preserve">, and is therefore </w:t>
      </w:r>
      <w:r w:rsidR="00EF7A7B" w:rsidRPr="00453FB7">
        <w:rPr>
          <w:szCs w:val="24"/>
        </w:rPr>
        <w:t xml:space="preserve">exempt from </w:t>
      </w:r>
      <w:r w:rsidR="00D7757C" w:rsidRPr="00453FB7">
        <w:rPr>
          <w:szCs w:val="24"/>
        </w:rPr>
        <w:t>disallowance.</w:t>
      </w:r>
    </w:p>
    <w:p w14:paraId="122B7AA1" w14:textId="77777777" w:rsidR="00EF2804" w:rsidRPr="00453FB7" w:rsidRDefault="00EF2804" w:rsidP="00B073B5">
      <w:pPr>
        <w:keepNext/>
        <w:keepLines/>
        <w:rPr>
          <w:b/>
          <w:szCs w:val="24"/>
        </w:rPr>
      </w:pPr>
    </w:p>
    <w:p w14:paraId="290C3F24" w14:textId="77777777" w:rsidR="00B26EC4" w:rsidRPr="00453FB7" w:rsidRDefault="00B26EC4" w:rsidP="00B073B5">
      <w:pPr>
        <w:keepNext/>
        <w:keepLines/>
        <w:rPr>
          <w:b/>
          <w:szCs w:val="24"/>
        </w:rPr>
      </w:pPr>
      <w:r w:rsidRPr="00453FB7">
        <w:rPr>
          <w:b/>
          <w:szCs w:val="24"/>
        </w:rPr>
        <w:t xml:space="preserve">Consultation </w:t>
      </w:r>
    </w:p>
    <w:p w14:paraId="55DF1AF3" w14:textId="77777777" w:rsidR="00B26EC4" w:rsidRPr="00453FB7" w:rsidRDefault="00B26EC4" w:rsidP="00B073B5">
      <w:pPr>
        <w:keepNext/>
        <w:keepLines/>
        <w:rPr>
          <w:szCs w:val="24"/>
        </w:rPr>
      </w:pPr>
    </w:p>
    <w:p w14:paraId="4A3B20E0" w14:textId="1643D6F1" w:rsidR="00254AA2" w:rsidRPr="00453FB7" w:rsidRDefault="00254AA2" w:rsidP="00254AA2">
      <w:pPr>
        <w:rPr>
          <w:i/>
          <w:szCs w:val="24"/>
        </w:rPr>
      </w:pPr>
      <w:r>
        <w:rPr>
          <w:szCs w:val="24"/>
        </w:rPr>
        <w:t>The Direction is of a minor nature and does not substantially alter existing arrangements</w:t>
      </w:r>
      <w:r w:rsidR="001B14DE">
        <w:rPr>
          <w:szCs w:val="24"/>
        </w:rPr>
        <w:t xml:space="preserve">.  The ACMA advised that </w:t>
      </w:r>
      <w:r>
        <w:rPr>
          <w:szCs w:val="24"/>
        </w:rPr>
        <w:t xml:space="preserve">full industry consultation was not required.  </w:t>
      </w:r>
      <w:r w:rsidR="001B14DE">
        <w:rPr>
          <w:szCs w:val="24"/>
        </w:rPr>
        <w:t xml:space="preserve">Comment was sought from </w:t>
      </w:r>
      <w:r w:rsidR="001B14DE" w:rsidRPr="001B14DE">
        <w:rPr>
          <w:szCs w:val="24"/>
        </w:rPr>
        <w:t>t</w:t>
      </w:r>
      <w:r w:rsidRPr="001B14DE">
        <w:rPr>
          <w:szCs w:val="24"/>
        </w:rPr>
        <w:t>he Communications Alliance</w:t>
      </w:r>
      <w:r w:rsidR="001B14DE">
        <w:rPr>
          <w:szCs w:val="24"/>
        </w:rPr>
        <w:t>, and its Board of Directors</w:t>
      </w:r>
      <w:r w:rsidRPr="001B14DE">
        <w:rPr>
          <w:szCs w:val="24"/>
        </w:rPr>
        <w:t xml:space="preserve"> advised th</w:t>
      </w:r>
      <w:r w:rsidR="001B14DE">
        <w:rPr>
          <w:szCs w:val="24"/>
        </w:rPr>
        <w:t>at industry consultation was unnecessary.</w:t>
      </w:r>
      <w:r w:rsidRPr="001B14DE">
        <w:rPr>
          <w:szCs w:val="24"/>
        </w:rPr>
        <w:t xml:space="preserve"> </w:t>
      </w:r>
    </w:p>
    <w:p w14:paraId="53D1358E" w14:textId="77777777" w:rsidR="00481A0A" w:rsidRPr="00453FB7" w:rsidRDefault="00481A0A" w:rsidP="00481A0A">
      <w:pPr>
        <w:rPr>
          <w:szCs w:val="24"/>
        </w:rPr>
      </w:pPr>
    </w:p>
    <w:p w14:paraId="1C005A56" w14:textId="77777777" w:rsidR="00A9422C" w:rsidRPr="00453FB7" w:rsidRDefault="00A9422C" w:rsidP="00A9422C">
      <w:pPr>
        <w:spacing w:after="240"/>
        <w:rPr>
          <w:b/>
          <w:color w:val="000000"/>
          <w:szCs w:val="24"/>
        </w:rPr>
      </w:pPr>
      <w:r w:rsidRPr="00453FB7">
        <w:rPr>
          <w:b/>
          <w:color w:val="000000"/>
          <w:szCs w:val="24"/>
        </w:rPr>
        <w:t>Regulatory impact</w:t>
      </w:r>
    </w:p>
    <w:p w14:paraId="54964F3C" w14:textId="2DBF0E1F" w:rsidR="00C72091" w:rsidRPr="00453FB7" w:rsidRDefault="00A2490D" w:rsidP="009A5B78">
      <w:pPr>
        <w:rPr>
          <w:color w:val="000000"/>
          <w:szCs w:val="24"/>
        </w:rPr>
      </w:pPr>
      <w:r w:rsidRPr="00453FB7">
        <w:rPr>
          <w:color w:val="000000"/>
          <w:szCs w:val="24"/>
        </w:rPr>
        <w:t>The Office of Best Practice Regulation (OBPR) has advised that the regulatory changes arising from the Direction are machinery in nature and that a Regulation Impact Statement is not required</w:t>
      </w:r>
      <w:r w:rsidR="00E21AF0" w:rsidRPr="00453FB7">
        <w:rPr>
          <w:color w:val="000000"/>
          <w:szCs w:val="24"/>
        </w:rPr>
        <w:t xml:space="preserve"> (OBPR reference: 21273)</w:t>
      </w:r>
      <w:r w:rsidRPr="00453FB7">
        <w:rPr>
          <w:color w:val="000000"/>
          <w:szCs w:val="24"/>
        </w:rPr>
        <w:t>.</w:t>
      </w:r>
      <w:r w:rsidR="00C72091" w:rsidRPr="00453FB7">
        <w:rPr>
          <w:color w:val="000000"/>
          <w:szCs w:val="24"/>
        </w:rPr>
        <w:t xml:space="preserve"> </w:t>
      </w:r>
    </w:p>
    <w:p w14:paraId="256AA144" w14:textId="77777777" w:rsidR="000C0E57" w:rsidRPr="00453FB7" w:rsidRDefault="000C0E57" w:rsidP="00816462">
      <w:pPr>
        <w:rPr>
          <w:szCs w:val="24"/>
        </w:rPr>
      </w:pPr>
    </w:p>
    <w:p w14:paraId="06B979D6" w14:textId="77777777" w:rsidR="00BE7638" w:rsidRPr="00453FB7" w:rsidRDefault="00FB4987">
      <w:pPr>
        <w:pStyle w:val="Heading3"/>
        <w:rPr>
          <w:szCs w:val="24"/>
        </w:rPr>
      </w:pPr>
      <w:r w:rsidRPr="00453FB7">
        <w:rPr>
          <w:szCs w:val="24"/>
        </w:rPr>
        <w:t>Notes on sections</w:t>
      </w:r>
    </w:p>
    <w:p w14:paraId="1483A8D6" w14:textId="77777777" w:rsidR="000229EF" w:rsidRPr="00453FB7" w:rsidRDefault="002D66B1" w:rsidP="000229EF">
      <w:pPr>
        <w:pStyle w:val="HR"/>
        <w:tabs>
          <w:tab w:val="clear" w:pos="540"/>
        </w:tabs>
        <w:spacing w:before="400"/>
        <w:jc w:val="left"/>
        <w:rPr>
          <w:rFonts w:ascii="Times New Roman" w:hAnsi="Times New Roman" w:cs="Times New Roman"/>
          <w:sz w:val="24"/>
          <w:szCs w:val="24"/>
        </w:rPr>
      </w:pPr>
      <w:r w:rsidRPr="00453FB7">
        <w:rPr>
          <w:rFonts w:ascii="Times New Roman" w:hAnsi="Times New Roman" w:cs="Times New Roman"/>
          <w:sz w:val="24"/>
          <w:szCs w:val="24"/>
        </w:rPr>
        <w:t xml:space="preserve">Section 1 - </w:t>
      </w:r>
      <w:r w:rsidR="00965BDF" w:rsidRPr="00453FB7">
        <w:rPr>
          <w:rFonts w:ascii="Times New Roman" w:hAnsi="Times New Roman" w:cs="Times New Roman"/>
          <w:sz w:val="24"/>
          <w:szCs w:val="24"/>
        </w:rPr>
        <w:t xml:space="preserve">Name of </w:t>
      </w:r>
      <w:r w:rsidR="00AE7A34" w:rsidRPr="00453FB7">
        <w:rPr>
          <w:rFonts w:ascii="Times New Roman" w:hAnsi="Times New Roman" w:cs="Times New Roman"/>
          <w:sz w:val="24"/>
          <w:szCs w:val="24"/>
        </w:rPr>
        <w:t>Direction</w:t>
      </w:r>
    </w:p>
    <w:p w14:paraId="19F0E606" w14:textId="77777777" w:rsidR="00AE7A34" w:rsidRPr="00453FB7" w:rsidRDefault="00725F32" w:rsidP="00AE7A34">
      <w:pPr>
        <w:rPr>
          <w:b/>
          <w:i/>
          <w:szCs w:val="24"/>
        </w:rPr>
      </w:pPr>
      <w:r w:rsidRPr="00453FB7">
        <w:rPr>
          <w:szCs w:val="24"/>
        </w:rPr>
        <w:t xml:space="preserve">Section </w:t>
      </w:r>
      <w:r w:rsidR="00965BDF" w:rsidRPr="00453FB7">
        <w:rPr>
          <w:szCs w:val="24"/>
        </w:rPr>
        <w:t>1 provides that the name of th</w:t>
      </w:r>
      <w:r w:rsidR="009264E9" w:rsidRPr="00453FB7">
        <w:rPr>
          <w:szCs w:val="24"/>
        </w:rPr>
        <w:t xml:space="preserve">e </w:t>
      </w:r>
      <w:r w:rsidR="00816462" w:rsidRPr="00453FB7">
        <w:rPr>
          <w:szCs w:val="24"/>
        </w:rPr>
        <w:t>D</w:t>
      </w:r>
      <w:r w:rsidR="00AE7A34" w:rsidRPr="00453FB7">
        <w:rPr>
          <w:szCs w:val="24"/>
        </w:rPr>
        <w:t>irection</w:t>
      </w:r>
      <w:r w:rsidR="00816462" w:rsidRPr="00453FB7">
        <w:rPr>
          <w:szCs w:val="24"/>
        </w:rPr>
        <w:t xml:space="preserve"> is the </w:t>
      </w:r>
      <w:r w:rsidR="00AE7A34" w:rsidRPr="00453FB7">
        <w:rPr>
          <w:i/>
          <w:szCs w:val="24"/>
        </w:rPr>
        <w:t>Australian Communications and Media Authority (Annual Carrier Licence Charge) Direction 201</w:t>
      </w:r>
      <w:r w:rsidR="00C72091" w:rsidRPr="00453FB7">
        <w:rPr>
          <w:i/>
          <w:szCs w:val="24"/>
        </w:rPr>
        <w:t>6</w:t>
      </w:r>
      <w:r w:rsidR="00E92AA7" w:rsidRPr="00453FB7">
        <w:rPr>
          <w:szCs w:val="24"/>
        </w:rPr>
        <w:t xml:space="preserve">.  </w:t>
      </w:r>
      <w:r w:rsidR="00AE7A34" w:rsidRPr="00453FB7">
        <w:rPr>
          <w:b/>
          <w:i/>
          <w:szCs w:val="24"/>
        </w:rPr>
        <w:t xml:space="preserve"> </w:t>
      </w:r>
    </w:p>
    <w:p w14:paraId="49B52435" w14:textId="77777777" w:rsidR="00AA79A7" w:rsidRPr="00453FB7" w:rsidRDefault="00AA79A7" w:rsidP="00AA79A7">
      <w:pPr>
        <w:pStyle w:val="HR"/>
        <w:tabs>
          <w:tab w:val="clear" w:pos="540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453FB7">
        <w:rPr>
          <w:rFonts w:ascii="Times New Roman" w:hAnsi="Times New Roman" w:cs="Times New Roman"/>
          <w:sz w:val="24"/>
          <w:szCs w:val="24"/>
        </w:rPr>
        <w:t>Section 2 –</w:t>
      </w:r>
      <w:r w:rsidR="00916A41" w:rsidRPr="00453FB7">
        <w:rPr>
          <w:rFonts w:ascii="Times New Roman" w:hAnsi="Times New Roman" w:cs="Times New Roman"/>
          <w:sz w:val="24"/>
          <w:szCs w:val="24"/>
        </w:rPr>
        <w:t xml:space="preserve"> </w:t>
      </w:r>
      <w:r w:rsidRPr="00453FB7">
        <w:rPr>
          <w:rFonts w:ascii="Times New Roman" w:hAnsi="Times New Roman" w:cs="Times New Roman"/>
          <w:sz w:val="24"/>
          <w:szCs w:val="24"/>
        </w:rPr>
        <w:t xml:space="preserve">Commencement </w:t>
      </w:r>
    </w:p>
    <w:p w14:paraId="453AEFA7" w14:textId="77777777" w:rsidR="00AA79A7" w:rsidRPr="00453FB7" w:rsidRDefault="00F14B8F" w:rsidP="00AA79A7">
      <w:pPr>
        <w:spacing w:before="120" w:after="120"/>
        <w:rPr>
          <w:szCs w:val="24"/>
        </w:rPr>
      </w:pPr>
      <w:r w:rsidRPr="00453FB7">
        <w:rPr>
          <w:szCs w:val="24"/>
        </w:rPr>
        <w:t>Section 2</w:t>
      </w:r>
      <w:r w:rsidR="00AA79A7" w:rsidRPr="00453FB7">
        <w:rPr>
          <w:szCs w:val="24"/>
        </w:rPr>
        <w:t xml:space="preserve"> provides that the Direction commences on the day after the Direction is registered on the Federal Register of </w:t>
      </w:r>
      <w:r w:rsidR="00C72091" w:rsidRPr="00453FB7">
        <w:rPr>
          <w:szCs w:val="24"/>
        </w:rPr>
        <w:t>Legislation</w:t>
      </w:r>
      <w:r w:rsidR="00AA79A7" w:rsidRPr="00453FB7">
        <w:rPr>
          <w:szCs w:val="24"/>
        </w:rPr>
        <w:t xml:space="preserve">.  </w:t>
      </w:r>
    </w:p>
    <w:p w14:paraId="036129E1" w14:textId="2F074BCA" w:rsidR="005701D6" w:rsidRPr="00453FB7" w:rsidRDefault="005701D6" w:rsidP="005701D6">
      <w:pPr>
        <w:pStyle w:val="HR"/>
        <w:tabs>
          <w:tab w:val="clear" w:pos="540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453FB7">
        <w:rPr>
          <w:rFonts w:ascii="Times New Roman" w:hAnsi="Times New Roman" w:cs="Times New Roman"/>
          <w:sz w:val="24"/>
          <w:szCs w:val="24"/>
        </w:rPr>
        <w:t>Section 3 – Authority</w:t>
      </w:r>
    </w:p>
    <w:p w14:paraId="4190583B" w14:textId="25B671B5" w:rsidR="005701D6" w:rsidRPr="00453FB7" w:rsidRDefault="005701D6" w:rsidP="005701D6">
      <w:pPr>
        <w:spacing w:before="100" w:beforeAutospacing="1" w:after="100" w:afterAutospacing="1"/>
        <w:rPr>
          <w:szCs w:val="24"/>
        </w:rPr>
      </w:pPr>
      <w:r w:rsidRPr="00453FB7">
        <w:rPr>
          <w:szCs w:val="24"/>
        </w:rPr>
        <w:t xml:space="preserve">Section 3 provides that the Direction is made under section 14 of the </w:t>
      </w:r>
      <w:r w:rsidRPr="00453FB7">
        <w:rPr>
          <w:i/>
          <w:szCs w:val="24"/>
        </w:rPr>
        <w:t>Australian Communications and Media Authority Act 2005</w:t>
      </w:r>
      <w:r w:rsidRPr="00453FB7">
        <w:rPr>
          <w:szCs w:val="24"/>
        </w:rPr>
        <w:t>.</w:t>
      </w:r>
    </w:p>
    <w:p w14:paraId="0108B0D0" w14:textId="3E4BECDC" w:rsidR="00C72091" w:rsidRPr="00453FB7" w:rsidRDefault="00C72091" w:rsidP="00C72091">
      <w:pPr>
        <w:pStyle w:val="HR"/>
        <w:tabs>
          <w:tab w:val="clear" w:pos="540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453FB7">
        <w:rPr>
          <w:rFonts w:ascii="Times New Roman" w:hAnsi="Times New Roman" w:cs="Times New Roman"/>
          <w:sz w:val="24"/>
          <w:szCs w:val="24"/>
        </w:rPr>
        <w:t xml:space="preserve">Section </w:t>
      </w:r>
      <w:r w:rsidR="00066E07" w:rsidRPr="00453FB7">
        <w:rPr>
          <w:rFonts w:ascii="Times New Roman" w:hAnsi="Times New Roman" w:cs="Times New Roman"/>
          <w:sz w:val="24"/>
          <w:szCs w:val="24"/>
        </w:rPr>
        <w:t xml:space="preserve">4 </w:t>
      </w:r>
      <w:r w:rsidRPr="00453FB7">
        <w:rPr>
          <w:rFonts w:ascii="Times New Roman" w:hAnsi="Times New Roman" w:cs="Times New Roman"/>
          <w:sz w:val="24"/>
          <w:szCs w:val="24"/>
        </w:rPr>
        <w:t>– Re</w:t>
      </w:r>
      <w:r w:rsidR="00066E07" w:rsidRPr="00453FB7">
        <w:rPr>
          <w:rFonts w:ascii="Times New Roman" w:hAnsi="Times New Roman" w:cs="Times New Roman"/>
          <w:sz w:val="24"/>
          <w:szCs w:val="24"/>
        </w:rPr>
        <w:t>peal</w:t>
      </w:r>
    </w:p>
    <w:p w14:paraId="4573D88E" w14:textId="512EF4B6" w:rsidR="00C72091" w:rsidRPr="00453FB7" w:rsidRDefault="00C72091" w:rsidP="00C72091">
      <w:pPr>
        <w:spacing w:before="100" w:beforeAutospacing="1" w:after="100" w:afterAutospacing="1"/>
        <w:rPr>
          <w:szCs w:val="24"/>
        </w:rPr>
      </w:pPr>
      <w:r w:rsidRPr="00453FB7">
        <w:rPr>
          <w:szCs w:val="24"/>
        </w:rPr>
        <w:t xml:space="preserve">Section </w:t>
      </w:r>
      <w:r w:rsidR="005701D6" w:rsidRPr="00453FB7">
        <w:rPr>
          <w:szCs w:val="24"/>
        </w:rPr>
        <w:t xml:space="preserve">4 </w:t>
      </w:r>
      <w:r w:rsidRPr="00453FB7">
        <w:rPr>
          <w:szCs w:val="24"/>
        </w:rPr>
        <w:t>re</w:t>
      </w:r>
      <w:r w:rsidR="005701D6" w:rsidRPr="00453FB7">
        <w:rPr>
          <w:szCs w:val="24"/>
        </w:rPr>
        <w:t>peals</w:t>
      </w:r>
      <w:r w:rsidRPr="00453FB7">
        <w:rPr>
          <w:szCs w:val="24"/>
        </w:rPr>
        <w:t xml:space="preserve"> the </w:t>
      </w:r>
      <w:r w:rsidRPr="00453FB7">
        <w:rPr>
          <w:i/>
          <w:szCs w:val="24"/>
        </w:rPr>
        <w:t>Australian Communications and Media Authority (Annual Carrier Licence Charge) Direction 2013</w:t>
      </w:r>
      <w:r w:rsidRPr="00453FB7">
        <w:rPr>
          <w:szCs w:val="24"/>
        </w:rPr>
        <w:t>.</w:t>
      </w:r>
    </w:p>
    <w:p w14:paraId="3D01114E" w14:textId="116ECE87" w:rsidR="000229EF" w:rsidRPr="00453FB7" w:rsidRDefault="002D66B1" w:rsidP="000229EF">
      <w:pPr>
        <w:pStyle w:val="HR"/>
        <w:tabs>
          <w:tab w:val="clear" w:pos="540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453FB7">
        <w:rPr>
          <w:rFonts w:ascii="Times New Roman" w:hAnsi="Times New Roman" w:cs="Times New Roman"/>
          <w:sz w:val="24"/>
          <w:szCs w:val="24"/>
        </w:rPr>
        <w:t xml:space="preserve">Section </w:t>
      </w:r>
      <w:r w:rsidR="005701D6" w:rsidRPr="00453FB7">
        <w:rPr>
          <w:rFonts w:ascii="Times New Roman" w:hAnsi="Times New Roman" w:cs="Times New Roman"/>
          <w:sz w:val="24"/>
          <w:szCs w:val="24"/>
        </w:rPr>
        <w:t xml:space="preserve">5 </w:t>
      </w:r>
      <w:r w:rsidR="00153039" w:rsidRPr="00453FB7">
        <w:rPr>
          <w:rFonts w:ascii="Times New Roman" w:hAnsi="Times New Roman" w:cs="Times New Roman"/>
          <w:sz w:val="24"/>
          <w:szCs w:val="24"/>
        </w:rPr>
        <w:t>–</w:t>
      </w:r>
      <w:r w:rsidRPr="00453FB7">
        <w:rPr>
          <w:rFonts w:ascii="Times New Roman" w:hAnsi="Times New Roman" w:cs="Times New Roman"/>
          <w:sz w:val="24"/>
          <w:szCs w:val="24"/>
        </w:rPr>
        <w:t xml:space="preserve"> </w:t>
      </w:r>
      <w:r w:rsidR="00153039" w:rsidRPr="00453FB7">
        <w:rPr>
          <w:rFonts w:ascii="Times New Roman" w:hAnsi="Times New Roman" w:cs="Times New Roman"/>
          <w:sz w:val="24"/>
          <w:szCs w:val="24"/>
        </w:rPr>
        <w:t xml:space="preserve">Definitions </w:t>
      </w:r>
    </w:p>
    <w:p w14:paraId="6D01ACC2" w14:textId="62F5C471" w:rsidR="00EA3E6E" w:rsidRPr="00453FB7" w:rsidRDefault="00977A03" w:rsidP="00977A03">
      <w:pPr>
        <w:spacing w:before="100" w:beforeAutospacing="1" w:after="100" w:afterAutospacing="1"/>
        <w:rPr>
          <w:szCs w:val="24"/>
        </w:rPr>
      </w:pPr>
      <w:r w:rsidRPr="00453FB7">
        <w:rPr>
          <w:szCs w:val="24"/>
        </w:rPr>
        <w:t xml:space="preserve">Section </w:t>
      </w:r>
      <w:r w:rsidR="005701D6" w:rsidRPr="00453FB7">
        <w:rPr>
          <w:szCs w:val="24"/>
        </w:rPr>
        <w:t xml:space="preserve">5 </w:t>
      </w:r>
      <w:r w:rsidRPr="00453FB7">
        <w:rPr>
          <w:szCs w:val="24"/>
        </w:rPr>
        <w:t xml:space="preserve">sets out the key definitions used in the Direction.  </w:t>
      </w:r>
    </w:p>
    <w:p w14:paraId="744D7CFE" w14:textId="097E141F" w:rsidR="000229EF" w:rsidRPr="00453FB7" w:rsidRDefault="00707F2E" w:rsidP="000229EF">
      <w:pPr>
        <w:pStyle w:val="HR"/>
        <w:tabs>
          <w:tab w:val="clear" w:pos="540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453FB7">
        <w:rPr>
          <w:rFonts w:ascii="Times New Roman" w:hAnsi="Times New Roman" w:cs="Times New Roman"/>
          <w:sz w:val="24"/>
          <w:szCs w:val="24"/>
        </w:rPr>
        <w:lastRenderedPageBreak/>
        <w:t xml:space="preserve">Section </w:t>
      </w:r>
      <w:r w:rsidR="005701D6" w:rsidRPr="00453FB7">
        <w:rPr>
          <w:rFonts w:ascii="Times New Roman" w:hAnsi="Times New Roman" w:cs="Times New Roman"/>
          <w:sz w:val="24"/>
          <w:szCs w:val="24"/>
        </w:rPr>
        <w:t xml:space="preserve">6 </w:t>
      </w:r>
      <w:r w:rsidR="00153039" w:rsidRPr="00453FB7">
        <w:rPr>
          <w:rFonts w:ascii="Times New Roman" w:hAnsi="Times New Roman" w:cs="Times New Roman"/>
          <w:sz w:val="24"/>
          <w:szCs w:val="24"/>
        </w:rPr>
        <w:t>–</w:t>
      </w:r>
      <w:r w:rsidRPr="00453FB7">
        <w:rPr>
          <w:rFonts w:ascii="Times New Roman" w:hAnsi="Times New Roman" w:cs="Times New Roman"/>
          <w:sz w:val="24"/>
          <w:szCs w:val="24"/>
        </w:rPr>
        <w:t xml:space="preserve"> </w:t>
      </w:r>
      <w:r w:rsidR="00153039" w:rsidRPr="00453FB7">
        <w:rPr>
          <w:rFonts w:ascii="Times New Roman" w:hAnsi="Times New Roman" w:cs="Times New Roman"/>
          <w:sz w:val="24"/>
          <w:szCs w:val="24"/>
        </w:rPr>
        <w:t xml:space="preserve">Direction </w:t>
      </w:r>
    </w:p>
    <w:p w14:paraId="5BC1197A" w14:textId="4ECCFD03" w:rsidR="00977A03" w:rsidRPr="00453FB7" w:rsidRDefault="00977A03">
      <w:pPr>
        <w:rPr>
          <w:szCs w:val="24"/>
        </w:rPr>
      </w:pPr>
      <w:r w:rsidRPr="00453FB7">
        <w:rPr>
          <w:szCs w:val="24"/>
        </w:rPr>
        <w:t xml:space="preserve">Section </w:t>
      </w:r>
      <w:r w:rsidR="005701D6" w:rsidRPr="00453FB7">
        <w:rPr>
          <w:szCs w:val="24"/>
        </w:rPr>
        <w:t xml:space="preserve">6 </w:t>
      </w:r>
      <w:r w:rsidRPr="00453FB7">
        <w:rPr>
          <w:szCs w:val="24"/>
        </w:rPr>
        <w:t xml:space="preserve">directs the ACMA to make </w:t>
      </w:r>
      <w:r w:rsidR="00EB5437" w:rsidRPr="00453FB7">
        <w:rPr>
          <w:szCs w:val="24"/>
        </w:rPr>
        <w:t xml:space="preserve">such </w:t>
      </w:r>
      <w:r w:rsidRPr="00453FB7">
        <w:rPr>
          <w:szCs w:val="24"/>
        </w:rPr>
        <w:t xml:space="preserve">determinations </w:t>
      </w:r>
      <w:r w:rsidR="00EB5437" w:rsidRPr="00453FB7">
        <w:rPr>
          <w:szCs w:val="24"/>
        </w:rPr>
        <w:t xml:space="preserve">as </w:t>
      </w:r>
      <w:r w:rsidR="00E21AF0" w:rsidRPr="00453FB7">
        <w:rPr>
          <w:szCs w:val="24"/>
        </w:rPr>
        <w:t xml:space="preserve">are </w:t>
      </w:r>
      <w:r w:rsidR="00EB5437" w:rsidRPr="00453FB7">
        <w:rPr>
          <w:szCs w:val="24"/>
        </w:rPr>
        <w:t xml:space="preserve">necessary </w:t>
      </w:r>
      <w:r w:rsidRPr="00453FB7">
        <w:rPr>
          <w:szCs w:val="24"/>
        </w:rPr>
        <w:t xml:space="preserve">under subsection 14(1) of the Carrier </w:t>
      </w:r>
      <w:r w:rsidR="00427158" w:rsidRPr="00453FB7">
        <w:rPr>
          <w:szCs w:val="24"/>
        </w:rPr>
        <w:t>L</w:t>
      </w:r>
      <w:r w:rsidRPr="00453FB7">
        <w:rPr>
          <w:szCs w:val="24"/>
        </w:rPr>
        <w:t xml:space="preserve">icence Charges Act that </w:t>
      </w:r>
      <w:r w:rsidR="00EB5437" w:rsidRPr="00453FB7">
        <w:rPr>
          <w:szCs w:val="24"/>
        </w:rPr>
        <w:t>have the effect of imposing a nil annual c</w:t>
      </w:r>
      <w:r w:rsidRPr="00453FB7">
        <w:rPr>
          <w:szCs w:val="24"/>
        </w:rPr>
        <w:t>arrier licence charge</w:t>
      </w:r>
      <w:r w:rsidR="00EB5437" w:rsidRPr="00453FB7">
        <w:rPr>
          <w:szCs w:val="24"/>
        </w:rPr>
        <w:t xml:space="preserve"> for a relevant financial year</w:t>
      </w:r>
      <w:r w:rsidRPr="00453FB7">
        <w:rPr>
          <w:szCs w:val="24"/>
        </w:rPr>
        <w:t xml:space="preserve"> on ‘non</w:t>
      </w:r>
      <w:r w:rsidRPr="00453FB7">
        <w:rPr>
          <w:szCs w:val="24"/>
        </w:rPr>
        <w:noBreakHyphen/>
      </w:r>
      <w:r w:rsidR="00C9194B" w:rsidRPr="00453FB7">
        <w:rPr>
          <w:szCs w:val="24"/>
        </w:rPr>
        <w:t>p</w:t>
      </w:r>
      <w:r w:rsidRPr="00453FB7">
        <w:rPr>
          <w:szCs w:val="24"/>
        </w:rPr>
        <w:t xml:space="preserve">articipating </w:t>
      </w:r>
      <w:r w:rsidR="00C9194B" w:rsidRPr="00453FB7">
        <w:rPr>
          <w:szCs w:val="24"/>
        </w:rPr>
        <w:t>p</w:t>
      </w:r>
      <w:r w:rsidRPr="00453FB7">
        <w:rPr>
          <w:szCs w:val="24"/>
        </w:rPr>
        <w:t xml:space="preserve">ersons’ (as defined in the Participating Persons Determination).  </w:t>
      </w:r>
    </w:p>
    <w:p w14:paraId="19FB4B3E" w14:textId="77777777" w:rsidR="00977A03" w:rsidRPr="00453FB7" w:rsidRDefault="00977A03">
      <w:pPr>
        <w:rPr>
          <w:szCs w:val="24"/>
        </w:rPr>
      </w:pPr>
    </w:p>
    <w:p w14:paraId="58824EE8" w14:textId="78D4A9FE" w:rsidR="00965BDF" w:rsidRPr="00453FB7" w:rsidRDefault="00EB5437">
      <w:pPr>
        <w:rPr>
          <w:b/>
          <w:szCs w:val="24"/>
          <w:u w:val="single"/>
        </w:rPr>
      </w:pPr>
      <w:r w:rsidRPr="00453FB7">
        <w:rPr>
          <w:szCs w:val="24"/>
        </w:rPr>
        <w:t>T</w:t>
      </w:r>
      <w:r w:rsidR="00427158" w:rsidRPr="00453FB7">
        <w:rPr>
          <w:szCs w:val="24"/>
        </w:rPr>
        <w:t>he ACMA must have regard to the Direction when making a determination under subsection 14(1) of the Carrier Licence Charges Act in relation to the 201</w:t>
      </w:r>
      <w:r w:rsidR="00C72091" w:rsidRPr="00453FB7">
        <w:rPr>
          <w:szCs w:val="24"/>
        </w:rPr>
        <w:t>6</w:t>
      </w:r>
      <w:r w:rsidR="00427158" w:rsidRPr="00453FB7">
        <w:rPr>
          <w:szCs w:val="24"/>
        </w:rPr>
        <w:t>-1</w:t>
      </w:r>
      <w:r w:rsidR="00C72091" w:rsidRPr="00453FB7">
        <w:rPr>
          <w:szCs w:val="24"/>
        </w:rPr>
        <w:t>7</w:t>
      </w:r>
      <w:r w:rsidR="00427158" w:rsidRPr="00453FB7">
        <w:rPr>
          <w:szCs w:val="24"/>
        </w:rPr>
        <w:t xml:space="preserve"> financial year and beyond.</w:t>
      </w:r>
    </w:p>
    <w:sectPr w:rsidR="00965BDF" w:rsidRPr="00453FB7" w:rsidSect="00813909">
      <w:footerReference w:type="default" r:id="rId11"/>
      <w:pgSz w:w="12240" w:h="15840"/>
      <w:pgMar w:top="1440" w:right="1800" w:bottom="1440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0CC0E" w14:textId="77777777" w:rsidR="0093761C" w:rsidRDefault="0093761C">
      <w:r>
        <w:separator/>
      </w:r>
    </w:p>
  </w:endnote>
  <w:endnote w:type="continuationSeparator" w:id="0">
    <w:p w14:paraId="75C690DC" w14:textId="77777777" w:rsidR="0093761C" w:rsidRDefault="00937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C9BC5" w14:textId="77777777" w:rsidR="000F1BA8" w:rsidRDefault="00A2370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462A8">
      <w:rPr>
        <w:noProof/>
      </w:rPr>
      <w:t>2</w:t>
    </w:r>
    <w:r>
      <w:rPr>
        <w:noProof/>
      </w:rPr>
      <w:fldChar w:fldCharType="end"/>
    </w:r>
  </w:p>
  <w:p w14:paraId="7220A20A" w14:textId="77777777" w:rsidR="000F1BA8" w:rsidRDefault="000F1B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C4DBD" w14:textId="77777777" w:rsidR="0093761C" w:rsidRDefault="0093761C">
      <w:r>
        <w:separator/>
      </w:r>
    </w:p>
  </w:footnote>
  <w:footnote w:type="continuationSeparator" w:id="0">
    <w:p w14:paraId="195C2CF7" w14:textId="77777777" w:rsidR="0093761C" w:rsidRDefault="00937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D1883"/>
    <w:multiLevelType w:val="multilevel"/>
    <w:tmpl w:val="9DE613D2"/>
    <w:numStyleLink w:val="Style1"/>
  </w:abstractNum>
  <w:abstractNum w:abstractNumId="1" w15:restartNumberingAfterBreak="0">
    <w:nsid w:val="08566C3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8C22ED9"/>
    <w:multiLevelType w:val="hybridMultilevel"/>
    <w:tmpl w:val="5A084FCA"/>
    <w:lvl w:ilvl="0" w:tplc="0C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534AA2"/>
    <w:multiLevelType w:val="hybridMultilevel"/>
    <w:tmpl w:val="E102A6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7529F"/>
    <w:multiLevelType w:val="hybridMultilevel"/>
    <w:tmpl w:val="AD8A3C7C"/>
    <w:lvl w:ilvl="0" w:tplc="69D487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83911"/>
    <w:multiLevelType w:val="hybridMultilevel"/>
    <w:tmpl w:val="04B042C6"/>
    <w:lvl w:ilvl="0" w:tplc="EF66B018">
      <w:start w:val="1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F255E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2F128A"/>
    <w:multiLevelType w:val="multilevel"/>
    <w:tmpl w:val="9DE613D2"/>
    <w:styleLink w:val="Style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Letter"/>
      <w:lvlText w:val="(%3)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 w15:restartNumberingAfterBreak="0">
    <w:nsid w:val="23942739"/>
    <w:multiLevelType w:val="multilevel"/>
    <w:tmpl w:val="85BC00F0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25724D9A"/>
    <w:multiLevelType w:val="hybridMultilevel"/>
    <w:tmpl w:val="BA98EAE4"/>
    <w:lvl w:ilvl="0" w:tplc="AA3C5A30">
      <w:start w:val="1"/>
      <w:numFmt w:val="lowerRoman"/>
      <w:lvlText w:val="(%1)"/>
      <w:lvlJc w:val="right"/>
      <w:pPr>
        <w:tabs>
          <w:tab w:val="num" w:pos="2313"/>
        </w:tabs>
        <w:ind w:left="2313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828E4"/>
    <w:multiLevelType w:val="hybridMultilevel"/>
    <w:tmpl w:val="D6E234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917B0D"/>
    <w:multiLevelType w:val="multilevel"/>
    <w:tmpl w:val="BFD8490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(%2)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0BF5BE2"/>
    <w:multiLevelType w:val="hybridMultilevel"/>
    <w:tmpl w:val="63BCAC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04602"/>
    <w:multiLevelType w:val="hybridMultilevel"/>
    <w:tmpl w:val="069AA9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7771E"/>
    <w:multiLevelType w:val="hybridMultilevel"/>
    <w:tmpl w:val="7944C4B4"/>
    <w:lvl w:ilvl="0" w:tplc="55D8A856">
      <w:numFmt w:val="bullet"/>
      <w:lvlText w:val="·"/>
      <w:lvlJc w:val="left"/>
      <w:pPr>
        <w:ind w:left="780" w:hanging="42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61430"/>
    <w:multiLevelType w:val="hybridMultilevel"/>
    <w:tmpl w:val="CAA4AF1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041554"/>
    <w:multiLevelType w:val="hybridMultilevel"/>
    <w:tmpl w:val="BB3A12EA"/>
    <w:lvl w:ilvl="0" w:tplc="CECC0BBC">
      <w:start w:val="1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13A90"/>
    <w:multiLevelType w:val="hybridMultilevel"/>
    <w:tmpl w:val="E2987CDA"/>
    <w:lvl w:ilvl="0" w:tplc="5F56C486">
      <w:start w:val="1"/>
      <w:numFmt w:val="lowerLetter"/>
      <w:lvlText w:val="(%1)"/>
      <w:lvlJc w:val="left"/>
      <w:pPr>
        <w:ind w:left="927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>
      <w:start w:val="1"/>
      <w:numFmt w:val="lowerRoman"/>
      <w:lvlText w:val="%3."/>
      <w:lvlJc w:val="right"/>
      <w:pPr>
        <w:ind w:left="2367" w:hanging="180"/>
      </w:pPr>
    </w:lvl>
    <w:lvl w:ilvl="3" w:tplc="0C09000F">
      <w:start w:val="1"/>
      <w:numFmt w:val="decimal"/>
      <w:lvlText w:val="%4."/>
      <w:lvlJc w:val="left"/>
      <w:pPr>
        <w:ind w:left="3087" w:hanging="360"/>
      </w:pPr>
    </w:lvl>
    <w:lvl w:ilvl="4" w:tplc="0C090019">
      <w:start w:val="1"/>
      <w:numFmt w:val="lowerLetter"/>
      <w:lvlText w:val="%5."/>
      <w:lvlJc w:val="left"/>
      <w:pPr>
        <w:ind w:left="3807" w:hanging="360"/>
      </w:pPr>
    </w:lvl>
    <w:lvl w:ilvl="5" w:tplc="0C09001B">
      <w:start w:val="1"/>
      <w:numFmt w:val="lowerRoman"/>
      <w:lvlText w:val="%6."/>
      <w:lvlJc w:val="right"/>
      <w:pPr>
        <w:ind w:left="4527" w:hanging="180"/>
      </w:pPr>
    </w:lvl>
    <w:lvl w:ilvl="6" w:tplc="0C09000F">
      <w:start w:val="1"/>
      <w:numFmt w:val="decimal"/>
      <w:lvlText w:val="%7."/>
      <w:lvlJc w:val="left"/>
      <w:pPr>
        <w:ind w:left="5247" w:hanging="360"/>
      </w:pPr>
    </w:lvl>
    <w:lvl w:ilvl="7" w:tplc="0C090019">
      <w:start w:val="1"/>
      <w:numFmt w:val="lowerLetter"/>
      <w:lvlText w:val="%8."/>
      <w:lvlJc w:val="left"/>
      <w:pPr>
        <w:ind w:left="5967" w:hanging="360"/>
      </w:pPr>
    </w:lvl>
    <w:lvl w:ilvl="8" w:tplc="0C09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F933392"/>
    <w:multiLevelType w:val="singleLevel"/>
    <w:tmpl w:val="62F6113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442E69B8"/>
    <w:multiLevelType w:val="hybridMultilevel"/>
    <w:tmpl w:val="0142779A"/>
    <w:lvl w:ilvl="0" w:tplc="DE7234C2">
      <w:start w:val="1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30007"/>
    <w:multiLevelType w:val="hybridMultilevel"/>
    <w:tmpl w:val="EF8C9564"/>
    <w:lvl w:ilvl="0" w:tplc="68781DAE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4D06115C"/>
    <w:multiLevelType w:val="hybridMultilevel"/>
    <w:tmpl w:val="66786D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393EDD"/>
    <w:multiLevelType w:val="hybridMultilevel"/>
    <w:tmpl w:val="B32E5984"/>
    <w:lvl w:ilvl="0" w:tplc="0C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4F8A2F53"/>
    <w:multiLevelType w:val="hybridMultilevel"/>
    <w:tmpl w:val="7786E9AE"/>
    <w:lvl w:ilvl="0" w:tplc="55D8A856">
      <w:numFmt w:val="bullet"/>
      <w:lvlText w:val="·"/>
      <w:lvlJc w:val="left"/>
      <w:pPr>
        <w:ind w:left="1140" w:hanging="42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8250C1"/>
    <w:multiLevelType w:val="multilevel"/>
    <w:tmpl w:val="74A0AB7E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565A13FE"/>
    <w:multiLevelType w:val="hybridMultilevel"/>
    <w:tmpl w:val="75CED372"/>
    <w:lvl w:ilvl="0" w:tplc="0C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 w15:restartNumberingAfterBreak="0">
    <w:nsid w:val="5F395CE7"/>
    <w:multiLevelType w:val="hybridMultilevel"/>
    <w:tmpl w:val="9D9869A0"/>
    <w:lvl w:ilvl="0" w:tplc="F84C3F7A">
      <w:start w:val="1"/>
      <w:numFmt w:val="lowerRoman"/>
      <w:lvlText w:val="(%1)"/>
      <w:lvlJc w:val="right"/>
      <w:pPr>
        <w:tabs>
          <w:tab w:val="num" w:pos="2313"/>
        </w:tabs>
        <w:ind w:left="2313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8559D"/>
    <w:multiLevelType w:val="multilevel"/>
    <w:tmpl w:val="4D7E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CA53C8"/>
    <w:multiLevelType w:val="hybridMultilevel"/>
    <w:tmpl w:val="A80680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5C62AC"/>
    <w:multiLevelType w:val="singleLevel"/>
    <w:tmpl w:val="0C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95375DC"/>
    <w:multiLevelType w:val="hybridMultilevel"/>
    <w:tmpl w:val="AB1251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851CF"/>
    <w:multiLevelType w:val="hybridMultilevel"/>
    <w:tmpl w:val="2F36962E"/>
    <w:lvl w:ilvl="0" w:tplc="77D6D8EE">
      <w:start w:val="1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71B0064C">
      <w:start w:val="1"/>
      <w:numFmt w:val="lowerRoman"/>
      <w:lvlText w:val="(%2)"/>
      <w:lvlJc w:val="righ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2" w15:restartNumberingAfterBreak="0">
    <w:nsid w:val="6E546BF9"/>
    <w:multiLevelType w:val="hybridMultilevel"/>
    <w:tmpl w:val="1F0A327E"/>
    <w:lvl w:ilvl="0" w:tplc="0C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1B86046"/>
    <w:multiLevelType w:val="multilevel"/>
    <w:tmpl w:val="1ADCDF0A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8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77D5683"/>
    <w:multiLevelType w:val="hybridMultilevel"/>
    <w:tmpl w:val="4FCE17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D01031"/>
    <w:multiLevelType w:val="hybridMultilevel"/>
    <w:tmpl w:val="BF7A3F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D5B27"/>
    <w:multiLevelType w:val="hybridMultilevel"/>
    <w:tmpl w:val="3D2653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A66ADB"/>
    <w:multiLevelType w:val="hybridMultilevel"/>
    <w:tmpl w:val="4B406DCC"/>
    <w:lvl w:ilvl="0" w:tplc="2EE4256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D158B7"/>
    <w:multiLevelType w:val="hybridMultilevel"/>
    <w:tmpl w:val="94086D28"/>
    <w:lvl w:ilvl="0" w:tplc="21066A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6"/>
  </w:num>
  <w:num w:numId="4">
    <w:abstractNumId w:val="29"/>
  </w:num>
  <w:num w:numId="5">
    <w:abstractNumId w:val="0"/>
  </w:num>
  <w:num w:numId="6">
    <w:abstractNumId w:val="7"/>
  </w:num>
  <w:num w:numId="7">
    <w:abstractNumId w:val="31"/>
  </w:num>
  <w:num w:numId="8">
    <w:abstractNumId w:val="33"/>
  </w:num>
  <w:num w:numId="9">
    <w:abstractNumId w:val="24"/>
  </w:num>
  <w:num w:numId="10">
    <w:abstractNumId w:val="15"/>
  </w:num>
  <w:num w:numId="11">
    <w:abstractNumId w:val="8"/>
  </w:num>
  <w:num w:numId="12">
    <w:abstractNumId w:val="5"/>
  </w:num>
  <w:num w:numId="13">
    <w:abstractNumId w:val="2"/>
  </w:num>
  <w:num w:numId="14">
    <w:abstractNumId w:val="32"/>
  </w:num>
  <w:num w:numId="15">
    <w:abstractNumId w:val="22"/>
  </w:num>
  <w:num w:numId="16">
    <w:abstractNumId w:val="16"/>
  </w:num>
  <w:num w:numId="17">
    <w:abstractNumId w:val="26"/>
  </w:num>
  <w:num w:numId="18">
    <w:abstractNumId w:val="19"/>
  </w:num>
  <w:num w:numId="19">
    <w:abstractNumId w:val="9"/>
  </w:num>
  <w:num w:numId="20">
    <w:abstractNumId w:val="21"/>
  </w:num>
  <w:num w:numId="21">
    <w:abstractNumId w:val="28"/>
  </w:num>
  <w:num w:numId="22">
    <w:abstractNumId w:val="36"/>
  </w:num>
  <w:num w:numId="23">
    <w:abstractNumId w:val="14"/>
  </w:num>
  <w:num w:numId="24">
    <w:abstractNumId w:val="23"/>
  </w:num>
  <w:num w:numId="25">
    <w:abstractNumId w:val="10"/>
  </w:num>
  <w:num w:numId="26">
    <w:abstractNumId w:val="3"/>
  </w:num>
  <w:num w:numId="27">
    <w:abstractNumId w:val="37"/>
  </w:num>
  <w:num w:numId="28">
    <w:abstractNumId w:val="27"/>
  </w:num>
  <w:num w:numId="29">
    <w:abstractNumId w:val="20"/>
  </w:num>
  <w:num w:numId="30">
    <w:abstractNumId w:val="35"/>
  </w:num>
  <w:num w:numId="31">
    <w:abstractNumId w:val="13"/>
  </w:num>
  <w:num w:numId="32">
    <w:abstractNumId w:val="12"/>
  </w:num>
  <w:num w:numId="33">
    <w:abstractNumId w:val="30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</w:num>
  <w:num w:numId="38">
    <w:abstractNumId w:val="34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638"/>
    <w:rsid w:val="0001730A"/>
    <w:rsid w:val="000229EF"/>
    <w:rsid w:val="00027360"/>
    <w:rsid w:val="00031DCB"/>
    <w:rsid w:val="0003583E"/>
    <w:rsid w:val="00040043"/>
    <w:rsid w:val="0004013C"/>
    <w:rsid w:val="00040465"/>
    <w:rsid w:val="00043A10"/>
    <w:rsid w:val="00045CCD"/>
    <w:rsid w:val="000462A8"/>
    <w:rsid w:val="00051B61"/>
    <w:rsid w:val="00053542"/>
    <w:rsid w:val="00061358"/>
    <w:rsid w:val="00063362"/>
    <w:rsid w:val="00065349"/>
    <w:rsid w:val="00065FD9"/>
    <w:rsid w:val="00066E07"/>
    <w:rsid w:val="000673AD"/>
    <w:rsid w:val="0007009C"/>
    <w:rsid w:val="0007081E"/>
    <w:rsid w:val="00073378"/>
    <w:rsid w:val="00073DDD"/>
    <w:rsid w:val="00075669"/>
    <w:rsid w:val="000765CF"/>
    <w:rsid w:val="00084597"/>
    <w:rsid w:val="00092689"/>
    <w:rsid w:val="000A118F"/>
    <w:rsid w:val="000A2BB3"/>
    <w:rsid w:val="000B4830"/>
    <w:rsid w:val="000B487E"/>
    <w:rsid w:val="000C0E57"/>
    <w:rsid w:val="000C6A89"/>
    <w:rsid w:val="000D3CFC"/>
    <w:rsid w:val="000D4A9D"/>
    <w:rsid w:val="000E3063"/>
    <w:rsid w:val="000E4792"/>
    <w:rsid w:val="000E5549"/>
    <w:rsid w:val="000E5B90"/>
    <w:rsid w:val="000E5CD2"/>
    <w:rsid w:val="000E6FD6"/>
    <w:rsid w:val="000F013D"/>
    <w:rsid w:val="000F1BA8"/>
    <w:rsid w:val="000F583D"/>
    <w:rsid w:val="000F5A0D"/>
    <w:rsid w:val="00104728"/>
    <w:rsid w:val="00104C51"/>
    <w:rsid w:val="00111CD8"/>
    <w:rsid w:val="00114B31"/>
    <w:rsid w:val="00116F3E"/>
    <w:rsid w:val="001332F3"/>
    <w:rsid w:val="00134BA8"/>
    <w:rsid w:val="001362D4"/>
    <w:rsid w:val="001378ED"/>
    <w:rsid w:val="0014746C"/>
    <w:rsid w:val="00147C4D"/>
    <w:rsid w:val="001511D7"/>
    <w:rsid w:val="00153039"/>
    <w:rsid w:val="001607B5"/>
    <w:rsid w:val="0016181E"/>
    <w:rsid w:val="001675AD"/>
    <w:rsid w:val="00174142"/>
    <w:rsid w:val="00175BD3"/>
    <w:rsid w:val="00177A07"/>
    <w:rsid w:val="00181079"/>
    <w:rsid w:val="00182CF4"/>
    <w:rsid w:val="00185773"/>
    <w:rsid w:val="001878BE"/>
    <w:rsid w:val="001A0886"/>
    <w:rsid w:val="001A3736"/>
    <w:rsid w:val="001A5DBC"/>
    <w:rsid w:val="001B1185"/>
    <w:rsid w:val="001B143D"/>
    <w:rsid w:val="001B14DE"/>
    <w:rsid w:val="001B4B48"/>
    <w:rsid w:val="001C34ED"/>
    <w:rsid w:val="001C3FC6"/>
    <w:rsid w:val="001C4AF2"/>
    <w:rsid w:val="001D27D8"/>
    <w:rsid w:val="001D5076"/>
    <w:rsid w:val="001E2EA0"/>
    <w:rsid w:val="001E4B5E"/>
    <w:rsid w:val="001E5113"/>
    <w:rsid w:val="001E5351"/>
    <w:rsid w:val="001F1D83"/>
    <w:rsid w:val="001F3F67"/>
    <w:rsid w:val="001F5437"/>
    <w:rsid w:val="00200062"/>
    <w:rsid w:val="00201271"/>
    <w:rsid w:val="00202FB3"/>
    <w:rsid w:val="00205BD9"/>
    <w:rsid w:val="00205D8D"/>
    <w:rsid w:val="00206D33"/>
    <w:rsid w:val="002167B8"/>
    <w:rsid w:val="00221D48"/>
    <w:rsid w:val="00222653"/>
    <w:rsid w:val="00222EBA"/>
    <w:rsid w:val="002270DE"/>
    <w:rsid w:val="002276BF"/>
    <w:rsid w:val="002316D0"/>
    <w:rsid w:val="002362EB"/>
    <w:rsid w:val="00242080"/>
    <w:rsid w:val="00243516"/>
    <w:rsid w:val="002444EE"/>
    <w:rsid w:val="0024730A"/>
    <w:rsid w:val="00254AA2"/>
    <w:rsid w:val="00256061"/>
    <w:rsid w:val="00257872"/>
    <w:rsid w:val="00260F92"/>
    <w:rsid w:val="00263A65"/>
    <w:rsid w:val="0026435C"/>
    <w:rsid w:val="00264F24"/>
    <w:rsid w:val="00267ED5"/>
    <w:rsid w:val="002752E7"/>
    <w:rsid w:val="002768F9"/>
    <w:rsid w:val="00280AF0"/>
    <w:rsid w:val="00281036"/>
    <w:rsid w:val="00285204"/>
    <w:rsid w:val="00287345"/>
    <w:rsid w:val="00290900"/>
    <w:rsid w:val="002917B0"/>
    <w:rsid w:val="00293788"/>
    <w:rsid w:val="002943C5"/>
    <w:rsid w:val="0029575E"/>
    <w:rsid w:val="002A1ED4"/>
    <w:rsid w:val="002A6895"/>
    <w:rsid w:val="002B3BE9"/>
    <w:rsid w:val="002B6534"/>
    <w:rsid w:val="002C1B31"/>
    <w:rsid w:val="002C2A54"/>
    <w:rsid w:val="002C46A3"/>
    <w:rsid w:val="002C747B"/>
    <w:rsid w:val="002D2F47"/>
    <w:rsid w:val="002D61B4"/>
    <w:rsid w:val="002D66B1"/>
    <w:rsid w:val="002E4491"/>
    <w:rsid w:val="002E7EB6"/>
    <w:rsid w:val="002F1522"/>
    <w:rsid w:val="002F1698"/>
    <w:rsid w:val="002F202B"/>
    <w:rsid w:val="002F3E02"/>
    <w:rsid w:val="002F523B"/>
    <w:rsid w:val="00300502"/>
    <w:rsid w:val="00306694"/>
    <w:rsid w:val="003142DB"/>
    <w:rsid w:val="00314F6E"/>
    <w:rsid w:val="003164EC"/>
    <w:rsid w:val="00320EC7"/>
    <w:rsid w:val="003214A6"/>
    <w:rsid w:val="0032315C"/>
    <w:rsid w:val="003272CF"/>
    <w:rsid w:val="00334DFA"/>
    <w:rsid w:val="0033534E"/>
    <w:rsid w:val="00336777"/>
    <w:rsid w:val="00337EBA"/>
    <w:rsid w:val="00346247"/>
    <w:rsid w:val="003502AF"/>
    <w:rsid w:val="00352739"/>
    <w:rsid w:val="00352D6E"/>
    <w:rsid w:val="00353531"/>
    <w:rsid w:val="0036383E"/>
    <w:rsid w:val="0036659F"/>
    <w:rsid w:val="00372582"/>
    <w:rsid w:val="0038232B"/>
    <w:rsid w:val="00392F9C"/>
    <w:rsid w:val="003932FE"/>
    <w:rsid w:val="003A0C38"/>
    <w:rsid w:val="003A1BFF"/>
    <w:rsid w:val="003A4F0C"/>
    <w:rsid w:val="003B3361"/>
    <w:rsid w:val="003B50F0"/>
    <w:rsid w:val="003C38A5"/>
    <w:rsid w:val="003C7538"/>
    <w:rsid w:val="003C76F3"/>
    <w:rsid w:val="003D37FF"/>
    <w:rsid w:val="003D5062"/>
    <w:rsid w:val="003E0FE3"/>
    <w:rsid w:val="003E47C4"/>
    <w:rsid w:val="003F0640"/>
    <w:rsid w:val="003F488E"/>
    <w:rsid w:val="00401585"/>
    <w:rsid w:val="004015A7"/>
    <w:rsid w:val="00402976"/>
    <w:rsid w:val="004034BD"/>
    <w:rsid w:val="00404433"/>
    <w:rsid w:val="00412FB0"/>
    <w:rsid w:val="004139DF"/>
    <w:rsid w:val="00414667"/>
    <w:rsid w:val="00415A2A"/>
    <w:rsid w:val="00416C04"/>
    <w:rsid w:val="0042002D"/>
    <w:rsid w:val="004221BD"/>
    <w:rsid w:val="00427158"/>
    <w:rsid w:val="0043393D"/>
    <w:rsid w:val="00434057"/>
    <w:rsid w:val="00436865"/>
    <w:rsid w:val="0044691A"/>
    <w:rsid w:val="00447985"/>
    <w:rsid w:val="00451127"/>
    <w:rsid w:val="0045183A"/>
    <w:rsid w:val="00452F80"/>
    <w:rsid w:val="00453FB7"/>
    <w:rsid w:val="00454AAD"/>
    <w:rsid w:val="004555C2"/>
    <w:rsid w:val="0046450A"/>
    <w:rsid w:val="00466867"/>
    <w:rsid w:val="00466C31"/>
    <w:rsid w:val="0047633B"/>
    <w:rsid w:val="00481A0A"/>
    <w:rsid w:val="00484388"/>
    <w:rsid w:val="00486B24"/>
    <w:rsid w:val="0049193F"/>
    <w:rsid w:val="00492D00"/>
    <w:rsid w:val="004A0336"/>
    <w:rsid w:val="004A0CD3"/>
    <w:rsid w:val="004A0D76"/>
    <w:rsid w:val="004A1625"/>
    <w:rsid w:val="004A50DF"/>
    <w:rsid w:val="004B0F08"/>
    <w:rsid w:val="004B14CE"/>
    <w:rsid w:val="004B2465"/>
    <w:rsid w:val="004B50DB"/>
    <w:rsid w:val="004B638E"/>
    <w:rsid w:val="004B646D"/>
    <w:rsid w:val="004C0088"/>
    <w:rsid w:val="004C221C"/>
    <w:rsid w:val="004D5181"/>
    <w:rsid w:val="004D6ABE"/>
    <w:rsid w:val="004E1AC4"/>
    <w:rsid w:val="004E3FA8"/>
    <w:rsid w:val="004E423E"/>
    <w:rsid w:val="004F2E05"/>
    <w:rsid w:val="004F391D"/>
    <w:rsid w:val="004F407F"/>
    <w:rsid w:val="004F69F4"/>
    <w:rsid w:val="005000B9"/>
    <w:rsid w:val="00502766"/>
    <w:rsid w:val="005033AC"/>
    <w:rsid w:val="005073CA"/>
    <w:rsid w:val="0051254A"/>
    <w:rsid w:val="00515B05"/>
    <w:rsid w:val="005171D5"/>
    <w:rsid w:val="00532FDE"/>
    <w:rsid w:val="00533A45"/>
    <w:rsid w:val="00534C9E"/>
    <w:rsid w:val="0054499E"/>
    <w:rsid w:val="00545404"/>
    <w:rsid w:val="0054793A"/>
    <w:rsid w:val="005543B4"/>
    <w:rsid w:val="005569F7"/>
    <w:rsid w:val="00557F4C"/>
    <w:rsid w:val="00561A55"/>
    <w:rsid w:val="00561DCB"/>
    <w:rsid w:val="005675C8"/>
    <w:rsid w:val="005701D6"/>
    <w:rsid w:val="005706C6"/>
    <w:rsid w:val="00572C51"/>
    <w:rsid w:val="00574D94"/>
    <w:rsid w:val="00575B66"/>
    <w:rsid w:val="00576DB6"/>
    <w:rsid w:val="00580D27"/>
    <w:rsid w:val="0058472B"/>
    <w:rsid w:val="00585542"/>
    <w:rsid w:val="00585F81"/>
    <w:rsid w:val="005A09F1"/>
    <w:rsid w:val="005B51A5"/>
    <w:rsid w:val="005C267C"/>
    <w:rsid w:val="005C4C93"/>
    <w:rsid w:val="005D4A7A"/>
    <w:rsid w:val="005D4E65"/>
    <w:rsid w:val="005E118E"/>
    <w:rsid w:val="005E13DF"/>
    <w:rsid w:val="005E2D8E"/>
    <w:rsid w:val="005F327E"/>
    <w:rsid w:val="005F6251"/>
    <w:rsid w:val="00600463"/>
    <w:rsid w:val="006042F2"/>
    <w:rsid w:val="00610F90"/>
    <w:rsid w:val="00612A2A"/>
    <w:rsid w:val="00612CA1"/>
    <w:rsid w:val="00630F22"/>
    <w:rsid w:val="00637371"/>
    <w:rsid w:val="0064445C"/>
    <w:rsid w:val="0064751D"/>
    <w:rsid w:val="0065583A"/>
    <w:rsid w:val="00655912"/>
    <w:rsid w:val="00655AAD"/>
    <w:rsid w:val="0065705A"/>
    <w:rsid w:val="00657319"/>
    <w:rsid w:val="006664D3"/>
    <w:rsid w:val="006709CD"/>
    <w:rsid w:val="00671C69"/>
    <w:rsid w:val="006773DF"/>
    <w:rsid w:val="00690A76"/>
    <w:rsid w:val="00690ECD"/>
    <w:rsid w:val="00694953"/>
    <w:rsid w:val="0069753C"/>
    <w:rsid w:val="006A0BAD"/>
    <w:rsid w:val="006A259D"/>
    <w:rsid w:val="006A3BC1"/>
    <w:rsid w:val="006A415F"/>
    <w:rsid w:val="006B1D2B"/>
    <w:rsid w:val="006C275D"/>
    <w:rsid w:val="006C43D9"/>
    <w:rsid w:val="006C724C"/>
    <w:rsid w:val="006C7EF9"/>
    <w:rsid w:val="006D1934"/>
    <w:rsid w:val="006D2296"/>
    <w:rsid w:val="006E07FA"/>
    <w:rsid w:val="006E13B0"/>
    <w:rsid w:val="006F00D7"/>
    <w:rsid w:val="006F4CB0"/>
    <w:rsid w:val="00701A42"/>
    <w:rsid w:val="007041E3"/>
    <w:rsid w:val="00704FD7"/>
    <w:rsid w:val="00706D25"/>
    <w:rsid w:val="00707F2E"/>
    <w:rsid w:val="007122B9"/>
    <w:rsid w:val="00725F32"/>
    <w:rsid w:val="007265FE"/>
    <w:rsid w:val="00732259"/>
    <w:rsid w:val="007345B2"/>
    <w:rsid w:val="00734F25"/>
    <w:rsid w:val="00737EB9"/>
    <w:rsid w:val="00741AA1"/>
    <w:rsid w:val="00741ADF"/>
    <w:rsid w:val="00741D95"/>
    <w:rsid w:val="00741EEB"/>
    <w:rsid w:val="007456B8"/>
    <w:rsid w:val="007526C8"/>
    <w:rsid w:val="00753FF0"/>
    <w:rsid w:val="00754DF9"/>
    <w:rsid w:val="0076133B"/>
    <w:rsid w:val="00773217"/>
    <w:rsid w:val="0077409F"/>
    <w:rsid w:val="00777EE9"/>
    <w:rsid w:val="00780F10"/>
    <w:rsid w:val="00782D92"/>
    <w:rsid w:val="00786090"/>
    <w:rsid w:val="00786958"/>
    <w:rsid w:val="00795234"/>
    <w:rsid w:val="00795650"/>
    <w:rsid w:val="00795CF3"/>
    <w:rsid w:val="007B4D44"/>
    <w:rsid w:val="007C065C"/>
    <w:rsid w:val="007D1C5A"/>
    <w:rsid w:val="007D251C"/>
    <w:rsid w:val="007D351A"/>
    <w:rsid w:val="007F42E3"/>
    <w:rsid w:val="00800258"/>
    <w:rsid w:val="00801EF9"/>
    <w:rsid w:val="008038F3"/>
    <w:rsid w:val="00803CB8"/>
    <w:rsid w:val="0080649B"/>
    <w:rsid w:val="008123AF"/>
    <w:rsid w:val="00813909"/>
    <w:rsid w:val="00816462"/>
    <w:rsid w:val="0081794C"/>
    <w:rsid w:val="008262CB"/>
    <w:rsid w:val="008307DE"/>
    <w:rsid w:val="00834A41"/>
    <w:rsid w:val="008358C6"/>
    <w:rsid w:val="00836416"/>
    <w:rsid w:val="00836E95"/>
    <w:rsid w:val="00841B1D"/>
    <w:rsid w:val="00842037"/>
    <w:rsid w:val="008453BD"/>
    <w:rsid w:val="0085361C"/>
    <w:rsid w:val="00854A9F"/>
    <w:rsid w:val="00862390"/>
    <w:rsid w:val="00867CF3"/>
    <w:rsid w:val="00867EA9"/>
    <w:rsid w:val="008709B4"/>
    <w:rsid w:val="00871E11"/>
    <w:rsid w:val="00872F8B"/>
    <w:rsid w:val="00873BC6"/>
    <w:rsid w:val="00873D34"/>
    <w:rsid w:val="00873DF5"/>
    <w:rsid w:val="008804FA"/>
    <w:rsid w:val="00882763"/>
    <w:rsid w:val="008839F1"/>
    <w:rsid w:val="00886A98"/>
    <w:rsid w:val="00890A52"/>
    <w:rsid w:val="008911EB"/>
    <w:rsid w:val="0089121B"/>
    <w:rsid w:val="0089131B"/>
    <w:rsid w:val="00894A15"/>
    <w:rsid w:val="008A0211"/>
    <w:rsid w:val="008A2545"/>
    <w:rsid w:val="008A5086"/>
    <w:rsid w:val="008A6275"/>
    <w:rsid w:val="008A7C4A"/>
    <w:rsid w:val="008B5744"/>
    <w:rsid w:val="008B689C"/>
    <w:rsid w:val="008B6CD2"/>
    <w:rsid w:val="008B7E9B"/>
    <w:rsid w:val="008C1EC5"/>
    <w:rsid w:val="008C543E"/>
    <w:rsid w:val="008C57BB"/>
    <w:rsid w:val="008C5A5D"/>
    <w:rsid w:val="008C74B9"/>
    <w:rsid w:val="008D395D"/>
    <w:rsid w:val="008D4FEF"/>
    <w:rsid w:val="008D5955"/>
    <w:rsid w:val="008D5967"/>
    <w:rsid w:val="008D64D5"/>
    <w:rsid w:val="008F229F"/>
    <w:rsid w:val="008F32BD"/>
    <w:rsid w:val="008F6139"/>
    <w:rsid w:val="008F7960"/>
    <w:rsid w:val="009055DB"/>
    <w:rsid w:val="00907C2B"/>
    <w:rsid w:val="00907C93"/>
    <w:rsid w:val="00913096"/>
    <w:rsid w:val="0091317A"/>
    <w:rsid w:val="00916A41"/>
    <w:rsid w:val="00916BD3"/>
    <w:rsid w:val="00921357"/>
    <w:rsid w:val="00923769"/>
    <w:rsid w:val="009264E9"/>
    <w:rsid w:val="00926BA4"/>
    <w:rsid w:val="0093761C"/>
    <w:rsid w:val="00942AE0"/>
    <w:rsid w:val="00947692"/>
    <w:rsid w:val="00956EC4"/>
    <w:rsid w:val="00963815"/>
    <w:rsid w:val="009659E0"/>
    <w:rsid w:val="00965BDF"/>
    <w:rsid w:val="009703FD"/>
    <w:rsid w:val="00973820"/>
    <w:rsid w:val="00974A44"/>
    <w:rsid w:val="009761FA"/>
    <w:rsid w:val="009768CC"/>
    <w:rsid w:val="00977A03"/>
    <w:rsid w:val="00980009"/>
    <w:rsid w:val="00982662"/>
    <w:rsid w:val="00987E3F"/>
    <w:rsid w:val="009915C8"/>
    <w:rsid w:val="00992D6A"/>
    <w:rsid w:val="009938EA"/>
    <w:rsid w:val="009A21F7"/>
    <w:rsid w:val="009A5B78"/>
    <w:rsid w:val="009B4607"/>
    <w:rsid w:val="009B5988"/>
    <w:rsid w:val="009C6180"/>
    <w:rsid w:val="009D38CF"/>
    <w:rsid w:val="009E37AA"/>
    <w:rsid w:val="009E4FF5"/>
    <w:rsid w:val="009F35A2"/>
    <w:rsid w:val="009F4CC5"/>
    <w:rsid w:val="009F5B37"/>
    <w:rsid w:val="009F7D74"/>
    <w:rsid w:val="00A04FEF"/>
    <w:rsid w:val="00A15FDC"/>
    <w:rsid w:val="00A16F50"/>
    <w:rsid w:val="00A2370E"/>
    <w:rsid w:val="00A23928"/>
    <w:rsid w:val="00A2490D"/>
    <w:rsid w:val="00A3351C"/>
    <w:rsid w:val="00A36F6E"/>
    <w:rsid w:val="00A42681"/>
    <w:rsid w:val="00A42786"/>
    <w:rsid w:val="00A4407A"/>
    <w:rsid w:val="00A44143"/>
    <w:rsid w:val="00A51756"/>
    <w:rsid w:val="00A55F74"/>
    <w:rsid w:val="00A574BF"/>
    <w:rsid w:val="00A64FC6"/>
    <w:rsid w:val="00A65F76"/>
    <w:rsid w:val="00A77D9A"/>
    <w:rsid w:val="00A82F38"/>
    <w:rsid w:val="00A9422C"/>
    <w:rsid w:val="00A9477E"/>
    <w:rsid w:val="00A959ED"/>
    <w:rsid w:val="00A96247"/>
    <w:rsid w:val="00AA0F14"/>
    <w:rsid w:val="00AA1F05"/>
    <w:rsid w:val="00AA29C0"/>
    <w:rsid w:val="00AA79A7"/>
    <w:rsid w:val="00AA7C09"/>
    <w:rsid w:val="00AA7D52"/>
    <w:rsid w:val="00AB262F"/>
    <w:rsid w:val="00AB6752"/>
    <w:rsid w:val="00AB7CBA"/>
    <w:rsid w:val="00AC16A1"/>
    <w:rsid w:val="00AC620D"/>
    <w:rsid w:val="00AC6DEB"/>
    <w:rsid w:val="00AC7141"/>
    <w:rsid w:val="00AD0531"/>
    <w:rsid w:val="00AD119D"/>
    <w:rsid w:val="00AD16B2"/>
    <w:rsid w:val="00AD1834"/>
    <w:rsid w:val="00AD4357"/>
    <w:rsid w:val="00AD5E77"/>
    <w:rsid w:val="00AE09B2"/>
    <w:rsid w:val="00AE1E04"/>
    <w:rsid w:val="00AE372F"/>
    <w:rsid w:val="00AE3F6A"/>
    <w:rsid w:val="00AE4A7E"/>
    <w:rsid w:val="00AE77DD"/>
    <w:rsid w:val="00AE7A34"/>
    <w:rsid w:val="00B0721C"/>
    <w:rsid w:val="00B073B5"/>
    <w:rsid w:val="00B1160C"/>
    <w:rsid w:val="00B15BBA"/>
    <w:rsid w:val="00B17FCB"/>
    <w:rsid w:val="00B26723"/>
    <w:rsid w:val="00B26EC4"/>
    <w:rsid w:val="00B40BF8"/>
    <w:rsid w:val="00B414D8"/>
    <w:rsid w:val="00B45745"/>
    <w:rsid w:val="00B51E82"/>
    <w:rsid w:val="00B523B8"/>
    <w:rsid w:val="00B547C0"/>
    <w:rsid w:val="00B62AE9"/>
    <w:rsid w:val="00B71262"/>
    <w:rsid w:val="00B72665"/>
    <w:rsid w:val="00B77FAF"/>
    <w:rsid w:val="00B809B4"/>
    <w:rsid w:val="00B920AA"/>
    <w:rsid w:val="00B952D0"/>
    <w:rsid w:val="00B95FD6"/>
    <w:rsid w:val="00B96E0B"/>
    <w:rsid w:val="00BA3051"/>
    <w:rsid w:val="00BA4A3B"/>
    <w:rsid w:val="00BA4C6C"/>
    <w:rsid w:val="00BB0F7E"/>
    <w:rsid w:val="00BB4406"/>
    <w:rsid w:val="00BB592E"/>
    <w:rsid w:val="00BC2632"/>
    <w:rsid w:val="00BC27E5"/>
    <w:rsid w:val="00BC5509"/>
    <w:rsid w:val="00BD39AC"/>
    <w:rsid w:val="00BD60E9"/>
    <w:rsid w:val="00BD7D1B"/>
    <w:rsid w:val="00BE30AD"/>
    <w:rsid w:val="00BE3805"/>
    <w:rsid w:val="00BE7638"/>
    <w:rsid w:val="00BF4A7F"/>
    <w:rsid w:val="00BF62AD"/>
    <w:rsid w:val="00C00A3B"/>
    <w:rsid w:val="00C00C26"/>
    <w:rsid w:val="00C020E0"/>
    <w:rsid w:val="00C048F4"/>
    <w:rsid w:val="00C104CC"/>
    <w:rsid w:val="00C1089E"/>
    <w:rsid w:val="00C126E1"/>
    <w:rsid w:val="00C16CE5"/>
    <w:rsid w:val="00C27C5D"/>
    <w:rsid w:val="00C33763"/>
    <w:rsid w:val="00C40F16"/>
    <w:rsid w:val="00C45447"/>
    <w:rsid w:val="00C51A5F"/>
    <w:rsid w:val="00C51B18"/>
    <w:rsid w:val="00C52CE4"/>
    <w:rsid w:val="00C54127"/>
    <w:rsid w:val="00C54E76"/>
    <w:rsid w:val="00C609B4"/>
    <w:rsid w:val="00C63ECA"/>
    <w:rsid w:val="00C72091"/>
    <w:rsid w:val="00C72FD6"/>
    <w:rsid w:val="00C81F11"/>
    <w:rsid w:val="00C9194B"/>
    <w:rsid w:val="00C9480C"/>
    <w:rsid w:val="00C96897"/>
    <w:rsid w:val="00C9707A"/>
    <w:rsid w:val="00CA0227"/>
    <w:rsid w:val="00CA25CB"/>
    <w:rsid w:val="00CA3D95"/>
    <w:rsid w:val="00CA70A5"/>
    <w:rsid w:val="00CC12AD"/>
    <w:rsid w:val="00CC1A11"/>
    <w:rsid w:val="00CC1A74"/>
    <w:rsid w:val="00CC39EF"/>
    <w:rsid w:val="00CC579F"/>
    <w:rsid w:val="00CD5150"/>
    <w:rsid w:val="00CE14A9"/>
    <w:rsid w:val="00CE1F6D"/>
    <w:rsid w:val="00CE2773"/>
    <w:rsid w:val="00CE3B13"/>
    <w:rsid w:val="00CF1B1D"/>
    <w:rsid w:val="00CF1FE9"/>
    <w:rsid w:val="00CF3084"/>
    <w:rsid w:val="00CF418D"/>
    <w:rsid w:val="00CF4B92"/>
    <w:rsid w:val="00CF782C"/>
    <w:rsid w:val="00D035B0"/>
    <w:rsid w:val="00D12F78"/>
    <w:rsid w:val="00D17B68"/>
    <w:rsid w:val="00D21598"/>
    <w:rsid w:val="00D22F01"/>
    <w:rsid w:val="00D23957"/>
    <w:rsid w:val="00D345DA"/>
    <w:rsid w:val="00D36B4F"/>
    <w:rsid w:val="00D36EB4"/>
    <w:rsid w:val="00D403EE"/>
    <w:rsid w:val="00D408F9"/>
    <w:rsid w:val="00D41C71"/>
    <w:rsid w:val="00D460E7"/>
    <w:rsid w:val="00D56EDD"/>
    <w:rsid w:val="00D61B1A"/>
    <w:rsid w:val="00D66DD9"/>
    <w:rsid w:val="00D71184"/>
    <w:rsid w:val="00D73010"/>
    <w:rsid w:val="00D74329"/>
    <w:rsid w:val="00D7757C"/>
    <w:rsid w:val="00D86E9C"/>
    <w:rsid w:val="00D875B7"/>
    <w:rsid w:val="00D92699"/>
    <w:rsid w:val="00D92E22"/>
    <w:rsid w:val="00D94A0A"/>
    <w:rsid w:val="00D94B72"/>
    <w:rsid w:val="00D973D5"/>
    <w:rsid w:val="00DA1E6F"/>
    <w:rsid w:val="00DA4773"/>
    <w:rsid w:val="00DA5486"/>
    <w:rsid w:val="00DA5ED3"/>
    <w:rsid w:val="00DA6CFD"/>
    <w:rsid w:val="00DB0162"/>
    <w:rsid w:val="00DC3D5C"/>
    <w:rsid w:val="00DC6315"/>
    <w:rsid w:val="00DD2A4D"/>
    <w:rsid w:val="00DD7C88"/>
    <w:rsid w:val="00DE18FE"/>
    <w:rsid w:val="00DE37B0"/>
    <w:rsid w:val="00DF3D25"/>
    <w:rsid w:val="00DF6F4D"/>
    <w:rsid w:val="00E00A6B"/>
    <w:rsid w:val="00E0271F"/>
    <w:rsid w:val="00E03CCC"/>
    <w:rsid w:val="00E05659"/>
    <w:rsid w:val="00E10AF7"/>
    <w:rsid w:val="00E110C5"/>
    <w:rsid w:val="00E20468"/>
    <w:rsid w:val="00E21AF0"/>
    <w:rsid w:val="00E27AD5"/>
    <w:rsid w:val="00E3184B"/>
    <w:rsid w:val="00E31C96"/>
    <w:rsid w:val="00E37FC3"/>
    <w:rsid w:val="00E40D22"/>
    <w:rsid w:val="00E50D10"/>
    <w:rsid w:val="00E5184E"/>
    <w:rsid w:val="00E54A06"/>
    <w:rsid w:val="00E54AA9"/>
    <w:rsid w:val="00E56B62"/>
    <w:rsid w:val="00E571E5"/>
    <w:rsid w:val="00E60B05"/>
    <w:rsid w:val="00E6525D"/>
    <w:rsid w:val="00E65FC4"/>
    <w:rsid w:val="00E700E0"/>
    <w:rsid w:val="00E70D55"/>
    <w:rsid w:val="00E710E3"/>
    <w:rsid w:val="00E7197A"/>
    <w:rsid w:val="00E73623"/>
    <w:rsid w:val="00E73F7B"/>
    <w:rsid w:val="00E7476A"/>
    <w:rsid w:val="00E747BD"/>
    <w:rsid w:val="00E804D7"/>
    <w:rsid w:val="00E81B36"/>
    <w:rsid w:val="00E87684"/>
    <w:rsid w:val="00E92AA7"/>
    <w:rsid w:val="00E955DF"/>
    <w:rsid w:val="00E96405"/>
    <w:rsid w:val="00EA3AD5"/>
    <w:rsid w:val="00EA3E6E"/>
    <w:rsid w:val="00EA57E3"/>
    <w:rsid w:val="00EB0149"/>
    <w:rsid w:val="00EB414E"/>
    <w:rsid w:val="00EB5437"/>
    <w:rsid w:val="00EB5639"/>
    <w:rsid w:val="00EB5676"/>
    <w:rsid w:val="00EC6A4C"/>
    <w:rsid w:val="00ED0069"/>
    <w:rsid w:val="00ED0F31"/>
    <w:rsid w:val="00ED1FCA"/>
    <w:rsid w:val="00ED28D2"/>
    <w:rsid w:val="00EE0028"/>
    <w:rsid w:val="00EE0ABB"/>
    <w:rsid w:val="00EE1644"/>
    <w:rsid w:val="00EE1E49"/>
    <w:rsid w:val="00EE261B"/>
    <w:rsid w:val="00EE78D4"/>
    <w:rsid w:val="00EF2804"/>
    <w:rsid w:val="00EF45C0"/>
    <w:rsid w:val="00EF45D6"/>
    <w:rsid w:val="00EF4A27"/>
    <w:rsid w:val="00EF5E06"/>
    <w:rsid w:val="00EF7A7B"/>
    <w:rsid w:val="00F01B4E"/>
    <w:rsid w:val="00F03FF7"/>
    <w:rsid w:val="00F13262"/>
    <w:rsid w:val="00F14636"/>
    <w:rsid w:val="00F14B8F"/>
    <w:rsid w:val="00F157B6"/>
    <w:rsid w:val="00F21478"/>
    <w:rsid w:val="00F22279"/>
    <w:rsid w:val="00F22BF2"/>
    <w:rsid w:val="00F25A62"/>
    <w:rsid w:val="00F321D0"/>
    <w:rsid w:val="00F40245"/>
    <w:rsid w:val="00F4264E"/>
    <w:rsid w:val="00F47907"/>
    <w:rsid w:val="00F521D9"/>
    <w:rsid w:val="00F53A41"/>
    <w:rsid w:val="00F56417"/>
    <w:rsid w:val="00F711D5"/>
    <w:rsid w:val="00F74C0A"/>
    <w:rsid w:val="00F81CC9"/>
    <w:rsid w:val="00F83B04"/>
    <w:rsid w:val="00F84C30"/>
    <w:rsid w:val="00F87954"/>
    <w:rsid w:val="00F9067F"/>
    <w:rsid w:val="00F90C72"/>
    <w:rsid w:val="00F913D9"/>
    <w:rsid w:val="00F92096"/>
    <w:rsid w:val="00F94181"/>
    <w:rsid w:val="00F9564F"/>
    <w:rsid w:val="00F964B1"/>
    <w:rsid w:val="00F97B3C"/>
    <w:rsid w:val="00FA059F"/>
    <w:rsid w:val="00FA600D"/>
    <w:rsid w:val="00FB2AE0"/>
    <w:rsid w:val="00FB4987"/>
    <w:rsid w:val="00FB5BC2"/>
    <w:rsid w:val="00FC0735"/>
    <w:rsid w:val="00FC0C59"/>
    <w:rsid w:val="00FC608C"/>
    <w:rsid w:val="00FD3992"/>
    <w:rsid w:val="00FD7626"/>
    <w:rsid w:val="00FE2540"/>
    <w:rsid w:val="00FE34B8"/>
    <w:rsid w:val="00FE3D6F"/>
    <w:rsid w:val="00FE6941"/>
    <w:rsid w:val="00FF1916"/>
    <w:rsid w:val="00FF4692"/>
    <w:rsid w:val="00FF4EAD"/>
    <w:rsid w:val="00FF5D7E"/>
    <w:rsid w:val="00FF6258"/>
    <w:rsid w:val="00FF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27E1FEF"/>
  <w15:docId w15:val="{77FC5137-31F4-41AC-88CC-593305CC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7DE"/>
    <w:rPr>
      <w:sz w:val="24"/>
    </w:rPr>
  </w:style>
  <w:style w:type="paragraph" w:styleId="Heading1">
    <w:name w:val="heading 1"/>
    <w:basedOn w:val="Normal"/>
    <w:next w:val="Normal"/>
    <w:qFormat/>
    <w:rsid w:val="008307DE"/>
    <w:pPr>
      <w:keepNext/>
      <w:outlineLvl w:val="0"/>
    </w:pPr>
    <w:rPr>
      <w:rFonts w:eastAsia="Times"/>
      <w:u w:val="single"/>
    </w:rPr>
  </w:style>
  <w:style w:type="paragraph" w:styleId="Heading2">
    <w:name w:val="heading 2"/>
    <w:basedOn w:val="Normal"/>
    <w:next w:val="Normal"/>
    <w:qFormat/>
    <w:rsid w:val="008307DE"/>
    <w:pPr>
      <w:keepNext/>
      <w:outlineLvl w:val="1"/>
    </w:pPr>
    <w:rPr>
      <w:rFonts w:eastAsia="Times"/>
    </w:rPr>
  </w:style>
  <w:style w:type="paragraph" w:styleId="Heading3">
    <w:name w:val="heading 3"/>
    <w:basedOn w:val="Normal"/>
    <w:next w:val="Normal"/>
    <w:qFormat/>
    <w:rsid w:val="008307DE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307DE"/>
    <w:pPr>
      <w:jc w:val="center"/>
    </w:pPr>
    <w:rPr>
      <w:rFonts w:ascii="Times" w:eastAsia="Times" w:hAnsi="Times"/>
      <w:b/>
      <w:u w:val="single"/>
    </w:rPr>
  </w:style>
  <w:style w:type="paragraph" w:styleId="BodyTextIndent">
    <w:name w:val="Body Text Indent"/>
    <w:basedOn w:val="Normal"/>
    <w:rsid w:val="008307DE"/>
    <w:pPr>
      <w:ind w:left="709" w:hanging="709"/>
    </w:pPr>
    <w:rPr>
      <w:rFonts w:eastAsia="Times"/>
    </w:rPr>
  </w:style>
  <w:style w:type="paragraph" w:styleId="BalloonText">
    <w:name w:val="Balloon Text"/>
    <w:basedOn w:val="Normal"/>
    <w:semiHidden/>
    <w:rsid w:val="004A0336"/>
    <w:rPr>
      <w:rFonts w:ascii="Tahoma" w:hAnsi="Tahoma" w:cs="Tahoma"/>
      <w:sz w:val="16"/>
      <w:szCs w:val="16"/>
    </w:rPr>
  </w:style>
  <w:style w:type="paragraph" w:customStyle="1" w:styleId="HR">
    <w:name w:val="HR"/>
    <w:aliases w:val="Regulation Heading"/>
    <w:basedOn w:val="Normal"/>
    <w:next w:val="Normal"/>
    <w:rsid w:val="00965BDF"/>
    <w:pPr>
      <w:keepNext/>
      <w:tabs>
        <w:tab w:val="left" w:pos="540"/>
      </w:tabs>
      <w:autoSpaceDE w:val="0"/>
      <w:autoSpaceDN w:val="0"/>
      <w:spacing w:before="240" w:after="120"/>
      <w:jc w:val="both"/>
    </w:pPr>
    <w:rPr>
      <w:rFonts w:ascii="Times" w:hAnsi="Times" w:cs="Times"/>
      <w:b/>
      <w:bCs/>
      <w:sz w:val="26"/>
      <w:szCs w:val="26"/>
    </w:rPr>
  </w:style>
  <w:style w:type="paragraph" w:customStyle="1" w:styleId="P1">
    <w:name w:val="P1"/>
    <w:aliases w:val="(a)"/>
    <w:basedOn w:val="Normal"/>
    <w:uiPriority w:val="99"/>
    <w:rsid w:val="00965BDF"/>
    <w:pPr>
      <w:tabs>
        <w:tab w:val="right" w:pos="1080"/>
      </w:tabs>
      <w:autoSpaceDE w:val="0"/>
      <w:autoSpaceDN w:val="0"/>
      <w:spacing w:before="40" w:line="260" w:lineRule="atLeast"/>
      <w:ind w:left="1276" w:hanging="1280"/>
      <w:jc w:val="both"/>
    </w:pPr>
    <w:rPr>
      <w:rFonts w:ascii="Times" w:hAnsi="Times" w:cs="Times"/>
      <w:sz w:val="26"/>
      <w:szCs w:val="26"/>
    </w:rPr>
  </w:style>
  <w:style w:type="numbering" w:customStyle="1" w:styleId="Style1">
    <w:name w:val="Style1"/>
    <w:rsid w:val="00965BDF"/>
    <w:pPr>
      <w:numPr>
        <w:numId w:val="6"/>
      </w:numPr>
    </w:pPr>
  </w:style>
  <w:style w:type="paragraph" w:styleId="Header">
    <w:name w:val="header"/>
    <w:basedOn w:val="Normal"/>
    <w:link w:val="HeaderChar"/>
    <w:uiPriority w:val="99"/>
    <w:rsid w:val="0034624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46247"/>
    <w:pPr>
      <w:tabs>
        <w:tab w:val="center" w:pos="4153"/>
        <w:tab w:val="right" w:pos="8306"/>
      </w:tabs>
    </w:pPr>
  </w:style>
  <w:style w:type="character" w:styleId="CommentReference">
    <w:name w:val="annotation reference"/>
    <w:rsid w:val="00B96E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6E0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96E0B"/>
  </w:style>
  <w:style w:type="paragraph" w:styleId="CommentSubject">
    <w:name w:val="annotation subject"/>
    <w:basedOn w:val="CommentText"/>
    <w:next w:val="CommentText"/>
    <w:link w:val="CommentSubjectChar"/>
    <w:rsid w:val="00B96E0B"/>
    <w:rPr>
      <w:b/>
      <w:bCs/>
    </w:rPr>
  </w:style>
  <w:style w:type="character" w:customStyle="1" w:styleId="CommentSubjectChar">
    <w:name w:val="Comment Subject Char"/>
    <w:link w:val="CommentSubject"/>
    <w:rsid w:val="00B96E0B"/>
    <w:rPr>
      <w:b/>
      <w:bCs/>
    </w:rPr>
  </w:style>
  <w:style w:type="paragraph" w:styleId="BodyTextIndent2">
    <w:name w:val="Body Text Indent 2"/>
    <w:basedOn w:val="Normal"/>
    <w:link w:val="BodyTextIndent2Char"/>
    <w:rsid w:val="00337EBA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337EBA"/>
    <w:rPr>
      <w:sz w:val="24"/>
    </w:rPr>
  </w:style>
  <w:style w:type="paragraph" w:customStyle="1" w:styleId="subsection">
    <w:name w:val="subsection"/>
    <w:basedOn w:val="Normal"/>
    <w:rsid w:val="00913096"/>
    <w:pPr>
      <w:spacing w:before="100" w:beforeAutospacing="1" w:after="100" w:afterAutospacing="1"/>
    </w:pPr>
    <w:rPr>
      <w:szCs w:val="24"/>
    </w:rPr>
  </w:style>
  <w:style w:type="paragraph" w:customStyle="1" w:styleId="paragraph">
    <w:name w:val="paragraph"/>
    <w:basedOn w:val="Normal"/>
    <w:rsid w:val="00913096"/>
    <w:pPr>
      <w:spacing w:before="100" w:beforeAutospacing="1" w:after="100" w:afterAutospacing="1"/>
    </w:pPr>
    <w:rPr>
      <w:szCs w:val="24"/>
    </w:rPr>
  </w:style>
  <w:style w:type="paragraph" w:customStyle="1" w:styleId="paragraphsub">
    <w:name w:val="paragraphsub"/>
    <w:basedOn w:val="Normal"/>
    <w:rsid w:val="00913096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uiPriority w:val="99"/>
    <w:unhideWhenUsed/>
    <w:rsid w:val="0091309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7265FE"/>
    <w:rPr>
      <w:sz w:val="20"/>
      <w:lang w:eastAsia="en-US"/>
    </w:rPr>
  </w:style>
  <w:style w:type="character" w:customStyle="1" w:styleId="FootnoteTextChar">
    <w:name w:val="Footnote Text Char"/>
    <w:link w:val="FootnoteText"/>
    <w:rsid w:val="007265FE"/>
    <w:rPr>
      <w:lang w:eastAsia="en-US"/>
    </w:rPr>
  </w:style>
  <w:style w:type="character" w:styleId="FootnoteReference">
    <w:name w:val="footnote reference"/>
    <w:rsid w:val="007265FE"/>
    <w:rPr>
      <w:vertAlign w:val="superscript"/>
    </w:rPr>
  </w:style>
  <w:style w:type="character" w:customStyle="1" w:styleId="FooterChar">
    <w:name w:val="Footer Char"/>
    <w:link w:val="Footer"/>
    <w:uiPriority w:val="99"/>
    <w:rsid w:val="00AE09B2"/>
    <w:rPr>
      <w:sz w:val="24"/>
    </w:rPr>
  </w:style>
  <w:style w:type="paragraph" w:customStyle="1" w:styleId="p10">
    <w:name w:val="p1"/>
    <w:basedOn w:val="Normal"/>
    <w:rsid w:val="002F1698"/>
    <w:pPr>
      <w:spacing w:before="100" w:beforeAutospacing="1" w:after="100" w:afterAutospacing="1"/>
    </w:pPr>
    <w:rPr>
      <w:szCs w:val="24"/>
    </w:rPr>
  </w:style>
  <w:style w:type="paragraph" w:customStyle="1" w:styleId="znote">
    <w:name w:val="znote"/>
    <w:basedOn w:val="Normal"/>
    <w:rsid w:val="002F1698"/>
    <w:pPr>
      <w:spacing w:before="100" w:beforeAutospacing="1" w:after="100" w:afterAutospacing="1"/>
    </w:pPr>
    <w:rPr>
      <w:szCs w:val="24"/>
    </w:rPr>
  </w:style>
  <w:style w:type="paragraph" w:customStyle="1" w:styleId="notepara">
    <w:name w:val="notepara"/>
    <w:basedOn w:val="Normal"/>
    <w:rsid w:val="002F1698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9E37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E65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51B61"/>
    <w:pPr>
      <w:spacing w:before="180" w:after="180"/>
      <w:ind w:firstLine="240"/>
    </w:pPr>
    <w:rPr>
      <w:color w:val="444444"/>
      <w:szCs w:val="24"/>
    </w:rPr>
  </w:style>
  <w:style w:type="paragraph" w:styleId="BodyText">
    <w:name w:val="Body Text"/>
    <w:basedOn w:val="Normal"/>
    <w:link w:val="BodyTextChar"/>
    <w:rsid w:val="008C74B9"/>
    <w:pPr>
      <w:spacing w:after="120"/>
    </w:pPr>
  </w:style>
  <w:style w:type="character" w:customStyle="1" w:styleId="BodyTextChar">
    <w:name w:val="Body Text Char"/>
    <w:link w:val="BodyText"/>
    <w:rsid w:val="008C74B9"/>
    <w:rPr>
      <w:sz w:val="24"/>
    </w:rPr>
  </w:style>
  <w:style w:type="character" w:customStyle="1" w:styleId="HeaderChar">
    <w:name w:val="Header Char"/>
    <w:link w:val="Header"/>
    <w:uiPriority w:val="99"/>
    <w:rsid w:val="00306694"/>
    <w:rPr>
      <w:sz w:val="24"/>
    </w:rPr>
  </w:style>
  <w:style w:type="paragraph" w:customStyle="1" w:styleId="R1">
    <w:name w:val="R1"/>
    <w:aliases w:val="1. or 1.(1)"/>
    <w:basedOn w:val="Normal"/>
    <w:next w:val="P1"/>
    <w:rsid w:val="00977A03"/>
    <w:pPr>
      <w:tabs>
        <w:tab w:val="right" w:pos="1080"/>
        <w:tab w:val="left" w:pos="1260"/>
        <w:tab w:val="left" w:pos="1800"/>
      </w:tabs>
      <w:autoSpaceDE w:val="0"/>
      <w:autoSpaceDN w:val="0"/>
      <w:spacing w:before="120"/>
      <w:jc w:val="both"/>
    </w:pPr>
    <w:rPr>
      <w:rFonts w:ascii="Times" w:hAnsi="Times" w:cs="Times"/>
      <w:sz w:val="26"/>
      <w:szCs w:val="26"/>
    </w:rPr>
  </w:style>
  <w:style w:type="paragraph" w:customStyle="1" w:styleId="definition">
    <w:name w:val="definition"/>
    <w:basedOn w:val="Normal"/>
    <w:rsid w:val="00EA3E6E"/>
    <w:pPr>
      <w:tabs>
        <w:tab w:val="right" w:pos="1080"/>
        <w:tab w:val="left" w:pos="1260"/>
        <w:tab w:val="left" w:pos="1800"/>
      </w:tabs>
      <w:autoSpaceDE w:val="0"/>
      <w:autoSpaceDN w:val="0"/>
      <w:spacing w:before="40"/>
      <w:jc w:val="both"/>
    </w:pPr>
    <w:rPr>
      <w:rFonts w:ascii="Times" w:hAnsi="Times" w:cs="Times"/>
      <w:sz w:val="26"/>
      <w:szCs w:val="26"/>
    </w:rPr>
  </w:style>
  <w:style w:type="paragraph" w:styleId="ListParagraph">
    <w:name w:val="List Paragraph"/>
    <w:basedOn w:val="Normal"/>
    <w:uiPriority w:val="34"/>
    <w:qFormat/>
    <w:rsid w:val="00F47907"/>
    <w:pPr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50061">
          <w:marLeft w:val="2"/>
          <w:marRight w:val="2"/>
          <w:marTop w:val="100"/>
          <w:marBottom w:val="300"/>
          <w:divBdr>
            <w:top w:val="single" w:sz="4" w:space="5" w:color="CDCCD4"/>
            <w:left w:val="single" w:sz="4" w:space="5" w:color="CDCCD4"/>
            <w:bottom w:val="single" w:sz="4" w:space="5" w:color="CDCCD4"/>
            <w:right w:val="single" w:sz="4" w:space="3" w:color="CDCCD4"/>
          </w:divBdr>
          <w:divsChild>
            <w:div w:id="702943777">
              <w:marLeft w:val="0"/>
              <w:marRight w:val="0"/>
              <w:marTop w:val="50"/>
              <w:marBottom w:val="50"/>
              <w:divBdr>
                <w:top w:val="single" w:sz="4" w:space="5" w:color="CCCCD4"/>
                <w:left w:val="single" w:sz="4" w:space="5" w:color="CCCCD4"/>
                <w:bottom w:val="single" w:sz="4" w:space="5" w:color="CCCCD4"/>
                <w:right w:val="single" w:sz="4" w:space="5" w:color="CCCCD4"/>
              </w:divBdr>
              <w:divsChild>
                <w:div w:id="125863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1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9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77891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9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48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319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288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492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8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1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9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81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17075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33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35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47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256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61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5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84523">
                  <w:marLeft w:val="19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2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1616">
                  <w:marLeft w:val="19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3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94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7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9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9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2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28282"/>
                            <w:left w:val="single" w:sz="4" w:space="0" w:color="828282"/>
                            <w:bottom w:val="single" w:sz="4" w:space="0" w:color="828282"/>
                            <w:right w:val="single" w:sz="4" w:space="0" w:color="828282"/>
                          </w:divBdr>
                          <w:divsChild>
                            <w:div w:id="92133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39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40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71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39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065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0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4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19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204278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6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075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925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797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456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4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2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1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4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99098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0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9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03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33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0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4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32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84165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41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00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8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638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245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3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2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94137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66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03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71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26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349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1731">
          <w:marLeft w:val="2"/>
          <w:marRight w:val="2"/>
          <w:marTop w:val="100"/>
          <w:marBottom w:val="300"/>
          <w:divBdr>
            <w:top w:val="single" w:sz="4" w:space="5" w:color="CDCCD4"/>
            <w:left w:val="single" w:sz="4" w:space="5" w:color="CDCCD4"/>
            <w:bottom w:val="single" w:sz="4" w:space="5" w:color="CDCCD4"/>
            <w:right w:val="single" w:sz="4" w:space="3" w:color="CDCCD4"/>
          </w:divBdr>
          <w:divsChild>
            <w:div w:id="975722900">
              <w:marLeft w:val="0"/>
              <w:marRight w:val="0"/>
              <w:marTop w:val="50"/>
              <w:marBottom w:val="50"/>
              <w:divBdr>
                <w:top w:val="single" w:sz="4" w:space="5" w:color="CCCCD4"/>
                <w:left w:val="single" w:sz="4" w:space="5" w:color="CCCCD4"/>
                <w:bottom w:val="single" w:sz="4" w:space="5" w:color="CCCCD4"/>
                <w:right w:val="single" w:sz="4" w:space="5" w:color="CCCCD4"/>
              </w:divBdr>
              <w:divsChild>
                <w:div w:id="189426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2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1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28282"/>
                            <w:left w:val="single" w:sz="4" w:space="0" w:color="828282"/>
                            <w:bottom w:val="single" w:sz="4" w:space="0" w:color="828282"/>
                            <w:right w:val="single" w:sz="4" w:space="0" w:color="828282"/>
                          </w:divBdr>
                          <w:divsChild>
                            <w:div w:id="108949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87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1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38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92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74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7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1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31256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0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60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971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805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8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DocumentType xmlns="AB2C3F3B-EC5A-432F-8C8A-DDFFA961F547" xsi:nil="true"/>
    <SecurityClassification xmlns="AB2C3F3B-EC5A-432F-8C8A-DDFFA961F547" xsi:nil="true"/>
    <pdms_AttachedBy xmlns="AB2C3F3B-EC5A-432F-8C8A-DDFFA961F547" xsi:nil="true"/>
    <pdms_Reason xmlns="AB2C3F3B-EC5A-432F-8C8A-DDFFA961F547" xsi:nil="true"/>
    <pdms_SecurityClassification xmlns="AB2C3F3B-EC5A-432F-8C8A-DDFFA961F54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ED9C3E2DBC646D4DA1AE02D35DE6993D" ma:contentTypeVersion="" ma:contentTypeDescription="PDMS Documentation Content Type" ma:contentTypeScope="" ma:versionID="926345cb0018a4f34f6150619c1d2ece">
  <xsd:schema xmlns:xsd="http://www.w3.org/2001/XMLSchema" xmlns:xs="http://www.w3.org/2001/XMLSchema" xmlns:p="http://schemas.microsoft.com/office/2006/metadata/properties" xmlns:ns2="AB2C3F3B-EC5A-432F-8C8A-DDFFA961F547" targetNamespace="http://schemas.microsoft.com/office/2006/metadata/properties" ma:root="true" ma:fieldsID="e3cddae1a6abb609d0ca62be80702167" ns2:_="">
    <xsd:import namespace="AB2C3F3B-EC5A-432F-8C8A-DDFFA961F547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C3F3B-EC5A-432F-8C8A-DDFFA961F547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2BB78-1E12-4BA4-905A-459FE2BDA0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7AEB5F-CD37-4A51-BB10-3A2E6EDAF36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B2C3F3B-EC5A-432F-8C8A-DDFFA961F547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4E3F3D3-E5E6-4D58-885F-309ED29EA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2C3F3B-EC5A-432F-8C8A-DDFFA961F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90C7B6-15E4-40E3-9A66-A44228925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839</Words>
  <Characters>4787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 Explanatory Statement - ACMA (Annual Carrier Licence Charge) Direction 2016.docx</vt:lpstr>
    </vt:vector>
  </TitlesOfParts>
  <Company>DBCDE</Company>
  <LinksUpToDate>false</LinksUpToDate>
  <CharactersWithSpaces>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 Explanatory Statement - ACMA (Annual Carrier Licence Charge) Direction 2016.docx</dc:title>
  <dc:creator>aduncan</dc:creator>
  <cp:lastModifiedBy>Dyer, Siew</cp:lastModifiedBy>
  <cp:revision>2</cp:revision>
  <cp:lastPrinted>2012-12-05T00:54:00Z</cp:lastPrinted>
  <dcterms:created xsi:type="dcterms:W3CDTF">2017-05-16T23:52:00Z</dcterms:created>
  <dcterms:modified xsi:type="dcterms:W3CDTF">2017-05-16T23:52:00Z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0x010100266966F133664895A6EE3632470D45F50100ED9C3E2DBC646D4DA1AE02D35DE6993D</vt:lpwstr>
  </property>
  <property fmtid="{D5CDD505-2E9C-101B-9397-08002B2CF9AE}" pid="3" name="TrimRevisionNumber">
    <vt:i4>8</vt:i4>
  </property>
</Properties>
</file>