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A005B" w:rsidRDefault="00193461" w:rsidP="00C63713">
      <w:pPr>
        <w:rPr>
          <w:sz w:val="28"/>
        </w:rPr>
      </w:pPr>
      <w:r w:rsidRPr="004A005B">
        <w:rPr>
          <w:noProof/>
          <w:lang w:eastAsia="en-AU"/>
        </w:rPr>
        <w:drawing>
          <wp:inline distT="0" distB="0" distL="0" distR="0" wp14:anchorId="581FD326" wp14:editId="57F4314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A005B" w:rsidRDefault="0048364F" w:rsidP="0048364F">
      <w:pPr>
        <w:rPr>
          <w:sz w:val="19"/>
        </w:rPr>
      </w:pPr>
    </w:p>
    <w:p w:rsidR="0048364F" w:rsidRPr="004A005B" w:rsidRDefault="00B978CB" w:rsidP="0048364F">
      <w:pPr>
        <w:pStyle w:val="ShortT"/>
      </w:pPr>
      <w:r w:rsidRPr="004A005B">
        <w:t>Financial Framework (Supplementary Powers) Amendment (Education and Training Measures No.</w:t>
      </w:r>
      <w:r w:rsidR="004A005B" w:rsidRPr="004A005B">
        <w:t> </w:t>
      </w:r>
      <w:r w:rsidRPr="004A005B">
        <w:t>2) Regulations</w:t>
      </w:r>
      <w:r w:rsidR="004A005B" w:rsidRPr="004A005B">
        <w:t> </w:t>
      </w:r>
      <w:r w:rsidRPr="004A005B">
        <w:t>2017</w:t>
      </w:r>
    </w:p>
    <w:p w:rsidR="00B978CB" w:rsidRPr="004A005B" w:rsidRDefault="00B978CB" w:rsidP="007517B8">
      <w:pPr>
        <w:pStyle w:val="SignCoverPageStart"/>
        <w:spacing w:before="240"/>
        <w:rPr>
          <w:szCs w:val="22"/>
        </w:rPr>
      </w:pPr>
      <w:r w:rsidRPr="004A005B">
        <w:rPr>
          <w:szCs w:val="22"/>
        </w:rPr>
        <w:t>I, General the Honourable Sir Peter Cosgrove AK MC (</w:t>
      </w:r>
      <w:proofErr w:type="spellStart"/>
      <w:r w:rsidRPr="004A005B">
        <w:rPr>
          <w:szCs w:val="22"/>
        </w:rPr>
        <w:t>Ret’d</w:t>
      </w:r>
      <w:proofErr w:type="spellEnd"/>
      <w:r w:rsidRPr="004A005B">
        <w:rPr>
          <w:szCs w:val="22"/>
        </w:rPr>
        <w:t xml:space="preserve">), </w:t>
      </w:r>
      <w:r w:rsidR="004A005B" w:rsidRPr="004A005B">
        <w:rPr>
          <w:szCs w:val="22"/>
        </w:rPr>
        <w:t>Governor</w:t>
      </w:r>
      <w:r w:rsidR="004A005B">
        <w:rPr>
          <w:szCs w:val="22"/>
        </w:rPr>
        <w:noBreakHyphen/>
      </w:r>
      <w:r w:rsidR="004A005B" w:rsidRPr="004A005B">
        <w:rPr>
          <w:szCs w:val="22"/>
        </w:rPr>
        <w:t>General</w:t>
      </w:r>
      <w:r w:rsidRPr="004A005B">
        <w:rPr>
          <w:szCs w:val="22"/>
        </w:rPr>
        <w:t xml:space="preserve"> of the Commonwealth of Australia, acting with the advice of the Federal Executive Council, make the following regulation</w:t>
      </w:r>
      <w:r w:rsidR="00976294" w:rsidRPr="004A005B">
        <w:rPr>
          <w:szCs w:val="22"/>
        </w:rPr>
        <w:t>s</w:t>
      </w:r>
      <w:r w:rsidRPr="004A005B">
        <w:rPr>
          <w:szCs w:val="22"/>
        </w:rPr>
        <w:t>.</w:t>
      </w:r>
    </w:p>
    <w:p w:rsidR="00B978CB" w:rsidRPr="004A005B" w:rsidRDefault="00B978C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A005B">
        <w:rPr>
          <w:szCs w:val="22"/>
        </w:rPr>
        <w:t xml:space="preserve">Dated </w:t>
      </w:r>
      <w:bookmarkStart w:id="0" w:name="BKCheck15B_1"/>
      <w:bookmarkEnd w:id="0"/>
      <w:r w:rsidRPr="004A005B">
        <w:rPr>
          <w:szCs w:val="22"/>
        </w:rPr>
        <w:fldChar w:fldCharType="begin"/>
      </w:r>
      <w:r w:rsidRPr="004A005B">
        <w:rPr>
          <w:szCs w:val="22"/>
        </w:rPr>
        <w:instrText xml:space="preserve"> DOCPROPERTY  DateMade </w:instrText>
      </w:r>
      <w:r w:rsidRPr="004A005B">
        <w:rPr>
          <w:szCs w:val="22"/>
        </w:rPr>
        <w:fldChar w:fldCharType="separate"/>
      </w:r>
      <w:r w:rsidR="006F4719">
        <w:rPr>
          <w:szCs w:val="22"/>
        </w:rPr>
        <w:t>18 May 2017</w:t>
      </w:r>
      <w:r w:rsidRPr="004A005B">
        <w:rPr>
          <w:szCs w:val="22"/>
        </w:rPr>
        <w:fldChar w:fldCharType="end"/>
      </w:r>
    </w:p>
    <w:p w:rsidR="00B978CB" w:rsidRPr="004A005B" w:rsidRDefault="00B978C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A005B">
        <w:rPr>
          <w:szCs w:val="22"/>
        </w:rPr>
        <w:t>Peter Cosgrove</w:t>
      </w:r>
    </w:p>
    <w:p w:rsidR="00B978CB" w:rsidRPr="004A005B" w:rsidRDefault="004A005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A005B">
        <w:rPr>
          <w:szCs w:val="22"/>
        </w:rPr>
        <w:t>Governor</w:t>
      </w:r>
      <w:r>
        <w:rPr>
          <w:szCs w:val="22"/>
        </w:rPr>
        <w:noBreakHyphen/>
      </w:r>
      <w:r w:rsidRPr="004A005B">
        <w:rPr>
          <w:szCs w:val="22"/>
        </w:rPr>
        <w:t>General</w:t>
      </w:r>
    </w:p>
    <w:p w:rsidR="00B978CB" w:rsidRPr="004A005B" w:rsidRDefault="00B978C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A005B">
        <w:rPr>
          <w:szCs w:val="22"/>
        </w:rPr>
        <w:t>By His Excellency’s Command</w:t>
      </w:r>
    </w:p>
    <w:p w:rsidR="00B978CB" w:rsidRPr="004A005B" w:rsidRDefault="00B978C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A005B">
        <w:rPr>
          <w:szCs w:val="22"/>
        </w:rPr>
        <w:t xml:space="preserve">Mathias </w:t>
      </w:r>
      <w:proofErr w:type="spellStart"/>
      <w:r w:rsidRPr="004A005B">
        <w:rPr>
          <w:szCs w:val="22"/>
        </w:rPr>
        <w:t>Cormann</w:t>
      </w:r>
      <w:proofErr w:type="spellEnd"/>
    </w:p>
    <w:p w:rsidR="00B978CB" w:rsidRPr="004A005B" w:rsidRDefault="00B978CB" w:rsidP="007517B8">
      <w:pPr>
        <w:pStyle w:val="SignCoverPageEnd"/>
        <w:rPr>
          <w:szCs w:val="22"/>
        </w:rPr>
      </w:pPr>
      <w:r w:rsidRPr="004A005B">
        <w:rPr>
          <w:szCs w:val="22"/>
        </w:rPr>
        <w:t>Minister for Finance</w:t>
      </w:r>
    </w:p>
    <w:p w:rsidR="00B978CB" w:rsidRPr="004A005B" w:rsidRDefault="00B978CB" w:rsidP="007517B8"/>
    <w:p w:rsidR="0048364F" w:rsidRPr="004A005B" w:rsidRDefault="0048364F" w:rsidP="0048364F">
      <w:pPr>
        <w:pStyle w:val="Header"/>
        <w:tabs>
          <w:tab w:val="clear" w:pos="4150"/>
          <w:tab w:val="clear" w:pos="8307"/>
        </w:tabs>
      </w:pPr>
      <w:r w:rsidRPr="004A005B">
        <w:rPr>
          <w:rStyle w:val="CharAmSchNo"/>
        </w:rPr>
        <w:t xml:space="preserve"> </w:t>
      </w:r>
      <w:r w:rsidRPr="004A005B">
        <w:rPr>
          <w:rStyle w:val="CharAmSchText"/>
        </w:rPr>
        <w:t xml:space="preserve"> </w:t>
      </w:r>
    </w:p>
    <w:p w:rsidR="0048364F" w:rsidRPr="004A005B" w:rsidRDefault="0048364F" w:rsidP="0048364F">
      <w:pPr>
        <w:pStyle w:val="Header"/>
        <w:tabs>
          <w:tab w:val="clear" w:pos="4150"/>
          <w:tab w:val="clear" w:pos="8307"/>
        </w:tabs>
      </w:pPr>
      <w:r w:rsidRPr="004A005B">
        <w:rPr>
          <w:rStyle w:val="CharAmPartNo"/>
        </w:rPr>
        <w:t xml:space="preserve"> </w:t>
      </w:r>
      <w:r w:rsidRPr="004A005B">
        <w:rPr>
          <w:rStyle w:val="CharAmPartText"/>
        </w:rPr>
        <w:t xml:space="preserve"> </w:t>
      </w:r>
    </w:p>
    <w:p w:rsidR="0048364F" w:rsidRPr="004A005B" w:rsidRDefault="0048364F" w:rsidP="0048364F">
      <w:pPr>
        <w:sectPr w:rsidR="0048364F" w:rsidRPr="004A005B" w:rsidSect="00DB59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4A005B" w:rsidRDefault="0048364F" w:rsidP="00EB62E0">
      <w:pPr>
        <w:rPr>
          <w:sz w:val="36"/>
        </w:rPr>
      </w:pPr>
      <w:r w:rsidRPr="004A005B">
        <w:rPr>
          <w:sz w:val="36"/>
        </w:rPr>
        <w:lastRenderedPageBreak/>
        <w:t>Contents</w:t>
      </w:r>
    </w:p>
    <w:bookmarkStart w:id="1" w:name="BKCheck15B_2"/>
    <w:bookmarkEnd w:id="1"/>
    <w:p w:rsidR="00955D17" w:rsidRPr="004A005B" w:rsidRDefault="00955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05B">
        <w:fldChar w:fldCharType="begin"/>
      </w:r>
      <w:r w:rsidRPr="004A005B">
        <w:instrText xml:space="preserve"> TOC \o "1-9" </w:instrText>
      </w:r>
      <w:r w:rsidRPr="004A005B">
        <w:fldChar w:fldCharType="separate"/>
      </w:r>
      <w:r w:rsidRPr="004A005B">
        <w:rPr>
          <w:noProof/>
        </w:rPr>
        <w:t>1</w:t>
      </w:r>
      <w:r w:rsidRPr="004A005B">
        <w:rPr>
          <w:noProof/>
        </w:rPr>
        <w:tab/>
        <w:t>Name</w:t>
      </w:r>
      <w:r w:rsidRPr="004A005B">
        <w:rPr>
          <w:noProof/>
        </w:rPr>
        <w:tab/>
      </w:r>
      <w:r w:rsidRPr="004A005B">
        <w:rPr>
          <w:noProof/>
        </w:rPr>
        <w:fldChar w:fldCharType="begin"/>
      </w:r>
      <w:r w:rsidRPr="004A005B">
        <w:rPr>
          <w:noProof/>
        </w:rPr>
        <w:instrText xml:space="preserve"> PAGEREF _Toc479664204 \h </w:instrText>
      </w:r>
      <w:r w:rsidRPr="004A005B">
        <w:rPr>
          <w:noProof/>
        </w:rPr>
      </w:r>
      <w:r w:rsidRPr="004A005B">
        <w:rPr>
          <w:noProof/>
        </w:rPr>
        <w:fldChar w:fldCharType="separate"/>
      </w:r>
      <w:r w:rsidR="006F4719">
        <w:rPr>
          <w:noProof/>
        </w:rPr>
        <w:t>1</w:t>
      </w:r>
      <w:r w:rsidRPr="004A005B">
        <w:rPr>
          <w:noProof/>
        </w:rPr>
        <w:fldChar w:fldCharType="end"/>
      </w:r>
    </w:p>
    <w:p w:rsidR="00955D17" w:rsidRPr="004A005B" w:rsidRDefault="00955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05B">
        <w:rPr>
          <w:noProof/>
        </w:rPr>
        <w:t>2</w:t>
      </w:r>
      <w:r w:rsidRPr="004A005B">
        <w:rPr>
          <w:noProof/>
        </w:rPr>
        <w:tab/>
        <w:t>Commencement</w:t>
      </w:r>
      <w:r w:rsidRPr="004A005B">
        <w:rPr>
          <w:noProof/>
        </w:rPr>
        <w:tab/>
      </w:r>
      <w:r w:rsidRPr="004A005B">
        <w:rPr>
          <w:noProof/>
        </w:rPr>
        <w:fldChar w:fldCharType="begin"/>
      </w:r>
      <w:r w:rsidRPr="004A005B">
        <w:rPr>
          <w:noProof/>
        </w:rPr>
        <w:instrText xml:space="preserve"> PAGEREF _Toc479664205 \h </w:instrText>
      </w:r>
      <w:r w:rsidRPr="004A005B">
        <w:rPr>
          <w:noProof/>
        </w:rPr>
      </w:r>
      <w:r w:rsidRPr="004A005B">
        <w:rPr>
          <w:noProof/>
        </w:rPr>
        <w:fldChar w:fldCharType="separate"/>
      </w:r>
      <w:r w:rsidR="006F4719">
        <w:rPr>
          <w:noProof/>
        </w:rPr>
        <w:t>1</w:t>
      </w:r>
      <w:r w:rsidRPr="004A005B">
        <w:rPr>
          <w:noProof/>
        </w:rPr>
        <w:fldChar w:fldCharType="end"/>
      </w:r>
    </w:p>
    <w:p w:rsidR="00955D17" w:rsidRPr="004A005B" w:rsidRDefault="00955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05B">
        <w:rPr>
          <w:noProof/>
        </w:rPr>
        <w:t>3</w:t>
      </w:r>
      <w:r w:rsidRPr="004A005B">
        <w:rPr>
          <w:noProof/>
        </w:rPr>
        <w:tab/>
        <w:t>Authority</w:t>
      </w:r>
      <w:r w:rsidRPr="004A005B">
        <w:rPr>
          <w:noProof/>
        </w:rPr>
        <w:tab/>
      </w:r>
      <w:r w:rsidRPr="004A005B">
        <w:rPr>
          <w:noProof/>
        </w:rPr>
        <w:fldChar w:fldCharType="begin"/>
      </w:r>
      <w:r w:rsidRPr="004A005B">
        <w:rPr>
          <w:noProof/>
        </w:rPr>
        <w:instrText xml:space="preserve"> PAGEREF _Toc479664206 \h </w:instrText>
      </w:r>
      <w:r w:rsidRPr="004A005B">
        <w:rPr>
          <w:noProof/>
        </w:rPr>
      </w:r>
      <w:r w:rsidRPr="004A005B">
        <w:rPr>
          <w:noProof/>
        </w:rPr>
        <w:fldChar w:fldCharType="separate"/>
      </w:r>
      <w:r w:rsidR="006F4719">
        <w:rPr>
          <w:noProof/>
        </w:rPr>
        <w:t>1</w:t>
      </w:r>
      <w:r w:rsidRPr="004A005B">
        <w:rPr>
          <w:noProof/>
        </w:rPr>
        <w:fldChar w:fldCharType="end"/>
      </w:r>
    </w:p>
    <w:p w:rsidR="00955D17" w:rsidRPr="004A005B" w:rsidRDefault="00955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005B">
        <w:rPr>
          <w:noProof/>
        </w:rPr>
        <w:t>4</w:t>
      </w:r>
      <w:r w:rsidRPr="004A005B">
        <w:rPr>
          <w:noProof/>
        </w:rPr>
        <w:tab/>
        <w:t>Schedules</w:t>
      </w:r>
      <w:r w:rsidRPr="004A005B">
        <w:rPr>
          <w:noProof/>
        </w:rPr>
        <w:tab/>
      </w:r>
      <w:r w:rsidRPr="004A005B">
        <w:rPr>
          <w:noProof/>
        </w:rPr>
        <w:fldChar w:fldCharType="begin"/>
      </w:r>
      <w:r w:rsidRPr="004A005B">
        <w:rPr>
          <w:noProof/>
        </w:rPr>
        <w:instrText xml:space="preserve"> PAGEREF _Toc479664207 \h </w:instrText>
      </w:r>
      <w:r w:rsidRPr="004A005B">
        <w:rPr>
          <w:noProof/>
        </w:rPr>
      </w:r>
      <w:r w:rsidRPr="004A005B">
        <w:rPr>
          <w:noProof/>
        </w:rPr>
        <w:fldChar w:fldCharType="separate"/>
      </w:r>
      <w:r w:rsidR="006F4719">
        <w:rPr>
          <w:noProof/>
        </w:rPr>
        <w:t>1</w:t>
      </w:r>
      <w:r w:rsidRPr="004A005B">
        <w:rPr>
          <w:noProof/>
        </w:rPr>
        <w:fldChar w:fldCharType="end"/>
      </w:r>
    </w:p>
    <w:p w:rsidR="00955D17" w:rsidRPr="004A005B" w:rsidRDefault="00955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005B">
        <w:rPr>
          <w:noProof/>
        </w:rPr>
        <w:t>Schedule</w:t>
      </w:r>
      <w:r w:rsidR="004A005B" w:rsidRPr="004A005B">
        <w:rPr>
          <w:noProof/>
        </w:rPr>
        <w:t> </w:t>
      </w:r>
      <w:r w:rsidRPr="004A005B">
        <w:rPr>
          <w:noProof/>
        </w:rPr>
        <w:t>1—Amendments</w:t>
      </w:r>
      <w:r w:rsidRPr="004A005B">
        <w:rPr>
          <w:b w:val="0"/>
          <w:noProof/>
          <w:sz w:val="18"/>
        </w:rPr>
        <w:tab/>
      </w:r>
      <w:r w:rsidRPr="004A005B">
        <w:rPr>
          <w:b w:val="0"/>
          <w:noProof/>
          <w:sz w:val="18"/>
        </w:rPr>
        <w:fldChar w:fldCharType="begin"/>
      </w:r>
      <w:r w:rsidRPr="004A005B">
        <w:rPr>
          <w:b w:val="0"/>
          <w:noProof/>
          <w:sz w:val="18"/>
        </w:rPr>
        <w:instrText xml:space="preserve"> PAGEREF _Toc479664208 \h </w:instrText>
      </w:r>
      <w:r w:rsidRPr="004A005B">
        <w:rPr>
          <w:b w:val="0"/>
          <w:noProof/>
          <w:sz w:val="18"/>
        </w:rPr>
      </w:r>
      <w:r w:rsidRPr="004A005B">
        <w:rPr>
          <w:b w:val="0"/>
          <w:noProof/>
          <w:sz w:val="18"/>
        </w:rPr>
        <w:fldChar w:fldCharType="separate"/>
      </w:r>
      <w:r w:rsidR="006F4719">
        <w:rPr>
          <w:b w:val="0"/>
          <w:noProof/>
          <w:sz w:val="18"/>
        </w:rPr>
        <w:t>2</w:t>
      </w:r>
      <w:r w:rsidRPr="004A005B">
        <w:rPr>
          <w:b w:val="0"/>
          <w:noProof/>
          <w:sz w:val="18"/>
        </w:rPr>
        <w:fldChar w:fldCharType="end"/>
      </w:r>
    </w:p>
    <w:p w:rsidR="00955D17" w:rsidRPr="004A005B" w:rsidRDefault="00955D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005B">
        <w:rPr>
          <w:noProof/>
        </w:rPr>
        <w:t>Financial Framework (Supplementary Powers) Regulations</w:t>
      </w:r>
      <w:r w:rsidR="004A005B" w:rsidRPr="004A005B">
        <w:rPr>
          <w:noProof/>
        </w:rPr>
        <w:t> </w:t>
      </w:r>
      <w:r w:rsidRPr="004A005B">
        <w:rPr>
          <w:noProof/>
        </w:rPr>
        <w:t>1997</w:t>
      </w:r>
      <w:r w:rsidRPr="004A005B">
        <w:rPr>
          <w:i w:val="0"/>
          <w:noProof/>
          <w:sz w:val="18"/>
        </w:rPr>
        <w:tab/>
      </w:r>
      <w:r w:rsidRPr="004A005B">
        <w:rPr>
          <w:i w:val="0"/>
          <w:noProof/>
          <w:sz w:val="18"/>
        </w:rPr>
        <w:fldChar w:fldCharType="begin"/>
      </w:r>
      <w:r w:rsidRPr="004A005B">
        <w:rPr>
          <w:i w:val="0"/>
          <w:noProof/>
          <w:sz w:val="18"/>
        </w:rPr>
        <w:instrText xml:space="preserve"> PAGEREF _Toc479664209 \h </w:instrText>
      </w:r>
      <w:r w:rsidRPr="004A005B">
        <w:rPr>
          <w:i w:val="0"/>
          <w:noProof/>
          <w:sz w:val="18"/>
        </w:rPr>
      </w:r>
      <w:r w:rsidRPr="004A005B">
        <w:rPr>
          <w:i w:val="0"/>
          <w:noProof/>
          <w:sz w:val="18"/>
        </w:rPr>
        <w:fldChar w:fldCharType="separate"/>
      </w:r>
      <w:r w:rsidR="006F4719">
        <w:rPr>
          <w:i w:val="0"/>
          <w:noProof/>
          <w:sz w:val="18"/>
        </w:rPr>
        <w:t>2</w:t>
      </w:r>
      <w:r w:rsidRPr="004A005B">
        <w:rPr>
          <w:i w:val="0"/>
          <w:noProof/>
          <w:sz w:val="18"/>
        </w:rPr>
        <w:fldChar w:fldCharType="end"/>
      </w:r>
    </w:p>
    <w:p w:rsidR="00833416" w:rsidRPr="004A005B" w:rsidRDefault="00955D17" w:rsidP="0048364F">
      <w:r w:rsidRPr="004A005B">
        <w:fldChar w:fldCharType="end"/>
      </w:r>
    </w:p>
    <w:p w:rsidR="00722023" w:rsidRPr="004A005B" w:rsidRDefault="00722023" w:rsidP="0048364F">
      <w:pPr>
        <w:sectPr w:rsidR="00722023" w:rsidRPr="004A005B" w:rsidSect="00DB59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A005B" w:rsidRDefault="0048364F" w:rsidP="0048364F">
      <w:pPr>
        <w:pStyle w:val="ActHead5"/>
      </w:pPr>
      <w:bookmarkStart w:id="2" w:name="_Toc479664204"/>
      <w:r w:rsidRPr="004A005B">
        <w:rPr>
          <w:rStyle w:val="CharSectno"/>
        </w:rPr>
        <w:lastRenderedPageBreak/>
        <w:t>1</w:t>
      </w:r>
      <w:r w:rsidRPr="004A005B">
        <w:t xml:space="preserve">  </w:t>
      </w:r>
      <w:r w:rsidR="004F676E" w:rsidRPr="004A005B">
        <w:t>Name</w:t>
      </w:r>
      <w:bookmarkEnd w:id="2"/>
    </w:p>
    <w:p w:rsidR="0048364F" w:rsidRPr="004A005B" w:rsidRDefault="0048364F" w:rsidP="0048364F">
      <w:pPr>
        <w:pStyle w:val="subsection"/>
      </w:pPr>
      <w:r w:rsidRPr="004A005B">
        <w:tab/>
      </w:r>
      <w:r w:rsidRPr="004A005B">
        <w:tab/>
        <w:t>Th</w:t>
      </w:r>
      <w:r w:rsidR="00F24C35" w:rsidRPr="004A005B">
        <w:t>is</w:t>
      </w:r>
      <w:r w:rsidRPr="004A005B">
        <w:t xml:space="preserve"> </w:t>
      </w:r>
      <w:r w:rsidR="00976294" w:rsidRPr="004A005B">
        <w:t xml:space="preserve">instrument </w:t>
      </w:r>
      <w:r w:rsidR="00F24C35" w:rsidRPr="004A005B">
        <w:t>is</w:t>
      </w:r>
      <w:r w:rsidR="003801D0" w:rsidRPr="004A005B">
        <w:t xml:space="preserve"> the</w:t>
      </w:r>
      <w:r w:rsidRPr="004A005B">
        <w:t xml:space="preserve"> </w:t>
      </w:r>
      <w:bookmarkStart w:id="3" w:name="BKCheck15B_3"/>
      <w:bookmarkEnd w:id="3"/>
      <w:r w:rsidR="00CB0180" w:rsidRPr="004A005B">
        <w:rPr>
          <w:i/>
        </w:rPr>
        <w:fldChar w:fldCharType="begin"/>
      </w:r>
      <w:r w:rsidR="00CB0180" w:rsidRPr="004A005B">
        <w:rPr>
          <w:i/>
        </w:rPr>
        <w:instrText xml:space="preserve"> STYLEREF  ShortT </w:instrText>
      </w:r>
      <w:r w:rsidR="00CB0180" w:rsidRPr="004A005B">
        <w:rPr>
          <w:i/>
        </w:rPr>
        <w:fldChar w:fldCharType="separate"/>
      </w:r>
      <w:r w:rsidR="006F4719">
        <w:rPr>
          <w:i/>
          <w:noProof/>
        </w:rPr>
        <w:t>Financial Framework (Supplementary Powers) Amendment (Education and Training Measures No. 2) Regulations 2017</w:t>
      </w:r>
      <w:r w:rsidR="00CB0180" w:rsidRPr="004A005B">
        <w:rPr>
          <w:i/>
        </w:rPr>
        <w:fldChar w:fldCharType="end"/>
      </w:r>
      <w:r w:rsidRPr="004A005B">
        <w:t>.</w:t>
      </w:r>
    </w:p>
    <w:p w:rsidR="0048364F" w:rsidRPr="004A005B" w:rsidRDefault="0048364F" w:rsidP="0048364F">
      <w:pPr>
        <w:pStyle w:val="ActHead5"/>
      </w:pPr>
      <w:bookmarkStart w:id="4" w:name="_Toc479664205"/>
      <w:r w:rsidRPr="004A005B">
        <w:rPr>
          <w:rStyle w:val="CharSectno"/>
        </w:rPr>
        <w:t>2</w:t>
      </w:r>
      <w:r w:rsidRPr="004A005B">
        <w:t xml:space="preserve">  Commencement</w:t>
      </w:r>
      <w:bookmarkEnd w:id="4"/>
    </w:p>
    <w:p w:rsidR="00B978CB" w:rsidRPr="004A005B" w:rsidRDefault="00B978CB" w:rsidP="00A664CA">
      <w:pPr>
        <w:pStyle w:val="subsection"/>
      </w:pPr>
      <w:r w:rsidRPr="004A005B">
        <w:tab/>
        <w:t>(1)</w:t>
      </w:r>
      <w:r w:rsidRPr="004A00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978CB" w:rsidRPr="004A005B" w:rsidRDefault="00B978CB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978CB" w:rsidRPr="004A005B" w:rsidTr="00B978C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Commencement information</w:t>
            </w:r>
          </w:p>
        </w:tc>
      </w:tr>
      <w:tr w:rsidR="00B978CB" w:rsidRPr="004A005B" w:rsidTr="00B978C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Column 3</w:t>
            </w:r>
          </w:p>
        </w:tc>
      </w:tr>
      <w:tr w:rsidR="00B978CB" w:rsidRPr="004A005B" w:rsidTr="00B978CB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Heading"/>
            </w:pPr>
            <w:r w:rsidRPr="004A005B">
              <w:t>Date/Details</w:t>
            </w:r>
          </w:p>
        </w:tc>
      </w:tr>
      <w:tr w:rsidR="00B978CB" w:rsidRPr="004A005B" w:rsidTr="00B978CB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978CB" w:rsidRPr="004A005B" w:rsidRDefault="00B978CB" w:rsidP="00A664CA">
            <w:pPr>
              <w:pStyle w:val="Tabletext"/>
            </w:pPr>
            <w:r w:rsidRPr="004A005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78CB" w:rsidRPr="004A005B" w:rsidRDefault="00976294" w:rsidP="00A664CA">
            <w:pPr>
              <w:pStyle w:val="Tabletext"/>
            </w:pPr>
            <w:r w:rsidRPr="004A005B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78CB" w:rsidRPr="004A005B" w:rsidRDefault="007C1A07" w:rsidP="00A664CA">
            <w:pPr>
              <w:pStyle w:val="Tabletext"/>
            </w:pPr>
            <w:r>
              <w:t>20 May 2017</w:t>
            </w:r>
            <w:bookmarkStart w:id="5" w:name="_GoBack"/>
            <w:bookmarkEnd w:id="5"/>
          </w:p>
        </w:tc>
      </w:tr>
    </w:tbl>
    <w:p w:rsidR="00B978CB" w:rsidRPr="004A005B" w:rsidRDefault="00B978CB" w:rsidP="00A664CA">
      <w:pPr>
        <w:pStyle w:val="notetext"/>
      </w:pPr>
      <w:r w:rsidRPr="004A005B">
        <w:rPr>
          <w:snapToGrid w:val="0"/>
          <w:lang w:eastAsia="en-US"/>
        </w:rPr>
        <w:t>Note:</w:t>
      </w:r>
      <w:r w:rsidRPr="004A005B">
        <w:rPr>
          <w:snapToGrid w:val="0"/>
          <w:lang w:eastAsia="en-US"/>
        </w:rPr>
        <w:tab/>
        <w:t xml:space="preserve">This table relates only to the provisions of this </w:t>
      </w:r>
      <w:r w:rsidRPr="004A005B">
        <w:t xml:space="preserve">instrument </w:t>
      </w:r>
      <w:r w:rsidRPr="004A005B">
        <w:rPr>
          <w:snapToGrid w:val="0"/>
          <w:lang w:eastAsia="en-US"/>
        </w:rPr>
        <w:t xml:space="preserve">as originally made. It will not be amended to deal with any later amendments of this </w:t>
      </w:r>
      <w:r w:rsidRPr="004A005B">
        <w:t>instrument</w:t>
      </w:r>
      <w:r w:rsidRPr="004A005B">
        <w:rPr>
          <w:snapToGrid w:val="0"/>
          <w:lang w:eastAsia="en-US"/>
        </w:rPr>
        <w:t>.</w:t>
      </w:r>
    </w:p>
    <w:p w:rsidR="00B978CB" w:rsidRPr="004A005B" w:rsidRDefault="00B978CB" w:rsidP="00D455E3">
      <w:pPr>
        <w:pStyle w:val="subsection"/>
      </w:pPr>
      <w:r w:rsidRPr="004A005B">
        <w:tab/>
        <w:t>(2)</w:t>
      </w:r>
      <w:r w:rsidRPr="004A00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A005B" w:rsidRDefault="007769D4" w:rsidP="007769D4">
      <w:pPr>
        <w:pStyle w:val="ActHead5"/>
      </w:pPr>
      <w:bookmarkStart w:id="6" w:name="_Toc479664206"/>
      <w:r w:rsidRPr="004A005B">
        <w:rPr>
          <w:rStyle w:val="CharSectno"/>
        </w:rPr>
        <w:t>3</w:t>
      </w:r>
      <w:r w:rsidRPr="004A005B">
        <w:t xml:space="preserve">  Authority</w:t>
      </w:r>
      <w:bookmarkEnd w:id="6"/>
    </w:p>
    <w:p w:rsidR="007769D4" w:rsidRPr="004A005B" w:rsidRDefault="007769D4" w:rsidP="007769D4">
      <w:pPr>
        <w:pStyle w:val="subsection"/>
      </w:pPr>
      <w:r w:rsidRPr="004A005B">
        <w:tab/>
      </w:r>
      <w:r w:rsidRPr="004A005B">
        <w:tab/>
      </w:r>
      <w:r w:rsidR="00AF0336" w:rsidRPr="004A005B">
        <w:t xml:space="preserve">This </w:t>
      </w:r>
      <w:r w:rsidR="00B978CB" w:rsidRPr="004A005B">
        <w:t>instrument</w:t>
      </w:r>
      <w:r w:rsidR="00AF0336" w:rsidRPr="004A005B">
        <w:t xml:space="preserve"> is made under the </w:t>
      </w:r>
      <w:r w:rsidR="00B978CB" w:rsidRPr="004A005B">
        <w:rPr>
          <w:i/>
        </w:rPr>
        <w:t>Financial Framework (Supplementary Powers) Act 1997</w:t>
      </w:r>
      <w:r w:rsidR="00D83D21" w:rsidRPr="004A005B">
        <w:rPr>
          <w:i/>
        </w:rPr>
        <w:t>.</w:t>
      </w:r>
    </w:p>
    <w:p w:rsidR="00557C7A" w:rsidRPr="004A005B" w:rsidRDefault="007769D4" w:rsidP="00557C7A">
      <w:pPr>
        <w:pStyle w:val="ActHead5"/>
      </w:pPr>
      <w:bookmarkStart w:id="7" w:name="_Toc479664207"/>
      <w:r w:rsidRPr="004A005B">
        <w:rPr>
          <w:rStyle w:val="CharSectno"/>
        </w:rPr>
        <w:t>4</w:t>
      </w:r>
      <w:r w:rsidR="00557C7A" w:rsidRPr="004A005B">
        <w:t xml:space="preserve">  </w:t>
      </w:r>
      <w:r w:rsidR="00B332B8" w:rsidRPr="004A005B">
        <w:t>Schedules</w:t>
      </w:r>
      <w:bookmarkEnd w:id="7"/>
    </w:p>
    <w:p w:rsidR="000F6B02" w:rsidRPr="004A005B" w:rsidRDefault="00557C7A" w:rsidP="000F6B02">
      <w:pPr>
        <w:pStyle w:val="subsection"/>
      </w:pPr>
      <w:r w:rsidRPr="004A005B">
        <w:tab/>
      </w:r>
      <w:r w:rsidRPr="004A005B">
        <w:tab/>
      </w:r>
      <w:r w:rsidR="000F6B02" w:rsidRPr="004A005B">
        <w:t xml:space="preserve">Each instrument that is specified in a Schedule to </w:t>
      </w:r>
      <w:r w:rsidR="00B978CB" w:rsidRPr="004A005B">
        <w:t>this instrument</w:t>
      </w:r>
      <w:r w:rsidR="000F6B02" w:rsidRPr="004A005B">
        <w:t xml:space="preserve"> is amended or repealed as set out in the applicable items in the Schedule concerned, and any other item in a Schedule to </w:t>
      </w:r>
      <w:r w:rsidR="00B978CB" w:rsidRPr="004A005B">
        <w:t>this instrument</w:t>
      </w:r>
      <w:r w:rsidR="000F6B02" w:rsidRPr="004A005B">
        <w:t xml:space="preserve"> has effect according to its terms.</w:t>
      </w:r>
    </w:p>
    <w:p w:rsidR="0048364F" w:rsidRPr="004A005B" w:rsidRDefault="0048364F" w:rsidP="00FF3089">
      <w:pPr>
        <w:pStyle w:val="ActHead6"/>
        <w:pageBreakBefore/>
      </w:pPr>
      <w:bookmarkStart w:id="8" w:name="_Toc479664208"/>
      <w:bookmarkStart w:id="9" w:name="opcAmSched"/>
      <w:bookmarkStart w:id="10" w:name="opcCurrentFind"/>
      <w:r w:rsidRPr="004A005B">
        <w:rPr>
          <w:rStyle w:val="CharAmSchNo"/>
        </w:rPr>
        <w:t>Schedule</w:t>
      </w:r>
      <w:r w:rsidR="004A005B" w:rsidRPr="004A005B">
        <w:rPr>
          <w:rStyle w:val="CharAmSchNo"/>
        </w:rPr>
        <w:t> </w:t>
      </w:r>
      <w:r w:rsidRPr="004A005B">
        <w:rPr>
          <w:rStyle w:val="CharAmSchNo"/>
        </w:rPr>
        <w:t>1</w:t>
      </w:r>
      <w:r w:rsidRPr="004A005B">
        <w:t>—</w:t>
      </w:r>
      <w:r w:rsidR="00460499" w:rsidRPr="004A005B">
        <w:rPr>
          <w:rStyle w:val="CharAmSchText"/>
        </w:rPr>
        <w:t>Amendments</w:t>
      </w:r>
      <w:bookmarkEnd w:id="8"/>
    </w:p>
    <w:bookmarkEnd w:id="9"/>
    <w:bookmarkEnd w:id="10"/>
    <w:p w:rsidR="0004044E" w:rsidRPr="004A005B" w:rsidRDefault="0004044E" w:rsidP="0004044E">
      <w:pPr>
        <w:pStyle w:val="Header"/>
      </w:pPr>
      <w:r w:rsidRPr="004A005B">
        <w:rPr>
          <w:rStyle w:val="CharAmPartNo"/>
        </w:rPr>
        <w:t xml:space="preserve"> </w:t>
      </w:r>
      <w:r w:rsidRPr="004A005B">
        <w:rPr>
          <w:rStyle w:val="CharAmPartText"/>
        </w:rPr>
        <w:t xml:space="preserve"> </w:t>
      </w:r>
    </w:p>
    <w:p w:rsidR="00976294" w:rsidRPr="004A005B" w:rsidRDefault="00976294" w:rsidP="00976294">
      <w:pPr>
        <w:pStyle w:val="ActHead9"/>
      </w:pPr>
      <w:bookmarkStart w:id="11" w:name="_Toc479664209"/>
      <w:r w:rsidRPr="004A005B">
        <w:t>Financial Framework (Supplementary Powers) Regulations</w:t>
      </w:r>
      <w:r w:rsidR="004A005B" w:rsidRPr="004A005B">
        <w:t> </w:t>
      </w:r>
      <w:r w:rsidRPr="004A005B">
        <w:t>1997</w:t>
      </w:r>
      <w:bookmarkEnd w:id="11"/>
    </w:p>
    <w:p w:rsidR="00976294" w:rsidRPr="004A005B" w:rsidRDefault="00976294" w:rsidP="00976294">
      <w:pPr>
        <w:pStyle w:val="ItemHead"/>
      </w:pPr>
      <w:r w:rsidRPr="004A005B">
        <w:t>1  In the appropriate position in Part</w:t>
      </w:r>
      <w:r w:rsidR="004A005B" w:rsidRPr="004A005B">
        <w:t> </w:t>
      </w:r>
      <w:r w:rsidRPr="004A005B">
        <w:t>4 of Schedule</w:t>
      </w:r>
      <w:r w:rsidR="004A005B" w:rsidRPr="004A005B">
        <w:t> </w:t>
      </w:r>
      <w:r w:rsidRPr="004A005B">
        <w:t>1AB (table)</w:t>
      </w:r>
    </w:p>
    <w:p w:rsidR="00976294" w:rsidRPr="004A005B" w:rsidRDefault="00976294" w:rsidP="00976294">
      <w:pPr>
        <w:pStyle w:val="Item"/>
      </w:pPr>
      <w:r w:rsidRPr="004A005B">
        <w:t>Insert:</w:t>
      </w:r>
    </w:p>
    <w:p w:rsidR="00976294" w:rsidRPr="004A005B" w:rsidRDefault="00976294" w:rsidP="00976294">
      <w:pPr>
        <w:pStyle w:val="Tabletext"/>
      </w:pPr>
    </w:p>
    <w:tbl>
      <w:tblPr>
        <w:tblW w:w="8441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798"/>
        <w:gridCol w:w="2548"/>
        <w:gridCol w:w="5095"/>
      </w:tblGrid>
      <w:tr w:rsidR="002F772E" w:rsidRPr="004A005B" w:rsidTr="00976294">
        <w:trPr>
          <w:trHeight w:val="1695"/>
        </w:trPr>
        <w:tc>
          <w:tcPr>
            <w:tcW w:w="798" w:type="dxa"/>
            <w:tcBorders>
              <w:bottom w:val="single" w:sz="2" w:space="0" w:color="auto"/>
            </w:tcBorders>
            <w:shd w:val="clear" w:color="auto" w:fill="auto"/>
          </w:tcPr>
          <w:p w:rsidR="002F772E" w:rsidRPr="004A005B" w:rsidRDefault="002F772E" w:rsidP="009B34B0">
            <w:pPr>
              <w:pStyle w:val="Tabletext"/>
            </w:pPr>
            <w:r w:rsidRPr="004A005B">
              <w:t>22</w:t>
            </w:r>
            <w:r w:rsidR="009B34B0" w:rsidRPr="004A005B">
              <w:t>1</w:t>
            </w:r>
          </w:p>
        </w:tc>
        <w:tc>
          <w:tcPr>
            <w:tcW w:w="2548" w:type="dxa"/>
            <w:tcBorders>
              <w:bottom w:val="single" w:sz="2" w:space="0" w:color="auto"/>
            </w:tcBorders>
            <w:shd w:val="clear" w:color="auto" w:fill="auto"/>
          </w:tcPr>
          <w:p w:rsidR="002F772E" w:rsidRPr="004A005B" w:rsidRDefault="002F772E" w:rsidP="00B50CF7">
            <w:pPr>
              <w:pStyle w:val="Tabletext"/>
            </w:pPr>
            <w:r w:rsidRPr="004A005B">
              <w:t>Vocational Education and Training Information Strategy</w:t>
            </w:r>
          </w:p>
        </w:tc>
        <w:tc>
          <w:tcPr>
            <w:tcW w:w="5095" w:type="dxa"/>
            <w:tcBorders>
              <w:bottom w:val="single" w:sz="2" w:space="0" w:color="auto"/>
            </w:tcBorders>
            <w:shd w:val="clear" w:color="auto" w:fill="auto"/>
          </w:tcPr>
          <w:p w:rsidR="002F772E" w:rsidRPr="004A005B" w:rsidRDefault="002F772E" w:rsidP="00B50CF7">
            <w:pPr>
              <w:pStyle w:val="Tabletext"/>
            </w:pPr>
            <w:r w:rsidRPr="004A005B">
              <w:t>To provide funding to raise awareness about vocational education and training programs</w:t>
            </w:r>
            <w:r w:rsidR="006D125F" w:rsidRPr="004A005B">
              <w:t xml:space="preserve"> in Australia</w:t>
            </w:r>
            <w:r w:rsidRPr="004A005B">
              <w:t>.</w:t>
            </w:r>
          </w:p>
          <w:p w:rsidR="002F772E" w:rsidRPr="004A005B" w:rsidRDefault="002F772E" w:rsidP="00B50CF7">
            <w:pPr>
              <w:pStyle w:val="Tabletext"/>
            </w:pPr>
            <w:r w:rsidRPr="004A005B">
              <w:t>This objective also has the effect it would have if it were limited to providing funding for measures:</w:t>
            </w:r>
          </w:p>
          <w:p w:rsidR="002F772E" w:rsidRPr="004A005B" w:rsidRDefault="002F772E" w:rsidP="00B50CF7">
            <w:pPr>
              <w:pStyle w:val="Tablea"/>
            </w:pPr>
            <w:r w:rsidRPr="004A005B">
              <w:t xml:space="preserve">(a) </w:t>
            </w:r>
            <w:r w:rsidR="006D125F" w:rsidRPr="004A005B">
              <w:t xml:space="preserve">in connection with the use </w:t>
            </w:r>
            <w:r w:rsidRPr="004A005B">
              <w:t>of postal, telegraphic, telephonic, and other like services (within the meaning of paragraph</w:t>
            </w:r>
            <w:r w:rsidR="004A005B" w:rsidRPr="004A005B">
              <w:t> </w:t>
            </w:r>
            <w:r w:rsidRPr="004A005B">
              <w:t>51(v) of the Constitution); or</w:t>
            </w:r>
          </w:p>
          <w:p w:rsidR="002F772E" w:rsidRPr="004A005B" w:rsidRDefault="002F772E" w:rsidP="00B50CF7">
            <w:pPr>
              <w:pStyle w:val="Tablea"/>
            </w:pPr>
            <w:r w:rsidRPr="004A005B">
              <w:t>(b) directed to meeting Australia’s obligations under:</w:t>
            </w:r>
          </w:p>
          <w:p w:rsidR="002F772E" w:rsidRPr="004A005B" w:rsidRDefault="002F772E" w:rsidP="00B50CF7">
            <w:pPr>
              <w:pStyle w:val="Tablei"/>
            </w:pPr>
            <w:r w:rsidRPr="004A005B">
              <w:t>(</w:t>
            </w:r>
            <w:proofErr w:type="spellStart"/>
            <w:r w:rsidRPr="004A005B">
              <w:t>i</w:t>
            </w:r>
            <w:proofErr w:type="spellEnd"/>
            <w:r w:rsidRPr="004A005B">
              <w:t xml:space="preserve">) the International Covenant on Economic, Social and Cultural Rights (particularly Article 6); </w:t>
            </w:r>
            <w:r w:rsidR="009B34B0" w:rsidRPr="004A005B">
              <w:t>or</w:t>
            </w:r>
          </w:p>
          <w:p w:rsidR="002F772E" w:rsidRPr="004A005B" w:rsidRDefault="002F772E" w:rsidP="00B50CF7">
            <w:pPr>
              <w:pStyle w:val="Tablei"/>
            </w:pPr>
            <w:r w:rsidRPr="004A005B">
              <w:t>(ii) the International Labour Organization’s Convention concerning Employment Policy and Convention concerning Vocational Guidance and Vocational Training in the Development of Human Resources.</w:t>
            </w:r>
          </w:p>
        </w:tc>
      </w:tr>
      <w:tr w:rsidR="002F772E" w:rsidRPr="004A005B" w:rsidTr="00976294">
        <w:trPr>
          <w:trHeight w:val="1695"/>
        </w:trPr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772E" w:rsidRPr="004A005B" w:rsidRDefault="002F772E" w:rsidP="009B34B0">
            <w:pPr>
              <w:pStyle w:val="Tabletext"/>
            </w:pPr>
            <w:r w:rsidRPr="004A005B">
              <w:t>22</w:t>
            </w:r>
            <w:r w:rsidR="009B34B0" w:rsidRPr="004A005B">
              <w:t>2</w:t>
            </w:r>
          </w:p>
        </w:tc>
        <w:tc>
          <w:tcPr>
            <w:tcW w:w="25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772E" w:rsidRPr="004A005B" w:rsidRDefault="002F772E" w:rsidP="00B50CF7">
            <w:pPr>
              <w:pStyle w:val="Tabletext"/>
            </w:pPr>
            <w:r w:rsidRPr="004A005B">
              <w:t>Flexible Literacy for Remote Primary Schools Program</w:t>
            </w:r>
          </w:p>
        </w:tc>
        <w:tc>
          <w:tcPr>
            <w:tcW w:w="50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772E" w:rsidRPr="004A005B" w:rsidRDefault="002F772E" w:rsidP="00B50CF7">
            <w:pPr>
              <w:pStyle w:val="Tabletext"/>
            </w:pPr>
            <w:r w:rsidRPr="004A005B">
              <w:t xml:space="preserve">To fund training for teachers </w:t>
            </w:r>
            <w:r w:rsidR="0068114B" w:rsidRPr="004A005B">
              <w:t xml:space="preserve">at </w:t>
            </w:r>
            <w:r w:rsidRPr="004A005B">
              <w:t xml:space="preserve">remote primary schools to enable them to adopt explicit </w:t>
            </w:r>
            <w:r w:rsidR="0068114B" w:rsidRPr="004A005B">
              <w:t xml:space="preserve">instruction </w:t>
            </w:r>
            <w:r w:rsidRPr="004A005B">
              <w:t>teaching methods in relation to literacy to improve the literacy skills of students in remote locations (particularly Aboriginal and Torres Strait Islander students).</w:t>
            </w:r>
          </w:p>
          <w:p w:rsidR="002F772E" w:rsidRPr="004A005B" w:rsidRDefault="002F772E" w:rsidP="00B50CF7">
            <w:pPr>
              <w:pStyle w:val="Tabletext"/>
            </w:pPr>
            <w:r w:rsidRPr="004A005B">
              <w:t>This objective also has the effect it would have if it were limited to providing funding:</w:t>
            </w:r>
          </w:p>
          <w:p w:rsidR="002F772E" w:rsidRPr="004A005B" w:rsidRDefault="002F772E" w:rsidP="00B50CF7">
            <w:pPr>
              <w:pStyle w:val="Tablea"/>
            </w:pPr>
            <w:r w:rsidRPr="004A005B">
              <w:t>(a) to give effect to Australia’s obligations under either or both of the following:</w:t>
            </w:r>
          </w:p>
          <w:p w:rsidR="002F772E" w:rsidRPr="004A005B" w:rsidRDefault="002F772E" w:rsidP="00B50CF7">
            <w:pPr>
              <w:pStyle w:val="Tablei"/>
            </w:pPr>
            <w:r w:rsidRPr="004A005B">
              <w:t>(</w:t>
            </w:r>
            <w:proofErr w:type="spellStart"/>
            <w:r w:rsidRPr="004A005B">
              <w:t>i</w:t>
            </w:r>
            <w:proofErr w:type="spellEnd"/>
            <w:r w:rsidRPr="004A005B">
              <w:t>) the Convention on the Rights of the Child (particularly Articles 28 and 29);</w:t>
            </w:r>
          </w:p>
          <w:p w:rsidR="002F772E" w:rsidRPr="004A005B" w:rsidRDefault="002F772E" w:rsidP="00B50CF7">
            <w:pPr>
              <w:pStyle w:val="Tablei"/>
            </w:pPr>
            <w:r w:rsidRPr="004A005B">
              <w:t>(ii) the International Covenant on Economic, Social and Cultural Rights (particularly Article 13); or</w:t>
            </w:r>
          </w:p>
          <w:p w:rsidR="002F772E" w:rsidRPr="004A005B" w:rsidRDefault="002F772E" w:rsidP="00B50CF7">
            <w:pPr>
              <w:pStyle w:val="Tablea"/>
            </w:pPr>
            <w:r w:rsidRPr="004A005B">
              <w:t>(b) to benefit</w:t>
            </w:r>
            <w:r w:rsidR="0068114B" w:rsidRPr="004A005B">
              <w:t xml:space="preserve"> </w:t>
            </w:r>
            <w:r w:rsidRPr="004A005B">
              <w:t>Aboriginal and Torres Strait Islander persons; or</w:t>
            </w:r>
          </w:p>
          <w:p w:rsidR="002F772E" w:rsidRPr="004A005B" w:rsidRDefault="002F772E" w:rsidP="00B50CF7">
            <w:pPr>
              <w:pStyle w:val="Tablea"/>
            </w:pPr>
            <w:r w:rsidRPr="004A005B">
              <w:t>(c) in or in relation to a Territory.</w:t>
            </w:r>
          </w:p>
        </w:tc>
      </w:tr>
      <w:tr w:rsidR="00976294" w:rsidRPr="004A005B" w:rsidTr="00976294">
        <w:trPr>
          <w:trHeight w:val="1695"/>
        </w:trPr>
        <w:tc>
          <w:tcPr>
            <w:tcW w:w="798" w:type="dxa"/>
            <w:tcBorders>
              <w:top w:val="single" w:sz="2" w:space="0" w:color="auto"/>
            </w:tcBorders>
            <w:shd w:val="clear" w:color="auto" w:fill="auto"/>
          </w:tcPr>
          <w:p w:rsidR="00976294" w:rsidRPr="004A005B" w:rsidRDefault="002F772E" w:rsidP="005F40D1">
            <w:pPr>
              <w:pStyle w:val="Tabletext"/>
            </w:pPr>
            <w:r w:rsidRPr="004A005B">
              <w:t>22</w:t>
            </w:r>
            <w:r w:rsidR="005F40D1" w:rsidRPr="004A005B">
              <w:t>3</w:t>
            </w:r>
          </w:p>
        </w:tc>
        <w:tc>
          <w:tcPr>
            <w:tcW w:w="2548" w:type="dxa"/>
            <w:tcBorders>
              <w:top w:val="single" w:sz="2" w:space="0" w:color="auto"/>
            </w:tcBorders>
            <w:shd w:val="clear" w:color="auto" w:fill="auto"/>
          </w:tcPr>
          <w:p w:rsidR="00976294" w:rsidRPr="004A005B" w:rsidRDefault="00D87920" w:rsidP="00B50CF7">
            <w:pPr>
              <w:pStyle w:val="Tabletext"/>
            </w:pPr>
            <w:r w:rsidRPr="004A005B">
              <w:t>Australian Early Development Census</w:t>
            </w:r>
          </w:p>
        </w:tc>
        <w:tc>
          <w:tcPr>
            <w:tcW w:w="5095" w:type="dxa"/>
            <w:tcBorders>
              <w:top w:val="single" w:sz="2" w:space="0" w:color="auto"/>
            </w:tcBorders>
            <w:shd w:val="clear" w:color="auto" w:fill="auto"/>
          </w:tcPr>
          <w:p w:rsidR="00D87920" w:rsidRPr="004A005B" w:rsidRDefault="00D87920" w:rsidP="00D87920">
            <w:pPr>
              <w:pStyle w:val="Tabletext"/>
            </w:pPr>
            <w:r w:rsidRPr="004A005B">
              <w:t>To develop, implement, analyse and disseminate the results of a population measure of the state of development Australian children have reached by the time they commence their first year of full</w:t>
            </w:r>
            <w:r w:rsidR="004A005B">
              <w:noBreakHyphen/>
            </w:r>
            <w:r w:rsidRPr="004A005B">
              <w:t>time schooling.</w:t>
            </w:r>
          </w:p>
          <w:p w:rsidR="00D87920" w:rsidRPr="004A005B" w:rsidRDefault="00D87920" w:rsidP="00D87920">
            <w:pPr>
              <w:pStyle w:val="Tabletext"/>
            </w:pPr>
            <w:r w:rsidRPr="004A005B">
              <w:t>This objective also has the effect it would have if it were limited to measures:</w:t>
            </w:r>
          </w:p>
          <w:p w:rsidR="00D87920" w:rsidRPr="004A005B" w:rsidRDefault="00D87920" w:rsidP="00D87920">
            <w:pPr>
              <w:pStyle w:val="Tablea"/>
            </w:pPr>
            <w:r w:rsidRPr="004A005B">
              <w:t>(a) in connection with electronic communications; or</w:t>
            </w:r>
          </w:p>
          <w:p w:rsidR="00D87920" w:rsidRPr="004A005B" w:rsidRDefault="00D87920" w:rsidP="00D87920">
            <w:pPr>
              <w:pStyle w:val="Tablea"/>
            </w:pPr>
            <w:r w:rsidRPr="004A005B">
              <w:t xml:space="preserve">(b) </w:t>
            </w:r>
            <w:r w:rsidR="00B45B0F" w:rsidRPr="004A005B">
              <w:t xml:space="preserve">in connection with </w:t>
            </w:r>
            <w:r w:rsidRPr="004A005B">
              <w:t>collecting, analysing, disseminating or using statistics; or</w:t>
            </w:r>
          </w:p>
          <w:p w:rsidR="00D87920" w:rsidRPr="004A005B" w:rsidRDefault="00D87920" w:rsidP="00D87920">
            <w:pPr>
              <w:pStyle w:val="Tablea"/>
            </w:pPr>
            <w:r w:rsidRPr="004A005B">
              <w:t>(c) done in the exercise of the executive power of the Commonwealth; or</w:t>
            </w:r>
          </w:p>
          <w:p w:rsidR="00976294" w:rsidRPr="004A005B" w:rsidRDefault="00D87920" w:rsidP="00D87920">
            <w:pPr>
              <w:pStyle w:val="Tablea"/>
            </w:pPr>
            <w:r w:rsidRPr="004A005B">
              <w:t>(d) funded by way of grants of financial assistance to a State or Territory.</w:t>
            </w:r>
          </w:p>
        </w:tc>
      </w:tr>
    </w:tbl>
    <w:p w:rsidR="006D125F" w:rsidRPr="004A005B" w:rsidRDefault="006D125F" w:rsidP="00D10314"/>
    <w:sectPr w:rsidR="006D125F" w:rsidRPr="004A005B" w:rsidSect="00DB59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CB" w:rsidRDefault="00B978CB" w:rsidP="0048364F">
      <w:pPr>
        <w:spacing w:line="240" w:lineRule="auto"/>
      </w:pPr>
      <w:r>
        <w:separator/>
      </w:r>
    </w:p>
  </w:endnote>
  <w:endnote w:type="continuationSeparator" w:id="0">
    <w:p w:rsidR="00B978CB" w:rsidRDefault="00B978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59BF" w:rsidRDefault="00DB59BF" w:rsidP="00DB59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59BF">
      <w:rPr>
        <w:i/>
        <w:sz w:val="18"/>
      </w:rPr>
      <w:t>OPC62555 -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BF" w:rsidRPr="00DB59BF" w:rsidRDefault="00DB59BF" w:rsidP="00DB59BF">
    <w:pPr>
      <w:pStyle w:val="Footer"/>
      <w:rPr>
        <w:i/>
        <w:sz w:val="18"/>
      </w:rPr>
    </w:pPr>
    <w:r w:rsidRPr="00DB59BF">
      <w:rPr>
        <w:i/>
        <w:sz w:val="18"/>
      </w:rPr>
      <w:t>OPC62555 -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DB59BF" w:rsidRDefault="00DB59BF" w:rsidP="00DB59BF">
    <w:pPr>
      <w:pStyle w:val="Footer"/>
      <w:rPr>
        <w:i/>
        <w:sz w:val="18"/>
      </w:rPr>
    </w:pPr>
    <w:r w:rsidRPr="00DB59BF">
      <w:rPr>
        <w:i/>
        <w:sz w:val="18"/>
      </w:rPr>
      <w:t>OPC62555 -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B978C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DF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719">
            <w:rPr>
              <w:i/>
              <w:sz w:val="18"/>
            </w:rPr>
            <w:t>Financial Framework (Supplementary Powers) Amendment (Education and Training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DB59BF" w:rsidRDefault="00DB59BF" w:rsidP="00DB59BF">
    <w:pPr>
      <w:rPr>
        <w:rFonts w:cs="Times New Roman"/>
        <w:i/>
        <w:sz w:val="18"/>
      </w:rPr>
    </w:pPr>
    <w:r w:rsidRPr="00DB59BF">
      <w:rPr>
        <w:rFonts w:cs="Times New Roman"/>
        <w:i/>
        <w:sz w:val="18"/>
      </w:rPr>
      <w:t>OPC62555 -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978C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719">
            <w:rPr>
              <w:i/>
              <w:sz w:val="18"/>
            </w:rPr>
            <w:t>Financial Framework (Supplementary Powers) Amendment (Education and Training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1A0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DB59BF" w:rsidRDefault="00DB59BF" w:rsidP="00DB59BF">
    <w:pPr>
      <w:rPr>
        <w:rFonts w:cs="Times New Roman"/>
        <w:i/>
        <w:sz w:val="18"/>
      </w:rPr>
    </w:pPr>
    <w:r w:rsidRPr="00DB59BF">
      <w:rPr>
        <w:rFonts w:cs="Times New Roman"/>
        <w:i/>
        <w:sz w:val="18"/>
      </w:rPr>
      <w:t>OPC62555 -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B978C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1A0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719">
            <w:rPr>
              <w:i/>
              <w:sz w:val="18"/>
            </w:rPr>
            <w:t>Financial Framework (Supplementary Powers) Amendment (Education and Training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DB59BF" w:rsidRDefault="00DB59BF" w:rsidP="00DB59BF">
    <w:pPr>
      <w:rPr>
        <w:rFonts w:cs="Times New Roman"/>
        <w:i/>
        <w:sz w:val="18"/>
      </w:rPr>
    </w:pPr>
    <w:r w:rsidRPr="00DB59BF">
      <w:rPr>
        <w:rFonts w:cs="Times New Roman"/>
        <w:i/>
        <w:sz w:val="18"/>
      </w:rPr>
      <w:t>OPC62555 -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978C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719">
            <w:rPr>
              <w:i/>
              <w:sz w:val="18"/>
            </w:rPr>
            <w:t>Financial Framework (Supplementary Powers) Amendment (Education and Training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1A0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B59BF" w:rsidRDefault="00DB59BF" w:rsidP="00DB59BF">
    <w:pPr>
      <w:rPr>
        <w:rFonts w:cs="Times New Roman"/>
        <w:i/>
        <w:sz w:val="18"/>
      </w:rPr>
    </w:pPr>
    <w:r w:rsidRPr="00DB59BF">
      <w:rPr>
        <w:rFonts w:cs="Times New Roman"/>
        <w:i/>
        <w:sz w:val="18"/>
      </w:rPr>
      <w:t>OPC62555 -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978C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719">
            <w:rPr>
              <w:i/>
              <w:sz w:val="18"/>
            </w:rPr>
            <w:t>Financial Framework (Supplementary Powers) Amendment (Education and Training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D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B59BF" w:rsidRDefault="00DB59BF" w:rsidP="00DB59BF">
    <w:pPr>
      <w:rPr>
        <w:rFonts w:cs="Times New Roman"/>
        <w:i/>
        <w:sz w:val="18"/>
      </w:rPr>
    </w:pPr>
    <w:r w:rsidRPr="00DB59BF">
      <w:rPr>
        <w:rFonts w:cs="Times New Roman"/>
        <w:i/>
        <w:sz w:val="18"/>
      </w:rPr>
      <w:t>OPC62555 -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CB" w:rsidRDefault="00B978CB" w:rsidP="0048364F">
      <w:pPr>
        <w:spacing w:line="240" w:lineRule="auto"/>
      </w:pPr>
      <w:r>
        <w:separator/>
      </w:r>
    </w:p>
  </w:footnote>
  <w:footnote w:type="continuationSeparator" w:id="0">
    <w:p w:rsidR="00B978CB" w:rsidRDefault="00B978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1A0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1A0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13E39CB"/>
    <w:multiLevelType w:val="multilevel"/>
    <w:tmpl w:val="4DC2756A"/>
    <w:lvl w:ilvl="0">
      <w:start w:val="1"/>
      <w:numFmt w:val="low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8E944FE"/>
    <w:multiLevelType w:val="multilevel"/>
    <w:tmpl w:val="4DC2756A"/>
    <w:lvl w:ilvl="0">
      <w:start w:val="1"/>
      <w:numFmt w:val="low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CB"/>
    <w:rsid w:val="000041C6"/>
    <w:rsid w:val="000063E4"/>
    <w:rsid w:val="00011222"/>
    <w:rsid w:val="000113BC"/>
    <w:rsid w:val="000136AF"/>
    <w:rsid w:val="00025060"/>
    <w:rsid w:val="0004044E"/>
    <w:rsid w:val="000614BF"/>
    <w:rsid w:val="00090B99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772E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005B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77A25"/>
    <w:rsid w:val="00584811"/>
    <w:rsid w:val="005851A5"/>
    <w:rsid w:val="0058646E"/>
    <w:rsid w:val="00591E07"/>
    <w:rsid w:val="00593AA6"/>
    <w:rsid w:val="00594161"/>
    <w:rsid w:val="00594749"/>
    <w:rsid w:val="005B4067"/>
    <w:rsid w:val="005C0AF8"/>
    <w:rsid w:val="005C12DE"/>
    <w:rsid w:val="005C3F41"/>
    <w:rsid w:val="005E552A"/>
    <w:rsid w:val="005F40D1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114B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125F"/>
    <w:rsid w:val="006D3667"/>
    <w:rsid w:val="006D4E91"/>
    <w:rsid w:val="006E004B"/>
    <w:rsid w:val="006E7147"/>
    <w:rsid w:val="006F4719"/>
    <w:rsid w:val="00700B2C"/>
    <w:rsid w:val="00701E6A"/>
    <w:rsid w:val="00713084"/>
    <w:rsid w:val="00722023"/>
    <w:rsid w:val="00731E00"/>
    <w:rsid w:val="007440B7"/>
    <w:rsid w:val="007634AD"/>
    <w:rsid w:val="007715C9"/>
    <w:rsid w:val="00771E67"/>
    <w:rsid w:val="00774EDD"/>
    <w:rsid w:val="007757EC"/>
    <w:rsid w:val="007769D4"/>
    <w:rsid w:val="00785AFA"/>
    <w:rsid w:val="007903AC"/>
    <w:rsid w:val="007A7F9F"/>
    <w:rsid w:val="007C1A07"/>
    <w:rsid w:val="007E7935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A1D15"/>
    <w:rsid w:val="008A644A"/>
    <w:rsid w:val="008D0EE0"/>
    <w:rsid w:val="008F07E3"/>
    <w:rsid w:val="008F4F1C"/>
    <w:rsid w:val="008F584C"/>
    <w:rsid w:val="00907271"/>
    <w:rsid w:val="00932377"/>
    <w:rsid w:val="00932A33"/>
    <w:rsid w:val="00955D17"/>
    <w:rsid w:val="00976294"/>
    <w:rsid w:val="009848EC"/>
    <w:rsid w:val="009B34B0"/>
    <w:rsid w:val="009B3629"/>
    <w:rsid w:val="009C49D8"/>
    <w:rsid w:val="009D1DF9"/>
    <w:rsid w:val="009D7011"/>
    <w:rsid w:val="009E3601"/>
    <w:rsid w:val="009F727E"/>
    <w:rsid w:val="00A1027A"/>
    <w:rsid w:val="00A2057D"/>
    <w:rsid w:val="00A231E2"/>
    <w:rsid w:val="00A2550D"/>
    <w:rsid w:val="00A267A9"/>
    <w:rsid w:val="00A26DBE"/>
    <w:rsid w:val="00A326A4"/>
    <w:rsid w:val="00A4169B"/>
    <w:rsid w:val="00A41BF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2A4D"/>
    <w:rsid w:val="00AD5641"/>
    <w:rsid w:val="00AE138D"/>
    <w:rsid w:val="00AE50A2"/>
    <w:rsid w:val="00AF0336"/>
    <w:rsid w:val="00AF6613"/>
    <w:rsid w:val="00B00902"/>
    <w:rsid w:val="00B032D8"/>
    <w:rsid w:val="00B24B37"/>
    <w:rsid w:val="00B332B8"/>
    <w:rsid w:val="00B33B3C"/>
    <w:rsid w:val="00B44657"/>
    <w:rsid w:val="00B45B0F"/>
    <w:rsid w:val="00B61D2C"/>
    <w:rsid w:val="00B63BDE"/>
    <w:rsid w:val="00B655DE"/>
    <w:rsid w:val="00B978CB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6201"/>
    <w:rsid w:val="00CB0180"/>
    <w:rsid w:val="00CB3470"/>
    <w:rsid w:val="00CC58FA"/>
    <w:rsid w:val="00CD606E"/>
    <w:rsid w:val="00CD7ECB"/>
    <w:rsid w:val="00CF0BB2"/>
    <w:rsid w:val="00D0104A"/>
    <w:rsid w:val="00D10314"/>
    <w:rsid w:val="00D13441"/>
    <w:rsid w:val="00D17B17"/>
    <w:rsid w:val="00D23DD1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87920"/>
    <w:rsid w:val="00D925D1"/>
    <w:rsid w:val="00DB59BF"/>
    <w:rsid w:val="00DC6A74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70AE"/>
    <w:rsid w:val="00EB62E0"/>
    <w:rsid w:val="00ED3A7D"/>
    <w:rsid w:val="00EF2E3A"/>
    <w:rsid w:val="00EF4A14"/>
    <w:rsid w:val="00F047E2"/>
    <w:rsid w:val="00F078DC"/>
    <w:rsid w:val="00F13E86"/>
    <w:rsid w:val="00F24C35"/>
    <w:rsid w:val="00F54B24"/>
    <w:rsid w:val="00F56759"/>
    <w:rsid w:val="00F61C33"/>
    <w:rsid w:val="00F677A9"/>
    <w:rsid w:val="00F84CF5"/>
    <w:rsid w:val="00FA420B"/>
    <w:rsid w:val="00FB03B3"/>
    <w:rsid w:val="00FB192C"/>
    <w:rsid w:val="00FD7CFE"/>
    <w:rsid w:val="00FF3089"/>
    <w:rsid w:val="00FF337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00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005B"/>
  </w:style>
  <w:style w:type="paragraph" w:customStyle="1" w:styleId="OPCParaBase">
    <w:name w:val="OPCParaBase"/>
    <w:qFormat/>
    <w:rsid w:val="004A00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00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00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00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00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00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A00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00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00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00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00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005B"/>
  </w:style>
  <w:style w:type="paragraph" w:customStyle="1" w:styleId="Blocks">
    <w:name w:val="Blocks"/>
    <w:aliases w:val="bb"/>
    <w:basedOn w:val="OPCParaBase"/>
    <w:qFormat/>
    <w:rsid w:val="004A00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00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005B"/>
    <w:rPr>
      <w:i/>
    </w:rPr>
  </w:style>
  <w:style w:type="paragraph" w:customStyle="1" w:styleId="BoxList">
    <w:name w:val="BoxList"/>
    <w:aliases w:val="bl"/>
    <w:basedOn w:val="BoxText"/>
    <w:qFormat/>
    <w:rsid w:val="004A00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00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00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005B"/>
    <w:pPr>
      <w:ind w:left="1985" w:hanging="851"/>
    </w:pPr>
  </w:style>
  <w:style w:type="character" w:customStyle="1" w:styleId="CharAmPartNo">
    <w:name w:val="CharAmPartNo"/>
    <w:basedOn w:val="OPCCharBase"/>
    <w:qFormat/>
    <w:rsid w:val="004A005B"/>
  </w:style>
  <w:style w:type="character" w:customStyle="1" w:styleId="CharAmPartText">
    <w:name w:val="CharAmPartText"/>
    <w:basedOn w:val="OPCCharBase"/>
    <w:qFormat/>
    <w:rsid w:val="004A005B"/>
  </w:style>
  <w:style w:type="character" w:customStyle="1" w:styleId="CharAmSchNo">
    <w:name w:val="CharAmSchNo"/>
    <w:basedOn w:val="OPCCharBase"/>
    <w:qFormat/>
    <w:rsid w:val="004A005B"/>
  </w:style>
  <w:style w:type="character" w:customStyle="1" w:styleId="CharAmSchText">
    <w:name w:val="CharAmSchText"/>
    <w:basedOn w:val="OPCCharBase"/>
    <w:qFormat/>
    <w:rsid w:val="004A005B"/>
  </w:style>
  <w:style w:type="character" w:customStyle="1" w:styleId="CharBoldItalic">
    <w:name w:val="CharBoldItalic"/>
    <w:basedOn w:val="OPCCharBase"/>
    <w:uiPriority w:val="1"/>
    <w:qFormat/>
    <w:rsid w:val="004A00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005B"/>
  </w:style>
  <w:style w:type="character" w:customStyle="1" w:styleId="CharChapText">
    <w:name w:val="CharChapText"/>
    <w:basedOn w:val="OPCCharBase"/>
    <w:uiPriority w:val="1"/>
    <w:qFormat/>
    <w:rsid w:val="004A005B"/>
  </w:style>
  <w:style w:type="character" w:customStyle="1" w:styleId="CharDivNo">
    <w:name w:val="CharDivNo"/>
    <w:basedOn w:val="OPCCharBase"/>
    <w:uiPriority w:val="1"/>
    <w:qFormat/>
    <w:rsid w:val="004A005B"/>
  </w:style>
  <w:style w:type="character" w:customStyle="1" w:styleId="CharDivText">
    <w:name w:val="CharDivText"/>
    <w:basedOn w:val="OPCCharBase"/>
    <w:uiPriority w:val="1"/>
    <w:qFormat/>
    <w:rsid w:val="004A005B"/>
  </w:style>
  <w:style w:type="character" w:customStyle="1" w:styleId="CharItalic">
    <w:name w:val="CharItalic"/>
    <w:basedOn w:val="OPCCharBase"/>
    <w:uiPriority w:val="1"/>
    <w:qFormat/>
    <w:rsid w:val="004A005B"/>
    <w:rPr>
      <w:i/>
    </w:rPr>
  </w:style>
  <w:style w:type="character" w:customStyle="1" w:styleId="CharPartNo">
    <w:name w:val="CharPartNo"/>
    <w:basedOn w:val="OPCCharBase"/>
    <w:uiPriority w:val="1"/>
    <w:qFormat/>
    <w:rsid w:val="004A005B"/>
  </w:style>
  <w:style w:type="character" w:customStyle="1" w:styleId="CharPartText">
    <w:name w:val="CharPartText"/>
    <w:basedOn w:val="OPCCharBase"/>
    <w:uiPriority w:val="1"/>
    <w:qFormat/>
    <w:rsid w:val="004A005B"/>
  </w:style>
  <w:style w:type="character" w:customStyle="1" w:styleId="CharSectno">
    <w:name w:val="CharSectno"/>
    <w:basedOn w:val="OPCCharBase"/>
    <w:qFormat/>
    <w:rsid w:val="004A005B"/>
  </w:style>
  <w:style w:type="character" w:customStyle="1" w:styleId="CharSubdNo">
    <w:name w:val="CharSubdNo"/>
    <w:basedOn w:val="OPCCharBase"/>
    <w:uiPriority w:val="1"/>
    <w:qFormat/>
    <w:rsid w:val="004A005B"/>
  </w:style>
  <w:style w:type="character" w:customStyle="1" w:styleId="CharSubdText">
    <w:name w:val="CharSubdText"/>
    <w:basedOn w:val="OPCCharBase"/>
    <w:uiPriority w:val="1"/>
    <w:qFormat/>
    <w:rsid w:val="004A005B"/>
  </w:style>
  <w:style w:type="paragraph" w:customStyle="1" w:styleId="CTA--">
    <w:name w:val="CTA --"/>
    <w:basedOn w:val="OPCParaBase"/>
    <w:next w:val="Normal"/>
    <w:rsid w:val="004A00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00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00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00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00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00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00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00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00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00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00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00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00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00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00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00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00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00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00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00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00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00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00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00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00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00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00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00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00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00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00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00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00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00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00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00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00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00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00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00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00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00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00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00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00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00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00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00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00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00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00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00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00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00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A00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A00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A00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A00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A00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A00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A00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A00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A00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A00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00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00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00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00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00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00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00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A005B"/>
    <w:rPr>
      <w:sz w:val="16"/>
    </w:rPr>
  </w:style>
  <w:style w:type="table" w:customStyle="1" w:styleId="CFlag">
    <w:name w:val="CFlag"/>
    <w:basedOn w:val="TableNormal"/>
    <w:uiPriority w:val="99"/>
    <w:rsid w:val="004A00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A0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A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005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A00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00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00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00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00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A00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00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00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A005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A00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00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00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00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A00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00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00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00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00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00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A00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00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005B"/>
  </w:style>
  <w:style w:type="character" w:customStyle="1" w:styleId="CharSubPartNoCASA">
    <w:name w:val="CharSubPartNo(CASA)"/>
    <w:basedOn w:val="OPCCharBase"/>
    <w:uiPriority w:val="1"/>
    <w:rsid w:val="004A005B"/>
  </w:style>
  <w:style w:type="paragraph" w:customStyle="1" w:styleId="ENoteTTIndentHeadingSub">
    <w:name w:val="ENoteTTIndentHeadingSub"/>
    <w:aliases w:val="enTTHis"/>
    <w:basedOn w:val="OPCParaBase"/>
    <w:rsid w:val="004A00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00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00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00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00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978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005B"/>
    <w:rPr>
      <w:sz w:val="22"/>
    </w:rPr>
  </w:style>
  <w:style w:type="paragraph" w:customStyle="1" w:styleId="SOTextNote">
    <w:name w:val="SO TextNote"/>
    <w:aliases w:val="sont"/>
    <w:basedOn w:val="SOText"/>
    <w:qFormat/>
    <w:rsid w:val="004A00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00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005B"/>
    <w:rPr>
      <w:sz w:val="22"/>
    </w:rPr>
  </w:style>
  <w:style w:type="paragraph" w:customStyle="1" w:styleId="FileName">
    <w:name w:val="FileName"/>
    <w:basedOn w:val="Normal"/>
    <w:rsid w:val="004A005B"/>
  </w:style>
  <w:style w:type="paragraph" w:customStyle="1" w:styleId="TableHeading">
    <w:name w:val="TableHeading"/>
    <w:aliases w:val="th"/>
    <w:basedOn w:val="OPCParaBase"/>
    <w:next w:val="Tabletext"/>
    <w:rsid w:val="004A00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00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00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00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00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00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00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00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00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00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00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78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78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7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00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005B"/>
  </w:style>
  <w:style w:type="paragraph" w:customStyle="1" w:styleId="OPCParaBase">
    <w:name w:val="OPCParaBase"/>
    <w:qFormat/>
    <w:rsid w:val="004A00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00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00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00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00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00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A00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00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00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00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00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005B"/>
  </w:style>
  <w:style w:type="paragraph" w:customStyle="1" w:styleId="Blocks">
    <w:name w:val="Blocks"/>
    <w:aliases w:val="bb"/>
    <w:basedOn w:val="OPCParaBase"/>
    <w:qFormat/>
    <w:rsid w:val="004A00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00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005B"/>
    <w:rPr>
      <w:i/>
    </w:rPr>
  </w:style>
  <w:style w:type="paragraph" w:customStyle="1" w:styleId="BoxList">
    <w:name w:val="BoxList"/>
    <w:aliases w:val="bl"/>
    <w:basedOn w:val="BoxText"/>
    <w:qFormat/>
    <w:rsid w:val="004A00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00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00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005B"/>
    <w:pPr>
      <w:ind w:left="1985" w:hanging="851"/>
    </w:pPr>
  </w:style>
  <w:style w:type="character" w:customStyle="1" w:styleId="CharAmPartNo">
    <w:name w:val="CharAmPartNo"/>
    <w:basedOn w:val="OPCCharBase"/>
    <w:qFormat/>
    <w:rsid w:val="004A005B"/>
  </w:style>
  <w:style w:type="character" w:customStyle="1" w:styleId="CharAmPartText">
    <w:name w:val="CharAmPartText"/>
    <w:basedOn w:val="OPCCharBase"/>
    <w:qFormat/>
    <w:rsid w:val="004A005B"/>
  </w:style>
  <w:style w:type="character" w:customStyle="1" w:styleId="CharAmSchNo">
    <w:name w:val="CharAmSchNo"/>
    <w:basedOn w:val="OPCCharBase"/>
    <w:qFormat/>
    <w:rsid w:val="004A005B"/>
  </w:style>
  <w:style w:type="character" w:customStyle="1" w:styleId="CharAmSchText">
    <w:name w:val="CharAmSchText"/>
    <w:basedOn w:val="OPCCharBase"/>
    <w:qFormat/>
    <w:rsid w:val="004A005B"/>
  </w:style>
  <w:style w:type="character" w:customStyle="1" w:styleId="CharBoldItalic">
    <w:name w:val="CharBoldItalic"/>
    <w:basedOn w:val="OPCCharBase"/>
    <w:uiPriority w:val="1"/>
    <w:qFormat/>
    <w:rsid w:val="004A00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005B"/>
  </w:style>
  <w:style w:type="character" w:customStyle="1" w:styleId="CharChapText">
    <w:name w:val="CharChapText"/>
    <w:basedOn w:val="OPCCharBase"/>
    <w:uiPriority w:val="1"/>
    <w:qFormat/>
    <w:rsid w:val="004A005B"/>
  </w:style>
  <w:style w:type="character" w:customStyle="1" w:styleId="CharDivNo">
    <w:name w:val="CharDivNo"/>
    <w:basedOn w:val="OPCCharBase"/>
    <w:uiPriority w:val="1"/>
    <w:qFormat/>
    <w:rsid w:val="004A005B"/>
  </w:style>
  <w:style w:type="character" w:customStyle="1" w:styleId="CharDivText">
    <w:name w:val="CharDivText"/>
    <w:basedOn w:val="OPCCharBase"/>
    <w:uiPriority w:val="1"/>
    <w:qFormat/>
    <w:rsid w:val="004A005B"/>
  </w:style>
  <w:style w:type="character" w:customStyle="1" w:styleId="CharItalic">
    <w:name w:val="CharItalic"/>
    <w:basedOn w:val="OPCCharBase"/>
    <w:uiPriority w:val="1"/>
    <w:qFormat/>
    <w:rsid w:val="004A005B"/>
    <w:rPr>
      <w:i/>
    </w:rPr>
  </w:style>
  <w:style w:type="character" w:customStyle="1" w:styleId="CharPartNo">
    <w:name w:val="CharPartNo"/>
    <w:basedOn w:val="OPCCharBase"/>
    <w:uiPriority w:val="1"/>
    <w:qFormat/>
    <w:rsid w:val="004A005B"/>
  </w:style>
  <w:style w:type="character" w:customStyle="1" w:styleId="CharPartText">
    <w:name w:val="CharPartText"/>
    <w:basedOn w:val="OPCCharBase"/>
    <w:uiPriority w:val="1"/>
    <w:qFormat/>
    <w:rsid w:val="004A005B"/>
  </w:style>
  <w:style w:type="character" w:customStyle="1" w:styleId="CharSectno">
    <w:name w:val="CharSectno"/>
    <w:basedOn w:val="OPCCharBase"/>
    <w:qFormat/>
    <w:rsid w:val="004A005B"/>
  </w:style>
  <w:style w:type="character" w:customStyle="1" w:styleId="CharSubdNo">
    <w:name w:val="CharSubdNo"/>
    <w:basedOn w:val="OPCCharBase"/>
    <w:uiPriority w:val="1"/>
    <w:qFormat/>
    <w:rsid w:val="004A005B"/>
  </w:style>
  <w:style w:type="character" w:customStyle="1" w:styleId="CharSubdText">
    <w:name w:val="CharSubdText"/>
    <w:basedOn w:val="OPCCharBase"/>
    <w:uiPriority w:val="1"/>
    <w:qFormat/>
    <w:rsid w:val="004A005B"/>
  </w:style>
  <w:style w:type="paragraph" w:customStyle="1" w:styleId="CTA--">
    <w:name w:val="CTA --"/>
    <w:basedOn w:val="OPCParaBase"/>
    <w:next w:val="Normal"/>
    <w:rsid w:val="004A00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00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00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00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00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00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00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00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00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00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00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00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00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00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00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00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00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00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00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00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00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00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00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00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00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00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00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00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00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00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00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00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00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00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00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00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00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00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00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00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00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00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00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00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00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00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00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00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00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00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00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00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00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00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A00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A00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A00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A00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A00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A00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A00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A00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A00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A00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00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00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00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00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00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00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00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A005B"/>
    <w:rPr>
      <w:sz w:val="16"/>
    </w:rPr>
  </w:style>
  <w:style w:type="table" w:customStyle="1" w:styleId="CFlag">
    <w:name w:val="CFlag"/>
    <w:basedOn w:val="TableNormal"/>
    <w:uiPriority w:val="99"/>
    <w:rsid w:val="004A00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A0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A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005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A00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00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00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00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00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A00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00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00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A005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A00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00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00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00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A00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00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00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00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00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00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A00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00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005B"/>
  </w:style>
  <w:style w:type="character" w:customStyle="1" w:styleId="CharSubPartNoCASA">
    <w:name w:val="CharSubPartNo(CASA)"/>
    <w:basedOn w:val="OPCCharBase"/>
    <w:uiPriority w:val="1"/>
    <w:rsid w:val="004A005B"/>
  </w:style>
  <w:style w:type="paragraph" w:customStyle="1" w:styleId="ENoteTTIndentHeadingSub">
    <w:name w:val="ENoteTTIndentHeadingSub"/>
    <w:aliases w:val="enTTHis"/>
    <w:basedOn w:val="OPCParaBase"/>
    <w:rsid w:val="004A00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00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00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00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00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978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005B"/>
    <w:rPr>
      <w:sz w:val="22"/>
    </w:rPr>
  </w:style>
  <w:style w:type="paragraph" w:customStyle="1" w:styleId="SOTextNote">
    <w:name w:val="SO TextNote"/>
    <w:aliases w:val="sont"/>
    <w:basedOn w:val="SOText"/>
    <w:qFormat/>
    <w:rsid w:val="004A00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00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005B"/>
    <w:rPr>
      <w:sz w:val="22"/>
    </w:rPr>
  </w:style>
  <w:style w:type="paragraph" w:customStyle="1" w:styleId="FileName">
    <w:name w:val="FileName"/>
    <w:basedOn w:val="Normal"/>
    <w:rsid w:val="004A005B"/>
  </w:style>
  <w:style w:type="paragraph" w:customStyle="1" w:styleId="TableHeading">
    <w:name w:val="TableHeading"/>
    <w:aliases w:val="th"/>
    <w:basedOn w:val="OPCParaBase"/>
    <w:next w:val="Tabletext"/>
    <w:rsid w:val="004A00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00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00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00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00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00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00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00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00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00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00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00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78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78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7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C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665</Words>
  <Characters>3792</Characters>
  <Application>Microsoft Office Word</Application>
  <DocSecurity>4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2017-04-05T01:11:00Z</cp:lastPrinted>
  <dcterms:created xsi:type="dcterms:W3CDTF">2017-05-19T04:26:00Z</dcterms:created>
  <dcterms:modified xsi:type="dcterms:W3CDTF">2017-05-19T04:26:00Z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(Education and Training Measures No. 2)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OPC62555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