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C781" w14:textId="77777777" w:rsidR="002B1DB3" w:rsidRPr="005D1ABF" w:rsidRDefault="001813AC" w:rsidP="005D1AB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bookmarkStart w:id="0" w:name="_GoBack"/>
      <w:bookmarkEnd w:id="0"/>
      <w:r w:rsidRPr="005D1ABF">
        <w:rPr>
          <w:rFonts w:ascii="Times New Roman" w:hAnsi="Times New Roman" w:cs="Times New Roman"/>
          <w:b/>
          <w:caps/>
          <w:sz w:val="24"/>
          <w:szCs w:val="24"/>
          <w:u w:val="single"/>
        </w:rPr>
        <w:t>Explanatory Statement</w:t>
      </w:r>
    </w:p>
    <w:p w14:paraId="4E6D683E" w14:textId="77777777" w:rsidR="005D1ABF" w:rsidRPr="005D1ABF" w:rsidRDefault="005D1ABF" w:rsidP="005D1AB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5644FE32" w14:textId="77777777" w:rsidR="002B1DB3" w:rsidRDefault="002B1DB3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D1ABF">
        <w:rPr>
          <w:rFonts w:ascii="Times New Roman" w:hAnsi="Times New Roman" w:cs="Times New Roman"/>
          <w:sz w:val="24"/>
          <w:szCs w:val="24"/>
          <w:u w:val="single"/>
        </w:rPr>
        <w:t xml:space="preserve">Issued by </w:t>
      </w:r>
      <w:r w:rsidR="000520B4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Pr="005D1ABF">
        <w:rPr>
          <w:rFonts w:ascii="Times New Roman" w:hAnsi="Times New Roman" w:cs="Times New Roman"/>
          <w:sz w:val="24"/>
          <w:szCs w:val="24"/>
          <w:u w:val="single"/>
        </w:rPr>
        <w:t>Authority of the</w:t>
      </w:r>
      <w:r w:rsidRPr="005D1AB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470AE8" w:rsidRPr="00470AE8">
        <w:rPr>
          <w:rFonts w:ascii="Times New Roman" w:hAnsi="Times New Roman" w:cs="Times New Roman"/>
          <w:sz w:val="24"/>
          <w:szCs w:val="24"/>
          <w:u w:val="single"/>
        </w:rPr>
        <w:t>Deputy Prime</w:t>
      </w:r>
      <w:r w:rsidR="00470AE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1C09FB">
        <w:rPr>
          <w:rFonts w:ascii="Times New Roman" w:hAnsi="Times New Roman" w:cs="Times New Roman"/>
          <w:sz w:val="24"/>
          <w:szCs w:val="24"/>
          <w:u w:val="single"/>
        </w:rPr>
        <w:t>Minister</w:t>
      </w:r>
      <w:r w:rsidR="00113C4E" w:rsidRPr="001C09FB">
        <w:rPr>
          <w:rFonts w:ascii="Times New Roman" w:hAnsi="Times New Roman" w:cs="Times New Roman"/>
          <w:sz w:val="24"/>
          <w:szCs w:val="24"/>
          <w:u w:val="single"/>
        </w:rPr>
        <w:t xml:space="preserve"> and</w:t>
      </w:r>
      <w:r w:rsidR="00470AE8">
        <w:rPr>
          <w:rFonts w:ascii="Times New Roman" w:hAnsi="Times New Roman" w:cs="Times New Roman"/>
          <w:sz w:val="24"/>
          <w:szCs w:val="24"/>
          <w:u w:val="single"/>
        </w:rPr>
        <w:t xml:space="preserve"> Minister for Agriculture and</w:t>
      </w:r>
      <w:r w:rsidR="00113C4E" w:rsidRPr="001C09FB">
        <w:rPr>
          <w:rFonts w:ascii="Times New Roman" w:hAnsi="Times New Roman" w:cs="Times New Roman"/>
          <w:sz w:val="24"/>
          <w:szCs w:val="24"/>
          <w:u w:val="single"/>
        </w:rPr>
        <w:t xml:space="preserve"> Water Resources</w:t>
      </w:r>
      <w:r w:rsidRPr="001C09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FD89EAE" w14:textId="77777777" w:rsidR="00A77519" w:rsidRPr="005D1ABF" w:rsidRDefault="00A77519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4C3CE0" w14:textId="77777777" w:rsidR="002B1DB3" w:rsidRDefault="00A77519" w:rsidP="003B74FB">
      <w:pPr>
        <w:spacing w:after="240" w:line="240" w:lineRule="auto"/>
        <w:jc w:val="center"/>
        <w:rPr>
          <w:rFonts w:ascii="Times New Roman" w:hAnsi="Times New Roman" w:cs="Times New Roman"/>
          <w:i/>
          <w:snapToGrid w:val="0"/>
          <w:sz w:val="24"/>
          <w:szCs w:val="24"/>
        </w:rPr>
      </w:pPr>
      <w:r>
        <w:rPr>
          <w:rFonts w:ascii="Times New Roman" w:hAnsi="Times New Roman" w:cs="Times New Roman"/>
          <w:i/>
          <w:snapToGrid w:val="0"/>
          <w:sz w:val="24"/>
          <w:szCs w:val="24"/>
        </w:rPr>
        <w:t xml:space="preserve">Primary Industries Levies and Charges Collection </w:t>
      </w:r>
      <w:r w:rsidR="002B1DB3" w:rsidRPr="00A77519">
        <w:rPr>
          <w:rFonts w:ascii="Times New Roman" w:hAnsi="Times New Roman" w:cs="Times New Roman"/>
          <w:i/>
          <w:snapToGrid w:val="0"/>
          <w:sz w:val="24"/>
          <w:szCs w:val="24"/>
        </w:rPr>
        <w:t>Act</w:t>
      </w:r>
      <w:r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1991</w:t>
      </w:r>
    </w:p>
    <w:p w14:paraId="1282FED0" w14:textId="7DC938E6" w:rsidR="003B74FB" w:rsidRDefault="003B74FB" w:rsidP="005D1ABF">
      <w:pPr>
        <w:spacing w:after="0" w:line="240" w:lineRule="auto"/>
        <w:jc w:val="center"/>
        <w:rPr>
          <w:rFonts w:ascii="Times New Roman" w:hAnsi="Times New Roman" w:cs="Times New Roman"/>
          <w:i/>
          <w:snapToGrid w:val="0"/>
          <w:sz w:val="24"/>
          <w:szCs w:val="24"/>
        </w:rPr>
      </w:pPr>
      <w:r>
        <w:rPr>
          <w:rFonts w:ascii="Times New Roman" w:hAnsi="Times New Roman" w:cs="Times New Roman"/>
          <w:i/>
          <w:snapToGrid w:val="0"/>
          <w:sz w:val="24"/>
          <w:szCs w:val="24"/>
        </w:rPr>
        <w:t>Primary Industries (Customs) Charges Act 1999</w:t>
      </w:r>
    </w:p>
    <w:p w14:paraId="1BC811AD" w14:textId="77777777" w:rsidR="00E8418A" w:rsidRDefault="00E8418A" w:rsidP="005D1ABF">
      <w:pPr>
        <w:spacing w:after="0" w:line="240" w:lineRule="auto"/>
        <w:jc w:val="center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p w14:paraId="655AEB71" w14:textId="77777777" w:rsidR="002B1DB3" w:rsidRPr="00A77519" w:rsidRDefault="00A77519" w:rsidP="005D1A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7519">
        <w:rPr>
          <w:rFonts w:ascii="Times New Roman" w:hAnsi="Times New Roman" w:cs="Times New Roman"/>
          <w:i/>
          <w:sz w:val="24"/>
          <w:szCs w:val="24"/>
        </w:rPr>
        <w:t xml:space="preserve">Primary </w:t>
      </w:r>
      <w:r>
        <w:rPr>
          <w:rFonts w:ascii="Times New Roman" w:hAnsi="Times New Roman" w:cs="Times New Roman"/>
          <w:i/>
          <w:sz w:val="24"/>
          <w:szCs w:val="24"/>
        </w:rPr>
        <w:t xml:space="preserve">Industries </w:t>
      </w:r>
      <w:r w:rsidR="002B0F9E">
        <w:rPr>
          <w:rFonts w:ascii="Times New Roman" w:hAnsi="Times New Roman" w:cs="Times New Roman"/>
          <w:i/>
          <w:sz w:val="24"/>
          <w:szCs w:val="24"/>
        </w:rPr>
        <w:t>Legislation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349D">
        <w:rPr>
          <w:rFonts w:ascii="Times New Roman" w:hAnsi="Times New Roman" w:cs="Times New Roman"/>
          <w:i/>
          <w:sz w:val="24"/>
          <w:szCs w:val="24"/>
        </w:rPr>
        <w:t xml:space="preserve">Amendment </w:t>
      </w:r>
      <w:r>
        <w:rPr>
          <w:rFonts w:ascii="Times New Roman" w:hAnsi="Times New Roman" w:cs="Times New Roman"/>
          <w:i/>
          <w:sz w:val="24"/>
          <w:szCs w:val="24"/>
        </w:rPr>
        <w:t xml:space="preserve">(Wine) </w:t>
      </w:r>
      <w:r w:rsidR="002B1DB3" w:rsidRPr="00A77519">
        <w:rPr>
          <w:rFonts w:ascii="Times New Roman" w:hAnsi="Times New Roman" w:cs="Times New Roman"/>
          <w:i/>
          <w:sz w:val="24"/>
          <w:szCs w:val="24"/>
        </w:rPr>
        <w:t>Regulation</w:t>
      </w:r>
      <w:r w:rsidR="002B0F9E">
        <w:rPr>
          <w:rFonts w:ascii="Times New Roman" w:hAnsi="Times New Roman" w:cs="Times New Roman"/>
          <w:i/>
          <w:sz w:val="24"/>
          <w:szCs w:val="24"/>
        </w:rPr>
        <w:t>s</w:t>
      </w:r>
      <w:r w:rsidR="002B1DB3" w:rsidRPr="00A77519">
        <w:rPr>
          <w:rFonts w:ascii="Times New Roman" w:hAnsi="Times New Roman" w:cs="Times New Roman"/>
          <w:i/>
          <w:sz w:val="24"/>
          <w:szCs w:val="24"/>
        </w:rPr>
        <w:t> 20</w:t>
      </w:r>
      <w:r>
        <w:rPr>
          <w:rFonts w:ascii="Times New Roman" w:hAnsi="Times New Roman" w:cs="Times New Roman"/>
          <w:i/>
          <w:sz w:val="24"/>
          <w:szCs w:val="24"/>
        </w:rPr>
        <w:t>17</w:t>
      </w:r>
    </w:p>
    <w:p w14:paraId="6C0746D5" w14:textId="77777777" w:rsidR="001C09FB" w:rsidRPr="005D1ABF" w:rsidRDefault="001C09FB" w:rsidP="005D1A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E355216" w14:textId="77777777" w:rsidR="002B1DB3" w:rsidRPr="00A77519" w:rsidRDefault="002B1DB3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519">
        <w:rPr>
          <w:rFonts w:ascii="Times New Roman" w:hAnsi="Times New Roman" w:cs="Times New Roman"/>
          <w:b/>
          <w:sz w:val="24"/>
          <w:szCs w:val="24"/>
        </w:rPr>
        <w:t>Legislative Authority</w:t>
      </w:r>
    </w:p>
    <w:p w14:paraId="0E9B07D0" w14:textId="77777777" w:rsidR="002B1DB3" w:rsidRPr="00A77519" w:rsidRDefault="002B1DB3" w:rsidP="005D1ABF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303E2" w14:textId="77777777" w:rsidR="003B74FB" w:rsidRDefault="00A77519" w:rsidP="001C09FB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i/>
          <w:sz w:val="24"/>
        </w:rPr>
        <w:t xml:space="preserve">Primary Industries Levies and Charges Collection Act 1991 </w:t>
      </w:r>
      <w:r>
        <w:rPr>
          <w:rFonts w:ascii="Times New Roman" w:hAnsi="Times New Roman" w:cs="Times New Roman"/>
          <w:sz w:val="24"/>
        </w:rPr>
        <w:t>(the Collection Act) relates to the collection of primary industry levies and charges imposed by various Acts. Section 30 of the Collection Act provides that the Governor-General may make regulations prescribing matters required or permitted by the Act to be prescribed or that are necessary or convenient for carryout or giving effect to the Act.</w:t>
      </w:r>
    </w:p>
    <w:p w14:paraId="6C8766BD" w14:textId="7318EB56" w:rsidR="001C09FB" w:rsidRDefault="00A77519" w:rsidP="001C09FB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1FE00315" w14:textId="3C552B27" w:rsidR="003B74FB" w:rsidRPr="00411EEE" w:rsidRDefault="003B74FB" w:rsidP="003B74FB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Section 8 of the </w:t>
      </w:r>
      <w:r>
        <w:rPr>
          <w:rFonts w:ascii="Times New Roman" w:hAnsi="Times New Roman" w:cs="Times New Roman"/>
          <w:i/>
          <w:sz w:val="24"/>
        </w:rPr>
        <w:t xml:space="preserve">Primary Industries (Customs) Charges Act 1999 </w:t>
      </w:r>
      <w:r>
        <w:rPr>
          <w:rFonts w:ascii="Times New Roman" w:hAnsi="Times New Roman" w:cs="Times New Roman"/>
          <w:sz w:val="24"/>
        </w:rPr>
        <w:t>(the Charges Act) provides that the Governor-General may make regulations prescribing matters required or permitted by the Act for carry</w:t>
      </w:r>
      <w:r w:rsidR="00723F8C">
        <w:rPr>
          <w:rFonts w:ascii="Times New Roman" w:hAnsi="Times New Roman" w:cs="Times New Roman"/>
          <w:sz w:val="24"/>
        </w:rPr>
        <w:t xml:space="preserve">ing </w:t>
      </w:r>
      <w:r>
        <w:rPr>
          <w:rFonts w:ascii="Times New Roman" w:hAnsi="Times New Roman" w:cs="Times New Roman"/>
          <w:sz w:val="24"/>
        </w:rPr>
        <w:t xml:space="preserve">out or giving effect to the Act. Schedule 13 to the Charges Act provides for the ability to impose charges on wine produced in Australia that is exported from Australia. </w:t>
      </w:r>
    </w:p>
    <w:p w14:paraId="217D58FF" w14:textId="77777777" w:rsidR="002B1DB3" w:rsidRPr="00A77519" w:rsidRDefault="002B1DB3" w:rsidP="001C09FB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BFDAF" w14:textId="77777777" w:rsidR="002B1DB3" w:rsidRPr="00A77519" w:rsidRDefault="002B1DB3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7519">
        <w:rPr>
          <w:rFonts w:ascii="Times New Roman" w:hAnsi="Times New Roman" w:cs="Times New Roman"/>
          <w:b/>
          <w:sz w:val="24"/>
          <w:szCs w:val="24"/>
        </w:rPr>
        <w:t>Purpose</w:t>
      </w:r>
    </w:p>
    <w:p w14:paraId="0CD0149E" w14:textId="77777777" w:rsidR="002B1DB3" w:rsidRPr="00A77519" w:rsidRDefault="002B1DB3" w:rsidP="005D1ABF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3B669" w14:textId="2883D3A4" w:rsidR="00A77519" w:rsidRDefault="001C09FB" w:rsidP="00A77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519">
        <w:rPr>
          <w:rFonts w:ascii="Times New Roman" w:hAnsi="Times New Roman" w:cs="Times New Roman"/>
          <w:sz w:val="24"/>
        </w:rPr>
        <w:t>The purpose of the</w:t>
      </w:r>
      <w:r w:rsidR="00A77519">
        <w:rPr>
          <w:rFonts w:ascii="Times New Roman" w:hAnsi="Times New Roman" w:cs="Times New Roman"/>
          <w:sz w:val="24"/>
        </w:rPr>
        <w:t xml:space="preserve"> </w:t>
      </w:r>
      <w:r w:rsidR="00A77519" w:rsidRPr="00A77519">
        <w:rPr>
          <w:rFonts w:ascii="Times New Roman" w:hAnsi="Times New Roman" w:cs="Times New Roman"/>
          <w:i/>
          <w:sz w:val="24"/>
          <w:szCs w:val="24"/>
        </w:rPr>
        <w:t xml:space="preserve">Primary </w:t>
      </w:r>
      <w:r w:rsidR="00A77519">
        <w:rPr>
          <w:rFonts w:ascii="Times New Roman" w:hAnsi="Times New Roman" w:cs="Times New Roman"/>
          <w:i/>
          <w:sz w:val="24"/>
          <w:szCs w:val="24"/>
        </w:rPr>
        <w:t xml:space="preserve">Industries </w:t>
      </w:r>
      <w:r w:rsidR="002B0F9E">
        <w:rPr>
          <w:rFonts w:ascii="Times New Roman" w:hAnsi="Times New Roman" w:cs="Times New Roman"/>
          <w:i/>
          <w:sz w:val="24"/>
          <w:szCs w:val="24"/>
        </w:rPr>
        <w:t>Legislation</w:t>
      </w:r>
      <w:r w:rsidR="00A77519">
        <w:rPr>
          <w:rFonts w:ascii="Times New Roman" w:hAnsi="Times New Roman" w:cs="Times New Roman"/>
          <w:i/>
          <w:sz w:val="24"/>
          <w:szCs w:val="24"/>
        </w:rPr>
        <w:t xml:space="preserve"> Amendment (Wine) R</w:t>
      </w:r>
      <w:r w:rsidR="00A77519" w:rsidRPr="00A77519">
        <w:rPr>
          <w:rFonts w:ascii="Times New Roman" w:hAnsi="Times New Roman" w:cs="Times New Roman"/>
          <w:i/>
          <w:sz w:val="24"/>
          <w:szCs w:val="24"/>
        </w:rPr>
        <w:t>egulation</w:t>
      </w:r>
      <w:r w:rsidR="002B0F9E">
        <w:rPr>
          <w:rFonts w:ascii="Times New Roman" w:hAnsi="Times New Roman" w:cs="Times New Roman"/>
          <w:i/>
          <w:sz w:val="24"/>
          <w:szCs w:val="24"/>
        </w:rPr>
        <w:t>s</w:t>
      </w:r>
      <w:r w:rsidR="00A77519" w:rsidRPr="00A77519">
        <w:rPr>
          <w:rFonts w:ascii="Times New Roman" w:hAnsi="Times New Roman" w:cs="Times New Roman"/>
          <w:i/>
          <w:sz w:val="24"/>
          <w:szCs w:val="24"/>
        </w:rPr>
        <w:t> 20</w:t>
      </w:r>
      <w:r w:rsidR="00A77519">
        <w:rPr>
          <w:rFonts w:ascii="Times New Roman" w:hAnsi="Times New Roman" w:cs="Times New Roman"/>
          <w:i/>
          <w:sz w:val="24"/>
          <w:szCs w:val="24"/>
        </w:rPr>
        <w:t>17</w:t>
      </w:r>
      <w:r w:rsidR="002B0F9E">
        <w:rPr>
          <w:rFonts w:ascii="Times New Roman" w:hAnsi="Times New Roman" w:cs="Times New Roman"/>
          <w:sz w:val="24"/>
          <w:szCs w:val="24"/>
        </w:rPr>
        <w:t xml:space="preserve"> </w:t>
      </w:r>
      <w:r w:rsidR="0014270A">
        <w:rPr>
          <w:rFonts w:ascii="Times New Roman" w:hAnsi="Times New Roman" w:cs="Times New Roman"/>
          <w:sz w:val="24"/>
          <w:szCs w:val="24"/>
        </w:rPr>
        <w:br/>
      </w:r>
      <w:r w:rsidR="002B0F9E">
        <w:rPr>
          <w:rFonts w:ascii="Times New Roman" w:hAnsi="Times New Roman" w:cs="Times New Roman"/>
          <w:sz w:val="24"/>
          <w:szCs w:val="24"/>
        </w:rPr>
        <w:t xml:space="preserve">(the </w:t>
      </w:r>
      <w:r w:rsidR="00A77519">
        <w:rPr>
          <w:rFonts w:ascii="Times New Roman" w:hAnsi="Times New Roman" w:cs="Times New Roman"/>
          <w:sz w:val="24"/>
          <w:szCs w:val="24"/>
        </w:rPr>
        <w:t>Regulation</w:t>
      </w:r>
      <w:r w:rsidR="002B0F9E">
        <w:rPr>
          <w:rFonts w:ascii="Times New Roman" w:hAnsi="Times New Roman" w:cs="Times New Roman"/>
          <w:sz w:val="24"/>
          <w:szCs w:val="24"/>
        </w:rPr>
        <w:t>s</w:t>
      </w:r>
      <w:r w:rsidR="00A77519">
        <w:rPr>
          <w:rFonts w:ascii="Times New Roman" w:hAnsi="Times New Roman" w:cs="Times New Roman"/>
          <w:sz w:val="24"/>
          <w:szCs w:val="24"/>
        </w:rPr>
        <w:t xml:space="preserve">) is to remove the requirement that all </w:t>
      </w:r>
      <w:r w:rsidR="000A53F7">
        <w:rPr>
          <w:rFonts w:ascii="Times New Roman" w:hAnsi="Times New Roman" w:cs="Times New Roman"/>
          <w:sz w:val="24"/>
          <w:szCs w:val="24"/>
        </w:rPr>
        <w:t xml:space="preserve">Australian </w:t>
      </w:r>
      <w:r w:rsidR="00A77519">
        <w:rPr>
          <w:rFonts w:ascii="Times New Roman" w:hAnsi="Times New Roman" w:cs="Times New Roman"/>
          <w:sz w:val="24"/>
          <w:szCs w:val="24"/>
        </w:rPr>
        <w:t xml:space="preserve">licensed </w:t>
      </w:r>
      <w:r w:rsidR="000A53F7">
        <w:rPr>
          <w:rFonts w:ascii="Times New Roman" w:hAnsi="Times New Roman" w:cs="Times New Roman"/>
          <w:sz w:val="24"/>
          <w:szCs w:val="24"/>
        </w:rPr>
        <w:t xml:space="preserve">wine </w:t>
      </w:r>
      <w:r w:rsidR="00A77519">
        <w:rPr>
          <w:rFonts w:ascii="Times New Roman" w:hAnsi="Times New Roman" w:cs="Times New Roman"/>
          <w:sz w:val="24"/>
          <w:szCs w:val="24"/>
        </w:rPr>
        <w:t xml:space="preserve">exporters </w:t>
      </w:r>
      <w:r w:rsidR="000A53F7">
        <w:rPr>
          <w:rFonts w:ascii="Times New Roman" w:hAnsi="Times New Roman" w:cs="Times New Roman"/>
          <w:sz w:val="24"/>
          <w:szCs w:val="24"/>
        </w:rPr>
        <w:t xml:space="preserve">(exporters) </w:t>
      </w:r>
      <w:r w:rsidR="00A77519">
        <w:rPr>
          <w:rFonts w:ascii="Times New Roman" w:hAnsi="Times New Roman" w:cs="Times New Roman"/>
          <w:sz w:val="24"/>
          <w:szCs w:val="24"/>
        </w:rPr>
        <w:t>submit quarterly returns and increa</w:t>
      </w:r>
      <w:r w:rsidR="0029548A">
        <w:rPr>
          <w:rFonts w:ascii="Times New Roman" w:hAnsi="Times New Roman" w:cs="Times New Roman"/>
          <w:sz w:val="24"/>
          <w:szCs w:val="24"/>
        </w:rPr>
        <w:t>se the threshold exempting</w:t>
      </w:r>
      <w:r w:rsidR="000A53F7">
        <w:rPr>
          <w:rFonts w:ascii="Times New Roman" w:hAnsi="Times New Roman" w:cs="Times New Roman"/>
          <w:sz w:val="24"/>
          <w:szCs w:val="24"/>
        </w:rPr>
        <w:t xml:space="preserve"> an </w:t>
      </w:r>
      <w:r w:rsidR="00A77519">
        <w:rPr>
          <w:rFonts w:ascii="Times New Roman" w:hAnsi="Times New Roman" w:cs="Times New Roman"/>
          <w:sz w:val="24"/>
          <w:szCs w:val="24"/>
        </w:rPr>
        <w:t>exporter from submitting a quarterly return from $200 to $1000. The Regulation</w:t>
      </w:r>
      <w:r w:rsidR="002B0F9E">
        <w:rPr>
          <w:rFonts w:ascii="Times New Roman" w:hAnsi="Times New Roman" w:cs="Times New Roman"/>
          <w:sz w:val="24"/>
          <w:szCs w:val="24"/>
        </w:rPr>
        <w:t>s</w:t>
      </w:r>
      <w:r w:rsidR="00A77519">
        <w:rPr>
          <w:rFonts w:ascii="Times New Roman" w:hAnsi="Times New Roman" w:cs="Times New Roman"/>
          <w:sz w:val="24"/>
          <w:szCs w:val="24"/>
        </w:rPr>
        <w:t xml:space="preserve"> also replace references to the former Australian Wine and Brandy Corporation with the Australian Grape and Wine Authority (AGWA).</w:t>
      </w:r>
    </w:p>
    <w:p w14:paraId="7A6998C8" w14:textId="77777777" w:rsidR="00A77519" w:rsidRDefault="00A77519" w:rsidP="00A77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72B2A" w14:textId="77777777" w:rsidR="002B1DB3" w:rsidRPr="00A77519" w:rsidRDefault="002B1DB3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7519">
        <w:rPr>
          <w:rFonts w:ascii="Times New Roman" w:hAnsi="Times New Roman" w:cs="Times New Roman"/>
          <w:b/>
          <w:sz w:val="24"/>
          <w:szCs w:val="24"/>
        </w:rPr>
        <w:t>Background</w:t>
      </w:r>
    </w:p>
    <w:p w14:paraId="53DFC37F" w14:textId="77777777" w:rsidR="002B1DB3" w:rsidRPr="00A77519" w:rsidRDefault="002B1DB3" w:rsidP="005D1ABF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218CE" w14:textId="77777777" w:rsidR="00786E52" w:rsidRDefault="00C97D65" w:rsidP="00213DB4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Exporters </w:t>
      </w:r>
      <w:r w:rsidR="00213DB4">
        <w:rPr>
          <w:rFonts w:ascii="Times New Roman" w:hAnsi="Times New Roman" w:cs="Times New Roman"/>
          <w:sz w:val="24"/>
          <w:szCs w:val="24"/>
        </w:rPr>
        <w:t xml:space="preserve">collectively invest in </w:t>
      </w:r>
      <w:r w:rsidR="00213DB4" w:rsidRPr="002D4ADF">
        <w:rPr>
          <w:rFonts w:ascii="Times New Roman" w:hAnsi="Times New Roman" w:cs="Times New Roman"/>
          <w:sz w:val="24"/>
          <w:szCs w:val="24"/>
        </w:rPr>
        <w:t>international promotional work</w:t>
      </w:r>
      <w:r w:rsidR="00213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through the wine export charge </w:t>
      </w:r>
      <w:r w:rsidR="00213DB4">
        <w:rPr>
          <w:rFonts w:ascii="Times New Roman" w:hAnsi="Times New Roman" w:cs="Times New Roman"/>
          <w:sz w:val="24"/>
          <w:szCs w:val="24"/>
        </w:rPr>
        <w:t>to</w:t>
      </w:r>
      <w:r w:rsidR="00213DB4" w:rsidRPr="002D4ADF">
        <w:rPr>
          <w:rFonts w:ascii="Times New Roman" w:hAnsi="Times New Roman" w:cs="Times New Roman"/>
          <w:sz w:val="24"/>
          <w:szCs w:val="24"/>
        </w:rPr>
        <w:t xml:space="preserve"> creat</w:t>
      </w:r>
      <w:r w:rsidR="00213DB4">
        <w:rPr>
          <w:rFonts w:ascii="Times New Roman" w:hAnsi="Times New Roman" w:cs="Times New Roman"/>
          <w:sz w:val="24"/>
          <w:szCs w:val="24"/>
        </w:rPr>
        <w:t xml:space="preserve">e </w:t>
      </w:r>
      <w:r w:rsidR="00213DB4" w:rsidRPr="002D4ADF">
        <w:rPr>
          <w:rFonts w:ascii="Times New Roman" w:hAnsi="Times New Roman" w:cs="Times New Roman"/>
          <w:sz w:val="24"/>
          <w:szCs w:val="24"/>
        </w:rPr>
        <w:t>a sustainable increase in the demand for Australian wine</w:t>
      </w:r>
      <w:r w:rsidR="00213DB4">
        <w:rPr>
          <w:rFonts w:ascii="Times New Roman" w:hAnsi="Times New Roman" w:cs="Times New Roman"/>
          <w:sz w:val="24"/>
          <w:szCs w:val="24"/>
        </w:rPr>
        <w:t>. AGWA undertakes this work on behalf of the Australian wine industry</w:t>
      </w:r>
      <w:r w:rsidR="00213DB4" w:rsidRPr="002D4ADF">
        <w:rPr>
          <w:rFonts w:ascii="Times New Roman" w:hAnsi="Times New Roman" w:cs="Times New Roman"/>
          <w:sz w:val="24"/>
          <w:szCs w:val="24"/>
        </w:rPr>
        <w:t>.</w:t>
      </w:r>
      <w:r w:rsidR="00213DB4">
        <w:rPr>
          <w:rFonts w:ascii="Times New Roman" w:hAnsi="Times New Roman" w:cs="Times New Roman"/>
          <w:sz w:val="24"/>
          <w:szCs w:val="24"/>
        </w:rPr>
        <w:t xml:space="preserve"> </w:t>
      </w:r>
      <w:r w:rsidR="0006256A">
        <w:rPr>
          <w:rFonts w:ascii="Times New Roman" w:hAnsi="Times New Roman" w:cs="Times New Roman"/>
          <w:sz w:val="24"/>
          <w:szCs w:val="24"/>
        </w:rPr>
        <w:t xml:space="preserve">The wine export charge is established under Schedule 13 of the </w:t>
      </w:r>
      <w:r w:rsidR="0006256A">
        <w:rPr>
          <w:rFonts w:ascii="Times New Roman" w:hAnsi="Times New Roman" w:cs="Times New Roman"/>
          <w:i/>
          <w:sz w:val="24"/>
          <w:szCs w:val="24"/>
        </w:rPr>
        <w:t xml:space="preserve">Primary Industries (Customs) Charges Act 1999. </w:t>
      </w:r>
      <w:r w:rsidR="00213DB4">
        <w:rPr>
          <w:rFonts w:ascii="Times New Roman" w:hAnsi="Times New Roman" w:cs="Times New Roman"/>
          <w:sz w:val="24"/>
          <w:szCs w:val="24"/>
        </w:rPr>
        <w:t xml:space="preserve">In October 2015, the Secretary of the Department of Agriculture and Water Resources </w:t>
      </w:r>
      <w:r w:rsidR="00026ECF">
        <w:rPr>
          <w:rFonts w:ascii="Times New Roman" w:hAnsi="Times New Roman" w:cs="Times New Roman"/>
          <w:sz w:val="24"/>
          <w:szCs w:val="24"/>
        </w:rPr>
        <w:t>entered into a Collection Agreement with AGWA under subsection 11(1) of the Collection Act</w:t>
      </w:r>
      <w:r w:rsidR="00CD1E9C">
        <w:rPr>
          <w:rFonts w:ascii="Times New Roman" w:hAnsi="Times New Roman" w:cs="Times New Roman"/>
          <w:sz w:val="24"/>
          <w:szCs w:val="24"/>
        </w:rPr>
        <w:t>,</w:t>
      </w:r>
      <w:r w:rsidR="00026ECF">
        <w:rPr>
          <w:rFonts w:ascii="Times New Roman" w:hAnsi="Times New Roman" w:cs="Times New Roman"/>
          <w:sz w:val="24"/>
          <w:szCs w:val="24"/>
        </w:rPr>
        <w:t xml:space="preserve"> </w:t>
      </w:r>
      <w:r w:rsidR="00213DB4">
        <w:rPr>
          <w:rFonts w:ascii="Times New Roman" w:hAnsi="Times New Roman" w:cs="Times New Roman"/>
          <w:sz w:val="24"/>
          <w:szCs w:val="24"/>
        </w:rPr>
        <w:t>transfer</w:t>
      </w:r>
      <w:r w:rsidR="00CD1E9C">
        <w:rPr>
          <w:rFonts w:ascii="Times New Roman" w:hAnsi="Times New Roman" w:cs="Times New Roman"/>
          <w:sz w:val="24"/>
          <w:szCs w:val="24"/>
        </w:rPr>
        <w:t>ring</w:t>
      </w:r>
      <w:r w:rsidR="00213DB4">
        <w:rPr>
          <w:rFonts w:ascii="Times New Roman" w:hAnsi="Times New Roman" w:cs="Times New Roman"/>
          <w:sz w:val="24"/>
          <w:szCs w:val="24"/>
        </w:rPr>
        <w:t xml:space="preserve"> the responsibility for the collection of the wine export charge from the Department of Agriculture and Water Resources to AGWA</w:t>
      </w:r>
      <w:r w:rsidR="00D33832">
        <w:rPr>
          <w:rFonts w:ascii="Times New Roman" w:hAnsi="Times New Roman" w:cs="Times New Roman"/>
          <w:sz w:val="24"/>
          <w:szCs w:val="24"/>
        </w:rPr>
        <w:t>.</w:t>
      </w:r>
      <w:r w:rsidR="00213DB4">
        <w:rPr>
          <w:rFonts w:ascii="Times New Roman" w:hAnsi="Times New Roman" w:cs="Times New Roman"/>
          <w:sz w:val="24"/>
          <w:szCs w:val="24"/>
        </w:rPr>
        <w:t xml:space="preserve"> </w:t>
      </w:r>
      <w:r w:rsidR="00146DCD">
        <w:rPr>
          <w:rFonts w:ascii="Times New Roman" w:hAnsi="Times New Roman" w:cs="Times New Roman"/>
          <w:sz w:val="24"/>
          <w:szCs w:val="24"/>
        </w:rPr>
        <w:t>T</w:t>
      </w:r>
      <w:r w:rsidR="00213DB4">
        <w:rPr>
          <w:rFonts w:ascii="Times New Roman" w:hAnsi="Times New Roman" w:cs="Times New Roman"/>
          <w:sz w:val="24"/>
          <w:szCs w:val="24"/>
        </w:rPr>
        <w:t xml:space="preserve">he </w:t>
      </w:r>
      <w:r w:rsidR="00CD1E9C">
        <w:rPr>
          <w:rFonts w:ascii="Times New Roman" w:hAnsi="Times New Roman" w:cs="Times New Roman"/>
          <w:sz w:val="24"/>
          <w:szCs w:val="24"/>
        </w:rPr>
        <w:t xml:space="preserve">Regulations will remove the </w:t>
      </w:r>
      <w:r w:rsidR="00213DB4">
        <w:rPr>
          <w:rFonts w:ascii="Times New Roman" w:hAnsi="Times New Roman" w:cs="Times New Roman"/>
          <w:sz w:val="24"/>
          <w:szCs w:val="24"/>
        </w:rPr>
        <w:t xml:space="preserve">requirement for exporters to submit multiple forms to regulators when exporting wine from Australia while maintaining the </w:t>
      </w:r>
      <w:r w:rsidR="00CD1E9C">
        <w:rPr>
          <w:rFonts w:ascii="Times New Roman" w:hAnsi="Times New Roman" w:cs="Times New Roman"/>
          <w:sz w:val="24"/>
          <w:szCs w:val="24"/>
        </w:rPr>
        <w:t>amount</w:t>
      </w:r>
      <w:r w:rsidR="00213DB4">
        <w:rPr>
          <w:rFonts w:ascii="Times New Roman" w:hAnsi="Times New Roman" w:cs="Times New Roman"/>
          <w:sz w:val="24"/>
          <w:szCs w:val="24"/>
        </w:rPr>
        <w:t xml:space="preserve"> of export charge collected on behalf of the wine industry.</w:t>
      </w:r>
      <w:r w:rsidR="00213DB4" w:rsidRPr="007823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4F84C" w14:textId="77777777" w:rsidR="00786E52" w:rsidRDefault="00786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5BC5CA" w14:textId="5B3E5879" w:rsidR="00213DB4" w:rsidRPr="00026ECF" w:rsidRDefault="00CC26FA" w:rsidP="00213DB4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Historically,</w:t>
      </w:r>
      <w:r w:rsidR="00213DB4">
        <w:rPr>
          <w:rFonts w:ascii="Times New Roman" w:hAnsi="Times New Roman" w:cs="Times New Roman"/>
          <w:sz w:val="24"/>
          <w:szCs w:val="24"/>
        </w:rPr>
        <w:t xml:space="preserve"> regulations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213DB4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>d</w:t>
      </w:r>
      <w:r w:rsidR="00213DB4">
        <w:rPr>
          <w:rFonts w:ascii="Times New Roman" w:hAnsi="Times New Roman" w:cs="Times New Roman"/>
          <w:sz w:val="24"/>
          <w:szCs w:val="24"/>
        </w:rPr>
        <w:t xml:space="preserve"> for the collection of the wine export charge require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="00213DB4">
        <w:rPr>
          <w:rFonts w:ascii="Times New Roman" w:hAnsi="Times New Roman" w:cs="Times New Roman"/>
          <w:sz w:val="24"/>
          <w:szCs w:val="24"/>
        </w:rPr>
        <w:t xml:space="preserve">all exporters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213DB4">
        <w:rPr>
          <w:rFonts w:ascii="Times New Roman" w:hAnsi="Times New Roman" w:cs="Times New Roman"/>
          <w:sz w:val="24"/>
          <w:szCs w:val="24"/>
        </w:rPr>
        <w:t>submit quarterly returns, including submitting returns for a quarter where they did not export wine</w:t>
      </w:r>
      <w:r w:rsidR="00632ECD">
        <w:rPr>
          <w:rFonts w:ascii="Times New Roman" w:hAnsi="Times New Roman" w:cs="Times New Roman"/>
          <w:sz w:val="24"/>
          <w:szCs w:val="24"/>
        </w:rPr>
        <w:t xml:space="preserve">, unless an exemption from lodging quarterly returns </w:t>
      </w:r>
      <w:r w:rsidR="00E94219">
        <w:rPr>
          <w:rFonts w:ascii="Times New Roman" w:hAnsi="Times New Roman" w:cs="Times New Roman"/>
          <w:sz w:val="24"/>
          <w:szCs w:val="24"/>
        </w:rPr>
        <w:t xml:space="preserve">was granted </w:t>
      </w:r>
      <w:r w:rsidR="00632ECD">
        <w:rPr>
          <w:rFonts w:ascii="Times New Roman" w:hAnsi="Times New Roman" w:cs="Times New Roman"/>
          <w:sz w:val="24"/>
          <w:szCs w:val="24"/>
        </w:rPr>
        <w:t xml:space="preserve">under </w:t>
      </w:r>
      <w:r w:rsidR="00CD1E9C">
        <w:rPr>
          <w:rFonts w:ascii="Times New Roman" w:hAnsi="Times New Roman" w:cs="Times New Roman"/>
          <w:sz w:val="24"/>
          <w:szCs w:val="24"/>
        </w:rPr>
        <w:t xml:space="preserve">Part 13 of </w:t>
      </w:r>
      <w:r w:rsidR="00632ECD">
        <w:rPr>
          <w:rFonts w:ascii="Times New Roman" w:hAnsi="Times New Roman" w:cs="Times New Roman"/>
          <w:sz w:val="24"/>
          <w:szCs w:val="24"/>
        </w:rPr>
        <w:t>Schedule 35 of the Primary Industries Levies and Charges Collection Regulations 1991.</w:t>
      </w:r>
    </w:p>
    <w:p w14:paraId="3DBFAA61" w14:textId="77777777" w:rsidR="00213DB4" w:rsidRDefault="00213DB4" w:rsidP="00213DB4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0AB1F" w14:textId="77777777" w:rsidR="00FB7DE8" w:rsidRPr="00A77519" w:rsidRDefault="00FB7DE8" w:rsidP="00FB7DE8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7519">
        <w:rPr>
          <w:rFonts w:ascii="Times New Roman" w:hAnsi="Times New Roman" w:cs="Times New Roman"/>
          <w:b/>
          <w:sz w:val="24"/>
          <w:szCs w:val="24"/>
        </w:rPr>
        <w:t>Impact and Effect</w:t>
      </w:r>
    </w:p>
    <w:p w14:paraId="4D3E9AF6" w14:textId="218200BC" w:rsidR="00632ECD" w:rsidRDefault="00213DB4" w:rsidP="0048497A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B3D">
        <w:rPr>
          <w:rFonts w:ascii="Times New Roman" w:hAnsi="Times New Roman" w:cs="Times New Roman"/>
          <w:sz w:val="24"/>
          <w:szCs w:val="24"/>
        </w:rPr>
        <w:t xml:space="preserve">The Australian Government’s </w:t>
      </w:r>
      <w:r w:rsidRPr="001D4B3D">
        <w:rPr>
          <w:rFonts w:ascii="Times New Roman" w:hAnsi="Times New Roman" w:cs="Times New Roman"/>
          <w:i/>
          <w:sz w:val="24"/>
          <w:szCs w:val="24"/>
        </w:rPr>
        <w:t>Levy Principles and Guidelines</w:t>
      </w:r>
      <w:r w:rsidRPr="001D4B3D">
        <w:rPr>
          <w:rFonts w:ascii="Times New Roman" w:hAnsi="Times New Roman" w:cs="Times New Roman"/>
          <w:sz w:val="24"/>
          <w:szCs w:val="24"/>
        </w:rPr>
        <w:t xml:space="preserve"> provide for the Australian Government to initiate amendments to the collection mechanism of any levy or charge if it ceases to be efficient and practical. </w:t>
      </w:r>
      <w:r>
        <w:rPr>
          <w:rFonts w:ascii="Times New Roman" w:hAnsi="Times New Roman" w:cs="Times New Roman"/>
          <w:sz w:val="24"/>
          <w:szCs w:val="24"/>
        </w:rPr>
        <w:t>The Regulations provide efficiencies to the collection of the wine export charge</w:t>
      </w:r>
      <w:r w:rsidR="00A5158B">
        <w:rPr>
          <w:rFonts w:ascii="Times New Roman" w:hAnsi="Times New Roman" w:cs="Times New Roman"/>
          <w:sz w:val="24"/>
          <w:szCs w:val="24"/>
        </w:rPr>
        <w:t xml:space="preserve"> by </w:t>
      </w:r>
      <w:r w:rsidR="00926645">
        <w:rPr>
          <w:rFonts w:ascii="Times New Roman" w:hAnsi="Times New Roman" w:cs="Times New Roman"/>
          <w:sz w:val="24"/>
          <w:szCs w:val="24"/>
        </w:rPr>
        <w:t xml:space="preserve">only </w:t>
      </w:r>
      <w:r>
        <w:rPr>
          <w:rFonts w:ascii="Times New Roman" w:hAnsi="Times New Roman" w:cs="Times New Roman"/>
          <w:sz w:val="24"/>
          <w:szCs w:val="24"/>
        </w:rPr>
        <w:t xml:space="preserve">requiring an exporter to submit a quarterly return if they exported more than $1000 of wine in the quarter. </w:t>
      </w:r>
    </w:p>
    <w:p w14:paraId="5101A887" w14:textId="77777777" w:rsidR="00C42F82" w:rsidRDefault="00C42F82" w:rsidP="0048497A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8A9BB" w14:textId="1AE8CD38" w:rsidR="00926645" w:rsidRDefault="00926645" w:rsidP="00926645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the proposed Regulations, an exporter</w:t>
      </w:r>
      <w:r w:rsidRPr="00D92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who exports less than $1000 of wine in a quarter would still </w:t>
      </w:r>
      <w:r w:rsidRPr="00D92E12">
        <w:rPr>
          <w:rFonts w:ascii="Times New Roman" w:hAnsi="Times New Roman" w:cs="Times New Roman"/>
          <w:sz w:val="24"/>
          <w:szCs w:val="24"/>
        </w:rPr>
        <w:t>be required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E12">
        <w:rPr>
          <w:rFonts w:ascii="Times New Roman" w:hAnsi="Times New Roman" w:cs="Times New Roman"/>
          <w:sz w:val="24"/>
          <w:szCs w:val="24"/>
        </w:rPr>
        <w:t>to pay the export charge and submit a return annually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AGWA considers that increasing the quarterly return threshold to $1000 each quarter is the most efficient value at which a quarterly return should be submitted. Removing the requirement for exporters to submit a return without exporting wine in a quarter and increasing the quarterly exemption value would reduce the total number of returns that are received and processed by AGWA each year by approximately 2</w:t>
      </w:r>
      <w:r w:rsidR="00595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300 returns.</w:t>
      </w:r>
    </w:p>
    <w:p w14:paraId="1FE99EB3" w14:textId="77777777" w:rsidR="0048497A" w:rsidRDefault="0048497A" w:rsidP="0048497A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7FCF6" w14:textId="49A74901" w:rsidR="00213DB4" w:rsidRDefault="00503618" w:rsidP="00213DB4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section 24 of the Collection Act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person must not refuse or fail to give a return or information that the person is required to give under the Act. Consistent with the principles of </w:t>
      </w:r>
      <w:r w:rsidR="004A7D3A">
        <w:rPr>
          <w:rFonts w:ascii="Times New Roman" w:hAnsi="Times New Roman" w:cs="Times New Roman"/>
          <w:sz w:val="24"/>
          <w:szCs w:val="24"/>
        </w:rPr>
        <w:t>“</w:t>
      </w:r>
      <w:r w:rsidR="004A7D3A">
        <w:rPr>
          <w:rFonts w:ascii="Times New Roman" w:hAnsi="Times New Roman" w:cs="Times New Roman"/>
          <w:i/>
          <w:sz w:val="24"/>
          <w:szCs w:val="24"/>
        </w:rPr>
        <w:t xml:space="preserve">A guide to framing Commonwealth Offences, Infringement Notices and Enforcement Powers”, </w:t>
      </w:r>
      <w:r w:rsidR="004A7D3A">
        <w:rPr>
          <w:rFonts w:ascii="Times New Roman" w:hAnsi="Times New Roman" w:cs="Times New Roman"/>
          <w:sz w:val="24"/>
          <w:szCs w:val="24"/>
        </w:rPr>
        <w:t xml:space="preserve">applying a strict liability </w:t>
      </w:r>
      <w:r>
        <w:rPr>
          <w:rFonts w:ascii="Times New Roman" w:hAnsi="Times New Roman" w:cs="Times New Roman"/>
          <w:sz w:val="24"/>
          <w:szCs w:val="24"/>
        </w:rPr>
        <w:t>is necessary to ensure the integrity of the regulatory regime</w:t>
      </w:r>
      <w:r w:rsidR="003A24AB">
        <w:rPr>
          <w:rFonts w:ascii="Times New Roman" w:hAnsi="Times New Roman" w:cs="Times New Roman"/>
          <w:sz w:val="24"/>
          <w:szCs w:val="24"/>
        </w:rPr>
        <w:t xml:space="preserve">. The penalty </w:t>
      </w:r>
      <w:r w:rsidR="00202F64">
        <w:rPr>
          <w:rFonts w:ascii="Times New Roman" w:hAnsi="Times New Roman" w:cs="Times New Roman"/>
          <w:sz w:val="24"/>
          <w:szCs w:val="24"/>
        </w:rPr>
        <w:t>does not exceed the maximum 60 penalty units for an individual.</w:t>
      </w:r>
      <w:r w:rsidR="002377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051F7" w14:textId="77777777" w:rsidR="00213DB4" w:rsidRDefault="00213DB4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656072" w14:textId="77777777" w:rsidR="002B1DB3" w:rsidRPr="00A77519" w:rsidRDefault="002B1DB3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519">
        <w:rPr>
          <w:rFonts w:ascii="Times New Roman" w:hAnsi="Times New Roman" w:cs="Times New Roman"/>
          <w:b/>
          <w:sz w:val="24"/>
          <w:szCs w:val="24"/>
        </w:rPr>
        <w:t>Consultation</w:t>
      </w:r>
    </w:p>
    <w:p w14:paraId="0731EF07" w14:textId="77777777" w:rsidR="002B1DB3" w:rsidRPr="00A77519" w:rsidRDefault="002B1DB3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B8B87" w14:textId="2540B96C" w:rsidR="002C03FF" w:rsidRDefault="00D05F8C" w:rsidP="002C03F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AGWA were consulted </w:t>
      </w:r>
      <w:r w:rsidR="009975C1">
        <w:rPr>
          <w:rFonts w:ascii="Times New Roman" w:hAnsi="Times New Roman" w:cs="Times New Roman"/>
          <w:sz w:val="24"/>
          <w:szCs w:val="24"/>
        </w:rPr>
        <w:t>throughout the development of the</w:t>
      </w:r>
      <w:r>
        <w:rPr>
          <w:rFonts w:ascii="Times New Roman" w:hAnsi="Times New Roman" w:cs="Times New Roman"/>
          <w:sz w:val="24"/>
          <w:szCs w:val="24"/>
        </w:rPr>
        <w:t xml:space="preserve"> amendment regulations</w:t>
      </w:r>
      <w:r w:rsidR="009975C1">
        <w:rPr>
          <w:rFonts w:ascii="Times New Roman" w:hAnsi="Times New Roman" w:cs="Times New Roman"/>
          <w:sz w:val="24"/>
          <w:szCs w:val="24"/>
        </w:rPr>
        <w:t>. AGWA, as the wine export charge regulator, will continue to notify exporters about their reporting requirements</w:t>
      </w:r>
      <w:r w:rsidR="004849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3FF">
        <w:rPr>
          <w:rFonts w:ascii="Times New Roman" w:hAnsi="Times New Roman" w:cs="Times New Roman"/>
          <w:sz w:val="24"/>
          <w:szCs w:val="24"/>
        </w:rPr>
        <w:t xml:space="preserve">The Office of Best Practice Regulation (OBPR) confirmed that a regulation impact statement </w:t>
      </w:r>
      <w:r w:rsidR="008165A2">
        <w:rPr>
          <w:rFonts w:ascii="Times New Roman" w:hAnsi="Times New Roman" w:cs="Times New Roman"/>
          <w:sz w:val="24"/>
          <w:szCs w:val="24"/>
        </w:rPr>
        <w:t>wa</w:t>
      </w:r>
      <w:r w:rsidR="002C03FF">
        <w:rPr>
          <w:rFonts w:ascii="Times New Roman" w:hAnsi="Times New Roman" w:cs="Times New Roman"/>
          <w:sz w:val="24"/>
          <w:szCs w:val="24"/>
        </w:rPr>
        <w:t xml:space="preserve">s not required (OBPR ID: 20836). </w:t>
      </w:r>
    </w:p>
    <w:p w14:paraId="4D14856C" w14:textId="77777777" w:rsidR="009C6DCC" w:rsidRPr="00A77519" w:rsidRDefault="009C6DCC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4F4FBC" w14:textId="77777777" w:rsidR="00E76AB5" w:rsidRPr="00A77519" w:rsidRDefault="00E76AB5" w:rsidP="00E76AB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77519">
        <w:rPr>
          <w:rFonts w:ascii="Times New Roman" w:hAnsi="Times New Roman" w:cs="Times New Roman"/>
          <w:b/>
          <w:sz w:val="24"/>
        </w:rPr>
        <w:t>Details/ Operation</w:t>
      </w:r>
    </w:p>
    <w:p w14:paraId="28B2AE6C" w14:textId="77777777" w:rsidR="00E76AB5" w:rsidRPr="00A77519" w:rsidRDefault="00E76AB5" w:rsidP="00E76AB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69DA37E1" w14:textId="3707922D" w:rsidR="00E76AB5" w:rsidRPr="00A77519" w:rsidRDefault="00E76AB5" w:rsidP="00E76AB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A77519">
        <w:rPr>
          <w:rFonts w:ascii="Times New Roman" w:hAnsi="Times New Roman" w:cs="Times New Roman"/>
          <w:sz w:val="24"/>
        </w:rPr>
        <w:t xml:space="preserve">Details of the </w:t>
      </w:r>
      <w:r w:rsidR="009C6DCC">
        <w:rPr>
          <w:rFonts w:ascii="Times New Roman" w:hAnsi="Times New Roman" w:cs="Times New Roman"/>
          <w:sz w:val="24"/>
        </w:rPr>
        <w:t>Regulation</w:t>
      </w:r>
      <w:r w:rsidR="00DA4CC0">
        <w:rPr>
          <w:rFonts w:ascii="Times New Roman" w:hAnsi="Times New Roman" w:cs="Times New Roman"/>
          <w:sz w:val="24"/>
        </w:rPr>
        <w:t>s</w:t>
      </w:r>
      <w:r w:rsidRPr="00A77519">
        <w:rPr>
          <w:rFonts w:ascii="Times New Roman" w:hAnsi="Times New Roman" w:cs="Times New Roman"/>
          <w:sz w:val="24"/>
        </w:rPr>
        <w:t xml:space="preserve"> are set</w:t>
      </w:r>
      <w:r w:rsidR="009C6DCC">
        <w:rPr>
          <w:rFonts w:ascii="Times New Roman" w:hAnsi="Times New Roman" w:cs="Times New Roman"/>
          <w:sz w:val="24"/>
        </w:rPr>
        <w:t xml:space="preserve"> out in </w:t>
      </w:r>
      <w:r w:rsidRPr="00A77519">
        <w:rPr>
          <w:rFonts w:ascii="Times New Roman" w:hAnsi="Times New Roman" w:cs="Times New Roman"/>
          <w:sz w:val="24"/>
          <w:u w:val="single"/>
        </w:rPr>
        <w:t>Attachment A</w:t>
      </w:r>
      <w:r w:rsidRPr="00A77519">
        <w:rPr>
          <w:rFonts w:ascii="Times New Roman" w:hAnsi="Times New Roman" w:cs="Times New Roman"/>
          <w:sz w:val="24"/>
        </w:rPr>
        <w:t>.</w:t>
      </w:r>
    </w:p>
    <w:p w14:paraId="739E99FD" w14:textId="77777777" w:rsidR="00B66DFF" w:rsidRPr="00A77519" w:rsidRDefault="00B66DFF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6644A" w14:textId="77777777" w:rsidR="00E76AB5" w:rsidRPr="00A77519" w:rsidRDefault="00E76AB5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519">
        <w:rPr>
          <w:rFonts w:ascii="Times New Roman" w:hAnsi="Times New Roman" w:cs="Times New Roman"/>
          <w:b/>
          <w:sz w:val="24"/>
          <w:szCs w:val="24"/>
        </w:rPr>
        <w:t>Other</w:t>
      </w:r>
    </w:p>
    <w:p w14:paraId="0CC23B96" w14:textId="77777777" w:rsidR="001C09FB" w:rsidRPr="00A77519" w:rsidRDefault="001C09FB" w:rsidP="00E76AB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48EA9" w14:textId="77777777" w:rsidR="00E76AB5" w:rsidRPr="00A77519" w:rsidRDefault="00E76AB5" w:rsidP="00E76AB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519">
        <w:rPr>
          <w:rFonts w:ascii="Times New Roman" w:hAnsi="Times New Roman" w:cs="Times New Roman"/>
          <w:sz w:val="24"/>
          <w:szCs w:val="24"/>
        </w:rPr>
        <w:t xml:space="preserve">The </w:t>
      </w:r>
      <w:r w:rsidR="009C6DCC">
        <w:rPr>
          <w:rFonts w:ascii="Times New Roman" w:hAnsi="Times New Roman" w:cs="Times New Roman"/>
          <w:sz w:val="24"/>
          <w:szCs w:val="24"/>
        </w:rPr>
        <w:t>Regulation</w:t>
      </w:r>
      <w:r w:rsidR="00A73A5B">
        <w:rPr>
          <w:rFonts w:ascii="Times New Roman" w:hAnsi="Times New Roman" w:cs="Times New Roman"/>
          <w:sz w:val="24"/>
          <w:szCs w:val="24"/>
        </w:rPr>
        <w:t>s are</w:t>
      </w:r>
      <w:r w:rsidRPr="00A77519">
        <w:rPr>
          <w:rFonts w:ascii="Times New Roman" w:hAnsi="Times New Roman" w:cs="Times New Roman"/>
          <w:sz w:val="24"/>
          <w:szCs w:val="24"/>
        </w:rPr>
        <w:t xml:space="preserve"> </w:t>
      </w:r>
      <w:r w:rsidR="00A73A5B" w:rsidRPr="00A77519">
        <w:rPr>
          <w:rFonts w:ascii="Times New Roman" w:hAnsi="Times New Roman" w:cs="Times New Roman"/>
          <w:sz w:val="24"/>
          <w:szCs w:val="24"/>
        </w:rPr>
        <w:t>compatible</w:t>
      </w:r>
      <w:r w:rsidRPr="00A77519">
        <w:rPr>
          <w:rFonts w:ascii="Times New Roman" w:hAnsi="Times New Roman" w:cs="Times New Roman"/>
          <w:sz w:val="24"/>
          <w:szCs w:val="24"/>
        </w:rPr>
        <w:t xml:space="preserve"> with the human rights and freedoms recognised or declared under section 3 of the </w:t>
      </w:r>
      <w:r w:rsidRPr="00A77519">
        <w:rPr>
          <w:rFonts w:ascii="Times New Roman" w:hAnsi="Times New Roman" w:cs="Times New Roman"/>
          <w:i/>
          <w:sz w:val="24"/>
          <w:szCs w:val="24"/>
        </w:rPr>
        <w:t>Human Rights (Parliamentary Scrutiny) Act 2011.</w:t>
      </w:r>
      <w:r w:rsidRPr="00A77519">
        <w:rPr>
          <w:rFonts w:ascii="Times New Roman" w:hAnsi="Times New Roman" w:cs="Times New Roman"/>
          <w:sz w:val="24"/>
          <w:szCs w:val="24"/>
        </w:rPr>
        <w:t xml:space="preserve"> A full statement of compatibility is set out in </w:t>
      </w:r>
      <w:r w:rsidRPr="00A77519">
        <w:rPr>
          <w:rFonts w:ascii="Times New Roman" w:hAnsi="Times New Roman" w:cs="Times New Roman"/>
          <w:sz w:val="24"/>
          <w:szCs w:val="24"/>
          <w:u w:val="single"/>
        </w:rPr>
        <w:t>Attachment B</w:t>
      </w:r>
      <w:r w:rsidRPr="00A77519">
        <w:rPr>
          <w:rFonts w:ascii="Times New Roman" w:hAnsi="Times New Roman" w:cs="Times New Roman"/>
          <w:sz w:val="24"/>
          <w:szCs w:val="24"/>
        </w:rPr>
        <w:t>.</w:t>
      </w:r>
    </w:p>
    <w:p w14:paraId="1C91A078" w14:textId="77777777" w:rsidR="00E76AB5" w:rsidRPr="00A77519" w:rsidRDefault="00E76AB5" w:rsidP="00E76AB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5E27B" w14:textId="77777777" w:rsidR="00203AAB" w:rsidRDefault="00203AAB" w:rsidP="00E76AB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519">
        <w:rPr>
          <w:rFonts w:ascii="Times New Roman" w:hAnsi="Times New Roman" w:cs="Times New Roman"/>
          <w:sz w:val="24"/>
          <w:szCs w:val="24"/>
        </w:rPr>
        <w:t>The Regulation</w:t>
      </w:r>
      <w:r w:rsidR="00A73A5B">
        <w:rPr>
          <w:rFonts w:ascii="Times New Roman" w:hAnsi="Times New Roman" w:cs="Times New Roman"/>
          <w:sz w:val="24"/>
          <w:szCs w:val="24"/>
        </w:rPr>
        <w:t>s are</w:t>
      </w:r>
      <w:r w:rsidR="00D45E13" w:rsidRPr="00A77519">
        <w:rPr>
          <w:rFonts w:ascii="Times New Roman" w:hAnsi="Times New Roman" w:cs="Times New Roman"/>
          <w:sz w:val="24"/>
          <w:szCs w:val="24"/>
        </w:rPr>
        <w:t xml:space="preserve"> </w:t>
      </w:r>
      <w:r w:rsidRPr="00A77519">
        <w:rPr>
          <w:rFonts w:ascii="Times New Roman" w:hAnsi="Times New Roman" w:cs="Times New Roman"/>
          <w:sz w:val="24"/>
          <w:szCs w:val="24"/>
        </w:rPr>
        <w:t xml:space="preserve">a legislative instrument for the purposes of the </w:t>
      </w:r>
      <w:r w:rsidR="000645AB" w:rsidRPr="00A77519">
        <w:rPr>
          <w:rFonts w:ascii="Times New Roman" w:hAnsi="Times New Roman" w:cs="Times New Roman"/>
          <w:i/>
          <w:sz w:val="24"/>
          <w:szCs w:val="24"/>
        </w:rPr>
        <w:t xml:space="preserve">Legislation </w:t>
      </w:r>
      <w:r w:rsidRPr="00A77519">
        <w:rPr>
          <w:rFonts w:ascii="Times New Roman" w:hAnsi="Times New Roman" w:cs="Times New Roman"/>
          <w:i/>
          <w:sz w:val="24"/>
          <w:szCs w:val="24"/>
        </w:rPr>
        <w:t>Act 2003</w:t>
      </w:r>
      <w:r w:rsidRPr="00A77519">
        <w:rPr>
          <w:rFonts w:ascii="Times New Roman" w:hAnsi="Times New Roman" w:cs="Times New Roman"/>
          <w:sz w:val="24"/>
          <w:szCs w:val="24"/>
        </w:rPr>
        <w:t>.</w:t>
      </w:r>
    </w:p>
    <w:p w14:paraId="578E35B7" w14:textId="77777777" w:rsidR="004A2698" w:rsidRDefault="004A2698" w:rsidP="00E76AB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F8DB1" w14:textId="77777777" w:rsidR="004A2698" w:rsidRPr="00A77519" w:rsidRDefault="004A2698" w:rsidP="00E76AB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Regulations commence on 1 July 2017.</w:t>
      </w:r>
    </w:p>
    <w:p w14:paraId="3ADB7B78" w14:textId="77777777" w:rsidR="009C6DCC" w:rsidRPr="00297CFB" w:rsidRDefault="00E76AB5" w:rsidP="00297CFB">
      <w:pPr>
        <w:jc w:val="right"/>
        <w:rPr>
          <w:rFonts w:ascii="Times New Roman" w:hAnsi="Times New Roman" w:cs="Times New Roman"/>
          <w:b/>
          <w:caps/>
          <w:szCs w:val="24"/>
          <w:u w:val="single"/>
        </w:rPr>
      </w:pPr>
      <w:r w:rsidRPr="00A77519">
        <w:rPr>
          <w:b/>
          <w:caps/>
          <w:szCs w:val="24"/>
          <w:u w:val="single"/>
        </w:rPr>
        <w:br w:type="page"/>
      </w:r>
      <w:r w:rsidR="009C6DCC" w:rsidRPr="00297CFB">
        <w:rPr>
          <w:rFonts w:ascii="Times New Roman" w:hAnsi="Times New Roman" w:cs="Times New Roman"/>
          <w:b/>
          <w:caps/>
          <w:sz w:val="24"/>
          <w:szCs w:val="24"/>
          <w:u w:val="single"/>
        </w:rPr>
        <w:lastRenderedPageBreak/>
        <w:t>Attachment a</w:t>
      </w:r>
    </w:p>
    <w:p w14:paraId="111C7EF7" w14:textId="77777777" w:rsidR="00297CFB" w:rsidRPr="007C539E" w:rsidRDefault="00297CFB" w:rsidP="00297CFB">
      <w:pPr>
        <w:pStyle w:val="Normal-em"/>
        <w:spacing w:after="0" w:line="240" w:lineRule="auto"/>
        <w:rPr>
          <w:b/>
          <w:i/>
          <w:color w:val="auto"/>
          <w:u w:val="single"/>
        </w:rPr>
      </w:pPr>
      <w:r w:rsidRPr="00836D6E">
        <w:rPr>
          <w:b/>
          <w:iCs/>
          <w:color w:val="auto"/>
          <w:szCs w:val="24"/>
          <w:u w:val="single"/>
        </w:rPr>
        <w:t xml:space="preserve">Details </w:t>
      </w:r>
      <w:r w:rsidRPr="007C539E">
        <w:rPr>
          <w:b/>
          <w:iCs/>
          <w:color w:val="auto"/>
          <w:szCs w:val="24"/>
          <w:u w:val="single"/>
        </w:rPr>
        <w:t xml:space="preserve">of the </w:t>
      </w:r>
      <w:r w:rsidRPr="007C539E">
        <w:rPr>
          <w:b/>
          <w:i/>
          <w:color w:val="auto"/>
          <w:u w:val="single"/>
        </w:rPr>
        <w:t xml:space="preserve">Primary Industries </w:t>
      </w:r>
      <w:r w:rsidR="00E0349D">
        <w:rPr>
          <w:b/>
          <w:i/>
          <w:color w:val="auto"/>
          <w:u w:val="single"/>
        </w:rPr>
        <w:t xml:space="preserve">Legislation </w:t>
      </w:r>
      <w:r w:rsidRPr="007C539E">
        <w:rPr>
          <w:b/>
          <w:i/>
          <w:color w:val="auto"/>
          <w:u w:val="single"/>
        </w:rPr>
        <w:t>Amendment (</w:t>
      </w:r>
      <w:r>
        <w:rPr>
          <w:b/>
          <w:i/>
          <w:color w:val="auto"/>
          <w:u w:val="single"/>
        </w:rPr>
        <w:t>Wine</w:t>
      </w:r>
      <w:r w:rsidRPr="007C539E">
        <w:rPr>
          <w:b/>
          <w:i/>
          <w:color w:val="auto"/>
          <w:u w:val="single"/>
        </w:rPr>
        <w:t>) Regulation</w:t>
      </w:r>
      <w:r w:rsidR="00E0349D">
        <w:rPr>
          <w:b/>
          <w:i/>
          <w:color w:val="auto"/>
          <w:u w:val="single"/>
        </w:rPr>
        <w:t>s</w:t>
      </w:r>
      <w:r w:rsidRPr="007C539E">
        <w:rPr>
          <w:b/>
          <w:i/>
          <w:color w:val="auto"/>
          <w:u w:val="single"/>
        </w:rPr>
        <w:t xml:space="preserve"> 201</w:t>
      </w:r>
      <w:r>
        <w:rPr>
          <w:b/>
          <w:i/>
          <w:color w:val="auto"/>
          <w:u w:val="single"/>
        </w:rPr>
        <w:t>7</w:t>
      </w:r>
      <w:r w:rsidRPr="007C539E">
        <w:rPr>
          <w:b/>
          <w:i/>
          <w:color w:val="auto"/>
          <w:u w:val="single"/>
        </w:rPr>
        <w:t xml:space="preserve"> </w:t>
      </w:r>
    </w:p>
    <w:p w14:paraId="0D3F9171" w14:textId="77777777" w:rsidR="00297CFB" w:rsidRPr="007C539E" w:rsidRDefault="00297CFB" w:rsidP="00297CFB">
      <w:pPr>
        <w:pStyle w:val="Normal-em"/>
        <w:spacing w:after="0" w:line="240" w:lineRule="auto"/>
        <w:rPr>
          <w:color w:val="auto"/>
          <w:szCs w:val="24"/>
        </w:rPr>
      </w:pPr>
    </w:p>
    <w:p w14:paraId="5ABB4902" w14:textId="77777777" w:rsidR="00297CFB" w:rsidRPr="007C539E" w:rsidRDefault="00297CFB" w:rsidP="00297CFB">
      <w:pPr>
        <w:pStyle w:val="Normal-em"/>
        <w:spacing w:after="0" w:line="240" w:lineRule="auto"/>
        <w:ind w:left="1440" w:hanging="1440"/>
        <w:rPr>
          <w:color w:val="auto"/>
          <w:szCs w:val="24"/>
          <w:u w:val="single"/>
        </w:rPr>
      </w:pPr>
      <w:r w:rsidRPr="007C539E">
        <w:rPr>
          <w:color w:val="auto"/>
          <w:szCs w:val="24"/>
          <w:u w:val="single"/>
        </w:rPr>
        <w:t>Section 1 – Name</w:t>
      </w:r>
    </w:p>
    <w:p w14:paraId="5DECAAF7" w14:textId="77777777" w:rsidR="00297CFB" w:rsidRPr="007C539E" w:rsidRDefault="00297CFB" w:rsidP="00297CFB">
      <w:pPr>
        <w:pStyle w:val="Normal-em"/>
        <w:spacing w:after="0" w:line="240" w:lineRule="auto"/>
        <w:ind w:left="1440" w:hanging="1440"/>
        <w:rPr>
          <w:b/>
          <w:color w:val="auto"/>
          <w:szCs w:val="24"/>
        </w:rPr>
      </w:pPr>
    </w:p>
    <w:p w14:paraId="5B67AC62" w14:textId="4DF2CD77" w:rsidR="00297CFB" w:rsidRPr="0086548C" w:rsidRDefault="00297CFB" w:rsidP="00297CFB">
      <w:pPr>
        <w:pStyle w:val="Normal-em"/>
        <w:spacing w:after="0" w:line="240" w:lineRule="auto"/>
        <w:rPr>
          <w:iCs/>
          <w:color w:val="auto"/>
          <w:szCs w:val="24"/>
        </w:rPr>
      </w:pPr>
      <w:r w:rsidRPr="007C539E">
        <w:rPr>
          <w:color w:val="auto"/>
          <w:szCs w:val="24"/>
        </w:rPr>
        <w:t>This section provide</w:t>
      </w:r>
      <w:r w:rsidR="00600BA8">
        <w:rPr>
          <w:color w:val="auto"/>
          <w:szCs w:val="24"/>
        </w:rPr>
        <w:t>s</w:t>
      </w:r>
      <w:r w:rsidRPr="007C539E">
        <w:rPr>
          <w:color w:val="auto"/>
          <w:szCs w:val="24"/>
        </w:rPr>
        <w:t xml:space="preserve"> that the name of the Regulation</w:t>
      </w:r>
      <w:r w:rsidR="00A869B2">
        <w:rPr>
          <w:color w:val="auto"/>
          <w:szCs w:val="24"/>
        </w:rPr>
        <w:t>s</w:t>
      </w:r>
      <w:r w:rsidRPr="007C539E">
        <w:rPr>
          <w:color w:val="auto"/>
          <w:szCs w:val="24"/>
        </w:rPr>
        <w:t xml:space="preserve"> </w:t>
      </w:r>
      <w:r w:rsidR="00A869B2">
        <w:rPr>
          <w:color w:val="auto"/>
          <w:szCs w:val="24"/>
        </w:rPr>
        <w:t>are</w:t>
      </w:r>
      <w:r w:rsidR="00A869B2" w:rsidRPr="007C539E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the </w:t>
      </w:r>
      <w:r w:rsidRPr="00F77C8E">
        <w:rPr>
          <w:i/>
          <w:color w:val="auto"/>
          <w:szCs w:val="24"/>
        </w:rPr>
        <w:t xml:space="preserve">Primary Industries Legislation </w:t>
      </w:r>
      <w:r>
        <w:rPr>
          <w:i/>
          <w:color w:val="auto"/>
          <w:szCs w:val="24"/>
        </w:rPr>
        <w:t xml:space="preserve">Amendment </w:t>
      </w:r>
      <w:r w:rsidRPr="00F77C8E">
        <w:rPr>
          <w:i/>
          <w:color w:val="auto"/>
          <w:szCs w:val="24"/>
        </w:rPr>
        <w:t>(</w:t>
      </w:r>
      <w:r>
        <w:rPr>
          <w:i/>
          <w:color w:val="auto"/>
          <w:szCs w:val="24"/>
        </w:rPr>
        <w:t>Wine</w:t>
      </w:r>
      <w:r w:rsidR="00E0349D">
        <w:rPr>
          <w:i/>
          <w:color w:val="auto"/>
          <w:szCs w:val="24"/>
        </w:rPr>
        <w:t xml:space="preserve">) Regulations </w:t>
      </w:r>
      <w:r w:rsidRPr="00F77C8E">
        <w:rPr>
          <w:i/>
          <w:color w:val="auto"/>
          <w:szCs w:val="24"/>
        </w:rPr>
        <w:t>201</w:t>
      </w:r>
      <w:r>
        <w:rPr>
          <w:i/>
          <w:color w:val="auto"/>
          <w:szCs w:val="24"/>
        </w:rPr>
        <w:t>7</w:t>
      </w:r>
      <w:r w:rsidRPr="0086548C">
        <w:rPr>
          <w:color w:val="auto"/>
          <w:szCs w:val="24"/>
        </w:rPr>
        <w:t>.</w:t>
      </w:r>
    </w:p>
    <w:p w14:paraId="334CFF99" w14:textId="77777777" w:rsidR="00297CFB" w:rsidRPr="00836D6E" w:rsidRDefault="00297CFB" w:rsidP="00297CFB">
      <w:pPr>
        <w:pStyle w:val="Normal-em"/>
        <w:spacing w:after="0" w:line="240" w:lineRule="auto"/>
        <w:rPr>
          <w:color w:val="auto"/>
          <w:szCs w:val="24"/>
        </w:rPr>
      </w:pPr>
    </w:p>
    <w:p w14:paraId="2BF65BD0" w14:textId="77777777" w:rsidR="00297CFB" w:rsidRPr="00836D6E" w:rsidRDefault="00297CFB" w:rsidP="00297CFB">
      <w:pPr>
        <w:pStyle w:val="Normal-em"/>
        <w:spacing w:after="0" w:line="240" w:lineRule="auto"/>
        <w:rPr>
          <w:color w:val="auto"/>
          <w:szCs w:val="24"/>
          <w:u w:val="single"/>
        </w:rPr>
      </w:pPr>
      <w:r w:rsidRPr="00836D6E">
        <w:rPr>
          <w:color w:val="auto"/>
          <w:szCs w:val="24"/>
          <w:u w:val="single"/>
        </w:rPr>
        <w:t>Section 2 – Commencement</w:t>
      </w:r>
    </w:p>
    <w:p w14:paraId="252CFC20" w14:textId="77777777" w:rsidR="00297CFB" w:rsidRPr="00836D6E" w:rsidRDefault="00297CFB" w:rsidP="00297CFB">
      <w:pPr>
        <w:pStyle w:val="Normal-em"/>
        <w:spacing w:after="0" w:line="240" w:lineRule="auto"/>
        <w:rPr>
          <w:color w:val="auto"/>
          <w:szCs w:val="24"/>
        </w:rPr>
      </w:pPr>
    </w:p>
    <w:p w14:paraId="49D12EFE" w14:textId="54DA18B5" w:rsidR="00297CFB" w:rsidRPr="00836D6E" w:rsidRDefault="00297CFB" w:rsidP="00297CFB">
      <w:pPr>
        <w:pStyle w:val="Normal-em"/>
        <w:spacing w:after="0" w:line="240" w:lineRule="auto"/>
        <w:rPr>
          <w:color w:val="auto"/>
          <w:szCs w:val="24"/>
          <w:highlight w:val="yellow"/>
        </w:rPr>
      </w:pPr>
      <w:r>
        <w:rPr>
          <w:color w:val="auto"/>
          <w:szCs w:val="24"/>
        </w:rPr>
        <w:t>This s</w:t>
      </w:r>
      <w:r w:rsidRPr="00836D6E">
        <w:rPr>
          <w:color w:val="auto"/>
          <w:szCs w:val="24"/>
        </w:rPr>
        <w:t>ection provide</w:t>
      </w:r>
      <w:r w:rsidR="00600BA8">
        <w:rPr>
          <w:color w:val="auto"/>
          <w:szCs w:val="24"/>
        </w:rPr>
        <w:t>s</w:t>
      </w:r>
      <w:r w:rsidRPr="00836D6E">
        <w:rPr>
          <w:color w:val="auto"/>
          <w:szCs w:val="24"/>
        </w:rPr>
        <w:t xml:space="preserve"> </w:t>
      </w:r>
      <w:r>
        <w:rPr>
          <w:color w:val="auto"/>
          <w:szCs w:val="24"/>
        </w:rPr>
        <w:t>for the Regulation</w:t>
      </w:r>
      <w:r w:rsidR="00A869B2">
        <w:rPr>
          <w:color w:val="auto"/>
          <w:szCs w:val="24"/>
        </w:rPr>
        <w:t>s</w:t>
      </w:r>
      <w:r>
        <w:rPr>
          <w:color w:val="auto"/>
          <w:szCs w:val="24"/>
        </w:rPr>
        <w:t xml:space="preserve"> to commence on 1 July 2017.</w:t>
      </w:r>
    </w:p>
    <w:p w14:paraId="7904982B" w14:textId="77777777" w:rsidR="00297CFB" w:rsidRPr="00836D6E" w:rsidRDefault="00297CFB" w:rsidP="00297CFB">
      <w:pPr>
        <w:pStyle w:val="Normal-em"/>
        <w:spacing w:after="0" w:line="240" w:lineRule="auto"/>
        <w:rPr>
          <w:color w:val="auto"/>
          <w:szCs w:val="24"/>
        </w:rPr>
      </w:pPr>
    </w:p>
    <w:p w14:paraId="404E97EA" w14:textId="77777777" w:rsidR="00297CFB" w:rsidRPr="00836D6E" w:rsidRDefault="00297CFB" w:rsidP="00297CFB">
      <w:pPr>
        <w:pStyle w:val="Normal-em"/>
        <w:spacing w:after="0" w:line="240" w:lineRule="auto"/>
        <w:ind w:left="1440" w:hanging="1440"/>
        <w:rPr>
          <w:color w:val="auto"/>
          <w:szCs w:val="24"/>
          <w:u w:val="single"/>
        </w:rPr>
      </w:pPr>
      <w:r w:rsidRPr="00836D6E">
        <w:rPr>
          <w:color w:val="auto"/>
          <w:szCs w:val="24"/>
          <w:u w:val="single"/>
        </w:rPr>
        <w:t xml:space="preserve">Section 3 – </w:t>
      </w:r>
      <w:r>
        <w:rPr>
          <w:color w:val="auto"/>
          <w:szCs w:val="24"/>
          <w:u w:val="single"/>
        </w:rPr>
        <w:t xml:space="preserve">Authority </w:t>
      </w:r>
    </w:p>
    <w:p w14:paraId="2226D43C" w14:textId="77777777" w:rsidR="00297CFB" w:rsidRPr="00836D6E" w:rsidRDefault="00297CFB" w:rsidP="00297CFB">
      <w:pPr>
        <w:pStyle w:val="Normal-em"/>
        <w:spacing w:after="0" w:line="240" w:lineRule="auto"/>
        <w:rPr>
          <w:color w:val="auto"/>
          <w:szCs w:val="24"/>
        </w:rPr>
      </w:pPr>
    </w:p>
    <w:p w14:paraId="46A8CEAC" w14:textId="5C646F4D" w:rsidR="00297CFB" w:rsidRPr="00115432" w:rsidRDefault="00297CFB" w:rsidP="00297CFB">
      <w:pPr>
        <w:pStyle w:val="Normal-em"/>
        <w:spacing w:after="0" w:line="240" w:lineRule="auto"/>
        <w:rPr>
          <w:i/>
          <w:iCs/>
          <w:color w:val="auto"/>
          <w:szCs w:val="24"/>
        </w:rPr>
      </w:pPr>
      <w:r>
        <w:rPr>
          <w:color w:val="auto"/>
          <w:szCs w:val="24"/>
        </w:rPr>
        <w:t>This s</w:t>
      </w:r>
      <w:r w:rsidRPr="00836D6E">
        <w:rPr>
          <w:color w:val="auto"/>
          <w:szCs w:val="24"/>
        </w:rPr>
        <w:t>ection provide</w:t>
      </w:r>
      <w:r w:rsidR="00600BA8">
        <w:rPr>
          <w:color w:val="auto"/>
          <w:szCs w:val="24"/>
        </w:rPr>
        <w:t>s</w:t>
      </w:r>
      <w:r w:rsidRPr="00836D6E">
        <w:rPr>
          <w:color w:val="auto"/>
          <w:szCs w:val="24"/>
        </w:rPr>
        <w:t xml:space="preserve"> </w:t>
      </w:r>
      <w:r w:rsidRPr="007C539E">
        <w:rPr>
          <w:color w:val="auto"/>
          <w:szCs w:val="24"/>
        </w:rPr>
        <w:t>that the Regulation</w:t>
      </w:r>
      <w:r w:rsidR="00A869B2">
        <w:rPr>
          <w:color w:val="auto"/>
          <w:szCs w:val="24"/>
        </w:rPr>
        <w:t>s</w:t>
      </w:r>
      <w:r w:rsidRPr="007C539E">
        <w:rPr>
          <w:color w:val="auto"/>
          <w:szCs w:val="24"/>
        </w:rPr>
        <w:t xml:space="preserve"> </w:t>
      </w:r>
      <w:r w:rsidR="00A869B2">
        <w:rPr>
          <w:color w:val="auto"/>
          <w:szCs w:val="24"/>
        </w:rPr>
        <w:t>are</w:t>
      </w:r>
      <w:r w:rsidR="00A869B2" w:rsidRPr="007C539E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made under the </w:t>
      </w:r>
      <w:r>
        <w:rPr>
          <w:i/>
          <w:color w:val="auto"/>
          <w:szCs w:val="24"/>
        </w:rPr>
        <w:t>Primary Industries Levies and Charges Collection Act 1991</w:t>
      </w:r>
      <w:r w:rsidR="00115432">
        <w:rPr>
          <w:color w:val="auto"/>
          <w:szCs w:val="24"/>
        </w:rPr>
        <w:t xml:space="preserve"> and the </w:t>
      </w:r>
      <w:r w:rsidR="00115432">
        <w:rPr>
          <w:i/>
          <w:color w:val="auto"/>
          <w:szCs w:val="24"/>
        </w:rPr>
        <w:t>Primary Industries (Customs) Charges Act 1999.</w:t>
      </w:r>
    </w:p>
    <w:p w14:paraId="550D8442" w14:textId="77777777" w:rsidR="00297CFB" w:rsidRPr="00836D6E" w:rsidRDefault="00297CFB" w:rsidP="00297CFB">
      <w:pPr>
        <w:pStyle w:val="Normal-em"/>
        <w:spacing w:after="0" w:line="240" w:lineRule="auto"/>
        <w:rPr>
          <w:iCs/>
          <w:color w:val="auto"/>
          <w:szCs w:val="24"/>
        </w:rPr>
      </w:pPr>
    </w:p>
    <w:p w14:paraId="0297C7C6" w14:textId="77777777" w:rsidR="00297CFB" w:rsidRDefault="00297CFB" w:rsidP="00297CFB">
      <w:pPr>
        <w:pStyle w:val="Normal-em"/>
        <w:spacing w:after="0" w:line="240" w:lineRule="auto"/>
        <w:rPr>
          <w:color w:val="auto"/>
          <w:szCs w:val="24"/>
          <w:u w:val="single"/>
        </w:rPr>
      </w:pPr>
      <w:r>
        <w:rPr>
          <w:color w:val="auto"/>
          <w:szCs w:val="24"/>
          <w:u w:val="single"/>
        </w:rPr>
        <w:t>Section 4 – Schedules</w:t>
      </w:r>
    </w:p>
    <w:p w14:paraId="13D7AAB5" w14:textId="77777777" w:rsidR="00297CFB" w:rsidRPr="00DF3F6E" w:rsidRDefault="00297CFB" w:rsidP="00297CFB">
      <w:pPr>
        <w:pStyle w:val="Normal-em"/>
        <w:spacing w:after="0" w:line="240" w:lineRule="auto"/>
        <w:rPr>
          <w:color w:val="auto"/>
          <w:szCs w:val="24"/>
        </w:rPr>
      </w:pPr>
    </w:p>
    <w:p w14:paraId="53BCA8F0" w14:textId="2219AA14" w:rsidR="00297CFB" w:rsidRPr="00DF3F6E" w:rsidRDefault="00297CFB" w:rsidP="00297CFB">
      <w:pPr>
        <w:pStyle w:val="Normal-em"/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>This section provide</w:t>
      </w:r>
      <w:r w:rsidR="00600BA8">
        <w:rPr>
          <w:color w:val="auto"/>
          <w:szCs w:val="24"/>
        </w:rPr>
        <w:t>s</w:t>
      </w:r>
      <w:r>
        <w:rPr>
          <w:color w:val="auto"/>
          <w:szCs w:val="24"/>
        </w:rPr>
        <w:t xml:space="preserve"> that the </w:t>
      </w:r>
      <w:r w:rsidR="00A869B2">
        <w:rPr>
          <w:color w:val="auto"/>
          <w:szCs w:val="24"/>
        </w:rPr>
        <w:t>instruments specified in Schedule 1 are</w:t>
      </w:r>
      <w:r>
        <w:rPr>
          <w:color w:val="auto"/>
          <w:szCs w:val="24"/>
        </w:rPr>
        <w:t xml:space="preserve"> amended as </w:t>
      </w:r>
      <w:r w:rsidRPr="00587C84">
        <w:rPr>
          <w:color w:val="auto"/>
          <w:szCs w:val="24"/>
        </w:rPr>
        <w:t>set out in Schedule 1.</w:t>
      </w:r>
    </w:p>
    <w:p w14:paraId="07A9DF19" w14:textId="77777777" w:rsidR="00297CFB" w:rsidRDefault="00297CFB" w:rsidP="00297CFB">
      <w:pPr>
        <w:pStyle w:val="Normal-em"/>
        <w:spacing w:after="0" w:line="240" w:lineRule="auto"/>
        <w:rPr>
          <w:color w:val="auto"/>
          <w:szCs w:val="24"/>
          <w:u w:val="single"/>
        </w:rPr>
      </w:pPr>
    </w:p>
    <w:p w14:paraId="1AE088BE" w14:textId="77777777" w:rsidR="00297CFB" w:rsidRDefault="00297CFB" w:rsidP="00297CFB">
      <w:pPr>
        <w:pStyle w:val="Normal-em"/>
        <w:spacing w:after="0" w:line="240" w:lineRule="auto"/>
        <w:rPr>
          <w:color w:val="auto"/>
          <w:szCs w:val="24"/>
          <w:u w:val="single"/>
        </w:rPr>
      </w:pPr>
      <w:r w:rsidRPr="00836D6E">
        <w:rPr>
          <w:color w:val="auto"/>
          <w:szCs w:val="24"/>
          <w:u w:val="single"/>
        </w:rPr>
        <w:t>Schedule 1 – Amendments</w:t>
      </w:r>
    </w:p>
    <w:p w14:paraId="32EA9F84" w14:textId="77777777" w:rsidR="00297CFB" w:rsidRDefault="00297CFB" w:rsidP="00297CFB">
      <w:pPr>
        <w:pStyle w:val="Normal-em"/>
        <w:spacing w:after="0" w:line="240" w:lineRule="auto"/>
        <w:rPr>
          <w:color w:val="auto"/>
          <w:szCs w:val="24"/>
          <w:u w:val="single"/>
        </w:rPr>
      </w:pPr>
    </w:p>
    <w:p w14:paraId="4322270D" w14:textId="77777777" w:rsidR="00D728A4" w:rsidRPr="00256668" w:rsidRDefault="00D728A4" w:rsidP="00D728A4">
      <w:pPr>
        <w:pStyle w:val="Normal-em"/>
        <w:spacing w:after="0" w:line="240" w:lineRule="auto"/>
        <w:rPr>
          <w:b/>
          <w:color w:val="auto"/>
          <w:szCs w:val="24"/>
          <w:u w:val="single"/>
        </w:rPr>
      </w:pPr>
      <w:r w:rsidRPr="00256668">
        <w:rPr>
          <w:b/>
          <w:color w:val="auto"/>
          <w:szCs w:val="24"/>
          <w:u w:val="single"/>
        </w:rPr>
        <w:t>Part 1 – Amendments relating to the Australian Grape and Wine Authority</w:t>
      </w:r>
    </w:p>
    <w:p w14:paraId="65E95300" w14:textId="77777777" w:rsidR="00D728A4" w:rsidRDefault="00D728A4" w:rsidP="00297CFB">
      <w:pPr>
        <w:pStyle w:val="Normal-em"/>
        <w:spacing w:after="0" w:line="240" w:lineRule="auto"/>
        <w:rPr>
          <w:color w:val="auto"/>
          <w:szCs w:val="24"/>
          <w:u w:val="single"/>
        </w:rPr>
      </w:pPr>
    </w:p>
    <w:p w14:paraId="6DF65129" w14:textId="7EA71A62" w:rsidR="00297CFB" w:rsidRPr="00F77C8E" w:rsidRDefault="00297CFB" w:rsidP="00297CFB">
      <w:pPr>
        <w:pStyle w:val="norm1"/>
        <w:spacing w:after="240"/>
        <w:rPr>
          <w:i/>
          <w:szCs w:val="24"/>
          <w:u w:val="single"/>
        </w:rPr>
      </w:pPr>
      <w:r w:rsidRPr="00F77C8E">
        <w:rPr>
          <w:i/>
          <w:szCs w:val="24"/>
          <w:u w:val="single"/>
        </w:rPr>
        <w:t xml:space="preserve">Primary Industries </w:t>
      </w:r>
      <w:r w:rsidR="00D728A4">
        <w:rPr>
          <w:i/>
          <w:szCs w:val="24"/>
          <w:u w:val="single"/>
        </w:rPr>
        <w:t>(Customs) Charges</w:t>
      </w:r>
      <w:r>
        <w:rPr>
          <w:i/>
          <w:szCs w:val="24"/>
          <w:u w:val="single"/>
        </w:rPr>
        <w:t xml:space="preserve"> </w:t>
      </w:r>
      <w:r w:rsidRPr="00F77C8E">
        <w:rPr>
          <w:i/>
          <w:szCs w:val="24"/>
          <w:u w:val="single"/>
        </w:rPr>
        <w:t>Regulati</w:t>
      </w:r>
      <w:r>
        <w:rPr>
          <w:i/>
          <w:szCs w:val="24"/>
          <w:u w:val="single"/>
        </w:rPr>
        <w:t xml:space="preserve">ons </w:t>
      </w:r>
      <w:r w:rsidR="00D728A4">
        <w:rPr>
          <w:i/>
          <w:szCs w:val="24"/>
          <w:u w:val="single"/>
        </w:rPr>
        <w:t>2000</w:t>
      </w:r>
    </w:p>
    <w:p w14:paraId="49D826B1" w14:textId="77777777" w:rsidR="00D03B55" w:rsidRPr="00256668" w:rsidRDefault="00D03B55" w:rsidP="00D03B55">
      <w:pPr>
        <w:pStyle w:val="norm1"/>
        <w:spacing w:after="240"/>
        <w:rPr>
          <w:szCs w:val="24"/>
        </w:rPr>
      </w:pPr>
      <w:r w:rsidRPr="00256668">
        <w:rPr>
          <w:b/>
          <w:szCs w:val="24"/>
        </w:rPr>
        <w:t>Item 1 – Clause 1 of Schedule 13</w:t>
      </w:r>
    </w:p>
    <w:p w14:paraId="045141A0" w14:textId="1A78A9E0" w:rsidR="00D03B55" w:rsidRPr="00256668" w:rsidRDefault="00D03B55" w:rsidP="00D03B55">
      <w:pPr>
        <w:pStyle w:val="norm1"/>
        <w:spacing w:after="240"/>
        <w:rPr>
          <w:szCs w:val="24"/>
        </w:rPr>
      </w:pPr>
      <w:r>
        <w:rPr>
          <w:szCs w:val="24"/>
        </w:rPr>
        <w:t>This item omit</w:t>
      </w:r>
      <w:r w:rsidR="00600BA8">
        <w:rPr>
          <w:szCs w:val="24"/>
        </w:rPr>
        <w:t>s</w:t>
      </w:r>
      <w:r>
        <w:rPr>
          <w:szCs w:val="24"/>
        </w:rPr>
        <w:t xml:space="preserve"> a reference to the ‘</w:t>
      </w:r>
      <w:r w:rsidRPr="00256668">
        <w:rPr>
          <w:i/>
          <w:szCs w:val="24"/>
        </w:rPr>
        <w:t>Australian Wine and Brandy Corporation Act 1980</w:t>
      </w:r>
      <w:r>
        <w:rPr>
          <w:szCs w:val="24"/>
        </w:rPr>
        <w:t>’ and substitute</w:t>
      </w:r>
      <w:r w:rsidR="00600BA8">
        <w:rPr>
          <w:szCs w:val="24"/>
        </w:rPr>
        <w:t>s</w:t>
      </w:r>
      <w:r>
        <w:rPr>
          <w:szCs w:val="24"/>
        </w:rPr>
        <w:t xml:space="preserve"> it with a reference to the ‘</w:t>
      </w:r>
      <w:r w:rsidRPr="00256668">
        <w:rPr>
          <w:i/>
          <w:szCs w:val="24"/>
        </w:rPr>
        <w:t>Australian Grape and Wine Authority Act 2013</w:t>
      </w:r>
      <w:r>
        <w:rPr>
          <w:szCs w:val="24"/>
        </w:rPr>
        <w:t>’.</w:t>
      </w:r>
    </w:p>
    <w:p w14:paraId="3C4F4B20" w14:textId="77777777" w:rsidR="00D03B55" w:rsidRPr="00256668" w:rsidRDefault="00D03B55" w:rsidP="00D03B55">
      <w:pPr>
        <w:pStyle w:val="norm1"/>
        <w:spacing w:after="240"/>
        <w:rPr>
          <w:szCs w:val="24"/>
        </w:rPr>
      </w:pPr>
      <w:r w:rsidRPr="00256668">
        <w:rPr>
          <w:b/>
          <w:szCs w:val="24"/>
        </w:rPr>
        <w:t xml:space="preserve">Item </w:t>
      </w:r>
      <w:r>
        <w:rPr>
          <w:b/>
          <w:szCs w:val="24"/>
        </w:rPr>
        <w:t>2</w:t>
      </w:r>
      <w:r w:rsidRPr="00256668">
        <w:rPr>
          <w:b/>
          <w:szCs w:val="24"/>
        </w:rPr>
        <w:t xml:space="preserve"> – Clause 1 of Schedule 13</w:t>
      </w:r>
      <w:r>
        <w:rPr>
          <w:b/>
          <w:szCs w:val="24"/>
        </w:rPr>
        <w:t xml:space="preserve"> (note)</w:t>
      </w:r>
    </w:p>
    <w:p w14:paraId="4901E6B6" w14:textId="19D11AD2" w:rsidR="00D03B55" w:rsidRDefault="00D03B55" w:rsidP="00D03B55">
      <w:pPr>
        <w:pStyle w:val="norm1"/>
        <w:spacing w:after="240"/>
        <w:rPr>
          <w:szCs w:val="24"/>
        </w:rPr>
      </w:pPr>
      <w:r>
        <w:rPr>
          <w:szCs w:val="24"/>
        </w:rPr>
        <w:t>This item omit</w:t>
      </w:r>
      <w:r w:rsidR="00600BA8">
        <w:rPr>
          <w:szCs w:val="24"/>
        </w:rPr>
        <w:t>s</w:t>
      </w:r>
      <w:r>
        <w:rPr>
          <w:szCs w:val="24"/>
        </w:rPr>
        <w:t xml:space="preserve"> a reference to the ‘</w:t>
      </w:r>
      <w:r w:rsidRPr="00AD51B7">
        <w:rPr>
          <w:szCs w:val="24"/>
        </w:rPr>
        <w:t>Australian Wine and Brandy Corporation Regulations’</w:t>
      </w:r>
      <w:r>
        <w:rPr>
          <w:szCs w:val="24"/>
        </w:rPr>
        <w:t xml:space="preserve"> and substitute</w:t>
      </w:r>
      <w:r w:rsidR="00600BA8">
        <w:rPr>
          <w:szCs w:val="24"/>
        </w:rPr>
        <w:t>s</w:t>
      </w:r>
      <w:r>
        <w:rPr>
          <w:szCs w:val="24"/>
        </w:rPr>
        <w:t xml:space="preserve"> it with a reference to the ‘</w:t>
      </w:r>
      <w:r w:rsidRPr="00256668">
        <w:rPr>
          <w:i/>
          <w:szCs w:val="24"/>
        </w:rPr>
        <w:t xml:space="preserve">Australian Grape and Wine Authority </w:t>
      </w:r>
      <w:r>
        <w:rPr>
          <w:i/>
          <w:szCs w:val="24"/>
        </w:rPr>
        <w:t>Regulations 1981</w:t>
      </w:r>
      <w:r>
        <w:rPr>
          <w:szCs w:val="24"/>
        </w:rPr>
        <w:t>.</w:t>
      </w:r>
    </w:p>
    <w:p w14:paraId="68FCB705" w14:textId="77777777" w:rsidR="00D03B55" w:rsidRDefault="00D03B55" w:rsidP="00D03B55">
      <w:pPr>
        <w:pStyle w:val="norm1"/>
        <w:spacing w:after="240"/>
        <w:rPr>
          <w:szCs w:val="24"/>
          <w:u w:val="single"/>
        </w:rPr>
      </w:pPr>
      <w:r w:rsidRPr="00F77C8E">
        <w:rPr>
          <w:i/>
          <w:szCs w:val="24"/>
          <w:u w:val="single"/>
        </w:rPr>
        <w:t xml:space="preserve">Primary Industries </w:t>
      </w:r>
      <w:r>
        <w:rPr>
          <w:i/>
          <w:szCs w:val="24"/>
          <w:u w:val="single"/>
        </w:rPr>
        <w:t>Levies and Charges Collection Regulations 1991</w:t>
      </w:r>
    </w:p>
    <w:p w14:paraId="42063207" w14:textId="77777777" w:rsidR="00D03B55" w:rsidRPr="00256668" w:rsidRDefault="00D03B55" w:rsidP="00D03B55">
      <w:pPr>
        <w:pStyle w:val="norm1"/>
        <w:spacing w:after="240"/>
        <w:rPr>
          <w:szCs w:val="24"/>
        </w:rPr>
      </w:pPr>
      <w:r w:rsidRPr="00256668">
        <w:rPr>
          <w:b/>
          <w:szCs w:val="24"/>
        </w:rPr>
        <w:t xml:space="preserve">Item </w:t>
      </w:r>
      <w:r>
        <w:rPr>
          <w:b/>
          <w:szCs w:val="24"/>
        </w:rPr>
        <w:t>3</w:t>
      </w:r>
      <w:r w:rsidRPr="00256668">
        <w:rPr>
          <w:b/>
          <w:szCs w:val="24"/>
        </w:rPr>
        <w:t xml:space="preserve"> – Clause </w:t>
      </w:r>
      <w:r>
        <w:rPr>
          <w:b/>
          <w:szCs w:val="24"/>
        </w:rPr>
        <w:t>2</w:t>
      </w:r>
      <w:r w:rsidRPr="00256668">
        <w:rPr>
          <w:b/>
          <w:szCs w:val="24"/>
        </w:rPr>
        <w:t xml:space="preserve"> of Schedule </w:t>
      </w:r>
      <w:r>
        <w:rPr>
          <w:b/>
          <w:szCs w:val="24"/>
        </w:rPr>
        <w:t>35</w:t>
      </w:r>
    </w:p>
    <w:p w14:paraId="02BA1003" w14:textId="05FE9E5E" w:rsidR="00D03B55" w:rsidRPr="00745873" w:rsidRDefault="00D03B55" w:rsidP="00D03B55">
      <w:pPr>
        <w:pStyle w:val="Normal-em"/>
        <w:spacing w:line="240" w:lineRule="auto"/>
        <w:rPr>
          <w:color w:val="auto"/>
          <w:szCs w:val="24"/>
        </w:rPr>
      </w:pPr>
      <w:r>
        <w:rPr>
          <w:szCs w:val="24"/>
        </w:rPr>
        <w:t>This item insert</w:t>
      </w:r>
      <w:r w:rsidR="00600BA8">
        <w:rPr>
          <w:szCs w:val="24"/>
        </w:rPr>
        <w:t>s</w:t>
      </w:r>
      <w:r>
        <w:rPr>
          <w:szCs w:val="24"/>
        </w:rPr>
        <w:t xml:space="preserve"> a definition that </w:t>
      </w:r>
      <w:r>
        <w:rPr>
          <w:i/>
          <w:szCs w:val="24"/>
        </w:rPr>
        <w:t>‘</w:t>
      </w:r>
      <w:r w:rsidRPr="00AD51B7">
        <w:rPr>
          <w:b/>
          <w:i/>
          <w:szCs w:val="24"/>
        </w:rPr>
        <w:t>Authority</w:t>
      </w:r>
      <w:r>
        <w:rPr>
          <w:i/>
          <w:szCs w:val="24"/>
        </w:rPr>
        <w:t xml:space="preserve"> </w:t>
      </w:r>
      <w:r w:rsidRPr="00AD51B7">
        <w:rPr>
          <w:szCs w:val="24"/>
        </w:rPr>
        <w:t xml:space="preserve">means the </w:t>
      </w:r>
      <w:r>
        <w:rPr>
          <w:szCs w:val="24"/>
        </w:rPr>
        <w:t>Australian Grape and Wine Authority’.</w:t>
      </w:r>
    </w:p>
    <w:p w14:paraId="3704F1EC" w14:textId="77777777" w:rsidR="00D03B55" w:rsidRDefault="00D03B55" w:rsidP="00D03B55">
      <w:pPr>
        <w:pStyle w:val="norm1"/>
        <w:spacing w:after="240"/>
        <w:rPr>
          <w:b/>
          <w:i/>
          <w:szCs w:val="24"/>
        </w:rPr>
      </w:pPr>
      <w:r w:rsidRPr="00256668">
        <w:rPr>
          <w:b/>
          <w:szCs w:val="24"/>
        </w:rPr>
        <w:t xml:space="preserve">Item </w:t>
      </w:r>
      <w:r>
        <w:rPr>
          <w:b/>
          <w:szCs w:val="24"/>
        </w:rPr>
        <w:t>4</w:t>
      </w:r>
      <w:r w:rsidRPr="00256668">
        <w:rPr>
          <w:b/>
          <w:szCs w:val="24"/>
        </w:rPr>
        <w:t xml:space="preserve"> – Clause </w:t>
      </w:r>
      <w:r>
        <w:rPr>
          <w:b/>
          <w:szCs w:val="24"/>
        </w:rPr>
        <w:t>2</w:t>
      </w:r>
      <w:r w:rsidRPr="00256668">
        <w:rPr>
          <w:b/>
          <w:szCs w:val="24"/>
        </w:rPr>
        <w:t xml:space="preserve"> of Schedule </w:t>
      </w:r>
      <w:r>
        <w:rPr>
          <w:b/>
          <w:szCs w:val="24"/>
        </w:rPr>
        <w:t xml:space="preserve">35 (definition of </w:t>
      </w:r>
      <w:r>
        <w:rPr>
          <w:b/>
          <w:i/>
          <w:szCs w:val="24"/>
        </w:rPr>
        <w:t>Corporation)</w:t>
      </w:r>
    </w:p>
    <w:p w14:paraId="53C1B25E" w14:textId="140E38D8" w:rsidR="00D03B55" w:rsidRDefault="00D03B55" w:rsidP="00D03B55">
      <w:pPr>
        <w:pStyle w:val="norm1"/>
        <w:spacing w:after="240"/>
        <w:rPr>
          <w:i/>
          <w:szCs w:val="24"/>
        </w:rPr>
      </w:pPr>
      <w:r>
        <w:rPr>
          <w:szCs w:val="24"/>
        </w:rPr>
        <w:t>This item repeal</w:t>
      </w:r>
      <w:r w:rsidR="00600BA8">
        <w:rPr>
          <w:szCs w:val="24"/>
        </w:rPr>
        <w:t>s</w:t>
      </w:r>
      <w:r>
        <w:rPr>
          <w:szCs w:val="24"/>
        </w:rPr>
        <w:t xml:space="preserve"> the definition of </w:t>
      </w:r>
      <w:r>
        <w:rPr>
          <w:i/>
          <w:szCs w:val="24"/>
        </w:rPr>
        <w:t>Corporation.</w:t>
      </w:r>
    </w:p>
    <w:p w14:paraId="3EB2999C" w14:textId="77777777" w:rsidR="00D03B55" w:rsidRDefault="00D03B55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b/>
          <w:szCs w:val="24"/>
        </w:rPr>
        <w:br w:type="page"/>
      </w:r>
    </w:p>
    <w:p w14:paraId="48E4A381" w14:textId="6873D4AB" w:rsidR="00D03B55" w:rsidRDefault="00D03B55" w:rsidP="00D03B55">
      <w:pPr>
        <w:pStyle w:val="norm1"/>
        <w:spacing w:after="240"/>
        <w:rPr>
          <w:b/>
          <w:i/>
          <w:szCs w:val="24"/>
        </w:rPr>
      </w:pPr>
      <w:r>
        <w:rPr>
          <w:b/>
          <w:szCs w:val="24"/>
        </w:rPr>
        <w:t xml:space="preserve">Item 5 – Clause 2 of Schedule 35 (definition of </w:t>
      </w:r>
      <w:r>
        <w:rPr>
          <w:b/>
          <w:i/>
          <w:szCs w:val="24"/>
        </w:rPr>
        <w:t>licence)</w:t>
      </w:r>
    </w:p>
    <w:p w14:paraId="06616029" w14:textId="00A76EE5" w:rsidR="00D03B55" w:rsidRDefault="00D03B55" w:rsidP="00D03B55">
      <w:pPr>
        <w:pStyle w:val="norm1"/>
        <w:spacing w:after="240"/>
        <w:rPr>
          <w:i/>
          <w:szCs w:val="24"/>
        </w:rPr>
      </w:pPr>
      <w:r>
        <w:rPr>
          <w:szCs w:val="24"/>
        </w:rPr>
        <w:t>This item omit</w:t>
      </w:r>
      <w:r w:rsidR="00600BA8">
        <w:rPr>
          <w:szCs w:val="24"/>
        </w:rPr>
        <w:t>s</w:t>
      </w:r>
      <w:r>
        <w:rPr>
          <w:szCs w:val="24"/>
        </w:rPr>
        <w:t xml:space="preserve"> a reference to “issued under regulation 5 of the Australian Wine and Brandy Corporation Regulations,” and substitute</w:t>
      </w:r>
      <w:r w:rsidR="00600BA8">
        <w:rPr>
          <w:szCs w:val="24"/>
        </w:rPr>
        <w:t>s</w:t>
      </w:r>
      <w:r>
        <w:rPr>
          <w:szCs w:val="24"/>
        </w:rPr>
        <w:t xml:space="preserve"> it with a reference to “granted under regulation 5 of the </w:t>
      </w:r>
      <w:r>
        <w:rPr>
          <w:i/>
          <w:szCs w:val="24"/>
        </w:rPr>
        <w:t>Australian Grape and Wine Authority Regulations 1981,”.</w:t>
      </w:r>
    </w:p>
    <w:p w14:paraId="60B2C5A2" w14:textId="77777777" w:rsidR="00D03B55" w:rsidRDefault="00D03B55" w:rsidP="00D03B55">
      <w:pPr>
        <w:pStyle w:val="norm1"/>
        <w:spacing w:after="240"/>
        <w:rPr>
          <w:szCs w:val="24"/>
        </w:rPr>
      </w:pPr>
      <w:r>
        <w:rPr>
          <w:b/>
          <w:szCs w:val="24"/>
        </w:rPr>
        <w:t>Item 6 – Clause 5 of Schedule 35 (heading)</w:t>
      </w:r>
    </w:p>
    <w:p w14:paraId="4554AF4B" w14:textId="3255F20D" w:rsidR="00D03B55" w:rsidRPr="00E54BCD" w:rsidRDefault="00D03B55" w:rsidP="00D03B55">
      <w:pPr>
        <w:pStyle w:val="norm1"/>
        <w:spacing w:after="240"/>
        <w:rPr>
          <w:b/>
          <w:i/>
          <w:szCs w:val="24"/>
        </w:rPr>
      </w:pPr>
      <w:r>
        <w:rPr>
          <w:szCs w:val="24"/>
        </w:rPr>
        <w:t>This item repeal</w:t>
      </w:r>
      <w:r w:rsidR="00600BA8">
        <w:rPr>
          <w:szCs w:val="24"/>
        </w:rPr>
        <w:t>s</w:t>
      </w:r>
      <w:r>
        <w:rPr>
          <w:szCs w:val="24"/>
        </w:rPr>
        <w:t xml:space="preserve"> the heading “</w:t>
      </w:r>
      <w:r>
        <w:rPr>
          <w:b/>
          <w:szCs w:val="24"/>
        </w:rPr>
        <w:t xml:space="preserve">5 Obligation of </w:t>
      </w:r>
      <w:r w:rsidRPr="00E54BCD">
        <w:rPr>
          <w:b/>
          <w:szCs w:val="24"/>
        </w:rPr>
        <w:t>Corporation</w:t>
      </w:r>
      <w:r>
        <w:rPr>
          <w:szCs w:val="24"/>
        </w:rPr>
        <w:t xml:space="preserve">” </w:t>
      </w:r>
      <w:r w:rsidRPr="00E54BCD">
        <w:rPr>
          <w:szCs w:val="24"/>
        </w:rPr>
        <w:t>and</w:t>
      </w:r>
      <w:r>
        <w:rPr>
          <w:szCs w:val="24"/>
        </w:rPr>
        <w:t xml:space="preserve"> substitute</w:t>
      </w:r>
      <w:r w:rsidR="00600BA8">
        <w:rPr>
          <w:szCs w:val="24"/>
        </w:rPr>
        <w:t>s</w:t>
      </w:r>
      <w:r>
        <w:rPr>
          <w:szCs w:val="24"/>
        </w:rPr>
        <w:t xml:space="preserve"> it with the heading “</w:t>
      </w:r>
      <w:r>
        <w:rPr>
          <w:b/>
          <w:szCs w:val="24"/>
        </w:rPr>
        <w:t>5 Obligation of Authority</w:t>
      </w:r>
      <w:r>
        <w:rPr>
          <w:szCs w:val="24"/>
        </w:rPr>
        <w:t>”.</w:t>
      </w:r>
      <w:r w:rsidRPr="00E54BCD">
        <w:rPr>
          <w:b/>
          <w:i/>
          <w:szCs w:val="24"/>
        </w:rPr>
        <w:t xml:space="preserve"> </w:t>
      </w:r>
    </w:p>
    <w:p w14:paraId="5CD5A91C" w14:textId="77777777" w:rsidR="00D03B55" w:rsidRDefault="00D03B55" w:rsidP="00D03B55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Item 7 – Clause 5 of Schedule 35</w:t>
      </w:r>
    </w:p>
    <w:p w14:paraId="0BC58159" w14:textId="2633B2AB" w:rsidR="00D03B55" w:rsidRDefault="00D03B55" w:rsidP="00D03B5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item omit</w:t>
      </w:r>
      <w:r w:rsidR="00600BA8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a reference to the “</w:t>
      </w:r>
      <w:r w:rsidRPr="00E54BCD">
        <w:rPr>
          <w:rFonts w:ascii="Times New Roman" w:hAnsi="Times New Roman" w:cs="Times New Roman"/>
          <w:sz w:val="24"/>
        </w:rPr>
        <w:t>Corporation</w:t>
      </w:r>
      <w:r>
        <w:rPr>
          <w:rFonts w:ascii="Times New Roman" w:hAnsi="Times New Roman" w:cs="Times New Roman"/>
          <w:sz w:val="24"/>
        </w:rPr>
        <w:t>” and substitute</w:t>
      </w:r>
      <w:r w:rsidR="00600BA8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it with a reference to the “Authority”.</w:t>
      </w:r>
    </w:p>
    <w:p w14:paraId="4EE29E67" w14:textId="5B45AC20" w:rsidR="00E24E4D" w:rsidRDefault="00E24E4D" w:rsidP="0038214A">
      <w:pPr>
        <w:pStyle w:val="Normal-em"/>
        <w:spacing w:after="0" w:line="240" w:lineRule="auto"/>
        <w:rPr>
          <w:b/>
          <w:u w:val="single"/>
        </w:rPr>
      </w:pPr>
      <w:r>
        <w:rPr>
          <w:b/>
          <w:u w:val="single"/>
        </w:rPr>
        <w:t>Part 2 – Amendments relating to returns</w:t>
      </w:r>
    </w:p>
    <w:p w14:paraId="57A0EC24" w14:textId="77777777" w:rsidR="00E24E4D" w:rsidRDefault="00E24E4D" w:rsidP="0038214A">
      <w:pPr>
        <w:pStyle w:val="Normal-em"/>
        <w:spacing w:after="0" w:line="240" w:lineRule="auto"/>
        <w:rPr>
          <w:b/>
          <w:u w:val="single"/>
        </w:rPr>
      </w:pPr>
    </w:p>
    <w:p w14:paraId="1AE93FD0" w14:textId="2D92386E" w:rsidR="00E24E4D" w:rsidRPr="0038214A" w:rsidRDefault="00E24E4D" w:rsidP="0038214A">
      <w:pPr>
        <w:pStyle w:val="norm1"/>
        <w:spacing w:after="240"/>
        <w:rPr>
          <w:i/>
          <w:u w:val="single"/>
        </w:rPr>
      </w:pPr>
      <w:r>
        <w:rPr>
          <w:i/>
          <w:u w:val="single"/>
        </w:rPr>
        <w:t>Primary Industries Levies and Charges Collection Regulations 1991</w:t>
      </w:r>
    </w:p>
    <w:p w14:paraId="32FFF592" w14:textId="77777777" w:rsidR="00D03B55" w:rsidRDefault="00D03B55" w:rsidP="00D03B55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Item 8 – Clause 7 of Schedule 35</w:t>
      </w:r>
    </w:p>
    <w:p w14:paraId="207CAB65" w14:textId="3103AA2C" w:rsidR="00D03B55" w:rsidRDefault="00D03B55" w:rsidP="00D03B5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item omit</w:t>
      </w:r>
      <w:r w:rsidR="00600BA8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the reference “must lodge a quarterly return” and substitute</w:t>
      </w:r>
      <w:r w:rsidR="00600BA8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it with the reference “that has exported wine (other than exempt wine) in a quarter must lodge a quarterly return for the quarter”.</w:t>
      </w:r>
    </w:p>
    <w:p w14:paraId="69C814DC" w14:textId="77777777" w:rsidR="00D03B55" w:rsidRDefault="00D03B55" w:rsidP="00D03B55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Item 9 – Clause 13 of Schedule 35</w:t>
      </w:r>
    </w:p>
    <w:p w14:paraId="3BD52D97" w14:textId="74A4177F" w:rsidR="00D03B55" w:rsidRDefault="00D03B55" w:rsidP="00D03B5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item omit</w:t>
      </w:r>
      <w:r w:rsidR="00E24E4D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the reference “$200” and substitute</w:t>
      </w:r>
      <w:r w:rsidR="00E24E4D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it with a reference to “$1000”.</w:t>
      </w:r>
    </w:p>
    <w:p w14:paraId="7C42C262" w14:textId="77777777" w:rsidR="00D03B55" w:rsidRDefault="00D03B55" w:rsidP="00D03B55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Item 10 – Paragraph 14(1)(c) of Schedule 35</w:t>
      </w:r>
    </w:p>
    <w:p w14:paraId="28282336" w14:textId="56266835" w:rsidR="00D03B55" w:rsidRDefault="00D03B55" w:rsidP="00D03B5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item omit</w:t>
      </w:r>
      <w:r w:rsidR="00E24E4D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the reference “$200” and substitute</w:t>
      </w:r>
      <w:r w:rsidR="00E24E4D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it with a reference to “$1000”.</w:t>
      </w:r>
    </w:p>
    <w:p w14:paraId="24470B78" w14:textId="033FB94D" w:rsidR="00297CFB" w:rsidRDefault="00297CFB" w:rsidP="00297CFB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548FB603" w14:textId="77777777" w:rsidR="009C6DCC" w:rsidRDefault="009C6DCC">
      <w:pP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  <w:r>
        <w:rPr>
          <w:b/>
          <w:caps/>
          <w:szCs w:val="24"/>
          <w:u w:val="single"/>
        </w:rPr>
        <w:br w:type="page"/>
      </w:r>
    </w:p>
    <w:p w14:paraId="28466C81" w14:textId="77777777" w:rsidR="009C6DCC" w:rsidRDefault="009C6DCC" w:rsidP="009C6D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DCC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TTACHMENT</w:t>
      </w:r>
      <w:r w:rsidRPr="009C6DCC">
        <w:rPr>
          <w:rFonts w:ascii="Times New Roman" w:hAnsi="Times New Roman" w:cs="Times New Roman"/>
          <w:b/>
          <w:sz w:val="24"/>
          <w:szCs w:val="24"/>
          <w:u w:val="single"/>
        </w:rPr>
        <w:t xml:space="preserve"> B</w:t>
      </w:r>
    </w:p>
    <w:p w14:paraId="30BD5B6B" w14:textId="77777777" w:rsidR="009C6DCC" w:rsidRPr="009C6DCC" w:rsidRDefault="009C6DCC" w:rsidP="009C6D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68E771" w14:textId="77777777" w:rsidR="002B1DB3" w:rsidRPr="005D1ABF" w:rsidRDefault="002B1DB3" w:rsidP="005D1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ABF">
        <w:rPr>
          <w:rFonts w:ascii="Times New Roman" w:hAnsi="Times New Roman" w:cs="Times New Roman"/>
          <w:b/>
          <w:sz w:val="24"/>
          <w:szCs w:val="24"/>
        </w:rPr>
        <w:t>Statement of Compatibility with Human Rights</w:t>
      </w:r>
    </w:p>
    <w:p w14:paraId="3283D682" w14:textId="77777777" w:rsidR="002B1DB3" w:rsidRPr="005D1ABF" w:rsidRDefault="002B1DB3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ABF">
        <w:rPr>
          <w:rFonts w:ascii="Times New Roman" w:hAnsi="Times New Roman" w:cs="Times New Roman"/>
          <w:i/>
          <w:sz w:val="24"/>
          <w:szCs w:val="24"/>
        </w:rPr>
        <w:t>Prepared in accordance with Part 3 of the Human Rights (Parliamentary Scrutiny) Act 2011</w:t>
      </w:r>
    </w:p>
    <w:p w14:paraId="06C907D5" w14:textId="77777777" w:rsidR="002B1DB3" w:rsidRPr="005D1ABF" w:rsidRDefault="002B1DB3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3E183F" w14:textId="77777777" w:rsidR="002B1DB3" w:rsidRPr="00297CFB" w:rsidRDefault="00297CFB" w:rsidP="005D1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CFB">
        <w:rPr>
          <w:rFonts w:ascii="Times New Roman" w:hAnsi="Times New Roman" w:cs="Times New Roman"/>
          <w:b/>
          <w:sz w:val="24"/>
          <w:szCs w:val="24"/>
          <w:u w:val="single"/>
        </w:rPr>
        <w:t>Primar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y Industries </w:t>
      </w:r>
      <w:r w:rsidR="00E0349D">
        <w:rPr>
          <w:rFonts w:ascii="Times New Roman" w:hAnsi="Times New Roman" w:cs="Times New Roman"/>
          <w:b/>
          <w:sz w:val="24"/>
          <w:szCs w:val="24"/>
          <w:u w:val="single"/>
        </w:rPr>
        <w:t>Legislation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Amendment (Wine) Regulation</w:t>
      </w:r>
      <w:r w:rsidR="00E0349D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2017 </w:t>
      </w:r>
      <w:r w:rsidRPr="00297C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E3506A0" w14:textId="77777777" w:rsidR="002B1DB3" w:rsidRPr="005D1ABF" w:rsidRDefault="002B1DB3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4BE485" w14:textId="77777777" w:rsidR="002B1DB3" w:rsidRPr="005D1ABF" w:rsidRDefault="002B1DB3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ABF">
        <w:rPr>
          <w:rFonts w:ascii="Times New Roman" w:hAnsi="Times New Roman" w:cs="Times New Roman"/>
          <w:sz w:val="24"/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5D1ABF">
        <w:rPr>
          <w:rFonts w:ascii="Times New Roman" w:hAnsi="Times New Roman" w:cs="Times New Roman"/>
          <w:i/>
          <w:sz w:val="24"/>
          <w:szCs w:val="24"/>
        </w:rPr>
        <w:t>Human Rights (Parliamentary Scrutiny) Act 2011</w:t>
      </w:r>
      <w:r w:rsidRPr="005D1ABF">
        <w:rPr>
          <w:rFonts w:ascii="Times New Roman" w:hAnsi="Times New Roman" w:cs="Times New Roman"/>
          <w:sz w:val="24"/>
          <w:szCs w:val="24"/>
        </w:rPr>
        <w:t>.</w:t>
      </w:r>
    </w:p>
    <w:p w14:paraId="318A853B" w14:textId="77777777" w:rsidR="002B1DB3" w:rsidRPr="005D1ABF" w:rsidRDefault="002B1DB3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5E3C7" w14:textId="77777777" w:rsidR="002B1DB3" w:rsidRPr="005D1ABF" w:rsidRDefault="002B1DB3" w:rsidP="005D1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ABF">
        <w:rPr>
          <w:rFonts w:ascii="Times New Roman" w:hAnsi="Times New Roman" w:cs="Times New Roman"/>
          <w:b/>
          <w:sz w:val="24"/>
          <w:szCs w:val="24"/>
        </w:rPr>
        <w:t>Overview of the Legislative Instrument</w:t>
      </w:r>
    </w:p>
    <w:p w14:paraId="0AA01DBE" w14:textId="17E5C978" w:rsidR="00297CFB" w:rsidRDefault="00297CFB" w:rsidP="00297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CF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purpose of the </w:t>
      </w:r>
      <w:r w:rsidR="007D5DC9">
        <w:rPr>
          <w:rFonts w:ascii="Times New Roman" w:hAnsi="Times New Roman" w:cs="Times New Roman"/>
          <w:sz w:val="24"/>
          <w:szCs w:val="24"/>
        </w:rPr>
        <w:t xml:space="preserve">Legislative Instrument </w:t>
      </w:r>
      <w:r>
        <w:rPr>
          <w:rFonts w:ascii="Times New Roman" w:hAnsi="Times New Roman" w:cs="Times New Roman"/>
          <w:sz w:val="24"/>
          <w:szCs w:val="24"/>
        </w:rPr>
        <w:t>is to amend the wine export charge collection mechanism and reduce the regulatory and administrative burden on Australian wine exporters</w:t>
      </w:r>
      <w:r w:rsidR="00E0349D">
        <w:rPr>
          <w:rFonts w:ascii="Times New Roman" w:hAnsi="Times New Roman" w:cs="Times New Roman"/>
          <w:sz w:val="24"/>
          <w:szCs w:val="24"/>
        </w:rPr>
        <w:t xml:space="preserve"> and the Australian Grape and Wine Authority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A1AA56" w14:textId="77777777" w:rsidR="002B1DB3" w:rsidRPr="00297CFB" w:rsidRDefault="002B1DB3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07471" w14:textId="77777777" w:rsidR="002B1DB3" w:rsidRPr="005D1ABF" w:rsidRDefault="002B1DB3" w:rsidP="005D1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ABF">
        <w:rPr>
          <w:rFonts w:ascii="Times New Roman" w:hAnsi="Times New Roman" w:cs="Times New Roman"/>
          <w:b/>
          <w:sz w:val="24"/>
          <w:szCs w:val="24"/>
        </w:rPr>
        <w:t>Human rights implications</w:t>
      </w:r>
    </w:p>
    <w:p w14:paraId="464FECAA" w14:textId="77777777" w:rsidR="002B1DB3" w:rsidRPr="005D1ABF" w:rsidRDefault="002B1DB3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ABF">
        <w:rPr>
          <w:rFonts w:ascii="Times New Roman" w:hAnsi="Times New Roman" w:cs="Times New Roman"/>
          <w:sz w:val="24"/>
          <w:szCs w:val="24"/>
        </w:rPr>
        <w:t>This Legislative Instrument does not engage any of the applicable rights or freedoms.</w:t>
      </w:r>
    </w:p>
    <w:p w14:paraId="033718E4" w14:textId="77777777" w:rsidR="002B1DB3" w:rsidRPr="005D1ABF" w:rsidRDefault="002B1DB3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2A237" w14:textId="77777777" w:rsidR="002B1DB3" w:rsidRPr="005D1ABF" w:rsidRDefault="002B1DB3" w:rsidP="005D1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ABF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0CD60B73" w14:textId="77777777" w:rsidR="002B1DB3" w:rsidRPr="005D1ABF" w:rsidRDefault="002B1DB3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ABF">
        <w:rPr>
          <w:rFonts w:ascii="Times New Roman" w:hAnsi="Times New Roman" w:cs="Times New Roman"/>
          <w:sz w:val="24"/>
          <w:szCs w:val="24"/>
        </w:rPr>
        <w:t>This Legislative Instrument is compatible with human rights as it does not raise any human rights issues.</w:t>
      </w:r>
    </w:p>
    <w:p w14:paraId="0A8201BD" w14:textId="77777777" w:rsidR="002B1DB3" w:rsidRPr="005D1ABF" w:rsidRDefault="002B1DB3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963A9" w14:textId="77777777" w:rsidR="002B1DB3" w:rsidRPr="005D1ABF" w:rsidRDefault="002B1DB3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1267C" w14:textId="77777777" w:rsidR="00BE6861" w:rsidRPr="005D1ABF" w:rsidRDefault="00BE6861" w:rsidP="005D1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ABF">
        <w:rPr>
          <w:rFonts w:ascii="Times New Roman" w:hAnsi="Times New Roman" w:cs="Times New Roman"/>
          <w:b/>
          <w:bCs/>
          <w:sz w:val="24"/>
          <w:szCs w:val="24"/>
        </w:rPr>
        <w:t>The Hon. Barnaby Joyce MP</w:t>
      </w:r>
    </w:p>
    <w:p w14:paraId="51EE1F97" w14:textId="77777777" w:rsidR="002B1DB3" w:rsidRPr="005D1ABF" w:rsidRDefault="00271C2E" w:rsidP="005D1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Deputy Prime Minister and </w:t>
      </w:r>
      <w:r w:rsidR="00BE6861" w:rsidRPr="005D1ABF">
        <w:rPr>
          <w:rFonts w:ascii="Times New Roman" w:hAnsi="Times New Roman" w:cs="Times New Roman"/>
          <w:b/>
          <w:bCs/>
          <w:sz w:val="24"/>
          <w:szCs w:val="24"/>
        </w:rPr>
        <w:t>Minister for Agriculture</w:t>
      </w:r>
      <w:r w:rsidR="00794F9C" w:rsidRPr="005D1ABF">
        <w:rPr>
          <w:rFonts w:ascii="Times New Roman" w:hAnsi="Times New Roman" w:cs="Times New Roman"/>
          <w:b/>
          <w:bCs/>
          <w:sz w:val="24"/>
          <w:szCs w:val="24"/>
        </w:rPr>
        <w:t xml:space="preserve"> and Water Resources</w:t>
      </w:r>
    </w:p>
    <w:p w14:paraId="373EB4B4" w14:textId="77777777" w:rsidR="002B1DB3" w:rsidRPr="005D1ABF" w:rsidRDefault="002B1DB3" w:rsidP="005D1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736DA" w14:textId="77777777" w:rsidR="002B1DB3" w:rsidRPr="005D1ABF" w:rsidRDefault="002B1DB3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F044C0" w14:textId="77777777" w:rsidR="005C1AC3" w:rsidRPr="005D1ABF" w:rsidRDefault="005C1AC3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A67D3" w14:textId="77777777" w:rsidR="00FA26FF" w:rsidRPr="005D1ABF" w:rsidRDefault="00FA26FF" w:rsidP="002B1DB3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FA26FF" w:rsidRPr="005D1ABF" w:rsidSect="001C09FB">
      <w:pgSz w:w="11907" w:h="16840" w:code="9"/>
      <w:pgMar w:top="1418" w:right="1418" w:bottom="1418" w:left="1418" w:header="284" w:footer="31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ED274" w14:textId="77777777" w:rsidR="00506BB4" w:rsidRDefault="00506BB4" w:rsidP="00151C54">
      <w:r>
        <w:separator/>
      </w:r>
    </w:p>
  </w:endnote>
  <w:endnote w:type="continuationSeparator" w:id="0">
    <w:p w14:paraId="78600D73" w14:textId="77777777" w:rsidR="00506BB4" w:rsidRDefault="00506BB4" w:rsidP="0015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418A3" w14:textId="77777777" w:rsidR="00506BB4" w:rsidRDefault="00506BB4" w:rsidP="00151C54">
      <w:r>
        <w:separator/>
      </w:r>
    </w:p>
  </w:footnote>
  <w:footnote w:type="continuationSeparator" w:id="0">
    <w:p w14:paraId="402A6C6D" w14:textId="77777777" w:rsidR="00506BB4" w:rsidRDefault="00506BB4" w:rsidP="00151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3B53"/>
    <w:multiLevelType w:val="hybridMultilevel"/>
    <w:tmpl w:val="61881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4056F"/>
    <w:multiLevelType w:val="hybridMultilevel"/>
    <w:tmpl w:val="533483E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7E7"/>
    <w:multiLevelType w:val="hybridMultilevel"/>
    <w:tmpl w:val="967460BA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5D1A62"/>
    <w:multiLevelType w:val="hybridMultilevel"/>
    <w:tmpl w:val="C49E8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35385"/>
    <w:multiLevelType w:val="hybridMultilevel"/>
    <w:tmpl w:val="B044AD5E"/>
    <w:lvl w:ilvl="0" w:tplc="CC964C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F23F1"/>
    <w:multiLevelType w:val="hybridMultilevel"/>
    <w:tmpl w:val="26C6E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40E3B"/>
    <w:multiLevelType w:val="hybridMultilevel"/>
    <w:tmpl w:val="27ECD59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447087"/>
    <w:multiLevelType w:val="hybridMultilevel"/>
    <w:tmpl w:val="C2386494"/>
    <w:lvl w:ilvl="0" w:tplc="11C28D1C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8" w15:restartNumberingAfterBreak="0">
    <w:nsid w:val="3F0845B0"/>
    <w:multiLevelType w:val="hybridMultilevel"/>
    <w:tmpl w:val="102A813A"/>
    <w:lvl w:ilvl="0" w:tplc="7DDAA85A">
      <w:start w:val="1"/>
      <w:numFmt w:val="lowerLetter"/>
      <w:pStyle w:val="HB-Paragraph-alphpoint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 w15:restartNumberingAfterBreak="0">
    <w:nsid w:val="41B02C67"/>
    <w:multiLevelType w:val="hybridMultilevel"/>
    <w:tmpl w:val="28ACB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2360B"/>
    <w:multiLevelType w:val="hybridMultilevel"/>
    <w:tmpl w:val="0E1A4066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8873532"/>
    <w:multiLevelType w:val="hybridMultilevel"/>
    <w:tmpl w:val="0DA60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D5DBB"/>
    <w:multiLevelType w:val="hybridMultilevel"/>
    <w:tmpl w:val="89FE6070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FB6120"/>
    <w:multiLevelType w:val="hybridMultilevel"/>
    <w:tmpl w:val="88CA51D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5A5562"/>
    <w:multiLevelType w:val="hybridMultilevel"/>
    <w:tmpl w:val="C6CE5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62B4E"/>
    <w:multiLevelType w:val="hybridMultilevel"/>
    <w:tmpl w:val="0798B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13"/>
  </w:num>
  <w:num w:numId="11">
    <w:abstractNumId w:val="14"/>
  </w:num>
  <w:num w:numId="12">
    <w:abstractNumId w:val="8"/>
  </w:num>
  <w:num w:numId="13">
    <w:abstractNumId w:val="8"/>
    <w:lvlOverride w:ilvl="0">
      <w:startOverride w:val="1"/>
    </w:lvlOverride>
  </w:num>
  <w:num w:numId="14">
    <w:abstractNumId w:val="0"/>
  </w:num>
  <w:num w:numId="15">
    <w:abstractNumId w:val="12"/>
  </w:num>
  <w:num w:numId="16">
    <w:abstractNumId w:val="15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en-GB" w:vendorID="64" w:dllVersion="131078" w:nlCheck="1" w:checkStyle="1"/>
  <w:activeWritingStyle w:appName="MSWord" w:lang="en-AU" w:vendorID="64" w:dllVersion="131078" w:nlCheck="1" w:checkStyle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14"/>
    <w:rsid w:val="000223C5"/>
    <w:rsid w:val="00026ECF"/>
    <w:rsid w:val="00035636"/>
    <w:rsid w:val="000503F4"/>
    <w:rsid w:val="000520B4"/>
    <w:rsid w:val="0006256A"/>
    <w:rsid w:val="000629B8"/>
    <w:rsid w:val="000645AB"/>
    <w:rsid w:val="00066CA4"/>
    <w:rsid w:val="00092F2C"/>
    <w:rsid w:val="000962BA"/>
    <w:rsid w:val="000976DB"/>
    <w:rsid w:val="000A52A2"/>
    <w:rsid w:val="000A53F7"/>
    <w:rsid w:val="000A65F6"/>
    <w:rsid w:val="000B129E"/>
    <w:rsid w:val="000C3693"/>
    <w:rsid w:val="000D07B5"/>
    <w:rsid w:val="000D78D6"/>
    <w:rsid w:val="000F08F2"/>
    <w:rsid w:val="00102163"/>
    <w:rsid w:val="001125D9"/>
    <w:rsid w:val="00113C4E"/>
    <w:rsid w:val="00115432"/>
    <w:rsid w:val="00116D61"/>
    <w:rsid w:val="0012062A"/>
    <w:rsid w:val="00127498"/>
    <w:rsid w:val="0012775E"/>
    <w:rsid w:val="001372D1"/>
    <w:rsid w:val="0014270A"/>
    <w:rsid w:val="00146DCD"/>
    <w:rsid w:val="00151263"/>
    <w:rsid w:val="00151C54"/>
    <w:rsid w:val="00153032"/>
    <w:rsid w:val="00161CE2"/>
    <w:rsid w:val="001669D6"/>
    <w:rsid w:val="001746B7"/>
    <w:rsid w:val="00175BD8"/>
    <w:rsid w:val="00180DEF"/>
    <w:rsid w:val="001813AC"/>
    <w:rsid w:val="0018228A"/>
    <w:rsid w:val="001A5CE3"/>
    <w:rsid w:val="001C09FB"/>
    <w:rsid w:val="001C206E"/>
    <w:rsid w:val="001D006D"/>
    <w:rsid w:val="001E1A14"/>
    <w:rsid w:val="001E6727"/>
    <w:rsid w:val="001F47AF"/>
    <w:rsid w:val="001F5A48"/>
    <w:rsid w:val="00202F64"/>
    <w:rsid w:val="00203AAB"/>
    <w:rsid w:val="00207ECF"/>
    <w:rsid w:val="00213DB4"/>
    <w:rsid w:val="00224D28"/>
    <w:rsid w:val="00231DCA"/>
    <w:rsid w:val="002377C0"/>
    <w:rsid w:val="00271C2E"/>
    <w:rsid w:val="002737B5"/>
    <w:rsid w:val="00273C11"/>
    <w:rsid w:val="002868D7"/>
    <w:rsid w:val="0029548A"/>
    <w:rsid w:val="0029727D"/>
    <w:rsid w:val="00297CFB"/>
    <w:rsid w:val="002A500B"/>
    <w:rsid w:val="002B0F9E"/>
    <w:rsid w:val="002B1DB3"/>
    <w:rsid w:val="002B2B54"/>
    <w:rsid w:val="002C03FF"/>
    <w:rsid w:val="002C60DF"/>
    <w:rsid w:val="002D2972"/>
    <w:rsid w:val="002D3CE5"/>
    <w:rsid w:val="002D41BA"/>
    <w:rsid w:val="002D4ADF"/>
    <w:rsid w:val="002F1498"/>
    <w:rsid w:val="002F2F4C"/>
    <w:rsid w:val="003015AF"/>
    <w:rsid w:val="003064B1"/>
    <w:rsid w:val="003228F6"/>
    <w:rsid w:val="00356AD1"/>
    <w:rsid w:val="003710C0"/>
    <w:rsid w:val="0038214A"/>
    <w:rsid w:val="003869BF"/>
    <w:rsid w:val="003A2479"/>
    <w:rsid w:val="003A24AB"/>
    <w:rsid w:val="003B74FB"/>
    <w:rsid w:val="003D6D6F"/>
    <w:rsid w:val="003E0906"/>
    <w:rsid w:val="003E0E24"/>
    <w:rsid w:val="003E5CA0"/>
    <w:rsid w:val="00402F72"/>
    <w:rsid w:val="00417598"/>
    <w:rsid w:val="004223EC"/>
    <w:rsid w:val="00423EDA"/>
    <w:rsid w:val="00442785"/>
    <w:rsid w:val="004565E0"/>
    <w:rsid w:val="00456801"/>
    <w:rsid w:val="004607C8"/>
    <w:rsid w:val="00461420"/>
    <w:rsid w:val="00470AE8"/>
    <w:rsid w:val="00483CF0"/>
    <w:rsid w:val="0048497A"/>
    <w:rsid w:val="00485C1E"/>
    <w:rsid w:val="00492903"/>
    <w:rsid w:val="004A2698"/>
    <w:rsid w:val="004A3A20"/>
    <w:rsid w:val="004A7D3A"/>
    <w:rsid w:val="004B0DD7"/>
    <w:rsid w:val="004C276E"/>
    <w:rsid w:val="004C5892"/>
    <w:rsid w:val="004D257B"/>
    <w:rsid w:val="0050279C"/>
    <w:rsid w:val="00503618"/>
    <w:rsid w:val="00506BB4"/>
    <w:rsid w:val="00524522"/>
    <w:rsid w:val="005269E9"/>
    <w:rsid w:val="00543544"/>
    <w:rsid w:val="00547846"/>
    <w:rsid w:val="005505AB"/>
    <w:rsid w:val="005664BC"/>
    <w:rsid w:val="00566F67"/>
    <w:rsid w:val="00582E28"/>
    <w:rsid w:val="00587B19"/>
    <w:rsid w:val="00595E6B"/>
    <w:rsid w:val="005B6B55"/>
    <w:rsid w:val="005B759C"/>
    <w:rsid w:val="005C1AC3"/>
    <w:rsid w:val="005C7337"/>
    <w:rsid w:val="005D1ABF"/>
    <w:rsid w:val="005D53EF"/>
    <w:rsid w:val="005D550F"/>
    <w:rsid w:val="005E3D4B"/>
    <w:rsid w:val="005E6411"/>
    <w:rsid w:val="005F66F2"/>
    <w:rsid w:val="00600BA8"/>
    <w:rsid w:val="006022C4"/>
    <w:rsid w:val="006327D8"/>
    <w:rsid w:val="00632ECD"/>
    <w:rsid w:val="00633472"/>
    <w:rsid w:val="006400BC"/>
    <w:rsid w:val="0064772B"/>
    <w:rsid w:val="00650566"/>
    <w:rsid w:val="00652426"/>
    <w:rsid w:val="00653C86"/>
    <w:rsid w:val="006553D3"/>
    <w:rsid w:val="00690055"/>
    <w:rsid w:val="006A320D"/>
    <w:rsid w:val="006B5179"/>
    <w:rsid w:val="006E1EA8"/>
    <w:rsid w:val="006E6178"/>
    <w:rsid w:val="00700F91"/>
    <w:rsid w:val="00702512"/>
    <w:rsid w:val="00717D41"/>
    <w:rsid w:val="00720AEC"/>
    <w:rsid w:val="00723F8C"/>
    <w:rsid w:val="00725DC1"/>
    <w:rsid w:val="00734BCB"/>
    <w:rsid w:val="00745BFD"/>
    <w:rsid w:val="00760836"/>
    <w:rsid w:val="00767639"/>
    <w:rsid w:val="00767D95"/>
    <w:rsid w:val="00784976"/>
    <w:rsid w:val="00786E52"/>
    <w:rsid w:val="00794F9C"/>
    <w:rsid w:val="007B3C0B"/>
    <w:rsid w:val="007B3C56"/>
    <w:rsid w:val="007C45D8"/>
    <w:rsid w:val="007D5DC9"/>
    <w:rsid w:val="007F21BF"/>
    <w:rsid w:val="008019AB"/>
    <w:rsid w:val="00813B12"/>
    <w:rsid w:val="008165A2"/>
    <w:rsid w:val="008224BE"/>
    <w:rsid w:val="0082572E"/>
    <w:rsid w:val="008300B9"/>
    <w:rsid w:val="008315D7"/>
    <w:rsid w:val="00841053"/>
    <w:rsid w:val="0085100D"/>
    <w:rsid w:val="00870516"/>
    <w:rsid w:val="00871CAB"/>
    <w:rsid w:val="00877C5B"/>
    <w:rsid w:val="00896EBE"/>
    <w:rsid w:val="0089780D"/>
    <w:rsid w:val="008B370D"/>
    <w:rsid w:val="008B73F3"/>
    <w:rsid w:val="008C1C7B"/>
    <w:rsid w:val="008C3F1D"/>
    <w:rsid w:val="008D29F0"/>
    <w:rsid w:val="008D4378"/>
    <w:rsid w:val="008F02FB"/>
    <w:rsid w:val="008F3B1D"/>
    <w:rsid w:val="009152CA"/>
    <w:rsid w:val="00922C40"/>
    <w:rsid w:val="00926645"/>
    <w:rsid w:val="00961FB9"/>
    <w:rsid w:val="00962F86"/>
    <w:rsid w:val="00973468"/>
    <w:rsid w:val="009908D6"/>
    <w:rsid w:val="00992814"/>
    <w:rsid w:val="00995D93"/>
    <w:rsid w:val="009975C1"/>
    <w:rsid w:val="009A11A2"/>
    <w:rsid w:val="009A38F6"/>
    <w:rsid w:val="009B3BDE"/>
    <w:rsid w:val="009C6DCC"/>
    <w:rsid w:val="009E61C5"/>
    <w:rsid w:val="00A351C1"/>
    <w:rsid w:val="00A37FDF"/>
    <w:rsid w:val="00A426C7"/>
    <w:rsid w:val="00A5158B"/>
    <w:rsid w:val="00A629BA"/>
    <w:rsid w:val="00A63C9D"/>
    <w:rsid w:val="00A73A5B"/>
    <w:rsid w:val="00A77519"/>
    <w:rsid w:val="00A806A9"/>
    <w:rsid w:val="00A869B2"/>
    <w:rsid w:val="00A92EDB"/>
    <w:rsid w:val="00AC7B1C"/>
    <w:rsid w:val="00AD4432"/>
    <w:rsid w:val="00AE15D8"/>
    <w:rsid w:val="00B030B7"/>
    <w:rsid w:val="00B20EBE"/>
    <w:rsid w:val="00B26C7F"/>
    <w:rsid w:val="00B37AB7"/>
    <w:rsid w:val="00B452D1"/>
    <w:rsid w:val="00B57443"/>
    <w:rsid w:val="00B65C14"/>
    <w:rsid w:val="00B66DFF"/>
    <w:rsid w:val="00BA0B39"/>
    <w:rsid w:val="00BA1D22"/>
    <w:rsid w:val="00BB3F2C"/>
    <w:rsid w:val="00BB4AD3"/>
    <w:rsid w:val="00BB4CD3"/>
    <w:rsid w:val="00BB7041"/>
    <w:rsid w:val="00BC12A9"/>
    <w:rsid w:val="00BC4931"/>
    <w:rsid w:val="00BC6B2F"/>
    <w:rsid w:val="00BD34E3"/>
    <w:rsid w:val="00BD3594"/>
    <w:rsid w:val="00BE6861"/>
    <w:rsid w:val="00C00E59"/>
    <w:rsid w:val="00C06F49"/>
    <w:rsid w:val="00C142FA"/>
    <w:rsid w:val="00C14E4A"/>
    <w:rsid w:val="00C154F5"/>
    <w:rsid w:val="00C32367"/>
    <w:rsid w:val="00C36CC7"/>
    <w:rsid w:val="00C42F82"/>
    <w:rsid w:val="00C463C2"/>
    <w:rsid w:val="00C518AE"/>
    <w:rsid w:val="00C52CC5"/>
    <w:rsid w:val="00C55BA8"/>
    <w:rsid w:val="00C57334"/>
    <w:rsid w:val="00C81402"/>
    <w:rsid w:val="00C9474A"/>
    <w:rsid w:val="00C97D65"/>
    <w:rsid w:val="00CB26E2"/>
    <w:rsid w:val="00CC26FA"/>
    <w:rsid w:val="00CD1E9C"/>
    <w:rsid w:val="00CD7150"/>
    <w:rsid w:val="00CE2D69"/>
    <w:rsid w:val="00CE3C0F"/>
    <w:rsid w:val="00CE72E2"/>
    <w:rsid w:val="00CE73AE"/>
    <w:rsid w:val="00CF1E27"/>
    <w:rsid w:val="00CF2006"/>
    <w:rsid w:val="00CF7161"/>
    <w:rsid w:val="00D03B55"/>
    <w:rsid w:val="00D0550D"/>
    <w:rsid w:val="00D05F8C"/>
    <w:rsid w:val="00D076DD"/>
    <w:rsid w:val="00D121A6"/>
    <w:rsid w:val="00D33832"/>
    <w:rsid w:val="00D45E13"/>
    <w:rsid w:val="00D557BA"/>
    <w:rsid w:val="00D65172"/>
    <w:rsid w:val="00D70F10"/>
    <w:rsid w:val="00D728A4"/>
    <w:rsid w:val="00DA2671"/>
    <w:rsid w:val="00DA4CC0"/>
    <w:rsid w:val="00DB6864"/>
    <w:rsid w:val="00DD2C31"/>
    <w:rsid w:val="00DE2764"/>
    <w:rsid w:val="00DE6B9D"/>
    <w:rsid w:val="00DF3F6E"/>
    <w:rsid w:val="00E0349D"/>
    <w:rsid w:val="00E148A7"/>
    <w:rsid w:val="00E17A7C"/>
    <w:rsid w:val="00E24E4D"/>
    <w:rsid w:val="00E34976"/>
    <w:rsid w:val="00E555F7"/>
    <w:rsid w:val="00E57D7B"/>
    <w:rsid w:val="00E66143"/>
    <w:rsid w:val="00E70274"/>
    <w:rsid w:val="00E74E36"/>
    <w:rsid w:val="00E76AB5"/>
    <w:rsid w:val="00E8418A"/>
    <w:rsid w:val="00E91B2A"/>
    <w:rsid w:val="00E922D3"/>
    <w:rsid w:val="00E94219"/>
    <w:rsid w:val="00E9571B"/>
    <w:rsid w:val="00E96632"/>
    <w:rsid w:val="00EA0FF2"/>
    <w:rsid w:val="00EA7474"/>
    <w:rsid w:val="00EC4AD6"/>
    <w:rsid w:val="00EE0A3F"/>
    <w:rsid w:val="00F11BB3"/>
    <w:rsid w:val="00F12365"/>
    <w:rsid w:val="00F214B6"/>
    <w:rsid w:val="00F56BCA"/>
    <w:rsid w:val="00F95723"/>
    <w:rsid w:val="00F95A4D"/>
    <w:rsid w:val="00FA1EB8"/>
    <w:rsid w:val="00FA26FF"/>
    <w:rsid w:val="00FA65D3"/>
    <w:rsid w:val="00FB4B41"/>
    <w:rsid w:val="00FB7DE8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7B2BEC66"/>
  <w15:docId w15:val="{4F4C1582-89CE-4AB5-9FA6-5FBFDAD7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72E"/>
  </w:style>
  <w:style w:type="paragraph" w:styleId="Heading1">
    <w:name w:val="heading 1"/>
    <w:basedOn w:val="Normal"/>
    <w:next w:val="Normal"/>
    <w:link w:val="Heading1Char"/>
    <w:uiPriority w:val="9"/>
    <w:qFormat/>
    <w:rsid w:val="0082572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72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72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7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7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7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7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7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7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F2F4C"/>
    <w:pPr>
      <w:tabs>
        <w:tab w:val="center" w:pos="4320"/>
        <w:tab w:val="right" w:pos="8640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3693"/>
    <w:rPr>
      <w:sz w:val="19"/>
    </w:rPr>
  </w:style>
  <w:style w:type="paragraph" w:styleId="Footer">
    <w:name w:val="footer"/>
    <w:basedOn w:val="Normal"/>
    <w:link w:val="FooterChar"/>
    <w:uiPriority w:val="99"/>
    <w:rsid w:val="0029727D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0C3693"/>
    <w:rPr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C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C54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7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0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0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7041"/>
  </w:style>
  <w:style w:type="table" w:styleId="TableGrid">
    <w:name w:val="Table Grid"/>
    <w:basedOn w:val="TableNormal"/>
    <w:uiPriority w:val="59"/>
    <w:rsid w:val="00AD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rsid w:val="00C142FA"/>
    <w:rPr>
      <w:rFonts w:asciiTheme="majorHAnsi" w:hAnsiTheme="majorHAnsi"/>
      <w:sz w:val="16"/>
    </w:rPr>
  </w:style>
  <w:style w:type="paragraph" w:customStyle="1" w:styleId="Normal-em">
    <w:name w:val="Normal-em"/>
    <w:basedOn w:val="Normal"/>
    <w:rsid w:val="00FA26FF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HB-Table-dotpoint">
    <w:name w:val="HB - Table - dot point"/>
    <w:basedOn w:val="Normal"/>
    <w:rsid w:val="00FA26FF"/>
    <w:pPr>
      <w:numPr>
        <w:numId w:val="1"/>
      </w:numPr>
      <w:tabs>
        <w:tab w:val="clear" w:pos="720"/>
        <w:tab w:val="num" w:pos="567"/>
      </w:tabs>
      <w:spacing w:before="120"/>
      <w:ind w:left="567" w:hanging="425"/>
    </w:pPr>
    <w:rPr>
      <w:rFonts w:ascii="Times New Roman" w:eastAsia="Times New Roman" w:hAnsi="Times New Roman" w:cs="Times New Roman"/>
      <w:sz w:val="24"/>
      <w:lang w:eastAsia="en-AU"/>
    </w:rPr>
  </w:style>
  <w:style w:type="paragraph" w:customStyle="1" w:styleId="HB-Table-Subpoint">
    <w:name w:val="HB - Table - Subpoint"/>
    <w:basedOn w:val="Normal"/>
    <w:rsid w:val="00FA26FF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  <w:rPr>
      <w:rFonts w:ascii="Times New Roman" w:eastAsia="Times New Roman" w:hAnsi="Times New Roman" w:cs="Times New Roman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FA26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6FF"/>
    <w:rPr>
      <w:color w:val="0000FF" w:themeColor="hyperlink"/>
      <w:u w:val="single"/>
    </w:rPr>
  </w:style>
  <w:style w:type="paragraph" w:customStyle="1" w:styleId="HB-Paragraph-alphpoint">
    <w:name w:val="HB - Paragraph - alph point"/>
    <w:basedOn w:val="Normal"/>
    <w:rsid w:val="002B1DB3"/>
    <w:pPr>
      <w:numPr>
        <w:numId w:val="12"/>
      </w:numPr>
      <w:spacing w:before="120"/>
    </w:pPr>
    <w:rPr>
      <w:rFonts w:ascii="Times New Roman" w:eastAsia="Times New Roman" w:hAnsi="Times New Roman" w:cs="Times New Roman"/>
      <w:sz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8257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72E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257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72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72E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72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72E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72E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72E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72E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72E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572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7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572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2572E"/>
    <w:rPr>
      <w:b/>
      <w:bCs/>
    </w:rPr>
  </w:style>
  <w:style w:type="character" w:styleId="Emphasis">
    <w:name w:val="Emphasis"/>
    <w:basedOn w:val="DefaultParagraphFont"/>
    <w:uiPriority w:val="20"/>
    <w:qFormat/>
    <w:rsid w:val="0082572E"/>
    <w:rPr>
      <w:i/>
      <w:iCs/>
    </w:rPr>
  </w:style>
  <w:style w:type="paragraph" w:styleId="NoSpacing">
    <w:name w:val="No Spacing"/>
    <w:uiPriority w:val="1"/>
    <w:qFormat/>
    <w:rsid w:val="0082572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2572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72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72E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72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2572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2572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2572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2572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2572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572E"/>
    <w:pPr>
      <w:outlineLvl w:val="9"/>
    </w:pPr>
  </w:style>
  <w:style w:type="paragraph" w:customStyle="1" w:styleId="norm1">
    <w:name w:val="norm 1"/>
    <w:basedOn w:val="Normal"/>
    <w:rsid w:val="00297CFB"/>
    <w:pPr>
      <w:spacing w:after="0" w:line="240" w:lineRule="auto"/>
    </w:pPr>
    <w:rPr>
      <w:rFonts w:ascii="Times New Roman" w:eastAsia="Times New Roman" w:hAnsi="Times New Roman" w:cs="Times New Roman"/>
      <w:sz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06B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FB8EF80F27E01544B3917AAA911BE1B5" ma:contentTypeVersion="" ma:contentTypeDescription="PDMS Documentation Content Type" ma:contentTypeScope="" ma:versionID="b33da59028aa2d7f116c9850326f8001">
  <xsd:schema xmlns:xsd="http://www.w3.org/2001/XMLSchema" xmlns:xs="http://www.w3.org/2001/XMLSchema" xmlns:p="http://schemas.microsoft.com/office/2006/metadata/properties" xmlns:ns2="72D1BFA5-F615-4571-8BA2-B51F960F45AE" targetNamespace="http://schemas.microsoft.com/office/2006/metadata/properties" ma:root="true" ma:fieldsID="fdf6eb2722fd33f1e4d7953cad9c5dd8" ns2:_="">
    <xsd:import namespace="72D1BFA5-F615-4571-8BA2-B51F960F45A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BFA5-F615-4571-8BA2-B51F960F45A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SecurityClassification xmlns="72D1BFA5-F615-4571-8BA2-B51F960F45AE" xsi:nil="true"/>
    <pdms_Reason xmlns="72D1BFA5-F615-4571-8BA2-B51F960F45AE" xsi:nil="true"/>
    <SecurityClassification xmlns="72D1BFA5-F615-4571-8BA2-B51F960F45AE" xsi:nil="true"/>
    <pdms_AttachedBy xmlns="72D1BFA5-F615-4571-8BA2-B51F960F45AE" xsi:nil="true"/>
    <pdms_DocumentType xmlns="72D1BFA5-F615-4571-8BA2-B51F960F45A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A7706F-A7E5-4AE9-8A21-32CC4592B2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0D6704-C380-4797-93B5-A50E53032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BFA5-F615-4571-8BA2-B51F960F4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47B00B-5ED4-4E48-B9D7-85BBD08B48FD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72D1BFA5-F615-4571-8BA2-B51F960F45A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2BCF8B-C8ED-48B5-B4E0-E8C65780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1328</Words>
  <Characters>7573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Meritt Nassif</dc:creator>
  <cp:lastModifiedBy>Department of Agriculture</cp:lastModifiedBy>
  <cp:revision>2</cp:revision>
  <cp:lastPrinted>2017-04-18T01:25:00Z</cp:lastPrinted>
  <dcterms:created xsi:type="dcterms:W3CDTF">2017-05-16T23:03:00Z</dcterms:created>
  <dcterms:modified xsi:type="dcterms:W3CDTF">2017-05-16T23:03:00Z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0x010100266966F133664895A6EE3632470D45F50100FB8EF80F27E01544B3917AAA911BE1B5</vt:lpwstr>
  </property>
</Properties>
</file>