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FA1" w:rsidRPr="00C26FA1" w:rsidRDefault="00C26FA1" w:rsidP="00C26FA1">
      <w:pPr>
        <w:jc w:val="center"/>
        <w:rPr>
          <w:b/>
          <w:sz w:val="24"/>
          <w:szCs w:val="24"/>
        </w:rPr>
      </w:pPr>
      <w:bookmarkStart w:id="0" w:name="_GoBack"/>
      <w:bookmarkEnd w:id="0"/>
      <w:r w:rsidRPr="00C26FA1">
        <w:rPr>
          <w:b/>
          <w:bCs/>
          <w:sz w:val="24"/>
          <w:szCs w:val="24"/>
          <w:u w:val="single"/>
        </w:rPr>
        <w:t>EXPLANATORY STATEMENT</w:t>
      </w:r>
    </w:p>
    <w:p w:rsidR="00C26FA1" w:rsidRPr="00C26FA1" w:rsidRDefault="00C26FA1" w:rsidP="0015323D">
      <w:pPr>
        <w:rPr>
          <w:sz w:val="24"/>
          <w:szCs w:val="24"/>
        </w:rPr>
      </w:pPr>
    </w:p>
    <w:p w:rsidR="00C26FA1" w:rsidRPr="00C26FA1" w:rsidRDefault="00C26FA1" w:rsidP="00C26FA1">
      <w:pPr>
        <w:jc w:val="center"/>
        <w:rPr>
          <w:i/>
          <w:iCs/>
          <w:sz w:val="24"/>
          <w:szCs w:val="24"/>
        </w:rPr>
      </w:pPr>
      <w:r w:rsidRPr="00C26FA1">
        <w:rPr>
          <w:i/>
          <w:iCs/>
          <w:sz w:val="24"/>
          <w:szCs w:val="24"/>
        </w:rPr>
        <w:t>Long Service Leave (Commonwealth Employees) Act 1976</w:t>
      </w:r>
    </w:p>
    <w:p w:rsidR="00C26FA1" w:rsidRPr="00C26FA1" w:rsidRDefault="00C26FA1" w:rsidP="00C26FA1">
      <w:pPr>
        <w:jc w:val="center"/>
        <w:rPr>
          <w:i/>
          <w:iCs/>
          <w:sz w:val="24"/>
          <w:szCs w:val="24"/>
        </w:rPr>
      </w:pPr>
    </w:p>
    <w:p w:rsidR="00C26FA1" w:rsidRDefault="005F60E1" w:rsidP="00C26FA1">
      <w:pPr>
        <w:jc w:val="center"/>
        <w:rPr>
          <w:i/>
          <w:sz w:val="24"/>
          <w:szCs w:val="24"/>
        </w:rPr>
      </w:pPr>
      <w:r w:rsidRPr="00421C2B">
        <w:rPr>
          <w:i/>
          <w:sz w:val="24"/>
          <w:szCs w:val="24"/>
        </w:rPr>
        <w:t>Long Service Leave (Commonwealth Employees) Amendment (2017 Measures No. 1) Regulations 2017</w:t>
      </w:r>
    </w:p>
    <w:p w:rsidR="005F60E1" w:rsidRPr="00C26FA1" w:rsidRDefault="005F60E1" w:rsidP="00C26FA1">
      <w:pPr>
        <w:jc w:val="center"/>
        <w:rPr>
          <w:sz w:val="24"/>
          <w:szCs w:val="24"/>
        </w:rPr>
      </w:pPr>
    </w:p>
    <w:p w:rsidR="00C26FA1" w:rsidRPr="00C26FA1" w:rsidRDefault="00C26FA1" w:rsidP="00C26FA1">
      <w:pPr>
        <w:jc w:val="center"/>
        <w:rPr>
          <w:sz w:val="24"/>
          <w:szCs w:val="24"/>
        </w:rPr>
      </w:pPr>
      <w:r w:rsidRPr="00C26FA1">
        <w:rPr>
          <w:sz w:val="24"/>
          <w:szCs w:val="24"/>
        </w:rPr>
        <w:t>Issued under the Authority of the Minister Assisting the Prime Minister for the Public Service</w:t>
      </w:r>
    </w:p>
    <w:p w:rsidR="00CA6272" w:rsidRPr="00CA6272" w:rsidRDefault="00CA6272" w:rsidP="00CA6272">
      <w:pPr>
        <w:shd w:val="clear" w:color="auto" w:fill="FFFFFF"/>
        <w:spacing w:before="100" w:beforeAutospacing="1" w:after="100" w:afterAutospacing="1"/>
        <w:rPr>
          <w:b/>
          <w:bCs/>
          <w:sz w:val="24"/>
        </w:rPr>
      </w:pPr>
      <w:r w:rsidRPr="00CA6272">
        <w:rPr>
          <w:b/>
          <w:bCs/>
          <w:sz w:val="24"/>
        </w:rPr>
        <w:t xml:space="preserve">Authority </w:t>
      </w:r>
    </w:p>
    <w:p w:rsidR="00E306AF" w:rsidRPr="003F7E4C" w:rsidRDefault="00E306AF" w:rsidP="00E306AF">
      <w:pPr>
        <w:rPr>
          <w:sz w:val="24"/>
          <w:szCs w:val="24"/>
        </w:rPr>
      </w:pPr>
      <w:r w:rsidRPr="003F7E4C">
        <w:rPr>
          <w:sz w:val="24"/>
          <w:szCs w:val="24"/>
        </w:rPr>
        <w:t>Section 26 of</w:t>
      </w:r>
      <w:r w:rsidR="00CA7C2C">
        <w:rPr>
          <w:sz w:val="24"/>
          <w:szCs w:val="24"/>
        </w:rPr>
        <w:t xml:space="preserve"> </w:t>
      </w:r>
      <w:r w:rsidR="00CA7C2C" w:rsidRPr="003F7E4C">
        <w:rPr>
          <w:i/>
          <w:iCs/>
          <w:sz w:val="24"/>
          <w:szCs w:val="24"/>
        </w:rPr>
        <w:t>Long Service Leave (Commonwealth Employees) Act 1976</w:t>
      </w:r>
      <w:r w:rsidRPr="003F7E4C">
        <w:rPr>
          <w:sz w:val="24"/>
          <w:szCs w:val="24"/>
        </w:rPr>
        <w:t xml:space="preserve"> </w:t>
      </w:r>
      <w:r w:rsidR="00CA7C2C">
        <w:rPr>
          <w:sz w:val="24"/>
          <w:szCs w:val="24"/>
        </w:rPr>
        <w:t>(</w:t>
      </w:r>
      <w:r w:rsidRPr="003F7E4C">
        <w:rPr>
          <w:sz w:val="24"/>
          <w:szCs w:val="24"/>
        </w:rPr>
        <w:t>the Act</w:t>
      </w:r>
      <w:r w:rsidR="00CA7C2C">
        <w:rPr>
          <w:sz w:val="24"/>
          <w:szCs w:val="24"/>
        </w:rPr>
        <w:t>)</w:t>
      </w:r>
      <w:r w:rsidRPr="003F7E4C">
        <w:rPr>
          <w:sz w:val="24"/>
          <w:szCs w:val="24"/>
        </w:rPr>
        <w:t xml:space="preserve"> provides that the Governor-General may make regulations, not inconsistent with the Act, prescribing all matters which are required or permitted to be prescribed, or which are necessary or convenient to be prescribed, for carrying out or giving effect to the Act.  </w:t>
      </w:r>
    </w:p>
    <w:p w:rsidR="00CA6272" w:rsidRPr="00CA6272" w:rsidRDefault="00CA6272" w:rsidP="00CA6272">
      <w:pPr>
        <w:shd w:val="clear" w:color="auto" w:fill="FFFFFF"/>
        <w:spacing w:before="100" w:beforeAutospacing="1" w:after="100" w:afterAutospacing="1"/>
        <w:rPr>
          <w:b/>
          <w:bCs/>
          <w:sz w:val="24"/>
        </w:rPr>
      </w:pPr>
      <w:r w:rsidRPr="00CA6272">
        <w:rPr>
          <w:b/>
          <w:bCs/>
          <w:sz w:val="24"/>
        </w:rPr>
        <w:t>Background</w:t>
      </w:r>
    </w:p>
    <w:p w:rsidR="001E711D" w:rsidRPr="003F7E4C" w:rsidRDefault="001D6A56" w:rsidP="002B2C06">
      <w:pPr>
        <w:rPr>
          <w:sz w:val="24"/>
          <w:szCs w:val="24"/>
        </w:rPr>
      </w:pPr>
      <w:r>
        <w:rPr>
          <w:sz w:val="24"/>
          <w:szCs w:val="24"/>
        </w:rPr>
        <w:t>The</w:t>
      </w:r>
      <w:r w:rsidR="00CA7C2C">
        <w:rPr>
          <w:sz w:val="24"/>
          <w:szCs w:val="24"/>
        </w:rPr>
        <w:t xml:space="preserve"> Act</w:t>
      </w:r>
      <w:r w:rsidR="001E711D" w:rsidRPr="003F7E4C">
        <w:rPr>
          <w:sz w:val="24"/>
          <w:szCs w:val="24"/>
        </w:rPr>
        <w:t xml:space="preserve"> makes provision for long service leave in respect of Commonwealth employees and certain other persons. The Act provides for persons </w:t>
      </w:r>
      <w:r w:rsidR="00AD3CAE">
        <w:rPr>
          <w:sz w:val="24"/>
          <w:szCs w:val="24"/>
        </w:rPr>
        <w:t>employed in Government Service</w:t>
      </w:r>
      <w:r w:rsidR="001E711D" w:rsidRPr="003F7E4C">
        <w:rPr>
          <w:sz w:val="24"/>
          <w:szCs w:val="24"/>
        </w:rPr>
        <w:t xml:space="preserve"> to be granted long service leave or a payment in lieu where the period of service of the person is at least 10 years.</w:t>
      </w:r>
    </w:p>
    <w:p w:rsidR="001E711D" w:rsidRPr="003F7E4C" w:rsidRDefault="001E711D" w:rsidP="002B2C06">
      <w:pPr>
        <w:spacing w:line="249" w:lineRule="auto"/>
        <w:ind w:right="880"/>
        <w:rPr>
          <w:sz w:val="20"/>
          <w:szCs w:val="20"/>
        </w:rPr>
      </w:pPr>
    </w:p>
    <w:p w:rsidR="00C26FA1" w:rsidRPr="00CA6272" w:rsidRDefault="00A07599" w:rsidP="00CA6272">
      <w:pPr>
        <w:rPr>
          <w:rFonts w:eastAsiaTheme="minorHAnsi"/>
          <w:sz w:val="24"/>
          <w:szCs w:val="24"/>
          <w:lang w:eastAsia="en-US"/>
        </w:rPr>
      </w:pPr>
      <w:r w:rsidRPr="003F7E4C">
        <w:rPr>
          <w:rFonts w:eastAsiaTheme="minorHAnsi"/>
          <w:sz w:val="24"/>
          <w:szCs w:val="24"/>
          <w:lang w:eastAsia="en-US"/>
        </w:rPr>
        <w:t xml:space="preserve">Regulation 8 of </w:t>
      </w:r>
      <w:r w:rsidRPr="003F7E4C">
        <w:rPr>
          <w:i/>
          <w:sz w:val="24"/>
          <w:szCs w:val="24"/>
        </w:rPr>
        <w:t>Long Service Leave (Commonwealth Employees) Regulation 2016</w:t>
      </w:r>
      <w:r w:rsidRPr="003F7E4C">
        <w:rPr>
          <w:sz w:val="24"/>
          <w:szCs w:val="24"/>
        </w:rPr>
        <w:t xml:space="preserve"> (the Regulation</w:t>
      </w:r>
      <w:r w:rsidR="0002175D">
        <w:rPr>
          <w:sz w:val="24"/>
          <w:szCs w:val="24"/>
        </w:rPr>
        <w:t>s</w:t>
      </w:r>
      <w:r w:rsidRPr="003F7E4C">
        <w:rPr>
          <w:sz w:val="24"/>
          <w:szCs w:val="24"/>
        </w:rPr>
        <w:t xml:space="preserve">) </w:t>
      </w:r>
      <w:r w:rsidRPr="003F7E4C">
        <w:rPr>
          <w:rFonts w:eastAsiaTheme="minorHAnsi"/>
          <w:sz w:val="24"/>
          <w:szCs w:val="24"/>
          <w:lang w:eastAsia="en-US"/>
        </w:rPr>
        <w:t>is made under subsection 7(</w:t>
      </w:r>
      <w:r w:rsidR="00F87DF6">
        <w:rPr>
          <w:rFonts w:eastAsiaTheme="minorHAnsi"/>
          <w:sz w:val="24"/>
          <w:szCs w:val="24"/>
          <w:lang w:eastAsia="en-US"/>
        </w:rPr>
        <w:t>2</w:t>
      </w:r>
      <w:r w:rsidRPr="003F7E4C">
        <w:rPr>
          <w:rFonts w:eastAsiaTheme="minorHAnsi"/>
          <w:sz w:val="24"/>
          <w:szCs w:val="24"/>
          <w:lang w:eastAsia="en-US"/>
        </w:rPr>
        <w:t>) of the Act</w:t>
      </w:r>
      <w:r w:rsidR="009F374F">
        <w:rPr>
          <w:rFonts w:eastAsiaTheme="minorHAnsi"/>
          <w:sz w:val="24"/>
          <w:szCs w:val="24"/>
          <w:lang w:eastAsia="en-US"/>
        </w:rPr>
        <w:t>. It</w:t>
      </w:r>
      <w:r w:rsidRPr="003F7E4C">
        <w:rPr>
          <w:rFonts w:eastAsiaTheme="minorHAnsi"/>
          <w:sz w:val="24"/>
          <w:szCs w:val="24"/>
          <w:lang w:eastAsia="en-US"/>
        </w:rPr>
        <w:t xml:space="preserve"> provides </w:t>
      </w:r>
      <w:r w:rsidR="00F87DF6">
        <w:rPr>
          <w:rFonts w:eastAsiaTheme="minorHAnsi"/>
          <w:sz w:val="24"/>
          <w:szCs w:val="24"/>
          <w:lang w:eastAsia="en-US"/>
        </w:rPr>
        <w:t xml:space="preserve">that </w:t>
      </w:r>
      <w:r w:rsidR="00F87DF6" w:rsidRPr="00C130B0">
        <w:rPr>
          <w:sz w:val="24"/>
          <w:szCs w:val="24"/>
        </w:rPr>
        <w:t xml:space="preserve">the previous employment of an employee in the service of a person, authority, institution or body that is referred to in Schedule </w:t>
      </w:r>
      <w:r w:rsidR="00F87DF6">
        <w:rPr>
          <w:sz w:val="24"/>
          <w:szCs w:val="24"/>
        </w:rPr>
        <w:t>2</w:t>
      </w:r>
      <w:r w:rsidR="00F87DF6" w:rsidRPr="00C130B0">
        <w:rPr>
          <w:sz w:val="24"/>
          <w:szCs w:val="24"/>
        </w:rPr>
        <w:t xml:space="preserve"> shall be taken into account for the purposes of</w:t>
      </w:r>
      <w:r w:rsidR="00F87DF6">
        <w:rPr>
          <w:sz w:val="24"/>
          <w:szCs w:val="24"/>
        </w:rPr>
        <w:t xml:space="preserve"> Section 11 of</w:t>
      </w:r>
      <w:r w:rsidR="00F87DF6" w:rsidRPr="00C130B0">
        <w:rPr>
          <w:sz w:val="24"/>
          <w:szCs w:val="24"/>
        </w:rPr>
        <w:t xml:space="preserve"> the Act as </w:t>
      </w:r>
      <w:r w:rsidR="00F87DF6">
        <w:rPr>
          <w:sz w:val="24"/>
          <w:szCs w:val="24"/>
        </w:rPr>
        <w:t>if it had been employment in Government Service</w:t>
      </w:r>
      <w:r w:rsidR="00F87DF6" w:rsidRPr="00C130B0">
        <w:rPr>
          <w:sz w:val="24"/>
          <w:szCs w:val="24"/>
        </w:rPr>
        <w:t xml:space="preserve">. </w:t>
      </w:r>
    </w:p>
    <w:p w:rsidR="00CA6272" w:rsidRPr="00CA6272" w:rsidRDefault="00CA6272" w:rsidP="00CA6272">
      <w:pPr>
        <w:shd w:val="clear" w:color="auto" w:fill="FFFFFF"/>
        <w:spacing w:before="100" w:beforeAutospacing="1" w:after="100" w:afterAutospacing="1"/>
        <w:rPr>
          <w:b/>
          <w:bCs/>
          <w:sz w:val="24"/>
        </w:rPr>
      </w:pPr>
      <w:r w:rsidRPr="00CA6272">
        <w:rPr>
          <w:b/>
          <w:bCs/>
          <w:sz w:val="24"/>
        </w:rPr>
        <w:t>Purpose and Operation</w:t>
      </w:r>
    </w:p>
    <w:p w:rsidR="00F87DF6" w:rsidRDefault="00510626" w:rsidP="00005CD9">
      <w:pPr>
        <w:rPr>
          <w:rFonts w:eastAsiaTheme="minorHAnsi"/>
          <w:sz w:val="24"/>
          <w:szCs w:val="24"/>
          <w:lang w:eastAsia="en-US"/>
        </w:rPr>
      </w:pPr>
      <w:r w:rsidRPr="00F87DF6">
        <w:rPr>
          <w:rFonts w:eastAsiaTheme="minorHAnsi"/>
          <w:sz w:val="24"/>
          <w:szCs w:val="24"/>
          <w:lang w:eastAsia="en-US"/>
        </w:rPr>
        <w:t xml:space="preserve">The Australian Synchrotron </w:t>
      </w:r>
      <w:r w:rsidR="005F60E1">
        <w:rPr>
          <w:rFonts w:eastAsiaTheme="minorHAnsi"/>
          <w:sz w:val="24"/>
          <w:szCs w:val="24"/>
          <w:lang w:eastAsia="en-US"/>
        </w:rPr>
        <w:t xml:space="preserve">Company Limited (ASCo) </w:t>
      </w:r>
      <w:r w:rsidRPr="00F87DF6">
        <w:rPr>
          <w:rFonts w:eastAsiaTheme="minorHAnsi"/>
          <w:sz w:val="24"/>
          <w:szCs w:val="24"/>
          <w:lang w:eastAsia="en-US"/>
        </w:rPr>
        <w:t>was set up as a Victorian-funded and operated facility</w:t>
      </w:r>
      <w:r w:rsidR="009F374F">
        <w:rPr>
          <w:rFonts w:eastAsiaTheme="minorHAnsi"/>
          <w:sz w:val="24"/>
          <w:szCs w:val="24"/>
          <w:lang w:eastAsia="en-US"/>
        </w:rPr>
        <w:t xml:space="preserve"> to run the Australian Synchrotron</w:t>
      </w:r>
      <w:r w:rsidRPr="00F87DF6">
        <w:rPr>
          <w:rFonts w:eastAsiaTheme="minorHAnsi"/>
          <w:sz w:val="24"/>
          <w:szCs w:val="24"/>
          <w:lang w:eastAsia="en-US"/>
        </w:rPr>
        <w:t xml:space="preserve">, operating under state law, commencing operation in 2006. In 2012, the Victorian Government transferred responsibility for operations to the Australian Nuclear Science and Technology Organisation (ANSTO), a Commonwealth agency. </w:t>
      </w:r>
      <w:r w:rsidR="00F87DF6" w:rsidRPr="00F87DF6">
        <w:rPr>
          <w:rFonts w:eastAsiaTheme="minorHAnsi"/>
          <w:sz w:val="24"/>
          <w:szCs w:val="24"/>
          <w:lang w:eastAsia="en-US"/>
        </w:rPr>
        <w:t>As a result, ANSTO established</w:t>
      </w:r>
      <w:r w:rsidR="002624ED">
        <w:rPr>
          <w:sz w:val="24"/>
          <w:szCs w:val="24"/>
        </w:rPr>
        <w:t xml:space="preserve"> </w:t>
      </w:r>
      <w:r w:rsidR="002624ED" w:rsidRPr="00C130B0">
        <w:rPr>
          <w:sz w:val="24"/>
          <w:szCs w:val="24"/>
        </w:rPr>
        <w:t>Synchrotron Light Source Australia Pty Ltd</w:t>
      </w:r>
      <w:r w:rsidR="00F87DF6" w:rsidRPr="00F87DF6">
        <w:rPr>
          <w:rFonts w:eastAsiaTheme="minorHAnsi"/>
          <w:sz w:val="24"/>
          <w:szCs w:val="24"/>
          <w:lang w:eastAsia="en-US"/>
        </w:rPr>
        <w:t xml:space="preserve"> </w:t>
      </w:r>
      <w:r w:rsidR="002624ED">
        <w:rPr>
          <w:rFonts w:eastAsiaTheme="minorHAnsi"/>
          <w:sz w:val="24"/>
          <w:szCs w:val="24"/>
          <w:lang w:eastAsia="en-US"/>
        </w:rPr>
        <w:t>(</w:t>
      </w:r>
      <w:r w:rsidR="00F87DF6" w:rsidRPr="00F87DF6">
        <w:rPr>
          <w:rFonts w:eastAsiaTheme="minorHAnsi"/>
          <w:sz w:val="24"/>
          <w:szCs w:val="24"/>
          <w:lang w:eastAsia="en-US"/>
        </w:rPr>
        <w:t>SLSA</w:t>
      </w:r>
      <w:r w:rsidR="002624ED">
        <w:rPr>
          <w:rFonts w:eastAsiaTheme="minorHAnsi"/>
          <w:sz w:val="24"/>
          <w:szCs w:val="24"/>
          <w:lang w:eastAsia="en-US"/>
        </w:rPr>
        <w:t>)</w:t>
      </w:r>
      <w:r w:rsidR="00F87DF6" w:rsidRPr="00F87DF6">
        <w:rPr>
          <w:rFonts w:eastAsiaTheme="minorHAnsi"/>
          <w:sz w:val="24"/>
          <w:szCs w:val="24"/>
          <w:lang w:eastAsia="en-US"/>
        </w:rPr>
        <w:t xml:space="preserve"> as a subsidiary, registered in Victoria, to take over operation of the Synchrotron. On 1 </w:t>
      </w:r>
      <w:r w:rsidR="007E0D1C">
        <w:rPr>
          <w:rFonts w:eastAsiaTheme="minorHAnsi"/>
          <w:sz w:val="24"/>
          <w:szCs w:val="24"/>
          <w:lang w:eastAsia="en-US"/>
        </w:rPr>
        <w:t xml:space="preserve">July </w:t>
      </w:r>
      <w:r w:rsidR="00F87DF6" w:rsidRPr="00F87DF6">
        <w:rPr>
          <w:rFonts w:eastAsiaTheme="minorHAnsi"/>
          <w:sz w:val="24"/>
          <w:szCs w:val="24"/>
          <w:lang w:eastAsia="en-US"/>
        </w:rPr>
        <w:t>2016 ownership</w:t>
      </w:r>
      <w:r w:rsidR="00F15312">
        <w:rPr>
          <w:rFonts w:eastAsiaTheme="minorHAnsi"/>
          <w:sz w:val="24"/>
          <w:szCs w:val="24"/>
          <w:lang w:eastAsia="en-US"/>
        </w:rPr>
        <w:t xml:space="preserve"> of </w:t>
      </w:r>
      <w:r w:rsidR="00005CD9">
        <w:rPr>
          <w:rFonts w:eastAsiaTheme="minorHAnsi"/>
          <w:sz w:val="24"/>
          <w:szCs w:val="24"/>
          <w:lang w:eastAsia="en-US"/>
        </w:rPr>
        <w:t>the Synchrotron</w:t>
      </w:r>
      <w:r w:rsidR="00F87DF6" w:rsidRPr="00F87DF6">
        <w:rPr>
          <w:rFonts w:eastAsiaTheme="minorHAnsi"/>
          <w:sz w:val="24"/>
          <w:szCs w:val="24"/>
          <w:lang w:eastAsia="en-US"/>
        </w:rPr>
        <w:t xml:space="preserve"> was transferred to ANSTO. </w:t>
      </w:r>
      <w:r w:rsidR="00563C98">
        <w:rPr>
          <w:rFonts w:eastAsiaTheme="minorHAnsi"/>
          <w:sz w:val="24"/>
          <w:szCs w:val="24"/>
          <w:lang w:eastAsia="en-US"/>
        </w:rPr>
        <w:t>Following this, the transfer of SLSA employees to ANSTO occurred on 1 September 2016.</w:t>
      </w:r>
    </w:p>
    <w:p w:rsidR="00A47838" w:rsidRDefault="00A47838" w:rsidP="00005CD9">
      <w:pPr>
        <w:rPr>
          <w:rFonts w:eastAsiaTheme="minorHAnsi"/>
          <w:sz w:val="24"/>
          <w:szCs w:val="24"/>
          <w:lang w:eastAsia="en-US"/>
        </w:rPr>
      </w:pPr>
    </w:p>
    <w:p w:rsidR="00A47838" w:rsidRPr="00A47838" w:rsidRDefault="002C7C34" w:rsidP="00A47838">
      <w:pPr>
        <w:rPr>
          <w:rFonts w:eastAsiaTheme="minorHAnsi"/>
          <w:sz w:val="24"/>
          <w:szCs w:val="24"/>
          <w:lang w:eastAsia="en-US"/>
        </w:rPr>
      </w:pPr>
      <w:r>
        <w:rPr>
          <w:rFonts w:eastAsiaTheme="minorHAnsi"/>
          <w:sz w:val="24"/>
          <w:szCs w:val="24"/>
          <w:lang w:eastAsia="en-US"/>
        </w:rPr>
        <w:t xml:space="preserve">The </w:t>
      </w:r>
      <w:r w:rsidR="00A47838" w:rsidRPr="00A47838">
        <w:rPr>
          <w:rFonts w:eastAsiaTheme="minorHAnsi"/>
          <w:sz w:val="24"/>
          <w:szCs w:val="24"/>
          <w:lang w:eastAsia="en-US"/>
        </w:rPr>
        <w:t xml:space="preserve">National E-Health Transition Authority (NEHTA) is the predecessor body for a newly established Commonwealth agency, the </w:t>
      </w:r>
      <w:hyperlink r:id="rId9" w:history="1">
        <w:r w:rsidR="00A47838" w:rsidRPr="00A47838">
          <w:rPr>
            <w:rFonts w:eastAsiaTheme="minorHAnsi"/>
            <w:sz w:val="24"/>
            <w:szCs w:val="24"/>
            <w:lang w:eastAsia="en-US"/>
          </w:rPr>
          <w:t>Australian Digital Health Agency</w:t>
        </w:r>
      </w:hyperlink>
      <w:r w:rsidR="00A47838" w:rsidRPr="00A47838">
        <w:rPr>
          <w:rFonts w:eastAsiaTheme="minorHAnsi"/>
          <w:sz w:val="24"/>
          <w:szCs w:val="24"/>
          <w:lang w:eastAsia="en-US"/>
        </w:rPr>
        <w:t xml:space="preserve"> (ADHA). NEHTA </w:t>
      </w:r>
      <w:r w:rsidR="00A47838">
        <w:rPr>
          <w:rFonts w:eastAsiaTheme="minorHAnsi"/>
          <w:sz w:val="24"/>
          <w:szCs w:val="24"/>
          <w:lang w:eastAsia="en-US"/>
        </w:rPr>
        <w:t xml:space="preserve">was </w:t>
      </w:r>
      <w:r w:rsidR="00A47838" w:rsidRPr="00A47838">
        <w:rPr>
          <w:rFonts w:eastAsiaTheme="minorHAnsi"/>
          <w:sz w:val="24"/>
          <w:szCs w:val="24"/>
          <w:lang w:eastAsia="en-US"/>
        </w:rPr>
        <w:t>jointly funded by the Commonwealth and each State and Territory.  It was operational from 2005 until 30 June 2016</w:t>
      </w:r>
      <w:r w:rsidR="00A47838">
        <w:rPr>
          <w:rFonts w:eastAsiaTheme="minorHAnsi"/>
          <w:sz w:val="24"/>
          <w:szCs w:val="24"/>
          <w:lang w:eastAsia="en-US"/>
        </w:rPr>
        <w:t xml:space="preserve">.  </w:t>
      </w:r>
      <w:r w:rsidR="00A47838" w:rsidRPr="00A47838">
        <w:rPr>
          <w:rFonts w:eastAsiaTheme="minorHAnsi"/>
          <w:sz w:val="24"/>
          <w:szCs w:val="24"/>
          <w:lang w:eastAsia="en-US"/>
        </w:rPr>
        <w:t xml:space="preserve">On 1 July 2016, NEHTA’s functions and resources </w:t>
      </w:r>
      <w:r w:rsidR="00A47838">
        <w:rPr>
          <w:rFonts w:eastAsiaTheme="minorHAnsi"/>
          <w:sz w:val="24"/>
          <w:szCs w:val="24"/>
          <w:lang w:eastAsia="en-US"/>
        </w:rPr>
        <w:t xml:space="preserve">transitioned to ADHA </w:t>
      </w:r>
      <w:r w:rsidR="00A47838" w:rsidRPr="00A47838">
        <w:rPr>
          <w:rFonts w:eastAsiaTheme="minorHAnsi"/>
          <w:sz w:val="24"/>
          <w:szCs w:val="24"/>
          <w:lang w:eastAsia="en-US"/>
        </w:rPr>
        <w:t>along with some Dep</w:t>
      </w:r>
      <w:r w:rsidR="00A47838">
        <w:rPr>
          <w:rFonts w:eastAsiaTheme="minorHAnsi"/>
          <w:sz w:val="24"/>
          <w:szCs w:val="24"/>
          <w:lang w:eastAsia="en-US"/>
        </w:rPr>
        <w:t>artmen</w:t>
      </w:r>
      <w:r w:rsidR="00A47838" w:rsidRPr="00A47838">
        <w:rPr>
          <w:rFonts w:eastAsiaTheme="minorHAnsi"/>
          <w:sz w:val="24"/>
          <w:szCs w:val="24"/>
          <w:lang w:eastAsia="en-US"/>
        </w:rPr>
        <w:t>t of Health staff</w:t>
      </w:r>
      <w:r w:rsidR="00A47838">
        <w:rPr>
          <w:rFonts w:eastAsiaTheme="minorHAnsi"/>
          <w:sz w:val="24"/>
          <w:szCs w:val="24"/>
          <w:lang w:eastAsia="en-US"/>
        </w:rPr>
        <w:t>.</w:t>
      </w:r>
    </w:p>
    <w:p w:rsidR="00435508" w:rsidRPr="003F7E4C" w:rsidRDefault="00435508" w:rsidP="00DF0A5A">
      <w:pPr>
        <w:rPr>
          <w:rFonts w:eastAsiaTheme="minorHAnsi"/>
          <w:sz w:val="24"/>
          <w:szCs w:val="24"/>
          <w:lang w:eastAsia="en-US"/>
        </w:rPr>
      </w:pPr>
    </w:p>
    <w:p w:rsidR="00435508" w:rsidRDefault="00F761EF" w:rsidP="002B2C06">
      <w:pPr>
        <w:rPr>
          <w:rFonts w:eastAsiaTheme="minorHAnsi"/>
          <w:sz w:val="24"/>
          <w:szCs w:val="24"/>
          <w:lang w:eastAsia="en-US"/>
        </w:rPr>
      </w:pPr>
      <w:r>
        <w:rPr>
          <w:rFonts w:eastAsiaTheme="minorHAnsi"/>
          <w:sz w:val="24"/>
          <w:szCs w:val="24"/>
          <w:lang w:eastAsia="en-US"/>
        </w:rPr>
        <w:t xml:space="preserve">These regulations amend </w:t>
      </w:r>
      <w:r w:rsidR="00435508" w:rsidRPr="003F7E4C">
        <w:rPr>
          <w:rFonts w:eastAsiaTheme="minorHAnsi"/>
          <w:sz w:val="24"/>
          <w:szCs w:val="24"/>
          <w:lang w:eastAsia="en-US"/>
        </w:rPr>
        <w:t xml:space="preserve">Schedule </w:t>
      </w:r>
      <w:r w:rsidR="00261906">
        <w:rPr>
          <w:rFonts w:eastAsiaTheme="minorHAnsi"/>
          <w:sz w:val="24"/>
          <w:szCs w:val="24"/>
          <w:lang w:eastAsia="en-US"/>
        </w:rPr>
        <w:t>2</w:t>
      </w:r>
      <w:r w:rsidR="00E306AF">
        <w:rPr>
          <w:rFonts w:eastAsiaTheme="minorHAnsi"/>
          <w:sz w:val="24"/>
          <w:szCs w:val="24"/>
          <w:lang w:eastAsia="en-US"/>
        </w:rPr>
        <w:t xml:space="preserve"> </w:t>
      </w:r>
      <w:r>
        <w:rPr>
          <w:rFonts w:eastAsiaTheme="minorHAnsi"/>
          <w:sz w:val="24"/>
          <w:szCs w:val="24"/>
          <w:lang w:eastAsia="en-US"/>
        </w:rPr>
        <w:t xml:space="preserve">to </w:t>
      </w:r>
      <w:r w:rsidR="00E306AF">
        <w:rPr>
          <w:rFonts w:eastAsiaTheme="minorHAnsi"/>
          <w:sz w:val="24"/>
          <w:szCs w:val="24"/>
          <w:lang w:eastAsia="en-US"/>
        </w:rPr>
        <w:t xml:space="preserve">include </w:t>
      </w:r>
      <w:proofErr w:type="spellStart"/>
      <w:r w:rsidR="005F60E1">
        <w:rPr>
          <w:rFonts w:eastAsiaTheme="minorHAnsi"/>
          <w:sz w:val="24"/>
          <w:szCs w:val="24"/>
          <w:lang w:eastAsia="en-US"/>
        </w:rPr>
        <w:t>ASCo</w:t>
      </w:r>
      <w:proofErr w:type="spellEnd"/>
      <w:r w:rsidR="005F60E1">
        <w:rPr>
          <w:rFonts w:eastAsiaTheme="minorHAnsi"/>
          <w:sz w:val="24"/>
          <w:szCs w:val="24"/>
          <w:lang w:eastAsia="en-US"/>
        </w:rPr>
        <w:t xml:space="preserve">, </w:t>
      </w:r>
      <w:r w:rsidR="00E306AF">
        <w:rPr>
          <w:rFonts w:eastAsiaTheme="minorHAnsi"/>
          <w:sz w:val="24"/>
          <w:szCs w:val="24"/>
          <w:lang w:eastAsia="en-US"/>
        </w:rPr>
        <w:t>SLSA</w:t>
      </w:r>
      <w:r w:rsidR="00A47838">
        <w:rPr>
          <w:rFonts w:eastAsiaTheme="minorHAnsi"/>
          <w:sz w:val="24"/>
          <w:szCs w:val="24"/>
          <w:lang w:eastAsia="en-US"/>
        </w:rPr>
        <w:t xml:space="preserve"> and ADHA to</w:t>
      </w:r>
      <w:r w:rsidR="00435508" w:rsidRPr="003F7E4C">
        <w:rPr>
          <w:rFonts w:eastAsiaTheme="minorHAnsi"/>
          <w:sz w:val="24"/>
          <w:szCs w:val="24"/>
          <w:lang w:eastAsia="en-US"/>
        </w:rPr>
        <w:t xml:space="preserve"> allow future Commonwealth employers to recognise the employees’ prior service within the meaning of section 11 of the Act.</w:t>
      </w:r>
      <w:r w:rsidR="005F60E1">
        <w:rPr>
          <w:rFonts w:eastAsiaTheme="minorHAnsi"/>
          <w:sz w:val="24"/>
          <w:szCs w:val="24"/>
          <w:lang w:eastAsia="en-US"/>
        </w:rPr>
        <w:t xml:space="preserve"> </w:t>
      </w:r>
      <w:r w:rsidR="005F60E1">
        <w:rPr>
          <w:sz w:val="24"/>
          <w:szCs w:val="24"/>
        </w:rPr>
        <w:t xml:space="preserve">The prior service of SLSA employees is only be recognised if they </w:t>
      </w:r>
      <w:r w:rsidR="005F60E1">
        <w:rPr>
          <w:sz w:val="24"/>
          <w:szCs w:val="24"/>
        </w:rPr>
        <w:lastRenderedPageBreak/>
        <w:t>were transferred to ANSTO on 1 September 2016. Likewise, prior service of NEHTA employees is only be recognised if they have transferred to ADHA on 1 July 2016.</w:t>
      </w:r>
    </w:p>
    <w:p w:rsidR="00E306AF" w:rsidRDefault="00E306AF" w:rsidP="00C26FA1">
      <w:pPr>
        <w:rPr>
          <w:sz w:val="24"/>
          <w:szCs w:val="24"/>
        </w:rPr>
      </w:pPr>
    </w:p>
    <w:p w:rsidR="001E711D" w:rsidRDefault="00F761EF" w:rsidP="00C26FA1">
      <w:pPr>
        <w:rPr>
          <w:sz w:val="24"/>
          <w:szCs w:val="24"/>
        </w:rPr>
      </w:pPr>
      <w:r>
        <w:rPr>
          <w:sz w:val="24"/>
          <w:szCs w:val="24"/>
        </w:rPr>
        <w:t>Advice from t</w:t>
      </w:r>
      <w:r w:rsidR="00C26FA1" w:rsidRPr="00C26FA1">
        <w:rPr>
          <w:sz w:val="24"/>
          <w:szCs w:val="24"/>
        </w:rPr>
        <w:t>he Office of Best Practice Regulation</w:t>
      </w:r>
      <w:r w:rsidR="00E306AF">
        <w:rPr>
          <w:sz w:val="24"/>
          <w:szCs w:val="24"/>
        </w:rPr>
        <w:t xml:space="preserve"> </w:t>
      </w:r>
      <w:r>
        <w:rPr>
          <w:sz w:val="24"/>
          <w:szCs w:val="24"/>
        </w:rPr>
        <w:t>indicated</w:t>
      </w:r>
      <w:r w:rsidR="00C26FA1" w:rsidRPr="00C26FA1">
        <w:rPr>
          <w:sz w:val="24"/>
          <w:szCs w:val="24"/>
        </w:rPr>
        <w:t xml:space="preserve"> that a Regulation Impact Statement was not required</w:t>
      </w:r>
      <w:r w:rsidR="00FF1659">
        <w:rPr>
          <w:sz w:val="24"/>
          <w:szCs w:val="24"/>
        </w:rPr>
        <w:t xml:space="preserve"> (</w:t>
      </w:r>
      <w:proofErr w:type="spellStart"/>
      <w:r w:rsidR="0015323D" w:rsidRPr="0015323D">
        <w:rPr>
          <w:sz w:val="24"/>
          <w:szCs w:val="24"/>
        </w:rPr>
        <w:t>OBPR</w:t>
      </w:r>
      <w:proofErr w:type="spellEnd"/>
      <w:r w:rsidR="0015323D" w:rsidRPr="0015323D">
        <w:rPr>
          <w:sz w:val="24"/>
          <w:szCs w:val="24"/>
        </w:rPr>
        <w:t xml:space="preserve"> Reference Number 13837</w:t>
      </w:r>
      <w:r w:rsidR="00FF1659">
        <w:rPr>
          <w:sz w:val="24"/>
          <w:szCs w:val="24"/>
        </w:rPr>
        <w:t>)</w:t>
      </w:r>
      <w:r w:rsidR="00CA7C2C">
        <w:rPr>
          <w:sz w:val="24"/>
          <w:szCs w:val="24"/>
        </w:rPr>
        <w:t>.</w:t>
      </w:r>
    </w:p>
    <w:p w:rsidR="00F56216" w:rsidRPr="00F56216" w:rsidRDefault="00F56216" w:rsidP="002B2C06">
      <w:pPr>
        <w:spacing w:line="276" w:lineRule="exact"/>
        <w:rPr>
          <w:szCs w:val="20"/>
        </w:rPr>
      </w:pPr>
    </w:p>
    <w:p w:rsidR="00AC1845" w:rsidRPr="003F7E4C" w:rsidRDefault="00AC1845" w:rsidP="002B2C06">
      <w:pPr>
        <w:spacing w:line="271" w:lineRule="auto"/>
        <w:ind w:right="1040"/>
        <w:rPr>
          <w:sz w:val="20"/>
          <w:szCs w:val="20"/>
        </w:rPr>
      </w:pPr>
      <w:r w:rsidRPr="003F7E4C">
        <w:rPr>
          <w:sz w:val="24"/>
          <w:szCs w:val="24"/>
        </w:rPr>
        <w:t>The Act specifies no conditions that need to be satisfied before the power to make the proposed Regulation</w:t>
      </w:r>
      <w:r w:rsidR="0002175D">
        <w:rPr>
          <w:sz w:val="24"/>
          <w:szCs w:val="24"/>
        </w:rPr>
        <w:t>s</w:t>
      </w:r>
      <w:r w:rsidRPr="003F7E4C">
        <w:rPr>
          <w:sz w:val="24"/>
          <w:szCs w:val="24"/>
        </w:rPr>
        <w:t xml:space="preserve"> may be exercised.</w:t>
      </w:r>
    </w:p>
    <w:p w:rsidR="00AC1845" w:rsidRPr="003F7E4C" w:rsidRDefault="00AC1845" w:rsidP="002B2C06">
      <w:pPr>
        <w:spacing w:line="199" w:lineRule="exact"/>
        <w:rPr>
          <w:sz w:val="20"/>
          <w:szCs w:val="20"/>
        </w:rPr>
      </w:pPr>
    </w:p>
    <w:p w:rsidR="00AC1845" w:rsidRPr="003F7E4C" w:rsidRDefault="00AC1845" w:rsidP="00E306AF">
      <w:pPr>
        <w:tabs>
          <w:tab w:val="left" w:pos="7186"/>
        </w:tabs>
        <w:rPr>
          <w:sz w:val="24"/>
          <w:szCs w:val="24"/>
        </w:rPr>
      </w:pPr>
      <w:r w:rsidRPr="003F7E4C">
        <w:rPr>
          <w:sz w:val="24"/>
          <w:szCs w:val="24"/>
        </w:rPr>
        <w:t>The Regulation</w:t>
      </w:r>
      <w:r w:rsidR="0002175D">
        <w:rPr>
          <w:sz w:val="24"/>
          <w:szCs w:val="24"/>
        </w:rPr>
        <w:t>s</w:t>
      </w:r>
      <w:r w:rsidRPr="003F7E4C">
        <w:rPr>
          <w:sz w:val="24"/>
          <w:szCs w:val="24"/>
        </w:rPr>
        <w:t xml:space="preserve"> </w:t>
      </w:r>
      <w:r w:rsidR="0002175D">
        <w:rPr>
          <w:sz w:val="24"/>
          <w:szCs w:val="24"/>
        </w:rPr>
        <w:t>are</w:t>
      </w:r>
      <w:r w:rsidR="00E306AF">
        <w:rPr>
          <w:sz w:val="24"/>
          <w:szCs w:val="24"/>
        </w:rPr>
        <w:t xml:space="preserve"> </w:t>
      </w:r>
      <w:r w:rsidR="00E306AF" w:rsidRPr="003F7E4C">
        <w:rPr>
          <w:sz w:val="24"/>
          <w:szCs w:val="24"/>
        </w:rPr>
        <w:t>a</w:t>
      </w:r>
      <w:r w:rsidRPr="003F7E4C">
        <w:rPr>
          <w:sz w:val="24"/>
          <w:szCs w:val="24"/>
        </w:rPr>
        <w:t xml:space="preserve"> legislative instrument for the purposes of the</w:t>
      </w:r>
      <w:r w:rsidR="00E306AF">
        <w:rPr>
          <w:sz w:val="24"/>
          <w:szCs w:val="24"/>
        </w:rPr>
        <w:t xml:space="preserve"> </w:t>
      </w:r>
      <w:r w:rsidRPr="003F7E4C">
        <w:rPr>
          <w:i/>
          <w:iCs/>
          <w:sz w:val="24"/>
          <w:szCs w:val="24"/>
        </w:rPr>
        <w:t>Legislation Act 2003</w:t>
      </w:r>
      <w:r w:rsidRPr="003F7E4C">
        <w:rPr>
          <w:sz w:val="24"/>
          <w:szCs w:val="24"/>
        </w:rPr>
        <w:t>.</w:t>
      </w:r>
      <w:bookmarkStart w:id="1" w:name="page55"/>
      <w:bookmarkEnd w:id="1"/>
    </w:p>
    <w:p w:rsidR="002B2C06" w:rsidRPr="003F7E4C" w:rsidRDefault="002B2C06" w:rsidP="002B2C06">
      <w:pPr>
        <w:ind w:left="80"/>
        <w:rPr>
          <w:sz w:val="20"/>
          <w:szCs w:val="20"/>
        </w:rPr>
      </w:pPr>
    </w:p>
    <w:p w:rsidR="00AC1845" w:rsidRPr="003F7E4C" w:rsidRDefault="00AC1845" w:rsidP="002B2C06">
      <w:pPr>
        <w:rPr>
          <w:sz w:val="24"/>
          <w:szCs w:val="24"/>
        </w:rPr>
      </w:pPr>
      <w:r w:rsidRPr="003F7E4C">
        <w:rPr>
          <w:sz w:val="24"/>
          <w:szCs w:val="24"/>
        </w:rPr>
        <w:t>The Regulation</w:t>
      </w:r>
      <w:r w:rsidR="0002175D">
        <w:rPr>
          <w:sz w:val="24"/>
          <w:szCs w:val="24"/>
        </w:rPr>
        <w:t>s</w:t>
      </w:r>
      <w:r w:rsidRPr="003F7E4C">
        <w:rPr>
          <w:sz w:val="24"/>
          <w:szCs w:val="24"/>
        </w:rPr>
        <w:t xml:space="preserve"> commence on </w:t>
      </w:r>
      <w:r w:rsidR="00435508" w:rsidRPr="003F7E4C">
        <w:rPr>
          <w:sz w:val="24"/>
          <w:szCs w:val="24"/>
        </w:rPr>
        <w:t>the day</w:t>
      </w:r>
      <w:r w:rsidR="00E306AF">
        <w:rPr>
          <w:sz w:val="24"/>
          <w:szCs w:val="24"/>
        </w:rPr>
        <w:t xml:space="preserve"> </w:t>
      </w:r>
      <w:r w:rsidR="0015323D">
        <w:rPr>
          <w:sz w:val="24"/>
          <w:szCs w:val="24"/>
        </w:rPr>
        <w:t>after</w:t>
      </w:r>
      <w:r w:rsidR="00E306AF">
        <w:rPr>
          <w:sz w:val="24"/>
          <w:szCs w:val="24"/>
        </w:rPr>
        <w:t xml:space="preserve"> registration</w:t>
      </w:r>
      <w:r w:rsidRPr="003F7E4C">
        <w:rPr>
          <w:sz w:val="24"/>
          <w:szCs w:val="24"/>
        </w:rPr>
        <w:t>.</w:t>
      </w:r>
    </w:p>
    <w:p w:rsidR="00CA6272" w:rsidRPr="00CA6272" w:rsidRDefault="00CA6272" w:rsidP="00CA6272">
      <w:pPr>
        <w:shd w:val="clear" w:color="auto" w:fill="FFFFFF"/>
        <w:spacing w:before="100" w:beforeAutospacing="1" w:after="100" w:afterAutospacing="1"/>
        <w:rPr>
          <w:b/>
          <w:bCs/>
          <w:sz w:val="24"/>
        </w:rPr>
      </w:pPr>
      <w:r w:rsidRPr="00CA6272">
        <w:rPr>
          <w:b/>
          <w:bCs/>
          <w:sz w:val="24"/>
        </w:rPr>
        <w:t>Consultation</w:t>
      </w:r>
    </w:p>
    <w:p w:rsidR="00BE23A4" w:rsidRDefault="00BE23A4" w:rsidP="00CA6272">
      <w:pPr>
        <w:shd w:val="clear" w:color="auto" w:fill="FFFFFF"/>
        <w:spacing w:before="100" w:beforeAutospacing="1" w:after="100" w:afterAutospacing="1"/>
        <w:rPr>
          <w:b/>
          <w:bCs/>
          <w:sz w:val="24"/>
        </w:rPr>
      </w:pPr>
      <w:r w:rsidRPr="00E40D94">
        <w:rPr>
          <w:sz w:val="24"/>
          <w:szCs w:val="24"/>
        </w:rPr>
        <w:t>ANSTO and ADHA were consulted extensively regarding the history of SLSA and NEHTA. Both agencies obtained independent legal advice regarding mechanisms to allow the recognition of prior service. Each agency has made arrangements to ensure that there will be no dual entitlement under the Act and the corresponding state long service leave legislation</w:t>
      </w:r>
      <w:r w:rsidR="00392BB1">
        <w:rPr>
          <w:sz w:val="24"/>
          <w:szCs w:val="24"/>
        </w:rPr>
        <w:t>.</w:t>
      </w:r>
    </w:p>
    <w:p w:rsidR="0052345B" w:rsidRPr="00CA6272" w:rsidRDefault="00CA6272" w:rsidP="00CA6272">
      <w:pPr>
        <w:shd w:val="clear" w:color="auto" w:fill="FFFFFF"/>
        <w:spacing w:before="100" w:beforeAutospacing="1" w:after="100" w:afterAutospacing="1"/>
        <w:rPr>
          <w:b/>
          <w:bCs/>
          <w:sz w:val="24"/>
        </w:rPr>
      </w:pPr>
      <w:r w:rsidRPr="00CA6272">
        <w:rPr>
          <w:b/>
          <w:bCs/>
          <w:sz w:val="24"/>
        </w:rPr>
        <w:t>Statement of Compatibility with Human Rights</w:t>
      </w:r>
    </w:p>
    <w:p w:rsidR="00CA6272" w:rsidRDefault="00CA6272" w:rsidP="00CA6272">
      <w:pPr>
        <w:spacing w:line="276" w:lineRule="exact"/>
        <w:rPr>
          <w:i/>
          <w:iCs/>
          <w:sz w:val="24"/>
        </w:rPr>
      </w:pPr>
      <w:r w:rsidRPr="00F56216">
        <w:rPr>
          <w:sz w:val="24"/>
          <w:szCs w:val="24"/>
        </w:rPr>
        <w:t xml:space="preserve">The Statement of Compatibility with Human Rights is set out in </w:t>
      </w:r>
      <w:r w:rsidRPr="00F56216">
        <w:rPr>
          <w:sz w:val="24"/>
          <w:szCs w:val="24"/>
          <w:u w:val="single"/>
        </w:rPr>
        <w:t>Attachment A</w:t>
      </w:r>
      <w:r w:rsidRPr="00F56216">
        <w:rPr>
          <w:sz w:val="24"/>
          <w:szCs w:val="24"/>
        </w:rPr>
        <w:t xml:space="preserve">. It has been prepared in accordance with section 3 of the </w:t>
      </w:r>
      <w:r w:rsidRPr="00F56216">
        <w:rPr>
          <w:i/>
          <w:iCs/>
          <w:sz w:val="24"/>
        </w:rPr>
        <w:t>Human Rights (Parliamentary Scrutiny) Act 2011</w:t>
      </w:r>
      <w:r>
        <w:rPr>
          <w:i/>
          <w:iCs/>
          <w:sz w:val="24"/>
        </w:rPr>
        <w:t>.</w:t>
      </w:r>
    </w:p>
    <w:p w:rsidR="0052345B" w:rsidRDefault="0052345B" w:rsidP="00C74D2A"/>
    <w:p w:rsidR="0052345B" w:rsidRDefault="0052345B" w:rsidP="00C74D2A"/>
    <w:p w:rsidR="0052345B" w:rsidRDefault="0052345B" w:rsidP="00C74D2A"/>
    <w:p w:rsidR="0052345B" w:rsidRDefault="0052345B" w:rsidP="00C74D2A"/>
    <w:p w:rsidR="0052345B" w:rsidRDefault="0052345B" w:rsidP="00C74D2A"/>
    <w:p w:rsidR="0052345B" w:rsidRDefault="0052345B" w:rsidP="00C74D2A"/>
    <w:p w:rsidR="0052345B" w:rsidRDefault="0052345B" w:rsidP="00C74D2A"/>
    <w:p w:rsidR="0052345B" w:rsidRDefault="0052345B" w:rsidP="00C74D2A"/>
    <w:p w:rsidR="0052345B" w:rsidRDefault="0052345B" w:rsidP="00C74D2A"/>
    <w:p w:rsidR="0052345B" w:rsidRDefault="0052345B" w:rsidP="00C74D2A"/>
    <w:p w:rsidR="0052345B" w:rsidRDefault="0052345B" w:rsidP="00C74D2A"/>
    <w:p w:rsidR="0052345B" w:rsidRDefault="0052345B" w:rsidP="00C74D2A"/>
    <w:p w:rsidR="0052345B" w:rsidRDefault="0052345B" w:rsidP="00C74D2A"/>
    <w:p w:rsidR="0052345B" w:rsidRDefault="0052345B" w:rsidP="00C74D2A"/>
    <w:p w:rsidR="0052345B" w:rsidRDefault="0052345B" w:rsidP="00C74D2A"/>
    <w:p w:rsidR="0052345B" w:rsidRDefault="0052345B" w:rsidP="00C74D2A"/>
    <w:p w:rsidR="0052345B" w:rsidRDefault="0052345B" w:rsidP="00C74D2A"/>
    <w:p w:rsidR="0052345B" w:rsidRDefault="0052345B" w:rsidP="00C74D2A"/>
    <w:p w:rsidR="0052345B" w:rsidRDefault="0052345B" w:rsidP="00C74D2A"/>
    <w:p w:rsidR="0052345B" w:rsidRDefault="0052345B" w:rsidP="00C74D2A"/>
    <w:p w:rsidR="0052345B" w:rsidRDefault="0052345B" w:rsidP="00C74D2A"/>
    <w:p w:rsidR="0052345B" w:rsidRDefault="0052345B" w:rsidP="00C74D2A"/>
    <w:p w:rsidR="00A529DF" w:rsidRDefault="00A529DF" w:rsidP="00C74D2A"/>
    <w:p w:rsidR="00A529DF" w:rsidRDefault="00A529DF" w:rsidP="00C74D2A"/>
    <w:p w:rsidR="0015323D" w:rsidRDefault="0015323D" w:rsidP="00C74D2A"/>
    <w:p w:rsidR="00C63253" w:rsidRDefault="00C63253" w:rsidP="00F56216">
      <w:pPr>
        <w:shd w:val="clear" w:color="auto" w:fill="FFFFFF"/>
        <w:spacing w:before="100" w:beforeAutospacing="1" w:after="100" w:afterAutospacing="1"/>
        <w:jc w:val="right"/>
        <w:rPr>
          <w:b/>
          <w:bCs/>
          <w:color w:val="000000"/>
          <w:sz w:val="24"/>
          <w:szCs w:val="24"/>
          <w:u w:val="single"/>
        </w:rPr>
      </w:pPr>
    </w:p>
    <w:p w:rsidR="00B721B7" w:rsidRPr="00B721B7" w:rsidRDefault="00B721B7" w:rsidP="00F56216">
      <w:pPr>
        <w:shd w:val="clear" w:color="auto" w:fill="FFFFFF"/>
        <w:spacing w:before="100" w:beforeAutospacing="1" w:after="100" w:afterAutospacing="1"/>
        <w:jc w:val="right"/>
        <w:rPr>
          <w:b/>
          <w:bCs/>
          <w:color w:val="000000"/>
          <w:sz w:val="24"/>
          <w:szCs w:val="24"/>
          <w:u w:val="single"/>
        </w:rPr>
      </w:pPr>
      <w:r w:rsidRPr="00B721B7">
        <w:rPr>
          <w:b/>
          <w:bCs/>
          <w:color w:val="000000"/>
          <w:sz w:val="24"/>
          <w:szCs w:val="24"/>
          <w:u w:val="single"/>
        </w:rPr>
        <w:lastRenderedPageBreak/>
        <w:t>Attachment A</w:t>
      </w:r>
    </w:p>
    <w:p w:rsidR="0052345B" w:rsidRDefault="0052345B" w:rsidP="00F56216">
      <w:pPr>
        <w:shd w:val="clear" w:color="auto" w:fill="FFFFFF"/>
        <w:spacing w:before="100" w:beforeAutospacing="1" w:after="100" w:afterAutospacing="1"/>
        <w:jc w:val="center"/>
        <w:rPr>
          <w:b/>
          <w:bCs/>
          <w:color w:val="000000"/>
          <w:sz w:val="24"/>
          <w:szCs w:val="24"/>
        </w:rPr>
      </w:pPr>
      <w:r w:rsidRPr="0052345B">
        <w:rPr>
          <w:b/>
          <w:bCs/>
          <w:color w:val="000000"/>
          <w:sz w:val="24"/>
          <w:szCs w:val="24"/>
        </w:rPr>
        <w:t xml:space="preserve">Statement of Compatibility with Human </w:t>
      </w:r>
      <w:r w:rsidR="00F65F64">
        <w:rPr>
          <w:b/>
          <w:bCs/>
          <w:color w:val="000000"/>
          <w:sz w:val="24"/>
          <w:szCs w:val="24"/>
        </w:rPr>
        <w:t>R</w:t>
      </w:r>
      <w:r w:rsidRPr="0052345B">
        <w:rPr>
          <w:b/>
          <w:bCs/>
          <w:color w:val="000000"/>
          <w:sz w:val="24"/>
          <w:szCs w:val="24"/>
        </w:rPr>
        <w:t>ights</w:t>
      </w:r>
    </w:p>
    <w:p w:rsidR="0052345B" w:rsidRPr="0052345B" w:rsidRDefault="0052345B" w:rsidP="00F56216">
      <w:pPr>
        <w:shd w:val="clear" w:color="auto" w:fill="FFFFFF"/>
        <w:spacing w:before="100" w:beforeAutospacing="1" w:after="100" w:afterAutospacing="1"/>
        <w:jc w:val="center"/>
        <w:rPr>
          <w:sz w:val="24"/>
          <w:szCs w:val="24"/>
          <w:lang w:val="en-US"/>
        </w:rPr>
      </w:pPr>
      <w:r w:rsidRPr="00F56216">
        <w:t xml:space="preserve"> </w:t>
      </w:r>
      <w:r w:rsidRPr="00F56216">
        <w:rPr>
          <w:i/>
          <w:iCs/>
          <w:sz w:val="24"/>
          <w:szCs w:val="23"/>
        </w:rPr>
        <w:t>Prepared in accordance with Part 3 of the Human Rights (Parliamentary Scrutiny) Act 2011</w:t>
      </w:r>
    </w:p>
    <w:p w:rsidR="005F60E1" w:rsidRDefault="005F60E1" w:rsidP="00F56216">
      <w:pPr>
        <w:shd w:val="clear" w:color="auto" w:fill="FFFFFF"/>
        <w:spacing w:before="100" w:beforeAutospacing="1" w:after="100" w:afterAutospacing="1"/>
        <w:jc w:val="center"/>
        <w:rPr>
          <w:i/>
          <w:sz w:val="24"/>
          <w:szCs w:val="24"/>
        </w:rPr>
      </w:pPr>
      <w:r w:rsidRPr="00421C2B">
        <w:rPr>
          <w:i/>
          <w:sz w:val="24"/>
          <w:szCs w:val="24"/>
        </w:rPr>
        <w:t>Long Service Leave (Commonwealth Employees) Amendment (2017 Measures No. 1) Regulations 2017</w:t>
      </w:r>
    </w:p>
    <w:p w:rsidR="00F56216" w:rsidRDefault="0052345B" w:rsidP="00F56216">
      <w:pPr>
        <w:shd w:val="clear" w:color="auto" w:fill="FFFFFF"/>
        <w:spacing w:before="100" w:beforeAutospacing="1" w:after="100" w:afterAutospacing="1"/>
        <w:jc w:val="center"/>
        <w:rPr>
          <w:sz w:val="24"/>
          <w:szCs w:val="24"/>
          <w:lang w:val="en-US"/>
        </w:rPr>
      </w:pPr>
      <w:r w:rsidRPr="0052345B">
        <w:rPr>
          <w:color w:val="000000"/>
          <w:sz w:val="24"/>
          <w:szCs w:val="24"/>
        </w:rPr>
        <w:t xml:space="preserve">This Disallowable Legislative Instrument is compatible with the human rights and freedoms recognised or declared in the international instruments listed in section 3 of the </w:t>
      </w:r>
      <w:r w:rsidRPr="0052345B">
        <w:rPr>
          <w:i/>
          <w:iCs/>
          <w:color w:val="000000"/>
          <w:sz w:val="24"/>
          <w:szCs w:val="24"/>
        </w:rPr>
        <w:t>Human Rights (Parliamentary Scrutiny) Act 2011</w:t>
      </w:r>
      <w:r w:rsidRPr="0052345B">
        <w:rPr>
          <w:color w:val="000000"/>
          <w:sz w:val="24"/>
          <w:szCs w:val="24"/>
        </w:rPr>
        <w:t>.</w:t>
      </w:r>
    </w:p>
    <w:p w:rsidR="00B721B7" w:rsidRPr="00F56216" w:rsidRDefault="00B721B7" w:rsidP="00F56216">
      <w:pPr>
        <w:shd w:val="clear" w:color="auto" w:fill="FFFFFF"/>
        <w:spacing w:before="100" w:beforeAutospacing="1" w:after="100" w:afterAutospacing="1"/>
        <w:rPr>
          <w:sz w:val="24"/>
          <w:szCs w:val="24"/>
          <w:lang w:val="en-US"/>
        </w:rPr>
      </w:pPr>
      <w:r w:rsidRPr="00B721B7">
        <w:rPr>
          <w:b/>
          <w:bCs/>
          <w:sz w:val="24"/>
        </w:rPr>
        <w:t xml:space="preserve">Overview of the </w:t>
      </w:r>
      <w:r w:rsidR="00F56216">
        <w:rPr>
          <w:b/>
          <w:bCs/>
          <w:sz w:val="24"/>
        </w:rPr>
        <w:t xml:space="preserve">Disallowable </w:t>
      </w:r>
      <w:r w:rsidRPr="00B721B7">
        <w:rPr>
          <w:b/>
          <w:bCs/>
          <w:sz w:val="24"/>
        </w:rPr>
        <w:t>Legislative Instrument</w:t>
      </w:r>
    </w:p>
    <w:p w:rsidR="00F56216" w:rsidRDefault="009F374F" w:rsidP="00F56216">
      <w:pPr>
        <w:shd w:val="clear" w:color="auto" w:fill="FFFFFF"/>
        <w:spacing w:before="100" w:beforeAutospacing="1" w:after="100" w:afterAutospacing="1"/>
        <w:ind w:right="91"/>
        <w:rPr>
          <w:rFonts w:eastAsiaTheme="minorHAnsi"/>
          <w:sz w:val="24"/>
          <w:szCs w:val="24"/>
          <w:lang w:eastAsia="en-US"/>
        </w:rPr>
      </w:pPr>
      <w:r w:rsidRPr="009F374F">
        <w:rPr>
          <w:rFonts w:eastAsiaTheme="minorHAnsi"/>
          <w:sz w:val="24"/>
          <w:szCs w:val="24"/>
          <w:lang w:eastAsia="en-US"/>
        </w:rPr>
        <w:t>The Australian Synchrotron Company Limited (</w:t>
      </w:r>
      <w:proofErr w:type="spellStart"/>
      <w:r w:rsidRPr="009F374F">
        <w:rPr>
          <w:rFonts w:eastAsiaTheme="minorHAnsi"/>
          <w:sz w:val="24"/>
          <w:szCs w:val="24"/>
          <w:lang w:eastAsia="en-US"/>
        </w:rPr>
        <w:t>ASCo</w:t>
      </w:r>
      <w:proofErr w:type="spellEnd"/>
      <w:r w:rsidRPr="009F374F">
        <w:rPr>
          <w:rFonts w:eastAsiaTheme="minorHAnsi"/>
          <w:sz w:val="24"/>
          <w:szCs w:val="24"/>
          <w:lang w:eastAsia="en-US"/>
        </w:rPr>
        <w:t>) was set up as a Victorian-funded and operated facility to run the Australian Synchrotron. It was administered under state law and commenced operation in 2006</w:t>
      </w:r>
      <w:r>
        <w:rPr>
          <w:rFonts w:eastAsiaTheme="minorHAnsi"/>
          <w:sz w:val="24"/>
          <w:szCs w:val="24"/>
          <w:lang w:eastAsia="en-US"/>
        </w:rPr>
        <w:t xml:space="preserve">. </w:t>
      </w:r>
      <w:r w:rsidR="00F56216" w:rsidRPr="00F87DF6">
        <w:rPr>
          <w:rFonts w:eastAsiaTheme="minorHAnsi"/>
          <w:sz w:val="24"/>
          <w:szCs w:val="24"/>
          <w:lang w:eastAsia="en-US"/>
        </w:rPr>
        <w:t>In 2012, the Victorian Government transferred responsibility for operations to the Australian Nuclear Science and Technology Organisation (ANSTO), a Commonwealth agency. As a result, ANSTO established</w:t>
      </w:r>
      <w:r w:rsidR="00F56216">
        <w:rPr>
          <w:sz w:val="24"/>
          <w:szCs w:val="24"/>
        </w:rPr>
        <w:t xml:space="preserve"> </w:t>
      </w:r>
      <w:r w:rsidR="00F56216" w:rsidRPr="00C130B0">
        <w:rPr>
          <w:sz w:val="24"/>
          <w:szCs w:val="24"/>
        </w:rPr>
        <w:t>Synchrotron Light Source Australia Pty Ltd</w:t>
      </w:r>
      <w:r w:rsidR="00F56216" w:rsidRPr="00F87DF6">
        <w:rPr>
          <w:rFonts w:eastAsiaTheme="minorHAnsi"/>
          <w:sz w:val="24"/>
          <w:szCs w:val="24"/>
          <w:lang w:eastAsia="en-US"/>
        </w:rPr>
        <w:t xml:space="preserve"> </w:t>
      </w:r>
      <w:r w:rsidR="00F56216">
        <w:rPr>
          <w:rFonts w:eastAsiaTheme="minorHAnsi"/>
          <w:sz w:val="24"/>
          <w:szCs w:val="24"/>
          <w:lang w:eastAsia="en-US"/>
        </w:rPr>
        <w:t>(</w:t>
      </w:r>
      <w:r w:rsidR="00F56216" w:rsidRPr="00F87DF6">
        <w:rPr>
          <w:rFonts w:eastAsiaTheme="minorHAnsi"/>
          <w:sz w:val="24"/>
          <w:szCs w:val="24"/>
          <w:lang w:eastAsia="en-US"/>
        </w:rPr>
        <w:t>SLSA</w:t>
      </w:r>
      <w:r w:rsidR="00F56216">
        <w:rPr>
          <w:rFonts w:eastAsiaTheme="minorHAnsi"/>
          <w:sz w:val="24"/>
          <w:szCs w:val="24"/>
          <w:lang w:eastAsia="en-US"/>
        </w:rPr>
        <w:t>)</w:t>
      </w:r>
      <w:r w:rsidR="00F56216" w:rsidRPr="00F87DF6">
        <w:rPr>
          <w:rFonts w:eastAsiaTheme="minorHAnsi"/>
          <w:sz w:val="24"/>
          <w:szCs w:val="24"/>
          <w:lang w:eastAsia="en-US"/>
        </w:rPr>
        <w:t xml:space="preserve"> as a subsidiary, registered in Victoria, to take over operation of the Synchrotron. On 1 </w:t>
      </w:r>
      <w:r w:rsidR="00F56216">
        <w:rPr>
          <w:rFonts w:eastAsiaTheme="minorHAnsi"/>
          <w:sz w:val="24"/>
          <w:szCs w:val="24"/>
          <w:lang w:eastAsia="en-US"/>
        </w:rPr>
        <w:t xml:space="preserve">July </w:t>
      </w:r>
      <w:r w:rsidR="00F56216" w:rsidRPr="00F87DF6">
        <w:rPr>
          <w:rFonts w:eastAsiaTheme="minorHAnsi"/>
          <w:sz w:val="24"/>
          <w:szCs w:val="24"/>
          <w:lang w:eastAsia="en-US"/>
        </w:rPr>
        <w:t>2016 ownership</w:t>
      </w:r>
      <w:r w:rsidR="00F56216">
        <w:rPr>
          <w:rFonts w:eastAsiaTheme="minorHAnsi"/>
          <w:sz w:val="24"/>
          <w:szCs w:val="24"/>
          <w:lang w:eastAsia="en-US"/>
        </w:rPr>
        <w:t xml:space="preserve"> of the Synchrotron</w:t>
      </w:r>
      <w:r w:rsidR="00F56216" w:rsidRPr="00F87DF6">
        <w:rPr>
          <w:rFonts w:eastAsiaTheme="minorHAnsi"/>
          <w:sz w:val="24"/>
          <w:szCs w:val="24"/>
          <w:lang w:eastAsia="en-US"/>
        </w:rPr>
        <w:t xml:space="preserve"> was transferred to ANSTO. </w:t>
      </w:r>
      <w:r w:rsidR="00F56216">
        <w:rPr>
          <w:rFonts w:eastAsiaTheme="minorHAnsi"/>
          <w:sz w:val="24"/>
          <w:szCs w:val="24"/>
          <w:lang w:eastAsia="en-US"/>
        </w:rPr>
        <w:t>Following this, the transfer of SLSA employees to ANSTO occurred on 1 September 2016.</w:t>
      </w:r>
    </w:p>
    <w:p w:rsidR="002C7C34" w:rsidRPr="00A47838" w:rsidRDefault="002C7C34" w:rsidP="002C7C34">
      <w:pPr>
        <w:rPr>
          <w:rFonts w:eastAsiaTheme="minorHAnsi"/>
          <w:sz w:val="24"/>
          <w:szCs w:val="24"/>
          <w:lang w:eastAsia="en-US"/>
        </w:rPr>
      </w:pPr>
      <w:r>
        <w:rPr>
          <w:rFonts w:eastAsiaTheme="minorHAnsi"/>
          <w:sz w:val="24"/>
          <w:szCs w:val="24"/>
          <w:lang w:eastAsia="en-US"/>
        </w:rPr>
        <w:t xml:space="preserve">The </w:t>
      </w:r>
      <w:r w:rsidRPr="00A47838">
        <w:rPr>
          <w:rFonts w:eastAsiaTheme="minorHAnsi"/>
          <w:sz w:val="24"/>
          <w:szCs w:val="24"/>
          <w:lang w:eastAsia="en-US"/>
        </w:rPr>
        <w:t xml:space="preserve">National E-Health Transition Authority (NEHTA) is the predecessor body for a newly established Commonwealth agency, the </w:t>
      </w:r>
      <w:hyperlink r:id="rId10" w:history="1">
        <w:r w:rsidRPr="00A47838">
          <w:rPr>
            <w:rFonts w:eastAsiaTheme="minorHAnsi"/>
            <w:sz w:val="24"/>
            <w:szCs w:val="24"/>
            <w:lang w:eastAsia="en-US"/>
          </w:rPr>
          <w:t>Australian Digital Health Agency</w:t>
        </w:r>
      </w:hyperlink>
      <w:r w:rsidRPr="00A47838">
        <w:rPr>
          <w:rFonts w:eastAsiaTheme="minorHAnsi"/>
          <w:sz w:val="24"/>
          <w:szCs w:val="24"/>
          <w:lang w:eastAsia="en-US"/>
        </w:rPr>
        <w:t xml:space="preserve"> (ADHA). NEHTA </w:t>
      </w:r>
      <w:r>
        <w:rPr>
          <w:rFonts w:eastAsiaTheme="minorHAnsi"/>
          <w:sz w:val="24"/>
          <w:szCs w:val="24"/>
          <w:lang w:eastAsia="en-US"/>
        </w:rPr>
        <w:t xml:space="preserve">was </w:t>
      </w:r>
      <w:r w:rsidRPr="00A47838">
        <w:rPr>
          <w:rFonts w:eastAsiaTheme="minorHAnsi"/>
          <w:sz w:val="24"/>
          <w:szCs w:val="24"/>
          <w:lang w:eastAsia="en-US"/>
        </w:rPr>
        <w:t>jointly funded by the Commonwealth and each State and Territory.  It was operational from 2005 until 30 June 2016</w:t>
      </w:r>
      <w:r>
        <w:rPr>
          <w:rFonts w:eastAsiaTheme="minorHAnsi"/>
          <w:sz w:val="24"/>
          <w:szCs w:val="24"/>
          <w:lang w:eastAsia="en-US"/>
        </w:rPr>
        <w:t xml:space="preserve">.  </w:t>
      </w:r>
      <w:r w:rsidRPr="00A47838">
        <w:rPr>
          <w:rFonts w:eastAsiaTheme="minorHAnsi"/>
          <w:sz w:val="24"/>
          <w:szCs w:val="24"/>
          <w:lang w:eastAsia="en-US"/>
        </w:rPr>
        <w:t xml:space="preserve">On 1 July 2016, NEHTA’s functions and resources </w:t>
      </w:r>
      <w:r>
        <w:rPr>
          <w:rFonts w:eastAsiaTheme="minorHAnsi"/>
          <w:sz w:val="24"/>
          <w:szCs w:val="24"/>
          <w:lang w:eastAsia="en-US"/>
        </w:rPr>
        <w:t xml:space="preserve">transitioned to ADHA </w:t>
      </w:r>
      <w:r w:rsidRPr="00A47838">
        <w:rPr>
          <w:rFonts w:eastAsiaTheme="minorHAnsi"/>
          <w:sz w:val="24"/>
          <w:szCs w:val="24"/>
          <w:lang w:eastAsia="en-US"/>
        </w:rPr>
        <w:t>along with some Dep</w:t>
      </w:r>
      <w:r>
        <w:rPr>
          <w:rFonts w:eastAsiaTheme="minorHAnsi"/>
          <w:sz w:val="24"/>
          <w:szCs w:val="24"/>
          <w:lang w:eastAsia="en-US"/>
        </w:rPr>
        <w:t>artmen</w:t>
      </w:r>
      <w:r w:rsidRPr="00A47838">
        <w:rPr>
          <w:rFonts w:eastAsiaTheme="minorHAnsi"/>
          <w:sz w:val="24"/>
          <w:szCs w:val="24"/>
          <w:lang w:eastAsia="en-US"/>
        </w:rPr>
        <w:t>t of Health staff</w:t>
      </w:r>
      <w:r>
        <w:rPr>
          <w:rFonts w:eastAsiaTheme="minorHAnsi"/>
          <w:sz w:val="24"/>
          <w:szCs w:val="24"/>
          <w:lang w:eastAsia="en-US"/>
        </w:rPr>
        <w:t>.</w:t>
      </w:r>
    </w:p>
    <w:p w:rsidR="00B721B7" w:rsidRPr="00C26FA1" w:rsidRDefault="0052345B" w:rsidP="00F56216">
      <w:pPr>
        <w:spacing w:before="100" w:beforeAutospacing="1" w:after="100" w:afterAutospacing="1"/>
        <w:rPr>
          <w:i/>
          <w:iCs/>
          <w:sz w:val="24"/>
          <w:szCs w:val="24"/>
        </w:rPr>
      </w:pPr>
      <w:r w:rsidRPr="0052345B">
        <w:rPr>
          <w:sz w:val="24"/>
          <w:szCs w:val="24"/>
        </w:rPr>
        <w:t xml:space="preserve">The purpose of the </w:t>
      </w:r>
      <w:r w:rsidR="005F60E1" w:rsidRPr="00421C2B">
        <w:rPr>
          <w:i/>
          <w:sz w:val="24"/>
          <w:szCs w:val="24"/>
        </w:rPr>
        <w:t>Long Service Leave (Commonwealth Employees) Amendment (2017 Measures No. 1) Regulations 2017</w:t>
      </w:r>
      <w:r w:rsidR="00503C6B">
        <w:rPr>
          <w:i/>
          <w:iCs/>
          <w:color w:val="FF0000"/>
          <w:sz w:val="24"/>
          <w:szCs w:val="24"/>
        </w:rPr>
        <w:t xml:space="preserve"> </w:t>
      </w:r>
      <w:r w:rsidR="00503C6B">
        <w:rPr>
          <w:sz w:val="24"/>
          <w:szCs w:val="24"/>
        </w:rPr>
        <w:t xml:space="preserve">is </w:t>
      </w:r>
      <w:r w:rsidRPr="0052345B">
        <w:rPr>
          <w:sz w:val="24"/>
          <w:szCs w:val="24"/>
        </w:rPr>
        <w:t>to</w:t>
      </w:r>
      <w:r w:rsidR="00503C6B">
        <w:rPr>
          <w:sz w:val="24"/>
          <w:szCs w:val="24"/>
        </w:rPr>
        <w:t xml:space="preserve"> amend</w:t>
      </w:r>
      <w:r w:rsidRPr="0052345B">
        <w:rPr>
          <w:sz w:val="24"/>
          <w:szCs w:val="24"/>
        </w:rPr>
        <w:t xml:space="preserve"> Schedule 2 of the Regulation </w:t>
      </w:r>
      <w:r w:rsidR="00503C6B">
        <w:rPr>
          <w:sz w:val="24"/>
          <w:szCs w:val="24"/>
        </w:rPr>
        <w:t>to include</w:t>
      </w:r>
      <w:r w:rsidR="005F60E1">
        <w:rPr>
          <w:sz w:val="24"/>
          <w:szCs w:val="24"/>
        </w:rPr>
        <w:t xml:space="preserve"> </w:t>
      </w:r>
      <w:proofErr w:type="spellStart"/>
      <w:r w:rsidR="005F60E1">
        <w:rPr>
          <w:sz w:val="24"/>
          <w:szCs w:val="24"/>
        </w:rPr>
        <w:t>ASCo</w:t>
      </w:r>
      <w:proofErr w:type="spellEnd"/>
      <w:r w:rsidR="005F60E1">
        <w:rPr>
          <w:sz w:val="24"/>
          <w:szCs w:val="24"/>
        </w:rPr>
        <w:t>,</w:t>
      </w:r>
      <w:r w:rsidR="00503C6B">
        <w:rPr>
          <w:sz w:val="24"/>
          <w:szCs w:val="24"/>
        </w:rPr>
        <w:t xml:space="preserve"> </w:t>
      </w:r>
      <w:r w:rsidR="002C7C34">
        <w:rPr>
          <w:sz w:val="24"/>
          <w:szCs w:val="24"/>
        </w:rPr>
        <w:t>SLSA and ADHA</w:t>
      </w:r>
      <w:r w:rsidRPr="0052345B">
        <w:rPr>
          <w:sz w:val="24"/>
          <w:szCs w:val="24"/>
        </w:rPr>
        <w:t>. This ensure</w:t>
      </w:r>
      <w:r w:rsidR="006E4225">
        <w:rPr>
          <w:sz w:val="24"/>
          <w:szCs w:val="24"/>
        </w:rPr>
        <w:t>s</w:t>
      </w:r>
      <w:r w:rsidRPr="0052345B">
        <w:rPr>
          <w:sz w:val="24"/>
          <w:szCs w:val="24"/>
        </w:rPr>
        <w:t xml:space="preserve"> prior service with th</w:t>
      </w:r>
      <w:r w:rsidR="002C7C34">
        <w:rPr>
          <w:sz w:val="24"/>
          <w:szCs w:val="24"/>
        </w:rPr>
        <w:t>ese</w:t>
      </w:r>
      <w:r w:rsidRPr="0052345B">
        <w:rPr>
          <w:sz w:val="24"/>
          <w:szCs w:val="24"/>
        </w:rPr>
        <w:t xml:space="preserve"> employer</w:t>
      </w:r>
      <w:r w:rsidR="002C7C34">
        <w:rPr>
          <w:sz w:val="24"/>
          <w:szCs w:val="24"/>
        </w:rPr>
        <w:t>s</w:t>
      </w:r>
      <w:r w:rsidRPr="0052345B">
        <w:rPr>
          <w:sz w:val="24"/>
          <w:szCs w:val="24"/>
        </w:rPr>
        <w:t xml:space="preserve"> is recognised for the purpose of calculating an employee’s long service leave entitlement</w:t>
      </w:r>
      <w:r w:rsidR="00B721B7">
        <w:rPr>
          <w:sz w:val="24"/>
          <w:szCs w:val="24"/>
        </w:rPr>
        <w:t xml:space="preserve"> s under section 11 of the </w:t>
      </w:r>
      <w:r w:rsidR="00B721B7" w:rsidRPr="00C26FA1">
        <w:rPr>
          <w:i/>
          <w:iCs/>
          <w:sz w:val="24"/>
          <w:szCs w:val="24"/>
        </w:rPr>
        <w:t>Long Service Leave (Commonwealth Employees) Act 1976</w:t>
      </w:r>
      <w:r w:rsidR="00B721B7">
        <w:rPr>
          <w:i/>
          <w:iCs/>
          <w:sz w:val="24"/>
          <w:szCs w:val="24"/>
        </w:rPr>
        <w:t>.</w:t>
      </w:r>
    </w:p>
    <w:p w:rsidR="00B721B7" w:rsidRPr="00F56216" w:rsidRDefault="00F56216" w:rsidP="00F56216">
      <w:pPr>
        <w:shd w:val="clear" w:color="auto" w:fill="FFFFFF"/>
        <w:spacing w:before="100" w:beforeAutospacing="1" w:after="100" w:afterAutospacing="1"/>
        <w:ind w:right="91"/>
        <w:rPr>
          <w:b/>
          <w:bCs/>
          <w:sz w:val="24"/>
        </w:rPr>
      </w:pPr>
      <w:r w:rsidRPr="00F56216">
        <w:rPr>
          <w:b/>
          <w:bCs/>
          <w:sz w:val="24"/>
        </w:rPr>
        <w:t>Human Rights Implications</w:t>
      </w:r>
    </w:p>
    <w:p w:rsidR="0052345B" w:rsidRPr="0052345B" w:rsidRDefault="0052345B" w:rsidP="00F56216">
      <w:pPr>
        <w:shd w:val="clear" w:color="auto" w:fill="FFFFFF"/>
        <w:spacing w:before="100" w:beforeAutospacing="1" w:after="100" w:afterAutospacing="1"/>
        <w:rPr>
          <w:sz w:val="24"/>
          <w:szCs w:val="24"/>
          <w:lang w:val="en-US"/>
        </w:rPr>
      </w:pPr>
      <w:r w:rsidRPr="0052345B">
        <w:rPr>
          <w:sz w:val="24"/>
          <w:szCs w:val="24"/>
        </w:rPr>
        <w:t xml:space="preserve">This Disallowable Legislative Instrument engages with Article 7 of the </w:t>
      </w:r>
      <w:r w:rsidRPr="0052345B">
        <w:rPr>
          <w:i/>
          <w:sz w:val="24"/>
          <w:szCs w:val="24"/>
        </w:rPr>
        <w:t>International Covenant on Economic, Social and Cultural Rights</w:t>
      </w:r>
      <w:r w:rsidRPr="0052345B">
        <w:rPr>
          <w:sz w:val="24"/>
          <w:szCs w:val="24"/>
        </w:rPr>
        <w:t>, particularly part (d). Article 7 is as follows:</w:t>
      </w:r>
    </w:p>
    <w:p w:rsidR="0052345B" w:rsidRPr="0052345B" w:rsidRDefault="0052345B" w:rsidP="00F56216">
      <w:pPr>
        <w:shd w:val="clear" w:color="auto" w:fill="FFFFFF"/>
        <w:spacing w:before="100" w:beforeAutospacing="1" w:after="100" w:afterAutospacing="1"/>
        <w:rPr>
          <w:sz w:val="24"/>
          <w:szCs w:val="24"/>
          <w:lang w:val="en-US"/>
        </w:rPr>
      </w:pPr>
      <w:r w:rsidRPr="0052345B">
        <w:rPr>
          <w:iCs/>
          <w:color w:val="000000"/>
          <w:sz w:val="24"/>
          <w:szCs w:val="24"/>
        </w:rPr>
        <w:t xml:space="preserve">Article 7 </w:t>
      </w:r>
    </w:p>
    <w:p w:rsidR="0052345B" w:rsidRPr="0052345B" w:rsidRDefault="0052345B" w:rsidP="00F56216">
      <w:pPr>
        <w:shd w:val="clear" w:color="auto" w:fill="FFFFFF"/>
        <w:spacing w:before="100" w:beforeAutospacing="1" w:after="100" w:afterAutospacing="1"/>
        <w:rPr>
          <w:sz w:val="24"/>
          <w:szCs w:val="24"/>
          <w:lang w:val="en-US"/>
        </w:rPr>
      </w:pPr>
      <w:r w:rsidRPr="0052345B">
        <w:rPr>
          <w:iCs/>
          <w:color w:val="000000"/>
          <w:sz w:val="24"/>
          <w:szCs w:val="24"/>
        </w:rPr>
        <w:t xml:space="preserve">The States Parties to the present Covenant recognize the right of everyone to the enjoyment of just and favourable conditions of work which ensure, in particular: </w:t>
      </w:r>
    </w:p>
    <w:p w:rsidR="0052345B" w:rsidRPr="0052345B" w:rsidRDefault="0052345B" w:rsidP="00F56216">
      <w:pPr>
        <w:shd w:val="clear" w:color="auto" w:fill="FFFFFF"/>
        <w:spacing w:before="100" w:beforeAutospacing="1" w:after="100" w:afterAutospacing="1"/>
        <w:rPr>
          <w:sz w:val="24"/>
          <w:szCs w:val="24"/>
          <w:lang w:val="en-US"/>
        </w:rPr>
      </w:pPr>
      <w:r w:rsidRPr="0052345B">
        <w:rPr>
          <w:iCs/>
          <w:color w:val="000000"/>
          <w:sz w:val="24"/>
          <w:szCs w:val="24"/>
        </w:rPr>
        <w:t xml:space="preserve">(a) Remuneration which provides all workers, as a minimum, with: </w:t>
      </w:r>
    </w:p>
    <w:p w:rsidR="0052345B" w:rsidRPr="0052345B" w:rsidRDefault="0052345B" w:rsidP="00F56216">
      <w:pPr>
        <w:shd w:val="clear" w:color="auto" w:fill="FFFFFF"/>
        <w:spacing w:before="100" w:beforeAutospacing="1" w:after="100" w:afterAutospacing="1"/>
        <w:rPr>
          <w:sz w:val="24"/>
          <w:szCs w:val="24"/>
          <w:lang w:val="en-US"/>
        </w:rPr>
      </w:pPr>
      <w:r w:rsidRPr="0052345B">
        <w:rPr>
          <w:iCs/>
          <w:color w:val="000000"/>
          <w:sz w:val="24"/>
          <w:szCs w:val="24"/>
        </w:rPr>
        <w:lastRenderedPageBreak/>
        <w:t>(</w:t>
      </w:r>
      <w:proofErr w:type="spellStart"/>
      <w:r w:rsidRPr="0052345B">
        <w:rPr>
          <w:iCs/>
          <w:color w:val="000000"/>
          <w:sz w:val="24"/>
          <w:szCs w:val="24"/>
        </w:rPr>
        <w:t>i</w:t>
      </w:r>
      <w:proofErr w:type="spellEnd"/>
      <w:r w:rsidRPr="0052345B">
        <w:rPr>
          <w:iCs/>
          <w:color w:val="000000"/>
          <w:sz w:val="24"/>
          <w:szCs w:val="24"/>
        </w:rPr>
        <w:t xml:space="preserve">) Fair wages and equal remuneration for work of equal value without distinction of any kind, in particular women being guaranteed conditions of work not inferior to those enjoyed by men, with equal pay for equal work; </w:t>
      </w:r>
    </w:p>
    <w:p w:rsidR="0052345B" w:rsidRPr="0052345B" w:rsidRDefault="0052345B" w:rsidP="00F56216">
      <w:pPr>
        <w:shd w:val="clear" w:color="auto" w:fill="FFFFFF"/>
        <w:spacing w:before="100" w:beforeAutospacing="1" w:after="100" w:afterAutospacing="1"/>
        <w:rPr>
          <w:sz w:val="24"/>
          <w:szCs w:val="24"/>
          <w:lang w:val="en-US"/>
        </w:rPr>
      </w:pPr>
      <w:r w:rsidRPr="0052345B">
        <w:rPr>
          <w:iCs/>
          <w:color w:val="000000"/>
          <w:sz w:val="24"/>
          <w:szCs w:val="24"/>
        </w:rPr>
        <w:t xml:space="preserve">(ii) A decent living for themselves and their families in accordance with the provisions of the present Covenant; </w:t>
      </w:r>
    </w:p>
    <w:p w:rsidR="0052345B" w:rsidRPr="0052345B" w:rsidRDefault="0052345B" w:rsidP="00F56216">
      <w:pPr>
        <w:shd w:val="clear" w:color="auto" w:fill="FFFFFF"/>
        <w:spacing w:before="100" w:beforeAutospacing="1" w:after="100" w:afterAutospacing="1"/>
        <w:rPr>
          <w:sz w:val="24"/>
          <w:szCs w:val="24"/>
          <w:lang w:val="en-US"/>
        </w:rPr>
      </w:pPr>
      <w:r w:rsidRPr="0052345B">
        <w:rPr>
          <w:iCs/>
          <w:color w:val="000000"/>
          <w:sz w:val="24"/>
          <w:szCs w:val="24"/>
        </w:rPr>
        <w:t xml:space="preserve">(b) Safe and healthy working conditions; </w:t>
      </w:r>
    </w:p>
    <w:p w:rsidR="0052345B" w:rsidRPr="0052345B" w:rsidRDefault="0052345B" w:rsidP="00F56216">
      <w:pPr>
        <w:shd w:val="clear" w:color="auto" w:fill="FFFFFF"/>
        <w:spacing w:before="100" w:beforeAutospacing="1" w:after="100" w:afterAutospacing="1"/>
        <w:rPr>
          <w:sz w:val="24"/>
          <w:szCs w:val="24"/>
          <w:lang w:val="en-US"/>
        </w:rPr>
      </w:pPr>
      <w:r w:rsidRPr="0052345B">
        <w:rPr>
          <w:iCs/>
          <w:color w:val="000000"/>
          <w:sz w:val="24"/>
          <w:szCs w:val="24"/>
        </w:rPr>
        <w:t xml:space="preserve">(c) Equal opportunity for everyone to be promoted in his employment to an appropriate higher level, subject to no considerations other than those of seniority and competence; </w:t>
      </w:r>
    </w:p>
    <w:p w:rsidR="0052345B" w:rsidRPr="0052345B" w:rsidRDefault="00F56216" w:rsidP="00F56216">
      <w:pPr>
        <w:shd w:val="clear" w:color="auto" w:fill="FFFFFF"/>
        <w:spacing w:before="100" w:beforeAutospacing="1" w:after="100" w:afterAutospacing="1"/>
        <w:rPr>
          <w:sz w:val="24"/>
          <w:szCs w:val="24"/>
          <w:lang w:val="en-US"/>
        </w:rPr>
      </w:pPr>
      <w:r>
        <w:rPr>
          <w:iCs/>
          <w:color w:val="000000"/>
          <w:sz w:val="24"/>
          <w:szCs w:val="24"/>
        </w:rPr>
        <w:t>(d</w:t>
      </w:r>
      <w:r w:rsidR="0052345B" w:rsidRPr="0052345B">
        <w:rPr>
          <w:iCs/>
          <w:color w:val="000000"/>
          <w:sz w:val="24"/>
          <w:szCs w:val="24"/>
        </w:rPr>
        <w:t>) Rest, leisure and reasonable limitation of working hours and periodic holidays with pay, as well as remuneration for public holidays</w:t>
      </w:r>
    </w:p>
    <w:p w:rsidR="00F56216" w:rsidRPr="00F56216" w:rsidRDefault="00F56216" w:rsidP="00F56216">
      <w:pPr>
        <w:shd w:val="clear" w:color="auto" w:fill="FFFFFF"/>
        <w:spacing w:before="100" w:beforeAutospacing="1" w:after="100" w:afterAutospacing="1"/>
        <w:ind w:right="91"/>
        <w:rPr>
          <w:b/>
          <w:bCs/>
          <w:sz w:val="24"/>
        </w:rPr>
      </w:pPr>
      <w:r w:rsidRPr="00F56216">
        <w:rPr>
          <w:b/>
          <w:bCs/>
          <w:sz w:val="24"/>
        </w:rPr>
        <w:t>Conclusion</w:t>
      </w:r>
    </w:p>
    <w:p w:rsidR="0052345B" w:rsidRDefault="005A1F89" w:rsidP="00F56216">
      <w:pPr>
        <w:shd w:val="clear" w:color="auto" w:fill="FFFFFF"/>
        <w:spacing w:before="100" w:beforeAutospacing="1" w:after="100" w:afterAutospacing="1"/>
        <w:rPr>
          <w:color w:val="000000"/>
          <w:sz w:val="24"/>
          <w:szCs w:val="24"/>
        </w:rPr>
      </w:pPr>
      <w:r>
        <w:rPr>
          <w:sz w:val="23"/>
          <w:szCs w:val="23"/>
        </w:rPr>
        <w:t xml:space="preserve">This Disallowable Legislative Instrument is compatible with human rights because it promotes the protection of human rights. </w:t>
      </w:r>
      <w:r w:rsidR="004379A8" w:rsidRPr="0052345B">
        <w:rPr>
          <w:color w:val="000000"/>
          <w:sz w:val="24"/>
          <w:szCs w:val="24"/>
        </w:rPr>
        <w:t>The inclusion of</w:t>
      </w:r>
      <w:r w:rsidR="004379A8">
        <w:rPr>
          <w:color w:val="000000"/>
          <w:sz w:val="24"/>
          <w:szCs w:val="24"/>
        </w:rPr>
        <w:t xml:space="preserve"> SLSA</w:t>
      </w:r>
      <w:r w:rsidR="002C7C34">
        <w:rPr>
          <w:color w:val="000000"/>
          <w:sz w:val="24"/>
          <w:szCs w:val="24"/>
        </w:rPr>
        <w:t xml:space="preserve"> and ADHA</w:t>
      </w:r>
      <w:r w:rsidR="004379A8" w:rsidRPr="0052345B">
        <w:rPr>
          <w:color w:val="000000"/>
          <w:sz w:val="24"/>
          <w:szCs w:val="24"/>
        </w:rPr>
        <w:t xml:space="preserve"> </w:t>
      </w:r>
      <w:r w:rsidR="004379A8">
        <w:rPr>
          <w:color w:val="000000"/>
          <w:sz w:val="24"/>
          <w:szCs w:val="24"/>
        </w:rPr>
        <w:t>at Schedule 2</w:t>
      </w:r>
      <w:r w:rsidR="004379A8" w:rsidRPr="0052345B">
        <w:rPr>
          <w:color w:val="000000"/>
          <w:sz w:val="24"/>
          <w:szCs w:val="24"/>
        </w:rPr>
        <w:t xml:space="preserve"> enhances the long service leave entitlements of a number of employees. </w:t>
      </w:r>
      <w:r w:rsidR="003D17C0" w:rsidRPr="003D17C0">
        <w:rPr>
          <w:color w:val="000000"/>
          <w:sz w:val="24"/>
          <w:szCs w:val="24"/>
        </w:rPr>
        <w:t>Th</w:t>
      </w:r>
      <w:r w:rsidR="00FF1659">
        <w:rPr>
          <w:color w:val="000000"/>
          <w:sz w:val="24"/>
          <w:szCs w:val="24"/>
        </w:rPr>
        <w:t>e</w:t>
      </w:r>
      <w:r w:rsidR="003D17C0" w:rsidRPr="003D17C0">
        <w:rPr>
          <w:color w:val="000000"/>
          <w:sz w:val="24"/>
          <w:szCs w:val="24"/>
        </w:rPr>
        <w:t xml:space="preserve"> amendment allows this cohort’s long service leave entitlements to parallel the provisions prescribed to other Commonwealth employees</w:t>
      </w:r>
      <w:r w:rsidR="00663FB8">
        <w:rPr>
          <w:color w:val="000000"/>
          <w:sz w:val="24"/>
          <w:szCs w:val="24"/>
        </w:rPr>
        <w:t>.</w:t>
      </w:r>
      <w:r w:rsidR="003D17C0" w:rsidRPr="003D17C0">
        <w:rPr>
          <w:color w:val="000000"/>
          <w:sz w:val="24"/>
          <w:szCs w:val="24"/>
        </w:rPr>
        <w:t xml:space="preserve"> </w:t>
      </w:r>
      <w:r w:rsidR="00663FB8">
        <w:rPr>
          <w:color w:val="000000"/>
          <w:sz w:val="24"/>
          <w:szCs w:val="24"/>
        </w:rPr>
        <w:t>This</w:t>
      </w:r>
      <w:r w:rsidR="003D17C0" w:rsidRPr="003D17C0">
        <w:rPr>
          <w:color w:val="000000"/>
          <w:sz w:val="24"/>
          <w:szCs w:val="24"/>
        </w:rPr>
        <w:t xml:space="preserve"> supports the realisation of Article 7(d) by enabling this </w:t>
      </w:r>
      <w:r w:rsidR="00FF1659" w:rsidRPr="003D17C0">
        <w:rPr>
          <w:color w:val="000000"/>
          <w:sz w:val="24"/>
          <w:szCs w:val="24"/>
        </w:rPr>
        <w:t>cohort to</w:t>
      </w:r>
      <w:r w:rsidR="003D17C0" w:rsidRPr="003D17C0">
        <w:rPr>
          <w:color w:val="000000"/>
          <w:sz w:val="24"/>
          <w:szCs w:val="24"/>
        </w:rPr>
        <w:t xml:space="preserve"> have access to the same rest, leisure and reasonable limitation of working hours and periodic holidays with pay, </w:t>
      </w:r>
      <w:r w:rsidR="00663FB8">
        <w:rPr>
          <w:color w:val="000000"/>
          <w:sz w:val="24"/>
          <w:szCs w:val="24"/>
        </w:rPr>
        <w:t>as other Commonwealth employees.</w:t>
      </w:r>
    </w:p>
    <w:p w:rsidR="004379A8" w:rsidRPr="00C74D2A" w:rsidRDefault="004379A8" w:rsidP="00C74D2A"/>
    <w:sectPr w:rsidR="004379A8" w:rsidRPr="00C74D2A" w:rsidSect="00563C98">
      <w:footerReference w:type="defaul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C98" w:rsidRDefault="00563C98" w:rsidP="00563C98">
      <w:r>
        <w:separator/>
      </w:r>
    </w:p>
  </w:endnote>
  <w:endnote w:type="continuationSeparator" w:id="0">
    <w:p w:rsidR="00563C98" w:rsidRDefault="00563C98" w:rsidP="0056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78768"/>
      <w:docPartObj>
        <w:docPartGallery w:val="Page Numbers (Bottom of Page)"/>
        <w:docPartUnique/>
      </w:docPartObj>
    </w:sdtPr>
    <w:sdtEndPr>
      <w:rPr>
        <w:noProof/>
      </w:rPr>
    </w:sdtEndPr>
    <w:sdtContent>
      <w:p w:rsidR="00563C98" w:rsidRDefault="00563C98">
        <w:pPr>
          <w:pStyle w:val="Footer"/>
          <w:jc w:val="center"/>
        </w:pPr>
        <w:r>
          <w:fldChar w:fldCharType="begin"/>
        </w:r>
        <w:r>
          <w:instrText xml:space="preserve"> PAGE   \* MERGEFORMAT </w:instrText>
        </w:r>
        <w:r>
          <w:fldChar w:fldCharType="separate"/>
        </w:r>
        <w:r w:rsidR="00D665CA">
          <w:rPr>
            <w:noProof/>
          </w:rPr>
          <w:t>2</w:t>
        </w:r>
        <w:r>
          <w:rPr>
            <w:noProof/>
          </w:rPr>
          <w:fldChar w:fldCharType="end"/>
        </w:r>
      </w:p>
    </w:sdtContent>
  </w:sdt>
  <w:p w:rsidR="00563C98" w:rsidRDefault="00563C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C98" w:rsidRDefault="00563C98" w:rsidP="00563C98">
      <w:r>
        <w:separator/>
      </w:r>
    </w:p>
  </w:footnote>
  <w:footnote w:type="continuationSeparator" w:id="0">
    <w:p w:rsidR="00563C98" w:rsidRDefault="00563C98" w:rsidP="00563C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57FCE"/>
    <w:multiLevelType w:val="hybridMultilevel"/>
    <w:tmpl w:val="8C503B48"/>
    <w:lvl w:ilvl="0" w:tplc="358827EE">
      <w:start w:val="1"/>
      <w:numFmt w:val="decimal"/>
      <w:lvlText w:val="%1."/>
      <w:lvlJc w:val="left"/>
      <w:pPr>
        <w:ind w:left="360" w:hanging="360"/>
      </w:pPr>
    </w:lvl>
    <w:lvl w:ilvl="1" w:tplc="4C9084E0">
      <w:start w:val="1"/>
      <w:numFmt w:val="lowerLetter"/>
      <w:lvlText w:val="%2."/>
      <w:lvlJc w:val="left"/>
      <w:pPr>
        <w:ind w:left="1080" w:hanging="360"/>
      </w:pPr>
    </w:lvl>
    <w:lvl w:ilvl="2" w:tplc="09D80ED4">
      <w:start w:val="1"/>
      <w:numFmt w:val="lowerRoman"/>
      <w:lvlText w:val="%3."/>
      <w:lvlJc w:val="right"/>
      <w:pPr>
        <w:ind w:left="1800" w:hanging="180"/>
      </w:pPr>
    </w:lvl>
    <w:lvl w:ilvl="3" w:tplc="1750BD36">
      <w:start w:val="1"/>
      <w:numFmt w:val="decimal"/>
      <w:lvlText w:val="%4."/>
      <w:lvlJc w:val="left"/>
      <w:pPr>
        <w:ind w:left="2520" w:hanging="360"/>
      </w:pPr>
    </w:lvl>
    <w:lvl w:ilvl="4" w:tplc="7A4C221C">
      <w:start w:val="1"/>
      <w:numFmt w:val="lowerLetter"/>
      <w:lvlText w:val="%5."/>
      <w:lvlJc w:val="left"/>
      <w:pPr>
        <w:ind w:left="3240" w:hanging="360"/>
      </w:pPr>
    </w:lvl>
    <w:lvl w:ilvl="5" w:tplc="FFB6AF14">
      <w:start w:val="1"/>
      <w:numFmt w:val="lowerRoman"/>
      <w:lvlText w:val="%6."/>
      <w:lvlJc w:val="right"/>
      <w:pPr>
        <w:ind w:left="3960" w:hanging="180"/>
      </w:pPr>
    </w:lvl>
    <w:lvl w:ilvl="6" w:tplc="3D50A93A">
      <w:start w:val="1"/>
      <w:numFmt w:val="decimal"/>
      <w:lvlText w:val="%7."/>
      <w:lvlJc w:val="left"/>
      <w:pPr>
        <w:ind w:left="4680" w:hanging="360"/>
      </w:pPr>
    </w:lvl>
    <w:lvl w:ilvl="7" w:tplc="BBD0C464">
      <w:start w:val="1"/>
      <w:numFmt w:val="lowerLetter"/>
      <w:lvlText w:val="%8."/>
      <w:lvlJc w:val="left"/>
      <w:pPr>
        <w:ind w:left="5400" w:hanging="360"/>
      </w:pPr>
    </w:lvl>
    <w:lvl w:ilvl="8" w:tplc="C91CE7F6">
      <w:start w:val="1"/>
      <w:numFmt w:val="lowerRoman"/>
      <w:lvlText w:val="%9."/>
      <w:lvlJc w:val="right"/>
      <w:pPr>
        <w:ind w:left="6120" w:hanging="180"/>
      </w:pPr>
    </w:lvl>
  </w:abstractNum>
  <w:abstractNum w:abstractNumId="1">
    <w:nsid w:val="3F87656A"/>
    <w:multiLevelType w:val="hybridMultilevel"/>
    <w:tmpl w:val="C68696A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78DF6A55"/>
    <w:multiLevelType w:val="hybridMultilevel"/>
    <w:tmpl w:val="9D623A2C"/>
    <w:lvl w:ilvl="0" w:tplc="17046EA0">
      <w:start w:val="1"/>
      <w:numFmt w:val="bullet"/>
      <w:lvlText w:val="•"/>
      <w:lvlJc w:val="left"/>
      <w:pPr>
        <w:ind w:left="0" w:firstLine="0"/>
      </w:pPr>
    </w:lvl>
    <w:lvl w:ilvl="1" w:tplc="8E70E50E">
      <w:numFmt w:val="decimal"/>
      <w:lvlText w:val=""/>
      <w:lvlJc w:val="left"/>
      <w:pPr>
        <w:ind w:left="0" w:firstLine="0"/>
      </w:pPr>
    </w:lvl>
    <w:lvl w:ilvl="2" w:tplc="E082935E">
      <w:numFmt w:val="decimal"/>
      <w:lvlText w:val=""/>
      <w:lvlJc w:val="left"/>
      <w:pPr>
        <w:ind w:left="0" w:firstLine="0"/>
      </w:pPr>
    </w:lvl>
    <w:lvl w:ilvl="3" w:tplc="0AD4AC88">
      <w:numFmt w:val="decimal"/>
      <w:lvlText w:val=""/>
      <w:lvlJc w:val="left"/>
      <w:pPr>
        <w:ind w:left="0" w:firstLine="0"/>
      </w:pPr>
    </w:lvl>
    <w:lvl w:ilvl="4" w:tplc="688C53F2">
      <w:numFmt w:val="decimal"/>
      <w:lvlText w:val=""/>
      <w:lvlJc w:val="left"/>
      <w:pPr>
        <w:ind w:left="0" w:firstLine="0"/>
      </w:pPr>
    </w:lvl>
    <w:lvl w:ilvl="5" w:tplc="F5F0989C">
      <w:numFmt w:val="decimal"/>
      <w:lvlText w:val=""/>
      <w:lvlJc w:val="left"/>
      <w:pPr>
        <w:ind w:left="0" w:firstLine="0"/>
      </w:pPr>
    </w:lvl>
    <w:lvl w:ilvl="6" w:tplc="3A5404D4">
      <w:numFmt w:val="decimal"/>
      <w:lvlText w:val=""/>
      <w:lvlJc w:val="left"/>
      <w:pPr>
        <w:ind w:left="0" w:firstLine="0"/>
      </w:pPr>
    </w:lvl>
    <w:lvl w:ilvl="7" w:tplc="939C5026">
      <w:numFmt w:val="decimal"/>
      <w:lvlText w:val=""/>
      <w:lvlJc w:val="left"/>
      <w:pPr>
        <w:ind w:left="0" w:firstLine="0"/>
      </w:pPr>
    </w:lvl>
    <w:lvl w:ilvl="8" w:tplc="3BD85C28">
      <w:numFmt w:val="decimal"/>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FA7"/>
    <w:rsid w:val="00005CD9"/>
    <w:rsid w:val="0002175D"/>
    <w:rsid w:val="0015323D"/>
    <w:rsid w:val="001D6A56"/>
    <w:rsid w:val="001E711D"/>
    <w:rsid w:val="00261906"/>
    <w:rsid w:val="002624ED"/>
    <w:rsid w:val="002B2C06"/>
    <w:rsid w:val="002C7C34"/>
    <w:rsid w:val="00392BB1"/>
    <w:rsid w:val="003D17C0"/>
    <w:rsid w:val="003F7E4C"/>
    <w:rsid w:val="00435508"/>
    <w:rsid w:val="004379A8"/>
    <w:rsid w:val="00503C6B"/>
    <w:rsid w:val="00510626"/>
    <w:rsid w:val="0052345B"/>
    <w:rsid w:val="00563C98"/>
    <w:rsid w:val="005A1F89"/>
    <w:rsid w:val="005F60E1"/>
    <w:rsid w:val="00621F8C"/>
    <w:rsid w:val="00663FB8"/>
    <w:rsid w:val="00667323"/>
    <w:rsid w:val="0069069E"/>
    <w:rsid w:val="006E4225"/>
    <w:rsid w:val="007833CF"/>
    <w:rsid w:val="007E0D1C"/>
    <w:rsid w:val="00813372"/>
    <w:rsid w:val="00921743"/>
    <w:rsid w:val="0092571D"/>
    <w:rsid w:val="00954724"/>
    <w:rsid w:val="00991F2D"/>
    <w:rsid w:val="009F374F"/>
    <w:rsid w:val="00A07599"/>
    <w:rsid w:val="00A32CD1"/>
    <w:rsid w:val="00A47838"/>
    <w:rsid w:val="00A529DF"/>
    <w:rsid w:val="00A565E5"/>
    <w:rsid w:val="00A82315"/>
    <w:rsid w:val="00A87727"/>
    <w:rsid w:val="00AC1845"/>
    <w:rsid w:val="00AC64C3"/>
    <w:rsid w:val="00AD3CAE"/>
    <w:rsid w:val="00B15FF9"/>
    <w:rsid w:val="00B6546B"/>
    <w:rsid w:val="00B721B7"/>
    <w:rsid w:val="00BE23A4"/>
    <w:rsid w:val="00BF4FA7"/>
    <w:rsid w:val="00C26FA1"/>
    <w:rsid w:val="00C63253"/>
    <w:rsid w:val="00C74D2A"/>
    <w:rsid w:val="00CA6272"/>
    <w:rsid w:val="00CA7C2C"/>
    <w:rsid w:val="00CE0DDC"/>
    <w:rsid w:val="00D665CA"/>
    <w:rsid w:val="00DC26D4"/>
    <w:rsid w:val="00DF0A5A"/>
    <w:rsid w:val="00E306AF"/>
    <w:rsid w:val="00F15312"/>
    <w:rsid w:val="00F16A37"/>
    <w:rsid w:val="00F56216"/>
    <w:rsid w:val="00F65F64"/>
    <w:rsid w:val="00F761EF"/>
    <w:rsid w:val="00F87DF6"/>
    <w:rsid w:val="00FF16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845"/>
    <w:pPr>
      <w:spacing w:after="0" w:line="240" w:lineRule="auto"/>
    </w:pPr>
    <w:rPr>
      <w:rFonts w:ascii="Times New Roman" w:eastAsia="Times New Roman" w:hAnsi="Times New Roman"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
    <w:basedOn w:val="Normal"/>
    <w:link w:val="ListParagraphChar"/>
    <w:uiPriority w:val="34"/>
    <w:qFormat/>
    <w:rsid w:val="001E711D"/>
    <w:pPr>
      <w:ind w:left="720"/>
    </w:pPr>
    <w:rPr>
      <w:rFonts w:ascii="Calibri" w:eastAsiaTheme="minorHAnsi" w:hAnsi="Calibri" w:cs="Calibri"/>
      <w:lang w:eastAsia="en-US"/>
    </w:rPr>
  </w:style>
  <w:style w:type="paragraph" w:styleId="Header">
    <w:name w:val="header"/>
    <w:basedOn w:val="Normal"/>
    <w:link w:val="HeaderChar"/>
    <w:uiPriority w:val="99"/>
    <w:unhideWhenUsed/>
    <w:rsid w:val="00563C98"/>
    <w:pPr>
      <w:tabs>
        <w:tab w:val="center" w:pos="4513"/>
        <w:tab w:val="right" w:pos="9026"/>
      </w:tabs>
    </w:pPr>
  </w:style>
  <w:style w:type="character" w:customStyle="1" w:styleId="HeaderChar">
    <w:name w:val="Header Char"/>
    <w:basedOn w:val="DefaultParagraphFont"/>
    <w:link w:val="Header"/>
    <w:uiPriority w:val="99"/>
    <w:rsid w:val="00563C98"/>
    <w:rPr>
      <w:rFonts w:ascii="Times New Roman" w:eastAsia="Times New Roman" w:hAnsi="Times New Roman" w:cs="Times New Roman"/>
      <w:lang w:eastAsia="en-AU"/>
    </w:rPr>
  </w:style>
  <w:style w:type="paragraph" w:styleId="Footer">
    <w:name w:val="footer"/>
    <w:basedOn w:val="Normal"/>
    <w:link w:val="FooterChar"/>
    <w:uiPriority w:val="99"/>
    <w:unhideWhenUsed/>
    <w:rsid w:val="00563C98"/>
    <w:pPr>
      <w:tabs>
        <w:tab w:val="center" w:pos="4513"/>
        <w:tab w:val="right" w:pos="9026"/>
      </w:tabs>
    </w:pPr>
  </w:style>
  <w:style w:type="character" w:customStyle="1" w:styleId="FooterChar">
    <w:name w:val="Footer Char"/>
    <w:basedOn w:val="DefaultParagraphFont"/>
    <w:link w:val="Footer"/>
    <w:uiPriority w:val="99"/>
    <w:rsid w:val="00563C98"/>
    <w:rPr>
      <w:rFonts w:ascii="Times New Roman" w:eastAsia="Times New Roman" w:hAnsi="Times New Roman" w:cs="Times New Roman"/>
      <w:lang w:eastAsia="en-AU"/>
    </w:rPr>
  </w:style>
  <w:style w:type="paragraph" w:customStyle="1" w:styleId="Default">
    <w:name w:val="Default"/>
    <w:rsid w:val="0052345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A47838"/>
    <w:rPr>
      <w:color w:val="0563C1"/>
      <w:u w:val="single"/>
    </w:rPr>
  </w:style>
  <w:style w:type="character" w:customStyle="1" w:styleId="ListParagraphChar">
    <w:name w:val="List Paragraph Char"/>
    <w:aliases w:val="NFP GP Bulleted List Char,List Paragraph1 Char,Recommendation Char"/>
    <w:basedOn w:val="DefaultParagraphFont"/>
    <w:link w:val="ListParagraph"/>
    <w:uiPriority w:val="34"/>
    <w:locked/>
    <w:rsid w:val="00A47838"/>
    <w:rPr>
      <w:rFonts w:ascii="Calibri" w:hAnsi="Calibri" w:cs="Calibri"/>
    </w:rPr>
  </w:style>
  <w:style w:type="paragraph" w:styleId="BalloonText">
    <w:name w:val="Balloon Text"/>
    <w:basedOn w:val="Normal"/>
    <w:link w:val="BalloonTextChar"/>
    <w:uiPriority w:val="99"/>
    <w:semiHidden/>
    <w:unhideWhenUsed/>
    <w:rsid w:val="00C63253"/>
    <w:rPr>
      <w:rFonts w:ascii="Tahoma" w:hAnsi="Tahoma" w:cs="Tahoma"/>
      <w:sz w:val="16"/>
      <w:szCs w:val="16"/>
    </w:rPr>
  </w:style>
  <w:style w:type="character" w:customStyle="1" w:styleId="BalloonTextChar">
    <w:name w:val="Balloon Text Char"/>
    <w:basedOn w:val="DefaultParagraphFont"/>
    <w:link w:val="BalloonText"/>
    <w:uiPriority w:val="99"/>
    <w:semiHidden/>
    <w:rsid w:val="00C63253"/>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845"/>
    <w:pPr>
      <w:spacing w:after="0" w:line="240" w:lineRule="auto"/>
    </w:pPr>
    <w:rPr>
      <w:rFonts w:ascii="Times New Roman" w:eastAsia="Times New Roman" w:hAnsi="Times New Roman"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
    <w:basedOn w:val="Normal"/>
    <w:link w:val="ListParagraphChar"/>
    <w:uiPriority w:val="34"/>
    <w:qFormat/>
    <w:rsid w:val="001E711D"/>
    <w:pPr>
      <w:ind w:left="720"/>
    </w:pPr>
    <w:rPr>
      <w:rFonts w:ascii="Calibri" w:eastAsiaTheme="minorHAnsi" w:hAnsi="Calibri" w:cs="Calibri"/>
      <w:lang w:eastAsia="en-US"/>
    </w:rPr>
  </w:style>
  <w:style w:type="paragraph" w:styleId="Header">
    <w:name w:val="header"/>
    <w:basedOn w:val="Normal"/>
    <w:link w:val="HeaderChar"/>
    <w:uiPriority w:val="99"/>
    <w:unhideWhenUsed/>
    <w:rsid w:val="00563C98"/>
    <w:pPr>
      <w:tabs>
        <w:tab w:val="center" w:pos="4513"/>
        <w:tab w:val="right" w:pos="9026"/>
      </w:tabs>
    </w:pPr>
  </w:style>
  <w:style w:type="character" w:customStyle="1" w:styleId="HeaderChar">
    <w:name w:val="Header Char"/>
    <w:basedOn w:val="DefaultParagraphFont"/>
    <w:link w:val="Header"/>
    <w:uiPriority w:val="99"/>
    <w:rsid w:val="00563C98"/>
    <w:rPr>
      <w:rFonts w:ascii="Times New Roman" w:eastAsia="Times New Roman" w:hAnsi="Times New Roman" w:cs="Times New Roman"/>
      <w:lang w:eastAsia="en-AU"/>
    </w:rPr>
  </w:style>
  <w:style w:type="paragraph" w:styleId="Footer">
    <w:name w:val="footer"/>
    <w:basedOn w:val="Normal"/>
    <w:link w:val="FooterChar"/>
    <w:uiPriority w:val="99"/>
    <w:unhideWhenUsed/>
    <w:rsid w:val="00563C98"/>
    <w:pPr>
      <w:tabs>
        <w:tab w:val="center" w:pos="4513"/>
        <w:tab w:val="right" w:pos="9026"/>
      </w:tabs>
    </w:pPr>
  </w:style>
  <w:style w:type="character" w:customStyle="1" w:styleId="FooterChar">
    <w:name w:val="Footer Char"/>
    <w:basedOn w:val="DefaultParagraphFont"/>
    <w:link w:val="Footer"/>
    <w:uiPriority w:val="99"/>
    <w:rsid w:val="00563C98"/>
    <w:rPr>
      <w:rFonts w:ascii="Times New Roman" w:eastAsia="Times New Roman" w:hAnsi="Times New Roman" w:cs="Times New Roman"/>
      <w:lang w:eastAsia="en-AU"/>
    </w:rPr>
  </w:style>
  <w:style w:type="paragraph" w:customStyle="1" w:styleId="Default">
    <w:name w:val="Default"/>
    <w:rsid w:val="0052345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A47838"/>
    <w:rPr>
      <w:color w:val="0563C1"/>
      <w:u w:val="single"/>
    </w:rPr>
  </w:style>
  <w:style w:type="character" w:customStyle="1" w:styleId="ListParagraphChar">
    <w:name w:val="List Paragraph Char"/>
    <w:aliases w:val="NFP GP Bulleted List Char,List Paragraph1 Char,Recommendation Char"/>
    <w:basedOn w:val="DefaultParagraphFont"/>
    <w:link w:val="ListParagraph"/>
    <w:uiPriority w:val="34"/>
    <w:locked/>
    <w:rsid w:val="00A47838"/>
    <w:rPr>
      <w:rFonts w:ascii="Calibri" w:hAnsi="Calibri" w:cs="Calibri"/>
    </w:rPr>
  </w:style>
  <w:style w:type="paragraph" w:styleId="BalloonText">
    <w:name w:val="Balloon Text"/>
    <w:basedOn w:val="Normal"/>
    <w:link w:val="BalloonTextChar"/>
    <w:uiPriority w:val="99"/>
    <w:semiHidden/>
    <w:unhideWhenUsed/>
    <w:rsid w:val="00C63253"/>
    <w:rPr>
      <w:rFonts w:ascii="Tahoma" w:hAnsi="Tahoma" w:cs="Tahoma"/>
      <w:sz w:val="16"/>
      <w:szCs w:val="16"/>
    </w:rPr>
  </w:style>
  <w:style w:type="character" w:customStyle="1" w:styleId="BalloonTextChar">
    <w:name w:val="Balloon Text Char"/>
    <w:basedOn w:val="DefaultParagraphFont"/>
    <w:link w:val="BalloonText"/>
    <w:uiPriority w:val="99"/>
    <w:semiHidden/>
    <w:rsid w:val="00C63253"/>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923900">
      <w:bodyDiv w:val="1"/>
      <w:marLeft w:val="0"/>
      <w:marRight w:val="0"/>
      <w:marTop w:val="0"/>
      <w:marBottom w:val="0"/>
      <w:divBdr>
        <w:top w:val="none" w:sz="0" w:space="0" w:color="auto"/>
        <w:left w:val="none" w:sz="0" w:space="0" w:color="auto"/>
        <w:bottom w:val="none" w:sz="0" w:space="0" w:color="auto"/>
        <w:right w:val="none" w:sz="0" w:space="0" w:color="auto"/>
      </w:divBdr>
    </w:div>
    <w:div w:id="777414154">
      <w:bodyDiv w:val="1"/>
      <w:marLeft w:val="0"/>
      <w:marRight w:val="0"/>
      <w:marTop w:val="0"/>
      <w:marBottom w:val="0"/>
      <w:divBdr>
        <w:top w:val="none" w:sz="0" w:space="0" w:color="auto"/>
        <w:left w:val="none" w:sz="0" w:space="0" w:color="auto"/>
        <w:bottom w:val="none" w:sz="0" w:space="0" w:color="auto"/>
        <w:right w:val="none" w:sz="0" w:space="0" w:color="auto"/>
      </w:divBdr>
    </w:div>
    <w:div w:id="1844055025">
      <w:bodyDiv w:val="1"/>
      <w:marLeft w:val="0"/>
      <w:marRight w:val="0"/>
      <w:marTop w:val="0"/>
      <w:marBottom w:val="0"/>
      <w:divBdr>
        <w:top w:val="none" w:sz="0" w:space="0" w:color="auto"/>
        <w:left w:val="none" w:sz="0" w:space="0" w:color="auto"/>
        <w:bottom w:val="none" w:sz="0" w:space="0" w:color="auto"/>
        <w:right w:val="none" w:sz="0" w:space="0" w:color="auto"/>
      </w:divBdr>
      <w:divsChild>
        <w:div w:id="1922910406">
          <w:marLeft w:val="0"/>
          <w:marRight w:val="0"/>
          <w:marTop w:val="0"/>
          <w:marBottom w:val="0"/>
          <w:divBdr>
            <w:top w:val="none" w:sz="0" w:space="0" w:color="auto"/>
            <w:left w:val="none" w:sz="0" w:space="0" w:color="auto"/>
            <w:bottom w:val="none" w:sz="0" w:space="0" w:color="auto"/>
            <w:right w:val="none" w:sz="0" w:space="0" w:color="auto"/>
          </w:divBdr>
          <w:divsChild>
            <w:div w:id="1744639494">
              <w:marLeft w:val="0"/>
              <w:marRight w:val="0"/>
              <w:marTop w:val="0"/>
              <w:marBottom w:val="0"/>
              <w:divBdr>
                <w:top w:val="none" w:sz="0" w:space="0" w:color="auto"/>
                <w:left w:val="none" w:sz="0" w:space="0" w:color="auto"/>
                <w:bottom w:val="none" w:sz="0" w:space="0" w:color="auto"/>
                <w:right w:val="none" w:sz="0" w:space="0" w:color="auto"/>
              </w:divBdr>
              <w:divsChild>
                <w:div w:id="1084453618">
                  <w:marLeft w:val="0"/>
                  <w:marRight w:val="0"/>
                  <w:marTop w:val="0"/>
                  <w:marBottom w:val="0"/>
                  <w:divBdr>
                    <w:top w:val="none" w:sz="0" w:space="0" w:color="auto"/>
                    <w:left w:val="none" w:sz="0" w:space="0" w:color="auto"/>
                    <w:bottom w:val="none" w:sz="0" w:space="0" w:color="auto"/>
                    <w:right w:val="none" w:sz="0" w:space="0" w:color="auto"/>
                  </w:divBdr>
                  <w:divsChild>
                    <w:div w:id="2115468498">
                      <w:marLeft w:val="0"/>
                      <w:marRight w:val="0"/>
                      <w:marTop w:val="0"/>
                      <w:marBottom w:val="0"/>
                      <w:divBdr>
                        <w:top w:val="none" w:sz="0" w:space="0" w:color="auto"/>
                        <w:left w:val="none" w:sz="0" w:space="0" w:color="auto"/>
                        <w:bottom w:val="none" w:sz="0" w:space="0" w:color="auto"/>
                        <w:right w:val="none" w:sz="0" w:space="0" w:color="auto"/>
                      </w:divBdr>
                      <w:divsChild>
                        <w:div w:id="78018478">
                          <w:marLeft w:val="0"/>
                          <w:marRight w:val="0"/>
                          <w:marTop w:val="0"/>
                          <w:marBottom w:val="0"/>
                          <w:divBdr>
                            <w:top w:val="none" w:sz="0" w:space="0" w:color="auto"/>
                            <w:left w:val="none" w:sz="0" w:space="0" w:color="auto"/>
                            <w:bottom w:val="none" w:sz="0" w:space="0" w:color="auto"/>
                            <w:right w:val="none" w:sz="0" w:space="0" w:color="auto"/>
                          </w:divBdr>
                          <w:divsChild>
                            <w:div w:id="1683971889">
                              <w:marLeft w:val="0"/>
                              <w:marRight w:val="0"/>
                              <w:marTop w:val="0"/>
                              <w:marBottom w:val="0"/>
                              <w:divBdr>
                                <w:top w:val="none" w:sz="0" w:space="0" w:color="auto"/>
                                <w:left w:val="none" w:sz="0" w:space="0" w:color="auto"/>
                                <w:bottom w:val="none" w:sz="0" w:space="0" w:color="auto"/>
                                <w:right w:val="none" w:sz="0" w:space="0" w:color="auto"/>
                              </w:divBdr>
                              <w:divsChild>
                                <w:div w:id="833883283">
                                  <w:marLeft w:val="0"/>
                                  <w:marRight w:val="0"/>
                                  <w:marTop w:val="0"/>
                                  <w:marBottom w:val="0"/>
                                  <w:divBdr>
                                    <w:top w:val="none" w:sz="0" w:space="0" w:color="auto"/>
                                    <w:left w:val="none" w:sz="0" w:space="0" w:color="auto"/>
                                    <w:bottom w:val="none" w:sz="0" w:space="0" w:color="auto"/>
                                    <w:right w:val="none" w:sz="0" w:space="0" w:color="auto"/>
                                  </w:divBdr>
                                  <w:divsChild>
                                    <w:div w:id="1728527392">
                                      <w:marLeft w:val="0"/>
                                      <w:marRight w:val="0"/>
                                      <w:marTop w:val="0"/>
                                      <w:marBottom w:val="0"/>
                                      <w:divBdr>
                                        <w:top w:val="none" w:sz="0" w:space="0" w:color="auto"/>
                                        <w:left w:val="none" w:sz="0" w:space="0" w:color="auto"/>
                                        <w:bottom w:val="none" w:sz="0" w:space="0" w:color="auto"/>
                                        <w:right w:val="none" w:sz="0" w:space="0" w:color="auto"/>
                                      </w:divBdr>
                                      <w:divsChild>
                                        <w:div w:id="381910791">
                                          <w:marLeft w:val="0"/>
                                          <w:marRight w:val="0"/>
                                          <w:marTop w:val="0"/>
                                          <w:marBottom w:val="0"/>
                                          <w:divBdr>
                                            <w:top w:val="none" w:sz="0" w:space="0" w:color="auto"/>
                                            <w:left w:val="none" w:sz="0" w:space="0" w:color="auto"/>
                                            <w:bottom w:val="none" w:sz="0" w:space="0" w:color="auto"/>
                                            <w:right w:val="none" w:sz="0" w:space="0" w:color="auto"/>
                                          </w:divBdr>
                                          <w:divsChild>
                                            <w:div w:id="2070223594">
                                              <w:marLeft w:val="0"/>
                                              <w:marRight w:val="0"/>
                                              <w:marTop w:val="0"/>
                                              <w:marBottom w:val="0"/>
                                              <w:divBdr>
                                                <w:top w:val="none" w:sz="0" w:space="0" w:color="auto"/>
                                                <w:left w:val="none" w:sz="0" w:space="0" w:color="auto"/>
                                                <w:bottom w:val="none" w:sz="0" w:space="0" w:color="auto"/>
                                                <w:right w:val="none" w:sz="0" w:space="0" w:color="auto"/>
                                              </w:divBdr>
                                              <w:divsChild>
                                                <w:div w:id="1658069891">
                                                  <w:marLeft w:val="0"/>
                                                  <w:marRight w:val="0"/>
                                                  <w:marTop w:val="0"/>
                                                  <w:marBottom w:val="0"/>
                                                  <w:divBdr>
                                                    <w:top w:val="none" w:sz="0" w:space="0" w:color="auto"/>
                                                    <w:left w:val="none" w:sz="0" w:space="0" w:color="auto"/>
                                                    <w:bottom w:val="none" w:sz="0" w:space="0" w:color="auto"/>
                                                    <w:right w:val="none" w:sz="0" w:space="0" w:color="auto"/>
                                                  </w:divBdr>
                                                  <w:divsChild>
                                                    <w:div w:id="1329479477">
                                                      <w:marLeft w:val="0"/>
                                                      <w:marRight w:val="0"/>
                                                      <w:marTop w:val="0"/>
                                                      <w:marBottom w:val="0"/>
                                                      <w:divBdr>
                                                        <w:top w:val="none" w:sz="0" w:space="0" w:color="auto"/>
                                                        <w:left w:val="none" w:sz="0" w:space="0" w:color="auto"/>
                                                        <w:bottom w:val="none" w:sz="0" w:space="0" w:color="auto"/>
                                                        <w:right w:val="none" w:sz="0" w:space="0" w:color="auto"/>
                                                      </w:divBdr>
                                                      <w:divsChild>
                                                        <w:div w:id="8848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digitalhealth.gov.au/" TargetMode="External"/><Relationship Id="rId4" Type="http://schemas.microsoft.com/office/2007/relationships/stylesWithEffects" Target="stylesWithEffects.xml"/><Relationship Id="rId9" Type="http://schemas.openxmlformats.org/officeDocument/2006/relationships/hyperlink" Target="http://www.digital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BEF7B-00D2-46D9-B21D-5586814AA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EB7A3AC9.dotm</Template>
  <TotalTime>0</TotalTime>
  <Pages>4</Pages>
  <Words>1160</Words>
  <Characters>6612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Osterlund</dc:creator>
  <cp:lastModifiedBy>Luke Osterlund</cp:lastModifiedBy>
  <cp:revision>2</cp:revision>
  <cp:lastPrinted>2017-04-04T04:27:00Z</cp:lastPrinted>
  <dcterms:created xsi:type="dcterms:W3CDTF">2017-05-04T00:12:00Z</dcterms:created>
  <dcterms:modified xsi:type="dcterms:W3CDTF">2017-05-04T00:12:00Z</dcterms:modified>
</cp:coreProperties>
</file>