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38" w:rsidRDefault="00CA0C38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EXPLANATORY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STATE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</w:p>
    <w:p w:rsidR="00ED6411" w:rsidRDefault="00ED6411">
      <w:pPr>
        <w:spacing w:before="9" w:after="0" w:line="150" w:lineRule="exact"/>
        <w:rPr>
          <w:sz w:val="15"/>
          <w:szCs w:val="15"/>
        </w:rPr>
      </w:pPr>
    </w:p>
    <w:p w:rsidR="00ED6411" w:rsidRDefault="00ED6411">
      <w:pPr>
        <w:spacing w:after="0" w:line="200" w:lineRule="exact"/>
        <w:rPr>
          <w:sz w:val="20"/>
          <w:szCs w:val="20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Objective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the Directions</w:t>
      </w:r>
    </w:p>
    <w:p w:rsidR="00ED6411" w:rsidRDefault="00ED6411">
      <w:pPr>
        <w:spacing w:before="18" w:after="0" w:line="220" w:lineRule="exact"/>
      </w:pPr>
    </w:p>
    <w:p w:rsidR="00ED6411" w:rsidRDefault="0095169D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stated in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Future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 Act 2006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 Act), the Government has established the Future Fund (the Fund) 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rengthen the Australian Government’s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financial position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provision for unfunded superannuation liabilities that will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payable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 a period when an ageing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 is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ely to place significant pressure on the Government’s finances.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 w:rsidP="00720A7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the Act the Board is responsible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seeking to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returns on the Fund over the long</w:t>
      </w:r>
      <w:r w:rsidR="0032100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This responsibility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 to any restrictions placed on the Fund by the Act and to any directions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 by the responsible Ministers under subsection 18(1) or clause 8 of Schedule 1 of the Act.  Directions issued under subsection 18(1) of the Act are known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ely as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andate.</w:t>
      </w:r>
    </w:p>
    <w:p w:rsidR="00ED6411" w:rsidRDefault="00ED6411">
      <w:pPr>
        <w:spacing w:before="2"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</w:t>
      </w:r>
    </w:p>
    <w:p w:rsidR="00ED6411" w:rsidRDefault="00ED6411">
      <w:pPr>
        <w:spacing w:before="18" w:after="0" w:line="220" w:lineRule="exact"/>
      </w:pPr>
    </w:p>
    <w:p w:rsidR="00ED6411" w:rsidRDefault="0095169D">
      <w:pPr>
        <w:spacing w:after="0" w:line="240" w:lineRule="auto"/>
        <w:ind w:left="118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setting this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has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ployed the principle that any restriction placed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 will lead to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increased risk or lower return or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trade-off between the two.  As such, restrictions are only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posed where there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sound public policy or national interest reason to do so.</w:t>
      </w:r>
    </w:p>
    <w:p w:rsidR="00ED6411" w:rsidRDefault="00ED6411">
      <w:pPr>
        <w:spacing w:before="1" w:after="0" w:line="240" w:lineRule="exact"/>
        <w:rPr>
          <w:sz w:val="24"/>
          <w:szCs w:val="24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Benchmark return</w:t>
      </w:r>
    </w:p>
    <w:p w:rsidR="00ED6411" w:rsidRDefault="00ED6411">
      <w:pPr>
        <w:spacing w:before="19" w:after="0" w:line="220" w:lineRule="exact"/>
      </w:pPr>
    </w:p>
    <w:p w:rsidR="00ED6411" w:rsidRDefault="0095169D">
      <w:pPr>
        <w:spacing w:after="0" w:line="240" w:lineRule="auto"/>
        <w:ind w:left="118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purpose of this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andate,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has directed the Board to adopt, as the long-term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 for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of the Fund, </w:t>
      </w:r>
      <w:r w:rsidR="00321007">
        <w:rPr>
          <w:rFonts w:ascii="Times New Roman" w:eastAsia="Times New Roman" w:hAnsi="Times New Roman" w:cs="Times New Roman"/>
          <w:sz w:val="24"/>
          <w:szCs w:val="24"/>
        </w:rPr>
        <w:t>an average return over the long-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at least the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Price Index (CPI) + 4 per cent to</w:t>
      </w: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+ 5 per cent per annum.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F0201" w:rsidRDefault="0095169D" w:rsidP="00720A7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conscious of the risks inherent in investing a large portfolio of financial assets and acknowledges that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this will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volve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short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term volatility in the Fund’s returns, including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possibility of losses in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years.  In targeting the long-term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ark, the Board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directed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F0201">
        <w:rPr>
          <w:rFonts w:ascii="Times New Roman" w:eastAsia="Times New Roman" w:hAnsi="Times New Roman" w:cs="Times New Roman"/>
          <w:sz w:val="24"/>
          <w:szCs w:val="24"/>
        </w:rPr>
        <w:t>ine an acceptable but not excessive level of risk for the Fund.</w:t>
      </w:r>
      <w:r w:rsidR="00EF020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EF0201">
        <w:rPr>
          <w:rFonts w:ascii="Times New Roman" w:eastAsia="Times New Roman" w:hAnsi="Times New Roman" w:cs="Times New Roman"/>
          <w:sz w:val="24"/>
          <w:szCs w:val="24"/>
        </w:rPr>
        <w:t>This level of risk should be measured in ter</w:t>
      </w:r>
      <w:r w:rsidR="00EF020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F0201">
        <w:rPr>
          <w:rFonts w:ascii="Times New Roman" w:eastAsia="Times New Roman" w:hAnsi="Times New Roman" w:cs="Times New Roman"/>
          <w:sz w:val="24"/>
          <w:szCs w:val="24"/>
        </w:rPr>
        <w:t>s such as the probability of</w:t>
      </w:r>
      <w:r w:rsidR="00EF02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F0201">
        <w:rPr>
          <w:rFonts w:ascii="Times New Roman" w:eastAsia="Times New Roman" w:hAnsi="Times New Roman" w:cs="Times New Roman"/>
          <w:sz w:val="24"/>
          <w:szCs w:val="24"/>
        </w:rPr>
        <w:t>losses in a particular year.</w:t>
      </w:r>
    </w:p>
    <w:p w:rsidR="00ED6411" w:rsidRDefault="00ED6411">
      <w:pPr>
        <w:spacing w:after="0" w:line="240" w:lineRule="exact"/>
        <w:rPr>
          <w:sz w:val="24"/>
          <w:szCs w:val="24"/>
        </w:rPr>
      </w:pPr>
    </w:p>
    <w:p w:rsidR="00ED6411" w:rsidRDefault="0095169D" w:rsidP="00720A7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Section 55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Act re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uires the B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ard to keep the Mini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of the operations of the Board and give the no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Minister such infor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in relation to those operations as is appropriate.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could include infor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the Board considers to be relevant on any significa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changing circu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stances of the Fund or broader financial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</w:t>
      </w:r>
    </w:p>
    <w:p w:rsidR="0029586F" w:rsidRDefault="0029586F" w:rsidP="00673BC1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Limits for holding of listed companies</w:t>
      </w:r>
    </w:p>
    <w:p w:rsidR="00ED6411" w:rsidRDefault="00ED6411">
      <w:pPr>
        <w:spacing w:before="19" w:after="0" w:line="220" w:lineRule="exact"/>
      </w:pPr>
    </w:p>
    <w:p w:rsidR="00ED6411" w:rsidRDefault="0095169D" w:rsidP="00720A7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Act sets out a nu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legislative restricti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in r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invest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Fund.  Sections 21 and 22 of the Act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 the Board from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triggering the takeover provisions under the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Pr="0073743D">
        <w:rPr>
          <w:rFonts w:ascii="Times New Roman" w:eastAsia="Times New Roman" w:hAnsi="Times New Roman" w:cs="Times New Roman"/>
          <w:i/>
          <w:sz w:val="24"/>
          <w:szCs w:val="24"/>
        </w:rPr>
        <w:t>Corporations Act 2001</w:t>
      </w:r>
      <w:bookmarkEnd w:id="0"/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restrict the Board from holding a stake of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20 per cent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any foreign publicly listed company.</w:t>
      </w:r>
    </w:p>
    <w:p w:rsidR="00ED6411" w:rsidRPr="0029586F" w:rsidRDefault="00ED6411" w:rsidP="0029586F">
      <w:pPr>
        <w:spacing w:before="29" w:after="0" w:line="24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ED6411" w:rsidRDefault="0095169D" w:rsidP="00720A7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provide the Government with comfort that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 le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rictio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will be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et, the invest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andate directs that the Board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ust esta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lish a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ractic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 li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to prevent a breach.</w:t>
      </w:r>
    </w:p>
    <w:p w:rsidR="00ED6411" w:rsidRDefault="00ED6411">
      <w:pPr>
        <w:spacing w:before="1" w:after="0" w:line="240" w:lineRule="exact"/>
        <w:rPr>
          <w:sz w:val="24"/>
          <w:szCs w:val="24"/>
        </w:rPr>
      </w:pPr>
    </w:p>
    <w:p w:rsidR="00673BC1" w:rsidRDefault="00673BC1">
      <w:pPr>
        <w:spacing w:before="1" w:after="0" w:line="240" w:lineRule="exact"/>
        <w:rPr>
          <w:sz w:val="24"/>
          <w:szCs w:val="24"/>
        </w:rPr>
      </w:pPr>
    </w:p>
    <w:p w:rsidR="00720A77" w:rsidRDefault="00720A77">
      <w:pPr>
        <w:spacing w:before="1" w:after="0" w:line="240" w:lineRule="exact"/>
        <w:rPr>
          <w:sz w:val="24"/>
          <w:szCs w:val="24"/>
        </w:rPr>
      </w:pPr>
    </w:p>
    <w:p w:rsidR="00ED6411" w:rsidRDefault="0095169D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Board must consider impacts from its investment strategy</w:t>
      </w:r>
    </w:p>
    <w:p w:rsidR="00ED6411" w:rsidRDefault="00ED6411">
      <w:pPr>
        <w:spacing w:before="19" w:after="0" w:line="220" w:lineRule="exact"/>
      </w:pPr>
    </w:p>
    <w:p w:rsidR="00ED6411" w:rsidRDefault="0095169D" w:rsidP="00720A7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has a broad obligation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A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lian community to make decisions that are econo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cally and fiscally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responsible.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 the Fund it is the expectation of the Govern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that 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invest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 the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should not disrupt the nor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operation of do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estic financi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  The Board, in setting the invest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strategy and in instructing the investment of the Fund,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act in a</w:t>
      </w:r>
      <w:r w:rsidR="00720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anner that </w:t>
      </w:r>
      <w:proofErr w:type="spellStart"/>
      <w:r w:rsidRPr="0029586F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potential to effect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abnor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change in the volatility or efficient operation of Australian financial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</w:t>
      </w:r>
    </w:p>
    <w:p w:rsidR="00ED6411" w:rsidRPr="0029586F" w:rsidRDefault="00ED6411" w:rsidP="0029586F">
      <w:pPr>
        <w:spacing w:before="29" w:after="0" w:line="24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ED6411" w:rsidRDefault="0095169D" w:rsidP="00720A7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is also required to act in a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that is unlikely to cause any di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nution of the Govern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ent’s reputation in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ustralian a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rnatio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nancial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</w:t>
      </w:r>
    </w:p>
    <w:p w:rsidR="00ED6411" w:rsidRPr="0029586F" w:rsidRDefault="00ED6411" w:rsidP="0029586F">
      <w:pPr>
        <w:spacing w:before="29" w:after="0" w:line="24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ED6411" w:rsidRDefault="0095169D" w:rsidP="00720A7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participates in a number of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which pursue high standards of conduct in financial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arkets. 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Government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that the Board will invest in inter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ational capital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 as part of a sound inve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stm</w:t>
      </w:r>
      <w:r>
        <w:rPr>
          <w:rFonts w:ascii="Times New Roman" w:eastAsia="Times New Roman" w:hAnsi="Times New Roman" w:cs="Times New Roman"/>
          <w:sz w:val="24"/>
          <w:szCs w:val="24"/>
        </w:rPr>
        <w:t>ent strategy involving diversification.  In doing so, the Government expects that the</w:t>
      </w:r>
      <w:r w:rsidR="00720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will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in a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th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u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likely to cau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barras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z w:val="24"/>
          <w:szCs w:val="24"/>
        </w:rPr>
        <w:t>ent to the Govern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95169D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6411" w:rsidRDefault="0095169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Corporate governance</w:t>
      </w:r>
    </w:p>
    <w:p w:rsidR="00ED6411" w:rsidRDefault="00ED6411">
      <w:pPr>
        <w:spacing w:before="19" w:after="0" w:line="220" w:lineRule="exact"/>
      </w:pPr>
    </w:p>
    <w:p w:rsidR="00ED6411" w:rsidRDefault="0095169D" w:rsidP="00720A77">
      <w:pPr>
        <w:spacing w:after="0" w:line="240" w:lineRule="auto"/>
        <w:ind w:left="118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undertaking its invest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functions, 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Board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act consistent with, and establish policies on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 relevant to, i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 be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pra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tice 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institution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invest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 In particular, the Govern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would expect the Board’s policies to include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corporate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</w:t>
      </w:r>
      <w:r w:rsidRPr="0029586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principles, including voting its shares.</w:t>
      </w:r>
    </w:p>
    <w:sectPr w:rsidR="00ED6411" w:rsidSect="00ED6411">
      <w:headerReference w:type="default" r:id="rId6"/>
      <w:pgSz w:w="11900" w:h="16840"/>
      <w:pgMar w:top="960" w:right="1680" w:bottom="280" w:left="168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93" w:rsidRDefault="00C01193" w:rsidP="00ED6411">
      <w:pPr>
        <w:spacing w:after="0" w:line="240" w:lineRule="auto"/>
      </w:pPr>
      <w:r>
        <w:separator/>
      </w:r>
    </w:p>
  </w:endnote>
  <w:endnote w:type="continuationSeparator" w:id="0">
    <w:p w:rsidR="00C01193" w:rsidRDefault="00C01193" w:rsidP="00ED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93" w:rsidRDefault="00C01193" w:rsidP="00ED6411">
      <w:pPr>
        <w:spacing w:after="0" w:line="240" w:lineRule="auto"/>
      </w:pPr>
      <w:r>
        <w:separator/>
      </w:r>
    </w:p>
  </w:footnote>
  <w:footnote w:type="continuationSeparator" w:id="0">
    <w:p w:rsidR="00C01193" w:rsidRDefault="00C01193" w:rsidP="00ED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11" w:rsidRDefault="00BA5175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455295</wp:posOffset>
              </wp:positionV>
              <wp:extent cx="127000" cy="177800"/>
              <wp:effectExtent l="190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411" w:rsidRDefault="008721A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95169D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743D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35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8Gm4pt8AAAAJAQAADwAA&#10;AAAAAAAAAAAAAAAGBQAAZHJzL2Rvd25yZXYueG1sUEsFBgAAAAAEAAQA8wAAABIGAAAAAA==&#10;" filled="f" stroked="f">
              <v:textbox inset="0,0,0,0">
                <w:txbxContent>
                  <w:p w:rsidR="00ED6411" w:rsidRDefault="008721A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95169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743D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11"/>
    <w:rsid w:val="00005D06"/>
    <w:rsid w:val="0029586F"/>
    <w:rsid w:val="00321007"/>
    <w:rsid w:val="003C526F"/>
    <w:rsid w:val="004957D4"/>
    <w:rsid w:val="00673BC1"/>
    <w:rsid w:val="00720A77"/>
    <w:rsid w:val="0073743D"/>
    <w:rsid w:val="008721AF"/>
    <w:rsid w:val="0095169D"/>
    <w:rsid w:val="00B51C34"/>
    <w:rsid w:val="00BA5175"/>
    <w:rsid w:val="00C01193"/>
    <w:rsid w:val="00C10F3F"/>
    <w:rsid w:val="00CA0C38"/>
    <w:rsid w:val="00ED6411"/>
    <w:rsid w:val="00E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07CCE17-9A13-4880-B2FD-88EBDDEA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1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34"/>
  </w:style>
  <w:style w:type="paragraph" w:styleId="Footer">
    <w:name w:val="footer"/>
    <w:basedOn w:val="Normal"/>
    <w:link w:val="FooterChar"/>
    <w:uiPriority w:val="99"/>
    <w:unhideWhenUsed/>
    <w:rsid w:val="00B51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 - Future Fund Investment Mandate Direction 2006.doc</vt:lpstr>
    </vt:vector>
  </TitlesOfParts>
  <Company>FINANCE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 - Future Fund Investment Mandate Direction 2006.doc</dc:title>
  <dc:creator>lotusservice</dc:creator>
  <cp:lastModifiedBy>Kelly, Mei Ling</cp:lastModifiedBy>
  <cp:revision>6</cp:revision>
  <cp:lastPrinted>2017-05-05T00:43:00Z</cp:lastPrinted>
  <dcterms:created xsi:type="dcterms:W3CDTF">2017-05-05T00:40:00Z</dcterms:created>
  <dcterms:modified xsi:type="dcterms:W3CDTF">2017-05-05T01:10:00Z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2006-05-04T00:00:00Z</vt:filetime>
  </property>
  <property fmtid="{D5CDD505-2E9C-101B-9397-08002B2CF9AE}" pid="3" name="LastSaved">
    <vt:filetime>2015-01-28T00:00:00Z</vt:filetime>
  </property>
</Properties>
</file>