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C8A27" w14:textId="77777777" w:rsidR="00B76969" w:rsidRDefault="005B0E3A" w:rsidP="00B76969">
      <w:pPr>
        <w:spacing w:before="63"/>
        <w:contextualSpacing/>
        <w:jc w:val="center"/>
        <w:rPr>
          <w:b/>
          <w:color w:val="000000"/>
          <w:spacing w:val="-1"/>
          <w:sz w:val="28"/>
        </w:rPr>
      </w:pPr>
      <w:bookmarkStart w:id="0" w:name="_GoBack"/>
      <w:bookmarkEnd w:id="0"/>
      <w:r>
        <w:rPr>
          <w:b/>
          <w:color w:val="000000"/>
          <w:sz w:val="28"/>
        </w:rPr>
        <w:t>EXPLANATORY</w:t>
      </w:r>
      <w:r>
        <w:rPr>
          <w:b/>
          <w:color w:val="000000"/>
          <w:spacing w:val="-39"/>
          <w:sz w:val="28"/>
        </w:rPr>
        <w:t xml:space="preserve"> </w:t>
      </w:r>
      <w:r w:rsidR="00B76969">
        <w:rPr>
          <w:b/>
          <w:color w:val="000000"/>
          <w:spacing w:val="-1"/>
          <w:sz w:val="28"/>
        </w:rPr>
        <w:t xml:space="preserve">STATEMENT for </w:t>
      </w:r>
    </w:p>
    <w:p w14:paraId="7E5CE89C" w14:textId="3D8D7B00" w:rsidR="005B0E3A" w:rsidRDefault="00B76969" w:rsidP="00B76969">
      <w:pPr>
        <w:spacing w:before="63"/>
        <w:contextualSpacing/>
        <w:jc w:val="center"/>
        <w:rPr>
          <w:sz w:val="28"/>
          <w:szCs w:val="28"/>
        </w:rPr>
      </w:pPr>
      <w:r>
        <w:rPr>
          <w:b/>
          <w:color w:val="000000"/>
          <w:spacing w:val="-1"/>
          <w:sz w:val="28"/>
        </w:rPr>
        <w:br/>
        <w:t>ASIC Corpor</w:t>
      </w:r>
      <w:r w:rsidR="00DA55E1">
        <w:rPr>
          <w:b/>
          <w:color w:val="000000"/>
          <w:spacing w:val="-1"/>
          <w:sz w:val="28"/>
        </w:rPr>
        <w:t>ations (Amendment) Instrument 2017</w:t>
      </w:r>
      <w:r>
        <w:rPr>
          <w:b/>
          <w:color w:val="000000"/>
          <w:spacing w:val="-1"/>
          <w:sz w:val="28"/>
        </w:rPr>
        <w:t>/</w:t>
      </w:r>
      <w:r w:rsidR="00DD6033">
        <w:rPr>
          <w:b/>
          <w:color w:val="000000"/>
          <w:spacing w:val="-1"/>
          <w:sz w:val="28"/>
        </w:rPr>
        <w:t>464</w:t>
      </w:r>
      <w:r w:rsidR="005B0E3A">
        <w:rPr>
          <w:b/>
          <w:color w:val="000000"/>
          <w:spacing w:val="-1"/>
          <w:sz w:val="28"/>
        </w:rPr>
        <w:t xml:space="preserve"> </w:t>
      </w:r>
    </w:p>
    <w:p w14:paraId="4D549ED5" w14:textId="77777777" w:rsidR="005B0E3A" w:rsidRDefault="005B0E3A" w:rsidP="005B0E3A">
      <w:pPr>
        <w:pStyle w:val="BodyText"/>
        <w:jc w:val="center"/>
      </w:pPr>
      <w:r>
        <w:t>Prepared by the Australian Securities and Investments Commission</w:t>
      </w:r>
    </w:p>
    <w:p w14:paraId="425E3C74" w14:textId="77777777" w:rsidR="005B0E3A" w:rsidRDefault="005B0E3A" w:rsidP="005B0E3A">
      <w:pPr>
        <w:spacing w:before="4" w:line="220" w:lineRule="exact"/>
        <w:jc w:val="center"/>
      </w:pPr>
    </w:p>
    <w:p w14:paraId="3441F746" w14:textId="77777777" w:rsidR="005B0E3A" w:rsidRDefault="005B0E3A" w:rsidP="005B0E3A">
      <w:pPr>
        <w:jc w:val="center"/>
        <w:rPr>
          <w:sz w:val="24"/>
          <w:szCs w:val="24"/>
        </w:rPr>
      </w:pPr>
      <w:r>
        <w:rPr>
          <w:i/>
          <w:sz w:val="24"/>
        </w:rPr>
        <w:t>Corporations Act 2001</w:t>
      </w:r>
    </w:p>
    <w:p w14:paraId="61B7F6B2" w14:textId="77B47F18" w:rsidR="00B76969" w:rsidRDefault="005B0E3A" w:rsidP="00E761D6">
      <w:pPr>
        <w:pStyle w:val="BodyText"/>
        <w:spacing w:line="320" w:lineRule="atLeast"/>
        <w:jc w:val="both"/>
      </w:pPr>
      <w:r>
        <w:t xml:space="preserve">The Australian Securities </w:t>
      </w:r>
      <w:r w:rsidRPr="000E6895">
        <w:t xml:space="preserve">and </w:t>
      </w:r>
      <w:r w:rsidRPr="000E6895">
        <w:rPr>
          <w:spacing w:val="-1"/>
        </w:rPr>
        <w:t>Investments</w:t>
      </w:r>
      <w:r w:rsidRPr="000E6895">
        <w:t xml:space="preserve"> </w:t>
      </w:r>
      <w:r w:rsidRPr="000E6895">
        <w:rPr>
          <w:spacing w:val="-1"/>
        </w:rPr>
        <w:t>Commission</w:t>
      </w:r>
      <w:r w:rsidRPr="000E6895">
        <w:t xml:space="preserve"> (</w:t>
      </w:r>
      <w:r w:rsidRPr="000E6895">
        <w:rPr>
          <w:b/>
          <w:i/>
        </w:rPr>
        <w:t>ASIC</w:t>
      </w:r>
      <w:r w:rsidRPr="000E6895">
        <w:t xml:space="preserve">) </w:t>
      </w:r>
      <w:r w:rsidRPr="000E6895">
        <w:rPr>
          <w:spacing w:val="-1"/>
        </w:rPr>
        <w:t>makes</w:t>
      </w:r>
      <w:r w:rsidRPr="000E6895">
        <w:t xml:space="preserve"> </w:t>
      </w:r>
      <w:r w:rsidR="00DA55E1" w:rsidRPr="000E6895">
        <w:rPr>
          <w:i/>
        </w:rPr>
        <w:t>ASIC Corporations (Amendment) Instrument 2017/</w:t>
      </w:r>
      <w:r w:rsidR="00DD6033" w:rsidRPr="000E6895">
        <w:rPr>
          <w:i/>
        </w:rPr>
        <w:t>464</w:t>
      </w:r>
      <w:r w:rsidR="007E6C49" w:rsidRPr="000E6895">
        <w:t xml:space="preserve"> </w:t>
      </w:r>
      <w:r w:rsidR="00DA55E1" w:rsidRPr="000E6895">
        <w:t>(</w:t>
      </w:r>
      <w:r w:rsidR="00DA55E1" w:rsidRPr="000E6895">
        <w:rPr>
          <w:b/>
          <w:i/>
        </w:rPr>
        <w:t>the amendment instrument</w:t>
      </w:r>
      <w:r w:rsidR="00DA55E1" w:rsidRPr="000E6895">
        <w:t xml:space="preserve">) </w:t>
      </w:r>
      <w:r w:rsidR="00B76969" w:rsidRPr="000E6895">
        <w:t xml:space="preserve">under subsection 926A(2) of the </w:t>
      </w:r>
      <w:r w:rsidR="00B76969" w:rsidRPr="000E6895">
        <w:rPr>
          <w:i/>
        </w:rPr>
        <w:t>Corporations Act 2001</w:t>
      </w:r>
      <w:r w:rsidR="00B76969" w:rsidRPr="000E6895">
        <w:t xml:space="preserve"> (</w:t>
      </w:r>
      <w:r w:rsidR="00B76969" w:rsidRPr="000E6895">
        <w:rPr>
          <w:b/>
          <w:i/>
        </w:rPr>
        <w:t>the Act</w:t>
      </w:r>
      <w:r w:rsidR="00B76969" w:rsidRPr="000E6895">
        <w:t xml:space="preserve">). This </w:t>
      </w:r>
      <w:r w:rsidR="00D91AE1" w:rsidRPr="000E6895">
        <w:t>paragraph</w:t>
      </w:r>
      <w:r w:rsidR="00D91AE1">
        <w:t xml:space="preserve"> </w:t>
      </w:r>
      <w:r w:rsidR="00B76969">
        <w:t xml:space="preserve">of the Act provides that ASIC may declare that the provisions in Part 7.6 (other than Divisions 4 and 8) of the Act apply in relation to a person or financial product, or a class of persons or financial products, as if the specified provisions were omitted, modified or varied as specified in the declaration. </w:t>
      </w:r>
    </w:p>
    <w:p w14:paraId="0605E905" w14:textId="6F851B7E" w:rsidR="00DA55E1" w:rsidRDefault="002D5A4C" w:rsidP="00E761D6">
      <w:pPr>
        <w:pStyle w:val="BodyText"/>
        <w:spacing w:line="320" w:lineRule="atLeast"/>
        <w:jc w:val="both"/>
      </w:pPr>
      <w:r>
        <w:t>The amendment</w:t>
      </w:r>
      <w:r w:rsidR="00A5186C">
        <w:t xml:space="preserve"> instrument amends </w:t>
      </w:r>
      <w:r w:rsidR="00A5186C" w:rsidRPr="00A5186C">
        <w:rPr>
          <w:i/>
        </w:rPr>
        <w:t>ASIC Corporations (Recognised Accountants: Exempt Services) Instrument 2016/1151</w:t>
      </w:r>
      <w:r w:rsidR="00A5186C">
        <w:t xml:space="preserve"> </w:t>
      </w:r>
      <w:r>
        <w:t>(</w:t>
      </w:r>
      <w:r w:rsidRPr="009341AE">
        <w:rPr>
          <w:b/>
          <w:i/>
        </w:rPr>
        <w:t>the principal instrument</w:t>
      </w:r>
      <w:r>
        <w:t xml:space="preserve">). </w:t>
      </w:r>
      <w:r w:rsidR="009341AE">
        <w:t>The principal instrument</w:t>
      </w:r>
      <w:r w:rsidR="00A61D01">
        <w:t xml:space="preserve"> </w:t>
      </w:r>
      <w:r w:rsidR="006A2335">
        <w:t xml:space="preserve">was made under subsection 926A(2)(c) of the Act. Under subsection 33(3) of the </w:t>
      </w:r>
      <w:r w:rsidR="006A2335" w:rsidRPr="006A2335">
        <w:rPr>
          <w:i/>
        </w:rPr>
        <w:t>Acts Interpretation Act 1901</w:t>
      </w:r>
      <w:r w:rsidR="006A2335">
        <w:t xml:space="preserve"> (as in force </w:t>
      </w:r>
      <w:r w:rsidR="00AA10AC">
        <w:t xml:space="preserve">at 1 January 2005 and as applicable to the relevant powers because of section 5C of the Act), where an Act confers </w:t>
      </w:r>
      <w:r w:rsidR="004F6B2D">
        <w:t xml:space="preserve">a power to make, grant or issue any instrument (including rules, regulations or by-laws), the power shall be construed as including a power exercisable in the like manner and subject to the like conditions (if any) to repeal, rescind, revoke, amend, or vary such an instrument. </w:t>
      </w:r>
    </w:p>
    <w:p w14:paraId="697FE254" w14:textId="77777777" w:rsidR="005B0E3A" w:rsidRDefault="005B0E3A" w:rsidP="005B0E3A">
      <w:pPr>
        <w:spacing w:before="6" w:line="220" w:lineRule="exact"/>
      </w:pPr>
    </w:p>
    <w:p w14:paraId="6A1A9E49" w14:textId="77777777" w:rsidR="005B0E3A" w:rsidRDefault="005B0E3A" w:rsidP="00B3342A">
      <w:pPr>
        <w:widowControl w:val="0"/>
        <w:numPr>
          <w:ilvl w:val="0"/>
          <w:numId w:val="7"/>
        </w:numPr>
        <w:tabs>
          <w:tab w:val="left" w:pos="1592"/>
        </w:tabs>
        <w:spacing w:before="145" w:after="0"/>
        <w:ind w:left="0" w:firstLine="0"/>
        <w:rPr>
          <w:rFonts w:eastAsia="Arial"/>
          <w:sz w:val="24"/>
          <w:szCs w:val="24"/>
        </w:rPr>
      </w:pPr>
      <w:bookmarkStart w:id="1" w:name="1._Background"/>
      <w:bookmarkEnd w:id="1"/>
      <w:r w:rsidRPr="00944B20">
        <w:rPr>
          <w:b/>
          <w:spacing w:val="-1"/>
          <w:sz w:val="24"/>
        </w:rPr>
        <w:t>Background</w:t>
      </w:r>
    </w:p>
    <w:p w14:paraId="1A373455" w14:textId="77777777" w:rsidR="00B3342A" w:rsidRPr="00B3342A" w:rsidRDefault="00B3342A" w:rsidP="00C3210C">
      <w:pPr>
        <w:widowControl w:val="0"/>
        <w:tabs>
          <w:tab w:val="left" w:pos="1592"/>
        </w:tabs>
        <w:spacing w:after="0"/>
        <w:rPr>
          <w:rFonts w:eastAsia="Arial"/>
          <w:sz w:val="24"/>
          <w:szCs w:val="24"/>
        </w:rPr>
      </w:pPr>
    </w:p>
    <w:p w14:paraId="607CA642" w14:textId="31B677A7" w:rsidR="004F6B2D" w:rsidRDefault="004F6B2D" w:rsidP="00C61369">
      <w:pPr>
        <w:spacing w:line="320" w:lineRule="atLeast"/>
        <w:jc w:val="both"/>
        <w:rPr>
          <w:sz w:val="24"/>
          <w:szCs w:val="24"/>
        </w:rPr>
      </w:pPr>
      <w:r>
        <w:rPr>
          <w:sz w:val="24"/>
          <w:szCs w:val="24"/>
        </w:rPr>
        <w:t>The principal instrument modified</w:t>
      </w:r>
      <w:r w:rsidR="0033129D">
        <w:rPr>
          <w:sz w:val="24"/>
          <w:szCs w:val="24"/>
        </w:rPr>
        <w:t xml:space="preserve"> regulation 7.1.29(4)</w:t>
      </w:r>
      <w:r w:rsidR="002B2F62">
        <w:rPr>
          <w:sz w:val="24"/>
          <w:szCs w:val="24"/>
        </w:rPr>
        <w:t xml:space="preserve"> of the </w:t>
      </w:r>
      <w:r w:rsidR="002B2F62" w:rsidRPr="002B2F62">
        <w:rPr>
          <w:i/>
          <w:sz w:val="24"/>
          <w:szCs w:val="24"/>
        </w:rPr>
        <w:t>Corporations Regulations 2001</w:t>
      </w:r>
      <w:r w:rsidR="002B2F62">
        <w:rPr>
          <w:sz w:val="24"/>
          <w:szCs w:val="24"/>
        </w:rPr>
        <w:t xml:space="preserve"> (</w:t>
      </w:r>
      <w:r w:rsidR="002B2F62" w:rsidRPr="002B2F62">
        <w:rPr>
          <w:b/>
          <w:i/>
          <w:sz w:val="24"/>
          <w:szCs w:val="24"/>
        </w:rPr>
        <w:t>the Regulations</w:t>
      </w:r>
      <w:r w:rsidR="002B2F62">
        <w:rPr>
          <w:sz w:val="24"/>
          <w:szCs w:val="24"/>
        </w:rPr>
        <w:t>)</w:t>
      </w:r>
      <w:r w:rsidRPr="004F6B2D">
        <w:rPr>
          <w:sz w:val="24"/>
          <w:szCs w:val="24"/>
        </w:rPr>
        <w:t xml:space="preserve"> as it applies to limited </w:t>
      </w:r>
      <w:r>
        <w:rPr>
          <w:sz w:val="24"/>
          <w:szCs w:val="24"/>
        </w:rPr>
        <w:t>Australian financial services (</w:t>
      </w:r>
      <w:r w:rsidRPr="004F6B2D">
        <w:rPr>
          <w:b/>
          <w:i/>
          <w:sz w:val="24"/>
          <w:szCs w:val="24"/>
        </w:rPr>
        <w:t>AFS</w:t>
      </w:r>
      <w:r>
        <w:rPr>
          <w:sz w:val="24"/>
          <w:szCs w:val="24"/>
        </w:rPr>
        <w:t xml:space="preserve">) </w:t>
      </w:r>
      <w:r w:rsidRPr="004F6B2D">
        <w:rPr>
          <w:sz w:val="24"/>
          <w:szCs w:val="24"/>
        </w:rPr>
        <w:t>licensees and their authorised representatives</w:t>
      </w:r>
      <w:r w:rsidR="002B2F62">
        <w:rPr>
          <w:sz w:val="24"/>
          <w:szCs w:val="24"/>
        </w:rPr>
        <w:t xml:space="preserve"> so that a limited </w:t>
      </w:r>
      <w:r>
        <w:rPr>
          <w:sz w:val="24"/>
          <w:szCs w:val="24"/>
        </w:rPr>
        <w:t>AFS</w:t>
      </w:r>
      <w:r w:rsidRPr="004F6B2D">
        <w:rPr>
          <w:sz w:val="24"/>
          <w:szCs w:val="24"/>
        </w:rPr>
        <w:t xml:space="preserve"> licensee</w:t>
      </w:r>
      <w:r w:rsidR="00BE4D61">
        <w:rPr>
          <w:sz w:val="24"/>
          <w:szCs w:val="24"/>
        </w:rPr>
        <w:t xml:space="preserve"> (</w:t>
      </w:r>
      <w:r w:rsidR="00BE4D61" w:rsidRPr="00BE4D61">
        <w:rPr>
          <w:b/>
          <w:i/>
          <w:sz w:val="24"/>
          <w:szCs w:val="24"/>
        </w:rPr>
        <w:t>limited licensee</w:t>
      </w:r>
      <w:r w:rsidR="00BE4D61">
        <w:rPr>
          <w:sz w:val="24"/>
          <w:szCs w:val="24"/>
        </w:rPr>
        <w:t>)</w:t>
      </w:r>
      <w:r w:rsidR="002B2F62">
        <w:rPr>
          <w:sz w:val="24"/>
          <w:szCs w:val="24"/>
        </w:rPr>
        <w:t>,</w:t>
      </w:r>
      <w:r w:rsidR="00DE1BC4">
        <w:rPr>
          <w:sz w:val="24"/>
          <w:szCs w:val="24"/>
        </w:rPr>
        <w:t xml:space="preserve"> </w:t>
      </w:r>
      <w:r w:rsidRPr="004F6B2D">
        <w:rPr>
          <w:sz w:val="24"/>
          <w:szCs w:val="24"/>
        </w:rPr>
        <w:t xml:space="preserve">or </w:t>
      </w:r>
      <w:r w:rsidR="00D83BAB">
        <w:rPr>
          <w:sz w:val="24"/>
          <w:szCs w:val="24"/>
        </w:rPr>
        <w:t>the authorised representative of a limited licensee</w:t>
      </w:r>
      <w:r w:rsidR="00BF1693">
        <w:rPr>
          <w:sz w:val="24"/>
          <w:szCs w:val="24"/>
        </w:rPr>
        <w:t>,</w:t>
      </w:r>
      <w:r w:rsidR="002B2F62">
        <w:rPr>
          <w:sz w:val="24"/>
          <w:szCs w:val="24"/>
        </w:rPr>
        <w:t xml:space="preserve"> </w:t>
      </w:r>
      <w:r w:rsidR="00BF1693">
        <w:rPr>
          <w:sz w:val="24"/>
          <w:szCs w:val="24"/>
        </w:rPr>
        <w:t xml:space="preserve">can provide exempt advice to retail clients on the tax implications of financial products not covered by an authorisation in their licence. </w:t>
      </w:r>
    </w:p>
    <w:p w14:paraId="28753590" w14:textId="3135BC9A" w:rsidR="004F6B2D" w:rsidRDefault="004F6B2D" w:rsidP="004F6B2D">
      <w:pPr>
        <w:spacing w:line="320" w:lineRule="atLeast"/>
        <w:ind w:left="60"/>
        <w:jc w:val="both"/>
        <w:rPr>
          <w:sz w:val="24"/>
          <w:szCs w:val="24"/>
        </w:rPr>
      </w:pPr>
      <w:r w:rsidRPr="00516AC8">
        <w:rPr>
          <w:sz w:val="24"/>
          <w:szCs w:val="24"/>
        </w:rPr>
        <w:t>Regulation 7.1.29(4) enables a person to provi</w:t>
      </w:r>
      <w:r>
        <w:rPr>
          <w:sz w:val="24"/>
          <w:szCs w:val="24"/>
        </w:rPr>
        <w:t>de advice on taxation</w:t>
      </w:r>
      <w:r w:rsidRPr="00516AC8">
        <w:rPr>
          <w:sz w:val="24"/>
          <w:szCs w:val="24"/>
        </w:rPr>
        <w:t xml:space="preserve"> issues (including ad</w:t>
      </w:r>
      <w:r>
        <w:rPr>
          <w:sz w:val="24"/>
          <w:szCs w:val="24"/>
        </w:rPr>
        <w:t>vice in relation to the tax</w:t>
      </w:r>
      <w:r w:rsidRPr="00516AC8">
        <w:rPr>
          <w:sz w:val="24"/>
          <w:szCs w:val="24"/>
        </w:rPr>
        <w:t xml:space="preserve"> implications of financial products) without a licence. If the tax advice is also financial product advice to a retail client, this exemption is only available if it is accompanied by a written statement which states</w:t>
      </w:r>
      <w:r w:rsidR="00DE1BC4">
        <w:rPr>
          <w:sz w:val="24"/>
          <w:szCs w:val="24"/>
        </w:rPr>
        <w:t xml:space="preserve"> that:</w:t>
      </w:r>
      <w:r>
        <w:rPr>
          <w:sz w:val="24"/>
          <w:szCs w:val="24"/>
        </w:rPr>
        <w:t xml:space="preserve"> </w:t>
      </w:r>
    </w:p>
    <w:p w14:paraId="0DAEF2AE" w14:textId="77777777" w:rsidR="00DE1BC4" w:rsidRPr="00DE1BC4" w:rsidRDefault="00DE1BC4" w:rsidP="00DE1BC4">
      <w:pPr>
        <w:numPr>
          <w:ilvl w:val="0"/>
          <w:numId w:val="25"/>
        </w:numPr>
        <w:spacing w:line="320" w:lineRule="atLeast"/>
        <w:jc w:val="both"/>
        <w:rPr>
          <w:sz w:val="24"/>
          <w:szCs w:val="24"/>
        </w:rPr>
      </w:pPr>
      <w:r w:rsidRPr="00DE1BC4">
        <w:rPr>
          <w:sz w:val="24"/>
          <w:szCs w:val="24"/>
        </w:rPr>
        <w:t>the person providing the advice is not licensed to provide financial product advice under the Act; and</w:t>
      </w:r>
    </w:p>
    <w:p w14:paraId="0BA0B530" w14:textId="77777777" w:rsidR="00DE1BC4" w:rsidRPr="00DE1BC4" w:rsidRDefault="00DE1BC4" w:rsidP="00DE1BC4">
      <w:pPr>
        <w:numPr>
          <w:ilvl w:val="0"/>
          <w:numId w:val="25"/>
        </w:numPr>
        <w:spacing w:line="320" w:lineRule="atLeast"/>
        <w:jc w:val="both"/>
        <w:rPr>
          <w:sz w:val="24"/>
          <w:szCs w:val="24"/>
        </w:rPr>
      </w:pPr>
      <w:r w:rsidRPr="00DE1BC4">
        <w:rPr>
          <w:sz w:val="24"/>
          <w:szCs w:val="24"/>
        </w:rPr>
        <w:t>taxation is only one of the matters that must be considered when making a decision on a financial product; and</w:t>
      </w:r>
    </w:p>
    <w:p w14:paraId="2F5399DA" w14:textId="1A363D5F" w:rsidR="00DE1BC4" w:rsidRPr="00DE1BC4" w:rsidRDefault="00DE1BC4" w:rsidP="00DE1BC4">
      <w:pPr>
        <w:numPr>
          <w:ilvl w:val="0"/>
          <w:numId w:val="25"/>
        </w:numPr>
        <w:spacing w:line="320" w:lineRule="atLeast"/>
        <w:jc w:val="both"/>
        <w:rPr>
          <w:sz w:val="24"/>
          <w:szCs w:val="24"/>
        </w:rPr>
      </w:pPr>
      <w:r w:rsidRPr="00DE1BC4">
        <w:rPr>
          <w:sz w:val="24"/>
          <w:szCs w:val="24"/>
        </w:rPr>
        <w:lastRenderedPageBreak/>
        <w:t>the client should consider taking advice from the holder of an AFS licence before making a decision on</w:t>
      </w:r>
      <w:r w:rsidR="0033129D">
        <w:rPr>
          <w:sz w:val="24"/>
          <w:szCs w:val="24"/>
        </w:rPr>
        <w:t xml:space="preserve"> a financial product: sub-paragraph</w:t>
      </w:r>
      <w:r w:rsidRPr="00DE1BC4">
        <w:rPr>
          <w:sz w:val="24"/>
          <w:szCs w:val="24"/>
        </w:rPr>
        <w:t xml:space="preserve"> 7.1.29(4)(c)(ii). </w:t>
      </w:r>
    </w:p>
    <w:p w14:paraId="5612F25F" w14:textId="6741F2E5" w:rsidR="001E38B6" w:rsidRDefault="004F6B2D" w:rsidP="00D76841">
      <w:pPr>
        <w:spacing w:line="320" w:lineRule="atLeast"/>
        <w:ind w:left="60"/>
        <w:jc w:val="both"/>
        <w:rPr>
          <w:sz w:val="24"/>
          <w:szCs w:val="24"/>
        </w:rPr>
      </w:pPr>
      <w:r>
        <w:rPr>
          <w:sz w:val="24"/>
          <w:szCs w:val="24"/>
        </w:rPr>
        <w:t xml:space="preserve">The introduction of </w:t>
      </w:r>
      <w:r w:rsidR="00DE1BC4">
        <w:rPr>
          <w:sz w:val="24"/>
          <w:szCs w:val="24"/>
        </w:rPr>
        <w:t xml:space="preserve">the limited AFS licence regime under the </w:t>
      </w:r>
      <w:r w:rsidR="00DE1BC4" w:rsidRPr="00DE1BC4">
        <w:rPr>
          <w:i/>
          <w:sz w:val="24"/>
          <w:szCs w:val="24"/>
        </w:rPr>
        <w:t xml:space="preserve">Corporations Amendment Regulation </w:t>
      </w:r>
      <w:r w:rsidR="00DE1BC4">
        <w:rPr>
          <w:i/>
          <w:sz w:val="24"/>
          <w:szCs w:val="24"/>
        </w:rPr>
        <w:t>2013 (No 3)</w:t>
      </w:r>
      <w:r w:rsidR="00DE1BC4">
        <w:rPr>
          <w:sz w:val="24"/>
          <w:szCs w:val="24"/>
        </w:rPr>
        <w:t xml:space="preserve"> </w:t>
      </w:r>
      <w:r w:rsidR="00784433">
        <w:rPr>
          <w:sz w:val="24"/>
          <w:szCs w:val="24"/>
        </w:rPr>
        <w:t xml:space="preserve">created a </w:t>
      </w:r>
      <w:r w:rsidR="002F00AF">
        <w:rPr>
          <w:sz w:val="24"/>
          <w:szCs w:val="24"/>
        </w:rPr>
        <w:t xml:space="preserve">regulatory anomaly </w:t>
      </w:r>
      <w:r w:rsidR="00784433">
        <w:rPr>
          <w:sz w:val="24"/>
          <w:szCs w:val="24"/>
        </w:rPr>
        <w:t>with</w:t>
      </w:r>
      <w:r w:rsidR="0066287C">
        <w:rPr>
          <w:sz w:val="24"/>
          <w:szCs w:val="24"/>
        </w:rPr>
        <w:t xml:space="preserve"> </w:t>
      </w:r>
      <w:r w:rsidR="00BF1693">
        <w:rPr>
          <w:sz w:val="24"/>
          <w:szCs w:val="24"/>
        </w:rPr>
        <w:t xml:space="preserve">regulation 7.1.29(4). </w:t>
      </w:r>
      <w:r w:rsidR="00BE4D61">
        <w:rPr>
          <w:sz w:val="24"/>
          <w:szCs w:val="24"/>
        </w:rPr>
        <w:t>Limited licensees</w:t>
      </w:r>
      <w:r w:rsidR="00BF1693">
        <w:rPr>
          <w:sz w:val="24"/>
          <w:szCs w:val="24"/>
        </w:rPr>
        <w:t xml:space="preserve"> c</w:t>
      </w:r>
      <w:r w:rsidR="00FD6023">
        <w:rPr>
          <w:sz w:val="24"/>
          <w:szCs w:val="24"/>
        </w:rPr>
        <w:t>annot</w:t>
      </w:r>
      <w:r w:rsidR="00BF1693" w:rsidRPr="00BF1693">
        <w:rPr>
          <w:sz w:val="24"/>
          <w:szCs w:val="24"/>
        </w:rPr>
        <w:t xml:space="preserve"> comply with the requirement to </w:t>
      </w:r>
      <w:r w:rsidR="0066287C">
        <w:rPr>
          <w:sz w:val="24"/>
          <w:szCs w:val="24"/>
        </w:rPr>
        <w:t>provide a written statement stating that they are not</w:t>
      </w:r>
      <w:r w:rsidR="00D76841">
        <w:rPr>
          <w:sz w:val="24"/>
          <w:szCs w:val="24"/>
        </w:rPr>
        <w:t xml:space="preserve"> licensed. Therefore, they could not</w:t>
      </w:r>
      <w:r w:rsidR="001E38B6">
        <w:rPr>
          <w:sz w:val="24"/>
          <w:szCs w:val="24"/>
        </w:rPr>
        <w:t xml:space="preserve"> rely on the exemption</w:t>
      </w:r>
      <w:r w:rsidR="00F50098">
        <w:rPr>
          <w:sz w:val="24"/>
          <w:szCs w:val="24"/>
        </w:rPr>
        <w:t xml:space="preserve"> </w:t>
      </w:r>
      <w:r w:rsidR="00F50098" w:rsidRPr="00F50098">
        <w:rPr>
          <w:sz w:val="24"/>
          <w:szCs w:val="24"/>
        </w:rPr>
        <w:t xml:space="preserve">to provide advice to retail clients on the tax implications of financial products which </w:t>
      </w:r>
      <w:r w:rsidR="00A82DA0">
        <w:rPr>
          <w:sz w:val="24"/>
          <w:szCs w:val="24"/>
        </w:rPr>
        <w:t xml:space="preserve">were </w:t>
      </w:r>
      <w:r w:rsidR="00F50098" w:rsidRPr="00F50098">
        <w:rPr>
          <w:sz w:val="24"/>
          <w:szCs w:val="24"/>
        </w:rPr>
        <w:t xml:space="preserve">not covered by </w:t>
      </w:r>
      <w:r w:rsidR="00226C97">
        <w:rPr>
          <w:sz w:val="24"/>
          <w:szCs w:val="24"/>
        </w:rPr>
        <w:t xml:space="preserve">an authorisation in </w:t>
      </w:r>
      <w:r w:rsidR="00F50098" w:rsidRPr="00F50098">
        <w:rPr>
          <w:sz w:val="24"/>
          <w:szCs w:val="24"/>
        </w:rPr>
        <w:t>their licence</w:t>
      </w:r>
      <w:r w:rsidR="00D76841">
        <w:rPr>
          <w:sz w:val="24"/>
          <w:szCs w:val="24"/>
        </w:rPr>
        <w:t>,</w:t>
      </w:r>
      <w:r w:rsidR="00F50098" w:rsidRPr="00F50098">
        <w:rPr>
          <w:sz w:val="24"/>
          <w:szCs w:val="24"/>
        </w:rPr>
        <w:t xml:space="preserve"> nor could they provide the advice under their licence where their authorisations did not cover the financial product which is the subject of the advice.</w:t>
      </w:r>
    </w:p>
    <w:p w14:paraId="132789A4" w14:textId="4A1421A6" w:rsidR="0066287C" w:rsidRDefault="002F00AF" w:rsidP="00D76841">
      <w:pPr>
        <w:pStyle w:val="BodyText"/>
        <w:spacing w:before="199" w:line="320" w:lineRule="atLeast"/>
        <w:jc w:val="both"/>
        <w:rPr>
          <w:szCs w:val="24"/>
        </w:rPr>
      </w:pPr>
      <w:r>
        <w:rPr>
          <w:szCs w:val="24"/>
        </w:rPr>
        <w:t xml:space="preserve">The principal </w:t>
      </w:r>
      <w:r w:rsidR="0066287C">
        <w:rPr>
          <w:szCs w:val="24"/>
        </w:rPr>
        <w:t xml:space="preserve">instrument addressed </w:t>
      </w:r>
      <w:r w:rsidR="00BE4D61">
        <w:rPr>
          <w:szCs w:val="24"/>
        </w:rPr>
        <w:t xml:space="preserve">this </w:t>
      </w:r>
      <w:r w:rsidR="0066287C">
        <w:rPr>
          <w:szCs w:val="24"/>
        </w:rPr>
        <w:t xml:space="preserve">regulatory anomaly by </w:t>
      </w:r>
      <w:r w:rsidR="00BE4D61">
        <w:rPr>
          <w:szCs w:val="24"/>
        </w:rPr>
        <w:t>enabling</w:t>
      </w:r>
      <w:r w:rsidR="0066287C">
        <w:rPr>
          <w:szCs w:val="24"/>
        </w:rPr>
        <w:t xml:space="preserve"> limited licensees and authorised representatives of limited licensee</w:t>
      </w:r>
      <w:r w:rsidR="001E38B6">
        <w:rPr>
          <w:szCs w:val="24"/>
        </w:rPr>
        <w:t>s</w:t>
      </w:r>
      <w:r w:rsidR="0066287C">
        <w:rPr>
          <w:szCs w:val="24"/>
        </w:rPr>
        <w:t xml:space="preserve"> to provide a modified warning in order to </w:t>
      </w:r>
      <w:r w:rsidR="0066287C" w:rsidRPr="005D58D7">
        <w:rPr>
          <w:szCs w:val="24"/>
        </w:rPr>
        <w:t xml:space="preserve">provide </w:t>
      </w:r>
      <w:r w:rsidR="00DA7A12">
        <w:rPr>
          <w:szCs w:val="24"/>
        </w:rPr>
        <w:t xml:space="preserve">exempt </w:t>
      </w:r>
      <w:r w:rsidR="00BE4D61">
        <w:rPr>
          <w:szCs w:val="24"/>
        </w:rPr>
        <w:t xml:space="preserve">advice on the tax implications of </w:t>
      </w:r>
      <w:r w:rsidR="0066287C" w:rsidRPr="005D58D7">
        <w:rPr>
          <w:szCs w:val="24"/>
        </w:rPr>
        <w:t>financial products th</w:t>
      </w:r>
      <w:r w:rsidR="0066287C">
        <w:rPr>
          <w:szCs w:val="24"/>
        </w:rPr>
        <w:t>at are not covered by their</w:t>
      </w:r>
      <w:r w:rsidR="0066287C" w:rsidRPr="005D58D7">
        <w:rPr>
          <w:szCs w:val="24"/>
        </w:rPr>
        <w:t xml:space="preserve"> licence.</w:t>
      </w:r>
      <w:r w:rsidR="0066287C">
        <w:t xml:space="preserve"> </w:t>
      </w:r>
      <w:r w:rsidR="0066287C">
        <w:rPr>
          <w:szCs w:val="24"/>
        </w:rPr>
        <w:t xml:space="preserve">Instead of providing a written statement which </w:t>
      </w:r>
      <w:r w:rsidR="005B33F7">
        <w:rPr>
          <w:szCs w:val="24"/>
        </w:rPr>
        <w:t>state</w:t>
      </w:r>
      <w:r w:rsidR="00226C97">
        <w:rPr>
          <w:szCs w:val="24"/>
        </w:rPr>
        <w:t>s</w:t>
      </w:r>
      <w:r w:rsidR="00D14318">
        <w:rPr>
          <w:szCs w:val="24"/>
        </w:rPr>
        <w:t xml:space="preserve">, among other things, </w:t>
      </w:r>
      <w:r w:rsidR="0066287C">
        <w:rPr>
          <w:szCs w:val="24"/>
        </w:rPr>
        <w:t>that the person providing the advice is not lic</w:t>
      </w:r>
      <w:r w:rsidR="005B33F7">
        <w:rPr>
          <w:szCs w:val="24"/>
        </w:rPr>
        <w:t>ensed under the Act, a</w:t>
      </w:r>
      <w:r w:rsidR="00020548">
        <w:rPr>
          <w:szCs w:val="24"/>
        </w:rPr>
        <w:t xml:space="preserve"> limited</w:t>
      </w:r>
      <w:r w:rsidR="0066287C">
        <w:rPr>
          <w:szCs w:val="24"/>
        </w:rPr>
        <w:t xml:space="preserve"> licensee</w:t>
      </w:r>
      <w:r w:rsidR="00BE4D61">
        <w:rPr>
          <w:szCs w:val="24"/>
        </w:rPr>
        <w:t xml:space="preserve"> or the authorised representative </w:t>
      </w:r>
      <w:r w:rsidR="00020548">
        <w:rPr>
          <w:szCs w:val="24"/>
        </w:rPr>
        <w:t>of a</w:t>
      </w:r>
      <w:r w:rsidR="00BE4D61">
        <w:rPr>
          <w:szCs w:val="24"/>
        </w:rPr>
        <w:t xml:space="preserve"> limited licensee</w:t>
      </w:r>
      <w:r w:rsidR="005B33F7">
        <w:rPr>
          <w:szCs w:val="24"/>
        </w:rPr>
        <w:t xml:space="preserve"> was required </w:t>
      </w:r>
      <w:r w:rsidR="00E04357">
        <w:rPr>
          <w:szCs w:val="24"/>
        </w:rPr>
        <w:t xml:space="preserve">under the principal instrument </w:t>
      </w:r>
      <w:r w:rsidR="005B33F7">
        <w:rPr>
          <w:szCs w:val="24"/>
        </w:rPr>
        <w:t xml:space="preserve">to </w:t>
      </w:r>
      <w:r w:rsidR="0066287C">
        <w:rPr>
          <w:szCs w:val="24"/>
        </w:rPr>
        <w:t>provide a written statement that:</w:t>
      </w:r>
    </w:p>
    <w:p w14:paraId="6ED81FFB" w14:textId="77777777" w:rsidR="0066287C" w:rsidRDefault="0066287C" w:rsidP="00D76841">
      <w:pPr>
        <w:pStyle w:val="BodyText"/>
        <w:numPr>
          <w:ilvl w:val="0"/>
          <w:numId w:val="17"/>
        </w:numPr>
        <w:spacing w:before="199" w:line="320" w:lineRule="atLeast"/>
        <w:rPr>
          <w:szCs w:val="24"/>
        </w:rPr>
      </w:pPr>
      <w:r>
        <w:rPr>
          <w:szCs w:val="24"/>
        </w:rPr>
        <w:t xml:space="preserve">the person providing the advice is a limited licensee or an authorised representative of a limited licensee who is authorised to provided one or more limited financial services; and </w:t>
      </w:r>
    </w:p>
    <w:p w14:paraId="744FE45B" w14:textId="77777777" w:rsidR="0066287C" w:rsidRDefault="0066287C" w:rsidP="00D76841">
      <w:pPr>
        <w:pStyle w:val="BodyText"/>
        <w:numPr>
          <w:ilvl w:val="0"/>
          <w:numId w:val="17"/>
        </w:numPr>
        <w:spacing w:before="199" w:line="320" w:lineRule="atLeast"/>
        <w:rPr>
          <w:szCs w:val="24"/>
        </w:rPr>
      </w:pPr>
      <w:r>
        <w:rPr>
          <w:szCs w:val="24"/>
        </w:rPr>
        <w:t>taxation is only one of the matters that must be considered when making a decision on a financial product; and</w:t>
      </w:r>
    </w:p>
    <w:p w14:paraId="567C6543" w14:textId="279520F6" w:rsidR="0066287C" w:rsidRDefault="0066287C" w:rsidP="00D76841">
      <w:pPr>
        <w:pStyle w:val="BodyText"/>
        <w:numPr>
          <w:ilvl w:val="0"/>
          <w:numId w:val="17"/>
        </w:numPr>
        <w:spacing w:before="199" w:line="320" w:lineRule="atLeast"/>
        <w:rPr>
          <w:szCs w:val="24"/>
        </w:rPr>
      </w:pPr>
      <w:r>
        <w:rPr>
          <w:szCs w:val="24"/>
        </w:rPr>
        <w:t xml:space="preserve">the client should consider taking advice from the holder of an AFS licence before making a decision on the financial product. </w:t>
      </w:r>
    </w:p>
    <w:p w14:paraId="6D2B6F20" w14:textId="73F79DA4" w:rsidR="00135AF3" w:rsidRDefault="00784433" w:rsidP="00D76841">
      <w:pPr>
        <w:pStyle w:val="BodyText"/>
        <w:spacing w:before="199" w:line="320" w:lineRule="atLeast"/>
        <w:jc w:val="both"/>
        <w:rPr>
          <w:szCs w:val="24"/>
        </w:rPr>
      </w:pPr>
      <w:r>
        <w:rPr>
          <w:szCs w:val="24"/>
        </w:rPr>
        <w:t xml:space="preserve">Since the principal instrument </w:t>
      </w:r>
      <w:r w:rsidR="00135AF3">
        <w:rPr>
          <w:szCs w:val="24"/>
        </w:rPr>
        <w:t>was made,</w:t>
      </w:r>
      <w:r w:rsidR="002F203A">
        <w:rPr>
          <w:szCs w:val="24"/>
        </w:rPr>
        <w:t xml:space="preserve"> </w:t>
      </w:r>
      <w:r w:rsidR="009F165F">
        <w:rPr>
          <w:szCs w:val="24"/>
        </w:rPr>
        <w:t xml:space="preserve">we have identified </w:t>
      </w:r>
      <w:r w:rsidR="002F203A">
        <w:rPr>
          <w:szCs w:val="24"/>
        </w:rPr>
        <w:t xml:space="preserve">that </w:t>
      </w:r>
      <w:r w:rsidR="004E4764">
        <w:rPr>
          <w:szCs w:val="24"/>
        </w:rPr>
        <w:t xml:space="preserve">full AFS </w:t>
      </w:r>
      <w:r w:rsidR="00EF5C7A">
        <w:rPr>
          <w:szCs w:val="24"/>
        </w:rPr>
        <w:t>licen</w:t>
      </w:r>
      <w:r w:rsidR="004779D2">
        <w:rPr>
          <w:szCs w:val="24"/>
        </w:rPr>
        <w:t>s</w:t>
      </w:r>
      <w:r w:rsidR="00EF5C7A">
        <w:rPr>
          <w:szCs w:val="24"/>
        </w:rPr>
        <w:t>e</w:t>
      </w:r>
      <w:r w:rsidR="004E4764">
        <w:rPr>
          <w:szCs w:val="24"/>
        </w:rPr>
        <w:t>e</w:t>
      </w:r>
      <w:r w:rsidR="00EF5C7A">
        <w:rPr>
          <w:szCs w:val="24"/>
        </w:rPr>
        <w:t xml:space="preserve">s </w:t>
      </w:r>
      <w:r w:rsidR="006604ED">
        <w:rPr>
          <w:szCs w:val="24"/>
        </w:rPr>
        <w:t xml:space="preserve">(or authorised representatives of full AFS licensees) </w:t>
      </w:r>
      <w:r w:rsidR="00F50098">
        <w:rPr>
          <w:szCs w:val="24"/>
        </w:rPr>
        <w:t xml:space="preserve">with limited authorisations </w:t>
      </w:r>
      <w:r w:rsidR="000E6563">
        <w:rPr>
          <w:szCs w:val="24"/>
        </w:rPr>
        <w:t xml:space="preserve">also </w:t>
      </w:r>
      <w:r w:rsidR="009F165F">
        <w:rPr>
          <w:szCs w:val="24"/>
        </w:rPr>
        <w:t xml:space="preserve">encounter </w:t>
      </w:r>
      <w:r w:rsidR="000E6563">
        <w:rPr>
          <w:szCs w:val="24"/>
        </w:rPr>
        <w:t>the problem described above</w:t>
      </w:r>
      <w:r w:rsidR="006604ED">
        <w:rPr>
          <w:szCs w:val="24"/>
        </w:rPr>
        <w:t xml:space="preserve">. </w:t>
      </w:r>
      <w:r w:rsidR="002F203A">
        <w:rPr>
          <w:szCs w:val="24"/>
        </w:rPr>
        <w:t xml:space="preserve">They cannot provide the written statement required by sub-paragraph 7.1.29(4)(c)(ii). Therefore, </w:t>
      </w:r>
      <w:r w:rsidR="00021BD9">
        <w:rPr>
          <w:szCs w:val="24"/>
        </w:rPr>
        <w:t xml:space="preserve">without the amendment instrument, </w:t>
      </w:r>
      <w:r w:rsidR="002F203A">
        <w:rPr>
          <w:szCs w:val="24"/>
        </w:rPr>
        <w:t xml:space="preserve">they </w:t>
      </w:r>
      <w:r w:rsidR="00D76841" w:rsidRPr="00D76841">
        <w:rPr>
          <w:szCs w:val="24"/>
        </w:rPr>
        <w:t>cannot provide exempt tax advice under regulation 7.1.29(4) to retail clients on financial products not covered by their authorisation, nor can they provide the advice under their licence where their authorisations do not cover the financial product which is the subject of the advice.</w:t>
      </w:r>
    </w:p>
    <w:p w14:paraId="4EA5BDE2" w14:textId="77777777" w:rsidR="0066287C" w:rsidRDefault="0066287C" w:rsidP="00C61369">
      <w:pPr>
        <w:spacing w:line="320" w:lineRule="atLeast"/>
        <w:jc w:val="both"/>
        <w:rPr>
          <w:sz w:val="24"/>
          <w:szCs w:val="24"/>
        </w:rPr>
      </w:pPr>
    </w:p>
    <w:p w14:paraId="7B9F6CEA" w14:textId="77777777" w:rsidR="005B0E3A" w:rsidRPr="00944B20"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sz w:val="24"/>
          <w:szCs w:val="24"/>
        </w:rPr>
      </w:pPr>
      <w:bookmarkStart w:id="2" w:name="2._Purpose_of_the_class_order_"/>
      <w:bookmarkEnd w:id="2"/>
      <w:r w:rsidRPr="00944B20">
        <w:rPr>
          <w:b/>
          <w:spacing w:val="-1"/>
          <w:sz w:val="24"/>
          <w:szCs w:val="24"/>
        </w:rPr>
        <w:t>Purpose</w:t>
      </w:r>
      <w:r w:rsidRPr="00944B20">
        <w:rPr>
          <w:b/>
          <w:sz w:val="24"/>
          <w:szCs w:val="24"/>
        </w:rPr>
        <w:t xml:space="preserve"> of </w:t>
      </w:r>
      <w:r w:rsidRPr="00944B20">
        <w:rPr>
          <w:b/>
          <w:spacing w:val="-1"/>
          <w:sz w:val="24"/>
          <w:szCs w:val="24"/>
        </w:rPr>
        <w:t>the</w:t>
      </w:r>
      <w:r w:rsidRPr="00944B20">
        <w:rPr>
          <w:b/>
          <w:sz w:val="24"/>
          <w:szCs w:val="24"/>
        </w:rPr>
        <w:t xml:space="preserve"> </w:t>
      </w:r>
      <w:r w:rsidRPr="00944B20">
        <w:rPr>
          <w:b/>
          <w:spacing w:val="-1"/>
          <w:sz w:val="24"/>
          <w:szCs w:val="24"/>
        </w:rPr>
        <w:t>instrument</w:t>
      </w:r>
    </w:p>
    <w:p w14:paraId="2E2247AB" w14:textId="77777777" w:rsidR="005B0E3A" w:rsidRDefault="005B0E3A" w:rsidP="00C3210C">
      <w:pPr>
        <w:spacing w:after="0" w:line="220" w:lineRule="exact"/>
      </w:pPr>
    </w:p>
    <w:p w14:paraId="488A3842" w14:textId="09C50D39" w:rsidR="00EC3141" w:rsidRDefault="00B3342A" w:rsidP="009133D2">
      <w:pPr>
        <w:spacing w:before="4" w:line="320" w:lineRule="exact"/>
        <w:jc w:val="both"/>
        <w:rPr>
          <w:sz w:val="24"/>
          <w:szCs w:val="24"/>
        </w:rPr>
      </w:pPr>
      <w:r w:rsidRPr="00B3342A">
        <w:rPr>
          <w:sz w:val="24"/>
          <w:szCs w:val="24"/>
        </w:rPr>
        <w:t>The purpose of</w:t>
      </w:r>
      <w:r w:rsidR="00691CD2" w:rsidRPr="00691CD2">
        <w:t xml:space="preserve"> </w:t>
      </w:r>
      <w:r w:rsidR="000E6563">
        <w:t xml:space="preserve">the </w:t>
      </w:r>
      <w:r w:rsidR="000E6563" w:rsidRPr="00226C97">
        <w:rPr>
          <w:sz w:val="24"/>
          <w:szCs w:val="24"/>
        </w:rPr>
        <w:t>amendment instrument</w:t>
      </w:r>
      <w:r w:rsidR="000E6563">
        <w:t xml:space="preserve"> </w:t>
      </w:r>
      <w:r w:rsidR="00226C97">
        <w:rPr>
          <w:sz w:val="24"/>
          <w:szCs w:val="24"/>
        </w:rPr>
        <w:t>is to allow</w:t>
      </w:r>
      <w:r w:rsidR="005B33F7">
        <w:rPr>
          <w:sz w:val="24"/>
          <w:szCs w:val="24"/>
        </w:rPr>
        <w:t xml:space="preserve"> full AFS licensees (and authorised representatives of full AFS licensees) with limited authorisations to provide exempt advice under regulation 7.1.29(4) to retail clients on the tax implications of fina</w:t>
      </w:r>
      <w:r w:rsidR="00EA4FD3">
        <w:rPr>
          <w:sz w:val="24"/>
          <w:szCs w:val="24"/>
        </w:rPr>
        <w:t xml:space="preserve">ncial products </w:t>
      </w:r>
      <w:r w:rsidR="009F165F">
        <w:rPr>
          <w:sz w:val="24"/>
          <w:szCs w:val="24"/>
        </w:rPr>
        <w:t xml:space="preserve">which are </w:t>
      </w:r>
      <w:r w:rsidR="00EA4FD3">
        <w:rPr>
          <w:sz w:val="24"/>
          <w:szCs w:val="24"/>
        </w:rPr>
        <w:t>not covered by an authorisation in</w:t>
      </w:r>
      <w:r w:rsidR="005B33F7">
        <w:rPr>
          <w:sz w:val="24"/>
          <w:szCs w:val="24"/>
        </w:rPr>
        <w:t xml:space="preserve"> their licence. </w:t>
      </w:r>
    </w:p>
    <w:p w14:paraId="18E7F549" w14:textId="77777777" w:rsidR="00EC3141" w:rsidRDefault="00EC3141" w:rsidP="009133D2">
      <w:pPr>
        <w:spacing w:before="4" w:line="320" w:lineRule="exact"/>
        <w:jc w:val="both"/>
        <w:rPr>
          <w:sz w:val="24"/>
          <w:szCs w:val="24"/>
        </w:rPr>
      </w:pPr>
    </w:p>
    <w:p w14:paraId="01F420AF" w14:textId="77777777" w:rsidR="005B0E3A" w:rsidRPr="00846768"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sz w:val="24"/>
          <w:szCs w:val="24"/>
        </w:rPr>
      </w:pPr>
      <w:bookmarkStart w:id="3" w:name="Insert_a_level_3_heading_"/>
      <w:bookmarkStart w:id="4" w:name="3._Operation_of_the_class_order_"/>
      <w:bookmarkEnd w:id="3"/>
      <w:bookmarkEnd w:id="4"/>
      <w:r w:rsidRPr="00846768">
        <w:rPr>
          <w:b/>
          <w:spacing w:val="-1"/>
          <w:sz w:val="24"/>
          <w:szCs w:val="24"/>
        </w:rPr>
        <w:t>Operation</w:t>
      </w:r>
      <w:r w:rsidRPr="00846768">
        <w:rPr>
          <w:b/>
          <w:sz w:val="24"/>
          <w:szCs w:val="24"/>
        </w:rPr>
        <w:t xml:space="preserve"> </w:t>
      </w:r>
      <w:r w:rsidRPr="00846768">
        <w:rPr>
          <w:b/>
          <w:spacing w:val="-1"/>
          <w:sz w:val="24"/>
          <w:szCs w:val="24"/>
        </w:rPr>
        <w:t>of</w:t>
      </w:r>
      <w:r w:rsidRPr="00846768">
        <w:rPr>
          <w:b/>
          <w:sz w:val="24"/>
          <w:szCs w:val="24"/>
        </w:rPr>
        <w:t xml:space="preserve"> </w:t>
      </w:r>
      <w:r w:rsidRPr="00846768">
        <w:rPr>
          <w:b/>
          <w:spacing w:val="-1"/>
          <w:sz w:val="24"/>
          <w:szCs w:val="24"/>
        </w:rPr>
        <w:t>the</w:t>
      </w:r>
      <w:r w:rsidRPr="00846768">
        <w:rPr>
          <w:b/>
          <w:sz w:val="24"/>
          <w:szCs w:val="24"/>
        </w:rPr>
        <w:t xml:space="preserve"> instrument</w:t>
      </w:r>
    </w:p>
    <w:p w14:paraId="192DB7B9" w14:textId="391D5A59" w:rsidR="00814158" w:rsidRDefault="00CD14D2" w:rsidP="00814158">
      <w:pPr>
        <w:pStyle w:val="BodyText"/>
        <w:tabs>
          <w:tab w:val="left" w:pos="6300"/>
        </w:tabs>
        <w:spacing w:before="199" w:line="320" w:lineRule="atLeast"/>
        <w:jc w:val="both"/>
        <w:rPr>
          <w:szCs w:val="24"/>
        </w:rPr>
      </w:pPr>
      <w:r w:rsidRPr="00842EEA">
        <w:rPr>
          <w:szCs w:val="24"/>
        </w:rPr>
        <w:t>The amendment</w:t>
      </w:r>
      <w:r w:rsidR="00814158" w:rsidRPr="00842EEA">
        <w:rPr>
          <w:szCs w:val="24"/>
        </w:rPr>
        <w:t xml:space="preserve"> instrument </w:t>
      </w:r>
      <w:r w:rsidR="00D93830" w:rsidRPr="00842EEA">
        <w:rPr>
          <w:szCs w:val="24"/>
        </w:rPr>
        <w:t xml:space="preserve">extends the application of </w:t>
      </w:r>
      <w:r w:rsidR="00814158" w:rsidRPr="00842EEA">
        <w:rPr>
          <w:szCs w:val="24"/>
        </w:rPr>
        <w:t xml:space="preserve">the principal instrument </w:t>
      </w:r>
      <w:r w:rsidR="00D93830" w:rsidRPr="00842EEA">
        <w:rPr>
          <w:szCs w:val="24"/>
        </w:rPr>
        <w:t xml:space="preserve">to include </w:t>
      </w:r>
      <w:r w:rsidR="00814158" w:rsidRPr="00842EEA">
        <w:rPr>
          <w:szCs w:val="24"/>
        </w:rPr>
        <w:t>full AFS licensees (and authorised</w:t>
      </w:r>
      <w:r w:rsidR="00814158">
        <w:rPr>
          <w:szCs w:val="24"/>
        </w:rPr>
        <w:t xml:space="preserve"> represe</w:t>
      </w:r>
      <w:r w:rsidR="00D93830">
        <w:rPr>
          <w:szCs w:val="24"/>
        </w:rPr>
        <w:t xml:space="preserve">ntatives of full AFS licensees) with limited authorisations. </w:t>
      </w:r>
      <w:r w:rsidR="00566124">
        <w:rPr>
          <w:szCs w:val="24"/>
        </w:rPr>
        <w:t xml:space="preserve">The </w:t>
      </w:r>
      <w:r w:rsidR="00E5691B">
        <w:rPr>
          <w:szCs w:val="24"/>
        </w:rPr>
        <w:t xml:space="preserve">principal instrument and amendment instrument </w:t>
      </w:r>
      <w:r w:rsidR="00566124">
        <w:rPr>
          <w:szCs w:val="24"/>
        </w:rPr>
        <w:t xml:space="preserve">together </w:t>
      </w:r>
      <w:r w:rsidR="00E5691B">
        <w:rPr>
          <w:szCs w:val="24"/>
        </w:rPr>
        <w:t>modify</w:t>
      </w:r>
      <w:r w:rsidR="00D93830">
        <w:rPr>
          <w:szCs w:val="24"/>
        </w:rPr>
        <w:t xml:space="preserve"> </w:t>
      </w:r>
      <w:r w:rsidR="007F6E9F">
        <w:rPr>
          <w:szCs w:val="24"/>
        </w:rPr>
        <w:t>regulation 7.1.29(4)</w:t>
      </w:r>
      <w:r w:rsidR="00D93830">
        <w:rPr>
          <w:szCs w:val="24"/>
        </w:rPr>
        <w:t xml:space="preserve"> so that an AFS licensee (whether full or limited) or the authorised representat</w:t>
      </w:r>
      <w:r w:rsidR="007F6E9F">
        <w:rPr>
          <w:szCs w:val="24"/>
        </w:rPr>
        <w:t xml:space="preserve">ive of an AFS licensee can </w:t>
      </w:r>
      <w:r w:rsidR="00D93830">
        <w:rPr>
          <w:szCs w:val="24"/>
        </w:rPr>
        <w:t>provide exempt advice to a retail client on the tax implications of financial products not c</w:t>
      </w:r>
      <w:r w:rsidR="007F6E9F">
        <w:rPr>
          <w:szCs w:val="24"/>
        </w:rPr>
        <w:t>overed by an authorisation in</w:t>
      </w:r>
      <w:r w:rsidR="00D93830">
        <w:rPr>
          <w:szCs w:val="24"/>
        </w:rPr>
        <w:t xml:space="preserve"> their licence. Instead of providing a written statement which must state, among other things, that the person providing the advice is not licensed </w:t>
      </w:r>
      <w:r w:rsidR="00904D3A">
        <w:rPr>
          <w:szCs w:val="24"/>
        </w:rPr>
        <w:t xml:space="preserve">under the Act, </w:t>
      </w:r>
      <w:r w:rsidR="00C54D40">
        <w:rPr>
          <w:szCs w:val="24"/>
        </w:rPr>
        <w:t>an</w:t>
      </w:r>
      <w:r w:rsidR="00904D3A">
        <w:rPr>
          <w:szCs w:val="24"/>
        </w:rPr>
        <w:t xml:space="preserve"> AFS licensee (whether full or limited) or authorised representative must provide a written statement that:</w:t>
      </w:r>
    </w:p>
    <w:p w14:paraId="68BBE539" w14:textId="21120563" w:rsidR="009041C3" w:rsidRDefault="009041C3" w:rsidP="00904D3A">
      <w:pPr>
        <w:pStyle w:val="BodyText"/>
        <w:numPr>
          <w:ilvl w:val="0"/>
          <w:numId w:val="38"/>
        </w:numPr>
        <w:spacing w:before="199" w:line="320" w:lineRule="atLeast"/>
        <w:jc w:val="both"/>
        <w:rPr>
          <w:szCs w:val="24"/>
        </w:rPr>
      </w:pPr>
      <w:r>
        <w:rPr>
          <w:szCs w:val="24"/>
        </w:rPr>
        <w:t>the person providing the exempt advice does not have the authorisation to provide this advice either as an AFS licensee (whether full or limited) or the authorised representative of an AFS licensee; and</w:t>
      </w:r>
    </w:p>
    <w:p w14:paraId="3DD88448" w14:textId="0B55ADE7" w:rsidR="00904D3A" w:rsidRPr="009041C3" w:rsidRDefault="00B60EA1" w:rsidP="00904D3A">
      <w:pPr>
        <w:pStyle w:val="BodyText"/>
        <w:numPr>
          <w:ilvl w:val="0"/>
          <w:numId w:val="38"/>
        </w:numPr>
        <w:spacing w:before="199" w:line="320" w:lineRule="atLeast"/>
        <w:jc w:val="both"/>
        <w:rPr>
          <w:szCs w:val="24"/>
        </w:rPr>
      </w:pPr>
      <w:r w:rsidRPr="009041C3">
        <w:rPr>
          <w:szCs w:val="24"/>
        </w:rPr>
        <w:t>taxation is only one of the matters that must be considered when making a decision on a financial product; and</w:t>
      </w:r>
    </w:p>
    <w:p w14:paraId="4BCCDF18" w14:textId="11408E95" w:rsidR="005B0E3A" w:rsidRDefault="00B60EA1" w:rsidP="00B60EA1">
      <w:pPr>
        <w:pStyle w:val="BodyText"/>
        <w:numPr>
          <w:ilvl w:val="0"/>
          <w:numId w:val="38"/>
        </w:numPr>
        <w:tabs>
          <w:tab w:val="left" w:pos="6300"/>
        </w:tabs>
        <w:spacing w:before="199" w:line="320" w:lineRule="atLeast"/>
        <w:jc w:val="both"/>
        <w:rPr>
          <w:szCs w:val="24"/>
        </w:rPr>
      </w:pPr>
      <w:r>
        <w:rPr>
          <w:szCs w:val="24"/>
        </w:rPr>
        <w:t xml:space="preserve">the client should consider taking advice from the holder of an AFS licence with the appropriate authorisation before making a decision on the financial product. </w:t>
      </w:r>
    </w:p>
    <w:p w14:paraId="74AAACBD" w14:textId="77777777" w:rsidR="00B60EA1" w:rsidRPr="00B60EA1" w:rsidRDefault="00B60EA1" w:rsidP="00B60EA1">
      <w:pPr>
        <w:pStyle w:val="BodyText"/>
        <w:tabs>
          <w:tab w:val="left" w:pos="6300"/>
        </w:tabs>
        <w:spacing w:before="199" w:line="320" w:lineRule="atLeast"/>
        <w:ind w:left="720"/>
        <w:jc w:val="both"/>
        <w:rPr>
          <w:szCs w:val="24"/>
        </w:rPr>
      </w:pPr>
    </w:p>
    <w:p w14:paraId="0D977842" w14:textId="77777777" w:rsidR="00C3210C" w:rsidRDefault="005B0E3A" w:rsidP="00C3210C">
      <w:pPr>
        <w:pStyle w:val="Heading3"/>
        <w:keepNext w:val="0"/>
        <w:widowControl w:val="0"/>
        <w:numPr>
          <w:ilvl w:val="0"/>
          <w:numId w:val="7"/>
        </w:numPr>
        <w:tabs>
          <w:tab w:val="left" w:pos="1593"/>
        </w:tabs>
        <w:spacing w:after="0" w:line="240" w:lineRule="auto"/>
        <w:ind w:left="0" w:firstLine="0"/>
        <w:jc w:val="left"/>
        <w:rPr>
          <w:b/>
          <w:sz w:val="24"/>
          <w:szCs w:val="24"/>
        </w:rPr>
      </w:pPr>
      <w:bookmarkStart w:id="5" w:name="4._Documents_incorporated_by_reference"/>
      <w:bookmarkStart w:id="6" w:name="5._Consultation"/>
      <w:bookmarkEnd w:id="5"/>
      <w:bookmarkEnd w:id="6"/>
      <w:r w:rsidRPr="00944B20">
        <w:rPr>
          <w:b/>
          <w:sz w:val="24"/>
          <w:szCs w:val="24"/>
        </w:rPr>
        <w:t>Consultation</w:t>
      </w:r>
    </w:p>
    <w:p w14:paraId="06ED3BF8" w14:textId="77777777" w:rsidR="00C3210C" w:rsidRDefault="00C3210C" w:rsidP="00C3210C">
      <w:pPr>
        <w:tabs>
          <w:tab w:val="left" w:pos="315"/>
          <w:tab w:val="left" w:pos="1593"/>
        </w:tabs>
        <w:spacing w:after="0"/>
      </w:pPr>
    </w:p>
    <w:p w14:paraId="7DBD5317" w14:textId="6E748B0E" w:rsidR="00401DFD" w:rsidRPr="002D06E2" w:rsidRDefault="00ED69C7" w:rsidP="003D47EA">
      <w:pPr>
        <w:tabs>
          <w:tab w:val="left" w:pos="315"/>
          <w:tab w:val="left" w:pos="1593"/>
        </w:tabs>
        <w:spacing w:line="320" w:lineRule="atLeast"/>
        <w:jc w:val="both"/>
        <w:rPr>
          <w:sz w:val="24"/>
          <w:szCs w:val="24"/>
        </w:rPr>
      </w:pPr>
      <w:r>
        <w:rPr>
          <w:sz w:val="24"/>
          <w:szCs w:val="24"/>
        </w:rPr>
        <w:t>The amendment</w:t>
      </w:r>
      <w:r w:rsidR="00401DFD" w:rsidRPr="002D06E2">
        <w:rPr>
          <w:sz w:val="24"/>
          <w:szCs w:val="24"/>
        </w:rPr>
        <w:t xml:space="preserve"> instrument </w:t>
      </w:r>
      <w:r w:rsidR="00884D1C" w:rsidRPr="002D06E2">
        <w:rPr>
          <w:sz w:val="24"/>
          <w:szCs w:val="24"/>
        </w:rPr>
        <w:t>is of a minor or machinery nature and, therefore, consultation</w:t>
      </w:r>
      <w:r w:rsidR="00503828" w:rsidRPr="002D06E2">
        <w:rPr>
          <w:sz w:val="24"/>
          <w:szCs w:val="24"/>
        </w:rPr>
        <w:t xml:space="preserve"> is unnecessary. </w:t>
      </w:r>
      <w:r w:rsidR="00401DFD" w:rsidRPr="002D06E2">
        <w:rPr>
          <w:sz w:val="24"/>
          <w:szCs w:val="24"/>
        </w:rPr>
        <w:t>Nevertheless, on 23 March 2017, ASIC wrote to the following key stakeholders seeking comments on the proposed amendments: CPA Australia (</w:t>
      </w:r>
      <w:r w:rsidR="00401DFD" w:rsidRPr="002D06E2">
        <w:rPr>
          <w:b/>
          <w:i/>
          <w:sz w:val="24"/>
          <w:szCs w:val="24"/>
        </w:rPr>
        <w:t>CPA</w:t>
      </w:r>
      <w:r w:rsidR="00401DFD" w:rsidRPr="002D06E2">
        <w:rPr>
          <w:sz w:val="24"/>
          <w:szCs w:val="24"/>
        </w:rPr>
        <w:t>), Chartered Accountants Australia and New Zealand (</w:t>
      </w:r>
      <w:r w:rsidR="00401DFD" w:rsidRPr="002D06E2">
        <w:rPr>
          <w:b/>
          <w:i/>
          <w:sz w:val="24"/>
          <w:szCs w:val="24"/>
        </w:rPr>
        <w:t>ICAANZ</w:t>
      </w:r>
      <w:r w:rsidR="00401DFD" w:rsidRPr="002D06E2">
        <w:rPr>
          <w:sz w:val="24"/>
          <w:szCs w:val="24"/>
        </w:rPr>
        <w:t>), the Institute of Public Accountants, the Tax Practitioners Board (</w:t>
      </w:r>
      <w:r w:rsidR="00401DFD" w:rsidRPr="002D06E2">
        <w:rPr>
          <w:b/>
          <w:i/>
          <w:sz w:val="24"/>
          <w:szCs w:val="24"/>
        </w:rPr>
        <w:t>TPB</w:t>
      </w:r>
      <w:r w:rsidR="00401DFD" w:rsidRPr="002D06E2">
        <w:rPr>
          <w:sz w:val="24"/>
          <w:szCs w:val="24"/>
        </w:rPr>
        <w:t>)</w:t>
      </w:r>
      <w:r w:rsidR="002D06E2" w:rsidRPr="002D06E2">
        <w:rPr>
          <w:sz w:val="24"/>
          <w:szCs w:val="24"/>
        </w:rPr>
        <w:t>,</w:t>
      </w:r>
      <w:r w:rsidR="00401DFD" w:rsidRPr="002D06E2">
        <w:rPr>
          <w:sz w:val="24"/>
          <w:szCs w:val="24"/>
        </w:rPr>
        <w:t xml:space="preserve"> the Financial Ombudsman Service and the SMSF Association. The three stakeholders </w:t>
      </w:r>
      <w:r w:rsidR="002D06E2" w:rsidRPr="002D06E2">
        <w:rPr>
          <w:sz w:val="24"/>
          <w:szCs w:val="24"/>
        </w:rPr>
        <w:t>who responded (</w:t>
      </w:r>
      <w:r w:rsidR="00827C2F" w:rsidRPr="002D06E2">
        <w:rPr>
          <w:sz w:val="24"/>
          <w:szCs w:val="24"/>
        </w:rPr>
        <w:t xml:space="preserve">CPA, ICAANZ and TPB) </w:t>
      </w:r>
      <w:r w:rsidR="00401DFD" w:rsidRPr="002D06E2">
        <w:rPr>
          <w:sz w:val="24"/>
          <w:szCs w:val="24"/>
        </w:rPr>
        <w:t xml:space="preserve">supported the making of the amending instrument. </w:t>
      </w:r>
    </w:p>
    <w:p w14:paraId="4D67FAF5" w14:textId="77777777" w:rsidR="00401DFD" w:rsidRDefault="00401DFD" w:rsidP="003D47EA">
      <w:pPr>
        <w:tabs>
          <w:tab w:val="left" w:pos="315"/>
          <w:tab w:val="left" w:pos="1593"/>
        </w:tabs>
        <w:spacing w:line="320" w:lineRule="atLeast"/>
        <w:jc w:val="both"/>
        <w:rPr>
          <w:sz w:val="24"/>
          <w:szCs w:val="24"/>
        </w:rPr>
      </w:pPr>
    </w:p>
    <w:p w14:paraId="1326F101" w14:textId="77777777" w:rsidR="0018451B" w:rsidRPr="00944B20" w:rsidRDefault="0018451B" w:rsidP="007E6C49">
      <w:pPr>
        <w:tabs>
          <w:tab w:val="left" w:pos="315"/>
          <w:tab w:val="left" w:pos="1593"/>
        </w:tabs>
        <w:spacing w:line="320" w:lineRule="atLeast"/>
        <w:jc w:val="both"/>
        <w:rPr>
          <w:sz w:val="24"/>
          <w:szCs w:val="24"/>
        </w:rPr>
        <w:sectPr w:rsidR="0018451B" w:rsidRPr="00944B20" w:rsidSect="00830206">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418" w:left="1418" w:header="567" w:footer="567" w:gutter="0"/>
          <w:cols w:space="720"/>
          <w:docGrid w:linePitch="299"/>
        </w:sectPr>
      </w:pPr>
    </w:p>
    <w:p w14:paraId="5FA18E21" w14:textId="77777777" w:rsidR="000076D6" w:rsidRDefault="000076D6">
      <w:r>
        <w:rPr>
          <w:noProof/>
        </w:rPr>
        <mc:AlternateContent>
          <mc:Choice Requires="wps">
            <w:drawing>
              <wp:anchor distT="0" distB="0" distL="114300" distR="114300" simplePos="0" relativeHeight="251659264" behindDoc="0" locked="0" layoutInCell="1" allowOverlap="1" wp14:anchorId="53D6662C" wp14:editId="631A8C2F">
                <wp:simplePos x="0" y="0"/>
                <wp:positionH relativeFrom="column">
                  <wp:posOffset>19050</wp:posOffset>
                </wp:positionH>
                <wp:positionV relativeFrom="paragraph">
                  <wp:posOffset>495299</wp:posOffset>
                </wp:positionV>
                <wp:extent cx="5311140" cy="78200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820025"/>
                        </a:xfrm>
                        <a:prstGeom prst="rect">
                          <a:avLst/>
                        </a:prstGeom>
                        <a:solidFill>
                          <a:srgbClr val="FFFFFF"/>
                        </a:solidFill>
                        <a:ln w="76200" cmpd="tri">
                          <a:solidFill>
                            <a:srgbClr val="000000"/>
                          </a:solidFill>
                          <a:miter lim="800000"/>
                          <a:headEnd/>
                          <a:tailEnd/>
                        </a:ln>
                      </wps:spPr>
                      <wps:txbx>
                        <w:txbxContent>
                          <w:p w14:paraId="1C298277" w14:textId="77777777" w:rsidR="000076D6" w:rsidRPr="00834797" w:rsidRDefault="000076D6" w:rsidP="000076D6">
                            <w:pPr>
                              <w:spacing w:before="360" w:after="120"/>
                              <w:jc w:val="center"/>
                              <w:rPr>
                                <w:b/>
                              </w:rPr>
                            </w:pPr>
                            <w:r w:rsidRPr="00834797">
                              <w:rPr>
                                <w:b/>
                              </w:rPr>
                              <w:t>Statement of Compatibility with Human Rights</w:t>
                            </w:r>
                          </w:p>
                          <w:p w14:paraId="7F7EDECD"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1365AEE" w14:textId="77777777" w:rsidR="000076D6" w:rsidRPr="00247F54" w:rsidRDefault="000076D6" w:rsidP="000076D6">
                            <w:pPr>
                              <w:spacing w:before="120" w:after="120"/>
                              <w:jc w:val="center"/>
                            </w:pPr>
                          </w:p>
                          <w:p w14:paraId="5D4B2B0F" w14:textId="1B13109C" w:rsidR="000076D6" w:rsidRPr="00247F54" w:rsidRDefault="00A20256" w:rsidP="000076D6">
                            <w:pPr>
                              <w:spacing w:before="120" w:after="120"/>
                              <w:jc w:val="center"/>
                              <w:rPr>
                                <w:b/>
                              </w:rPr>
                            </w:pPr>
                            <w:r>
                              <w:rPr>
                                <w:b/>
                              </w:rPr>
                              <w:t>ASIC Corporations (Amendment) Instrument 201</w:t>
                            </w:r>
                            <w:r w:rsidR="0044365A">
                              <w:rPr>
                                <w:b/>
                              </w:rPr>
                              <w:t>7/</w:t>
                            </w:r>
                            <w:r w:rsidR="00DD6033">
                              <w:rPr>
                                <w:b/>
                              </w:rPr>
                              <w:t>464</w:t>
                            </w:r>
                          </w:p>
                          <w:p w14:paraId="27BFCD0C" w14:textId="38B52101" w:rsidR="000076D6" w:rsidRPr="00247F54" w:rsidRDefault="004F7202" w:rsidP="000076D6">
                            <w:pPr>
                              <w:spacing w:before="120" w:after="120"/>
                              <w:jc w:val="center"/>
                            </w:pPr>
                            <w:r w:rsidRPr="008D12DE">
                              <w:rPr>
                                <w:i/>
                              </w:rPr>
                              <w:t>ASIC Corporations (</w:t>
                            </w:r>
                            <w:r w:rsidR="00A20256">
                              <w:rPr>
                                <w:i/>
                              </w:rPr>
                              <w:t>Amendment) Instrument 2017/</w:t>
                            </w:r>
                            <w:r w:rsidR="00DD6033">
                              <w:rPr>
                                <w:i/>
                              </w:rPr>
                              <w:t>464</w:t>
                            </w:r>
                            <w:r w:rsidR="000076D6" w:rsidRPr="008D12DE">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59D174B0" w14:textId="77777777" w:rsidR="000076D6" w:rsidRPr="00247F54" w:rsidRDefault="000076D6" w:rsidP="000076D6">
                            <w:pPr>
                              <w:spacing w:before="120" w:after="120"/>
                              <w:jc w:val="both"/>
                              <w:rPr>
                                <w:b/>
                              </w:rPr>
                            </w:pPr>
                            <w:r w:rsidRPr="00247F54">
                              <w:rPr>
                                <w:b/>
                              </w:rPr>
                              <w:t>Overview</w:t>
                            </w:r>
                          </w:p>
                          <w:p w14:paraId="1BC91153" w14:textId="769E2732" w:rsidR="002F203A" w:rsidRDefault="004C48A4" w:rsidP="000076D6">
                            <w:pPr>
                              <w:spacing w:before="120" w:after="120"/>
                            </w:pPr>
                            <w:r w:rsidRPr="004C48A4">
                              <w:rPr>
                                <w:i/>
                              </w:rPr>
                              <w:t xml:space="preserve">ASIC Corporations (Recognised Accountants: Exempt Services) Instrument </w:t>
                            </w:r>
                            <w:r w:rsidR="00A02D95">
                              <w:rPr>
                                <w:i/>
                              </w:rPr>
                              <w:t xml:space="preserve">2016/1151 </w:t>
                            </w:r>
                            <w:r w:rsidR="00524C7E" w:rsidRPr="00524C7E">
                              <w:t>(</w:t>
                            </w:r>
                            <w:r w:rsidR="00524C7E" w:rsidRPr="00524C7E">
                              <w:rPr>
                                <w:b/>
                                <w:i/>
                              </w:rPr>
                              <w:t>the principal instrument</w:t>
                            </w:r>
                            <w:r w:rsidR="00524C7E" w:rsidRPr="00524C7E">
                              <w:t>)</w:t>
                            </w:r>
                            <w:r w:rsidR="00524C7E">
                              <w:rPr>
                                <w:i/>
                              </w:rPr>
                              <w:t xml:space="preserve"> </w:t>
                            </w:r>
                            <w:r w:rsidR="00A02D95">
                              <w:t xml:space="preserve">modified regulation 7.1.29(4) of the </w:t>
                            </w:r>
                            <w:r w:rsidR="00A02D95" w:rsidRPr="00A02D95">
                              <w:rPr>
                                <w:i/>
                              </w:rPr>
                              <w:t>Corporations Regulations 2001</w:t>
                            </w:r>
                            <w:r w:rsidR="00D83BAB" w:rsidRPr="00D83BAB">
                              <w:t xml:space="preserve"> </w:t>
                            </w:r>
                            <w:r w:rsidR="002F203A">
                              <w:t>as it applies to limited AFS licensees (</w:t>
                            </w:r>
                            <w:r w:rsidR="002F203A" w:rsidRPr="002F203A">
                              <w:rPr>
                                <w:b/>
                                <w:i/>
                              </w:rPr>
                              <w:t>limited licensees</w:t>
                            </w:r>
                            <w:r w:rsidR="002F203A">
                              <w:t xml:space="preserve">) and their authorised representatives. </w:t>
                            </w:r>
                          </w:p>
                          <w:p w14:paraId="3D1F46EC" w14:textId="749E167F" w:rsidR="002F203A" w:rsidRDefault="002F203A" w:rsidP="000076D6">
                            <w:pPr>
                              <w:spacing w:before="120" w:after="120"/>
                            </w:pPr>
                            <w:r w:rsidRPr="002F203A">
                              <w:t xml:space="preserve">Limited licensees were unable to provide advice to retail clients on the tax implications of financial products which </w:t>
                            </w:r>
                            <w:r w:rsidR="00997C69">
                              <w:t>were</w:t>
                            </w:r>
                            <w:r w:rsidRPr="002F203A">
                              <w:t xml:space="preserve"> not covered by </w:t>
                            </w:r>
                            <w:r w:rsidR="002D06E2">
                              <w:t xml:space="preserve">an authorisation in </w:t>
                            </w:r>
                            <w:r w:rsidRPr="002F203A">
                              <w:t xml:space="preserve">their licence in circumstances contemplated by regulation 7.1.29(4), nor could they provide the advice under their licence where their authorisations did not cover the financial product which is the subject of the advice. This is because they </w:t>
                            </w:r>
                            <w:r w:rsidR="00021BD9">
                              <w:t>cannot</w:t>
                            </w:r>
                            <w:r w:rsidRPr="002F203A">
                              <w:t xml:space="preserve"> comply with the requirement in sub-paragraph 7.1.29(4)(c)(ii) to provide a </w:t>
                            </w:r>
                            <w:r w:rsidR="002D06E2">
                              <w:t>written statement</w:t>
                            </w:r>
                            <w:r w:rsidR="007024EE">
                              <w:t xml:space="preserve"> </w:t>
                            </w:r>
                            <w:r w:rsidRPr="002F203A">
                              <w:t>which states, among other things, that they are not licensed to provide financial advice.</w:t>
                            </w:r>
                          </w:p>
                          <w:p w14:paraId="3A2095BA" w14:textId="11A0ABE0" w:rsidR="002F203A" w:rsidRDefault="002F203A" w:rsidP="000076D6">
                            <w:pPr>
                              <w:spacing w:before="120" w:after="120"/>
                            </w:pPr>
                            <w:r>
                              <w:t>To address this regulatory anomaly, the principal instrument modified</w:t>
                            </w:r>
                            <w:r w:rsidRPr="002F203A">
                              <w:t xml:space="preserve"> regulation 7.1.29(4)(c)(ii) as it applies to limited AFS licensees and their authorised representatives so </w:t>
                            </w:r>
                            <w:r>
                              <w:t>that they can provide a modifie</w:t>
                            </w:r>
                            <w:r w:rsidR="002D06E2">
                              <w:t>d version of the statement</w:t>
                            </w:r>
                            <w:r>
                              <w:t>.</w:t>
                            </w:r>
                          </w:p>
                          <w:p w14:paraId="3DE5A9AE" w14:textId="3BDBB414" w:rsidR="002F203A" w:rsidRDefault="000707F5" w:rsidP="000076D6">
                            <w:pPr>
                              <w:spacing w:before="120" w:after="120"/>
                            </w:pPr>
                            <w:r>
                              <w:t xml:space="preserve">Since the principal regulation was made, </w:t>
                            </w:r>
                            <w:r w:rsidR="007024EE">
                              <w:t xml:space="preserve">it has become clear that full AFS licensees (and authorised representatives of full AFS licensees) </w:t>
                            </w:r>
                            <w:r w:rsidR="002C4274">
                              <w:t xml:space="preserve">with limited authorisations </w:t>
                            </w:r>
                            <w:r w:rsidR="00E138B6">
                              <w:t xml:space="preserve">encounter </w:t>
                            </w:r>
                            <w:r w:rsidR="007024EE">
                              <w:t xml:space="preserve">the same problem. </w:t>
                            </w:r>
                          </w:p>
                          <w:p w14:paraId="786F9385" w14:textId="67D9C2E2" w:rsidR="00A90D1E" w:rsidRPr="002C4274" w:rsidRDefault="002C4274" w:rsidP="000076D6">
                            <w:pPr>
                              <w:spacing w:before="120" w:after="120"/>
                            </w:pPr>
                            <w:r w:rsidRPr="002C4274">
                              <w:t>Therefore,</w:t>
                            </w:r>
                            <w:r>
                              <w:rPr>
                                <w:i/>
                              </w:rPr>
                              <w:t xml:space="preserve"> </w:t>
                            </w:r>
                            <w:r w:rsidRPr="002C4274">
                              <w:rPr>
                                <w:i/>
                              </w:rPr>
                              <w:t>ASIC Corporations (Amendment) Instrument 2017/</w:t>
                            </w:r>
                            <w:r w:rsidR="00DD6033">
                              <w:rPr>
                                <w:i/>
                              </w:rPr>
                              <w:t>464</w:t>
                            </w:r>
                            <w:r w:rsidRPr="002C4274">
                              <w:rPr>
                                <w:i/>
                              </w:rPr>
                              <w:t xml:space="preserve"> </w:t>
                            </w:r>
                            <w:r>
                              <w:t xml:space="preserve">extends the application of the principal instrument so that full AFS licensees (and authorised representatives of full AFS licensees) </w:t>
                            </w:r>
                            <w:r w:rsidR="002D06E2">
                              <w:t>can also give a modified statement</w:t>
                            </w:r>
                            <w:r>
                              <w:t xml:space="preserve"> in order to </w:t>
                            </w:r>
                            <w:r w:rsidR="002D06E2">
                              <w:t>provide exempt advice</w:t>
                            </w:r>
                            <w:r>
                              <w:t xml:space="preserve"> to retail clients on the tax implications of financial products not covered by an authorisation in their licence</w:t>
                            </w:r>
                            <w:r w:rsidR="002D06E2">
                              <w:t xml:space="preserve"> in cir</w:t>
                            </w:r>
                            <w:r>
                              <w:t>c</w:t>
                            </w:r>
                            <w:r w:rsidR="002D06E2">
                              <w:t>u</w:t>
                            </w:r>
                            <w:r>
                              <w:t xml:space="preserve">mstances contemplated by regulation 7.1.29(4). </w:t>
                            </w:r>
                          </w:p>
                          <w:p w14:paraId="17128D2E" w14:textId="77777777" w:rsidR="000076D6" w:rsidRPr="00247F54" w:rsidRDefault="000076D6" w:rsidP="000076D6">
                            <w:pPr>
                              <w:spacing w:before="120" w:after="120"/>
                              <w:rPr>
                                <w:b/>
                              </w:rPr>
                            </w:pPr>
                            <w:r w:rsidRPr="00247F54">
                              <w:rPr>
                                <w:b/>
                              </w:rPr>
                              <w:t>Human rights implications</w:t>
                            </w:r>
                          </w:p>
                          <w:p w14:paraId="3DBEC9D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CF2B246" w14:textId="77777777" w:rsidR="000076D6" w:rsidRPr="00247F54" w:rsidRDefault="000076D6" w:rsidP="000076D6">
                            <w:pPr>
                              <w:spacing w:before="120" w:after="120"/>
                              <w:rPr>
                                <w:b/>
                              </w:rPr>
                            </w:pPr>
                            <w:r w:rsidRPr="00247F54">
                              <w:rPr>
                                <w:b/>
                              </w:rPr>
                              <w:t>Conclusion</w:t>
                            </w:r>
                          </w:p>
                          <w:p w14:paraId="05AE1DAC"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023015A" w14:textId="77777777" w:rsidR="000076D6" w:rsidRPr="00E4135E" w:rsidRDefault="00E07956" w:rsidP="000076D6">
                            <w:pPr>
                              <w:spacing w:before="120" w:after="120"/>
                              <w:jc w:val="center"/>
                            </w:pPr>
                            <w:r>
                              <w:rPr>
                                <w:b/>
                              </w:rPr>
                              <w:t>Grant Moodie, Special Counsel</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6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" strokeweight="6pt">
                <v:stroke linestyle="thickBetweenThin"/>
                <v:textbox inset="5mm,,5mm">
                  <w:txbxContent>
                    <w:p w14:paraId="1C298277" w14:textId="77777777" w:rsidR="000076D6" w:rsidRPr="00834797" w:rsidRDefault="000076D6" w:rsidP="000076D6">
                      <w:pPr>
                        <w:spacing w:before="360" w:after="120"/>
                        <w:jc w:val="center"/>
                        <w:rPr>
                          <w:b/>
                        </w:rPr>
                      </w:pPr>
                      <w:r w:rsidRPr="00834797">
                        <w:rPr>
                          <w:b/>
                        </w:rPr>
                        <w:t>Statement of Compatibility with Human Rights</w:t>
                      </w:r>
                    </w:p>
                    <w:p w14:paraId="7F7EDECD"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1365AEE" w14:textId="77777777" w:rsidR="000076D6" w:rsidRPr="00247F54" w:rsidRDefault="000076D6" w:rsidP="000076D6">
                      <w:pPr>
                        <w:spacing w:before="120" w:after="120"/>
                        <w:jc w:val="center"/>
                      </w:pPr>
                    </w:p>
                    <w:p w14:paraId="5D4B2B0F" w14:textId="1B13109C" w:rsidR="000076D6" w:rsidRPr="00247F54" w:rsidRDefault="00A20256" w:rsidP="000076D6">
                      <w:pPr>
                        <w:spacing w:before="120" w:after="120"/>
                        <w:jc w:val="center"/>
                        <w:rPr>
                          <w:b/>
                        </w:rPr>
                      </w:pPr>
                      <w:r>
                        <w:rPr>
                          <w:b/>
                        </w:rPr>
                        <w:t>ASIC Corporations (Amendment) Instrument 201</w:t>
                      </w:r>
                      <w:bookmarkStart w:id="7" w:name="_GoBack"/>
                      <w:bookmarkEnd w:id="7"/>
                      <w:r w:rsidR="0044365A">
                        <w:rPr>
                          <w:b/>
                        </w:rPr>
                        <w:t>7/</w:t>
                      </w:r>
                      <w:r w:rsidR="00DD6033">
                        <w:rPr>
                          <w:b/>
                        </w:rPr>
                        <w:t>464</w:t>
                      </w:r>
                    </w:p>
                    <w:p w14:paraId="27BFCD0C" w14:textId="38B52101" w:rsidR="000076D6" w:rsidRPr="00247F54" w:rsidRDefault="004F7202" w:rsidP="000076D6">
                      <w:pPr>
                        <w:spacing w:before="120" w:after="120"/>
                        <w:jc w:val="center"/>
                      </w:pPr>
                      <w:r w:rsidRPr="008D12DE">
                        <w:rPr>
                          <w:i/>
                        </w:rPr>
                        <w:t>ASIC Corporations (</w:t>
                      </w:r>
                      <w:r w:rsidR="00A20256">
                        <w:rPr>
                          <w:i/>
                        </w:rPr>
                        <w:t>Amendment) Instrument 2017/</w:t>
                      </w:r>
                      <w:r w:rsidR="00DD6033">
                        <w:rPr>
                          <w:i/>
                        </w:rPr>
                        <w:t>464</w:t>
                      </w:r>
                      <w:r w:rsidR="000076D6" w:rsidRPr="008D12DE">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59D174B0" w14:textId="77777777" w:rsidR="000076D6" w:rsidRPr="00247F54" w:rsidRDefault="000076D6" w:rsidP="000076D6">
                      <w:pPr>
                        <w:spacing w:before="120" w:after="120"/>
                        <w:jc w:val="both"/>
                        <w:rPr>
                          <w:b/>
                        </w:rPr>
                      </w:pPr>
                      <w:r w:rsidRPr="00247F54">
                        <w:rPr>
                          <w:b/>
                        </w:rPr>
                        <w:t>Overview</w:t>
                      </w:r>
                    </w:p>
                    <w:p w14:paraId="1BC91153" w14:textId="769E2732" w:rsidR="002F203A" w:rsidRDefault="004C48A4" w:rsidP="000076D6">
                      <w:pPr>
                        <w:spacing w:before="120" w:after="120"/>
                      </w:pPr>
                      <w:r w:rsidRPr="004C48A4">
                        <w:rPr>
                          <w:i/>
                        </w:rPr>
                        <w:t xml:space="preserve">ASIC Corporations (Recognised Accountants: Exempt Services) Instrument </w:t>
                      </w:r>
                      <w:r w:rsidR="00A02D95">
                        <w:rPr>
                          <w:i/>
                        </w:rPr>
                        <w:t xml:space="preserve">2016/1151 </w:t>
                      </w:r>
                      <w:r w:rsidR="00524C7E" w:rsidRPr="00524C7E">
                        <w:t>(</w:t>
                      </w:r>
                      <w:r w:rsidR="00524C7E" w:rsidRPr="00524C7E">
                        <w:rPr>
                          <w:b/>
                          <w:i/>
                        </w:rPr>
                        <w:t>the principal instrument</w:t>
                      </w:r>
                      <w:r w:rsidR="00524C7E" w:rsidRPr="00524C7E">
                        <w:t>)</w:t>
                      </w:r>
                      <w:r w:rsidR="00524C7E">
                        <w:rPr>
                          <w:i/>
                        </w:rPr>
                        <w:t xml:space="preserve"> </w:t>
                      </w:r>
                      <w:r w:rsidR="00A02D95">
                        <w:t xml:space="preserve">modified regulation 7.1.29(4) of the </w:t>
                      </w:r>
                      <w:r w:rsidR="00A02D95" w:rsidRPr="00A02D95">
                        <w:rPr>
                          <w:i/>
                        </w:rPr>
                        <w:t>Corporations Regulations 2001</w:t>
                      </w:r>
                      <w:r w:rsidR="00D83BAB" w:rsidRPr="00D83BAB">
                        <w:t xml:space="preserve"> </w:t>
                      </w:r>
                      <w:r w:rsidR="002F203A">
                        <w:t>as it applies to limited AFS licensees (</w:t>
                      </w:r>
                      <w:r w:rsidR="002F203A" w:rsidRPr="002F203A">
                        <w:rPr>
                          <w:b/>
                          <w:i/>
                        </w:rPr>
                        <w:t>limited licensees</w:t>
                      </w:r>
                      <w:r w:rsidR="002F203A">
                        <w:t xml:space="preserve">) and their authorised representatives. </w:t>
                      </w:r>
                    </w:p>
                    <w:p w14:paraId="3D1F46EC" w14:textId="749E167F" w:rsidR="002F203A" w:rsidRDefault="002F203A" w:rsidP="000076D6">
                      <w:pPr>
                        <w:spacing w:before="120" w:after="120"/>
                      </w:pPr>
                      <w:r w:rsidRPr="002F203A">
                        <w:t xml:space="preserve">Limited licensees were unable to provide advice to retail clients on the tax implications of financial products which </w:t>
                      </w:r>
                      <w:r w:rsidR="00997C69">
                        <w:t>were</w:t>
                      </w:r>
                      <w:r w:rsidRPr="002F203A">
                        <w:t xml:space="preserve"> not covered by </w:t>
                      </w:r>
                      <w:r w:rsidR="002D06E2">
                        <w:t xml:space="preserve">an authorisation in </w:t>
                      </w:r>
                      <w:r w:rsidRPr="002F203A">
                        <w:t xml:space="preserve">their licence in circumstances contemplated by regulation 7.1.29(4), nor could they provide the advice under their licence where their authorisations did not cover the financial product which is the subject of the advice. This is because they </w:t>
                      </w:r>
                      <w:r w:rsidR="00021BD9">
                        <w:t>cannot</w:t>
                      </w:r>
                      <w:r w:rsidRPr="002F203A">
                        <w:t xml:space="preserve"> comply with the requirement in sub-paragraph 7.1.29(4)(c)(ii) to provide a </w:t>
                      </w:r>
                      <w:r w:rsidR="002D06E2">
                        <w:t>written statement</w:t>
                      </w:r>
                      <w:r w:rsidR="007024EE">
                        <w:t xml:space="preserve"> </w:t>
                      </w:r>
                      <w:r w:rsidRPr="002F203A">
                        <w:t>which states, among other things, that they are not licensed to provide financial advice.</w:t>
                      </w:r>
                    </w:p>
                    <w:p w14:paraId="3A2095BA" w14:textId="11A0ABE0" w:rsidR="002F203A" w:rsidRDefault="002F203A" w:rsidP="000076D6">
                      <w:pPr>
                        <w:spacing w:before="120" w:after="120"/>
                      </w:pPr>
                      <w:r>
                        <w:t>To address this regulatory anomaly, the principal instrument modified</w:t>
                      </w:r>
                      <w:r w:rsidRPr="002F203A">
                        <w:t xml:space="preserve"> regulation 7.1.29(4)(c)(ii) as it applies to limited AFS licensees and their authorised representatives so </w:t>
                      </w:r>
                      <w:r>
                        <w:t>that they can provide a modifie</w:t>
                      </w:r>
                      <w:r w:rsidR="002D06E2">
                        <w:t>d version of the statement</w:t>
                      </w:r>
                      <w:r>
                        <w:t>.</w:t>
                      </w:r>
                    </w:p>
                    <w:p w14:paraId="3DE5A9AE" w14:textId="3BDBB414" w:rsidR="002F203A" w:rsidRDefault="000707F5" w:rsidP="000076D6">
                      <w:pPr>
                        <w:spacing w:before="120" w:after="120"/>
                      </w:pPr>
                      <w:r>
                        <w:t xml:space="preserve">Since the principal regulation was made, </w:t>
                      </w:r>
                      <w:r w:rsidR="007024EE">
                        <w:t xml:space="preserve">it has become clear that full AFS licensees (and authorised representatives of full AFS licensees) </w:t>
                      </w:r>
                      <w:r w:rsidR="002C4274">
                        <w:t xml:space="preserve">with limited authorisations </w:t>
                      </w:r>
                      <w:r w:rsidR="00E138B6">
                        <w:t xml:space="preserve">encounter </w:t>
                      </w:r>
                      <w:r w:rsidR="007024EE">
                        <w:t xml:space="preserve">the same problem. </w:t>
                      </w:r>
                    </w:p>
                    <w:p w14:paraId="786F9385" w14:textId="67D9C2E2" w:rsidR="00A90D1E" w:rsidRPr="002C4274" w:rsidRDefault="002C4274" w:rsidP="000076D6">
                      <w:pPr>
                        <w:spacing w:before="120" w:after="120"/>
                      </w:pPr>
                      <w:r w:rsidRPr="002C4274">
                        <w:t>Therefore,</w:t>
                      </w:r>
                      <w:r>
                        <w:rPr>
                          <w:i/>
                        </w:rPr>
                        <w:t xml:space="preserve"> </w:t>
                      </w:r>
                      <w:r w:rsidRPr="002C4274">
                        <w:rPr>
                          <w:i/>
                        </w:rPr>
                        <w:t>ASIC Corporations (Amendment) Instrument 2017/</w:t>
                      </w:r>
                      <w:r w:rsidR="00DD6033">
                        <w:rPr>
                          <w:i/>
                        </w:rPr>
                        <w:t>464</w:t>
                      </w:r>
                      <w:r w:rsidRPr="002C4274">
                        <w:rPr>
                          <w:i/>
                        </w:rPr>
                        <w:t xml:space="preserve"> </w:t>
                      </w:r>
                      <w:r>
                        <w:t xml:space="preserve">extends the application of the principal instrument so that full AFS licensees (and authorised representatives of full AFS licensees) </w:t>
                      </w:r>
                      <w:r w:rsidR="002D06E2">
                        <w:t>can also give a modified statement</w:t>
                      </w:r>
                      <w:r>
                        <w:t xml:space="preserve"> in order to </w:t>
                      </w:r>
                      <w:r w:rsidR="002D06E2">
                        <w:t>provide exempt advice</w:t>
                      </w:r>
                      <w:r>
                        <w:t xml:space="preserve"> to retail clients on the tax implications of financial products not covered by an authorisation in their licence</w:t>
                      </w:r>
                      <w:r w:rsidR="002D06E2">
                        <w:t xml:space="preserve"> in cir</w:t>
                      </w:r>
                      <w:r>
                        <w:t>c</w:t>
                      </w:r>
                      <w:r w:rsidR="002D06E2">
                        <w:t>u</w:t>
                      </w:r>
                      <w:r>
                        <w:t xml:space="preserve">mstances contemplated by regulation 7.1.29(4). </w:t>
                      </w:r>
                    </w:p>
                    <w:p w14:paraId="17128D2E" w14:textId="77777777" w:rsidR="000076D6" w:rsidRPr="00247F54" w:rsidRDefault="000076D6" w:rsidP="000076D6">
                      <w:pPr>
                        <w:spacing w:before="120" w:after="120"/>
                        <w:rPr>
                          <w:b/>
                        </w:rPr>
                      </w:pPr>
                      <w:r w:rsidRPr="00247F54">
                        <w:rPr>
                          <w:b/>
                        </w:rPr>
                        <w:t>Human rights implications</w:t>
                      </w:r>
                    </w:p>
                    <w:p w14:paraId="3DBEC9D8"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CF2B246" w14:textId="77777777" w:rsidR="000076D6" w:rsidRPr="00247F54" w:rsidRDefault="000076D6" w:rsidP="000076D6">
                      <w:pPr>
                        <w:spacing w:before="120" w:after="120"/>
                        <w:rPr>
                          <w:b/>
                        </w:rPr>
                      </w:pPr>
                      <w:r w:rsidRPr="00247F54">
                        <w:rPr>
                          <w:b/>
                        </w:rPr>
                        <w:t>Conclusion</w:t>
                      </w:r>
                    </w:p>
                    <w:p w14:paraId="05AE1DAC"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5023015A" w14:textId="77777777" w:rsidR="000076D6" w:rsidRPr="00E4135E" w:rsidRDefault="00E07956" w:rsidP="000076D6">
                      <w:pPr>
                        <w:spacing w:before="120" w:after="120"/>
                        <w:jc w:val="center"/>
                      </w:pPr>
                      <w:r>
                        <w:rPr>
                          <w:b/>
                        </w:rPr>
                        <w:t>Grant Moodie, Special Counsel</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4633F" w14:textId="77777777" w:rsidR="00C516FD" w:rsidRDefault="00C516FD">
      <w:pPr>
        <w:spacing w:after="0"/>
      </w:pPr>
      <w:r>
        <w:separator/>
      </w:r>
    </w:p>
  </w:endnote>
  <w:endnote w:type="continuationSeparator" w:id="0">
    <w:p w14:paraId="30C19DF7" w14:textId="77777777" w:rsidR="00C516FD" w:rsidRDefault="00C5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AD20" w14:textId="77777777" w:rsidR="00C516FD"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BDA9E28" w14:textId="77777777" w:rsidR="00C516FD" w:rsidRDefault="00C516FD">
    <w:pPr>
      <w:pStyle w:val="Footer"/>
      <w:ind w:right="360"/>
    </w:pPr>
  </w:p>
  <w:p w14:paraId="3CF25659" w14:textId="77777777" w:rsidR="00C516FD" w:rsidRDefault="00C516FD"/>
  <w:p w14:paraId="37E76AE0" w14:textId="77777777" w:rsidR="00C516FD" w:rsidRDefault="00C516FD"/>
  <w:p w14:paraId="43FBE559" w14:textId="77777777" w:rsidR="00C516FD" w:rsidRDefault="00C516FD"/>
  <w:p w14:paraId="319A563C" w14:textId="77777777" w:rsidR="00C516FD" w:rsidRDefault="00C516FD"/>
  <w:p w14:paraId="08EAF98B" w14:textId="77777777" w:rsidR="00C516FD" w:rsidRDefault="00C516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9C3DB" w14:textId="17D17D72" w:rsidR="00C516FD" w:rsidRDefault="008C4E77" w:rsidP="00E07956">
    <w:pPr>
      <w:pStyle w:val="Footer"/>
      <w:pBdr>
        <w:top w:val="single" w:sz="4" w:space="0" w:color="117DC7"/>
      </w:pBdr>
      <w:rPr>
        <w:b/>
        <w:color w:val="117DC7"/>
      </w:rPr>
    </w:pPr>
    <w:r>
      <w:rPr>
        <w:noProof/>
        <w:color w:val="117DC7"/>
        <w:sz w:val="20"/>
        <w:lang w:val="en-US" w:eastAsia="en-US"/>
      </w:rPr>
      <w:pict w14:anchorId="0A092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492.3pt;margin-top:-178.65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196FF29E" wp14:editId="76BB49B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E8A2B" w14:textId="77777777" w:rsidR="00C516FD" w:rsidRPr="008F541E" w:rsidRDefault="005B0E3A" w:rsidP="00C516F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C4E77">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6EE8A2B" w14:textId="77777777" w:rsidR="00C516FD" w:rsidRPr="008F541E" w:rsidRDefault="005B0E3A" w:rsidP="00C516FD">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C4E77">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w:t>
    </w:r>
    <w:r w:rsidR="007258B9">
      <w:rPr>
        <w:color w:val="117DC7"/>
      </w:rPr>
      <w:t>ities and Investments Commission</w:t>
    </w:r>
    <w:r w:rsidR="005B0E3A">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26FDE" w14:textId="77777777" w:rsidR="00BA3BAE" w:rsidRDefault="00BA3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B099F" w14:textId="77777777" w:rsidR="00C516FD" w:rsidRDefault="00C516FD">
      <w:pPr>
        <w:spacing w:after="0"/>
      </w:pPr>
      <w:r>
        <w:separator/>
      </w:r>
    </w:p>
  </w:footnote>
  <w:footnote w:type="continuationSeparator" w:id="0">
    <w:p w14:paraId="61C9A610" w14:textId="77777777" w:rsidR="00C516FD" w:rsidRDefault="00C516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FD125" w14:textId="77777777" w:rsidR="00C516FD" w:rsidRDefault="00C516FD"/>
  <w:p w14:paraId="28375F65" w14:textId="77777777" w:rsidR="00C516FD" w:rsidRDefault="00C516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B245" w14:textId="77777777" w:rsidR="00C516FD" w:rsidRPr="00034AE7" w:rsidRDefault="00C516FD" w:rsidP="00034AE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A1267" w14:textId="77777777" w:rsidR="00C516FD"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07F9A"/>
    <w:multiLevelType w:val="hybridMultilevel"/>
    <w:tmpl w:val="25D273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949718A"/>
    <w:multiLevelType w:val="hybridMultilevel"/>
    <w:tmpl w:val="70029DF8"/>
    <w:lvl w:ilvl="0" w:tplc="CB5043B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07121"/>
    <w:multiLevelType w:val="hybridMultilevel"/>
    <w:tmpl w:val="A3B0F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EE745E2"/>
    <w:multiLevelType w:val="hybridMultilevel"/>
    <w:tmpl w:val="48F09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E8236A"/>
    <w:multiLevelType w:val="hybridMultilevel"/>
    <w:tmpl w:val="EDDA7F22"/>
    <w:lvl w:ilvl="0" w:tplc="127A2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2BB32854"/>
    <w:multiLevelType w:val="hybridMultilevel"/>
    <w:tmpl w:val="CDD276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EDB39FD"/>
    <w:multiLevelType w:val="hybridMultilevel"/>
    <w:tmpl w:val="B8FC4C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5C5EB7"/>
    <w:multiLevelType w:val="hybridMultilevel"/>
    <w:tmpl w:val="95FC51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C6A6798"/>
    <w:multiLevelType w:val="hybridMultilevel"/>
    <w:tmpl w:val="C10C7580"/>
    <w:lvl w:ilvl="0" w:tplc="0ADE64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8">
    <w:nsid w:val="3F5443D0"/>
    <w:multiLevelType w:val="hybridMultilevel"/>
    <w:tmpl w:val="997A8C9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F27477"/>
    <w:multiLevelType w:val="hybridMultilevel"/>
    <w:tmpl w:val="669CC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E657D0"/>
    <w:multiLevelType w:val="hybridMultilevel"/>
    <w:tmpl w:val="41E8BE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554170BC"/>
    <w:multiLevelType w:val="hybridMultilevel"/>
    <w:tmpl w:val="435466E4"/>
    <w:lvl w:ilvl="0" w:tplc="5B2ADF12">
      <w:start w:val="1"/>
      <w:numFmt w:val="lowerRoman"/>
      <w:lvlText w:val="(%1)"/>
      <w:lvlJc w:val="left"/>
      <w:pPr>
        <w:ind w:left="288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nsid w:val="55EC067A"/>
    <w:multiLevelType w:val="hybridMultilevel"/>
    <w:tmpl w:val="31A4C0D2"/>
    <w:lvl w:ilvl="0" w:tplc="6AE8AB4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7BD32B0"/>
    <w:multiLevelType w:val="hybridMultilevel"/>
    <w:tmpl w:val="4B7E73AC"/>
    <w:lvl w:ilvl="0" w:tplc="62F83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88E01C4"/>
    <w:multiLevelType w:val="hybridMultilevel"/>
    <w:tmpl w:val="4D228E8E"/>
    <w:lvl w:ilvl="0" w:tplc="57884D1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5AD315CB"/>
    <w:multiLevelType w:val="hybridMultilevel"/>
    <w:tmpl w:val="8642F306"/>
    <w:lvl w:ilvl="0" w:tplc="FE9EB1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E36392"/>
    <w:multiLevelType w:val="hybridMultilevel"/>
    <w:tmpl w:val="165AE0A0"/>
    <w:lvl w:ilvl="0" w:tplc="5B2ADF12">
      <w:start w:val="1"/>
      <w:numFmt w:val="lowerRoman"/>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54546AA"/>
    <w:multiLevelType w:val="hybridMultilevel"/>
    <w:tmpl w:val="E8243088"/>
    <w:lvl w:ilvl="0" w:tplc="A33010C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2706D2"/>
    <w:multiLevelType w:val="hybridMultilevel"/>
    <w:tmpl w:val="661E0C40"/>
    <w:lvl w:ilvl="0" w:tplc="5B2ADF1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9A6639C"/>
    <w:multiLevelType w:val="hybridMultilevel"/>
    <w:tmpl w:val="19CCFE68"/>
    <w:lvl w:ilvl="0" w:tplc="BA7CDC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A1037C1"/>
    <w:multiLevelType w:val="hybridMultilevel"/>
    <w:tmpl w:val="5C1AEA40"/>
    <w:lvl w:ilvl="0" w:tplc="59DCB8D6">
      <w:start w:val="1"/>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5">
    <w:nsid w:val="6FA37E1F"/>
    <w:multiLevelType w:val="hybridMultilevel"/>
    <w:tmpl w:val="9C3AC8F6"/>
    <w:lvl w:ilvl="0" w:tplc="59DCB8D6">
      <w:start w:val="1"/>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716906DC"/>
    <w:multiLevelType w:val="hybridMultilevel"/>
    <w:tmpl w:val="99469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7"/>
  </w:num>
  <w:num w:numId="3">
    <w:abstractNumId w:val="19"/>
  </w:num>
  <w:num w:numId="4">
    <w:abstractNumId w:val="34"/>
  </w:num>
  <w:num w:numId="5">
    <w:abstractNumId w:val="10"/>
  </w:num>
  <w:num w:numId="6">
    <w:abstractNumId w:val="7"/>
  </w:num>
  <w:num w:numId="7">
    <w:abstractNumId w:val="17"/>
  </w:num>
  <w:num w:numId="8">
    <w:abstractNumId w:val="4"/>
  </w:num>
  <w:num w:numId="9">
    <w:abstractNumId w:val="3"/>
  </w:num>
  <w:num w:numId="10">
    <w:abstractNumId w:val="0"/>
  </w:num>
  <w:num w:numId="11">
    <w:abstractNumId w:val="14"/>
  </w:num>
  <w:num w:numId="12">
    <w:abstractNumId w:val="33"/>
  </w:num>
  <w:num w:numId="13">
    <w:abstractNumId w:val="21"/>
  </w:num>
  <w:num w:numId="14">
    <w:abstractNumId w:val="11"/>
  </w:num>
  <w:num w:numId="15">
    <w:abstractNumId w:val="1"/>
  </w:num>
  <w:num w:numId="16">
    <w:abstractNumId w:val="16"/>
  </w:num>
  <w:num w:numId="17">
    <w:abstractNumId w:val="27"/>
  </w:num>
  <w:num w:numId="18">
    <w:abstractNumId w:val="22"/>
  </w:num>
  <w:num w:numId="19">
    <w:abstractNumId w:val="13"/>
  </w:num>
  <w:num w:numId="20">
    <w:abstractNumId w:val="31"/>
  </w:num>
  <w:num w:numId="21">
    <w:abstractNumId w:val="18"/>
  </w:num>
  <w:num w:numId="22">
    <w:abstractNumId w:val="15"/>
  </w:num>
  <w:num w:numId="23">
    <w:abstractNumId w:val="12"/>
  </w:num>
  <w:num w:numId="24">
    <w:abstractNumId w:val="6"/>
  </w:num>
  <w:num w:numId="25">
    <w:abstractNumId w:val="9"/>
  </w:num>
  <w:num w:numId="26">
    <w:abstractNumId w:val="29"/>
  </w:num>
  <w:num w:numId="27">
    <w:abstractNumId w:val="2"/>
  </w:num>
  <w:num w:numId="28">
    <w:abstractNumId w:val="24"/>
  </w:num>
  <w:num w:numId="29">
    <w:abstractNumId w:val="30"/>
  </w:num>
  <w:num w:numId="30">
    <w:abstractNumId w:val="8"/>
  </w:num>
  <w:num w:numId="31">
    <w:abstractNumId w:val="28"/>
  </w:num>
  <w:num w:numId="32">
    <w:abstractNumId w:val="23"/>
  </w:num>
  <w:num w:numId="33">
    <w:abstractNumId w:val="36"/>
  </w:num>
  <w:num w:numId="34">
    <w:abstractNumId w:val="26"/>
  </w:num>
  <w:num w:numId="35">
    <w:abstractNumId w:val="35"/>
  </w:num>
  <w:num w:numId="36">
    <w:abstractNumId w:val="32"/>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E7"/>
    <w:rsid w:val="0000526F"/>
    <w:rsid w:val="000076D6"/>
    <w:rsid w:val="00020548"/>
    <w:rsid w:val="00021BD9"/>
    <w:rsid w:val="00026B0A"/>
    <w:rsid w:val="00034AE7"/>
    <w:rsid w:val="00047363"/>
    <w:rsid w:val="000707F5"/>
    <w:rsid w:val="000A4144"/>
    <w:rsid w:val="000B4834"/>
    <w:rsid w:val="000C3985"/>
    <w:rsid w:val="000D4038"/>
    <w:rsid w:val="000E1B6C"/>
    <w:rsid w:val="000E4312"/>
    <w:rsid w:val="000E6563"/>
    <w:rsid w:val="000E6895"/>
    <w:rsid w:val="000F1E72"/>
    <w:rsid w:val="00102C83"/>
    <w:rsid w:val="001131E7"/>
    <w:rsid w:val="0013273B"/>
    <w:rsid w:val="0013483C"/>
    <w:rsid w:val="00135AF3"/>
    <w:rsid w:val="00154FC9"/>
    <w:rsid w:val="00161556"/>
    <w:rsid w:val="00174465"/>
    <w:rsid w:val="0018451B"/>
    <w:rsid w:val="001B7C86"/>
    <w:rsid w:val="001D33A9"/>
    <w:rsid w:val="001D49CC"/>
    <w:rsid w:val="001D750B"/>
    <w:rsid w:val="001E38B6"/>
    <w:rsid w:val="002152ED"/>
    <w:rsid w:val="00226C97"/>
    <w:rsid w:val="00233836"/>
    <w:rsid w:val="00254DD8"/>
    <w:rsid w:val="00276008"/>
    <w:rsid w:val="002761F3"/>
    <w:rsid w:val="00277202"/>
    <w:rsid w:val="002A0C7D"/>
    <w:rsid w:val="002B2F62"/>
    <w:rsid w:val="002C4274"/>
    <w:rsid w:val="002D06E2"/>
    <w:rsid w:val="002D0D55"/>
    <w:rsid w:val="002D5A4C"/>
    <w:rsid w:val="002E5C0D"/>
    <w:rsid w:val="002F00AF"/>
    <w:rsid w:val="002F203A"/>
    <w:rsid w:val="0033129D"/>
    <w:rsid w:val="00363C81"/>
    <w:rsid w:val="003A006A"/>
    <w:rsid w:val="003A3A37"/>
    <w:rsid w:val="003A5633"/>
    <w:rsid w:val="003B22A2"/>
    <w:rsid w:val="003D47EA"/>
    <w:rsid w:val="003E00DE"/>
    <w:rsid w:val="003E57A7"/>
    <w:rsid w:val="003F5770"/>
    <w:rsid w:val="00401DFD"/>
    <w:rsid w:val="00403983"/>
    <w:rsid w:val="00426672"/>
    <w:rsid w:val="0043361A"/>
    <w:rsid w:val="00433E29"/>
    <w:rsid w:val="0044365A"/>
    <w:rsid w:val="00444F3B"/>
    <w:rsid w:val="0045183F"/>
    <w:rsid w:val="00465454"/>
    <w:rsid w:val="004779D2"/>
    <w:rsid w:val="00496EF2"/>
    <w:rsid w:val="004C48A4"/>
    <w:rsid w:val="004C4B7C"/>
    <w:rsid w:val="004E4764"/>
    <w:rsid w:val="004F6B2D"/>
    <w:rsid w:val="004F7202"/>
    <w:rsid w:val="00503828"/>
    <w:rsid w:val="00504B31"/>
    <w:rsid w:val="00516AC8"/>
    <w:rsid w:val="005204D7"/>
    <w:rsid w:val="00524C7E"/>
    <w:rsid w:val="00566124"/>
    <w:rsid w:val="00566F3A"/>
    <w:rsid w:val="00574FE5"/>
    <w:rsid w:val="005979C6"/>
    <w:rsid w:val="005A3451"/>
    <w:rsid w:val="005A72E6"/>
    <w:rsid w:val="005B0E3A"/>
    <w:rsid w:val="005B33F7"/>
    <w:rsid w:val="005C2315"/>
    <w:rsid w:val="005D58D7"/>
    <w:rsid w:val="006016F8"/>
    <w:rsid w:val="0061264C"/>
    <w:rsid w:val="00626591"/>
    <w:rsid w:val="00630094"/>
    <w:rsid w:val="00635693"/>
    <w:rsid w:val="00636F74"/>
    <w:rsid w:val="006604ED"/>
    <w:rsid w:val="0066287C"/>
    <w:rsid w:val="00672DA8"/>
    <w:rsid w:val="00691CD2"/>
    <w:rsid w:val="006926EA"/>
    <w:rsid w:val="006942BB"/>
    <w:rsid w:val="006A2335"/>
    <w:rsid w:val="006A28B4"/>
    <w:rsid w:val="006C205F"/>
    <w:rsid w:val="006C43F8"/>
    <w:rsid w:val="006E21ED"/>
    <w:rsid w:val="006E3310"/>
    <w:rsid w:val="006E4878"/>
    <w:rsid w:val="006E53E9"/>
    <w:rsid w:val="007002A9"/>
    <w:rsid w:val="007024EE"/>
    <w:rsid w:val="0070367E"/>
    <w:rsid w:val="00722470"/>
    <w:rsid w:val="00723AC0"/>
    <w:rsid w:val="00725358"/>
    <w:rsid w:val="007258B9"/>
    <w:rsid w:val="00741BB5"/>
    <w:rsid w:val="007563A6"/>
    <w:rsid w:val="0075689B"/>
    <w:rsid w:val="00765A52"/>
    <w:rsid w:val="007761CA"/>
    <w:rsid w:val="00784433"/>
    <w:rsid w:val="007860F6"/>
    <w:rsid w:val="00793DCF"/>
    <w:rsid w:val="007A12F7"/>
    <w:rsid w:val="007B16CC"/>
    <w:rsid w:val="007D314D"/>
    <w:rsid w:val="007E2686"/>
    <w:rsid w:val="007E6C49"/>
    <w:rsid w:val="007F6E9F"/>
    <w:rsid w:val="0081196F"/>
    <w:rsid w:val="00814158"/>
    <w:rsid w:val="008235FA"/>
    <w:rsid w:val="00827C2F"/>
    <w:rsid w:val="00830206"/>
    <w:rsid w:val="00835664"/>
    <w:rsid w:val="00836FB6"/>
    <w:rsid w:val="00842EEA"/>
    <w:rsid w:val="00846768"/>
    <w:rsid w:val="00867676"/>
    <w:rsid w:val="008758D4"/>
    <w:rsid w:val="00880F03"/>
    <w:rsid w:val="00884D1C"/>
    <w:rsid w:val="0088774E"/>
    <w:rsid w:val="00891ADD"/>
    <w:rsid w:val="008B50DA"/>
    <w:rsid w:val="008B5499"/>
    <w:rsid w:val="008B5FCC"/>
    <w:rsid w:val="008C4E77"/>
    <w:rsid w:val="008D12DE"/>
    <w:rsid w:val="009041C3"/>
    <w:rsid w:val="00904D3A"/>
    <w:rsid w:val="00907AB6"/>
    <w:rsid w:val="009133D2"/>
    <w:rsid w:val="009341AE"/>
    <w:rsid w:val="00940464"/>
    <w:rsid w:val="00944B20"/>
    <w:rsid w:val="00966F74"/>
    <w:rsid w:val="00970DB0"/>
    <w:rsid w:val="00996279"/>
    <w:rsid w:val="00997C69"/>
    <w:rsid w:val="009B45C7"/>
    <w:rsid w:val="009B4BFF"/>
    <w:rsid w:val="009C47B9"/>
    <w:rsid w:val="009D6628"/>
    <w:rsid w:val="009E661B"/>
    <w:rsid w:val="009F165F"/>
    <w:rsid w:val="00A01BEC"/>
    <w:rsid w:val="00A02D95"/>
    <w:rsid w:val="00A20256"/>
    <w:rsid w:val="00A24EFD"/>
    <w:rsid w:val="00A5186C"/>
    <w:rsid w:val="00A5231E"/>
    <w:rsid w:val="00A57031"/>
    <w:rsid w:val="00A572BD"/>
    <w:rsid w:val="00A60C6C"/>
    <w:rsid w:val="00A61D01"/>
    <w:rsid w:val="00A622BB"/>
    <w:rsid w:val="00A82DA0"/>
    <w:rsid w:val="00A86718"/>
    <w:rsid w:val="00A90C3D"/>
    <w:rsid w:val="00A90D1E"/>
    <w:rsid w:val="00AA00DE"/>
    <w:rsid w:val="00AA10AC"/>
    <w:rsid w:val="00AC02C2"/>
    <w:rsid w:val="00AD4C5D"/>
    <w:rsid w:val="00AD7AFA"/>
    <w:rsid w:val="00AE6D7F"/>
    <w:rsid w:val="00B02C78"/>
    <w:rsid w:val="00B118F3"/>
    <w:rsid w:val="00B21CD5"/>
    <w:rsid w:val="00B258B4"/>
    <w:rsid w:val="00B3342A"/>
    <w:rsid w:val="00B44C5F"/>
    <w:rsid w:val="00B500C8"/>
    <w:rsid w:val="00B60EA1"/>
    <w:rsid w:val="00B61D45"/>
    <w:rsid w:val="00B7651B"/>
    <w:rsid w:val="00B76969"/>
    <w:rsid w:val="00B805D6"/>
    <w:rsid w:val="00B816E0"/>
    <w:rsid w:val="00BA3BAE"/>
    <w:rsid w:val="00BA5E98"/>
    <w:rsid w:val="00BC51D6"/>
    <w:rsid w:val="00BD4EA7"/>
    <w:rsid w:val="00BE14F2"/>
    <w:rsid w:val="00BE4D61"/>
    <w:rsid w:val="00BE6225"/>
    <w:rsid w:val="00BF1693"/>
    <w:rsid w:val="00BF33A3"/>
    <w:rsid w:val="00BF43DF"/>
    <w:rsid w:val="00BF5E21"/>
    <w:rsid w:val="00C13025"/>
    <w:rsid w:val="00C3210C"/>
    <w:rsid w:val="00C36690"/>
    <w:rsid w:val="00C43E56"/>
    <w:rsid w:val="00C451E1"/>
    <w:rsid w:val="00C516FD"/>
    <w:rsid w:val="00C5196D"/>
    <w:rsid w:val="00C54D40"/>
    <w:rsid w:val="00C57400"/>
    <w:rsid w:val="00C61369"/>
    <w:rsid w:val="00C63863"/>
    <w:rsid w:val="00C71881"/>
    <w:rsid w:val="00C72A75"/>
    <w:rsid w:val="00C90F80"/>
    <w:rsid w:val="00C94BA1"/>
    <w:rsid w:val="00CA75FF"/>
    <w:rsid w:val="00CB3A36"/>
    <w:rsid w:val="00CC386D"/>
    <w:rsid w:val="00CC45C6"/>
    <w:rsid w:val="00CD14D2"/>
    <w:rsid w:val="00CF4543"/>
    <w:rsid w:val="00D14318"/>
    <w:rsid w:val="00D413A8"/>
    <w:rsid w:val="00D55B8C"/>
    <w:rsid w:val="00D57879"/>
    <w:rsid w:val="00D75556"/>
    <w:rsid w:val="00D75BA5"/>
    <w:rsid w:val="00D76841"/>
    <w:rsid w:val="00D77653"/>
    <w:rsid w:val="00D82292"/>
    <w:rsid w:val="00D83BAB"/>
    <w:rsid w:val="00D8794B"/>
    <w:rsid w:val="00D91AE1"/>
    <w:rsid w:val="00D93830"/>
    <w:rsid w:val="00DA55E1"/>
    <w:rsid w:val="00DA7A12"/>
    <w:rsid w:val="00DC1479"/>
    <w:rsid w:val="00DD6033"/>
    <w:rsid w:val="00DE1BC4"/>
    <w:rsid w:val="00DF0949"/>
    <w:rsid w:val="00E04357"/>
    <w:rsid w:val="00E07956"/>
    <w:rsid w:val="00E11777"/>
    <w:rsid w:val="00E138B6"/>
    <w:rsid w:val="00E3003B"/>
    <w:rsid w:val="00E35D95"/>
    <w:rsid w:val="00E42D32"/>
    <w:rsid w:val="00E5691B"/>
    <w:rsid w:val="00E57016"/>
    <w:rsid w:val="00E761D6"/>
    <w:rsid w:val="00E91E34"/>
    <w:rsid w:val="00EA186F"/>
    <w:rsid w:val="00EA4FD3"/>
    <w:rsid w:val="00EB4ECA"/>
    <w:rsid w:val="00EC1D8F"/>
    <w:rsid w:val="00EC3141"/>
    <w:rsid w:val="00EC4E03"/>
    <w:rsid w:val="00ED583B"/>
    <w:rsid w:val="00ED69C7"/>
    <w:rsid w:val="00EF5C7A"/>
    <w:rsid w:val="00F045F4"/>
    <w:rsid w:val="00F047AC"/>
    <w:rsid w:val="00F31C3A"/>
    <w:rsid w:val="00F373D5"/>
    <w:rsid w:val="00F40F7A"/>
    <w:rsid w:val="00F43785"/>
    <w:rsid w:val="00F50098"/>
    <w:rsid w:val="00F67AEF"/>
    <w:rsid w:val="00F75D36"/>
    <w:rsid w:val="00F82E3C"/>
    <w:rsid w:val="00F92363"/>
    <w:rsid w:val="00FA7962"/>
    <w:rsid w:val="00FD0ECF"/>
    <w:rsid w:val="00FD6023"/>
    <w:rsid w:val="00FF2331"/>
    <w:rsid w:val="00FF5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AE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3D47EA"/>
    <w:rPr>
      <w:sz w:val="16"/>
      <w:szCs w:val="16"/>
    </w:rPr>
  </w:style>
  <w:style w:type="paragraph" w:styleId="CommentSubject">
    <w:name w:val="annotation subject"/>
    <w:basedOn w:val="CommentText"/>
    <w:next w:val="CommentText"/>
    <w:link w:val="CommentSubjectChar"/>
    <w:uiPriority w:val="99"/>
    <w:semiHidden/>
    <w:unhideWhenUsed/>
    <w:rsid w:val="003D47EA"/>
    <w:rPr>
      <w:b/>
      <w:bCs/>
    </w:rPr>
  </w:style>
  <w:style w:type="character" w:customStyle="1" w:styleId="CommentTextChar">
    <w:name w:val="Comment Text Char"/>
    <w:basedOn w:val="DefaultParagraphFont"/>
    <w:link w:val="CommentText"/>
    <w:semiHidden/>
    <w:rsid w:val="003D47EA"/>
  </w:style>
  <w:style w:type="character" w:customStyle="1" w:styleId="CommentSubjectChar">
    <w:name w:val="Comment Subject Char"/>
    <w:basedOn w:val="CommentTextChar"/>
    <w:link w:val="CommentSubject"/>
    <w:uiPriority w:val="99"/>
    <w:semiHidden/>
    <w:rsid w:val="003D47EA"/>
    <w:rPr>
      <w:b/>
      <w:bCs/>
    </w:rPr>
  </w:style>
  <w:style w:type="paragraph" w:styleId="BalloonText">
    <w:name w:val="Balloon Text"/>
    <w:basedOn w:val="Normal"/>
    <w:link w:val="BalloonTextChar"/>
    <w:uiPriority w:val="99"/>
    <w:semiHidden/>
    <w:unhideWhenUsed/>
    <w:rsid w:val="003D47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7EA"/>
    <w:rPr>
      <w:rFonts w:ascii="Tahoma" w:hAnsi="Tahoma" w:cs="Tahoma"/>
      <w:sz w:val="16"/>
      <w:szCs w:val="16"/>
    </w:rPr>
  </w:style>
  <w:style w:type="paragraph" w:styleId="Revision">
    <w:name w:val="Revision"/>
    <w:hidden/>
    <w:uiPriority w:val="99"/>
    <w:semiHidden/>
    <w:rsid w:val="009133D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3D47EA"/>
    <w:rPr>
      <w:sz w:val="16"/>
      <w:szCs w:val="16"/>
    </w:rPr>
  </w:style>
  <w:style w:type="paragraph" w:styleId="CommentSubject">
    <w:name w:val="annotation subject"/>
    <w:basedOn w:val="CommentText"/>
    <w:next w:val="CommentText"/>
    <w:link w:val="CommentSubjectChar"/>
    <w:uiPriority w:val="99"/>
    <w:semiHidden/>
    <w:unhideWhenUsed/>
    <w:rsid w:val="003D47EA"/>
    <w:rPr>
      <w:b/>
      <w:bCs/>
    </w:rPr>
  </w:style>
  <w:style w:type="character" w:customStyle="1" w:styleId="CommentTextChar">
    <w:name w:val="Comment Text Char"/>
    <w:basedOn w:val="DefaultParagraphFont"/>
    <w:link w:val="CommentText"/>
    <w:semiHidden/>
    <w:rsid w:val="003D47EA"/>
  </w:style>
  <w:style w:type="character" w:customStyle="1" w:styleId="CommentSubjectChar">
    <w:name w:val="Comment Subject Char"/>
    <w:basedOn w:val="CommentTextChar"/>
    <w:link w:val="CommentSubject"/>
    <w:uiPriority w:val="99"/>
    <w:semiHidden/>
    <w:rsid w:val="003D47EA"/>
    <w:rPr>
      <w:b/>
      <w:bCs/>
    </w:rPr>
  </w:style>
  <w:style w:type="paragraph" w:styleId="BalloonText">
    <w:name w:val="Balloon Text"/>
    <w:basedOn w:val="Normal"/>
    <w:link w:val="BalloonTextChar"/>
    <w:uiPriority w:val="99"/>
    <w:semiHidden/>
    <w:unhideWhenUsed/>
    <w:rsid w:val="003D47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7EA"/>
    <w:rPr>
      <w:rFonts w:ascii="Tahoma" w:hAnsi="Tahoma" w:cs="Tahoma"/>
      <w:sz w:val="16"/>
      <w:szCs w:val="16"/>
    </w:rPr>
  </w:style>
  <w:style w:type="paragraph" w:styleId="Revision">
    <w:name w:val="Revision"/>
    <w:hidden/>
    <w:uiPriority w:val="99"/>
    <w:semiHidden/>
    <w:rsid w:val="009133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 Policy Document" ma:contentTypeID="0x010100B5F685A1365F544391EF8C813B164F3A9500057B65281D252E4EA5C90AFA34858AB1" ma:contentTypeVersion="26" ma:contentTypeDescription="" ma:contentTypeScope="" ma:versionID="959a90f6f2637e8738e4598065a88082">
  <xsd:schema xmlns:xsd="http://www.w3.org/2001/XMLSchema" xmlns:xs="http://www.w3.org/2001/XMLSchema" xmlns:p="http://schemas.microsoft.com/office/2006/metadata/properties" xmlns:ns2="da7a9ac0-bc47-4684-84e6-3a8e9ac80c12" xmlns:ns3="c34c7f6c-aaaf-45a3-a9eb-afe48db4d66e" xmlns:ns5="http://schemas.microsoft.com/sharepoint/v4" xmlns:ns6="17f478ab-373e-4295-9ff0-9b833ad01319" targetNamespace="http://schemas.microsoft.com/office/2006/metadata/properties" ma:root="true" ma:fieldsID="3325ccd8d457fd048e4d504deb7adfe5" ns2:_="" ns3:_="" ns5:_="" ns6:_="">
    <xsd:import namespace="da7a9ac0-bc47-4684-84e6-3a8e9ac80c12"/>
    <xsd:import namespace="c34c7f6c-aaaf-45a3-a9eb-afe48db4d66e"/>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APolicyDocumentType" minOccurs="0"/>
                <xsd:element ref="ns2:h771bd08b94b4ae5a720f57c72698c26" minOccurs="0"/>
                <xsd:element ref="ns3:d60934758bd44d46b350733ac9e6adc4"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APolicyDocumentType" ma:index="17" nillable="true" ma:displayName="FA Policy Document Type" ma:format="Dropdown" ma:internalName="FAPolicyDocumentType" ma:readOnly="false">
      <xsd:simpleType>
        <xsd:restriction base="dms:Choice">
          <xsd:enumeration value="Communications"/>
          <xsd:enumeration value="Guidance"/>
          <xsd:enumeration value="Submission"/>
          <xsd:enumeration value="Speeches"/>
          <xsd:enumeration value="Briefings"/>
          <xsd:enumeration value="Agenda"/>
          <xsd:enumeration value="Minutes"/>
          <xsd:enumeration value="Media Release"/>
        </xsd:restriction>
      </xsd:simpleType>
    </xsd:element>
    <xsd:element name="h771bd08b94b4ae5a720f57c72698c26" ma:index="18" nillable="true" ma:displayName="Communication_0" ma:hidden="true" ma:internalName="h771bd08b94b4ae5a720f57c72698c26"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9" ma:taxonomy="true" ma:internalName="d60934758bd44d46b350733ac9e6adc4" ma:taxonomyFieldName="SecurityClassification" ma:displayName="Security Classification" ma:default="6;#Sensitive|19fd2cb8-3e97-4464-ae71-8c2c2095d028"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R20170000258029</RecordNumber>
    <ObjectiveID xmlns="da7a9ac0-bc47-4684-84e6-3a8e9ac80c12" xsi:nil="true"/>
    <IconOverlay xmlns="http://schemas.microsoft.com/sharepoint/v4" xsi:nil="true"/>
    <TaxCatchAll xmlns="c34c7f6c-aaaf-45a3-a9eb-afe48db4d66e">
      <Value>6</Value>
    </TaxCatchAll>
    <SignificantFlag xmlns="da7a9ac0-bc47-4684-84e6-3a8e9ac80c12">false</SignificantFlag>
    <h771bd08b94b4ae5a720f57c72698c26 xmlns="da7a9ac0-bc47-4684-84e6-3a8e9ac80c12" xsi:nil="true"/>
    <FAPolicyDocumentType xmlns="da7a9ac0-bc47-4684-84e6-3a8e9ac80c12" xsi:nil="true"/>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60934758bd44d46b350733ac9e6adc4>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DEA5-94D7-41EF-8CF9-D3D331F9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F8A42-EB3F-424D-AA5E-CFBD66D01E54}">
  <ds:schemaRefs>
    <ds:schemaRef ds:uri="http://schemas.microsoft.com/sharepoint/v4"/>
    <ds:schemaRef ds:uri="http://purl.org/dc/elements/1.1/"/>
    <ds:schemaRef ds:uri="http://schemas.microsoft.com/office/2006/documentManagement/types"/>
    <ds:schemaRef ds:uri="http://purl.org/dc/terms/"/>
    <ds:schemaRef ds:uri="c34c7f6c-aaaf-45a3-a9eb-afe48db4d66e"/>
    <ds:schemaRef ds:uri="http://www.w3.org/XML/1998/namespace"/>
    <ds:schemaRef ds:uri="da7a9ac0-bc47-4684-84e6-3a8e9ac80c12"/>
    <ds:schemaRef ds:uri="http://schemas.microsoft.com/office/infopath/2007/PartnerControls"/>
    <ds:schemaRef ds:uri="http://schemas.openxmlformats.org/package/2006/metadata/core-properties"/>
    <ds:schemaRef ds:uri="17f478ab-373e-4295-9ff0-9b833ad0131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CC1816-9444-4847-9CC0-16AB36A97C44}">
  <ds:schemaRefs>
    <ds:schemaRef ds:uri="http://schemas.microsoft.com/sharepoint/v3/contenttype/forms"/>
  </ds:schemaRefs>
</ds:datastoreItem>
</file>

<file path=customXml/itemProps4.xml><?xml version="1.0" encoding="utf-8"?>
<ds:datastoreItem xmlns:ds="http://schemas.openxmlformats.org/officeDocument/2006/customXml" ds:itemID="{B698F0BB-FAF7-4963-9821-044BB2A8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natasha.nguyen</dc:creator>
  <cp:lastModifiedBy>ruki.weerasinghe</cp:lastModifiedBy>
  <cp:revision>2</cp:revision>
  <cp:lastPrinted>2017-04-27T23:42:00Z</cp:lastPrinted>
  <dcterms:created xsi:type="dcterms:W3CDTF">2017-05-24T04:33:00Z</dcterms:created>
  <dcterms:modified xsi:type="dcterms:W3CDTF">2017-05-24T04:33:00Z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0x010100B5F685A1365F544391EF8C813B164F3A9500057B65281D252E4EA5C90AFA34858AB1</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WebId">
    <vt:lpwstr>{c34c7f6c-aaaf-45a3-a9eb-afe48db4d66e}</vt:lpwstr>
  </property>
  <property fmtid="{D5CDD505-2E9C-101B-9397-08002B2CF9AE}" pid="26" name="RecordPoint_ActiveItemSiteId">
    <vt:lpwstr>{970ad2fa-f22f-46d1-9c2d-779d215cedf1}</vt:lpwstr>
  </property>
  <property fmtid="{D5CDD505-2E9C-101B-9397-08002B2CF9AE}" pid="27" name="RecordPoint_ActiveItemListId">
    <vt:lpwstr>{973aa0ce-f35d-47c5-8e2b-fd84519936d9}</vt:lpwstr>
  </property>
  <property fmtid="{D5CDD505-2E9C-101B-9397-08002B2CF9AE}" pid="28" name="RecordPoint_ActiveItemUniqueId">
    <vt:lpwstr>{e8cd6a65-c5c5-4ad2-aeda-aa5d9c106794}</vt:lpwstr>
  </property>
  <property fmtid="{D5CDD505-2E9C-101B-9397-08002B2CF9AE}" pid="29" name="RecordPoint_RecordNumberSubmitted">
    <vt:lpwstr>R20170000258029</vt:lpwstr>
  </property>
  <property fmtid="{D5CDD505-2E9C-101B-9397-08002B2CF9AE}" pid="30" name="RecordPoint_SubmissionCompleted">
    <vt:lpwstr>2017-05-17T14:30:35.0954785+10:00</vt:lpwstr>
  </property>
  <property fmtid="{D5CDD505-2E9C-101B-9397-08002B2CF9AE}" pid="31" name="RecordPoint_SubmissionDate">
    <vt:lpwstr/>
  </property>
  <property fmtid="{D5CDD505-2E9C-101B-9397-08002B2CF9AE}" pid="32" name="RecordPoint_ActiveItemMoved">
    <vt:lpwstr/>
  </property>
  <property fmtid="{D5CDD505-2E9C-101B-9397-08002B2CF9AE}" pid="33" name="RecordPoint_RecordFormat">
    <vt:lpwstr/>
  </property>
</Properties>
</file>