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883615" w14:textId="77777777" w:rsidR="00F806F8" w:rsidRPr="00F064ED" w:rsidRDefault="00F806F8" w:rsidP="00F806F8">
      <w:pPr>
        <w:pStyle w:val="Heading2"/>
        <w:spacing w:before="120"/>
        <w:jc w:val="center"/>
        <w:rPr>
          <w:rFonts w:ascii="Times New Roman" w:hAnsi="Times New Roman" w:cs="Times New Roman"/>
          <w:bCs w:val="0"/>
          <w:iCs w:val="0"/>
          <w:caps/>
          <w:smallCaps w:val="0"/>
          <w:color w:val="auto"/>
          <w:sz w:val="24"/>
          <w:szCs w:val="20"/>
        </w:rPr>
      </w:pPr>
      <w:bookmarkStart w:id="0" w:name="_Toc321133389"/>
      <w:bookmarkStart w:id="1" w:name="_Toc321134068"/>
      <w:bookmarkStart w:id="2" w:name="_Toc321134165"/>
      <w:bookmarkStart w:id="3" w:name="_Toc405808758"/>
      <w:bookmarkStart w:id="4" w:name="_Toc406155128"/>
      <w:bookmarkStart w:id="5" w:name="_Toc406424581"/>
      <w:bookmarkStart w:id="6" w:name="_Toc408413459"/>
      <w:bookmarkStart w:id="7" w:name="_Toc408414173"/>
      <w:bookmarkStart w:id="8" w:name="_Toc409191080"/>
      <w:bookmarkStart w:id="9" w:name="_Toc409618513"/>
      <w:bookmarkStart w:id="10" w:name="_Toc409630044"/>
      <w:bookmarkStart w:id="11" w:name="_Toc410229536"/>
      <w:bookmarkStart w:id="12" w:name="_Toc410302171"/>
      <w:bookmarkStart w:id="13" w:name="_GoBack"/>
      <w:bookmarkEnd w:id="13"/>
      <w:r w:rsidRPr="00F064ED">
        <w:rPr>
          <w:rFonts w:ascii="Times New Roman" w:hAnsi="Times New Roman" w:cs="Times New Roman"/>
          <w:bCs w:val="0"/>
          <w:iCs w:val="0"/>
          <w:caps/>
          <w:smallCaps w:val="0"/>
          <w:color w:val="auto"/>
          <w:sz w:val="24"/>
          <w:szCs w:val="20"/>
        </w:rPr>
        <w:t>Explanatory Statement</w:t>
      </w:r>
    </w:p>
    <w:p w14:paraId="2F8F86EA" w14:textId="77777777" w:rsidR="00F806F8" w:rsidRPr="00F064ED" w:rsidRDefault="00F806F8" w:rsidP="00F806F8">
      <w:pPr>
        <w:jc w:val="center"/>
        <w:rPr>
          <w:rFonts w:ascii="Times New Roman" w:hAnsi="Times New Roman"/>
          <w:sz w:val="24"/>
          <w:szCs w:val="24"/>
        </w:rPr>
      </w:pPr>
      <w:r w:rsidRPr="00F064ED">
        <w:rPr>
          <w:rFonts w:ascii="Times New Roman" w:hAnsi="Times New Roman"/>
          <w:sz w:val="24"/>
          <w:szCs w:val="24"/>
        </w:rPr>
        <w:t xml:space="preserve">Issued by the </w:t>
      </w:r>
      <w:r w:rsidR="00D235AB">
        <w:rPr>
          <w:rFonts w:ascii="Times New Roman" w:hAnsi="Times New Roman"/>
          <w:sz w:val="24"/>
          <w:szCs w:val="24"/>
        </w:rPr>
        <w:t>a</w:t>
      </w:r>
      <w:r w:rsidRPr="00F064ED">
        <w:rPr>
          <w:rFonts w:ascii="Times New Roman" w:hAnsi="Times New Roman"/>
          <w:sz w:val="24"/>
          <w:szCs w:val="24"/>
        </w:rPr>
        <w:t xml:space="preserve">uthority of the </w:t>
      </w:r>
      <w:r>
        <w:rPr>
          <w:rFonts w:ascii="Times New Roman" w:hAnsi="Times New Roman"/>
          <w:sz w:val="24"/>
          <w:szCs w:val="24"/>
        </w:rPr>
        <w:t xml:space="preserve">Minister for </w:t>
      </w:r>
      <w:r w:rsidR="005C1A05">
        <w:rPr>
          <w:rFonts w:ascii="Times New Roman" w:hAnsi="Times New Roman"/>
          <w:sz w:val="24"/>
          <w:szCs w:val="24"/>
        </w:rPr>
        <w:t>Revenue and Financial Services</w:t>
      </w:r>
    </w:p>
    <w:p w14:paraId="30379D32" w14:textId="77777777" w:rsidR="00F806F8" w:rsidRPr="00F064ED" w:rsidRDefault="00F806F8" w:rsidP="00F806F8">
      <w:pPr>
        <w:jc w:val="center"/>
        <w:rPr>
          <w:rFonts w:ascii="Times New Roman" w:hAnsi="Times New Roman"/>
          <w:i/>
          <w:sz w:val="24"/>
          <w:szCs w:val="24"/>
        </w:rPr>
      </w:pPr>
      <w:r w:rsidRPr="00F064ED">
        <w:rPr>
          <w:rFonts w:ascii="Times New Roman" w:hAnsi="Times New Roman"/>
          <w:i/>
          <w:sz w:val="24"/>
          <w:szCs w:val="24"/>
        </w:rPr>
        <w:t>Terrorism Insurance Act 2003</w:t>
      </w:r>
      <w:r>
        <w:rPr>
          <w:rFonts w:ascii="Times New Roman" w:hAnsi="Times New Roman"/>
          <w:i/>
          <w:sz w:val="24"/>
          <w:szCs w:val="24"/>
        </w:rPr>
        <w:t xml:space="preserve"> </w:t>
      </w:r>
      <w:r w:rsidR="00712847">
        <w:rPr>
          <w:rFonts w:ascii="Times New Roman" w:hAnsi="Times New Roman"/>
          <w:i/>
          <w:sz w:val="24"/>
          <w:szCs w:val="24"/>
        </w:rPr>
        <w:t>–</w:t>
      </w:r>
      <w:r>
        <w:rPr>
          <w:rFonts w:ascii="Times New Roman" w:hAnsi="Times New Roman"/>
          <w:i/>
          <w:sz w:val="24"/>
          <w:szCs w:val="24"/>
        </w:rPr>
        <w:t xml:space="preserve"> </w:t>
      </w:r>
      <w:r w:rsidR="00712847">
        <w:rPr>
          <w:rFonts w:ascii="Times New Roman" w:hAnsi="Times New Roman"/>
          <w:i/>
          <w:sz w:val="24"/>
          <w:szCs w:val="24"/>
        </w:rPr>
        <w:t>Risk Retention</w:t>
      </w:r>
      <w:r w:rsidR="00323331">
        <w:rPr>
          <w:rFonts w:ascii="Times New Roman" w:hAnsi="Times New Roman"/>
          <w:i/>
          <w:sz w:val="24"/>
          <w:szCs w:val="24"/>
        </w:rPr>
        <w:t xml:space="preserve"> Direction 2017</w:t>
      </w:r>
    </w:p>
    <w:p w14:paraId="60964700" w14:textId="77777777" w:rsidR="009620D4" w:rsidRPr="00307E21" w:rsidRDefault="009620D4" w:rsidP="009620D4">
      <w:pPr>
        <w:spacing w:line="240" w:lineRule="auto"/>
        <w:jc w:val="left"/>
        <w:rPr>
          <w:rFonts w:ascii="Times New Roman" w:hAnsi="Times New Roman"/>
          <w:color w:val="auto"/>
          <w:sz w:val="24"/>
        </w:rPr>
      </w:pPr>
      <w:r>
        <w:rPr>
          <w:rFonts w:ascii="Times New Roman" w:hAnsi="Times New Roman"/>
          <w:color w:val="auto"/>
          <w:sz w:val="24"/>
        </w:rPr>
        <w:t>Paragraph</w:t>
      </w:r>
      <w:r w:rsidRPr="00307E21">
        <w:rPr>
          <w:rFonts w:ascii="Times New Roman" w:hAnsi="Times New Roman"/>
          <w:color w:val="auto"/>
          <w:sz w:val="24"/>
        </w:rPr>
        <w:t xml:space="preserve"> 38(2)(e) of the </w:t>
      </w:r>
      <w:r w:rsidRPr="00A71D20">
        <w:rPr>
          <w:rFonts w:ascii="Times New Roman" w:hAnsi="Times New Roman"/>
          <w:i/>
          <w:color w:val="auto"/>
          <w:sz w:val="24"/>
        </w:rPr>
        <w:t>Terrorism Insurance Act 2003</w:t>
      </w:r>
      <w:r w:rsidR="000A363B">
        <w:rPr>
          <w:rFonts w:ascii="Times New Roman" w:hAnsi="Times New Roman"/>
          <w:color w:val="auto"/>
          <w:sz w:val="24"/>
        </w:rPr>
        <w:t xml:space="preserve"> (the Act) provides that the Minister</w:t>
      </w:r>
      <w:r w:rsidRPr="00307E21">
        <w:rPr>
          <w:rFonts w:ascii="Times New Roman" w:hAnsi="Times New Roman"/>
          <w:color w:val="auto"/>
          <w:sz w:val="24"/>
        </w:rPr>
        <w:t xml:space="preserve"> may give written directions to the Australian Reinsurance Pool Corporation (ARPC) relating to the extent to which the insured retains risk under a contract of reinsurance with the ARPC.  The Act established the framework for the Government’s terrorism insurance scheme and effectively deems all eligible insurance contracts to include terrorism risk cover.    </w:t>
      </w:r>
    </w:p>
    <w:p w14:paraId="002EC1EA" w14:textId="77777777" w:rsidR="009620D4" w:rsidRPr="007528AF" w:rsidRDefault="009620D4" w:rsidP="009620D4">
      <w:pPr>
        <w:tabs>
          <w:tab w:val="left" w:pos="1701"/>
          <w:tab w:val="right" w:pos="9072"/>
        </w:tabs>
        <w:ind w:right="91"/>
        <w:rPr>
          <w:rFonts w:ascii="Times New Roman" w:hAnsi="Times New Roman"/>
          <w:sz w:val="24"/>
          <w:szCs w:val="24"/>
        </w:rPr>
      </w:pPr>
      <w:r w:rsidRPr="00F064ED">
        <w:rPr>
          <w:rFonts w:ascii="Times New Roman" w:hAnsi="Times New Roman"/>
          <w:sz w:val="24"/>
          <w:szCs w:val="24"/>
        </w:rPr>
        <w:t xml:space="preserve">Section 41 of the Act requires that a review of the need for the Act to continue in operation </w:t>
      </w:r>
      <w:r>
        <w:rPr>
          <w:rFonts w:ascii="Times New Roman" w:hAnsi="Times New Roman"/>
          <w:sz w:val="24"/>
          <w:szCs w:val="24"/>
        </w:rPr>
        <w:t xml:space="preserve">must </w:t>
      </w:r>
      <w:r w:rsidRPr="00F064ED">
        <w:rPr>
          <w:rFonts w:ascii="Times New Roman" w:hAnsi="Times New Roman"/>
          <w:sz w:val="24"/>
          <w:szCs w:val="24"/>
        </w:rPr>
        <w:t>be undertaken at least</w:t>
      </w:r>
      <w:r>
        <w:rPr>
          <w:rFonts w:ascii="Times New Roman" w:hAnsi="Times New Roman"/>
          <w:sz w:val="24"/>
          <w:szCs w:val="24"/>
        </w:rPr>
        <w:t xml:space="preserve"> once</w:t>
      </w:r>
      <w:r w:rsidRPr="00F064ED">
        <w:rPr>
          <w:rFonts w:ascii="Times New Roman" w:hAnsi="Times New Roman"/>
          <w:sz w:val="24"/>
          <w:szCs w:val="24"/>
        </w:rPr>
        <w:t xml:space="preserve"> every three year</w:t>
      </w:r>
      <w:r>
        <w:rPr>
          <w:rFonts w:ascii="Times New Roman" w:hAnsi="Times New Roman"/>
          <w:sz w:val="24"/>
          <w:szCs w:val="24"/>
        </w:rPr>
        <w:t>s after comme</w:t>
      </w:r>
      <w:r w:rsidR="005221FB">
        <w:rPr>
          <w:rFonts w:ascii="Times New Roman" w:hAnsi="Times New Roman"/>
          <w:sz w:val="24"/>
          <w:szCs w:val="24"/>
        </w:rPr>
        <w:t xml:space="preserve">ncement. </w:t>
      </w:r>
      <w:r>
        <w:rPr>
          <w:rFonts w:ascii="Times New Roman" w:hAnsi="Times New Roman"/>
          <w:sz w:val="24"/>
          <w:szCs w:val="24"/>
        </w:rPr>
        <w:t>The most recent</w:t>
      </w:r>
      <w:r w:rsidRPr="00F064ED">
        <w:rPr>
          <w:rFonts w:ascii="Times New Roman" w:hAnsi="Times New Roman"/>
          <w:sz w:val="24"/>
          <w:szCs w:val="24"/>
        </w:rPr>
        <w:t xml:space="preserve"> revi</w:t>
      </w:r>
      <w:r>
        <w:rPr>
          <w:rFonts w:ascii="Times New Roman" w:hAnsi="Times New Roman"/>
          <w:sz w:val="24"/>
          <w:szCs w:val="24"/>
        </w:rPr>
        <w:t xml:space="preserve">ew was completed </w:t>
      </w:r>
      <w:r w:rsidRPr="00F064ED">
        <w:rPr>
          <w:rFonts w:ascii="Times New Roman" w:hAnsi="Times New Roman"/>
          <w:sz w:val="24"/>
          <w:szCs w:val="24"/>
        </w:rPr>
        <w:t xml:space="preserve">and released by the </w:t>
      </w:r>
      <w:r w:rsidR="005221FB">
        <w:rPr>
          <w:rFonts w:ascii="Times New Roman" w:hAnsi="Times New Roman"/>
          <w:sz w:val="24"/>
          <w:szCs w:val="24"/>
        </w:rPr>
        <w:t xml:space="preserve">Government </w:t>
      </w:r>
      <w:r>
        <w:rPr>
          <w:rFonts w:ascii="Times New Roman" w:hAnsi="Times New Roman"/>
          <w:sz w:val="24"/>
          <w:szCs w:val="24"/>
        </w:rPr>
        <w:t>in December 2015</w:t>
      </w:r>
      <w:r w:rsidRPr="00F064ED">
        <w:rPr>
          <w:rFonts w:ascii="Times New Roman" w:hAnsi="Times New Roman"/>
          <w:sz w:val="24"/>
          <w:szCs w:val="24"/>
        </w:rPr>
        <w:t xml:space="preserve">. </w:t>
      </w:r>
      <w:r>
        <w:rPr>
          <w:rFonts w:ascii="Times New Roman" w:hAnsi="Times New Roman"/>
          <w:sz w:val="24"/>
          <w:szCs w:val="24"/>
        </w:rPr>
        <w:t xml:space="preserve">The </w:t>
      </w:r>
      <w:r w:rsidRPr="007528AF">
        <w:rPr>
          <w:rFonts w:ascii="Times New Roman" w:hAnsi="Times New Roman"/>
          <w:i/>
          <w:sz w:val="24"/>
          <w:szCs w:val="24"/>
        </w:rPr>
        <w:t>Terrorism Insurance Act 2003</w:t>
      </w:r>
      <w:r w:rsidR="00333928">
        <w:rPr>
          <w:rFonts w:ascii="Times New Roman" w:hAnsi="Times New Roman"/>
          <w:i/>
          <w:sz w:val="24"/>
          <w:szCs w:val="24"/>
        </w:rPr>
        <w:t xml:space="preserve"> – Risk Retention Direction 2017</w:t>
      </w:r>
      <w:r>
        <w:rPr>
          <w:rFonts w:ascii="Times New Roman" w:hAnsi="Times New Roman"/>
          <w:sz w:val="24"/>
          <w:szCs w:val="24"/>
        </w:rPr>
        <w:t xml:space="preserve"> (the Direction) </w:t>
      </w:r>
      <w:r w:rsidR="005221FB">
        <w:rPr>
          <w:rFonts w:ascii="Times New Roman" w:hAnsi="Times New Roman"/>
          <w:sz w:val="24"/>
          <w:szCs w:val="24"/>
        </w:rPr>
        <w:t xml:space="preserve">implements </w:t>
      </w:r>
      <w:r w:rsidR="00124EB2">
        <w:rPr>
          <w:rFonts w:ascii="Times New Roman" w:hAnsi="Times New Roman"/>
          <w:sz w:val="24"/>
          <w:szCs w:val="24"/>
        </w:rPr>
        <w:t xml:space="preserve">recommendations </w:t>
      </w:r>
      <w:r w:rsidR="005221FB">
        <w:rPr>
          <w:rFonts w:ascii="Times New Roman" w:hAnsi="Times New Roman"/>
          <w:sz w:val="24"/>
          <w:szCs w:val="24"/>
        </w:rPr>
        <w:t>3, 4 and 5 from</w:t>
      </w:r>
      <w:r w:rsidR="00124EB2">
        <w:rPr>
          <w:rFonts w:ascii="Times New Roman" w:hAnsi="Times New Roman"/>
          <w:sz w:val="24"/>
          <w:szCs w:val="24"/>
        </w:rPr>
        <w:t xml:space="preserve"> th</w:t>
      </w:r>
      <w:r w:rsidR="005221FB">
        <w:rPr>
          <w:rFonts w:ascii="Times New Roman" w:hAnsi="Times New Roman"/>
          <w:sz w:val="24"/>
          <w:szCs w:val="24"/>
        </w:rPr>
        <w:t>e review</w:t>
      </w:r>
      <w:r w:rsidR="00124EB2">
        <w:rPr>
          <w:rFonts w:ascii="Times New Roman" w:hAnsi="Times New Roman"/>
          <w:sz w:val="24"/>
          <w:szCs w:val="24"/>
        </w:rPr>
        <w:t xml:space="preserve">, with some </w:t>
      </w:r>
      <w:r w:rsidR="005221FB">
        <w:rPr>
          <w:rFonts w:ascii="Times New Roman" w:hAnsi="Times New Roman"/>
          <w:sz w:val="24"/>
          <w:szCs w:val="24"/>
        </w:rPr>
        <w:t xml:space="preserve">minor </w:t>
      </w:r>
      <w:r w:rsidR="00124EB2">
        <w:rPr>
          <w:rFonts w:ascii="Times New Roman" w:hAnsi="Times New Roman"/>
          <w:sz w:val="24"/>
          <w:szCs w:val="24"/>
        </w:rPr>
        <w:t xml:space="preserve">amendments </w:t>
      </w:r>
      <w:r w:rsidR="005221FB">
        <w:rPr>
          <w:rFonts w:ascii="Times New Roman" w:hAnsi="Times New Roman"/>
          <w:sz w:val="24"/>
          <w:szCs w:val="24"/>
        </w:rPr>
        <w:t>f</w:t>
      </w:r>
      <w:r w:rsidR="00124EB2">
        <w:rPr>
          <w:rFonts w:ascii="Times New Roman" w:hAnsi="Times New Roman"/>
          <w:sz w:val="24"/>
          <w:szCs w:val="24"/>
        </w:rPr>
        <w:t xml:space="preserve">ollowing </w:t>
      </w:r>
      <w:r w:rsidR="00193E99">
        <w:rPr>
          <w:rFonts w:ascii="Times New Roman" w:hAnsi="Times New Roman"/>
          <w:sz w:val="24"/>
          <w:szCs w:val="24"/>
        </w:rPr>
        <w:t>subsequent</w:t>
      </w:r>
      <w:r w:rsidR="001E29C7">
        <w:rPr>
          <w:rFonts w:ascii="Times New Roman" w:hAnsi="Times New Roman"/>
          <w:sz w:val="24"/>
          <w:szCs w:val="24"/>
        </w:rPr>
        <w:t xml:space="preserve"> consultation with </w:t>
      </w:r>
      <w:r w:rsidR="005221FB">
        <w:rPr>
          <w:rFonts w:ascii="Times New Roman" w:hAnsi="Times New Roman"/>
          <w:sz w:val="24"/>
          <w:szCs w:val="24"/>
        </w:rPr>
        <w:t>industry</w:t>
      </w:r>
      <w:r w:rsidR="001E29C7">
        <w:rPr>
          <w:rFonts w:ascii="Times New Roman" w:hAnsi="Times New Roman"/>
          <w:sz w:val="24"/>
          <w:szCs w:val="24"/>
        </w:rPr>
        <w:t xml:space="preserve"> stakeholders</w:t>
      </w:r>
      <w:r w:rsidR="005221FB">
        <w:rPr>
          <w:rFonts w:ascii="Times New Roman" w:hAnsi="Times New Roman"/>
          <w:sz w:val="24"/>
          <w:szCs w:val="24"/>
        </w:rPr>
        <w:t xml:space="preserve">. </w:t>
      </w:r>
      <w:r w:rsidR="00124EB2">
        <w:rPr>
          <w:rFonts w:ascii="Times New Roman" w:hAnsi="Times New Roman"/>
          <w:sz w:val="24"/>
          <w:szCs w:val="24"/>
        </w:rPr>
        <w:t xml:space="preserve">Furthermore the Direction </w:t>
      </w:r>
      <w:r>
        <w:rPr>
          <w:rFonts w:ascii="Times New Roman" w:hAnsi="Times New Roman"/>
          <w:sz w:val="24"/>
          <w:szCs w:val="24"/>
        </w:rPr>
        <w:t xml:space="preserve">repeals the </w:t>
      </w:r>
      <w:r w:rsidRPr="007528AF">
        <w:rPr>
          <w:rFonts w:ascii="Times New Roman" w:hAnsi="Times New Roman"/>
          <w:i/>
          <w:sz w:val="24"/>
          <w:szCs w:val="24"/>
        </w:rPr>
        <w:t>Treasurer to Australian Reinsurance Pool Corporation (Risk Retention) Direction 2003</w:t>
      </w:r>
      <w:r w:rsidRPr="007528AF">
        <w:rPr>
          <w:rFonts w:ascii="Times New Roman" w:hAnsi="Times New Roman"/>
          <w:sz w:val="24"/>
          <w:szCs w:val="24"/>
        </w:rPr>
        <w:t xml:space="preserve"> and the </w:t>
      </w:r>
      <w:r w:rsidRPr="007528AF">
        <w:rPr>
          <w:rFonts w:ascii="Times New Roman" w:hAnsi="Times New Roman"/>
          <w:i/>
          <w:sz w:val="24"/>
          <w:szCs w:val="24"/>
        </w:rPr>
        <w:t>Treasurer to Australian Reinsurance Pool Corporation (Risk Retention) Direction 2007</w:t>
      </w:r>
      <w:r w:rsidR="00124EB2">
        <w:rPr>
          <w:rFonts w:ascii="Times New Roman" w:hAnsi="Times New Roman"/>
          <w:sz w:val="24"/>
          <w:szCs w:val="24"/>
        </w:rPr>
        <w:t xml:space="preserve">. </w:t>
      </w:r>
    </w:p>
    <w:p w14:paraId="1CD1EB9A" w14:textId="77777777" w:rsidR="009620D4" w:rsidRDefault="009620D4" w:rsidP="009620D4">
      <w:pPr>
        <w:spacing w:line="240" w:lineRule="auto"/>
        <w:jc w:val="left"/>
        <w:rPr>
          <w:rFonts w:ascii="Times New Roman" w:hAnsi="Times New Roman"/>
          <w:color w:val="auto"/>
          <w:sz w:val="24"/>
        </w:rPr>
      </w:pPr>
      <w:r w:rsidRPr="005C1A05">
        <w:rPr>
          <w:rFonts w:ascii="Times New Roman" w:hAnsi="Times New Roman"/>
          <w:color w:val="auto"/>
          <w:sz w:val="24"/>
        </w:rPr>
        <w:t>The Direction</w:t>
      </w:r>
      <w:r w:rsidR="005C1A05" w:rsidRPr="005C1A05">
        <w:rPr>
          <w:rFonts w:ascii="Times New Roman" w:hAnsi="Times New Roman"/>
          <w:color w:val="auto"/>
          <w:sz w:val="24"/>
        </w:rPr>
        <w:t>, which</w:t>
      </w:r>
      <w:r w:rsidRPr="005C1A05">
        <w:rPr>
          <w:rFonts w:ascii="Times New Roman" w:hAnsi="Times New Roman"/>
          <w:color w:val="auto"/>
          <w:sz w:val="24"/>
        </w:rPr>
        <w:t xml:space="preserve"> describes the methodology to calculate the risk to be retained by the reinsured, adjusts the</w:t>
      </w:r>
      <w:r w:rsidR="005C1A05" w:rsidRPr="005C1A05">
        <w:rPr>
          <w:rFonts w:ascii="Times New Roman" w:hAnsi="Times New Roman"/>
          <w:color w:val="auto"/>
          <w:sz w:val="24"/>
        </w:rPr>
        <w:t xml:space="preserve"> </w:t>
      </w:r>
      <w:proofErr w:type="spellStart"/>
      <w:r w:rsidR="005C1A05" w:rsidRPr="005C1A05">
        <w:rPr>
          <w:rFonts w:ascii="Times New Roman" w:hAnsi="Times New Roman"/>
          <w:color w:val="auto"/>
          <w:sz w:val="24"/>
        </w:rPr>
        <w:t>reinsured’s</w:t>
      </w:r>
      <w:proofErr w:type="spellEnd"/>
      <w:r w:rsidR="005C1A05" w:rsidRPr="005C1A05">
        <w:rPr>
          <w:rFonts w:ascii="Times New Roman" w:hAnsi="Times New Roman"/>
          <w:color w:val="auto"/>
          <w:sz w:val="24"/>
        </w:rPr>
        <w:t xml:space="preserve"> annual retention to</w:t>
      </w:r>
      <w:r w:rsidRPr="005C1A05">
        <w:rPr>
          <w:rFonts w:ascii="Times New Roman" w:hAnsi="Times New Roman"/>
          <w:color w:val="auto"/>
          <w:sz w:val="24"/>
        </w:rPr>
        <w:t xml:space="preserve"> 5 per cent of their gross fire and industrial special risks premium (excluding Fire Service Levy), </w:t>
      </w:r>
      <w:r w:rsidR="00B017EC" w:rsidRPr="005C1A05">
        <w:rPr>
          <w:rFonts w:ascii="Times New Roman" w:hAnsi="Times New Roman"/>
          <w:color w:val="auto"/>
          <w:sz w:val="24"/>
        </w:rPr>
        <w:t>increases</w:t>
      </w:r>
      <w:r w:rsidRPr="005C1A05">
        <w:rPr>
          <w:rFonts w:ascii="Times New Roman" w:hAnsi="Times New Roman"/>
          <w:color w:val="auto"/>
          <w:sz w:val="24"/>
        </w:rPr>
        <w:t xml:space="preserve"> the maximum retention levels for individual </w:t>
      </w:r>
      <w:proofErr w:type="spellStart"/>
      <w:r w:rsidRPr="005C1A05">
        <w:rPr>
          <w:rFonts w:ascii="Times New Roman" w:hAnsi="Times New Roman"/>
          <w:color w:val="auto"/>
          <w:sz w:val="24"/>
        </w:rPr>
        <w:t>reinsureds</w:t>
      </w:r>
      <w:proofErr w:type="spellEnd"/>
      <w:r w:rsidRPr="005C1A05">
        <w:rPr>
          <w:rFonts w:ascii="Times New Roman" w:hAnsi="Times New Roman"/>
          <w:color w:val="auto"/>
          <w:sz w:val="24"/>
        </w:rPr>
        <w:t xml:space="preserve"> </w:t>
      </w:r>
      <w:r w:rsidR="00B017EC" w:rsidRPr="005C1A05">
        <w:rPr>
          <w:rFonts w:ascii="Times New Roman" w:hAnsi="Times New Roman"/>
          <w:color w:val="auto"/>
          <w:sz w:val="24"/>
        </w:rPr>
        <w:t xml:space="preserve">to $12.5 million, </w:t>
      </w:r>
      <w:r w:rsidRPr="005C1A05">
        <w:rPr>
          <w:rFonts w:ascii="Times New Roman" w:hAnsi="Times New Roman"/>
          <w:color w:val="auto"/>
          <w:sz w:val="24"/>
        </w:rPr>
        <w:t>and increases the ma</w:t>
      </w:r>
      <w:r w:rsidR="00B017EC" w:rsidRPr="005C1A05">
        <w:rPr>
          <w:rFonts w:ascii="Times New Roman" w:hAnsi="Times New Roman"/>
          <w:color w:val="auto"/>
          <w:sz w:val="24"/>
        </w:rPr>
        <w:t>ximum industry retention to $150</w:t>
      </w:r>
      <w:r w:rsidRPr="005C1A05">
        <w:rPr>
          <w:rFonts w:ascii="Times New Roman" w:hAnsi="Times New Roman"/>
          <w:color w:val="auto"/>
          <w:sz w:val="24"/>
        </w:rPr>
        <w:t xml:space="preserve"> million </w:t>
      </w:r>
      <w:r w:rsidR="00B017EC" w:rsidRPr="005C1A05">
        <w:rPr>
          <w:rFonts w:ascii="Times New Roman" w:hAnsi="Times New Roman"/>
          <w:color w:val="auto"/>
          <w:sz w:val="24"/>
        </w:rPr>
        <w:t>on 1 July 2017, and to $200 million on 1 July 2018</w:t>
      </w:r>
      <w:r w:rsidR="005C1A05" w:rsidRPr="005C1A05">
        <w:rPr>
          <w:rFonts w:ascii="Times New Roman" w:hAnsi="Times New Roman"/>
          <w:color w:val="auto"/>
          <w:sz w:val="24"/>
        </w:rPr>
        <w:t>.</w:t>
      </w:r>
      <w:r w:rsidRPr="005C1A05">
        <w:rPr>
          <w:rFonts w:ascii="Times New Roman" w:hAnsi="Times New Roman"/>
          <w:color w:val="auto"/>
          <w:sz w:val="24"/>
        </w:rPr>
        <w:t xml:space="preserve"> </w:t>
      </w:r>
      <w:r w:rsidR="005C1A05" w:rsidRPr="005C1A05">
        <w:rPr>
          <w:rFonts w:ascii="Times New Roman" w:hAnsi="Times New Roman"/>
          <w:color w:val="auto"/>
          <w:sz w:val="24"/>
        </w:rPr>
        <w:t xml:space="preserve">The above adjustments are </w:t>
      </w:r>
      <w:r w:rsidR="00335FC8">
        <w:rPr>
          <w:rFonts w:ascii="Times New Roman" w:hAnsi="Times New Roman"/>
          <w:color w:val="auto"/>
          <w:sz w:val="24"/>
        </w:rPr>
        <w:t xml:space="preserve">applicable </w:t>
      </w:r>
      <w:r w:rsidR="00B017EC" w:rsidRPr="005C1A05">
        <w:rPr>
          <w:rFonts w:ascii="Times New Roman" w:hAnsi="Times New Roman"/>
          <w:color w:val="auto"/>
          <w:sz w:val="24"/>
        </w:rPr>
        <w:t xml:space="preserve">per retention period, </w:t>
      </w:r>
      <w:r w:rsidRPr="005C1A05">
        <w:rPr>
          <w:rFonts w:ascii="Times New Roman" w:hAnsi="Times New Roman"/>
          <w:color w:val="auto"/>
          <w:sz w:val="24"/>
        </w:rPr>
        <w:t xml:space="preserve">which is essentially a 12 month period commencing on 1 July each year. </w:t>
      </w:r>
    </w:p>
    <w:p w14:paraId="3C483243" w14:textId="77777777" w:rsidR="009620D4" w:rsidRPr="00307E21" w:rsidRDefault="009620D4" w:rsidP="009620D4">
      <w:pPr>
        <w:spacing w:line="240" w:lineRule="auto"/>
        <w:jc w:val="left"/>
        <w:rPr>
          <w:rFonts w:ascii="Times New Roman" w:hAnsi="Times New Roman"/>
          <w:color w:val="auto"/>
          <w:sz w:val="24"/>
        </w:rPr>
      </w:pPr>
      <w:r w:rsidRPr="00307E21">
        <w:rPr>
          <w:rFonts w:ascii="Times New Roman" w:hAnsi="Times New Roman"/>
          <w:color w:val="auto"/>
          <w:sz w:val="24"/>
        </w:rPr>
        <w:t xml:space="preserve">The Risk Retention Direction is a legislative instrument for the purposes of the </w:t>
      </w:r>
      <w:r w:rsidRPr="00F83E42">
        <w:rPr>
          <w:rFonts w:ascii="Times New Roman" w:hAnsi="Times New Roman"/>
          <w:i/>
          <w:color w:val="auto"/>
          <w:sz w:val="24"/>
        </w:rPr>
        <w:t>Legislative Instruments Act 2003</w:t>
      </w:r>
      <w:r w:rsidRPr="00307E21">
        <w:rPr>
          <w:rFonts w:ascii="Times New Roman" w:hAnsi="Times New Roman"/>
          <w:color w:val="auto"/>
          <w:sz w:val="24"/>
        </w:rPr>
        <w:t>.</w:t>
      </w:r>
    </w:p>
    <w:p w14:paraId="38BD08DC" w14:textId="1D3EF735" w:rsidR="009620D4" w:rsidRPr="00307E21" w:rsidRDefault="006D68F0" w:rsidP="009620D4">
      <w:pPr>
        <w:spacing w:line="240" w:lineRule="auto"/>
        <w:jc w:val="left"/>
        <w:rPr>
          <w:rFonts w:ascii="Times New Roman" w:hAnsi="Times New Roman"/>
          <w:color w:val="auto"/>
          <w:sz w:val="24"/>
        </w:rPr>
      </w:pPr>
      <w:r>
        <w:rPr>
          <w:rFonts w:ascii="Times New Roman" w:hAnsi="Times New Roman"/>
          <w:color w:val="auto"/>
          <w:sz w:val="24"/>
        </w:rPr>
        <w:t xml:space="preserve">The Office of Best Practice Regulation has acknowledged that the review of the </w:t>
      </w:r>
      <w:r>
        <w:rPr>
          <w:rFonts w:ascii="Times New Roman" w:hAnsi="Times New Roman"/>
          <w:i/>
          <w:color w:val="auto"/>
          <w:sz w:val="24"/>
        </w:rPr>
        <w:t>Terrorism Insurance Act</w:t>
      </w:r>
      <w:r>
        <w:rPr>
          <w:rFonts w:ascii="Times New Roman" w:hAnsi="Times New Roman"/>
          <w:color w:val="auto"/>
          <w:sz w:val="24"/>
        </w:rPr>
        <w:t xml:space="preserve"> conducted in 2015 satisfies a similar process to that required for a Regulation Impact Statement</w:t>
      </w:r>
      <w:r w:rsidR="00E517D6">
        <w:rPr>
          <w:rFonts w:ascii="Times New Roman" w:hAnsi="Times New Roman"/>
          <w:color w:val="auto"/>
          <w:sz w:val="24"/>
        </w:rPr>
        <w:t>. The review document</w:t>
      </w:r>
      <w:r w:rsidR="00A96411">
        <w:rPr>
          <w:rFonts w:ascii="Times New Roman" w:hAnsi="Times New Roman"/>
          <w:color w:val="auto"/>
          <w:sz w:val="24"/>
        </w:rPr>
        <w:t xml:space="preserve"> </w:t>
      </w:r>
      <w:r w:rsidR="009620D4" w:rsidRPr="00307E21">
        <w:rPr>
          <w:rFonts w:ascii="Times New Roman" w:hAnsi="Times New Roman"/>
          <w:color w:val="auto"/>
          <w:sz w:val="24"/>
        </w:rPr>
        <w:t xml:space="preserve">is </w:t>
      </w:r>
      <w:r w:rsidR="00A20ABE">
        <w:rPr>
          <w:rFonts w:ascii="Times New Roman" w:hAnsi="Times New Roman"/>
          <w:color w:val="auto"/>
          <w:sz w:val="24"/>
        </w:rPr>
        <w:t>attached</w:t>
      </w:r>
      <w:r w:rsidR="009620D4" w:rsidRPr="00307E21">
        <w:rPr>
          <w:rFonts w:ascii="Times New Roman" w:hAnsi="Times New Roman"/>
          <w:color w:val="auto"/>
          <w:sz w:val="24"/>
        </w:rPr>
        <w:t xml:space="preserve"> to this explanatory statement.  Consultation on </w:t>
      </w:r>
      <w:r w:rsidR="00A96411">
        <w:rPr>
          <w:rFonts w:ascii="Times New Roman" w:hAnsi="Times New Roman"/>
          <w:color w:val="auto"/>
          <w:sz w:val="24"/>
        </w:rPr>
        <w:t xml:space="preserve">the review occurred with industry stakeholders, and details regarding </w:t>
      </w:r>
      <w:r w:rsidR="009620D4" w:rsidRPr="00307E21">
        <w:rPr>
          <w:rFonts w:ascii="Times New Roman" w:hAnsi="Times New Roman"/>
          <w:color w:val="auto"/>
          <w:sz w:val="24"/>
        </w:rPr>
        <w:t xml:space="preserve">the </w:t>
      </w:r>
      <w:r w:rsidR="00A96411">
        <w:rPr>
          <w:rFonts w:ascii="Times New Roman" w:hAnsi="Times New Roman"/>
          <w:color w:val="auto"/>
          <w:sz w:val="24"/>
        </w:rPr>
        <w:t>r</w:t>
      </w:r>
      <w:r w:rsidR="009620D4" w:rsidRPr="00307E21">
        <w:rPr>
          <w:rFonts w:ascii="Times New Roman" w:hAnsi="Times New Roman"/>
          <w:color w:val="auto"/>
          <w:sz w:val="24"/>
        </w:rPr>
        <w:t>etention</w:t>
      </w:r>
      <w:r w:rsidR="00A96411">
        <w:rPr>
          <w:rFonts w:ascii="Times New Roman" w:hAnsi="Times New Roman"/>
          <w:color w:val="auto"/>
          <w:sz w:val="24"/>
        </w:rPr>
        <w:t xml:space="preserve"> levels are </w:t>
      </w:r>
      <w:r w:rsidR="00E517D6">
        <w:rPr>
          <w:rFonts w:ascii="Times New Roman" w:hAnsi="Times New Roman"/>
          <w:color w:val="auto"/>
          <w:sz w:val="24"/>
        </w:rPr>
        <w:t>set out</w:t>
      </w:r>
      <w:r w:rsidR="009620D4">
        <w:rPr>
          <w:rFonts w:ascii="Times New Roman" w:hAnsi="Times New Roman"/>
          <w:color w:val="auto"/>
          <w:sz w:val="24"/>
        </w:rPr>
        <w:t xml:space="preserve"> at page 17</w:t>
      </w:r>
      <w:r w:rsidR="009620D4" w:rsidRPr="00307E21">
        <w:rPr>
          <w:rFonts w:ascii="Times New Roman" w:hAnsi="Times New Roman"/>
          <w:color w:val="auto"/>
          <w:sz w:val="24"/>
        </w:rPr>
        <w:t>.</w:t>
      </w:r>
      <w:r w:rsidR="00E517D6">
        <w:rPr>
          <w:rFonts w:ascii="Times New Roman" w:hAnsi="Times New Roman"/>
          <w:color w:val="auto"/>
          <w:sz w:val="24"/>
        </w:rPr>
        <w:t xml:space="preserve"> As mentioned above minor amendments were made to the retention levels in the Direction based on feedback received from stakeholders.</w:t>
      </w:r>
    </w:p>
    <w:p w14:paraId="4709B591" w14:textId="77777777" w:rsidR="009620D4" w:rsidRDefault="009620D4" w:rsidP="009620D4">
      <w:pPr>
        <w:spacing w:line="240" w:lineRule="auto"/>
        <w:jc w:val="left"/>
        <w:rPr>
          <w:rFonts w:ascii="Times New Roman" w:hAnsi="Times New Roman"/>
          <w:color w:val="auto"/>
          <w:sz w:val="24"/>
        </w:rPr>
      </w:pPr>
      <w:r w:rsidRPr="00307E21">
        <w:rPr>
          <w:rFonts w:ascii="Times New Roman" w:hAnsi="Times New Roman"/>
          <w:color w:val="auto"/>
          <w:sz w:val="24"/>
        </w:rPr>
        <w:t xml:space="preserve">The </w:t>
      </w:r>
      <w:r>
        <w:rPr>
          <w:rFonts w:ascii="Times New Roman" w:hAnsi="Times New Roman"/>
          <w:color w:val="auto"/>
          <w:sz w:val="24"/>
        </w:rPr>
        <w:t xml:space="preserve">Direction commences </w:t>
      </w:r>
      <w:r w:rsidRPr="00163D1D">
        <w:rPr>
          <w:rFonts w:ascii="Times New Roman" w:hAnsi="Times New Roman"/>
          <w:color w:val="auto"/>
          <w:sz w:val="24"/>
        </w:rPr>
        <w:t>on 1 July 2017.</w:t>
      </w:r>
      <w:r>
        <w:rPr>
          <w:rFonts w:ascii="Times New Roman" w:hAnsi="Times New Roman"/>
          <w:color w:val="auto"/>
          <w:sz w:val="24"/>
        </w:rPr>
        <w:t xml:space="preserve"> </w:t>
      </w:r>
    </w:p>
    <w:p w14:paraId="5A8746C1" w14:textId="77777777" w:rsidR="004C4703" w:rsidRDefault="004C4703">
      <w:pPr>
        <w:spacing w:after="200" w:line="276" w:lineRule="auto"/>
        <w:jc w:val="left"/>
        <w:rPr>
          <w:rFonts w:ascii="Times New Roman" w:hAnsi="Times New Roman"/>
          <w:sz w:val="24"/>
          <w:szCs w:val="24"/>
        </w:rPr>
      </w:pPr>
      <w:r>
        <w:rPr>
          <w:rFonts w:ascii="Times New Roman" w:hAnsi="Times New Roman"/>
          <w:sz w:val="24"/>
          <w:szCs w:val="24"/>
        </w:rPr>
        <w:br w:type="page"/>
      </w:r>
    </w:p>
    <w:p w14:paraId="12B2341B" w14:textId="77777777" w:rsidR="004C4703" w:rsidRPr="000D4F3C" w:rsidRDefault="004C4703" w:rsidP="000D4F3C">
      <w:pPr>
        <w:jc w:val="center"/>
        <w:rPr>
          <w:rFonts w:ascii="Times New Roman" w:hAnsi="Times New Roman"/>
          <w:i/>
          <w:sz w:val="24"/>
          <w:szCs w:val="24"/>
        </w:rPr>
      </w:pPr>
      <w:r w:rsidRPr="000D4F3C">
        <w:rPr>
          <w:rFonts w:ascii="Times New Roman" w:hAnsi="Times New Roman"/>
          <w:i/>
          <w:sz w:val="24"/>
          <w:szCs w:val="24"/>
        </w:rPr>
        <w:lastRenderedPageBreak/>
        <w:t>Prepared in accordance with Part 3 of the Human Rights (Parliamentary Scrutiny) Act 2011</w:t>
      </w:r>
    </w:p>
    <w:p w14:paraId="5985A90D" w14:textId="77777777" w:rsidR="002E7E10" w:rsidRPr="00F064ED" w:rsidRDefault="002E7E10" w:rsidP="002E7E10">
      <w:pPr>
        <w:jc w:val="center"/>
        <w:rPr>
          <w:rFonts w:ascii="Times New Roman" w:hAnsi="Times New Roman"/>
          <w:i/>
          <w:sz w:val="24"/>
          <w:szCs w:val="24"/>
        </w:rPr>
      </w:pPr>
      <w:r w:rsidRPr="00F064ED">
        <w:rPr>
          <w:rFonts w:ascii="Times New Roman" w:hAnsi="Times New Roman"/>
          <w:i/>
          <w:sz w:val="24"/>
          <w:szCs w:val="24"/>
        </w:rPr>
        <w:t>Terrorism Insurance Act 2003</w:t>
      </w:r>
      <w:r>
        <w:rPr>
          <w:rFonts w:ascii="Times New Roman" w:hAnsi="Times New Roman"/>
          <w:i/>
          <w:sz w:val="24"/>
          <w:szCs w:val="24"/>
        </w:rPr>
        <w:t xml:space="preserve"> </w:t>
      </w:r>
      <w:r w:rsidR="00712847">
        <w:rPr>
          <w:rFonts w:ascii="Times New Roman" w:hAnsi="Times New Roman"/>
          <w:i/>
          <w:sz w:val="24"/>
          <w:szCs w:val="24"/>
        </w:rPr>
        <w:t>–</w:t>
      </w:r>
      <w:r>
        <w:rPr>
          <w:rFonts w:ascii="Times New Roman" w:hAnsi="Times New Roman"/>
          <w:i/>
          <w:sz w:val="24"/>
          <w:szCs w:val="24"/>
        </w:rPr>
        <w:t xml:space="preserve"> </w:t>
      </w:r>
      <w:r w:rsidR="00712847">
        <w:rPr>
          <w:rFonts w:ascii="Times New Roman" w:hAnsi="Times New Roman"/>
          <w:i/>
          <w:sz w:val="24"/>
          <w:szCs w:val="24"/>
        </w:rPr>
        <w:t>Risk Retention</w:t>
      </w:r>
      <w:r w:rsidR="00323331">
        <w:rPr>
          <w:rFonts w:ascii="Times New Roman" w:hAnsi="Times New Roman"/>
          <w:i/>
          <w:sz w:val="24"/>
          <w:szCs w:val="24"/>
        </w:rPr>
        <w:t xml:space="preserve"> Direction 2017</w:t>
      </w:r>
    </w:p>
    <w:p w14:paraId="77B34F3B" w14:textId="77777777" w:rsidR="004C4703" w:rsidRPr="000D4F3C" w:rsidRDefault="004C4703" w:rsidP="000D4F3C">
      <w:pPr>
        <w:jc w:val="left"/>
        <w:rPr>
          <w:rFonts w:ascii="Times New Roman" w:hAnsi="Times New Roman"/>
          <w:sz w:val="24"/>
          <w:szCs w:val="24"/>
        </w:rPr>
      </w:pPr>
      <w:r w:rsidRPr="000D4F3C">
        <w:rPr>
          <w:rFonts w:ascii="Times New Roman" w:hAnsi="Times New Roman"/>
          <w:sz w:val="24"/>
          <w:szCs w:val="24"/>
        </w:rPr>
        <w:t xml:space="preserve">This Legislative Instrument is compatible with the human rights and freedoms recognised or declared in the international instruments listed in section 3 of the </w:t>
      </w:r>
      <w:r w:rsidRPr="008038DD">
        <w:rPr>
          <w:rFonts w:ascii="Times New Roman" w:hAnsi="Times New Roman"/>
          <w:i/>
          <w:sz w:val="24"/>
          <w:szCs w:val="24"/>
        </w:rPr>
        <w:t>Human Rights (Parliamentary Scrutiny) Act 2011</w:t>
      </w:r>
      <w:r w:rsidRPr="000D4F3C">
        <w:rPr>
          <w:rFonts w:ascii="Times New Roman" w:hAnsi="Times New Roman"/>
          <w:sz w:val="24"/>
          <w:szCs w:val="24"/>
        </w:rPr>
        <w:t>.</w:t>
      </w:r>
    </w:p>
    <w:p w14:paraId="34F37FC6" w14:textId="77777777" w:rsidR="004C4703" w:rsidRPr="000D4F3C" w:rsidRDefault="004C4703" w:rsidP="000D4F3C">
      <w:pPr>
        <w:jc w:val="left"/>
        <w:rPr>
          <w:rFonts w:ascii="Times New Roman" w:hAnsi="Times New Roman"/>
          <w:b/>
          <w:sz w:val="24"/>
          <w:szCs w:val="24"/>
        </w:rPr>
      </w:pPr>
      <w:r w:rsidRPr="000D4F3C">
        <w:rPr>
          <w:rFonts w:ascii="Times New Roman" w:hAnsi="Times New Roman"/>
          <w:b/>
          <w:sz w:val="24"/>
          <w:szCs w:val="24"/>
        </w:rPr>
        <w:t>Overview of the Legislative Instrument</w:t>
      </w:r>
    </w:p>
    <w:p w14:paraId="7C7993A3" w14:textId="77777777" w:rsidR="004C4703" w:rsidRPr="000D4F3C" w:rsidRDefault="004C4703" w:rsidP="000D4F3C">
      <w:pPr>
        <w:jc w:val="left"/>
        <w:rPr>
          <w:rFonts w:ascii="Times New Roman" w:hAnsi="Times New Roman"/>
          <w:sz w:val="24"/>
          <w:szCs w:val="24"/>
        </w:rPr>
      </w:pPr>
      <w:r w:rsidRPr="000D4F3C">
        <w:rPr>
          <w:rFonts w:ascii="Times New Roman" w:hAnsi="Times New Roman"/>
          <w:sz w:val="24"/>
          <w:szCs w:val="24"/>
        </w:rPr>
        <w:t xml:space="preserve">The </w:t>
      </w:r>
      <w:r w:rsidR="000D4F3C" w:rsidRPr="00F064ED">
        <w:rPr>
          <w:rFonts w:ascii="Times New Roman" w:hAnsi="Times New Roman"/>
          <w:i/>
          <w:sz w:val="24"/>
          <w:szCs w:val="24"/>
        </w:rPr>
        <w:t>Terrorism Insurance Act 2003</w:t>
      </w:r>
      <w:r w:rsidR="000D4F3C">
        <w:rPr>
          <w:rFonts w:ascii="Times New Roman" w:hAnsi="Times New Roman"/>
          <w:i/>
          <w:sz w:val="24"/>
          <w:szCs w:val="24"/>
        </w:rPr>
        <w:t xml:space="preserve"> </w:t>
      </w:r>
      <w:r w:rsidR="00FE067E">
        <w:rPr>
          <w:rFonts w:ascii="Times New Roman" w:hAnsi="Times New Roman"/>
          <w:i/>
          <w:sz w:val="24"/>
          <w:szCs w:val="24"/>
        </w:rPr>
        <w:t>–</w:t>
      </w:r>
      <w:r w:rsidR="000D4F3C">
        <w:rPr>
          <w:rFonts w:ascii="Times New Roman" w:hAnsi="Times New Roman"/>
          <w:i/>
          <w:sz w:val="24"/>
          <w:szCs w:val="24"/>
        </w:rPr>
        <w:t xml:space="preserve"> </w:t>
      </w:r>
      <w:r w:rsidR="00FE067E">
        <w:rPr>
          <w:rFonts w:ascii="Times New Roman" w:hAnsi="Times New Roman"/>
          <w:i/>
          <w:sz w:val="24"/>
          <w:szCs w:val="24"/>
        </w:rPr>
        <w:t>Risk Retention</w:t>
      </w:r>
      <w:r w:rsidR="000D4F3C">
        <w:rPr>
          <w:rFonts w:ascii="Times New Roman" w:hAnsi="Times New Roman"/>
          <w:i/>
          <w:sz w:val="24"/>
          <w:szCs w:val="24"/>
        </w:rPr>
        <w:t xml:space="preserve"> Direction 201</w:t>
      </w:r>
      <w:r w:rsidR="00323331">
        <w:rPr>
          <w:rFonts w:ascii="Times New Roman" w:hAnsi="Times New Roman"/>
          <w:i/>
          <w:sz w:val="24"/>
          <w:szCs w:val="24"/>
        </w:rPr>
        <w:t>7</w:t>
      </w:r>
      <w:r w:rsidR="000D4F3C">
        <w:rPr>
          <w:rFonts w:ascii="Times New Roman" w:hAnsi="Times New Roman"/>
          <w:i/>
          <w:sz w:val="24"/>
          <w:szCs w:val="24"/>
        </w:rPr>
        <w:t xml:space="preserve"> </w:t>
      </w:r>
      <w:r w:rsidR="000D4F3C">
        <w:rPr>
          <w:rFonts w:ascii="Times New Roman" w:hAnsi="Times New Roman"/>
          <w:sz w:val="24"/>
          <w:szCs w:val="24"/>
        </w:rPr>
        <w:t xml:space="preserve">(the Direction) </w:t>
      </w:r>
      <w:r w:rsidR="00FE067E">
        <w:rPr>
          <w:rFonts w:ascii="Times New Roman" w:hAnsi="Times New Roman"/>
          <w:color w:val="auto"/>
          <w:sz w:val="24"/>
        </w:rPr>
        <w:t xml:space="preserve">describes the methodology to calculate the risk to be retained by the reinsured. </w:t>
      </w:r>
    </w:p>
    <w:p w14:paraId="5F21C3B5" w14:textId="77777777" w:rsidR="004C4703" w:rsidRPr="000D4F3C" w:rsidRDefault="004C4703" w:rsidP="000D4F3C">
      <w:pPr>
        <w:jc w:val="left"/>
        <w:rPr>
          <w:rFonts w:ascii="Times New Roman" w:hAnsi="Times New Roman"/>
          <w:b/>
          <w:sz w:val="24"/>
          <w:szCs w:val="24"/>
        </w:rPr>
      </w:pPr>
      <w:r w:rsidRPr="000D4F3C">
        <w:rPr>
          <w:rFonts w:ascii="Times New Roman" w:hAnsi="Times New Roman"/>
          <w:b/>
          <w:sz w:val="24"/>
          <w:szCs w:val="24"/>
        </w:rPr>
        <w:t>Human rights implications</w:t>
      </w:r>
    </w:p>
    <w:p w14:paraId="2D5DDB62" w14:textId="77777777" w:rsidR="004C4703" w:rsidRPr="000D4F3C" w:rsidRDefault="004C4703" w:rsidP="000D4F3C">
      <w:pPr>
        <w:jc w:val="left"/>
        <w:rPr>
          <w:rFonts w:ascii="Times New Roman" w:hAnsi="Times New Roman"/>
          <w:sz w:val="24"/>
          <w:szCs w:val="24"/>
        </w:rPr>
      </w:pPr>
      <w:r w:rsidRPr="000D4F3C">
        <w:rPr>
          <w:rFonts w:ascii="Times New Roman" w:hAnsi="Times New Roman"/>
          <w:sz w:val="24"/>
          <w:szCs w:val="24"/>
        </w:rPr>
        <w:t>This Legislative Instrument does not engage any of the applicable rights or freedoms.</w:t>
      </w:r>
    </w:p>
    <w:p w14:paraId="04B61646" w14:textId="77777777" w:rsidR="004C4703" w:rsidRPr="000D4F3C" w:rsidRDefault="004C4703" w:rsidP="000D4F3C">
      <w:pPr>
        <w:jc w:val="left"/>
        <w:rPr>
          <w:rFonts w:ascii="Times New Roman" w:hAnsi="Times New Roman"/>
          <w:b/>
          <w:sz w:val="24"/>
          <w:szCs w:val="24"/>
        </w:rPr>
      </w:pPr>
      <w:r w:rsidRPr="000D4F3C">
        <w:rPr>
          <w:rFonts w:ascii="Times New Roman" w:hAnsi="Times New Roman"/>
          <w:b/>
          <w:sz w:val="24"/>
          <w:szCs w:val="24"/>
        </w:rPr>
        <w:t>Conclusion</w:t>
      </w:r>
    </w:p>
    <w:p w14:paraId="58811C79" w14:textId="77777777" w:rsidR="004C4703" w:rsidRDefault="004C4703" w:rsidP="000D4F3C">
      <w:pPr>
        <w:jc w:val="left"/>
        <w:rPr>
          <w:rFonts w:ascii="Times New Roman" w:hAnsi="Times New Roman"/>
          <w:sz w:val="24"/>
          <w:szCs w:val="24"/>
        </w:rPr>
      </w:pPr>
      <w:r w:rsidRPr="000D4F3C">
        <w:rPr>
          <w:rFonts w:ascii="Times New Roman" w:hAnsi="Times New Roman"/>
          <w:sz w:val="24"/>
          <w:szCs w:val="24"/>
        </w:rPr>
        <w:t>This Legislative Instrument is compatible with human rights as it does not raise any human rights issues.</w:t>
      </w:r>
    </w:p>
    <w:p w14:paraId="6C2E2BC4" w14:textId="77777777" w:rsidR="000D4F3C" w:rsidRDefault="000D4F3C" w:rsidP="000D4F3C">
      <w:pPr>
        <w:rPr>
          <w:rFonts w:ascii="Times New Roman" w:hAnsi="Times New Roman"/>
          <w:sz w:val="24"/>
          <w:szCs w:val="24"/>
        </w:rPr>
      </w:pPr>
    </w:p>
    <w:p w14:paraId="4251E7ED" w14:textId="77777777" w:rsidR="000D4F3C" w:rsidRDefault="000D4F3C" w:rsidP="000D4F3C">
      <w:pPr>
        <w:rPr>
          <w:rFonts w:ascii="Times New Roman" w:hAnsi="Times New Roman"/>
          <w:sz w:val="24"/>
          <w:szCs w:val="24"/>
        </w:rPr>
      </w:pPr>
    </w:p>
    <w:p w14:paraId="5B3B5453" w14:textId="77777777" w:rsidR="000D4F3C" w:rsidRPr="000D4F3C" w:rsidRDefault="000D4F3C" w:rsidP="000D4F3C">
      <w:pPr>
        <w:rPr>
          <w:rFonts w:ascii="Times New Roman" w:hAnsi="Times New Roman"/>
          <w:sz w:val="24"/>
          <w:szCs w:val="24"/>
        </w:rPr>
      </w:pPr>
    </w:p>
    <w:p w14:paraId="0E1EDD35" w14:textId="77777777" w:rsidR="000D4F3C" w:rsidRDefault="000D4F3C" w:rsidP="00F806F8">
      <w:pPr>
        <w:tabs>
          <w:tab w:val="left" w:pos="1701"/>
          <w:tab w:val="right" w:pos="9072"/>
        </w:tabs>
        <w:ind w:right="91"/>
        <w:rPr>
          <w:rFonts w:ascii="Times New Roman" w:hAnsi="Times New Roman"/>
          <w:sz w:val="24"/>
          <w:szCs w:val="24"/>
        </w:rPr>
        <w:sectPr w:rsidR="000D4F3C" w:rsidSect="00ED0F95">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567" w:footer="709" w:gutter="0"/>
          <w:pgNumType w:fmt="lowerRoman" w:start="1"/>
          <w:cols w:space="708"/>
          <w:titlePg/>
          <w:docGrid w:linePitch="360"/>
        </w:sectPr>
      </w:pPr>
    </w:p>
    <w:p w14:paraId="5118E0B1" w14:textId="77777777" w:rsidR="00F806F8" w:rsidRDefault="00F806F8" w:rsidP="00F806F8">
      <w:pPr>
        <w:tabs>
          <w:tab w:val="left" w:pos="1701"/>
          <w:tab w:val="right" w:pos="9072"/>
        </w:tabs>
        <w:ind w:right="91"/>
        <w:rPr>
          <w:rFonts w:ascii="Times New Roman" w:hAnsi="Times New Roman"/>
          <w:sz w:val="24"/>
          <w:szCs w:val="24"/>
        </w:rPr>
      </w:pPr>
    </w:p>
    <w:p w14:paraId="4270C71C" w14:textId="77777777" w:rsidR="00F806F8" w:rsidRDefault="00F806F8">
      <w:pPr>
        <w:spacing w:after="200" w:line="276" w:lineRule="auto"/>
        <w:jc w:val="left"/>
        <w:rPr>
          <w:sz w:val="2"/>
          <w:szCs w:val="2"/>
        </w:rPr>
      </w:pPr>
      <w:r>
        <w:rPr>
          <w:sz w:val="2"/>
          <w:szCs w:val="2"/>
        </w:rPr>
        <w:br w:type="page"/>
      </w:r>
    </w:p>
    <w:p w14:paraId="7B934AB8" w14:textId="77777777" w:rsidR="009136F7" w:rsidRPr="00477DED" w:rsidRDefault="009136F7" w:rsidP="00477DED">
      <w:pPr>
        <w:pStyle w:val="Figuregraphic"/>
        <w:spacing w:after="0" w:line="240" w:lineRule="auto"/>
        <w:rPr>
          <w:sz w:val="2"/>
          <w:szCs w:val="2"/>
        </w:rPr>
      </w:pPr>
      <w:r w:rsidRPr="00477DED">
        <w:rPr>
          <w:noProof/>
          <w:sz w:val="2"/>
          <w:szCs w:val="2"/>
        </w:rPr>
        <w:lastRenderedPageBreak/>
        <w:drawing>
          <wp:anchor distT="0" distB="0" distL="114300" distR="114300" simplePos="0" relativeHeight="251659264" behindDoc="0" locked="0" layoutInCell="1" allowOverlap="1" wp14:anchorId="27347785" wp14:editId="22D9E9D5">
            <wp:simplePos x="0" y="0"/>
            <wp:positionH relativeFrom="margin">
              <wp:posOffset>2105660</wp:posOffset>
            </wp:positionH>
            <wp:positionV relativeFrom="paragraph">
              <wp:posOffset>-3590925</wp:posOffset>
            </wp:positionV>
            <wp:extent cx="1572260" cy="97218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Treasury_stacked.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2260" cy="972185"/>
                    </a:xfrm>
                    <a:prstGeom prst="rect">
                      <a:avLst/>
                    </a:prstGeom>
                  </pic:spPr>
                </pic:pic>
              </a:graphicData>
            </a:graphic>
            <wp14:sizeRelH relativeFrom="page">
              <wp14:pctWidth>0</wp14:pctWidth>
            </wp14:sizeRelH>
            <wp14:sizeRelV relativeFrom="page">
              <wp14:pctHeight>0</wp14:pctHeight>
            </wp14:sizeRelV>
          </wp:anchor>
        </w:drawing>
      </w:r>
    </w:p>
    <w:p w14:paraId="5CA674F8" w14:textId="77777777" w:rsidR="00D85D73" w:rsidRPr="00477DED" w:rsidRDefault="00D85D73" w:rsidP="00477DED">
      <w:pPr>
        <w:pStyle w:val="CoverTitleMain"/>
      </w:pPr>
      <w:r w:rsidRPr="00477DED">
        <w:t>Terrorism Insurance Act</w:t>
      </w:r>
      <w:bookmarkEnd w:id="0"/>
      <w:bookmarkEnd w:id="1"/>
      <w:bookmarkEnd w:id="2"/>
      <w:bookmarkEnd w:id="3"/>
      <w:bookmarkEnd w:id="4"/>
      <w:bookmarkEnd w:id="5"/>
      <w:bookmarkEnd w:id="6"/>
      <w:bookmarkEnd w:id="7"/>
      <w:bookmarkEnd w:id="8"/>
      <w:bookmarkEnd w:id="9"/>
      <w:bookmarkEnd w:id="10"/>
      <w:bookmarkEnd w:id="11"/>
      <w:bookmarkEnd w:id="12"/>
    </w:p>
    <w:p w14:paraId="78E23F28" w14:textId="77777777" w:rsidR="00D85D73" w:rsidRDefault="00D85D73" w:rsidP="00477DED">
      <w:pPr>
        <w:pStyle w:val="CoverTitleSub"/>
      </w:pPr>
      <w:bookmarkStart w:id="14" w:name="_Toc321133390"/>
      <w:bookmarkStart w:id="15" w:name="_Toc321134069"/>
      <w:bookmarkStart w:id="16" w:name="_Toc321134166"/>
      <w:bookmarkStart w:id="17" w:name="_Toc405808759"/>
      <w:bookmarkStart w:id="18" w:name="_Toc406155129"/>
      <w:bookmarkStart w:id="19" w:name="_Toc406424582"/>
      <w:bookmarkStart w:id="20" w:name="_Toc408413460"/>
      <w:bookmarkStart w:id="21" w:name="_Toc408414174"/>
      <w:bookmarkStart w:id="22" w:name="_Toc409191081"/>
      <w:bookmarkStart w:id="23" w:name="_Toc409618514"/>
      <w:bookmarkStart w:id="24" w:name="_Toc409630045"/>
      <w:bookmarkStart w:id="25" w:name="_Toc410229537"/>
      <w:bookmarkStart w:id="26" w:name="_Toc410302172"/>
      <w:r w:rsidRPr="00082936">
        <w:t>Review: 201</w:t>
      </w:r>
      <w:bookmarkEnd w:id="14"/>
      <w:bookmarkEnd w:id="15"/>
      <w:bookmarkEnd w:id="16"/>
      <w:r w:rsidRPr="00082936">
        <w:t>5</w:t>
      </w:r>
      <w:bookmarkEnd w:id="17"/>
      <w:bookmarkEnd w:id="18"/>
      <w:bookmarkEnd w:id="19"/>
      <w:bookmarkEnd w:id="20"/>
      <w:bookmarkEnd w:id="21"/>
      <w:bookmarkEnd w:id="22"/>
      <w:bookmarkEnd w:id="23"/>
      <w:bookmarkEnd w:id="24"/>
      <w:bookmarkEnd w:id="25"/>
      <w:bookmarkEnd w:id="26"/>
    </w:p>
    <w:p w14:paraId="1A9DE568" w14:textId="77777777" w:rsidR="00D85D73" w:rsidRDefault="00D85D73" w:rsidP="00477DED">
      <w:pPr>
        <w:pStyle w:val="CoverTitleSub"/>
        <w:sectPr w:rsidR="00D85D73" w:rsidSect="000D4F3C">
          <w:type w:val="continuous"/>
          <w:pgSz w:w="11906" w:h="16838" w:code="9"/>
          <w:pgMar w:top="1440" w:right="1440" w:bottom="1440" w:left="1440" w:header="709" w:footer="709" w:gutter="0"/>
          <w:pgNumType w:fmt="lowerRoman" w:start="1"/>
          <w:cols w:space="708"/>
          <w:vAlign w:val="center"/>
          <w:titlePg/>
          <w:docGrid w:linePitch="360"/>
        </w:sectPr>
      </w:pPr>
    </w:p>
    <w:p w14:paraId="367694A2" w14:textId="77777777" w:rsidR="00843828" w:rsidRPr="00843828" w:rsidRDefault="00843828" w:rsidP="00843828">
      <w:pPr>
        <w:rPr>
          <w:rFonts w:eastAsia="Calibri"/>
        </w:rPr>
      </w:pPr>
      <w:r w:rsidRPr="00843828">
        <w:rPr>
          <w:rFonts w:eastAsia="Calibri"/>
        </w:rPr>
        <w:lastRenderedPageBreak/>
        <w:t>© Commonwealth of Australia 2015</w:t>
      </w:r>
    </w:p>
    <w:p w14:paraId="7E30DA1F" w14:textId="77777777" w:rsidR="00843828" w:rsidRPr="00843828" w:rsidRDefault="00843828" w:rsidP="00843828">
      <w:pPr>
        <w:rPr>
          <w:rFonts w:eastAsia="Calibri"/>
        </w:rPr>
      </w:pPr>
      <w:r w:rsidRPr="00843828">
        <w:rPr>
          <w:rFonts w:eastAsia="Calibri"/>
        </w:rPr>
        <w:t>ISBN 978</w:t>
      </w:r>
      <w:r w:rsidR="008A07A0">
        <w:rPr>
          <w:rFonts w:eastAsia="Calibri"/>
        </w:rPr>
        <w:noBreakHyphen/>
      </w:r>
      <w:r w:rsidRPr="00843828">
        <w:rPr>
          <w:rFonts w:eastAsia="Calibri"/>
        </w:rPr>
        <w:t>1</w:t>
      </w:r>
      <w:r w:rsidR="008A07A0">
        <w:rPr>
          <w:rFonts w:eastAsia="Calibri"/>
        </w:rPr>
        <w:noBreakHyphen/>
      </w:r>
      <w:r w:rsidRPr="00843828">
        <w:rPr>
          <w:rFonts w:eastAsia="Calibri"/>
        </w:rPr>
        <w:t>925220</w:t>
      </w:r>
      <w:r w:rsidR="008A07A0">
        <w:rPr>
          <w:rFonts w:eastAsia="Calibri"/>
        </w:rPr>
        <w:noBreakHyphen/>
      </w:r>
      <w:r w:rsidRPr="00843828">
        <w:rPr>
          <w:rFonts w:eastAsia="Calibri"/>
        </w:rPr>
        <w:t>35</w:t>
      </w:r>
      <w:r w:rsidR="008A07A0">
        <w:rPr>
          <w:rFonts w:eastAsia="Calibri"/>
        </w:rPr>
        <w:noBreakHyphen/>
      </w:r>
      <w:r w:rsidRPr="00843828">
        <w:rPr>
          <w:rFonts w:eastAsia="Calibri"/>
        </w:rPr>
        <w:t>3</w:t>
      </w:r>
    </w:p>
    <w:p w14:paraId="332CDE35" w14:textId="77777777" w:rsidR="00843828" w:rsidRPr="00843828" w:rsidRDefault="00843828" w:rsidP="00843828">
      <w:pPr>
        <w:rPr>
          <w:rFonts w:eastAsia="Calibri"/>
        </w:rPr>
      </w:pPr>
      <w:r w:rsidRPr="00843828">
        <w:rPr>
          <w:rFonts w:eastAsia="Calibri"/>
        </w:rPr>
        <w:t xml:space="preserve">This publication is available for your use under a </w:t>
      </w:r>
      <w:hyperlink r:id="rId21" w:history="1">
        <w:r w:rsidRPr="00843828">
          <w:rPr>
            <w:rStyle w:val="Hyperlink"/>
            <w:rFonts w:eastAsia="Calibri"/>
          </w:rPr>
          <w:t>Creative Commons BY Attribution 3.0 Australia</w:t>
        </w:r>
      </w:hyperlink>
      <w:r w:rsidRPr="00843828">
        <w:rPr>
          <w:rFonts w:eastAsia="Calibri"/>
        </w:rPr>
        <w:t xml:space="preserve"> licence, with the exception of the Commonwealth Coat of Arms, the Treasury logo, photographs, images, signatures and where otherwise stated. The full licence terms are available from </w:t>
      </w:r>
      <w:hyperlink r:id="rId22" w:history="1">
        <w:r w:rsidRPr="00843828">
          <w:rPr>
            <w:rStyle w:val="Hyperlink"/>
            <w:rFonts w:eastAsia="Calibri"/>
          </w:rPr>
          <w:t>http://creativecommons.org/licenses/by/3.0/au/legalcode</w:t>
        </w:r>
      </w:hyperlink>
      <w:r w:rsidRPr="00843828">
        <w:rPr>
          <w:rFonts w:eastAsia="Calibri"/>
        </w:rPr>
        <w:t>.</w:t>
      </w:r>
    </w:p>
    <w:p w14:paraId="5B557656" w14:textId="77777777" w:rsidR="00843828" w:rsidRPr="00843828" w:rsidRDefault="00843828" w:rsidP="00843828">
      <w:pPr>
        <w:tabs>
          <w:tab w:val="left" w:pos="1650"/>
        </w:tabs>
        <w:spacing w:before="100" w:beforeAutospacing="1" w:after="100" w:afterAutospacing="1" w:line="276" w:lineRule="auto"/>
        <w:jc w:val="left"/>
        <w:rPr>
          <w:rFonts w:eastAsia="Calibri" w:cs="Calibri"/>
          <w:sz w:val="24"/>
          <w:szCs w:val="24"/>
          <w:lang w:eastAsia="en-US"/>
        </w:rPr>
      </w:pPr>
      <w:r>
        <w:rPr>
          <w:rFonts w:eastAsia="Calibri" w:cs="Calibri"/>
          <w:noProof/>
          <w:sz w:val="24"/>
          <w:szCs w:val="24"/>
        </w:rPr>
        <w:drawing>
          <wp:inline distT="0" distB="0" distL="0" distR="0" wp14:anchorId="1CEC52EB" wp14:editId="3135C03D">
            <wp:extent cx="814070" cy="283210"/>
            <wp:effectExtent l="0" t="0" r="5080" b="2540"/>
            <wp:docPr id="3" name="Picture 3"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4070" cy="283210"/>
                    </a:xfrm>
                    <a:prstGeom prst="rect">
                      <a:avLst/>
                    </a:prstGeom>
                    <a:noFill/>
                    <a:ln>
                      <a:noFill/>
                    </a:ln>
                  </pic:spPr>
                </pic:pic>
              </a:graphicData>
            </a:graphic>
          </wp:inline>
        </w:drawing>
      </w:r>
    </w:p>
    <w:p w14:paraId="78A9AE56" w14:textId="77777777" w:rsidR="00843828" w:rsidRPr="00843828" w:rsidRDefault="00843828" w:rsidP="00843828">
      <w:pPr>
        <w:rPr>
          <w:rFonts w:eastAsia="Calibri"/>
        </w:rPr>
      </w:pPr>
      <w:r w:rsidRPr="00843828">
        <w:rPr>
          <w:rFonts w:eastAsia="Calibri"/>
        </w:rPr>
        <w:t xml:space="preserve">Use of Treasury material under a </w:t>
      </w:r>
      <w:hyperlink r:id="rId24" w:history="1">
        <w:r w:rsidRPr="00843828">
          <w:rPr>
            <w:rStyle w:val="Hyperlink"/>
            <w:rFonts w:eastAsia="Calibri"/>
          </w:rPr>
          <w:t>Creative Commons BY Attribution 3.0 Australia</w:t>
        </w:r>
      </w:hyperlink>
      <w:r w:rsidRPr="00843828">
        <w:rPr>
          <w:rFonts w:eastAsia="Calibri"/>
        </w:rPr>
        <w:t xml:space="preserve"> licence requires you to attribute the work (but not in any way that suggests that the Treasury endorses you or your use of the work).</w:t>
      </w:r>
    </w:p>
    <w:p w14:paraId="20920511" w14:textId="77777777" w:rsidR="00843828" w:rsidRPr="00843828" w:rsidRDefault="00843828" w:rsidP="00843828">
      <w:pPr>
        <w:spacing w:after="200" w:line="276" w:lineRule="auto"/>
        <w:ind w:firstLine="720"/>
        <w:jc w:val="left"/>
        <w:rPr>
          <w:rFonts w:eastAsia="Calibri"/>
          <w:i/>
          <w:color w:val="auto"/>
          <w:szCs w:val="22"/>
          <w:lang w:eastAsia="en-US"/>
        </w:rPr>
      </w:pPr>
      <w:proofErr w:type="gramStart"/>
      <w:r w:rsidRPr="00843828">
        <w:rPr>
          <w:rFonts w:eastAsia="Calibri"/>
          <w:i/>
          <w:color w:val="auto"/>
          <w:szCs w:val="22"/>
          <w:lang w:eastAsia="en-US"/>
        </w:rPr>
        <w:t xml:space="preserve">Treasury material used </w:t>
      </w:r>
      <w:r w:rsidR="008A07A0">
        <w:rPr>
          <w:rFonts w:eastAsia="Calibri"/>
          <w:i/>
          <w:color w:val="auto"/>
          <w:szCs w:val="22"/>
          <w:lang w:eastAsia="en-US"/>
        </w:rPr>
        <w:t>‘</w:t>
      </w:r>
      <w:r w:rsidRPr="00843828">
        <w:rPr>
          <w:rFonts w:eastAsia="Calibri"/>
          <w:i/>
          <w:color w:val="auto"/>
          <w:szCs w:val="22"/>
          <w:lang w:eastAsia="en-US"/>
        </w:rPr>
        <w:t>as supplied</w:t>
      </w:r>
      <w:r w:rsidR="008A07A0">
        <w:rPr>
          <w:rFonts w:eastAsia="Calibri"/>
          <w:i/>
          <w:color w:val="auto"/>
          <w:szCs w:val="22"/>
          <w:lang w:eastAsia="en-US"/>
        </w:rPr>
        <w:t>’</w:t>
      </w:r>
      <w:r w:rsidRPr="00843828">
        <w:rPr>
          <w:rFonts w:eastAsia="Calibri"/>
          <w:i/>
          <w:color w:val="auto"/>
          <w:szCs w:val="22"/>
          <w:lang w:eastAsia="en-US"/>
        </w:rPr>
        <w:t>.</w:t>
      </w:r>
      <w:proofErr w:type="gramEnd"/>
    </w:p>
    <w:p w14:paraId="1CD91F57" w14:textId="77777777" w:rsidR="00843828" w:rsidRPr="00843828" w:rsidRDefault="00843828" w:rsidP="00843828">
      <w:pPr>
        <w:rPr>
          <w:rFonts w:eastAsia="Calibri"/>
        </w:rPr>
      </w:pPr>
      <w:r w:rsidRPr="00843828">
        <w:rPr>
          <w:rFonts w:eastAsia="Calibri"/>
        </w:rPr>
        <w:t>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w:t>
      </w:r>
    </w:p>
    <w:p w14:paraId="50940EFE" w14:textId="77777777" w:rsidR="00843828" w:rsidRPr="00843828" w:rsidRDefault="00843828" w:rsidP="00843828">
      <w:pPr>
        <w:spacing w:after="200" w:line="276" w:lineRule="auto"/>
        <w:ind w:firstLine="720"/>
        <w:jc w:val="left"/>
        <w:rPr>
          <w:rFonts w:eastAsia="Calibri"/>
          <w:color w:val="auto"/>
          <w:szCs w:val="22"/>
          <w:lang w:eastAsia="en-US"/>
        </w:rPr>
      </w:pPr>
      <w:r w:rsidRPr="00843828">
        <w:rPr>
          <w:rFonts w:eastAsia="Calibri"/>
          <w:i/>
          <w:color w:val="auto"/>
          <w:szCs w:val="22"/>
          <w:lang w:eastAsia="en-US"/>
        </w:rPr>
        <w:t xml:space="preserve">Source: The </w:t>
      </w:r>
      <w:r w:rsidRPr="00843828">
        <w:rPr>
          <w:rFonts w:eastAsia="Calibri"/>
          <w:i/>
          <w:iCs/>
          <w:color w:val="auto"/>
          <w:szCs w:val="22"/>
          <w:lang w:eastAsia="en-US"/>
        </w:rPr>
        <w:t>Australian Government the Treasury</w:t>
      </w:r>
      <w:r>
        <w:rPr>
          <w:rFonts w:eastAsia="Calibri"/>
          <w:i/>
          <w:iCs/>
          <w:color w:val="auto"/>
          <w:szCs w:val="22"/>
          <w:lang w:eastAsia="en-US"/>
        </w:rPr>
        <w:t>.</w:t>
      </w:r>
    </w:p>
    <w:p w14:paraId="5B0FFD90" w14:textId="77777777" w:rsidR="00843828" w:rsidRPr="00843828" w:rsidRDefault="00843828" w:rsidP="00843828">
      <w:pPr>
        <w:spacing w:after="200" w:line="276" w:lineRule="auto"/>
        <w:jc w:val="left"/>
        <w:rPr>
          <w:rFonts w:eastAsia="Calibri"/>
          <w:b/>
          <w:color w:val="auto"/>
          <w:szCs w:val="22"/>
          <w:lang w:eastAsia="en-US"/>
        </w:rPr>
      </w:pPr>
      <w:r w:rsidRPr="00843828">
        <w:rPr>
          <w:rFonts w:eastAsia="Calibri"/>
          <w:b/>
          <w:color w:val="auto"/>
          <w:szCs w:val="22"/>
          <w:lang w:eastAsia="en-US"/>
        </w:rPr>
        <w:t>Derivative material</w:t>
      </w:r>
    </w:p>
    <w:p w14:paraId="0F7F6E9B" w14:textId="77777777" w:rsidR="00843828" w:rsidRPr="00843828" w:rsidRDefault="00843828" w:rsidP="00843828">
      <w:pPr>
        <w:rPr>
          <w:rFonts w:eastAsia="Calibri"/>
        </w:rPr>
      </w:pPr>
      <w:r w:rsidRPr="00843828">
        <w:rPr>
          <w:rFonts w:eastAsia="Calibri"/>
        </w:rPr>
        <w:t>If you have modified or transformed Treasury material, or derived new material from those of the Treasury in any way, then Treasury prefers the following attribution:</w:t>
      </w:r>
    </w:p>
    <w:p w14:paraId="26C2FC5D" w14:textId="77777777" w:rsidR="00843828" w:rsidRPr="00843828" w:rsidRDefault="00843828" w:rsidP="00843828">
      <w:pPr>
        <w:spacing w:after="200" w:line="276" w:lineRule="auto"/>
        <w:ind w:firstLine="720"/>
        <w:jc w:val="left"/>
        <w:rPr>
          <w:rFonts w:eastAsia="Calibri"/>
          <w:color w:val="auto"/>
          <w:szCs w:val="22"/>
          <w:lang w:eastAsia="en-US"/>
        </w:rPr>
      </w:pPr>
      <w:proofErr w:type="gramStart"/>
      <w:r w:rsidRPr="00843828">
        <w:rPr>
          <w:rFonts w:eastAsia="Calibri"/>
          <w:i/>
          <w:color w:val="auto"/>
          <w:szCs w:val="22"/>
          <w:lang w:eastAsia="en-US"/>
        </w:rPr>
        <w:t>Based on The Australian Government the Treasury data</w:t>
      </w:r>
      <w:r>
        <w:rPr>
          <w:rFonts w:eastAsia="Calibri"/>
          <w:i/>
          <w:color w:val="auto"/>
          <w:szCs w:val="22"/>
          <w:lang w:eastAsia="en-US"/>
        </w:rPr>
        <w:t>.</w:t>
      </w:r>
      <w:proofErr w:type="gramEnd"/>
    </w:p>
    <w:p w14:paraId="21583D46" w14:textId="77777777" w:rsidR="00843828" w:rsidRPr="00843828" w:rsidRDefault="00843828" w:rsidP="00843828">
      <w:pPr>
        <w:spacing w:after="40" w:line="276" w:lineRule="auto"/>
        <w:jc w:val="left"/>
        <w:rPr>
          <w:rFonts w:eastAsia="Calibri"/>
          <w:b/>
          <w:color w:val="auto"/>
          <w:szCs w:val="22"/>
          <w:lang w:eastAsia="en-US"/>
        </w:rPr>
      </w:pPr>
      <w:r w:rsidRPr="00843828">
        <w:rPr>
          <w:rFonts w:eastAsia="Calibri"/>
          <w:b/>
          <w:color w:val="auto"/>
          <w:szCs w:val="22"/>
          <w:lang w:eastAsia="en-US"/>
        </w:rPr>
        <w:t>Use of the Coat of Arms</w:t>
      </w:r>
    </w:p>
    <w:p w14:paraId="513376D4" w14:textId="77777777" w:rsidR="00843828" w:rsidRPr="00843828" w:rsidRDefault="00843828" w:rsidP="00843828">
      <w:pPr>
        <w:rPr>
          <w:rFonts w:eastAsia="Calibri"/>
        </w:rPr>
      </w:pPr>
      <w:r w:rsidRPr="00843828">
        <w:rPr>
          <w:rFonts w:eastAsia="Calibri"/>
        </w:rPr>
        <w:t>The terms under which the Coat of Arms can be used are set out on the It</w:t>
      </w:r>
      <w:r w:rsidR="008A07A0">
        <w:rPr>
          <w:rFonts w:eastAsia="Calibri"/>
        </w:rPr>
        <w:t>’</w:t>
      </w:r>
      <w:r w:rsidRPr="00843828">
        <w:rPr>
          <w:rFonts w:eastAsia="Calibri"/>
        </w:rPr>
        <w:t>s an Honour website (see </w:t>
      </w:r>
      <w:hyperlink r:id="rId25" w:history="1">
        <w:r w:rsidRPr="00843828">
          <w:rPr>
            <w:rStyle w:val="Hyperlink"/>
            <w:rFonts w:eastAsia="Calibri"/>
          </w:rPr>
          <w:t>www.itsanhonour.gov.au</w:t>
        </w:r>
      </w:hyperlink>
      <w:r w:rsidRPr="00843828">
        <w:rPr>
          <w:rFonts w:eastAsia="Calibri"/>
        </w:rPr>
        <w:t>).</w:t>
      </w:r>
    </w:p>
    <w:p w14:paraId="3E627909" w14:textId="77777777" w:rsidR="00843828" w:rsidRPr="00843828" w:rsidRDefault="00843828" w:rsidP="00843828">
      <w:pPr>
        <w:spacing w:after="40" w:line="276" w:lineRule="auto"/>
        <w:jc w:val="left"/>
        <w:rPr>
          <w:rFonts w:eastAsia="Calibri"/>
          <w:b/>
          <w:color w:val="auto"/>
          <w:szCs w:val="22"/>
          <w:lang w:eastAsia="en-US"/>
        </w:rPr>
      </w:pPr>
      <w:r w:rsidRPr="00843828">
        <w:rPr>
          <w:rFonts w:eastAsia="Calibri"/>
          <w:b/>
          <w:color w:val="auto"/>
          <w:szCs w:val="22"/>
          <w:lang w:eastAsia="en-US"/>
        </w:rPr>
        <w:t>Other Uses</w:t>
      </w:r>
    </w:p>
    <w:p w14:paraId="62CA15D3" w14:textId="77777777" w:rsidR="00843828" w:rsidRPr="00843828" w:rsidRDefault="00843828" w:rsidP="00843828">
      <w:pPr>
        <w:rPr>
          <w:rFonts w:eastAsia="Calibri"/>
        </w:rPr>
      </w:pPr>
      <w:r w:rsidRPr="00843828">
        <w:rPr>
          <w:rFonts w:eastAsia="Calibri"/>
        </w:rPr>
        <w:t>Inquiries regarding this licence and any other use of this document are welcome at:</w:t>
      </w:r>
    </w:p>
    <w:p w14:paraId="7DB42B65" w14:textId="77777777" w:rsidR="00843828" w:rsidRPr="00843828" w:rsidRDefault="00843828" w:rsidP="00843828">
      <w:pPr>
        <w:spacing w:after="0" w:line="276" w:lineRule="auto"/>
        <w:ind w:left="720"/>
        <w:jc w:val="left"/>
        <w:rPr>
          <w:rFonts w:eastAsia="Calibri"/>
          <w:color w:val="auto"/>
          <w:szCs w:val="22"/>
          <w:lang w:eastAsia="en-US"/>
        </w:rPr>
      </w:pPr>
      <w:r w:rsidRPr="00843828">
        <w:rPr>
          <w:rFonts w:eastAsia="Calibri"/>
          <w:color w:val="auto"/>
          <w:szCs w:val="22"/>
          <w:lang w:eastAsia="en-US"/>
        </w:rPr>
        <w:t>Manager</w:t>
      </w:r>
    </w:p>
    <w:p w14:paraId="03F1C98A" w14:textId="77777777" w:rsidR="00843828" w:rsidRPr="00843828" w:rsidRDefault="00843828" w:rsidP="00843828">
      <w:pPr>
        <w:spacing w:after="0" w:line="276" w:lineRule="auto"/>
        <w:ind w:left="720"/>
        <w:jc w:val="left"/>
        <w:rPr>
          <w:rFonts w:eastAsia="Calibri"/>
          <w:color w:val="auto"/>
          <w:szCs w:val="22"/>
          <w:lang w:eastAsia="en-US"/>
        </w:rPr>
      </w:pPr>
      <w:r w:rsidRPr="00843828">
        <w:rPr>
          <w:rFonts w:eastAsia="Calibri"/>
          <w:color w:val="auto"/>
          <w:szCs w:val="22"/>
          <w:lang w:eastAsia="en-US"/>
        </w:rPr>
        <w:t>Communications</w:t>
      </w:r>
    </w:p>
    <w:p w14:paraId="6DCD72BF" w14:textId="77777777" w:rsidR="00843828" w:rsidRPr="00843828" w:rsidRDefault="00843828" w:rsidP="00843828">
      <w:pPr>
        <w:spacing w:after="0" w:line="276" w:lineRule="auto"/>
        <w:ind w:left="720"/>
        <w:jc w:val="left"/>
        <w:rPr>
          <w:rFonts w:eastAsia="Calibri"/>
          <w:color w:val="auto"/>
          <w:szCs w:val="22"/>
          <w:lang w:eastAsia="en-US"/>
        </w:rPr>
      </w:pPr>
      <w:r w:rsidRPr="00843828">
        <w:rPr>
          <w:rFonts w:eastAsia="Calibri"/>
          <w:color w:val="auto"/>
          <w:szCs w:val="22"/>
          <w:lang w:eastAsia="en-US"/>
        </w:rPr>
        <w:t>The Treasury</w:t>
      </w:r>
    </w:p>
    <w:p w14:paraId="7DB7EB64" w14:textId="77777777" w:rsidR="00843828" w:rsidRPr="00843828" w:rsidRDefault="00843828" w:rsidP="00843828">
      <w:pPr>
        <w:spacing w:after="0" w:line="276" w:lineRule="auto"/>
        <w:ind w:left="720"/>
        <w:jc w:val="left"/>
        <w:rPr>
          <w:rFonts w:eastAsia="Calibri"/>
          <w:color w:val="auto"/>
          <w:szCs w:val="22"/>
          <w:lang w:eastAsia="en-US"/>
        </w:rPr>
      </w:pPr>
      <w:r w:rsidRPr="00843828">
        <w:rPr>
          <w:rFonts w:eastAsia="Calibri"/>
          <w:color w:val="auto"/>
          <w:szCs w:val="22"/>
          <w:lang w:eastAsia="en-US"/>
        </w:rPr>
        <w:t>Langton Crescent Parkes</w:t>
      </w:r>
      <w:proofErr w:type="gramStart"/>
      <w:r w:rsidRPr="00843828">
        <w:rPr>
          <w:rFonts w:eastAsia="Calibri"/>
          <w:color w:val="auto"/>
          <w:szCs w:val="22"/>
          <w:lang w:eastAsia="en-US"/>
        </w:rPr>
        <w:t>  ACT</w:t>
      </w:r>
      <w:proofErr w:type="gramEnd"/>
      <w:r w:rsidRPr="00843828">
        <w:rPr>
          <w:rFonts w:eastAsia="Calibri"/>
          <w:color w:val="auto"/>
          <w:szCs w:val="22"/>
          <w:lang w:eastAsia="en-US"/>
        </w:rPr>
        <w:t>  2600</w:t>
      </w:r>
    </w:p>
    <w:p w14:paraId="13CE4BA6" w14:textId="77777777" w:rsidR="00843828" w:rsidRPr="00843828" w:rsidRDefault="00843828" w:rsidP="00843828">
      <w:pPr>
        <w:spacing w:after="0" w:line="276" w:lineRule="auto"/>
        <w:ind w:left="720"/>
        <w:jc w:val="left"/>
        <w:rPr>
          <w:rFonts w:eastAsia="Calibri"/>
          <w:color w:val="auto"/>
          <w:szCs w:val="22"/>
          <w:lang w:eastAsia="en-US"/>
        </w:rPr>
      </w:pPr>
      <w:r w:rsidRPr="00843828">
        <w:rPr>
          <w:rFonts w:eastAsia="Calibri"/>
          <w:color w:val="auto"/>
          <w:szCs w:val="22"/>
          <w:lang w:eastAsia="en-US"/>
        </w:rPr>
        <w:t xml:space="preserve">Email: </w:t>
      </w:r>
      <w:hyperlink r:id="rId26" w:history="1">
        <w:r w:rsidRPr="00843828">
          <w:rPr>
            <w:rFonts w:eastAsia="Calibri"/>
            <w:color w:val="auto"/>
            <w:szCs w:val="22"/>
            <w:lang w:eastAsia="en-US"/>
          </w:rPr>
          <w:t>medialiaison@treasury.gov.au</w:t>
        </w:r>
      </w:hyperlink>
    </w:p>
    <w:p w14:paraId="6C38DD91" w14:textId="77777777" w:rsidR="00951A43" w:rsidRDefault="00951A43" w:rsidP="00082936">
      <w:pPr>
        <w:shd w:val="clear" w:color="auto" w:fill="FFFFFF"/>
        <w:rPr>
          <w:rFonts w:cstheme="minorHAnsi"/>
        </w:rPr>
      </w:pPr>
    </w:p>
    <w:p w14:paraId="5C9901B4" w14:textId="77777777" w:rsidR="00951A43" w:rsidRDefault="00951A43" w:rsidP="00082936">
      <w:pPr>
        <w:shd w:val="clear" w:color="auto" w:fill="FFFFFF"/>
        <w:rPr>
          <w:rFonts w:cstheme="minorHAnsi"/>
        </w:rPr>
      </w:pPr>
    </w:p>
    <w:p w14:paraId="74E34428" w14:textId="77777777" w:rsidR="00951A43" w:rsidRDefault="00951A43" w:rsidP="00082936">
      <w:pPr>
        <w:shd w:val="clear" w:color="auto" w:fill="FFFFFF"/>
        <w:rPr>
          <w:rFonts w:cstheme="minorHAnsi"/>
        </w:rPr>
        <w:sectPr w:rsidR="00951A43" w:rsidSect="00FC1F7A">
          <w:headerReference w:type="even" r:id="rId27"/>
          <w:headerReference w:type="default" r:id="rId28"/>
          <w:footerReference w:type="even" r:id="rId29"/>
          <w:footerReference w:type="default" r:id="rId30"/>
          <w:headerReference w:type="first" r:id="rId31"/>
          <w:footerReference w:type="first" r:id="rId32"/>
          <w:pgSz w:w="11906" w:h="16838" w:code="9"/>
          <w:pgMar w:top="1440" w:right="1440" w:bottom="1440" w:left="1440" w:header="709" w:footer="709" w:gutter="0"/>
          <w:pgNumType w:fmt="lowerRoman"/>
          <w:cols w:space="708"/>
          <w:titlePg/>
          <w:docGrid w:linePitch="360"/>
        </w:sectPr>
      </w:pPr>
    </w:p>
    <w:p w14:paraId="4DBAB6B4" w14:textId="77777777" w:rsidR="00D85D73" w:rsidRPr="00082936" w:rsidRDefault="00D85D73" w:rsidP="00082936">
      <w:pPr>
        <w:pStyle w:val="ContentsHeading"/>
        <w:rPr>
          <w:b/>
        </w:rPr>
      </w:pPr>
      <w:bookmarkStart w:id="27" w:name="_Toc321133391"/>
      <w:bookmarkStart w:id="28" w:name="_Toc321134070"/>
      <w:bookmarkStart w:id="29" w:name="_Toc321134167"/>
      <w:bookmarkStart w:id="30" w:name="_Toc405808760"/>
      <w:bookmarkStart w:id="31" w:name="_Toc406155130"/>
      <w:bookmarkStart w:id="32" w:name="_Toc406424583"/>
      <w:bookmarkStart w:id="33" w:name="_Toc408413461"/>
      <w:bookmarkStart w:id="34" w:name="_Toc408414175"/>
      <w:bookmarkStart w:id="35" w:name="_Toc409191082"/>
      <w:bookmarkStart w:id="36" w:name="_Toc409618515"/>
      <w:bookmarkStart w:id="37" w:name="_Toc409630046"/>
      <w:bookmarkStart w:id="38" w:name="_Toc410229538"/>
      <w:bookmarkStart w:id="39" w:name="_Toc410302173"/>
      <w:r w:rsidRPr="00082936">
        <w:rPr>
          <w:b/>
        </w:rPr>
        <w:lastRenderedPageBreak/>
        <w:t>Contents</w:t>
      </w:r>
      <w:bookmarkEnd w:id="27"/>
      <w:bookmarkEnd w:id="28"/>
      <w:bookmarkEnd w:id="29"/>
      <w:bookmarkEnd w:id="30"/>
      <w:bookmarkEnd w:id="31"/>
      <w:bookmarkEnd w:id="32"/>
      <w:bookmarkEnd w:id="33"/>
      <w:bookmarkEnd w:id="34"/>
      <w:bookmarkEnd w:id="35"/>
      <w:bookmarkEnd w:id="36"/>
      <w:bookmarkEnd w:id="37"/>
      <w:bookmarkEnd w:id="38"/>
      <w:bookmarkEnd w:id="39"/>
    </w:p>
    <w:p w14:paraId="0F00011E" w14:textId="77777777" w:rsidR="00554B16" w:rsidRDefault="00951A43">
      <w:pPr>
        <w:pStyle w:val="TOC1"/>
        <w:rPr>
          <w:rFonts w:asciiTheme="minorHAnsi" w:eastAsiaTheme="minorEastAsia" w:hAnsiTheme="minorHAnsi" w:cstheme="minorBidi"/>
          <w:b w:val="0"/>
          <w:smallCaps w:val="0"/>
          <w:noProof/>
          <w:color w:val="auto"/>
        </w:rPr>
      </w:pPr>
      <w:r>
        <w:rPr>
          <w:rFonts w:asciiTheme="majorHAnsi" w:hAnsiTheme="majorHAnsi"/>
          <w:b w:val="0"/>
          <w:smallCaps w:val="0"/>
          <w:color w:val="4F81BD" w:themeColor="accent1"/>
        </w:rPr>
        <w:fldChar w:fldCharType="begin"/>
      </w:r>
      <w:r>
        <w:rPr>
          <w:rFonts w:asciiTheme="majorHAnsi" w:hAnsiTheme="majorHAnsi"/>
          <w:b w:val="0"/>
          <w:smallCaps w:val="0"/>
          <w:color w:val="4F81BD" w:themeColor="accent1"/>
        </w:rPr>
        <w:instrText xml:space="preserve"> TOC \o "1-2" \u </w:instrText>
      </w:r>
      <w:r>
        <w:rPr>
          <w:rFonts w:asciiTheme="majorHAnsi" w:hAnsiTheme="majorHAnsi"/>
          <w:b w:val="0"/>
          <w:smallCaps w:val="0"/>
          <w:color w:val="4F81BD" w:themeColor="accent1"/>
        </w:rPr>
        <w:fldChar w:fldCharType="separate"/>
      </w:r>
      <w:r w:rsidR="00554B16">
        <w:rPr>
          <w:noProof/>
        </w:rPr>
        <w:t>List of Acronyms and Abbreviations</w:t>
      </w:r>
      <w:r w:rsidR="00554B16">
        <w:rPr>
          <w:noProof/>
        </w:rPr>
        <w:tab/>
      </w:r>
      <w:r w:rsidR="00554B16">
        <w:rPr>
          <w:noProof/>
        </w:rPr>
        <w:fldChar w:fldCharType="begin"/>
      </w:r>
      <w:r w:rsidR="00554B16">
        <w:rPr>
          <w:noProof/>
        </w:rPr>
        <w:instrText xml:space="preserve"> PAGEREF _Toc437338108 \h </w:instrText>
      </w:r>
      <w:r w:rsidR="00554B16">
        <w:rPr>
          <w:noProof/>
        </w:rPr>
      </w:r>
      <w:r w:rsidR="00554B16">
        <w:rPr>
          <w:noProof/>
        </w:rPr>
        <w:fldChar w:fldCharType="separate"/>
      </w:r>
      <w:r w:rsidR="00D858DE">
        <w:rPr>
          <w:noProof/>
        </w:rPr>
        <w:t>vii</w:t>
      </w:r>
      <w:r w:rsidR="00554B16">
        <w:rPr>
          <w:noProof/>
        </w:rPr>
        <w:fldChar w:fldCharType="end"/>
      </w:r>
    </w:p>
    <w:p w14:paraId="0E379AB1" w14:textId="77777777" w:rsidR="00554B16" w:rsidRDefault="00554B16">
      <w:pPr>
        <w:pStyle w:val="TOC1"/>
        <w:rPr>
          <w:rFonts w:asciiTheme="minorHAnsi" w:eastAsiaTheme="minorEastAsia" w:hAnsiTheme="minorHAnsi" w:cstheme="minorBidi"/>
          <w:b w:val="0"/>
          <w:smallCaps w:val="0"/>
          <w:noProof/>
          <w:color w:val="auto"/>
        </w:rPr>
      </w:pPr>
      <w:r>
        <w:rPr>
          <w:noProof/>
        </w:rPr>
        <w:t>Executive Summary</w:t>
      </w:r>
      <w:r>
        <w:rPr>
          <w:noProof/>
        </w:rPr>
        <w:tab/>
      </w:r>
      <w:r>
        <w:rPr>
          <w:noProof/>
        </w:rPr>
        <w:fldChar w:fldCharType="begin"/>
      </w:r>
      <w:r>
        <w:rPr>
          <w:noProof/>
        </w:rPr>
        <w:instrText xml:space="preserve"> PAGEREF _Toc437338109 \h </w:instrText>
      </w:r>
      <w:r>
        <w:rPr>
          <w:noProof/>
        </w:rPr>
      </w:r>
      <w:r>
        <w:rPr>
          <w:noProof/>
        </w:rPr>
        <w:fldChar w:fldCharType="separate"/>
      </w:r>
      <w:r w:rsidR="00D858DE">
        <w:rPr>
          <w:noProof/>
        </w:rPr>
        <w:t>1</w:t>
      </w:r>
      <w:r>
        <w:rPr>
          <w:noProof/>
        </w:rPr>
        <w:fldChar w:fldCharType="end"/>
      </w:r>
    </w:p>
    <w:p w14:paraId="06363406" w14:textId="77777777" w:rsidR="00554B16" w:rsidRDefault="00554B16">
      <w:pPr>
        <w:pStyle w:val="TOC2"/>
        <w:rPr>
          <w:rFonts w:asciiTheme="minorHAnsi" w:eastAsiaTheme="minorEastAsia" w:hAnsiTheme="minorHAnsi" w:cstheme="minorBidi"/>
          <w:noProof/>
          <w:color w:val="auto"/>
          <w:sz w:val="22"/>
          <w:szCs w:val="22"/>
        </w:rPr>
      </w:pPr>
      <w:r>
        <w:rPr>
          <w:noProof/>
        </w:rPr>
        <w:t>Australia’s Terrorism Insurance Scheme</w:t>
      </w:r>
      <w:r>
        <w:rPr>
          <w:noProof/>
        </w:rPr>
        <w:tab/>
      </w:r>
      <w:r>
        <w:rPr>
          <w:noProof/>
        </w:rPr>
        <w:fldChar w:fldCharType="begin"/>
      </w:r>
      <w:r>
        <w:rPr>
          <w:noProof/>
        </w:rPr>
        <w:instrText xml:space="preserve"> PAGEREF _Toc437338110 \h </w:instrText>
      </w:r>
      <w:r>
        <w:rPr>
          <w:noProof/>
        </w:rPr>
      </w:r>
      <w:r>
        <w:rPr>
          <w:noProof/>
        </w:rPr>
        <w:fldChar w:fldCharType="separate"/>
      </w:r>
      <w:r w:rsidR="00D858DE">
        <w:rPr>
          <w:noProof/>
        </w:rPr>
        <w:t>1</w:t>
      </w:r>
      <w:r>
        <w:rPr>
          <w:noProof/>
        </w:rPr>
        <w:fldChar w:fldCharType="end"/>
      </w:r>
    </w:p>
    <w:p w14:paraId="687674BD" w14:textId="77777777" w:rsidR="00554B16" w:rsidRDefault="00554B16">
      <w:pPr>
        <w:pStyle w:val="TOC1"/>
        <w:rPr>
          <w:rFonts w:asciiTheme="minorHAnsi" w:eastAsiaTheme="minorEastAsia" w:hAnsiTheme="minorHAnsi" w:cstheme="minorBidi"/>
          <w:b w:val="0"/>
          <w:smallCaps w:val="0"/>
          <w:noProof/>
          <w:color w:val="auto"/>
        </w:rPr>
      </w:pPr>
      <w:r>
        <w:rPr>
          <w:noProof/>
        </w:rPr>
        <w:t>Chapter 1:  Introduction</w:t>
      </w:r>
      <w:r>
        <w:rPr>
          <w:noProof/>
        </w:rPr>
        <w:tab/>
      </w:r>
      <w:r>
        <w:rPr>
          <w:noProof/>
        </w:rPr>
        <w:fldChar w:fldCharType="begin"/>
      </w:r>
      <w:r>
        <w:rPr>
          <w:noProof/>
        </w:rPr>
        <w:instrText xml:space="preserve"> PAGEREF _Toc437338111 \h </w:instrText>
      </w:r>
      <w:r>
        <w:rPr>
          <w:noProof/>
        </w:rPr>
      </w:r>
      <w:r>
        <w:rPr>
          <w:noProof/>
        </w:rPr>
        <w:fldChar w:fldCharType="separate"/>
      </w:r>
      <w:r w:rsidR="00D858DE">
        <w:rPr>
          <w:noProof/>
        </w:rPr>
        <w:t>5</w:t>
      </w:r>
      <w:r>
        <w:rPr>
          <w:noProof/>
        </w:rPr>
        <w:fldChar w:fldCharType="end"/>
      </w:r>
    </w:p>
    <w:p w14:paraId="23695718" w14:textId="77777777" w:rsidR="00554B16" w:rsidRDefault="00554B16">
      <w:pPr>
        <w:pStyle w:val="TOC2"/>
        <w:rPr>
          <w:rFonts w:asciiTheme="minorHAnsi" w:eastAsiaTheme="minorEastAsia" w:hAnsiTheme="minorHAnsi" w:cstheme="minorBidi"/>
          <w:noProof/>
          <w:color w:val="auto"/>
          <w:sz w:val="22"/>
          <w:szCs w:val="22"/>
        </w:rPr>
      </w:pPr>
      <w:r>
        <w:rPr>
          <w:noProof/>
        </w:rPr>
        <w:t>Rationale of the scheme</w:t>
      </w:r>
      <w:r>
        <w:rPr>
          <w:noProof/>
        </w:rPr>
        <w:tab/>
      </w:r>
      <w:r>
        <w:rPr>
          <w:noProof/>
        </w:rPr>
        <w:fldChar w:fldCharType="begin"/>
      </w:r>
      <w:r>
        <w:rPr>
          <w:noProof/>
        </w:rPr>
        <w:instrText xml:space="preserve"> PAGEREF _Toc437338112 \h </w:instrText>
      </w:r>
      <w:r>
        <w:rPr>
          <w:noProof/>
        </w:rPr>
      </w:r>
      <w:r>
        <w:rPr>
          <w:noProof/>
        </w:rPr>
        <w:fldChar w:fldCharType="separate"/>
      </w:r>
      <w:r w:rsidR="00D858DE">
        <w:rPr>
          <w:noProof/>
        </w:rPr>
        <w:t>5</w:t>
      </w:r>
      <w:r>
        <w:rPr>
          <w:noProof/>
        </w:rPr>
        <w:fldChar w:fldCharType="end"/>
      </w:r>
    </w:p>
    <w:p w14:paraId="1B3F04CB" w14:textId="77777777" w:rsidR="00554B16" w:rsidRDefault="00554B16">
      <w:pPr>
        <w:pStyle w:val="TOC1"/>
        <w:rPr>
          <w:rFonts w:asciiTheme="minorHAnsi" w:eastAsiaTheme="minorEastAsia" w:hAnsiTheme="minorHAnsi" w:cstheme="minorBidi"/>
          <w:b w:val="0"/>
          <w:smallCaps w:val="0"/>
          <w:noProof/>
          <w:color w:val="auto"/>
        </w:rPr>
      </w:pPr>
      <w:r>
        <w:rPr>
          <w:noProof/>
        </w:rPr>
        <w:t>Chapter 2:  Continuation of the act</w:t>
      </w:r>
      <w:r>
        <w:rPr>
          <w:noProof/>
        </w:rPr>
        <w:tab/>
      </w:r>
      <w:r>
        <w:rPr>
          <w:noProof/>
        </w:rPr>
        <w:fldChar w:fldCharType="begin"/>
      </w:r>
      <w:r>
        <w:rPr>
          <w:noProof/>
        </w:rPr>
        <w:instrText xml:space="preserve"> PAGEREF _Toc437338113 \h </w:instrText>
      </w:r>
      <w:r>
        <w:rPr>
          <w:noProof/>
        </w:rPr>
      </w:r>
      <w:r>
        <w:rPr>
          <w:noProof/>
        </w:rPr>
        <w:fldChar w:fldCharType="separate"/>
      </w:r>
      <w:r w:rsidR="00D858DE">
        <w:rPr>
          <w:noProof/>
        </w:rPr>
        <w:t>9</w:t>
      </w:r>
      <w:r>
        <w:rPr>
          <w:noProof/>
        </w:rPr>
        <w:fldChar w:fldCharType="end"/>
      </w:r>
    </w:p>
    <w:p w14:paraId="5BA7A7C0" w14:textId="77777777" w:rsidR="00554B16" w:rsidRDefault="00554B16">
      <w:pPr>
        <w:pStyle w:val="TOC2"/>
        <w:rPr>
          <w:rFonts w:asciiTheme="minorHAnsi" w:eastAsiaTheme="minorEastAsia" w:hAnsiTheme="minorHAnsi" w:cstheme="minorBidi"/>
          <w:noProof/>
          <w:color w:val="auto"/>
          <w:sz w:val="22"/>
          <w:szCs w:val="22"/>
        </w:rPr>
      </w:pPr>
      <w:r>
        <w:rPr>
          <w:noProof/>
        </w:rPr>
        <w:t>Issue</w:t>
      </w:r>
      <w:r>
        <w:rPr>
          <w:noProof/>
        </w:rPr>
        <w:tab/>
      </w:r>
      <w:r>
        <w:rPr>
          <w:noProof/>
        </w:rPr>
        <w:fldChar w:fldCharType="begin"/>
      </w:r>
      <w:r>
        <w:rPr>
          <w:noProof/>
        </w:rPr>
        <w:instrText xml:space="preserve"> PAGEREF _Toc437338114 \h </w:instrText>
      </w:r>
      <w:r>
        <w:rPr>
          <w:noProof/>
        </w:rPr>
      </w:r>
      <w:r>
        <w:rPr>
          <w:noProof/>
        </w:rPr>
        <w:fldChar w:fldCharType="separate"/>
      </w:r>
      <w:r w:rsidR="00D858DE">
        <w:rPr>
          <w:noProof/>
        </w:rPr>
        <w:t>9</w:t>
      </w:r>
      <w:r>
        <w:rPr>
          <w:noProof/>
        </w:rPr>
        <w:fldChar w:fldCharType="end"/>
      </w:r>
    </w:p>
    <w:p w14:paraId="49DB5FF1" w14:textId="77777777" w:rsidR="00554B16" w:rsidRDefault="00554B16">
      <w:pPr>
        <w:pStyle w:val="TOC2"/>
        <w:rPr>
          <w:rFonts w:asciiTheme="minorHAnsi" w:eastAsiaTheme="minorEastAsia" w:hAnsiTheme="minorHAnsi" w:cstheme="minorBidi"/>
          <w:noProof/>
          <w:color w:val="auto"/>
          <w:sz w:val="22"/>
          <w:szCs w:val="22"/>
        </w:rPr>
      </w:pPr>
      <w:r>
        <w:rPr>
          <w:noProof/>
        </w:rPr>
        <w:t>Recommendation</w:t>
      </w:r>
      <w:r>
        <w:rPr>
          <w:noProof/>
        </w:rPr>
        <w:tab/>
      </w:r>
      <w:r>
        <w:rPr>
          <w:noProof/>
        </w:rPr>
        <w:fldChar w:fldCharType="begin"/>
      </w:r>
      <w:r>
        <w:rPr>
          <w:noProof/>
        </w:rPr>
        <w:instrText xml:space="preserve"> PAGEREF _Toc437338115 \h </w:instrText>
      </w:r>
      <w:r>
        <w:rPr>
          <w:noProof/>
        </w:rPr>
      </w:r>
      <w:r>
        <w:rPr>
          <w:noProof/>
        </w:rPr>
        <w:fldChar w:fldCharType="separate"/>
      </w:r>
      <w:r w:rsidR="00D858DE">
        <w:rPr>
          <w:noProof/>
        </w:rPr>
        <w:t>9</w:t>
      </w:r>
      <w:r>
        <w:rPr>
          <w:noProof/>
        </w:rPr>
        <w:fldChar w:fldCharType="end"/>
      </w:r>
    </w:p>
    <w:p w14:paraId="7FFC8FAA" w14:textId="77777777" w:rsidR="00554B16" w:rsidRDefault="00554B16">
      <w:pPr>
        <w:pStyle w:val="TOC2"/>
        <w:rPr>
          <w:rFonts w:asciiTheme="minorHAnsi" w:eastAsiaTheme="minorEastAsia" w:hAnsiTheme="minorHAnsi" w:cstheme="minorBidi"/>
          <w:noProof/>
          <w:color w:val="auto"/>
          <w:sz w:val="22"/>
          <w:szCs w:val="22"/>
        </w:rPr>
      </w:pPr>
      <w:r>
        <w:rPr>
          <w:noProof/>
        </w:rPr>
        <w:t>Assessment</w:t>
      </w:r>
      <w:r>
        <w:rPr>
          <w:noProof/>
        </w:rPr>
        <w:tab/>
      </w:r>
      <w:r>
        <w:rPr>
          <w:noProof/>
        </w:rPr>
        <w:fldChar w:fldCharType="begin"/>
      </w:r>
      <w:r>
        <w:rPr>
          <w:noProof/>
        </w:rPr>
        <w:instrText xml:space="preserve"> PAGEREF _Toc437338116 \h </w:instrText>
      </w:r>
      <w:r>
        <w:rPr>
          <w:noProof/>
        </w:rPr>
      </w:r>
      <w:r>
        <w:rPr>
          <w:noProof/>
        </w:rPr>
        <w:fldChar w:fldCharType="separate"/>
      </w:r>
      <w:r w:rsidR="00D858DE">
        <w:rPr>
          <w:noProof/>
        </w:rPr>
        <w:t>9</w:t>
      </w:r>
      <w:r>
        <w:rPr>
          <w:noProof/>
        </w:rPr>
        <w:fldChar w:fldCharType="end"/>
      </w:r>
    </w:p>
    <w:p w14:paraId="17207B46" w14:textId="77777777" w:rsidR="00554B16" w:rsidRDefault="00554B16">
      <w:pPr>
        <w:pStyle w:val="TOC1"/>
        <w:rPr>
          <w:rFonts w:asciiTheme="minorHAnsi" w:eastAsiaTheme="minorEastAsia" w:hAnsiTheme="minorHAnsi" w:cstheme="minorBidi"/>
          <w:b w:val="0"/>
          <w:smallCaps w:val="0"/>
          <w:noProof/>
          <w:color w:val="auto"/>
        </w:rPr>
      </w:pPr>
      <w:r>
        <w:rPr>
          <w:noProof/>
        </w:rPr>
        <w:t>Chapter 3:  Ownership structure of the ARPC</w:t>
      </w:r>
      <w:r>
        <w:rPr>
          <w:noProof/>
        </w:rPr>
        <w:tab/>
      </w:r>
      <w:r>
        <w:rPr>
          <w:noProof/>
        </w:rPr>
        <w:fldChar w:fldCharType="begin"/>
      </w:r>
      <w:r>
        <w:rPr>
          <w:noProof/>
        </w:rPr>
        <w:instrText xml:space="preserve"> PAGEREF _Toc437338117 \h </w:instrText>
      </w:r>
      <w:r>
        <w:rPr>
          <w:noProof/>
        </w:rPr>
      </w:r>
      <w:r>
        <w:rPr>
          <w:noProof/>
        </w:rPr>
        <w:fldChar w:fldCharType="separate"/>
      </w:r>
      <w:r w:rsidR="00D858DE">
        <w:rPr>
          <w:noProof/>
        </w:rPr>
        <w:t>13</w:t>
      </w:r>
      <w:r>
        <w:rPr>
          <w:noProof/>
        </w:rPr>
        <w:fldChar w:fldCharType="end"/>
      </w:r>
    </w:p>
    <w:p w14:paraId="5425F256" w14:textId="77777777" w:rsidR="00554B16" w:rsidRDefault="00554B16">
      <w:pPr>
        <w:pStyle w:val="TOC2"/>
        <w:rPr>
          <w:rFonts w:asciiTheme="minorHAnsi" w:eastAsiaTheme="minorEastAsia" w:hAnsiTheme="minorHAnsi" w:cstheme="minorBidi"/>
          <w:noProof/>
          <w:color w:val="auto"/>
          <w:sz w:val="22"/>
          <w:szCs w:val="22"/>
        </w:rPr>
      </w:pPr>
      <w:r>
        <w:rPr>
          <w:noProof/>
        </w:rPr>
        <w:t>Issue</w:t>
      </w:r>
      <w:r>
        <w:rPr>
          <w:noProof/>
        </w:rPr>
        <w:tab/>
      </w:r>
      <w:r>
        <w:rPr>
          <w:noProof/>
        </w:rPr>
        <w:fldChar w:fldCharType="begin"/>
      </w:r>
      <w:r>
        <w:rPr>
          <w:noProof/>
        </w:rPr>
        <w:instrText xml:space="preserve"> PAGEREF _Toc437338118 \h </w:instrText>
      </w:r>
      <w:r>
        <w:rPr>
          <w:noProof/>
        </w:rPr>
      </w:r>
      <w:r>
        <w:rPr>
          <w:noProof/>
        </w:rPr>
        <w:fldChar w:fldCharType="separate"/>
      </w:r>
      <w:r w:rsidR="00D858DE">
        <w:rPr>
          <w:noProof/>
        </w:rPr>
        <w:t>13</w:t>
      </w:r>
      <w:r>
        <w:rPr>
          <w:noProof/>
        </w:rPr>
        <w:fldChar w:fldCharType="end"/>
      </w:r>
    </w:p>
    <w:p w14:paraId="4ECEB923" w14:textId="77777777" w:rsidR="00554B16" w:rsidRDefault="00554B16">
      <w:pPr>
        <w:pStyle w:val="TOC2"/>
        <w:rPr>
          <w:rFonts w:asciiTheme="minorHAnsi" w:eastAsiaTheme="minorEastAsia" w:hAnsiTheme="minorHAnsi" w:cstheme="minorBidi"/>
          <w:noProof/>
          <w:color w:val="auto"/>
          <w:sz w:val="22"/>
          <w:szCs w:val="22"/>
        </w:rPr>
      </w:pPr>
      <w:r>
        <w:rPr>
          <w:noProof/>
        </w:rPr>
        <w:t>Recommendation</w:t>
      </w:r>
      <w:r>
        <w:rPr>
          <w:noProof/>
        </w:rPr>
        <w:tab/>
      </w:r>
      <w:r>
        <w:rPr>
          <w:noProof/>
        </w:rPr>
        <w:fldChar w:fldCharType="begin"/>
      </w:r>
      <w:r>
        <w:rPr>
          <w:noProof/>
        </w:rPr>
        <w:instrText xml:space="preserve"> PAGEREF _Toc437338119 \h </w:instrText>
      </w:r>
      <w:r>
        <w:rPr>
          <w:noProof/>
        </w:rPr>
      </w:r>
      <w:r>
        <w:rPr>
          <w:noProof/>
        </w:rPr>
        <w:fldChar w:fldCharType="separate"/>
      </w:r>
      <w:r w:rsidR="00D858DE">
        <w:rPr>
          <w:noProof/>
        </w:rPr>
        <w:t>13</w:t>
      </w:r>
      <w:r>
        <w:rPr>
          <w:noProof/>
        </w:rPr>
        <w:fldChar w:fldCharType="end"/>
      </w:r>
    </w:p>
    <w:p w14:paraId="6BA16322" w14:textId="77777777" w:rsidR="00554B16" w:rsidRDefault="00554B16">
      <w:pPr>
        <w:pStyle w:val="TOC2"/>
        <w:rPr>
          <w:rFonts w:asciiTheme="minorHAnsi" w:eastAsiaTheme="minorEastAsia" w:hAnsiTheme="minorHAnsi" w:cstheme="minorBidi"/>
          <w:noProof/>
          <w:color w:val="auto"/>
          <w:sz w:val="22"/>
          <w:szCs w:val="22"/>
        </w:rPr>
      </w:pPr>
      <w:r>
        <w:rPr>
          <w:noProof/>
        </w:rPr>
        <w:t>Assessment</w:t>
      </w:r>
      <w:r>
        <w:rPr>
          <w:noProof/>
        </w:rPr>
        <w:tab/>
      </w:r>
      <w:r>
        <w:rPr>
          <w:noProof/>
        </w:rPr>
        <w:fldChar w:fldCharType="begin"/>
      </w:r>
      <w:r>
        <w:rPr>
          <w:noProof/>
        </w:rPr>
        <w:instrText xml:space="preserve"> PAGEREF _Toc437338120 \h </w:instrText>
      </w:r>
      <w:r>
        <w:rPr>
          <w:noProof/>
        </w:rPr>
      </w:r>
      <w:r>
        <w:rPr>
          <w:noProof/>
        </w:rPr>
        <w:fldChar w:fldCharType="separate"/>
      </w:r>
      <w:r w:rsidR="00D858DE">
        <w:rPr>
          <w:noProof/>
        </w:rPr>
        <w:t>13</w:t>
      </w:r>
      <w:r>
        <w:rPr>
          <w:noProof/>
        </w:rPr>
        <w:fldChar w:fldCharType="end"/>
      </w:r>
    </w:p>
    <w:p w14:paraId="2964ED03" w14:textId="77777777" w:rsidR="00554B16" w:rsidRDefault="00554B16">
      <w:pPr>
        <w:pStyle w:val="TOC1"/>
        <w:rPr>
          <w:rFonts w:asciiTheme="minorHAnsi" w:eastAsiaTheme="minorEastAsia" w:hAnsiTheme="minorHAnsi" w:cstheme="minorBidi"/>
          <w:b w:val="0"/>
          <w:smallCaps w:val="0"/>
          <w:noProof/>
          <w:color w:val="auto"/>
        </w:rPr>
      </w:pPr>
      <w:r>
        <w:rPr>
          <w:noProof/>
        </w:rPr>
        <w:t>Chapter 4:  Ensuring Financial Sustainability of the Scheme</w:t>
      </w:r>
      <w:r>
        <w:rPr>
          <w:noProof/>
        </w:rPr>
        <w:tab/>
      </w:r>
      <w:r>
        <w:rPr>
          <w:noProof/>
        </w:rPr>
        <w:fldChar w:fldCharType="begin"/>
      </w:r>
      <w:r>
        <w:rPr>
          <w:noProof/>
        </w:rPr>
        <w:instrText xml:space="preserve"> PAGEREF _Toc437338121 \h </w:instrText>
      </w:r>
      <w:r>
        <w:rPr>
          <w:noProof/>
        </w:rPr>
      </w:r>
      <w:r>
        <w:rPr>
          <w:noProof/>
        </w:rPr>
        <w:fldChar w:fldCharType="separate"/>
      </w:r>
      <w:r w:rsidR="00D858DE">
        <w:rPr>
          <w:noProof/>
        </w:rPr>
        <w:t>17</w:t>
      </w:r>
      <w:r>
        <w:rPr>
          <w:noProof/>
        </w:rPr>
        <w:fldChar w:fldCharType="end"/>
      </w:r>
    </w:p>
    <w:p w14:paraId="1FE567E1" w14:textId="77777777" w:rsidR="00554B16" w:rsidRDefault="00554B16">
      <w:pPr>
        <w:pStyle w:val="TOC2"/>
        <w:rPr>
          <w:rFonts w:asciiTheme="minorHAnsi" w:eastAsiaTheme="minorEastAsia" w:hAnsiTheme="minorHAnsi" w:cstheme="minorBidi"/>
          <w:noProof/>
          <w:color w:val="auto"/>
          <w:sz w:val="22"/>
          <w:szCs w:val="22"/>
        </w:rPr>
      </w:pPr>
      <w:r>
        <w:rPr>
          <w:noProof/>
        </w:rPr>
        <w:t>Industry retentions</w:t>
      </w:r>
      <w:r>
        <w:rPr>
          <w:noProof/>
        </w:rPr>
        <w:tab/>
      </w:r>
      <w:r>
        <w:rPr>
          <w:noProof/>
        </w:rPr>
        <w:fldChar w:fldCharType="begin"/>
      </w:r>
      <w:r>
        <w:rPr>
          <w:noProof/>
        </w:rPr>
        <w:instrText xml:space="preserve"> PAGEREF _Toc437338122 \h </w:instrText>
      </w:r>
      <w:r>
        <w:rPr>
          <w:noProof/>
        </w:rPr>
      </w:r>
      <w:r>
        <w:rPr>
          <w:noProof/>
        </w:rPr>
        <w:fldChar w:fldCharType="separate"/>
      </w:r>
      <w:r w:rsidR="00D858DE">
        <w:rPr>
          <w:noProof/>
        </w:rPr>
        <w:t>17</w:t>
      </w:r>
      <w:r>
        <w:rPr>
          <w:noProof/>
        </w:rPr>
        <w:fldChar w:fldCharType="end"/>
      </w:r>
    </w:p>
    <w:p w14:paraId="3ECEE9C5" w14:textId="77777777" w:rsidR="00554B16" w:rsidRDefault="00554B16">
      <w:pPr>
        <w:pStyle w:val="TOC2"/>
        <w:rPr>
          <w:rFonts w:asciiTheme="minorHAnsi" w:eastAsiaTheme="minorEastAsia" w:hAnsiTheme="minorHAnsi" w:cstheme="minorBidi"/>
          <w:noProof/>
          <w:color w:val="auto"/>
          <w:sz w:val="22"/>
          <w:szCs w:val="22"/>
        </w:rPr>
      </w:pPr>
      <w:r>
        <w:rPr>
          <w:noProof/>
        </w:rPr>
        <w:t>Continuation of Retrocession Program</w:t>
      </w:r>
      <w:r>
        <w:rPr>
          <w:noProof/>
        </w:rPr>
        <w:tab/>
      </w:r>
      <w:r>
        <w:rPr>
          <w:noProof/>
        </w:rPr>
        <w:fldChar w:fldCharType="begin"/>
      </w:r>
      <w:r>
        <w:rPr>
          <w:noProof/>
        </w:rPr>
        <w:instrText xml:space="preserve"> PAGEREF _Toc437338123 \h </w:instrText>
      </w:r>
      <w:r>
        <w:rPr>
          <w:noProof/>
        </w:rPr>
      </w:r>
      <w:r>
        <w:rPr>
          <w:noProof/>
        </w:rPr>
        <w:fldChar w:fldCharType="separate"/>
      </w:r>
      <w:r w:rsidR="00D858DE">
        <w:rPr>
          <w:noProof/>
        </w:rPr>
        <w:t>18</w:t>
      </w:r>
      <w:r>
        <w:rPr>
          <w:noProof/>
        </w:rPr>
        <w:fldChar w:fldCharType="end"/>
      </w:r>
    </w:p>
    <w:p w14:paraId="22EB0BE6" w14:textId="77777777" w:rsidR="00554B16" w:rsidRDefault="00554B16">
      <w:pPr>
        <w:pStyle w:val="TOC2"/>
        <w:rPr>
          <w:rFonts w:asciiTheme="minorHAnsi" w:eastAsiaTheme="minorEastAsia" w:hAnsiTheme="minorHAnsi" w:cstheme="minorBidi"/>
          <w:noProof/>
          <w:color w:val="auto"/>
          <w:sz w:val="22"/>
          <w:szCs w:val="22"/>
        </w:rPr>
      </w:pPr>
      <w:r>
        <w:rPr>
          <w:noProof/>
        </w:rPr>
        <w:t>Compensation to government</w:t>
      </w:r>
      <w:r>
        <w:rPr>
          <w:noProof/>
        </w:rPr>
        <w:tab/>
      </w:r>
      <w:r>
        <w:rPr>
          <w:noProof/>
        </w:rPr>
        <w:fldChar w:fldCharType="begin"/>
      </w:r>
      <w:r>
        <w:rPr>
          <w:noProof/>
        </w:rPr>
        <w:instrText xml:space="preserve"> PAGEREF _Toc437338124 \h </w:instrText>
      </w:r>
      <w:r>
        <w:rPr>
          <w:noProof/>
        </w:rPr>
      </w:r>
      <w:r>
        <w:rPr>
          <w:noProof/>
        </w:rPr>
        <w:fldChar w:fldCharType="separate"/>
      </w:r>
      <w:r w:rsidR="00D858DE">
        <w:rPr>
          <w:noProof/>
        </w:rPr>
        <w:t>19</w:t>
      </w:r>
      <w:r>
        <w:rPr>
          <w:noProof/>
        </w:rPr>
        <w:fldChar w:fldCharType="end"/>
      </w:r>
    </w:p>
    <w:p w14:paraId="2E344E86" w14:textId="77777777" w:rsidR="00554B16" w:rsidRDefault="00554B16">
      <w:pPr>
        <w:pStyle w:val="TOC2"/>
        <w:rPr>
          <w:rFonts w:asciiTheme="minorHAnsi" w:eastAsiaTheme="minorEastAsia" w:hAnsiTheme="minorHAnsi" w:cstheme="minorBidi"/>
          <w:noProof/>
          <w:color w:val="auto"/>
          <w:sz w:val="22"/>
          <w:szCs w:val="22"/>
        </w:rPr>
      </w:pPr>
      <w:r>
        <w:rPr>
          <w:noProof/>
        </w:rPr>
        <w:t>Premium pricing</w:t>
      </w:r>
      <w:r>
        <w:rPr>
          <w:noProof/>
        </w:rPr>
        <w:tab/>
      </w:r>
      <w:r>
        <w:rPr>
          <w:noProof/>
        </w:rPr>
        <w:fldChar w:fldCharType="begin"/>
      </w:r>
      <w:r>
        <w:rPr>
          <w:noProof/>
        </w:rPr>
        <w:instrText xml:space="preserve"> PAGEREF _Toc437338125 \h </w:instrText>
      </w:r>
      <w:r>
        <w:rPr>
          <w:noProof/>
        </w:rPr>
      </w:r>
      <w:r>
        <w:rPr>
          <w:noProof/>
        </w:rPr>
        <w:fldChar w:fldCharType="separate"/>
      </w:r>
      <w:r w:rsidR="00D858DE">
        <w:rPr>
          <w:noProof/>
        </w:rPr>
        <w:t>22</w:t>
      </w:r>
      <w:r>
        <w:rPr>
          <w:noProof/>
        </w:rPr>
        <w:fldChar w:fldCharType="end"/>
      </w:r>
    </w:p>
    <w:p w14:paraId="27B52799" w14:textId="77777777" w:rsidR="00554B16" w:rsidRDefault="00554B16">
      <w:pPr>
        <w:pStyle w:val="TOC1"/>
        <w:rPr>
          <w:rFonts w:asciiTheme="minorHAnsi" w:eastAsiaTheme="minorEastAsia" w:hAnsiTheme="minorHAnsi" w:cstheme="minorBidi"/>
          <w:b w:val="0"/>
          <w:smallCaps w:val="0"/>
          <w:noProof/>
          <w:color w:val="auto"/>
        </w:rPr>
      </w:pPr>
      <w:r>
        <w:rPr>
          <w:noProof/>
        </w:rPr>
        <w:t>Chapter 5:  Clarifying the coverage of the scheme</w:t>
      </w:r>
      <w:r>
        <w:rPr>
          <w:noProof/>
        </w:rPr>
        <w:tab/>
      </w:r>
      <w:r>
        <w:rPr>
          <w:noProof/>
        </w:rPr>
        <w:fldChar w:fldCharType="begin"/>
      </w:r>
      <w:r>
        <w:rPr>
          <w:noProof/>
        </w:rPr>
        <w:instrText xml:space="preserve"> PAGEREF _Toc437338126 \h </w:instrText>
      </w:r>
      <w:r>
        <w:rPr>
          <w:noProof/>
        </w:rPr>
      </w:r>
      <w:r>
        <w:rPr>
          <w:noProof/>
        </w:rPr>
        <w:fldChar w:fldCharType="separate"/>
      </w:r>
      <w:r w:rsidR="00D858DE">
        <w:rPr>
          <w:noProof/>
        </w:rPr>
        <w:t>25</w:t>
      </w:r>
      <w:r>
        <w:rPr>
          <w:noProof/>
        </w:rPr>
        <w:fldChar w:fldCharType="end"/>
      </w:r>
    </w:p>
    <w:p w14:paraId="6BBCE5E8" w14:textId="77777777" w:rsidR="00554B16" w:rsidRDefault="00554B16">
      <w:pPr>
        <w:pStyle w:val="TOC2"/>
        <w:rPr>
          <w:rFonts w:asciiTheme="minorHAnsi" w:eastAsiaTheme="minorEastAsia" w:hAnsiTheme="minorHAnsi" w:cstheme="minorBidi"/>
          <w:noProof/>
          <w:color w:val="auto"/>
          <w:sz w:val="22"/>
          <w:szCs w:val="22"/>
        </w:rPr>
      </w:pPr>
      <w:r>
        <w:rPr>
          <w:noProof/>
        </w:rPr>
        <w:t>Mixed</w:t>
      </w:r>
      <w:r>
        <w:rPr>
          <w:noProof/>
        </w:rPr>
        <w:noBreakHyphen/>
        <w:t>use and high</w:t>
      </w:r>
      <w:r>
        <w:rPr>
          <w:noProof/>
        </w:rPr>
        <w:noBreakHyphen/>
        <w:t>rise residential building cover</w:t>
      </w:r>
      <w:r>
        <w:rPr>
          <w:noProof/>
        </w:rPr>
        <w:tab/>
      </w:r>
      <w:r>
        <w:rPr>
          <w:noProof/>
        </w:rPr>
        <w:fldChar w:fldCharType="begin"/>
      </w:r>
      <w:r>
        <w:rPr>
          <w:noProof/>
        </w:rPr>
        <w:instrText xml:space="preserve"> PAGEREF _Toc437338127 \h </w:instrText>
      </w:r>
      <w:r>
        <w:rPr>
          <w:noProof/>
        </w:rPr>
      </w:r>
      <w:r>
        <w:rPr>
          <w:noProof/>
        </w:rPr>
        <w:fldChar w:fldCharType="separate"/>
      </w:r>
      <w:r w:rsidR="00D858DE">
        <w:rPr>
          <w:noProof/>
        </w:rPr>
        <w:t>25</w:t>
      </w:r>
      <w:r>
        <w:rPr>
          <w:noProof/>
        </w:rPr>
        <w:fldChar w:fldCharType="end"/>
      </w:r>
    </w:p>
    <w:p w14:paraId="48CCE081" w14:textId="77777777" w:rsidR="00554B16" w:rsidRDefault="00554B16">
      <w:pPr>
        <w:pStyle w:val="TOC2"/>
        <w:rPr>
          <w:rFonts w:asciiTheme="minorHAnsi" w:eastAsiaTheme="minorEastAsia" w:hAnsiTheme="minorHAnsi" w:cstheme="minorBidi"/>
          <w:noProof/>
          <w:color w:val="auto"/>
          <w:sz w:val="22"/>
          <w:szCs w:val="22"/>
        </w:rPr>
      </w:pPr>
      <w:r>
        <w:rPr>
          <w:noProof/>
        </w:rPr>
        <w:t>Impact of exclusions in insurance policies</w:t>
      </w:r>
      <w:r>
        <w:rPr>
          <w:noProof/>
        </w:rPr>
        <w:tab/>
      </w:r>
      <w:r>
        <w:rPr>
          <w:noProof/>
        </w:rPr>
        <w:fldChar w:fldCharType="begin"/>
      </w:r>
      <w:r>
        <w:rPr>
          <w:noProof/>
        </w:rPr>
        <w:instrText xml:space="preserve"> PAGEREF _Toc437338128 \h </w:instrText>
      </w:r>
      <w:r>
        <w:rPr>
          <w:noProof/>
        </w:rPr>
      </w:r>
      <w:r>
        <w:rPr>
          <w:noProof/>
        </w:rPr>
        <w:fldChar w:fldCharType="separate"/>
      </w:r>
      <w:r w:rsidR="00D858DE">
        <w:rPr>
          <w:noProof/>
        </w:rPr>
        <w:t>27</w:t>
      </w:r>
      <w:r>
        <w:rPr>
          <w:noProof/>
        </w:rPr>
        <w:fldChar w:fldCharType="end"/>
      </w:r>
    </w:p>
    <w:p w14:paraId="76CD8C00" w14:textId="77777777" w:rsidR="00554B16" w:rsidRDefault="00554B16">
      <w:pPr>
        <w:pStyle w:val="TOC1"/>
        <w:rPr>
          <w:rFonts w:asciiTheme="minorHAnsi" w:eastAsiaTheme="minorEastAsia" w:hAnsiTheme="minorHAnsi" w:cstheme="minorBidi"/>
          <w:b w:val="0"/>
          <w:smallCaps w:val="0"/>
          <w:noProof/>
          <w:color w:val="auto"/>
        </w:rPr>
      </w:pPr>
      <w:r>
        <w:rPr>
          <w:noProof/>
        </w:rPr>
        <w:t>Appendix A:  Terms of reference</w:t>
      </w:r>
      <w:r>
        <w:rPr>
          <w:noProof/>
        </w:rPr>
        <w:tab/>
      </w:r>
      <w:r>
        <w:rPr>
          <w:noProof/>
        </w:rPr>
        <w:fldChar w:fldCharType="begin"/>
      </w:r>
      <w:r>
        <w:rPr>
          <w:noProof/>
        </w:rPr>
        <w:instrText xml:space="preserve"> PAGEREF _Toc437338129 \h </w:instrText>
      </w:r>
      <w:r>
        <w:rPr>
          <w:noProof/>
        </w:rPr>
      </w:r>
      <w:r>
        <w:rPr>
          <w:noProof/>
        </w:rPr>
        <w:fldChar w:fldCharType="separate"/>
      </w:r>
      <w:r w:rsidR="00D858DE">
        <w:rPr>
          <w:noProof/>
        </w:rPr>
        <w:t>29</w:t>
      </w:r>
      <w:r>
        <w:rPr>
          <w:noProof/>
        </w:rPr>
        <w:fldChar w:fldCharType="end"/>
      </w:r>
    </w:p>
    <w:p w14:paraId="4680E5B8" w14:textId="77777777" w:rsidR="00554B16" w:rsidRDefault="00554B16">
      <w:pPr>
        <w:pStyle w:val="TOC1"/>
        <w:rPr>
          <w:rFonts w:asciiTheme="minorHAnsi" w:eastAsiaTheme="minorEastAsia" w:hAnsiTheme="minorHAnsi" w:cstheme="minorBidi"/>
          <w:b w:val="0"/>
          <w:smallCaps w:val="0"/>
          <w:noProof/>
          <w:color w:val="auto"/>
        </w:rPr>
      </w:pPr>
      <w:r>
        <w:rPr>
          <w:noProof/>
        </w:rPr>
        <w:t>Appendix B:  International approaches</w:t>
      </w:r>
      <w:r>
        <w:rPr>
          <w:noProof/>
        </w:rPr>
        <w:tab/>
      </w:r>
      <w:r>
        <w:rPr>
          <w:noProof/>
        </w:rPr>
        <w:fldChar w:fldCharType="begin"/>
      </w:r>
      <w:r>
        <w:rPr>
          <w:noProof/>
        </w:rPr>
        <w:instrText xml:space="preserve"> PAGEREF _Toc437338130 \h </w:instrText>
      </w:r>
      <w:r>
        <w:rPr>
          <w:noProof/>
        </w:rPr>
      </w:r>
      <w:r>
        <w:rPr>
          <w:noProof/>
        </w:rPr>
        <w:fldChar w:fldCharType="separate"/>
      </w:r>
      <w:r w:rsidR="00D858DE">
        <w:rPr>
          <w:noProof/>
        </w:rPr>
        <w:t>30</w:t>
      </w:r>
      <w:r>
        <w:rPr>
          <w:noProof/>
        </w:rPr>
        <w:fldChar w:fldCharType="end"/>
      </w:r>
    </w:p>
    <w:p w14:paraId="59F99823" w14:textId="77777777" w:rsidR="00554B16" w:rsidRDefault="00554B16">
      <w:pPr>
        <w:pStyle w:val="TOC2"/>
        <w:rPr>
          <w:rFonts w:asciiTheme="minorHAnsi" w:eastAsiaTheme="minorEastAsia" w:hAnsiTheme="minorHAnsi" w:cstheme="minorBidi"/>
          <w:noProof/>
          <w:color w:val="auto"/>
          <w:sz w:val="22"/>
          <w:szCs w:val="22"/>
        </w:rPr>
      </w:pPr>
      <w:r>
        <w:rPr>
          <w:noProof/>
        </w:rPr>
        <w:t>Recent developments in the United Kingdom and United States</w:t>
      </w:r>
      <w:r>
        <w:rPr>
          <w:noProof/>
        </w:rPr>
        <w:tab/>
      </w:r>
      <w:r>
        <w:rPr>
          <w:noProof/>
        </w:rPr>
        <w:fldChar w:fldCharType="begin"/>
      </w:r>
      <w:r>
        <w:rPr>
          <w:noProof/>
        </w:rPr>
        <w:instrText xml:space="preserve"> PAGEREF _Toc437338131 \h </w:instrText>
      </w:r>
      <w:r>
        <w:rPr>
          <w:noProof/>
        </w:rPr>
      </w:r>
      <w:r>
        <w:rPr>
          <w:noProof/>
        </w:rPr>
        <w:fldChar w:fldCharType="separate"/>
      </w:r>
      <w:r w:rsidR="00D858DE">
        <w:rPr>
          <w:noProof/>
        </w:rPr>
        <w:t>30</w:t>
      </w:r>
      <w:r>
        <w:rPr>
          <w:noProof/>
        </w:rPr>
        <w:fldChar w:fldCharType="end"/>
      </w:r>
    </w:p>
    <w:p w14:paraId="574E5DD1" w14:textId="77777777" w:rsidR="00554B16" w:rsidRDefault="00554B16">
      <w:pPr>
        <w:pStyle w:val="TOC2"/>
        <w:rPr>
          <w:rFonts w:asciiTheme="minorHAnsi" w:eastAsiaTheme="minorEastAsia" w:hAnsiTheme="minorHAnsi" w:cstheme="minorBidi"/>
          <w:noProof/>
          <w:color w:val="auto"/>
          <w:sz w:val="22"/>
          <w:szCs w:val="22"/>
        </w:rPr>
      </w:pPr>
      <w:r>
        <w:rPr>
          <w:noProof/>
        </w:rPr>
        <w:t>How the Australian scheme compares with other schemes</w:t>
      </w:r>
      <w:r>
        <w:rPr>
          <w:noProof/>
        </w:rPr>
        <w:tab/>
      </w:r>
      <w:r>
        <w:rPr>
          <w:noProof/>
        </w:rPr>
        <w:fldChar w:fldCharType="begin"/>
      </w:r>
      <w:r>
        <w:rPr>
          <w:noProof/>
        </w:rPr>
        <w:instrText xml:space="preserve"> PAGEREF _Toc437338132 \h </w:instrText>
      </w:r>
      <w:r>
        <w:rPr>
          <w:noProof/>
        </w:rPr>
      </w:r>
      <w:r>
        <w:rPr>
          <w:noProof/>
        </w:rPr>
        <w:fldChar w:fldCharType="separate"/>
      </w:r>
      <w:r w:rsidR="00D858DE">
        <w:rPr>
          <w:noProof/>
        </w:rPr>
        <w:t>31</w:t>
      </w:r>
      <w:r>
        <w:rPr>
          <w:noProof/>
        </w:rPr>
        <w:fldChar w:fldCharType="end"/>
      </w:r>
    </w:p>
    <w:p w14:paraId="7471F25D" w14:textId="77777777" w:rsidR="00554B16" w:rsidRDefault="00554B16">
      <w:pPr>
        <w:pStyle w:val="TOC1"/>
        <w:rPr>
          <w:rFonts w:asciiTheme="minorHAnsi" w:eastAsiaTheme="minorEastAsia" w:hAnsiTheme="minorHAnsi" w:cstheme="minorBidi"/>
          <w:b w:val="0"/>
          <w:smallCaps w:val="0"/>
          <w:noProof/>
          <w:color w:val="auto"/>
        </w:rPr>
      </w:pPr>
      <w:r>
        <w:rPr>
          <w:noProof/>
        </w:rPr>
        <w:t>Annex A:  Pottinger Report</w:t>
      </w:r>
      <w:r>
        <w:rPr>
          <w:noProof/>
        </w:rPr>
        <w:tab/>
      </w:r>
    </w:p>
    <w:p w14:paraId="526BD903" w14:textId="77777777" w:rsidR="00554B16" w:rsidRDefault="00554B16">
      <w:pPr>
        <w:pStyle w:val="TOC1"/>
        <w:rPr>
          <w:rFonts w:asciiTheme="minorHAnsi" w:eastAsiaTheme="minorEastAsia" w:hAnsiTheme="minorHAnsi" w:cstheme="minorBidi"/>
          <w:b w:val="0"/>
          <w:smallCaps w:val="0"/>
          <w:noProof/>
          <w:color w:val="auto"/>
        </w:rPr>
      </w:pPr>
      <w:r>
        <w:rPr>
          <w:noProof/>
        </w:rPr>
        <w:t>Annex B:  Finity Report</w:t>
      </w:r>
      <w:r>
        <w:rPr>
          <w:noProof/>
        </w:rPr>
        <w:tab/>
      </w:r>
    </w:p>
    <w:p w14:paraId="0E713244" w14:textId="77777777" w:rsidR="00D85D73" w:rsidRDefault="00951A43" w:rsidP="00951A43">
      <w:r>
        <w:fldChar w:fldCharType="end"/>
      </w:r>
    </w:p>
    <w:p w14:paraId="27A21CF1" w14:textId="77777777" w:rsidR="00951A43" w:rsidRDefault="00951A43" w:rsidP="00951A43"/>
    <w:p w14:paraId="113D12E9" w14:textId="77777777" w:rsidR="00951A43" w:rsidRDefault="00951A43" w:rsidP="00951A43">
      <w:pPr>
        <w:sectPr w:rsidR="00951A43" w:rsidSect="00951A43">
          <w:type w:val="oddPage"/>
          <w:pgSz w:w="11906" w:h="16838" w:code="9"/>
          <w:pgMar w:top="1440" w:right="1440" w:bottom="1440" w:left="1440" w:header="709" w:footer="709" w:gutter="0"/>
          <w:pgNumType w:fmt="lowerRoman"/>
          <w:cols w:space="708"/>
          <w:titlePg/>
          <w:docGrid w:linePitch="360"/>
        </w:sectPr>
      </w:pPr>
    </w:p>
    <w:p w14:paraId="6F0B2173" w14:textId="77777777" w:rsidR="00D85D73" w:rsidRPr="001021F2" w:rsidRDefault="00D85D73" w:rsidP="00951A43">
      <w:pPr>
        <w:pStyle w:val="Heading1"/>
      </w:pPr>
      <w:bookmarkStart w:id="40" w:name="_Toc321134071"/>
      <w:bookmarkStart w:id="41" w:name="_Toc405808761"/>
      <w:bookmarkStart w:id="42" w:name="_Toc406155131"/>
      <w:bookmarkStart w:id="43" w:name="_Toc406424584"/>
      <w:bookmarkStart w:id="44" w:name="_Toc408413462"/>
      <w:bookmarkStart w:id="45" w:name="_Toc408414176"/>
      <w:bookmarkStart w:id="46" w:name="_Toc409191083"/>
      <w:bookmarkStart w:id="47" w:name="_Toc409618516"/>
      <w:bookmarkStart w:id="48" w:name="_Toc409630047"/>
      <w:bookmarkStart w:id="49" w:name="_Toc410229539"/>
      <w:bookmarkStart w:id="50" w:name="_Toc410302174"/>
      <w:bookmarkStart w:id="51" w:name="_Toc437338108"/>
      <w:r>
        <w:lastRenderedPageBreak/>
        <w:t>List of Acronyms and Abbreviations</w:t>
      </w:r>
      <w:bookmarkEnd w:id="40"/>
      <w:bookmarkEnd w:id="41"/>
      <w:bookmarkEnd w:id="42"/>
      <w:bookmarkEnd w:id="43"/>
      <w:bookmarkEnd w:id="44"/>
      <w:bookmarkEnd w:id="45"/>
      <w:bookmarkEnd w:id="46"/>
      <w:bookmarkEnd w:id="47"/>
      <w:bookmarkEnd w:id="48"/>
      <w:bookmarkEnd w:id="49"/>
      <w:bookmarkEnd w:id="50"/>
      <w:bookmarkEnd w:id="51"/>
    </w:p>
    <w:tbl>
      <w:tblPr>
        <w:tblW w:w="0" w:type="auto"/>
        <w:tblLook w:val="01E0" w:firstRow="1" w:lastRow="1" w:firstColumn="1" w:lastColumn="1" w:noHBand="0" w:noVBand="0"/>
      </w:tblPr>
      <w:tblGrid>
        <w:gridCol w:w="1526"/>
        <w:gridCol w:w="7654"/>
      </w:tblGrid>
      <w:tr w:rsidR="00D85D73" w14:paraId="18C53A08" w14:textId="77777777" w:rsidTr="00B33414">
        <w:tc>
          <w:tcPr>
            <w:tcW w:w="1526" w:type="dxa"/>
          </w:tcPr>
          <w:p w14:paraId="190F2A72" w14:textId="77777777" w:rsidR="00D85D73" w:rsidRDefault="00D85D73" w:rsidP="00082936">
            <w:pPr>
              <w:spacing w:before="120" w:after="120"/>
            </w:pPr>
            <w:r>
              <w:t>AGA</w:t>
            </w:r>
          </w:p>
        </w:tc>
        <w:tc>
          <w:tcPr>
            <w:tcW w:w="7654" w:type="dxa"/>
          </w:tcPr>
          <w:p w14:paraId="75DC2004" w14:textId="77777777" w:rsidR="00D85D73" w:rsidRPr="00734FDA" w:rsidRDefault="00D85D73" w:rsidP="00082936">
            <w:pPr>
              <w:spacing w:before="120" w:after="120"/>
            </w:pPr>
            <w:r>
              <w:t>Australian Government Actuary</w:t>
            </w:r>
          </w:p>
        </w:tc>
      </w:tr>
      <w:tr w:rsidR="00D85D73" w14:paraId="5D082CE5" w14:textId="77777777" w:rsidTr="00B33414">
        <w:tc>
          <w:tcPr>
            <w:tcW w:w="1526" w:type="dxa"/>
          </w:tcPr>
          <w:p w14:paraId="6150130E" w14:textId="77777777" w:rsidR="00D85D73" w:rsidRDefault="00D85D73" w:rsidP="00082936">
            <w:pPr>
              <w:spacing w:before="120" w:after="120"/>
            </w:pPr>
            <w:r>
              <w:t>ARPC</w:t>
            </w:r>
          </w:p>
        </w:tc>
        <w:tc>
          <w:tcPr>
            <w:tcW w:w="7654" w:type="dxa"/>
          </w:tcPr>
          <w:p w14:paraId="57F7EB3B" w14:textId="77777777" w:rsidR="00D85D73" w:rsidRPr="00734FDA" w:rsidRDefault="00D85D73" w:rsidP="00082936">
            <w:pPr>
              <w:spacing w:before="120" w:after="120"/>
            </w:pPr>
            <w:r w:rsidRPr="00734FDA">
              <w:t>Australian Reinsurance Pool Corporation</w:t>
            </w:r>
          </w:p>
        </w:tc>
      </w:tr>
      <w:tr w:rsidR="00D85D73" w14:paraId="119DEA6D" w14:textId="77777777" w:rsidTr="00B33414">
        <w:tc>
          <w:tcPr>
            <w:tcW w:w="1526" w:type="dxa"/>
          </w:tcPr>
          <w:p w14:paraId="1DAF2DB4" w14:textId="77777777" w:rsidR="00D85D73" w:rsidRPr="00734FDA" w:rsidRDefault="00D85D73" w:rsidP="00082936">
            <w:pPr>
              <w:spacing w:before="120" w:after="120"/>
            </w:pPr>
            <w:r w:rsidRPr="00734FDA">
              <w:t>DTI</w:t>
            </w:r>
          </w:p>
        </w:tc>
        <w:tc>
          <w:tcPr>
            <w:tcW w:w="7654" w:type="dxa"/>
          </w:tcPr>
          <w:p w14:paraId="64790411" w14:textId="77777777" w:rsidR="00D85D73" w:rsidRPr="00734FDA" w:rsidRDefault="00D85D73" w:rsidP="00082936">
            <w:pPr>
              <w:spacing w:before="120" w:after="120"/>
            </w:pPr>
            <w:r w:rsidRPr="00734FDA">
              <w:t xml:space="preserve">Declared Terrorist Incident as defined in the </w:t>
            </w:r>
            <w:r w:rsidRPr="00734FDA">
              <w:rPr>
                <w:rStyle w:val="Italic0"/>
              </w:rPr>
              <w:t>Terrorism Insurance Act</w:t>
            </w:r>
            <w:r>
              <w:rPr>
                <w:rStyle w:val="Italic0"/>
              </w:rPr>
              <w:t> </w:t>
            </w:r>
            <w:r w:rsidRPr="00734FDA">
              <w:rPr>
                <w:rStyle w:val="Italic0"/>
              </w:rPr>
              <w:t>2003</w:t>
            </w:r>
          </w:p>
        </w:tc>
      </w:tr>
      <w:tr w:rsidR="00D85D73" w14:paraId="342A3A16" w14:textId="77777777" w:rsidTr="00B33414">
        <w:tc>
          <w:tcPr>
            <w:tcW w:w="1526" w:type="dxa"/>
          </w:tcPr>
          <w:p w14:paraId="723720CD" w14:textId="77777777" w:rsidR="00D85D73" w:rsidRPr="009A5979" w:rsidRDefault="00D85D73" w:rsidP="00082936">
            <w:pPr>
              <w:spacing w:before="120" w:after="120"/>
            </w:pPr>
            <w:r w:rsidRPr="009A5979">
              <w:t>OECD</w:t>
            </w:r>
          </w:p>
        </w:tc>
        <w:tc>
          <w:tcPr>
            <w:tcW w:w="7654" w:type="dxa"/>
          </w:tcPr>
          <w:p w14:paraId="47F24412" w14:textId="77777777" w:rsidR="00D85D73" w:rsidRPr="009A5979" w:rsidRDefault="00D85D73" w:rsidP="00082936">
            <w:pPr>
              <w:spacing w:before="120" w:after="120"/>
            </w:pPr>
            <w:r w:rsidRPr="009A5979">
              <w:t>Organisation for Economic Co</w:t>
            </w:r>
            <w:r w:rsidR="008A07A0">
              <w:noBreakHyphen/>
            </w:r>
            <w:r w:rsidRPr="009A5979">
              <w:t>operation and Development</w:t>
            </w:r>
          </w:p>
        </w:tc>
      </w:tr>
      <w:tr w:rsidR="00D85D73" w14:paraId="6434F476" w14:textId="77777777" w:rsidTr="00B33414">
        <w:tc>
          <w:tcPr>
            <w:tcW w:w="1526" w:type="dxa"/>
          </w:tcPr>
          <w:p w14:paraId="530325C6" w14:textId="77777777" w:rsidR="00D85D73" w:rsidRPr="004C0766" w:rsidRDefault="00D85D73" w:rsidP="00082936">
            <w:pPr>
              <w:spacing w:before="120" w:after="120"/>
            </w:pPr>
            <w:r w:rsidRPr="004C0766">
              <w:t>NBCR</w:t>
            </w:r>
          </w:p>
        </w:tc>
        <w:tc>
          <w:tcPr>
            <w:tcW w:w="7654" w:type="dxa"/>
          </w:tcPr>
          <w:p w14:paraId="3ACCF738" w14:textId="77777777" w:rsidR="00D85D73" w:rsidRPr="009A5979" w:rsidRDefault="00D85D73" w:rsidP="00082936">
            <w:pPr>
              <w:spacing w:before="120" w:after="120"/>
            </w:pPr>
            <w:r w:rsidRPr="004C0766">
              <w:t>Nuclear, biological, chemical and radiological risks</w:t>
            </w:r>
          </w:p>
        </w:tc>
      </w:tr>
    </w:tbl>
    <w:p w14:paraId="5E9339E4" w14:textId="77777777" w:rsidR="00D85D73" w:rsidRPr="00B33414" w:rsidRDefault="00D85D73" w:rsidP="00B33414"/>
    <w:p w14:paraId="5120D6AA" w14:textId="77777777" w:rsidR="00D85D73" w:rsidRPr="00B33414" w:rsidRDefault="00D85D73" w:rsidP="00B33414"/>
    <w:p w14:paraId="73D814BE" w14:textId="77777777" w:rsidR="00D85D73" w:rsidRPr="00B33414" w:rsidRDefault="00D85D73" w:rsidP="00B33414">
      <w:pPr>
        <w:sectPr w:rsidR="00D85D73" w:rsidRPr="00B33414" w:rsidSect="00951A43">
          <w:type w:val="oddPage"/>
          <w:pgSz w:w="11906" w:h="16838" w:code="9"/>
          <w:pgMar w:top="1440" w:right="1440" w:bottom="1440" w:left="1440" w:header="709" w:footer="709" w:gutter="0"/>
          <w:pgNumType w:fmt="lowerRoman"/>
          <w:cols w:space="708"/>
          <w:titlePg/>
          <w:docGrid w:linePitch="360"/>
        </w:sectPr>
      </w:pPr>
    </w:p>
    <w:p w14:paraId="43A0A6D3" w14:textId="77777777" w:rsidR="00D85D73" w:rsidRPr="00691B0C" w:rsidRDefault="00D85D73" w:rsidP="00B02419">
      <w:pPr>
        <w:pStyle w:val="Heading1"/>
      </w:pPr>
      <w:bookmarkStart w:id="52" w:name="_Toc321134072"/>
      <w:bookmarkStart w:id="53" w:name="_Toc405808762"/>
      <w:bookmarkStart w:id="54" w:name="_Toc406155132"/>
      <w:bookmarkStart w:id="55" w:name="_Toc406424585"/>
      <w:bookmarkStart w:id="56" w:name="_Toc408413463"/>
      <w:bookmarkStart w:id="57" w:name="_Toc408414177"/>
      <w:bookmarkStart w:id="58" w:name="_Toc409191084"/>
      <w:bookmarkStart w:id="59" w:name="_Toc409618517"/>
      <w:bookmarkStart w:id="60" w:name="_Toc409630048"/>
      <w:bookmarkStart w:id="61" w:name="_Toc410229540"/>
      <w:bookmarkStart w:id="62" w:name="_Toc410302175"/>
      <w:bookmarkStart w:id="63" w:name="_Toc437338109"/>
      <w:r w:rsidRPr="00691B0C">
        <w:lastRenderedPageBreak/>
        <w:t>Executive Summary</w:t>
      </w:r>
      <w:bookmarkEnd w:id="52"/>
      <w:bookmarkEnd w:id="53"/>
      <w:bookmarkEnd w:id="54"/>
      <w:bookmarkEnd w:id="55"/>
      <w:bookmarkEnd w:id="56"/>
      <w:bookmarkEnd w:id="57"/>
      <w:bookmarkEnd w:id="58"/>
      <w:bookmarkEnd w:id="59"/>
      <w:bookmarkEnd w:id="60"/>
      <w:bookmarkEnd w:id="61"/>
      <w:bookmarkEnd w:id="62"/>
      <w:bookmarkEnd w:id="63"/>
    </w:p>
    <w:p w14:paraId="052CB26A" w14:textId="77777777" w:rsidR="00D85D73" w:rsidRDefault="00D85D73" w:rsidP="00B02419">
      <w:pPr>
        <w:pStyle w:val="Heading2"/>
      </w:pPr>
      <w:bookmarkStart w:id="64" w:name="_Toc321133394"/>
      <w:bookmarkStart w:id="65" w:name="_Toc321134073"/>
      <w:bookmarkStart w:id="66" w:name="_Toc437338110"/>
      <w:r w:rsidRPr="00436986">
        <w:t>Australia</w:t>
      </w:r>
      <w:r w:rsidR="008A07A0">
        <w:t>’</w:t>
      </w:r>
      <w:r w:rsidRPr="00436986">
        <w:t>s Terrorism Insurance Scheme</w:t>
      </w:r>
      <w:bookmarkEnd w:id="64"/>
      <w:bookmarkEnd w:id="65"/>
      <w:bookmarkEnd w:id="66"/>
    </w:p>
    <w:p w14:paraId="1EC5441B" w14:textId="77777777" w:rsidR="00DE4AC2" w:rsidRDefault="00DE4AC2" w:rsidP="00B02419">
      <w:pPr>
        <w:pStyle w:val="Heading3"/>
      </w:pPr>
      <w:bookmarkStart w:id="67" w:name="_Toc321133395"/>
      <w:bookmarkStart w:id="68" w:name="_Toc321134074"/>
      <w:r>
        <w:t>Background to Review</w:t>
      </w:r>
    </w:p>
    <w:p w14:paraId="10D2911C" w14:textId="77777777" w:rsidR="00E148B2" w:rsidRPr="00755335" w:rsidRDefault="00E148B2" w:rsidP="00FF537F">
      <w:r w:rsidRPr="00755335">
        <w:t xml:space="preserve">The Terrorism Insurance Scheme </w:t>
      </w:r>
      <w:r w:rsidR="003A43E0" w:rsidRPr="00755335">
        <w:t xml:space="preserve">(the scheme) </w:t>
      </w:r>
      <w:r w:rsidRPr="00755335">
        <w:t xml:space="preserve">was </w:t>
      </w:r>
      <w:r w:rsidR="008D5F98">
        <w:t>intended</w:t>
      </w:r>
      <w:r w:rsidRPr="00755335">
        <w:t xml:space="preserve"> as an interim measure to operate while terrorism insurance cover </w:t>
      </w:r>
      <w:r w:rsidR="00197D4F" w:rsidRPr="00755335">
        <w:t>wa</w:t>
      </w:r>
      <w:r w:rsidRPr="00755335">
        <w:t xml:space="preserve">s unavailable </w:t>
      </w:r>
      <w:r w:rsidR="00197D4F" w:rsidRPr="00755335">
        <w:t>in the private market</w:t>
      </w:r>
      <w:r w:rsidRPr="00755335">
        <w:t>. The</w:t>
      </w:r>
      <w:r w:rsidR="008368E1" w:rsidRPr="00755335">
        <w:t xml:space="preserve"> scheme was set up under the</w:t>
      </w:r>
      <w:r w:rsidRPr="00755335">
        <w:t xml:space="preserve"> </w:t>
      </w:r>
      <w:r w:rsidR="004A36DD" w:rsidRPr="009F7DAD">
        <w:rPr>
          <w:i/>
        </w:rPr>
        <w:t xml:space="preserve">Terrorism Insurance </w:t>
      </w:r>
      <w:r w:rsidRPr="009F7DAD">
        <w:rPr>
          <w:i/>
        </w:rPr>
        <w:t>Act</w:t>
      </w:r>
      <w:r w:rsidR="004A36DD" w:rsidRPr="009F7DAD">
        <w:rPr>
          <w:i/>
        </w:rPr>
        <w:t xml:space="preserve"> 2003</w:t>
      </w:r>
      <w:r w:rsidR="004A36DD" w:rsidRPr="00755335">
        <w:t xml:space="preserve"> (the Act)</w:t>
      </w:r>
      <w:r w:rsidR="008368E1" w:rsidRPr="00755335">
        <w:t>, and is operated by the Australian Reinsurance Pool Corporation (the ARPC). The Act</w:t>
      </w:r>
      <w:r w:rsidRPr="00755335">
        <w:t xml:space="preserve"> requires that the Minister prepare a report that reviews the need for the Act to continue in operation</w:t>
      </w:r>
      <w:r w:rsidR="00C465F7" w:rsidRPr="00755335">
        <w:t xml:space="preserve"> at least once every three</w:t>
      </w:r>
      <w:r w:rsidR="00F34A1D">
        <w:t> </w:t>
      </w:r>
      <w:r w:rsidR="00C465F7" w:rsidRPr="00755335">
        <w:t>years</w:t>
      </w:r>
      <w:r w:rsidRPr="00755335">
        <w:t>.</w:t>
      </w:r>
      <w:r w:rsidRPr="00873A0A">
        <w:rPr>
          <w:rStyle w:val="FootnoteReference"/>
        </w:rPr>
        <w:footnoteReference w:id="2"/>
      </w:r>
      <w:r w:rsidR="004E0C48" w:rsidRPr="00755335">
        <w:t xml:space="preserve"> Previous reviews in 2006, 2009 and 2012 have concluded </w:t>
      </w:r>
      <w:r w:rsidR="00A7164C">
        <w:t xml:space="preserve">that </w:t>
      </w:r>
      <w:r w:rsidR="004E0C48" w:rsidRPr="00755335">
        <w:t>there was insufficient commercial market terrorism insurance available at affordable rates</w:t>
      </w:r>
      <w:r w:rsidR="00A7164C">
        <w:t xml:space="preserve"> and</w:t>
      </w:r>
      <w:r w:rsidR="004E0C48" w:rsidRPr="00755335">
        <w:t xml:space="preserve"> that the </w:t>
      </w:r>
      <w:r w:rsidR="00BA711D">
        <w:t>scheme</w:t>
      </w:r>
      <w:r w:rsidR="004E0C48" w:rsidRPr="00755335">
        <w:t xml:space="preserve"> should continue to operate.</w:t>
      </w:r>
    </w:p>
    <w:p w14:paraId="791595B7" w14:textId="77777777" w:rsidR="003A43E0" w:rsidRPr="00755335" w:rsidRDefault="000707DF" w:rsidP="00FF537F">
      <w:r w:rsidRPr="00755335">
        <w:t>The terms of reference for this review appear at A</w:t>
      </w:r>
      <w:r w:rsidR="00377A4D">
        <w:t>ppendix</w:t>
      </w:r>
      <w:r w:rsidRPr="00755335">
        <w:t xml:space="preserve"> </w:t>
      </w:r>
      <w:r w:rsidR="00D672D8">
        <w:t>A</w:t>
      </w:r>
      <w:r w:rsidR="008A07A0">
        <w:t xml:space="preserve">. </w:t>
      </w:r>
      <w:r w:rsidR="005D2DF3" w:rsidRPr="00755335">
        <w:t xml:space="preserve">It is not the purpose of </w:t>
      </w:r>
      <w:r w:rsidR="00BA711D">
        <w:t xml:space="preserve">this </w:t>
      </w:r>
      <w:r w:rsidR="003A43E0" w:rsidRPr="00755335">
        <w:t>review to consider the level of risk of terrorism</w:t>
      </w:r>
      <w:r w:rsidR="008A07A0">
        <w:t xml:space="preserve">. </w:t>
      </w:r>
      <w:r w:rsidR="005D2DF3" w:rsidRPr="00755335">
        <w:t xml:space="preserve">That is the function of other branches of government. </w:t>
      </w:r>
      <w:r w:rsidR="003A43E0" w:rsidRPr="00755335">
        <w:t>Nevertheless, recent events</w:t>
      </w:r>
      <w:r w:rsidR="008A07A0">
        <w:t xml:space="preserve"> — </w:t>
      </w:r>
      <w:r w:rsidR="003A43E0" w:rsidRPr="00755335">
        <w:t>in Sydney and Paris</w:t>
      </w:r>
      <w:r w:rsidR="001137ED">
        <w:t>,</w:t>
      </w:r>
      <w:r w:rsidR="003A43E0" w:rsidRPr="00755335">
        <w:t xml:space="preserve"> for example</w:t>
      </w:r>
      <w:r w:rsidR="008A07A0">
        <w:t xml:space="preserve"> — </w:t>
      </w:r>
      <w:r w:rsidR="003A43E0" w:rsidRPr="00755335">
        <w:t>highlight that terrorism is an ongoing threat</w:t>
      </w:r>
      <w:r w:rsidR="008A07A0">
        <w:t xml:space="preserve">. </w:t>
      </w:r>
      <w:r w:rsidR="003A43E0" w:rsidRPr="00755335">
        <w:t xml:space="preserve">The Sydney event in December 2014 gave rise to the first and only activation of the scheme since its inception. </w:t>
      </w:r>
    </w:p>
    <w:p w14:paraId="4C1D96AC" w14:textId="77777777" w:rsidR="003371F8" w:rsidRDefault="006E702E" w:rsidP="00FF537F">
      <w:r w:rsidRPr="00755335">
        <w:t xml:space="preserve">This comes at a time when the scheme has been in operation </w:t>
      </w:r>
      <w:r w:rsidR="001137ED">
        <w:t>more than</w:t>
      </w:r>
      <w:r w:rsidRPr="00755335">
        <w:t xml:space="preserve"> a decade</w:t>
      </w:r>
      <w:r w:rsidR="008A07A0">
        <w:t xml:space="preserve">. </w:t>
      </w:r>
      <w:r w:rsidR="003371F8">
        <w:t>Last year, the National Commission of Audit, in expressing a view on the future of a number of Australian Government bodies, said of the ARPC:</w:t>
      </w:r>
    </w:p>
    <w:p w14:paraId="262A34CE" w14:textId="77777777" w:rsidR="003371F8" w:rsidRDefault="003371F8" w:rsidP="003371F8">
      <w:pPr>
        <w:ind w:left="720"/>
      </w:pPr>
      <w:r>
        <w:t>“With continued recovery in terrorism insurance markets, there is scope for a gradual Commonwealth exit over the coming years.”</w:t>
      </w:r>
      <w:r>
        <w:rPr>
          <w:rStyle w:val="FootnoteReference"/>
        </w:rPr>
        <w:footnoteReference w:id="3"/>
      </w:r>
    </w:p>
    <w:p w14:paraId="3C388107" w14:textId="77777777" w:rsidR="00785FE0" w:rsidRDefault="00785FE0" w:rsidP="00785FE0">
      <w:r>
        <w:t xml:space="preserve">Against that background, this review has closely </w:t>
      </w:r>
      <w:r w:rsidRPr="00755335">
        <w:t>consider</w:t>
      </w:r>
      <w:r>
        <w:t>ed</w:t>
      </w:r>
      <w:r w:rsidRPr="00755335">
        <w:t xml:space="preserve"> the </w:t>
      </w:r>
      <w:r>
        <w:t xml:space="preserve">scope for government withdrawal from the market, and </w:t>
      </w:r>
      <w:r w:rsidRPr="00755335">
        <w:t>whether alternative structures for the ARPC, including full or partial private ownership, would be viable</w:t>
      </w:r>
      <w:r>
        <w:t>.  To assist in exploring these issues, an external consultant</w:t>
      </w:r>
      <w:r w:rsidRPr="00755335">
        <w:t xml:space="preserve"> (</w:t>
      </w:r>
      <w:proofErr w:type="spellStart"/>
      <w:r w:rsidRPr="00755335">
        <w:t>Pottinger</w:t>
      </w:r>
      <w:proofErr w:type="spellEnd"/>
      <w:r w:rsidRPr="00755335">
        <w:t xml:space="preserve">) </w:t>
      </w:r>
      <w:r>
        <w:t>was engaged by Treasury</w:t>
      </w:r>
      <w:r w:rsidRPr="00755335">
        <w:t>.</w:t>
      </w:r>
      <w:r w:rsidR="009D5510">
        <w:t xml:space="preserve">  In addition, in finalising this review, consultations were held with industry representatives on </w:t>
      </w:r>
      <w:r w:rsidR="00347F50">
        <w:t xml:space="preserve">a </w:t>
      </w:r>
      <w:r w:rsidR="009D5510">
        <w:t>draft</w:t>
      </w:r>
      <w:r w:rsidR="00347F50">
        <w:t xml:space="preserve"> of the Report</w:t>
      </w:r>
      <w:r w:rsidR="009D5510">
        <w:t>.</w:t>
      </w:r>
    </w:p>
    <w:p w14:paraId="5EBABA3D" w14:textId="77777777" w:rsidR="00785FE0" w:rsidRPr="00755335" w:rsidRDefault="00CD575C" w:rsidP="00785FE0">
      <w:r>
        <w:t>F</w:t>
      </w:r>
      <w:r w:rsidR="00785FE0" w:rsidRPr="00755335">
        <w:t xml:space="preserve">or the reasons set out in </w:t>
      </w:r>
      <w:r>
        <w:t>detail in the chapters below</w:t>
      </w:r>
      <w:r w:rsidR="00785FE0" w:rsidRPr="00755335">
        <w:t xml:space="preserve">, the recommendation of this review is that the current </w:t>
      </w:r>
      <w:r>
        <w:t xml:space="preserve">ownership and administration </w:t>
      </w:r>
      <w:r w:rsidR="00785FE0" w:rsidRPr="00755335">
        <w:t xml:space="preserve">structure </w:t>
      </w:r>
      <w:r>
        <w:t xml:space="preserve">of the scheme </w:t>
      </w:r>
      <w:r w:rsidR="00785FE0" w:rsidRPr="00755335">
        <w:t xml:space="preserve">as set out in the Act be retained, </w:t>
      </w:r>
      <w:r>
        <w:t>while noting that</w:t>
      </w:r>
      <w:r w:rsidR="00785FE0" w:rsidRPr="00755335">
        <w:t xml:space="preserve"> there is scope to revisit alternative structures </w:t>
      </w:r>
      <w:r w:rsidR="00785FE0">
        <w:t xml:space="preserve">in </w:t>
      </w:r>
      <w:r>
        <w:t>future if there is</w:t>
      </w:r>
      <w:r w:rsidR="00785FE0">
        <w:t xml:space="preserve"> a</w:t>
      </w:r>
      <w:r w:rsidR="00785FE0" w:rsidRPr="00755335">
        <w:t xml:space="preserve"> significant change in market conditions.</w:t>
      </w:r>
    </w:p>
    <w:p w14:paraId="3C87A80D" w14:textId="77777777" w:rsidR="00734BEA" w:rsidRPr="00755335" w:rsidRDefault="00CD575C" w:rsidP="00CD575C">
      <w:r>
        <w:t>Nevertheless, a</w:t>
      </w:r>
      <w:r w:rsidR="00734BEA" w:rsidRPr="00755335">
        <w:t xml:space="preserve">s the need for the scheme has persisted for more than a decade, the policy framework against which its operation is assessed </w:t>
      </w:r>
      <w:r w:rsidR="00354CA3" w:rsidRPr="00755335">
        <w:t>should no</w:t>
      </w:r>
      <w:r>
        <w:t xml:space="preserve"> longer</w:t>
      </w:r>
      <w:r w:rsidR="00354CA3" w:rsidRPr="00755335">
        <w:t xml:space="preserve"> be limited to</w:t>
      </w:r>
      <w:r w:rsidR="00734BEA" w:rsidRPr="00755335">
        <w:t xml:space="preserve"> one that conceives of the scheme as a</w:t>
      </w:r>
      <w:r>
        <w:t xml:space="preserve"> </w:t>
      </w:r>
      <w:r w:rsidR="00734BEA" w:rsidRPr="00755335">
        <w:t>short</w:t>
      </w:r>
      <w:r w:rsidR="008A07A0">
        <w:noBreakHyphen/>
      </w:r>
      <w:r w:rsidR="00734BEA" w:rsidRPr="00755335">
        <w:t>term, temporary measure</w:t>
      </w:r>
      <w:r w:rsidR="008A07A0">
        <w:t xml:space="preserve">. </w:t>
      </w:r>
      <w:r w:rsidR="00734BEA" w:rsidRPr="00755335">
        <w:t>Whil</w:t>
      </w:r>
      <w:r w:rsidR="001137ED">
        <w:t>e</w:t>
      </w:r>
      <w:r w:rsidR="00734BEA" w:rsidRPr="00755335">
        <w:t xml:space="preserve"> the ongoing need for the scheme should </w:t>
      </w:r>
      <w:r w:rsidR="00A7164C">
        <w:t>continue to</w:t>
      </w:r>
      <w:r w:rsidR="00734BEA" w:rsidRPr="00755335">
        <w:t xml:space="preserve"> be periodically reviewed, the fact that it has matured into at least a medium</w:t>
      </w:r>
      <w:r w:rsidR="001137ED">
        <w:t>-</w:t>
      </w:r>
      <w:r w:rsidR="00734BEA" w:rsidRPr="00755335">
        <w:t>term policy response should be recognised and reflected in decisions about the nature and scope of its operation.</w:t>
      </w:r>
    </w:p>
    <w:p w14:paraId="3B46D829" w14:textId="77777777" w:rsidR="007B304B" w:rsidRPr="00755335" w:rsidRDefault="00354CA3" w:rsidP="00FF537F">
      <w:r w:rsidRPr="00755335">
        <w:lastRenderedPageBreak/>
        <w:t xml:space="preserve">Reflecting the </w:t>
      </w:r>
      <w:r w:rsidR="007B3BBA">
        <w:t>considerations outlined above</w:t>
      </w:r>
      <w:r w:rsidR="007B304B" w:rsidRPr="00755335">
        <w:t>, the recommendations in this report</w:t>
      </w:r>
      <w:r w:rsidR="00734BEA" w:rsidRPr="00755335">
        <w:t xml:space="preserve"> </w:t>
      </w:r>
      <w:r w:rsidR="007B304B" w:rsidRPr="00755335">
        <w:t>are motivated by the desire to ensure that:</w:t>
      </w:r>
    </w:p>
    <w:p w14:paraId="27DF63C7" w14:textId="77777777" w:rsidR="007B304B" w:rsidRPr="00755335" w:rsidRDefault="00D03DA6" w:rsidP="00755335">
      <w:pPr>
        <w:pStyle w:val="Bullet"/>
      </w:pPr>
      <w:r>
        <w:t>t</w:t>
      </w:r>
      <w:r w:rsidR="007B304B" w:rsidRPr="00755335">
        <w:t>hose who benefit most from the scheme</w:t>
      </w:r>
      <w:r w:rsidR="008A07A0">
        <w:t xml:space="preserve"> — </w:t>
      </w:r>
      <w:r w:rsidR="007B304B" w:rsidRPr="00755335">
        <w:t>insured parties and the insurance i</w:t>
      </w:r>
      <w:r w:rsidR="00D02AE1" w:rsidRPr="00755335">
        <w:t>ndustry</w:t>
      </w:r>
      <w:r w:rsidR="001137ED">
        <w:t xml:space="preserve"> – </w:t>
      </w:r>
      <w:r w:rsidR="00D02AE1" w:rsidRPr="00755335">
        <w:t xml:space="preserve">take an appropriate level of responsibility for </w:t>
      </w:r>
      <w:r w:rsidR="00A7164C">
        <w:t>its</w:t>
      </w:r>
      <w:r w:rsidR="00D02AE1" w:rsidRPr="00755335">
        <w:t xml:space="preserve"> </w:t>
      </w:r>
      <w:r w:rsidR="007B304B" w:rsidRPr="00755335">
        <w:t xml:space="preserve">sustainable operation; </w:t>
      </w:r>
    </w:p>
    <w:p w14:paraId="40039CB0" w14:textId="77777777" w:rsidR="007B304B" w:rsidRPr="00755335" w:rsidRDefault="00D03DA6" w:rsidP="00755335">
      <w:pPr>
        <w:pStyle w:val="Bullet"/>
      </w:pPr>
      <w:r>
        <w:t>t</w:t>
      </w:r>
      <w:r w:rsidR="00B97B26">
        <w:t>hat the g</w:t>
      </w:r>
      <w:r w:rsidR="007B304B" w:rsidRPr="00755335">
        <w:t>overnment and taxpayers are fairly compensated for any financial support provided to scheme;</w:t>
      </w:r>
    </w:p>
    <w:p w14:paraId="659EEC25" w14:textId="77777777" w:rsidR="007B304B" w:rsidRPr="00755335" w:rsidRDefault="00D03DA6" w:rsidP="00755335">
      <w:pPr>
        <w:pStyle w:val="Bullet"/>
      </w:pPr>
      <w:r>
        <w:t>t</w:t>
      </w:r>
      <w:r w:rsidR="007B304B" w:rsidRPr="00755335">
        <w:t>he scheme operates equitably and effectively to provide terrorism cover where it is unavailable in the private market; and</w:t>
      </w:r>
    </w:p>
    <w:p w14:paraId="1CD629F9" w14:textId="77777777" w:rsidR="007B304B" w:rsidRPr="00755335" w:rsidRDefault="00D03DA6" w:rsidP="00755335">
      <w:pPr>
        <w:pStyle w:val="Bullet"/>
      </w:pPr>
      <w:proofErr w:type="gramStart"/>
      <w:r>
        <w:t>t</w:t>
      </w:r>
      <w:r w:rsidR="007B304B" w:rsidRPr="00755335">
        <w:t>here</w:t>
      </w:r>
      <w:proofErr w:type="gramEnd"/>
      <w:r w:rsidR="007B304B" w:rsidRPr="00755335">
        <w:t xml:space="preserve"> is an appropriate level of certainty around the operation of the scheme.</w:t>
      </w:r>
    </w:p>
    <w:p w14:paraId="5F1509D3" w14:textId="77777777" w:rsidR="006E702E" w:rsidRDefault="006E702E" w:rsidP="00B02419">
      <w:pPr>
        <w:pStyle w:val="Heading3"/>
      </w:pPr>
      <w:r w:rsidRPr="00FD04F8">
        <w:t>Recommendations</w:t>
      </w:r>
    </w:p>
    <w:p w14:paraId="4526D1B9" w14:textId="77777777" w:rsidR="00351A38" w:rsidRPr="00B02419" w:rsidRDefault="00351A38" w:rsidP="00B02419">
      <w:pPr>
        <w:pStyle w:val="Heading4"/>
      </w:pPr>
      <w:r w:rsidRPr="00B02419">
        <w:t>Structure of the ARPC</w:t>
      </w:r>
    </w:p>
    <w:p w14:paraId="7D487986" w14:textId="77777777" w:rsidR="0004480C" w:rsidRDefault="0004480C" w:rsidP="0004480C">
      <w:r w:rsidRPr="0004480C">
        <w:rPr>
          <w:i/>
        </w:rPr>
        <w:t>Recommendation 1</w:t>
      </w:r>
      <w:r>
        <w:t>: T</w:t>
      </w:r>
      <w:r w:rsidR="001A425F" w:rsidRPr="00B02419">
        <w:t xml:space="preserve">he Act </w:t>
      </w:r>
      <w:r w:rsidR="001275D2" w:rsidRPr="00B02419">
        <w:t>remain</w:t>
      </w:r>
      <w:r w:rsidR="00C71289">
        <w:t>s</w:t>
      </w:r>
      <w:r w:rsidR="001275D2" w:rsidRPr="00B02419">
        <w:t xml:space="preserve"> in force</w:t>
      </w:r>
      <w:r w:rsidR="005C3408" w:rsidRPr="00B02419">
        <w:t>, subject to future three</w:t>
      </w:r>
      <w:r w:rsidR="008A07A0">
        <w:noBreakHyphen/>
      </w:r>
      <w:r w:rsidR="005C3408" w:rsidRPr="00B02419">
        <w:t>year</w:t>
      </w:r>
      <w:r w:rsidR="00D03DA6">
        <w:t>ly statutory reviews</w:t>
      </w:r>
      <w:r>
        <w:t>.</w:t>
      </w:r>
    </w:p>
    <w:p w14:paraId="606B0948" w14:textId="77777777" w:rsidR="00D03137" w:rsidRPr="00B02419" w:rsidRDefault="0004480C" w:rsidP="0004480C">
      <w:r w:rsidRPr="0004480C">
        <w:rPr>
          <w:i/>
        </w:rPr>
        <w:t>Recommendation 2</w:t>
      </w:r>
      <w:r>
        <w:t>: T</w:t>
      </w:r>
      <w:r w:rsidR="000001DC" w:rsidRPr="00B02419">
        <w:t xml:space="preserve">he </w:t>
      </w:r>
      <w:r w:rsidR="00CE6ED4">
        <w:t xml:space="preserve">administration </w:t>
      </w:r>
      <w:r w:rsidR="00B3184E" w:rsidRPr="00B02419">
        <w:t xml:space="preserve">structure of the </w:t>
      </w:r>
      <w:r w:rsidR="000001DC" w:rsidRPr="00B02419">
        <w:t xml:space="preserve">ARPC </w:t>
      </w:r>
      <w:r w:rsidR="00B3184E" w:rsidRPr="00B02419">
        <w:t xml:space="preserve">as set out in the Act </w:t>
      </w:r>
      <w:proofErr w:type="gramStart"/>
      <w:r w:rsidR="00B3184E" w:rsidRPr="00B02419">
        <w:t>be</w:t>
      </w:r>
      <w:proofErr w:type="gramEnd"/>
      <w:r w:rsidR="00B3184E" w:rsidRPr="00B02419">
        <w:t xml:space="preserve"> retained</w:t>
      </w:r>
      <w:r w:rsidR="005C3408" w:rsidRPr="00B02419">
        <w:t>.</w:t>
      </w:r>
    </w:p>
    <w:p w14:paraId="054FF5E3" w14:textId="77777777" w:rsidR="001F6F3E" w:rsidRPr="006C15D2" w:rsidRDefault="001F6F3E" w:rsidP="00B02419">
      <w:pPr>
        <w:pStyle w:val="Heading4"/>
      </w:pPr>
      <w:r w:rsidRPr="006C15D2">
        <w:t>Retentions</w:t>
      </w:r>
    </w:p>
    <w:p w14:paraId="6798BA10" w14:textId="77777777" w:rsidR="0004480C" w:rsidRPr="00843660" w:rsidRDefault="0004480C" w:rsidP="0004480C">
      <w:r w:rsidRPr="0004480C">
        <w:rPr>
          <w:i/>
        </w:rPr>
        <w:t>Recommendation 3</w:t>
      </w:r>
      <w:r>
        <w:t>: T</w:t>
      </w:r>
      <w:r w:rsidRPr="00843660">
        <w:t>he four per cent rate of gross fire and industrial special risk premium (less any fire services levy) shoul</w:t>
      </w:r>
      <w:r>
        <w:t>d be increased to five per cent.</w:t>
      </w:r>
    </w:p>
    <w:p w14:paraId="6926E548" w14:textId="77777777" w:rsidR="0004480C" w:rsidRPr="00843660" w:rsidRDefault="0004480C" w:rsidP="0004480C">
      <w:r w:rsidRPr="0004480C">
        <w:rPr>
          <w:i/>
        </w:rPr>
        <w:t>Recommendation 4</w:t>
      </w:r>
      <w:r>
        <w:t>: C</w:t>
      </w:r>
      <w:r w:rsidRPr="00843660">
        <w:t xml:space="preserve">urrent maximum retention levels for individual insurers </w:t>
      </w:r>
      <w:r>
        <w:t>should be removed.</w:t>
      </w:r>
    </w:p>
    <w:p w14:paraId="1436E376" w14:textId="77777777" w:rsidR="0004480C" w:rsidRPr="00843660" w:rsidRDefault="0004480C" w:rsidP="0004480C">
      <w:r w:rsidRPr="0004480C">
        <w:rPr>
          <w:i/>
        </w:rPr>
        <w:t>Recommendation 5</w:t>
      </w:r>
      <w:r>
        <w:t>: T</w:t>
      </w:r>
      <w:r w:rsidRPr="00843660">
        <w:t xml:space="preserve">he maximum industry retention </w:t>
      </w:r>
      <w:r>
        <w:t xml:space="preserve">should </w:t>
      </w:r>
      <w:r w:rsidRPr="00843660">
        <w:t>be increased from $100 million to $200 million.</w:t>
      </w:r>
    </w:p>
    <w:p w14:paraId="18C0D35A" w14:textId="77777777" w:rsidR="00903C67" w:rsidRPr="00B02419" w:rsidRDefault="00903C67" w:rsidP="00903C67">
      <w:pPr>
        <w:pStyle w:val="Heading4"/>
      </w:pPr>
      <w:r w:rsidRPr="00B02419">
        <w:t>Retrocession</w:t>
      </w:r>
    </w:p>
    <w:p w14:paraId="3878E0FD" w14:textId="77777777" w:rsidR="00903C67" w:rsidRPr="00B359E3" w:rsidRDefault="00903C67" w:rsidP="00903C67">
      <w:r>
        <w:rPr>
          <w:i/>
        </w:rPr>
        <w:t>Recommendation 6</w:t>
      </w:r>
      <w:r w:rsidRPr="0004480C">
        <w:rPr>
          <w:i/>
        </w:rPr>
        <w:t xml:space="preserve">: </w:t>
      </w:r>
      <w:r w:rsidRPr="008277D6">
        <w:t>That the ARPC continue to have the discretion to purchase retrocession, subject to the APRC assessing</w:t>
      </w:r>
      <w:r w:rsidRPr="00AF5B6D">
        <w:t xml:space="preserve"> the need for and levels of </w:t>
      </w:r>
      <w:r w:rsidRPr="00D779FA">
        <w:t xml:space="preserve">its retrocession programme </w:t>
      </w:r>
      <w:r>
        <w:t>and</w:t>
      </w:r>
      <w:r w:rsidRPr="00D779FA">
        <w:t xml:space="preserve"> value for money.</w:t>
      </w:r>
    </w:p>
    <w:p w14:paraId="105C13B8" w14:textId="77777777" w:rsidR="00EE3F50" w:rsidRDefault="006C15D2" w:rsidP="00B02419">
      <w:pPr>
        <w:pStyle w:val="Heading4"/>
      </w:pPr>
      <w:r w:rsidRPr="006C15D2">
        <w:t>Fee for the government guarantee</w:t>
      </w:r>
    </w:p>
    <w:p w14:paraId="376D2A19" w14:textId="77777777" w:rsidR="00903C67" w:rsidRDefault="00903C67" w:rsidP="00903C67">
      <w:r>
        <w:rPr>
          <w:i/>
        </w:rPr>
        <w:t>Recommendation 7</w:t>
      </w:r>
      <w:r>
        <w:t>: That the ARPC pay to the Commonwealth each year:</w:t>
      </w:r>
    </w:p>
    <w:p w14:paraId="71F4DA05" w14:textId="77777777" w:rsidR="00903C67" w:rsidRDefault="00903C67" w:rsidP="00903C67">
      <w:pPr>
        <w:pStyle w:val="Bullet"/>
        <w:numPr>
          <w:ilvl w:val="0"/>
          <w:numId w:val="39"/>
        </w:numPr>
      </w:pPr>
      <w:r>
        <w:t>a fee of $55 million in respect of the Commonwealth guarantee of the ARPC’s liabilities; and</w:t>
      </w:r>
    </w:p>
    <w:p w14:paraId="595CE2F5" w14:textId="77777777" w:rsidR="00903C67" w:rsidRDefault="00903C67" w:rsidP="00FE628B">
      <w:pPr>
        <w:pStyle w:val="Bullet"/>
        <w:numPr>
          <w:ilvl w:val="0"/>
          <w:numId w:val="39"/>
        </w:numPr>
        <w:tabs>
          <w:tab w:val="clear" w:pos="397"/>
          <w:tab w:val="left" w:pos="426"/>
        </w:tabs>
        <w:ind w:left="397" w:hanging="397"/>
      </w:pPr>
      <w:proofErr w:type="gramStart"/>
      <w:r>
        <w:t>an</w:t>
      </w:r>
      <w:proofErr w:type="gramEnd"/>
      <w:r>
        <w:t xml:space="preserve"> additional amount of $35 million per annum to reflect the Commonwealth’s support in</w:t>
      </w:r>
      <w:r w:rsidR="00C71289">
        <w:t xml:space="preserve"> </w:t>
      </w:r>
      <w:r>
        <w:t>making the ARPC reserves available for payment of claims.</w:t>
      </w:r>
    </w:p>
    <w:p w14:paraId="5B7BB57B" w14:textId="77777777" w:rsidR="00D35F25" w:rsidRPr="001A7E19" w:rsidRDefault="00D35F25" w:rsidP="00B02419">
      <w:pPr>
        <w:pStyle w:val="Heading4"/>
      </w:pPr>
      <w:r w:rsidRPr="001A7E19">
        <w:t xml:space="preserve">Premiums </w:t>
      </w:r>
    </w:p>
    <w:p w14:paraId="33EE1FC7" w14:textId="77777777" w:rsidR="00CE6ED4" w:rsidRPr="00CE6ED4" w:rsidRDefault="00092072" w:rsidP="0004480C">
      <w:pPr>
        <w:pStyle w:val="Bullet"/>
        <w:numPr>
          <w:ilvl w:val="0"/>
          <w:numId w:val="0"/>
        </w:numPr>
        <w:ind w:left="397" w:hanging="397"/>
        <w:rPr>
          <w:szCs w:val="22"/>
        </w:rPr>
      </w:pPr>
      <w:r>
        <w:rPr>
          <w:i/>
        </w:rPr>
        <w:t>Recommendation 8</w:t>
      </w:r>
      <w:r w:rsidR="0004480C">
        <w:t xml:space="preserve">: </w:t>
      </w:r>
      <w:r w:rsidR="00FD11EF">
        <w:t>T</w:t>
      </w:r>
      <w:r w:rsidR="0074499E">
        <w:t>hat the premiums charged by the ARPC be increased to</w:t>
      </w:r>
      <w:r w:rsidR="00CE6ED4">
        <w:t>:</w:t>
      </w:r>
    </w:p>
    <w:p w14:paraId="5145E4F1" w14:textId="77777777" w:rsidR="00CE6ED4" w:rsidRPr="00CE6ED4" w:rsidRDefault="0074499E" w:rsidP="00CE6ED4">
      <w:pPr>
        <w:pStyle w:val="Dash"/>
        <w:rPr>
          <w:szCs w:val="22"/>
        </w:rPr>
      </w:pPr>
      <w:r>
        <w:t>1</w:t>
      </w:r>
      <w:r w:rsidR="00BF4048">
        <w:t>6</w:t>
      </w:r>
      <w:r>
        <w:t xml:space="preserve"> per cent for Tier A, </w:t>
      </w:r>
    </w:p>
    <w:p w14:paraId="016CCE9E" w14:textId="77777777" w:rsidR="00CE6ED4" w:rsidRPr="00CE6ED4" w:rsidRDefault="00BF4048" w:rsidP="00CE6ED4">
      <w:pPr>
        <w:pStyle w:val="Dash"/>
        <w:rPr>
          <w:szCs w:val="22"/>
        </w:rPr>
      </w:pPr>
      <w:r>
        <w:t>5.3</w:t>
      </w:r>
      <w:r w:rsidR="0074499E">
        <w:t> per cent for Tier B</w:t>
      </w:r>
      <w:r w:rsidR="00CE6ED4">
        <w:t>,</w:t>
      </w:r>
      <w:r w:rsidR="0074499E">
        <w:t xml:space="preserve"> and </w:t>
      </w:r>
    </w:p>
    <w:p w14:paraId="463F2770" w14:textId="77777777" w:rsidR="0074499E" w:rsidRPr="001A7E19" w:rsidRDefault="00BF4048" w:rsidP="00CE6ED4">
      <w:pPr>
        <w:pStyle w:val="Dash"/>
        <w:rPr>
          <w:szCs w:val="22"/>
        </w:rPr>
      </w:pPr>
      <w:r>
        <w:t>2.</w:t>
      </w:r>
      <w:r w:rsidR="007B73B1">
        <w:t>6</w:t>
      </w:r>
      <w:r w:rsidR="0074499E">
        <w:t> per cent for Tier C.</w:t>
      </w:r>
    </w:p>
    <w:p w14:paraId="7FD8DBB0" w14:textId="77777777" w:rsidR="00084B44" w:rsidRPr="00D8469D" w:rsidRDefault="00FF537F" w:rsidP="0004480C">
      <w:pPr>
        <w:pStyle w:val="Heading4"/>
      </w:pPr>
      <w:r>
        <w:br w:type="page"/>
      </w:r>
      <w:r w:rsidR="00351A38" w:rsidRPr="00811B1B">
        <w:lastRenderedPageBreak/>
        <w:t>Scope of the scheme</w:t>
      </w:r>
    </w:p>
    <w:p w14:paraId="3D70D8BD" w14:textId="77777777" w:rsidR="00CC6401" w:rsidRDefault="0004480C" w:rsidP="00FE628B">
      <w:pPr>
        <w:rPr>
          <w:szCs w:val="22"/>
        </w:rPr>
      </w:pPr>
      <w:r w:rsidRPr="00FE628B">
        <w:rPr>
          <w:i/>
        </w:rPr>
        <w:t xml:space="preserve">Recommendation 9: </w:t>
      </w:r>
      <w:r w:rsidR="00CC6401" w:rsidRPr="00FE628B">
        <w:t xml:space="preserve">That the scope of the scheme </w:t>
      </w:r>
      <w:proofErr w:type="gramStart"/>
      <w:r w:rsidR="00CC6401" w:rsidRPr="00FE628B">
        <w:t>be</w:t>
      </w:r>
      <w:proofErr w:type="gramEnd"/>
      <w:r w:rsidR="00CC6401" w:rsidRPr="00FE628B">
        <w:t xml:space="preserve"> </w:t>
      </w:r>
      <w:r w:rsidR="00FC1F7A" w:rsidRPr="00FE628B">
        <w:t>extended so that it applies to:</w:t>
      </w:r>
    </w:p>
    <w:p w14:paraId="2D37906B" w14:textId="77777777" w:rsidR="00CC6401" w:rsidRPr="00FE628B" w:rsidRDefault="00007AA3" w:rsidP="00FE628B">
      <w:pPr>
        <w:pStyle w:val="Bullet"/>
        <w:numPr>
          <w:ilvl w:val="0"/>
          <w:numId w:val="44"/>
        </w:numPr>
        <w:tabs>
          <w:tab w:val="clear" w:pos="397"/>
          <w:tab w:val="left" w:pos="426"/>
        </w:tabs>
      </w:pPr>
      <w:r w:rsidRPr="00FE628B">
        <w:t>b</w:t>
      </w:r>
      <w:r w:rsidR="00CC6401" w:rsidRPr="00FE628B">
        <w:t>uildings in which at least 20</w:t>
      </w:r>
      <w:r w:rsidR="009F7DAD" w:rsidRPr="00FE628B">
        <w:t xml:space="preserve"> per cent</w:t>
      </w:r>
      <w:r w:rsidR="00CC6401" w:rsidRPr="00FE628B">
        <w:t xml:space="preserve"> of floor space is used for commercial purposes; and</w:t>
      </w:r>
    </w:p>
    <w:p w14:paraId="47AC36D5" w14:textId="77777777" w:rsidR="00CC6401" w:rsidRPr="0004480C" w:rsidRDefault="00007AA3" w:rsidP="00FE628B">
      <w:pPr>
        <w:pStyle w:val="Bullet"/>
        <w:numPr>
          <w:ilvl w:val="0"/>
          <w:numId w:val="44"/>
        </w:numPr>
        <w:tabs>
          <w:tab w:val="clear" w:pos="397"/>
          <w:tab w:val="left" w:pos="426"/>
        </w:tabs>
        <w:ind w:left="397" w:hanging="397"/>
      </w:pPr>
      <w:proofErr w:type="gramStart"/>
      <w:r w:rsidRPr="00FE628B">
        <w:t>b</w:t>
      </w:r>
      <w:r w:rsidR="00CC6401" w:rsidRPr="00FE628B">
        <w:t>uildings</w:t>
      </w:r>
      <w:proofErr w:type="gramEnd"/>
      <w:r w:rsidR="00CC6401" w:rsidRPr="00FE628B">
        <w:t xml:space="preserve"> with a sum</w:t>
      </w:r>
      <w:r w:rsidR="008A07A0" w:rsidRPr="00FE628B">
        <w:noBreakHyphen/>
      </w:r>
      <w:r w:rsidR="00CC6401" w:rsidRPr="00FE628B">
        <w:t>insured value of at least $50 million, whether used for commercial or other purposes</w:t>
      </w:r>
      <w:r w:rsidR="00CC6401" w:rsidRPr="0004480C">
        <w:t>.</w:t>
      </w:r>
    </w:p>
    <w:p w14:paraId="34C05AAD" w14:textId="77777777" w:rsidR="007B73B1" w:rsidRPr="0004480C" w:rsidRDefault="0004480C" w:rsidP="007B73B1">
      <w:r w:rsidRPr="0004480C">
        <w:rPr>
          <w:i/>
        </w:rPr>
        <w:t xml:space="preserve">Recommendation 10: </w:t>
      </w:r>
      <w:bookmarkStart w:id="69" w:name="_Toc408413464"/>
      <w:bookmarkStart w:id="70" w:name="_Toc408414178"/>
      <w:r w:rsidR="007B73B1" w:rsidRPr="0004480C">
        <w:t xml:space="preserve">That the application of the Act be clarified by amendments that remove doubt about </w:t>
      </w:r>
      <w:r w:rsidR="007B73B1">
        <w:t>whether certain losses would be covered under the scheme</w:t>
      </w:r>
      <w:r w:rsidR="00FD11EF">
        <w:t xml:space="preserve">, in particular, losses attributable to terrorism </w:t>
      </w:r>
      <w:r w:rsidR="00E358A1">
        <w:t>attacks that use chemi</w:t>
      </w:r>
      <w:r w:rsidR="00FD11EF">
        <w:t xml:space="preserve">cal or biological </w:t>
      </w:r>
      <w:r w:rsidR="00E358A1">
        <w:t>means.</w:t>
      </w:r>
    </w:p>
    <w:p w14:paraId="52637BC2" w14:textId="77777777" w:rsidR="005938C3" w:rsidRPr="0004480C" w:rsidRDefault="005938C3" w:rsidP="0004480C"/>
    <w:p w14:paraId="4D8FA44E" w14:textId="77777777" w:rsidR="005938C3" w:rsidRPr="005938C3" w:rsidRDefault="005938C3" w:rsidP="005938C3"/>
    <w:p w14:paraId="1A9F3495" w14:textId="77777777" w:rsidR="005938C3" w:rsidRDefault="005938C3" w:rsidP="005938C3">
      <w:pPr>
        <w:sectPr w:rsidR="005938C3" w:rsidSect="005938C3">
          <w:headerReference w:type="even" r:id="rId33"/>
          <w:headerReference w:type="default" r:id="rId34"/>
          <w:footerReference w:type="even" r:id="rId35"/>
          <w:footerReference w:type="default" r:id="rId36"/>
          <w:headerReference w:type="first" r:id="rId37"/>
          <w:footerReference w:type="first" r:id="rId38"/>
          <w:type w:val="oddPage"/>
          <w:pgSz w:w="11906" w:h="16838" w:code="9"/>
          <w:pgMar w:top="1440" w:right="1440" w:bottom="1440" w:left="1440" w:header="709" w:footer="709" w:gutter="0"/>
          <w:pgNumType w:start="1"/>
          <w:cols w:space="708"/>
          <w:titlePg/>
          <w:docGrid w:linePitch="360"/>
        </w:sectPr>
      </w:pPr>
    </w:p>
    <w:p w14:paraId="68B0EF59" w14:textId="77777777" w:rsidR="00DE4AC2" w:rsidRDefault="00DE4AC2" w:rsidP="00951A43">
      <w:pPr>
        <w:pStyle w:val="Heading1"/>
      </w:pPr>
      <w:bookmarkStart w:id="71" w:name="_Toc409191085"/>
      <w:bookmarkStart w:id="72" w:name="_Toc409618518"/>
      <w:bookmarkStart w:id="73" w:name="_Toc409630049"/>
      <w:bookmarkStart w:id="74" w:name="_Toc410229541"/>
      <w:bookmarkStart w:id="75" w:name="_Toc410302176"/>
      <w:bookmarkStart w:id="76" w:name="_Toc437338111"/>
      <w:r>
        <w:lastRenderedPageBreak/>
        <w:t>Chapter 1:</w:t>
      </w:r>
      <w:r w:rsidR="00951A43">
        <w:t xml:space="preserve">  </w:t>
      </w:r>
      <w:r>
        <w:t>Introduction</w:t>
      </w:r>
      <w:bookmarkEnd w:id="69"/>
      <w:bookmarkEnd w:id="70"/>
      <w:bookmarkEnd w:id="71"/>
      <w:bookmarkEnd w:id="72"/>
      <w:bookmarkEnd w:id="73"/>
      <w:bookmarkEnd w:id="74"/>
      <w:bookmarkEnd w:id="75"/>
      <w:bookmarkEnd w:id="76"/>
    </w:p>
    <w:p w14:paraId="66DB2483" w14:textId="77777777" w:rsidR="00D85D73" w:rsidRPr="00F46513" w:rsidRDefault="009F7138" w:rsidP="00B02419">
      <w:pPr>
        <w:pStyle w:val="Heading2"/>
        <w:rPr>
          <w:rFonts w:cstheme="minorHAnsi"/>
        </w:rPr>
      </w:pPr>
      <w:bookmarkStart w:id="77" w:name="_Toc437338112"/>
      <w:r>
        <w:t>Rational</w:t>
      </w:r>
      <w:r w:rsidR="00243252">
        <w:t>e</w:t>
      </w:r>
      <w:r>
        <w:t xml:space="preserve"> </w:t>
      </w:r>
      <w:r w:rsidR="00D85D73">
        <w:t>of the scheme</w:t>
      </w:r>
      <w:bookmarkEnd w:id="67"/>
      <w:bookmarkEnd w:id="68"/>
      <w:bookmarkEnd w:id="77"/>
    </w:p>
    <w:p w14:paraId="0014A71C" w14:textId="77777777" w:rsidR="00042D76" w:rsidRDefault="004E0C48" w:rsidP="00755335">
      <w:pPr>
        <w:rPr>
          <w:rFonts w:cstheme="minorHAnsi"/>
        </w:rPr>
      </w:pPr>
      <w:r w:rsidRPr="009104A5">
        <w:t xml:space="preserve">The lack of affordable terrorism insurance </w:t>
      </w:r>
      <w:r>
        <w:t xml:space="preserve">following </w:t>
      </w:r>
      <w:r w:rsidR="00353987">
        <w:t xml:space="preserve">terrorism events on </w:t>
      </w:r>
      <w:r w:rsidRPr="00901B7D">
        <w:t>11 September 2001</w:t>
      </w:r>
      <w:r>
        <w:t xml:space="preserve"> </w:t>
      </w:r>
      <w:r w:rsidRPr="009104A5">
        <w:t>forced Australia</w:t>
      </w:r>
      <w:r w:rsidR="008A07A0">
        <w:t>’</w:t>
      </w:r>
      <w:r w:rsidRPr="009104A5">
        <w:t>s commercial property owners</w:t>
      </w:r>
      <w:r w:rsidR="005C38E2">
        <w:t>, developers</w:t>
      </w:r>
      <w:r w:rsidR="00D8469D">
        <w:t xml:space="preserve"> and investors </w:t>
      </w:r>
      <w:r w:rsidR="00353987">
        <w:t>(</w:t>
      </w:r>
      <w:r w:rsidR="00D8469D">
        <w:t>such as</w:t>
      </w:r>
      <w:r w:rsidRPr="009104A5">
        <w:t xml:space="preserve"> banks, superannuation funds and fund managers</w:t>
      </w:r>
      <w:r w:rsidR="00353987">
        <w:t>)</w:t>
      </w:r>
      <w:r w:rsidRPr="009104A5">
        <w:t xml:space="preserve"> to assume their own terrorism risk, as existing policies expired and renewal policies expl</w:t>
      </w:r>
      <w:r>
        <w:t>icitly excluded terrorism cover.</w:t>
      </w:r>
      <w:r w:rsidR="00036D0D">
        <w:t xml:space="preserve"> </w:t>
      </w:r>
      <w:r w:rsidR="005C38E2">
        <w:t xml:space="preserve"> Effects included a substantial</w:t>
      </w:r>
      <w:r w:rsidR="005C38E2">
        <w:rPr>
          <w:rFonts w:cstheme="minorHAnsi"/>
        </w:rPr>
        <w:t xml:space="preserve"> reduction in commercial building activity.</w:t>
      </w:r>
      <w:r w:rsidR="00574ABA">
        <w:rPr>
          <w:rFonts w:cstheme="minorHAnsi"/>
        </w:rPr>
        <w:t xml:space="preserve"> As a result, in May 2002</w:t>
      </w:r>
      <w:r w:rsidR="00D85D73">
        <w:rPr>
          <w:rFonts w:cstheme="minorHAnsi"/>
        </w:rPr>
        <w:t xml:space="preserve"> the G</w:t>
      </w:r>
      <w:r w:rsidR="00D85D73" w:rsidRPr="00F46513">
        <w:rPr>
          <w:rFonts w:cstheme="minorHAnsi"/>
        </w:rPr>
        <w:t>overnment announced that it would act to protect the Australian economy from the negative effects of the withdrawa</w:t>
      </w:r>
      <w:r w:rsidR="00D85D73">
        <w:rPr>
          <w:rFonts w:cstheme="minorHAnsi"/>
        </w:rPr>
        <w:t>l of terrorism insurance cover.</w:t>
      </w:r>
    </w:p>
    <w:p w14:paraId="335B97C4" w14:textId="77777777" w:rsidR="003A43E0" w:rsidRDefault="00D85D73" w:rsidP="00755335">
      <w:pPr>
        <w:rPr>
          <w:rFonts w:cstheme="minorHAnsi"/>
        </w:rPr>
      </w:pPr>
      <w:r w:rsidRPr="00F46513">
        <w:rPr>
          <w:rFonts w:cstheme="minorHAnsi"/>
        </w:rPr>
        <w:t xml:space="preserve">Subsequently, </w:t>
      </w:r>
      <w:r w:rsidR="00042D76">
        <w:rPr>
          <w:rFonts w:cstheme="minorHAnsi"/>
        </w:rPr>
        <w:t>a</w:t>
      </w:r>
      <w:r w:rsidRPr="00F46513">
        <w:rPr>
          <w:rFonts w:cstheme="minorHAnsi"/>
        </w:rPr>
        <w:t xml:space="preserve"> scheme was established under the </w:t>
      </w:r>
      <w:r w:rsidRPr="00F46513">
        <w:rPr>
          <w:rFonts w:cstheme="minorHAnsi"/>
          <w:i/>
        </w:rPr>
        <w:t>Terrorism Insurance Act 2003</w:t>
      </w:r>
      <w:r w:rsidRPr="00F46513">
        <w:rPr>
          <w:rFonts w:cstheme="minorHAnsi"/>
        </w:rPr>
        <w:t xml:space="preserve"> (the Act) to replace terrorism insurance coverage for commercial property and associated business interruption losses and public liability claims. Under the Act, the scheme is administered by the ARPC</w:t>
      </w:r>
      <w:r w:rsidR="00042D76">
        <w:rPr>
          <w:rFonts w:cstheme="minorHAnsi"/>
        </w:rPr>
        <w:t xml:space="preserve">, a </w:t>
      </w:r>
      <w:r w:rsidR="003A43E0">
        <w:rPr>
          <w:rFonts w:cstheme="minorHAnsi"/>
        </w:rPr>
        <w:t xml:space="preserve">Commonwealth </w:t>
      </w:r>
      <w:r w:rsidR="00042D76">
        <w:rPr>
          <w:rFonts w:cstheme="minorHAnsi"/>
        </w:rPr>
        <w:t>statutory corporation</w:t>
      </w:r>
      <w:r w:rsidR="008A07A0">
        <w:rPr>
          <w:rFonts w:cstheme="minorHAnsi"/>
        </w:rPr>
        <w:t xml:space="preserve">. </w:t>
      </w:r>
      <w:r w:rsidRPr="00F46513">
        <w:rPr>
          <w:rFonts w:cstheme="minorHAnsi"/>
        </w:rPr>
        <w:t>The scheme commenced on 1 July 2003.</w:t>
      </w:r>
    </w:p>
    <w:p w14:paraId="5BDA15B1" w14:textId="77777777" w:rsidR="00465F4F" w:rsidRPr="00B84A93" w:rsidRDefault="00465F4F" w:rsidP="00843660">
      <w:pPr>
        <w:pStyle w:val="Heading3"/>
      </w:pPr>
      <w:r w:rsidRPr="00B84A93">
        <w:t>Operation and coverage</w:t>
      </w:r>
    </w:p>
    <w:p w14:paraId="587F0675" w14:textId="77777777" w:rsidR="001D147D" w:rsidRDefault="00465F4F" w:rsidP="00755335">
      <w:r w:rsidRPr="008A688D">
        <w:t>The Act operates by overriding terrorism exclusion clauses i</w:t>
      </w:r>
      <w:r w:rsidR="002A4390">
        <w:t>n eligible insurance contracts</w:t>
      </w:r>
      <w:r w:rsidRPr="008A688D">
        <w:t xml:space="preserve"> to the extent the losses excluded a</w:t>
      </w:r>
      <w:r w:rsidR="002A4390">
        <w:t>re eligible terrorism losses</w:t>
      </w:r>
      <w:r w:rsidRPr="008A688D">
        <w:t xml:space="preserve"> arising fro</w:t>
      </w:r>
      <w:r w:rsidR="002A4390">
        <w:t>m a declared terrorist incident</w:t>
      </w:r>
      <w:r>
        <w:t xml:space="preserve"> (DTI)</w:t>
      </w:r>
      <w:r w:rsidRPr="008A688D">
        <w:t>.</w:t>
      </w:r>
      <w:r w:rsidRPr="008A688D">
        <w:rPr>
          <w:rStyle w:val="FootnoteReference"/>
          <w:rFonts w:cstheme="minorHAnsi"/>
        </w:rPr>
        <w:footnoteReference w:id="4"/>
      </w:r>
      <w:r w:rsidRPr="008A688D">
        <w:t xml:space="preserve"> This requires insurers to meet eligible claims in accordance with the other terms and conditions of their policies.</w:t>
      </w:r>
    </w:p>
    <w:p w14:paraId="1C27AA92" w14:textId="77777777" w:rsidR="00376FD6" w:rsidRPr="008A688D" w:rsidRDefault="00042D76" w:rsidP="00755335">
      <w:r w:rsidRPr="008A688D">
        <w:t xml:space="preserve">Insurance companies </w:t>
      </w:r>
      <w:r w:rsidR="00583D2F">
        <w:t>can</w:t>
      </w:r>
      <w:r w:rsidRPr="008A688D">
        <w:t xml:space="preserve"> </w:t>
      </w:r>
      <w:r w:rsidR="00971BDA">
        <w:t>(</w:t>
      </w:r>
      <w:r>
        <w:t xml:space="preserve">but </w:t>
      </w:r>
      <w:r w:rsidR="00583D2F">
        <w:t xml:space="preserve">are </w:t>
      </w:r>
      <w:r>
        <w:t xml:space="preserve">not required </w:t>
      </w:r>
      <w:r w:rsidRPr="008A688D">
        <w:t>to</w:t>
      </w:r>
      <w:r w:rsidR="00971BDA">
        <w:t>)</w:t>
      </w:r>
      <w:r w:rsidRPr="008A688D">
        <w:t xml:space="preserve"> reinsure the risk of claims for eligible terrorism losses through the ARPC, in which case premiums are payable to the ARPC</w:t>
      </w:r>
      <w:r w:rsidR="00755539">
        <w:t xml:space="preserve"> at rates set by the Minister</w:t>
      </w:r>
      <w:r w:rsidRPr="008A688D">
        <w:t>.</w:t>
      </w:r>
      <w:r w:rsidR="002A4390">
        <w:t xml:space="preserve"> Insurance companies can choose to reinsure through the private reinsurance market.</w:t>
      </w:r>
    </w:p>
    <w:p w14:paraId="38C76461" w14:textId="77777777" w:rsidR="00465F4F" w:rsidRPr="008A688D" w:rsidRDefault="00465F4F" w:rsidP="00755335">
      <w:r>
        <w:t>An eligible insurance contract</w:t>
      </w:r>
      <w:r w:rsidRPr="008A688D">
        <w:t xml:space="preserve"> is a contract that provides insurance coverage for:</w:t>
      </w:r>
    </w:p>
    <w:p w14:paraId="54629FB3" w14:textId="77777777" w:rsidR="00465F4F" w:rsidRPr="00843660" w:rsidRDefault="00465F4F" w:rsidP="00843660">
      <w:pPr>
        <w:pStyle w:val="Bullet"/>
      </w:pPr>
      <w:r w:rsidRPr="00843660">
        <w:t>loss of, or damage to, eligible property owned by the insured;</w:t>
      </w:r>
      <w:r w:rsidR="00506367" w:rsidRPr="00843660">
        <w:tab/>
      </w:r>
    </w:p>
    <w:p w14:paraId="66957449" w14:textId="77777777" w:rsidR="00465F4F" w:rsidRPr="00843660" w:rsidRDefault="00465F4F" w:rsidP="00843660">
      <w:pPr>
        <w:pStyle w:val="Bullet"/>
      </w:pPr>
      <w:r w:rsidRPr="00843660">
        <w:t>business interruption and consequential loss arising from loss of, or damage to, eligible property that is owned or occupied by the insured or an inability to use all or part of such property; or</w:t>
      </w:r>
    </w:p>
    <w:p w14:paraId="0E9B01B2" w14:textId="77777777" w:rsidR="00465F4F" w:rsidRPr="00843660" w:rsidRDefault="00465F4F" w:rsidP="00843660">
      <w:pPr>
        <w:pStyle w:val="Bullet"/>
      </w:pPr>
      <w:proofErr w:type="gramStart"/>
      <w:r w:rsidRPr="00843660">
        <w:t>liability</w:t>
      </w:r>
      <w:proofErr w:type="gramEnd"/>
      <w:r w:rsidRPr="00843660">
        <w:t xml:space="preserve"> of the insured that arises </w:t>
      </w:r>
      <w:r w:rsidR="00BD531D">
        <w:t>from</w:t>
      </w:r>
      <w:r w:rsidRPr="00843660">
        <w:t xml:space="preserve"> the insured being the owner or occupier of eligible property.</w:t>
      </w:r>
      <w:r w:rsidRPr="00843660">
        <w:rPr>
          <w:rStyle w:val="FootnoteReference"/>
        </w:rPr>
        <w:footnoteReference w:id="5"/>
      </w:r>
    </w:p>
    <w:p w14:paraId="6B9CAFBA" w14:textId="77777777" w:rsidR="00465F4F" w:rsidRPr="00843660" w:rsidRDefault="008A07A0" w:rsidP="00755335">
      <w:r>
        <w:t>‘</w:t>
      </w:r>
      <w:r w:rsidR="00465F4F" w:rsidRPr="00843660">
        <w:t>Eligible property</w:t>
      </w:r>
      <w:r>
        <w:t>’</w:t>
      </w:r>
      <w:r w:rsidR="00465F4F" w:rsidRPr="00843660">
        <w:t xml:space="preserve"> is defined under the Act as the following property that is located in Australia:</w:t>
      </w:r>
    </w:p>
    <w:p w14:paraId="750E56E5" w14:textId="77777777" w:rsidR="00465F4F" w:rsidRPr="00843660" w:rsidRDefault="00465F4F" w:rsidP="00843660">
      <w:pPr>
        <w:pStyle w:val="Bullet"/>
      </w:pPr>
      <w:r w:rsidRPr="00843660">
        <w:t>buildings (including fixtures) or other structures or works on, in or under land;</w:t>
      </w:r>
    </w:p>
    <w:p w14:paraId="422897C9" w14:textId="77777777" w:rsidR="00465F4F" w:rsidRPr="00843660" w:rsidRDefault="00465F4F" w:rsidP="00843660">
      <w:pPr>
        <w:pStyle w:val="Bullet"/>
      </w:pPr>
      <w:r w:rsidRPr="00843660">
        <w:t>tangible property that is located in, or on, such property; and</w:t>
      </w:r>
    </w:p>
    <w:p w14:paraId="2A53D8F5" w14:textId="77777777" w:rsidR="00465F4F" w:rsidRDefault="00465F4F" w:rsidP="00843660">
      <w:pPr>
        <w:pStyle w:val="Bullet"/>
      </w:pPr>
      <w:proofErr w:type="gramStart"/>
      <w:r w:rsidRPr="00843660">
        <w:t>property</w:t>
      </w:r>
      <w:proofErr w:type="gramEnd"/>
      <w:r w:rsidRPr="00843660">
        <w:t xml:space="preserve"> prescribed by regulation.</w:t>
      </w:r>
      <w:r w:rsidRPr="005938C3">
        <w:rPr>
          <w:rStyle w:val="FootnoteReference"/>
        </w:rPr>
        <w:footnoteReference w:id="6"/>
      </w:r>
    </w:p>
    <w:p w14:paraId="6DB6E7CC" w14:textId="77777777" w:rsidR="00971BDA" w:rsidRPr="00843660" w:rsidRDefault="00971BDA" w:rsidP="00971BDA">
      <w:pPr>
        <w:pStyle w:val="Bullet"/>
        <w:numPr>
          <w:ilvl w:val="0"/>
          <w:numId w:val="0"/>
        </w:numPr>
        <w:ind w:left="397" w:hanging="397"/>
      </w:pPr>
      <w:r>
        <w:t xml:space="preserve">Note that there </w:t>
      </w:r>
      <w:r w:rsidR="00C71289">
        <w:t xml:space="preserve">is </w:t>
      </w:r>
      <w:r>
        <w:t xml:space="preserve">a range of exclusions set out in the </w:t>
      </w:r>
      <w:r w:rsidRPr="00971BDA">
        <w:rPr>
          <w:i/>
        </w:rPr>
        <w:t>Terrorism Insurance Regulations 2003</w:t>
      </w:r>
      <w:r>
        <w:t>.</w:t>
      </w:r>
    </w:p>
    <w:p w14:paraId="1CE7712D" w14:textId="77777777" w:rsidR="00465F4F" w:rsidRPr="00C879ED" w:rsidRDefault="00997403" w:rsidP="00755335">
      <w:pPr>
        <w:pStyle w:val="Heading3"/>
        <w:spacing w:before="0"/>
      </w:pPr>
      <w:r>
        <w:lastRenderedPageBreak/>
        <w:t xml:space="preserve">How </w:t>
      </w:r>
      <w:r w:rsidR="00762C43">
        <w:t>a claim</w:t>
      </w:r>
      <w:r>
        <w:t xml:space="preserve"> is funded</w:t>
      </w:r>
    </w:p>
    <w:p w14:paraId="75ED8CC2" w14:textId="77777777" w:rsidR="00C03209" w:rsidRPr="00BD7D43" w:rsidRDefault="00BD7D43" w:rsidP="00755335">
      <w:pPr>
        <w:rPr>
          <w:lang w:val="en"/>
        </w:rPr>
      </w:pPr>
      <w:r w:rsidRPr="00BD7D43">
        <w:rPr>
          <w:lang w:val="en"/>
        </w:rPr>
        <w:t xml:space="preserve">In the event of a DTI, claims would </w:t>
      </w:r>
      <w:r w:rsidR="00BD531D">
        <w:rPr>
          <w:lang w:val="en"/>
        </w:rPr>
        <w:t>progress along the following sequence</w:t>
      </w:r>
      <w:r w:rsidR="002A4390">
        <w:rPr>
          <w:lang w:val="en"/>
        </w:rPr>
        <w:t xml:space="preserve"> (see also Figure 1)</w:t>
      </w:r>
      <w:r w:rsidR="00C03209" w:rsidRPr="00BD7D43">
        <w:rPr>
          <w:lang w:val="en"/>
        </w:rPr>
        <w:t>:</w:t>
      </w:r>
    </w:p>
    <w:p w14:paraId="353DDE45" w14:textId="77777777" w:rsidR="00C03209" w:rsidRPr="00BD7D43" w:rsidRDefault="00BD7D43" w:rsidP="00843660">
      <w:pPr>
        <w:pStyle w:val="OutlineNumbered1"/>
        <w:rPr>
          <w:lang w:val="en"/>
        </w:rPr>
      </w:pPr>
      <w:r w:rsidRPr="00BD7D43">
        <w:rPr>
          <w:lang w:val="en"/>
        </w:rPr>
        <w:t xml:space="preserve">Losses would be met first </w:t>
      </w:r>
      <w:r w:rsidR="002A4390">
        <w:rPr>
          <w:lang w:val="en"/>
        </w:rPr>
        <w:t>by</w:t>
      </w:r>
      <w:r w:rsidRPr="00BD7D43">
        <w:rPr>
          <w:lang w:val="en"/>
        </w:rPr>
        <w:t xml:space="preserve"> </w:t>
      </w:r>
      <w:r w:rsidR="00C03209" w:rsidRPr="00BD7D43">
        <w:rPr>
          <w:lang w:val="en"/>
        </w:rPr>
        <w:t xml:space="preserve">industry </w:t>
      </w:r>
      <w:r w:rsidR="002A4390">
        <w:rPr>
          <w:lang w:val="en"/>
        </w:rPr>
        <w:t>up to the level of each insurer</w:t>
      </w:r>
      <w:r w:rsidR="008A07A0">
        <w:rPr>
          <w:lang w:val="en"/>
        </w:rPr>
        <w:t>’</w:t>
      </w:r>
      <w:r w:rsidR="002A4390">
        <w:rPr>
          <w:lang w:val="en"/>
        </w:rPr>
        <w:t xml:space="preserve">s </w:t>
      </w:r>
      <w:r w:rsidR="00C03209" w:rsidRPr="00BD7D43">
        <w:rPr>
          <w:lang w:val="en"/>
        </w:rPr>
        <w:t>retention</w:t>
      </w:r>
      <w:r w:rsidR="00001646">
        <w:rPr>
          <w:lang w:val="en"/>
        </w:rPr>
        <w:t>;</w:t>
      </w:r>
      <w:r w:rsidRPr="00BD7D43">
        <w:rPr>
          <w:lang w:val="en"/>
        </w:rPr>
        <w:t xml:space="preserve"> then</w:t>
      </w:r>
    </w:p>
    <w:p w14:paraId="2184D735" w14:textId="77777777" w:rsidR="00C03209" w:rsidRPr="00BD7D43" w:rsidRDefault="00843660" w:rsidP="00843660">
      <w:pPr>
        <w:pStyle w:val="OutlineNumbered1"/>
        <w:rPr>
          <w:lang w:val="en"/>
        </w:rPr>
      </w:pPr>
      <w:r>
        <w:rPr>
          <w:lang w:val="en"/>
        </w:rPr>
        <w:t>F</w:t>
      </w:r>
      <w:r w:rsidR="00BD7D43" w:rsidRPr="00BD7D43">
        <w:rPr>
          <w:lang w:val="en"/>
        </w:rPr>
        <w:t xml:space="preserve">rom </w:t>
      </w:r>
      <w:r w:rsidR="00C03209" w:rsidRPr="00BD7D43">
        <w:rPr>
          <w:lang w:val="en"/>
        </w:rPr>
        <w:t xml:space="preserve">ARPC </w:t>
      </w:r>
      <w:r w:rsidR="00BD7D43" w:rsidRPr="00BD7D43">
        <w:rPr>
          <w:lang w:val="en"/>
        </w:rPr>
        <w:t xml:space="preserve">capital </w:t>
      </w:r>
      <w:r w:rsidR="002A4390">
        <w:rPr>
          <w:lang w:val="en"/>
        </w:rPr>
        <w:t xml:space="preserve">up </w:t>
      </w:r>
      <w:r w:rsidR="00BD7D43" w:rsidRPr="00BD7D43">
        <w:rPr>
          <w:lang w:val="en"/>
        </w:rPr>
        <w:t>to the value of the deductible on retrocession cover</w:t>
      </w:r>
      <w:r w:rsidR="00E70FAE">
        <w:rPr>
          <w:lang w:val="en"/>
        </w:rPr>
        <w:t>;</w:t>
      </w:r>
      <w:r w:rsidR="00BD7D43" w:rsidRPr="00BD7D43">
        <w:rPr>
          <w:lang w:val="en"/>
        </w:rPr>
        <w:t xml:space="preserve"> then</w:t>
      </w:r>
    </w:p>
    <w:p w14:paraId="0040D371" w14:textId="77777777" w:rsidR="00C03209" w:rsidRPr="00BD7D43" w:rsidRDefault="00843660" w:rsidP="00843660">
      <w:pPr>
        <w:pStyle w:val="OutlineNumbered1"/>
        <w:rPr>
          <w:lang w:val="en"/>
        </w:rPr>
      </w:pPr>
      <w:r>
        <w:rPr>
          <w:lang w:val="en"/>
        </w:rPr>
        <w:t>F</w:t>
      </w:r>
      <w:r w:rsidR="00E70FAE">
        <w:rPr>
          <w:lang w:val="en"/>
        </w:rPr>
        <w:t>rom</w:t>
      </w:r>
      <w:r w:rsidR="00BD7D43" w:rsidRPr="00BD7D43">
        <w:rPr>
          <w:lang w:val="en"/>
        </w:rPr>
        <w:t xml:space="preserve"> the </w:t>
      </w:r>
      <w:r w:rsidR="00C03209" w:rsidRPr="00BD7D43">
        <w:rPr>
          <w:lang w:val="en"/>
        </w:rPr>
        <w:t>retrocession program</w:t>
      </w:r>
      <w:r w:rsidR="00BD7D43" w:rsidRPr="00BD7D43">
        <w:rPr>
          <w:lang w:val="en"/>
        </w:rPr>
        <w:t xml:space="preserve">, </w:t>
      </w:r>
      <w:r w:rsidR="00F64173">
        <w:rPr>
          <w:lang w:val="en"/>
        </w:rPr>
        <w:t>(</w:t>
      </w:r>
      <w:r w:rsidR="00BD7D43" w:rsidRPr="00BD7D43">
        <w:rPr>
          <w:lang w:val="en"/>
        </w:rPr>
        <w:t>with a</w:t>
      </w:r>
      <w:r w:rsidR="00F64173">
        <w:rPr>
          <w:lang w:val="en"/>
        </w:rPr>
        <w:t>ny</w:t>
      </w:r>
      <w:r w:rsidR="00BD7D43" w:rsidRPr="00BD7D43">
        <w:rPr>
          <w:lang w:val="en"/>
        </w:rPr>
        <w:t xml:space="preserve"> co</w:t>
      </w:r>
      <w:r w:rsidR="008A07A0">
        <w:rPr>
          <w:lang w:val="en"/>
        </w:rPr>
        <w:noBreakHyphen/>
      </w:r>
      <w:r w:rsidR="00BD7D43" w:rsidRPr="00BD7D43">
        <w:rPr>
          <w:lang w:val="en"/>
        </w:rPr>
        <w:t>contribution being made from ARPC capital</w:t>
      </w:r>
      <w:r w:rsidR="002C7CF8">
        <w:rPr>
          <w:lang w:val="en"/>
        </w:rPr>
        <w:t xml:space="preserve"> and then through the government guarantee</w:t>
      </w:r>
      <w:r w:rsidR="00F64173">
        <w:rPr>
          <w:lang w:val="en"/>
        </w:rPr>
        <w:t>)</w:t>
      </w:r>
      <w:r w:rsidR="00001646">
        <w:rPr>
          <w:lang w:val="en"/>
        </w:rPr>
        <w:t xml:space="preserve">; </w:t>
      </w:r>
      <w:r w:rsidR="00BD7D43" w:rsidRPr="00BD7D43">
        <w:rPr>
          <w:lang w:val="en"/>
        </w:rPr>
        <w:t>and finally</w:t>
      </w:r>
    </w:p>
    <w:p w14:paraId="51FC3898" w14:textId="77777777" w:rsidR="00C03209" w:rsidRPr="00BD7D43" w:rsidRDefault="00843660" w:rsidP="00843660">
      <w:pPr>
        <w:pStyle w:val="OutlineNumbered1"/>
        <w:rPr>
          <w:lang w:val="en"/>
        </w:rPr>
      </w:pPr>
      <w:r>
        <w:rPr>
          <w:lang w:val="en"/>
        </w:rPr>
        <w:t>Through</w:t>
      </w:r>
      <w:r w:rsidR="00BD7D43" w:rsidRPr="00BD7D43">
        <w:rPr>
          <w:lang w:val="en"/>
        </w:rPr>
        <w:t xml:space="preserve"> the </w:t>
      </w:r>
      <w:r w:rsidR="00297D28">
        <w:rPr>
          <w:lang w:val="en"/>
        </w:rPr>
        <w:t>government</w:t>
      </w:r>
      <w:r w:rsidR="00297D28" w:rsidRPr="00BD7D43">
        <w:rPr>
          <w:lang w:val="en"/>
        </w:rPr>
        <w:t xml:space="preserve"> </w:t>
      </w:r>
      <w:r w:rsidR="00C03209" w:rsidRPr="00BD7D43">
        <w:rPr>
          <w:lang w:val="en"/>
        </w:rPr>
        <w:t>guarantee</w:t>
      </w:r>
      <w:r w:rsidR="00762C43">
        <w:rPr>
          <w:lang w:val="en"/>
        </w:rPr>
        <w:t>,</w:t>
      </w:r>
      <w:r w:rsidR="00BD7D43" w:rsidRPr="00BD7D43">
        <w:rPr>
          <w:lang w:val="en"/>
        </w:rPr>
        <w:t xml:space="preserve"> u</w:t>
      </w:r>
      <w:r w:rsidR="00F64173">
        <w:rPr>
          <w:lang w:val="en"/>
        </w:rPr>
        <w:t>p to the $10 billion cap</w:t>
      </w:r>
      <w:r w:rsidR="00C03209" w:rsidRPr="00BD7D43">
        <w:rPr>
          <w:lang w:val="en"/>
        </w:rPr>
        <w:t>.</w:t>
      </w:r>
    </w:p>
    <w:p w14:paraId="5413EEF1" w14:textId="77777777" w:rsidR="00BD7D43" w:rsidRDefault="002A4390" w:rsidP="00755335">
      <w:pPr>
        <w:rPr>
          <w:lang w:val="en"/>
        </w:rPr>
      </w:pPr>
      <w:r>
        <w:rPr>
          <w:lang w:val="en"/>
        </w:rPr>
        <w:t xml:space="preserve">The sum of these tiers represents the maximum claimable amount under the scheme. </w:t>
      </w:r>
      <w:r w:rsidR="00BD7D43">
        <w:rPr>
          <w:lang w:val="en"/>
        </w:rPr>
        <w:t xml:space="preserve">Should the total claimed losses exceed the capital of the ARPC, the value of retrocession cover purchased and the $10 billion government guarantee, </w:t>
      </w:r>
      <w:r w:rsidR="00F64173">
        <w:rPr>
          <w:lang w:val="en"/>
        </w:rPr>
        <w:t xml:space="preserve">a ‘reduction percentage’ would be applied and </w:t>
      </w:r>
      <w:r w:rsidR="00BD7D43">
        <w:rPr>
          <w:lang w:val="en"/>
        </w:rPr>
        <w:t xml:space="preserve">claims </w:t>
      </w:r>
      <w:r w:rsidR="00762C43">
        <w:rPr>
          <w:lang w:val="en"/>
        </w:rPr>
        <w:t xml:space="preserve">would </w:t>
      </w:r>
      <w:r w:rsidR="00BD7D43">
        <w:rPr>
          <w:lang w:val="en"/>
        </w:rPr>
        <w:t xml:space="preserve">be paid </w:t>
      </w:r>
      <w:r w:rsidR="00762C43">
        <w:rPr>
          <w:lang w:val="en"/>
        </w:rPr>
        <w:t>on a</w:t>
      </w:r>
      <w:r w:rsidR="00BD7D43">
        <w:rPr>
          <w:lang w:val="en"/>
        </w:rPr>
        <w:t xml:space="preserve"> pro rata</w:t>
      </w:r>
      <w:r w:rsidR="00762C43">
        <w:rPr>
          <w:lang w:val="en"/>
        </w:rPr>
        <w:t xml:space="preserve"> basis</w:t>
      </w:r>
      <w:r w:rsidR="00BD7D43">
        <w:rPr>
          <w:lang w:val="en"/>
        </w:rPr>
        <w:t>.</w:t>
      </w:r>
    </w:p>
    <w:p w14:paraId="1BC285F8" w14:textId="77777777" w:rsidR="00A967F2" w:rsidRPr="00BD7D43" w:rsidRDefault="00A967F2" w:rsidP="00755335">
      <w:pPr>
        <w:rPr>
          <w:lang w:val="en"/>
        </w:rPr>
      </w:pPr>
      <w:r w:rsidRPr="00BD7D43">
        <w:rPr>
          <w:lang w:val="en"/>
        </w:rPr>
        <w:t>Insurers that reinsure their terrorism risks with ARPC retain part of the cost from a DTI. The retention</w:t>
      </w:r>
      <w:r w:rsidR="00762C43">
        <w:rPr>
          <w:lang w:val="en"/>
        </w:rPr>
        <w:t>, similar to</w:t>
      </w:r>
      <w:r w:rsidRPr="00BD7D43">
        <w:rPr>
          <w:lang w:val="en"/>
        </w:rPr>
        <w:t xml:space="preserve"> an excess or deductible, requires the insurer to pay the first part of any claim. Retentions </w:t>
      </w:r>
      <w:r w:rsidR="00762C43">
        <w:rPr>
          <w:lang w:val="en"/>
        </w:rPr>
        <w:t>for individual insurers</w:t>
      </w:r>
      <w:r w:rsidRPr="00BD7D43">
        <w:rPr>
          <w:lang w:val="en"/>
        </w:rPr>
        <w:t xml:space="preserve"> are calculated as </w:t>
      </w:r>
      <w:r w:rsidR="0060526C">
        <w:rPr>
          <w:lang w:val="en"/>
        </w:rPr>
        <w:t>4</w:t>
      </w:r>
      <w:r w:rsidRPr="00BD7D43">
        <w:rPr>
          <w:lang w:val="en"/>
        </w:rPr>
        <w:t xml:space="preserve"> per cent of fire and industrial special risk premiums collected by the insurer, with a minimum retention of $100,000 and a maximum retention of $10 million.</w:t>
      </w:r>
    </w:p>
    <w:p w14:paraId="109A3C96" w14:textId="77777777" w:rsidR="005C1B0A" w:rsidRPr="005938C3" w:rsidRDefault="00762C43" w:rsidP="00755335">
      <w:pPr>
        <w:rPr>
          <w:lang w:val="en"/>
        </w:rPr>
      </w:pPr>
      <w:r>
        <w:rPr>
          <w:lang w:val="en"/>
        </w:rPr>
        <w:t>T</w:t>
      </w:r>
      <w:r w:rsidR="00C7748A">
        <w:rPr>
          <w:lang w:val="en"/>
        </w:rPr>
        <w:t xml:space="preserve">he </w:t>
      </w:r>
      <w:r w:rsidR="00A967F2" w:rsidRPr="00BD7D43">
        <w:rPr>
          <w:lang w:val="en"/>
        </w:rPr>
        <w:t>ARPC</w:t>
      </w:r>
      <w:r w:rsidR="008A07A0">
        <w:rPr>
          <w:lang w:val="en"/>
        </w:rPr>
        <w:t>’</w:t>
      </w:r>
      <w:r w:rsidR="00A967F2" w:rsidRPr="00BD7D43">
        <w:rPr>
          <w:lang w:val="en"/>
        </w:rPr>
        <w:t xml:space="preserve">s reinsurance agreement </w:t>
      </w:r>
      <w:r>
        <w:rPr>
          <w:lang w:val="en"/>
        </w:rPr>
        <w:t xml:space="preserve">also </w:t>
      </w:r>
      <w:r w:rsidR="00A967F2" w:rsidRPr="00BD7D43">
        <w:rPr>
          <w:lang w:val="en"/>
        </w:rPr>
        <w:t xml:space="preserve">provides for </w:t>
      </w:r>
      <w:proofErr w:type="gramStart"/>
      <w:r w:rsidR="00755335">
        <w:rPr>
          <w:lang w:val="en"/>
        </w:rPr>
        <w:t>a maximum</w:t>
      </w:r>
      <w:proofErr w:type="gramEnd"/>
      <w:r w:rsidR="00A967F2" w:rsidRPr="00BD7D43">
        <w:rPr>
          <w:lang w:val="en"/>
        </w:rPr>
        <w:t xml:space="preserve"> industry retention of $100 million. If the </w:t>
      </w:r>
      <w:r w:rsidR="002228AD">
        <w:rPr>
          <w:lang w:val="en"/>
        </w:rPr>
        <w:t xml:space="preserve">sum of the </w:t>
      </w:r>
      <w:r w:rsidR="002228AD" w:rsidRPr="00BD7D43">
        <w:rPr>
          <w:lang w:val="en"/>
        </w:rPr>
        <w:t xml:space="preserve">retentions of </w:t>
      </w:r>
      <w:r w:rsidR="002228AD">
        <w:rPr>
          <w:lang w:val="en"/>
        </w:rPr>
        <w:t xml:space="preserve">individual </w:t>
      </w:r>
      <w:r w:rsidR="002228AD" w:rsidRPr="00BD7D43">
        <w:rPr>
          <w:lang w:val="en"/>
        </w:rPr>
        <w:t>insurers in respect of all eligible terrorism losses caused by a single DTI exceeds</w:t>
      </w:r>
      <w:r w:rsidR="00A967F2" w:rsidRPr="00BD7D43">
        <w:rPr>
          <w:lang w:val="en"/>
        </w:rPr>
        <w:t xml:space="preserve"> the maximum industry retention of $100 million, </w:t>
      </w:r>
      <w:r w:rsidR="002228AD">
        <w:rPr>
          <w:lang w:val="en"/>
        </w:rPr>
        <w:t xml:space="preserve">then </w:t>
      </w:r>
      <w:r>
        <w:rPr>
          <w:lang w:val="en"/>
        </w:rPr>
        <w:t>each</w:t>
      </w:r>
      <w:r w:rsidR="00A967F2" w:rsidRPr="00BD7D43">
        <w:rPr>
          <w:lang w:val="en"/>
        </w:rPr>
        <w:t xml:space="preserve"> insurer</w:t>
      </w:r>
      <w:r w:rsidR="008A07A0">
        <w:rPr>
          <w:lang w:val="en"/>
        </w:rPr>
        <w:t>’</w:t>
      </w:r>
      <w:r w:rsidR="00A967F2" w:rsidRPr="00BD7D43">
        <w:rPr>
          <w:lang w:val="en"/>
        </w:rPr>
        <w:t>s retention is reduced proportionately.</w:t>
      </w:r>
      <w:r w:rsidR="00E70FAE">
        <w:rPr>
          <w:rStyle w:val="FootnoteReference"/>
          <w:lang w:val="en"/>
        </w:rPr>
        <w:footnoteReference w:id="7"/>
      </w:r>
    </w:p>
    <w:p w14:paraId="0812F088" w14:textId="77777777" w:rsidR="000022E1" w:rsidRDefault="000022E1" w:rsidP="000022E1">
      <w:pPr>
        <w:pStyle w:val="ChartGraphic"/>
      </w:pPr>
      <w:r>
        <w:br w:type="page"/>
      </w:r>
    </w:p>
    <w:p w14:paraId="59A2410F" w14:textId="77777777" w:rsidR="00D9103C" w:rsidRDefault="00465F4F" w:rsidP="000022E1">
      <w:pPr>
        <w:pStyle w:val="FigureHeading"/>
      </w:pPr>
      <w:r w:rsidRPr="00BE2F72">
        <w:lastRenderedPageBreak/>
        <w:t xml:space="preserve">Figure 1: </w:t>
      </w:r>
      <w:r w:rsidR="0099789F">
        <w:t>2015</w:t>
      </w:r>
      <w:r w:rsidR="0099789F" w:rsidRPr="00BE2F72">
        <w:t xml:space="preserve"> </w:t>
      </w:r>
      <w:r w:rsidRPr="00BE2F72">
        <w:t xml:space="preserve">ARPC </w:t>
      </w:r>
      <w:r w:rsidR="001B6A78">
        <w:t xml:space="preserve">scheme </w:t>
      </w:r>
      <w:proofErr w:type="gramStart"/>
      <w:r w:rsidRPr="00BE2F72">
        <w:t>capacity</w:t>
      </w:r>
      <w:proofErr w:type="gramEnd"/>
    </w:p>
    <w:p w14:paraId="40A6CA5F" w14:textId="77777777" w:rsidR="00A52006" w:rsidRDefault="000022E1" w:rsidP="00082936">
      <w:pPr>
        <w:pStyle w:val="Figuregraphic"/>
      </w:pPr>
      <w:bookmarkStart w:id="78" w:name="_Toc406424586"/>
      <w:r>
        <w:rPr>
          <w:noProof/>
        </w:rPr>
        <w:drawing>
          <wp:anchor distT="0" distB="0" distL="114300" distR="114300" simplePos="0" relativeHeight="251658240" behindDoc="0" locked="0" layoutInCell="1" allowOverlap="1" wp14:anchorId="761CA6D8" wp14:editId="44399FA2">
            <wp:simplePos x="0" y="0"/>
            <wp:positionH relativeFrom="margin">
              <wp:align>center</wp:align>
            </wp:positionH>
            <wp:positionV relativeFrom="paragraph">
              <wp:posOffset>210693</wp:posOffset>
            </wp:positionV>
            <wp:extent cx="4340591" cy="6300000"/>
            <wp:effectExtent l="0" t="0" r="317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C scheme structure 15011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40591" cy="6300000"/>
                    </a:xfrm>
                    <a:prstGeom prst="rect">
                      <a:avLst/>
                    </a:prstGeom>
                    <a:ln w="3175">
                      <a:noFill/>
                    </a:ln>
                  </pic:spPr>
                </pic:pic>
              </a:graphicData>
            </a:graphic>
            <wp14:sizeRelH relativeFrom="page">
              <wp14:pctWidth>0</wp14:pctWidth>
            </wp14:sizeRelH>
            <wp14:sizeRelV relativeFrom="page">
              <wp14:pctHeight>0</wp14:pctHeight>
            </wp14:sizeRelV>
          </wp:anchor>
        </w:drawing>
      </w:r>
    </w:p>
    <w:p w14:paraId="59AE63E5" w14:textId="77777777" w:rsidR="000022E1" w:rsidRDefault="000022E1" w:rsidP="00082936"/>
    <w:p w14:paraId="123B29AD" w14:textId="77777777" w:rsidR="000022E1" w:rsidRDefault="000022E1" w:rsidP="00082936"/>
    <w:p w14:paraId="02BA9164" w14:textId="77777777" w:rsidR="000022E1" w:rsidRDefault="000022E1" w:rsidP="00082936"/>
    <w:p w14:paraId="4A685E01" w14:textId="77777777" w:rsidR="000022E1" w:rsidRDefault="000022E1" w:rsidP="00082936"/>
    <w:p w14:paraId="20EB1A71" w14:textId="77777777" w:rsidR="000022E1" w:rsidRDefault="000022E1" w:rsidP="00082936"/>
    <w:p w14:paraId="766235DE" w14:textId="77777777" w:rsidR="000022E1" w:rsidRDefault="000022E1" w:rsidP="00082936"/>
    <w:p w14:paraId="30B9772B" w14:textId="77777777" w:rsidR="000022E1" w:rsidRDefault="000022E1" w:rsidP="00082936"/>
    <w:p w14:paraId="561D674A" w14:textId="77777777" w:rsidR="000022E1" w:rsidRDefault="000022E1" w:rsidP="00082936"/>
    <w:p w14:paraId="41106457" w14:textId="77777777" w:rsidR="000022E1" w:rsidRDefault="000022E1" w:rsidP="00082936"/>
    <w:p w14:paraId="2CE62B02" w14:textId="77777777" w:rsidR="000022E1" w:rsidRDefault="000022E1" w:rsidP="00082936"/>
    <w:p w14:paraId="150CB78F" w14:textId="77777777" w:rsidR="000022E1" w:rsidRDefault="000022E1" w:rsidP="00082936"/>
    <w:p w14:paraId="23EA9589" w14:textId="77777777" w:rsidR="000022E1" w:rsidRDefault="000022E1" w:rsidP="00082936"/>
    <w:p w14:paraId="79775F2A" w14:textId="77777777" w:rsidR="000022E1" w:rsidRDefault="000022E1" w:rsidP="00082936"/>
    <w:p w14:paraId="738AC983" w14:textId="77777777" w:rsidR="000022E1" w:rsidRDefault="000022E1" w:rsidP="00082936"/>
    <w:p w14:paraId="2E619F27" w14:textId="77777777" w:rsidR="000022E1" w:rsidRDefault="000022E1" w:rsidP="00082936"/>
    <w:p w14:paraId="722358AE" w14:textId="77777777" w:rsidR="000022E1" w:rsidRDefault="000022E1" w:rsidP="00082936"/>
    <w:p w14:paraId="510E1048" w14:textId="77777777" w:rsidR="000022E1" w:rsidRDefault="000022E1" w:rsidP="00082936"/>
    <w:p w14:paraId="23938AC7" w14:textId="77777777" w:rsidR="000022E1" w:rsidRDefault="000022E1" w:rsidP="00082936"/>
    <w:p w14:paraId="6E3FA7FE" w14:textId="77777777" w:rsidR="000022E1" w:rsidRDefault="000022E1" w:rsidP="00082936"/>
    <w:p w14:paraId="1B1CA1DA" w14:textId="77777777" w:rsidR="000022E1" w:rsidRDefault="000022E1" w:rsidP="00082936"/>
    <w:p w14:paraId="3479F54C" w14:textId="77777777" w:rsidR="000022E1" w:rsidRDefault="000022E1" w:rsidP="00082936"/>
    <w:p w14:paraId="45C43AED" w14:textId="77777777" w:rsidR="000022E1" w:rsidRDefault="000022E1" w:rsidP="00082936">
      <w:pPr>
        <w:sectPr w:rsidR="000022E1" w:rsidSect="005938C3">
          <w:type w:val="oddPage"/>
          <w:pgSz w:w="11906" w:h="16838" w:code="9"/>
          <w:pgMar w:top="1440" w:right="1440" w:bottom="1440" w:left="1440" w:header="709" w:footer="709" w:gutter="0"/>
          <w:cols w:space="708"/>
          <w:titlePg/>
          <w:docGrid w:linePitch="360"/>
        </w:sectPr>
      </w:pPr>
    </w:p>
    <w:p w14:paraId="14157988" w14:textId="77777777" w:rsidR="00AB5F14" w:rsidRDefault="00AB5F14" w:rsidP="00951A43">
      <w:pPr>
        <w:pStyle w:val="Heading1"/>
      </w:pPr>
      <w:bookmarkStart w:id="79" w:name="_Toc408413465"/>
      <w:bookmarkStart w:id="80" w:name="_Toc408414179"/>
      <w:bookmarkStart w:id="81" w:name="_Toc409191086"/>
      <w:bookmarkStart w:id="82" w:name="_Toc409618519"/>
      <w:bookmarkStart w:id="83" w:name="_Toc409630050"/>
      <w:bookmarkStart w:id="84" w:name="_Toc410229542"/>
      <w:bookmarkStart w:id="85" w:name="_Toc410302177"/>
      <w:bookmarkStart w:id="86" w:name="_Toc437338113"/>
      <w:r w:rsidRPr="00BC183D">
        <w:lastRenderedPageBreak/>
        <w:t xml:space="preserve">Chapter </w:t>
      </w:r>
      <w:r w:rsidR="00FE266A">
        <w:t>2</w:t>
      </w:r>
      <w:r w:rsidR="00951A43">
        <w:t xml:space="preserve">:  </w:t>
      </w:r>
      <w:r w:rsidR="00B87057">
        <w:t>Continuation of</w:t>
      </w:r>
      <w:r>
        <w:t xml:space="preserve"> the act</w:t>
      </w:r>
      <w:bookmarkEnd w:id="78"/>
      <w:bookmarkEnd w:id="79"/>
      <w:bookmarkEnd w:id="80"/>
      <w:bookmarkEnd w:id="81"/>
      <w:bookmarkEnd w:id="82"/>
      <w:bookmarkEnd w:id="83"/>
      <w:bookmarkEnd w:id="84"/>
      <w:bookmarkEnd w:id="85"/>
      <w:bookmarkEnd w:id="86"/>
    </w:p>
    <w:p w14:paraId="16E40B4F" w14:textId="77777777" w:rsidR="004D70CF" w:rsidRDefault="004D70CF" w:rsidP="00843660">
      <w:pPr>
        <w:pStyle w:val="Heading2"/>
      </w:pPr>
      <w:bookmarkStart w:id="87" w:name="_Toc437338114"/>
      <w:r>
        <w:t>Issue</w:t>
      </w:r>
      <w:bookmarkEnd w:id="87"/>
      <w:r>
        <w:t xml:space="preserve"> </w:t>
      </w:r>
    </w:p>
    <w:p w14:paraId="45929251" w14:textId="77777777" w:rsidR="004D70CF" w:rsidRDefault="00710003" w:rsidP="00755335">
      <w:r>
        <w:t>This chapter examines whether</w:t>
      </w:r>
      <w:r w:rsidR="004D70CF" w:rsidRPr="009104A5">
        <w:t xml:space="preserve"> </w:t>
      </w:r>
      <w:r w:rsidR="0030282A">
        <w:t xml:space="preserve">there </w:t>
      </w:r>
      <w:r>
        <w:t>is</w:t>
      </w:r>
      <w:r w:rsidR="004D70CF" w:rsidRPr="009104A5">
        <w:t xml:space="preserve"> a need for the </w:t>
      </w:r>
      <w:r w:rsidR="004D70CF">
        <w:t xml:space="preserve">Act </w:t>
      </w:r>
      <w:r w:rsidR="004D70CF" w:rsidRPr="009104A5">
        <w:t xml:space="preserve">to continue </w:t>
      </w:r>
      <w:r w:rsidR="00EB1E1E">
        <w:t xml:space="preserve">to deem cover for losses suffered due to a terrorism incident into eligible insurance contracts and </w:t>
      </w:r>
      <w:r w:rsidR="00876AC5">
        <w:t>whether</w:t>
      </w:r>
      <w:r w:rsidR="00EB1E1E">
        <w:t xml:space="preserve"> the </w:t>
      </w:r>
      <w:r w:rsidR="00B97B26">
        <w:t>g</w:t>
      </w:r>
      <w:r w:rsidR="00EB1E1E">
        <w:t xml:space="preserve">overnment should continue to provide </w:t>
      </w:r>
      <w:r w:rsidR="00D9035F">
        <w:t xml:space="preserve">a </w:t>
      </w:r>
      <w:r w:rsidR="00EB1E1E">
        <w:t xml:space="preserve">reinsurance </w:t>
      </w:r>
      <w:r w:rsidR="00D9035F">
        <w:t xml:space="preserve">scheme </w:t>
      </w:r>
      <w:r w:rsidR="00EB1E1E">
        <w:t>for this risk. Considerations include to what extent</w:t>
      </w:r>
      <w:r w:rsidR="004D70CF" w:rsidRPr="009104A5">
        <w:t xml:space="preserve"> there continues to be a market failure </w:t>
      </w:r>
      <w:r w:rsidR="005B3B9F">
        <w:t xml:space="preserve">in the provision of terrorism insurance </w:t>
      </w:r>
      <w:r w:rsidR="004D70CF" w:rsidRPr="009104A5">
        <w:t xml:space="preserve">and what the impact would be if the Act were </w:t>
      </w:r>
      <w:r w:rsidR="005B3B9F">
        <w:t>to be abolished</w:t>
      </w:r>
      <w:r w:rsidR="004D70CF" w:rsidRPr="009104A5">
        <w:t>.</w:t>
      </w:r>
    </w:p>
    <w:p w14:paraId="2304053E" w14:textId="77777777" w:rsidR="00F64173" w:rsidRDefault="00F64173" w:rsidP="00F64173">
      <w:r>
        <w:t>As noted above, the National Commission of Audit, in expressing a view on the future of a number of Australian Government bodies, said of the ARPC:</w:t>
      </w:r>
    </w:p>
    <w:p w14:paraId="6C49F0DD" w14:textId="77777777" w:rsidR="00F64173" w:rsidRDefault="00F64173" w:rsidP="00F64173">
      <w:pPr>
        <w:ind w:left="720"/>
      </w:pPr>
      <w:r>
        <w:t>“With continued recovery in terrorism insurance markets, there is scope for a gradual Commonwealth exit over the coming years.”</w:t>
      </w:r>
      <w:r>
        <w:rPr>
          <w:rStyle w:val="FootnoteReference"/>
        </w:rPr>
        <w:footnoteReference w:id="8"/>
      </w:r>
    </w:p>
    <w:p w14:paraId="6BAA4A37" w14:textId="77777777" w:rsidR="00F64173" w:rsidRDefault="00F64173" w:rsidP="00755335">
      <w:r>
        <w:t>The scope for any short term Commonwealth exit is considered below.</w:t>
      </w:r>
    </w:p>
    <w:p w14:paraId="7EEE0A73" w14:textId="77777777" w:rsidR="004D70CF" w:rsidRPr="0048105B" w:rsidRDefault="004D70CF" w:rsidP="00843660">
      <w:pPr>
        <w:pStyle w:val="Heading2"/>
      </w:pPr>
      <w:bookmarkStart w:id="88" w:name="_Toc437338115"/>
      <w:r w:rsidRPr="0048105B">
        <w:t>Recommendation</w:t>
      </w:r>
      <w:bookmarkEnd w:id="88"/>
    </w:p>
    <w:p w14:paraId="0D13E254" w14:textId="77777777" w:rsidR="00F64173" w:rsidRDefault="00804745" w:rsidP="00755335">
      <w:r>
        <w:rPr>
          <w:noProof/>
        </w:rPr>
        <mc:AlternateContent>
          <mc:Choice Requires="wps">
            <w:drawing>
              <wp:anchor distT="0" distB="0" distL="114300" distR="114300" simplePos="0" relativeHeight="251658243" behindDoc="0" locked="0" layoutInCell="1" allowOverlap="1" wp14:anchorId="71ADEABB" wp14:editId="381302D1">
                <wp:simplePos x="0" y="0"/>
                <wp:positionH relativeFrom="column">
                  <wp:posOffset>351155</wp:posOffset>
                </wp:positionH>
                <wp:positionV relativeFrom="paragraph">
                  <wp:posOffset>739775</wp:posOffset>
                </wp:positionV>
                <wp:extent cx="4981575" cy="6000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6000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D003B3D" w14:textId="77777777" w:rsidR="00A20ABE" w:rsidRDefault="00A20ABE">
                            <w:r w:rsidRPr="00804745">
                              <w:rPr>
                                <w:i/>
                              </w:rPr>
                              <w:t>Recommendation 1</w:t>
                            </w:r>
                            <w:r>
                              <w:t>: T</w:t>
                            </w:r>
                            <w:r w:rsidRPr="00B02419">
                              <w:t>hat the Act remain</w:t>
                            </w:r>
                            <w:r>
                              <w:t>s</w:t>
                            </w:r>
                            <w:r w:rsidRPr="00B02419">
                              <w:t xml:space="preserve"> in force, subject to future three</w:t>
                            </w:r>
                            <w:r>
                              <w:noBreakHyphen/>
                            </w:r>
                            <w:r w:rsidRPr="00B02419">
                              <w:t>year</w:t>
                            </w:r>
                            <w:r>
                              <w:t>ly statutory reviews.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65pt;margin-top:58.25pt;width:392.25pt;height:47.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" fillcolor="white [3201]" strokecolor="#4f81bd [3204]" strokeweight="2pt">
                <v:textbox>
                  <w:txbxContent>
                    <w:p w:rsidR="00A20ABE" w:rsidRDefault="00A20ABE">
                      <w:r w:rsidRPr="00804745">
                        <w:rPr>
                          <w:i/>
                        </w:rPr>
                        <w:t>Recommendation 1</w:t>
                      </w:r>
                      <w:r>
                        <w:t>: T</w:t>
                      </w:r>
                      <w:r w:rsidRPr="00B02419">
                        <w:t>hat the Act remain</w:t>
                      </w:r>
                      <w:r>
                        <w:t>s</w:t>
                      </w:r>
                      <w:r w:rsidRPr="00B02419">
                        <w:t xml:space="preserve"> in force, subject to future three</w:t>
                      </w:r>
                      <w:r>
                        <w:noBreakHyphen/>
                      </w:r>
                      <w:r w:rsidRPr="00B02419">
                        <w:t>year</w:t>
                      </w:r>
                      <w:r>
                        <w:t>ly statutory reviews.</w:t>
                      </w:r>
                    </w:p>
                  </w:txbxContent>
                </v:textbox>
              </v:shape>
            </w:pict>
          </mc:Fallback>
        </mc:AlternateContent>
      </w:r>
      <w:r w:rsidR="005B3B9F">
        <w:t>T</w:t>
      </w:r>
      <w:r w:rsidR="004D70CF" w:rsidRPr="009104A5">
        <w:t xml:space="preserve">he </w:t>
      </w:r>
      <w:r w:rsidR="00755539">
        <w:t xml:space="preserve">restriction on availability of terrorism insurance and reinsurance cover in the private </w:t>
      </w:r>
      <w:r w:rsidR="004D70CF" w:rsidRPr="009104A5">
        <w:t xml:space="preserve">market </w:t>
      </w:r>
      <w:r w:rsidR="002033A4">
        <w:t>remains</w:t>
      </w:r>
      <w:r w:rsidR="008A07A0">
        <w:t xml:space="preserve">. </w:t>
      </w:r>
      <w:r w:rsidR="00755539">
        <w:t>There is some cover available, but this falls well short</w:t>
      </w:r>
      <w:r w:rsidR="002033A4">
        <w:t xml:space="preserve"> </w:t>
      </w:r>
      <w:r w:rsidR="00755539">
        <w:t>of</w:t>
      </w:r>
      <w:r w:rsidR="00791072">
        <w:t xml:space="preserve"> </w:t>
      </w:r>
      <w:r w:rsidR="0019107F">
        <w:t>the current</w:t>
      </w:r>
      <w:r w:rsidR="00791072">
        <w:t xml:space="preserve"> level</w:t>
      </w:r>
      <w:r w:rsidR="0019107F">
        <w:t xml:space="preserve"> provided under the scheme</w:t>
      </w:r>
      <w:r w:rsidR="004D70CF" w:rsidRPr="009104A5">
        <w:t>.</w:t>
      </w:r>
      <w:r w:rsidR="00791072">
        <w:t xml:space="preserve"> </w:t>
      </w:r>
      <w:r w:rsidR="00FE7B78">
        <w:t xml:space="preserve">This is unlikely to change in the short to medium term. As a result, </w:t>
      </w:r>
      <w:r w:rsidR="00F64173">
        <w:t>it is recommended that:</w:t>
      </w:r>
    </w:p>
    <w:p w14:paraId="4EDE706E" w14:textId="77777777" w:rsidR="00804745" w:rsidRDefault="00804745" w:rsidP="00755335"/>
    <w:p w14:paraId="468C037A" w14:textId="77777777" w:rsidR="00804745" w:rsidRDefault="00804745" w:rsidP="00755335"/>
    <w:p w14:paraId="046E3F28" w14:textId="77777777" w:rsidR="00071ABB" w:rsidRDefault="00BD531D" w:rsidP="00755335">
      <w:r>
        <w:t>In relation</w:t>
      </w:r>
      <w:r w:rsidR="00071ABB">
        <w:t xml:space="preserve"> to the size of the scheme, </w:t>
      </w:r>
      <w:r w:rsidR="002E36D4">
        <w:t>the current capacity is</w:t>
      </w:r>
      <w:r w:rsidR="00755539">
        <w:t xml:space="preserve"> considered an appropriate</w:t>
      </w:r>
      <w:r w:rsidR="00EB1E1E">
        <w:t xml:space="preserve"> level of </w:t>
      </w:r>
      <w:r w:rsidR="002E36D4">
        <w:t>cover</w:t>
      </w:r>
      <w:r w:rsidR="00EB1E1E">
        <w:t xml:space="preserve">, in that </w:t>
      </w:r>
      <w:r w:rsidR="00647E68">
        <w:t xml:space="preserve">modelling indicates </w:t>
      </w:r>
      <w:r w:rsidR="00EB1E1E">
        <w:t xml:space="preserve">it would </w:t>
      </w:r>
      <w:r w:rsidR="00AB3D0A">
        <w:t xml:space="preserve">adequately </w:t>
      </w:r>
      <w:r w:rsidR="00EB1E1E">
        <w:t>cover</w:t>
      </w:r>
      <w:r w:rsidR="002E36D4">
        <w:t xml:space="preserve"> the cost of a single explosion event</w:t>
      </w:r>
      <w:r w:rsidR="00EB1E1E">
        <w:t xml:space="preserve"> and provide a good level of cover for a multiple explosion event</w:t>
      </w:r>
      <w:r w:rsidR="002E36D4">
        <w:t xml:space="preserve">. </w:t>
      </w:r>
    </w:p>
    <w:p w14:paraId="1479A139" w14:textId="77777777" w:rsidR="00EB1E1E" w:rsidRPr="0039678B" w:rsidRDefault="00EB1E1E" w:rsidP="00843660">
      <w:pPr>
        <w:pStyle w:val="Heading2"/>
      </w:pPr>
      <w:bookmarkStart w:id="89" w:name="_Toc437338116"/>
      <w:r w:rsidRPr="0039678B">
        <w:t>Assessment</w:t>
      </w:r>
      <w:bookmarkEnd w:id="89"/>
    </w:p>
    <w:p w14:paraId="192ACA52" w14:textId="77777777" w:rsidR="00A663C6" w:rsidRDefault="00A663C6" w:rsidP="00843660">
      <w:pPr>
        <w:pStyle w:val="Heading3"/>
      </w:pPr>
      <w:r>
        <w:t>Appropriate level of terrorism cover</w:t>
      </w:r>
    </w:p>
    <w:p w14:paraId="19A071A0" w14:textId="77777777" w:rsidR="00EB1E1E" w:rsidRPr="00FC1F7A" w:rsidRDefault="00755539" w:rsidP="00755335">
      <w:pPr>
        <w:rPr>
          <w:sz w:val="20"/>
        </w:rPr>
      </w:pPr>
      <w:r>
        <w:rPr>
          <w:sz w:val="24"/>
        </w:rPr>
        <w:t xml:space="preserve">The </w:t>
      </w:r>
      <w:r w:rsidR="00C53B6D" w:rsidRPr="00D25398">
        <w:t>ARPC</w:t>
      </w:r>
      <w:r w:rsidR="008A07A0">
        <w:t>’</w:t>
      </w:r>
      <w:r w:rsidR="00C53B6D" w:rsidRPr="00D25398">
        <w:t>s modelling demonstrates that</w:t>
      </w:r>
      <w:r w:rsidR="00BD531D">
        <w:t>,</w:t>
      </w:r>
      <w:r w:rsidR="00C53B6D" w:rsidRPr="00D25398">
        <w:t xml:space="preserve"> if a loss was to occur in the Sydney or Melbourne central business districts from a large blast, ARPC</w:t>
      </w:r>
      <w:r w:rsidR="008A07A0">
        <w:t>’</w:t>
      </w:r>
      <w:r w:rsidR="00C53B6D" w:rsidRPr="00D25398">
        <w:t>s pool of funds plus the retrocession program would cover almost all probable events.</w:t>
      </w:r>
      <w:r w:rsidR="00C53B6D" w:rsidRPr="00B16624">
        <w:rPr>
          <w:rStyle w:val="FootnoteReference"/>
          <w:color w:val="221E1F"/>
        </w:rPr>
        <w:footnoteReference w:id="9"/>
      </w:r>
      <w:r w:rsidR="00161D7B">
        <w:rPr>
          <w:sz w:val="20"/>
        </w:rPr>
        <w:t xml:space="preserve"> </w:t>
      </w:r>
      <w:r w:rsidR="00EB1E1E">
        <w:t xml:space="preserve">Multiple explosion events have not been modelled </w:t>
      </w:r>
      <w:r>
        <w:t>and</w:t>
      </w:r>
      <w:r w:rsidR="00EB1E1E">
        <w:t xml:space="preserve"> </w:t>
      </w:r>
      <w:r w:rsidR="00C53B6D">
        <w:t>w</w:t>
      </w:r>
      <w:r w:rsidR="00EB1E1E">
        <w:t xml:space="preserve">ould lead to larger losses. </w:t>
      </w:r>
      <w:r>
        <w:t>D</w:t>
      </w:r>
      <w:r w:rsidR="00EB1E1E">
        <w:t xml:space="preserve">etermining </w:t>
      </w:r>
      <w:r>
        <w:t xml:space="preserve">an appropriate capacity </w:t>
      </w:r>
      <w:r w:rsidR="00843660">
        <w:t>for the</w:t>
      </w:r>
      <w:r w:rsidR="00EB1E1E">
        <w:t xml:space="preserve"> scheme </w:t>
      </w:r>
      <w:r>
        <w:t>is challenging due to the lack of certainty of the probability of substantial events</w:t>
      </w:r>
      <w:r w:rsidR="008A07A0">
        <w:t xml:space="preserve">. </w:t>
      </w:r>
      <w:r>
        <w:t>However, the ARPC</w:t>
      </w:r>
      <w:r w:rsidR="008A07A0">
        <w:t>’</w:t>
      </w:r>
      <w:r>
        <w:t>s conclusion that</w:t>
      </w:r>
      <w:r w:rsidR="00EB1E1E">
        <w:t xml:space="preserve"> the current </w:t>
      </w:r>
      <w:r>
        <w:t>capacity</w:t>
      </w:r>
      <w:r w:rsidR="00EB1E1E">
        <w:t xml:space="preserve"> </w:t>
      </w:r>
      <w:r w:rsidR="00222FD3">
        <w:t xml:space="preserve">of $13 billion </w:t>
      </w:r>
      <w:r>
        <w:t xml:space="preserve">is adequate to </w:t>
      </w:r>
      <w:r w:rsidR="000808B4">
        <w:t xml:space="preserve">comfortably </w:t>
      </w:r>
      <w:r>
        <w:t xml:space="preserve">cover most </w:t>
      </w:r>
      <w:r w:rsidR="009857BC">
        <w:t xml:space="preserve">foreseeable </w:t>
      </w:r>
      <w:r>
        <w:t xml:space="preserve">outcomes of </w:t>
      </w:r>
      <w:r w:rsidR="000808B4">
        <w:t xml:space="preserve">a major </w:t>
      </w:r>
      <w:r w:rsidR="00FB5A77">
        <w:t xml:space="preserve">explosion </w:t>
      </w:r>
      <w:r w:rsidR="000808B4">
        <w:t xml:space="preserve">event in a large Australian city provides a basis on which to maintain the current level of </w:t>
      </w:r>
      <w:r w:rsidR="000808B4">
        <w:lastRenderedPageBreak/>
        <w:t>cover under the scheme</w:t>
      </w:r>
      <w:r w:rsidR="008A07A0">
        <w:t xml:space="preserve">. </w:t>
      </w:r>
      <w:r w:rsidR="000808B4">
        <w:t>I</w:t>
      </w:r>
      <w:r w:rsidR="008E7BEF">
        <w:t>f</w:t>
      </w:r>
      <w:r w:rsidR="000808B4">
        <w:t xml:space="preserve"> ARPC </w:t>
      </w:r>
      <w:r w:rsidR="00843660">
        <w:t>reserves</w:t>
      </w:r>
      <w:r w:rsidR="000808B4">
        <w:t xml:space="preserve"> were depleted after such an event, </w:t>
      </w:r>
      <w:r w:rsidR="00843660">
        <w:t>consideration</w:t>
      </w:r>
      <w:r w:rsidR="000808B4">
        <w:t xml:space="preserve"> would be given as to how best to replenish those reserves in preparation for any further event</w:t>
      </w:r>
      <w:r w:rsidR="008A07A0">
        <w:t xml:space="preserve">. </w:t>
      </w:r>
    </w:p>
    <w:p w14:paraId="3B33C5B1" w14:textId="77777777" w:rsidR="00A663C6" w:rsidRDefault="00A663C6" w:rsidP="00843660">
      <w:pPr>
        <w:pStyle w:val="Heading3"/>
      </w:pPr>
      <w:r>
        <w:t>Market failure</w:t>
      </w:r>
    </w:p>
    <w:p w14:paraId="4C33E47A" w14:textId="77777777" w:rsidR="00AF4EEF" w:rsidRPr="00A61F7E" w:rsidRDefault="00AF4EEF" w:rsidP="00755335">
      <w:r w:rsidRPr="00A61F7E">
        <w:t xml:space="preserve">The report </w:t>
      </w:r>
      <w:r w:rsidR="00B837E1">
        <w:t xml:space="preserve">prepared by external consulting firm </w:t>
      </w:r>
      <w:proofErr w:type="spellStart"/>
      <w:r w:rsidR="00B837E1">
        <w:t>Pottinger</w:t>
      </w:r>
      <w:proofErr w:type="spellEnd"/>
      <w:r w:rsidR="00B837E1">
        <w:t xml:space="preserve"> </w:t>
      </w:r>
      <w:r w:rsidR="00EB1E1E">
        <w:t>considered the availability of reinsurance for terrorism risk in detail. It c</w:t>
      </w:r>
      <w:r w:rsidRPr="00A61F7E">
        <w:t>oncludes that the availability and pricing of private sector terrorism insurance has improved over time</w:t>
      </w:r>
      <w:r w:rsidR="000A1A96" w:rsidRPr="00A61F7E">
        <w:t xml:space="preserve"> </w:t>
      </w:r>
      <w:r w:rsidR="00A27E81" w:rsidRPr="00A61F7E">
        <w:t xml:space="preserve">due to the low incidence of major terrorism claims, better risk modelling and greater competition among reinsurers. </w:t>
      </w:r>
      <w:r w:rsidR="007A563A" w:rsidRPr="00A61F7E">
        <w:t>Terrorism loss</w:t>
      </w:r>
      <w:r w:rsidR="00A27E81" w:rsidRPr="00A61F7E">
        <w:t xml:space="preserve"> reinsurance prices have also fallen over time.</w:t>
      </w:r>
      <w:r w:rsidR="001D5755">
        <w:t xml:space="preserve"> In addition, coverage has improved for small events</w:t>
      </w:r>
      <w:r w:rsidR="00AC1F66">
        <w:t>.</w:t>
      </w:r>
    </w:p>
    <w:p w14:paraId="7DD0F99A" w14:textId="77777777" w:rsidR="000A1A96" w:rsidRPr="00A61F7E" w:rsidRDefault="00AF4EEF" w:rsidP="00755335">
      <w:r w:rsidRPr="00A61F7E">
        <w:t>Nonethel</w:t>
      </w:r>
      <w:r w:rsidR="00A27E81" w:rsidRPr="00A61F7E">
        <w:t>e</w:t>
      </w:r>
      <w:r w:rsidRPr="00A61F7E">
        <w:t>ss,</w:t>
      </w:r>
      <w:r w:rsidR="004D70CF" w:rsidRPr="00A61F7E">
        <w:t xml:space="preserve"> </w:t>
      </w:r>
      <w:r w:rsidR="008E7BEF">
        <w:t xml:space="preserve">there is still a </w:t>
      </w:r>
      <w:r w:rsidR="004D70CF" w:rsidRPr="00A61F7E">
        <w:t>partial market failure</w:t>
      </w:r>
      <w:r w:rsidR="008A07A0">
        <w:t xml:space="preserve">. </w:t>
      </w:r>
      <w:r w:rsidR="004534B8">
        <w:t>T</w:t>
      </w:r>
      <w:r w:rsidR="00084B44">
        <w:t xml:space="preserve">he </w:t>
      </w:r>
      <w:proofErr w:type="spellStart"/>
      <w:r w:rsidR="00084B44">
        <w:t>Pottinger</w:t>
      </w:r>
      <w:proofErr w:type="spellEnd"/>
      <w:r w:rsidR="00084B44">
        <w:t xml:space="preserve"> report estimates that</w:t>
      </w:r>
      <w:r w:rsidR="000A1A96" w:rsidRPr="00A61F7E">
        <w:t xml:space="preserve"> t</w:t>
      </w:r>
      <w:r w:rsidR="004D70CF" w:rsidRPr="00A61F7E">
        <w:t xml:space="preserve">errorism risk retrocessions available </w:t>
      </w:r>
      <w:r w:rsidR="00E30E2D">
        <w:t>to</w:t>
      </w:r>
      <w:r w:rsidR="00E30E2D" w:rsidRPr="00A61F7E">
        <w:t xml:space="preserve"> Australia</w:t>
      </w:r>
      <w:r w:rsidR="00E30E2D">
        <w:t>n insurers</w:t>
      </w:r>
      <w:r w:rsidR="00E30E2D" w:rsidRPr="00A61F7E">
        <w:t xml:space="preserve"> </w:t>
      </w:r>
      <w:r w:rsidRPr="00A61F7E">
        <w:t xml:space="preserve">at a reasonable </w:t>
      </w:r>
      <w:r w:rsidR="00161D7B">
        <w:t>price</w:t>
      </w:r>
      <w:r w:rsidRPr="00A61F7E">
        <w:t xml:space="preserve"> </w:t>
      </w:r>
      <w:r w:rsidR="000A1A96" w:rsidRPr="00A61F7E">
        <w:t>total</w:t>
      </w:r>
      <w:r w:rsidRPr="00A61F7E">
        <w:t xml:space="preserve"> around $5 </w:t>
      </w:r>
      <w:r w:rsidR="00161D7B">
        <w:t>b</w:t>
      </w:r>
      <w:r w:rsidRPr="00A61F7E">
        <w:t xml:space="preserve">illion, </w:t>
      </w:r>
      <w:r w:rsidR="008E7BEF">
        <w:t xml:space="preserve">which is </w:t>
      </w:r>
      <w:r w:rsidRPr="00A61F7E">
        <w:t xml:space="preserve">well below </w:t>
      </w:r>
      <w:r w:rsidR="004D70CF" w:rsidRPr="00A61F7E">
        <w:t>th</w:t>
      </w:r>
      <w:r w:rsidRPr="00A61F7E">
        <w:t xml:space="preserve">e </w:t>
      </w:r>
      <w:r w:rsidR="00481861">
        <w:t xml:space="preserve">approximately </w:t>
      </w:r>
      <w:r w:rsidRPr="00A61F7E">
        <w:t>$13 billion</w:t>
      </w:r>
      <w:r w:rsidR="004D70CF" w:rsidRPr="00A61F7E">
        <w:t xml:space="preserve"> of </w:t>
      </w:r>
      <w:r w:rsidR="004534B8">
        <w:t xml:space="preserve">reinsurance </w:t>
      </w:r>
      <w:r w:rsidR="004D70CF" w:rsidRPr="00A61F7E">
        <w:t xml:space="preserve">cover provided by the </w:t>
      </w:r>
      <w:r w:rsidRPr="00A61F7E">
        <w:t>scheme</w:t>
      </w:r>
      <w:r w:rsidR="004D70CF" w:rsidRPr="00A61F7E">
        <w:t xml:space="preserve">. </w:t>
      </w:r>
    </w:p>
    <w:p w14:paraId="55048E9E" w14:textId="77777777" w:rsidR="00A27E81" w:rsidRDefault="008E7BEF" w:rsidP="00755335">
      <w:r>
        <w:t>There also seems to be</w:t>
      </w:r>
      <w:r w:rsidR="00AB3F76" w:rsidRPr="00A61F7E">
        <w:t xml:space="preserve"> </w:t>
      </w:r>
      <w:r w:rsidR="004D70CF" w:rsidRPr="00A61F7E">
        <w:t>no material likelihood of market conditions changing such that adequate private sector supply of terrorism insurance becomes available over the near to medium term</w:t>
      </w:r>
      <w:r w:rsidR="004721AE" w:rsidRPr="00A61F7E">
        <w:t>.</w:t>
      </w:r>
      <w:r w:rsidR="001D5755">
        <w:t xml:space="preserve"> </w:t>
      </w:r>
      <w:r w:rsidR="00BE4D6A">
        <w:t>T</w:t>
      </w:r>
      <w:r w:rsidR="00AB3F76">
        <w:t xml:space="preserve">he development of a private market for terrorism insurance in Australia depends on further growth in the capacity of global reinsurance markets for terrorism risk. </w:t>
      </w:r>
      <w:r w:rsidR="00394373">
        <w:t xml:space="preserve">Recent developments overseas indicate that government support of terrorism insurance arrangements continues to be required. </w:t>
      </w:r>
      <w:r w:rsidR="00394373" w:rsidRPr="007F7689">
        <w:t>The US</w:t>
      </w:r>
      <w:r w:rsidR="00873A0A">
        <w:t> </w:t>
      </w:r>
      <w:r w:rsidR="00394373" w:rsidRPr="007F7689">
        <w:t>Parliament</w:t>
      </w:r>
      <w:r>
        <w:t>, for example,</w:t>
      </w:r>
      <w:r w:rsidR="00394373" w:rsidRPr="007F7689">
        <w:t xml:space="preserve"> recently voted to reinstate the national terrorist insurance scheme, which had lapsed in December 2014.</w:t>
      </w:r>
      <w:r w:rsidR="00394373">
        <w:t xml:space="preserve"> </w:t>
      </w:r>
      <w:r w:rsidR="00394373" w:rsidRPr="007F7689">
        <w:t xml:space="preserve">The Bill passed with bipartisan support. </w:t>
      </w:r>
    </w:p>
    <w:p w14:paraId="2AE01F0A" w14:textId="77777777" w:rsidR="00A27E81" w:rsidRDefault="00FD30B1" w:rsidP="00755335">
      <w:r>
        <w:t>C</w:t>
      </w:r>
      <w:r w:rsidR="000A1A96">
        <w:t xml:space="preserve">urrent conditions do not imply </w:t>
      </w:r>
      <w:r w:rsidR="00A27E81">
        <w:t xml:space="preserve">the </w:t>
      </w:r>
      <w:r w:rsidR="000A1A96">
        <w:t xml:space="preserve">continued </w:t>
      </w:r>
      <w:r w:rsidR="00A27E81">
        <w:t>availability of private sector terrorism insurance at an economic price over the medium to longer term, particularly in the event of a major claim in Australia or overseas. Further, the report indicates that</w:t>
      </w:r>
      <w:r w:rsidR="008E7BEF">
        <w:t>,</w:t>
      </w:r>
      <w:r w:rsidR="00A27E81">
        <w:t xml:space="preserve"> while there is increasing capacity to insure the risk pool managed by the ARPC, there is no guarantee that the same capacity would be available to individual insurers</w:t>
      </w:r>
      <w:r w:rsidR="00727B12">
        <w:t>. The report identifies</w:t>
      </w:r>
      <w:r w:rsidR="00A27E81">
        <w:t xml:space="preserve"> </w:t>
      </w:r>
      <w:r w:rsidR="000A1A96">
        <w:t>the</w:t>
      </w:r>
      <w:r w:rsidR="00A27E81">
        <w:t xml:space="preserve"> risk</w:t>
      </w:r>
      <w:r w:rsidR="008E7BEF">
        <w:t>-</w:t>
      </w:r>
      <w:r w:rsidR="00A27E81">
        <w:t xml:space="preserve">pooling mechanism </w:t>
      </w:r>
      <w:r w:rsidR="00727B12">
        <w:t>as</w:t>
      </w:r>
      <w:r w:rsidR="008E7BEF">
        <w:t xml:space="preserve"> </w:t>
      </w:r>
      <w:r w:rsidR="00A27E81">
        <w:t>a key factor in providing cost</w:t>
      </w:r>
      <w:r w:rsidR="008A07A0">
        <w:noBreakHyphen/>
      </w:r>
      <w:r w:rsidR="00A27E81">
        <w:t>effective reinsurance of terrorism risk.</w:t>
      </w:r>
    </w:p>
    <w:p w14:paraId="73137BBA" w14:textId="77777777" w:rsidR="00A663C6" w:rsidRDefault="00A663C6" w:rsidP="00843660">
      <w:pPr>
        <w:pStyle w:val="Heading3"/>
      </w:pPr>
      <w:r>
        <w:t>Impact on competition</w:t>
      </w:r>
    </w:p>
    <w:p w14:paraId="4D7E7825" w14:textId="77777777" w:rsidR="00222FD3" w:rsidRDefault="00FC1DD0" w:rsidP="00755335">
      <w:r>
        <w:t xml:space="preserve">A second consideration is whether continuation of the scheme is preventing </w:t>
      </w:r>
      <w:r w:rsidR="008E7BEF">
        <w:t xml:space="preserve">the re-emergence of </w:t>
      </w:r>
      <w:r>
        <w:t>a private market for terrorism insurance</w:t>
      </w:r>
      <w:r w:rsidR="00AB3F76">
        <w:t xml:space="preserve">. </w:t>
      </w:r>
      <w:r w:rsidR="00BE4D6A">
        <w:t>Again, the capacity of Australian insurers depends on the global market for reinsurance. In this context</w:t>
      </w:r>
      <w:r>
        <w:t xml:space="preserve">, </w:t>
      </w:r>
      <w:r w:rsidR="00BE4D6A">
        <w:t>the</w:t>
      </w:r>
      <w:r>
        <w:t xml:space="preserve"> current government</w:t>
      </w:r>
      <w:r w:rsidR="008A07A0">
        <w:noBreakHyphen/>
      </w:r>
      <w:r>
        <w:t>supported sc</w:t>
      </w:r>
      <w:r w:rsidR="00BE4D6A">
        <w:t>heme in Australia is likely to have little effect on the development of the market</w:t>
      </w:r>
      <w:r w:rsidR="00AB3F76">
        <w:t>.</w:t>
      </w:r>
      <w:r w:rsidR="00BE4D6A">
        <w:t xml:space="preserve"> </w:t>
      </w:r>
      <w:r w:rsidR="00AF3546">
        <w:t xml:space="preserve">Supporting this conclusion is </w:t>
      </w:r>
      <w:r w:rsidR="002C7CF8">
        <w:t xml:space="preserve">the </w:t>
      </w:r>
      <w:proofErr w:type="spellStart"/>
      <w:r w:rsidR="00AF3546">
        <w:t>Finity</w:t>
      </w:r>
      <w:proofErr w:type="spellEnd"/>
      <w:r w:rsidR="00AF3546">
        <w:t xml:space="preserve"> report</w:t>
      </w:r>
      <w:r w:rsidR="008E7BEF">
        <w:t>’s finding</w:t>
      </w:r>
      <w:r w:rsidR="00AF3546">
        <w:t xml:space="preserve"> that no market solution </w:t>
      </w:r>
      <w:r w:rsidR="008E7BEF">
        <w:t xml:space="preserve">has </w:t>
      </w:r>
      <w:r w:rsidR="00AF3546">
        <w:t>emerge</w:t>
      </w:r>
      <w:r w:rsidR="008E7BEF">
        <w:t>d</w:t>
      </w:r>
      <w:r w:rsidR="00AF3546">
        <w:t xml:space="preserve"> in relation to</w:t>
      </w:r>
      <w:r w:rsidR="00F34A1D">
        <w:br/>
      </w:r>
      <w:r w:rsidR="00AF3546">
        <w:t>high</w:t>
      </w:r>
      <w:r w:rsidR="008A07A0">
        <w:noBreakHyphen/>
      </w:r>
      <w:r w:rsidR="00AF3546">
        <w:t>rise residential and mixed</w:t>
      </w:r>
      <w:r w:rsidR="008A07A0">
        <w:noBreakHyphen/>
      </w:r>
      <w:r w:rsidR="00AF3546">
        <w:t xml:space="preserve">use buildings </w:t>
      </w:r>
      <w:r w:rsidR="00FC1F7A">
        <w:t>not covered by the scheme</w:t>
      </w:r>
      <w:r w:rsidR="008E7BEF">
        <w:t>.</w:t>
      </w:r>
    </w:p>
    <w:p w14:paraId="07D3FABD" w14:textId="77777777" w:rsidR="00AF3546" w:rsidRDefault="00222FD3" w:rsidP="00755335">
      <w:r>
        <w:t>The low impact of the scheme on the development of a market solution is consistent with the view of insurance industry stakeholders that the scheme should remain in largely its current form and is of benefit to them in a market where terrorism insurance is lacking</w:t>
      </w:r>
      <w:r w:rsidR="00A663C6">
        <w:t xml:space="preserve">. </w:t>
      </w:r>
      <w:r w:rsidR="00AF3546">
        <w:t>In fact, the successful retrocession program operated by the ARPC is viewed by stakeholders as having a positive effect on Australian insurers</w:t>
      </w:r>
      <w:r w:rsidR="008A07A0">
        <w:t>’</w:t>
      </w:r>
      <w:r w:rsidR="00AF3546">
        <w:t xml:space="preserve"> access to global reinsurance markets.</w:t>
      </w:r>
    </w:p>
    <w:p w14:paraId="6A46C939" w14:textId="77777777" w:rsidR="00A663C6" w:rsidRDefault="00A663C6" w:rsidP="00843660">
      <w:pPr>
        <w:pStyle w:val="Heading3"/>
      </w:pPr>
      <w:r>
        <w:t>Impact of removal of the scheme</w:t>
      </w:r>
    </w:p>
    <w:p w14:paraId="38A28220" w14:textId="77777777" w:rsidR="00151886" w:rsidRDefault="00A663C6" w:rsidP="00755335">
      <w:r w:rsidRPr="00A663C6">
        <w:t>A final consideration is whether the removal of the scheme would have any negative impacts.</w:t>
      </w:r>
    </w:p>
    <w:p w14:paraId="4D66C71D" w14:textId="77777777" w:rsidR="001D5755" w:rsidRDefault="00A663C6" w:rsidP="00755335">
      <w:r w:rsidRPr="00A663C6">
        <w:t>The likely negative economic impacts are difficult to assess. There are indications from some stakeholders that removing the scheme may not initially concern   the market more generally. However, conditions have not materially changed so that funding of large</w:t>
      </w:r>
      <w:r w:rsidR="008A07A0">
        <w:noBreakHyphen/>
      </w:r>
      <w:r w:rsidRPr="00A663C6">
        <w:t xml:space="preserve">scale commercial projects </w:t>
      </w:r>
      <w:r w:rsidRPr="00A663C6">
        <w:lastRenderedPageBreak/>
        <w:t xml:space="preserve">would be viable without insurance. In current conditions, the pricing of the scheme suggests that insurers </w:t>
      </w:r>
      <w:r w:rsidR="008E7BEF">
        <w:t>see</w:t>
      </w:r>
      <w:r w:rsidR="008E7BEF" w:rsidRPr="00A663C6">
        <w:t xml:space="preserve"> </w:t>
      </w:r>
      <w:r w:rsidRPr="00A663C6">
        <w:t xml:space="preserve">little likelihood </w:t>
      </w:r>
      <w:r w:rsidR="008E7BEF">
        <w:t>of</w:t>
      </w:r>
      <w:r w:rsidR="008E7BEF" w:rsidRPr="00A663C6">
        <w:t xml:space="preserve"> </w:t>
      </w:r>
      <w:r w:rsidRPr="00A663C6">
        <w:t>a large</w:t>
      </w:r>
      <w:r w:rsidR="008E7BEF">
        <w:t>-</w:t>
      </w:r>
      <w:r w:rsidRPr="00A663C6">
        <w:t>s</w:t>
      </w:r>
      <w:r w:rsidR="008E7BEF">
        <w:t>c</w:t>
      </w:r>
      <w:r w:rsidRPr="00A663C6">
        <w:t>ale loss</w:t>
      </w:r>
      <w:r w:rsidR="008A07A0">
        <w:t xml:space="preserve">. </w:t>
      </w:r>
      <w:r w:rsidRPr="00A663C6">
        <w:t xml:space="preserve">Yet there </w:t>
      </w:r>
      <w:r w:rsidR="008E7BEF">
        <w:t>seems to be</w:t>
      </w:r>
      <w:r w:rsidR="008E7BEF" w:rsidRPr="00A663C6">
        <w:t xml:space="preserve"> </w:t>
      </w:r>
      <w:r w:rsidRPr="00A663C6">
        <w:t>no reason to think that a future large terrorist event would not have a similar effect on large commercial building activity to that in 2001.</w:t>
      </w:r>
    </w:p>
    <w:p w14:paraId="7AF173EE" w14:textId="77777777" w:rsidR="001D5755" w:rsidRPr="00082936" w:rsidRDefault="00151886" w:rsidP="00755335">
      <w:r>
        <w:t xml:space="preserve">A further issue is </w:t>
      </w:r>
      <w:proofErr w:type="gramStart"/>
      <w:r>
        <w:t>that</w:t>
      </w:r>
      <w:r w:rsidR="00EF75E3">
        <w:t>,</w:t>
      </w:r>
      <w:proofErr w:type="gramEnd"/>
      <w:r w:rsidR="001D5755">
        <w:t xml:space="preserve"> if </w:t>
      </w:r>
      <w:r>
        <w:t xml:space="preserve">sufficient </w:t>
      </w:r>
      <w:r w:rsidR="001D5755">
        <w:t xml:space="preserve">terrorism insurance is not available </w:t>
      </w:r>
      <w:r>
        <w:t>in the private market</w:t>
      </w:r>
      <w:r w:rsidR="001D5755">
        <w:t xml:space="preserve">, then the </w:t>
      </w:r>
      <w:r w:rsidR="00B97B26">
        <w:t>g</w:t>
      </w:r>
      <w:r w:rsidR="001D5755">
        <w:t xml:space="preserve">overnment may be </w:t>
      </w:r>
      <w:r w:rsidR="00FC1DD0">
        <w:t>called on to provide open</w:t>
      </w:r>
      <w:r w:rsidR="000670D2">
        <w:t>-</w:t>
      </w:r>
      <w:r w:rsidR="00FC1DD0">
        <w:t>ended support in the event of a terrorist incident.</w:t>
      </w:r>
      <w:r w:rsidR="001D5755">
        <w:t xml:space="preserve"> </w:t>
      </w:r>
      <w:r w:rsidR="00FC1DD0">
        <w:t>Existence of a</w:t>
      </w:r>
      <w:r w:rsidR="00394373">
        <w:t>n explicit guarantee</w:t>
      </w:r>
      <w:r w:rsidR="00FC1DD0">
        <w:t xml:space="preserve"> provides certainty and enables the </w:t>
      </w:r>
      <w:r w:rsidR="00B97B26">
        <w:t>g</w:t>
      </w:r>
      <w:r w:rsidR="00FC1DD0">
        <w:t>overnment and tax payers to be fairly compensated for the provision of the guarantee.</w:t>
      </w:r>
      <w:r w:rsidR="001D5755">
        <w:t xml:space="preserve"> </w:t>
      </w:r>
    </w:p>
    <w:p w14:paraId="1BF96DD8" w14:textId="77777777" w:rsidR="00134843" w:rsidRDefault="00FC1DD0" w:rsidP="00755335">
      <w:r>
        <w:t>T</w:t>
      </w:r>
      <w:r w:rsidR="001D5755">
        <w:t>he need for the scheme was highlighted recently through the certainty it provided in the</w:t>
      </w:r>
      <w:r w:rsidR="00F34A1D">
        <w:br/>
      </w:r>
      <w:r w:rsidR="001D5755">
        <w:t xml:space="preserve">December Sydney siege events where it was activated for the first time. Although losses are </w:t>
      </w:r>
      <w:r w:rsidR="00222FD3">
        <w:t>predicted</w:t>
      </w:r>
      <w:r w:rsidR="001D5755">
        <w:t xml:space="preserve"> to </w:t>
      </w:r>
      <w:r w:rsidR="00222FD3">
        <w:t>be</w:t>
      </w:r>
      <w:r w:rsidR="001D5755">
        <w:t xml:space="preserve"> below the level of activation of the government guarantee, the scheme has provided a mechanism for communication between insurers and the </w:t>
      </w:r>
      <w:r w:rsidR="00B97B26">
        <w:t>g</w:t>
      </w:r>
      <w:r w:rsidR="001D5755">
        <w:t>overnment and provided certainty to claimants.</w:t>
      </w:r>
      <w:r w:rsidR="00134843">
        <w:t xml:space="preserve"> </w:t>
      </w:r>
    </w:p>
    <w:p w14:paraId="4AF7BF06" w14:textId="77777777" w:rsidR="00A663C6" w:rsidRDefault="00A663C6" w:rsidP="00843660">
      <w:pPr>
        <w:pStyle w:val="Heading3"/>
      </w:pPr>
      <w:r>
        <w:t>Ongoing reviews</w:t>
      </w:r>
    </w:p>
    <w:p w14:paraId="1D6834EE" w14:textId="77777777" w:rsidR="00222FD3" w:rsidRPr="009104A5" w:rsidRDefault="00222FD3" w:rsidP="00755335">
      <w:r>
        <w:t xml:space="preserve">The </w:t>
      </w:r>
      <w:proofErr w:type="spellStart"/>
      <w:r>
        <w:t>Pottinger</w:t>
      </w:r>
      <w:proofErr w:type="spellEnd"/>
      <w:r>
        <w:t xml:space="preserve"> report recommends making the scheme permanent given the apparent ongoing need for the Act</w:t>
      </w:r>
      <w:r w:rsidR="003420BE">
        <w:t>, and posits reviews once every 5 years</w:t>
      </w:r>
      <w:r>
        <w:t>.</w:t>
      </w:r>
      <w:r w:rsidR="003420BE">
        <w:t xml:space="preserve"> While this review recognises that the temporary nature of the scheme needs to be reassessed given the persistent need for it, </w:t>
      </w:r>
      <w:r w:rsidR="00D9035F">
        <w:t>it is considered that tri</w:t>
      </w:r>
      <w:r w:rsidR="00736EC3">
        <w:t>ennial</w:t>
      </w:r>
      <w:r w:rsidR="00D9035F">
        <w:t xml:space="preserve"> reviews should remain in place to ensure that the ongoing need for the scheme is closely monitored, but also to ensure that the parameters of the scheme are appropriately set.</w:t>
      </w:r>
      <w:r>
        <w:t xml:space="preserve"> </w:t>
      </w:r>
    </w:p>
    <w:p w14:paraId="41C34994" w14:textId="77777777" w:rsidR="000022E1" w:rsidRPr="000022E1" w:rsidRDefault="000022E1" w:rsidP="000022E1">
      <w:bookmarkStart w:id="90" w:name="_Toc405808765"/>
      <w:bookmarkStart w:id="91" w:name="_Toc406424588"/>
      <w:bookmarkStart w:id="92" w:name="_Toc408413466"/>
      <w:bookmarkStart w:id="93" w:name="_Toc408414180"/>
      <w:bookmarkStart w:id="94" w:name="_Toc409191087"/>
      <w:bookmarkStart w:id="95" w:name="_Toc409618520"/>
      <w:bookmarkStart w:id="96" w:name="_Toc409630051"/>
      <w:bookmarkStart w:id="97" w:name="_Toc410229543"/>
      <w:bookmarkStart w:id="98" w:name="_Toc410302178"/>
      <w:bookmarkStart w:id="99" w:name="_Toc321134078"/>
    </w:p>
    <w:p w14:paraId="7BEA98AA" w14:textId="77777777" w:rsidR="000022E1" w:rsidRPr="000022E1" w:rsidRDefault="000022E1" w:rsidP="000022E1">
      <w:pPr>
        <w:sectPr w:rsidR="000022E1" w:rsidRPr="000022E1" w:rsidSect="005938C3">
          <w:type w:val="oddPage"/>
          <w:pgSz w:w="11906" w:h="16838" w:code="9"/>
          <w:pgMar w:top="1440" w:right="1440" w:bottom="1440" w:left="1440" w:header="709" w:footer="709" w:gutter="0"/>
          <w:cols w:space="708"/>
          <w:titlePg/>
          <w:docGrid w:linePitch="360"/>
        </w:sectPr>
      </w:pPr>
    </w:p>
    <w:p w14:paraId="71EFB328" w14:textId="77777777" w:rsidR="00FE549F" w:rsidRPr="00436986" w:rsidRDefault="00FE549F" w:rsidP="00951A43">
      <w:pPr>
        <w:pStyle w:val="Heading1"/>
      </w:pPr>
      <w:bookmarkStart w:id="100" w:name="_Toc437338117"/>
      <w:r>
        <w:lastRenderedPageBreak/>
        <w:t xml:space="preserve">Chapter </w:t>
      </w:r>
      <w:bookmarkStart w:id="101" w:name="_Toc405808766"/>
      <w:bookmarkStart w:id="102" w:name="_Toc406155136"/>
      <w:bookmarkEnd w:id="90"/>
      <w:r w:rsidR="00FE266A">
        <w:t>3</w:t>
      </w:r>
      <w:r>
        <w:t>:</w:t>
      </w:r>
      <w:r w:rsidR="00951A43">
        <w:t xml:space="preserve">  </w:t>
      </w:r>
      <w:r w:rsidR="00BA6A4F">
        <w:t>O</w:t>
      </w:r>
      <w:r>
        <w:t xml:space="preserve">wnership </w:t>
      </w:r>
      <w:r w:rsidR="00B87057">
        <w:t xml:space="preserve">structure </w:t>
      </w:r>
      <w:r>
        <w:t xml:space="preserve">of </w:t>
      </w:r>
      <w:r w:rsidR="00B87057">
        <w:t>the</w:t>
      </w:r>
      <w:r>
        <w:t xml:space="preserve"> </w:t>
      </w:r>
      <w:r w:rsidR="00240C90">
        <w:t>ARPC</w:t>
      </w:r>
      <w:bookmarkEnd w:id="91"/>
      <w:bookmarkEnd w:id="92"/>
      <w:bookmarkEnd w:id="93"/>
      <w:bookmarkEnd w:id="94"/>
      <w:bookmarkEnd w:id="95"/>
      <w:bookmarkEnd w:id="96"/>
      <w:bookmarkEnd w:id="97"/>
      <w:bookmarkEnd w:id="98"/>
      <w:bookmarkEnd w:id="100"/>
      <w:bookmarkEnd w:id="101"/>
      <w:bookmarkEnd w:id="102"/>
    </w:p>
    <w:p w14:paraId="13B8FA0C" w14:textId="77777777" w:rsidR="00FE549F" w:rsidRPr="00B4027E" w:rsidRDefault="00FE549F" w:rsidP="00843660">
      <w:pPr>
        <w:pStyle w:val="Heading2"/>
      </w:pPr>
      <w:bookmarkStart w:id="103" w:name="_Toc437338118"/>
      <w:r>
        <w:t>Iss</w:t>
      </w:r>
      <w:r w:rsidRPr="006367E9">
        <w:t>ue</w:t>
      </w:r>
      <w:bookmarkEnd w:id="103"/>
      <w:r w:rsidR="002539F8">
        <w:t xml:space="preserve"> </w:t>
      </w:r>
    </w:p>
    <w:p w14:paraId="3A5D6338" w14:textId="77777777" w:rsidR="00A602EB" w:rsidRDefault="00817157" w:rsidP="00755335">
      <w:r>
        <w:t>While the Act and the ARPC are necessary and likely to be so over the longer term, there may be</w:t>
      </w:r>
      <w:r w:rsidR="00A602EB">
        <w:t xml:space="preserve"> alternative</w:t>
      </w:r>
      <w:r w:rsidR="00FE549F" w:rsidRPr="009104A5">
        <w:t xml:space="preserve"> options </w:t>
      </w:r>
      <w:r w:rsidR="00E87539">
        <w:t xml:space="preserve">available </w:t>
      </w:r>
      <w:r w:rsidR="00FE549F" w:rsidRPr="009104A5">
        <w:t>for ownership of the ARPC</w:t>
      </w:r>
      <w:r>
        <w:t>. This chapter considers alternative options for the ARPC and</w:t>
      </w:r>
      <w:r w:rsidR="00804745">
        <w:t xml:space="preserve"> </w:t>
      </w:r>
      <w:r w:rsidR="00A602EB">
        <w:t xml:space="preserve">whether </w:t>
      </w:r>
      <w:r>
        <w:t>the</w:t>
      </w:r>
      <w:r w:rsidR="00A602EB">
        <w:t xml:space="preserve"> ownership </w:t>
      </w:r>
      <w:r w:rsidR="00804745">
        <w:t xml:space="preserve">or administration </w:t>
      </w:r>
      <w:r w:rsidR="00A602EB">
        <w:t xml:space="preserve">structure should be </w:t>
      </w:r>
      <w:r>
        <w:t>changed</w:t>
      </w:r>
      <w:r w:rsidR="00A602EB">
        <w:t>.</w:t>
      </w:r>
    </w:p>
    <w:p w14:paraId="2BB43269" w14:textId="77777777" w:rsidR="004B263D" w:rsidRPr="004B263D" w:rsidRDefault="004B263D" w:rsidP="00843660">
      <w:pPr>
        <w:pStyle w:val="Heading2"/>
      </w:pPr>
      <w:bookmarkStart w:id="104" w:name="_Toc437338119"/>
      <w:r>
        <w:t>Recommendation</w:t>
      </w:r>
      <w:bookmarkEnd w:id="104"/>
    </w:p>
    <w:p w14:paraId="3AFEC288" w14:textId="77777777" w:rsidR="00804745" w:rsidRDefault="00804745" w:rsidP="00755335">
      <w:r>
        <w:rPr>
          <w:noProof/>
        </w:rPr>
        <mc:AlternateContent>
          <mc:Choice Requires="wps">
            <w:drawing>
              <wp:anchor distT="0" distB="0" distL="114300" distR="114300" simplePos="0" relativeHeight="251658242" behindDoc="0" locked="0" layoutInCell="1" allowOverlap="1" wp14:anchorId="4C5FE192" wp14:editId="155D691F">
                <wp:simplePos x="0" y="0"/>
                <wp:positionH relativeFrom="column">
                  <wp:align>center</wp:align>
                </wp:positionH>
                <wp:positionV relativeFrom="paragraph">
                  <wp:posOffset>0</wp:posOffset>
                </wp:positionV>
                <wp:extent cx="5257800" cy="504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048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DF98E08" w14:textId="77777777" w:rsidR="00A20ABE" w:rsidRDefault="00A20ABE">
                            <w:r w:rsidRPr="00804745">
                              <w:rPr>
                                <w:i/>
                              </w:rPr>
                              <w:t>Recommendation 2</w:t>
                            </w:r>
                            <w:r>
                              <w:t xml:space="preserve">: </w:t>
                            </w:r>
                            <w:r w:rsidRPr="00804745">
                              <w:t xml:space="preserve">That the current administration structure of the ARPC as set out in the Act be retained.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414pt;height:39.75pt;z-index:25165824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" fillcolor="white [3201]" strokecolor="#4f81bd [3204]" strokeweight="2pt">
                <v:textbox>
                  <w:txbxContent>
                    <w:p w:rsidR="00A20ABE" w:rsidRDefault="00A20ABE">
                      <w:r w:rsidRPr="00804745">
                        <w:rPr>
                          <w:i/>
                        </w:rPr>
                        <w:t>Recommendation 2</w:t>
                      </w:r>
                      <w:r>
                        <w:t xml:space="preserve">: </w:t>
                      </w:r>
                      <w:r w:rsidRPr="00804745">
                        <w:t xml:space="preserve">That the current administration structure of the ARPC as set out in the Act be retained.   </w:t>
                      </w:r>
                    </w:p>
                  </w:txbxContent>
                </v:textbox>
              </v:shape>
            </w:pict>
          </mc:Fallback>
        </mc:AlternateContent>
      </w:r>
    </w:p>
    <w:p w14:paraId="5A79B3D2" w14:textId="77777777" w:rsidR="00804745" w:rsidRDefault="00804745" w:rsidP="00843660">
      <w:pPr>
        <w:pStyle w:val="Heading2"/>
      </w:pPr>
    </w:p>
    <w:p w14:paraId="09F46605" w14:textId="77777777" w:rsidR="00240C90" w:rsidRPr="00734A1D" w:rsidRDefault="00DC41E1" w:rsidP="00843660">
      <w:pPr>
        <w:pStyle w:val="Heading2"/>
      </w:pPr>
      <w:bookmarkStart w:id="105" w:name="_Toc437338120"/>
      <w:r>
        <w:t>Assessment</w:t>
      </w:r>
      <w:bookmarkEnd w:id="105"/>
    </w:p>
    <w:p w14:paraId="7FFA826A" w14:textId="77777777" w:rsidR="00BA6A4F" w:rsidRDefault="00BA6A4F" w:rsidP="00755335">
      <w:r>
        <w:t>The introduction of the scheme in 200</w:t>
      </w:r>
      <w:r w:rsidR="00C40FB9">
        <w:t>3</w:t>
      </w:r>
      <w:r>
        <w:t xml:space="preserve"> was to counter a significant impact on economic activity</w:t>
      </w:r>
      <w:r w:rsidR="000670D2">
        <w:t xml:space="preserve"> </w:t>
      </w:r>
      <w:r>
        <w:t xml:space="preserve">due to a lack of insurance for </w:t>
      </w:r>
      <w:r w:rsidRPr="00F46513">
        <w:rPr>
          <w:rFonts w:cstheme="minorHAnsi"/>
        </w:rPr>
        <w:t>commercial property and associated business interruption losses and public liability claims</w:t>
      </w:r>
      <w:r>
        <w:rPr>
          <w:rFonts w:cstheme="minorHAnsi"/>
        </w:rPr>
        <w:t>.</w:t>
      </w:r>
      <w:r>
        <w:t xml:space="preserve"> At the time, it was recognised that creation of the ARPC, a government</w:t>
      </w:r>
      <w:r w:rsidR="008A07A0">
        <w:noBreakHyphen/>
      </w:r>
      <w:r>
        <w:t xml:space="preserve">owned statutory corporation, would increase </w:t>
      </w:r>
      <w:r w:rsidR="00B97B26">
        <w:t>g</w:t>
      </w:r>
      <w:r>
        <w:t>overnment involvement in the insurance market, operate as a competitor to private</w:t>
      </w:r>
      <w:r w:rsidR="008A07A0">
        <w:noBreakHyphen/>
      </w:r>
      <w:r>
        <w:t xml:space="preserve">sector reinsurers, and increase the risk faced by the </w:t>
      </w:r>
      <w:r w:rsidR="00B97B26">
        <w:t>g</w:t>
      </w:r>
      <w:r>
        <w:t>overnment through the provision of a government guarantee. For these reasons, the scheme was intended to be temporary until a market</w:t>
      </w:r>
      <w:r w:rsidR="008A07A0">
        <w:noBreakHyphen/>
      </w:r>
      <w:r>
        <w:t>based solution re</w:t>
      </w:r>
      <w:r w:rsidR="008A07A0">
        <w:noBreakHyphen/>
      </w:r>
      <w:r>
        <w:t>emerged.</w:t>
      </w:r>
    </w:p>
    <w:p w14:paraId="486A09FA" w14:textId="77777777" w:rsidR="00BA6A4F" w:rsidRPr="00A602EB" w:rsidRDefault="00890F2D" w:rsidP="00755335">
      <w:r>
        <w:t>This</w:t>
      </w:r>
      <w:r w:rsidR="00B7715C">
        <w:t xml:space="preserve"> review finds that there is no near</w:t>
      </w:r>
      <w:r w:rsidR="008A07A0">
        <w:noBreakHyphen/>
      </w:r>
      <w:r w:rsidR="00B7715C">
        <w:t xml:space="preserve">term possibility of </w:t>
      </w:r>
      <w:r w:rsidR="0029060C">
        <w:t>a</w:t>
      </w:r>
      <w:r w:rsidR="00B7715C">
        <w:t xml:space="preserve"> market</w:t>
      </w:r>
      <w:r w:rsidR="0029060C">
        <w:t xml:space="preserve">-based solution emerging and that the scheme should continue.  However, the </w:t>
      </w:r>
      <w:proofErr w:type="gramStart"/>
      <w:r w:rsidR="0029060C">
        <w:t>review also considers whether there is scope for</w:t>
      </w:r>
      <w:r w:rsidR="00B7715C">
        <w:t xml:space="preserve"> alternative ownership </w:t>
      </w:r>
      <w:r w:rsidR="0029060C">
        <w:t xml:space="preserve">or administration </w:t>
      </w:r>
      <w:r w:rsidR="00B7715C">
        <w:t xml:space="preserve">structures for the ARPC that </w:t>
      </w:r>
      <w:r w:rsidR="0029060C">
        <w:t>might</w:t>
      </w:r>
      <w:r w:rsidR="00B7715C">
        <w:t xml:space="preserve"> increase industry responsibility for the scheme</w:t>
      </w:r>
      <w:r w:rsidR="008A07A0">
        <w:t>’</w:t>
      </w:r>
      <w:r w:rsidR="00B7715C">
        <w:t xml:space="preserve">s continued operation, </w:t>
      </w:r>
      <w:r w:rsidR="0029060C">
        <w:t>and facilitate</w:t>
      </w:r>
      <w:proofErr w:type="gramEnd"/>
      <w:r w:rsidR="0029060C">
        <w:t xml:space="preserve"> a gradual wit</w:t>
      </w:r>
      <w:r w:rsidR="00B97B26">
        <w:t>hdrawal from the market by the g</w:t>
      </w:r>
      <w:r w:rsidR="0029060C">
        <w:t>overnment. An e</w:t>
      </w:r>
      <w:r w:rsidR="00B7715C">
        <w:t>xternal consulting firm</w:t>
      </w:r>
      <w:r w:rsidR="0029060C">
        <w:t>,</w:t>
      </w:r>
      <w:r w:rsidR="00B7715C">
        <w:t xml:space="preserve"> </w:t>
      </w:r>
      <w:proofErr w:type="spellStart"/>
      <w:r w:rsidR="00B7715C">
        <w:t>Pottinger</w:t>
      </w:r>
      <w:proofErr w:type="spellEnd"/>
      <w:r w:rsidR="0029060C">
        <w:t>,</w:t>
      </w:r>
      <w:r w:rsidR="00B7715C">
        <w:t xml:space="preserve"> was engaged by Treasury to provide advice on alternatives for this review</w:t>
      </w:r>
      <w:r w:rsidR="00DC065C">
        <w:t xml:space="preserve"> (</w:t>
      </w:r>
      <w:r w:rsidR="0089533B">
        <w:t>report attached as Annex A</w:t>
      </w:r>
      <w:r w:rsidR="00DC065C">
        <w:t>)</w:t>
      </w:r>
      <w:r w:rsidR="00B7715C">
        <w:t>.</w:t>
      </w:r>
    </w:p>
    <w:p w14:paraId="270DA433" w14:textId="77777777" w:rsidR="00980394" w:rsidRDefault="005363E0" w:rsidP="00755335">
      <w:proofErr w:type="spellStart"/>
      <w:r>
        <w:t>Pottinger</w:t>
      </w:r>
      <w:r w:rsidR="00B837E1">
        <w:t>’s</w:t>
      </w:r>
      <w:proofErr w:type="spellEnd"/>
      <w:r>
        <w:t xml:space="preserve"> report canvasses ownership </w:t>
      </w:r>
      <w:r w:rsidR="0029060C">
        <w:t xml:space="preserve">and administration </w:t>
      </w:r>
      <w:r>
        <w:t xml:space="preserve">structures used </w:t>
      </w:r>
      <w:r w:rsidR="0029060C">
        <w:t xml:space="preserve">for similar schemes </w:t>
      </w:r>
      <w:r>
        <w:t xml:space="preserve">overseas and </w:t>
      </w:r>
      <w:r w:rsidR="0029060C">
        <w:t>considers costs and benefits i</w:t>
      </w:r>
      <w:r>
        <w:t xml:space="preserve">f these options </w:t>
      </w:r>
      <w:r w:rsidR="0029060C">
        <w:t xml:space="preserve">were to be adapted for use </w:t>
      </w:r>
      <w:r>
        <w:t xml:space="preserve">in the Australian context. </w:t>
      </w:r>
      <w:r w:rsidR="0029060C">
        <w:t xml:space="preserve">Drawing on </w:t>
      </w:r>
      <w:proofErr w:type="spellStart"/>
      <w:r w:rsidR="0029060C">
        <w:t>Pottinger’s</w:t>
      </w:r>
      <w:proofErr w:type="spellEnd"/>
      <w:r w:rsidR="0029060C">
        <w:t xml:space="preserve"> work, t</w:t>
      </w:r>
      <w:r w:rsidR="00BB5CF8">
        <w:t xml:space="preserve">his review considers two </w:t>
      </w:r>
      <w:r w:rsidR="00DC41E1">
        <w:t xml:space="preserve">broad </w:t>
      </w:r>
      <w:r w:rsidR="00BB5CF8">
        <w:t xml:space="preserve">alternative options for ownership of the ARPC that would allow for significantly lower </w:t>
      </w:r>
      <w:r w:rsidR="00B97B26">
        <w:t>g</w:t>
      </w:r>
      <w:r w:rsidR="00BB5CF8">
        <w:t xml:space="preserve">overnment involvement: a private sale and a mutual structure. If one of these options were to be pursued, a transition </w:t>
      </w:r>
      <w:r w:rsidR="00D23C8D">
        <w:t xml:space="preserve">plan </w:t>
      </w:r>
      <w:r w:rsidR="00A602EB">
        <w:t xml:space="preserve">would need to </w:t>
      </w:r>
      <w:r w:rsidR="00D23C8D">
        <w:t>be established</w:t>
      </w:r>
      <w:r w:rsidR="00BB5CF8">
        <w:t xml:space="preserve"> to ensure the success of the transfer.</w:t>
      </w:r>
    </w:p>
    <w:p w14:paraId="5160ECFA" w14:textId="77777777" w:rsidR="00834239" w:rsidRDefault="00834239" w:rsidP="00755335">
      <w:r>
        <w:t xml:space="preserve">Both options </w:t>
      </w:r>
      <w:r w:rsidR="004538EC">
        <w:t xml:space="preserve">presented here </w:t>
      </w:r>
      <w:r>
        <w:t xml:space="preserve">retain a mechanism to pool risk. Terrorism risk is different to other insurable risks as the potential loss from a single event is very high, events happen at very low frequency and are unpredictable, and the actions of the </w:t>
      </w:r>
      <w:r w:rsidR="00B97B26">
        <w:t>g</w:t>
      </w:r>
      <w:r>
        <w:t xml:space="preserve">overnment can have an impact on the probability of an event. The </w:t>
      </w:r>
      <w:proofErr w:type="spellStart"/>
      <w:r>
        <w:t>Pottinger</w:t>
      </w:r>
      <w:proofErr w:type="spellEnd"/>
      <w:r>
        <w:t xml:space="preserve"> report concludes that a risk pool, such as </w:t>
      </w:r>
      <w:r w:rsidR="00B837E1">
        <w:t xml:space="preserve">the one </w:t>
      </w:r>
      <w:r>
        <w:t>operated by the ARPC, is the most cost</w:t>
      </w:r>
      <w:r w:rsidR="008A07A0">
        <w:noBreakHyphen/>
      </w:r>
      <w:r>
        <w:t xml:space="preserve">efficient way to provide access to retrocession markets. The report </w:t>
      </w:r>
      <w:r w:rsidR="00F12530">
        <w:lastRenderedPageBreak/>
        <w:t>concludes</w:t>
      </w:r>
      <w:r>
        <w:t xml:space="preserve"> that the same level of retrocessions may not be available to individual insurers outside a risk pool.</w:t>
      </w:r>
      <w:r>
        <w:rPr>
          <w:rStyle w:val="FootnoteReference"/>
        </w:rPr>
        <w:footnoteReference w:id="10"/>
      </w:r>
      <w:r w:rsidR="00C40FB9">
        <w:t xml:space="preserve">  This view was reinforced in consultations with the industry.</w:t>
      </w:r>
    </w:p>
    <w:p w14:paraId="0E70125B" w14:textId="77777777" w:rsidR="007C177B" w:rsidRDefault="00834239" w:rsidP="00755335">
      <w:r>
        <w:t xml:space="preserve">Both options also contemplate the continuation of the government guarantee. </w:t>
      </w:r>
      <w:r w:rsidR="00F27515">
        <w:t>T</w:t>
      </w:r>
      <w:r>
        <w:t xml:space="preserve">he </w:t>
      </w:r>
      <w:proofErr w:type="spellStart"/>
      <w:r>
        <w:t>Pottinger</w:t>
      </w:r>
      <w:proofErr w:type="spellEnd"/>
      <w:r>
        <w:t xml:space="preserve"> report estimates that the private sector</w:t>
      </w:r>
      <w:r w:rsidR="00F12530">
        <w:t xml:space="preserve"> currently </w:t>
      </w:r>
      <w:r>
        <w:t>can provide only $3</w:t>
      </w:r>
      <w:r w:rsidR="00FE088B">
        <w:t xml:space="preserve"> billion</w:t>
      </w:r>
      <w:r w:rsidR="00F700FC">
        <w:t xml:space="preserve"> — $</w:t>
      </w:r>
      <w:r>
        <w:t xml:space="preserve">5 billion in </w:t>
      </w:r>
      <w:r w:rsidR="00F27515">
        <w:t xml:space="preserve">retrocession </w:t>
      </w:r>
      <w:r>
        <w:t>coverage for terrorism risk in Australia</w:t>
      </w:r>
      <w:r w:rsidR="00F27515">
        <w:t xml:space="preserve">, below the </w:t>
      </w:r>
      <w:r w:rsidR="007C177B">
        <w:t xml:space="preserve">current size of the scheme and the </w:t>
      </w:r>
      <w:r w:rsidR="00F27515">
        <w:t>estimated maximum losses under a single large terrorist incident</w:t>
      </w:r>
      <w:r>
        <w:t xml:space="preserve">. In the event of a terrorist incident where losses exceeded those covered by the private sector, it is likely that the </w:t>
      </w:r>
      <w:r w:rsidR="009C525F">
        <w:t>G</w:t>
      </w:r>
      <w:r>
        <w:t xml:space="preserve">overnment would be called upon to provide additional financial support. An explicit government guarantee reduces uncertainty, decreases insurance premiums, and ensures that the </w:t>
      </w:r>
      <w:r w:rsidR="00B97B26">
        <w:t>g</w:t>
      </w:r>
      <w:r>
        <w:t>overnment receives adequate compensation for the risk faced in acting as an insurer.</w:t>
      </w:r>
      <w:r w:rsidR="007C177B">
        <w:t xml:space="preserve"> Most foreign schemes have </w:t>
      </w:r>
      <w:r w:rsidR="00F12530">
        <w:t xml:space="preserve">some form of </w:t>
      </w:r>
      <w:r w:rsidR="007C177B">
        <w:t>government support.</w:t>
      </w:r>
    </w:p>
    <w:p w14:paraId="7C7CF73C" w14:textId="77777777" w:rsidR="00DC41E1" w:rsidRPr="005E58A6" w:rsidRDefault="00DC41E1" w:rsidP="00843828">
      <w:pPr>
        <w:pStyle w:val="Heading3"/>
      </w:pPr>
      <w:r w:rsidRPr="005E58A6">
        <w:t>Sale of the ARPC by trade sale or initial public offering</w:t>
      </w:r>
    </w:p>
    <w:p w14:paraId="6125B241" w14:textId="77777777" w:rsidR="00F36C4E" w:rsidRDefault="00EB6EC1" w:rsidP="00755335">
      <w:r>
        <w:t>A p</w:t>
      </w:r>
      <w:r w:rsidR="00F36C4E">
        <w:t xml:space="preserve">rivate sale of the ARPC </w:t>
      </w:r>
      <w:r>
        <w:t xml:space="preserve">has the potential to reduce </w:t>
      </w:r>
      <w:r w:rsidR="00B97B26">
        <w:t>g</w:t>
      </w:r>
      <w:r w:rsidR="00F36C4E">
        <w:t>overnment involvement and risk</w:t>
      </w:r>
      <w:r w:rsidR="004538EC">
        <w:t xml:space="preserve"> taken by the </w:t>
      </w:r>
      <w:r w:rsidR="00B97B26">
        <w:t>g</w:t>
      </w:r>
      <w:r w:rsidR="004538EC">
        <w:t>overnment</w:t>
      </w:r>
      <w:r w:rsidR="00F36C4E">
        <w:t xml:space="preserve">, as well as realising value for the </w:t>
      </w:r>
      <w:r w:rsidR="00B97B26">
        <w:t>g</w:t>
      </w:r>
      <w:r w:rsidR="00F36C4E">
        <w:t>overnment that is currently tied up in the ARPC.</w:t>
      </w:r>
      <w:r>
        <w:t xml:space="preserve"> </w:t>
      </w:r>
      <w:r w:rsidR="00F27515">
        <w:t xml:space="preserve">The </w:t>
      </w:r>
      <w:r w:rsidR="00B97B26">
        <w:t>g</w:t>
      </w:r>
      <w:r w:rsidR="00F27515">
        <w:t>overnment</w:t>
      </w:r>
      <w:r w:rsidR="00442601">
        <w:t xml:space="preserve"> could </w:t>
      </w:r>
      <w:r w:rsidR="00F27515">
        <w:t xml:space="preserve">seek to retain majority ownership through a limited share offer or </w:t>
      </w:r>
      <w:r w:rsidR="004538EC">
        <w:t>pursue</w:t>
      </w:r>
      <w:r w:rsidR="00F27515">
        <w:t xml:space="preserve"> full privatisation</w:t>
      </w:r>
      <w:r>
        <w:t>.</w:t>
      </w:r>
      <w:r w:rsidR="00F27515">
        <w:t xml:space="preserve"> </w:t>
      </w:r>
    </w:p>
    <w:p w14:paraId="7E345262" w14:textId="77777777" w:rsidR="002F2F28" w:rsidRDefault="00DC41E1" w:rsidP="00755335">
      <w:r w:rsidRPr="004F25D4">
        <w:t>E</w:t>
      </w:r>
      <w:r>
        <w:t xml:space="preserve">stablishing </w:t>
      </w:r>
      <w:r w:rsidR="00C80F6A">
        <w:t xml:space="preserve">a likely purchase </w:t>
      </w:r>
      <w:r>
        <w:t xml:space="preserve">value for the ARPC is difficult without exact knowledge of how the scheme would operate after a sale. </w:t>
      </w:r>
      <w:r w:rsidR="002F2F28">
        <w:t xml:space="preserve">The factors to be considered include how much control the private entity would have over premiums and the ability of the purchaser to diversify risk; market sounding reports suggest that few market participants would be interested in purchasing an insurer that only covered terrorism risk. The value would also be affected by </w:t>
      </w:r>
      <w:r w:rsidR="00A750CA">
        <w:t xml:space="preserve">any </w:t>
      </w:r>
      <w:r w:rsidR="002F2F28">
        <w:t>minimum prudential capital requirements</w:t>
      </w:r>
      <w:r w:rsidR="00A750CA">
        <w:t xml:space="preserve"> that might be applied</w:t>
      </w:r>
      <w:r w:rsidR="002F2F28">
        <w:t>, required provisions for charges following a major claim, and whether the Act will continue to deem insurance cover for losses caused by terrorism inc</w:t>
      </w:r>
      <w:r w:rsidR="00FC1F7A">
        <w:t>idents into eligible contracts.</w:t>
      </w:r>
    </w:p>
    <w:p w14:paraId="38497396" w14:textId="77777777" w:rsidR="004C0E03" w:rsidRDefault="00442601" w:rsidP="00755335">
      <w:r>
        <w:rPr>
          <w:rFonts w:cs="Arial"/>
        </w:rPr>
        <w:t xml:space="preserve">If the scheme </w:t>
      </w:r>
      <w:r w:rsidR="002F2F28">
        <w:rPr>
          <w:rFonts w:cs="Arial"/>
        </w:rPr>
        <w:t xml:space="preserve">settings remain as </w:t>
      </w:r>
      <w:r w:rsidR="00890F2D">
        <w:rPr>
          <w:rFonts w:cs="Arial"/>
        </w:rPr>
        <w:t>they are</w:t>
      </w:r>
      <w:r w:rsidR="00A750CA">
        <w:rPr>
          <w:rFonts w:cs="Arial"/>
        </w:rPr>
        <w:t xml:space="preserve">, </w:t>
      </w:r>
      <w:proofErr w:type="spellStart"/>
      <w:r w:rsidR="00DC41E1">
        <w:rPr>
          <w:rFonts w:cs="Arial"/>
        </w:rPr>
        <w:t>Pottinger</w:t>
      </w:r>
      <w:proofErr w:type="spellEnd"/>
      <w:r w:rsidR="00DC41E1">
        <w:rPr>
          <w:rFonts w:cs="Arial"/>
        </w:rPr>
        <w:t xml:space="preserve"> </w:t>
      </w:r>
      <w:r w:rsidR="00A750CA">
        <w:rPr>
          <w:rFonts w:cs="Arial"/>
        </w:rPr>
        <w:t>consider</w:t>
      </w:r>
      <w:r w:rsidR="00DC41E1">
        <w:rPr>
          <w:rFonts w:cs="Arial"/>
        </w:rPr>
        <w:t xml:space="preserve">s that private sector buyers would place little value on the ARPC. </w:t>
      </w:r>
      <w:r w:rsidR="00D24319">
        <w:rPr>
          <w:rFonts w:cs="Arial"/>
        </w:rPr>
        <w:t xml:space="preserve">The </w:t>
      </w:r>
      <w:proofErr w:type="spellStart"/>
      <w:r w:rsidR="00D24319">
        <w:t>Pottinger</w:t>
      </w:r>
      <w:proofErr w:type="spellEnd"/>
      <w:r w:rsidR="00D24319">
        <w:t xml:space="preserve"> report estimates that </w:t>
      </w:r>
      <w:r w:rsidR="00DC41E1">
        <w:t xml:space="preserve">the </w:t>
      </w:r>
      <w:r w:rsidR="007C177B">
        <w:t xml:space="preserve">current premium and cost structure of the </w:t>
      </w:r>
      <w:r w:rsidR="00DC41E1">
        <w:t>ARPC</w:t>
      </w:r>
      <w:r w:rsidR="00F36C4E">
        <w:t xml:space="preserve"> </w:t>
      </w:r>
      <w:r w:rsidR="00D24319">
        <w:t>would generate</w:t>
      </w:r>
      <w:r>
        <w:t xml:space="preserve"> </w:t>
      </w:r>
      <w:r w:rsidR="007C177B">
        <w:t>a</w:t>
      </w:r>
      <w:r w:rsidR="00DC41E1">
        <w:t xml:space="preserve"> return on </w:t>
      </w:r>
      <w:r w:rsidR="00EB6EC1">
        <w:t xml:space="preserve">equity </w:t>
      </w:r>
      <w:r w:rsidR="007C177B">
        <w:t xml:space="preserve">below that </w:t>
      </w:r>
      <w:r w:rsidR="00EB6EC1">
        <w:t>of other listed insurers</w:t>
      </w:r>
      <w:r w:rsidR="00DC41E1">
        <w:t>.</w:t>
      </w:r>
      <w:r w:rsidR="002F2F28">
        <w:t xml:space="preserve"> </w:t>
      </w:r>
      <w:r w:rsidR="00CE3EE8">
        <w:t>The</w:t>
      </w:r>
      <w:r w:rsidR="00980394">
        <w:t xml:space="preserve"> potential purchaser may </w:t>
      </w:r>
      <w:r w:rsidR="00CE3EE8">
        <w:t xml:space="preserve">also </w:t>
      </w:r>
      <w:r w:rsidR="00980394">
        <w:t xml:space="preserve">be required to inject capital into the ARPC </w:t>
      </w:r>
      <w:r w:rsidR="008D1906">
        <w:t xml:space="preserve">to meet prudential capital requirements </w:t>
      </w:r>
      <w:r w:rsidR="00980394">
        <w:t xml:space="preserve">if </w:t>
      </w:r>
      <w:r w:rsidR="00CE3EE8">
        <w:t>the ARPC</w:t>
      </w:r>
      <w:r w:rsidR="00980394">
        <w:t xml:space="preserve"> </w:t>
      </w:r>
      <w:r w:rsidR="00616E43">
        <w:t xml:space="preserve">was </w:t>
      </w:r>
      <w:r w:rsidR="00980394">
        <w:t>privately owned</w:t>
      </w:r>
      <w:r w:rsidR="00CE3EE8">
        <w:t>, lowering the value to a potential purchaser</w:t>
      </w:r>
      <w:r w:rsidR="00FE088B">
        <w:t>.</w:t>
      </w:r>
    </w:p>
    <w:p w14:paraId="74E4103D" w14:textId="77777777" w:rsidR="00742E58" w:rsidRDefault="00980394" w:rsidP="00755335">
      <w:r>
        <w:t xml:space="preserve">While the settings of the scheme can be changed to facilitate a sale, </w:t>
      </w:r>
      <w:r w:rsidR="004C0E03">
        <w:t xml:space="preserve">a clear transition plan to establish and maintain the value </w:t>
      </w:r>
      <w:r w:rsidR="00FE088B">
        <w:t>of the ARPC would be required.</w:t>
      </w:r>
    </w:p>
    <w:p w14:paraId="6C4FF0B0" w14:textId="77777777" w:rsidR="00F27515" w:rsidRPr="004538EC" w:rsidRDefault="004C0E03" w:rsidP="00755335">
      <w:r>
        <w:t xml:space="preserve">A </w:t>
      </w:r>
      <w:r w:rsidR="004538EC">
        <w:t>significant</w:t>
      </w:r>
      <w:r w:rsidR="00834239">
        <w:t xml:space="preserve"> </w:t>
      </w:r>
      <w:r>
        <w:t>policy issue is that a privately</w:t>
      </w:r>
      <w:r w:rsidR="008A07A0">
        <w:noBreakHyphen/>
      </w:r>
      <w:r>
        <w:t>owned ARPC would likely operate as the sole provider of terrorism reinsurance in Australia</w:t>
      </w:r>
      <w:r w:rsidR="00AE0280">
        <w:t xml:space="preserve">. Creation of a systemically important financial institution operating as a monopoly </w:t>
      </w:r>
      <w:r w:rsidR="00834239">
        <w:t xml:space="preserve">provider of terrorism reinsurance </w:t>
      </w:r>
      <w:r w:rsidR="00742E58">
        <w:t xml:space="preserve">may trigger </w:t>
      </w:r>
      <w:r w:rsidR="00834239">
        <w:t>financial system stability concerns. In particular, it may be necessary to identify</w:t>
      </w:r>
      <w:r w:rsidR="00983AF1">
        <w:t xml:space="preserve"> how the entity would recapitalise after a large claim</w:t>
      </w:r>
      <w:r w:rsidR="00AE0280">
        <w:t>.</w:t>
      </w:r>
      <w:r w:rsidR="00F27515">
        <w:t xml:space="preserve"> </w:t>
      </w:r>
      <w:r w:rsidR="00CE3EE8">
        <w:t>Privatisation may also impact on the prudential capital requirements of insurers reinsuring with the ARPC.</w:t>
      </w:r>
    </w:p>
    <w:p w14:paraId="51D18BCB" w14:textId="77777777" w:rsidR="007D4A78" w:rsidRPr="00FE266A" w:rsidRDefault="007D4A78" w:rsidP="00843828">
      <w:pPr>
        <w:pStyle w:val="Heading3"/>
      </w:pPr>
      <w:r w:rsidRPr="004B53C1">
        <w:lastRenderedPageBreak/>
        <w:t>Transfer to a mutual structure</w:t>
      </w:r>
    </w:p>
    <w:p w14:paraId="6EECCE53" w14:textId="77777777" w:rsidR="0073085A" w:rsidRPr="00ED78DD" w:rsidRDefault="00D6783D" w:rsidP="00755335">
      <w:r>
        <w:t xml:space="preserve">A second </w:t>
      </w:r>
      <w:r w:rsidR="004538EC">
        <w:t>o</w:t>
      </w:r>
      <w:r w:rsidR="0081626C">
        <w:t>ption is for the ARPC to adopt</w:t>
      </w:r>
      <w:r>
        <w:t xml:space="preserve"> a mutual structure</w:t>
      </w:r>
      <w:r w:rsidR="0081626C">
        <w:t xml:space="preserve">.  Members could be </w:t>
      </w:r>
      <w:r>
        <w:t xml:space="preserve">either the </w:t>
      </w:r>
      <w:r w:rsidR="0081626C">
        <w:t xml:space="preserve">property insurers or </w:t>
      </w:r>
      <w:r>
        <w:t xml:space="preserve">the insured property holders. </w:t>
      </w:r>
      <w:r w:rsidR="00D01296">
        <w:t>An i</w:t>
      </w:r>
      <w:r w:rsidR="00D01296" w:rsidRPr="00ED78DD">
        <w:t>nternational precedent exist</w:t>
      </w:r>
      <w:r w:rsidR="00D01296">
        <w:t>s</w:t>
      </w:r>
      <w:r w:rsidR="00D01296" w:rsidRPr="00ED78DD">
        <w:t xml:space="preserve"> for </w:t>
      </w:r>
      <w:r w:rsidR="00D01296">
        <w:t xml:space="preserve">a mutual structure owned by insurers </w:t>
      </w:r>
      <w:r w:rsidR="0081626C">
        <w:t>-</w:t>
      </w:r>
      <w:r w:rsidR="00D01296">
        <w:t xml:space="preserve"> the UK </w:t>
      </w:r>
      <w:r w:rsidR="00C40FB9">
        <w:t xml:space="preserve">Pool Re </w:t>
      </w:r>
      <w:r w:rsidR="00D01296">
        <w:t>scheme</w:t>
      </w:r>
      <w:r w:rsidR="006B239B">
        <w:t>.</w:t>
      </w:r>
    </w:p>
    <w:p w14:paraId="0DB42F5B" w14:textId="77777777" w:rsidR="009739E6" w:rsidRPr="00ED78DD" w:rsidRDefault="00D6783D" w:rsidP="00755335">
      <w:r>
        <w:t>M</w:t>
      </w:r>
      <w:r w:rsidRPr="00ED78DD">
        <w:t xml:space="preserve">utualisation </w:t>
      </w:r>
      <w:r>
        <w:t>of the ARPC offers several advantages. It could</w:t>
      </w:r>
      <w:r w:rsidR="007D4A78" w:rsidRPr="00ED78DD">
        <w:t xml:space="preserve"> increase industry </w:t>
      </w:r>
      <w:r>
        <w:t xml:space="preserve">involvement and </w:t>
      </w:r>
      <w:r w:rsidR="007D4A78" w:rsidRPr="00ED78DD">
        <w:t>responsibility</w:t>
      </w:r>
      <w:r w:rsidR="00D01296">
        <w:t xml:space="preserve"> </w:t>
      </w:r>
      <w:r>
        <w:t>and align incentives</w:t>
      </w:r>
      <w:r w:rsidR="00382239" w:rsidRPr="00ED78DD">
        <w:t xml:space="preserve"> between the </w:t>
      </w:r>
      <w:r>
        <w:t>administrators</w:t>
      </w:r>
      <w:r w:rsidR="00382239" w:rsidRPr="00ED78DD">
        <w:t xml:space="preserve"> of the scheme and those who benefit from the availability of terrorism insurance.</w:t>
      </w:r>
      <w:r w:rsidR="00D01296">
        <w:t xml:space="preserve"> The private sector would also take a much larger role in operating the scheme, reducing the administrative burden on the </w:t>
      </w:r>
      <w:r w:rsidR="00B97B26">
        <w:t>g</w:t>
      </w:r>
      <w:r w:rsidR="00D01296">
        <w:t>overnment</w:t>
      </w:r>
      <w:r w:rsidR="008A07A0">
        <w:t xml:space="preserve">. </w:t>
      </w:r>
      <w:r w:rsidR="00D01296">
        <w:t xml:space="preserve">However, </w:t>
      </w:r>
      <w:r w:rsidR="00D01296" w:rsidRPr="00ED78DD">
        <w:t>mutualisation is unlikely to</w:t>
      </w:r>
      <w:r w:rsidR="00B97B26">
        <w:t xml:space="preserve"> reduce the risks faced by the g</w:t>
      </w:r>
      <w:r w:rsidR="00D01296" w:rsidRPr="00ED78DD">
        <w:t xml:space="preserve">overnment. </w:t>
      </w:r>
      <w:r w:rsidR="00D01296">
        <w:t>As discussed, for the</w:t>
      </w:r>
      <w:r w:rsidR="00DC5EFB">
        <w:t xml:space="preserve"> capacity</w:t>
      </w:r>
      <w:r w:rsidR="00D01296">
        <w:t xml:space="preserve"> of the scheme to be maintained</w:t>
      </w:r>
      <w:r w:rsidR="00225624">
        <w:t>,</w:t>
      </w:r>
      <w:r w:rsidR="00D01296">
        <w:t xml:space="preserve"> a government guarantee would be required. Existing mutual schemes overseas also receive government support.</w:t>
      </w:r>
    </w:p>
    <w:p w14:paraId="54896A6F" w14:textId="77777777" w:rsidR="00F27515" w:rsidRDefault="00F27515" w:rsidP="00755335">
      <w:r>
        <w:t>A</w:t>
      </w:r>
      <w:r w:rsidR="00D70F3F">
        <w:t>gain</w:t>
      </w:r>
      <w:r>
        <w:t xml:space="preserve"> </w:t>
      </w:r>
      <w:proofErr w:type="spellStart"/>
      <w:r>
        <w:t>Pottinger</w:t>
      </w:r>
      <w:proofErr w:type="spellEnd"/>
      <w:r>
        <w:t xml:space="preserve"> </w:t>
      </w:r>
      <w:r w:rsidR="00D70F3F">
        <w:t>considers</w:t>
      </w:r>
      <w:r>
        <w:t xml:space="preserve"> that clarification of uncertain aspects of the scheme would </w:t>
      </w:r>
      <w:r w:rsidR="004538EC">
        <w:t>be required</w:t>
      </w:r>
      <w:r w:rsidR="00CA2C94">
        <w:t xml:space="preserve"> before the scheme could be mutualised</w:t>
      </w:r>
      <w:r>
        <w:t xml:space="preserve">. This list includes </w:t>
      </w:r>
      <w:r w:rsidR="00CA2C94">
        <w:t>clarification of the regulatory framework for</w:t>
      </w:r>
      <w:r>
        <w:t xml:space="preserve"> the mutual structure and </w:t>
      </w:r>
      <w:r w:rsidR="00CA2C94">
        <w:t xml:space="preserve">any </w:t>
      </w:r>
      <w:r>
        <w:t xml:space="preserve">regulatory capital requirements; </w:t>
      </w:r>
      <w:r w:rsidR="005363E0">
        <w:t>the mutual</w:t>
      </w:r>
      <w:r w:rsidR="00CA2C94">
        <w:t xml:space="preserve"> entity’s</w:t>
      </w:r>
      <w:r w:rsidR="005363E0">
        <w:t xml:space="preserve"> ability to set prices</w:t>
      </w:r>
      <w:r>
        <w:t xml:space="preserve">; </w:t>
      </w:r>
      <w:r w:rsidR="00CA2C94">
        <w:t xml:space="preserve">the process for </w:t>
      </w:r>
      <w:r>
        <w:t xml:space="preserve">recapitalisation after a large claim; </w:t>
      </w:r>
      <w:r w:rsidR="00A84D68">
        <w:t xml:space="preserve">the nature of the government guarantee; </w:t>
      </w:r>
      <w:r>
        <w:t xml:space="preserve">and </w:t>
      </w:r>
      <w:r w:rsidR="00CA2C94">
        <w:t xml:space="preserve">the </w:t>
      </w:r>
      <w:r>
        <w:t xml:space="preserve">coverage of the scheme. In addition, the governance and voting rights within a mutual would need to be considered </w:t>
      </w:r>
      <w:r w:rsidR="005363E0">
        <w:t xml:space="preserve">to ensure </w:t>
      </w:r>
      <w:r w:rsidR="00CA2C94">
        <w:t xml:space="preserve">the </w:t>
      </w:r>
      <w:r w:rsidR="005363E0">
        <w:rPr>
          <w:rFonts w:cs="Calibri"/>
        </w:rPr>
        <w:t>appropriate balance of interest</w:t>
      </w:r>
      <w:r w:rsidR="00CA2C94">
        <w:rPr>
          <w:rFonts w:cs="Calibri"/>
        </w:rPr>
        <w:t>s</w:t>
      </w:r>
      <w:r w:rsidR="005363E0">
        <w:rPr>
          <w:rFonts w:cs="Calibri"/>
        </w:rPr>
        <w:t xml:space="preserve"> between stakeholders</w:t>
      </w:r>
      <w:r w:rsidR="00D70F3F">
        <w:t>. A comprehensive</w:t>
      </w:r>
      <w:r>
        <w:t xml:space="preserve"> transition plan would be required to ensure the success of </w:t>
      </w:r>
      <w:r w:rsidR="00D70F3F">
        <w:t>any</w:t>
      </w:r>
      <w:r>
        <w:t xml:space="preserve"> </w:t>
      </w:r>
      <w:r w:rsidR="009739E6" w:rsidRPr="00ED78DD">
        <w:t>mutualisation</w:t>
      </w:r>
      <w:r w:rsidR="00FC1F7A">
        <w:t>.</w:t>
      </w:r>
    </w:p>
    <w:p w14:paraId="36C4FCE4" w14:textId="77777777" w:rsidR="00C747CE" w:rsidRDefault="00F27515" w:rsidP="00755335">
      <w:r>
        <w:t>M</w:t>
      </w:r>
      <w:r w:rsidR="00C747CE">
        <w:t>utualisation</w:t>
      </w:r>
      <w:r w:rsidR="009739E6" w:rsidRPr="00ED78DD">
        <w:t xml:space="preserve"> </w:t>
      </w:r>
      <w:r w:rsidR="00C747CE">
        <w:t xml:space="preserve">would not necessarily release capital to the </w:t>
      </w:r>
      <w:r w:rsidR="00B97B26">
        <w:t>g</w:t>
      </w:r>
      <w:r w:rsidR="00C747CE">
        <w:t xml:space="preserve">overnment. </w:t>
      </w:r>
      <w:r w:rsidR="00284B04">
        <w:t xml:space="preserve">The </w:t>
      </w:r>
      <w:proofErr w:type="spellStart"/>
      <w:r w:rsidR="00284B04">
        <w:t>Pottinger</w:t>
      </w:r>
      <w:proofErr w:type="spellEnd"/>
      <w:r w:rsidR="00284B04">
        <w:t xml:space="preserve"> report argues that</w:t>
      </w:r>
      <w:r w:rsidR="00C747CE">
        <w:t xml:space="preserve"> </w:t>
      </w:r>
      <w:r w:rsidR="00C40FB9">
        <w:t xml:space="preserve">a </w:t>
      </w:r>
      <w:r w:rsidR="00C747CE">
        <w:t xml:space="preserve">mutual structure </w:t>
      </w:r>
      <w:r w:rsidR="00D01296">
        <w:t>may</w:t>
      </w:r>
      <w:r w:rsidR="007E22BD">
        <w:t xml:space="preserve"> be</w:t>
      </w:r>
      <w:r w:rsidR="00C747CE">
        <w:t xml:space="preserve"> subject to prudential capital requirements </w:t>
      </w:r>
      <w:r w:rsidR="00284B04">
        <w:t xml:space="preserve">or may wish to hold capital </w:t>
      </w:r>
      <w:r w:rsidR="00C747CE">
        <w:t>in a similar way to a private entity. One implication is that</w:t>
      </w:r>
      <w:r w:rsidR="00C747CE" w:rsidRPr="00ED78DD">
        <w:t xml:space="preserve"> it may be necessary for the </w:t>
      </w:r>
      <w:r w:rsidR="00B97B26">
        <w:t>g</w:t>
      </w:r>
      <w:r w:rsidR="00C747CE" w:rsidRPr="00ED78DD">
        <w:t xml:space="preserve">overnment to </w:t>
      </w:r>
      <w:r w:rsidR="008A07A0">
        <w:t>‘</w:t>
      </w:r>
      <w:r w:rsidR="00C747CE" w:rsidRPr="00ED78DD">
        <w:t>gift</w:t>
      </w:r>
      <w:r w:rsidR="008A07A0">
        <w:t>’</w:t>
      </w:r>
      <w:r w:rsidR="00C747CE" w:rsidRPr="00ED78DD">
        <w:t xml:space="preserve"> </w:t>
      </w:r>
      <w:r w:rsidR="00C747CE">
        <w:t>the existing</w:t>
      </w:r>
      <w:r w:rsidR="00C747CE" w:rsidRPr="00ED78DD">
        <w:t xml:space="preserve"> capital to the scheme without compens</w:t>
      </w:r>
      <w:r w:rsidR="00FE088B">
        <w:t>ation.</w:t>
      </w:r>
    </w:p>
    <w:p w14:paraId="3E268521" w14:textId="77777777" w:rsidR="007D4A78" w:rsidRPr="00FC1F7A" w:rsidRDefault="00057704" w:rsidP="00843828">
      <w:pPr>
        <w:pStyle w:val="Heading3"/>
      </w:pPr>
      <w:r>
        <w:t>Assessment</w:t>
      </w:r>
      <w:r w:rsidR="007D4A78" w:rsidRPr="004B53C1">
        <w:t xml:space="preserve"> </w:t>
      </w:r>
    </w:p>
    <w:p w14:paraId="66CE15B5" w14:textId="77777777" w:rsidR="00057704" w:rsidRDefault="00057704" w:rsidP="00755335">
      <w:r>
        <w:t>The options outlined above may be viable in the longer term but do not present as at</w:t>
      </w:r>
      <w:r w:rsidR="00D71DA6">
        <w:t xml:space="preserve">tractive short-term solutions. </w:t>
      </w:r>
      <w:r>
        <w:t xml:space="preserve">None of the viable options identified by </w:t>
      </w:r>
      <w:proofErr w:type="spellStart"/>
      <w:r>
        <w:t>Pottinger</w:t>
      </w:r>
      <w:proofErr w:type="spellEnd"/>
      <w:r>
        <w:t xml:space="preserve"> involve complete withdrawal of government support, and would require major adjustments to the scheme, including heavily increasing the burden on the users of the scheme, if they were to release capital to the Commonwealth.</w:t>
      </w:r>
    </w:p>
    <w:p w14:paraId="0B23AEFA" w14:textId="77777777" w:rsidR="00234F28" w:rsidRDefault="00394736" w:rsidP="00755335">
      <w:r>
        <w:t xml:space="preserve">The current </w:t>
      </w:r>
      <w:r w:rsidR="00057704">
        <w:t xml:space="preserve">administrative </w:t>
      </w:r>
      <w:r>
        <w:t xml:space="preserve">structure is well </w:t>
      </w:r>
      <w:r w:rsidR="00A22A63">
        <w:t>established</w:t>
      </w:r>
      <w:r>
        <w:t xml:space="preserve"> and </w:t>
      </w:r>
      <w:r w:rsidR="00A22A63">
        <w:t>provid</w:t>
      </w:r>
      <w:r w:rsidR="00234F28">
        <w:t>es</w:t>
      </w:r>
      <w:r>
        <w:t xml:space="preserve"> terrorism </w:t>
      </w:r>
      <w:r w:rsidR="00A22A63">
        <w:t>insurance that cannot be provided to the same degree in the private market</w:t>
      </w:r>
      <w:r>
        <w:t xml:space="preserve">. </w:t>
      </w:r>
      <w:r w:rsidR="00234F28">
        <w:t>In addition, the current scheme provides a high level of cost</w:t>
      </w:r>
      <w:r w:rsidR="00234F28">
        <w:noBreakHyphen/>
        <w:t>effective access to international reinsurance markets for terrorism risk, with the ARPC being able to build a sizeable retrocession program.</w:t>
      </w:r>
      <w:r w:rsidR="007176BF">
        <w:t xml:space="preserve"> </w:t>
      </w:r>
      <w:r w:rsidR="006F23DD">
        <w:t>Market participants widely support the continuation of the current scheme in its structure and operation.</w:t>
      </w:r>
    </w:p>
    <w:p w14:paraId="72FC67B6" w14:textId="77777777" w:rsidR="00234F28" w:rsidRDefault="007509DA" w:rsidP="00755335">
      <w:r>
        <w:t>Following</w:t>
      </w:r>
      <w:r w:rsidR="00234F28">
        <w:t xml:space="preserve"> the events </w:t>
      </w:r>
      <w:r>
        <w:t xml:space="preserve">at the Lindt Café </w:t>
      </w:r>
      <w:r w:rsidR="00234F28">
        <w:t>in Sydney</w:t>
      </w:r>
      <w:r w:rsidR="00C40FB9">
        <w:t xml:space="preserve"> in December 2014</w:t>
      </w:r>
      <w:r w:rsidR="00234F28">
        <w:t xml:space="preserve">, the scheme provided certainty to claimants and allowed for effective communication between industry and the </w:t>
      </w:r>
      <w:r w:rsidR="00B97B26">
        <w:t>g</w:t>
      </w:r>
      <w:r w:rsidR="00234F28">
        <w:t>overnment. Government control of the scheme ensures that the scheme will continue to be operated in the public interest</w:t>
      </w:r>
      <w:r w:rsidR="00093F06">
        <w:t>,</w:t>
      </w:r>
      <w:r w:rsidR="00234F28">
        <w:t xml:space="preserve"> </w:t>
      </w:r>
      <w:r w:rsidR="00093F06">
        <w:t>including in the event of a</w:t>
      </w:r>
      <w:r w:rsidR="00234F28">
        <w:t xml:space="preserve"> large claim.</w:t>
      </w:r>
    </w:p>
    <w:p w14:paraId="5823A87A" w14:textId="77777777" w:rsidR="000022E1" w:rsidRDefault="007509DA" w:rsidP="00755335">
      <w:r>
        <w:t>Against this background, there appears to be no compelling case</w:t>
      </w:r>
      <w:r w:rsidR="009222D1">
        <w:t xml:space="preserve"> for a major change in the </w:t>
      </w:r>
      <w:r w:rsidR="006F23DD">
        <w:t xml:space="preserve">ownership or administration </w:t>
      </w:r>
      <w:r w:rsidR="009222D1">
        <w:t>stru</w:t>
      </w:r>
      <w:r>
        <w:t xml:space="preserve">cture of the ARPC </w:t>
      </w:r>
      <w:r w:rsidR="00057704">
        <w:t>in the short term</w:t>
      </w:r>
      <w:r w:rsidR="00EC110F">
        <w:t xml:space="preserve">. </w:t>
      </w:r>
      <w:r>
        <w:t>If market considerations change</w:t>
      </w:r>
      <w:r w:rsidR="00225624">
        <w:t>,</w:t>
      </w:r>
      <w:r w:rsidR="009222D1">
        <w:t xml:space="preserve"> further consideration could be given to these options</w:t>
      </w:r>
      <w:r w:rsidR="00EC110F">
        <w:t xml:space="preserve">. </w:t>
      </w:r>
      <w:r w:rsidR="009222D1">
        <w:t xml:space="preserve">The appropriate next step </w:t>
      </w:r>
      <w:r w:rsidR="00057704">
        <w:t>would be to undertake a</w:t>
      </w:r>
      <w:r w:rsidR="009222D1">
        <w:t xml:space="preserve"> comprehensive scoping study</w:t>
      </w:r>
      <w:r w:rsidR="00D71DA6">
        <w:t xml:space="preserve"> to</w:t>
      </w:r>
      <w:r w:rsidR="009222D1">
        <w:t xml:space="preserve"> further consider </w:t>
      </w:r>
      <w:r w:rsidR="0089533B">
        <w:t xml:space="preserve">the </w:t>
      </w:r>
      <w:r w:rsidR="009222D1">
        <w:t>viability</w:t>
      </w:r>
      <w:r w:rsidR="0089533B">
        <w:t xml:space="preserve"> of alternative options</w:t>
      </w:r>
      <w:bookmarkStart w:id="106" w:name="_Toc409618521"/>
      <w:bookmarkEnd w:id="99"/>
      <w:r w:rsidR="00057704">
        <w:t xml:space="preserve"> </w:t>
      </w:r>
      <w:r w:rsidR="00057704">
        <w:lastRenderedPageBreak/>
        <w:t>and set out an implementation plan for a preferred option</w:t>
      </w:r>
      <w:r w:rsidR="00AC77A3">
        <w:t>. In the meantime, greater private sector participation can be encouraged by adjustments to the scheme parameters as set out in this review.</w:t>
      </w:r>
    </w:p>
    <w:p w14:paraId="6B0337CB" w14:textId="77777777" w:rsidR="008B64B7" w:rsidRDefault="008B64B7" w:rsidP="008B64B7">
      <w:r>
        <w:t>T</w:t>
      </w:r>
      <w:r w:rsidR="00AA6307">
        <w:t>he North</w:t>
      </w:r>
      <w:r w:rsidR="00BD4697">
        <w:t xml:space="preserve">ern Australia Insurance Premiums Task Force is </w:t>
      </w:r>
      <w:r>
        <w:t>assessing the feasibility of a reinsurance pool for cyclone risk</w:t>
      </w:r>
      <w:r w:rsidR="00CA791F">
        <w:t xml:space="preserve">, </w:t>
      </w:r>
      <w:r w:rsidR="00CA791F" w:rsidRPr="00C71289">
        <w:rPr>
          <w:color w:val="auto"/>
        </w:rPr>
        <w:t>among other options</w:t>
      </w:r>
      <w:r>
        <w:t>.  Its interim report notes that the ARPC could potentially be used to offer a cyclone reinsurance contract (although the cyclone and terrorism pools would need to be completely segregated from each other).</w:t>
      </w:r>
    </w:p>
    <w:p w14:paraId="75806107" w14:textId="77777777" w:rsidR="00AA6307" w:rsidRDefault="00AA6307" w:rsidP="00755335"/>
    <w:p w14:paraId="5917342A" w14:textId="77777777" w:rsidR="000022E1" w:rsidRDefault="000022E1" w:rsidP="00755335">
      <w:pPr>
        <w:rPr>
          <w:smallCaps/>
        </w:rPr>
        <w:sectPr w:rsidR="000022E1" w:rsidSect="005938C3">
          <w:type w:val="oddPage"/>
          <w:pgSz w:w="11906" w:h="16838" w:code="9"/>
          <w:pgMar w:top="1440" w:right="1440" w:bottom="1440" w:left="1440" w:header="709" w:footer="709" w:gutter="0"/>
          <w:cols w:space="708"/>
          <w:titlePg/>
          <w:docGrid w:linePitch="360"/>
        </w:sectPr>
      </w:pPr>
    </w:p>
    <w:p w14:paraId="6A391B61" w14:textId="77777777" w:rsidR="00321498" w:rsidRDefault="00D85D73" w:rsidP="00951A43">
      <w:pPr>
        <w:pStyle w:val="Heading1"/>
      </w:pPr>
      <w:bookmarkStart w:id="107" w:name="_Toc409630052"/>
      <w:bookmarkStart w:id="108" w:name="_Toc410229544"/>
      <w:bookmarkStart w:id="109" w:name="_Toc410302179"/>
      <w:bookmarkStart w:id="110" w:name="_Toc437338121"/>
      <w:r>
        <w:lastRenderedPageBreak/>
        <w:t xml:space="preserve">Chapter </w:t>
      </w:r>
      <w:r w:rsidR="00CD26F2">
        <w:t>4</w:t>
      </w:r>
      <w:r>
        <w:t>:</w:t>
      </w:r>
      <w:r w:rsidR="00951A43">
        <w:t xml:space="preserve">  </w:t>
      </w:r>
      <w:r w:rsidR="005B3B9F">
        <w:t xml:space="preserve">Ensuring </w:t>
      </w:r>
      <w:r w:rsidR="007B6BBE">
        <w:t xml:space="preserve">Financial </w:t>
      </w:r>
      <w:r w:rsidR="005B3B9F">
        <w:t>Sustainability of the Scheme</w:t>
      </w:r>
      <w:bookmarkEnd w:id="106"/>
      <w:bookmarkEnd w:id="107"/>
      <w:bookmarkEnd w:id="108"/>
      <w:bookmarkEnd w:id="109"/>
      <w:bookmarkEnd w:id="110"/>
    </w:p>
    <w:p w14:paraId="2BDC3633" w14:textId="77777777" w:rsidR="00722914" w:rsidRPr="00082936" w:rsidRDefault="00173A91" w:rsidP="000022E1">
      <w:pPr>
        <w:rPr>
          <w:rFonts w:eastAsiaTheme="minorHAnsi"/>
          <w:bCs/>
          <w:lang w:eastAsia="en-US"/>
        </w:rPr>
      </w:pPr>
      <w:r>
        <w:rPr>
          <w:rFonts w:eastAsiaTheme="minorHAnsi"/>
          <w:lang w:eastAsia="en-US"/>
        </w:rPr>
        <w:t xml:space="preserve">Although introduced on a temporary basis, the Act has been required to operate over a </w:t>
      </w:r>
      <w:proofErr w:type="gramStart"/>
      <w:r>
        <w:rPr>
          <w:rFonts w:eastAsiaTheme="minorHAnsi"/>
          <w:lang w:eastAsia="en-US"/>
        </w:rPr>
        <w:t>longer  period</w:t>
      </w:r>
      <w:proofErr w:type="gramEnd"/>
      <w:r>
        <w:rPr>
          <w:rFonts w:eastAsiaTheme="minorHAnsi"/>
          <w:lang w:eastAsia="en-US"/>
        </w:rPr>
        <w:t xml:space="preserve"> than initial</w:t>
      </w:r>
      <w:r w:rsidR="001B656A">
        <w:rPr>
          <w:rFonts w:eastAsiaTheme="minorHAnsi"/>
          <w:lang w:eastAsia="en-US"/>
        </w:rPr>
        <w:t>ly</w:t>
      </w:r>
      <w:r>
        <w:rPr>
          <w:rFonts w:eastAsiaTheme="minorHAnsi"/>
          <w:lang w:eastAsia="en-US"/>
        </w:rPr>
        <w:t xml:space="preserve"> contemplated. The current pricing of the government guarantee and premiums</w:t>
      </w:r>
      <w:r w:rsidR="00E150BF">
        <w:rPr>
          <w:rFonts w:eastAsiaTheme="minorHAnsi"/>
          <w:lang w:eastAsia="en-US"/>
        </w:rPr>
        <w:t>,</w:t>
      </w:r>
      <w:r>
        <w:rPr>
          <w:rFonts w:eastAsiaTheme="minorHAnsi"/>
          <w:lang w:eastAsia="en-US"/>
        </w:rPr>
        <w:t xml:space="preserve"> as well as settings relating to the purchase of retrocession and retention levels</w:t>
      </w:r>
      <w:r w:rsidR="00E150BF">
        <w:rPr>
          <w:rFonts w:eastAsiaTheme="minorHAnsi"/>
          <w:lang w:eastAsia="en-US"/>
        </w:rPr>
        <w:t>,</w:t>
      </w:r>
      <w:r>
        <w:rPr>
          <w:rFonts w:eastAsiaTheme="minorHAnsi"/>
          <w:lang w:eastAsia="en-US"/>
        </w:rPr>
        <w:t xml:space="preserve"> should be reviewed to ensure the scheme is sustainable over the medium term and that </w:t>
      </w:r>
      <w:r w:rsidR="00843828">
        <w:rPr>
          <w:rFonts w:eastAsiaTheme="minorHAnsi"/>
          <w:lang w:eastAsia="en-US"/>
        </w:rPr>
        <w:t>industry takes</w:t>
      </w:r>
      <w:r>
        <w:rPr>
          <w:rFonts w:eastAsiaTheme="minorHAnsi"/>
          <w:lang w:eastAsia="en-US"/>
        </w:rPr>
        <w:t xml:space="preserve"> an appropriate level of responsibility.</w:t>
      </w:r>
    </w:p>
    <w:p w14:paraId="3A1813D3" w14:textId="77777777" w:rsidR="00722914" w:rsidRDefault="00722914" w:rsidP="000022E1">
      <w:r>
        <w:t>This chapter considers:</w:t>
      </w:r>
    </w:p>
    <w:p w14:paraId="48BD6290" w14:textId="77777777" w:rsidR="005F6857" w:rsidRPr="00843660" w:rsidRDefault="005F6857" w:rsidP="005F6857">
      <w:pPr>
        <w:pStyle w:val="Bullet"/>
        <w:rPr>
          <w:rFonts w:eastAsiaTheme="minorHAnsi"/>
        </w:rPr>
      </w:pPr>
      <w:r w:rsidRPr="00843660">
        <w:rPr>
          <w:rFonts w:eastAsiaTheme="minorHAnsi"/>
        </w:rPr>
        <w:t>the level of industry retentions;</w:t>
      </w:r>
    </w:p>
    <w:p w14:paraId="247B1125" w14:textId="77777777" w:rsidR="005F6857" w:rsidRDefault="005F6857" w:rsidP="005F6857">
      <w:pPr>
        <w:pStyle w:val="Bullet"/>
        <w:rPr>
          <w:rFonts w:eastAsiaTheme="minorHAnsi"/>
        </w:rPr>
      </w:pPr>
      <w:r w:rsidRPr="00843660">
        <w:rPr>
          <w:rFonts w:eastAsiaTheme="minorHAnsi"/>
        </w:rPr>
        <w:t xml:space="preserve">the </w:t>
      </w:r>
      <w:r w:rsidR="004C4546">
        <w:rPr>
          <w:rFonts w:eastAsiaTheme="minorHAnsi"/>
        </w:rPr>
        <w:t>purchase</w:t>
      </w:r>
      <w:r w:rsidRPr="00843660">
        <w:rPr>
          <w:rFonts w:eastAsiaTheme="minorHAnsi"/>
        </w:rPr>
        <w:t xml:space="preserve"> of retrocession </w:t>
      </w:r>
      <w:r w:rsidR="004C4546">
        <w:rPr>
          <w:rFonts w:eastAsiaTheme="minorHAnsi"/>
        </w:rPr>
        <w:t>b</w:t>
      </w:r>
      <w:r w:rsidRPr="00843660">
        <w:rPr>
          <w:rFonts w:eastAsiaTheme="minorHAnsi"/>
        </w:rPr>
        <w:t>y the ARPC</w:t>
      </w:r>
      <w:r>
        <w:rPr>
          <w:rFonts w:eastAsiaTheme="minorHAnsi"/>
        </w:rPr>
        <w:t>;</w:t>
      </w:r>
    </w:p>
    <w:p w14:paraId="204D8253" w14:textId="77777777" w:rsidR="00722914" w:rsidRPr="00843660" w:rsidRDefault="00722914" w:rsidP="005F6857">
      <w:pPr>
        <w:pStyle w:val="Bullet"/>
        <w:rPr>
          <w:rFonts w:eastAsiaTheme="minorHAnsi"/>
        </w:rPr>
      </w:pPr>
      <w:r w:rsidRPr="00843660">
        <w:rPr>
          <w:rFonts w:eastAsiaTheme="minorHAnsi"/>
        </w:rPr>
        <w:t xml:space="preserve">the fair level of compensation received by the </w:t>
      </w:r>
      <w:r w:rsidR="00B97B26">
        <w:rPr>
          <w:rFonts w:eastAsiaTheme="minorHAnsi"/>
        </w:rPr>
        <w:t>g</w:t>
      </w:r>
      <w:r w:rsidRPr="00843660">
        <w:rPr>
          <w:rFonts w:eastAsiaTheme="minorHAnsi"/>
        </w:rPr>
        <w:t>overnment for the provision of the $10 billion guarantee and the retention of capital by the ARPC;</w:t>
      </w:r>
      <w:r w:rsidR="005F6857">
        <w:rPr>
          <w:rFonts w:eastAsiaTheme="minorHAnsi"/>
        </w:rPr>
        <w:t xml:space="preserve"> and</w:t>
      </w:r>
    </w:p>
    <w:p w14:paraId="588D6160" w14:textId="77777777" w:rsidR="00D349E1" w:rsidRPr="00843660" w:rsidRDefault="00E2369E" w:rsidP="00843660">
      <w:pPr>
        <w:pStyle w:val="Bullet"/>
        <w:rPr>
          <w:rFonts w:eastAsiaTheme="minorHAnsi"/>
        </w:rPr>
      </w:pPr>
      <w:proofErr w:type="gramStart"/>
      <w:r w:rsidRPr="00843660">
        <w:rPr>
          <w:rFonts w:eastAsiaTheme="minorHAnsi"/>
        </w:rPr>
        <w:t>the</w:t>
      </w:r>
      <w:proofErr w:type="gramEnd"/>
      <w:r w:rsidRPr="00843660">
        <w:rPr>
          <w:rFonts w:eastAsiaTheme="minorHAnsi"/>
        </w:rPr>
        <w:t xml:space="preserve"> appropriate level of premiums.</w:t>
      </w:r>
    </w:p>
    <w:p w14:paraId="42DD74B2" w14:textId="77777777" w:rsidR="005F6857" w:rsidRPr="00843660" w:rsidRDefault="005F6857" w:rsidP="005F6857">
      <w:pPr>
        <w:pStyle w:val="Heading2"/>
      </w:pPr>
      <w:bookmarkStart w:id="111" w:name="_Toc437338122"/>
      <w:r w:rsidRPr="00843660">
        <w:t>Industry retentions</w:t>
      </w:r>
      <w:bookmarkEnd w:id="111"/>
    </w:p>
    <w:p w14:paraId="44D29BD1" w14:textId="77777777" w:rsidR="005F6857" w:rsidRPr="00843660" w:rsidRDefault="005F6857" w:rsidP="005F6857">
      <w:pPr>
        <w:pStyle w:val="Heading3"/>
      </w:pPr>
      <w:r w:rsidRPr="00843660">
        <w:t>Issue</w:t>
      </w:r>
    </w:p>
    <w:p w14:paraId="5EB081E2" w14:textId="77777777" w:rsidR="005F6857" w:rsidRDefault="005F6857" w:rsidP="005F6857">
      <w:r>
        <w:t>Whether:</w:t>
      </w:r>
    </w:p>
    <w:p w14:paraId="34739697" w14:textId="77777777" w:rsidR="005F6857" w:rsidRPr="00843660" w:rsidRDefault="005F6857" w:rsidP="005F6857">
      <w:pPr>
        <w:pStyle w:val="Bullet"/>
      </w:pPr>
      <w:r w:rsidRPr="00843660">
        <w:t xml:space="preserve">the current level and structure of retentions </w:t>
      </w:r>
      <w:r>
        <w:t>that</w:t>
      </w:r>
      <w:r w:rsidRPr="00843660">
        <w:t xml:space="preserve"> apply to individual entities </w:t>
      </w:r>
      <w:r>
        <w:t>that</w:t>
      </w:r>
      <w:r w:rsidRPr="00843660">
        <w:t xml:space="preserve"> reinsure with the ARPC are appropriate;</w:t>
      </w:r>
    </w:p>
    <w:p w14:paraId="5164F060" w14:textId="77777777" w:rsidR="005F6857" w:rsidRPr="00843660" w:rsidRDefault="005F6857" w:rsidP="005F6857">
      <w:pPr>
        <w:pStyle w:val="Bullet"/>
      </w:pPr>
      <w:r w:rsidRPr="00843660">
        <w:t>the overall industry retention per incident is appropriate; and</w:t>
      </w:r>
    </w:p>
    <w:p w14:paraId="286684B1" w14:textId="77777777" w:rsidR="005F6857" w:rsidRPr="00843660" w:rsidRDefault="005F6857" w:rsidP="005F6857">
      <w:pPr>
        <w:pStyle w:val="Bullet"/>
      </w:pPr>
      <w:proofErr w:type="gramStart"/>
      <w:r w:rsidRPr="00843660">
        <w:t>increasing</w:t>
      </w:r>
      <w:proofErr w:type="gramEnd"/>
      <w:r w:rsidRPr="00843660">
        <w:t xml:space="preserve"> this retention would encourage insurers to seek out reinsurance privately.</w:t>
      </w:r>
    </w:p>
    <w:p w14:paraId="7FFD50C4" w14:textId="77777777" w:rsidR="005F6857" w:rsidRDefault="005F6857" w:rsidP="005F6857">
      <w:pPr>
        <w:pStyle w:val="Heading3"/>
      </w:pPr>
      <w:r>
        <w:t>Recommendations</w:t>
      </w:r>
    </w:p>
    <w:p w14:paraId="34106092" w14:textId="77777777" w:rsidR="0004480C" w:rsidRDefault="0004480C" w:rsidP="0004480C">
      <w:r>
        <w:rPr>
          <w:noProof/>
        </w:rPr>
        <mc:AlternateContent>
          <mc:Choice Requires="wps">
            <w:drawing>
              <wp:anchor distT="0" distB="0" distL="114300" distR="114300" simplePos="0" relativeHeight="251658244" behindDoc="0" locked="0" layoutInCell="1" allowOverlap="1" wp14:anchorId="3B967DE3" wp14:editId="17684D13">
                <wp:simplePos x="0" y="0"/>
                <wp:positionH relativeFrom="column">
                  <wp:align>center</wp:align>
                </wp:positionH>
                <wp:positionV relativeFrom="paragraph">
                  <wp:posOffset>0</wp:posOffset>
                </wp:positionV>
                <wp:extent cx="4838700" cy="15716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5716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56C5382" w14:textId="77777777" w:rsidR="00A20ABE" w:rsidRPr="00843660" w:rsidRDefault="00A20ABE" w:rsidP="0004480C">
                            <w:r w:rsidRPr="0004480C">
                              <w:rPr>
                                <w:i/>
                              </w:rPr>
                              <w:t>Recommendation 3</w:t>
                            </w:r>
                            <w:r>
                              <w:t>: T</w:t>
                            </w:r>
                            <w:r w:rsidRPr="00843660">
                              <w:t>he four per cent rate of gross fire and industrial special risk premium (less any fire services levy) shoul</w:t>
                            </w:r>
                            <w:r>
                              <w:t>d be increased to five per cent.</w:t>
                            </w:r>
                          </w:p>
                          <w:p w14:paraId="47CC5FD1" w14:textId="77777777" w:rsidR="00A20ABE" w:rsidRPr="00843660" w:rsidRDefault="00A20ABE" w:rsidP="0004480C">
                            <w:r w:rsidRPr="0004480C">
                              <w:rPr>
                                <w:i/>
                              </w:rPr>
                              <w:t>Recommendation 4</w:t>
                            </w:r>
                            <w:r>
                              <w:t>: C</w:t>
                            </w:r>
                            <w:r w:rsidRPr="00843660">
                              <w:t xml:space="preserve">urrent maximum retention levels for individual insurers </w:t>
                            </w:r>
                            <w:r>
                              <w:t>should be removed.</w:t>
                            </w:r>
                          </w:p>
                          <w:p w14:paraId="0684BA9B" w14:textId="77777777" w:rsidR="00A20ABE" w:rsidRPr="00843660" w:rsidRDefault="00A20ABE" w:rsidP="0004480C">
                            <w:r w:rsidRPr="0004480C">
                              <w:rPr>
                                <w:i/>
                              </w:rPr>
                              <w:t>Recommendation 5</w:t>
                            </w:r>
                            <w:r>
                              <w:t>: T</w:t>
                            </w:r>
                            <w:r w:rsidRPr="00843660">
                              <w:t xml:space="preserve">he maximum industry retention </w:t>
                            </w:r>
                            <w:r>
                              <w:t xml:space="preserve">should </w:t>
                            </w:r>
                            <w:r w:rsidRPr="00843660">
                              <w:t>be increased from $100 million to $200 million.</w:t>
                            </w:r>
                          </w:p>
                          <w:p w14:paraId="2CF79271" w14:textId="77777777" w:rsidR="00A20ABE" w:rsidRDefault="00A20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381pt;height:123.75pt;z-index:2516582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" fillcolor="white [3201]" strokecolor="#4f81bd [3204]" strokeweight="2pt">
                <v:textbox>
                  <w:txbxContent>
                    <w:p w:rsidR="00A20ABE" w:rsidRPr="00843660" w:rsidRDefault="00A20ABE" w:rsidP="0004480C">
                      <w:r w:rsidRPr="0004480C">
                        <w:rPr>
                          <w:i/>
                        </w:rPr>
                        <w:t>Recommendation 3</w:t>
                      </w:r>
                      <w:r>
                        <w:t>: T</w:t>
                      </w:r>
                      <w:r w:rsidRPr="00843660">
                        <w:t>he four per cent rate of gross fire and industrial special risk premium (less any fire services levy) shoul</w:t>
                      </w:r>
                      <w:r>
                        <w:t>d be increased to five per cent.</w:t>
                      </w:r>
                    </w:p>
                    <w:p w:rsidR="00A20ABE" w:rsidRPr="00843660" w:rsidRDefault="00A20ABE" w:rsidP="0004480C">
                      <w:r w:rsidRPr="0004480C">
                        <w:rPr>
                          <w:i/>
                        </w:rPr>
                        <w:t>Recommendation 4</w:t>
                      </w:r>
                      <w:r>
                        <w:t>: C</w:t>
                      </w:r>
                      <w:r w:rsidRPr="00843660">
                        <w:t xml:space="preserve">urrent maximum retention levels for individual insurers </w:t>
                      </w:r>
                      <w:r>
                        <w:t>should be removed.</w:t>
                      </w:r>
                    </w:p>
                    <w:p w:rsidR="00A20ABE" w:rsidRPr="00843660" w:rsidRDefault="00A20ABE" w:rsidP="0004480C">
                      <w:r w:rsidRPr="0004480C">
                        <w:rPr>
                          <w:i/>
                        </w:rPr>
                        <w:t>Recommendation 5</w:t>
                      </w:r>
                      <w:r>
                        <w:t>: T</w:t>
                      </w:r>
                      <w:r w:rsidRPr="00843660">
                        <w:t xml:space="preserve">he maximum industry retention </w:t>
                      </w:r>
                      <w:r>
                        <w:t xml:space="preserve">should </w:t>
                      </w:r>
                      <w:r w:rsidRPr="00843660">
                        <w:t>be increased from $100 million to $200 million.</w:t>
                      </w:r>
                    </w:p>
                    <w:p w:rsidR="00A20ABE" w:rsidRDefault="00A20ABE"/>
                  </w:txbxContent>
                </v:textbox>
              </v:shape>
            </w:pict>
          </mc:Fallback>
        </mc:AlternateContent>
      </w:r>
    </w:p>
    <w:p w14:paraId="73559422" w14:textId="77777777" w:rsidR="0004480C" w:rsidRDefault="0004480C" w:rsidP="0004480C"/>
    <w:p w14:paraId="3520C70D" w14:textId="77777777" w:rsidR="0004480C" w:rsidRDefault="0004480C" w:rsidP="0004480C"/>
    <w:p w14:paraId="45810A60" w14:textId="77777777" w:rsidR="0004480C" w:rsidRDefault="0004480C" w:rsidP="0004480C"/>
    <w:p w14:paraId="0277D7C0" w14:textId="77777777" w:rsidR="0004480C" w:rsidRDefault="0004480C" w:rsidP="0004480C"/>
    <w:p w14:paraId="4A9C902E" w14:textId="77777777" w:rsidR="0004480C" w:rsidRPr="0004480C" w:rsidRDefault="0004480C" w:rsidP="0004480C"/>
    <w:p w14:paraId="73540DBA" w14:textId="77777777" w:rsidR="005F6857" w:rsidRDefault="005F6857" w:rsidP="005F6857">
      <w:pPr>
        <w:pStyle w:val="Heading3"/>
      </w:pPr>
      <w:r>
        <w:t>Background</w:t>
      </w:r>
    </w:p>
    <w:p w14:paraId="7A9F8151" w14:textId="77777777" w:rsidR="005F6857" w:rsidRDefault="005F6857" w:rsidP="005F6857">
      <w:r>
        <w:t xml:space="preserve">When the scheme began in 2003, the Act required insurers who </w:t>
      </w:r>
      <w:r w:rsidR="00C40FB9">
        <w:t>bought</w:t>
      </w:r>
      <w:r>
        <w:t xml:space="preserve"> reinsurance from </w:t>
      </w:r>
      <w:r w:rsidR="00A12317">
        <w:t xml:space="preserve">the </w:t>
      </w:r>
      <w:r>
        <w:t xml:space="preserve">ARPC to retain </w:t>
      </w:r>
      <w:r w:rsidR="003D5A50">
        <w:t xml:space="preserve">risk at </w:t>
      </w:r>
      <w:r>
        <w:t>a minimum of nil and a maximum of $1 m</w:t>
      </w:r>
      <w:r w:rsidR="003D5A50">
        <w:t xml:space="preserve">illion, with the maximum industry wide </w:t>
      </w:r>
      <w:r>
        <w:t xml:space="preserve">retention set at $10 million. Retentions were based on 4 per cent of the </w:t>
      </w:r>
      <w:proofErr w:type="spellStart"/>
      <w:r>
        <w:t>reinsured’s</w:t>
      </w:r>
      <w:proofErr w:type="spellEnd"/>
      <w:r>
        <w:t xml:space="preserve"> gross fire and industrial special risk premium less any fire service levy.</w:t>
      </w:r>
    </w:p>
    <w:p w14:paraId="5430FE14" w14:textId="77777777" w:rsidR="005F6857" w:rsidRDefault="005F6857" w:rsidP="005F6857">
      <w:r>
        <w:lastRenderedPageBreak/>
        <w:t xml:space="preserve">The 2006 review of the Act recommended that, as the insurance industry had developed, retentions under the scheme should increase to a minimum of $100,000 and a maximum of $10 million, with </w:t>
      </w:r>
      <w:proofErr w:type="gramStart"/>
      <w:r>
        <w:t>a</w:t>
      </w:r>
      <w:r w:rsidR="001634D0">
        <w:t>n industry</w:t>
      </w:r>
      <w:proofErr w:type="gramEnd"/>
      <w:r>
        <w:t xml:space="preserve"> retention of $100 million. Retentions were gradually increased </w:t>
      </w:r>
      <w:r w:rsidR="001634D0">
        <w:t>as a result.</w:t>
      </w:r>
      <w:r>
        <w:t xml:space="preserve"> The 2012 review of the Act recommended no change to retention levels. </w:t>
      </w:r>
    </w:p>
    <w:p w14:paraId="769036A1" w14:textId="77777777" w:rsidR="005F6857" w:rsidRDefault="005F6857" w:rsidP="005F6857">
      <w:pPr>
        <w:pStyle w:val="Heading3"/>
      </w:pPr>
      <w:r>
        <w:t>Assessment</w:t>
      </w:r>
    </w:p>
    <w:p w14:paraId="158CB7E0" w14:textId="77777777" w:rsidR="005F6857" w:rsidRDefault="005F6857" w:rsidP="005F6857">
      <w:r>
        <w:t>An analysis of ARPC’s portfolio indicates that fiv</w:t>
      </w:r>
      <w:r w:rsidR="00832A09">
        <w:t>e insurers benefit from the $10 </w:t>
      </w:r>
      <w:r>
        <w:t xml:space="preserve">million maximum retention and many insurers would have </w:t>
      </w:r>
      <w:proofErr w:type="gramStart"/>
      <w:r>
        <w:t>a retention</w:t>
      </w:r>
      <w:proofErr w:type="gramEnd"/>
      <w:r>
        <w:t xml:space="preserve"> of less than $100,000 if the minimum was not applied. That is, smaller insurers are made to retain more than 4 per cent of relevant premiums, yet large insurers have their retention capped under the current arrangements at less than 4 per cent.</w:t>
      </w:r>
    </w:p>
    <w:p w14:paraId="5276C9BE" w14:textId="77777777" w:rsidR="00EA3F51" w:rsidRDefault="00EA3F51" w:rsidP="005F6857">
      <w:r>
        <w:t xml:space="preserve">Further, some consolidation of insurance licenses has led to a situation where some insurance groups have effectively reduced their maximum exposure under the scheme by reducing the number of insurance companies they own that are subject to an individual cap of $10 million. </w:t>
      </w:r>
    </w:p>
    <w:p w14:paraId="32264ECC" w14:textId="77777777" w:rsidR="00EA3F51" w:rsidRDefault="00EA3F51" w:rsidP="005F6857">
      <w:r>
        <w:t>T</w:t>
      </w:r>
      <w:r w:rsidR="005F6857">
        <w:t xml:space="preserve">he ARPC advises that insurer’s retentions under the ARPC’s terrorism reinsurance agreements are much lower than those used in natural catastrophe reinsurance, even though the ARPC retentions are more generous in that they are the maximum retention per year rather than per event. </w:t>
      </w:r>
    </w:p>
    <w:p w14:paraId="02A9BA9C" w14:textId="77777777" w:rsidR="005F6857" w:rsidRPr="008277D6" w:rsidRDefault="00EA3F51" w:rsidP="005F6857">
      <w:r>
        <w:t>Based on the above</w:t>
      </w:r>
      <w:r w:rsidR="00897189">
        <w:t>,</w:t>
      </w:r>
      <w:r>
        <w:t xml:space="preserve"> the case can be made for</w:t>
      </w:r>
      <w:r w:rsidR="005F6857">
        <w:t xml:space="preserve"> increasing the retention level </w:t>
      </w:r>
      <w:r w:rsidR="001C7033">
        <w:t xml:space="preserve">and removing the </w:t>
      </w:r>
      <w:r w:rsidR="00897189">
        <w:t>maximum individual</w:t>
      </w:r>
      <w:r w:rsidR="001C7033">
        <w:t xml:space="preserve"> retention </w:t>
      </w:r>
      <w:r w:rsidR="005F6857">
        <w:t xml:space="preserve">in ARPC agreements </w:t>
      </w:r>
      <w:r>
        <w:t>to</w:t>
      </w:r>
      <w:r w:rsidR="005F6857">
        <w:t xml:space="preserve"> ensure that the insurance industry take</w:t>
      </w:r>
      <w:r w:rsidR="00616E43">
        <w:t>s</w:t>
      </w:r>
      <w:r w:rsidR="005F6857">
        <w:t xml:space="preserve"> an appropriate level of responsibility </w:t>
      </w:r>
      <w:r>
        <w:t xml:space="preserve">in the event of a major claim </w:t>
      </w:r>
      <w:r w:rsidR="005F6857">
        <w:t>under the scheme.</w:t>
      </w:r>
      <w:r w:rsidR="00FE0204">
        <w:t xml:space="preserve"> Removing the maximum retention will also ensure a more even distribution of retention burden.</w:t>
      </w:r>
      <w:r w:rsidR="001C7033">
        <w:t xml:space="preserve"> </w:t>
      </w:r>
      <w:r w:rsidR="00897189">
        <w:t xml:space="preserve">Minimum retentions should be maintained to ensure that insurers retain a non-trivial level of responsibility under the scheme. </w:t>
      </w:r>
    </w:p>
    <w:p w14:paraId="4468A5A0" w14:textId="77777777" w:rsidR="00BF4048" w:rsidRDefault="005F6857" w:rsidP="005F6857">
      <w:r w:rsidRPr="0043324C">
        <w:t>One of the underlying principles of the scheme is that it should be designed to allow the</w:t>
      </w:r>
      <w:r>
        <w:br/>
      </w:r>
      <w:r w:rsidRPr="0043324C">
        <w:t>re</w:t>
      </w:r>
      <w:r>
        <w:noBreakHyphen/>
      </w:r>
      <w:r w:rsidRPr="0043324C">
        <w:t>emergence of the commercial ma</w:t>
      </w:r>
      <w:r>
        <w:t xml:space="preserve">rket for terrorism risk cover. </w:t>
      </w:r>
      <w:r w:rsidRPr="0043324C">
        <w:t xml:space="preserve">Raising retention levels requires insurers to retain a greater amount of terrorism risk, </w:t>
      </w:r>
      <w:r>
        <w:t xml:space="preserve">for </w:t>
      </w:r>
      <w:r w:rsidRPr="0043324C">
        <w:t>which</w:t>
      </w:r>
      <w:r w:rsidR="00EA3F51">
        <w:t xml:space="preserve"> they</w:t>
      </w:r>
      <w:r w:rsidRPr="0043324C">
        <w:t xml:space="preserve"> can self</w:t>
      </w:r>
      <w:r>
        <w:noBreakHyphen/>
      </w:r>
      <w:r w:rsidRPr="0043324C">
        <w:t>insure or seek to commercially reinsure. Either course of action increases private sector involvement in the provision of terrorism risk cover. Increasing retentions also increases the relative attracti</w:t>
      </w:r>
      <w:r>
        <w:t>veness of commercial terrorism reinsurance.</w:t>
      </w:r>
    </w:p>
    <w:p w14:paraId="7DA6B261" w14:textId="77777777" w:rsidR="005F6857" w:rsidRDefault="005F6857" w:rsidP="005F6857">
      <w:pPr>
        <w:pStyle w:val="Heading2"/>
      </w:pPr>
      <w:bookmarkStart w:id="112" w:name="_Toc437338123"/>
      <w:r>
        <w:t>Continuation of Retrocession Program</w:t>
      </w:r>
      <w:bookmarkEnd w:id="112"/>
    </w:p>
    <w:p w14:paraId="7F164079" w14:textId="77777777" w:rsidR="005F6857" w:rsidRPr="00843660" w:rsidRDefault="005F6857" w:rsidP="005F6857">
      <w:pPr>
        <w:pStyle w:val="Heading3"/>
      </w:pPr>
      <w:r w:rsidRPr="00843660">
        <w:t>Issue</w:t>
      </w:r>
    </w:p>
    <w:p w14:paraId="13B4714C" w14:textId="77777777" w:rsidR="005F6857" w:rsidRDefault="005F6857" w:rsidP="005F6857">
      <w:proofErr w:type="gramStart"/>
      <w:r>
        <w:t>Whether the ARPC should continue to have the discretion to purchase retrocession in the private market.</w:t>
      </w:r>
      <w:proofErr w:type="gramEnd"/>
    </w:p>
    <w:p w14:paraId="0C6B3685" w14:textId="77777777" w:rsidR="005F6857" w:rsidRDefault="005F6857" w:rsidP="005F6857">
      <w:pPr>
        <w:pStyle w:val="Heading3"/>
      </w:pPr>
      <w:r w:rsidRPr="00843660">
        <w:t>Recommendation</w:t>
      </w:r>
    </w:p>
    <w:p w14:paraId="081751DB" w14:textId="77777777" w:rsidR="00092072" w:rsidRDefault="00092072" w:rsidP="00092072">
      <w:r>
        <w:rPr>
          <w:noProof/>
        </w:rPr>
        <mc:AlternateContent>
          <mc:Choice Requires="wps">
            <w:drawing>
              <wp:anchor distT="0" distB="0" distL="114300" distR="114300" simplePos="0" relativeHeight="251658246" behindDoc="0" locked="0" layoutInCell="1" allowOverlap="1" wp14:anchorId="1761A30D" wp14:editId="17B8F8B3">
                <wp:simplePos x="0" y="0"/>
                <wp:positionH relativeFrom="column">
                  <wp:align>center</wp:align>
                </wp:positionH>
                <wp:positionV relativeFrom="paragraph">
                  <wp:posOffset>0</wp:posOffset>
                </wp:positionV>
                <wp:extent cx="4886325" cy="70485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7048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3F34577" w14:textId="77777777" w:rsidR="00A20ABE" w:rsidRPr="00B359E3" w:rsidRDefault="00A20ABE" w:rsidP="00092072">
                            <w:r>
                              <w:rPr>
                                <w:i/>
                              </w:rPr>
                              <w:t>Recommendation 6</w:t>
                            </w:r>
                            <w:r w:rsidRPr="0004480C">
                              <w:rPr>
                                <w:i/>
                              </w:rPr>
                              <w:t xml:space="preserve">: </w:t>
                            </w:r>
                            <w:r w:rsidRPr="008277D6">
                              <w:t>That the ARPC continue to have the discretion to purchase retrocession, subject to the APRC assessing</w:t>
                            </w:r>
                            <w:r w:rsidRPr="00AF5B6D">
                              <w:t xml:space="preserve"> the need for</w:t>
                            </w:r>
                            <w:r>
                              <w:t>,</w:t>
                            </w:r>
                            <w:r w:rsidRPr="00AF5B6D">
                              <w:t xml:space="preserve"> and levels of</w:t>
                            </w:r>
                            <w:r>
                              <w:t>,</w:t>
                            </w:r>
                            <w:r w:rsidRPr="00AF5B6D">
                              <w:t xml:space="preserve"> </w:t>
                            </w:r>
                            <w:r w:rsidRPr="00D779FA">
                              <w:t xml:space="preserve">its retrocession programme </w:t>
                            </w:r>
                            <w:r>
                              <w:t>and</w:t>
                            </w:r>
                            <w:r w:rsidRPr="00D779FA">
                              <w:t xml:space="preserve"> value for money.</w:t>
                            </w:r>
                          </w:p>
                          <w:p w14:paraId="06BCC505" w14:textId="77777777" w:rsidR="00A20ABE" w:rsidRPr="0004480C" w:rsidRDefault="00A20ABE" w:rsidP="00092072">
                            <w:pPr>
                              <w:rPr>
                                <w:i/>
                              </w:rPr>
                            </w:pPr>
                          </w:p>
                          <w:p w14:paraId="12DEFBAE" w14:textId="77777777" w:rsidR="00A20ABE" w:rsidRDefault="00A20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384.75pt;height:55.5pt;z-index:25165824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" fillcolor="white [3201]" strokecolor="#4f81bd [3204]" strokeweight="2pt">
                <v:textbox>
                  <w:txbxContent>
                    <w:p w:rsidR="00A20ABE" w:rsidRPr="00B359E3" w:rsidRDefault="00A20ABE" w:rsidP="00092072">
                      <w:r>
                        <w:rPr>
                          <w:i/>
                        </w:rPr>
                        <w:t>Recommendation 6</w:t>
                      </w:r>
                      <w:r w:rsidRPr="0004480C">
                        <w:rPr>
                          <w:i/>
                        </w:rPr>
                        <w:t xml:space="preserve">: </w:t>
                      </w:r>
                      <w:r w:rsidRPr="008277D6">
                        <w:t>That the ARPC continue to have the discretion to purchase retrocession, subject to the APRC assessing</w:t>
                      </w:r>
                      <w:r w:rsidRPr="00AF5B6D">
                        <w:t xml:space="preserve"> the need for</w:t>
                      </w:r>
                      <w:r>
                        <w:t>,</w:t>
                      </w:r>
                      <w:r w:rsidRPr="00AF5B6D">
                        <w:t xml:space="preserve"> and levels of</w:t>
                      </w:r>
                      <w:r>
                        <w:t>,</w:t>
                      </w:r>
                      <w:r w:rsidRPr="00AF5B6D">
                        <w:t xml:space="preserve"> </w:t>
                      </w:r>
                      <w:r w:rsidRPr="00D779FA">
                        <w:t xml:space="preserve">its retrocession programme </w:t>
                      </w:r>
                      <w:r>
                        <w:t>and</w:t>
                      </w:r>
                      <w:r w:rsidRPr="00D779FA">
                        <w:t xml:space="preserve"> value for money.</w:t>
                      </w:r>
                    </w:p>
                    <w:p w:rsidR="00A20ABE" w:rsidRPr="0004480C" w:rsidRDefault="00A20ABE" w:rsidP="00092072">
                      <w:pPr>
                        <w:rPr>
                          <w:i/>
                        </w:rPr>
                      </w:pPr>
                    </w:p>
                    <w:p w:rsidR="00A20ABE" w:rsidRDefault="00A20ABE"/>
                  </w:txbxContent>
                </v:textbox>
              </v:shape>
            </w:pict>
          </mc:Fallback>
        </mc:AlternateContent>
      </w:r>
    </w:p>
    <w:p w14:paraId="01ABE141" w14:textId="77777777" w:rsidR="00092072" w:rsidRDefault="00092072" w:rsidP="00092072"/>
    <w:p w14:paraId="39ED31E9" w14:textId="77777777" w:rsidR="00092072" w:rsidRDefault="00092072" w:rsidP="00092072"/>
    <w:p w14:paraId="5BA0936F" w14:textId="77777777" w:rsidR="005F6857" w:rsidRPr="00843660" w:rsidRDefault="005F6857" w:rsidP="005F6857">
      <w:pPr>
        <w:pStyle w:val="Heading3"/>
      </w:pPr>
      <w:r w:rsidRPr="00843660">
        <w:lastRenderedPageBreak/>
        <w:t>Background</w:t>
      </w:r>
    </w:p>
    <w:p w14:paraId="3A44E75C" w14:textId="77777777" w:rsidR="005F6857" w:rsidRDefault="005F6857" w:rsidP="005F6857">
      <w:r>
        <w:t>For the first six years of the scheme, the ARPC did not purchase retrocession. Instead, premiums were used to build capital within the ARPC to extend the size of the scheme and provide a buffer before the unfunded government guarantee was called upon. However, once sufficient capital had built up within the scheme, the ARPC was given the discretion to purchase additional retrocession cover from the private market.</w:t>
      </w:r>
    </w:p>
    <w:p w14:paraId="006C8CB1" w14:textId="77777777" w:rsidR="005F6857" w:rsidRDefault="005F6857" w:rsidP="005F6857">
      <w:r>
        <w:t>The ARPC has purchased retrocession every year since 2009. It initially provided cover of $2.3 billion, but this amount has increased over time to a maximum of $3.2 billion in 2014. In 2015, retrocession co</w:t>
      </w:r>
      <w:r w:rsidR="00F92CD2">
        <w:t>ver was slightly lower at $2.9 b</w:t>
      </w:r>
      <w:r>
        <w:t>illion.</w:t>
      </w:r>
      <w:r w:rsidRPr="000B6F29">
        <w:t xml:space="preserve"> </w:t>
      </w:r>
    </w:p>
    <w:p w14:paraId="5F5E14BA" w14:textId="77777777" w:rsidR="005F6857" w:rsidRPr="00843660" w:rsidRDefault="005F6857" w:rsidP="005F6857">
      <w:pPr>
        <w:pStyle w:val="Heading3"/>
      </w:pPr>
      <w:r w:rsidRPr="00843660">
        <w:t>Assessment</w:t>
      </w:r>
    </w:p>
    <w:p w14:paraId="374E06C7" w14:textId="77777777" w:rsidR="005F6857" w:rsidRPr="006C7099" w:rsidRDefault="005F6857" w:rsidP="005F6857">
      <w:r>
        <w:t>The purchase of retrocession creates a role for the private market in providing terrorism insurance under the scheme and ensures that the insurance of private sector assets is provided to the greatest degree possible by the private market. A strong argument</w:t>
      </w:r>
      <w:r w:rsidRPr="006C7099">
        <w:t xml:space="preserve"> can be made in support of continuing the </w:t>
      </w:r>
      <w:r>
        <w:t>retrocession program, in that it:</w:t>
      </w:r>
    </w:p>
    <w:p w14:paraId="4766D21D" w14:textId="77777777" w:rsidR="005F6857" w:rsidRPr="00843660" w:rsidRDefault="005F6857" w:rsidP="005F6857">
      <w:pPr>
        <w:pStyle w:val="Bullet"/>
      </w:pPr>
      <w:r w:rsidRPr="00843660">
        <w:t>supports the private sector provision of terrorism insurance and reinsurance;</w:t>
      </w:r>
    </w:p>
    <w:p w14:paraId="4E9789DC" w14:textId="77777777" w:rsidR="005F6857" w:rsidRPr="00843660" w:rsidRDefault="005F6857" w:rsidP="002961FE">
      <w:pPr>
        <w:pStyle w:val="Bullet"/>
        <w:ind w:left="397" w:hanging="397"/>
      </w:pPr>
      <w:r w:rsidRPr="00843660">
        <w:t xml:space="preserve">provides an indication of </w:t>
      </w:r>
      <w:r>
        <w:t xml:space="preserve">both </w:t>
      </w:r>
      <w:r w:rsidRPr="00843660">
        <w:t xml:space="preserve">the market price for terrorism insurance and the availability of terrorism reinsurance in the private sector; </w:t>
      </w:r>
    </w:p>
    <w:p w14:paraId="2690A945" w14:textId="77777777" w:rsidR="005F6857" w:rsidRPr="00843660" w:rsidRDefault="005F6857" w:rsidP="005F6857">
      <w:pPr>
        <w:pStyle w:val="Bullet"/>
      </w:pPr>
      <w:r w:rsidRPr="00843660">
        <w:t>increases the</w:t>
      </w:r>
      <w:r w:rsidR="002E543F">
        <w:t xml:space="preserve"> overall capacity of the scheme</w:t>
      </w:r>
      <w:r w:rsidRPr="00843660">
        <w:t xml:space="preserve"> </w:t>
      </w:r>
      <w:r w:rsidR="002E543F">
        <w:t>(</w:t>
      </w:r>
      <w:r w:rsidRPr="00843660">
        <w:t>currently by around $3 billion</w:t>
      </w:r>
      <w:r w:rsidR="002E543F">
        <w:t>)</w:t>
      </w:r>
      <w:r w:rsidRPr="00843660">
        <w:t>; and</w:t>
      </w:r>
    </w:p>
    <w:p w14:paraId="16BA8892" w14:textId="77777777" w:rsidR="005F6857" w:rsidRPr="00843660" w:rsidRDefault="006B6710" w:rsidP="005F6857">
      <w:pPr>
        <w:pStyle w:val="Bullet"/>
      </w:pPr>
      <w:proofErr w:type="gramStart"/>
      <w:r>
        <w:t>reduces</w:t>
      </w:r>
      <w:proofErr w:type="gramEnd"/>
      <w:r>
        <w:t xml:space="preserve"> the risk that the government guarantee will be called upon</w:t>
      </w:r>
      <w:r w:rsidR="005F6857" w:rsidRPr="00843660">
        <w:t>.</w:t>
      </w:r>
    </w:p>
    <w:p w14:paraId="0D160DFA" w14:textId="77777777" w:rsidR="005F6857" w:rsidRDefault="005F6857" w:rsidP="005F6857">
      <w:r>
        <w:t>During consultation, industry stakeholders did not express particular views on the ARPC’s retrocession program. Insurers generally benefit under current arrangements; the purchase of retrocession by the ARPC increases the size of the scheme and, therefore, the amount of reinsurance c</w:t>
      </w:r>
      <w:r w:rsidR="002E543F">
        <w:t>over purchased by insurers</w:t>
      </w:r>
      <w:r>
        <w:t>.</w:t>
      </w:r>
    </w:p>
    <w:p w14:paraId="2222E77F" w14:textId="77777777" w:rsidR="005F6857" w:rsidRDefault="005F6857" w:rsidP="005F6857">
      <w:r>
        <w:t>On balance, it is prudent for the ARPC to maintain its retrocession programme</w:t>
      </w:r>
      <w:r w:rsidR="002E543F">
        <w:t xml:space="preserve">, at a level that represents the best value for money having regard to the ARPC’s other commitments, </w:t>
      </w:r>
      <w:r>
        <w:t>to</w:t>
      </w:r>
      <w:r w:rsidR="002E543F">
        <w:t xml:space="preserve"> ensure that the private </w:t>
      </w:r>
      <w:r>
        <w:t xml:space="preserve">reinsurance market </w:t>
      </w:r>
      <w:r w:rsidR="002E543F">
        <w:t xml:space="preserve">for terrorism cover </w:t>
      </w:r>
      <w:r>
        <w:t xml:space="preserve">continues to operate in Australia, and to give information about the availability and price of private terrorism reinsurance. This approach would </w:t>
      </w:r>
      <w:r w:rsidR="002E543F">
        <w:t>assist in a</w:t>
      </w:r>
      <w:r>
        <w:t xml:space="preserve"> </w:t>
      </w:r>
      <w:r w:rsidR="00B97B26">
        <w:t>g</w:t>
      </w:r>
      <w:r>
        <w:t xml:space="preserve">overnment </w:t>
      </w:r>
      <w:r w:rsidR="002E543F">
        <w:t>withdrawal from the</w:t>
      </w:r>
      <w:r>
        <w:t xml:space="preserve"> market</w:t>
      </w:r>
      <w:r w:rsidR="002E543F">
        <w:t xml:space="preserve"> in future </w:t>
      </w:r>
      <w:r>
        <w:t xml:space="preserve">if conditions improved. </w:t>
      </w:r>
    </w:p>
    <w:p w14:paraId="3017A50A" w14:textId="77777777" w:rsidR="00994617" w:rsidRDefault="00975AE9" w:rsidP="00843660">
      <w:pPr>
        <w:pStyle w:val="Heading2"/>
      </w:pPr>
      <w:bookmarkStart w:id="113" w:name="_Toc437338124"/>
      <w:r>
        <w:t>C</w:t>
      </w:r>
      <w:r w:rsidR="0028269C">
        <w:t>ompensation to</w:t>
      </w:r>
      <w:r w:rsidR="00B719A4">
        <w:t xml:space="preserve"> government</w:t>
      </w:r>
      <w:bookmarkEnd w:id="113"/>
    </w:p>
    <w:p w14:paraId="1623496D" w14:textId="77777777" w:rsidR="004B636E" w:rsidRDefault="00595CB4" w:rsidP="00843660">
      <w:pPr>
        <w:pStyle w:val="Heading3"/>
      </w:pPr>
      <w:r>
        <w:t>Issue</w:t>
      </w:r>
    </w:p>
    <w:p w14:paraId="62C49770" w14:textId="77777777" w:rsidR="0028269C" w:rsidRDefault="00722914" w:rsidP="000022E1">
      <w:r>
        <w:t xml:space="preserve">Whether </w:t>
      </w:r>
      <w:r w:rsidR="00BC7D46">
        <w:t>and to what extent</w:t>
      </w:r>
      <w:r>
        <w:t xml:space="preserve"> the </w:t>
      </w:r>
      <w:r w:rsidR="00B97B26">
        <w:t>g</w:t>
      </w:r>
      <w:r>
        <w:t xml:space="preserve">overnment should be compensated for </w:t>
      </w:r>
      <w:r w:rsidR="0028269C">
        <w:t>the financial benefit</w:t>
      </w:r>
      <w:r w:rsidR="00F53FDA">
        <w:t>s</w:t>
      </w:r>
      <w:r w:rsidR="0028269C">
        <w:t xml:space="preserve"> it provides to the ARPC.</w:t>
      </w:r>
    </w:p>
    <w:p w14:paraId="2AF29069" w14:textId="77777777" w:rsidR="00BC7D46" w:rsidRDefault="00BC7D46" w:rsidP="00843660">
      <w:pPr>
        <w:pStyle w:val="Heading3"/>
      </w:pPr>
      <w:r>
        <w:t>Recommendation</w:t>
      </w:r>
    </w:p>
    <w:p w14:paraId="369AD520" w14:textId="77777777" w:rsidR="00903C67" w:rsidRDefault="00903C67" w:rsidP="00903C67">
      <w:r>
        <w:rPr>
          <w:noProof/>
        </w:rPr>
        <mc:AlternateContent>
          <mc:Choice Requires="wps">
            <w:drawing>
              <wp:anchor distT="0" distB="0" distL="114300" distR="114300" simplePos="0" relativeHeight="251658249" behindDoc="0" locked="0" layoutInCell="1" allowOverlap="1" wp14:anchorId="2E29AFBD" wp14:editId="1047AECB">
                <wp:simplePos x="0" y="0"/>
                <wp:positionH relativeFrom="column">
                  <wp:align>center</wp:align>
                </wp:positionH>
                <wp:positionV relativeFrom="paragraph">
                  <wp:posOffset>0</wp:posOffset>
                </wp:positionV>
                <wp:extent cx="5286375" cy="13716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3716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E6DB955" w14:textId="77777777" w:rsidR="00A20ABE" w:rsidRDefault="00A20ABE" w:rsidP="00903C67">
                            <w:r>
                              <w:rPr>
                                <w:i/>
                              </w:rPr>
                              <w:t>Recommendation 7</w:t>
                            </w:r>
                            <w:r>
                              <w:t>: That the ARPC pay to the Commonwealth each year, commencing in 2016-17:</w:t>
                            </w:r>
                          </w:p>
                          <w:p w14:paraId="026BE1C0" w14:textId="77777777" w:rsidR="00A20ABE" w:rsidRDefault="00A20ABE" w:rsidP="002261E5">
                            <w:pPr>
                              <w:pStyle w:val="Bullet"/>
                              <w:numPr>
                                <w:ilvl w:val="0"/>
                                <w:numId w:val="39"/>
                              </w:numPr>
                              <w:tabs>
                                <w:tab w:val="clear" w:pos="566"/>
                                <w:tab w:val="num" w:pos="426"/>
                                <w:tab w:val="left" w:pos="709"/>
                                <w:tab w:val="left" w:pos="851"/>
                              </w:tabs>
                              <w:ind w:left="397" w:hanging="397"/>
                            </w:pPr>
                            <w:r>
                              <w:t>a fee of $55 million in respect of the Commonwealth guarantee of the ARPC’s liabilities; and</w:t>
                            </w:r>
                          </w:p>
                          <w:p w14:paraId="7FC03D91" w14:textId="77777777" w:rsidR="00A20ABE" w:rsidRDefault="00A20ABE" w:rsidP="002261E5">
                            <w:pPr>
                              <w:pStyle w:val="Bullet"/>
                              <w:numPr>
                                <w:ilvl w:val="0"/>
                                <w:numId w:val="39"/>
                              </w:numPr>
                              <w:tabs>
                                <w:tab w:val="clear" w:pos="566"/>
                                <w:tab w:val="left" w:pos="426"/>
                                <w:tab w:val="left" w:pos="709"/>
                              </w:tabs>
                              <w:ind w:left="397" w:hanging="397"/>
                            </w:pPr>
                            <w:proofErr w:type="gramStart"/>
                            <w:r>
                              <w:t>an</w:t>
                            </w:r>
                            <w:proofErr w:type="gramEnd"/>
                            <w:r>
                              <w:t xml:space="preserve"> additional amount of $35 million per annum to reflect the Commonwealth’s support in making the ARPC reserves available for payment of claims.</w:t>
                            </w:r>
                          </w:p>
                          <w:p w14:paraId="0D06D413" w14:textId="77777777" w:rsidR="00A20ABE" w:rsidRDefault="00A20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416.25pt;height:108pt;z-index:251658249;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" fillcolor="white [3201]" strokecolor="#4f81bd [3204]" strokeweight="2pt">
                <v:textbox>
                  <w:txbxContent>
                    <w:p w:rsidR="00A20ABE" w:rsidRDefault="00A20ABE" w:rsidP="00903C67">
                      <w:r>
                        <w:rPr>
                          <w:i/>
                        </w:rPr>
                        <w:t>Recommendation 7</w:t>
                      </w:r>
                      <w:r>
                        <w:t>: That the ARPC pay to the Commonwealth each year, commencing in 2016-17:</w:t>
                      </w:r>
                    </w:p>
                    <w:p w:rsidR="00A20ABE" w:rsidRDefault="00A20ABE" w:rsidP="002261E5">
                      <w:pPr>
                        <w:pStyle w:val="Bullet"/>
                        <w:numPr>
                          <w:ilvl w:val="0"/>
                          <w:numId w:val="39"/>
                        </w:numPr>
                        <w:tabs>
                          <w:tab w:val="clear" w:pos="566"/>
                          <w:tab w:val="num" w:pos="426"/>
                          <w:tab w:val="left" w:pos="709"/>
                          <w:tab w:val="left" w:pos="851"/>
                        </w:tabs>
                        <w:ind w:left="397" w:hanging="397"/>
                      </w:pPr>
                      <w:r>
                        <w:t>a fee of $55 million in respect of the Commonwealth guarantee of the ARPC’s liabilities; and</w:t>
                      </w:r>
                    </w:p>
                    <w:p w:rsidR="00A20ABE" w:rsidRDefault="00A20ABE" w:rsidP="002261E5">
                      <w:pPr>
                        <w:pStyle w:val="Bullet"/>
                        <w:numPr>
                          <w:ilvl w:val="0"/>
                          <w:numId w:val="39"/>
                        </w:numPr>
                        <w:tabs>
                          <w:tab w:val="clear" w:pos="566"/>
                          <w:tab w:val="left" w:pos="426"/>
                          <w:tab w:val="left" w:pos="709"/>
                        </w:tabs>
                        <w:ind w:left="397" w:hanging="397"/>
                      </w:pPr>
                      <w:proofErr w:type="gramStart"/>
                      <w:r>
                        <w:t>an</w:t>
                      </w:r>
                      <w:proofErr w:type="gramEnd"/>
                      <w:r>
                        <w:t xml:space="preserve"> additional amount of $35 million per annum to reflect the Commonwealth’s support in making the ARPC reserves available for payment of claims.</w:t>
                      </w:r>
                    </w:p>
                    <w:p w:rsidR="00A20ABE" w:rsidRDefault="00A20ABE"/>
                  </w:txbxContent>
                </v:textbox>
              </v:shape>
            </w:pict>
          </mc:Fallback>
        </mc:AlternateContent>
      </w:r>
    </w:p>
    <w:p w14:paraId="6CEF0351" w14:textId="77777777" w:rsidR="00903C67" w:rsidRDefault="00903C67" w:rsidP="00903C67"/>
    <w:p w14:paraId="285F1A56" w14:textId="77777777" w:rsidR="00903C67" w:rsidRDefault="00903C67" w:rsidP="00903C67"/>
    <w:p w14:paraId="63821BE6" w14:textId="77777777" w:rsidR="006A488B" w:rsidRDefault="006A488B" w:rsidP="00843660">
      <w:pPr>
        <w:pStyle w:val="Heading3"/>
      </w:pPr>
      <w:r>
        <w:lastRenderedPageBreak/>
        <w:t xml:space="preserve">Background </w:t>
      </w:r>
    </w:p>
    <w:p w14:paraId="11752B69" w14:textId="77777777" w:rsidR="00A9249A" w:rsidRPr="00843660" w:rsidRDefault="0096202F" w:rsidP="00A9249A">
      <w:r>
        <w:t>The ARPC</w:t>
      </w:r>
      <w:r w:rsidR="00B97B26">
        <w:t xml:space="preserve"> is not a mutual pool. It is a g</w:t>
      </w:r>
      <w:r>
        <w:t xml:space="preserve">overnment owned reinsurance agency that provides reinsurance cover to industry on the same basis as that provided by commercial reinsurers. The premiums charged by the ARPC represent compensation for the risk of a claim occurring during the period of insurance. </w:t>
      </w:r>
      <w:r w:rsidR="00F53FDA">
        <w:t xml:space="preserve"> T</w:t>
      </w:r>
      <w:r w:rsidR="00A9249A">
        <w:t>he government bears considerable risk in the event of a claim. In the first instance</w:t>
      </w:r>
      <w:r w:rsidR="00E150BF">
        <w:t>,</w:t>
      </w:r>
      <w:r w:rsidR="00A9249A">
        <w:t xml:space="preserve"> the government’s equity in the ARPC would be reduced as claims are paid out of its pool. Further, in the event of a large claim that exhausts the capital retained in the ARPC and any retrocession purchased by the ARPC, the government will be called upon to cover losses.</w:t>
      </w:r>
    </w:p>
    <w:p w14:paraId="570F215A" w14:textId="77777777" w:rsidR="0028269C" w:rsidRDefault="00A04ADC" w:rsidP="00D10BA5">
      <w:r w:rsidRPr="00843660">
        <w:t xml:space="preserve">Since its inception, the </w:t>
      </w:r>
      <w:r w:rsidR="00DC4810">
        <w:t>ARPC</w:t>
      </w:r>
      <w:r w:rsidRPr="00843660">
        <w:t xml:space="preserve"> has been backed by a government guarantee of the ARPC</w:t>
      </w:r>
      <w:r>
        <w:t>’</w:t>
      </w:r>
      <w:r w:rsidRPr="00843660">
        <w:t xml:space="preserve">s liabilities to the amount of $10 billion. </w:t>
      </w:r>
      <w:r w:rsidR="0028269C">
        <w:t>From the scheme’s commencement, it was intended that the Commonwealth be compensated for the risk it assumed in providing its guarantee</w:t>
      </w:r>
      <w:r w:rsidR="00F53FDA">
        <w:t xml:space="preserve">. </w:t>
      </w:r>
      <w:r w:rsidR="0028269C">
        <w:t>As outlined in the Revised Explanatory Memorandum to the Terrorism Insurance Bill 2002, the intention was</w:t>
      </w:r>
      <w:r w:rsidR="00E150BF">
        <w:t xml:space="preserve"> </w:t>
      </w:r>
      <w:r w:rsidR="0028269C">
        <w:t xml:space="preserve">“that risk transferred to the Commonwealth is appropriately priced and that the Commonwealth is compensated by those benefiting from the assistance”. </w:t>
      </w:r>
    </w:p>
    <w:p w14:paraId="7A7F5B19" w14:textId="77777777" w:rsidR="00B719A4" w:rsidRDefault="0028269C" w:rsidP="0028269C">
      <w:r>
        <w:t>Initially no charge was made for the Commonwealth’s assistance to the scheme, allowing i</w:t>
      </w:r>
      <w:r w:rsidR="00595CB4">
        <w:t>ncome</w:t>
      </w:r>
      <w:r w:rsidR="00F34A1D">
        <w:t> </w:t>
      </w:r>
      <w:r w:rsidR="00595CB4">
        <w:t xml:space="preserve">from premiums </w:t>
      </w:r>
      <w:r w:rsidR="007D508D">
        <w:t xml:space="preserve">to be used </w:t>
      </w:r>
      <w:r w:rsidR="00595CB4">
        <w:t>to</w:t>
      </w:r>
      <w:r w:rsidR="00B719A4">
        <w:t xml:space="preserve"> build up capital </w:t>
      </w:r>
      <w:r w:rsidR="00595CB4">
        <w:t xml:space="preserve">within the ARPC as a </w:t>
      </w:r>
      <w:r w:rsidR="00B719A4">
        <w:t>reserve</w:t>
      </w:r>
      <w:r w:rsidR="00FE6852">
        <w:t xml:space="preserve"> fund</w:t>
      </w:r>
      <w:r w:rsidR="00935D63">
        <w:t xml:space="preserve"> to act as a buffer against a claim on the </w:t>
      </w:r>
      <w:r w:rsidR="00595CB4">
        <w:t xml:space="preserve">government </w:t>
      </w:r>
      <w:r w:rsidR="00935D63">
        <w:t>guarantee.</w:t>
      </w:r>
      <w:r w:rsidR="00595CB4">
        <w:t xml:space="preserve"> </w:t>
      </w:r>
    </w:p>
    <w:p w14:paraId="02D6D362" w14:textId="77777777" w:rsidR="00A9249A" w:rsidRDefault="00A9249A" w:rsidP="0089533B">
      <w:pPr>
        <w:pStyle w:val="Heading3"/>
      </w:pPr>
      <w:r>
        <w:t>Nature of Government Support</w:t>
      </w:r>
    </w:p>
    <w:p w14:paraId="06780F7A" w14:textId="77777777" w:rsidR="00C36CF7" w:rsidRPr="003654D2" w:rsidRDefault="00C36CF7" w:rsidP="00C36CF7">
      <w:pPr>
        <w:rPr>
          <w:color w:val="auto"/>
        </w:rPr>
      </w:pPr>
      <w:r w:rsidRPr="003654D2">
        <w:rPr>
          <w:color w:val="auto"/>
        </w:rPr>
        <w:t>In determining a f</w:t>
      </w:r>
      <w:r w:rsidR="00B97B26">
        <w:rPr>
          <w:color w:val="auto"/>
        </w:rPr>
        <w:t>air amount of compensation for g</w:t>
      </w:r>
      <w:r w:rsidRPr="003654D2">
        <w:rPr>
          <w:color w:val="auto"/>
        </w:rPr>
        <w:t>overnment support to the ARPC, it is instructive to consider the nature of t</w:t>
      </w:r>
      <w:r w:rsidR="00B97B26">
        <w:rPr>
          <w:color w:val="auto"/>
        </w:rPr>
        <w:t>hat support. It is open to the g</w:t>
      </w:r>
      <w:r w:rsidRPr="003654D2">
        <w:rPr>
          <w:color w:val="auto"/>
        </w:rPr>
        <w:t>overnment to raise premiums at any time, including following a DTI and subsequent claim on the scheme</w:t>
      </w:r>
      <w:r w:rsidR="003654D2" w:rsidRPr="003654D2">
        <w:rPr>
          <w:color w:val="auto"/>
        </w:rPr>
        <w:t xml:space="preserve">. </w:t>
      </w:r>
      <w:r w:rsidRPr="003654D2">
        <w:rPr>
          <w:color w:val="auto"/>
        </w:rPr>
        <w:t>This does not, however, have the consequence that the scheme is intended to be a ‘post-funded’ one in the sense that stakeholders would be required to ‘repay’ funds expended by the Commonwealth as a result of the guarantee. The ARPC provides reinsurance to insurers and is not able to demand repayment of any claims made on it. Similarly, the support provided by the Commonwealth as guarantor is in the nature of reinsurance rather than temporary liquidity.</w:t>
      </w:r>
    </w:p>
    <w:p w14:paraId="46F669A1" w14:textId="77777777" w:rsidR="00C36CF7" w:rsidRPr="003654D2" w:rsidRDefault="00C36CF7" w:rsidP="00C36CF7">
      <w:pPr>
        <w:rPr>
          <w:color w:val="auto"/>
        </w:rPr>
      </w:pPr>
      <w:r w:rsidRPr="003654D2">
        <w:rPr>
          <w:color w:val="auto"/>
        </w:rPr>
        <w:t xml:space="preserve">Post-funding would be similarly complicated by the fact that the scheme as it currently stands is not compulsory, so that any increase in premiums following an event may result in insurers looking for retrocession cover outside the ARPC scheme. In this regard, the terrorism insurance scheme stands in contrast to the Financial Claims Scheme, for example, which </w:t>
      </w:r>
      <w:r w:rsidRPr="003654D2">
        <w:rPr>
          <w:i/>
          <w:iCs/>
          <w:color w:val="auto"/>
        </w:rPr>
        <w:t>imposes</w:t>
      </w:r>
      <w:r w:rsidRPr="003654D2">
        <w:rPr>
          <w:color w:val="auto"/>
        </w:rPr>
        <w:t xml:space="preserve"> a levy on industry, if required, in the aftermath of the failure of a financial sector entity. While flexibility remains for ARPC premiums to increase following a large claim, insurers are not compelled to reinsure with it. </w:t>
      </w:r>
    </w:p>
    <w:p w14:paraId="763F19B3" w14:textId="77777777" w:rsidR="00C36CF7" w:rsidRDefault="00C36CF7" w:rsidP="00C36CF7">
      <w:r>
        <w:t>The result is th</w:t>
      </w:r>
      <w:r w:rsidR="00B97B26">
        <w:t>at the support provided by the g</w:t>
      </w:r>
      <w:r>
        <w:t>overnment guarantee is akin, if not identical to, retrocession cover, and this is an appropriate starting point for assessing the amount of compensation that should be paid to the Commonwealth.</w:t>
      </w:r>
    </w:p>
    <w:p w14:paraId="6DC9E6E1" w14:textId="77777777" w:rsidR="00567860" w:rsidRDefault="00567860" w:rsidP="00567860">
      <w:pPr>
        <w:pStyle w:val="Heading3"/>
      </w:pPr>
      <w:r>
        <w:t>Assessment</w:t>
      </w:r>
    </w:p>
    <w:p w14:paraId="75AB3381" w14:textId="77777777" w:rsidR="004729A9" w:rsidRDefault="00326E1A" w:rsidP="000022E1">
      <w:r>
        <w:t>F</w:t>
      </w:r>
      <w:r w:rsidR="006A488B">
        <w:t>rom the 2012</w:t>
      </w:r>
      <w:r w:rsidR="008A07A0">
        <w:noBreakHyphen/>
      </w:r>
      <w:r w:rsidR="006A488B">
        <w:t xml:space="preserve">13 </w:t>
      </w:r>
      <w:r w:rsidR="00921211">
        <w:t>fiscal year</w:t>
      </w:r>
      <w:r w:rsidR="00E150BF">
        <w:t>,</w:t>
      </w:r>
      <w:r w:rsidR="006A488B">
        <w:t xml:space="preserve"> the ARPC began </w:t>
      </w:r>
      <w:r>
        <w:t>to compensate the</w:t>
      </w:r>
      <w:r w:rsidR="006A488B">
        <w:t xml:space="preserve"> </w:t>
      </w:r>
      <w:r w:rsidR="00B97B26">
        <w:t>g</w:t>
      </w:r>
      <w:r w:rsidR="006A488B">
        <w:t>overnment</w:t>
      </w:r>
      <w:r>
        <w:t xml:space="preserve"> for the guarantee</w:t>
      </w:r>
      <w:r w:rsidR="007D508D">
        <w:t xml:space="preserve"> and this has continued to the time of this review</w:t>
      </w:r>
      <w:r w:rsidR="006A488B">
        <w:t>.</w:t>
      </w:r>
      <w:r>
        <w:t xml:space="preserve"> </w:t>
      </w:r>
      <w:r w:rsidR="006A488B">
        <w:t xml:space="preserve">The </w:t>
      </w:r>
      <w:r w:rsidR="007D508D">
        <w:t xml:space="preserve">current </w:t>
      </w:r>
      <w:r>
        <w:t xml:space="preserve">compensation </w:t>
      </w:r>
      <w:r w:rsidR="007D508D">
        <w:t xml:space="preserve">arrangements are </w:t>
      </w:r>
      <w:r>
        <w:t xml:space="preserve">split </w:t>
      </w:r>
      <w:r w:rsidR="006A488B">
        <w:t>into a fee and dividend</w:t>
      </w:r>
      <w:r>
        <w:t>:</w:t>
      </w:r>
      <w:r w:rsidR="006A488B">
        <w:t xml:space="preserve"> </w:t>
      </w:r>
      <w:r>
        <w:t>the</w:t>
      </w:r>
      <w:r w:rsidR="006A488B">
        <w:t xml:space="preserve"> fee </w:t>
      </w:r>
      <w:r w:rsidR="007D508D">
        <w:t>represents</w:t>
      </w:r>
      <w:r>
        <w:t xml:space="preserve"> </w:t>
      </w:r>
      <w:r w:rsidR="006A488B">
        <w:t xml:space="preserve">a reasonable annual charge for the guarantee ($55 million), </w:t>
      </w:r>
      <w:r>
        <w:t>while the</w:t>
      </w:r>
      <w:r w:rsidR="006A488B">
        <w:t xml:space="preserve"> dividend </w:t>
      </w:r>
      <w:r w:rsidR="004C60DF">
        <w:t xml:space="preserve">($57.5 million) </w:t>
      </w:r>
      <w:r>
        <w:t>provide</w:t>
      </w:r>
      <w:r w:rsidR="004C60DF">
        <w:t>s</w:t>
      </w:r>
      <w:r>
        <w:t xml:space="preserve"> retrospective compensation </w:t>
      </w:r>
      <w:r w:rsidR="006A488B">
        <w:t>for the years</w:t>
      </w:r>
      <w:r>
        <w:t xml:space="preserve"> that</w:t>
      </w:r>
      <w:r w:rsidR="006A488B">
        <w:t xml:space="preserve"> taxpayers were not compensated for </w:t>
      </w:r>
      <w:r>
        <w:t xml:space="preserve">providing </w:t>
      </w:r>
      <w:r w:rsidR="006A488B">
        <w:t xml:space="preserve">the guarantee. </w:t>
      </w:r>
      <w:r w:rsidR="004C60DF">
        <w:t>The dividend is set to cease after 2017</w:t>
      </w:r>
      <w:r w:rsidR="00283399">
        <w:t>-</w:t>
      </w:r>
      <w:r w:rsidR="004C60DF">
        <w:t>18</w:t>
      </w:r>
      <w:r w:rsidR="00EC110F">
        <w:t xml:space="preserve">. </w:t>
      </w:r>
      <w:r w:rsidR="00BA5707">
        <w:t xml:space="preserve">A study by the AGA </w:t>
      </w:r>
      <w:r w:rsidR="00E150BF">
        <w:t xml:space="preserve">put </w:t>
      </w:r>
      <w:r w:rsidR="00BA5707">
        <w:t xml:space="preserve">the value to the ARPC </w:t>
      </w:r>
      <w:r w:rsidR="004729A9">
        <w:t xml:space="preserve">(and those it reinsures) </w:t>
      </w:r>
      <w:r w:rsidR="00BA5707">
        <w:t>of the guarantee over this period</w:t>
      </w:r>
      <w:r w:rsidR="00E150BF">
        <w:t xml:space="preserve"> </w:t>
      </w:r>
      <w:r w:rsidR="00E150BF">
        <w:lastRenderedPageBreak/>
        <w:t>(</w:t>
      </w:r>
      <w:r w:rsidR="00A9249A">
        <w:t>having regard to the background as set out above</w:t>
      </w:r>
      <w:r w:rsidR="00E150BF">
        <w:t>)</w:t>
      </w:r>
      <w:r w:rsidR="00BA5707">
        <w:t xml:space="preserve"> </w:t>
      </w:r>
      <w:r w:rsidR="00E150BF">
        <w:t>at</w:t>
      </w:r>
      <w:r w:rsidR="00BA5707">
        <w:t xml:space="preserve"> </w:t>
      </w:r>
      <w:r w:rsidR="007122E6">
        <w:t xml:space="preserve">least </w:t>
      </w:r>
      <w:r w:rsidR="00BA5707">
        <w:t>$800 million.</w:t>
      </w:r>
      <w:r w:rsidR="004729A9">
        <w:t xml:space="preserve"> </w:t>
      </w:r>
      <w:r w:rsidR="004C60DF">
        <w:t xml:space="preserve">The task of this review is to assess an appropriate and sustainable level of compensation for the </w:t>
      </w:r>
      <w:r w:rsidR="004C60DF" w:rsidRPr="002818C8">
        <w:t>ARPC to pay to the Commonwealth on an ongoing basis.</w:t>
      </w:r>
      <w:r w:rsidR="00E150BF">
        <w:t xml:space="preserve"> </w:t>
      </w:r>
    </w:p>
    <w:p w14:paraId="43E3E01D" w14:textId="77777777" w:rsidR="00A7014D" w:rsidRPr="0089533B" w:rsidRDefault="006A488B" w:rsidP="000022E1">
      <w:proofErr w:type="spellStart"/>
      <w:r w:rsidRPr="0089533B">
        <w:t>Pottinger</w:t>
      </w:r>
      <w:proofErr w:type="spellEnd"/>
      <w:r w:rsidRPr="0089533B">
        <w:t xml:space="preserve"> </w:t>
      </w:r>
      <w:r w:rsidR="00A7014D" w:rsidRPr="0089533B">
        <w:t>estimate</w:t>
      </w:r>
      <w:r w:rsidR="00567860" w:rsidRPr="0089533B">
        <w:t>s</w:t>
      </w:r>
      <w:r w:rsidR="00A7014D" w:rsidRPr="0089533B">
        <w:t xml:space="preserve"> that, if the ARPC w</w:t>
      </w:r>
      <w:r w:rsidR="005A1BB5">
        <w:t>as</w:t>
      </w:r>
      <w:r w:rsidR="00A7014D" w:rsidRPr="0089533B">
        <w:t xml:space="preserve"> to replace the government guarantee with private retrocession of $10 billion in the private market (if it </w:t>
      </w:r>
      <w:r w:rsidR="00BF7747">
        <w:t>was</w:t>
      </w:r>
      <w:r w:rsidR="00BF7747" w:rsidRPr="0089533B">
        <w:t xml:space="preserve"> </w:t>
      </w:r>
      <w:r w:rsidR="00A7014D" w:rsidRPr="0089533B">
        <w:t>available),</w:t>
      </w:r>
      <w:r w:rsidRPr="0089533B">
        <w:t xml:space="preserve"> </w:t>
      </w:r>
      <w:r w:rsidR="00BF7747">
        <w:t>this</w:t>
      </w:r>
      <w:r w:rsidR="00BF7747" w:rsidRPr="0089533B">
        <w:t xml:space="preserve"> </w:t>
      </w:r>
      <w:r w:rsidRPr="0089533B">
        <w:t xml:space="preserve">would cost around </w:t>
      </w:r>
      <w:r w:rsidR="00431A38" w:rsidRPr="0089533B">
        <w:t>$200 million</w:t>
      </w:r>
      <w:r w:rsidR="00567860" w:rsidRPr="0089533B">
        <w:t xml:space="preserve"> annually</w:t>
      </w:r>
      <w:r w:rsidR="00431A38" w:rsidRPr="0089533B">
        <w:t xml:space="preserve">. This estimate </w:t>
      </w:r>
      <w:r w:rsidR="00BA5707" w:rsidRPr="0089533B">
        <w:t xml:space="preserve">assumes the </w:t>
      </w:r>
      <w:r w:rsidR="00A7014D" w:rsidRPr="0089533B">
        <w:t>premium paid by the</w:t>
      </w:r>
      <w:r w:rsidR="00BA5707" w:rsidRPr="0089533B">
        <w:t xml:space="preserve"> ARPC would be equal to</w:t>
      </w:r>
      <w:r w:rsidR="00431A38" w:rsidRPr="0089533B">
        <w:t xml:space="preserve"> the marginal rate on line for the ARPC</w:t>
      </w:r>
      <w:r w:rsidR="008A07A0" w:rsidRPr="0089533B">
        <w:t>’</w:t>
      </w:r>
      <w:r w:rsidR="00431A38" w:rsidRPr="0089533B">
        <w:t>s retrocession program</w:t>
      </w:r>
      <w:r w:rsidR="00BA5707" w:rsidRPr="0089533B">
        <w:t xml:space="preserve"> in 2014</w:t>
      </w:r>
      <w:r w:rsidR="00431A38" w:rsidRPr="0089533B">
        <w:t xml:space="preserve">. </w:t>
      </w:r>
      <w:proofErr w:type="spellStart"/>
      <w:r w:rsidR="00431A38" w:rsidRPr="0089533B">
        <w:t>Pottinger</w:t>
      </w:r>
      <w:proofErr w:type="spellEnd"/>
      <w:r w:rsidR="00431A38" w:rsidRPr="0089533B">
        <w:t xml:space="preserve"> argues that this rate is the minimum rate </w:t>
      </w:r>
      <w:r w:rsidR="00BF7747">
        <w:t xml:space="preserve">at which </w:t>
      </w:r>
      <w:r w:rsidR="00431A38" w:rsidRPr="0089533B">
        <w:t xml:space="preserve">the private sector </w:t>
      </w:r>
      <w:r w:rsidR="00431A38" w:rsidRPr="004729A9">
        <w:rPr>
          <w:i/>
        </w:rPr>
        <w:t>could</w:t>
      </w:r>
      <w:r w:rsidR="00431A38" w:rsidRPr="0089533B">
        <w:t xml:space="preserve"> provide </w:t>
      </w:r>
      <w:r w:rsidR="00A7014D" w:rsidRPr="0089533B">
        <w:t>retrocess</w:t>
      </w:r>
      <w:r w:rsidR="00567860" w:rsidRPr="0089533B">
        <w:t>ion</w:t>
      </w:r>
      <w:r w:rsidR="00173C54" w:rsidRPr="0089533B">
        <w:t>.</w:t>
      </w:r>
    </w:p>
    <w:p w14:paraId="181982F1" w14:textId="77777777" w:rsidR="004B636E" w:rsidRDefault="00080201" w:rsidP="000022E1">
      <w:r w:rsidRPr="00843660">
        <w:t>T</w:t>
      </w:r>
      <w:r w:rsidR="004B636E" w:rsidRPr="00843660">
        <w:t xml:space="preserve">he </w:t>
      </w:r>
      <w:r w:rsidR="00431A38" w:rsidRPr="00843660">
        <w:t>AGA</w:t>
      </w:r>
      <w:r w:rsidR="004B636E" w:rsidRPr="00843660">
        <w:t xml:space="preserve"> </w:t>
      </w:r>
      <w:r w:rsidR="00FE6852" w:rsidRPr="00843660">
        <w:t>provides a</w:t>
      </w:r>
      <w:r w:rsidR="006D5CEE">
        <w:t>n intentionally</w:t>
      </w:r>
      <w:r w:rsidR="00FE6852" w:rsidRPr="00843660">
        <w:t xml:space="preserve"> more conservative estimate of the value </w:t>
      </w:r>
      <w:r w:rsidR="00431A38" w:rsidRPr="00843660">
        <w:t xml:space="preserve">of the guarantee </w:t>
      </w:r>
      <w:r w:rsidR="00FE6852" w:rsidRPr="00843660">
        <w:t xml:space="preserve">to the ARPC of around $55 million, significantly below the charge </w:t>
      </w:r>
      <w:r w:rsidR="00BA5FAD" w:rsidRPr="00843660">
        <w:t xml:space="preserve">the </w:t>
      </w:r>
      <w:proofErr w:type="spellStart"/>
      <w:r w:rsidR="00BA5FAD" w:rsidRPr="00843660">
        <w:t>Pottinger</w:t>
      </w:r>
      <w:proofErr w:type="spellEnd"/>
      <w:r w:rsidR="00BA5FAD" w:rsidRPr="00843660">
        <w:t xml:space="preserve"> report estimates </w:t>
      </w:r>
      <w:r w:rsidR="00FE6852" w:rsidRPr="00843660">
        <w:t xml:space="preserve">would be applied by a private sector reinsurer. This estimate assumes </w:t>
      </w:r>
      <w:r w:rsidR="004B636E" w:rsidRPr="00843660">
        <w:t xml:space="preserve">the </w:t>
      </w:r>
      <w:r w:rsidR="00FE6852" w:rsidRPr="00843660">
        <w:t xml:space="preserve">first dollar of cover provided under the guarantee </w:t>
      </w:r>
      <w:r w:rsidR="006D5CEE">
        <w:t>c</w:t>
      </w:r>
      <w:r w:rsidR="00FE6852" w:rsidRPr="00843660">
        <w:t xml:space="preserve">ould be priced at the </w:t>
      </w:r>
      <w:r w:rsidR="00431A38" w:rsidRPr="00843660">
        <w:t>marginal rate on</w:t>
      </w:r>
      <w:r w:rsidR="004B636E" w:rsidRPr="00843660">
        <w:t xml:space="preserve"> line of the retrocession programme, </w:t>
      </w:r>
      <w:r w:rsidR="00FE6852" w:rsidRPr="00843660">
        <w:t>but</w:t>
      </w:r>
      <w:r w:rsidR="004B636E" w:rsidRPr="00843660">
        <w:t xml:space="preserve"> that </w:t>
      </w:r>
      <w:r w:rsidR="008E5A69">
        <w:t>reasonable</w:t>
      </w:r>
      <w:r w:rsidR="004B636E" w:rsidRPr="00843660">
        <w:t xml:space="preserve"> </w:t>
      </w:r>
      <w:r w:rsidR="00431A38" w:rsidRPr="00843660">
        <w:t xml:space="preserve">fee </w:t>
      </w:r>
      <w:r w:rsidR="004B636E" w:rsidRPr="00843660">
        <w:t xml:space="preserve">falls for each additional dollar of the guarantee provided. </w:t>
      </w:r>
      <w:r w:rsidR="00B14625">
        <w:t>In effect, the AGA’s valuation implies zero charge for the last $3bn of the guarantee. The end result is</w:t>
      </w:r>
      <w:r w:rsidR="00B14625" w:rsidRPr="00843660">
        <w:t xml:space="preserve"> </w:t>
      </w:r>
      <w:r w:rsidR="00FE6852" w:rsidRPr="00843660">
        <w:t xml:space="preserve">a fee below the private sector charge as the </w:t>
      </w:r>
      <w:r w:rsidR="005A1BB5">
        <w:t>g</w:t>
      </w:r>
      <w:r w:rsidR="00FE6852" w:rsidRPr="00843660">
        <w:t xml:space="preserve">overnment does not have to </w:t>
      </w:r>
      <w:r w:rsidR="0071416B">
        <w:t>achieve ‘market returns’</w:t>
      </w:r>
      <w:r w:rsidR="004729A9">
        <w:t>.</w:t>
      </w:r>
    </w:p>
    <w:p w14:paraId="25C11931" w14:textId="77777777" w:rsidR="008E0F89" w:rsidRPr="00843660" w:rsidRDefault="008E0F89" w:rsidP="000022E1">
      <w:r w:rsidRPr="00843660">
        <w:t>To date</w:t>
      </w:r>
      <w:r w:rsidR="003A01E6">
        <w:t>,</w:t>
      </w:r>
      <w:r w:rsidRPr="00843660">
        <w:t xml:space="preserve"> the </w:t>
      </w:r>
      <w:r w:rsidR="00B97B26">
        <w:t>g</w:t>
      </w:r>
      <w:r w:rsidRPr="00843660">
        <w:t xml:space="preserve">overnment has received no compensation for </w:t>
      </w:r>
      <w:r>
        <w:t xml:space="preserve">allowing the ARPC to retain capital to fund a potential </w:t>
      </w:r>
      <w:r w:rsidRPr="002818C8">
        <w:t>claim</w:t>
      </w:r>
      <w:r w:rsidR="00E426C9" w:rsidRPr="002818C8">
        <w:t>, even though the ARPC has built up a significant pool</w:t>
      </w:r>
      <w:r w:rsidR="004729A9">
        <w:t xml:space="preserve"> through its reinsurance operations</w:t>
      </w:r>
      <w:r w:rsidRPr="002818C8">
        <w:t xml:space="preserve">. </w:t>
      </w:r>
      <w:proofErr w:type="spellStart"/>
      <w:r w:rsidRPr="0089533B">
        <w:t>Pottinger</w:t>
      </w:r>
      <w:proofErr w:type="spellEnd"/>
      <w:r w:rsidRPr="0089533B">
        <w:t xml:space="preserve"> estimate</w:t>
      </w:r>
      <w:r w:rsidR="00567860" w:rsidRPr="0089533B">
        <w:t>s</w:t>
      </w:r>
      <w:r w:rsidRPr="0089533B">
        <w:t xml:space="preserve"> that the cost to the ARPC to reinsure the first $360 million of losses in the private market, which would currently be funded using the capital retained by the ARPC, would be between $30 million and $70 million. A similar value of $35 million is obtained by the AGA based </w:t>
      </w:r>
      <w:r w:rsidR="003A01E6">
        <w:t xml:space="preserve">on </w:t>
      </w:r>
      <w:r w:rsidRPr="0089533B">
        <w:t xml:space="preserve">the ARPC holding a capital pool of $500 million. Both of these calculations draw on actual premiums paid by the ARPC for retrocession. </w:t>
      </w:r>
    </w:p>
    <w:p w14:paraId="7BF024C5" w14:textId="77777777" w:rsidR="004C60DF" w:rsidRDefault="00431A38" w:rsidP="000022E1">
      <w:r w:rsidRPr="00843660">
        <w:t xml:space="preserve">Given the principle that the </w:t>
      </w:r>
      <w:r w:rsidR="00B97B26">
        <w:t>g</w:t>
      </w:r>
      <w:r w:rsidRPr="00843660">
        <w:t xml:space="preserve">overnment should be fairly compensated for taking on the risk, </w:t>
      </w:r>
      <w:r w:rsidR="00026294">
        <w:t xml:space="preserve">a </w:t>
      </w:r>
      <w:r w:rsidRPr="00843660">
        <w:t xml:space="preserve">fee </w:t>
      </w:r>
      <w:r w:rsidR="00567860">
        <w:t xml:space="preserve">or dividend </w:t>
      </w:r>
      <w:r w:rsidRPr="00843660">
        <w:t>consistent with the AGA</w:t>
      </w:r>
      <w:r w:rsidR="008A07A0">
        <w:t>’</w:t>
      </w:r>
      <w:r w:rsidRPr="00843660">
        <w:t xml:space="preserve">s </w:t>
      </w:r>
      <w:r w:rsidR="00026294">
        <w:t xml:space="preserve">more conservative </w:t>
      </w:r>
      <w:r w:rsidRPr="00843660">
        <w:t>estimate</w:t>
      </w:r>
      <w:r w:rsidR="00E426C9">
        <w:t xml:space="preserve"> of $</w:t>
      </w:r>
      <w:r w:rsidR="00567860">
        <w:t>35</w:t>
      </w:r>
      <w:r w:rsidR="00E426C9">
        <w:t> million</w:t>
      </w:r>
      <w:r w:rsidRPr="00843660">
        <w:t xml:space="preserve"> is </w:t>
      </w:r>
      <w:r w:rsidR="00567860">
        <w:t xml:space="preserve">considered </w:t>
      </w:r>
      <w:r w:rsidR="00026294">
        <w:t xml:space="preserve">more </w:t>
      </w:r>
      <w:r w:rsidRPr="00843660">
        <w:t>appropriate</w:t>
      </w:r>
      <w:r w:rsidR="00026294">
        <w:t xml:space="preserve"> than a full commercial rate</w:t>
      </w:r>
      <w:r w:rsidRPr="00843660">
        <w:t xml:space="preserve">. </w:t>
      </w:r>
      <w:r w:rsidR="00E426C9">
        <w:t xml:space="preserve">This fee represents fair compensation for the provision of </w:t>
      </w:r>
      <w:r w:rsidR="00B97B26">
        <w:t>around $500 million in g</w:t>
      </w:r>
      <w:r w:rsidR="00567860">
        <w:t>overnment funds in the form of the pool and reserves</w:t>
      </w:r>
      <w:r w:rsidR="00EC110F">
        <w:t xml:space="preserve">. </w:t>
      </w:r>
    </w:p>
    <w:p w14:paraId="46BF8DB5" w14:textId="77777777" w:rsidR="00E426C9" w:rsidRDefault="00567860" w:rsidP="000022E1">
      <w:r>
        <w:t>Coupled with the fee of $55</w:t>
      </w:r>
      <w:r w:rsidR="0089533B">
        <w:t> </w:t>
      </w:r>
      <w:r>
        <w:t xml:space="preserve">million for the </w:t>
      </w:r>
      <w:r w:rsidR="004729A9">
        <w:t xml:space="preserve">$10 billion </w:t>
      </w:r>
      <w:r>
        <w:t>guarantee, this equates to an ongoing annual compensation amount of $90</w:t>
      </w:r>
      <w:r w:rsidR="0089533B">
        <w:t> </w:t>
      </w:r>
      <w:r>
        <w:t>million payable by the ARPC to the Commonwealth.</w:t>
      </w:r>
    </w:p>
    <w:p w14:paraId="3DAC210F" w14:textId="77777777" w:rsidR="00C630B2" w:rsidRDefault="00567860" w:rsidP="000022E1">
      <w:r>
        <w:t>Compensation</w:t>
      </w:r>
      <w:r w:rsidR="00E426C9">
        <w:t xml:space="preserve"> </w:t>
      </w:r>
      <w:r>
        <w:t>at this level</w:t>
      </w:r>
      <w:r w:rsidR="00431A38" w:rsidRPr="00843660">
        <w:t xml:space="preserve"> </w:t>
      </w:r>
      <w:r>
        <w:t xml:space="preserve">still </w:t>
      </w:r>
      <w:r w:rsidR="00431A38" w:rsidRPr="00843660">
        <w:t>allow</w:t>
      </w:r>
      <w:r>
        <w:t>s</w:t>
      </w:r>
      <w:r w:rsidR="00431A38" w:rsidRPr="00843660">
        <w:t xml:space="preserve"> the ARPC to offer cover at below the rate </w:t>
      </w:r>
      <w:r w:rsidR="003A01E6">
        <w:t>that</w:t>
      </w:r>
      <w:r w:rsidR="003A01E6" w:rsidRPr="00843660">
        <w:t xml:space="preserve"> </w:t>
      </w:r>
      <w:r w:rsidR="00431A38" w:rsidRPr="00843660">
        <w:t xml:space="preserve">could be provided by the private sector. </w:t>
      </w:r>
      <w:r>
        <w:t xml:space="preserve">This is considered appropriate unless or until there is evidence that suggests this impedes the return of the private market to provide reinsurance cover for terrorism. </w:t>
      </w:r>
    </w:p>
    <w:p w14:paraId="0F7D2128" w14:textId="77777777" w:rsidR="00E426C9" w:rsidRPr="00843660" w:rsidRDefault="00567860" w:rsidP="00E426C9">
      <w:r>
        <w:t>T</w:t>
      </w:r>
      <w:r w:rsidR="00E426C9" w:rsidRPr="00843660">
        <w:t xml:space="preserve">he </w:t>
      </w:r>
      <w:r>
        <w:t xml:space="preserve">assessment of the </w:t>
      </w:r>
      <w:r w:rsidR="00E426C9" w:rsidRPr="00843660">
        <w:t xml:space="preserve">value of the government guarantee </w:t>
      </w:r>
      <w:r>
        <w:t xml:space="preserve">set out above assumes retrocession cover continues to be purchased at around the current level. </w:t>
      </w:r>
      <w:r w:rsidR="00E426C9" w:rsidRPr="00843660">
        <w:t xml:space="preserve">If the retrocession program were reduced </w:t>
      </w:r>
      <w:r>
        <w:t xml:space="preserve">in size, </w:t>
      </w:r>
      <w:r w:rsidR="00E426C9" w:rsidRPr="00843660">
        <w:t>the value of the guarantee would rise in line with the increasing risk that the guarantee would be called upon</w:t>
      </w:r>
      <w:r w:rsidR="00E426C9">
        <w:t xml:space="preserve"> and </w:t>
      </w:r>
      <w:r w:rsidR="00026294">
        <w:t xml:space="preserve">the fee </w:t>
      </w:r>
      <w:r w:rsidR="00E426C9">
        <w:t>would need to be reviewed</w:t>
      </w:r>
      <w:r w:rsidR="00E426C9" w:rsidRPr="00843660">
        <w:t>.</w:t>
      </w:r>
    </w:p>
    <w:p w14:paraId="4E6DB3CD" w14:textId="77777777" w:rsidR="000956C5" w:rsidRPr="00843660" w:rsidRDefault="009F02C6" w:rsidP="000022E1">
      <w:r w:rsidRPr="00843660">
        <w:t xml:space="preserve">An implication of the higher compensation to the </w:t>
      </w:r>
      <w:r w:rsidR="00B97B26">
        <w:t>g</w:t>
      </w:r>
      <w:r w:rsidRPr="00843660">
        <w:t xml:space="preserve">overnment is that the ARPC will need to raise additional premiums. This is discussed </w:t>
      </w:r>
      <w:r w:rsidR="003A01E6">
        <w:t>in more detail</w:t>
      </w:r>
      <w:r w:rsidR="003A01E6" w:rsidRPr="00843660">
        <w:t xml:space="preserve"> </w:t>
      </w:r>
      <w:r w:rsidRPr="00843660">
        <w:t>below.</w:t>
      </w:r>
    </w:p>
    <w:p w14:paraId="6197A91F" w14:textId="77777777" w:rsidR="00584D2A" w:rsidRPr="00843660" w:rsidRDefault="00584D2A" w:rsidP="00843660">
      <w:pPr>
        <w:pStyle w:val="Heading2"/>
      </w:pPr>
      <w:bookmarkStart w:id="114" w:name="_Toc437338125"/>
      <w:r w:rsidRPr="00843660">
        <w:lastRenderedPageBreak/>
        <w:t>Premium pricing</w:t>
      </w:r>
      <w:bookmarkEnd w:id="114"/>
    </w:p>
    <w:p w14:paraId="123FE873" w14:textId="77777777" w:rsidR="00584D2A" w:rsidRDefault="00584D2A" w:rsidP="00843660">
      <w:pPr>
        <w:pStyle w:val="Heading3"/>
      </w:pPr>
      <w:r>
        <w:t>Issue</w:t>
      </w:r>
    </w:p>
    <w:p w14:paraId="38C5439E" w14:textId="77777777" w:rsidR="00584D2A" w:rsidRPr="00563598" w:rsidRDefault="00584D2A" w:rsidP="000022E1">
      <w:pPr>
        <w:rPr>
          <w:rFonts w:cstheme="minorHAnsi"/>
        </w:rPr>
      </w:pPr>
      <w:r>
        <w:t>Whether current premiums</w:t>
      </w:r>
      <w:r>
        <w:rPr>
          <w:rFonts w:cstheme="minorHAnsi"/>
        </w:rPr>
        <w:t>:</w:t>
      </w:r>
    </w:p>
    <w:p w14:paraId="02BFD4F3" w14:textId="77777777" w:rsidR="00584D2A" w:rsidRPr="00843660" w:rsidRDefault="00584D2A" w:rsidP="00843660">
      <w:pPr>
        <w:pStyle w:val="Bullet"/>
      </w:pPr>
      <w:r w:rsidRPr="00843660">
        <w:t>adequately reflect the cost of providing the terrorism reinsurance scheme; and</w:t>
      </w:r>
    </w:p>
    <w:p w14:paraId="14592BDF" w14:textId="77777777" w:rsidR="00584D2A" w:rsidRPr="00843660" w:rsidRDefault="00584D2A" w:rsidP="00843660">
      <w:pPr>
        <w:pStyle w:val="Bullet"/>
      </w:pPr>
      <w:proofErr w:type="gramStart"/>
      <w:r w:rsidRPr="00843660">
        <w:t>in</w:t>
      </w:r>
      <w:proofErr w:type="gramEnd"/>
      <w:r w:rsidRPr="00843660">
        <w:t xml:space="preserve"> any way impede a competitor from providing terrorism reinsurance in Australia.</w:t>
      </w:r>
    </w:p>
    <w:p w14:paraId="3BF4C954" w14:textId="77777777" w:rsidR="00584D2A" w:rsidRDefault="00584D2A" w:rsidP="00843660">
      <w:pPr>
        <w:pStyle w:val="Heading3"/>
      </w:pPr>
      <w:r>
        <w:t>Recommendation</w:t>
      </w:r>
    </w:p>
    <w:p w14:paraId="38DC78A7" w14:textId="77777777" w:rsidR="00220FAB" w:rsidRDefault="00220FAB" w:rsidP="00220FAB">
      <w:r>
        <w:rPr>
          <w:noProof/>
        </w:rPr>
        <mc:AlternateContent>
          <mc:Choice Requires="wps">
            <w:drawing>
              <wp:anchor distT="0" distB="0" distL="114300" distR="114300" simplePos="0" relativeHeight="251658245" behindDoc="0" locked="0" layoutInCell="1" allowOverlap="1" wp14:anchorId="29096003" wp14:editId="67B52AC1">
                <wp:simplePos x="0" y="0"/>
                <wp:positionH relativeFrom="column">
                  <wp:align>center</wp:align>
                </wp:positionH>
                <wp:positionV relativeFrom="paragraph">
                  <wp:posOffset>0</wp:posOffset>
                </wp:positionV>
                <wp:extent cx="4943475" cy="127635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276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FBFE708" w14:textId="77777777" w:rsidR="00A20ABE" w:rsidRPr="00716BDF" w:rsidRDefault="00A20ABE" w:rsidP="00716BDF">
                            <w:pPr>
                              <w:rPr>
                                <w:i/>
                              </w:rPr>
                            </w:pPr>
                            <w:r>
                              <w:rPr>
                                <w:i/>
                              </w:rPr>
                              <w:t>Recommendation 8</w:t>
                            </w:r>
                            <w:r w:rsidRPr="00716BDF">
                              <w:rPr>
                                <w:i/>
                              </w:rPr>
                              <w:t xml:space="preserve">: </w:t>
                            </w:r>
                            <w:r w:rsidRPr="00716BDF">
                              <w:t xml:space="preserve">That the premiums charged by the ARPC be increased, with effect from 1 </w:t>
                            </w:r>
                            <w:r>
                              <w:t>April</w:t>
                            </w:r>
                            <w:r w:rsidRPr="00716BDF">
                              <w:t xml:space="preserve"> 2016, to:</w:t>
                            </w:r>
                          </w:p>
                          <w:p w14:paraId="700EEEC0" w14:textId="77777777" w:rsidR="00A20ABE" w:rsidRPr="00CE6ED4" w:rsidRDefault="00A20ABE" w:rsidP="00220FAB">
                            <w:pPr>
                              <w:pStyle w:val="Dash"/>
                              <w:rPr>
                                <w:szCs w:val="22"/>
                              </w:rPr>
                            </w:pPr>
                            <w:r>
                              <w:t xml:space="preserve">16 per cent for Tier A, </w:t>
                            </w:r>
                          </w:p>
                          <w:p w14:paraId="07EA3B95" w14:textId="77777777" w:rsidR="00A20ABE" w:rsidRPr="00CE6ED4" w:rsidRDefault="00A20ABE" w:rsidP="00220FAB">
                            <w:pPr>
                              <w:pStyle w:val="Dash"/>
                              <w:rPr>
                                <w:szCs w:val="22"/>
                              </w:rPr>
                            </w:pPr>
                            <w:r>
                              <w:t xml:space="preserve">5.3 per cent for Tier B, and </w:t>
                            </w:r>
                          </w:p>
                          <w:p w14:paraId="3FFC71F6" w14:textId="77777777" w:rsidR="00A20ABE" w:rsidRPr="001A7E19" w:rsidRDefault="00A20ABE" w:rsidP="00220FAB">
                            <w:pPr>
                              <w:pStyle w:val="Dash"/>
                              <w:rPr>
                                <w:szCs w:val="22"/>
                              </w:rPr>
                            </w:pPr>
                            <w:r>
                              <w:t>2.6 per cent for Tier C.</w:t>
                            </w:r>
                          </w:p>
                          <w:p w14:paraId="52ACB1FF" w14:textId="77777777" w:rsidR="00A20ABE" w:rsidRDefault="00A20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389.25pt;height:100.5pt;z-index:251658245;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" fillcolor="white [3201]" strokecolor="#4f81bd [3204]" strokeweight="2pt">
                <v:textbox>
                  <w:txbxContent>
                    <w:p w:rsidR="00A20ABE" w:rsidRPr="00716BDF" w:rsidRDefault="00A20ABE" w:rsidP="00716BDF">
                      <w:pPr>
                        <w:rPr>
                          <w:i/>
                        </w:rPr>
                      </w:pPr>
                      <w:r>
                        <w:rPr>
                          <w:i/>
                        </w:rPr>
                        <w:t>Recommendation 8</w:t>
                      </w:r>
                      <w:r w:rsidRPr="00716BDF">
                        <w:rPr>
                          <w:i/>
                        </w:rPr>
                        <w:t xml:space="preserve">: </w:t>
                      </w:r>
                      <w:r w:rsidRPr="00716BDF">
                        <w:t xml:space="preserve">That the premiums charged by the ARPC be increased, with effect from 1 </w:t>
                      </w:r>
                      <w:r>
                        <w:t>April</w:t>
                      </w:r>
                      <w:r w:rsidRPr="00716BDF">
                        <w:t xml:space="preserve"> 2016, to:</w:t>
                      </w:r>
                    </w:p>
                    <w:p w:rsidR="00A20ABE" w:rsidRPr="00CE6ED4" w:rsidRDefault="00A20ABE" w:rsidP="00220FAB">
                      <w:pPr>
                        <w:pStyle w:val="Dash"/>
                        <w:rPr>
                          <w:szCs w:val="22"/>
                        </w:rPr>
                      </w:pPr>
                      <w:r>
                        <w:t xml:space="preserve">16 per cent for Tier A, </w:t>
                      </w:r>
                    </w:p>
                    <w:p w:rsidR="00A20ABE" w:rsidRPr="00CE6ED4" w:rsidRDefault="00A20ABE" w:rsidP="00220FAB">
                      <w:pPr>
                        <w:pStyle w:val="Dash"/>
                        <w:rPr>
                          <w:szCs w:val="22"/>
                        </w:rPr>
                      </w:pPr>
                      <w:r>
                        <w:t xml:space="preserve">5.3 per cent for Tier B, and </w:t>
                      </w:r>
                    </w:p>
                    <w:p w:rsidR="00A20ABE" w:rsidRPr="001A7E19" w:rsidRDefault="00A20ABE" w:rsidP="00220FAB">
                      <w:pPr>
                        <w:pStyle w:val="Dash"/>
                        <w:rPr>
                          <w:szCs w:val="22"/>
                        </w:rPr>
                      </w:pPr>
                      <w:r>
                        <w:t>2.6 per cent for Tier C.</w:t>
                      </w:r>
                    </w:p>
                    <w:p w:rsidR="00A20ABE" w:rsidRDefault="00A20ABE"/>
                  </w:txbxContent>
                </v:textbox>
              </v:shape>
            </w:pict>
          </mc:Fallback>
        </mc:AlternateContent>
      </w:r>
    </w:p>
    <w:p w14:paraId="7D0D7009" w14:textId="77777777" w:rsidR="00220FAB" w:rsidRDefault="00220FAB" w:rsidP="00220FAB"/>
    <w:p w14:paraId="07901384" w14:textId="77777777" w:rsidR="00220FAB" w:rsidRDefault="00220FAB" w:rsidP="00220FAB"/>
    <w:p w14:paraId="3D496760" w14:textId="77777777" w:rsidR="00220FAB" w:rsidRDefault="00220FAB" w:rsidP="00220FAB"/>
    <w:p w14:paraId="440F9F19" w14:textId="77777777" w:rsidR="0092346C" w:rsidRDefault="0092346C" w:rsidP="00220FAB"/>
    <w:p w14:paraId="26575807" w14:textId="77777777" w:rsidR="00584D2A" w:rsidRDefault="00584D2A" w:rsidP="00843660">
      <w:pPr>
        <w:pStyle w:val="Heading3"/>
      </w:pPr>
      <w:r>
        <w:t>Background</w:t>
      </w:r>
    </w:p>
    <w:p w14:paraId="7FD8C521" w14:textId="77777777" w:rsidR="00722914" w:rsidRDefault="00722914" w:rsidP="000022E1">
      <w:r>
        <w:t>Insurers who seek terrorism reinsurance through the ARPC pay premiums to the ARPC, although insurers may choose to reinsure with other providers. Insurers may pass on the cost of reinsurance to their policy holders through premiums, although this is a comme</w:t>
      </w:r>
      <w:r w:rsidR="00FC1F7A">
        <w:t>rcial decision for the insurer.</w:t>
      </w:r>
    </w:p>
    <w:p w14:paraId="3A0F72DB" w14:textId="77777777" w:rsidR="005A3ED2" w:rsidRDefault="00722914" w:rsidP="00B67A45">
      <w:r>
        <w:t xml:space="preserve">When the scheme was first established, it </w:t>
      </w:r>
      <w:r w:rsidR="00BA5FAD">
        <w:t xml:space="preserve">was considered that reinsurance </w:t>
      </w:r>
      <w:r>
        <w:t>premiums of between</w:t>
      </w:r>
      <w:r w:rsidR="00843828">
        <w:br/>
      </w:r>
      <w:r w:rsidR="00B4151A">
        <w:t>2</w:t>
      </w:r>
      <w:r w:rsidR="00843828">
        <w:t xml:space="preserve"> </w:t>
      </w:r>
      <w:r>
        <w:t xml:space="preserve">and 12 per cent of underlying commercial property insurance premiums would be adequate to build the pool (reserves for claims) and would not be a significant cost to smaller commercial property owners if passed on by insurers. The premium levels </w:t>
      </w:r>
      <w:r w:rsidR="00B67A45">
        <w:t xml:space="preserve">(as a percentage) </w:t>
      </w:r>
      <w:r>
        <w:t>have remained unchanged since</w:t>
      </w:r>
      <w:r w:rsidR="00B67A45">
        <w:t xml:space="preserve"> </w:t>
      </w:r>
      <w:r>
        <w:t>1 October 2003.</w:t>
      </w:r>
      <w:r w:rsidR="005A468D">
        <w:rPr>
          <w:rStyle w:val="FootnoteReference"/>
        </w:rPr>
        <w:footnoteReference w:id="11"/>
      </w:r>
      <w:r w:rsidR="00F75B5E">
        <w:t xml:space="preserve"> </w:t>
      </w:r>
    </w:p>
    <w:p w14:paraId="7DB61CBD" w14:textId="77777777" w:rsidR="00584D2A" w:rsidRDefault="00584D2A" w:rsidP="00843660">
      <w:pPr>
        <w:pStyle w:val="Heading3"/>
      </w:pPr>
      <w:r>
        <w:t>Assessment</w:t>
      </w:r>
    </w:p>
    <w:p w14:paraId="4E796F0D" w14:textId="77777777" w:rsidR="003154E8" w:rsidRDefault="002C5DEE" w:rsidP="000022E1">
      <w:r>
        <w:t xml:space="preserve">Two </w:t>
      </w:r>
      <w:r w:rsidR="00626A16">
        <w:t>broad questions</w:t>
      </w:r>
      <w:r>
        <w:t xml:space="preserve"> emerge in relation </w:t>
      </w:r>
      <w:proofErr w:type="gramStart"/>
      <w:r>
        <w:t xml:space="preserve">to  </w:t>
      </w:r>
      <w:r w:rsidR="006B6710">
        <w:t>whether</w:t>
      </w:r>
      <w:proofErr w:type="gramEnd"/>
      <w:r w:rsidR="006B6710">
        <w:t xml:space="preserve"> the current premiums adequately reflect the cost of providing terrorism insurance</w:t>
      </w:r>
      <w:r w:rsidR="00626A16">
        <w:t xml:space="preserve">: </w:t>
      </w:r>
      <w:r w:rsidR="00673BA7">
        <w:t xml:space="preserve">firstly, </w:t>
      </w:r>
      <w:r w:rsidR="00626A16">
        <w:t>is the level of the premium sufficient and</w:t>
      </w:r>
      <w:r w:rsidR="00673BA7">
        <w:t>, secondly,</w:t>
      </w:r>
      <w:r w:rsidR="00626A16">
        <w:t xml:space="preserve"> is the mechanism for c</w:t>
      </w:r>
      <w:r w:rsidR="00A937EB">
        <w:t>alculating</w:t>
      </w:r>
      <w:r w:rsidR="00626A16">
        <w:t xml:space="preserve"> the premiums appropriate</w:t>
      </w:r>
      <w:r w:rsidR="00673BA7">
        <w:t>?</w:t>
      </w:r>
    </w:p>
    <w:p w14:paraId="23A6313F" w14:textId="77777777" w:rsidR="003154E8" w:rsidRDefault="00673BA7" w:rsidP="000022E1">
      <w:r>
        <w:t>The</w:t>
      </w:r>
      <w:r w:rsidR="003154E8">
        <w:t xml:space="preserve"> </w:t>
      </w:r>
      <w:proofErr w:type="spellStart"/>
      <w:r w:rsidR="003154E8">
        <w:t>Pottinger</w:t>
      </w:r>
      <w:proofErr w:type="spellEnd"/>
      <w:r w:rsidR="003154E8">
        <w:t xml:space="preserve"> report concludes that p</w:t>
      </w:r>
      <w:r w:rsidR="003154E8" w:rsidRPr="000C1FCC">
        <w:t xml:space="preserve">remium rates currently charged under the scheme are materially lower than implied by the cost of terrorism risk retrocessions purchased by </w:t>
      </w:r>
      <w:r w:rsidR="003154E8">
        <w:t xml:space="preserve">the </w:t>
      </w:r>
      <w:r w:rsidR="003154E8" w:rsidRPr="000C1FCC">
        <w:t xml:space="preserve">ARPC from the private sector. </w:t>
      </w:r>
      <w:r>
        <w:t xml:space="preserve">It </w:t>
      </w:r>
      <w:r w:rsidR="003154E8" w:rsidRPr="003B7BDE">
        <w:t xml:space="preserve">estimates </w:t>
      </w:r>
      <w:r w:rsidR="003B7BDE" w:rsidRPr="003B7BDE">
        <w:t>that</w:t>
      </w:r>
      <w:r>
        <w:t>,</w:t>
      </w:r>
      <w:r w:rsidR="003B7BDE" w:rsidRPr="003B7BDE">
        <w:t xml:space="preserve"> if the ARPC set premiums in line with the price of retrocessions</w:t>
      </w:r>
      <w:r>
        <w:t>,</w:t>
      </w:r>
      <w:r w:rsidR="003B7BDE" w:rsidRPr="003B7BDE">
        <w:t xml:space="preserve"> premiums </w:t>
      </w:r>
      <w:r>
        <w:t>c</w:t>
      </w:r>
      <w:r w:rsidR="003B7BDE" w:rsidRPr="003B7BDE">
        <w:t>ould rise by over 100 per cent</w:t>
      </w:r>
      <w:r w:rsidR="008F4193">
        <w:t xml:space="preserve"> of current levels</w:t>
      </w:r>
      <w:r w:rsidR="003154E8" w:rsidRPr="003B7BDE">
        <w:t>. The</w:t>
      </w:r>
      <w:r w:rsidR="003B7BDE">
        <w:t xml:space="preserve"> report</w:t>
      </w:r>
      <w:r w:rsidR="003154E8" w:rsidRPr="003B7BDE">
        <w:t xml:space="preserve"> </w:t>
      </w:r>
      <w:r>
        <w:t xml:space="preserve">further </w:t>
      </w:r>
      <w:r w:rsidR="003154E8" w:rsidRPr="003B7BDE">
        <w:t>note</w:t>
      </w:r>
      <w:r w:rsidR="003B7BDE">
        <w:t>s</w:t>
      </w:r>
      <w:r w:rsidR="003154E8">
        <w:t xml:space="preserve"> that the current premiums were set before there was a reasonable estima</w:t>
      </w:r>
      <w:r w:rsidR="00FC1F7A">
        <w:t>te of the cost of reinsurance</w:t>
      </w:r>
      <w:r w:rsidR="008F4193">
        <w:t xml:space="preserve"> (or retrocession) in the private market</w:t>
      </w:r>
      <w:r w:rsidR="00FC1F7A">
        <w:t xml:space="preserve">. </w:t>
      </w:r>
    </w:p>
    <w:p w14:paraId="39BC0A77" w14:textId="77777777" w:rsidR="006B6710" w:rsidRDefault="00020D41" w:rsidP="006B6710">
      <w:proofErr w:type="spellStart"/>
      <w:r>
        <w:lastRenderedPageBreak/>
        <w:t>Pottinger’s</w:t>
      </w:r>
      <w:proofErr w:type="spellEnd"/>
      <w:r>
        <w:t xml:space="preserve"> assessment could therefore underpin a doubling of current reinsurance premiums charged by the ARPC. This is not, however, the result recommended in this review.  T</w:t>
      </w:r>
      <w:r w:rsidR="006B6710" w:rsidRPr="00D673BE">
        <w:t>he principal determinant of the</w:t>
      </w:r>
      <w:r w:rsidR="006B6710">
        <w:t xml:space="preserve"> marginal</w:t>
      </w:r>
      <w:r w:rsidR="006B6710" w:rsidRPr="00D673BE">
        <w:t xml:space="preserve"> </w:t>
      </w:r>
      <w:r w:rsidR="006B6710">
        <w:t xml:space="preserve">price for </w:t>
      </w:r>
      <w:r>
        <w:t>reinsurance/</w:t>
      </w:r>
      <w:r w:rsidR="006B6710">
        <w:t>retrocession</w:t>
      </w:r>
      <w:r w:rsidR="006B6710" w:rsidRPr="00D673BE">
        <w:t xml:space="preserve"> </w:t>
      </w:r>
      <w:r>
        <w:t xml:space="preserve">in the private market </w:t>
      </w:r>
      <w:r w:rsidR="006B6710">
        <w:t xml:space="preserve">is </w:t>
      </w:r>
      <w:r w:rsidR="006B6710" w:rsidRPr="00D673BE">
        <w:t>the cost of capital of the reinsurers concerned</w:t>
      </w:r>
      <w:r w:rsidR="006B6710">
        <w:t xml:space="preserve">. Given </w:t>
      </w:r>
      <w:r w:rsidR="006B6710" w:rsidRPr="00D673BE">
        <w:t xml:space="preserve">that the </w:t>
      </w:r>
      <w:r w:rsidR="00B97B26">
        <w:t>g</w:t>
      </w:r>
      <w:r w:rsidR="006B6710" w:rsidRPr="00D673BE">
        <w:t xml:space="preserve">overnment </w:t>
      </w:r>
      <w:r w:rsidR="006B6710">
        <w:t xml:space="preserve">does not need to achieve ‘market returns’, </w:t>
      </w:r>
      <w:r w:rsidR="006B6710" w:rsidRPr="00D673BE">
        <w:t xml:space="preserve">it </w:t>
      </w:r>
      <w:r>
        <w:t>is</w:t>
      </w:r>
      <w:r w:rsidR="006B6710" w:rsidRPr="00D673BE">
        <w:t xml:space="preserve"> no</w:t>
      </w:r>
      <w:r w:rsidR="006B6710">
        <w:t>t</w:t>
      </w:r>
      <w:r w:rsidR="006B6710" w:rsidRPr="00D673BE">
        <w:t xml:space="preserve"> </w:t>
      </w:r>
      <w:r>
        <w:t>considered</w:t>
      </w:r>
      <w:r w:rsidR="006B6710">
        <w:t xml:space="preserve"> </w:t>
      </w:r>
      <w:r w:rsidR="006B6710" w:rsidRPr="00D673BE">
        <w:t>unreasonable that the charges levied</w:t>
      </w:r>
      <w:r w:rsidR="00B97B26">
        <w:t xml:space="preserve"> by the g</w:t>
      </w:r>
      <w:r w:rsidR="006B6710" w:rsidRPr="00D673BE">
        <w:t xml:space="preserve">overnment </w:t>
      </w:r>
      <w:r>
        <w:t xml:space="preserve">through the ARPC </w:t>
      </w:r>
      <w:r w:rsidR="006B6710" w:rsidRPr="00D673BE">
        <w:t xml:space="preserve">are lower than those </w:t>
      </w:r>
      <w:r w:rsidR="006B6710">
        <w:t xml:space="preserve">that would be </w:t>
      </w:r>
      <w:r w:rsidR="006B6710" w:rsidRPr="00D673BE">
        <w:t>set by the private sector</w:t>
      </w:r>
      <w:r w:rsidR="006B6710">
        <w:t xml:space="preserve"> for reinsurance. </w:t>
      </w:r>
    </w:p>
    <w:p w14:paraId="7DEA4321" w14:textId="77777777" w:rsidR="006B6710" w:rsidRDefault="00624B6B" w:rsidP="006B6710">
      <w:r>
        <w:t>At this stage, it is unlikely that the premium settings are currently restricting competition or the development of a private market for terrorism risk (see Chapter 2), although the potential for a private market to re</w:t>
      </w:r>
      <w:r>
        <w:noBreakHyphen/>
        <w:t>emerge</w:t>
      </w:r>
      <w:r w:rsidR="00A937EB">
        <w:t xml:space="preserve">, and any effect ARPC premium rates have on this, </w:t>
      </w:r>
      <w:r>
        <w:t>should continue to be monitored.</w:t>
      </w:r>
    </w:p>
    <w:p w14:paraId="1F1E4945" w14:textId="77777777" w:rsidR="004D4D13" w:rsidRDefault="00A937EB" w:rsidP="000022E1">
      <w:r>
        <w:t>Never</w:t>
      </w:r>
      <w:r w:rsidR="00225A6E">
        <w:t>theless,</w:t>
      </w:r>
      <w:r w:rsidR="004D4D13">
        <w:t xml:space="preserve"> the ARPC</w:t>
      </w:r>
      <w:r w:rsidR="00337034">
        <w:t xml:space="preserve"> must</w:t>
      </w:r>
      <w:r w:rsidR="004D4D13">
        <w:t xml:space="preserve"> generate sufficient premiums to cover its ongoing costs</w:t>
      </w:r>
      <w:r>
        <w:t xml:space="preserve"> and ensure that those who benefit from the scheme share an appropriate burden of the cost</w:t>
      </w:r>
      <w:r w:rsidR="004D4D13">
        <w:t>. At current levels</w:t>
      </w:r>
      <w:r w:rsidR="00673BA7">
        <w:t>,</w:t>
      </w:r>
      <w:r w:rsidR="004D4D13">
        <w:t xml:space="preserve"> the premiums appear sufficient to cover operational costs, </w:t>
      </w:r>
      <w:r w:rsidR="006B6710">
        <w:t xml:space="preserve">to cover </w:t>
      </w:r>
      <w:r w:rsidR="004D4D13">
        <w:t>the fee for the government guarantee and to purchase a degree of retroc</w:t>
      </w:r>
      <w:r w:rsidR="0021155A">
        <w:t>ession cover while maintaining the</w:t>
      </w:r>
      <w:r w:rsidR="004D4D13">
        <w:t xml:space="preserve"> capital pool at around current levels. </w:t>
      </w:r>
      <w:r w:rsidR="00225A6E">
        <w:t xml:space="preserve">However, the current level of premiums is not </w:t>
      </w:r>
      <w:r w:rsidR="00673BA7">
        <w:t xml:space="preserve">enough </w:t>
      </w:r>
      <w:r w:rsidR="00225A6E">
        <w:t>to provide a return on the equity held by the ARPC</w:t>
      </w:r>
      <w:r w:rsidR="00624B6B">
        <w:t xml:space="preserve"> that will be used as the first tier of funding in the event of a claim</w:t>
      </w:r>
      <w:r w:rsidR="00225A6E">
        <w:t>. A</w:t>
      </w:r>
      <w:r w:rsidR="00624B6B">
        <w:t xml:space="preserve">n </w:t>
      </w:r>
      <w:r w:rsidR="00225A6E">
        <w:t>increase in the premium pool is, therefore, re</w:t>
      </w:r>
      <w:r>
        <w:t>commended</w:t>
      </w:r>
      <w:r w:rsidR="00225A6E">
        <w:t>.</w:t>
      </w:r>
    </w:p>
    <w:p w14:paraId="67ED8E57" w14:textId="77777777" w:rsidR="00337034" w:rsidRDefault="00337034" w:rsidP="00337034">
      <w:r w:rsidRPr="00A937EB">
        <w:t>The second question is whether the mechanism for c</w:t>
      </w:r>
      <w:r w:rsidR="00A937EB" w:rsidRPr="00A937EB">
        <w:t>alculating</w:t>
      </w:r>
      <w:r w:rsidRPr="00A937EB">
        <w:t xml:space="preserve"> the premium is appropriate. This is the practice of setting premiums as a percentage of gross fire and industrial special risk premiums charged by the insurer and of using a community rating. Potential alternatives exist, including pricing premiums based on a larger number of criteria than only location and setting premiums as a proportion of </w:t>
      </w:r>
      <w:r w:rsidR="00624B6B" w:rsidRPr="00A937EB">
        <w:t xml:space="preserve">the </w:t>
      </w:r>
      <w:r w:rsidRPr="00A937EB">
        <w:t>sum insured.</w:t>
      </w:r>
    </w:p>
    <w:p w14:paraId="1F7A9B3D" w14:textId="77777777" w:rsidR="00EA5444" w:rsidRPr="00FC1F7A" w:rsidRDefault="00337034" w:rsidP="000022E1">
      <w:r>
        <w:t>T</w:t>
      </w:r>
      <w:r w:rsidR="00225A6E">
        <w:t xml:space="preserve">he </w:t>
      </w:r>
      <w:proofErr w:type="spellStart"/>
      <w:r w:rsidR="00225A6E">
        <w:t>Pottinger</w:t>
      </w:r>
      <w:proofErr w:type="spellEnd"/>
      <w:r w:rsidR="00225A6E">
        <w:t xml:space="preserve"> report </w:t>
      </w:r>
      <w:r w:rsidR="00A937EB">
        <w:t>considers that some level of</w:t>
      </w:r>
      <w:r w:rsidR="00225A6E">
        <w:t xml:space="preserve"> community rating is appropriate in the context of the terrorism insurance scheme. </w:t>
      </w:r>
      <w:r w:rsidR="008640E6">
        <w:t>T</w:t>
      </w:r>
      <w:r w:rsidR="00EA5444">
        <w:t>he current system balances the need to take into account certain risks, such as geographical location, while maintaining a simple system that is well</w:t>
      </w:r>
      <w:r w:rsidR="008A07A0">
        <w:noBreakHyphen/>
      </w:r>
      <w:r w:rsidR="00EA5444">
        <w:t xml:space="preserve">established and understood by stakeholders. </w:t>
      </w:r>
      <w:r w:rsidR="00225A6E">
        <w:t xml:space="preserve">Setting premiums for </w:t>
      </w:r>
      <w:r w:rsidR="00B567EA">
        <w:t>properties</w:t>
      </w:r>
      <w:r w:rsidR="00225A6E">
        <w:t xml:space="preserve"> </w:t>
      </w:r>
      <w:r w:rsidR="00B567EA">
        <w:t>using</w:t>
      </w:r>
      <w:r w:rsidR="00225A6E">
        <w:t xml:space="preserve"> </w:t>
      </w:r>
      <w:r w:rsidR="00B567EA">
        <w:t>a more complex calculation of the risk</w:t>
      </w:r>
      <w:r w:rsidR="00225A6E">
        <w:t xml:space="preserve"> </w:t>
      </w:r>
      <w:r w:rsidR="00B567EA">
        <w:t xml:space="preserve">attached to each property </w:t>
      </w:r>
      <w:r w:rsidR="00225A6E">
        <w:t xml:space="preserve">would </w:t>
      </w:r>
      <w:r w:rsidR="00B567EA">
        <w:t>raise costs significantly</w:t>
      </w:r>
      <w:r w:rsidR="00225A6E">
        <w:t>, without necessarily implying that the premiums charged would accurately reflect</w:t>
      </w:r>
      <w:r w:rsidR="00FC1F7A">
        <w:t xml:space="preserve"> the risk taken on by the ARPC.</w:t>
      </w:r>
      <w:r>
        <w:t xml:space="preserve"> Setting premiums as a proportion of the gross fire and industrial special risk premiums links </w:t>
      </w:r>
      <w:r w:rsidR="00B567EA">
        <w:t xml:space="preserve">the ARPC’s </w:t>
      </w:r>
      <w:r>
        <w:t xml:space="preserve">premiums to </w:t>
      </w:r>
      <w:r w:rsidR="00B567EA">
        <w:t>conditions</w:t>
      </w:r>
      <w:r>
        <w:t xml:space="preserve"> in the </w:t>
      </w:r>
      <w:r w:rsidR="00B567EA">
        <w:t xml:space="preserve">wider </w:t>
      </w:r>
      <w:r>
        <w:t>insurance market</w:t>
      </w:r>
      <w:r w:rsidR="00B567EA">
        <w:t xml:space="preserve"> and is a simple mechanism to allow premiums to increase over time with property values</w:t>
      </w:r>
      <w:r>
        <w:t>.</w:t>
      </w:r>
    </w:p>
    <w:p w14:paraId="3DA241C3" w14:textId="77777777" w:rsidR="000022E1" w:rsidRDefault="00A0668D" w:rsidP="000022E1">
      <w:r>
        <w:t>It</w:t>
      </w:r>
      <w:r w:rsidR="00EA5444">
        <w:t xml:space="preserve"> is</w:t>
      </w:r>
      <w:r w:rsidR="008640E6">
        <w:t>,</w:t>
      </w:r>
      <w:r w:rsidR="00EA5444">
        <w:t xml:space="preserve"> </w:t>
      </w:r>
      <w:r>
        <w:t>therefore</w:t>
      </w:r>
      <w:r w:rsidR="008640E6">
        <w:t>,</w:t>
      </w:r>
      <w:r>
        <w:t xml:space="preserve"> </w:t>
      </w:r>
      <w:r w:rsidR="00EA5444">
        <w:t>proposed that the ratios between the premiums under the current tiered structure b</w:t>
      </w:r>
      <w:r>
        <w:t>e</w:t>
      </w:r>
      <w:r w:rsidR="00EA5444">
        <w:t xml:space="preserve"> maintained, but that the level of premiums be increased </w:t>
      </w:r>
      <w:r w:rsidR="005F61D3">
        <w:t xml:space="preserve">with effect from 1 January 2016 </w:t>
      </w:r>
      <w:r w:rsidR="00EA5444">
        <w:t>to ensure the ARPC can remain self</w:t>
      </w:r>
      <w:r w:rsidR="008A07A0">
        <w:noBreakHyphen/>
      </w:r>
      <w:r w:rsidR="00EA5444">
        <w:t>funded over the medium term</w:t>
      </w:r>
      <w:r w:rsidR="00EE2788" w:rsidRPr="00EE2788">
        <w:t xml:space="preserve"> </w:t>
      </w:r>
      <w:r w:rsidR="00EE2788">
        <w:t>while reasonably compensating the Commonwealth</w:t>
      </w:r>
      <w:r w:rsidR="00A937EB">
        <w:t xml:space="preserve"> and maintaining an appropriate level of capital</w:t>
      </w:r>
      <w:r w:rsidR="00EE2788">
        <w:t>.</w:t>
      </w:r>
    </w:p>
    <w:p w14:paraId="14C19E13" w14:textId="77777777" w:rsidR="005F61D3" w:rsidRDefault="005F61D3" w:rsidP="000022E1">
      <w:pPr>
        <w:rPr>
          <w:szCs w:val="22"/>
        </w:rPr>
      </w:pPr>
      <w:r>
        <w:t>In consultations with the insurance industry on premiums, a number of parties expressed a</w:t>
      </w:r>
      <w:r w:rsidR="00472B8A">
        <w:t xml:space="preserve"> view about </w:t>
      </w:r>
      <w:r>
        <w:t xml:space="preserve">calculating premiums as a percentage of the insured value of the asset.  </w:t>
      </w:r>
      <w:r w:rsidR="007963D1">
        <w:t>Adoption of this method of calculation</w:t>
      </w:r>
      <w:r w:rsidRPr="007963D1">
        <w:rPr>
          <w:szCs w:val="22"/>
        </w:rPr>
        <w:t xml:space="preserve"> would give the ARPC a more stable funding base as it would overcome the cyclical nature of insurance premiums and make ARPC’s funding smoother</w:t>
      </w:r>
      <w:r>
        <w:rPr>
          <w:szCs w:val="22"/>
        </w:rPr>
        <w:t xml:space="preserve">.  </w:t>
      </w:r>
    </w:p>
    <w:p w14:paraId="62D9F646" w14:textId="77777777" w:rsidR="000022E1" w:rsidRDefault="00472B8A" w:rsidP="000022E1">
      <w:r>
        <w:rPr>
          <w:szCs w:val="22"/>
        </w:rPr>
        <w:t>Further consultation should be undertaken with insurers to assess the likely impact of such a change</w:t>
      </w:r>
      <w:r w:rsidR="00EB33ED">
        <w:rPr>
          <w:szCs w:val="22"/>
        </w:rPr>
        <w:t>,</w:t>
      </w:r>
      <w:r w:rsidR="0004400B">
        <w:rPr>
          <w:szCs w:val="22"/>
        </w:rPr>
        <w:t xml:space="preserve"> including compliance costs,</w:t>
      </w:r>
      <w:r>
        <w:rPr>
          <w:szCs w:val="22"/>
        </w:rPr>
        <w:t xml:space="preserve"> on their systems and processe</w:t>
      </w:r>
      <w:r w:rsidR="0004400B">
        <w:rPr>
          <w:szCs w:val="22"/>
        </w:rPr>
        <w:t>s, with a view to considering the adoption of this methodology at a later date.</w:t>
      </w:r>
    </w:p>
    <w:p w14:paraId="5EC9BE2F" w14:textId="77777777" w:rsidR="00EF681F" w:rsidRDefault="00EF681F" w:rsidP="000022E1">
      <w:pPr>
        <w:sectPr w:rsidR="00EF681F" w:rsidSect="005938C3">
          <w:type w:val="oddPage"/>
          <w:pgSz w:w="11906" w:h="16838" w:code="9"/>
          <w:pgMar w:top="1440" w:right="1440" w:bottom="1440" w:left="1440" w:header="709" w:footer="709" w:gutter="0"/>
          <w:cols w:space="708"/>
          <w:titlePg/>
          <w:docGrid w:linePitch="360"/>
        </w:sectPr>
      </w:pPr>
    </w:p>
    <w:p w14:paraId="7C91FA58" w14:textId="77777777" w:rsidR="00C27291" w:rsidRPr="00562521" w:rsidRDefault="00C27291" w:rsidP="00951A43">
      <w:pPr>
        <w:pStyle w:val="Heading1"/>
        <w:rPr>
          <w:smallCaps w:val="0"/>
        </w:rPr>
      </w:pPr>
      <w:bookmarkStart w:id="115" w:name="_Toc410229545"/>
      <w:bookmarkStart w:id="116" w:name="_Toc410302180"/>
      <w:bookmarkStart w:id="117" w:name="_Toc437338126"/>
      <w:r w:rsidRPr="00562521">
        <w:lastRenderedPageBreak/>
        <w:t>Chapter 5:</w:t>
      </w:r>
      <w:r w:rsidR="00951A43">
        <w:t xml:space="preserve">  </w:t>
      </w:r>
      <w:r w:rsidRPr="00562521">
        <w:t>Clarifying the coverage of the scheme</w:t>
      </w:r>
      <w:bookmarkEnd w:id="115"/>
      <w:bookmarkEnd w:id="116"/>
      <w:bookmarkEnd w:id="117"/>
    </w:p>
    <w:p w14:paraId="073E0A0B" w14:textId="77777777" w:rsidR="00D85D73" w:rsidRPr="00843660" w:rsidRDefault="00D85D73" w:rsidP="00843660">
      <w:pPr>
        <w:pStyle w:val="Heading2"/>
      </w:pPr>
      <w:bookmarkStart w:id="118" w:name="_Toc321133409"/>
      <w:bookmarkStart w:id="119" w:name="_Toc321134088"/>
      <w:bookmarkStart w:id="120" w:name="_Toc437338127"/>
      <w:r w:rsidRPr="00843660">
        <w:t>Mixed</w:t>
      </w:r>
      <w:r w:rsidR="008A07A0">
        <w:noBreakHyphen/>
      </w:r>
      <w:r w:rsidRPr="00843660">
        <w:t xml:space="preserve">use </w:t>
      </w:r>
      <w:r w:rsidR="00BB1A15" w:rsidRPr="00843660">
        <w:t xml:space="preserve">and </w:t>
      </w:r>
      <w:r w:rsidRPr="00843660">
        <w:t>high</w:t>
      </w:r>
      <w:r w:rsidR="008A07A0">
        <w:noBreakHyphen/>
      </w:r>
      <w:r w:rsidRPr="00843660">
        <w:t xml:space="preserve">rise </w:t>
      </w:r>
      <w:r w:rsidR="00BB1A15" w:rsidRPr="00843660">
        <w:t xml:space="preserve">residential </w:t>
      </w:r>
      <w:r w:rsidRPr="00843660">
        <w:t>building cover</w:t>
      </w:r>
      <w:bookmarkEnd w:id="118"/>
      <w:bookmarkEnd w:id="119"/>
      <w:bookmarkEnd w:id="120"/>
    </w:p>
    <w:p w14:paraId="7213F613" w14:textId="77777777" w:rsidR="00D85D73" w:rsidRPr="003F72EE" w:rsidRDefault="00D85D73" w:rsidP="00843660">
      <w:pPr>
        <w:pStyle w:val="Heading3"/>
      </w:pPr>
      <w:r w:rsidRPr="003F72EE">
        <w:t>Issue</w:t>
      </w:r>
    </w:p>
    <w:p w14:paraId="02D42BF2" w14:textId="77777777" w:rsidR="000C163E" w:rsidRDefault="00165841" w:rsidP="00082936">
      <w:pPr>
        <w:pStyle w:val="Bullet"/>
        <w:numPr>
          <w:ilvl w:val="0"/>
          <w:numId w:val="0"/>
        </w:numPr>
      </w:pPr>
      <w:proofErr w:type="gramStart"/>
      <w:r>
        <w:t xml:space="preserve">Whether the scheme should be extended to </w:t>
      </w:r>
      <w:r w:rsidR="000C163E">
        <w:t>cover ‘mixed use’ buildings and high value residential buildings.</w:t>
      </w:r>
      <w:proofErr w:type="gramEnd"/>
      <w:r w:rsidR="000C163E">
        <w:t xml:space="preserve"> </w:t>
      </w:r>
    </w:p>
    <w:p w14:paraId="20A68BC1" w14:textId="77777777" w:rsidR="00881085" w:rsidRDefault="00881085" w:rsidP="00881085">
      <w:pPr>
        <w:pStyle w:val="Heading3"/>
      </w:pPr>
      <w:r w:rsidRPr="00212F3A">
        <w:t>Recommendation</w:t>
      </w:r>
    </w:p>
    <w:p w14:paraId="304C1E5E" w14:textId="77777777" w:rsidR="00092072" w:rsidRDefault="00092072" w:rsidP="00092072">
      <w:r>
        <w:rPr>
          <w:noProof/>
        </w:rPr>
        <mc:AlternateContent>
          <mc:Choice Requires="wps">
            <w:drawing>
              <wp:anchor distT="0" distB="0" distL="114300" distR="114300" simplePos="0" relativeHeight="251658247" behindDoc="0" locked="0" layoutInCell="1" allowOverlap="1" wp14:anchorId="2C361BE2" wp14:editId="32D88AEA">
                <wp:simplePos x="0" y="0"/>
                <wp:positionH relativeFrom="column">
                  <wp:align>center</wp:align>
                </wp:positionH>
                <wp:positionV relativeFrom="paragraph">
                  <wp:posOffset>0</wp:posOffset>
                </wp:positionV>
                <wp:extent cx="5172075" cy="1403985"/>
                <wp:effectExtent l="0" t="0" r="28575" b="133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C0A380F" w14:textId="77777777" w:rsidR="00A20ABE" w:rsidRDefault="00A20ABE" w:rsidP="00092072">
                            <w:r w:rsidRPr="0004480C">
                              <w:rPr>
                                <w:i/>
                              </w:rPr>
                              <w:t xml:space="preserve">Recommendation 9: </w:t>
                            </w:r>
                            <w:r w:rsidRPr="0004480C">
                              <w:t xml:space="preserve">That the scope of the scheme </w:t>
                            </w:r>
                            <w:proofErr w:type="gramStart"/>
                            <w:r w:rsidRPr="0004480C">
                              <w:t>be</w:t>
                            </w:r>
                            <w:proofErr w:type="gramEnd"/>
                            <w:r w:rsidRPr="0004480C">
                              <w:t xml:space="preserve"> extended so that it applies to:</w:t>
                            </w:r>
                          </w:p>
                          <w:p w14:paraId="7F15575C" w14:textId="77777777" w:rsidR="00A20ABE" w:rsidRPr="0004480C" w:rsidRDefault="00A20ABE" w:rsidP="00092072">
                            <w:pPr>
                              <w:pStyle w:val="ListParagraph"/>
                              <w:numPr>
                                <w:ilvl w:val="0"/>
                                <w:numId w:val="42"/>
                              </w:numPr>
                            </w:pPr>
                            <w:r w:rsidRPr="0004480C">
                              <w:t xml:space="preserve">buildings in </w:t>
                            </w:r>
                            <w:proofErr w:type="spellStart"/>
                            <w:r w:rsidRPr="0004480C">
                              <w:t>which</w:t>
                            </w:r>
                            <w:proofErr w:type="spellEnd"/>
                            <w:r w:rsidRPr="0004480C">
                              <w:t xml:space="preserve"> at least 20 per cent of </w:t>
                            </w:r>
                            <w:proofErr w:type="spellStart"/>
                            <w:r w:rsidRPr="0004480C">
                              <w:t>floor</w:t>
                            </w:r>
                            <w:proofErr w:type="spellEnd"/>
                            <w:r w:rsidRPr="0004480C">
                              <w:t xml:space="preserve"> </w:t>
                            </w:r>
                            <w:proofErr w:type="spellStart"/>
                            <w:r w:rsidRPr="0004480C">
                              <w:t>space</w:t>
                            </w:r>
                            <w:proofErr w:type="spellEnd"/>
                            <w:r w:rsidRPr="0004480C">
                              <w:t xml:space="preserve"> </w:t>
                            </w:r>
                            <w:proofErr w:type="spellStart"/>
                            <w:r w:rsidRPr="0004480C">
                              <w:t>is</w:t>
                            </w:r>
                            <w:proofErr w:type="spellEnd"/>
                            <w:r w:rsidRPr="0004480C">
                              <w:t xml:space="preserve"> </w:t>
                            </w:r>
                            <w:proofErr w:type="spellStart"/>
                            <w:r w:rsidRPr="0004480C">
                              <w:t>used</w:t>
                            </w:r>
                            <w:proofErr w:type="spellEnd"/>
                            <w:r w:rsidRPr="0004480C">
                              <w:t xml:space="preserve"> for commercial </w:t>
                            </w:r>
                            <w:proofErr w:type="spellStart"/>
                            <w:r w:rsidRPr="0004480C">
                              <w:t>purposes</w:t>
                            </w:r>
                            <w:proofErr w:type="spellEnd"/>
                            <w:r w:rsidRPr="0004480C">
                              <w:t>; and</w:t>
                            </w:r>
                          </w:p>
                          <w:p w14:paraId="70C5624C" w14:textId="77777777" w:rsidR="00A20ABE" w:rsidRDefault="00A20ABE" w:rsidP="00092072">
                            <w:pPr>
                              <w:pStyle w:val="ListParagraph"/>
                              <w:numPr>
                                <w:ilvl w:val="0"/>
                                <w:numId w:val="42"/>
                              </w:numPr>
                            </w:pPr>
                            <w:r w:rsidRPr="0004480C">
                              <w:t xml:space="preserve">buildings </w:t>
                            </w:r>
                            <w:proofErr w:type="spellStart"/>
                            <w:r w:rsidRPr="0004480C">
                              <w:t>with</w:t>
                            </w:r>
                            <w:proofErr w:type="spellEnd"/>
                            <w:r w:rsidRPr="0004480C">
                              <w:t xml:space="preserve"> a </w:t>
                            </w:r>
                            <w:proofErr w:type="spellStart"/>
                            <w:r w:rsidRPr="0004480C">
                              <w:t>sum</w:t>
                            </w:r>
                            <w:r w:rsidRPr="0004480C">
                              <w:noBreakHyphen/>
                              <w:t>insured</w:t>
                            </w:r>
                            <w:proofErr w:type="spellEnd"/>
                            <w:r w:rsidRPr="0004480C">
                              <w:t xml:space="preserve"> value of at least $50 million, </w:t>
                            </w:r>
                            <w:proofErr w:type="spellStart"/>
                            <w:r w:rsidRPr="0004480C">
                              <w:t>whether</w:t>
                            </w:r>
                            <w:proofErr w:type="spellEnd"/>
                            <w:r w:rsidRPr="0004480C">
                              <w:t xml:space="preserve"> </w:t>
                            </w:r>
                            <w:proofErr w:type="spellStart"/>
                            <w:r w:rsidRPr="0004480C">
                              <w:t>used</w:t>
                            </w:r>
                            <w:proofErr w:type="spellEnd"/>
                            <w:r w:rsidRPr="0004480C">
                              <w:t xml:space="preserve"> for commercial or </w:t>
                            </w:r>
                            <w:proofErr w:type="spellStart"/>
                            <w:r w:rsidRPr="0004480C">
                              <w:t>other</w:t>
                            </w:r>
                            <w:proofErr w:type="spellEnd"/>
                            <w:r w:rsidRPr="0004480C">
                              <w:t xml:space="preserve"> </w:t>
                            </w:r>
                            <w:proofErr w:type="spellStart"/>
                            <w:r w:rsidRPr="0004480C">
                              <w:t>purposes</w:t>
                            </w:r>
                            <w:proofErr w:type="spellEnd"/>
                            <w:r w:rsidRPr="0004480C">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0;margin-top:0;width:407.25pt;height:110.55pt;z-index:251658247;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" fillcolor="white [3201]" strokecolor="#4f81bd [3204]" strokeweight="2pt">
                <v:textbox style="mso-fit-shape-to-text:t">
                  <w:txbxContent>
                    <w:p w:rsidR="00A20ABE" w:rsidRDefault="00A20ABE" w:rsidP="00092072">
                      <w:r w:rsidRPr="0004480C">
                        <w:rPr>
                          <w:i/>
                        </w:rPr>
                        <w:t xml:space="preserve">Recommendation 9: </w:t>
                      </w:r>
                      <w:r w:rsidRPr="0004480C">
                        <w:t xml:space="preserve">That the scope of the scheme </w:t>
                      </w:r>
                      <w:proofErr w:type="gramStart"/>
                      <w:r w:rsidRPr="0004480C">
                        <w:t>be</w:t>
                      </w:r>
                      <w:proofErr w:type="gramEnd"/>
                      <w:r w:rsidRPr="0004480C">
                        <w:t xml:space="preserve"> extended so that it applies to:</w:t>
                      </w:r>
                    </w:p>
                    <w:p w:rsidR="00A20ABE" w:rsidRPr="0004480C" w:rsidRDefault="00A20ABE" w:rsidP="00092072">
                      <w:pPr>
                        <w:pStyle w:val="ListParagraph"/>
                        <w:numPr>
                          <w:ilvl w:val="0"/>
                          <w:numId w:val="42"/>
                        </w:numPr>
                      </w:pPr>
                      <w:r w:rsidRPr="0004480C">
                        <w:t xml:space="preserve">buildings in </w:t>
                      </w:r>
                      <w:proofErr w:type="spellStart"/>
                      <w:r w:rsidRPr="0004480C">
                        <w:t>which</w:t>
                      </w:r>
                      <w:proofErr w:type="spellEnd"/>
                      <w:r w:rsidRPr="0004480C">
                        <w:t xml:space="preserve"> at least 20 per cent of </w:t>
                      </w:r>
                      <w:proofErr w:type="spellStart"/>
                      <w:r w:rsidRPr="0004480C">
                        <w:t>floor</w:t>
                      </w:r>
                      <w:proofErr w:type="spellEnd"/>
                      <w:r w:rsidRPr="0004480C">
                        <w:t xml:space="preserve"> </w:t>
                      </w:r>
                      <w:proofErr w:type="spellStart"/>
                      <w:r w:rsidRPr="0004480C">
                        <w:t>space</w:t>
                      </w:r>
                      <w:proofErr w:type="spellEnd"/>
                      <w:r w:rsidRPr="0004480C">
                        <w:t xml:space="preserve"> </w:t>
                      </w:r>
                      <w:proofErr w:type="spellStart"/>
                      <w:r w:rsidRPr="0004480C">
                        <w:t>is</w:t>
                      </w:r>
                      <w:proofErr w:type="spellEnd"/>
                      <w:r w:rsidRPr="0004480C">
                        <w:t xml:space="preserve"> </w:t>
                      </w:r>
                      <w:proofErr w:type="spellStart"/>
                      <w:r w:rsidRPr="0004480C">
                        <w:t>used</w:t>
                      </w:r>
                      <w:proofErr w:type="spellEnd"/>
                      <w:r w:rsidRPr="0004480C">
                        <w:t xml:space="preserve"> for commercial </w:t>
                      </w:r>
                      <w:proofErr w:type="spellStart"/>
                      <w:r w:rsidRPr="0004480C">
                        <w:t>purposes</w:t>
                      </w:r>
                      <w:proofErr w:type="spellEnd"/>
                      <w:r w:rsidRPr="0004480C">
                        <w:t>; and</w:t>
                      </w:r>
                    </w:p>
                    <w:p w:rsidR="00A20ABE" w:rsidRDefault="00A20ABE" w:rsidP="00092072">
                      <w:pPr>
                        <w:pStyle w:val="ListParagraph"/>
                        <w:numPr>
                          <w:ilvl w:val="0"/>
                          <w:numId w:val="42"/>
                        </w:numPr>
                      </w:pPr>
                      <w:r w:rsidRPr="0004480C">
                        <w:t xml:space="preserve">buildings </w:t>
                      </w:r>
                      <w:proofErr w:type="spellStart"/>
                      <w:r w:rsidRPr="0004480C">
                        <w:t>with</w:t>
                      </w:r>
                      <w:proofErr w:type="spellEnd"/>
                      <w:r w:rsidRPr="0004480C">
                        <w:t xml:space="preserve"> a </w:t>
                      </w:r>
                      <w:proofErr w:type="spellStart"/>
                      <w:r w:rsidRPr="0004480C">
                        <w:t>sum</w:t>
                      </w:r>
                      <w:r w:rsidRPr="0004480C">
                        <w:noBreakHyphen/>
                        <w:t>insured</w:t>
                      </w:r>
                      <w:proofErr w:type="spellEnd"/>
                      <w:r w:rsidRPr="0004480C">
                        <w:t xml:space="preserve"> value of at least $50 million, </w:t>
                      </w:r>
                      <w:proofErr w:type="spellStart"/>
                      <w:r w:rsidRPr="0004480C">
                        <w:t>whether</w:t>
                      </w:r>
                      <w:proofErr w:type="spellEnd"/>
                      <w:r w:rsidRPr="0004480C">
                        <w:t xml:space="preserve"> </w:t>
                      </w:r>
                      <w:proofErr w:type="spellStart"/>
                      <w:r w:rsidRPr="0004480C">
                        <w:t>used</w:t>
                      </w:r>
                      <w:proofErr w:type="spellEnd"/>
                      <w:r w:rsidRPr="0004480C">
                        <w:t xml:space="preserve"> for commercial or </w:t>
                      </w:r>
                      <w:proofErr w:type="spellStart"/>
                      <w:r w:rsidRPr="0004480C">
                        <w:t>other</w:t>
                      </w:r>
                      <w:proofErr w:type="spellEnd"/>
                      <w:r w:rsidRPr="0004480C">
                        <w:t xml:space="preserve"> </w:t>
                      </w:r>
                      <w:proofErr w:type="spellStart"/>
                      <w:r w:rsidRPr="0004480C">
                        <w:t>purposes</w:t>
                      </w:r>
                      <w:proofErr w:type="spellEnd"/>
                      <w:r w:rsidRPr="0004480C">
                        <w:t>.</w:t>
                      </w:r>
                    </w:p>
                  </w:txbxContent>
                </v:textbox>
              </v:shape>
            </w:pict>
          </mc:Fallback>
        </mc:AlternateContent>
      </w:r>
    </w:p>
    <w:p w14:paraId="7335CFEA" w14:textId="77777777" w:rsidR="00092072" w:rsidRDefault="00092072" w:rsidP="00092072"/>
    <w:p w14:paraId="7276470E" w14:textId="77777777" w:rsidR="00092072" w:rsidRDefault="00092072" w:rsidP="00092072"/>
    <w:p w14:paraId="3E90D873" w14:textId="77777777" w:rsidR="00092072" w:rsidRDefault="00092072" w:rsidP="00092072"/>
    <w:p w14:paraId="55CC9110" w14:textId="77777777" w:rsidR="00092072" w:rsidRDefault="00092072" w:rsidP="00092072"/>
    <w:p w14:paraId="23E5F220" w14:textId="77777777" w:rsidR="003A55C8" w:rsidRPr="003F72EE" w:rsidRDefault="003A55C8" w:rsidP="003A55C8">
      <w:pPr>
        <w:pStyle w:val="Heading3"/>
      </w:pPr>
      <w:r w:rsidRPr="003F72EE">
        <w:t>Background</w:t>
      </w:r>
    </w:p>
    <w:p w14:paraId="47866AE6" w14:textId="77777777" w:rsidR="000C163E" w:rsidRDefault="000C163E" w:rsidP="000C163E">
      <w:pPr>
        <w:pStyle w:val="Bullet"/>
        <w:numPr>
          <w:ilvl w:val="0"/>
          <w:numId w:val="0"/>
        </w:numPr>
      </w:pPr>
      <w:r>
        <w:t>The scheme set up by the Act was intended to cover commercial property. The rationale for confining the scheme to commercial property is set out in the Explanatory Statement to the Terrorism Insurance Regulations:</w:t>
      </w:r>
    </w:p>
    <w:p w14:paraId="0ABFD904" w14:textId="77777777" w:rsidR="000C163E" w:rsidRDefault="000C163E" w:rsidP="000C163E">
      <w:pPr>
        <w:pStyle w:val="Bullet"/>
        <w:numPr>
          <w:ilvl w:val="0"/>
          <w:numId w:val="0"/>
        </w:numPr>
        <w:ind w:left="397"/>
      </w:pPr>
      <w:r w:rsidRPr="000B6A65">
        <w:t xml:space="preserve">An assessment of the Australian insurance market by Trowbridge Consulting, assisted by </w:t>
      </w:r>
      <w:proofErr w:type="spellStart"/>
      <w:r w:rsidRPr="000B6A65">
        <w:t>Chiltington</w:t>
      </w:r>
      <w:proofErr w:type="spellEnd"/>
      <w:r>
        <w:t> </w:t>
      </w:r>
      <w:r w:rsidRPr="000B6A65">
        <w:t>International, in June and July 2002 found that virtually no terrorism</w:t>
      </w:r>
      <w:r>
        <w:noBreakHyphen/>
      </w:r>
      <w:r w:rsidRPr="000B6A65">
        <w:t>related insurance cover is available for commercial property and business interruption. The Government therefore decided that its replacement terrorism insurance scheme should cover commercial property.</w:t>
      </w:r>
      <w:r>
        <w:rPr>
          <w:rStyle w:val="FootnoteReference"/>
        </w:rPr>
        <w:footnoteReference w:id="12"/>
      </w:r>
      <w:r w:rsidRPr="000B6A65">
        <w:t xml:space="preserve"> </w:t>
      </w:r>
    </w:p>
    <w:p w14:paraId="7CF531A9" w14:textId="77777777" w:rsidR="000C163E" w:rsidRDefault="000C163E" w:rsidP="000C163E">
      <w:r>
        <w:t>This decision was given effect by excluding policies that cover losses to property that is used wholly or predominantly for personal, domestic or household purposes by the insured.</w:t>
      </w:r>
      <w:r>
        <w:rPr>
          <w:rStyle w:val="FootnoteReference"/>
        </w:rPr>
        <w:footnoteReference w:id="13"/>
      </w:r>
    </w:p>
    <w:p w14:paraId="657F1DF9" w14:textId="77777777" w:rsidR="000C163E" w:rsidRDefault="000C163E" w:rsidP="000C163E">
      <w:pPr>
        <w:pStyle w:val="Bullet"/>
        <w:numPr>
          <w:ilvl w:val="0"/>
          <w:numId w:val="0"/>
        </w:numPr>
      </w:pPr>
      <w:r>
        <w:t>At each review of the Act, the scope of the scheme has been reviewed. One consistent call from stakeholders has been that consideration should be given to extending the scheme to certain classes of residential buildings. Most recently, the question was considered in the 2012 Review, which declined to recommend that the scope of the scheme be extended. It did, however, recommend that the issue be re</w:t>
      </w:r>
      <w:r>
        <w:noBreakHyphen/>
        <w:t xml:space="preserve">examined at a later stage. </w:t>
      </w:r>
    </w:p>
    <w:p w14:paraId="58ADC3C7" w14:textId="77777777" w:rsidR="000C163E" w:rsidRDefault="000C163E" w:rsidP="000C163E">
      <w:pPr>
        <w:pStyle w:val="Bullet"/>
        <w:numPr>
          <w:ilvl w:val="0"/>
          <w:numId w:val="0"/>
        </w:numPr>
      </w:pPr>
      <w:r>
        <w:t xml:space="preserve">Past reviews have come to the conclusion that the scheme should not be extended to any class of predominantly residential building primarily because there was no evidence to suggest that the lack of coverage for that kind of property was not having an acute economic effect in the same way the lack of coverage for commercial property had in the lead-up to the establishment of the scheme. Against a background where the scheme was established to address that specific economic effect </w:t>
      </w:r>
      <w:r>
        <w:lastRenderedPageBreak/>
        <w:t>and was intended to exist only for as long as needed, the conclusion in past reviews has been not to extend the scheme. That view is re-examined in this review.</w:t>
      </w:r>
    </w:p>
    <w:p w14:paraId="1D3C9FD5" w14:textId="77777777" w:rsidR="00881085" w:rsidRDefault="00881085" w:rsidP="00881085">
      <w:pPr>
        <w:pStyle w:val="Heading3"/>
      </w:pPr>
      <w:r>
        <w:t>Assessment</w:t>
      </w:r>
    </w:p>
    <w:p w14:paraId="39CC6F7E" w14:textId="77777777" w:rsidR="0090272E" w:rsidRDefault="00033222" w:rsidP="00082936">
      <w:pPr>
        <w:pStyle w:val="Bullet"/>
        <w:numPr>
          <w:ilvl w:val="0"/>
          <w:numId w:val="0"/>
        </w:numPr>
      </w:pPr>
      <w:r>
        <w:t>This review has concluded that, after more than a decade in operation, the scheme should continue for the foreseeable future</w:t>
      </w:r>
      <w:r w:rsidR="00ED49CC">
        <w:t xml:space="preserve">. </w:t>
      </w:r>
      <w:r>
        <w:t xml:space="preserve">As the need for the scheme persists, arguments that appeal to its temporary nature become less convincing, and the need to deal with potentially inequitable results if a major terrorist act were to occur </w:t>
      </w:r>
      <w:r w:rsidR="00ED49CC">
        <w:t xml:space="preserve">becomes </w:t>
      </w:r>
      <w:r>
        <w:t xml:space="preserve">more </w:t>
      </w:r>
      <w:r w:rsidR="00ED49CC">
        <w:t>pressing</w:t>
      </w:r>
      <w:r>
        <w:t>.</w:t>
      </w:r>
    </w:p>
    <w:p w14:paraId="72DE08B1" w14:textId="77777777" w:rsidR="006B24E3" w:rsidRDefault="000C163E" w:rsidP="00602545">
      <w:r>
        <w:t xml:space="preserve"> </w:t>
      </w:r>
      <w:r w:rsidR="006B24E3">
        <w:t xml:space="preserve">A study by </w:t>
      </w:r>
      <w:proofErr w:type="spellStart"/>
      <w:r w:rsidR="006B24E3">
        <w:t>Finity</w:t>
      </w:r>
      <w:proofErr w:type="spellEnd"/>
      <w:r w:rsidR="006B24E3">
        <w:t xml:space="preserve"> Consulting, undertaken for the purposes of this review</w:t>
      </w:r>
      <w:r w:rsidR="00602545">
        <w:t xml:space="preserve"> (Annex B)</w:t>
      </w:r>
      <w:r w:rsidR="006B24E3">
        <w:t xml:space="preserve">, has </w:t>
      </w:r>
      <w:r w:rsidR="001B65DB">
        <w:t xml:space="preserve">indicated </w:t>
      </w:r>
      <w:r w:rsidR="006B24E3">
        <w:t xml:space="preserve">that there </w:t>
      </w:r>
      <w:r w:rsidR="001B65DB">
        <w:t xml:space="preserve">are still </w:t>
      </w:r>
      <w:r w:rsidR="006B24E3">
        <w:t xml:space="preserve">classes of buildings </w:t>
      </w:r>
      <w:r w:rsidR="001B65DB">
        <w:t>for</w:t>
      </w:r>
      <w:r w:rsidR="006B24E3">
        <w:t xml:space="preserve"> which terrorism cover is unavailable in the private market</w:t>
      </w:r>
      <w:r w:rsidR="00465619">
        <w:t xml:space="preserve"> (and currently unavailable under the terrorism insurance scheme)</w:t>
      </w:r>
      <w:r w:rsidR="006B24E3">
        <w:t xml:space="preserve">. These are buildings with </w:t>
      </w:r>
      <w:r w:rsidR="00465619">
        <w:t>between 20</w:t>
      </w:r>
      <w:r w:rsidR="009F7DAD">
        <w:t xml:space="preserve"> </w:t>
      </w:r>
      <w:r w:rsidR="00843828">
        <w:t>per cent and</w:t>
      </w:r>
      <w:r w:rsidR="00465619">
        <w:t xml:space="preserve"> 50</w:t>
      </w:r>
      <w:r w:rsidR="009F7DAD">
        <w:t xml:space="preserve"> per cent</w:t>
      </w:r>
      <w:r w:rsidR="00465619">
        <w:t xml:space="preserve"> commercial </w:t>
      </w:r>
      <w:r w:rsidR="00843828">
        <w:t>floor space</w:t>
      </w:r>
      <w:r w:rsidR="006B24E3">
        <w:t>, and buildings with a sum insured value of at least $50 million</w:t>
      </w:r>
      <w:r w:rsidR="00465619">
        <w:t>, whether used for commercial or other purposes</w:t>
      </w:r>
      <w:r w:rsidR="008A07A0">
        <w:t xml:space="preserve">. </w:t>
      </w:r>
    </w:p>
    <w:p w14:paraId="4B0058EC" w14:textId="77777777" w:rsidR="00033222" w:rsidRDefault="00033222" w:rsidP="00082936">
      <w:pPr>
        <w:pStyle w:val="Bullet"/>
        <w:numPr>
          <w:ilvl w:val="0"/>
          <w:numId w:val="0"/>
        </w:numPr>
      </w:pPr>
      <w:r>
        <w:t xml:space="preserve">If a major </w:t>
      </w:r>
      <w:r w:rsidR="006B24E3">
        <w:t xml:space="preserve">terrorist </w:t>
      </w:r>
      <w:r>
        <w:t>event were to occur, the result could be that buildings in close proximity were treated differently under the Act due to variations in the nature of the building</w:t>
      </w:r>
      <w:r w:rsidR="001B65DB">
        <w:t>s’</w:t>
      </w:r>
      <w:r>
        <w:t xml:space="preserve"> use</w:t>
      </w:r>
      <w:r w:rsidR="008A07A0">
        <w:t xml:space="preserve">. </w:t>
      </w:r>
      <w:r>
        <w:t xml:space="preserve">The result would be that owners of some buildings would be dealt with in an </w:t>
      </w:r>
      <w:r w:rsidR="003B5034">
        <w:t xml:space="preserve">orderly </w:t>
      </w:r>
      <w:r>
        <w:t>fashion under the scheme, while other</w:t>
      </w:r>
      <w:r w:rsidR="001B65DB">
        <w:t xml:space="preserve">s </w:t>
      </w:r>
      <w:r>
        <w:t xml:space="preserve">would be left to appeal to </w:t>
      </w:r>
      <w:r w:rsidR="001B65DB">
        <w:t>g</w:t>
      </w:r>
      <w:r>
        <w:t xml:space="preserve">overnments for assistance in a less structured way. </w:t>
      </w:r>
    </w:p>
    <w:p w14:paraId="676041DB" w14:textId="77777777" w:rsidR="000E2AF6" w:rsidRDefault="00B97B26" w:rsidP="00082936">
      <w:pPr>
        <w:pStyle w:val="Bullet"/>
        <w:numPr>
          <w:ilvl w:val="0"/>
          <w:numId w:val="0"/>
        </w:numPr>
      </w:pPr>
      <w:r>
        <w:t>The g</w:t>
      </w:r>
      <w:r w:rsidR="00ED49CC">
        <w:t>overnment currently recovers no compensation for the risk that it may be called upon to cover</w:t>
      </w:r>
      <w:r w:rsidR="000E2AF6">
        <w:t xml:space="preserve"> those </w:t>
      </w:r>
      <w:r w:rsidR="00ED49CC">
        <w:t>outside</w:t>
      </w:r>
      <w:r w:rsidR="000E2AF6">
        <w:t xml:space="preserve"> the scheme. Expanding the scheme enables the government and tax payers to be suitably compensated for bearing that risk</w:t>
      </w:r>
      <w:r w:rsidR="00ED49CC">
        <w:t xml:space="preserve">. </w:t>
      </w:r>
      <w:r w:rsidR="000E2AF6">
        <w:t xml:space="preserve"> </w:t>
      </w:r>
    </w:p>
    <w:p w14:paraId="72CB4C84" w14:textId="77777777" w:rsidR="00D53EA2" w:rsidRDefault="00D53EA2" w:rsidP="00D53EA2">
      <w:pPr>
        <w:pStyle w:val="Bullet"/>
        <w:numPr>
          <w:ilvl w:val="0"/>
          <w:numId w:val="0"/>
        </w:numPr>
      </w:pPr>
      <w:r>
        <w:t xml:space="preserve">A large majority of respondents to the market soundings exercise conducted by </w:t>
      </w:r>
      <w:proofErr w:type="spellStart"/>
      <w:r>
        <w:t>Pottinger</w:t>
      </w:r>
      <w:proofErr w:type="spellEnd"/>
      <w:r>
        <w:t xml:space="preserve"> recommended broader coverage of predominantly residential mixed</w:t>
      </w:r>
      <w:r>
        <w:noBreakHyphen/>
        <w:t xml:space="preserve">use buildings by the terrorism insurance scheme. Respondents indicated that they considered the exclusion of these buildings from the scheme to be inequitable. The view was expressed that, should a terrorist attack cause material damage to a building that is </w:t>
      </w:r>
      <w:r w:rsidR="00B97B26">
        <w:t>not covered by the scheme, the g</w:t>
      </w:r>
      <w:r>
        <w:t>overnment would be likely to come under pressure to provide financial support to the affected parties. It was thought that including such buildings in the scheme would</w:t>
      </w:r>
      <w:r w:rsidR="00B97B26">
        <w:t xml:space="preserve"> allow the g</w:t>
      </w:r>
      <w:r>
        <w:t>overnment, through the ARPC, to collect insurance premiums in advance of such an event.</w:t>
      </w:r>
    </w:p>
    <w:p w14:paraId="7C435B9C" w14:textId="77777777" w:rsidR="00165841" w:rsidRDefault="00165841" w:rsidP="00834411">
      <w:proofErr w:type="spellStart"/>
      <w:r>
        <w:t>Finity’s</w:t>
      </w:r>
      <w:proofErr w:type="spellEnd"/>
      <w:r>
        <w:t xml:space="preserve"> 2014 analysis of the impact of including mixed</w:t>
      </w:r>
      <w:r>
        <w:noBreakHyphen/>
        <w:t>use and high</w:t>
      </w:r>
      <w:r>
        <w:noBreakHyphen/>
        <w:t xml:space="preserve">rise residential buildings in the scheme focused on buildings located in Sydney and Melbourne Tier </w:t>
      </w:r>
      <w:proofErr w:type="gramStart"/>
      <w:r>
        <w:t>A</w:t>
      </w:r>
      <w:proofErr w:type="gramEnd"/>
      <w:r>
        <w:t xml:space="preserve"> postcodes. </w:t>
      </w:r>
      <w:proofErr w:type="spellStart"/>
      <w:r>
        <w:t>Finity</w:t>
      </w:r>
      <w:proofErr w:type="spellEnd"/>
      <w:r>
        <w:t xml:space="preserve"> found that including existing mixed</w:t>
      </w:r>
      <w:r>
        <w:noBreakHyphen/>
        <w:t>use and high</w:t>
      </w:r>
      <w:r>
        <w:noBreakHyphen/>
        <w:t>rise residential buildings in these locations in the scheme would increase the total sum insured by the ARPC in those locations by approximately 1.2 per cent and 9.7 per cent, respectively.</w:t>
      </w:r>
      <w:r w:rsidR="00834411">
        <w:t xml:space="preserve"> </w:t>
      </w:r>
      <w:proofErr w:type="spellStart"/>
      <w:r>
        <w:t>Finity</w:t>
      </w:r>
      <w:proofErr w:type="spellEnd"/>
      <w:r>
        <w:t xml:space="preserve"> examined the impact on the premiums received by the ARPC of including mixed</w:t>
      </w:r>
      <w:r>
        <w:noBreakHyphen/>
        <w:t>use and</w:t>
      </w:r>
      <w:r w:rsidR="00834411">
        <w:t xml:space="preserve"> </w:t>
      </w:r>
      <w:r>
        <w:t>high</w:t>
      </w:r>
      <w:r>
        <w:noBreakHyphen/>
        <w:t xml:space="preserve">rise residential buildings in the scheme. It was found that, across all </w:t>
      </w:r>
      <w:proofErr w:type="gramStart"/>
      <w:r>
        <w:t>Tier</w:t>
      </w:r>
      <w:proofErr w:type="gramEnd"/>
      <w:r>
        <w:t xml:space="preserve"> A postcodes in Australia, including existing mixed</w:t>
      </w:r>
      <w:r>
        <w:noBreakHyphen/>
        <w:t>use buildings would increase premium income by between $100,000 and $200,000 per annum, while including existing high</w:t>
      </w:r>
      <w:r>
        <w:noBreakHyphen/>
        <w:t>rise residential buildings would increase premium income by between $700,000 and $1.4 million per annum.</w:t>
      </w:r>
    </w:p>
    <w:p w14:paraId="3F1E7306" w14:textId="77777777" w:rsidR="00165841" w:rsidRDefault="00165841" w:rsidP="00165841">
      <w:pPr>
        <w:spacing w:after="200" w:line="276" w:lineRule="auto"/>
      </w:pPr>
      <w:proofErr w:type="spellStart"/>
      <w:r>
        <w:t>Finity</w:t>
      </w:r>
      <w:proofErr w:type="spellEnd"/>
      <w:r>
        <w:t xml:space="preserve"> also concluded that, while including mixed</w:t>
      </w:r>
      <w:r>
        <w:noBreakHyphen/>
        <w:t>use buildings in the scheme woul</w:t>
      </w:r>
      <w:r w:rsidR="00B97B26">
        <w:t>d not significantly change the g</w:t>
      </w:r>
      <w:r>
        <w:t>overnment’s exposure, the inclusion of high</w:t>
      </w:r>
      <w:r>
        <w:noBreakHyphen/>
        <w:t>rise residential building</w:t>
      </w:r>
      <w:r w:rsidR="00B97B26">
        <w:t>s would generally increase the g</w:t>
      </w:r>
      <w:r>
        <w:t>overnment’s exposure; for some key risk locations, including high</w:t>
      </w:r>
      <w:r>
        <w:noBreakHyphen/>
        <w:t>rise residential buildings wo</w:t>
      </w:r>
      <w:r w:rsidR="00B97B26">
        <w:t>uld significantly increase the g</w:t>
      </w:r>
      <w:r>
        <w:t xml:space="preserve">overnment’s exposure to losses from a declared terrorist incident. </w:t>
      </w:r>
    </w:p>
    <w:p w14:paraId="0E2F70B2" w14:textId="77777777" w:rsidR="00D404B2" w:rsidRDefault="00D404B2" w:rsidP="00082936">
      <w:pPr>
        <w:pStyle w:val="Bullet"/>
        <w:numPr>
          <w:ilvl w:val="0"/>
          <w:numId w:val="0"/>
        </w:numPr>
      </w:pPr>
      <w:r>
        <w:t xml:space="preserve">This review </w:t>
      </w:r>
      <w:r w:rsidR="009F472C">
        <w:t xml:space="preserve">recommends </w:t>
      </w:r>
      <w:r>
        <w:t xml:space="preserve">that the scheme be extended to cover buildings </w:t>
      </w:r>
      <w:r w:rsidR="006B24E3">
        <w:t>of those classes where terrorism insurance is unavailable in the private market.</w:t>
      </w:r>
    </w:p>
    <w:p w14:paraId="4D030307" w14:textId="77777777" w:rsidR="00204B6E" w:rsidRPr="00843660" w:rsidRDefault="00204B6E" w:rsidP="00843660">
      <w:pPr>
        <w:pStyle w:val="Heading2"/>
      </w:pPr>
      <w:bookmarkStart w:id="121" w:name="_Toc437338128"/>
      <w:r w:rsidRPr="00843660">
        <w:lastRenderedPageBreak/>
        <w:t>Impact of exclusions in insurance policies</w:t>
      </w:r>
      <w:bookmarkEnd w:id="121"/>
    </w:p>
    <w:p w14:paraId="0797FD63" w14:textId="77777777" w:rsidR="00204B6E" w:rsidRPr="003F72EE" w:rsidRDefault="00204B6E" w:rsidP="00843660">
      <w:pPr>
        <w:pStyle w:val="Heading3"/>
      </w:pPr>
      <w:r w:rsidRPr="003F72EE">
        <w:t>Issue</w:t>
      </w:r>
    </w:p>
    <w:p w14:paraId="6CE06A45" w14:textId="77777777" w:rsidR="00204B6E" w:rsidRDefault="00204B6E" w:rsidP="00082936">
      <w:pPr>
        <w:pStyle w:val="Bullet"/>
        <w:numPr>
          <w:ilvl w:val="0"/>
          <w:numId w:val="0"/>
        </w:numPr>
      </w:pPr>
      <w:r>
        <w:t>The</w:t>
      </w:r>
      <w:r w:rsidR="0090057E">
        <w:t xml:space="preserve">re is some uncertainty in the insurance and reinsurance markets as to the effect of some </w:t>
      </w:r>
      <w:proofErr w:type="gramStart"/>
      <w:r w:rsidR="0090057E">
        <w:t>exclusions</w:t>
      </w:r>
      <w:proofErr w:type="gramEnd"/>
      <w:r>
        <w:t xml:space="preserve"> in eligible insurance contracts</w:t>
      </w:r>
      <w:r w:rsidR="008A07A0">
        <w:t xml:space="preserve">. </w:t>
      </w:r>
      <w:r w:rsidR="0090057E">
        <w:t>For example, some stakeholders expressed the view that general exclusions in insurance contracts may, despite the application of the Terrorism Insurance Act, remain effective to exclude</w:t>
      </w:r>
      <w:r>
        <w:t xml:space="preserve"> </w:t>
      </w:r>
      <w:r w:rsidR="0090057E">
        <w:t xml:space="preserve">liability to pay claims. </w:t>
      </w:r>
    </w:p>
    <w:p w14:paraId="7859D8D1" w14:textId="77777777" w:rsidR="00204B6E" w:rsidRDefault="00204B6E" w:rsidP="00843660">
      <w:pPr>
        <w:pStyle w:val="Heading3"/>
      </w:pPr>
      <w:r w:rsidRPr="00212F3A">
        <w:t>Recommendation</w:t>
      </w:r>
    </w:p>
    <w:p w14:paraId="29DFBE97" w14:textId="77777777" w:rsidR="00ED49CC" w:rsidRDefault="00ED49CC" w:rsidP="00ED49CC">
      <w:r>
        <w:rPr>
          <w:noProof/>
        </w:rPr>
        <mc:AlternateContent>
          <mc:Choice Requires="wps">
            <w:drawing>
              <wp:anchor distT="0" distB="0" distL="114300" distR="114300" simplePos="0" relativeHeight="251658248" behindDoc="0" locked="0" layoutInCell="1" allowOverlap="1" wp14:anchorId="3855F65F" wp14:editId="54D9594D">
                <wp:simplePos x="0" y="0"/>
                <wp:positionH relativeFrom="column">
                  <wp:align>center</wp:align>
                </wp:positionH>
                <wp:positionV relativeFrom="paragraph">
                  <wp:posOffset>0</wp:posOffset>
                </wp:positionV>
                <wp:extent cx="5143500" cy="8191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191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4F3DBF6" w14:textId="77777777" w:rsidR="00A20ABE" w:rsidRPr="0004480C" w:rsidRDefault="00A20ABE" w:rsidP="003740A7">
                            <w:r w:rsidRPr="0004480C">
                              <w:rPr>
                                <w:i/>
                              </w:rPr>
                              <w:t xml:space="preserve">Recommendation 10: </w:t>
                            </w:r>
                            <w:r w:rsidRPr="0004480C">
                              <w:t xml:space="preserve">That the application of the Act be clarified by amendments that remove doubt about </w:t>
                            </w:r>
                            <w:r>
                              <w:t>whether certain losses would be covered under the scheme;</w:t>
                            </w:r>
                            <w:r w:rsidRPr="003740A7">
                              <w:t xml:space="preserve"> </w:t>
                            </w:r>
                            <w:r>
                              <w:t>in particular, losses attributable to terrorist attacks that use chemical or biological means.</w:t>
                            </w:r>
                          </w:p>
                          <w:p w14:paraId="4A4A5C4F" w14:textId="77777777" w:rsidR="00A20ABE" w:rsidRPr="0004480C" w:rsidRDefault="00A20ABE" w:rsidP="00ED49CC">
                            <w:r>
                              <w:t>.</w:t>
                            </w:r>
                          </w:p>
                          <w:p w14:paraId="21C42AC7" w14:textId="77777777" w:rsidR="00A20ABE" w:rsidRDefault="00A20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0;width:405pt;height:64.5pt;z-index:251658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" fillcolor="white [3201]" strokecolor="#4f81bd [3204]" strokeweight="2pt">
                <v:textbox>
                  <w:txbxContent>
                    <w:p w:rsidR="00A20ABE" w:rsidRPr="0004480C" w:rsidRDefault="00A20ABE" w:rsidP="003740A7">
                      <w:r w:rsidRPr="0004480C">
                        <w:rPr>
                          <w:i/>
                        </w:rPr>
                        <w:t xml:space="preserve">Recommendation 10: </w:t>
                      </w:r>
                      <w:r w:rsidRPr="0004480C">
                        <w:t xml:space="preserve">That the application of the Act be clarified by amendments that remove doubt about </w:t>
                      </w:r>
                      <w:r>
                        <w:t>whether certain losses would be covered under the scheme;</w:t>
                      </w:r>
                      <w:r w:rsidRPr="003740A7">
                        <w:t xml:space="preserve"> </w:t>
                      </w:r>
                      <w:r>
                        <w:t>in particular, losses attributable to terrorist attacks that use chemical or biological means.</w:t>
                      </w:r>
                    </w:p>
                    <w:p w:rsidR="00A20ABE" w:rsidRPr="0004480C" w:rsidRDefault="00A20ABE" w:rsidP="00ED49CC">
                      <w:r>
                        <w:t>.</w:t>
                      </w:r>
                    </w:p>
                    <w:p w:rsidR="00A20ABE" w:rsidRDefault="00A20ABE"/>
                  </w:txbxContent>
                </v:textbox>
              </v:shape>
            </w:pict>
          </mc:Fallback>
        </mc:AlternateContent>
      </w:r>
    </w:p>
    <w:p w14:paraId="079F79A8" w14:textId="77777777" w:rsidR="00ED49CC" w:rsidRDefault="00ED49CC" w:rsidP="00ED49CC"/>
    <w:p w14:paraId="0C0ACA7F" w14:textId="77777777" w:rsidR="00ED49CC" w:rsidRDefault="00ED49CC" w:rsidP="00ED49CC"/>
    <w:p w14:paraId="150720EA" w14:textId="77777777" w:rsidR="00204B6E" w:rsidRPr="003F72EE" w:rsidRDefault="00CC7C36" w:rsidP="00843660">
      <w:pPr>
        <w:pStyle w:val="Heading3"/>
      </w:pPr>
      <w:r>
        <w:t>Assessment</w:t>
      </w:r>
    </w:p>
    <w:p w14:paraId="4D865C04" w14:textId="77777777" w:rsidR="00204B6E" w:rsidRDefault="003D005C" w:rsidP="00082936">
      <w:r>
        <w:t>Once a terrorism incident has been declared, t</w:t>
      </w:r>
      <w:r w:rsidR="00204B6E">
        <w:t xml:space="preserve">he Act operates to </w:t>
      </w:r>
      <w:r>
        <w:t>render</w:t>
      </w:r>
      <w:r w:rsidR="00204B6E">
        <w:t xml:space="preserve"> terrorism exclusion</w:t>
      </w:r>
      <w:r>
        <w:t>s</w:t>
      </w:r>
      <w:r w:rsidR="00204B6E">
        <w:t xml:space="preserve"> in eligible insurance contract</w:t>
      </w:r>
      <w:r>
        <w:t xml:space="preserve">s of no effect. </w:t>
      </w:r>
      <w:r w:rsidR="00204B6E">
        <w:t xml:space="preserve">Section 8 of the Act defines a terrorism exclusion as: </w:t>
      </w:r>
      <w:r w:rsidR="00204B6E" w:rsidRPr="009D6D45">
        <w:t xml:space="preserve">an exclusion </w:t>
      </w:r>
      <w:r w:rsidR="00204B6E">
        <w:t xml:space="preserve">or exception for </w:t>
      </w:r>
      <w:r w:rsidR="00204B6E" w:rsidRPr="009D6D45">
        <w:t xml:space="preserve">acts that are described using the </w:t>
      </w:r>
      <w:bookmarkStart w:id="122" w:name="terrorism"/>
      <w:bookmarkStart w:id="123" w:name="terrorist"/>
      <w:bookmarkEnd w:id="122"/>
      <w:bookmarkEnd w:id="123"/>
      <w:r w:rsidR="00204B6E" w:rsidRPr="009D6D45">
        <w:t xml:space="preserve">word </w:t>
      </w:r>
      <w:r w:rsidR="008A07A0">
        <w:t>‘</w:t>
      </w:r>
      <w:r w:rsidR="00204B6E" w:rsidRPr="009D6D45">
        <w:t>terrorism</w:t>
      </w:r>
      <w:r w:rsidR="008A07A0">
        <w:t>’</w:t>
      </w:r>
      <w:r w:rsidR="00204B6E" w:rsidRPr="009D6D45">
        <w:t xml:space="preserve"> or </w:t>
      </w:r>
      <w:r w:rsidR="008A07A0">
        <w:t>‘</w:t>
      </w:r>
      <w:r w:rsidR="00204B6E" w:rsidRPr="009D6D45">
        <w:t>terrorist</w:t>
      </w:r>
      <w:r w:rsidR="008A07A0">
        <w:t>’</w:t>
      </w:r>
      <w:r w:rsidR="00204B6E" w:rsidRPr="009D6D45">
        <w:t xml:space="preserve"> or words of similar effect; or </w:t>
      </w:r>
      <w:r w:rsidR="00204B6E">
        <w:t xml:space="preserve">other acts </w:t>
      </w:r>
      <w:r w:rsidR="00204B6E" w:rsidRPr="009D6D45">
        <w:t xml:space="preserve">that are substantially similar to terrorist acts as defined in </w:t>
      </w:r>
      <w:r w:rsidR="00527014">
        <w:t>S</w:t>
      </w:r>
      <w:r w:rsidR="00204B6E">
        <w:t>ection</w:t>
      </w:r>
      <w:r w:rsidR="00527014">
        <w:t> </w:t>
      </w:r>
      <w:r w:rsidR="00204B6E">
        <w:t>5 of the Act.</w:t>
      </w:r>
      <w:r w:rsidR="00204B6E" w:rsidRPr="009D6D45">
        <w:t xml:space="preserve"> </w:t>
      </w:r>
    </w:p>
    <w:p w14:paraId="3684E955" w14:textId="77777777" w:rsidR="003D005C" w:rsidRDefault="00204B6E" w:rsidP="00082936">
      <w:r>
        <w:t xml:space="preserve">Many insurance contracts contain a range of exclusions (general exclusions) that exclude cover for losses from things </w:t>
      </w:r>
      <w:r w:rsidR="002A002D">
        <w:t>like</w:t>
      </w:r>
      <w:r>
        <w:t>: chemical, biological and nuclear explosion, pollution or contamination; the destruction of electronic data; or the effects of micro</w:t>
      </w:r>
      <w:r w:rsidR="008A07A0">
        <w:noBreakHyphen/>
      </w:r>
      <w:r>
        <w:t>organisms</w:t>
      </w:r>
      <w:r w:rsidR="008A07A0">
        <w:t xml:space="preserve">. </w:t>
      </w:r>
      <w:r w:rsidR="003D005C">
        <w:t>Doubt has arisen as to whether</w:t>
      </w:r>
      <w:r>
        <w:t xml:space="preserve"> such exclusions constitute terrorism exclusions as defined by the Act. </w:t>
      </w:r>
    </w:p>
    <w:p w14:paraId="23F84097" w14:textId="77777777" w:rsidR="00204B6E" w:rsidRDefault="00204B6E" w:rsidP="00082936">
      <w:r>
        <w:t xml:space="preserve">This is because these exclusions do </w:t>
      </w:r>
      <w:r w:rsidR="0071451A">
        <w:t xml:space="preserve">not </w:t>
      </w:r>
      <w:r>
        <w:t xml:space="preserve">use words like </w:t>
      </w:r>
      <w:r w:rsidR="008A07A0">
        <w:t>‘</w:t>
      </w:r>
      <w:r>
        <w:t>terrorism</w:t>
      </w:r>
      <w:r w:rsidR="008A07A0">
        <w:t>’</w:t>
      </w:r>
      <w:r>
        <w:t xml:space="preserve"> or </w:t>
      </w:r>
      <w:r w:rsidR="008A07A0">
        <w:t>‘</w:t>
      </w:r>
      <w:r>
        <w:t>terrorist</w:t>
      </w:r>
      <w:r w:rsidR="008A07A0">
        <w:t>’</w:t>
      </w:r>
      <w:r w:rsidR="00AA1BB4">
        <w:t xml:space="preserve"> or other words that specifically refer to events like terrorism, but rather merely exclude losses of a particular class of event. </w:t>
      </w:r>
    </w:p>
    <w:p w14:paraId="05D2AB1D" w14:textId="77777777" w:rsidR="00204B6E" w:rsidRDefault="00AA1BB4" w:rsidP="00082936">
      <w:r>
        <w:t xml:space="preserve">If this view is correct, </w:t>
      </w:r>
      <w:r w:rsidR="009E25DB">
        <w:t>l</w:t>
      </w:r>
      <w:r>
        <w:t xml:space="preserve">osses </w:t>
      </w:r>
      <w:r w:rsidR="00D11B36">
        <w:t>of a particular class</w:t>
      </w:r>
      <w:r>
        <w:t xml:space="preserve"> </w:t>
      </w:r>
      <w:r w:rsidR="009E25DB">
        <w:t xml:space="preserve">could be effectively excluded </w:t>
      </w:r>
      <w:r>
        <w:t xml:space="preserve">even where they </w:t>
      </w:r>
      <w:r w:rsidR="00D11B36">
        <w:t>came about as the result of events decla</w:t>
      </w:r>
      <w:r>
        <w:t>red to be terrorist incidents under the Act</w:t>
      </w:r>
      <w:r w:rsidR="008A07A0">
        <w:t xml:space="preserve">. </w:t>
      </w:r>
      <w:r w:rsidR="009E25DB">
        <w:t xml:space="preserve"> Take, for example, the </w:t>
      </w:r>
      <w:r>
        <w:t xml:space="preserve">release </w:t>
      </w:r>
      <w:r w:rsidR="009E25DB">
        <w:t xml:space="preserve">of </w:t>
      </w:r>
      <w:r>
        <w:t xml:space="preserve">a toxic chemical agent </w:t>
      </w:r>
      <w:r w:rsidR="009E25DB">
        <w:t>in such circumstances that caused the event to be declared a terrorist incident under the Act. O</w:t>
      </w:r>
      <w:r>
        <w:t>n one view, a clause that purported to exclude damages caused by the release of chemical agent</w:t>
      </w:r>
      <w:r w:rsidR="009E25DB">
        <w:t>s</w:t>
      </w:r>
      <w:r>
        <w:t xml:space="preserve">, but made no mention of terrorism or like terms, would </w:t>
      </w:r>
      <w:r w:rsidR="009E25DB">
        <w:t>remain effective to exclude the insurer’s liability to pay claims for losses caused by the event.</w:t>
      </w:r>
    </w:p>
    <w:p w14:paraId="7DFB2B3B" w14:textId="77777777" w:rsidR="00204B6E" w:rsidRDefault="00204B6E" w:rsidP="00082936">
      <w:r>
        <w:t xml:space="preserve">The uncertainty over whether general exclusions would be voided by the Act has created a lack of clarity over the coverage afforded by </w:t>
      </w:r>
      <w:r w:rsidR="00FC1F7A">
        <w:t>the terrorism insurance scheme.</w:t>
      </w:r>
    </w:p>
    <w:p w14:paraId="27B68360" w14:textId="77777777" w:rsidR="00CF2E40" w:rsidRDefault="00922492" w:rsidP="00082936">
      <w:r>
        <w:t xml:space="preserve">When the scheme was introduced in 2003 it was the intention of the (then) Government that a terrorist event using chemical and biological means should be </w:t>
      </w:r>
      <w:r w:rsidR="00CF2E40">
        <w:t>covered</w:t>
      </w:r>
      <w:r w:rsidR="007D7EBD">
        <w:t>.</w:t>
      </w:r>
    </w:p>
    <w:p w14:paraId="1FDAC6FA" w14:textId="77777777" w:rsidR="00DE7ACD" w:rsidRPr="00DE7ACD" w:rsidRDefault="00DE7ACD" w:rsidP="00082936">
      <w:r>
        <w:t>Chemical and biological attacks are covered in most international pools.</w:t>
      </w:r>
    </w:p>
    <w:p w14:paraId="27103B24" w14:textId="77777777" w:rsidR="00204B6E" w:rsidRDefault="00922492" w:rsidP="00082936">
      <w:r>
        <w:lastRenderedPageBreak/>
        <w:t xml:space="preserve"> </w:t>
      </w:r>
      <w:r w:rsidR="00204B6E">
        <w:t xml:space="preserve">In its report, </w:t>
      </w:r>
      <w:proofErr w:type="spellStart"/>
      <w:r w:rsidR="00B97B26">
        <w:t>Pottinger</w:t>
      </w:r>
      <w:proofErr w:type="spellEnd"/>
      <w:r w:rsidR="00B97B26">
        <w:t xml:space="preserve"> recommended that the g</w:t>
      </w:r>
      <w:r w:rsidR="00204B6E">
        <w:t>overnment provide clarity in relation to any restrictions that apply to the cover provided by the scheme, as uncertainty over the extent of cover may create both economic and political risks.</w:t>
      </w:r>
      <w:r w:rsidR="00204B6E">
        <w:rPr>
          <w:rStyle w:val="FootnoteReference"/>
        </w:rPr>
        <w:footnoteReference w:id="14"/>
      </w:r>
    </w:p>
    <w:p w14:paraId="34B99125" w14:textId="77777777" w:rsidR="00204B6E" w:rsidRDefault="00204B6E" w:rsidP="00082936">
      <w:r>
        <w:t xml:space="preserve">In the market soundings exercise conducted by </w:t>
      </w:r>
      <w:proofErr w:type="spellStart"/>
      <w:r>
        <w:t>Pottinger</w:t>
      </w:r>
      <w:proofErr w:type="spellEnd"/>
      <w:r>
        <w:t>, there was strong support from respondents for clarifying the coverage of the scheme</w:t>
      </w:r>
      <w:r w:rsidR="00616E43">
        <w:t xml:space="preserve"> in relation to chemical and biological means of attack</w:t>
      </w:r>
      <w:r w:rsidR="008A07A0">
        <w:t xml:space="preserve">. </w:t>
      </w:r>
      <w:r>
        <w:t xml:space="preserve">Some responses from reinsurers to </w:t>
      </w:r>
      <w:r w:rsidR="002A002D">
        <w:t>thi</w:t>
      </w:r>
      <w:r>
        <w:t xml:space="preserve">s exercise also highlighted the lack of clarity over the impact of general exclusions on the coverage of the scheme. Some reinsurers </w:t>
      </w:r>
      <w:r w:rsidRPr="00323B3B">
        <w:t xml:space="preserve">indicated that they would expect </w:t>
      </w:r>
      <w:r>
        <w:t>losses from biological and chemical hazards associated with terrorist attacks to be excluded from the scheme</w:t>
      </w:r>
      <w:r w:rsidR="008A07A0">
        <w:t>’</w:t>
      </w:r>
      <w:r>
        <w:t xml:space="preserve">s coverage, through the operation of general exclusions in insurance contracts, </w:t>
      </w:r>
      <w:r w:rsidR="002A002D">
        <w:t xml:space="preserve">while </w:t>
      </w:r>
      <w:r>
        <w:t>others expressed the</w:t>
      </w:r>
      <w:r w:rsidRPr="00323B3B">
        <w:t xml:space="preserve"> opposite view</w:t>
      </w:r>
      <w:r w:rsidR="008A07A0">
        <w:t xml:space="preserve">. </w:t>
      </w:r>
      <w:r w:rsidR="00616E43">
        <w:t>Should such an event occur the uncertainty surrounding the extent of cover provided by the ARPC would potentially create both economic and political risks.</w:t>
      </w:r>
      <w:r w:rsidR="00616E43">
        <w:rPr>
          <w:rStyle w:val="FootnoteReference"/>
        </w:rPr>
        <w:footnoteReference w:id="15"/>
      </w:r>
    </w:p>
    <w:p w14:paraId="4E0213B4" w14:textId="77777777" w:rsidR="009E25DB" w:rsidRDefault="00B97B26" w:rsidP="00082936">
      <w:r>
        <w:t>If the g</w:t>
      </w:r>
      <w:r w:rsidR="00204B6E">
        <w:t>overnment w</w:t>
      </w:r>
      <w:r w:rsidR="002021D9">
        <w:t>as</w:t>
      </w:r>
      <w:r w:rsidR="00204B6E">
        <w:t xml:space="preserve"> to clarify, through legislation, the coverage of the terrorism insurance scheme, this would require careful consideration of</w:t>
      </w:r>
      <w:r w:rsidR="009E25DB">
        <w:t xml:space="preserve"> both the operation of general exclusion clauses, and </w:t>
      </w:r>
      <w:r w:rsidR="00204B6E">
        <w:t xml:space="preserve">whether losses from certain types of declared terrorist incidents should be explicitly excluded from coverage in </w:t>
      </w:r>
      <w:r w:rsidR="009E25DB">
        <w:t xml:space="preserve">the same manner </w:t>
      </w:r>
      <w:r w:rsidR="00E8748B">
        <w:t>as</w:t>
      </w:r>
      <w:r w:rsidR="009E25DB">
        <w:t xml:space="preserve"> losses from</w:t>
      </w:r>
      <w:r w:rsidR="00204B6E">
        <w:t xml:space="preserve"> nuclear </w:t>
      </w:r>
      <w:r w:rsidR="009E25DB">
        <w:t>hazards</w:t>
      </w:r>
      <w:r w:rsidR="00204B6E">
        <w:t>. Detailed consultation with stake</w:t>
      </w:r>
      <w:r w:rsidR="009E25DB">
        <w:t>holders would be needed on these issues.</w:t>
      </w:r>
    </w:p>
    <w:p w14:paraId="40BAC35F" w14:textId="77777777" w:rsidR="002021D9" w:rsidRDefault="002021D9" w:rsidP="00082936">
      <w:r>
        <w:t xml:space="preserve">The Review recommends that the lack of clarity surrounding exclusion for terrorist attacks </w:t>
      </w:r>
      <w:r w:rsidR="00922492">
        <w:t>using chemical</w:t>
      </w:r>
      <w:r>
        <w:t xml:space="preserve"> </w:t>
      </w:r>
      <w:r w:rsidR="00922492">
        <w:t xml:space="preserve">or </w:t>
      </w:r>
      <w:r>
        <w:t>biological means be resolved as soon as possible</w:t>
      </w:r>
      <w:r w:rsidR="00616E43">
        <w:t>.</w:t>
      </w:r>
      <w:r w:rsidR="00CF2E40">
        <w:t xml:space="preserve"> </w:t>
      </w:r>
    </w:p>
    <w:p w14:paraId="57E5EB54" w14:textId="77777777" w:rsidR="00B87057" w:rsidRDefault="00B87057" w:rsidP="00082936">
      <w:bookmarkStart w:id="124" w:name="_Toc321134094"/>
    </w:p>
    <w:p w14:paraId="2A81CADC" w14:textId="77777777" w:rsidR="000022E1" w:rsidRDefault="000022E1" w:rsidP="00082936">
      <w:pPr>
        <w:sectPr w:rsidR="000022E1" w:rsidSect="005938C3">
          <w:type w:val="oddPage"/>
          <w:pgSz w:w="11906" w:h="16838" w:code="9"/>
          <w:pgMar w:top="1440" w:right="1440" w:bottom="1440" w:left="1440" w:header="709" w:footer="709" w:gutter="0"/>
          <w:cols w:space="708"/>
          <w:titlePg/>
          <w:docGrid w:linePitch="360"/>
        </w:sectPr>
      </w:pPr>
    </w:p>
    <w:p w14:paraId="50502F7D" w14:textId="77777777" w:rsidR="00321498" w:rsidRPr="003D30BA" w:rsidRDefault="00321498" w:rsidP="003D30BA">
      <w:pPr>
        <w:pStyle w:val="AppendixHeading"/>
      </w:pPr>
      <w:bookmarkStart w:id="125" w:name="_Toc409618523"/>
      <w:bookmarkStart w:id="126" w:name="_Toc409630054"/>
      <w:bookmarkStart w:id="127" w:name="_Toc410229546"/>
      <w:bookmarkStart w:id="128" w:name="_Toc410302181"/>
      <w:bookmarkStart w:id="129" w:name="_Toc437338129"/>
      <w:r w:rsidRPr="003D30BA">
        <w:lastRenderedPageBreak/>
        <w:t xml:space="preserve">Appendix </w:t>
      </w:r>
      <w:r w:rsidR="00843660" w:rsidRPr="003D30BA">
        <w:t>A</w:t>
      </w:r>
      <w:r w:rsidRPr="003D30BA">
        <w:t>:</w:t>
      </w:r>
      <w:r w:rsidR="00951A43" w:rsidRPr="003D30BA">
        <w:t xml:space="preserve">  </w:t>
      </w:r>
      <w:r w:rsidRPr="003D30BA">
        <w:t>Terms of reference</w:t>
      </w:r>
      <w:bookmarkEnd w:id="125"/>
      <w:bookmarkEnd w:id="126"/>
      <w:bookmarkEnd w:id="127"/>
      <w:bookmarkEnd w:id="128"/>
      <w:bookmarkEnd w:id="129"/>
    </w:p>
    <w:p w14:paraId="2F3AB8E2" w14:textId="77777777" w:rsidR="0075575B" w:rsidRDefault="00C61B49" w:rsidP="007171C5">
      <w:pPr>
        <w:pStyle w:val="Bullet"/>
        <w:numPr>
          <w:ilvl w:val="0"/>
          <w:numId w:val="0"/>
        </w:numPr>
        <w:ind w:left="397" w:hanging="397"/>
        <w:rPr>
          <w:lang w:val="en"/>
        </w:rPr>
      </w:pPr>
      <w:r>
        <w:rPr>
          <w:szCs w:val="22"/>
        </w:rPr>
        <w:t>Treasury will report</w:t>
      </w:r>
      <w:r w:rsidR="0075575B">
        <w:rPr>
          <w:szCs w:val="22"/>
        </w:rPr>
        <w:t xml:space="preserve"> to the </w:t>
      </w:r>
      <w:r>
        <w:rPr>
          <w:szCs w:val="22"/>
        </w:rPr>
        <w:t>Minister on</w:t>
      </w:r>
      <w:r w:rsidR="0075575B">
        <w:rPr>
          <w:szCs w:val="22"/>
        </w:rPr>
        <w:t>:</w:t>
      </w:r>
    </w:p>
    <w:p w14:paraId="7AD39435" w14:textId="77777777" w:rsidR="00B85CB2" w:rsidRPr="00B85CB2" w:rsidRDefault="00B85CB2" w:rsidP="0027258C">
      <w:pPr>
        <w:pStyle w:val="Bullet"/>
        <w:rPr>
          <w:lang w:val="en"/>
        </w:rPr>
      </w:pPr>
      <w:r>
        <w:rPr>
          <w:lang w:val="en"/>
        </w:rPr>
        <w:t>W</w:t>
      </w:r>
      <w:r w:rsidRPr="00B85CB2">
        <w:rPr>
          <w:lang w:val="en"/>
        </w:rPr>
        <w:t>hether there continues to be market failure in the private sector supply of terrorism insurance and</w:t>
      </w:r>
      <w:r w:rsidR="002A002D">
        <w:rPr>
          <w:lang w:val="en"/>
        </w:rPr>
        <w:t>,</w:t>
      </w:r>
      <w:r w:rsidRPr="00B85CB2">
        <w:rPr>
          <w:lang w:val="en"/>
        </w:rPr>
        <w:t xml:space="preserve"> consequently</w:t>
      </w:r>
      <w:r w:rsidR="002A002D">
        <w:rPr>
          <w:lang w:val="en"/>
        </w:rPr>
        <w:t>,</w:t>
      </w:r>
      <w:r w:rsidRPr="00B85CB2">
        <w:rPr>
          <w:lang w:val="en"/>
        </w:rPr>
        <w:t xml:space="preserve"> whether there is a need for the Act to continue in operation;</w:t>
      </w:r>
    </w:p>
    <w:p w14:paraId="21E9BADA" w14:textId="77777777" w:rsidR="00B85CB2" w:rsidRPr="00B85CB2" w:rsidRDefault="00B85CB2" w:rsidP="0027258C">
      <w:pPr>
        <w:pStyle w:val="Bullet"/>
        <w:rPr>
          <w:lang w:val="en"/>
        </w:rPr>
      </w:pPr>
      <w:r>
        <w:rPr>
          <w:lang w:val="en"/>
        </w:rPr>
        <w:t>O</w:t>
      </w:r>
      <w:r w:rsidRPr="00B85CB2">
        <w:rPr>
          <w:lang w:val="en"/>
        </w:rPr>
        <w:t>ptions on the future of the Act, including if there are possible alternative modes of ownership of the ARPC availa</w:t>
      </w:r>
      <w:r w:rsidR="00B97B26">
        <w:rPr>
          <w:lang w:val="en"/>
        </w:rPr>
        <w:t xml:space="preserve">ble to the </w:t>
      </w:r>
      <w:r w:rsidR="00834788">
        <w:rPr>
          <w:lang w:val="en"/>
        </w:rPr>
        <w:t>G</w:t>
      </w:r>
      <w:r w:rsidRPr="00B85CB2">
        <w:rPr>
          <w:lang w:val="en"/>
        </w:rPr>
        <w:t>overnment and the costs and benefits of each alternative;</w:t>
      </w:r>
    </w:p>
    <w:p w14:paraId="1EB211F1" w14:textId="77777777" w:rsidR="00B85CB2" w:rsidRPr="00B85CB2" w:rsidRDefault="00B85CB2" w:rsidP="0027258C">
      <w:pPr>
        <w:pStyle w:val="Bullet"/>
        <w:rPr>
          <w:lang w:val="en"/>
        </w:rPr>
      </w:pPr>
      <w:r>
        <w:rPr>
          <w:lang w:val="en"/>
        </w:rPr>
        <w:t>W</w:t>
      </w:r>
      <w:r w:rsidRPr="00B85CB2">
        <w:rPr>
          <w:lang w:val="en"/>
        </w:rPr>
        <w:t>hether the pricing of the scheme (the premium rates and tier structure)</w:t>
      </w:r>
      <w:r w:rsidR="002A002D">
        <w:rPr>
          <w:lang w:val="en"/>
        </w:rPr>
        <w:t>,</w:t>
      </w:r>
      <w:r w:rsidRPr="00B85CB2">
        <w:rPr>
          <w:lang w:val="en"/>
        </w:rPr>
        <w:t xml:space="preserve"> the level and structure of insurer and industry retentions</w:t>
      </w:r>
      <w:r w:rsidR="002A002D">
        <w:rPr>
          <w:lang w:val="en"/>
        </w:rPr>
        <w:t>,</w:t>
      </w:r>
      <w:r w:rsidRPr="00B85CB2">
        <w:rPr>
          <w:lang w:val="en"/>
        </w:rPr>
        <w:t xml:space="preserve"> and the purchase of retrocession cover (including its level and cost) continue to be appropriate and do not distort demand for insurance;</w:t>
      </w:r>
    </w:p>
    <w:p w14:paraId="30670EBD" w14:textId="77777777" w:rsidR="00B85CB2" w:rsidRPr="00B85CB2" w:rsidRDefault="00B85CB2" w:rsidP="0027258C">
      <w:pPr>
        <w:pStyle w:val="Bullet"/>
        <w:rPr>
          <w:lang w:val="en"/>
        </w:rPr>
      </w:pPr>
      <w:r>
        <w:rPr>
          <w:lang w:val="en"/>
        </w:rPr>
        <w:t>W</w:t>
      </w:r>
      <w:r w:rsidRPr="00B85CB2">
        <w:rPr>
          <w:lang w:val="en"/>
        </w:rPr>
        <w:t>hether the operation of the scheme should be extended to include mixed commercial and residential use buildings, and high-rise residential buildings; and</w:t>
      </w:r>
    </w:p>
    <w:p w14:paraId="7CAD275F" w14:textId="77777777" w:rsidR="00B85CB2" w:rsidRPr="00B85CB2" w:rsidRDefault="00B85CB2" w:rsidP="0027258C">
      <w:pPr>
        <w:pStyle w:val="Bullet"/>
        <w:rPr>
          <w:lang w:val="en"/>
        </w:rPr>
      </w:pPr>
      <w:r>
        <w:rPr>
          <w:lang w:val="en"/>
        </w:rPr>
        <w:t>W</w:t>
      </w:r>
      <w:r w:rsidRPr="00B85CB2">
        <w:rPr>
          <w:lang w:val="en"/>
        </w:rPr>
        <w:t>hether refinements to the scheme are necessary to clarify coverage for biochemical attacks, having regard to the effect of insurance policy exclusion clauses such as Chemical, Biological, and Pollution exclusions.</w:t>
      </w:r>
    </w:p>
    <w:p w14:paraId="19CC68FE" w14:textId="77777777" w:rsidR="00FC1321" w:rsidRPr="00FC1321" w:rsidRDefault="00FC1321" w:rsidP="00FC1321">
      <w:pPr>
        <w:rPr>
          <w:szCs w:val="24"/>
        </w:rPr>
      </w:pPr>
      <w:r w:rsidRPr="00FC1321">
        <w:rPr>
          <w:szCs w:val="24"/>
        </w:rPr>
        <w:t xml:space="preserve">In conducting the review, Treasury will incorporate input from an expert external consultant. The consultant </w:t>
      </w:r>
      <w:r w:rsidR="002A002D">
        <w:rPr>
          <w:szCs w:val="24"/>
        </w:rPr>
        <w:t>will</w:t>
      </w:r>
      <w:r w:rsidR="002A002D" w:rsidRPr="00FC1321">
        <w:rPr>
          <w:szCs w:val="24"/>
        </w:rPr>
        <w:t xml:space="preserve"> </w:t>
      </w:r>
      <w:r w:rsidRPr="00FC1321">
        <w:rPr>
          <w:szCs w:val="24"/>
        </w:rPr>
        <w:t>be instructed to provide a written report to Treasury.</w:t>
      </w:r>
    </w:p>
    <w:p w14:paraId="51E486F4" w14:textId="77777777" w:rsidR="000022E1" w:rsidRDefault="000022E1" w:rsidP="00082936">
      <w:pPr>
        <w:sectPr w:rsidR="000022E1" w:rsidSect="000022E1">
          <w:headerReference w:type="even" r:id="rId40"/>
          <w:headerReference w:type="default" r:id="rId41"/>
          <w:footerReference w:type="default" r:id="rId42"/>
          <w:headerReference w:type="first" r:id="rId43"/>
          <w:footerReference w:type="first" r:id="rId44"/>
          <w:type w:val="oddPage"/>
          <w:pgSz w:w="11906" w:h="16838" w:code="9"/>
          <w:pgMar w:top="1440" w:right="1440" w:bottom="1440" w:left="1440" w:header="709" w:footer="709" w:gutter="0"/>
          <w:cols w:space="708"/>
          <w:titlePg/>
          <w:docGrid w:linePitch="360"/>
        </w:sectPr>
      </w:pPr>
    </w:p>
    <w:p w14:paraId="471A1EB3" w14:textId="77777777" w:rsidR="00B87057" w:rsidRPr="003D30BA" w:rsidRDefault="00321498" w:rsidP="003D30BA">
      <w:pPr>
        <w:pStyle w:val="AppendixHeading"/>
      </w:pPr>
      <w:bookmarkStart w:id="130" w:name="_Toc409618524"/>
      <w:bookmarkStart w:id="131" w:name="_Toc409630055"/>
      <w:bookmarkStart w:id="132" w:name="_Toc410229547"/>
      <w:bookmarkStart w:id="133" w:name="_Toc410302182"/>
      <w:bookmarkStart w:id="134" w:name="_Toc437338130"/>
      <w:r w:rsidRPr="003D30BA">
        <w:lastRenderedPageBreak/>
        <w:t>Appendix B</w:t>
      </w:r>
      <w:r w:rsidR="00B87057" w:rsidRPr="003D30BA">
        <w:t>:</w:t>
      </w:r>
      <w:r w:rsidR="00951A43" w:rsidRPr="003D30BA">
        <w:t xml:space="preserve">  </w:t>
      </w:r>
      <w:r w:rsidR="00B87057" w:rsidRPr="003D30BA">
        <w:t>International approaches</w:t>
      </w:r>
      <w:bookmarkEnd w:id="130"/>
      <w:bookmarkEnd w:id="131"/>
      <w:bookmarkEnd w:id="132"/>
      <w:bookmarkEnd w:id="133"/>
      <w:bookmarkEnd w:id="134"/>
    </w:p>
    <w:p w14:paraId="50188D9F" w14:textId="77777777" w:rsidR="003752CA" w:rsidRDefault="00357A26" w:rsidP="00082936">
      <w:r>
        <w:t>Many developed countries have national terrorism insurance systems in place.</w:t>
      </w:r>
      <w:r w:rsidR="002818C8">
        <w:t xml:space="preserve"> </w:t>
      </w:r>
      <w:r w:rsidR="003752CA">
        <w:t>Countries with a history of terrorism tend to have long</w:t>
      </w:r>
      <w:r w:rsidR="008A07A0">
        <w:noBreakHyphen/>
      </w:r>
      <w:r w:rsidR="003752CA">
        <w:t>standing government</w:t>
      </w:r>
      <w:r w:rsidR="008A07A0">
        <w:noBreakHyphen/>
      </w:r>
      <w:r w:rsidR="003752CA">
        <w:t xml:space="preserve">run terrorism insurance schemes. </w:t>
      </w:r>
      <w:r w:rsidR="003752CA" w:rsidRPr="00BC183D">
        <w:t>For example</w:t>
      </w:r>
      <w:r w:rsidR="003752CA">
        <w:t xml:space="preserve">, </w:t>
      </w:r>
      <w:r w:rsidR="003752CA" w:rsidRPr="00BC183D">
        <w:t xml:space="preserve">the Spanish scheme was established following the Spanish Civil War; the South African scheme </w:t>
      </w:r>
      <w:r w:rsidR="003752CA">
        <w:t>was set out</w:t>
      </w:r>
      <w:r w:rsidR="003752CA" w:rsidRPr="00BC183D">
        <w:t xml:space="preserve"> following the political unrest of the 1970s; </w:t>
      </w:r>
      <w:r w:rsidR="003752CA">
        <w:t>and the Israeli scheme was starte</w:t>
      </w:r>
      <w:r w:rsidR="00FC1F7A">
        <w:t>d early in Israel</w:t>
      </w:r>
      <w:r w:rsidR="008A07A0">
        <w:t>’</w:t>
      </w:r>
      <w:r w:rsidR="00FC1F7A">
        <w:t xml:space="preserve">s statehood. </w:t>
      </w:r>
    </w:p>
    <w:p w14:paraId="58FDE95F" w14:textId="77777777" w:rsidR="003752CA" w:rsidRDefault="003752CA" w:rsidP="00082936">
      <w:r>
        <w:t>In the early 1990s</w:t>
      </w:r>
      <w:r w:rsidR="002A002D">
        <w:t>,</w:t>
      </w:r>
      <w:r>
        <w:t xml:space="preserve"> the UK </w:t>
      </w:r>
      <w:r w:rsidR="00D22E59">
        <w:t>G</w:t>
      </w:r>
      <w:r>
        <w:t>overnment and the UK insurance industry set up the Pool Reinsurance Company Limited (Pool Re) scheme. The scheme was designed to deal with a market failure for the provision of terrorism insurance following terrorism incident</w:t>
      </w:r>
      <w:r w:rsidR="002A002D">
        <w:t>s</w:t>
      </w:r>
      <w:r>
        <w:t xml:space="preserve"> related to the troubles in Northern</w:t>
      </w:r>
      <w:r w:rsidR="00F34A1D">
        <w:t> </w:t>
      </w:r>
      <w:r>
        <w:t>Ireland and the flow</w:t>
      </w:r>
      <w:r w:rsidR="002A002D">
        <w:t>-</w:t>
      </w:r>
      <w:r>
        <w:t xml:space="preserve">on effects of a lack </w:t>
      </w:r>
      <w:r w:rsidR="00FC1F7A">
        <w:t>of insurance on the UK economy.</w:t>
      </w:r>
    </w:p>
    <w:p w14:paraId="1FEECED6" w14:textId="77777777" w:rsidR="00B87057" w:rsidRDefault="00B87057" w:rsidP="00082936">
      <w:r>
        <w:t xml:space="preserve">A large number </w:t>
      </w:r>
      <w:r w:rsidR="002A002D">
        <w:t xml:space="preserve">of schemes </w:t>
      </w:r>
      <w:r>
        <w:t>were set up following the September 11 terror</w:t>
      </w:r>
      <w:r w:rsidR="002A002D">
        <w:t>ist</w:t>
      </w:r>
      <w:r>
        <w:t xml:space="preserve"> attacks,</w:t>
      </w:r>
      <w:r w:rsidRPr="003F468A">
        <w:t xml:space="preserve"> </w:t>
      </w:r>
      <w:r w:rsidRPr="00BC183D">
        <w:t xml:space="preserve">including </w:t>
      </w:r>
      <w:r w:rsidR="002A002D">
        <w:t xml:space="preserve">in </w:t>
      </w:r>
      <w:r w:rsidRPr="00BC183D">
        <w:t>Austria, France, Germany, India, the Netherlands, Switzerland</w:t>
      </w:r>
      <w:r w:rsidR="002A002D">
        <w:t xml:space="preserve">, </w:t>
      </w:r>
      <w:r w:rsidRPr="00BC183D">
        <w:t>the United States</w:t>
      </w:r>
      <w:r w:rsidR="002A002D">
        <w:t xml:space="preserve"> and, of course,</w:t>
      </w:r>
      <w:r>
        <w:t xml:space="preserve"> Australia. </w:t>
      </w:r>
    </w:p>
    <w:p w14:paraId="27819BBF" w14:textId="77777777" w:rsidR="00B87057" w:rsidRDefault="003752CA" w:rsidP="00843660">
      <w:pPr>
        <w:pStyle w:val="Heading2"/>
      </w:pPr>
      <w:bookmarkStart w:id="135" w:name="_Toc437338131"/>
      <w:r>
        <w:t>Recent developments in the United Kingdom and United States</w:t>
      </w:r>
      <w:bookmarkEnd w:id="135"/>
    </w:p>
    <w:p w14:paraId="3240A41D" w14:textId="77777777" w:rsidR="000129ED" w:rsidRDefault="000129ED" w:rsidP="00082936">
      <w:r>
        <w:t>In the English</w:t>
      </w:r>
      <w:r w:rsidR="008A07A0">
        <w:noBreakHyphen/>
      </w:r>
      <w:r>
        <w:t>speaking world</w:t>
      </w:r>
      <w:r w:rsidR="002A002D">
        <w:t>,</w:t>
      </w:r>
      <w:r>
        <w:t xml:space="preserve"> there has been a push to make the insurance industry pay more for government guarantees</w:t>
      </w:r>
      <w:r w:rsidR="002A002D">
        <w:t>,</w:t>
      </w:r>
      <w:r>
        <w:t xml:space="preserve"> as well as </w:t>
      </w:r>
      <w:r w:rsidR="002A002D">
        <w:t xml:space="preserve">to increase </w:t>
      </w:r>
      <w:r>
        <w:t xml:space="preserve">the amount of risk </w:t>
      </w:r>
      <w:r w:rsidR="002A002D">
        <w:t xml:space="preserve">borne by </w:t>
      </w:r>
      <w:r>
        <w:t>the industry</w:t>
      </w:r>
      <w:r w:rsidR="00FC1F7A">
        <w:t xml:space="preserve">. </w:t>
      </w:r>
    </w:p>
    <w:p w14:paraId="74E4A913" w14:textId="77777777" w:rsidR="00B87057" w:rsidRDefault="00B87057" w:rsidP="00082936">
      <w:r>
        <w:t xml:space="preserve">The UK Government recently announced </w:t>
      </w:r>
      <w:r w:rsidR="00350D7D">
        <w:t>changes to the UK scheme</w:t>
      </w:r>
      <w:r w:rsidR="0033574E">
        <w:t xml:space="preserve"> </w:t>
      </w:r>
      <w:r w:rsidR="002A002D">
        <w:t xml:space="preserve">that </w:t>
      </w:r>
      <w:r w:rsidR="0033574E">
        <w:t>push the</w:t>
      </w:r>
      <w:r w:rsidR="006C268B">
        <w:t>ir</w:t>
      </w:r>
      <w:r w:rsidR="0033574E">
        <w:t xml:space="preserve"> scheme</w:t>
      </w:r>
      <w:r w:rsidR="006C268B">
        <w:t>’s</w:t>
      </w:r>
      <w:r w:rsidR="0033574E">
        <w:t xml:space="preserve"> costs towards the insurance industry and away from taxpayers</w:t>
      </w:r>
      <w:r w:rsidR="006C268B">
        <w:t>. F</w:t>
      </w:r>
      <w:r w:rsidR="003752CA">
        <w:t>or example</w:t>
      </w:r>
      <w:r w:rsidR="006C268B">
        <w:t>,</w:t>
      </w:r>
      <w:r>
        <w:t xml:space="preserve"> it will charge Pool Re</w:t>
      </w:r>
      <w:r w:rsidR="0033574E">
        <w:t xml:space="preserve"> (the UK scheme)</w:t>
      </w:r>
      <w:r w:rsidR="003752CA">
        <w:t xml:space="preserve"> a fee for the UK Government guarantee of the equivalent of </w:t>
      </w:r>
      <w:r>
        <w:t xml:space="preserve">50 per cent of premiums, in addition to a dividend payment of 50 per cent of any surplus generated, half of which will go to the UK Government and half of which will </w:t>
      </w:r>
      <w:r w:rsidR="001134AD">
        <w:t xml:space="preserve">be paid to members of Pool Re. </w:t>
      </w:r>
      <w:r>
        <w:t>The UK</w:t>
      </w:r>
      <w:r w:rsidR="00F34A1D">
        <w:t> </w:t>
      </w:r>
      <w:r>
        <w:t xml:space="preserve">Government also recently announced that Pool Re will be </w:t>
      </w:r>
      <w:r w:rsidR="00C40A49">
        <w:t>permitted</w:t>
      </w:r>
      <w:r w:rsidR="00FC1F7A">
        <w:t xml:space="preserve"> to seek retrocession cover. </w:t>
      </w:r>
    </w:p>
    <w:p w14:paraId="0337351E" w14:textId="77777777" w:rsidR="006101CF" w:rsidRDefault="006101CF" w:rsidP="00082936">
      <w:pPr>
        <w:autoSpaceDE w:val="0"/>
        <w:autoSpaceDN w:val="0"/>
        <w:adjustRightInd w:val="0"/>
      </w:pPr>
      <w:r>
        <w:t>In the US</w:t>
      </w:r>
      <w:r w:rsidR="006C268B">
        <w:t>,</w:t>
      </w:r>
      <w:r>
        <w:t xml:space="preserve"> the federal terrorist risk insurance scheme was recently</w:t>
      </w:r>
      <w:r w:rsidRPr="007F7689">
        <w:t xml:space="preserve"> reinstated</w:t>
      </w:r>
      <w:r w:rsidR="001134AD">
        <w:t xml:space="preserve"> after the scheme briefly lapsed due to delays in getting the bill passed in Congress. Some </w:t>
      </w:r>
      <w:r w:rsidR="00C40A49">
        <w:t xml:space="preserve">changes to the scheme </w:t>
      </w:r>
      <w:r w:rsidR="001134AD">
        <w:t>push more of the</w:t>
      </w:r>
      <w:r w:rsidRPr="007F7689">
        <w:t xml:space="preserve"> r</w:t>
      </w:r>
      <w:r>
        <w:t>esponsibility</w:t>
      </w:r>
      <w:r w:rsidR="00C40A49">
        <w:t xml:space="preserve"> </w:t>
      </w:r>
      <w:r w:rsidR="003B4D30">
        <w:t xml:space="preserve">onto </w:t>
      </w:r>
      <w:r w:rsidR="00B74B1F">
        <w:t xml:space="preserve">industry </w:t>
      </w:r>
      <w:r w:rsidR="00C40A49">
        <w:t>in the event of a terrorist attack. The</w:t>
      </w:r>
      <w:r>
        <w:t xml:space="preserve"> </w:t>
      </w:r>
      <w:r w:rsidR="00C40A49">
        <w:t>changes</w:t>
      </w:r>
      <w:r>
        <w:t xml:space="preserve"> </w:t>
      </w:r>
      <w:r w:rsidRPr="007F7689">
        <w:t>raise</w:t>
      </w:r>
      <w:r>
        <w:t xml:space="preserve"> </w:t>
      </w:r>
      <w:r w:rsidRPr="007F7689">
        <w:t>industry retentions in the event of a claim</w:t>
      </w:r>
      <w:r w:rsidR="00C40A49">
        <w:t>, for example</w:t>
      </w:r>
      <w:r w:rsidR="003B4D30">
        <w:t>,</w:t>
      </w:r>
      <w:r w:rsidR="00C40A49">
        <w:t xml:space="preserve"> b</w:t>
      </w:r>
      <w:r w:rsidRPr="007F7689">
        <w:t xml:space="preserve">y </w:t>
      </w:r>
      <w:proofErr w:type="gramStart"/>
      <w:r w:rsidRPr="007F7689">
        <w:t>2020,</w:t>
      </w:r>
      <w:proofErr w:type="gramEnd"/>
      <w:r w:rsidRPr="007F7689">
        <w:t xml:space="preserve"> the amount of an incident </w:t>
      </w:r>
      <w:r w:rsidR="003B4D30">
        <w:t>that</w:t>
      </w:r>
      <w:r w:rsidR="003B4D30" w:rsidRPr="007F7689">
        <w:t xml:space="preserve"> </w:t>
      </w:r>
      <w:r w:rsidRPr="007F7689">
        <w:t xml:space="preserve">triggers the </w:t>
      </w:r>
      <w:r w:rsidR="00C40A49">
        <w:t xml:space="preserve">government </w:t>
      </w:r>
      <w:r w:rsidRPr="007F7689">
        <w:t>scheme will need to be $200</w:t>
      </w:r>
      <w:r>
        <w:t> </w:t>
      </w:r>
      <w:r w:rsidRPr="007F7689">
        <w:t>million</w:t>
      </w:r>
      <w:r w:rsidR="000E685E">
        <w:t>, with co</w:t>
      </w:r>
      <w:r w:rsidR="003B4D30">
        <w:t>-</w:t>
      </w:r>
      <w:r w:rsidR="000E685E">
        <w:t>insurance</w:t>
      </w:r>
      <w:r w:rsidR="001134AD">
        <w:t xml:space="preserve"> from the insurance industry</w:t>
      </w:r>
      <w:r w:rsidR="000E685E">
        <w:t xml:space="preserve"> increased to 20 per cent</w:t>
      </w:r>
      <w:r w:rsidRPr="007F7689">
        <w:t>.</w:t>
      </w:r>
      <w:r w:rsidRPr="006101CF">
        <w:rPr>
          <w:vertAlign w:val="superscript"/>
        </w:rPr>
        <w:footnoteReference w:id="16"/>
      </w:r>
      <w:r w:rsidR="00FC1F7A">
        <w:t xml:space="preserve"> </w:t>
      </w:r>
    </w:p>
    <w:p w14:paraId="77FD7312" w14:textId="77777777" w:rsidR="006101CF" w:rsidRDefault="00C40A49" w:rsidP="00082936">
      <w:pPr>
        <w:autoSpaceDE w:val="0"/>
        <w:autoSpaceDN w:val="0"/>
        <w:adjustRightInd w:val="0"/>
      </w:pPr>
      <w:r>
        <w:t>Towards the end of 2014 and into early 2015</w:t>
      </w:r>
      <w:r w:rsidR="003B4D30">
        <w:t>,</w:t>
      </w:r>
      <w:r>
        <w:t xml:space="preserve"> the </w:t>
      </w:r>
      <w:r w:rsidR="003B4D30">
        <w:t xml:space="preserve">US </w:t>
      </w:r>
      <w:r>
        <w:t xml:space="preserve">scheme faced uncertainty </w:t>
      </w:r>
      <w:r w:rsidR="003B4D30">
        <w:t xml:space="preserve">because </w:t>
      </w:r>
      <w:r w:rsidR="00627384">
        <w:t xml:space="preserve">it was not clear </w:t>
      </w:r>
      <w:r w:rsidR="003B4D30">
        <w:t xml:space="preserve">whether </w:t>
      </w:r>
      <w:r w:rsidR="00627384">
        <w:t xml:space="preserve">the US </w:t>
      </w:r>
      <w:r w:rsidR="003B4D30">
        <w:t>C</w:t>
      </w:r>
      <w:r w:rsidR="00627384">
        <w:t xml:space="preserve">ongress would extend the scheme. </w:t>
      </w:r>
      <w:r w:rsidR="006101CF">
        <w:t xml:space="preserve">Full effects on the US economy and businesses were not felt in this short lapse as many businesses did not wish to publicise </w:t>
      </w:r>
      <w:r w:rsidR="003B4D30">
        <w:t xml:space="preserve">the nature </w:t>
      </w:r>
      <w:r w:rsidR="003B4D30">
        <w:lastRenderedPageBreak/>
        <w:t>of their vulnerability</w:t>
      </w:r>
      <w:r w:rsidR="006101CF">
        <w:t xml:space="preserve"> in the absence of TRIA.</w:t>
      </w:r>
      <w:r w:rsidR="006101CF">
        <w:rPr>
          <w:rStyle w:val="FootnoteReference"/>
        </w:rPr>
        <w:footnoteReference w:id="17"/>
      </w:r>
      <w:r w:rsidR="006101CF">
        <w:t xml:space="preserve"> However, no major cancellations of building projects or events are known to have occurred.</w:t>
      </w:r>
      <w:r w:rsidR="006101CF">
        <w:rPr>
          <w:rStyle w:val="FootnoteReference"/>
        </w:rPr>
        <w:footnoteReference w:id="18"/>
      </w:r>
      <w:r w:rsidR="00FC1F7A">
        <w:t xml:space="preserve"> </w:t>
      </w:r>
    </w:p>
    <w:p w14:paraId="51347C11" w14:textId="77777777" w:rsidR="000129ED" w:rsidRDefault="00627384" w:rsidP="00082936">
      <w:r>
        <w:t>Part 3.</w:t>
      </w:r>
      <w:r w:rsidR="009A2CD5">
        <w:t>8</w:t>
      </w:r>
      <w:r>
        <w:t xml:space="preserve"> of the attached report by </w:t>
      </w:r>
      <w:proofErr w:type="spellStart"/>
      <w:r>
        <w:t>Pottinger</w:t>
      </w:r>
      <w:proofErr w:type="spellEnd"/>
      <w:r>
        <w:t xml:space="preserve"> discusses some of the recent developments in internat</w:t>
      </w:r>
      <w:r w:rsidR="000129ED">
        <w:t>ional terrorism schemes.</w:t>
      </w:r>
    </w:p>
    <w:p w14:paraId="6588729D" w14:textId="77777777" w:rsidR="00B87057" w:rsidRPr="00B6097F" w:rsidRDefault="00B87057" w:rsidP="00951A43">
      <w:pPr>
        <w:pStyle w:val="Heading2"/>
      </w:pPr>
      <w:bookmarkStart w:id="136" w:name="_Toc437338132"/>
      <w:r w:rsidRPr="00B6097F">
        <w:t>How the Australian scheme compares</w:t>
      </w:r>
      <w:r>
        <w:t xml:space="preserve"> with other schemes</w:t>
      </w:r>
      <w:bookmarkEnd w:id="136"/>
      <w:r w:rsidRPr="00B6097F">
        <w:t xml:space="preserve"> </w:t>
      </w:r>
    </w:p>
    <w:p w14:paraId="3EA1D417" w14:textId="77777777" w:rsidR="00B87057" w:rsidRPr="00BC183D" w:rsidRDefault="000129ED" w:rsidP="000022E1">
      <w:r>
        <w:t xml:space="preserve">The Australian scheme is similar to terrorism insurance schemes in other </w:t>
      </w:r>
      <w:r w:rsidR="00545ABF" w:rsidRPr="009A5979">
        <w:t>Organisation for Economic Co</w:t>
      </w:r>
      <w:r w:rsidR="00545ABF">
        <w:noBreakHyphen/>
      </w:r>
      <w:r w:rsidR="00545ABF" w:rsidRPr="009A5979">
        <w:t>operation and Development</w:t>
      </w:r>
      <w:r w:rsidR="00545ABF" w:rsidRPr="00BC183D">
        <w:t xml:space="preserve"> </w:t>
      </w:r>
      <w:r w:rsidR="00545ABF">
        <w:t>(</w:t>
      </w:r>
      <w:r w:rsidR="00B87057" w:rsidRPr="00BC183D">
        <w:t>OECD</w:t>
      </w:r>
      <w:r w:rsidR="00545ABF">
        <w:t>)</w:t>
      </w:r>
      <w:r w:rsidR="00B87057" w:rsidRPr="00BC183D">
        <w:t xml:space="preserve"> countries</w:t>
      </w:r>
      <w:r>
        <w:t xml:space="preserve">, </w:t>
      </w:r>
      <w:r w:rsidR="00172528">
        <w:t>with so</w:t>
      </w:r>
      <w:r w:rsidR="00172528" w:rsidRPr="00CD3C6B">
        <w:t>me combination of a pool, reinsur</w:t>
      </w:r>
      <w:r w:rsidR="00172528">
        <w:t>ance and a government guarantee,</w:t>
      </w:r>
      <w:r w:rsidR="00172528" w:rsidRPr="00CD3C6B">
        <w:t xml:space="preserve"> </w:t>
      </w:r>
      <w:r>
        <w:t>especially those established after the 2001 terrorist attacks</w:t>
      </w:r>
      <w:r w:rsidR="00B87057" w:rsidRPr="00BC183D">
        <w:t xml:space="preserve"> (</w:t>
      </w:r>
      <w:r w:rsidR="003B4D30">
        <w:t xml:space="preserve">for example, </w:t>
      </w:r>
      <w:r w:rsidR="00B87057" w:rsidRPr="00BC183D">
        <w:t>Belgium, Denmar</w:t>
      </w:r>
      <w:r>
        <w:t xml:space="preserve">k, France, </w:t>
      </w:r>
      <w:r w:rsidR="00172528">
        <w:t xml:space="preserve">Germany, </w:t>
      </w:r>
      <w:r w:rsidR="003B4D30">
        <w:t xml:space="preserve">and </w:t>
      </w:r>
      <w:r w:rsidR="00172528">
        <w:t>the</w:t>
      </w:r>
      <w:r>
        <w:t xml:space="preserve"> Netherlands</w:t>
      </w:r>
      <w:r w:rsidR="00172528">
        <w:t>)</w:t>
      </w:r>
      <w:r w:rsidR="003F2E01">
        <w:t>.</w:t>
      </w:r>
    </w:p>
    <w:p w14:paraId="61525523" w14:textId="77777777" w:rsidR="00B87057" w:rsidRPr="00BC183D" w:rsidRDefault="00B87057" w:rsidP="000022E1">
      <w:r w:rsidRPr="00BC183D">
        <w:t xml:space="preserve">Schemes established </w:t>
      </w:r>
      <w:r w:rsidR="003B4D30">
        <w:t>after</w:t>
      </w:r>
      <w:r w:rsidRPr="00BC183D">
        <w:t xml:space="preserve"> September 2001 were generally </w:t>
      </w:r>
      <w:r w:rsidR="00172528">
        <w:t xml:space="preserve">set </w:t>
      </w:r>
      <w:r w:rsidR="00F664C3">
        <w:t xml:space="preserve">up </w:t>
      </w:r>
      <w:r w:rsidR="00172528">
        <w:t xml:space="preserve">as </w:t>
      </w:r>
      <w:r w:rsidRPr="00BC183D">
        <w:t>immediate response</w:t>
      </w:r>
      <w:r w:rsidR="00172528">
        <w:t>s</w:t>
      </w:r>
      <w:r w:rsidRPr="00BC183D">
        <w:t xml:space="preserve"> to</w:t>
      </w:r>
      <w:r w:rsidR="00172528">
        <w:t xml:space="preserve"> </w:t>
      </w:r>
      <w:r w:rsidRPr="00BC183D">
        <w:t>market failure in terrorism insurance</w:t>
      </w:r>
      <w:r w:rsidR="00F664C3">
        <w:t xml:space="preserve">, and were </w:t>
      </w:r>
      <w:r w:rsidRPr="00BC183D">
        <w:t>expected to be temporary in nature. Reflecting this, some schemes, such as those in Germany and the United States, i</w:t>
      </w:r>
      <w:r>
        <w:t>nclude sunset clauses. Similar</w:t>
      </w:r>
      <w:r w:rsidRPr="00BC183D">
        <w:t xml:space="preserve"> to the Australian scheme</w:t>
      </w:r>
      <w:r>
        <w:t>,</w:t>
      </w:r>
      <w:r w:rsidRPr="00BC183D">
        <w:t xml:space="preserve"> they exist on a temporary basis with the intention that they only continue to operate whil</w:t>
      </w:r>
      <w:r w:rsidR="00F664C3">
        <w:t>e</w:t>
      </w:r>
      <w:r w:rsidRPr="00BC183D">
        <w:t xml:space="preserve"> sufficient terrorism insurance cover remains commercially unavailable on reasonable terms. As with the Australian scheme, these two schemes are also subject to periodic review. Both the United States and German governments have extended their respective schemes.</w:t>
      </w:r>
    </w:p>
    <w:p w14:paraId="2E99174D" w14:textId="77777777" w:rsidR="00172528" w:rsidRDefault="00172528" w:rsidP="000022E1">
      <w:r>
        <w:t>Internationally, many terrorism</w:t>
      </w:r>
      <w:r w:rsidRPr="00172528">
        <w:t xml:space="preserve"> schemes are public sector schemes, </w:t>
      </w:r>
      <w:r>
        <w:t>owned by the government. Ho</w:t>
      </w:r>
      <w:r w:rsidRPr="00172528">
        <w:t>wever</w:t>
      </w:r>
      <w:r>
        <w:t>,</w:t>
      </w:r>
      <w:r w:rsidRPr="00172528">
        <w:t xml:space="preserve"> some are public</w:t>
      </w:r>
      <w:r w:rsidR="008A07A0">
        <w:noBreakHyphen/>
      </w:r>
      <w:r w:rsidRPr="00172528">
        <w:t>private partne</w:t>
      </w:r>
      <w:r>
        <w:t xml:space="preserve">rships run by </w:t>
      </w:r>
      <w:r w:rsidR="003F2E01">
        <w:t xml:space="preserve">an </w:t>
      </w:r>
      <w:r>
        <w:t>administrator operated as a mutual on behalf of insurance companies, but backed by a government guarantee.</w:t>
      </w:r>
      <w:r w:rsidR="00FC1F7A">
        <w:t xml:space="preserve"> </w:t>
      </w:r>
    </w:p>
    <w:p w14:paraId="421FBAEA" w14:textId="77777777" w:rsidR="00B53C9F" w:rsidRDefault="00B53C9F" w:rsidP="000022E1">
      <w:r>
        <w:t>Private sector provision of terrorism insurance around the world is limited</w:t>
      </w:r>
      <w:r w:rsidR="00F664C3">
        <w:t>. I</w:t>
      </w:r>
      <w:r>
        <w:t>n most countries</w:t>
      </w:r>
      <w:r w:rsidR="00F664C3">
        <w:t>,</w:t>
      </w:r>
      <w:r>
        <w:t xml:space="preserve"> the private sector does not provide terrorism insurance, even in countries where there is no terrorism insurance scheme. </w:t>
      </w:r>
      <w:r w:rsidR="00F664C3">
        <w:t xml:space="preserve">In </w:t>
      </w:r>
      <w:r>
        <w:t>India and Singapore</w:t>
      </w:r>
      <w:r w:rsidR="00F664C3">
        <w:t>,</w:t>
      </w:r>
      <w:r>
        <w:t xml:space="preserve"> limited terrorism reinsurance is pro</w:t>
      </w:r>
      <w:r w:rsidR="00FC1F7A">
        <w:t xml:space="preserve">vided by industry consortiums. </w:t>
      </w:r>
    </w:p>
    <w:p w14:paraId="565289F5" w14:textId="77777777" w:rsidR="00B87057" w:rsidRPr="00035E7E" w:rsidRDefault="00B87057" w:rsidP="000022E1">
      <w:r w:rsidRPr="00035E7E">
        <w:t>While the Australian scheme covers property that ha</w:t>
      </w:r>
      <w:r>
        <w:t>s predominantly commercial floor</w:t>
      </w:r>
      <w:r w:rsidRPr="00035E7E">
        <w:t xml:space="preserve"> space, a number of schemes among other OECD countries go further, covering </w:t>
      </w:r>
      <w:r w:rsidR="00356DB6">
        <w:t xml:space="preserve">all commercial property, </w:t>
      </w:r>
      <w:r w:rsidRPr="00035E7E">
        <w:t xml:space="preserve">residential property and their contents. The German, </w:t>
      </w:r>
      <w:r>
        <w:t>UK</w:t>
      </w:r>
      <w:r w:rsidRPr="00035E7E">
        <w:t xml:space="preserve"> and </w:t>
      </w:r>
      <w:proofErr w:type="gramStart"/>
      <w:r w:rsidR="00F664C3">
        <w:t>US</w:t>
      </w:r>
      <w:proofErr w:type="gramEnd"/>
      <w:r w:rsidRPr="00035E7E">
        <w:t xml:space="preserve"> schemes </w:t>
      </w:r>
      <w:r w:rsidR="00F664C3">
        <w:t>resemble</w:t>
      </w:r>
      <w:r w:rsidRPr="00035E7E">
        <w:t xml:space="preserve"> the Australian scheme</w:t>
      </w:r>
      <w:r w:rsidR="00F664C3">
        <w:t xml:space="preserve"> most</w:t>
      </w:r>
      <w:r w:rsidRPr="00035E7E">
        <w:t>, focussing on cover for commercial property and business interruption.</w:t>
      </w:r>
    </w:p>
    <w:p w14:paraId="37836BDF" w14:textId="77777777" w:rsidR="00B87057" w:rsidRDefault="00B87057" w:rsidP="000022E1">
      <w:r w:rsidRPr="00035E7E">
        <w:t>Similarly, while the Australian scheme excludes cover for nuclear and radiological</w:t>
      </w:r>
      <w:r w:rsidR="00935C0E">
        <w:t xml:space="preserve"> risks</w:t>
      </w:r>
      <w:r w:rsidRPr="00035E7E">
        <w:t xml:space="preserve">, </w:t>
      </w:r>
      <w:r w:rsidR="00935C0E">
        <w:t>they</w:t>
      </w:r>
      <w:r w:rsidRPr="00035E7E">
        <w:t xml:space="preserve"> are covered by a number of other schemes. </w:t>
      </w:r>
      <w:r w:rsidR="00935C0E">
        <w:t>The</w:t>
      </w:r>
      <w:r w:rsidRPr="00035E7E">
        <w:t xml:space="preserve"> Danish scheme was established specifically to cover nuclear, radiological, chemical and biological risks. </w:t>
      </w:r>
      <w:r w:rsidR="00935C0E">
        <w:t>The</w:t>
      </w:r>
      <w:r w:rsidRPr="00035E7E">
        <w:t xml:space="preserve"> German scheme</w:t>
      </w:r>
      <w:r w:rsidR="00935C0E">
        <w:t xml:space="preserve">, on the other hand, </w:t>
      </w:r>
      <w:r w:rsidRPr="00035E7E">
        <w:t>excludes nuclear risks</w:t>
      </w:r>
      <w:r w:rsidR="00935C0E">
        <w:t xml:space="preserve">, while </w:t>
      </w:r>
      <w:r w:rsidRPr="00035E7E">
        <w:t>insurers in the United States have the option to exclude coverage for NBCR risks.</w:t>
      </w:r>
    </w:p>
    <w:p w14:paraId="47CE2B1E" w14:textId="77777777" w:rsidR="00301754" w:rsidRDefault="000129ED" w:rsidP="00F26F90">
      <w:pPr>
        <w:spacing w:after="0" w:line="240" w:lineRule="auto"/>
        <w:jc w:val="left"/>
        <w:sectPr w:rsidR="00301754" w:rsidSect="009A5D17">
          <w:headerReference w:type="even" r:id="rId45"/>
          <w:headerReference w:type="default" r:id="rId46"/>
          <w:footerReference w:type="even" r:id="rId47"/>
          <w:footerReference w:type="default" r:id="rId48"/>
          <w:headerReference w:type="first" r:id="rId49"/>
          <w:footerReference w:type="first" r:id="rId50"/>
          <w:pgSz w:w="11906" w:h="16838" w:code="9"/>
          <w:pgMar w:top="1440" w:right="1440" w:bottom="1440" w:left="1440" w:header="709" w:footer="709" w:gutter="0"/>
          <w:cols w:space="708"/>
          <w:titlePg/>
          <w:docGrid w:linePitch="360"/>
        </w:sectPr>
      </w:pPr>
      <w:bookmarkStart w:id="137" w:name="_Toc409618525"/>
      <w:bookmarkStart w:id="138" w:name="_Toc409630056"/>
      <w:bookmarkStart w:id="139" w:name="_Toc410229548"/>
      <w:r>
        <w:t xml:space="preserve">For a detailed description of the operation and ownership structures of </w:t>
      </w:r>
      <w:r w:rsidR="00356DB6">
        <w:t>foreign</w:t>
      </w:r>
      <w:r>
        <w:t xml:space="preserve"> terrorism insurance schemes</w:t>
      </w:r>
      <w:r w:rsidR="00935C0E">
        <w:t>,</w:t>
      </w:r>
      <w:r>
        <w:t xml:space="preserve"> see </w:t>
      </w:r>
      <w:r w:rsidR="00356DB6">
        <w:t>Section 5</w:t>
      </w:r>
      <w:r w:rsidR="000022E1">
        <w:t xml:space="preserve"> of the </w:t>
      </w:r>
      <w:proofErr w:type="spellStart"/>
      <w:r w:rsidR="000022E1">
        <w:t>Pottinger</w:t>
      </w:r>
      <w:proofErr w:type="spellEnd"/>
      <w:r w:rsidR="000022E1">
        <w:t xml:space="preserve"> Report.</w:t>
      </w:r>
      <w:r w:rsidR="009A5D17">
        <w:t xml:space="preserve"> </w:t>
      </w:r>
      <w:bookmarkEnd w:id="124"/>
      <w:bookmarkEnd w:id="137"/>
      <w:bookmarkEnd w:id="138"/>
      <w:bookmarkEnd w:id="139"/>
    </w:p>
    <w:p w14:paraId="4B590752" w14:textId="77777777" w:rsidR="00301754" w:rsidRDefault="00301754" w:rsidP="00301754">
      <w:pPr>
        <w:pStyle w:val="AppendixHeading"/>
      </w:pPr>
      <w:bookmarkStart w:id="140" w:name="_Toc437337985"/>
      <w:bookmarkStart w:id="141" w:name="_Toc437338034"/>
      <w:bookmarkStart w:id="142" w:name="_Toc437338133"/>
      <w:r>
        <w:lastRenderedPageBreak/>
        <w:t>Annex A</w:t>
      </w:r>
      <w:r w:rsidRPr="003D30BA">
        <w:t xml:space="preserve">:  </w:t>
      </w:r>
      <w:proofErr w:type="spellStart"/>
      <w:r>
        <w:t>Pottinger</w:t>
      </w:r>
      <w:proofErr w:type="spellEnd"/>
      <w:r>
        <w:t xml:space="preserve"> Report</w:t>
      </w:r>
      <w:bookmarkEnd w:id="140"/>
      <w:bookmarkEnd w:id="141"/>
      <w:bookmarkEnd w:id="142"/>
    </w:p>
    <w:p w14:paraId="317AC46F" w14:textId="1972519F" w:rsidR="00301754" w:rsidRDefault="00CC6D71">
      <w:pPr>
        <w:spacing w:after="200" w:line="276" w:lineRule="auto"/>
        <w:jc w:val="left"/>
      </w:pPr>
      <w:r>
        <w:rPr>
          <w:b/>
        </w:rPr>
        <w:t>Electronic version of the report</w:t>
      </w:r>
      <w:r w:rsidRPr="002F4887">
        <w:rPr>
          <w:b/>
        </w:rPr>
        <w:t>:</w:t>
      </w:r>
      <w:r>
        <w:t xml:space="preserve"> </w:t>
      </w:r>
      <w:hyperlink r:id="rId51" w:history="1">
        <w:r w:rsidRPr="003B5029">
          <w:rPr>
            <w:rStyle w:val="Hyperlink"/>
          </w:rPr>
          <w:t>http://www.treasury.gov.au/~/media/Treasury/Publications%20and%20Media/Publications/2015/Terrorism%20Insurance%20Act%20Review%202015/Downloads/PDF/Terrorism_Insurance_Act_Review-2015.ashx</w:t>
        </w:r>
      </w:hyperlink>
      <w:r w:rsidR="00301754">
        <w:br w:type="page"/>
      </w:r>
    </w:p>
    <w:p w14:paraId="4DCEA287" w14:textId="77777777" w:rsidR="00301754" w:rsidRDefault="00301754" w:rsidP="00301754">
      <w:pPr>
        <w:pStyle w:val="AppendixHeading"/>
      </w:pPr>
      <w:bookmarkStart w:id="143" w:name="_Toc437337986"/>
      <w:bookmarkStart w:id="144" w:name="_Toc437338035"/>
      <w:bookmarkStart w:id="145" w:name="_Toc437338134"/>
      <w:r>
        <w:lastRenderedPageBreak/>
        <w:t>Annex B</w:t>
      </w:r>
      <w:r w:rsidRPr="003D30BA">
        <w:t xml:space="preserve">:  </w:t>
      </w:r>
      <w:proofErr w:type="spellStart"/>
      <w:r>
        <w:t>Finity</w:t>
      </w:r>
      <w:proofErr w:type="spellEnd"/>
      <w:r>
        <w:t xml:space="preserve"> Report</w:t>
      </w:r>
      <w:bookmarkEnd w:id="143"/>
      <w:bookmarkEnd w:id="144"/>
      <w:bookmarkEnd w:id="145"/>
    </w:p>
    <w:p w14:paraId="5B4F461C" w14:textId="77777777" w:rsidR="00CC6D71" w:rsidRPr="00951A43" w:rsidRDefault="00CC6D71" w:rsidP="00CC6D71">
      <w:pPr>
        <w:spacing w:after="0" w:line="240" w:lineRule="auto"/>
        <w:jc w:val="left"/>
      </w:pPr>
      <w:r>
        <w:rPr>
          <w:b/>
        </w:rPr>
        <w:t>Electronic version of the report</w:t>
      </w:r>
      <w:r w:rsidRPr="002F4887">
        <w:rPr>
          <w:b/>
        </w:rPr>
        <w:t>:</w:t>
      </w:r>
      <w:r>
        <w:t xml:space="preserve"> </w:t>
      </w:r>
      <w:hyperlink r:id="rId52" w:history="1">
        <w:r w:rsidRPr="003B5029">
          <w:rPr>
            <w:rStyle w:val="Hyperlink"/>
          </w:rPr>
          <w:t>http://www.treasury.gov.au/~/media/Treasury/Publications%20and%20Media/Publications/2015/Terrorism%20Insurance%20Act%20Review%202015/Downloads/PDF/Terrorism_Insurance_Act_Review-2015.ashx</w:t>
        </w:r>
      </w:hyperlink>
    </w:p>
    <w:p w14:paraId="0B3DE478" w14:textId="77777777" w:rsidR="00301754" w:rsidRPr="00301754" w:rsidRDefault="00301754" w:rsidP="00301754"/>
    <w:p w14:paraId="607297BF" w14:textId="77777777" w:rsidR="000022E1" w:rsidRPr="00951A43" w:rsidRDefault="000022E1" w:rsidP="004C4703">
      <w:pPr>
        <w:spacing w:after="200" w:line="276" w:lineRule="auto"/>
        <w:jc w:val="left"/>
      </w:pPr>
    </w:p>
    <w:sectPr w:rsidR="000022E1" w:rsidRPr="00951A43" w:rsidSect="009A5D17">
      <w:headerReference w:type="even" r:id="rId53"/>
      <w:footerReference w:type="default" r:id="rId54"/>
      <w:footerReference w:type="first" r:id="rId55"/>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3A58D" w14:textId="77777777" w:rsidR="00A53F0D" w:rsidRDefault="00A53F0D" w:rsidP="00D85D73">
      <w:r>
        <w:separator/>
      </w:r>
    </w:p>
  </w:endnote>
  <w:endnote w:type="continuationSeparator" w:id="0">
    <w:p w14:paraId="75CC3CFF" w14:textId="77777777" w:rsidR="00A53F0D" w:rsidRDefault="00A53F0D" w:rsidP="00D85D73">
      <w:r>
        <w:continuationSeparator/>
      </w:r>
    </w:p>
  </w:endnote>
  <w:endnote w:type="continuationNotice" w:id="1">
    <w:p w14:paraId="1D67C6D4" w14:textId="77777777" w:rsidR="00A53F0D" w:rsidRDefault="00A53F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282F5" w14:textId="77777777" w:rsidR="00A20ABE" w:rsidRDefault="00A20AB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6450B" w14:textId="77777777" w:rsidR="00A20ABE" w:rsidRDefault="00A20ABE">
    <w:pPr>
      <w:pStyle w:val="FooterOdd"/>
      <w:rPr>
        <w:noProof/>
      </w:rPr>
    </w:pPr>
    <w:r>
      <w:t xml:space="preserve">Page </w:t>
    </w:r>
    <w:r>
      <w:fldChar w:fldCharType="begin"/>
    </w:r>
    <w:r>
      <w:instrText xml:space="preserve"> PAGE   \* MERGEFORMAT </w:instrText>
    </w:r>
    <w:r>
      <w:fldChar w:fldCharType="separate"/>
    </w:r>
    <w:r>
      <w:rPr>
        <w:noProof/>
      </w:rPr>
      <w:t>33</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BD24E" w14:textId="77777777" w:rsidR="00A20ABE" w:rsidRDefault="00A20ABE" w:rsidP="00D85D73">
    <w:pPr>
      <w:pStyle w:val="FooterOdd"/>
      <w:jc w:val="left"/>
    </w:pPr>
    <w:r w:rsidRPr="005317EF">
      <w:t xml:space="preserve">Page </w:t>
    </w:r>
    <w:r w:rsidRPr="001B2B97">
      <w:fldChar w:fldCharType="begin"/>
    </w:r>
    <w:r w:rsidRPr="001B2B97">
      <w:instrText xml:space="preserve"> PAGE </w:instrText>
    </w:r>
    <w:r w:rsidRPr="001B2B97">
      <w:fldChar w:fldCharType="separate"/>
    </w:r>
    <w:r w:rsidR="00C652A5">
      <w:rPr>
        <w:noProof/>
      </w:rPr>
      <w:t>29</w:t>
    </w:r>
    <w:r w:rsidRPr="001B2B97">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D2534" w14:textId="77777777" w:rsidR="00A20ABE" w:rsidRDefault="00A20ABE">
    <w:pPr>
      <w:pStyle w:val="FooterEven"/>
      <w:rPr>
        <w:noProof/>
      </w:rPr>
    </w:pPr>
    <w:r>
      <w:t xml:space="preserve">Page </w:t>
    </w:r>
    <w:r>
      <w:fldChar w:fldCharType="begin"/>
    </w:r>
    <w:r>
      <w:instrText xml:space="preserve"> PAGE  \* Arabic  \* MERGEFORMAT </w:instrText>
    </w:r>
    <w:r>
      <w:fldChar w:fldCharType="separate"/>
    </w:r>
    <w:r>
      <w:rPr>
        <w:noProof/>
      </w:rPr>
      <w:t>34</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F99E7" w14:textId="77777777" w:rsidR="00A20ABE" w:rsidRDefault="00A20ABE">
    <w:pPr>
      <w:pStyle w:val="FooterOdd"/>
      <w:rPr>
        <w:noProof/>
      </w:rPr>
    </w:pPr>
    <w:r>
      <w:t xml:space="preserve">Page </w:t>
    </w:r>
    <w:r>
      <w:fldChar w:fldCharType="begin"/>
    </w:r>
    <w:r>
      <w:instrText xml:space="preserve"> PAGE   \* MERGEFORMAT </w:instrText>
    </w:r>
    <w:r>
      <w:fldChar w:fldCharType="separate"/>
    </w:r>
    <w:r w:rsidR="00C652A5">
      <w:rPr>
        <w:noProof/>
      </w:rPr>
      <w:t>31</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3C26F" w14:textId="77777777" w:rsidR="00A20ABE" w:rsidRDefault="00A20ABE" w:rsidP="00371601">
    <w:pPr>
      <w:pStyle w:val="FooterOdd"/>
      <w:tabs>
        <w:tab w:val="left" w:pos="8265"/>
        <w:tab w:val="right" w:pos="9026"/>
      </w:tabs>
      <w:jc w:val="left"/>
    </w:pPr>
    <w:r>
      <w:tab/>
    </w:r>
    <w:r>
      <w:tab/>
    </w:r>
    <w:r w:rsidRPr="005317EF">
      <w:t xml:space="preserve">Page </w:t>
    </w:r>
    <w:r w:rsidRPr="001B2B97">
      <w:fldChar w:fldCharType="begin"/>
    </w:r>
    <w:r w:rsidRPr="001B2B97">
      <w:instrText xml:space="preserve"> PAGE </w:instrText>
    </w:r>
    <w:r w:rsidRPr="001B2B97">
      <w:fldChar w:fldCharType="separate"/>
    </w:r>
    <w:r w:rsidR="00C652A5">
      <w:rPr>
        <w:noProof/>
      </w:rPr>
      <w:t>30</w:t>
    </w:r>
    <w:r w:rsidRPr="001B2B97">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B2744" w14:textId="77777777" w:rsidR="00A20ABE" w:rsidRDefault="00A20ABE">
    <w:pPr>
      <w:pStyle w:val="FooterOdd"/>
      <w:rPr>
        <w:noProof/>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0712B" w14:textId="77777777" w:rsidR="00A20ABE" w:rsidRDefault="00A20ABE" w:rsidP="00371601">
    <w:pPr>
      <w:pStyle w:val="FooterOdd"/>
      <w:tabs>
        <w:tab w:val="left" w:pos="8265"/>
        <w:tab w:val="right" w:pos="9026"/>
      </w:tabs>
      <w:jc w:val="left"/>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90018" w14:textId="77777777" w:rsidR="00A20ABE" w:rsidRDefault="00A20A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FD3F8" w14:textId="77777777" w:rsidR="00A20ABE" w:rsidRDefault="00A20AB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F68A8" w14:textId="77777777" w:rsidR="00A20ABE" w:rsidRDefault="00A20ABE" w:rsidP="00D85D73">
    <w:pPr>
      <w:pStyle w:val="FooterOdd"/>
      <w:jc w:val="left"/>
      <w:rPr>
        <w:noProof/>
      </w:rPr>
    </w:pPr>
    <w:r>
      <w:t xml:space="preserve">Page </w:t>
    </w:r>
    <w:r>
      <w:fldChar w:fldCharType="begin"/>
    </w:r>
    <w:r>
      <w:instrText xml:space="preserve"> PAGE   \* MERGEFORMAT </w:instrText>
    </w:r>
    <w:r>
      <w:fldChar w:fldCharType="separate"/>
    </w:r>
    <w:r>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C89F2" w14:textId="77777777" w:rsidR="00A20ABE" w:rsidRDefault="00A20ABE">
    <w:pPr>
      <w:pStyle w:val="FooterOdd"/>
      <w:rPr>
        <w:noProof/>
      </w:rPr>
    </w:pP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390FC" w14:textId="77777777" w:rsidR="00A20ABE" w:rsidRPr="00930287" w:rsidRDefault="00A20ABE" w:rsidP="00D85D7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B2584" w14:textId="77777777" w:rsidR="00A20ABE" w:rsidRDefault="00A20ABE">
    <w:pPr>
      <w:pStyle w:val="FooterEven"/>
      <w:rPr>
        <w:noProof/>
      </w:rPr>
    </w:pPr>
    <w:r>
      <w:t xml:space="preserve">Page </w:t>
    </w:r>
    <w:r>
      <w:fldChar w:fldCharType="begin"/>
    </w:r>
    <w:r>
      <w:instrText xml:space="preserve"> PAGE  \* Arabic  \* MERGEFORMAT </w:instrText>
    </w:r>
    <w:r>
      <w:fldChar w:fldCharType="separate"/>
    </w:r>
    <w:r w:rsidR="00C652A5">
      <w:rPr>
        <w:noProof/>
      </w:rPr>
      <w:t>28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E91AD" w14:textId="77777777" w:rsidR="00A20ABE" w:rsidRDefault="00A20ABE">
    <w:pPr>
      <w:pStyle w:val="FooterOdd"/>
      <w:rPr>
        <w:noProof/>
      </w:rPr>
    </w:pPr>
    <w:r>
      <w:t xml:space="preserve">Page </w:t>
    </w:r>
    <w:r>
      <w:fldChar w:fldCharType="begin"/>
    </w:r>
    <w:r>
      <w:instrText xml:space="preserve"> PAGE   \* MERGEFORMAT </w:instrText>
    </w:r>
    <w:r>
      <w:fldChar w:fldCharType="separate"/>
    </w:r>
    <w:r w:rsidR="00C652A5">
      <w:rPr>
        <w:noProof/>
      </w:rPr>
      <w:t>27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AB5E8" w14:textId="77777777" w:rsidR="00A20ABE" w:rsidRDefault="00A20ABE" w:rsidP="00D85D73">
    <w:pPr>
      <w:pStyle w:val="FooterOdd"/>
      <w:rPr>
        <w:noProof/>
      </w:rPr>
    </w:pPr>
    <w:r>
      <w:t xml:space="preserve">Page </w:t>
    </w:r>
    <w:r>
      <w:fldChar w:fldCharType="begin"/>
    </w:r>
    <w:r>
      <w:instrText xml:space="preserve"> PAGE   \* MERGEFORMAT </w:instrText>
    </w:r>
    <w:r>
      <w:fldChar w:fldCharType="separate"/>
    </w:r>
    <w:r w:rsidR="00C652A5">
      <w:rPr>
        <w:noProof/>
      </w:rPr>
      <w:t>25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43C10E" w14:textId="77777777" w:rsidR="00A53F0D" w:rsidRDefault="00A53F0D" w:rsidP="00D85D73">
      <w:r>
        <w:separator/>
      </w:r>
    </w:p>
  </w:footnote>
  <w:footnote w:type="continuationSeparator" w:id="0">
    <w:p w14:paraId="58E3B828" w14:textId="77777777" w:rsidR="00A53F0D" w:rsidRDefault="00A53F0D" w:rsidP="00D85D73">
      <w:r>
        <w:continuationSeparator/>
      </w:r>
    </w:p>
  </w:footnote>
  <w:footnote w:type="continuationNotice" w:id="1">
    <w:p w14:paraId="73166B19" w14:textId="77777777" w:rsidR="00A53F0D" w:rsidRDefault="00A53F0D"/>
  </w:footnote>
  <w:footnote w:id="2">
    <w:p w14:paraId="5BEED073" w14:textId="77777777" w:rsidR="00A20ABE" w:rsidRPr="00755335" w:rsidRDefault="00A20ABE" w:rsidP="00755335">
      <w:pPr>
        <w:pStyle w:val="FootnoteText"/>
      </w:pPr>
      <w:r w:rsidRPr="00755335">
        <w:rPr>
          <w:rStyle w:val="FootnoteReference"/>
          <w:vertAlign w:val="baseline"/>
        </w:rPr>
        <w:footnoteRef/>
      </w:r>
      <w:r w:rsidRPr="00755335">
        <w:tab/>
      </w:r>
      <w:r w:rsidRPr="009F7DAD">
        <w:rPr>
          <w:i/>
        </w:rPr>
        <w:t>Terrorism Insurance Act 2003</w:t>
      </w:r>
      <w:r w:rsidRPr="00755335">
        <w:t>, section 41.</w:t>
      </w:r>
    </w:p>
  </w:footnote>
  <w:footnote w:id="3">
    <w:p w14:paraId="73BFB7AC" w14:textId="77777777" w:rsidR="00A20ABE" w:rsidRDefault="00A20ABE">
      <w:pPr>
        <w:pStyle w:val="FootnoteText"/>
      </w:pPr>
      <w:r w:rsidRPr="008C307B">
        <w:rPr>
          <w:i/>
        </w:rPr>
        <w:footnoteRef/>
      </w:r>
      <w:r w:rsidRPr="008C307B">
        <w:rPr>
          <w:i/>
        </w:rPr>
        <w:t xml:space="preserve"> </w:t>
      </w:r>
      <w:r>
        <w:rPr>
          <w:i/>
        </w:rPr>
        <w:tab/>
      </w:r>
      <w:r w:rsidRPr="003371F8">
        <w:rPr>
          <w:i/>
        </w:rPr>
        <w:t>Towards Responsible Government, The Report of the National Commission of Audit, Phase One</w:t>
      </w:r>
      <w:r w:rsidRPr="008C307B">
        <w:rPr>
          <w:i/>
        </w:rPr>
        <w:t>, p. 205</w:t>
      </w:r>
    </w:p>
  </w:footnote>
  <w:footnote w:id="4">
    <w:p w14:paraId="1CF630E8" w14:textId="77777777" w:rsidR="00A20ABE" w:rsidRPr="00755335" w:rsidRDefault="00A20ABE" w:rsidP="009F7DAD">
      <w:pPr>
        <w:pStyle w:val="FootnoteText"/>
        <w:jc w:val="left"/>
      </w:pPr>
      <w:r w:rsidRPr="00755335">
        <w:rPr>
          <w:rStyle w:val="FootnoteReference"/>
          <w:vertAlign w:val="baseline"/>
        </w:rPr>
        <w:footnoteRef/>
      </w:r>
      <w:r w:rsidRPr="00755335">
        <w:tab/>
      </w:r>
      <w:r w:rsidRPr="009F7DAD">
        <w:rPr>
          <w:i/>
        </w:rPr>
        <w:t>Terrorism Insurance Act 2003</w:t>
      </w:r>
      <w:r w:rsidRPr="00755335">
        <w:t>, sections 6</w:t>
      </w:r>
      <w:r>
        <w:noBreakHyphen/>
      </w:r>
      <w:r w:rsidRPr="00755335">
        <w:t>8.</w:t>
      </w:r>
    </w:p>
  </w:footnote>
  <w:footnote w:id="5">
    <w:p w14:paraId="2BBEEBA8" w14:textId="77777777" w:rsidR="00A20ABE" w:rsidRPr="00755335" w:rsidRDefault="00A20ABE" w:rsidP="009F7DAD">
      <w:pPr>
        <w:pStyle w:val="FootnoteText"/>
        <w:jc w:val="left"/>
      </w:pPr>
      <w:r w:rsidRPr="00755335">
        <w:rPr>
          <w:rStyle w:val="FootnoteReference"/>
          <w:vertAlign w:val="baseline"/>
        </w:rPr>
        <w:footnoteRef/>
      </w:r>
      <w:r w:rsidRPr="00755335">
        <w:tab/>
      </w:r>
      <w:r w:rsidRPr="009F7DAD">
        <w:rPr>
          <w:i/>
        </w:rPr>
        <w:t>Terrorism Insurance Act 2003</w:t>
      </w:r>
      <w:r w:rsidRPr="00755335">
        <w:t>, subsection 7(1).</w:t>
      </w:r>
    </w:p>
  </w:footnote>
  <w:footnote w:id="6">
    <w:p w14:paraId="5663486C" w14:textId="77777777" w:rsidR="00A20ABE" w:rsidRPr="00755335" w:rsidRDefault="00A20ABE" w:rsidP="009F7DAD">
      <w:pPr>
        <w:pStyle w:val="FootnoteText"/>
        <w:jc w:val="left"/>
      </w:pPr>
      <w:r w:rsidRPr="00755335">
        <w:footnoteRef/>
      </w:r>
      <w:r w:rsidRPr="00755335">
        <w:tab/>
      </w:r>
      <w:r w:rsidRPr="009F7DAD">
        <w:rPr>
          <w:i/>
        </w:rPr>
        <w:t>Terrorism Insurance Act 2003</w:t>
      </w:r>
      <w:r w:rsidRPr="00755335">
        <w:t>, section 3.</w:t>
      </w:r>
    </w:p>
  </w:footnote>
  <w:footnote w:id="7">
    <w:p w14:paraId="39DE4082" w14:textId="77777777" w:rsidR="00A20ABE" w:rsidRPr="00755335" w:rsidRDefault="00A20ABE" w:rsidP="00755335">
      <w:pPr>
        <w:pStyle w:val="FootnoteText"/>
      </w:pPr>
      <w:r w:rsidRPr="00755335">
        <w:rPr>
          <w:rStyle w:val="FootnoteReference"/>
          <w:vertAlign w:val="baseline"/>
        </w:rPr>
        <w:footnoteRef/>
      </w:r>
      <w:r w:rsidRPr="00755335">
        <w:t xml:space="preserve"> </w:t>
      </w:r>
      <w:r>
        <w:tab/>
      </w:r>
      <w:r w:rsidRPr="00755335">
        <w:t>Australian Reinsurance Pool Corporation</w:t>
      </w:r>
      <w:r>
        <w:t>,</w:t>
      </w:r>
      <w:r w:rsidRPr="00755335">
        <w:t xml:space="preserve"> </w:t>
      </w:r>
      <w:r w:rsidRPr="00C71E5C">
        <w:rPr>
          <w:i/>
        </w:rPr>
        <w:t>Annual Report</w:t>
      </w:r>
      <w:r>
        <w:t xml:space="preserve"> </w:t>
      </w:r>
      <w:r w:rsidRPr="00755335">
        <w:t>2013</w:t>
      </w:r>
      <w:r>
        <w:noBreakHyphen/>
      </w:r>
      <w:r w:rsidRPr="00755335">
        <w:t>2014, page 32.</w:t>
      </w:r>
    </w:p>
  </w:footnote>
  <w:footnote w:id="8">
    <w:p w14:paraId="1E5D9CEF" w14:textId="77777777" w:rsidR="00A20ABE" w:rsidRDefault="00A20ABE" w:rsidP="00F64173">
      <w:pPr>
        <w:pStyle w:val="FootnoteText"/>
      </w:pPr>
      <w:r w:rsidRPr="008C307B">
        <w:rPr>
          <w:i/>
        </w:rPr>
        <w:footnoteRef/>
      </w:r>
      <w:r w:rsidRPr="008C307B">
        <w:rPr>
          <w:i/>
        </w:rPr>
        <w:t xml:space="preserve"> </w:t>
      </w:r>
      <w:r>
        <w:rPr>
          <w:i/>
        </w:rPr>
        <w:tab/>
      </w:r>
      <w:r w:rsidRPr="003371F8">
        <w:rPr>
          <w:i/>
        </w:rPr>
        <w:t>Towards Responsible Government, The Report of the National Commission of Audit, Phase One</w:t>
      </w:r>
      <w:r w:rsidRPr="008C307B">
        <w:rPr>
          <w:i/>
        </w:rPr>
        <w:t>, p. 205</w:t>
      </w:r>
    </w:p>
  </w:footnote>
  <w:footnote w:id="9">
    <w:p w14:paraId="085A5146" w14:textId="77777777" w:rsidR="00A20ABE" w:rsidRPr="00755335" w:rsidRDefault="00A20ABE" w:rsidP="00755335">
      <w:pPr>
        <w:pStyle w:val="FootnoteText"/>
      </w:pPr>
      <w:r w:rsidRPr="00755335">
        <w:rPr>
          <w:rStyle w:val="FootnoteReference"/>
          <w:vertAlign w:val="baseline"/>
        </w:rPr>
        <w:footnoteRef/>
      </w:r>
      <w:r w:rsidRPr="00755335">
        <w:t xml:space="preserve"> </w:t>
      </w:r>
      <w:r>
        <w:tab/>
      </w:r>
      <w:r w:rsidRPr="00755335">
        <w:t xml:space="preserve">ARPC </w:t>
      </w:r>
      <w:proofErr w:type="gramStart"/>
      <w:r w:rsidRPr="00755335">
        <w:t>Autumn</w:t>
      </w:r>
      <w:proofErr w:type="gramEnd"/>
      <w:r w:rsidRPr="00755335">
        <w:t xml:space="preserve"> 2013 </w:t>
      </w:r>
      <w:r w:rsidRPr="003614F7">
        <w:rPr>
          <w:i/>
        </w:rPr>
        <w:t>‘Under the Cover’</w:t>
      </w:r>
      <w:r w:rsidRPr="00755335">
        <w:t xml:space="preserve">. </w:t>
      </w:r>
    </w:p>
  </w:footnote>
  <w:footnote w:id="10">
    <w:p w14:paraId="0BEC92BF" w14:textId="77777777" w:rsidR="00A20ABE" w:rsidRPr="00755335" w:rsidRDefault="00A20ABE" w:rsidP="00755335">
      <w:pPr>
        <w:pStyle w:val="FootnoteText"/>
      </w:pPr>
      <w:r w:rsidRPr="00755335">
        <w:rPr>
          <w:rStyle w:val="FootnoteReference"/>
          <w:vertAlign w:val="baseline"/>
        </w:rPr>
        <w:footnoteRef/>
      </w:r>
      <w:r w:rsidRPr="00755335">
        <w:t xml:space="preserve"> </w:t>
      </w:r>
      <w:r>
        <w:tab/>
      </w:r>
      <w:r w:rsidRPr="00755335">
        <w:t xml:space="preserve">The </w:t>
      </w:r>
      <w:proofErr w:type="spellStart"/>
      <w:r w:rsidRPr="00755335">
        <w:t>Pottinger</w:t>
      </w:r>
      <w:proofErr w:type="spellEnd"/>
      <w:r w:rsidRPr="00755335">
        <w:t xml:space="preserve"> report examines alternative options which do not </w:t>
      </w:r>
      <w:r>
        <w:t xml:space="preserve">involve </w:t>
      </w:r>
      <w:r w:rsidRPr="00755335">
        <w:t>pool</w:t>
      </w:r>
      <w:r>
        <w:t>ing</w:t>
      </w:r>
      <w:r w:rsidRPr="00755335">
        <w:t xml:space="preserve"> in Section 6.7</w:t>
      </w:r>
      <w:r>
        <w:t xml:space="preserve"> of their report</w:t>
      </w:r>
      <w:r w:rsidRPr="00755335">
        <w:t>.</w:t>
      </w:r>
    </w:p>
  </w:footnote>
  <w:footnote w:id="11">
    <w:p w14:paraId="0DC6523A" w14:textId="77777777" w:rsidR="00A20ABE" w:rsidRDefault="00A20ABE">
      <w:pPr>
        <w:pStyle w:val="FootnoteText"/>
      </w:pPr>
      <w:r>
        <w:rPr>
          <w:rStyle w:val="FootnoteReference"/>
        </w:rPr>
        <w:footnoteRef/>
      </w:r>
      <w:r>
        <w:t xml:space="preserve"> Tier A is CBDs of cities with populations over 1 million.</w:t>
      </w:r>
    </w:p>
    <w:p w14:paraId="0C4D2E53" w14:textId="77777777" w:rsidR="00A20ABE" w:rsidRDefault="00A20ABE">
      <w:pPr>
        <w:pStyle w:val="FootnoteText"/>
      </w:pPr>
      <w:r>
        <w:t xml:space="preserve">Tier B is urban areas of all State capitals plus cities with populations over 100,000 </w:t>
      </w:r>
      <w:proofErr w:type="spellStart"/>
      <w:r>
        <w:t>eg</w:t>
      </w:r>
      <w:proofErr w:type="spellEnd"/>
      <w:r>
        <w:t xml:space="preserve"> Newcastle, Geelong, Wollongong.</w:t>
      </w:r>
    </w:p>
    <w:p w14:paraId="07F6E2EC" w14:textId="77777777" w:rsidR="00A20ABE" w:rsidRDefault="00A20ABE">
      <w:pPr>
        <w:pStyle w:val="FootnoteText"/>
      </w:pPr>
      <w:r>
        <w:t>Tier C is all other areas of Australia</w:t>
      </w:r>
    </w:p>
  </w:footnote>
  <w:footnote w:id="12">
    <w:p w14:paraId="256C3720" w14:textId="77777777" w:rsidR="00A20ABE" w:rsidRPr="00755335" w:rsidRDefault="00A20ABE" w:rsidP="000C163E">
      <w:pPr>
        <w:pStyle w:val="FootnoteText"/>
      </w:pPr>
      <w:r w:rsidRPr="00755335">
        <w:rPr>
          <w:rStyle w:val="FootnoteReference"/>
          <w:vertAlign w:val="baseline"/>
        </w:rPr>
        <w:footnoteRef/>
      </w:r>
      <w:r w:rsidRPr="00755335">
        <w:t xml:space="preserve"> </w:t>
      </w:r>
      <w:r>
        <w:tab/>
      </w:r>
      <w:proofErr w:type="gramStart"/>
      <w:r w:rsidRPr="00A6232E">
        <w:rPr>
          <w:i/>
        </w:rPr>
        <w:t>Terrorism Insurance Regulation</w:t>
      </w:r>
      <w:r>
        <w:rPr>
          <w:i/>
        </w:rPr>
        <w:t>s</w:t>
      </w:r>
      <w:r w:rsidRPr="00A6232E">
        <w:rPr>
          <w:i/>
        </w:rPr>
        <w:t xml:space="preserve"> 2003</w:t>
      </w:r>
      <w:r w:rsidRPr="00755335">
        <w:t>, No. 162, Explanatory Statement.</w:t>
      </w:r>
      <w:proofErr w:type="gramEnd"/>
    </w:p>
  </w:footnote>
  <w:footnote w:id="13">
    <w:p w14:paraId="438B93BA" w14:textId="77777777" w:rsidR="00A20ABE" w:rsidRPr="00755335" w:rsidRDefault="00A20ABE" w:rsidP="000C163E">
      <w:pPr>
        <w:pStyle w:val="FootnoteText"/>
      </w:pPr>
      <w:r w:rsidRPr="00755335">
        <w:rPr>
          <w:rStyle w:val="FootnoteReference"/>
          <w:vertAlign w:val="baseline"/>
        </w:rPr>
        <w:footnoteRef/>
      </w:r>
      <w:r w:rsidRPr="00755335">
        <w:t xml:space="preserve"> </w:t>
      </w:r>
      <w:r>
        <w:tab/>
      </w:r>
      <w:r w:rsidRPr="00A6232E">
        <w:rPr>
          <w:i/>
        </w:rPr>
        <w:t>Terrorism Insurance Regulation</w:t>
      </w:r>
      <w:r>
        <w:rPr>
          <w:i/>
        </w:rPr>
        <w:t>s</w:t>
      </w:r>
      <w:r w:rsidRPr="00A6232E">
        <w:rPr>
          <w:i/>
        </w:rPr>
        <w:t xml:space="preserve"> 2003</w:t>
      </w:r>
      <w:r w:rsidRPr="00755335">
        <w:t>, reg</w:t>
      </w:r>
      <w:r>
        <w:t>ulation</w:t>
      </w:r>
      <w:r w:rsidRPr="00755335">
        <w:t xml:space="preserve"> 7 and Schedule 1, paragraph 2(d).</w:t>
      </w:r>
    </w:p>
  </w:footnote>
  <w:footnote w:id="14">
    <w:p w14:paraId="5CAF1CE3" w14:textId="77777777" w:rsidR="00A20ABE" w:rsidRPr="00755335" w:rsidRDefault="00A20ABE" w:rsidP="00755335">
      <w:pPr>
        <w:pStyle w:val="FootnoteText"/>
      </w:pPr>
      <w:r w:rsidRPr="00755335">
        <w:rPr>
          <w:rStyle w:val="FootnoteReference"/>
          <w:vertAlign w:val="baseline"/>
        </w:rPr>
        <w:footnoteRef/>
      </w:r>
      <w:r w:rsidRPr="00755335">
        <w:t xml:space="preserve"> </w:t>
      </w:r>
      <w:r>
        <w:tab/>
      </w:r>
      <w:proofErr w:type="spellStart"/>
      <w:r>
        <w:t>Pottinger</w:t>
      </w:r>
      <w:proofErr w:type="spellEnd"/>
      <w:r>
        <w:t xml:space="preserve"> Report, </w:t>
      </w:r>
      <w:r w:rsidRPr="00755335">
        <w:t xml:space="preserve">page </w:t>
      </w:r>
      <w:r>
        <w:t>76.</w:t>
      </w:r>
    </w:p>
  </w:footnote>
  <w:footnote w:id="15">
    <w:p w14:paraId="44F413E5" w14:textId="77777777" w:rsidR="00A20ABE" w:rsidRDefault="00A20ABE">
      <w:pPr>
        <w:pStyle w:val="FootnoteText"/>
      </w:pPr>
      <w:r>
        <w:rPr>
          <w:rStyle w:val="FootnoteReference"/>
        </w:rPr>
        <w:footnoteRef/>
      </w:r>
      <w:r>
        <w:t xml:space="preserve">    Op </w:t>
      </w:r>
      <w:proofErr w:type="spellStart"/>
      <w:r>
        <w:t>cit</w:t>
      </w:r>
      <w:proofErr w:type="spellEnd"/>
      <w:r>
        <w:t>, page 82</w:t>
      </w:r>
    </w:p>
  </w:footnote>
  <w:footnote w:id="16">
    <w:p w14:paraId="62AC1374" w14:textId="77777777" w:rsidR="00A20ABE" w:rsidRPr="00755335" w:rsidRDefault="00A20ABE" w:rsidP="00755335">
      <w:pPr>
        <w:pStyle w:val="FootnoteText"/>
      </w:pPr>
      <w:r w:rsidRPr="00755335">
        <w:rPr>
          <w:rStyle w:val="FootnoteReference"/>
          <w:vertAlign w:val="baseline"/>
        </w:rPr>
        <w:footnoteRef/>
      </w:r>
      <w:r w:rsidRPr="00755335">
        <w:t xml:space="preserve"> </w:t>
      </w:r>
      <w:r>
        <w:tab/>
      </w:r>
      <w:r w:rsidRPr="00755335">
        <w:t xml:space="preserve">Guy Carpenter, </w:t>
      </w:r>
      <w:r w:rsidRPr="009A2CD5">
        <w:rPr>
          <w:i/>
        </w:rPr>
        <w:t>‘A Comparison of the Federal Terrorism Insurance Backstop Legislation’</w:t>
      </w:r>
      <w:r w:rsidRPr="00755335">
        <w:t>, 8 January 2015.</w:t>
      </w:r>
    </w:p>
  </w:footnote>
  <w:footnote w:id="17">
    <w:p w14:paraId="7E732C1E" w14:textId="77777777" w:rsidR="00A20ABE" w:rsidRPr="00755335" w:rsidRDefault="00A20ABE" w:rsidP="00755335">
      <w:pPr>
        <w:pStyle w:val="FootnoteText"/>
        <w:jc w:val="left"/>
      </w:pPr>
      <w:r w:rsidRPr="00755335">
        <w:rPr>
          <w:rStyle w:val="FootnoteReference"/>
          <w:vertAlign w:val="baseline"/>
        </w:rPr>
        <w:footnoteRef/>
      </w:r>
      <w:r w:rsidRPr="00755335">
        <w:t xml:space="preserve"> </w:t>
      </w:r>
      <w:r>
        <w:tab/>
      </w:r>
      <w:proofErr w:type="spellStart"/>
      <w:r>
        <w:t>Sturdevant</w:t>
      </w:r>
      <w:proofErr w:type="spellEnd"/>
      <w:r>
        <w:t xml:space="preserve">, Matthew </w:t>
      </w:r>
      <w:r w:rsidRPr="00755335">
        <w:t>31</w:t>
      </w:r>
      <w:r>
        <w:t> </w:t>
      </w:r>
      <w:r w:rsidRPr="00755335">
        <w:t>December</w:t>
      </w:r>
      <w:r>
        <w:t> </w:t>
      </w:r>
      <w:r w:rsidRPr="00755335">
        <w:t xml:space="preserve">2014, Hartford Courant, </w:t>
      </w:r>
      <w:hyperlink r:id="rId1" w:history="1">
        <w:r w:rsidRPr="00B82128">
          <w:rPr>
            <w:rStyle w:val="Hyperlink"/>
          </w:rPr>
          <w:t>www.courant.com/business/connecticut</w:t>
        </w:r>
        <w:r w:rsidRPr="00B82128">
          <w:rPr>
            <w:rStyle w:val="Hyperlink"/>
          </w:rPr>
          <w:noBreakHyphen/>
          <w:t>insurance/hc</w:t>
        </w:r>
        <w:r w:rsidRPr="00B82128">
          <w:rPr>
            <w:rStyle w:val="Hyperlink"/>
          </w:rPr>
          <w:noBreakHyphen/>
          <w:t>terrorism</w:t>
        </w:r>
        <w:r w:rsidRPr="00B82128">
          <w:rPr>
            <w:rStyle w:val="Hyperlink"/>
          </w:rPr>
          <w:noBreakHyphen/>
          <w:t>insurance</w:t>
        </w:r>
        <w:r w:rsidRPr="00B82128">
          <w:rPr>
            <w:rStyle w:val="Hyperlink"/>
          </w:rPr>
          <w:noBreakHyphen/>
          <w:t>act</w:t>
        </w:r>
        <w:r w:rsidRPr="00B82128">
          <w:rPr>
            <w:rStyle w:val="Hyperlink"/>
          </w:rPr>
          <w:noBreakHyphen/>
          <w:t>expires</w:t>
        </w:r>
        <w:r w:rsidRPr="00B82128">
          <w:rPr>
            <w:rStyle w:val="Hyperlink"/>
          </w:rPr>
          <w:noBreakHyphen/>
        </w:r>
        <w:r w:rsidRPr="00B82128">
          <w:rPr>
            <w:rStyle w:val="Hyperlink"/>
          </w:rPr>
          <w:br/>
          <w:t>20141231</w:t>
        </w:r>
        <w:r w:rsidRPr="00B82128">
          <w:rPr>
            <w:rStyle w:val="Hyperlink"/>
          </w:rPr>
          <w:noBreakHyphen/>
          <w:t>story.html</w:t>
        </w:r>
      </w:hyperlink>
      <w:proofErr w:type="gramStart"/>
      <w:r w:rsidRPr="00755335">
        <w:rPr>
          <w:rStyle w:val="Hyperlink"/>
          <w:color w:val="000000"/>
        </w:rPr>
        <w:t>,</w:t>
      </w:r>
      <w:r w:rsidRPr="00755335">
        <w:t>viewed</w:t>
      </w:r>
      <w:proofErr w:type="gramEnd"/>
      <w:r w:rsidRPr="00755335">
        <w:t xml:space="preserve"> 29 January 2015. </w:t>
      </w:r>
    </w:p>
  </w:footnote>
  <w:footnote w:id="18">
    <w:p w14:paraId="23707914" w14:textId="77777777" w:rsidR="00A20ABE" w:rsidRPr="00755335" w:rsidRDefault="00A20ABE" w:rsidP="00755335">
      <w:pPr>
        <w:pStyle w:val="FootnoteText"/>
        <w:jc w:val="left"/>
      </w:pPr>
      <w:r w:rsidRPr="00755335">
        <w:rPr>
          <w:rStyle w:val="FootnoteReference"/>
          <w:vertAlign w:val="baseline"/>
        </w:rPr>
        <w:footnoteRef/>
      </w:r>
      <w:r w:rsidRPr="00755335">
        <w:t xml:space="preserve"> </w:t>
      </w:r>
      <w:r>
        <w:tab/>
      </w:r>
      <w:r w:rsidRPr="00755335">
        <w:t>Lehrer, Eli, 23 December 2014, The Weekly Standard,</w:t>
      </w:r>
      <w:r w:rsidRPr="00643C3E">
        <w:t xml:space="preserve"> </w:t>
      </w:r>
      <w:hyperlink r:id="rId2" w:history="1">
        <w:r w:rsidRPr="00514D2D">
          <w:rPr>
            <w:rStyle w:val="Hyperlink"/>
          </w:rPr>
          <w:t>www.weeklystandard.com/blogs/market</w:t>
        </w:r>
        <w:r w:rsidRPr="00514D2D">
          <w:rPr>
            <w:rStyle w:val="Hyperlink"/>
          </w:rPr>
          <w:noBreakHyphen/>
          <w:t>fine</w:t>
        </w:r>
        <w:r w:rsidRPr="00514D2D">
          <w:rPr>
            <w:rStyle w:val="Hyperlink"/>
          </w:rPr>
          <w:noBreakHyphen/>
          <w:t>after</w:t>
        </w:r>
        <w:r w:rsidRPr="00514D2D">
          <w:rPr>
            <w:rStyle w:val="Hyperlink"/>
          </w:rPr>
          <w:noBreakHyphen/>
          <w:t>congress</w:t>
        </w:r>
        <w:r w:rsidRPr="00514D2D">
          <w:rPr>
            <w:rStyle w:val="Hyperlink"/>
          </w:rPr>
          <w:noBreakHyphen/>
          <w:t>fails</w:t>
        </w:r>
        <w:r w:rsidRPr="00514D2D">
          <w:rPr>
            <w:rStyle w:val="Hyperlink"/>
          </w:rPr>
          <w:noBreakHyphen/>
          <w:t>reauthorize</w:t>
        </w:r>
        <w:r w:rsidRPr="00514D2D">
          <w:rPr>
            <w:rStyle w:val="Hyperlink"/>
          </w:rPr>
          <w:noBreakHyphen/>
          <w:t>fed</w:t>
        </w:r>
        <w:r w:rsidRPr="00514D2D">
          <w:rPr>
            <w:rStyle w:val="Hyperlink"/>
          </w:rPr>
          <w:noBreakHyphen/>
          <w:t>backed</w:t>
        </w:r>
        <w:r w:rsidRPr="00514D2D">
          <w:rPr>
            <w:rStyle w:val="Hyperlink"/>
          </w:rPr>
          <w:noBreakHyphen/>
          <w:t>terrorism</w:t>
        </w:r>
        <w:r w:rsidRPr="00514D2D">
          <w:rPr>
            <w:rStyle w:val="Hyperlink"/>
          </w:rPr>
          <w:noBreakHyphen/>
          <w:t>risk</w:t>
        </w:r>
        <w:r w:rsidRPr="00514D2D">
          <w:rPr>
            <w:rStyle w:val="Hyperlink"/>
          </w:rPr>
          <w:noBreakHyphen/>
        </w:r>
        <w:r w:rsidRPr="00514D2D">
          <w:rPr>
            <w:rStyle w:val="Hyperlink"/>
          </w:rPr>
          <w:br/>
          <w:t>insurance_822353.html</w:t>
        </w:r>
      </w:hyperlink>
      <w:r>
        <w:rPr>
          <w:rStyle w:val="Hyperlink"/>
        </w:rPr>
        <w:t>,</w:t>
      </w:r>
      <w:r w:rsidRPr="00755335">
        <w:t xml:space="preserve"> viewed 29 January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25ADB" w14:textId="77777777" w:rsidR="00A20ABE" w:rsidRDefault="00A20ABE" w:rsidP="00D85D73">
    <w:pPr>
      <w:pStyle w:val="SecurityClassificationHeader"/>
      <w:rPr>
        <w:rStyle w:val="FramedHeader"/>
      </w:rPr>
    </w:pPr>
  </w:p>
  <w:p w14:paraId="2C74243B" w14:textId="77777777" w:rsidR="00A20ABE" w:rsidRDefault="00A20ABE">
    <w:pPr>
      <w:framePr w:wrap="around" w:hAnchor="page" w:x="14460" w:yAlign="top" w:anchorLock="1"/>
      <w:textDirection w:val="tbRl"/>
      <w:rPr>
        <w:rStyle w:val="FramedHeader"/>
      </w:rPr>
    </w:pPr>
    <w:r>
      <w:rPr>
        <w:rStyle w:val="FramedHeader"/>
      </w:rPr>
      <w:t>Publication Title</w:t>
    </w:r>
  </w:p>
  <w:p w14:paraId="7E9EA667" w14:textId="77777777" w:rsidR="00A20ABE" w:rsidRDefault="00A20ABE" w:rsidP="00AF2437">
    <w:pPr>
      <w:pStyle w:val="HeaderEven"/>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E3513" w14:textId="77777777" w:rsidR="00A20ABE" w:rsidRDefault="00A20AB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698FF" w14:textId="77777777" w:rsidR="00A20ABE" w:rsidRDefault="00A20ABE">
    <w:pPr>
      <w:pStyle w:val="HeaderOd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B0F08" w14:textId="77777777" w:rsidR="00A20ABE" w:rsidRDefault="00A20ABE" w:rsidP="00D85D73">
    <w:pPr>
      <w:pStyle w:val="SecurityClassification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3B740" w14:textId="77777777" w:rsidR="00A20ABE" w:rsidRDefault="00A20ABE">
    <w:pPr>
      <w:framePr w:wrap="around" w:hAnchor="page" w:x="14460" w:yAlign="top" w:anchorLock="1"/>
      <w:textDirection w:val="tbRl"/>
      <w:rPr>
        <w:rStyle w:val="FramedHeader"/>
      </w:rPr>
    </w:pPr>
    <w:r>
      <w:rPr>
        <w:rStyle w:val="FramedHeader"/>
      </w:rPr>
      <w:t>Publication Title</w:t>
    </w:r>
  </w:p>
  <w:p w14:paraId="01FA05F2" w14:textId="77777777" w:rsidR="00A20ABE" w:rsidRPr="000D43BA" w:rsidRDefault="00A20ABE" w:rsidP="00D85D73">
    <w:pPr>
      <w:keepNext/>
      <w:rPr>
        <w:color w:val="4F81BD" w:themeColor="accent1"/>
      </w:rPr>
    </w:pPr>
    <w:r w:rsidRPr="000D43BA">
      <w:rPr>
        <w:color w:val="4F81BD" w:themeColor="accent1"/>
      </w:rPr>
      <w:t>Terrorism Insurance Act Review: 2012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99A37" w14:textId="77777777" w:rsidR="00A20ABE" w:rsidRDefault="00A20ABE">
    <w:pPr>
      <w:pStyle w:val="HeaderOd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19A46" w14:textId="77777777" w:rsidR="00A20ABE" w:rsidRPr="006A199A" w:rsidRDefault="00A20ABE" w:rsidP="00D85D7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17182" w14:textId="77777777" w:rsidR="00A20ABE" w:rsidRDefault="00A20ABE">
    <w:pPr>
      <w:framePr w:wrap="around" w:hAnchor="page" w:x="14460" w:yAlign="top" w:anchorLock="1"/>
      <w:textDirection w:val="tbRl"/>
      <w:rPr>
        <w:rStyle w:val="FramedHeader"/>
      </w:rPr>
    </w:pPr>
    <w:r>
      <w:rPr>
        <w:rStyle w:val="FramedHeader"/>
      </w:rPr>
      <w:t>Publication Title</w:t>
    </w:r>
  </w:p>
  <w:p w14:paraId="774C47FD" w14:textId="77777777" w:rsidR="00A20ABE" w:rsidRPr="000D43BA" w:rsidRDefault="00A20ABE" w:rsidP="004C4703">
    <w:pPr>
      <w:keepNext/>
      <w:tabs>
        <w:tab w:val="left" w:pos="5100"/>
      </w:tabs>
      <w:rPr>
        <w:color w:val="4F81BD" w:themeColor="accent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C2C42" w14:textId="77777777" w:rsidR="00A20ABE" w:rsidRDefault="00A20A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01029" w14:textId="77777777" w:rsidR="00A20ABE" w:rsidRDefault="00A20AB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02547" w14:textId="77777777" w:rsidR="00A20ABE" w:rsidRDefault="00A20ABE">
    <w:pPr>
      <w:framePr w:wrap="around" w:hAnchor="page" w:x="14460" w:yAlign="top" w:anchorLock="1"/>
      <w:textDirection w:val="tbRl"/>
      <w:rPr>
        <w:rStyle w:val="FramedHeader"/>
      </w:rPr>
    </w:pPr>
    <w:r>
      <w:rPr>
        <w:rStyle w:val="FramedHeader"/>
      </w:rPr>
      <w:t>Publication Title</w:t>
    </w:r>
  </w:p>
  <w:p w14:paraId="6272BA2E" w14:textId="77777777" w:rsidR="00A20ABE" w:rsidRDefault="00D858DE" w:rsidP="005938C3">
    <w:pPr>
      <w:pStyle w:val="HeaderEven"/>
    </w:pPr>
    <w:fldSimple w:instr=" TITLE   \* MERGEFORMAT ">
      <w:r>
        <w:t>Terrorism Insurance Act Review 2015</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3F89B" w14:textId="77777777" w:rsidR="00A20ABE" w:rsidRPr="00930287" w:rsidRDefault="00A20ABE" w:rsidP="00D85D7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92DD4" w14:textId="77777777" w:rsidR="00A20ABE" w:rsidRDefault="00A20ABE" w:rsidP="00D85D73">
    <w:pPr>
      <w:pStyle w:val="SecurityClassification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7BD7A" w14:textId="77777777" w:rsidR="00A20ABE" w:rsidRDefault="00A20AB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75951" w14:textId="77777777" w:rsidR="00A20ABE" w:rsidRPr="005938C3" w:rsidRDefault="00D858DE" w:rsidP="005938C3">
    <w:pPr>
      <w:pStyle w:val="HeaderOdd"/>
    </w:pPr>
    <w:fldSimple w:instr=" STYLEREF  &quot;Heading 1&quot;  \* MERGEFORMAT ">
      <w:r w:rsidR="00C652A5">
        <w:rPr>
          <w:noProof/>
        </w:rPr>
        <w:t>Chapter 5:  Clarifying the coverage of the scheme</w:t>
      </w:r>
    </w:fldSimple>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7E7FF" w14:textId="77777777" w:rsidR="00A20ABE" w:rsidRDefault="00A20ABE" w:rsidP="005938C3">
    <w:pPr>
      <w:pStyle w:val="HeaderOd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76AF5E"/>
    <w:lvl w:ilvl="0">
      <w:start w:val="1"/>
      <w:numFmt w:val="decimal"/>
      <w:lvlText w:val="%1."/>
      <w:lvlJc w:val="left"/>
      <w:pPr>
        <w:tabs>
          <w:tab w:val="num" w:pos="1492"/>
        </w:tabs>
        <w:ind w:left="1492" w:hanging="360"/>
      </w:pPr>
    </w:lvl>
  </w:abstractNum>
  <w:abstractNum w:abstractNumId="1">
    <w:nsid w:val="FFFFFF7D"/>
    <w:multiLevelType w:val="singleLevel"/>
    <w:tmpl w:val="EEA2744C"/>
    <w:lvl w:ilvl="0">
      <w:start w:val="1"/>
      <w:numFmt w:val="decimal"/>
      <w:lvlText w:val="%1."/>
      <w:lvlJc w:val="left"/>
      <w:pPr>
        <w:tabs>
          <w:tab w:val="num" w:pos="1209"/>
        </w:tabs>
        <w:ind w:left="1209" w:hanging="360"/>
      </w:pPr>
    </w:lvl>
  </w:abstractNum>
  <w:abstractNum w:abstractNumId="2">
    <w:nsid w:val="FFFFFF7E"/>
    <w:multiLevelType w:val="singleLevel"/>
    <w:tmpl w:val="E2F43C9A"/>
    <w:lvl w:ilvl="0">
      <w:start w:val="1"/>
      <w:numFmt w:val="decimal"/>
      <w:lvlText w:val="%1."/>
      <w:lvlJc w:val="left"/>
      <w:pPr>
        <w:tabs>
          <w:tab w:val="num" w:pos="926"/>
        </w:tabs>
        <w:ind w:left="926" w:hanging="360"/>
      </w:pPr>
    </w:lvl>
  </w:abstractNum>
  <w:abstractNum w:abstractNumId="3">
    <w:nsid w:val="FFFFFF7F"/>
    <w:multiLevelType w:val="singleLevel"/>
    <w:tmpl w:val="A8D6C6DC"/>
    <w:lvl w:ilvl="0">
      <w:start w:val="1"/>
      <w:numFmt w:val="decimal"/>
      <w:lvlText w:val="%1."/>
      <w:lvlJc w:val="left"/>
      <w:pPr>
        <w:tabs>
          <w:tab w:val="num" w:pos="643"/>
        </w:tabs>
        <w:ind w:left="643" w:hanging="360"/>
      </w:pPr>
    </w:lvl>
  </w:abstractNum>
  <w:abstractNum w:abstractNumId="4">
    <w:nsid w:val="FFFFFF80"/>
    <w:multiLevelType w:val="singleLevel"/>
    <w:tmpl w:val="246E067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AA54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B1C22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616C79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B282C4"/>
    <w:lvl w:ilvl="0">
      <w:start w:val="1"/>
      <w:numFmt w:val="decimal"/>
      <w:lvlText w:val="%1."/>
      <w:lvlJc w:val="left"/>
      <w:pPr>
        <w:tabs>
          <w:tab w:val="num" w:pos="360"/>
        </w:tabs>
        <w:ind w:left="360" w:hanging="360"/>
      </w:pPr>
    </w:lvl>
  </w:abstractNum>
  <w:abstractNum w:abstractNumId="9">
    <w:nsid w:val="FFFFFF89"/>
    <w:multiLevelType w:val="singleLevel"/>
    <w:tmpl w:val="D9B6BB02"/>
    <w:lvl w:ilvl="0">
      <w:start w:val="1"/>
      <w:numFmt w:val="bullet"/>
      <w:lvlText w:val=""/>
      <w:lvlJc w:val="left"/>
      <w:pPr>
        <w:tabs>
          <w:tab w:val="num" w:pos="360"/>
        </w:tabs>
        <w:ind w:left="360" w:hanging="360"/>
      </w:pPr>
      <w:rPr>
        <w:rFonts w:ascii="Symbol" w:hAnsi="Symbol" w:hint="default"/>
      </w:rPr>
    </w:lvl>
  </w:abstractNum>
  <w:abstractNum w:abstractNumId="10">
    <w:nsid w:val="014B37F9"/>
    <w:multiLevelType w:val="multilevel"/>
    <w:tmpl w:val="FF843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30329CA"/>
    <w:multiLevelType w:val="multilevel"/>
    <w:tmpl w:val="2C62F56E"/>
    <w:name w:val="StandardBulletedList"/>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6C743A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7ED3FC7"/>
    <w:multiLevelType w:val="multilevel"/>
    <w:tmpl w:val="F8BE2F76"/>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4">
    <w:nsid w:val="090B0DB0"/>
    <w:multiLevelType w:val="multilevel"/>
    <w:tmpl w:val="D9A8A212"/>
    <w:styleLink w:val="RomanNumeralList"/>
    <w:lvl w:ilvl="0">
      <w:start w:val="1"/>
      <w:numFmt w:val="lowerRoman"/>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0CC51CAE"/>
    <w:multiLevelType w:val="hybridMultilevel"/>
    <w:tmpl w:val="03E82C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7124F15"/>
    <w:multiLevelType w:val="multilevel"/>
    <w:tmpl w:val="1E9EFC46"/>
    <w:lvl w:ilvl="0">
      <w:start w:val="1"/>
      <w:numFmt w:val="lowerLetter"/>
      <w:lvlText w:val="%1)"/>
      <w:lvlJc w:val="left"/>
      <w:pPr>
        <w:tabs>
          <w:tab w:val="num" w:pos="566"/>
        </w:tabs>
        <w:ind w:left="566" w:hanging="566"/>
      </w:pPr>
      <w:rPr>
        <w:b w:val="0"/>
        <w:i w:val="0"/>
      </w:rPr>
    </w:lvl>
    <w:lvl w:ilvl="1">
      <w:start w:val="1"/>
      <w:numFmt w:val="bullet"/>
      <w:lvlText w:val="–"/>
      <w:lvlJc w:val="left"/>
      <w:pPr>
        <w:tabs>
          <w:tab w:val="num" w:pos="1134"/>
        </w:tabs>
        <w:ind w:left="1134" w:hanging="568"/>
      </w:pPr>
      <w:rPr>
        <w:rFonts w:ascii="Times New Roman" w:hAnsi="Times New Roman" w:cs="Times New Roman"/>
        <w:b w:val="0"/>
        <w:i w:val="0"/>
      </w:rPr>
    </w:lvl>
    <w:lvl w:ilvl="2">
      <w:start w:val="1"/>
      <w:numFmt w:val="bulle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8">
    <w:nsid w:val="19C960FD"/>
    <w:multiLevelType w:val="multilevel"/>
    <w:tmpl w:val="DA101CDC"/>
    <w:name w:val="OneLevelNumberedParagraphList"/>
    <w:lvl w:ilvl="0">
      <w:start w:val="1"/>
      <w:numFmt w:val="decimal"/>
      <w:lvlRestart w:val="0"/>
      <w:pStyle w:val="OneLevelNumberedParagraph"/>
      <w:lvlText w:val="%1."/>
      <w:lvlJc w:val="left"/>
      <w:pPr>
        <w:tabs>
          <w:tab w:val="num" w:pos="567"/>
        </w:tabs>
        <w:ind w:left="567" w:hanging="567"/>
      </w:pPr>
      <w:rPr>
        <w:rFonts w:ascii="Arial" w:hAnsi="Arial" w:cs="Arial"/>
        <w:b w:val="0"/>
        <w:i w:val="0"/>
        <w:color w:val="000000"/>
        <w:sz w:val="22"/>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9">
    <w:nsid w:val="1E6B29F1"/>
    <w:multiLevelType w:val="multilevel"/>
    <w:tmpl w:val="EDEE4FB6"/>
    <w:styleLink w:val="Recommendation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bullet"/>
      <w:lvlText w:val=":"/>
      <w:lvlJc w:val="left"/>
      <w:pPr>
        <w:tabs>
          <w:tab w:val="num" w:pos="567"/>
        </w:tabs>
        <w:ind w:left="567" w:hanging="283"/>
      </w:pPr>
      <w:rPr>
        <w:rFonts w:hint="default"/>
      </w:rPr>
    </w:lvl>
    <w:lvl w:ilvl="2">
      <w:start w:val="1"/>
      <w:numFmt w:val="bulle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2BF3099"/>
    <w:multiLevelType w:val="multilevel"/>
    <w:tmpl w:val="1034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6A5BB3"/>
    <w:multiLevelType w:val="multilevel"/>
    <w:tmpl w:val="FA9E4CAC"/>
    <w:lvl w:ilvl="0">
      <w:start w:val="1"/>
      <w:numFmt w:val="decimal"/>
      <w:lvlRestart w:val="0"/>
      <w:lvlText w:val="%1."/>
      <w:lvlJc w:val="left"/>
      <w:pPr>
        <w:tabs>
          <w:tab w:val="num" w:pos="567"/>
        </w:tabs>
        <w:ind w:left="567" w:hanging="567"/>
      </w:pPr>
      <w:rPr>
        <w:b w:val="0"/>
        <w:i w:val="0"/>
      </w:rPr>
    </w:lvl>
    <w:lvl w:ilvl="1">
      <w:start w:val="1"/>
      <w:numFmt w:val="decimal"/>
      <w:lvlText w:val="%1.%2."/>
      <w:lvlJc w:val="left"/>
      <w:pPr>
        <w:tabs>
          <w:tab w:val="num" w:pos="1134"/>
        </w:tabs>
        <w:ind w:left="1134" w:hanging="567"/>
      </w:pPr>
      <w:rPr>
        <w:b w:val="0"/>
        <w:i w:val="0"/>
      </w:rPr>
    </w:lvl>
    <w:lvl w:ilvl="2">
      <w:start w:val="1"/>
      <w:numFmt w:val="decimal"/>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2">
    <w:nsid w:val="244237C5"/>
    <w:multiLevelType w:val="multilevel"/>
    <w:tmpl w:val="79DC86BC"/>
    <w:name w:val="StandardNumberedList"/>
    <w:lvl w:ilvl="0">
      <w:start w:val="1"/>
      <w:numFmt w:val="decimal"/>
      <w:pStyle w:val="OutlineNumbered1"/>
      <w:lvlText w:val="%1."/>
      <w:lvlJc w:val="left"/>
      <w:pPr>
        <w:tabs>
          <w:tab w:val="num" w:pos="520"/>
        </w:tabs>
        <w:ind w:left="520" w:hanging="520"/>
      </w:pPr>
      <w:rPr>
        <w:rFonts w:hint="default"/>
        <w:b w:val="0"/>
        <w:i w:val="0"/>
      </w:rPr>
    </w:lvl>
    <w:lvl w:ilvl="1">
      <w:start w:val="1"/>
      <w:numFmt w:val="decimal"/>
      <w:pStyle w:val="OutlineNumbered2"/>
      <w:lvlText w:val="%1.%2."/>
      <w:lvlJc w:val="left"/>
      <w:pPr>
        <w:tabs>
          <w:tab w:val="num" w:pos="1040"/>
        </w:tabs>
        <w:ind w:left="1040" w:hanging="520"/>
      </w:pPr>
      <w:rPr>
        <w:rFonts w:hint="default"/>
        <w:b w:val="0"/>
        <w:i w:val="0"/>
      </w:rPr>
    </w:lvl>
    <w:lvl w:ilvl="2">
      <w:start w:val="1"/>
      <w:numFmt w:val="decimal"/>
      <w:pStyle w:val="OutlineNumbered3"/>
      <w:lvlText w:val="%1.%2.%3."/>
      <w:lvlJc w:val="left"/>
      <w:pPr>
        <w:tabs>
          <w:tab w:val="num" w:pos="1560"/>
        </w:tabs>
        <w:ind w:left="1560" w:hanging="520"/>
      </w:pPr>
      <w:rPr>
        <w:rFonts w:hint="default"/>
        <w:b w:val="0"/>
        <w:i w:val="0"/>
      </w:rPr>
    </w:lvl>
    <w:lvl w:ilvl="3">
      <w:start w:val="1"/>
      <w:numFmt w:val="decimal"/>
      <w:lvlText w:val="%1.%2.%3.%4"/>
      <w:lvlJc w:val="left"/>
      <w:pPr>
        <w:tabs>
          <w:tab w:val="num" w:pos="2551"/>
        </w:tabs>
        <w:ind w:left="2551" w:hanging="850"/>
      </w:pPr>
      <w:rPr>
        <w:rFonts w:hint="default"/>
        <w:b w:val="0"/>
        <w:i w:val="0"/>
      </w:rPr>
    </w:lvl>
    <w:lvl w:ilvl="4">
      <w:start w:val="1"/>
      <w:numFmt w:val="lowerLetter"/>
      <w:pStyle w:val="OutlineNumbered5"/>
      <w:lvlText w:val="(%5)"/>
      <w:lvlJc w:val="left"/>
      <w:pPr>
        <w:tabs>
          <w:tab w:val="num" w:pos="2835"/>
        </w:tabs>
        <w:ind w:left="2835" w:hanging="567"/>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nsid w:val="25C06266"/>
    <w:multiLevelType w:val="multilevel"/>
    <w:tmpl w:val="2F9E1BE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lowerLetter"/>
      <w:lvlText w:val="(%5)"/>
      <w:lvlJc w:val="left"/>
      <w:pPr>
        <w:tabs>
          <w:tab w:val="num" w:pos="2835"/>
        </w:tabs>
        <w:ind w:left="2835" w:hanging="567"/>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4">
    <w:nsid w:val="27440C8B"/>
    <w:multiLevelType w:val="multilevel"/>
    <w:tmpl w:val="CB5C4156"/>
    <w:name w:val="StandardBulletedList_"/>
    <w:lvl w:ilvl="0">
      <w:start w:val="1"/>
      <w:numFmt w:val="bullet"/>
      <w:lvlRestart w:val="0"/>
      <w:pStyle w:val="Bullet"/>
      <w:lvlText w:val="•"/>
      <w:lvlJc w:val="left"/>
      <w:pPr>
        <w:tabs>
          <w:tab w:val="num" w:pos="566"/>
        </w:tabs>
        <w:ind w:left="566" w:hanging="566"/>
      </w:pPr>
      <w:rPr>
        <w:rFonts w:ascii="Times New Roman" w:hAnsi="Times New Roman" w:cs="Times New Roman"/>
        <w:b w:val="0"/>
        <w:i w:val="0"/>
      </w:rPr>
    </w:lvl>
    <w:lvl w:ilvl="1">
      <w:start w:val="1"/>
      <w:numFmt w:val="bullet"/>
      <w:pStyle w:val="Dash"/>
      <w:lvlText w:val="–"/>
      <w:lvlJc w:val="left"/>
      <w:pPr>
        <w:tabs>
          <w:tab w:val="num" w:pos="1134"/>
        </w:tabs>
        <w:ind w:left="1134" w:hanging="568"/>
      </w:pPr>
      <w:rPr>
        <w:rFonts w:ascii="Times New Roman" w:hAnsi="Times New Roman" w:cs="Times New Roman"/>
        <w:b w:val="0"/>
        <w:i w:val="0"/>
      </w:rPr>
    </w:lvl>
    <w:lvl w:ilvl="2">
      <w:start w:val="1"/>
      <w:numFmt w:val="bullet"/>
      <w:pStyle w:val="DoubleDo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5">
    <w:nsid w:val="278D78E7"/>
    <w:multiLevelType w:val="multilevel"/>
    <w:tmpl w:val="227083C4"/>
    <w:name w:val="OneLevelRomanNumeralList"/>
    <w:lvl w:ilvl="0">
      <w:start w:val="1"/>
      <w:numFmt w:val="lowerRoman"/>
      <w:lvlRestart w:val="0"/>
      <w:pStyle w:val="Romannumeral"/>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6">
    <w:nsid w:val="2B4C39B2"/>
    <w:multiLevelType w:val="multilevel"/>
    <w:tmpl w:val="34B2E37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2D097FDD"/>
    <w:multiLevelType w:val="multilevel"/>
    <w:tmpl w:val="0A1661C4"/>
    <w:name w:val="HeadingList"/>
    <w:lvl w:ilvl="0">
      <w:start w:val="1"/>
      <w:numFmt w:val="decimal"/>
      <w:lvlRestart w:val="0"/>
      <w:lvlText w:val="%1."/>
      <w:lvlJc w:val="left"/>
      <w:pPr>
        <w:tabs>
          <w:tab w:val="num" w:pos="567"/>
        </w:tabs>
        <w:ind w:left="567" w:hanging="567"/>
      </w:pPr>
      <w:rPr>
        <w:rFonts w:ascii="Arial" w:hAnsi="Arial" w:cs="Arial"/>
        <w:b w:val="0"/>
        <w:i w:val="0"/>
        <w:color w:val="342E82"/>
        <w:sz w:val="36"/>
      </w:rPr>
    </w:lvl>
    <w:lvl w:ilvl="1">
      <w:start w:val="1"/>
      <w:numFmt w:val="decimal"/>
      <w:lvlText w:val="%1.%2"/>
      <w:lvlJc w:val="left"/>
      <w:pPr>
        <w:tabs>
          <w:tab w:val="num" w:pos="567"/>
        </w:tabs>
        <w:ind w:left="567" w:hanging="567"/>
      </w:pPr>
      <w:rPr>
        <w:rFonts w:ascii="Arial" w:hAnsi="Arial" w:cs="Arial"/>
        <w:b w:val="0"/>
        <w:i w:val="0"/>
        <w:color w:val="342E82"/>
        <w:sz w:val="32"/>
      </w:rPr>
    </w:lvl>
    <w:lvl w:ilvl="2">
      <w:start w:val="1"/>
      <w:numFmt w:val="decimal"/>
      <w:lvlText w:val="%1.%2.%3"/>
      <w:lvlJc w:val="left"/>
      <w:pPr>
        <w:tabs>
          <w:tab w:val="num" w:pos="567"/>
        </w:tabs>
        <w:ind w:left="567" w:hanging="567"/>
      </w:pPr>
      <w:rPr>
        <w:rFonts w:ascii="Arial" w:hAnsi="Arial" w:cs="Arial"/>
        <w:b w:val="0"/>
        <w:i w:val="0"/>
        <w:color w:val="342E82"/>
        <w:sz w:val="28"/>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8">
    <w:nsid w:val="2D665DFA"/>
    <w:multiLevelType w:val="singleLevel"/>
    <w:tmpl w:val="D7E4CFE6"/>
    <w:name w:val="OneLevelAlphaParagraphList"/>
    <w:lvl w:ilvl="0">
      <w:start w:val="1"/>
      <w:numFmt w:val="lowerLetter"/>
      <w:lvlRestart w:val="0"/>
      <w:pStyle w:val="AlphaParagraph"/>
      <w:lvlText w:val="(%1)"/>
      <w:lvlJc w:val="left"/>
      <w:pPr>
        <w:tabs>
          <w:tab w:val="num" w:pos="567"/>
        </w:tabs>
        <w:ind w:left="567" w:hanging="567"/>
      </w:pPr>
      <w:rPr>
        <w:rFonts w:ascii="Arial" w:hAnsi="Arial" w:cs="Arial"/>
        <w:b w:val="0"/>
        <w:i w:val="0"/>
        <w:sz w:val="22"/>
      </w:rPr>
    </w:lvl>
  </w:abstractNum>
  <w:abstractNum w:abstractNumId="29">
    <w:nsid w:val="308C2710"/>
    <w:multiLevelType w:val="multilevel"/>
    <w:tmpl w:val="30241BA0"/>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852"/>
        </w:tabs>
        <w:ind w:left="852"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Symbol" w:hAnsi="Symbol"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0">
    <w:nsid w:val="3238442C"/>
    <w:multiLevelType w:val="multilevel"/>
    <w:tmpl w:val="4DAA0B3E"/>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F43374A"/>
    <w:multiLevelType w:val="multilevel"/>
    <w:tmpl w:val="9ABCA912"/>
    <w:lvl w:ilvl="0">
      <w:start w:val="1"/>
      <w:numFmt w:val="lowerLetter"/>
      <w:lvlText w:val="%1)"/>
      <w:lvlJc w:val="left"/>
      <w:pPr>
        <w:tabs>
          <w:tab w:val="num" w:pos="566"/>
        </w:tabs>
        <w:ind w:left="566" w:hanging="566"/>
      </w:pPr>
      <w:rPr>
        <w:b w:val="0"/>
        <w:i w:val="0"/>
      </w:rPr>
    </w:lvl>
    <w:lvl w:ilvl="1">
      <w:start w:val="1"/>
      <w:numFmt w:val="bullet"/>
      <w:lvlText w:val="–"/>
      <w:lvlJc w:val="left"/>
      <w:pPr>
        <w:tabs>
          <w:tab w:val="num" w:pos="1134"/>
        </w:tabs>
        <w:ind w:left="1134" w:hanging="568"/>
      </w:pPr>
      <w:rPr>
        <w:rFonts w:ascii="Times New Roman" w:hAnsi="Times New Roman" w:cs="Times New Roman"/>
        <w:b w:val="0"/>
        <w:i w:val="0"/>
      </w:rPr>
    </w:lvl>
    <w:lvl w:ilvl="2">
      <w:start w:val="1"/>
      <w:numFmt w:val="bulle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3">
    <w:nsid w:val="3FEF7B73"/>
    <w:multiLevelType w:val="hybridMultilevel"/>
    <w:tmpl w:val="11289236"/>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648" w:hanging="360"/>
      </w:pPr>
      <w:rPr>
        <w:rFonts w:ascii="Courier New" w:hAnsi="Courier New" w:cs="Courier New" w:hint="default"/>
      </w:rPr>
    </w:lvl>
    <w:lvl w:ilvl="2" w:tplc="0C090005">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4">
    <w:nsid w:val="42B72EA2"/>
    <w:multiLevelType w:val="multilevel"/>
    <w:tmpl w:val="D474F93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lowerLetter"/>
      <w:lvlText w:val="(%5)"/>
      <w:lvlJc w:val="left"/>
      <w:pPr>
        <w:tabs>
          <w:tab w:val="num" w:pos="2835"/>
        </w:tabs>
        <w:ind w:left="2835" w:hanging="567"/>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5">
    <w:nsid w:val="483E25F6"/>
    <w:multiLevelType w:val="multilevel"/>
    <w:tmpl w:val="2D022FDA"/>
    <w:styleLink w:val="AlphaParagraphList"/>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37">
    <w:nsid w:val="517124E0"/>
    <w:multiLevelType w:val="multilevel"/>
    <w:tmpl w:val="FEFA76DE"/>
    <w:lvl w:ilvl="0">
      <w:start w:val="1"/>
      <w:numFmt w:val="decimal"/>
      <w:lvlText w:val="%1."/>
      <w:lvlJc w:val="left"/>
      <w:pPr>
        <w:tabs>
          <w:tab w:val="num" w:pos="1345"/>
        </w:tabs>
        <w:ind w:left="1345" w:hanging="496"/>
      </w:pPr>
      <w:rPr>
        <w:rFonts w:hint="default"/>
      </w:rPr>
    </w:lvl>
    <w:lvl w:ilvl="1">
      <w:start w:val="1"/>
      <w:numFmt w:val="decimal"/>
      <w:lvlText w:val="%1.%2."/>
      <w:lvlJc w:val="left"/>
      <w:pPr>
        <w:tabs>
          <w:tab w:val="num" w:pos="1841"/>
        </w:tabs>
        <w:ind w:left="1841" w:hanging="496"/>
      </w:pPr>
      <w:rPr>
        <w:rFonts w:hint="default"/>
      </w:rPr>
    </w:lvl>
    <w:lvl w:ilvl="2">
      <w:start w:val="1"/>
      <w:numFmt w:val="decimal"/>
      <w:lvlText w:val="%1.%2.%3."/>
      <w:lvlJc w:val="left"/>
      <w:pPr>
        <w:tabs>
          <w:tab w:val="num" w:pos="2337"/>
        </w:tabs>
        <w:ind w:left="2337" w:hanging="496"/>
      </w:pPr>
      <w:rPr>
        <w:rFonts w:hint="default"/>
      </w:rPr>
    </w:lvl>
    <w:lvl w:ilvl="3">
      <w:start w:val="1"/>
      <w:numFmt w:val="decimal"/>
      <w:lvlText w:val="%4.%1.%2.%3."/>
      <w:lvlJc w:val="left"/>
      <w:pPr>
        <w:tabs>
          <w:tab w:val="num" w:pos="3583"/>
        </w:tabs>
        <w:ind w:left="3549" w:hanging="453"/>
      </w:pPr>
      <w:rPr>
        <w:rFonts w:hint="default"/>
      </w:rPr>
    </w:lvl>
    <w:lvl w:ilvl="4">
      <w:start w:val="1"/>
      <w:numFmt w:val="lowerLetter"/>
      <w:lvlText w:val="(%5)"/>
      <w:lvlJc w:val="left"/>
      <w:pPr>
        <w:tabs>
          <w:tab w:val="num" w:pos="2649"/>
        </w:tabs>
        <w:ind w:left="2649" w:hanging="360"/>
      </w:pPr>
      <w:rPr>
        <w:rFonts w:hint="default"/>
      </w:rPr>
    </w:lvl>
    <w:lvl w:ilvl="5">
      <w:start w:val="1"/>
      <w:numFmt w:val="lowerRoman"/>
      <w:lvlText w:val="(%6)"/>
      <w:lvlJc w:val="left"/>
      <w:pPr>
        <w:tabs>
          <w:tab w:val="num" w:pos="3009"/>
        </w:tabs>
        <w:ind w:left="3009" w:hanging="360"/>
      </w:pPr>
      <w:rPr>
        <w:rFonts w:hint="default"/>
      </w:rPr>
    </w:lvl>
    <w:lvl w:ilvl="6">
      <w:start w:val="1"/>
      <w:numFmt w:val="decimal"/>
      <w:lvlText w:val="%7."/>
      <w:lvlJc w:val="left"/>
      <w:pPr>
        <w:tabs>
          <w:tab w:val="num" w:pos="3369"/>
        </w:tabs>
        <w:ind w:left="3369" w:hanging="360"/>
      </w:pPr>
      <w:rPr>
        <w:rFonts w:hint="default"/>
      </w:rPr>
    </w:lvl>
    <w:lvl w:ilvl="7">
      <w:start w:val="1"/>
      <w:numFmt w:val="lowerLetter"/>
      <w:lvlText w:val="%8."/>
      <w:lvlJc w:val="left"/>
      <w:pPr>
        <w:tabs>
          <w:tab w:val="num" w:pos="3729"/>
        </w:tabs>
        <w:ind w:left="3729" w:hanging="360"/>
      </w:pPr>
      <w:rPr>
        <w:rFonts w:hint="default"/>
      </w:rPr>
    </w:lvl>
    <w:lvl w:ilvl="8">
      <w:start w:val="1"/>
      <w:numFmt w:val="lowerRoman"/>
      <w:lvlText w:val="%9."/>
      <w:lvlJc w:val="left"/>
      <w:pPr>
        <w:tabs>
          <w:tab w:val="num" w:pos="4089"/>
        </w:tabs>
        <w:ind w:left="4089" w:hanging="360"/>
      </w:pPr>
      <w:rPr>
        <w:rFonts w:hint="default"/>
      </w:rPr>
    </w:lvl>
  </w:abstractNum>
  <w:abstractNum w:abstractNumId="38">
    <w:nsid w:val="555E4B97"/>
    <w:multiLevelType w:val="multilevel"/>
    <w:tmpl w:val="3BE8A474"/>
    <w:lvl w:ilvl="0">
      <w:start w:val="1"/>
      <w:numFmt w:val="decimal"/>
      <w:lvlText w:val="%1."/>
      <w:lvlJc w:val="left"/>
      <w:pPr>
        <w:tabs>
          <w:tab w:val="num" w:pos="1345"/>
        </w:tabs>
        <w:ind w:left="1345" w:hanging="496"/>
      </w:pPr>
      <w:rPr>
        <w:rFonts w:hint="default"/>
      </w:rPr>
    </w:lvl>
    <w:lvl w:ilvl="1">
      <w:start w:val="1"/>
      <w:numFmt w:val="decimal"/>
      <w:lvlText w:val="%1.%2."/>
      <w:lvlJc w:val="left"/>
      <w:pPr>
        <w:tabs>
          <w:tab w:val="num" w:pos="1841"/>
        </w:tabs>
        <w:ind w:left="1841" w:hanging="496"/>
      </w:pPr>
      <w:rPr>
        <w:rFonts w:hint="default"/>
      </w:rPr>
    </w:lvl>
    <w:lvl w:ilvl="2">
      <w:start w:val="1"/>
      <w:numFmt w:val="decimal"/>
      <w:lvlText w:val="%1.%2.%3."/>
      <w:lvlJc w:val="left"/>
      <w:pPr>
        <w:tabs>
          <w:tab w:val="num" w:pos="2337"/>
        </w:tabs>
        <w:ind w:left="2337" w:hanging="496"/>
      </w:pPr>
      <w:rPr>
        <w:rFonts w:hint="default"/>
      </w:rPr>
    </w:lvl>
    <w:lvl w:ilvl="3">
      <w:start w:val="1"/>
      <w:numFmt w:val="decimal"/>
      <w:lvlText w:val="%4.%1.%2.%3."/>
      <w:lvlJc w:val="left"/>
      <w:pPr>
        <w:tabs>
          <w:tab w:val="num" w:pos="2289"/>
        </w:tabs>
        <w:ind w:left="2289" w:hanging="360"/>
      </w:pPr>
      <w:rPr>
        <w:rFonts w:hint="default"/>
      </w:rPr>
    </w:lvl>
    <w:lvl w:ilvl="4">
      <w:start w:val="1"/>
      <w:numFmt w:val="lowerLetter"/>
      <w:lvlText w:val="(%5)"/>
      <w:lvlJc w:val="left"/>
      <w:pPr>
        <w:tabs>
          <w:tab w:val="num" w:pos="2649"/>
        </w:tabs>
        <w:ind w:left="2649" w:hanging="360"/>
      </w:pPr>
      <w:rPr>
        <w:rFonts w:hint="default"/>
      </w:rPr>
    </w:lvl>
    <w:lvl w:ilvl="5">
      <w:start w:val="1"/>
      <w:numFmt w:val="lowerRoman"/>
      <w:lvlText w:val="(%6)"/>
      <w:lvlJc w:val="left"/>
      <w:pPr>
        <w:tabs>
          <w:tab w:val="num" w:pos="3009"/>
        </w:tabs>
        <w:ind w:left="3009" w:hanging="360"/>
      </w:pPr>
      <w:rPr>
        <w:rFonts w:hint="default"/>
      </w:rPr>
    </w:lvl>
    <w:lvl w:ilvl="6">
      <w:start w:val="1"/>
      <w:numFmt w:val="decimal"/>
      <w:lvlText w:val="%7."/>
      <w:lvlJc w:val="left"/>
      <w:pPr>
        <w:tabs>
          <w:tab w:val="num" w:pos="3369"/>
        </w:tabs>
        <w:ind w:left="3369" w:hanging="360"/>
      </w:pPr>
      <w:rPr>
        <w:rFonts w:hint="default"/>
      </w:rPr>
    </w:lvl>
    <w:lvl w:ilvl="7">
      <w:start w:val="1"/>
      <w:numFmt w:val="lowerLetter"/>
      <w:lvlText w:val="%8."/>
      <w:lvlJc w:val="left"/>
      <w:pPr>
        <w:tabs>
          <w:tab w:val="num" w:pos="3729"/>
        </w:tabs>
        <w:ind w:left="3729" w:hanging="360"/>
      </w:pPr>
      <w:rPr>
        <w:rFonts w:hint="default"/>
      </w:rPr>
    </w:lvl>
    <w:lvl w:ilvl="8">
      <w:start w:val="1"/>
      <w:numFmt w:val="lowerRoman"/>
      <w:lvlText w:val="%9."/>
      <w:lvlJc w:val="left"/>
      <w:pPr>
        <w:tabs>
          <w:tab w:val="num" w:pos="4089"/>
        </w:tabs>
        <w:ind w:left="4089" w:hanging="360"/>
      </w:pPr>
      <w:rPr>
        <w:rFonts w:hint="default"/>
      </w:rPr>
    </w:lvl>
  </w:abstractNum>
  <w:abstractNum w:abstractNumId="39">
    <w:nsid w:val="58101827"/>
    <w:multiLevelType w:val="multilevel"/>
    <w:tmpl w:val="3CACDCCC"/>
    <w:name w:val="BoxBulletedList"/>
    <w:lvl w:ilvl="0">
      <w:start w:val="1"/>
      <w:numFmt w:val="bullet"/>
      <w:lvlRestart w:val="0"/>
      <w:pStyle w:val="BoxBullet"/>
      <w:lvlText w:val="•"/>
      <w:lvlJc w:val="left"/>
      <w:pPr>
        <w:tabs>
          <w:tab w:val="num" w:pos="566"/>
        </w:tabs>
        <w:ind w:left="566" w:hanging="566"/>
      </w:pPr>
      <w:rPr>
        <w:rFonts w:ascii="Times New Roman" w:hAnsi="Times New Roman" w:cs="Times New Roman"/>
        <w:b w:val="0"/>
        <w:i w:val="0"/>
        <w:sz w:val="20"/>
      </w:rPr>
    </w:lvl>
    <w:lvl w:ilvl="1">
      <w:start w:val="1"/>
      <w:numFmt w:val="bullet"/>
      <w:pStyle w:val="BoxDash"/>
      <w:lvlText w:val="–"/>
      <w:lvlJc w:val="left"/>
      <w:pPr>
        <w:tabs>
          <w:tab w:val="num" w:pos="1134"/>
        </w:tabs>
        <w:ind w:left="1134" w:hanging="568"/>
      </w:pPr>
      <w:rPr>
        <w:b w:val="0"/>
        <w:i w:val="0"/>
      </w:rPr>
    </w:lvl>
    <w:lvl w:ilvl="2">
      <w:start w:val="1"/>
      <w:numFmt w:val="bullet"/>
      <w:pStyle w:val="BoxDoubleDot"/>
      <w:lvlText w:val=":"/>
      <w:lvlJc w:val="left"/>
      <w:pPr>
        <w:tabs>
          <w:tab w:val="num" w:pos="1700"/>
        </w:tabs>
        <w:ind w:left="1700" w:hanging="566"/>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0">
    <w:nsid w:val="5C376AF1"/>
    <w:multiLevelType w:val="hybridMultilevel"/>
    <w:tmpl w:val="B5B20D7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2">
    <w:nsid w:val="78663746"/>
    <w:multiLevelType w:val="multilevel"/>
    <w:tmpl w:val="2DB61A66"/>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AE31DD2"/>
    <w:multiLevelType w:val="multilevel"/>
    <w:tmpl w:val="9ABCA912"/>
    <w:lvl w:ilvl="0">
      <w:start w:val="1"/>
      <w:numFmt w:val="lowerLetter"/>
      <w:lvlText w:val="%1)"/>
      <w:lvlJc w:val="left"/>
      <w:pPr>
        <w:tabs>
          <w:tab w:val="num" w:pos="566"/>
        </w:tabs>
        <w:ind w:left="566" w:hanging="566"/>
      </w:pPr>
      <w:rPr>
        <w:b w:val="0"/>
        <w:i w:val="0"/>
      </w:rPr>
    </w:lvl>
    <w:lvl w:ilvl="1">
      <w:start w:val="1"/>
      <w:numFmt w:val="bullet"/>
      <w:lvlText w:val="–"/>
      <w:lvlJc w:val="left"/>
      <w:pPr>
        <w:tabs>
          <w:tab w:val="num" w:pos="1134"/>
        </w:tabs>
        <w:ind w:left="1134" w:hanging="568"/>
      </w:pPr>
      <w:rPr>
        <w:rFonts w:ascii="Times New Roman" w:hAnsi="Times New Roman" w:cs="Times New Roman"/>
        <w:b w:val="0"/>
        <w:i w:val="0"/>
      </w:rPr>
    </w:lvl>
    <w:lvl w:ilvl="2">
      <w:start w:val="1"/>
      <w:numFmt w:val="bulle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num w:numId="1">
    <w:abstractNumId w:val="28"/>
  </w:num>
  <w:num w:numId="2">
    <w:abstractNumId w:val="39"/>
  </w:num>
  <w:num w:numId="3">
    <w:abstractNumId w:val="36"/>
  </w:num>
  <w:num w:numId="4">
    <w:abstractNumId w:val="24"/>
  </w:num>
  <w:num w:numId="5">
    <w:abstractNumId w:val="18"/>
  </w:num>
  <w:num w:numId="6">
    <w:abstractNumId w:val="41"/>
  </w:num>
  <w:num w:numId="7">
    <w:abstractNumId w:val="25"/>
  </w:num>
  <w:num w:numId="8">
    <w:abstractNumId w:val="13"/>
  </w:num>
  <w:num w:numId="9">
    <w:abstractNumId w:val="35"/>
  </w:num>
  <w:num w:numId="10">
    <w:abstractNumId w:val="31"/>
  </w:num>
  <w:num w:numId="11">
    <w:abstractNumId w:val="16"/>
  </w:num>
  <w:num w:numId="12">
    <w:abstractNumId w:val="19"/>
  </w:num>
  <w:num w:numId="13">
    <w:abstractNumId w:val="14"/>
  </w:num>
  <w:num w:numId="14">
    <w:abstractNumId w:val="30"/>
  </w:num>
  <w:num w:numId="15">
    <w:abstractNumId w:val="26"/>
  </w:num>
  <w:num w:numId="16">
    <w:abstractNumId w:val="10"/>
  </w:num>
  <w:num w:numId="17">
    <w:abstractNumId w:val="29"/>
  </w:num>
  <w:num w:numId="18">
    <w:abstractNumId w:val="33"/>
  </w:num>
  <w:num w:numId="19">
    <w:abstractNumId w:val="22"/>
  </w:num>
  <w:num w:numId="20">
    <w:abstractNumId w:val="27"/>
  </w:num>
  <w:num w:numId="21">
    <w:abstractNumId w:val="21"/>
  </w:num>
  <w:num w:numId="22">
    <w:abstractNumId w:val="42"/>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37"/>
  </w:num>
  <w:num w:numId="34">
    <w:abstractNumId w:val="38"/>
  </w:num>
  <w:num w:numId="35">
    <w:abstractNumId w:val="23"/>
  </w:num>
  <w:num w:numId="36">
    <w:abstractNumId w:val="34"/>
  </w:num>
  <w:num w:numId="37">
    <w:abstractNumId w:val="12"/>
  </w:num>
  <w:num w:numId="38">
    <w:abstractNumId w:val="20"/>
  </w:num>
  <w:num w:numId="39">
    <w:abstractNumId w:val="32"/>
  </w:num>
  <w:num w:numId="40">
    <w:abstractNumId w:val="17"/>
  </w:num>
  <w:num w:numId="41">
    <w:abstractNumId w:val="40"/>
  </w:num>
  <w:num w:numId="42">
    <w:abstractNumId w:val="15"/>
  </w:num>
  <w:num w:numId="43">
    <w:abstractNumId w:val="24"/>
  </w:num>
  <w:num w:numId="44">
    <w:abstractNumId w:val="4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D73"/>
    <w:rsid w:val="000001DC"/>
    <w:rsid w:val="00000F7C"/>
    <w:rsid w:val="00001646"/>
    <w:rsid w:val="000018DD"/>
    <w:rsid w:val="000022E1"/>
    <w:rsid w:val="00002347"/>
    <w:rsid w:val="0000240F"/>
    <w:rsid w:val="000025A6"/>
    <w:rsid w:val="00003647"/>
    <w:rsid w:val="00004817"/>
    <w:rsid w:val="00004C8F"/>
    <w:rsid w:val="00006FD4"/>
    <w:rsid w:val="000070B3"/>
    <w:rsid w:val="000072A6"/>
    <w:rsid w:val="0000756D"/>
    <w:rsid w:val="00007AA3"/>
    <w:rsid w:val="00007AAF"/>
    <w:rsid w:val="00007AEC"/>
    <w:rsid w:val="000129ED"/>
    <w:rsid w:val="000130DC"/>
    <w:rsid w:val="00014CD5"/>
    <w:rsid w:val="00015AEF"/>
    <w:rsid w:val="000160B2"/>
    <w:rsid w:val="00016884"/>
    <w:rsid w:val="00016F6A"/>
    <w:rsid w:val="00016F9C"/>
    <w:rsid w:val="00017152"/>
    <w:rsid w:val="00017A8D"/>
    <w:rsid w:val="00020D41"/>
    <w:rsid w:val="000212F8"/>
    <w:rsid w:val="00022E0C"/>
    <w:rsid w:val="0002349B"/>
    <w:rsid w:val="000234EA"/>
    <w:rsid w:val="0002488D"/>
    <w:rsid w:val="00025BF0"/>
    <w:rsid w:val="00026294"/>
    <w:rsid w:val="00026ECE"/>
    <w:rsid w:val="00027343"/>
    <w:rsid w:val="00027A27"/>
    <w:rsid w:val="00027AFA"/>
    <w:rsid w:val="00030DA9"/>
    <w:rsid w:val="000322F0"/>
    <w:rsid w:val="00033222"/>
    <w:rsid w:val="000342CC"/>
    <w:rsid w:val="00034BDF"/>
    <w:rsid w:val="00034E4E"/>
    <w:rsid w:val="000369FF"/>
    <w:rsid w:val="00036D0D"/>
    <w:rsid w:val="00037D4A"/>
    <w:rsid w:val="00040D6C"/>
    <w:rsid w:val="00041566"/>
    <w:rsid w:val="00042D76"/>
    <w:rsid w:val="000432F0"/>
    <w:rsid w:val="00043F9D"/>
    <w:rsid w:val="0004400B"/>
    <w:rsid w:val="0004480C"/>
    <w:rsid w:val="00044822"/>
    <w:rsid w:val="00046248"/>
    <w:rsid w:val="00046F59"/>
    <w:rsid w:val="00050B64"/>
    <w:rsid w:val="00051807"/>
    <w:rsid w:val="000524B6"/>
    <w:rsid w:val="00052B94"/>
    <w:rsid w:val="000565B1"/>
    <w:rsid w:val="00057345"/>
    <w:rsid w:val="000573AD"/>
    <w:rsid w:val="000575A3"/>
    <w:rsid w:val="00057704"/>
    <w:rsid w:val="00057877"/>
    <w:rsid w:val="000613BB"/>
    <w:rsid w:val="00061519"/>
    <w:rsid w:val="00061F84"/>
    <w:rsid w:val="00062940"/>
    <w:rsid w:val="00064CEC"/>
    <w:rsid w:val="000657DA"/>
    <w:rsid w:val="00065AB2"/>
    <w:rsid w:val="00066703"/>
    <w:rsid w:val="00066F70"/>
    <w:rsid w:val="000670D2"/>
    <w:rsid w:val="00067854"/>
    <w:rsid w:val="000700BB"/>
    <w:rsid w:val="00070168"/>
    <w:rsid w:val="000707DF"/>
    <w:rsid w:val="00071489"/>
    <w:rsid w:val="00071978"/>
    <w:rsid w:val="00071ABB"/>
    <w:rsid w:val="00071E9B"/>
    <w:rsid w:val="00072428"/>
    <w:rsid w:val="000736D5"/>
    <w:rsid w:val="000737B0"/>
    <w:rsid w:val="00073D85"/>
    <w:rsid w:val="00074079"/>
    <w:rsid w:val="000744E5"/>
    <w:rsid w:val="00074695"/>
    <w:rsid w:val="00076C72"/>
    <w:rsid w:val="00077352"/>
    <w:rsid w:val="00077456"/>
    <w:rsid w:val="00077748"/>
    <w:rsid w:val="000778FF"/>
    <w:rsid w:val="00080201"/>
    <w:rsid w:val="000808B4"/>
    <w:rsid w:val="0008137C"/>
    <w:rsid w:val="00081589"/>
    <w:rsid w:val="00082936"/>
    <w:rsid w:val="000829C5"/>
    <w:rsid w:val="00083903"/>
    <w:rsid w:val="00083A38"/>
    <w:rsid w:val="00084B44"/>
    <w:rsid w:val="00084B4A"/>
    <w:rsid w:val="0008561B"/>
    <w:rsid w:val="00085F5F"/>
    <w:rsid w:val="00087063"/>
    <w:rsid w:val="00087950"/>
    <w:rsid w:val="000879D3"/>
    <w:rsid w:val="00090739"/>
    <w:rsid w:val="00090C20"/>
    <w:rsid w:val="00090F18"/>
    <w:rsid w:val="000916D6"/>
    <w:rsid w:val="00092072"/>
    <w:rsid w:val="000924FD"/>
    <w:rsid w:val="00093181"/>
    <w:rsid w:val="00093F06"/>
    <w:rsid w:val="00094138"/>
    <w:rsid w:val="00094C61"/>
    <w:rsid w:val="00095524"/>
    <w:rsid w:val="00095531"/>
    <w:rsid w:val="000956C5"/>
    <w:rsid w:val="00095E11"/>
    <w:rsid w:val="00096125"/>
    <w:rsid w:val="00096D96"/>
    <w:rsid w:val="00096E92"/>
    <w:rsid w:val="00096E98"/>
    <w:rsid w:val="000A07E0"/>
    <w:rsid w:val="000A1A96"/>
    <w:rsid w:val="000A269C"/>
    <w:rsid w:val="000A3363"/>
    <w:rsid w:val="000A363B"/>
    <w:rsid w:val="000A37E6"/>
    <w:rsid w:val="000A3AD3"/>
    <w:rsid w:val="000A3AFF"/>
    <w:rsid w:val="000A4ABD"/>
    <w:rsid w:val="000A68C0"/>
    <w:rsid w:val="000B0164"/>
    <w:rsid w:val="000B03BC"/>
    <w:rsid w:val="000B1A82"/>
    <w:rsid w:val="000B2065"/>
    <w:rsid w:val="000B22EA"/>
    <w:rsid w:val="000B4362"/>
    <w:rsid w:val="000B4671"/>
    <w:rsid w:val="000B574C"/>
    <w:rsid w:val="000B6A65"/>
    <w:rsid w:val="000B6F29"/>
    <w:rsid w:val="000B799F"/>
    <w:rsid w:val="000B7BC4"/>
    <w:rsid w:val="000B7E8E"/>
    <w:rsid w:val="000C090E"/>
    <w:rsid w:val="000C09ED"/>
    <w:rsid w:val="000C11B6"/>
    <w:rsid w:val="000C163E"/>
    <w:rsid w:val="000C1FCC"/>
    <w:rsid w:val="000C3A36"/>
    <w:rsid w:val="000C4C51"/>
    <w:rsid w:val="000C5877"/>
    <w:rsid w:val="000C5971"/>
    <w:rsid w:val="000C5C91"/>
    <w:rsid w:val="000C6A05"/>
    <w:rsid w:val="000D07BE"/>
    <w:rsid w:val="000D0A80"/>
    <w:rsid w:val="000D0EA0"/>
    <w:rsid w:val="000D1203"/>
    <w:rsid w:val="000D1630"/>
    <w:rsid w:val="000D288C"/>
    <w:rsid w:val="000D424F"/>
    <w:rsid w:val="000D4F3C"/>
    <w:rsid w:val="000D5AEC"/>
    <w:rsid w:val="000D5E47"/>
    <w:rsid w:val="000D6922"/>
    <w:rsid w:val="000D6FB4"/>
    <w:rsid w:val="000E18B8"/>
    <w:rsid w:val="000E1CCA"/>
    <w:rsid w:val="000E2732"/>
    <w:rsid w:val="000E2AF6"/>
    <w:rsid w:val="000E3104"/>
    <w:rsid w:val="000E3C9B"/>
    <w:rsid w:val="000E3CF7"/>
    <w:rsid w:val="000E522E"/>
    <w:rsid w:val="000E685E"/>
    <w:rsid w:val="000F0933"/>
    <w:rsid w:val="000F0CC0"/>
    <w:rsid w:val="000F10D1"/>
    <w:rsid w:val="000F19DA"/>
    <w:rsid w:val="000F3633"/>
    <w:rsid w:val="000F36C1"/>
    <w:rsid w:val="000F3729"/>
    <w:rsid w:val="000F3941"/>
    <w:rsid w:val="000F4016"/>
    <w:rsid w:val="000F6059"/>
    <w:rsid w:val="000F6138"/>
    <w:rsid w:val="000F73C5"/>
    <w:rsid w:val="00100173"/>
    <w:rsid w:val="001007BF"/>
    <w:rsid w:val="00100937"/>
    <w:rsid w:val="00100DF1"/>
    <w:rsid w:val="00103E27"/>
    <w:rsid w:val="001042AF"/>
    <w:rsid w:val="00104730"/>
    <w:rsid w:val="00104EBC"/>
    <w:rsid w:val="00105EED"/>
    <w:rsid w:val="00106162"/>
    <w:rsid w:val="0010632C"/>
    <w:rsid w:val="00106C56"/>
    <w:rsid w:val="001070E5"/>
    <w:rsid w:val="0010739F"/>
    <w:rsid w:val="00110135"/>
    <w:rsid w:val="0011108D"/>
    <w:rsid w:val="00111A03"/>
    <w:rsid w:val="00111E50"/>
    <w:rsid w:val="001122B3"/>
    <w:rsid w:val="00113344"/>
    <w:rsid w:val="001134AD"/>
    <w:rsid w:val="001137ED"/>
    <w:rsid w:val="00113C76"/>
    <w:rsid w:val="00115489"/>
    <w:rsid w:val="00115BFA"/>
    <w:rsid w:val="00115F0B"/>
    <w:rsid w:val="00116DFB"/>
    <w:rsid w:val="00116ED6"/>
    <w:rsid w:val="001176A8"/>
    <w:rsid w:val="001202CA"/>
    <w:rsid w:val="00120ADF"/>
    <w:rsid w:val="00122F3E"/>
    <w:rsid w:val="00123E5F"/>
    <w:rsid w:val="0012466D"/>
    <w:rsid w:val="00124C4B"/>
    <w:rsid w:val="00124EB2"/>
    <w:rsid w:val="001254A2"/>
    <w:rsid w:val="00126760"/>
    <w:rsid w:val="001274EB"/>
    <w:rsid w:val="00127567"/>
    <w:rsid w:val="001275D2"/>
    <w:rsid w:val="001305A4"/>
    <w:rsid w:val="0013060A"/>
    <w:rsid w:val="00131E14"/>
    <w:rsid w:val="00131F51"/>
    <w:rsid w:val="001324C5"/>
    <w:rsid w:val="001338A4"/>
    <w:rsid w:val="001347A7"/>
    <w:rsid w:val="00134843"/>
    <w:rsid w:val="00135B8A"/>
    <w:rsid w:val="001367B3"/>
    <w:rsid w:val="0013742A"/>
    <w:rsid w:val="00137710"/>
    <w:rsid w:val="00137F7F"/>
    <w:rsid w:val="00140245"/>
    <w:rsid w:val="00140BE1"/>
    <w:rsid w:val="001418B2"/>
    <w:rsid w:val="00143266"/>
    <w:rsid w:val="00143462"/>
    <w:rsid w:val="001434B3"/>
    <w:rsid w:val="001434C5"/>
    <w:rsid w:val="00144338"/>
    <w:rsid w:val="00144D5D"/>
    <w:rsid w:val="00145E31"/>
    <w:rsid w:val="00146BAC"/>
    <w:rsid w:val="00147BAA"/>
    <w:rsid w:val="00147E8A"/>
    <w:rsid w:val="00150753"/>
    <w:rsid w:val="00150924"/>
    <w:rsid w:val="00150B98"/>
    <w:rsid w:val="00150C65"/>
    <w:rsid w:val="00150C87"/>
    <w:rsid w:val="00151886"/>
    <w:rsid w:val="00151CA8"/>
    <w:rsid w:val="00151CDF"/>
    <w:rsid w:val="0015257C"/>
    <w:rsid w:val="00152E1E"/>
    <w:rsid w:val="00152FA4"/>
    <w:rsid w:val="00155019"/>
    <w:rsid w:val="0015563D"/>
    <w:rsid w:val="001563C0"/>
    <w:rsid w:val="00156EB7"/>
    <w:rsid w:val="001571C9"/>
    <w:rsid w:val="00157486"/>
    <w:rsid w:val="00161500"/>
    <w:rsid w:val="00161D7B"/>
    <w:rsid w:val="001621C0"/>
    <w:rsid w:val="00163268"/>
    <w:rsid w:val="00163334"/>
    <w:rsid w:val="001634D0"/>
    <w:rsid w:val="00165841"/>
    <w:rsid w:val="00165DA0"/>
    <w:rsid w:val="00166B1B"/>
    <w:rsid w:val="00167A4B"/>
    <w:rsid w:val="00167C4C"/>
    <w:rsid w:val="00170045"/>
    <w:rsid w:val="00170D74"/>
    <w:rsid w:val="00171123"/>
    <w:rsid w:val="00172528"/>
    <w:rsid w:val="001733EE"/>
    <w:rsid w:val="0017387E"/>
    <w:rsid w:val="00173995"/>
    <w:rsid w:val="00173A91"/>
    <w:rsid w:val="00173C54"/>
    <w:rsid w:val="001743FD"/>
    <w:rsid w:val="00174C29"/>
    <w:rsid w:val="00174CCC"/>
    <w:rsid w:val="0017654D"/>
    <w:rsid w:val="00176AF6"/>
    <w:rsid w:val="0018021C"/>
    <w:rsid w:val="001808E6"/>
    <w:rsid w:val="0018198E"/>
    <w:rsid w:val="00183874"/>
    <w:rsid w:val="00184856"/>
    <w:rsid w:val="00185918"/>
    <w:rsid w:val="00185B77"/>
    <w:rsid w:val="00186B32"/>
    <w:rsid w:val="00186EEF"/>
    <w:rsid w:val="00187D5C"/>
    <w:rsid w:val="001905D9"/>
    <w:rsid w:val="0019107F"/>
    <w:rsid w:val="00191CCE"/>
    <w:rsid w:val="00193B18"/>
    <w:rsid w:val="00193DF8"/>
    <w:rsid w:val="00193E99"/>
    <w:rsid w:val="00194227"/>
    <w:rsid w:val="00194EA8"/>
    <w:rsid w:val="00194FB0"/>
    <w:rsid w:val="00197D4F"/>
    <w:rsid w:val="00197F2F"/>
    <w:rsid w:val="001A1791"/>
    <w:rsid w:val="001A26C4"/>
    <w:rsid w:val="001A3448"/>
    <w:rsid w:val="001A3A8F"/>
    <w:rsid w:val="001A425F"/>
    <w:rsid w:val="001A4D6D"/>
    <w:rsid w:val="001A5435"/>
    <w:rsid w:val="001A5D3C"/>
    <w:rsid w:val="001A5FA3"/>
    <w:rsid w:val="001A6586"/>
    <w:rsid w:val="001A6FF0"/>
    <w:rsid w:val="001A70D7"/>
    <w:rsid w:val="001A7E19"/>
    <w:rsid w:val="001A7EFD"/>
    <w:rsid w:val="001A7F68"/>
    <w:rsid w:val="001B00BD"/>
    <w:rsid w:val="001B0C4C"/>
    <w:rsid w:val="001B0E4D"/>
    <w:rsid w:val="001B0FAA"/>
    <w:rsid w:val="001B2D07"/>
    <w:rsid w:val="001B2EA6"/>
    <w:rsid w:val="001B38CD"/>
    <w:rsid w:val="001B396F"/>
    <w:rsid w:val="001B3BD9"/>
    <w:rsid w:val="001B40E1"/>
    <w:rsid w:val="001B47D6"/>
    <w:rsid w:val="001B4F51"/>
    <w:rsid w:val="001B50A0"/>
    <w:rsid w:val="001B5630"/>
    <w:rsid w:val="001B656A"/>
    <w:rsid w:val="001B65B1"/>
    <w:rsid w:val="001B65DB"/>
    <w:rsid w:val="001B6773"/>
    <w:rsid w:val="001B6845"/>
    <w:rsid w:val="001B6908"/>
    <w:rsid w:val="001B69E6"/>
    <w:rsid w:val="001B6A78"/>
    <w:rsid w:val="001C065E"/>
    <w:rsid w:val="001C16C1"/>
    <w:rsid w:val="001C2C26"/>
    <w:rsid w:val="001C3055"/>
    <w:rsid w:val="001C34AA"/>
    <w:rsid w:val="001C360C"/>
    <w:rsid w:val="001C3E6E"/>
    <w:rsid w:val="001C5638"/>
    <w:rsid w:val="001C57B8"/>
    <w:rsid w:val="001C59A5"/>
    <w:rsid w:val="001C5C20"/>
    <w:rsid w:val="001C6040"/>
    <w:rsid w:val="001C6F99"/>
    <w:rsid w:val="001C7033"/>
    <w:rsid w:val="001C716F"/>
    <w:rsid w:val="001C7B16"/>
    <w:rsid w:val="001D0237"/>
    <w:rsid w:val="001D147D"/>
    <w:rsid w:val="001D1971"/>
    <w:rsid w:val="001D1D79"/>
    <w:rsid w:val="001D1ECF"/>
    <w:rsid w:val="001D4166"/>
    <w:rsid w:val="001D4D88"/>
    <w:rsid w:val="001D5755"/>
    <w:rsid w:val="001D58DB"/>
    <w:rsid w:val="001D6148"/>
    <w:rsid w:val="001D6AD4"/>
    <w:rsid w:val="001D6E0F"/>
    <w:rsid w:val="001D76C2"/>
    <w:rsid w:val="001D7811"/>
    <w:rsid w:val="001D7826"/>
    <w:rsid w:val="001E29C7"/>
    <w:rsid w:val="001E4B7E"/>
    <w:rsid w:val="001E5719"/>
    <w:rsid w:val="001E6BC3"/>
    <w:rsid w:val="001E7735"/>
    <w:rsid w:val="001E7920"/>
    <w:rsid w:val="001E7A6D"/>
    <w:rsid w:val="001E7C1F"/>
    <w:rsid w:val="001F0E64"/>
    <w:rsid w:val="001F3842"/>
    <w:rsid w:val="001F4317"/>
    <w:rsid w:val="001F4A7C"/>
    <w:rsid w:val="001F5050"/>
    <w:rsid w:val="001F5A4E"/>
    <w:rsid w:val="001F5A81"/>
    <w:rsid w:val="001F5D05"/>
    <w:rsid w:val="001F6F3E"/>
    <w:rsid w:val="0020086A"/>
    <w:rsid w:val="00200D5C"/>
    <w:rsid w:val="00200F3C"/>
    <w:rsid w:val="002021D9"/>
    <w:rsid w:val="00202675"/>
    <w:rsid w:val="00202A76"/>
    <w:rsid w:val="002033A4"/>
    <w:rsid w:val="002048CB"/>
    <w:rsid w:val="00204B6E"/>
    <w:rsid w:val="00204D99"/>
    <w:rsid w:val="0020682A"/>
    <w:rsid w:val="00206DA5"/>
    <w:rsid w:val="00207ABE"/>
    <w:rsid w:val="0021155A"/>
    <w:rsid w:val="0021242E"/>
    <w:rsid w:val="00213920"/>
    <w:rsid w:val="00214A52"/>
    <w:rsid w:val="002161AC"/>
    <w:rsid w:val="002172EF"/>
    <w:rsid w:val="00220A64"/>
    <w:rsid w:val="00220D63"/>
    <w:rsid w:val="00220FAB"/>
    <w:rsid w:val="002216CD"/>
    <w:rsid w:val="00222422"/>
    <w:rsid w:val="002228AD"/>
    <w:rsid w:val="00222E8A"/>
    <w:rsid w:val="00222FD3"/>
    <w:rsid w:val="00223A54"/>
    <w:rsid w:val="00224ED6"/>
    <w:rsid w:val="00225354"/>
    <w:rsid w:val="00225624"/>
    <w:rsid w:val="00225A6E"/>
    <w:rsid w:val="00225C65"/>
    <w:rsid w:val="002261E5"/>
    <w:rsid w:val="00226B25"/>
    <w:rsid w:val="002303EE"/>
    <w:rsid w:val="0023054C"/>
    <w:rsid w:val="0023079D"/>
    <w:rsid w:val="00231BFE"/>
    <w:rsid w:val="00231DE4"/>
    <w:rsid w:val="00231E63"/>
    <w:rsid w:val="00233BB4"/>
    <w:rsid w:val="00234F28"/>
    <w:rsid w:val="002362C1"/>
    <w:rsid w:val="00237C55"/>
    <w:rsid w:val="002404D0"/>
    <w:rsid w:val="002404F0"/>
    <w:rsid w:val="00240C90"/>
    <w:rsid w:val="00240FD9"/>
    <w:rsid w:val="00241108"/>
    <w:rsid w:val="002412B4"/>
    <w:rsid w:val="00241FCD"/>
    <w:rsid w:val="002423BA"/>
    <w:rsid w:val="002429EF"/>
    <w:rsid w:val="00242A63"/>
    <w:rsid w:val="00243252"/>
    <w:rsid w:val="00244FE4"/>
    <w:rsid w:val="0024543B"/>
    <w:rsid w:val="002466D0"/>
    <w:rsid w:val="002474C8"/>
    <w:rsid w:val="002474FF"/>
    <w:rsid w:val="002476BE"/>
    <w:rsid w:val="00250B91"/>
    <w:rsid w:val="00251E7B"/>
    <w:rsid w:val="00253571"/>
    <w:rsid w:val="002539F8"/>
    <w:rsid w:val="00253A2E"/>
    <w:rsid w:val="00254459"/>
    <w:rsid w:val="002550B3"/>
    <w:rsid w:val="0025644B"/>
    <w:rsid w:val="00256660"/>
    <w:rsid w:val="00260071"/>
    <w:rsid w:val="002608A1"/>
    <w:rsid w:val="0026107A"/>
    <w:rsid w:val="00261D4F"/>
    <w:rsid w:val="00261FB7"/>
    <w:rsid w:val="00262065"/>
    <w:rsid w:val="00262477"/>
    <w:rsid w:val="002626CA"/>
    <w:rsid w:val="00262F6C"/>
    <w:rsid w:val="00263104"/>
    <w:rsid w:val="0026362D"/>
    <w:rsid w:val="0026377C"/>
    <w:rsid w:val="00263AA2"/>
    <w:rsid w:val="00263E84"/>
    <w:rsid w:val="00264818"/>
    <w:rsid w:val="00265118"/>
    <w:rsid w:val="002653E6"/>
    <w:rsid w:val="002656A0"/>
    <w:rsid w:val="002669D2"/>
    <w:rsid w:val="00266AFC"/>
    <w:rsid w:val="00266C80"/>
    <w:rsid w:val="00266D35"/>
    <w:rsid w:val="00271415"/>
    <w:rsid w:val="0027258C"/>
    <w:rsid w:val="002730D8"/>
    <w:rsid w:val="00273369"/>
    <w:rsid w:val="002734E4"/>
    <w:rsid w:val="00273857"/>
    <w:rsid w:val="00273DC1"/>
    <w:rsid w:val="00273FDB"/>
    <w:rsid w:val="00274315"/>
    <w:rsid w:val="00274909"/>
    <w:rsid w:val="00274B95"/>
    <w:rsid w:val="00275AB7"/>
    <w:rsid w:val="00280783"/>
    <w:rsid w:val="00280DE1"/>
    <w:rsid w:val="002818C8"/>
    <w:rsid w:val="00281C3C"/>
    <w:rsid w:val="00281E3A"/>
    <w:rsid w:val="0028269C"/>
    <w:rsid w:val="0028271C"/>
    <w:rsid w:val="00283399"/>
    <w:rsid w:val="00283BC2"/>
    <w:rsid w:val="00284B04"/>
    <w:rsid w:val="00284DF1"/>
    <w:rsid w:val="00287F08"/>
    <w:rsid w:val="0029060C"/>
    <w:rsid w:val="00290951"/>
    <w:rsid w:val="00291405"/>
    <w:rsid w:val="0029176E"/>
    <w:rsid w:val="00292A4A"/>
    <w:rsid w:val="00293295"/>
    <w:rsid w:val="002939C8"/>
    <w:rsid w:val="00293E45"/>
    <w:rsid w:val="002947A9"/>
    <w:rsid w:val="002961FE"/>
    <w:rsid w:val="00296437"/>
    <w:rsid w:val="00296C5F"/>
    <w:rsid w:val="002977D8"/>
    <w:rsid w:val="00297D28"/>
    <w:rsid w:val="002A002D"/>
    <w:rsid w:val="002A07E7"/>
    <w:rsid w:val="002A0947"/>
    <w:rsid w:val="002A0C50"/>
    <w:rsid w:val="002A12EF"/>
    <w:rsid w:val="002A3215"/>
    <w:rsid w:val="002A4390"/>
    <w:rsid w:val="002A5A47"/>
    <w:rsid w:val="002A5E07"/>
    <w:rsid w:val="002B12C8"/>
    <w:rsid w:val="002B1842"/>
    <w:rsid w:val="002B1928"/>
    <w:rsid w:val="002B2007"/>
    <w:rsid w:val="002B395F"/>
    <w:rsid w:val="002B3F8F"/>
    <w:rsid w:val="002B3FAE"/>
    <w:rsid w:val="002B405C"/>
    <w:rsid w:val="002B4642"/>
    <w:rsid w:val="002B5DF1"/>
    <w:rsid w:val="002B6D9B"/>
    <w:rsid w:val="002C26DE"/>
    <w:rsid w:val="002C27F1"/>
    <w:rsid w:val="002C310E"/>
    <w:rsid w:val="002C356E"/>
    <w:rsid w:val="002C3897"/>
    <w:rsid w:val="002C3DDB"/>
    <w:rsid w:val="002C4105"/>
    <w:rsid w:val="002C4929"/>
    <w:rsid w:val="002C514B"/>
    <w:rsid w:val="002C5983"/>
    <w:rsid w:val="002C5C91"/>
    <w:rsid w:val="002C5DEE"/>
    <w:rsid w:val="002C610C"/>
    <w:rsid w:val="002C6521"/>
    <w:rsid w:val="002C703D"/>
    <w:rsid w:val="002C70DF"/>
    <w:rsid w:val="002C7CF8"/>
    <w:rsid w:val="002D0D06"/>
    <w:rsid w:val="002D5109"/>
    <w:rsid w:val="002D52FF"/>
    <w:rsid w:val="002D5ACE"/>
    <w:rsid w:val="002D64C0"/>
    <w:rsid w:val="002D661A"/>
    <w:rsid w:val="002D728B"/>
    <w:rsid w:val="002E0963"/>
    <w:rsid w:val="002E110C"/>
    <w:rsid w:val="002E1DBB"/>
    <w:rsid w:val="002E2312"/>
    <w:rsid w:val="002E2A03"/>
    <w:rsid w:val="002E2E6A"/>
    <w:rsid w:val="002E2EB1"/>
    <w:rsid w:val="002E31A3"/>
    <w:rsid w:val="002E36D4"/>
    <w:rsid w:val="002E3977"/>
    <w:rsid w:val="002E543F"/>
    <w:rsid w:val="002E652E"/>
    <w:rsid w:val="002E73B6"/>
    <w:rsid w:val="002E7974"/>
    <w:rsid w:val="002E7AB8"/>
    <w:rsid w:val="002E7B2C"/>
    <w:rsid w:val="002E7E10"/>
    <w:rsid w:val="002F0DC1"/>
    <w:rsid w:val="002F1552"/>
    <w:rsid w:val="002F21DF"/>
    <w:rsid w:val="002F2931"/>
    <w:rsid w:val="002F29F1"/>
    <w:rsid w:val="002F2F28"/>
    <w:rsid w:val="002F2F2E"/>
    <w:rsid w:val="002F4866"/>
    <w:rsid w:val="002F55E5"/>
    <w:rsid w:val="002F63A2"/>
    <w:rsid w:val="002F7D15"/>
    <w:rsid w:val="00300392"/>
    <w:rsid w:val="00301754"/>
    <w:rsid w:val="0030282A"/>
    <w:rsid w:val="00302FB9"/>
    <w:rsid w:val="00303A2F"/>
    <w:rsid w:val="00304F99"/>
    <w:rsid w:val="00304FAD"/>
    <w:rsid w:val="003056BE"/>
    <w:rsid w:val="00305AC4"/>
    <w:rsid w:val="00305F5A"/>
    <w:rsid w:val="0030675F"/>
    <w:rsid w:val="00307771"/>
    <w:rsid w:val="00307CF0"/>
    <w:rsid w:val="00307D5D"/>
    <w:rsid w:val="00307DB2"/>
    <w:rsid w:val="00312C99"/>
    <w:rsid w:val="0031302E"/>
    <w:rsid w:val="00313349"/>
    <w:rsid w:val="003154E8"/>
    <w:rsid w:val="003167E5"/>
    <w:rsid w:val="00316EE6"/>
    <w:rsid w:val="00317BC9"/>
    <w:rsid w:val="00320645"/>
    <w:rsid w:val="003207AC"/>
    <w:rsid w:val="00320E47"/>
    <w:rsid w:val="00321498"/>
    <w:rsid w:val="00321573"/>
    <w:rsid w:val="00322C17"/>
    <w:rsid w:val="003232C2"/>
    <w:rsid w:val="00323331"/>
    <w:rsid w:val="0032348D"/>
    <w:rsid w:val="00324151"/>
    <w:rsid w:val="0032474E"/>
    <w:rsid w:val="003257EB"/>
    <w:rsid w:val="00325C35"/>
    <w:rsid w:val="00326AA1"/>
    <w:rsid w:val="00326B5B"/>
    <w:rsid w:val="00326E1A"/>
    <w:rsid w:val="003279A2"/>
    <w:rsid w:val="0033082B"/>
    <w:rsid w:val="00331653"/>
    <w:rsid w:val="00331ABE"/>
    <w:rsid w:val="00332D45"/>
    <w:rsid w:val="00333928"/>
    <w:rsid w:val="00333F39"/>
    <w:rsid w:val="00334F08"/>
    <w:rsid w:val="00334FFD"/>
    <w:rsid w:val="0033574E"/>
    <w:rsid w:val="00335BE1"/>
    <w:rsid w:val="00335FC8"/>
    <w:rsid w:val="00337034"/>
    <w:rsid w:val="00337119"/>
    <w:rsid w:val="003371F8"/>
    <w:rsid w:val="00340A9B"/>
    <w:rsid w:val="00341F68"/>
    <w:rsid w:val="003420BE"/>
    <w:rsid w:val="003435A7"/>
    <w:rsid w:val="003438E6"/>
    <w:rsid w:val="0034391C"/>
    <w:rsid w:val="00345DA1"/>
    <w:rsid w:val="0034625A"/>
    <w:rsid w:val="00346838"/>
    <w:rsid w:val="00346B78"/>
    <w:rsid w:val="00347ADD"/>
    <w:rsid w:val="00347B58"/>
    <w:rsid w:val="00347F50"/>
    <w:rsid w:val="0035063A"/>
    <w:rsid w:val="00350D7D"/>
    <w:rsid w:val="00351A38"/>
    <w:rsid w:val="0035240B"/>
    <w:rsid w:val="00353231"/>
    <w:rsid w:val="00353987"/>
    <w:rsid w:val="00353C94"/>
    <w:rsid w:val="0035415D"/>
    <w:rsid w:val="00354263"/>
    <w:rsid w:val="00354CA3"/>
    <w:rsid w:val="00356898"/>
    <w:rsid w:val="00356A80"/>
    <w:rsid w:val="00356AD1"/>
    <w:rsid w:val="00356B7A"/>
    <w:rsid w:val="00356DB6"/>
    <w:rsid w:val="003573A7"/>
    <w:rsid w:val="00357A26"/>
    <w:rsid w:val="00357D78"/>
    <w:rsid w:val="00357F4F"/>
    <w:rsid w:val="00361048"/>
    <w:rsid w:val="0036144C"/>
    <w:rsid w:val="003614F7"/>
    <w:rsid w:val="00361EF7"/>
    <w:rsid w:val="003620D6"/>
    <w:rsid w:val="00363987"/>
    <w:rsid w:val="00363A29"/>
    <w:rsid w:val="0036432C"/>
    <w:rsid w:val="0036498F"/>
    <w:rsid w:val="003654D2"/>
    <w:rsid w:val="0036564C"/>
    <w:rsid w:val="00365E4E"/>
    <w:rsid w:val="00366753"/>
    <w:rsid w:val="0036682F"/>
    <w:rsid w:val="00366E48"/>
    <w:rsid w:val="00370882"/>
    <w:rsid w:val="00371601"/>
    <w:rsid w:val="003720AD"/>
    <w:rsid w:val="00372316"/>
    <w:rsid w:val="00372BB7"/>
    <w:rsid w:val="00373DB5"/>
    <w:rsid w:val="003740A7"/>
    <w:rsid w:val="00374C57"/>
    <w:rsid w:val="003752CA"/>
    <w:rsid w:val="00376FD6"/>
    <w:rsid w:val="00377A4D"/>
    <w:rsid w:val="00377F38"/>
    <w:rsid w:val="00380938"/>
    <w:rsid w:val="003819A8"/>
    <w:rsid w:val="00381D3E"/>
    <w:rsid w:val="00382239"/>
    <w:rsid w:val="00383920"/>
    <w:rsid w:val="00383A4D"/>
    <w:rsid w:val="00383B77"/>
    <w:rsid w:val="003855A1"/>
    <w:rsid w:val="003860DD"/>
    <w:rsid w:val="003875EB"/>
    <w:rsid w:val="003875F8"/>
    <w:rsid w:val="0038791C"/>
    <w:rsid w:val="0038798C"/>
    <w:rsid w:val="00390FF7"/>
    <w:rsid w:val="003911DB"/>
    <w:rsid w:val="00391B61"/>
    <w:rsid w:val="003931F7"/>
    <w:rsid w:val="0039354C"/>
    <w:rsid w:val="003940CC"/>
    <w:rsid w:val="00394373"/>
    <w:rsid w:val="00394736"/>
    <w:rsid w:val="00394DC0"/>
    <w:rsid w:val="00396336"/>
    <w:rsid w:val="0039678B"/>
    <w:rsid w:val="00396957"/>
    <w:rsid w:val="00396D7F"/>
    <w:rsid w:val="0039715F"/>
    <w:rsid w:val="00397575"/>
    <w:rsid w:val="00397A04"/>
    <w:rsid w:val="003A00EF"/>
    <w:rsid w:val="003A019C"/>
    <w:rsid w:val="003A01E6"/>
    <w:rsid w:val="003A0297"/>
    <w:rsid w:val="003A0517"/>
    <w:rsid w:val="003A0DAC"/>
    <w:rsid w:val="003A1756"/>
    <w:rsid w:val="003A1B61"/>
    <w:rsid w:val="003A1ED4"/>
    <w:rsid w:val="003A2E63"/>
    <w:rsid w:val="003A3127"/>
    <w:rsid w:val="003A3E08"/>
    <w:rsid w:val="003A43E0"/>
    <w:rsid w:val="003A4A7A"/>
    <w:rsid w:val="003A51B5"/>
    <w:rsid w:val="003A539C"/>
    <w:rsid w:val="003A55C8"/>
    <w:rsid w:val="003A586F"/>
    <w:rsid w:val="003A59AE"/>
    <w:rsid w:val="003A6BBE"/>
    <w:rsid w:val="003A6FF5"/>
    <w:rsid w:val="003A7E34"/>
    <w:rsid w:val="003B07A1"/>
    <w:rsid w:val="003B2659"/>
    <w:rsid w:val="003B48F9"/>
    <w:rsid w:val="003B4D30"/>
    <w:rsid w:val="003B4DA3"/>
    <w:rsid w:val="003B5034"/>
    <w:rsid w:val="003B68FD"/>
    <w:rsid w:val="003B72B8"/>
    <w:rsid w:val="003B7BDE"/>
    <w:rsid w:val="003C0E8A"/>
    <w:rsid w:val="003C19C8"/>
    <w:rsid w:val="003C2A4D"/>
    <w:rsid w:val="003C355A"/>
    <w:rsid w:val="003C3C3C"/>
    <w:rsid w:val="003C417B"/>
    <w:rsid w:val="003C4B43"/>
    <w:rsid w:val="003C4BB5"/>
    <w:rsid w:val="003C4F34"/>
    <w:rsid w:val="003C5394"/>
    <w:rsid w:val="003C5552"/>
    <w:rsid w:val="003C658F"/>
    <w:rsid w:val="003C6640"/>
    <w:rsid w:val="003C665A"/>
    <w:rsid w:val="003C6D5C"/>
    <w:rsid w:val="003C6DA1"/>
    <w:rsid w:val="003C7154"/>
    <w:rsid w:val="003D002E"/>
    <w:rsid w:val="003D005C"/>
    <w:rsid w:val="003D1899"/>
    <w:rsid w:val="003D2ED8"/>
    <w:rsid w:val="003D30BA"/>
    <w:rsid w:val="003D3243"/>
    <w:rsid w:val="003D3435"/>
    <w:rsid w:val="003D5137"/>
    <w:rsid w:val="003D5A50"/>
    <w:rsid w:val="003D6D70"/>
    <w:rsid w:val="003D6E26"/>
    <w:rsid w:val="003D77EA"/>
    <w:rsid w:val="003E015B"/>
    <w:rsid w:val="003E04F3"/>
    <w:rsid w:val="003E08F2"/>
    <w:rsid w:val="003E1DCA"/>
    <w:rsid w:val="003E1DD2"/>
    <w:rsid w:val="003E2472"/>
    <w:rsid w:val="003E24B7"/>
    <w:rsid w:val="003E3430"/>
    <w:rsid w:val="003E34C2"/>
    <w:rsid w:val="003E3C9F"/>
    <w:rsid w:val="003E4E8A"/>
    <w:rsid w:val="003E57A4"/>
    <w:rsid w:val="003E694F"/>
    <w:rsid w:val="003E735F"/>
    <w:rsid w:val="003F0225"/>
    <w:rsid w:val="003F0898"/>
    <w:rsid w:val="003F0C4A"/>
    <w:rsid w:val="003F15D3"/>
    <w:rsid w:val="003F249F"/>
    <w:rsid w:val="003F2ABE"/>
    <w:rsid w:val="003F2E01"/>
    <w:rsid w:val="003F2ECA"/>
    <w:rsid w:val="003F44B2"/>
    <w:rsid w:val="003F468A"/>
    <w:rsid w:val="003F4C67"/>
    <w:rsid w:val="003F51E3"/>
    <w:rsid w:val="003F5BB0"/>
    <w:rsid w:val="003F5F28"/>
    <w:rsid w:val="003F656B"/>
    <w:rsid w:val="003F7F5A"/>
    <w:rsid w:val="004010D6"/>
    <w:rsid w:val="00401DD7"/>
    <w:rsid w:val="004024BC"/>
    <w:rsid w:val="004026EF"/>
    <w:rsid w:val="00402702"/>
    <w:rsid w:val="00402793"/>
    <w:rsid w:val="0040310D"/>
    <w:rsid w:val="004031C5"/>
    <w:rsid w:val="00403C56"/>
    <w:rsid w:val="00403EF4"/>
    <w:rsid w:val="0040457E"/>
    <w:rsid w:val="004046D6"/>
    <w:rsid w:val="00406E22"/>
    <w:rsid w:val="00407B62"/>
    <w:rsid w:val="004111E6"/>
    <w:rsid w:val="004113C5"/>
    <w:rsid w:val="004153B4"/>
    <w:rsid w:val="0041554C"/>
    <w:rsid w:val="00415F6E"/>
    <w:rsid w:val="0041612E"/>
    <w:rsid w:val="004207D0"/>
    <w:rsid w:val="004207E6"/>
    <w:rsid w:val="00420A6E"/>
    <w:rsid w:val="00422DF0"/>
    <w:rsid w:val="0042339C"/>
    <w:rsid w:val="0042369E"/>
    <w:rsid w:val="00423700"/>
    <w:rsid w:val="00424080"/>
    <w:rsid w:val="004241CE"/>
    <w:rsid w:val="00425116"/>
    <w:rsid w:val="00425F8D"/>
    <w:rsid w:val="004269DB"/>
    <w:rsid w:val="00426BF5"/>
    <w:rsid w:val="00427253"/>
    <w:rsid w:val="00430B65"/>
    <w:rsid w:val="00431A38"/>
    <w:rsid w:val="004321D8"/>
    <w:rsid w:val="00432FF9"/>
    <w:rsid w:val="00433D95"/>
    <w:rsid w:val="0043405F"/>
    <w:rsid w:val="00436E75"/>
    <w:rsid w:val="00437418"/>
    <w:rsid w:val="00440E86"/>
    <w:rsid w:val="00441920"/>
    <w:rsid w:val="00441F0C"/>
    <w:rsid w:val="00442601"/>
    <w:rsid w:val="0044261D"/>
    <w:rsid w:val="00442DFB"/>
    <w:rsid w:val="00443193"/>
    <w:rsid w:val="0044343D"/>
    <w:rsid w:val="00444208"/>
    <w:rsid w:val="00444852"/>
    <w:rsid w:val="00444953"/>
    <w:rsid w:val="004469A3"/>
    <w:rsid w:val="00450ED5"/>
    <w:rsid w:val="00450F10"/>
    <w:rsid w:val="00451F3A"/>
    <w:rsid w:val="00452215"/>
    <w:rsid w:val="00452E54"/>
    <w:rsid w:val="0045312A"/>
    <w:rsid w:val="004533C2"/>
    <w:rsid w:val="004534B8"/>
    <w:rsid w:val="004538EC"/>
    <w:rsid w:val="004552A2"/>
    <w:rsid w:val="0045619F"/>
    <w:rsid w:val="0045782A"/>
    <w:rsid w:val="00457DCD"/>
    <w:rsid w:val="00462590"/>
    <w:rsid w:val="00462A01"/>
    <w:rsid w:val="00463744"/>
    <w:rsid w:val="00463C8C"/>
    <w:rsid w:val="00463F07"/>
    <w:rsid w:val="00464392"/>
    <w:rsid w:val="00465619"/>
    <w:rsid w:val="00465F4F"/>
    <w:rsid w:val="00466117"/>
    <w:rsid w:val="004661FB"/>
    <w:rsid w:val="0046620E"/>
    <w:rsid w:val="00466377"/>
    <w:rsid w:val="004669C9"/>
    <w:rsid w:val="00466DF9"/>
    <w:rsid w:val="0047035B"/>
    <w:rsid w:val="004712E3"/>
    <w:rsid w:val="004719C0"/>
    <w:rsid w:val="004721AE"/>
    <w:rsid w:val="004729A9"/>
    <w:rsid w:val="00472A3B"/>
    <w:rsid w:val="00472B8A"/>
    <w:rsid w:val="004733C7"/>
    <w:rsid w:val="0047384A"/>
    <w:rsid w:val="00473A0E"/>
    <w:rsid w:val="004742EB"/>
    <w:rsid w:val="00474505"/>
    <w:rsid w:val="004745E7"/>
    <w:rsid w:val="004746B4"/>
    <w:rsid w:val="00475267"/>
    <w:rsid w:val="00475BC0"/>
    <w:rsid w:val="004771C6"/>
    <w:rsid w:val="00477DED"/>
    <w:rsid w:val="004802DC"/>
    <w:rsid w:val="00481861"/>
    <w:rsid w:val="0048189A"/>
    <w:rsid w:val="00481939"/>
    <w:rsid w:val="00481DB2"/>
    <w:rsid w:val="00482800"/>
    <w:rsid w:val="00483296"/>
    <w:rsid w:val="004835DC"/>
    <w:rsid w:val="004843E8"/>
    <w:rsid w:val="00485E36"/>
    <w:rsid w:val="00486337"/>
    <w:rsid w:val="004868F0"/>
    <w:rsid w:val="0049021F"/>
    <w:rsid w:val="00490450"/>
    <w:rsid w:val="00490D62"/>
    <w:rsid w:val="004915C8"/>
    <w:rsid w:val="0049189A"/>
    <w:rsid w:val="00491C97"/>
    <w:rsid w:val="00492315"/>
    <w:rsid w:val="00492878"/>
    <w:rsid w:val="00493B01"/>
    <w:rsid w:val="00494B25"/>
    <w:rsid w:val="00495986"/>
    <w:rsid w:val="004A0573"/>
    <w:rsid w:val="004A088C"/>
    <w:rsid w:val="004A0E98"/>
    <w:rsid w:val="004A2062"/>
    <w:rsid w:val="004A36DD"/>
    <w:rsid w:val="004A4564"/>
    <w:rsid w:val="004A4D58"/>
    <w:rsid w:val="004A599B"/>
    <w:rsid w:val="004A5B4C"/>
    <w:rsid w:val="004A5EA6"/>
    <w:rsid w:val="004A6699"/>
    <w:rsid w:val="004A6DD6"/>
    <w:rsid w:val="004B263D"/>
    <w:rsid w:val="004B2E1A"/>
    <w:rsid w:val="004B3051"/>
    <w:rsid w:val="004B3AD7"/>
    <w:rsid w:val="004B3B98"/>
    <w:rsid w:val="004B487B"/>
    <w:rsid w:val="004B487D"/>
    <w:rsid w:val="004B4AE2"/>
    <w:rsid w:val="004B53C1"/>
    <w:rsid w:val="004B5876"/>
    <w:rsid w:val="004B5B58"/>
    <w:rsid w:val="004B5C0D"/>
    <w:rsid w:val="004B629B"/>
    <w:rsid w:val="004B636E"/>
    <w:rsid w:val="004B6A39"/>
    <w:rsid w:val="004B6BF0"/>
    <w:rsid w:val="004B6CBD"/>
    <w:rsid w:val="004C0006"/>
    <w:rsid w:val="004C0E03"/>
    <w:rsid w:val="004C1379"/>
    <w:rsid w:val="004C207D"/>
    <w:rsid w:val="004C2BBE"/>
    <w:rsid w:val="004C3960"/>
    <w:rsid w:val="004C4546"/>
    <w:rsid w:val="004C4703"/>
    <w:rsid w:val="004C47B3"/>
    <w:rsid w:val="004C4DD3"/>
    <w:rsid w:val="004C5521"/>
    <w:rsid w:val="004C558C"/>
    <w:rsid w:val="004C5845"/>
    <w:rsid w:val="004C5D31"/>
    <w:rsid w:val="004C60DF"/>
    <w:rsid w:val="004C6DA7"/>
    <w:rsid w:val="004C7B76"/>
    <w:rsid w:val="004D09BF"/>
    <w:rsid w:val="004D0CE8"/>
    <w:rsid w:val="004D1030"/>
    <w:rsid w:val="004D12D7"/>
    <w:rsid w:val="004D17A1"/>
    <w:rsid w:val="004D17C4"/>
    <w:rsid w:val="004D1BA2"/>
    <w:rsid w:val="004D1BCA"/>
    <w:rsid w:val="004D32F8"/>
    <w:rsid w:val="004D3408"/>
    <w:rsid w:val="004D3791"/>
    <w:rsid w:val="004D38DB"/>
    <w:rsid w:val="004D3B54"/>
    <w:rsid w:val="004D462F"/>
    <w:rsid w:val="004D4C80"/>
    <w:rsid w:val="004D4D13"/>
    <w:rsid w:val="004D5B62"/>
    <w:rsid w:val="004D70CF"/>
    <w:rsid w:val="004D73A1"/>
    <w:rsid w:val="004E0C48"/>
    <w:rsid w:val="004E14F2"/>
    <w:rsid w:val="004E1EB6"/>
    <w:rsid w:val="004E4917"/>
    <w:rsid w:val="004E6766"/>
    <w:rsid w:val="004E6811"/>
    <w:rsid w:val="004E6E92"/>
    <w:rsid w:val="004E7E9C"/>
    <w:rsid w:val="004F0184"/>
    <w:rsid w:val="004F040C"/>
    <w:rsid w:val="004F06AF"/>
    <w:rsid w:val="004F0997"/>
    <w:rsid w:val="004F09FC"/>
    <w:rsid w:val="004F0E24"/>
    <w:rsid w:val="004F0F6D"/>
    <w:rsid w:val="004F136E"/>
    <w:rsid w:val="004F1AC2"/>
    <w:rsid w:val="004F25D4"/>
    <w:rsid w:val="004F3181"/>
    <w:rsid w:val="004F33F0"/>
    <w:rsid w:val="004F3E37"/>
    <w:rsid w:val="0050014D"/>
    <w:rsid w:val="00500692"/>
    <w:rsid w:val="00500BFA"/>
    <w:rsid w:val="00501AD6"/>
    <w:rsid w:val="00501D9E"/>
    <w:rsid w:val="0050229A"/>
    <w:rsid w:val="00502D8D"/>
    <w:rsid w:val="005034AA"/>
    <w:rsid w:val="005035F2"/>
    <w:rsid w:val="00503905"/>
    <w:rsid w:val="00503A61"/>
    <w:rsid w:val="00504B23"/>
    <w:rsid w:val="005060DE"/>
    <w:rsid w:val="00506367"/>
    <w:rsid w:val="00506629"/>
    <w:rsid w:val="00507D0F"/>
    <w:rsid w:val="0051015F"/>
    <w:rsid w:val="00510EAA"/>
    <w:rsid w:val="00511BCF"/>
    <w:rsid w:val="00511C2F"/>
    <w:rsid w:val="00511D0A"/>
    <w:rsid w:val="0051380B"/>
    <w:rsid w:val="00513881"/>
    <w:rsid w:val="00513C36"/>
    <w:rsid w:val="0051575A"/>
    <w:rsid w:val="005161ED"/>
    <w:rsid w:val="005173C0"/>
    <w:rsid w:val="005201C8"/>
    <w:rsid w:val="0052047D"/>
    <w:rsid w:val="005212A7"/>
    <w:rsid w:val="00521E50"/>
    <w:rsid w:val="005221FB"/>
    <w:rsid w:val="00522294"/>
    <w:rsid w:val="00522585"/>
    <w:rsid w:val="005225A2"/>
    <w:rsid w:val="00522C60"/>
    <w:rsid w:val="005231E6"/>
    <w:rsid w:val="005249C0"/>
    <w:rsid w:val="0052595C"/>
    <w:rsid w:val="005265AF"/>
    <w:rsid w:val="00526A07"/>
    <w:rsid w:val="00527014"/>
    <w:rsid w:val="005304D5"/>
    <w:rsid w:val="0053102A"/>
    <w:rsid w:val="0053294F"/>
    <w:rsid w:val="00532E68"/>
    <w:rsid w:val="00533CA3"/>
    <w:rsid w:val="005344E9"/>
    <w:rsid w:val="00534BCB"/>
    <w:rsid w:val="00535D43"/>
    <w:rsid w:val="005363E0"/>
    <w:rsid w:val="005368C7"/>
    <w:rsid w:val="00536E02"/>
    <w:rsid w:val="00537583"/>
    <w:rsid w:val="0054005B"/>
    <w:rsid w:val="00540BA9"/>
    <w:rsid w:val="00540EF9"/>
    <w:rsid w:val="00540F99"/>
    <w:rsid w:val="0054105B"/>
    <w:rsid w:val="00541758"/>
    <w:rsid w:val="005423E9"/>
    <w:rsid w:val="005439B7"/>
    <w:rsid w:val="00543BE4"/>
    <w:rsid w:val="00545ABF"/>
    <w:rsid w:val="00546829"/>
    <w:rsid w:val="00547CAF"/>
    <w:rsid w:val="005500FE"/>
    <w:rsid w:val="00550BF1"/>
    <w:rsid w:val="00550D6D"/>
    <w:rsid w:val="00551228"/>
    <w:rsid w:val="00551E26"/>
    <w:rsid w:val="00551E73"/>
    <w:rsid w:val="00552A26"/>
    <w:rsid w:val="005532CD"/>
    <w:rsid w:val="0055355F"/>
    <w:rsid w:val="00554B16"/>
    <w:rsid w:val="00554B91"/>
    <w:rsid w:val="00555E24"/>
    <w:rsid w:val="00556A9D"/>
    <w:rsid w:val="00560626"/>
    <w:rsid w:val="005613C7"/>
    <w:rsid w:val="00562521"/>
    <w:rsid w:val="005631A7"/>
    <w:rsid w:val="00564D7B"/>
    <w:rsid w:val="0056781B"/>
    <w:rsid w:val="00567860"/>
    <w:rsid w:val="00567944"/>
    <w:rsid w:val="0057031D"/>
    <w:rsid w:val="00570960"/>
    <w:rsid w:val="005710F8"/>
    <w:rsid w:val="00571157"/>
    <w:rsid w:val="00571445"/>
    <w:rsid w:val="0057229D"/>
    <w:rsid w:val="0057384F"/>
    <w:rsid w:val="00573BDD"/>
    <w:rsid w:val="005743CA"/>
    <w:rsid w:val="0057441A"/>
    <w:rsid w:val="005749CF"/>
    <w:rsid w:val="00574ABA"/>
    <w:rsid w:val="00575140"/>
    <w:rsid w:val="005756CC"/>
    <w:rsid w:val="00576760"/>
    <w:rsid w:val="005777F5"/>
    <w:rsid w:val="00577C9B"/>
    <w:rsid w:val="00577CEE"/>
    <w:rsid w:val="00577F28"/>
    <w:rsid w:val="00577FEB"/>
    <w:rsid w:val="00580018"/>
    <w:rsid w:val="00580961"/>
    <w:rsid w:val="005814FF"/>
    <w:rsid w:val="00581D31"/>
    <w:rsid w:val="00581E9E"/>
    <w:rsid w:val="005825AF"/>
    <w:rsid w:val="005832F5"/>
    <w:rsid w:val="005838E7"/>
    <w:rsid w:val="00583A67"/>
    <w:rsid w:val="00583D2F"/>
    <w:rsid w:val="00584792"/>
    <w:rsid w:val="00584D2A"/>
    <w:rsid w:val="00585273"/>
    <w:rsid w:val="00585DD4"/>
    <w:rsid w:val="005866F3"/>
    <w:rsid w:val="0058776E"/>
    <w:rsid w:val="00587860"/>
    <w:rsid w:val="00587CBD"/>
    <w:rsid w:val="005905DA"/>
    <w:rsid w:val="005912B9"/>
    <w:rsid w:val="00592D6A"/>
    <w:rsid w:val="005933C0"/>
    <w:rsid w:val="005938C3"/>
    <w:rsid w:val="00594871"/>
    <w:rsid w:val="00595759"/>
    <w:rsid w:val="00595CB4"/>
    <w:rsid w:val="005965DD"/>
    <w:rsid w:val="00596B3A"/>
    <w:rsid w:val="00597F8D"/>
    <w:rsid w:val="005A06D6"/>
    <w:rsid w:val="005A0C95"/>
    <w:rsid w:val="005A1251"/>
    <w:rsid w:val="005A1663"/>
    <w:rsid w:val="005A1A1A"/>
    <w:rsid w:val="005A1B0A"/>
    <w:rsid w:val="005A1BB5"/>
    <w:rsid w:val="005A1E19"/>
    <w:rsid w:val="005A23F8"/>
    <w:rsid w:val="005A2A66"/>
    <w:rsid w:val="005A2CFD"/>
    <w:rsid w:val="005A328D"/>
    <w:rsid w:val="005A3DA8"/>
    <w:rsid w:val="005A3ED2"/>
    <w:rsid w:val="005A41FB"/>
    <w:rsid w:val="005A468D"/>
    <w:rsid w:val="005A4CD8"/>
    <w:rsid w:val="005A4F43"/>
    <w:rsid w:val="005A52AE"/>
    <w:rsid w:val="005A53D7"/>
    <w:rsid w:val="005A555C"/>
    <w:rsid w:val="005A6DB1"/>
    <w:rsid w:val="005A6E10"/>
    <w:rsid w:val="005A7DC3"/>
    <w:rsid w:val="005B0177"/>
    <w:rsid w:val="005B0D55"/>
    <w:rsid w:val="005B1AE7"/>
    <w:rsid w:val="005B20C4"/>
    <w:rsid w:val="005B24E2"/>
    <w:rsid w:val="005B3204"/>
    <w:rsid w:val="005B35CA"/>
    <w:rsid w:val="005B3B9F"/>
    <w:rsid w:val="005B410A"/>
    <w:rsid w:val="005B7216"/>
    <w:rsid w:val="005B7CA8"/>
    <w:rsid w:val="005C15B4"/>
    <w:rsid w:val="005C194F"/>
    <w:rsid w:val="005C1A05"/>
    <w:rsid w:val="005C1B0A"/>
    <w:rsid w:val="005C2232"/>
    <w:rsid w:val="005C2B7B"/>
    <w:rsid w:val="005C3282"/>
    <w:rsid w:val="005C3408"/>
    <w:rsid w:val="005C38E2"/>
    <w:rsid w:val="005C544F"/>
    <w:rsid w:val="005C5FA6"/>
    <w:rsid w:val="005C6CE7"/>
    <w:rsid w:val="005C6E4F"/>
    <w:rsid w:val="005D072E"/>
    <w:rsid w:val="005D0764"/>
    <w:rsid w:val="005D0B34"/>
    <w:rsid w:val="005D1C22"/>
    <w:rsid w:val="005D1D20"/>
    <w:rsid w:val="005D20A0"/>
    <w:rsid w:val="005D2593"/>
    <w:rsid w:val="005D2DF3"/>
    <w:rsid w:val="005D4ADA"/>
    <w:rsid w:val="005D4C64"/>
    <w:rsid w:val="005D549E"/>
    <w:rsid w:val="005D7039"/>
    <w:rsid w:val="005D7F40"/>
    <w:rsid w:val="005E057E"/>
    <w:rsid w:val="005E09B3"/>
    <w:rsid w:val="005E0CF9"/>
    <w:rsid w:val="005E1946"/>
    <w:rsid w:val="005E1D97"/>
    <w:rsid w:val="005E2C3F"/>
    <w:rsid w:val="005E3191"/>
    <w:rsid w:val="005E451C"/>
    <w:rsid w:val="005E45D6"/>
    <w:rsid w:val="005E4E28"/>
    <w:rsid w:val="005E58A6"/>
    <w:rsid w:val="005F0051"/>
    <w:rsid w:val="005F07D5"/>
    <w:rsid w:val="005F0884"/>
    <w:rsid w:val="005F1423"/>
    <w:rsid w:val="005F1F5B"/>
    <w:rsid w:val="005F2688"/>
    <w:rsid w:val="005F2B10"/>
    <w:rsid w:val="005F3597"/>
    <w:rsid w:val="005F364D"/>
    <w:rsid w:val="005F3FBC"/>
    <w:rsid w:val="005F4B3B"/>
    <w:rsid w:val="005F520D"/>
    <w:rsid w:val="005F61D3"/>
    <w:rsid w:val="005F6857"/>
    <w:rsid w:val="005F7BE7"/>
    <w:rsid w:val="00600563"/>
    <w:rsid w:val="006013EB"/>
    <w:rsid w:val="00601BD1"/>
    <w:rsid w:val="00601C36"/>
    <w:rsid w:val="00602019"/>
    <w:rsid w:val="00602545"/>
    <w:rsid w:val="006025AF"/>
    <w:rsid w:val="00602951"/>
    <w:rsid w:val="00602A98"/>
    <w:rsid w:val="00602C9B"/>
    <w:rsid w:val="00603E36"/>
    <w:rsid w:val="006041A3"/>
    <w:rsid w:val="0060509C"/>
    <w:rsid w:val="0060526C"/>
    <w:rsid w:val="00606393"/>
    <w:rsid w:val="0060703A"/>
    <w:rsid w:val="006072C5"/>
    <w:rsid w:val="006101CF"/>
    <w:rsid w:val="00610DE1"/>
    <w:rsid w:val="00611427"/>
    <w:rsid w:val="006128DA"/>
    <w:rsid w:val="0061498B"/>
    <w:rsid w:val="00614F0A"/>
    <w:rsid w:val="0061527D"/>
    <w:rsid w:val="00615AA6"/>
    <w:rsid w:val="00616E43"/>
    <w:rsid w:val="00616F6E"/>
    <w:rsid w:val="006179E5"/>
    <w:rsid w:val="006203AB"/>
    <w:rsid w:val="00620A38"/>
    <w:rsid w:val="0062135B"/>
    <w:rsid w:val="00621F39"/>
    <w:rsid w:val="006220CE"/>
    <w:rsid w:val="00623172"/>
    <w:rsid w:val="00624B6B"/>
    <w:rsid w:val="00624F71"/>
    <w:rsid w:val="00625B18"/>
    <w:rsid w:val="00626184"/>
    <w:rsid w:val="006267C3"/>
    <w:rsid w:val="00626A16"/>
    <w:rsid w:val="00627384"/>
    <w:rsid w:val="006278FE"/>
    <w:rsid w:val="00627959"/>
    <w:rsid w:val="006303A0"/>
    <w:rsid w:val="00630F55"/>
    <w:rsid w:val="00632084"/>
    <w:rsid w:val="00632B64"/>
    <w:rsid w:val="00632C1B"/>
    <w:rsid w:val="0063348F"/>
    <w:rsid w:val="00633F2D"/>
    <w:rsid w:val="0063445B"/>
    <w:rsid w:val="00634C42"/>
    <w:rsid w:val="006350CB"/>
    <w:rsid w:val="00635127"/>
    <w:rsid w:val="00635CE2"/>
    <w:rsid w:val="006363F9"/>
    <w:rsid w:val="00636F0C"/>
    <w:rsid w:val="00640878"/>
    <w:rsid w:val="006409F7"/>
    <w:rsid w:val="00640AF7"/>
    <w:rsid w:val="006415E2"/>
    <w:rsid w:val="006428B7"/>
    <w:rsid w:val="00642951"/>
    <w:rsid w:val="00643903"/>
    <w:rsid w:val="00643A30"/>
    <w:rsid w:val="00643C3E"/>
    <w:rsid w:val="00644899"/>
    <w:rsid w:val="00645662"/>
    <w:rsid w:val="00645BAE"/>
    <w:rsid w:val="00646598"/>
    <w:rsid w:val="006471C8"/>
    <w:rsid w:val="00647E68"/>
    <w:rsid w:val="00650A64"/>
    <w:rsid w:val="0065147B"/>
    <w:rsid w:val="00651D53"/>
    <w:rsid w:val="00652BB2"/>
    <w:rsid w:val="0065312C"/>
    <w:rsid w:val="006534ED"/>
    <w:rsid w:val="00653995"/>
    <w:rsid w:val="006545C4"/>
    <w:rsid w:val="0065479A"/>
    <w:rsid w:val="0065595A"/>
    <w:rsid w:val="0065604F"/>
    <w:rsid w:val="00656397"/>
    <w:rsid w:val="006569C6"/>
    <w:rsid w:val="00656C0D"/>
    <w:rsid w:val="0065770D"/>
    <w:rsid w:val="00657AD6"/>
    <w:rsid w:val="00660E79"/>
    <w:rsid w:val="006610E6"/>
    <w:rsid w:val="00661AFE"/>
    <w:rsid w:val="00662595"/>
    <w:rsid w:val="00662605"/>
    <w:rsid w:val="006628A5"/>
    <w:rsid w:val="00664096"/>
    <w:rsid w:val="00664722"/>
    <w:rsid w:val="00664EE2"/>
    <w:rsid w:val="006650C4"/>
    <w:rsid w:val="00667389"/>
    <w:rsid w:val="00667AF3"/>
    <w:rsid w:val="00670C2A"/>
    <w:rsid w:val="00671227"/>
    <w:rsid w:val="00671E07"/>
    <w:rsid w:val="0067271A"/>
    <w:rsid w:val="00672BF8"/>
    <w:rsid w:val="00672DEB"/>
    <w:rsid w:val="00673393"/>
    <w:rsid w:val="00673513"/>
    <w:rsid w:val="00673BA7"/>
    <w:rsid w:val="0067536E"/>
    <w:rsid w:val="00675972"/>
    <w:rsid w:val="00675F4F"/>
    <w:rsid w:val="0067634F"/>
    <w:rsid w:val="006767D1"/>
    <w:rsid w:val="00681069"/>
    <w:rsid w:val="00684BF5"/>
    <w:rsid w:val="0068506B"/>
    <w:rsid w:val="00686737"/>
    <w:rsid w:val="00692907"/>
    <w:rsid w:val="006943B8"/>
    <w:rsid w:val="006955E4"/>
    <w:rsid w:val="00695ACE"/>
    <w:rsid w:val="0069630E"/>
    <w:rsid w:val="00697420"/>
    <w:rsid w:val="006A0197"/>
    <w:rsid w:val="006A0A56"/>
    <w:rsid w:val="006A2A5D"/>
    <w:rsid w:val="006A2C81"/>
    <w:rsid w:val="006A488B"/>
    <w:rsid w:val="006A61E0"/>
    <w:rsid w:val="006A6670"/>
    <w:rsid w:val="006A6A87"/>
    <w:rsid w:val="006A72BE"/>
    <w:rsid w:val="006A76AE"/>
    <w:rsid w:val="006B02CE"/>
    <w:rsid w:val="006B0EA4"/>
    <w:rsid w:val="006B18F0"/>
    <w:rsid w:val="006B239B"/>
    <w:rsid w:val="006B24E3"/>
    <w:rsid w:val="006B26AE"/>
    <w:rsid w:val="006B2BA5"/>
    <w:rsid w:val="006B3BD8"/>
    <w:rsid w:val="006B4AE0"/>
    <w:rsid w:val="006B5F72"/>
    <w:rsid w:val="006B6710"/>
    <w:rsid w:val="006B6B38"/>
    <w:rsid w:val="006B7142"/>
    <w:rsid w:val="006B7BBB"/>
    <w:rsid w:val="006B7E81"/>
    <w:rsid w:val="006C0ACA"/>
    <w:rsid w:val="006C15D2"/>
    <w:rsid w:val="006C181B"/>
    <w:rsid w:val="006C268B"/>
    <w:rsid w:val="006C28B6"/>
    <w:rsid w:val="006C3017"/>
    <w:rsid w:val="006C4499"/>
    <w:rsid w:val="006C539B"/>
    <w:rsid w:val="006C57AF"/>
    <w:rsid w:val="006C5FC3"/>
    <w:rsid w:val="006C6DA9"/>
    <w:rsid w:val="006C7930"/>
    <w:rsid w:val="006D0345"/>
    <w:rsid w:val="006D073F"/>
    <w:rsid w:val="006D17DE"/>
    <w:rsid w:val="006D24AF"/>
    <w:rsid w:val="006D24C0"/>
    <w:rsid w:val="006D37EB"/>
    <w:rsid w:val="006D3BE6"/>
    <w:rsid w:val="006D542F"/>
    <w:rsid w:val="006D5CEE"/>
    <w:rsid w:val="006D680C"/>
    <w:rsid w:val="006D6871"/>
    <w:rsid w:val="006D68F0"/>
    <w:rsid w:val="006D6FD6"/>
    <w:rsid w:val="006E0000"/>
    <w:rsid w:val="006E06E8"/>
    <w:rsid w:val="006E079A"/>
    <w:rsid w:val="006E0B35"/>
    <w:rsid w:val="006E1620"/>
    <w:rsid w:val="006E1B05"/>
    <w:rsid w:val="006E2BB8"/>
    <w:rsid w:val="006E3C40"/>
    <w:rsid w:val="006E3D30"/>
    <w:rsid w:val="006E41F3"/>
    <w:rsid w:val="006E51B6"/>
    <w:rsid w:val="006E5367"/>
    <w:rsid w:val="006E543F"/>
    <w:rsid w:val="006E60F2"/>
    <w:rsid w:val="006E702E"/>
    <w:rsid w:val="006E76D9"/>
    <w:rsid w:val="006E7A09"/>
    <w:rsid w:val="006F0465"/>
    <w:rsid w:val="006F1FA9"/>
    <w:rsid w:val="006F21E2"/>
    <w:rsid w:val="006F23DD"/>
    <w:rsid w:val="006F2737"/>
    <w:rsid w:val="006F2936"/>
    <w:rsid w:val="006F31E4"/>
    <w:rsid w:val="006F3926"/>
    <w:rsid w:val="006F47A9"/>
    <w:rsid w:val="006F4DF2"/>
    <w:rsid w:val="006F6345"/>
    <w:rsid w:val="00700E5D"/>
    <w:rsid w:val="007010CC"/>
    <w:rsid w:val="0070119B"/>
    <w:rsid w:val="0070240D"/>
    <w:rsid w:val="007025D7"/>
    <w:rsid w:val="00702B7F"/>
    <w:rsid w:val="00702EB1"/>
    <w:rsid w:val="00703282"/>
    <w:rsid w:val="007046BC"/>
    <w:rsid w:val="00704B78"/>
    <w:rsid w:val="007051F6"/>
    <w:rsid w:val="00705390"/>
    <w:rsid w:val="00707594"/>
    <w:rsid w:val="00710003"/>
    <w:rsid w:val="00710684"/>
    <w:rsid w:val="007115F3"/>
    <w:rsid w:val="00711CBC"/>
    <w:rsid w:val="007122E6"/>
    <w:rsid w:val="00712847"/>
    <w:rsid w:val="00712970"/>
    <w:rsid w:val="0071416B"/>
    <w:rsid w:val="0071451A"/>
    <w:rsid w:val="00714AB1"/>
    <w:rsid w:val="00714EC6"/>
    <w:rsid w:val="0071657A"/>
    <w:rsid w:val="00716BDF"/>
    <w:rsid w:val="00716E8A"/>
    <w:rsid w:val="007171C5"/>
    <w:rsid w:val="007172B4"/>
    <w:rsid w:val="007176BF"/>
    <w:rsid w:val="007177DA"/>
    <w:rsid w:val="007202F2"/>
    <w:rsid w:val="00721A5F"/>
    <w:rsid w:val="00721E93"/>
    <w:rsid w:val="00721F7B"/>
    <w:rsid w:val="00722914"/>
    <w:rsid w:val="00723155"/>
    <w:rsid w:val="0072436B"/>
    <w:rsid w:val="00724BD7"/>
    <w:rsid w:val="00725023"/>
    <w:rsid w:val="007258F3"/>
    <w:rsid w:val="007262BD"/>
    <w:rsid w:val="007264DD"/>
    <w:rsid w:val="00727A33"/>
    <w:rsid w:val="00727B12"/>
    <w:rsid w:val="00730133"/>
    <w:rsid w:val="0073085A"/>
    <w:rsid w:val="00730C2F"/>
    <w:rsid w:val="007316DE"/>
    <w:rsid w:val="007319A8"/>
    <w:rsid w:val="0073265E"/>
    <w:rsid w:val="00732C8A"/>
    <w:rsid w:val="00734A1D"/>
    <w:rsid w:val="00734BEA"/>
    <w:rsid w:val="00735C00"/>
    <w:rsid w:val="007363A1"/>
    <w:rsid w:val="00736EC3"/>
    <w:rsid w:val="00736F97"/>
    <w:rsid w:val="00737AC7"/>
    <w:rsid w:val="00737B66"/>
    <w:rsid w:val="0074076F"/>
    <w:rsid w:val="00740B25"/>
    <w:rsid w:val="00740E88"/>
    <w:rsid w:val="007414BA"/>
    <w:rsid w:val="007415CA"/>
    <w:rsid w:val="00741BB0"/>
    <w:rsid w:val="00742E58"/>
    <w:rsid w:val="0074499E"/>
    <w:rsid w:val="00744C91"/>
    <w:rsid w:val="007459DC"/>
    <w:rsid w:val="00746668"/>
    <w:rsid w:val="00746C7F"/>
    <w:rsid w:val="00747B72"/>
    <w:rsid w:val="00747B77"/>
    <w:rsid w:val="00747C90"/>
    <w:rsid w:val="007509DA"/>
    <w:rsid w:val="00751397"/>
    <w:rsid w:val="007516D0"/>
    <w:rsid w:val="00752B46"/>
    <w:rsid w:val="007531A1"/>
    <w:rsid w:val="007531BC"/>
    <w:rsid w:val="00754C9E"/>
    <w:rsid w:val="00755335"/>
    <w:rsid w:val="00755539"/>
    <w:rsid w:val="007555E2"/>
    <w:rsid w:val="0075575B"/>
    <w:rsid w:val="00760412"/>
    <w:rsid w:val="00761CC7"/>
    <w:rsid w:val="00761D85"/>
    <w:rsid w:val="00762C43"/>
    <w:rsid w:val="00762F17"/>
    <w:rsid w:val="007635B4"/>
    <w:rsid w:val="0076695D"/>
    <w:rsid w:val="007677FD"/>
    <w:rsid w:val="007679B6"/>
    <w:rsid w:val="00767F4E"/>
    <w:rsid w:val="00771180"/>
    <w:rsid w:val="0077119C"/>
    <w:rsid w:val="00773026"/>
    <w:rsid w:val="00773A97"/>
    <w:rsid w:val="00774E1B"/>
    <w:rsid w:val="007757DC"/>
    <w:rsid w:val="00776967"/>
    <w:rsid w:val="00777023"/>
    <w:rsid w:val="007775FB"/>
    <w:rsid w:val="007776A4"/>
    <w:rsid w:val="007800A1"/>
    <w:rsid w:val="00781486"/>
    <w:rsid w:val="0078226A"/>
    <w:rsid w:val="0078436C"/>
    <w:rsid w:val="007844DE"/>
    <w:rsid w:val="007846BC"/>
    <w:rsid w:val="00784B24"/>
    <w:rsid w:val="00784E73"/>
    <w:rsid w:val="00785FE0"/>
    <w:rsid w:val="00790384"/>
    <w:rsid w:val="00791072"/>
    <w:rsid w:val="00791116"/>
    <w:rsid w:val="0079203F"/>
    <w:rsid w:val="007928F5"/>
    <w:rsid w:val="007929ED"/>
    <w:rsid w:val="007931AB"/>
    <w:rsid w:val="00793A11"/>
    <w:rsid w:val="00794CCB"/>
    <w:rsid w:val="007963D1"/>
    <w:rsid w:val="007A226B"/>
    <w:rsid w:val="007A4949"/>
    <w:rsid w:val="007A4CA6"/>
    <w:rsid w:val="007A563A"/>
    <w:rsid w:val="007B00AA"/>
    <w:rsid w:val="007B00EC"/>
    <w:rsid w:val="007B118F"/>
    <w:rsid w:val="007B1A15"/>
    <w:rsid w:val="007B2AEF"/>
    <w:rsid w:val="007B304B"/>
    <w:rsid w:val="007B31CC"/>
    <w:rsid w:val="007B35A9"/>
    <w:rsid w:val="007B3BBA"/>
    <w:rsid w:val="007B4218"/>
    <w:rsid w:val="007B534E"/>
    <w:rsid w:val="007B5A2A"/>
    <w:rsid w:val="007B65DE"/>
    <w:rsid w:val="007B6B41"/>
    <w:rsid w:val="007B6BBE"/>
    <w:rsid w:val="007B6C17"/>
    <w:rsid w:val="007B73B1"/>
    <w:rsid w:val="007B7FC3"/>
    <w:rsid w:val="007C0384"/>
    <w:rsid w:val="007C0B6E"/>
    <w:rsid w:val="007C0CEE"/>
    <w:rsid w:val="007C0DEF"/>
    <w:rsid w:val="007C177B"/>
    <w:rsid w:val="007C1AF5"/>
    <w:rsid w:val="007C1BE6"/>
    <w:rsid w:val="007C2A03"/>
    <w:rsid w:val="007C42B6"/>
    <w:rsid w:val="007C4C7C"/>
    <w:rsid w:val="007D0270"/>
    <w:rsid w:val="007D05FF"/>
    <w:rsid w:val="007D37E6"/>
    <w:rsid w:val="007D4A78"/>
    <w:rsid w:val="007D4C0D"/>
    <w:rsid w:val="007D508D"/>
    <w:rsid w:val="007D693B"/>
    <w:rsid w:val="007D7EBD"/>
    <w:rsid w:val="007E0116"/>
    <w:rsid w:val="007E0D78"/>
    <w:rsid w:val="007E11A7"/>
    <w:rsid w:val="007E2183"/>
    <w:rsid w:val="007E22BD"/>
    <w:rsid w:val="007E2DFE"/>
    <w:rsid w:val="007E3223"/>
    <w:rsid w:val="007E339C"/>
    <w:rsid w:val="007E3B3A"/>
    <w:rsid w:val="007E3EA6"/>
    <w:rsid w:val="007E405D"/>
    <w:rsid w:val="007E43C7"/>
    <w:rsid w:val="007F1279"/>
    <w:rsid w:val="007F195D"/>
    <w:rsid w:val="007F2A7F"/>
    <w:rsid w:val="007F32CF"/>
    <w:rsid w:val="007F56DE"/>
    <w:rsid w:val="007F5A72"/>
    <w:rsid w:val="007F5C18"/>
    <w:rsid w:val="007F5C38"/>
    <w:rsid w:val="007F5D54"/>
    <w:rsid w:val="007F6905"/>
    <w:rsid w:val="007F7689"/>
    <w:rsid w:val="007F76CA"/>
    <w:rsid w:val="008004EC"/>
    <w:rsid w:val="00800655"/>
    <w:rsid w:val="0080090C"/>
    <w:rsid w:val="00800A5C"/>
    <w:rsid w:val="008019AC"/>
    <w:rsid w:val="008021CC"/>
    <w:rsid w:val="00802383"/>
    <w:rsid w:val="00802B00"/>
    <w:rsid w:val="008036EC"/>
    <w:rsid w:val="008038DD"/>
    <w:rsid w:val="00804370"/>
    <w:rsid w:val="00804745"/>
    <w:rsid w:val="008066FC"/>
    <w:rsid w:val="00807FBC"/>
    <w:rsid w:val="0081060C"/>
    <w:rsid w:val="00810BAB"/>
    <w:rsid w:val="00810C39"/>
    <w:rsid w:val="008111A7"/>
    <w:rsid w:val="00811306"/>
    <w:rsid w:val="0081171C"/>
    <w:rsid w:val="00811B1B"/>
    <w:rsid w:val="00812450"/>
    <w:rsid w:val="0081257D"/>
    <w:rsid w:val="00812A3A"/>
    <w:rsid w:val="00812D05"/>
    <w:rsid w:val="00813AA2"/>
    <w:rsid w:val="00814520"/>
    <w:rsid w:val="0081626C"/>
    <w:rsid w:val="00816458"/>
    <w:rsid w:val="00816BF9"/>
    <w:rsid w:val="00817157"/>
    <w:rsid w:val="008179B4"/>
    <w:rsid w:val="00821BAA"/>
    <w:rsid w:val="00821E13"/>
    <w:rsid w:val="008253C2"/>
    <w:rsid w:val="00826467"/>
    <w:rsid w:val="0082732C"/>
    <w:rsid w:val="0082776F"/>
    <w:rsid w:val="008277D6"/>
    <w:rsid w:val="00827D08"/>
    <w:rsid w:val="0083160D"/>
    <w:rsid w:val="008318B0"/>
    <w:rsid w:val="00832493"/>
    <w:rsid w:val="00832844"/>
    <w:rsid w:val="008328FE"/>
    <w:rsid w:val="00832A09"/>
    <w:rsid w:val="00833F47"/>
    <w:rsid w:val="00833FB2"/>
    <w:rsid w:val="00834239"/>
    <w:rsid w:val="00834411"/>
    <w:rsid w:val="00834767"/>
    <w:rsid w:val="00834788"/>
    <w:rsid w:val="00834C18"/>
    <w:rsid w:val="00834C3D"/>
    <w:rsid w:val="0083572A"/>
    <w:rsid w:val="008368E1"/>
    <w:rsid w:val="00840B06"/>
    <w:rsid w:val="00840B9D"/>
    <w:rsid w:val="00841427"/>
    <w:rsid w:val="00841B56"/>
    <w:rsid w:val="00842766"/>
    <w:rsid w:val="00843207"/>
    <w:rsid w:val="0084329B"/>
    <w:rsid w:val="00843660"/>
    <w:rsid w:val="00843828"/>
    <w:rsid w:val="008444AC"/>
    <w:rsid w:val="00845D71"/>
    <w:rsid w:val="00846656"/>
    <w:rsid w:val="0084728C"/>
    <w:rsid w:val="00847538"/>
    <w:rsid w:val="00851A69"/>
    <w:rsid w:val="00852188"/>
    <w:rsid w:val="00852925"/>
    <w:rsid w:val="00852DB5"/>
    <w:rsid w:val="00854DEF"/>
    <w:rsid w:val="008552F4"/>
    <w:rsid w:val="0085770B"/>
    <w:rsid w:val="00857AED"/>
    <w:rsid w:val="00857B5B"/>
    <w:rsid w:val="00860808"/>
    <w:rsid w:val="008611F5"/>
    <w:rsid w:val="008622A5"/>
    <w:rsid w:val="00862DBE"/>
    <w:rsid w:val="00862DFB"/>
    <w:rsid w:val="00862FBC"/>
    <w:rsid w:val="00863C8B"/>
    <w:rsid w:val="008640E6"/>
    <w:rsid w:val="0086429F"/>
    <w:rsid w:val="00864E7E"/>
    <w:rsid w:val="0086509B"/>
    <w:rsid w:val="00865E10"/>
    <w:rsid w:val="008663AD"/>
    <w:rsid w:val="008674C2"/>
    <w:rsid w:val="008679D0"/>
    <w:rsid w:val="008709B6"/>
    <w:rsid w:val="0087101D"/>
    <w:rsid w:val="0087184B"/>
    <w:rsid w:val="00871DE0"/>
    <w:rsid w:val="00872B07"/>
    <w:rsid w:val="008738F1"/>
    <w:rsid w:val="00873926"/>
    <w:rsid w:val="00873A0A"/>
    <w:rsid w:val="00874ABC"/>
    <w:rsid w:val="00874ED7"/>
    <w:rsid w:val="00875ACB"/>
    <w:rsid w:val="00875DB6"/>
    <w:rsid w:val="0087616F"/>
    <w:rsid w:val="00876AC5"/>
    <w:rsid w:val="00877594"/>
    <w:rsid w:val="00877610"/>
    <w:rsid w:val="0087774F"/>
    <w:rsid w:val="00877E49"/>
    <w:rsid w:val="00880320"/>
    <w:rsid w:val="00881085"/>
    <w:rsid w:val="00881B8E"/>
    <w:rsid w:val="00881DA3"/>
    <w:rsid w:val="0088232C"/>
    <w:rsid w:val="008823A0"/>
    <w:rsid w:val="0088402D"/>
    <w:rsid w:val="00884E6D"/>
    <w:rsid w:val="008850D9"/>
    <w:rsid w:val="0088595A"/>
    <w:rsid w:val="00885979"/>
    <w:rsid w:val="00885C63"/>
    <w:rsid w:val="008860AD"/>
    <w:rsid w:val="0088671B"/>
    <w:rsid w:val="008867FF"/>
    <w:rsid w:val="00886F76"/>
    <w:rsid w:val="00890409"/>
    <w:rsid w:val="00890F2D"/>
    <w:rsid w:val="00891255"/>
    <w:rsid w:val="008916CF"/>
    <w:rsid w:val="00891747"/>
    <w:rsid w:val="00892078"/>
    <w:rsid w:val="00894793"/>
    <w:rsid w:val="00895120"/>
    <w:rsid w:val="008952DE"/>
    <w:rsid w:val="0089533B"/>
    <w:rsid w:val="00897189"/>
    <w:rsid w:val="00897C12"/>
    <w:rsid w:val="00897F6E"/>
    <w:rsid w:val="008A07A0"/>
    <w:rsid w:val="008A07B8"/>
    <w:rsid w:val="008A09D9"/>
    <w:rsid w:val="008A1BAB"/>
    <w:rsid w:val="008A23FF"/>
    <w:rsid w:val="008A555B"/>
    <w:rsid w:val="008A57D5"/>
    <w:rsid w:val="008A66E1"/>
    <w:rsid w:val="008A67EB"/>
    <w:rsid w:val="008A6DA3"/>
    <w:rsid w:val="008A6E51"/>
    <w:rsid w:val="008B0B0D"/>
    <w:rsid w:val="008B1087"/>
    <w:rsid w:val="008B3821"/>
    <w:rsid w:val="008B4D2C"/>
    <w:rsid w:val="008B5089"/>
    <w:rsid w:val="008B51E9"/>
    <w:rsid w:val="008B548B"/>
    <w:rsid w:val="008B5A94"/>
    <w:rsid w:val="008B64B7"/>
    <w:rsid w:val="008B74E5"/>
    <w:rsid w:val="008B7AFE"/>
    <w:rsid w:val="008C1148"/>
    <w:rsid w:val="008C1AE1"/>
    <w:rsid w:val="008C2EC9"/>
    <w:rsid w:val="008C307B"/>
    <w:rsid w:val="008C3128"/>
    <w:rsid w:val="008C3179"/>
    <w:rsid w:val="008C3B23"/>
    <w:rsid w:val="008C3B53"/>
    <w:rsid w:val="008C3BD5"/>
    <w:rsid w:val="008C46BE"/>
    <w:rsid w:val="008C4D60"/>
    <w:rsid w:val="008D0E23"/>
    <w:rsid w:val="008D0ED0"/>
    <w:rsid w:val="008D1906"/>
    <w:rsid w:val="008D1B76"/>
    <w:rsid w:val="008D2EE4"/>
    <w:rsid w:val="008D3082"/>
    <w:rsid w:val="008D3496"/>
    <w:rsid w:val="008D3E37"/>
    <w:rsid w:val="008D5823"/>
    <w:rsid w:val="008D5835"/>
    <w:rsid w:val="008D5F22"/>
    <w:rsid w:val="008D5F98"/>
    <w:rsid w:val="008D652B"/>
    <w:rsid w:val="008D67C1"/>
    <w:rsid w:val="008D7722"/>
    <w:rsid w:val="008D784F"/>
    <w:rsid w:val="008E0F89"/>
    <w:rsid w:val="008E1001"/>
    <w:rsid w:val="008E198F"/>
    <w:rsid w:val="008E29DA"/>
    <w:rsid w:val="008E2BC5"/>
    <w:rsid w:val="008E456B"/>
    <w:rsid w:val="008E5404"/>
    <w:rsid w:val="008E5A69"/>
    <w:rsid w:val="008E5F11"/>
    <w:rsid w:val="008E6C1E"/>
    <w:rsid w:val="008E6F69"/>
    <w:rsid w:val="008E71AA"/>
    <w:rsid w:val="008E7670"/>
    <w:rsid w:val="008E76E8"/>
    <w:rsid w:val="008E7BEF"/>
    <w:rsid w:val="008F0696"/>
    <w:rsid w:val="008F079B"/>
    <w:rsid w:val="008F0994"/>
    <w:rsid w:val="008F2DA9"/>
    <w:rsid w:val="008F35D1"/>
    <w:rsid w:val="008F4193"/>
    <w:rsid w:val="008F4811"/>
    <w:rsid w:val="008F6C1E"/>
    <w:rsid w:val="008F7972"/>
    <w:rsid w:val="0090057E"/>
    <w:rsid w:val="00900D15"/>
    <w:rsid w:val="009010F0"/>
    <w:rsid w:val="009017B3"/>
    <w:rsid w:val="009017CC"/>
    <w:rsid w:val="00901842"/>
    <w:rsid w:val="00901B7D"/>
    <w:rsid w:val="0090272E"/>
    <w:rsid w:val="009031D0"/>
    <w:rsid w:val="00903212"/>
    <w:rsid w:val="00903C67"/>
    <w:rsid w:val="00904100"/>
    <w:rsid w:val="00905FE0"/>
    <w:rsid w:val="00907542"/>
    <w:rsid w:val="009104A5"/>
    <w:rsid w:val="00911280"/>
    <w:rsid w:val="009115AA"/>
    <w:rsid w:val="00912219"/>
    <w:rsid w:val="00913437"/>
    <w:rsid w:val="009136F7"/>
    <w:rsid w:val="00913781"/>
    <w:rsid w:val="00914A57"/>
    <w:rsid w:val="0091586E"/>
    <w:rsid w:val="00915F58"/>
    <w:rsid w:val="009168A6"/>
    <w:rsid w:val="009169BF"/>
    <w:rsid w:val="00916ED8"/>
    <w:rsid w:val="00916FD8"/>
    <w:rsid w:val="00917485"/>
    <w:rsid w:val="0092106B"/>
    <w:rsid w:val="00921211"/>
    <w:rsid w:val="009220C8"/>
    <w:rsid w:val="009222D1"/>
    <w:rsid w:val="00922492"/>
    <w:rsid w:val="00922668"/>
    <w:rsid w:val="0092346C"/>
    <w:rsid w:val="00924680"/>
    <w:rsid w:val="009247B8"/>
    <w:rsid w:val="00924B45"/>
    <w:rsid w:val="009250E5"/>
    <w:rsid w:val="009251FF"/>
    <w:rsid w:val="009267EA"/>
    <w:rsid w:val="009274D9"/>
    <w:rsid w:val="00930542"/>
    <w:rsid w:val="009314CC"/>
    <w:rsid w:val="00931FC8"/>
    <w:rsid w:val="00933C26"/>
    <w:rsid w:val="00933F8E"/>
    <w:rsid w:val="0093405B"/>
    <w:rsid w:val="009340A6"/>
    <w:rsid w:val="009341EA"/>
    <w:rsid w:val="00934F55"/>
    <w:rsid w:val="00935C0E"/>
    <w:rsid w:val="00935D63"/>
    <w:rsid w:val="00935F22"/>
    <w:rsid w:val="00936BAD"/>
    <w:rsid w:val="00936C59"/>
    <w:rsid w:val="009370D2"/>
    <w:rsid w:val="0094013B"/>
    <w:rsid w:val="00940B15"/>
    <w:rsid w:val="00940C54"/>
    <w:rsid w:val="00940EE8"/>
    <w:rsid w:val="009414BB"/>
    <w:rsid w:val="00941F03"/>
    <w:rsid w:val="00942EB2"/>
    <w:rsid w:val="00943B2C"/>
    <w:rsid w:val="00945543"/>
    <w:rsid w:val="00945B3D"/>
    <w:rsid w:val="009464DC"/>
    <w:rsid w:val="00946543"/>
    <w:rsid w:val="00946A91"/>
    <w:rsid w:val="00947A3B"/>
    <w:rsid w:val="00951248"/>
    <w:rsid w:val="0095128E"/>
    <w:rsid w:val="00951A43"/>
    <w:rsid w:val="00953A29"/>
    <w:rsid w:val="009545C1"/>
    <w:rsid w:val="00955892"/>
    <w:rsid w:val="00955C27"/>
    <w:rsid w:val="00957806"/>
    <w:rsid w:val="00960811"/>
    <w:rsid w:val="0096202F"/>
    <w:rsid w:val="009620D4"/>
    <w:rsid w:val="00962429"/>
    <w:rsid w:val="009626F9"/>
    <w:rsid w:val="00962F5E"/>
    <w:rsid w:val="009632BB"/>
    <w:rsid w:val="00963410"/>
    <w:rsid w:val="0096346B"/>
    <w:rsid w:val="00963FF0"/>
    <w:rsid w:val="00964471"/>
    <w:rsid w:val="0096537B"/>
    <w:rsid w:val="00966087"/>
    <w:rsid w:val="00966405"/>
    <w:rsid w:val="00966C03"/>
    <w:rsid w:val="00967100"/>
    <w:rsid w:val="00967AE6"/>
    <w:rsid w:val="00967CE9"/>
    <w:rsid w:val="009705A4"/>
    <w:rsid w:val="0097075B"/>
    <w:rsid w:val="00970BF4"/>
    <w:rsid w:val="00970EAE"/>
    <w:rsid w:val="00971BDA"/>
    <w:rsid w:val="00972958"/>
    <w:rsid w:val="00972F07"/>
    <w:rsid w:val="009739E6"/>
    <w:rsid w:val="00973B57"/>
    <w:rsid w:val="00974937"/>
    <w:rsid w:val="00975490"/>
    <w:rsid w:val="00975AE9"/>
    <w:rsid w:val="0097628C"/>
    <w:rsid w:val="00976A72"/>
    <w:rsid w:val="00980394"/>
    <w:rsid w:val="009831E4"/>
    <w:rsid w:val="00983915"/>
    <w:rsid w:val="00983ABC"/>
    <w:rsid w:val="00983AF1"/>
    <w:rsid w:val="00984DB1"/>
    <w:rsid w:val="009857BC"/>
    <w:rsid w:val="00985952"/>
    <w:rsid w:val="00985C00"/>
    <w:rsid w:val="0098624D"/>
    <w:rsid w:val="00986715"/>
    <w:rsid w:val="00986E71"/>
    <w:rsid w:val="0098757F"/>
    <w:rsid w:val="00987D41"/>
    <w:rsid w:val="00990964"/>
    <w:rsid w:val="00991B28"/>
    <w:rsid w:val="00993E35"/>
    <w:rsid w:val="00994617"/>
    <w:rsid w:val="00994C25"/>
    <w:rsid w:val="0099572D"/>
    <w:rsid w:val="00995A55"/>
    <w:rsid w:val="009968BD"/>
    <w:rsid w:val="00996B90"/>
    <w:rsid w:val="00996F0D"/>
    <w:rsid w:val="00996F20"/>
    <w:rsid w:val="00997403"/>
    <w:rsid w:val="0099789F"/>
    <w:rsid w:val="00997A8F"/>
    <w:rsid w:val="00997EE5"/>
    <w:rsid w:val="009A0540"/>
    <w:rsid w:val="009A120D"/>
    <w:rsid w:val="009A2CD5"/>
    <w:rsid w:val="009A328C"/>
    <w:rsid w:val="009A379A"/>
    <w:rsid w:val="009A4073"/>
    <w:rsid w:val="009A5ADF"/>
    <w:rsid w:val="009A5D17"/>
    <w:rsid w:val="009B057E"/>
    <w:rsid w:val="009B0B85"/>
    <w:rsid w:val="009B2A83"/>
    <w:rsid w:val="009B330B"/>
    <w:rsid w:val="009B3D2B"/>
    <w:rsid w:val="009B3E2C"/>
    <w:rsid w:val="009B5B20"/>
    <w:rsid w:val="009B5DCD"/>
    <w:rsid w:val="009B6A2C"/>
    <w:rsid w:val="009B7783"/>
    <w:rsid w:val="009C0AF5"/>
    <w:rsid w:val="009C0C18"/>
    <w:rsid w:val="009C0D0A"/>
    <w:rsid w:val="009C211F"/>
    <w:rsid w:val="009C239B"/>
    <w:rsid w:val="009C27F4"/>
    <w:rsid w:val="009C2E83"/>
    <w:rsid w:val="009C2FD2"/>
    <w:rsid w:val="009C346A"/>
    <w:rsid w:val="009C4072"/>
    <w:rsid w:val="009C40CD"/>
    <w:rsid w:val="009C525F"/>
    <w:rsid w:val="009C5478"/>
    <w:rsid w:val="009C580C"/>
    <w:rsid w:val="009C779E"/>
    <w:rsid w:val="009C7AC5"/>
    <w:rsid w:val="009D00AF"/>
    <w:rsid w:val="009D10E4"/>
    <w:rsid w:val="009D20D3"/>
    <w:rsid w:val="009D293C"/>
    <w:rsid w:val="009D31D1"/>
    <w:rsid w:val="009D3846"/>
    <w:rsid w:val="009D41A5"/>
    <w:rsid w:val="009D4ACE"/>
    <w:rsid w:val="009D4ED9"/>
    <w:rsid w:val="009D5493"/>
    <w:rsid w:val="009D5510"/>
    <w:rsid w:val="009D56FC"/>
    <w:rsid w:val="009D7554"/>
    <w:rsid w:val="009D7892"/>
    <w:rsid w:val="009E0323"/>
    <w:rsid w:val="009E0DB9"/>
    <w:rsid w:val="009E1421"/>
    <w:rsid w:val="009E1942"/>
    <w:rsid w:val="009E1E7A"/>
    <w:rsid w:val="009E25DB"/>
    <w:rsid w:val="009E3170"/>
    <w:rsid w:val="009E37F1"/>
    <w:rsid w:val="009E72FD"/>
    <w:rsid w:val="009E7A34"/>
    <w:rsid w:val="009F02C6"/>
    <w:rsid w:val="009F0505"/>
    <w:rsid w:val="009F0A83"/>
    <w:rsid w:val="009F1D86"/>
    <w:rsid w:val="009F1DF7"/>
    <w:rsid w:val="009F23EA"/>
    <w:rsid w:val="009F29A1"/>
    <w:rsid w:val="009F30F3"/>
    <w:rsid w:val="009F31E5"/>
    <w:rsid w:val="009F340F"/>
    <w:rsid w:val="009F39EF"/>
    <w:rsid w:val="009F3D74"/>
    <w:rsid w:val="009F44EB"/>
    <w:rsid w:val="009F45C7"/>
    <w:rsid w:val="009F472C"/>
    <w:rsid w:val="009F4A6D"/>
    <w:rsid w:val="009F5258"/>
    <w:rsid w:val="009F60FA"/>
    <w:rsid w:val="009F65C4"/>
    <w:rsid w:val="009F6A9D"/>
    <w:rsid w:val="009F7138"/>
    <w:rsid w:val="009F7837"/>
    <w:rsid w:val="009F7C3F"/>
    <w:rsid w:val="009F7DAD"/>
    <w:rsid w:val="00A0029E"/>
    <w:rsid w:val="00A0079E"/>
    <w:rsid w:val="00A0156E"/>
    <w:rsid w:val="00A0203B"/>
    <w:rsid w:val="00A02558"/>
    <w:rsid w:val="00A027A1"/>
    <w:rsid w:val="00A03170"/>
    <w:rsid w:val="00A042BE"/>
    <w:rsid w:val="00A043D8"/>
    <w:rsid w:val="00A046B3"/>
    <w:rsid w:val="00A04ADC"/>
    <w:rsid w:val="00A04C8A"/>
    <w:rsid w:val="00A05FFF"/>
    <w:rsid w:val="00A0668D"/>
    <w:rsid w:val="00A06F9E"/>
    <w:rsid w:val="00A07730"/>
    <w:rsid w:val="00A10727"/>
    <w:rsid w:val="00A12317"/>
    <w:rsid w:val="00A12E24"/>
    <w:rsid w:val="00A1307F"/>
    <w:rsid w:val="00A16294"/>
    <w:rsid w:val="00A20ABE"/>
    <w:rsid w:val="00A21366"/>
    <w:rsid w:val="00A213D9"/>
    <w:rsid w:val="00A2198A"/>
    <w:rsid w:val="00A2243F"/>
    <w:rsid w:val="00A224F8"/>
    <w:rsid w:val="00A2255F"/>
    <w:rsid w:val="00A22666"/>
    <w:rsid w:val="00A22A63"/>
    <w:rsid w:val="00A234E5"/>
    <w:rsid w:val="00A23B96"/>
    <w:rsid w:val="00A23DE7"/>
    <w:rsid w:val="00A23F92"/>
    <w:rsid w:val="00A24456"/>
    <w:rsid w:val="00A24C52"/>
    <w:rsid w:val="00A24E3E"/>
    <w:rsid w:val="00A26120"/>
    <w:rsid w:val="00A26556"/>
    <w:rsid w:val="00A266E7"/>
    <w:rsid w:val="00A277F7"/>
    <w:rsid w:val="00A27E81"/>
    <w:rsid w:val="00A313F2"/>
    <w:rsid w:val="00A331B1"/>
    <w:rsid w:val="00A35A61"/>
    <w:rsid w:val="00A36A21"/>
    <w:rsid w:val="00A36AFB"/>
    <w:rsid w:val="00A36B7A"/>
    <w:rsid w:val="00A37BF2"/>
    <w:rsid w:val="00A4048E"/>
    <w:rsid w:val="00A40AED"/>
    <w:rsid w:val="00A417DE"/>
    <w:rsid w:val="00A434DB"/>
    <w:rsid w:val="00A44015"/>
    <w:rsid w:val="00A4494C"/>
    <w:rsid w:val="00A45371"/>
    <w:rsid w:val="00A456EE"/>
    <w:rsid w:val="00A45EF9"/>
    <w:rsid w:val="00A464BD"/>
    <w:rsid w:val="00A474C5"/>
    <w:rsid w:val="00A47F73"/>
    <w:rsid w:val="00A50E76"/>
    <w:rsid w:val="00A52006"/>
    <w:rsid w:val="00A52261"/>
    <w:rsid w:val="00A52461"/>
    <w:rsid w:val="00A53F0D"/>
    <w:rsid w:val="00A54B26"/>
    <w:rsid w:val="00A54D54"/>
    <w:rsid w:val="00A55312"/>
    <w:rsid w:val="00A565EB"/>
    <w:rsid w:val="00A56643"/>
    <w:rsid w:val="00A571AB"/>
    <w:rsid w:val="00A571BD"/>
    <w:rsid w:val="00A572D4"/>
    <w:rsid w:val="00A602EB"/>
    <w:rsid w:val="00A60484"/>
    <w:rsid w:val="00A60717"/>
    <w:rsid w:val="00A60857"/>
    <w:rsid w:val="00A611F6"/>
    <w:rsid w:val="00A61A3C"/>
    <w:rsid w:val="00A61B77"/>
    <w:rsid w:val="00A61F7E"/>
    <w:rsid w:val="00A6232E"/>
    <w:rsid w:val="00A62EC4"/>
    <w:rsid w:val="00A639C3"/>
    <w:rsid w:val="00A64256"/>
    <w:rsid w:val="00A6472B"/>
    <w:rsid w:val="00A649CA"/>
    <w:rsid w:val="00A64E06"/>
    <w:rsid w:val="00A654D8"/>
    <w:rsid w:val="00A659F8"/>
    <w:rsid w:val="00A65F26"/>
    <w:rsid w:val="00A663C6"/>
    <w:rsid w:val="00A67335"/>
    <w:rsid w:val="00A679E1"/>
    <w:rsid w:val="00A7014D"/>
    <w:rsid w:val="00A70805"/>
    <w:rsid w:val="00A7086C"/>
    <w:rsid w:val="00A70A3C"/>
    <w:rsid w:val="00A70ABA"/>
    <w:rsid w:val="00A7132D"/>
    <w:rsid w:val="00A7164C"/>
    <w:rsid w:val="00A716D9"/>
    <w:rsid w:val="00A71833"/>
    <w:rsid w:val="00A72CD0"/>
    <w:rsid w:val="00A73D5E"/>
    <w:rsid w:val="00A74A53"/>
    <w:rsid w:val="00A74ED5"/>
    <w:rsid w:val="00A750CA"/>
    <w:rsid w:val="00A753C6"/>
    <w:rsid w:val="00A774E8"/>
    <w:rsid w:val="00A777CE"/>
    <w:rsid w:val="00A8234B"/>
    <w:rsid w:val="00A8276C"/>
    <w:rsid w:val="00A84C9B"/>
    <w:rsid w:val="00A84D68"/>
    <w:rsid w:val="00A84E21"/>
    <w:rsid w:val="00A852A3"/>
    <w:rsid w:val="00A8544C"/>
    <w:rsid w:val="00A87AB9"/>
    <w:rsid w:val="00A90EC5"/>
    <w:rsid w:val="00A91DC1"/>
    <w:rsid w:val="00A9249A"/>
    <w:rsid w:val="00A929E3"/>
    <w:rsid w:val="00A93707"/>
    <w:rsid w:val="00A937AA"/>
    <w:rsid w:val="00A937EB"/>
    <w:rsid w:val="00A9433B"/>
    <w:rsid w:val="00A9534E"/>
    <w:rsid w:val="00A961E4"/>
    <w:rsid w:val="00A962B8"/>
    <w:rsid w:val="00A96411"/>
    <w:rsid w:val="00A967A9"/>
    <w:rsid w:val="00A967F2"/>
    <w:rsid w:val="00A96CB0"/>
    <w:rsid w:val="00AA0E46"/>
    <w:rsid w:val="00AA15B4"/>
    <w:rsid w:val="00AA1BB4"/>
    <w:rsid w:val="00AA26D3"/>
    <w:rsid w:val="00AA3C75"/>
    <w:rsid w:val="00AA4351"/>
    <w:rsid w:val="00AA5F75"/>
    <w:rsid w:val="00AA6307"/>
    <w:rsid w:val="00AA69BF"/>
    <w:rsid w:val="00AA792F"/>
    <w:rsid w:val="00AB063A"/>
    <w:rsid w:val="00AB107E"/>
    <w:rsid w:val="00AB1329"/>
    <w:rsid w:val="00AB1D71"/>
    <w:rsid w:val="00AB3AE7"/>
    <w:rsid w:val="00AB3D0A"/>
    <w:rsid w:val="00AB3F76"/>
    <w:rsid w:val="00AB42D4"/>
    <w:rsid w:val="00AB5988"/>
    <w:rsid w:val="00AB5F14"/>
    <w:rsid w:val="00AB6243"/>
    <w:rsid w:val="00AB6474"/>
    <w:rsid w:val="00AB6530"/>
    <w:rsid w:val="00AB72BA"/>
    <w:rsid w:val="00AC044C"/>
    <w:rsid w:val="00AC060D"/>
    <w:rsid w:val="00AC099A"/>
    <w:rsid w:val="00AC0B4C"/>
    <w:rsid w:val="00AC10D7"/>
    <w:rsid w:val="00AC1779"/>
    <w:rsid w:val="00AC1BF7"/>
    <w:rsid w:val="00AC1F66"/>
    <w:rsid w:val="00AC206E"/>
    <w:rsid w:val="00AC3DE5"/>
    <w:rsid w:val="00AC4FB4"/>
    <w:rsid w:val="00AC508A"/>
    <w:rsid w:val="00AC5C61"/>
    <w:rsid w:val="00AC7145"/>
    <w:rsid w:val="00AC77A3"/>
    <w:rsid w:val="00AD00D3"/>
    <w:rsid w:val="00AD0D82"/>
    <w:rsid w:val="00AD1927"/>
    <w:rsid w:val="00AD43BB"/>
    <w:rsid w:val="00AD460B"/>
    <w:rsid w:val="00AD5744"/>
    <w:rsid w:val="00AD6377"/>
    <w:rsid w:val="00AD6846"/>
    <w:rsid w:val="00AD6EA6"/>
    <w:rsid w:val="00AD737E"/>
    <w:rsid w:val="00AE0280"/>
    <w:rsid w:val="00AE0860"/>
    <w:rsid w:val="00AE0C46"/>
    <w:rsid w:val="00AE1838"/>
    <w:rsid w:val="00AE4FA6"/>
    <w:rsid w:val="00AE5DBB"/>
    <w:rsid w:val="00AE6033"/>
    <w:rsid w:val="00AE6881"/>
    <w:rsid w:val="00AE69B2"/>
    <w:rsid w:val="00AF114E"/>
    <w:rsid w:val="00AF13D8"/>
    <w:rsid w:val="00AF169F"/>
    <w:rsid w:val="00AF1CE3"/>
    <w:rsid w:val="00AF2437"/>
    <w:rsid w:val="00AF2A08"/>
    <w:rsid w:val="00AF2E4A"/>
    <w:rsid w:val="00AF3546"/>
    <w:rsid w:val="00AF3677"/>
    <w:rsid w:val="00AF4EEF"/>
    <w:rsid w:val="00AF55C6"/>
    <w:rsid w:val="00AF5809"/>
    <w:rsid w:val="00AF5B6D"/>
    <w:rsid w:val="00AF6D1C"/>
    <w:rsid w:val="00AF77B6"/>
    <w:rsid w:val="00B00D56"/>
    <w:rsid w:val="00B01210"/>
    <w:rsid w:val="00B0170E"/>
    <w:rsid w:val="00B017EC"/>
    <w:rsid w:val="00B018F2"/>
    <w:rsid w:val="00B02419"/>
    <w:rsid w:val="00B02F81"/>
    <w:rsid w:val="00B0349C"/>
    <w:rsid w:val="00B045E5"/>
    <w:rsid w:val="00B05357"/>
    <w:rsid w:val="00B05441"/>
    <w:rsid w:val="00B06950"/>
    <w:rsid w:val="00B07635"/>
    <w:rsid w:val="00B07E0A"/>
    <w:rsid w:val="00B10165"/>
    <w:rsid w:val="00B10517"/>
    <w:rsid w:val="00B10F46"/>
    <w:rsid w:val="00B12B3F"/>
    <w:rsid w:val="00B13714"/>
    <w:rsid w:val="00B13F6D"/>
    <w:rsid w:val="00B1417F"/>
    <w:rsid w:val="00B14625"/>
    <w:rsid w:val="00B15F17"/>
    <w:rsid w:val="00B16187"/>
    <w:rsid w:val="00B16504"/>
    <w:rsid w:val="00B16624"/>
    <w:rsid w:val="00B17207"/>
    <w:rsid w:val="00B1741B"/>
    <w:rsid w:val="00B17627"/>
    <w:rsid w:val="00B17C4F"/>
    <w:rsid w:val="00B201EB"/>
    <w:rsid w:val="00B2146B"/>
    <w:rsid w:val="00B2151D"/>
    <w:rsid w:val="00B21657"/>
    <w:rsid w:val="00B21E02"/>
    <w:rsid w:val="00B22109"/>
    <w:rsid w:val="00B2223F"/>
    <w:rsid w:val="00B240B8"/>
    <w:rsid w:val="00B251E9"/>
    <w:rsid w:val="00B2576C"/>
    <w:rsid w:val="00B265F5"/>
    <w:rsid w:val="00B2738F"/>
    <w:rsid w:val="00B305A2"/>
    <w:rsid w:val="00B308AB"/>
    <w:rsid w:val="00B30AC2"/>
    <w:rsid w:val="00B30C75"/>
    <w:rsid w:val="00B31128"/>
    <w:rsid w:val="00B3184E"/>
    <w:rsid w:val="00B32080"/>
    <w:rsid w:val="00B3287A"/>
    <w:rsid w:val="00B328A2"/>
    <w:rsid w:val="00B33414"/>
    <w:rsid w:val="00B33DA7"/>
    <w:rsid w:val="00B34A8C"/>
    <w:rsid w:val="00B34B57"/>
    <w:rsid w:val="00B34C49"/>
    <w:rsid w:val="00B34C51"/>
    <w:rsid w:val="00B34D07"/>
    <w:rsid w:val="00B353F1"/>
    <w:rsid w:val="00B359E3"/>
    <w:rsid w:val="00B375E9"/>
    <w:rsid w:val="00B4016B"/>
    <w:rsid w:val="00B4027E"/>
    <w:rsid w:val="00B4151A"/>
    <w:rsid w:val="00B415BE"/>
    <w:rsid w:val="00B42A5E"/>
    <w:rsid w:val="00B443FA"/>
    <w:rsid w:val="00B44A41"/>
    <w:rsid w:val="00B459D4"/>
    <w:rsid w:val="00B45B23"/>
    <w:rsid w:val="00B467FF"/>
    <w:rsid w:val="00B46D3F"/>
    <w:rsid w:val="00B5019E"/>
    <w:rsid w:val="00B50265"/>
    <w:rsid w:val="00B51E72"/>
    <w:rsid w:val="00B51EBC"/>
    <w:rsid w:val="00B53703"/>
    <w:rsid w:val="00B53C9F"/>
    <w:rsid w:val="00B5420C"/>
    <w:rsid w:val="00B5607A"/>
    <w:rsid w:val="00B567EA"/>
    <w:rsid w:val="00B56A0D"/>
    <w:rsid w:val="00B570F6"/>
    <w:rsid w:val="00B60548"/>
    <w:rsid w:val="00B60854"/>
    <w:rsid w:val="00B60C82"/>
    <w:rsid w:val="00B61547"/>
    <w:rsid w:val="00B617F2"/>
    <w:rsid w:val="00B62897"/>
    <w:rsid w:val="00B64EFD"/>
    <w:rsid w:val="00B65025"/>
    <w:rsid w:val="00B650BB"/>
    <w:rsid w:val="00B66A4B"/>
    <w:rsid w:val="00B677A2"/>
    <w:rsid w:val="00B6784C"/>
    <w:rsid w:val="00B67A45"/>
    <w:rsid w:val="00B7168C"/>
    <w:rsid w:val="00B717AC"/>
    <w:rsid w:val="00B719A4"/>
    <w:rsid w:val="00B73215"/>
    <w:rsid w:val="00B73414"/>
    <w:rsid w:val="00B73BF0"/>
    <w:rsid w:val="00B741D7"/>
    <w:rsid w:val="00B74B1F"/>
    <w:rsid w:val="00B7635E"/>
    <w:rsid w:val="00B7715C"/>
    <w:rsid w:val="00B77671"/>
    <w:rsid w:val="00B77A38"/>
    <w:rsid w:val="00B801F9"/>
    <w:rsid w:val="00B80B1B"/>
    <w:rsid w:val="00B80B68"/>
    <w:rsid w:val="00B80CA1"/>
    <w:rsid w:val="00B81DE9"/>
    <w:rsid w:val="00B837E1"/>
    <w:rsid w:val="00B840CE"/>
    <w:rsid w:val="00B848F4"/>
    <w:rsid w:val="00B8531B"/>
    <w:rsid w:val="00B85CB2"/>
    <w:rsid w:val="00B861F3"/>
    <w:rsid w:val="00B86DE5"/>
    <w:rsid w:val="00B87057"/>
    <w:rsid w:val="00B912AF"/>
    <w:rsid w:val="00B929B3"/>
    <w:rsid w:val="00B93146"/>
    <w:rsid w:val="00B93AC9"/>
    <w:rsid w:val="00B943B4"/>
    <w:rsid w:val="00B948EC"/>
    <w:rsid w:val="00B94D32"/>
    <w:rsid w:val="00B94F48"/>
    <w:rsid w:val="00B95387"/>
    <w:rsid w:val="00B9543C"/>
    <w:rsid w:val="00B95FDA"/>
    <w:rsid w:val="00B96049"/>
    <w:rsid w:val="00B96674"/>
    <w:rsid w:val="00B9797B"/>
    <w:rsid w:val="00B97B26"/>
    <w:rsid w:val="00B97CC0"/>
    <w:rsid w:val="00B97E89"/>
    <w:rsid w:val="00BA00E9"/>
    <w:rsid w:val="00BA1CE5"/>
    <w:rsid w:val="00BA35FB"/>
    <w:rsid w:val="00BA4838"/>
    <w:rsid w:val="00BA5707"/>
    <w:rsid w:val="00BA59A6"/>
    <w:rsid w:val="00BA5FAD"/>
    <w:rsid w:val="00BA67BD"/>
    <w:rsid w:val="00BA6A4F"/>
    <w:rsid w:val="00BA711D"/>
    <w:rsid w:val="00BB1442"/>
    <w:rsid w:val="00BB14E1"/>
    <w:rsid w:val="00BB1528"/>
    <w:rsid w:val="00BB1874"/>
    <w:rsid w:val="00BB1A15"/>
    <w:rsid w:val="00BB202D"/>
    <w:rsid w:val="00BB2860"/>
    <w:rsid w:val="00BB48F2"/>
    <w:rsid w:val="00BB5CF8"/>
    <w:rsid w:val="00BB738F"/>
    <w:rsid w:val="00BC120F"/>
    <w:rsid w:val="00BC2275"/>
    <w:rsid w:val="00BC2804"/>
    <w:rsid w:val="00BC2FED"/>
    <w:rsid w:val="00BC363D"/>
    <w:rsid w:val="00BC3878"/>
    <w:rsid w:val="00BC4AAD"/>
    <w:rsid w:val="00BC4C4F"/>
    <w:rsid w:val="00BC56F5"/>
    <w:rsid w:val="00BC63B6"/>
    <w:rsid w:val="00BC73E7"/>
    <w:rsid w:val="00BC7D46"/>
    <w:rsid w:val="00BD130C"/>
    <w:rsid w:val="00BD1452"/>
    <w:rsid w:val="00BD19BA"/>
    <w:rsid w:val="00BD4697"/>
    <w:rsid w:val="00BD502D"/>
    <w:rsid w:val="00BD531D"/>
    <w:rsid w:val="00BD563B"/>
    <w:rsid w:val="00BD60BA"/>
    <w:rsid w:val="00BD660D"/>
    <w:rsid w:val="00BD6C53"/>
    <w:rsid w:val="00BD7345"/>
    <w:rsid w:val="00BD7D43"/>
    <w:rsid w:val="00BD7E59"/>
    <w:rsid w:val="00BE0ACA"/>
    <w:rsid w:val="00BE1089"/>
    <w:rsid w:val="00BE11C9"/>
    <w:rsid w:val="00BE19E9"/>
    <w:rsid w:val="00BE422D"/>
    <w:rsid w:val="00BE4A83"/>
    <w:rsid w:val="00BE4B19"/>
    <w:rsid w:val="00BE4D6A"/>
    <w:rsid w:val="00BE5226"/>
    <w:rsid w:val="00BE5998"/>
    <w:rsid w:val="00BE662E"/>
    <w:rsid w:val="00BE713F"/>
    <w:rsid w:val="00BF0C1B"/>
    <w:rsid w:val="00BF0C47"/>
    <w:rsid w:val="00BF19E3"/>
    <w:rsid w:val="00BF1FC8"/>
    <w:rsid w:val="00BF21DD"/>
    <w:rsid w:val="00BF2648"/>
    <w:rsid w:val="00BF3127"/>
    <w:rsid w:val="00BF4048"/>
    <w:rsid w:val="00BF5472"/>
    <w:rsid w:val="00BF7747"/>
    <w:rsid w:val="00BF7DCD"/>
    <w:rsid w:val="00C003B5"/>
    <w:rsid w:val="00C00787"/>
    <w:rsid w:val="00C02CE8"/>
    <w:rsid w:val="00C02F16"/>
    <w:rsid w:val="00C03209"/>
    <w:rsid w:val="00C0352E"/>
    <w:rsid w:val="00C03D8F"/>
    <w:rsid w:val="00C05304"/>
    <w:rsid w:val="00C0649F"/>
    <w:rsid w:val="00C06977"/>
    <w:rsid w:val="00C078A6"/>
    <w:rsid w:val="00C07A0B"/>
    <w:rsid w:val="00C10252"/>
    <w:rsid w:val="00C10368"/>
    <w:rsid w:val="00C11031"/>
    <w:rsid w:val="00C1140B"/>
    <w:rsid w:val="00C120A8"/>
    <w:rsid w:val="00C12E35"/>
    <w:rsid w:val="00C13F7E"/>
    <w:rsid w:val="00C1512E"/>
    <w:rsid w:val="00C162E9"/>
    <w:rsid w:val="00C1692D"/>
    <w:rsid w:val="00C169CD"/>
    <w:rsid w:val="00C17BDA"/>
    <w:rsid w:val="00C17F67"/>
    <w:rsid w:val="00C22FC0"/>
    <w:rsid w:val="00C23CDE"/>
    <w:rsid w:val="00C241A6"/>
    <w:rsid w:val="00C2460A"/>
    <w:rsid w:val="00C2485E"/>
    <w:rsid w:val="00C26DA3"/>
    <w:rsid w:val="00C26DC4"/>
    <w:rsid w:val="00C27291"/>
    <w:rsid w:val="00C27775"/>
    <w:rsid w:val="00C27D9E"/>
    <w:rsid w:val="00C31044"/>
    <w:rsid w:val="00C3193C"/>
    <w:rsid w:val="00C34E9D"/>
    <w:rsid w:val="00C353AD"/>
    <w:rsid w:val="00C35687"/>
    <w:rsid w:val="00C36CF7"/>
    <w:rsid w:val="00C406D2"/>
    <w:rsid w:val="00C40A49"/>
    <w:rsid w:val="00C40F42"/>
    <w:rsid w:val="00C40FB9"/>
    <w:rsid w:val="00C41769"/>
    <w:rsid w:val="00C42684"/>
    <w:rsid w:val="00C426AD"/>
    <w:rsid w:val="00C43009"/>
    <w:rsid w:val="00C431B1"/>
    <w:rsid w:val="00C43DE0"/>
    <w:rsid w:val="00C446B9"/>
    <w:rsid w:val="00C448F3"/>
    <w:rsid w:val="00C44A32"/>
    <w:rsid w:val="00C4517A"/>
    <w:rsid w:val="00C465F7"/>
    <w:rsid w:val="00C46E7F"/>
    <w:rsid w:val="00C53B6D"/>
    <w:rsid w:val="00C54425"/>
    <w:rsid w:val="00C547C0"/>
    <w:rsid w:val="00C54F34"/>
    <w:rsid w:val="00C552C9"/>
    <w:rsid w:val="00C5535D"/>
    <w:rsid w:val="00C60081"/>
    <w:rsid w:val="00C611C1"/>
    <w:rsid w:val="00C6150C"/>
    <w:rsid w:val="00C61B49"/>
    <w:rsid w:val="00C62798"/>
    <w:rsid w:val="00C62FA4"/>
    <w:rsid w:val="00C630B2"/>
    <w:rsid w:val="00C63A16"/>
    <w:rsid w:val="00C652A5"/>
    <w:rsid w:val="00C65596"/>
    <w:rsid w:val="00C67418"/>
    <w:rsid w:val="00C67FC2"/>
    <w:rsid w:val="00C71289"/>
    <w:rsid w:val="00C71E5C"/>
    <w:rsid w:val="00C72620"/>
    <w:rsid w:val="00C72C09"/>
    <w:rsid w:val="00C730E2"/>
    <w:rsid w:val="00C74607"/>
    <w:rsid w:val="00C747CE"/>
    <w:rsid w:val="00C74AB1"/>
    <w:rsid w:val="00C75C46"/>
    <w:rsid w:val="00C75EA7"/>
    <w:rsid w:val="00C7662C"/>
    <w:rsid w:val="00C7748A"/>
    <w:rsid w:val="00C808C6"/>
    <w:rsid w:val="00C80D87"/>
    <w:rsid w:val="00C80F6A"/>
    <w:rsid w:val="00C81546"/>
    <w:rsid w:val="00C815D4"/>
    <w:rsid w:val="00C81A3B"/>
    <w:rsid w:val="00C82ACF"/>
    <w:rsid w:val="00C839F6"/>
    <w:rsid w:val="00C8494F"/>
    <w:rsid w:val="00C84DAA"/>
    <w:rsid w:val="00C85130"/>
    <w:rsid w:val="00C85776"/>
    <w:rsid w:val="00C85E9D"/>
    <w:rsid w:val="00C86603"/>
    <w:rsid w:val="00C86DA9"/>
    <w:rsid w:val="00C87F8D"/>
    <w:rsid w:val="00C9092D"/>
    <w:rsid w:val="00C95001"/>
    <w:rsid w:val="00C95859"/>
    <w:rsid w:val="00C95AC9"/>
    <w:rsid w:val="00C9643A"/>
    <w:rsid w:val="00C97744"/>
    <w:rsid w:val="00C978B0"/>
    <w:rsid w:val="00C97FCD"/>
    <w:rsid w:val="00CA0CA7"/>
    <w:rsid w:val="00CA0E7F"/>
    <w:rsid w:val="00CA202D"/>
    <w:rsid w:val="00CA20FF"/>
    <w:rsid w:val="00CA2656"/>
    <w:rsid w:val="00CA2816"/>
    <w:rsid w:val="00CA293E"/>
    <w:rsid w:val="00CA2C94"/>
    <w:rsid w:val="00CA4589"/>
    <w:rsid w:val="00CA5443"/>
    <w:rsid w:val="00CA5900"/>
    <w:rsid w:val="00CA5F56"/>
    <w:rsid w:val="00CA791F"/>
    <w:rsid w:val="00CA7E1F"/>
    <w:rsid w:val="00CB0A95"/>
    <w:rsid w:val="00CB0E0D"/>
    <w:rsid w:val="00CB364D"/>
    <w:rsid w:val="00CB53E3"/>
    <w:rsid w:val="00CB60C3"/>
    <w:rsid w:val="00CB6352"/>
    <w:rsid w:val="00CB7A7D"/>
    <w:rsid w:val="00CB7C6E"/>
    <w:rsid w:val="00CC0C96"/>
    <w:rsid w:val="00CC1818"/>
    <w:rsid w:val="00CC45FF"/>
    <w:rsid w:val="00CC4E48"/>
    <w:rsid w:val="00CC52AD"/>
    <w:rsid w:val="00CC55E4"/>
    <w:rsid w:val="00CC5EB9"/>
    <w:rsid w:val="00CC6401"/>
    <w:rsid w:val="00CC6D71"/>
    <w:rsid w:val="00CC74A2"/>
    <w:rsid w:val="00CC7C36"/>
    <w:rsid w:val="00CD07C7"/>
    <w:rsid w:val="00CD1037"/>
    <w:rsid w:val="00CD26F2"/>
    <w:rsid w:val="00CD34F9"/>
    <w:rsid w:val="00CD3943"/>
    <w:rsid w:val="00CD3BBF"/>
    <w:rsid w:val="00CD3C6B"/>
    <w:rsid w:val="00CD481F"/>
    <w:rsid w:val="00CD4D63"/>
    <w:rsid w:val="00CD4E68"/>
    <w:rsid w:val="00CD575C"/>
    <w:rsid w:val="00CD5A05"/>
    <w:rsid w:val="00CD64D3"/>
    <w:rsid w:val="00CD7AE4"/>
    <w:rsid w:val="00CE0F5E"/>
    <w:rsid w:val="00CE1541"/>
    <w:rsid w:val="00CE321E"/>
    <w:rsid w:val="00CE3EE8"/>
    <w:rsid w:val="00CE48A1"/>
    <w:rsid w:val="00CE520E"/>
    <w:rsid w:val="00CE5436"/>
    <w:rsid w:val="00CE69CE"/>
    <w:rsid w:val="00CE6ED4"/>
    <w:rsid w:val="00CE6EF2"/>
    <w:rsid w:val="00CE7D2F"/>
    <w:rsid w:val="00CE7ECB"/>
    <w:rsid w:val="00CF1E0F"/>
    <w:rsid w:val="00CF28EC"/>
    <w:rsid w:val="00CF2C60"/>
    <w:rsid w:val="00CF2D53"/>
    <w:rsid w:val="00CF2E40"/>
    <w:rsid w:val="00CF37BF"/>
    <w:rsid w:val="00CF38A8"/>
    <w:rsid w:val="00CF38D7"/>
    <w:rsid w:val="00CF3A9A"/>
    <w:rsid w:val="00CF51E9"/>
    <w:rsid w:val="00CF550A"/>
    <w:rsid w:val="00CF5BEF"/>
    <w:rsid w:val="00CF6625"/>
    <w:rsid w:val="00CF7D07"/>
    <w:rsid w:val="00D00357"/>
    <w:rsid w:val="00D00F81"/>
    <w:rsid w:val="00D01296"/>
    <w:rsid w:val="00D01FAC"/>
    <w:rsid w:val="00D026CF"/>
    <w:rsid w:val="00D02AE1"/>
    <w:rsid w:val="00D02EDB"/>
    <w:rsid w:val="00D03137"/>
    <w:rsid w:val="00D03DA6"/>
    <w:rsid w:val="00D040C9"/>
    <w:rsid w:val="00D041F4"/>
    <w:rsid w:val="00D04411"/>
    <w:rsid w:val="00D05605"/>
    <w:rsid w:val="00D075D4"/>
    <w:rsid w:val="00D077B7"/>
    <w:rsid w:val="00D10873"/>
    <w:rsid w:val="00D10AA9"/>
    <w:rsid w:val="00D10BA5"/>
    <w:rsid w:val="00D114B8"/>
    <w:rsid w:val="00D11B36"/>
    <w:rsid w:val="00D12292"/>
    <w:rsid w:val="00D12996"/>
    <w:rsid w:val="00D139CB"/>
    <w:rsid w:val="00D14999"/>
    <w:rsid w:val="00D14D5B"/>
    <w:rsid w:val="00D1582F"/>
    <w:rsid w:val="00D16426"/>
    <w:rsid w:val="00D16695"/>
    <w:rsid w:val="00D1709E"/>
    <w:rsid w:val="00D177FF"/>
    <w:rsid w:val="00D21515"/>
    <w:rsid w:val="00D21C58"/>
    <w:rsid w:val="00D22E59"/>
    <w:rsid w:val="00D235AB"/>
    <w:rsid w:val="00D23982"/>
    <w:rsid w:val="00D23C8D"/>
    <w:rsid w:val="00D24319"/>
    <w:rsid w:val="00D25398"/>
    <w:rsid w:val="00D25783"/>
    <w:rsid w:val="00D2603F"/>
    <w:rsid w:val="00D2647C"/>
    <w:rsid w:val="00D26BE9"/>
    <w:rsid w:val="00D30526"/>
    <w:rsid w:val="00D306AD"/>
    <w:rsid w:val="00D33FEC"/>
    <w:rsid w:val="00D349E1"/>
    <w:rsid w:val="00D35612"/>
    <w:rsid w:val="00D357E6"/>
    <w:rsid w:val="00D35F25"/>
    <w:rsid w:val="00D36BE2"/>
    <w:rsid w:val="00D36C1C"/>
    <w:rsid w:val="00D40359"/>
    <w:rsid w:val="00D404B2"/>
    <w:rsid w:val="00D41261"/>
    <w:rsid w:val="00D422EF"/>
    <w:rsid w:val="00D42ECE"/>
    <w:rsid w:val="00D435B8"/>
    <w:rsid w:val="00D437FA"/>
    <w:rsid w:val="00D43AD4"/>
    <w:rsid w:val="00D4449D"/>
    <w:rsid w:val="00D46130"/>
    <w:rsid w:val="00D465D9"/>
    <w:rsid w:val="00D46F7A"/>
    <w:rsid w:val="00D472B5"/>
    <w:rsid w:val="00D50BF9"/>
    <w:rsid w:val="00D51727"/>
    <w:rsid w:val="00D5290E"/>
    <w:rsid w:val="00D52B30"/>
    <w:rsid w:val="00D5384B"/>
    <w:rsid w:val="00D53EA2"/>
    <w:rsid w:val="00D562DA"/>
    <w:rsid w:val="00D56709"/>
    <w:rsid w:val="00D56AD3"/>
    <w:rsid w:val="00D570B9"/>
    <w:rsid w:val="00D57DD2"/>
    <w:rsid w:val="00D6106E"/>
    <w:rsid w:val="00D61DF0"/>
    <w:rsid w:val="00D64D5D"/>
    <w:rsid w:val="00D65C57"/>
    <w:rsid w:val="00D66581"/>
    <w:rsid w:val="00D66939"/>
    <w:rsid w:val="00D66A2E"/>
    <w:rsid w:val="00D66DEE"/>
    <w:rsid w:val="00D672D8"/>
    <w:rsid w:val="00D673BE"/>
    <w:rsid w:val="00D6783D"/>
    <w:rsid w:val="00D702E0"/>
    <w:rsid w:val="00D705C3"/>
    <w:rsid w:val="00D70F3F"/>
    <w:rsid w:val="00D7157A"/>
    <w:rsid w:val="00D71DA6"/>
    <w:rsid w:val="00D71DC5"/>
    <w:rsid w:val="00D72E50"/>
    <w:rsid w:val="00D73F30"/>
    <w:rsid w:val="00D74BBF"/>
    <w:rsid w:val="00D74E73"/>
    <w:rsid w:val="00D75BB5"/>
    <w:rsid w:val="00D768E9"/>
    <w:rsid w:val="00D76A49"/>
    <w:rsid w:val="00D76BAF"/>
    <w:rsid w:val="00D774DE"/>
    <w:rsid w:val="00D779FA"/>
    <w:rsid w:val="00D805DF"/>
    <w:rsid w:val="00D81FE1"/>
    <w:rsid w:val="00D81FE9"/>
    <w:rsid w:val="00D82444"/>
    <w:rsid w:val="00D8265B"/>
    <w:rsid w:val="00D82CB0"/>
    <w:rsid w:val="00D83F04"/>
    <w:rsid w:val="00D84370"/>
    <w:rsid w:val="00D8469D"/>
    <w:rsid w:val="00D854D4"/>
    <w:rsid w:val="00D858DE"/>
    <w:rsid w:val="00D85A64"/>
    <w:rsid w:val="00D85BA3"/>
    <w:rsid w:val="00D85D73"/>
    <w:rsid w:val="00D86048"/>
    <w:rsid w:val="00D86181"/>
    <w:rsid w:val="00D868AB"/>
    <w:rsid w:val="00D86E07"/>
    <w:rsid w:val="00D87A2E"/>
    <w:rsid w:val="00D87B61"/>
    <w:rsid w:val="00D87D0B"/>
    <w:rsid w:val="00D9035F"/>
    <w:rsid w:val="00D903C1"/>
    <w:rsid w:val="00D90754"/>
    <w:rsid w:val="00D9103C"/>
    <w:rsid w:val="00D92581"/>
    <w:rsid w:val="00D93963"/>
    <w:rsid w:val="00D95F68"/>
    <w:rsid w:val="00D97424"/>
    <w:rsid w:val="00D975BA"/>
    <w:rsid w:val="00D97898"/>
    <w:rsid w:val="00DA04F1"/>
    <w:rsid w:val="00DA0C54"/>
    <w:rsid w:val="00DA1106"/>
    <w:rsid w:val="00DA1C82"/>
    <w:rsid w:val="00DA6222"/>
    <w:rsid w:val="00DA6366"/>
    <w:rsid w:val="00DA7560"/>
    <w:rsid w:val="00DB102A"/>
    <w:rsid w:val="00DB2102"/>
    <w:rsid w:val="00DB295E"/>
    <w:rsid w:val="00DB2C25"/>
    <w:rsid w:val="00DB327D"/>
    <w:rsid w:val="00DB3B46"/>
    <w:rsid w:val="00DB3DDC"/>
    <w:rsid w:val="00DB5BC6"/>
    <w:rsid w:val="00DB64A6"/>
    <w:rsid w:val="00DB68E0"/>
    <w:rsid w:val="00DB7476"/>
    <w:rsid w:val="00DC065C"/>
    <w:rsid w:val="00DC0F2A"/>
    <w:rsid w:val="00DC1807"/>
    <w:rsid w:val="00DC1DDD"/>
    <w:rsid w:val="00DC208D"/>
    <w:rsid w:val="00DC2096"/>
    <w:rsid w:val="00DC3922"/>
    <w:rsid w:val="00DC41D3"/>
    <w:rsid w:val="00DC41E1"/>
    <w:rsid w:val="00DC4716"/>
    <w:rsid w:val="00DC4810"/>
    <w:rsid w:val="00DC4E6A"/>
    <w:rsid w:val="00DC553D"/>
    <w:rsid w:val="00DC5EFB"/>
    <w:rsid w:val="00DC6196"/>
    <w:rsid w:val="00DC61E1"/>
    <w:rsid w:val="00DC6E05"/>
    <w:rsid w:val="00DD017C"/>
    <w:rsid w:val="00DD01DB"/>
    <w:rsid w:val="00DD12A2"/>
    <w:rsid w:val="00DD1E2C"/>
    <w:rsid w:val="00DD2285"/>
    <w:rsid w:val="00DD3E25"/>
    <w:rsid w:val="00DD4D93"/>
    <w:rsid w:val="00DD50FC"/>
    <w:rsid w:val="00DD5C55"/>
    <w:rsid w:val="00DD6077"/>
    <w:rsid w:val="00DD6B35"/>
    <w:rsid w:val="00DD7485"/>
    <w:rsid w:val="00DD7767"/>
    <w:rsid w:val="00DE03C7"/>
    <w:rsid w:val="00DE0F46"/>
    <w:rsid w:val="00DE111C"/>
    <w:rsid w:val="00DE398B"/>
    <w:rsid w:val="00DE437D"/>
    <w:rsid w:val="00DE4AC2"/>
    <w:rsid w:val="00DE4B0E"/>
    <w:rsid w:val="00DE4BDC"/>
    <w:rsid w:val="00DE57F2"/>
    <w:rsid w:val="00DE7570"/>
    <w:rsid w:val="00DE7ACD"/>
    <w:rsid w:val="00DE7D6D"/>
    <w:rsid w:val="00DF06C1"/>
    <w:rsid w:val="00DF21DE"/>
    <w:rsid w:val="00DF5BD6"/>
    <w:rsid w:val="00DF5C09"/>
    <w:rsid w:val="00DF6086"/>
    <w:rsid w:val="00DF60B5"/>
    <w:rsid w:val="00DF6B7A"/>
    <w:rsid w:val="00DF6FB1"/>
    <w:rsid w:val="00DF749C"/>
    <w:rsid w:val="00E00345"/>
    <w:rsid w:val="00E007D2"/>
    <w:rsid w:val="00E014C0"/>
    <w:rsid w:val="00E015D9"/>
    <w:rsid w:val="00E036E0"/>
    <w:rsid w:val="00E03803"/>
    <w:rsid w:val="00E04AA0"/>
    <w:rsid w:val="00E04BE0"/>
    <w:rsid w:val="00E07119"/>
    <w:rsid w:val="00E0765D"/>
    <w:rsid w:val="00E10429"/>
    <w:rsid w:val="00E109D6"/>
    <w:rsid w:val="00E113A3"/>
    <w:rsid w:val="00E11A3B"/>
    <w:rsid w:val="00E11B1A"/>
    <w:rsid w:val="00E12055"/>
    <w:rsid w:val="00E122CF"/>
    <w:rsid w:val="00E12808"/>
    <w:rsid w:val="00E12E58"/>
    <w:rsid w:val="00E143BC"/>
    <w:rsid w:val="00E148B2"/>
    <w:rsid w:val="00E150BF"/>
    <w:rsid w:val="00E155D5"/>
    <w:rsid w:val="00E15A0D"/>
    <w:rsid w:val="00E1677C"/>
    <w:rsid w:val="00E176F3"/>
    <w:rsid w:val="00E2017C"/>
    <w:rsid w:val="00E20BCC"/>
    <w:rsid w:val="00E2165B"/>
    <w:rsid w:val="00E22655"/>
    <w:rsid w:val="00E2366A"/>
    <w:rsid w:val="00E2369E"/>
    <w:rsid w:val="00E23CE7"/>
    <w:rsid w:val="00E23F2F"/>
    <w:rsid w:val="00E245DC"/>
    <w:rsid w:val="00E24735"/>
    <w:rsid w:val="00E2484D"/>
    <w:rsid w:val="00E25837"/>
    <w:rsid w:val="00E25BB8"/>
    <w:rsid w:val="00E2617F"/>
    <w:rsid w:val="00E2726B"/>
    <w:rsid w:val="00E27BB1"/>
    <w:rsid w:val="00E27EDA"/>
    <w:rsid w:val="00E30A2B"/>
    <w:rsid w:val="00E30E2D"/>
    <w:rsid w:val="00E338FD"/>
    <w:rsid w:val="00E33C06"/>
    <w:rsid w:val="00E34987"/>
    <w:rsid w:val="00E358A1"/>
    <w:rsid w:val="00E35911"/>
    <w:rsid w:val="00E363F7"/>
    <w:rsid w:val="00E36B8A"/>
    <w:rsid w:val="00E37BAA"/>
    <w:rsid w:val="00E402EF"/>
    <w:rsid w:val="00E40C45"/>
    <w:rsid w:val="00E41D09"/>
    <w:rsid w:val="00E4248E"/>
    <w:rsid w:val="00E42596"/>
    <w:rsid w:val="00E426C9"/>
    <w:rsid w:val="00E430CF"/>
    <w:rsid w:val="00E434DB"/>
    <w:rsid w:val="00E43E80"/>
    <w:rsid w:val="00E43EC0"/>
    <w:rsid w:val="00E449F0"/>
    <w:rsid w:val="00E458CE"/>
    <w:rsid w:val="00E46A5F"/>
    <w:rsid w:val="00E5007B"/>
    <w:rsid w:val="00E508A5"/>
    <w:rsid w:val="00E50D41"/>
    <w:rsid w:val="00E517D6"/>
    <w:rsid w:val="00E51A3A"/>
    <w:rsid w:val="00E52609"/>
    <w:rsid w:val="00E53578"/>
    <w:rsid w:val="00E53C95"/>
    <w:rsid w:val="00E551B0"/>
    <w:rsid w:val="00E55213"/>
    <w:rsid w:val="00E55E6D"/>
    <w:rsid w:val="00E57F65"/>
    <w:rsid w:val="00E60748"/>
    <w:rsid w:val="00E6135C"/>
    <w:rsid w:val="00E62047"/>
    <w:rsid w:val="00E62F94"/>
    <w:rsid w:val="00E6425E"/>
    <w:rsid w:val="00E642C8"/>
    <w:rsid w:val="00E648B0"/>
    <w:rsid w:val="00E65B66"/>
    <w:rsid w:val="00E65FAC"/>
    <w:rsid w:val="00E6684A"/>
    <w:rsid w:val="00E66CC0"/>
    <w:rsid w:val="00E6738C"/>
    <w:rsid w:val="00E674C1"/>
    <w:rsid w:val="00E67EFE"/>
    <w:rsid w:val="00E708F3"/>
    <w:rsid w:val="00E70B06"/>
    <w:rsid w:val="00E70D03"/>
    <w:rsid w:val="00E70FAE"/>
    <w:rsid w:val="00E710A4"/>
    <w:rsid w:val="00E71210"/>
    <w:rsid w:val="00E71568"/>
    <w:rsid w:val="00E743F6"/>
    <w:rsid w:val="00E744C9"/>
    <w:rsid w:val="00E746D3"/>
    <w:rsid w:val="00E75523"/>
    <w:rsid w:val="00E76479"/>
    <w:rsid w:val="00E76872"/>
    <w:rsid w:val="00E7694C"/>
    <w:rsid w:val="00E80C68"/>
    <w:rsid w:val="00E82720"/>
    <w:rsid w:val="00E83C44"/>
    <w:rsid w:val="00E83E78"/>
    <w:rsid w:val="00E852CB"/>
    <w:rsid w:val="00E85628"/>
    <w:rsid w:val="00E85743"/>
    <w:rsid w:val="00E85774"/>
    <w:rsid w:val="00E8644C"/>
    <w:rsid w:val="00E86DFE"/>
    <w:rsid w:val="00E871A5"/>
    <w:rsid w:val="00E87487"/>
    <w:rsid w:val="00E8748B"/>
    <w:rsid w:val="00E87539"/>
    <w:rsid w:val="00E92302"/>
    <w:rsid w:val="00E93251"/>
    <w:rsid w:val="00E93BE4"/>
    <w:rsid w:val="00E93D00"/>
    <w:rsid w:val="00E94236"/>
    <w:rsid w:val="00E94E3F"/>
    <w:rsid w:val="00E9554A"/>
    <w:rsid w:val="00E95DE3"/>
    <w:rsid w:val="00E96DC0"/>
    <w:rsid w:val="00E96DC5"/>
    <w:rsid w:val="00E97EF7"/>
    <w:rsid w:val="00EA1509"/>
    <w:rsid w:val="00EA1576"/>
    <w:rsid w:val="00EA18B5"/>
    <w:rsid w:val="00EA1CB5"/>
    <w:rsid w:val="00EA3519"/>
    <w:rsid w:val="00EA39BA"/>
    <w:rsid w:val="00EA3C1F"/>
    <w:rsid w:val="00EA3F51"/>
    <w:rsid w:val="00EA450C"/>
    <w:rsid w:val="00EA49C3"/>
    <w:rsid w:val="00EA4F89"/>
    <w:rsid w:val="00EA5444"/>
    <w:rsid w:val="00EA5E7A"/>
    <w:rsid w:val="00EA6E21"/>
    <w:rsid w:val="00EB0453"/>
    <w:rsid w:val="00EB048F"/>
    <w:rsid w:val="00EB145D"/>
    <w:rsid w:val="00EB14DC"/>
    <w:rsid w:val="00EB1E1E"/>
    <w:rsid w:val="00EB3173"/>
    <w:rsid w:val="00EB33ED"/>
    <w:rsid w:val="00EB39E5"/>
    <w:rsid w:val="00EB40FB"/>
    <w:rsid w:val="00EB4474"/>
    <w:rsid w:val="00EB4A2C"/>
    <w:rsid w:val="00EB5011"/>
    <w:rsid w:val="00EB5121"/>
    <w:rsid w:val="00EB5820"/>
    <w:rsid w:val="00EB6D6B"/>
    <w:rsid w:val="00EB6EC1"/>
    <w:rsid w:val="00EB74E6"/>
    <w:rsid w:val="00EB7743"/>
    <w:rsid w:val="00EB7D4B"/>
    <w:rsid w:val="00EC0FC8"/>
    <w:rsid w:val="00EC110F"/>
    <w:rsid w:val="00EC135D"/>
    <w:rsid w:val="00EC19AA"/>
    <w:rsid w:val="00EC3712"/>
    <w:rsid w:val="00EC3972"/>
    <w:rsid w:val="00EC3EBD"/>
    <w:rsid w:val="00EC5F55"/>
    <w:rsid w:val="00EC705E"/>
    <w:rsid w:val="00EC7A90"/>
    <w:rsid w:val="00EC7A91"/>
    <w:rsid w:val="00ED0141"/>
    <w:rsid w:val="00ED0BE5"/>
    <w:rsid w:val="00ED0F95"/>
    <w:rsid w:val="00ED16E8"/>
    <w:rsid w:val="00ED26D3"/>
    <w:rsid w:val="00ED2A66"/>
    <w:rsid w:val="00ED3DB4"/>
    <w:rsid w:val="00ED406E"/>
    <w:rsid w:val="00ED473A"/>
    <w:rsid w:val="00ED49CC"/>
    <w:rsid w:val="00ED555E"/>
    <w:rsid w:val="00ED6678"/>
    <w:rsid w:val="00ED684D"/>
    <w:rsid w:val="00ED7585"/>
    <w:rsid w:val="00ED78DD"/>
    <w:rsid w:val="00EE0502"/>
    <w:rsid w:val="00EE122B"/>
    <w:rsid w:val="00EE180D"/>
    <w:rsid w:val="00EE1F19"/>
    <w:rsid w:val="00EE21F9"/>
    <w:rsid w:val="00EE22D3"/>
    <w:rsid w:val="00EE2788"/>
    <w:rsid w:val="00EE2D18"/>
    <w:rsid w:val="00EE3F50"/>
    <w:rsid w:val="00EE4643"/>
    <w:rsid w:val="00EE4B32"/>
    <w:rsid w:val="00EE4C8B"/>
    <w:rsid w:val="00EE566F"/>
    <w:rsid w:val="00EE58D7"/>
    <w:rsid w:val="00EE625A"/>
    <w:rsid w:val="00EE726B"/>
    <w:rsid w:val="00EE74AA"/>
    <w:rsid w:val="00EE77F9"/>
    <w:rsid w:val="00EF0282"/>
    <w:rsid w:val="00EF116F"/>
    <w:rsid w:val="00EF137D"/>
    <w:rsid w:val="00EF16EB"/>
    <w:rsid w:val="00EF303E"/>
    <w:rsid w:val="00EF312B"/>
    <w:rsid w:val="00EF3235"/>
    <w:rsid w:val="00EF3DD2"/>
    <w:rsid w:val="00EF579C"/>
    <w:rsid w:val="00EF59F6"/>
    <w:rsid w:val="00EF5A28"/>
    <w:rsid w:val="00EF681F"/>
    <w:rsid w:val="00EF688B"/>
    <w:rsid w:val="00EF69CD"/>
    <w:rsid w:val="00EF74AD"/>
    <w:rsid w:val="00EF75E3"/>
    <w:rsid w:val="00EF7EE3"/>
    <w:rsid w:val="00F01C41"/>
    <w:rsid w:val="00F035C2"/>
    <w:rsid w:val="00F0621F"/>
    <w:rsid w:val="00F06747"/>
    <w:rsid w:val="00F06D00"/>
    <w:rsid w:val="00F06ED6"/>
    <w:rsid w:val="00F07A26"/>
    <w:rsid w:val="00F07BFF"/>
    <w:rsid w:val="00F1063A"/>
    <w:rsid w:val="00F10885"/>
    <w:rsid w:val="00F10AE1"/>
    <w:rsid w:val="00F10C3F"/>
    <w:rsid w:val="00F11023"/>
    <w:rsid w:val="00F111F0"/>
    <w:rsid w:val="00F1241F"/>
    <w:rsid w:val="00F12530"/>
    <w:rsid w:val="00F12C3D"/>
    <w:rsid w:val="00F131E7"/>
    <w:rsid w:val="00F13C3B"/>
    <w:rsid w:val="00F13C96"/>
    <w:rsid w:val="00F13D01"/>
    <w:rsid w:val="00F14AEC"/>
    <w:rsid w:val="00F14CD4"/>
    <w:rsid w:val="00F15EC0"/>
    <w:rsid w:val="00F16174"/>
    <w:rsid w:val="00F16A2D"/>
    <w:rsid w:val="00F1705F"/>
    <w:rsid w:val="00F1789E"/>
    <w:rsid w:val="00F2050B"/>
    <w:rsid w:val="00F2076D"/>
    <w:rsid w:val="00F20D82"/>
    <w:rsid w:val="00F20DF7"/>
    <w:rsid w:val="00F21ED2"/>
    <w:rsid w:val="00F2654C"/>
    <w:rsid w:val="00F26D01"/>
    <w:rsid w:val="00F26F90"/>
    <w:rsid w:val="00F27515"/>
    <w:rsid w:val="00F2754F"/>
    <w:rsid w:val="00F30493"/>
    <w:rsid w:val="00F32001"/>
    <w:rsid w:val="00F33C39"/>
    <w:rsid w:val="00F34A1D"/>
    <w:rsid w:val="00F354D8"/>
    <w:rsid w:val="00F35B11"/>
    <w:rsid w:val="00F36779"/>
    <w:rsid w:val="00F36937"/>
    <w:rsid w:val="00F36C4E"/>
    <w:rsid w:val="00F36CBA"/>
    <w:rsid w:val="00F37024"/>
    <w:rsid w:val="00F37747"/>
    <w:rsid w:val="00F378AF"/>
    <w:rsid w:val="00F4018C"/>
    <w:rsid w:val="00F40498"/>
    <w:rsid w:val="00F40D51"/>
    <w:rsid w:val="00F40DC0"/>
    <w:rsid w:val="00F424C9"/>
    <w:rsid w:val="00F42647"/>
    <w:rsid w:val="00F42C64"/>
    <w:rsid w:val="00F432C3"/>
    <w:rsid w:val="00F437DA"/>
    <w:rsid w:val="00F437DF"/>
    <w:rsid w:val="00F44F68"/>
    <w:rsid w:val="00F454CF"/>
    <w:rsid w:val="00F4587F"/>
    <w:rsid w:val="00F45898"/>
    <w:rsid w:val="00F46A80"/>
    <w:rsid w:val="00F507FA"/>
    <w:rsid w:val="00F50DA7"/>
    <w:rsid w:val="00F50E3D"/>
    <w:rsid w:val="00F5107A"/>
    <w:rsid w:val="00F511B3"/>
    <w:rsid w:val="00F517DD"/>
    <w:rsid w:val="00F51C9E"/>
    <w:rsid w:val="00F51FF2"/>
    <w:rsid w:val="00F53205"/>
    <w:rsid w:val="00F539AA"/>
    <w:rsid w:val="00F53ED1"/>
    <w:rsid w:val="00F53FDA"/>
    <w:rsid w:val="00F54BCB"/>
    <w:rsid w:val="00F55407"/>
    <w:rsid w:val="00F554C5"/>
    <w:rsid w:val="00F55519"/>
    <w:rsid w:val="00F55E72"/>
    <w:rsid w:val="00F56AEF"/>
    <w:rsid w:val="00F56E23"/>
    <w:rsid w:val="00F57104"/>
    <w:rsid w:val="00F605C8"/>
    <w:rsid w:val="00F60CE9"/>
    <w:rsid w:val="00F6120B"/>
    <w:rsid w:val="00F61740"/>
    <w:rsid w:val="00F61C18"/>
    <w:rsid w:val="00F62805"/>
    <w:rsid w:val="00F62FA5"/>
    <w:rsid w:val="00F639D2"/>
    <w:rsid w:val="00F63A36"/>
    <w:rsid w:val="00F64053"/>
    <w:rsid w:val="00F64173"/>
    <w:rsid w:val="00F64D1E"/>
    <w:rsid w:val="00F664C3"/>
    <w:rsid w:val="00F67110"/>
    <w:rsid w:val="00F700FC"/>
    <w:rsid w:val="00F72B66"/>
    <w:rsid w:val="00F73B37"/>
    <w:rsid w:val="00F73DF3"/>
    <w:rsid w:val="00F751D7"/>
    <w:rsid w:val="00F7549B"/>
    <w:rsid w:val="00F7554C"/>
    <w:rsid w:val="00F75B5E"/>
    <w:rsid w:val="00F75E76"/>
    <w:rsid w:val="00F76CFF"/>
    <w:rsid w:val="00F77A72"/>
    <w:rsid w:val="00F77BB4"/>
    <w:rsid w:val="00F80667"/>
    <w:rsid w:val="00F806F8"/>
    <w:rsid w:val="00F8154A"/>
    <w:rsid w:val="00F81BE5"/>
    <w:rsid w:val="00F81EF1"/>
    <w:rsid w:val="00F825F8"/>
    <w:rsid w:val="00F82D07"/>
    <w:rsid w:val="00F830E4"/>
    <w:rsid w:val="00F833FC"/>
    <w:rsid w:val="00F83F79"/>
    <w:rsid w:val="00F841B8"/>
    <w:rsid w:val="00F84A0C"/>
    <w:rsid w:val="00F853AD"/>
    <w:rsid w:val="00F85AFE"/>
    <w:rsid w:val="00F864E8"/>
    <w:rsid w:val="00F876F9"/>
    <w:rsid w:val="00F87EE0"/>
    <w:rsid w:val="00F90959"/>
    <w:rsid w:val="00F91126"/>
    <w:rsid w:val="00F92A52"/>
    <w:rsid w:val="00F92CD2"/>
    <w:rsid w:val="00F9552D"/>
    <w:rsid w:val="00F955F6"/>
    <w:rsid w:val="00F9675A"/>
    <w:rsid w:val="00F96B7A"/>
    <w:rsid w:val="00F96EBB"/>
    <w:rsid w:val="00F97F3B"/>
    <w:rsid w:val="00FA16D4"/>
    <w:rsid w:val="00FA1BFD"/>
    <w:rsid w:val="00FA403B"/>
    <w:rsid w:val="00FA483E"/>
    <w:rsid w:val="00FA6CDF"/>
    <w:rsid w:val="00FA76AD"/>
    <w:rsid w:val="00FB2F2F"/>
    <w:rsid w:val="00FB33F3"/>
    <w:rsid w:val="00FB46E2"/>
    <w:rsid w:val="00FB4D0D"/>
    <w:rsid w:val="00FB5A77"/>
    <w:rsid w:val="00FB5BB8"/>
    <w:rsid w:val="00FB6FA5"/>
    <w:rsid w:val="00FB7045"/>
    <w:rsid w:val="00FB7868"/>
    <w:rsid w:val="00FB7FD7"/>
    <w:rsid w:val="00FC01FA"/>
    <w:rsid w:val="00FC10A1"/>
    <w:rsid w:val="00FC1321"/>
    <w:rsid w:val="00FC1428"/>
    <w:rsid w:val="00FC15E1"/>
    <w:rsid w:val="00FC1A97"/>
    <w:rsid w:val="00FC1DD0"/>
    <w:rsid w:val="00FC1F7A"/>
    <w:rsid w:val="00FC20A5"/>
    <w:rsid w:val="00FC2C73"/>
    <w:rsid w:val="00FC3EAA"/>
    <w:rsid w:val="00FC4255"/>
    <w:rsid w:val="00FC42AB"/>
    <w:rsid w:val="00FC5359"/>
    <w:rsid w:val="00FC650A"/>
    <w:rsid w:val="00FC68C0"/>
    <w:rsid w:val="00FC6B08"/>
    <w:rsid w:val="00FC70CB"/>
    <w:rsid w:val="00FC70D3"/>
    <w:rsid w:val="00FC7175"/>
    <w:rsid w:val="00FC7FEC"/>
    <w:rsid w:val="00FD04EE"/>
    <w:rsid w:val="00FD04F8"/>
    <w:rsid w:val="00FD069B"/>
    <w:rsid w:val="00FD0CF5"/>
    <w:rsid w:val="00FD11EF"/>
    <w:rsid w:val="00FD2179"/>
    <w:rsid w:val="00FD2CF2"/>
    <w:rsid w:val="00FD2D41"/>
    <w:rsid w:val="00FD30B1"/>
    <w:rsid w:val="00FD3D64"/>
    <w:rsid w:val="00FD5457"/>
    <w:rsid w:val="00FD55D4"/>
    <w:rsid w:val="00FD5F8C"/>
    <w:rsid w:val="00FE0204"/>
    <w:rsid w:val="00FE067E"/>
    <w:rsid w:val="00FE088B"/>
    <w:rsid w:val="00FE0A92"/>
    <w:rsid w:val="00FE0F34"/>
    <w:rsid w:val="00FE21B9"/>
    <w:rsid w:val="00FE266A"/>
    <w:rsid w:val="00FE3C7E"/>
    <w:rsid w:val="00FE3E01"/>
    <w:rsid w:val="00FE4022"/>
    <w:rsid w:val="00FE4A7F"/>
    <w:rsid w:val="00FE549F"/>
    <w:rsid w:val="00FE5950"/>
    <w:rsid w:val="00FE615D"/>
    <w:rsid w:val="00FE628B"/>
    <w:rsid w:val="00FE6852"/>
    <w:rsid w:val="00FE6F12"/>
    <w:rsid w:val="00FE7B78"/>
    <w:rsid w:val="00FE7FE6"/>
    <w:rsid w:val="00FF2FE2"/>
    <w:rsid w:val="00FF537F"/>
    <w:rsid w:val="00FF5A70"/>
    <w:rsid w:val="00FF5FCA"/>
    <w:rsid w:val="00FF6AC6"/>
    <w:rsid w:val="00FF7391"/>
    <w:rsid w:val="00FF760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8DD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DED"/>
    <w:pPr>
      <w:spacing w:after="240" w:line="280" w:lineRule="exact"/>
      <w:jc w:val="both"/>
    </w:pPr>
    <w:rPr>
      <w:rFonts w:eastAsia="Times New Roman" w:cs="Times New Roman"/>
      <w:color w:val="000000"/>
      <w:szCs w:val="20"/>
      <w:lang w:eastAsia="en-AU"/>
    </w:rPr>
  </w:style>
  <w:style w:type="paragraph" w:styleId="Heading1">
    <w:name w:val="heading 1"/>
    <w:basedOn w:val="HeadingBase"/>
    <w:next w:val="Normal"/>
    <w:link w:val="Heading1Char"/>
    <w:qFormat/>
    <w:rsid w:val="00FF537F"/>
    <w:pPr>
      <w:spacing w:after="360"/>
      <w:outlineLvl w:val="0"/>
    </w:pPr>
    <w:rPr>
      <w:rFonts w:cs="Arial"/>
      <w:b/>
      <w:bCs/>
      <w:smallCaps/>
      <w:kern w:val="32"/>
      <w:sz w:val="36"/>
      <w:szCs w:val="36"/>
    </w:rPr>
  </w:style>
  <w:style w:type="paragraph" w:styleId="Heading2">
    <w:name w:val="heading 2"/>
    <w:basedOn w:val="HeadingBase"/>
    <w:next w:val="Normal"/>
    <w:link w:val="Heading2Char"/>
    <w:qFormat/>
    <w:rsid w:val="00FF537F"/>
    <w:pPr>
      <w:spacing w:before="360" w:after="180"/>
      <w:outlineLvl w:val="1"/>
    </w:pPr>
    <w:rPr>
      <w:rFonts w:cs="Arial"/>
      <w:b/>
      <w:bCs/>
      <w:iCs/>
      <w:smallCaps/>
      <w:sz w:val="32"/>
      <w:szCs w:val="28"/>
    </w:rPr>
  </w:style>
  <w:style w:type="paragraph" w:styleId="Heading3">
    <w:name w:val="heading 3"/>
    <w:basedOn w:val="HeadingBase"/>
    <w:next w:val="Normal"/>
    <w:link w:val="Heading3Char"/>
    <w:qFormat/>
    <w:rsid w:val="00FF537F"/>
    <w:pPr>
      <w:spacing w:before="240" w:after="120"/>
      <w:outlineLvl w:val="2"/>
    </w:pPr>
    <w:rPr>
      <w:rFonts w:cs="Arial"/>
      <w:b/>
      <w:bCs/>
      <w:sz w:val="28"/>
      <w:szCs w:val="26"/>
    </w:rPr>
  </w:style>
  <w:style w:type="paragraph" w:styleId="Heading4">
    <w:name w:val="heading 4"/>
    <w:basedOn w:val="HeadingBase"/>
    <w:next w:val="Normal"/>
    <w:link w:val="Heading4Char"/>
    <w:qFormat/>
    <w:rsid w:val="00FF537F"/>
    <w:pPr>
      <w:spacing w:before="180" w:after="120"/>
      <w:outlineLvl w:val="3"/>
    </w:pPr>
    <w:rPr>
      <w:bCs/>
      <w:sz w:val="24"/>
      <w:szCs w:val="22"/>
    </w:rPr>
  </w:style>
  <w:style w:type="paragraph" w:styleId="Heading5">
    <w:name w:val="heading 5"/>
    <w:basedOn w:val="HeadingBase"/>
    <w:next w:val="Normal"/>
    <w:link w:val="Heading5Char"/>
    <w:qFormat/>
    <w:rsid w:val="00477DED"/>
    <w:pPr>
      <w:spacing w:after="120"/>
      <w:outlineLvl w:val="4"/>
    </w:pPr>
    <w:rPr>
      <w:b/>
      <w:bCs/>
      <w:iCs/>
      <w:sz w:val="24"/>
    </w:rPr>
  </w:style>
  <w:style w:type="paragraph" w:styleId="Heading6">
    <w:name w:val="heading 6"/>
    <w:basedOn w:val="HeadingBase"/>
    <w:next w:val="Normal"/>
    <w:link w:val="Heading6Char"/>
    <w:qFormat/>
    <w:rsid w:val="00477DED"/>
    <w:pPr>
      <w:spacing w:after="120"/>
      <w:outlineLvl w:val="5"/>
    </w:pPr>
    <w:rPr>
      <w:bCs/>
      <w:sz w:val="22"/>
      <w:szCs w:val="22"/>
    </w:rPr>
  </w:style>
  <w:style w:type="paragraph" w:styleId="Heading7">
    <w:name w:val="heading 7"/>
    <w:basedOn w:val="HeadingBase"/>
    <w:next w:val="Normal"/>
    <w:link w:val="Heading7Char"/>
    <w:qFormat/>
    <w:rsid w:val="00477DED"/>
    <w:pPr>
      <w:spacing w:after="120"/>
      <w:outlineLvl w:val="6"/>
    </w:pPr>
    <w:rPr>
      <w:szCs w:val="24"/>
    </w:rPr>
  </w:style>
  <w:style w:type="paragraph" w:styleId="Heading8">
    <w:name w:val="heading 8"/>
    <w:basedOn w:val="HeadingBase"/>
    <w:next w:val="Normal"/>
    <w:link w:val="Heading8Char"/>
    <w:qFormat/>
    <w:rsid w:val="00477DED"/>
    <w:pPr>
      <w:spacing w:before="60" w:after="60"/>
      <w:jc w:val="center"/>
      <w:outlineLvl w:val="7"/>
    </w:pPr>
    <w:rPr>
      <w:iCs/>
      <w:smallCaps/>
      <w:sz w:val="22"/>
      <w:szCs w:val="24"/>
    </w:rPr>
  </w:style>
  <w:style w:type="paragraph" w:styleId="Heading9">
    <w:name w:val="heading 9"/>
    <w:basedOn w:val="HeadingBase"/>
    <w:next w:val="Normal"/>
    <w:link w:val="Heading9Char"/>
    <w:qFormat/>
    <w:rsid w:val="00477DED"/>
    <w:pPr>
      <w:spacing w:before="60" w:after="60"/>
      <w:jc w:val="center"/>
      <w:outlineLvl w:val="8"/>
    </w:pPr>
    <w:rPr>
      <w:rFonts w:ascii="Arial Bold" w:hAnsi="Arial Bold" w:cs="Arial"/>
      <w:b/>
      <w:smallCap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77DED"/>
    <w:rPr>
      <w:color w:val="auto"/>
      <w:u w:val="none"/>
    </w:rPr>
  </w:style>
  <w:style w:type="paragraph" w:customStyle="1" w:styleId="Default">
    <w:name w:val="Default"/>
    <w:rsid w:val="00D85D7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FF537F"/>
    <w:rPr>
      <w:rFonts w:ascii="Calibri" w:eastAsia="Times New Roman" w:hAnsi="Calibri" w:cs="Arial"/>
      <w:b/>
      <w:bCs/>
      <w:smallCaps/>
      <w:color w:val="342E82"/>
      <w:kern w:val="32"/>
      <w:sz w:val="36"/>
      <w:szCs w:val="36"/>
      <w:lang w:eastAsia="en-AU"/>
    </w:rPr>
  </w:style>
  <w:style w:type="character" w:customStyle="1" w:styleId="Heading2Char">
    <w:name w:val="Heading 2 Char"/>
    <w:basedOn w:val="DefaultParagraphFont"/>
    <w:link w:val="Heading2"/>
    <w:rsid w:val="00FF537F"/>
    <w:rPr>
      <w:rFonts w:ascii="Calibri" w:eastAsia="Times New Roman" w:hAnsi="Calibri" w:cs="Arial"/>
      <w:b/>
      <w:bCs/>
      <w:iCs/>
      <w:smallCaps/>
      <w:color w:val="342E82"/>
      <w:sz w:val="32"/>
      <w:szCs w:val="28"/>
      <w:lang w:eastAsia="en-AU"/>
    </w:rPr>
  </w:style>
  <w:style w:type="character" w:customStyle="1" w:styleId="Heading3Char">
    <w:name w:val="Heading 3 Char"/>
    <w:basedOn w:val="DefaultParagraphFont"/>
    <w:link w:val="Heading3"/>
    <w:rsid w:val="00FF537F"/>
    <w:rPr>
      <w:rFonts w:ascii="Calibri" w:eastAsia="Times New Roman" w:hAnsi="Calibri" w:cs="Arial"/>
      <w:b/>
      <w:bCs/>
      <w:color w:val="342E82"/>
      <w:sz w:val="28"/>
      <w:szCs w:val="26"/>
      <w:lang w:eastAsia="en-AU"/>
    </w:rPr>
  </w:style>
  <w:style w:type="character" w:customStyle="1" w:styleId="Heading4Char">
    <w:name w:val="Heading 4 Char"/>
    <w:basedOn w:val="DefaultParagraphFont"/>
    <w:link w:val="Heading4"/>
    <w:rsid w:val="00FF537F"/>
    <w:rPr>
      <w:rFonts w:ascii="Calibri" w:eastAsia="Times New Roman" w:hAnsi="Calibri" w:cs="Times New Roman"/>
      <w:bCs/>
      <w:color w:val="342E82"/>
      <w:sz w:val="24"/>
      <w:lang w:eastAsia="en-AU"/>
    </w:rPr>
  </w:style>
  <w:style w:type="character" w:customStyle="1" w:styleId="Heading5Char">
    <w:name w:val="Heading 5 Char"/>
    <w:basedOn w:val="DefaultParagraphFont"/>
    <w:link w:val="Heading5"/>
    <w:rsid w:val="00477DED"/>
    <w:rPr>
      <w:rFonts w:ascii="Calibri" w:eastAsia="Times New Roman" w:hAnsi="Calibri" w:cs="Times New Roman"/>
      <w:b/>
      <w:bCs/>
      <w:iCs/>
      <w:color w:val="342E82"/>
      <w:sz w:val="24"/>
      <w:szCs w:val="20"/>
      <w:lang w:eastAsia="en-AU"/>
    </w:rPr>
  </w:style>
  <w:style w:type="character" w:customStyle="1" w:styleId="Heading6Char">
    <w:name w:val="Heading 6 Char"/>
    <w:basedOn w:val="DefaultParagraphFont"/>
    <w:link w:val="Heading6"/>
    <w:rsid w:val="00D85D73"/>
    <w:rPr>
      <w:rFonts w:ascii="Calibri" w:eastAsia="Times New Roman" w:hAnsi="Calibri" w:cs="Times New Roman"/>
      <w:bCs/>
      <w:color w:val="342E82"/>
      <w:lang w:eastAsia="en-AU"/>
    </w:rPr>
  </w:style>
  <w:style w:type="character" w:customStyle="1" w:styleId="Heading7Char">
    <w:name w:val="Heading 7 Char"/>
    <w:basedOn w:val="DefaultParagraphFont"/>
    <w:link w:val="Heading7"/>
    <w:rsid w:val="00D85D73"/>
    <w:rPr>
      <w:rFonts w:ascii="Calibri" w:eastAsia="Times New Roman" w:hAnsi="Calibri" w:cs="Times New Roman"/>
      <w:color w:val="342E82"/>
      <w:sz w:val="20"/>
      <w:szCs w:val="24"/>
      <w:lang w:eastAsia="en-AU"/>
    </w:rPr>
  </w:style>
  <w:style w:type="character" w:customStyle="1" w:styleId="Heading8Char">
    <w:name w:val="Heading 8 Char"/>
    <w:basedOn w:val="DefaultParagraphFont"/>
    <w:link w:val="Heading8"/>
    <w:rsid w:val="00D85D73"/>
    <w:rPr>
      <w:rFonts w:ascii="Calibri" w:eastAsia="Times New Roman" w:hAnsi="Calibri" w:cs="Times New Roman"/>
      <w:iCs/>
      <w:smallCaps/>
      <w:color w:val="342E82"/>
      <w:szCs w:val="24"/>
      <w:lang w:eastAsia="en-AU"/>
    </w:rPr>
  </w:style>
  <w:style w:type="character" w:customStyle="1" w:styleId="Heading9Char">
    <w:name w:val="Heading 9 Char"/>
    <w:basedOn w:val="DefaultParagraphFont"/>
    <w:link w:val="Heading9"/>
    <w:rsid w:val="00D85D73"/>
    <w:rPr>
      <w:rFonts w:ascii="Arial Bold" w:eastAsia="Times New Roman" w:hAnsi="Arial Bold" w:cs="Arial"/>
      <w:b/>
      <w:smallCaps/>
      <w:color w:val="342E82"/>
      <w:sz w:val="24"/>
      <w:lang w:eastAsia="en-AU"/>
    </w:rPr>
  </w:style>
  <w:style w:type="paragraph" w:customStyle="1" w:styleId="HeadingBase">
    <w:name w:val="Heading Base"/>
    <w:next w:val="Normal"/>
    <w:rsid w:val="00477DED"/>
    <w:pPr>
      <w:keepNext/>
      <w:spacing w:after="0" w:line="240" w:lineRule="auto"/>
    </w:pPr>
    <w:rPr>
      <w:rFonts w:ascii="Calibri" w:eastAsia="Times New Roman" w:hAnsi="Calibri" w:cs="Times New Roman"/>
      <w:color w:val="342E82"/>
      <w:sz w:val="20"/>
      <w:szCs w:val="20"/>
      <w:lang w:eastAsia="en-AU"/>
    </w:rPr>
  </w:style>
  <w:style w:type="paragraph" w:customStyle="1" w:styleId="ChartGraphic">
    <w:name w:val="Chart Graphic"/>
    <w:basedOn w:val="HeadingBase"/>
    <w:next w:val="Normal"/>
    <w:rsid w:val="00477DED"/>
    <w:pPr>
      <w:jc w:val="center"/>
    </w:pPr>
  </w:style>
  <w:style w:type="paragraph" w:customStyle="1" w:styleId="TableGraphic">
    <w:name w:val="Table Graphic"/>
    <w:basedOn w:val="HeadingBase"/>
    <w:next w:val="Normal"/>
    <w:rsid w:val="00477DED"/>
  </w:style>
  <w:style w:type="paragraph" w:customStyle="1" w:styleId="AlphaParagraph">
    <w:name w:val="Alpha Paragraph"/>
    <w:basedOn w:val="Normal"/>
    <w:rsid w:val="00477DED"/>
    <w:pPr>
      <w:numPr>
        <w:numId w:val="1"/>
      </w:numPr>
    </w:pPr>
  </w:style>
  <w:style w:type="paragraph" w:customStyle="1" w:styleId="AppendixHeading">
    <w:name w:val="Appendix Heading"/>
    <w:basedOn w:val="HeadingBase"/>
    <w:next w:val="Normal"/>
    <w:rsid w:val="00FF537F"/>
    <w:pPr>
      <w:spacing w:after="360"/>
      <w:outlineLvl w:val="0"/>
    </w:pPr>
    <w:rPr>
      <w:b/>
      <w:smallCaps/>
      <w:sz w:val="36"/>
      <w:szCs w:val="36"/>
    </w:rPr>
  </w:style>
  <w:style w:type="paragraph" w:styleId="BalloonText">
    <w:name w:val="Balloon Text"/>
    <w:basedOn w:val="Normal"/>
    <w:link w:val="BalloonTextChar"/>
    <w:semiHidden/>
    <w:rsid w:val="00477DED"/>
    <w:rPr>
      <w:rFonts w:ascii="Tahoma" w:hAnsi="Tahoma" w:cs="Tahoma"/>
      <w:sz w:val="16"/>
      <w:szCs w:val="16"/>
    </w:rPr>
  </w:style>
  <w:style w:type="character" w:customStyle="1" w:styleId="BalloonTextChar">
    <w:name w:val="Balloon Text Char"/>
    <w:basedOn w:val="DefaultParagraphFont"/>
    <w:link w:val="BalloonText"/>
    <w:semiHidden/>
    <w:rsid w:val="00D85D73"/>
    <w:rPr>
      <w:rFonts w:ascii="Tahoma" w:eastAsia="Times New Roman" w:hAnsi="Tahoma" w:cs="Tahoma"/>
      <w:color w:val="000000"/>
      <w:sz w:val="16"/>
      <w:szCs w:val="16"/>
      <w:lang w:eastAsia="en-AU"/>
    </w:rPr>
  </w:style>
  <w:style w:type="character" w:customStyle="1" w:styleId="Bold">
    <w:name w:val="Bold"/>
    <w:basedOn w:val="DefaultParagraphFont"/>
    <w:rsid w:val="00477DED"/>
    <w:rPr>
      <w:b/>
    </w:rPr>
  </w:style>
  <w:style w:type="paragraph" w:customStyle="1" w:styleId="BoxTextBase">
    <w:name w:val="Box Text Base"/>
    <w:basedOn w:val="Normal"/>
    <w:rsid w:val="00477DED"/>
  </w:style>
  <w:style w:type="paragraph" w:customStyle="1" w:styleId="BoxBullet">
    <w:name w:val="Box Bullet"/>
    <w:basedOn w:val="BoxTextBase"/>
    <w:rsid w:val="00477DED"/>
    <w:pPr>
      <w:numPr>
        <w:numId w:val="2"/>
      </w:numPr>
    </w:pPr>
  </w:style>
  <w:style w:type="paragraph" w:customStyle="1" w:styleId="BoxDash">
    <w:name w:val="Box Dash"/>
    <w:basedOn w:val="Normal"/>
    <w:rsid w:val="00477DED"/>
    <w:pPr>
      <w:numPr>
        <w:ilvl w:val="1"/>
        <w:numId w:val="2"/>
      </w:numPr>
    </w:pPr>
  </w:style>
  <w:style w:type="paragraph" w:customStyle="1" w:styleId="BoxDoubleDot">
    <w:name w:val="Box Double Dot"/>
    <w:basedOn w:val="BoxTextBase"/>
    <w:rsid w:val="00477DED"/>
    <w:pPr>
      <w:numPr>
        <w:ilvl w:val="2"/>
        <w:numId w:val="2"/>
      </w:numPr>
    </w:pPr>
  </w:style>
  <w:style w:type="paragraph" w:customStyle="1" w:styleId="BoxHeading">
    <w:name w:val="Box Heading"/>
    <w:basedOn w:val="HeadingBase"/>
    <w:next w:val="BoxText"/>
    <w:rsid w:val="00477DED"/>
    <w:pPr>
      <w:spacing w:before="240" w:after="120"/>
    </w:pPr>
    <w:rPr>
      <w:b/>
      <w:sz w:val="22"/>
    </w:rPr>
  </w:style>
  <w:style w:type="paragraph" w:customStyle="1" w:styleId="BoxText">
    <w:name w:val="Box Text"/>
    <w:basedOn w:val="BoxTextBase"/>
    <w:rsid w:val="00477DED"/>
  </w:style>
  <w:style w:type="paragraph" w:customStyle="1" w:styleId="Bullet">
    <w:name w:val="Bullet"/>
    <w:aliases w:val="b"/>
    <w:basedOn w:val="Normal"/>
    <w:link w:val="BulletChar"/>
    <w:rsid w:val="00FF537F"/>
    <w:pPr>
      <w:numPr>
        <w:numId w:val="4"/>
      </w:numPr>
      <w:tabs>
        <w:tab w:val="left" w:pos="397"/>
      </w:tabs>
      <w:spacing w:after="120" w:line="240" w:lineRule="auto"/>
    </w:pPr>
  </w:style>
  <w:style w:type="paragraph" w:styleId="NormalIndent">
    <w:name w:val="Normal Indent"/>
    <w:basedOn w:val="Normal"/>
    <w:rsid w:val="00477DED"/>
    <w:pPr>
      <w:ind w:left="567"/>
    </w:pPr>
    <w:rPr>
      <w:i/>
    </w:rPr>
  </w:style>
  <w:style w:type="paragraph" w:customStyle="1" w:styleId="ChartandTableFootnoteAlpha">
    <w:name w:val="Chart and Table Footnote Alpha"/>
    <w:rsid w:val="00477DED"/>
    <w:pPr>
      <w:numPr>
        <w:numId w:val="3"/>
      </w:numPr>
      <w:tabs>
        <w:tab w:val="clear" w:pos="283"/>
        <w:tab w:val="num" w:pos="360"/>
      </w:tabs>
      <w:spacing w:after="0" w:line="240" w:lineRule="auto"/>
      <w:ind w:left="0" w:firstLine="0"/>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477DED"/>
    <w:pPr>
      <w:spacing w:after="20"/>
      <w:jc w:val="center"/>
    </w:pPr>
    <w:rPr>
      <w:b/>
      <w:sz w:val="22"/>
    </w:rPr>
  </w:style>
  <w:style w:type="paragraph" w:customStyle="1" w:styleId="ChartorTableNote">
    <w:name w:val="Chart or Table Note"/>
    <w:next w:val="Normal"/>
    <w:rsid w:val="00477DED"/>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477DED"/>
    <w:pPr>
      <w:spacing w:after="20"/>
      <w:jc w:val="center"/>
    </w:pPr>
  </w:style>
  <w:style w:type="paragraph" w:customStyle="1" w:styleId="Classification">
    <w:name w:val="Classification"/>
    <w:basedOn w:val="HeadingBase"/>
    <w:next w:val="Footer"/>
    <w:rsid w:val="00477DED"/>
    <w:pPr>
      <w:spacing w:after="120"/>
      <w:jc w:val="center"/>
    </w:pPr>
    <w:rPr>
      <w:b/>
      <w:smallCaps/>
    </w:rPr>
  </w:style>
  <w:style w:type="paragraph" w:styleId="Footer">
    <w:name w:val="footer"/>
    <w:basedOn w:val="HeadingBase"/>
    <w:link w:val="FooterChar"/>
    <w:rsid w:val="00477DED"/>
    <w:rPr>
      <w:sz w:val="18"/>
    </w:rPr>
  </w:style>
  <w:style w:type="character" w:customStyle="1" w:styleId="FooterChar">
    <w:name w:val="Footer Char"/>
    <w:link w:val="Footer"/>
    <w:rsid w:val="00477DED"/>
    <w:rPr>
      <w:rFonts w:ascii="Calibri" w:eastAsia="Times New Roman" w:hAnsi="Calibri" w:cs="Times New Roman"/>
      <w:color w:val="342E82"/>
      <w:sz w:val="18"/>
      <w:szCs w:val="20"/>
      <w:lang w:eastAsia="en-AU"/>
    </w:rPr>
  </w:style>
  <w:style w:type="paragraph" w:customStyle="1" w:styleId="ContentsHeading">
    <w:name w:val="Contents Heading"/>
    <w:basedOn w:val="HeadingBase"/>
    <w:next w:val="Normal"/>
    <w:rsid w:val="00FF537F"/>
    <w:pPr>
      <w:spacing w:after="360"/>
    </w:pPr>
    <w:rPr>
      <w:smallCaps/>
      <w:sz w:val="36"/>
      <w:szCs w:val="36"/>
    </w:rPr>
  </w:style>
  <w:style w:type="paragraph" w:customStyle="1" w:styleId="CoverTitleSub">
    <w:name w:val="Cover Title Sub"/>
    <w:basedOn w:val="HeadingBase"/>
    <w:rsid w:val="00477DED"/>
    <w:pPr>
      <w:spacing w:after="360"/>
      <w:jc w:val="right"/>
    </w:pPr>
    <w:rPr>
      <w:sz w:val="36"/>
    </w:rPr>
  </w:style>
  <w:style w:type="paragraph" w:customStyle="1" w:styleId="Covertitlelevel3">
    <w:name w:val="Cover title level 3"/>
    <w:basedOn w:val="CoverTitleSub"/>
    <w:rsid w:val="00D85D73"/>
    <w:pPr>
      <w:spacing w:after="120"/>
    </w:pPr>
    <w:rPr>
      <w:sz w:val="28"/>
      <w:szCs w:val="28"/>
    </w:rPr>
  </w:style>
  <w:style w:type="paragraph" w:customStyle="1" w:styleId="CoverTitleMain">
    <w:name w:val="Cover Title Main"/>
    <w:basedOn w:val="HeadingBase"/>
    <w:next w:val="Normal"/>
    <w:rsid w:val="00477DED"/>
    <w:pPr>
      <w:pBdr>
        <w:bottom w:val="single" w:sz="18" w:space="9" w:color="342E82"/>
      </w:pBdr>
      <w:spacing w:after="480"/>
      <w:jc w:val="right"/>
    </w:pPr>
    <w:rPr>
      <w:b/>
      <w:sz w:val="48"/>
    </w:rPr>
  </w:style>
  <w:style w:type="paragraph" w:customStyle="1" w:styleId="Dash">
    <w:name w:val="Dash"/>
    <w:basedOn w:val="Normal"/>
    <w:link w:val="DashChar"/>
    <w:rsid w:val="00FF537F"/>
    <w:pPr>
      <w:numPr>
        <w:ilvl w:val="1"/>
        <w:numId w:val="4"/>
      </w:numPr>
      <w:tabs>
        <w:tab w:val="clear" w:pos="1134"/>
        <w:tab w:val="num" w:pos="794"/>
      </w:tabs>
      <w:spacing w:after="120" w:line="240" w:lineRule="auto"/>
      <w:ind w:left="794" w:hanging="397"/>
    </w:pPr>
  </w:style>
  <w:style w:type="paragraph" w:customStyle="1" w:styleId="DoubleDot">
    <w:name w:val="Double Dot"/>
    <w:basedOn w:val="Normal"/>
    <w:rsid w:val="00477DED"/>
    <w:pPr>
      <w:numPr>
        <w:ilvl w:val="2"/>
        <w:numId w:val="4"/>
      </w:numPr>
      <w:tabs>
        <w:tab w:val="clear" w:pos="1700"/>
        <w:tab w:val="num" w:pos="360"/>
      </w:tabs>
      <w:ind w:left="1758" w:hanging="397"/>
    </w:pPr>
  </w:style>
  <w:style w:type="paragraph" w:customStyle="1" w:styleId="Figuregraphic">
    <w:name w:val="Figure graphic"/>
    <w:basedOn w:val="Normal"/>
    <w:rsid w:val="00D85D73"/>
    <w:pPr>
      <w:jc w:val="center"/>
    </w:pPr>
  </w:style>
  <w:style w:type="paragraph" w:customStyle="1" w:styleId="FigureHeading">
    <w:name w:val="Figure Heading"/>
    <w:basedOn w:val="HeadingBase"/>
    <w:next w:val="Figuregraphic"/>
    <w:rsid w:val="00D85D73"/>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D85D73"/>
    <w:pPr>
      <w:spacing w:after="20"/>
      <w:jc w:val="center"/>
    </w:pPr>
  </w:style>
  <w:style w:type="paragraph" w:customStyle="1" w:styleId="TableMainHeading">
    <w:name w:val="Table Main Heading"/>
    <w:basedOn w:val="HeadingBase"/>
    <w:next w:val="TableGraphic"/>
    <w:rsid w:val="00477DED"/>
    <w:pPr>
      <w:spacing w:after="20"/>
    </w:pPr>
    <w:rPr>
      <w:b/>
      <w:sz w:val="22"/>
    </w:rPr>
  </w:style>
  <w:style w:type="paragraph" w:customStyle="1" w:styleId="FooterCentered">
    <w:name w:val="Footer Centered"/>
    <w:basedOn w:val="Footer"/>
    <w:rsid w:val="00477DED"/>
    <w:pPr>
      <w:jc w:val="center"/>
    </w:pPr>
  </w:style>
  <w:style w:type="paragraph" w:customStyle="1" w:styleId="FooterEven">
    <w:name w:val="Footer Even"/>
    <w:basedOn w:val="Footer"/>
    <w:rsid w:val="00477DED"/>
  </w:style>
  <w:style w:type="paragraph" w:customStyle="1" w:styleId="FooterOdd">
    <w:name w:val="Footer Odd"/>
    <w:basedOn w:val="Footer"/>
    <w:rsid w:val="00477DED"/>
    <w:pPr>
      <w:jc w:val="right"/>
    </w:pPr>
  </w:style>
  <w:style w:type="character" w:styleId="FootnoteReference">
    <w:name w:val="footnote reference"/>
    <w:basedOn w:val="DefaultParagraphFont"/>
    <w:rsid w:val="00477DED"/>
    <w:rPr>
      <w:vertAlign w:val="superscript"/>
    </w:rPr>
  </w:style>
  <w:style w:type="paragraph" w:styleId="FootnoteText">
    <w:name w:val="footnote text"/>
    <w:basedOn w:val="Normal"/>
    <w:link w:val="FootnoteTextChar"/>
    <w:rsid w:val="00477DED"/>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rsid w:val="00D85D73"/>
    <w:rPr>
      <w:rFonts w:eastAsia="Times New Roman" w:cs="Times New Roman"/>
      <w:color w:val="000000"/>
      <w:sz w:val="18"/>
      <w:szCs w:val="20"/>
      <w:lang w:eastAsia="en-AU"/>
    </w:rPr>
  </w:style>
  <w:style w:type="character" w:customStyle="1" w:styleId="FramedFooter">
    <w:name w:val="Framed Footer"/>
    <w:rsid w:val="00477DED"/>
    <w:rPr>
      <w:rFonts w:ascii="Arial" w:hAnsi="Arial"/>
      <w:color w:val="342E82"/>
      <w:sz w:val="18"/>
    </w:rPr>
  </w:style>
  <w:style w:type="character" w:customStyle="1" w:styleId="FramedHeader">
    <w:name w:val="Framed Header"/>
    <w:basedOn w:val="DefaultParagraphFont"/>
    <w:rsid w:val="00477DED"/>
    <w:rPr>
      <w:rFonts w:ascii="Arial" w:hAnsi="Arial"/>
      <w:dstrike w:val="0"/>
      <w:color w:val="342E82"/>
      <w:sz w:val="18"/>
      <w:vertAlign w:val="baseline"/>
    </w:rPr>
  </w:style>
  <w:style w:type="paragraph" w:styleId="Header">
    <w:name w:val="header"/>
    <w:basedOn w:val="HeadingBase"/>
    <w:link w:val="HeaderChar"/>
    <w:rsid w:val="00477DED"/>
    <w:rPr>
      <w:sz w:val="18"/>
    </w:rPr>
  </w:style>
  <w:style w:type="character" w:customStyle="1" w:styleId="HeaderChar">
    <w:name w:val="Header Char"/>
    <w:basedOn w:val="DefaultParagraphFont"/>
    <w:link w:val="Header"/>
    <w:rsid w:val="00D85D73"/>
    <w:rPr>
      <w:rFonts w:ascii="Calibri" w:eastAsia="Times New Roman" w:hAnsi="Calibri" w:cs="Times New Roman"/>
      <w:color w:val="342E82"/>
      <w:sz w:val="18"/>
      <w:szCs w:val="20"/>
      <w:lang w:eastAsia="en-AU"/>
    </w:rPr>
  </w:style>
  <w:style w:type="paragraph" w:customStyle="1" w:styleId="HeaderEven">
    <w:name w:val="Header Even"/>
    <w:basedOn w:val="Header"/>
    <w:rsid w:val="00477DED"/>
  </w:style>
  <w:style w:type="paragraph" w:customStyle="1" w:styleId="HeaderOdd">
    <w:name w:val="Header Odd"/>
    <w:basedOn w:val="Header"/>
    <w:rsid w:val="00477DED"/>
    <w:pPr>
      <w:jc w:val="right"/>
    </w:pPr>
  </w:style>
  <w:style w:type="character" w:customStyle="1" w:styleId="italic">
    <w:name w:val="italic"/>
    <w:basedOn w:val="DefaultParagraphFont"/>
    <w:rsid w:val="00477DED"/>
    <w:rPr>
      <w:i/>
    </w:rPr>
  </w:style>
  <w:style w:type="paragraph" w:styleId="NormalWeb">
    <w:name w:val="Normal (Web)"/>
    <w:basedOn w:val="Normal"/>
    <w:uiPriority w:val="99"/>
    <w:rsid w:val="00D85D73"/>
    <w:pPr>
      <w:spacing w:line="312" w:lineRule="atLeast"/>
    </w:pPr>
    <w:rPr>
      <w:sz w:val="24"/>
      <w:szCs w:val="24"/>
    </w:rPr>
  </w:style>
  <w:style w:type="paragraph" w:customStyle="1" w:styleId="NormalIndentItalics">
    <w:name w:val="Normal Indent Italics"/>
    <w:basedOn w:val="NormalIndent"/>
    <w:rsid w:val="00D85D73"/>
    <w:rPr>
      <w:i w:val="0"/>
    </w:rPr>
  </w:style>
  <w:style w:type="paragraph" w:customStyle="1" w:styleId="OutlineNumbered1">
    <w:name w:val="Outline Numbered 1"/>
    <w:basedOn w:val="Normal"/>
    <w:rsid w:val="00FF537F"/>
    <w:pPr>
      <w:numPr>
        <w:numId w:val="19"/>
      </w:numPr>
      <w:tabs>
        <w:tab w:val="left" w:pos="397"/>
      </w:tabs>
    </w:pPr>
  </w:style>
  <w:style w:type="paragraph" w:customStyle="1" w:styleId="OneLevelNumberedParagraph">
    <w:name w:val="One Level Numbered Paragraph"/>
    <w:basedOn w:val="Normal"/>
    <w:rsid w:val="00477DED"/>
    <w:pPr>
      <w:numPr>
        <w:numId w:val="5"/>
      </w:numPr>
    </w:pPr>
  </w:style>
  <w:style w:type="paragraph" w:customStyle="1" w:styleId="OutlineNumbered2">
    <w:name w:val="Outline Numbered 2"/>
    <w:basedOn w:val="Normal"/>
    <w:rsid w:val="00477DED"/>
    <w:pPr>
      <w:numPr>
        <w:ilvl w:val="1"/>
        <w:numId w:val="19"/>
      </w:numPr>
    </w:pPr>
  </w:style>
  <w:style w:type="paragraph" w:customStyle="1" w:styleId="OutlineNumbered3">
    <w:name w:val="Outline Numbered 3"/>
    <w:basedOn w:val="Normal"/>
    <w:rsid w:val="00477DED"/>
    <w:pPr>
      <w:numPr>
        <w:ilvl w:val="2"/>
        <w:numId w:val="19"/>
      </w:numPr>
    </w:pPr>
  </w:style>
  <w:style w:type="character" w:styleId="PageNumber">
    <w:name w:val="page number"/>
    <w:basedOn w:val="DefaultParagraphFont"/>
    <w:rsid w:val="00D85D73"/>
    <w:rPr>
      <w:rFonts w:ascii="Arial" w:hAnsi="Arial"/>
      <w:sz w:val="18"/>
    </w:rPr>
  </w:style>
  <w:style w:type="paragraph" w:customStyle="1" w:styleId="Principle">
    <w:name w:val="Principle"/>
    <w:basedOn w:val="Normal"/>
    <w:rsid w:val="00D85D73"/>
    <w:pPr>
      <w:keepNext/>
      <w:spacing w:after="60"/>
      <w:ind w:left="573"/>
    </w:pPr>
    <w:rPr>
      <w:rFonts w:ascii="Book Antiqua" w:hAnsi="Book Antiqua"/>
      <w:i/>
      <w:sz w:val="20"/>
    </w:rPr>
  </w:style>
  <w:style w:type="paragraph" w:customStyle="1" w:styleId="RecommendationTextBase">
    <w:name w:val="Recommendation Text Base"/>
    <w:basedOn w:val="Normal"/>
    <w:rsid w:val="00477DED"/>
    <w:pPr>
      <w:spacing w:before="120" w:after="120"/>
    </w:pPr>
  </w:style>
  <w:style w:type="paragraph" w:customStyle="1" w:styleId="RecommendationBullet">
    <w:name w:val="Recommendation Bullet"/>
    <w:basedOn w:val="RecommendationTextBase"/>
    <w:rsid w:val="00477DED"/>
    <w:pPr>
      <w:numPr>
        <w:numId w:val="6"/>
      </w:numPr>
    </w:pPr>
  </w:style>
  <w:style w:type="paragraph" w:customStyle="1" w:styleId="RecommendationDash">
    <w:name w:val="Recommendation Dash"/>
    <w:basedOn w:val="RecommendationTextBase"/>
    <w:rsid w:val="00477DED"/>
    <w:pPr>
      <w:numPr>
        <w:ilvl w:val="1"/>
        <w:numId w:val="6"/>
      </w:numPr>
    </w:pPr>
  </w:style>
  <w:style w:type="paragraph" w:customStyle="1" w:styleId="RecommendationDoubleDot">
    <w:name w:val="Recommendation Double Dot"/>
    <w:basedOn w:val="RecommendationTextBase"/>
    <w:rsid w:val="00477DED"/>
    <w:pPr>
      <w:numPr>
        <w:ilvl w:val="2"/>
        <w:numId w:val="6"/>
      </w:numPr>
    </w:pPr>
  </w:style>
  <w:style w:type="paragraph" w:customStyle="1" w:styleId="RecommendationHeading">
    <w:name w:val="Recommendation Heading"/>
    <w:basedOn w:val="HeadingBase"/>
    <w:next w:val="RecommendationText"/>
    <w:rsid w:val="00477DED"/>
    <w:pPr>
      <w:spacing w:before="120" w:after="240"/>
    </w:pPr>
    <w:rPr>
      <w:b/>
      <w:sz w:val="22"/>
    </w:rPr>
  </w:style>
  <w:style w:type="paragraph" w:customStyle="1" w:styleId="RecommendationText">
    <w:name w:val="Recommendation Text"/>
    <w:basedOn w:val="RecommendationTextBase"/>
    <w:rsid w:val="00477DED"/>
  </w:style>
  <w:style w:type="paragraph" w:customStyle="1" w:styleId="Romannumeral">
    <w:name w:val="Roman numeral"/>
    <w:basedOn w:val="Normal"/>
    <w:rsid w:val="00477DED"/>
    <w:pPr>
      <w:numPr>
        <w:numId w:val="7"/>
      </w:numPr>
    </w:pPr>
  </w:style>
  <w:style w:type="paragraph" w:customStyle="1" w:styleId="SingleParagraph">
    <w:name w:val="Single Paragraph"/>
    <w:basedOn w:val="Normal"/>
    <w:link w:val="SingleParagraphChar"/>
    <w:rsid w:val="00477DED"/>
    <w:pPr>
      <w:spacing w:after="0"/>
    </w:pPr>
  </w:style>
  <w:style w:type="paragraph" w:customStyle="1" w:styleId="SingleParagraphIndent">
    <w:name w:val="Single Paragraph Indent"/>
    <w:basedOn w:val="SingleParagraph"/>
    <w:rsid w:val="00D85D73"/>
    <w:pPr>
      <w:ind w:left="567"/>
    </w:pPr>
  </w:style>
  <w:style w:type="paragraph" w:customStyle="1" w:styleId="TableSecondHeading">
    <w:name w:val="Table Second Heading"/>
    <w:basedOn w:val="HeadingBase"/>
    <w:next w:val="TableGraphic"/>
    <w:rsid w:val="00477DED"/>
    <w:pPr>
      <w:spacing w:after="20"/>
    </w:pPr>
  </w:style>
  <w:style w:type="paragraph" w:customStyle="1" w:styleId="TableTextBase">
    <w:name w:val="Table Text Base"/>
    <w:rsid w:val="00477DED"/>
    <w:pPr>
      <w:spacing w:before="40" w:after="40" w:line="240" w:lineRule="auto"/>
    </w:pPr>
    <w:rPr>
      <w:rFonts w:eastAsia="Times New Roman" w:cs="Times New Roman"/>
      <w:color w:val="000000"/>
      <w:sz w:val="16"/>
      <w:szCs w:val="20"/>
      <w:lang w:eastAsia="en-AU"/>
    </w:rPr>
  </w:style>
  <w:style w:type="paragraph" w:customStyle="1" w:styleId="TableColumnHeadingCentred">
    <w:name w:val="Table Column Heading Centred"/>
    <w:basedOn w:val="TableColumnHeadingBase"/>
    <w:rsid w:val="00477DED"/>
    <w:pPr>
      <w:jc w:val="center"/>
    </w:pPr>
  </w:style>
  <w:style w:type="paragraph" w:customStyle="1" w:styleId="TableColumnHeadingBase">
    <w:name w:val="Table Column Heading Base"/>
    <w:basedOn w:val="Normal"/>
    <w:rsid w:val="00477DED"/>
    <w:pPr>
      <w:spacing w:before="40" w:after="40" w:line="240" w:lineRule="auto"/>
    </w:pPr>
    <w:rPr>
      <w:b/>
      <w:color w:val="342E82"/>
      <w:sz w:val="16"/>
    </w:rPr>
  </w:style>
  <w:style w:type="paragraph" w:customStyle="1" w:styleId="TableColumnHeadingLeft">
    <w:name w:val="Table Column Heading Left"/>
    <w:basedOn w:val="TableColumnHeadingBase"/>
    <w:rsid w:val="00477DED"/>
  </w:style>
  <w:style w:type="paragraph" w:customStyle="1" w:styleId="TableColumnHeadingRight">
    <w:name w:val="Table Column Heading Right"/>
    <w:basedOn w:val="TableColumnHeadingBase"/>
    <w:rsid w:val="00477DED"/>
    <w:pPr>
      <w:jc w:val="right"/>
    </w:pPr>
  </w:style>
  <w:style w:type="table" w:styleId="TableGrid">
    <w:name w:val="Table Grid"/>
    <w:basedOn w:val="TableNormal"/>
    <w:rsid w:val="00477DED"/>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MainHeadingContd">
    <w:name w:val="Table Main Heading Contd"/>
    <w:basedOn w:val="HeadingBase"/>
    <w:next w:val="TableGraphic"/>
    <w:rsid w:val="00477DED"/>
    <w:pPr>
      <w:pageBreakBefore/>
      <w:spacing w:after="20"/>
    </w:pPr>
    <w:rPr>
      <w:b/>
      <w:sz w:val="22"/>
    </w:rPr>
  </w:style>
  <w:style w:type="paragraph" w:customStyle="1" w:styleId="TableTextCentered">
    <w:name w:val="Table Text Centered"/>
    <w:basedOn w:val="TableTextBase"/>
    <w:rsid w:val="00477DED"/>
    <w:pPr>
      <w:jc w:val="center"/>
    </w:pPr>
  </w:style>
  <w:style w:type="paragraph" w:customStyle="1" w:styleId="TableTextIndented">
    <w:name w:val="Table Text Indented"/>
    <w:basedOn w:val="TableTextBase"/>
    <w:rsid w:val="00477DED"/>
    <w:pPr>
      <w:ind w:left="284"/>
    </w:pPr>
  </w:style>
  <w:style w:type="paragraph" w:customStyle="1" w:styleId="TableTextLeft">
    <w:name w:val="Table Text Left"/>
    <w:basedOn w:val="TableTextBase"/>
    <w:rsid w:val="00477DED"/>
  </w:style>
  <w:style w:type="paragraph" w:customStyle="1" w:styleId="TableTextRight">
    <w:name w:val="Table Text Right"/>
    <w:basedOn w:val="TableTextBase"/>
    <w:rsid w:val="00477DED"/>
    <w:pPr>
      <w:jc w:val="right"/>
    </w:pPr>
  </w:style>
  <w:style w:type="paragraph" w:styleId="TOC1">
    <w:name w:val="toc 1"/>
    <w:basedOn w:val="HeadingBase"/>
    <w:next w:val="Normal"/>
    <w:uiPriority w:val="39"/>
    <w:rsid w:val="00477DED"/>
    <w:pPr>
      <w:tabs>
        <w:tab w:val="left" w:pos="284"/>
        <w:tab w:val="left" w:pos="567"/>
        <w:tab w:val="right" w:leader="dot" w:pos="9072"/>
      </w:tabs>
      <w:spacing w:before="180"/>
      <w:ind w:left="284" w:right="851" w:hanging="284"/>
    </w:pPr>
    <w:rPr>
      <w:b/>
      <w:smallCaps/>
      <w:sz w:val="22"/>
      <w:szCs w:val="22"/>
    </w:rPr>
  </w:style>
  <w:style w:type="paragraph" w:styleId="TOC2">
    <w:name w:val="toc 2"/>
    <w:basedOn w:val="HeadingBase"/>
    <w:next w:val="Normal"/>
    <w:uiPriority w:val="39"/>
    <w:rsid w:val="00656397"/>
    <w:pPr>
      <w:tabs>
        <w:tab w:val="right" w:leader="dot" w:pos="9072"/>
      </w:tabs>
      <w:spacing w:before="40" w:after="20"/>
      <w:ind w:left="284" w:right="851"/>
    </w:pPr>
  </w:style>
  <w:style w:type="paragraph" w:styleId="TOC3">
    <w:name w:val="toc 3"/>
    <w:basedOn w:val="Normal"/>
    <w:next w:val="Normal"/>
    <w:rsid w:val="00477DED"/>
    <w:pPr>
      <w:tabs>
        <w:tab w:val="right" w:leader="dot" w:pos="9072"/>
      </w:tabs>
      <w:spacing w:before="20" w:after="0" w:line="240" w:lineRule="auto"/>
      <w:ind w:left="284" w:right="851"/>
    </w:pPr>
  </w:style>
  <w:style w:type="paragraph" w:styleId="TOC4">
    <w:name w:val="toc 4"/>
    <w:basedOn w:val="Normal"/>
    <w:next w:val="Normal"/>
    <w:rsid w:val="00477DED"/>
    <w:pPr>
      <w:tabs>
        <w:tab w:val="right" w:leader="dot" w:pos="9072"/>
      </w:tabs>
      <w:spacing w:after="0" w:line="240" w:lineRule="auto"/>
      <w:ind w:left="284" w:right="851"/>
    </w:pPr>
  </w:style>
  <w:style w:type="paragraph" w:styleId="BodyTextIndent2">
    <w:name w:val="Body Text Indent 2"/>
    <w:basedOn w:val="Normal"/>
    <w:link w:val="BodyTextIndent2Char"/>
    <w:rsid w:val="00D85D73"/>
    <w:pPr>
      <w:spacing w:after="120" w:line="480" w:lineRule="auto"/>
      <w:ind w:left="283"/>
    </w:pPr>
  </w:style>
  <w:style w:type="character" w:customStyle="1" w:styleId="BodyTextIndent2Char">
    <w:name w:val="Body Text Indent 2 Char"/>
    <w:basedOn w:val="DefaultParagraphFont"/>
    <w:link w:val="BodyTextIndent2"/>
    <w:rsid w:val="00D85D73"/>
    <w:rPr>
      <w:rFonts w:eastAsia="Times New Roman" w:cs="Times New Roman"/>
      <w:szCs w:val="20"/>
      <w:lang w:eastAsia="en-AU"/>
    </w:rPr>
  </w:style>
  <w:style w:type="character" w:customStyle="1" w:styleId="BoldandItalic">
    <w:name w:val="Bold and Italic"/>
    <w:basedOn w:val="DefaultParagraphFont"/>
    <w:rsid w:val="00477DED"/>
    <w:rPr>
      <w:rFonts w:ascii="Calibri" w:hAnsi="Calibri"/>
      <w:b/>
      <w:i/>
    </w:rPr>
  </w:style>
  <w:style w:type="paragraph" w:styleId="Caption">
    <w:name w:val="caption"/>
    <w:basedOn w:val="Normal"/>
    <w:next w:val="Normal"/>
    <w:qFormat/>
    <w:rsid w:val="00477DED"/>
    <w:rPr>
      <w:b/>
      <w:bCs/>
    </w:rPr>
  </w:style>
  <w:style w:type="character" w:styleId="CommentReference">
    <w:name w:val="annotation reference"/>
    <w:basedOn w:val="DefaultParagraphFont"/>
    <w:semiHidden/>
    <w:rsid w:val="00477DED"/>
    <w:rPr>
      <w:sz w:val="16"/>
      <w:szCs w:val="16"/>
    </w:rPr>
  </w:style>
  <w:style w:type="paragraph" w:styleId="CommentText">
    <w:name w:val="annotation text"/>
    <w:basedOn w:val="Normal"/>
    <w:link w:val="CommentTextChar"/>
    <w:semiHidden/>
    <w:rsid w:val="00477DED"/>
  </w:style>
  <w:style w:type="character" w:customStyle="1" w:styleId="CommentTextChar">
    <w:name w:val="Comment Text Char"/>
    <w:basedOn w:val="DefaultParagraphFont"/>
    <w:link w:val="CommentText"/>
    <w:semiHidden/>
    <w:rsid w:val="00D85D73"/>
    <w:rPr>
      <w:rFonts w:eastAsia="Times New Roman" w:cs="Times New Roman"/>
      <w:color w:val="000000"/>
      <w:szCs w:val="20"/>
      <w:lang w:eastAsia="en-AU"/>
    </w:rPr>
  </w:style>
  <w:style w:type="paragraph" w:styleId="CommentSubject">
    <w:name w:val="annotation subject"/>
    <w:basedOn w:val="CommentText"/>
    <w:next w:val="CommentText"/>
    <w:link w:val="CommentSubjectChar"/>
    <w:semiHidden/>
    <w:rsid w:val="00477DED"/>
    <w:rPr>
      <w:b/>
      <w:bCs/>
    </w:rPr>
  </w:style>
  <w:style w:type="character" w:customStyle="1" w:styleId="CommentSubjectChar">
    <w:name w:val="Comment Subject Char"/>
    <w:basedOn w:val="CommentTextChar"/>
    <w:link w:val="CommentSubject"/>
    <w:semiHidden/>
    <w:rsid w:val="00D85D73"/>
    <w:rPr>
      <w:rFonts w:eastAsia="Times New Roman" w:cs="Times New Roman"/>
      <w:b/>
      <w:bCs/>
      <w:color w:val="000000"/>
      <w:szCs w:val="20"/>
      <w:lang w:eastAsia="en-AU"/>
    </w:rPr>
  </w:style>
  <w:style w:type="paragraph" w:styleId="DocumentMap">
    <w:name w:val="Document Map"/>
    <w:basedOn w:val="Normal"/>
    <w:link w:val="DocumentMapChar"/>
    <w:semiHidden/>
    <w:rsid w:val="00477DED"/>
    <w:pPr>
      <w:shd w:val="clear" w:color="auto" w:fill="000080"/>
    </w:pPr>
    <w:rPr>
      <w:rFonts w:ascii="Tahoma" w:hAnsi="Tahoma" w:cs="Tahoma"/>
    </w:rPr>
  </w:style>
  <w:style w:type="character" w:customStyle="1" w:styleId="DocumentMapChar">
    <w:name w:val="Document Map Char"/>
    <w:basedOn w:val="DefaultParagraphFont"/>
    <w:link w:val="DocumentMap"/>
    <w:semiHidden/>
    <w:rsid w:val="00D85D73"/>
    <w:rPr>
      <w:rFonts w:ascii="Tahoma" w:eastAsia="Times New Roman" w:hAnsi="Tahoma" w:cs="Tahoma"/>
      <w:color w:val="000000"/>
      <w:szCs w:val="20"/>
      <w:shd w:val="clear" w:color="auto" w:fill="000080"/>
      <w:lang w:eastAsia="en-AU"/>
    </w:rPr>
  </w:style>
  <w:style w:type="character" w:styleId="EndnoteReference">
    <w:name w:val="endnote reference"/>
    <w:basedOn w:val="DefaultParagraphFont"/>
    <w:semiHidden/>
    <w:rsid w:val="00477DED"/>
    <w:rPr>
      <w:vertAlign w:val="superscript"/>
    </w:rPr>
  </w:style>
  <w:style w:type="paragraph" w:styleId="EndnoteText">
    <w:name w:val="endnote text"/>
    <w:basedOn w:val="Normal"/>
    <w:link w:val="EndnoteTextChar"/>
    <w:semiHidden/>
    <w:rsid w:val="00477DED"/>
  </w:style>
  <w:style w:type="character" w:customStyle="1" w:styleId="EndnoteTextChar">
    <w:name w:val="Endnote Text Char"/>
    <w:basedOn w:val="DefaultParagraphFont"/>
    <w:link w:val="EndnoteText"/>
    <w:semiHidden/>
    <w:rsid w:val="00D85D73"/>
    <w:rPr>
      <w:rFonts w:eastAsia="Times New Roman" w:cs="Times New Roman"/>
      <w:color w:val="000000"/>
      <w:szCs w:val="20"/>
      <w:lang w:eastAsia="en-AU"/>
    </w:rPr>
  </w:style>
  <w:style w:type="character" w:styleId="FollowedHyperlink">
    <w:name w:val="FollowedHyperlink"/>
    <w:basedOn w:val="DefaultParagraphFont"/>
    <w:rsid w:val="00477DED"/>
    <w:rPr>
      <w:color w:val="auto"/>
      <w:u w:val="none"/>
    </w:rPr>
  </w:style>
  <w:style w:type="paragraph" w:styleId="Index1">
    <w:name w:val="index 1"/>
    <w:basedOn w:val="Normal"/>
    <w:next w:val="Normal"/>
    <w:autoRedefine/>
    <w:semiHidden/>
    <w:rsid w:val="00477DED"/>
    <w:pPr>
      <w:ind w:left="200" w:hanging="200"/>
    </w:pPr>
  </w:style>
  <w:style w:type="paragraph" w:styleId="Index2">
    <w:name w:val="index 2"/>
    <w:basedOn w:val="Normal"/>
    <w:next w:val="Normal"/>
    <w:autoRedefine/>
    <w:semiHidden/>
    <w:rsid w:val="00477DED"/>
    <w:pPr>
      <w:ind w:left="400" w:hanging="200"/>
    </w:pPr>
  </w:style>
  <w:style w:type="paragraph" w:styleId="Index3">
    <w:name w:val="index 3"/>
    <w:basedOn w:val="Normal"/>
    <w:next w:val="Normal"/>
    <w:autoRedefine/>
    <w:semiHidden/>
    <w:rsid w:val="00477DED"/>
    <w:pPr>
      <w:ind w:left="600" w:hanging="200"/>
    </w:pPr>
  </w:style>
  <w:style w:type="paragraph" w:styleId="Index4">
    <w:name w:val="index 4"/>
    <w:basedOn w:val="Normal"/>
    <w:next w:val="Normal"/>
    <w:autoRedefine/>
    <w:semiHidden/>
    <w:rsid w:val="00477DED"/>
    <w:pPr>
      <w:ind w:left="800" w:hanging="200"/>
    </w:pPr>
  </w:style>
  <w:style w:type="paragraph" w:styleId="Index5">
    <w:name w:val="index 5"/>
    <w:basedOn w:val="Normal"/>
    <w:next w:val="Normal"/>
    <w:autoRedefine/>
    <w:semiHidden/>
    <w:rsid w:val="00477DED"/>
    <w:pPr>
      <w:ind w:left="1000" w:hanging="200"/>
    </w:pPr>
  </w:style>
  <w:style w:type="paragraph" w:styleId="Index6">
    <w:name w:val="index 6"/>
    <w:basedOn w:val="Normal"/>
    <w:next w:val="Normal"/>
    <w:autoRedefine/>
    <w:semiHidden/>
    <w:rsid w:val="00477DED"/>
    <w:pPr>
      <w:ind w:left="1200" w:hanging="200"/>
    </w:pPr>
  </w:style>
  <w:style w:type="paragraph" w:styleId="Index7">
    <w:name w:val="index 7"/>
    <w:basedOn w:val="Normal"/>
    <w:next w:val="Normal"/>
    <w:autoRedefine/>
    <w:semiHidden/>
    <w:rsid w:val="00477DED"/>
    <w:pPr>
      <w:ind w:left="1400" w:hanging="200"/>
    </w:pPr>
  </w:style>
  <w:style w:type="paragraph" w:styleId="Index8">
    <w:name w:val="index 8"/>
    <w:basedOn w:val="Normal"/>
    <w:next w:val="Normal"/>
    <w:autoRedefine/>
    <w:semiHidden/>
    <w:rsid w:val="00477DED"/>
    <w:pPr>
      <w:ind w:left="1600" w:hanging="200"/>
    </w:pPr>
  </w:style>
  <w:style w:type="paragraph" w:styleId="Index9">
    <w:name w:val="index 9"/>
    <w:basedOn w:val="Normal"/>
    <w:next w:val="Normal"/>
    <w:autoRedefine/>
    <w:semiHidden/>
    <w:rsid w:val="00477DED"/>
    <w:pPr>
      <w:ind w:left="1800" w:hanging="200"/>
    </w:pPr>
  </w:style>
  <w:style w:type="paragraph" w:styleId="IndexHeading">
    <w:name w:val="index heading"/>
    <w:basedOn w:val="Normal"/>
    <w:next w:val="Index1"/>
    <w:semiHidden/>
    <w:rsid w:val="00477DED"/>
    <w:rPr>
      <w:rFonts w:cs="Arial"/>
      <w:b/>
      <w:bCs/>
    </w:rPr>
  </w:style>
  <w:style w:type="paragraph" w:styleId="MacroText">
    <w:name w:val="macro"/>
    <w:link w:val="MacroTextChar"/>
    <w:semiHidden/>
    <w:rsid w:val="00477DED"/>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D85D73"/>
    <w:rPr>
      <w:rFonts w:ascii="Courier New" w:eastAsia="Times New Roman" w:hAnsi="Courier New" w:cs="Courier New"/>
      <w:color w:val="000000"/>
      <w:sz w:val="20"/>
      <w:szCs w:val="20"/>
      <w:lang w:eastAsia="en-AU"/>
    </w:rPr>
  </w:style>
  <w:style w:type="numbering" w:customStyle="1" w:styleId="OutlineList">
    <w:name w:val="OutlineList"/>
    <w:uiPriority w:val="99"/>
    <w:rsid w:val="00D85D73"/>
    <w:pPr>
      <w:numPr>
        <w:numId w:val="11"/>
      </w:numPr>
    </w:pPr>
  </w:style>
  <w:style w:type="paragraph" w:customStyle="1" w:styleId="PictureCentred">
    <w:name w:val="Picture Centred"/>
    <w:basedOn w:val="Normal"/>
    <w:rsid w:val="00D85D73"/>
    <w:pPr>
      <w:spacing w:before="120" w:line="240" w:lineRule="atLeast"/>
      <w:jc w:val="center"/>
    </w:pPr>
  </w:style>
  <w:style w:type="paragraph" w:customStyle="1" w:styleId="PictureLeft">
    <w:name w:val="Picture Left"/>
    <w:basedOn w:val="PictureCentred"/>
    <w:rsid w:val="00D85D73"/>
    <w:pPr>
      <w:jc w:val="left"/>
    </w:pPr>
  </w:style>
  <w:style w:type="paragraph" w:customStyle="1" w:styleId="PictureIndent">
    <w:name w:val="Picture Indent"/>
    <w:basedOn w:val="PictureLeft"/>
    <w:rsid w:val="00D85D73"/>
    <w:pPr>
      <w:ind w:left="284"/>
    </w:pPr>
  </w:style>
  <w:style w:type="paragraph" w:styleId="TableofAuthorities">
    <w:name w:val="table of authorities"/>
    <w:basedOn w:val="Normal"/>
    <w:next w:val="Normal"/>
    <w:rsid w:val="00477DED"/>
    <w:pPr>
      <w:ind w:left="200" w:hanging="200"/>
    </w:pPr>
  </w:style>
  <w:style w:type="paragraph" w:styleId="TableofFigures">
    <w:name w:val="table of figures"/>
    <w:basedOn w:val="Normal"/>
    <w:next w:val="Normal"/>
    <w:rsid w:val="00477DED"/>
  </w:style>
  <w:style w:type="paragraph" w:styleId="TOAHeading">
    <w:name w:val="toa heading"/>
    <w:basedOn w:val="Normal"/>
    <w:next w:val="Normal"/>
    <w:semiHidden/>
    <w:rsid w:val="00477DED"/>
    <w:pPr>
      <w:spacing w:before="120"/>
    </w:pPr>
    <w:rPr>
      <w:rFonts w:cs="Arial"/>
      <w:b/>
      <w:bCs/>
      <w:sz w:val="24"/>
      <w:szCs w:val="24"/>
    </w:rPr>
  </w:style>
  <w:style w:type="paragraph" w:styleId="TOC5">
    <w:name w:val="toc 5"/>
    <w:basedOn w:val="Normal"/>
    <w:next w:val="Normal"/>
    <w:autoRedefine/>
    <w:semiHidden/>
    <w:rsid w:val="00477DED"/>
    <w:pPr>
      <w:ind w:left="800"/>
    </w:pPr>
  </w:style>
  <w:style w:type="paragraph" w:styleId="TOC6">
    <w:name w:val="toc 6"/>
    <w:basedOn w:val="Normal"/>
    <w:next w:val="Normal"/>
    <w:autoRedefine/>
    <w:semiHidden/>
    <w:rsid w:val="00477DED"/>
    <w:pPr>
      <w:ind w:left="1000"/>
    </w:pPr>
  </w:style>
  <w:style w:type="paragraph" w:styleId="TOC7">
    <w:name w:val="toc 7"/>
    <w:basedOn w:val="Normal"/>
    <w:next w:val="Normal"/>
    <w:autoRedefine/>
    <w:semiHidden/>
    <w:rsid w:val="00477DED"/>
    <w:pPr>
      <w:ind w:left="1200"/>
    </w:pPr>
  </w:style>
  <w:style w:type="paragraph" w:styleId="TOC8">
    <w:name w:val="toc 8"/>
    <w:basedOn w:val="Normal"/>
    <w:next w:val="Normal"/>
    <w:autoRedefine/>
    <w:semiHidden/>
    <w:rsid w:val="00477DED"/>
    <w:pPr>
      <w:ind w:left="1400"/>
    </w:pPr>
  </w:style>
  <w:style w:type="paragraph" w:styleId="TOC9">
    <w:name w:val="toc 9"/>
    <w:basedOn w:val="Normal"/>
    <w:next w:val="Normal"/>
    <w:autoRedefine/>
    <w:semiHidden/>
    <w:rsid w:val="00477DED"/>
    <w:pPr>
      <w:ind w:left="1600"/>
    </w:pPr>
  </w:style>
  <w:style w:type="numbering" w:customStyle="1" w:styleId="BulletedList">
    <w:name w:val="Bulleted List"/>
    <w:uiPriority w:val="99"/>
    <w:rsid w:val="00D85D73"/>
    <w:pPr>
      <w:numPr>
        <w:numId w:val="17"/>
      </w:numPr>
    </w:pPr>
  </w:style>
  <w:style w:type="numbering" w:customStyle="1" w:styleId="BoxBulletedList">
    <w:name w:val="Box Bulleted List"/>
    <w:uiPriority w:val="99"/>
    <w:rsid w:val="00D85D73"/>
    <w:pPr>
      <w:numPr>
        <w:numId w:val="8"/>
      </w:numPr>
    </w:pPr>
  </w:style>
  <w:style w:type="numbering" w:customStyle="1" w:styleId="AlphaParagraphList">
    <w:name w:val="Alpha Paragraph List"/>
    <w:uiPriority w:val="99"/>
    <w:rsid w:val="00D85D73"/>
    <w:pPr>
      <w:numPr>
        <w:numId w:val="9"/>
      </w:numPr>
    </w:pPr>
  </w:style>
  <w:style w:type="numbering" w:customStyle="1" w:styleId="OneLevelList">
    <w:name w:val="OneLevelList"/>
    <w:uiPriority w:val="99"/>
    <w:rsid w:val="00D85D73"/>
    <w:pPr>
      <w:numPr>
        <w:numId w:val="10"/>
      </w:numPr>
    </w:pPr>
  </w:style>
  <w:style w:type="numbering" w:customStyle="1" w:styleId="RecommendationBulletList">
    <w:name w:val="RecommendationBulletList"/>
    <w:uiPriority w:val="99"/>
    <w:rsid w:val="00D85D73"/>
    <w:pPr>
      <w:numPr>
        <w:numId w:val="12"/>
      </w:numPr>
    </w:pPr>
  </w:style>
  <w:style w:type="numbering" w:customStyle="1" w:styleId="RomanNumeralList">
    <w:name w:val="RomanNumeralList"/>
    <w:uiPriority w:val="99"/>
    <w:rsid w:val="00D85D73"/>
    <w:pPr>
      <w:numPr>
        <w:numId w:val="13"/>
      </w:numPr>
    </w:pPr>
  </w:style>
  <w:style w:type="numbering" w:customStyle="1" w:styleId="ChartandTableFootnoteAlphaList">
    <w:name w:val="ChartandTableFootnoteAlphaList"/>
    <w:uiPriority w:val="99"/>
    <w:rsid w:val="00D85D73"/>
    <w:pPr>
      <w:numPr>
        <w:numId w:val="14"/>
      </w:numPr>
    </w:pPr>
  </w:style>
  <w:style w:type="paragraph" w:customStyle="1" w:styleId="TableTextBullet">
    <w:name w:val="Table Text Bullet"/>
    <w:basedOn w:val="Normal"/>
    <w:rsid w:val="00D85D73"/>
    <w:pPr>
      <w:numPr>
        <w:numId w:val="15"/>
      </w:numPr>
      <w:spacing w:line="260" w:lineRule="exact"/>
    </w:pPr>
  </w:style>
  <w:style w:type="numbering" w:customStyle="1" w:styleId="TableTextBulletList">
    <w:name w:val="Table Text Bullet List"/>
    <w:uiPriority w:val="99"/>
    <w:rsid w:val="00D85D73"/>
    <w:pPr>
      <w:numPr>
        <w:numId w:val="15"/>
      </w:numPr>
    </w:pPr>
  </w:style>
  <w:style w:type="paragraph" w:customStyle="1" w:styleId="SecurityClassificationHeader">
    <w:name w:val="Security Classification Header"/>
    <w:link w:val="SecurityClassificationHeaderChar"/>
    <w:rsid w:val="00D85D73"/>
    <w:pPr>
      <w:spacing w:after="240"/>
      <w:jc w:val="center"/>
    </w:pPr>
    <w:rPr>
      <w:rFonts w:ascii="Times New Roman" w:eastAsia="Times New Roman" w:hAnsi="Times New Roman" w:cs="Times New Roman"/>
      <w:b/>
      <w:caps/>
      <w:color w:val="4F81BD" w:themeColor="accent1"/>
      <w:sz w:val="24"/>
      <w:szCs w:val="20"/>
      <w:lang w:eastAsia="en-AU"/>
    </w:rPr>
  </w:style>
  <w:style w:type="character" w:customStyle="1" w:styleId="SecurityClassificationHeaderChar">
    <w:name w:val="Security Classification Header Char"/>
    <w:basedOn w:val="HeaderChar"/>
    <w:link w:val="SecurityClassificationHeader"/>
    <w:rsid w:val="00D85D73"/>
    <w:rPr>
      <w:rFonts w:ascii="Times New Roman" w:eastAsia="Times New Roman" w:hAnsi="Times New Roman" w:cs="Times New Roman"/>
      <w:b/>
      <w:caps/>
      <w:color w:val="4F81BD" w:themeColor="accent1"/>
      <w:sz w:val="24"/>
      <w:szCs w:val="20"/>
      <w:lang w:eastAsia="en-AU"/>
    </w:rPr>
  </w:style>
  <w:style w:type="paragraph" w:customStyle="1" w:styleId="SecurityClassificationFooter">
    <w:name w:val="Security Classification Footer"/>
    <w:link w:val="SecurityClassificationFooterChar"/>
    <w:rsid w:val="00477DED"/>
    <w:pPr>
      <w:spacing w:before="60" w:after="240"/>
      <w:jc w:val="center"/>
    </w:pPr>
    <w:rPr>
      <w:rFonts w:ascii="Times New Roman" w:eastAsia="Times New Roman" w:hAnsi="Times New Roman" w:cs="Times New Roman"/>
      <w:b/>
      <w:caps/>
      <w:color w:val="342E82"/>
      <w:sz w:val="24"/>
      <w:szCs w:val="20"/>
      <w:lang w:eastAsia="en-AU"/>
    </w:rPr>
  </w:style>
  <w:style w:type="character" w:customStyle="1" w:styleId="SecurityClassificationFooterChar">
    <w:name w:val="Security Classification Footer Char"/>
    <w:link w:val="SecurityClassificationFooter"/>
    <w:rsid w:val="00477DED"/>
    <w:rPr>
      <w:rFonts w:ascii="Times New Roman" w:eastAsia="Times New Roman" w:hAnsi="Times New Roman" w:cs="Times New Roman"/>
      <w:b/>
      <w:caps/>
      <w:color w:val="342E82"/>
      <w:sz w:val="24"/>
      <w:szCs w:val="20"/>
      <w:lang w:eastAsia="en-AU"/>
    </w:rPr>
  </w:style>
  <w:style w:type="character" w:customStyle="1" w:styleId="Italic0">
    <w:name w:val="Italic"/>
    <w:basedOn w:val="DefaultParagraphFont"/>
    <w:rsid w:val="00D85D73"/>
    <w:rPr>
      <w:i/>
    </w:rPr>
  </w:style>
  <w:style w:type="character" w:customStyle="1" w:styleId="BulletChar">
    <w:name w:val="Bullet Char"/>
    <w:aliases w:val="b Char"/>
    <w:basedOn w:val="DefaultParagraphFont"/>
    <w:link w:val="Bullet"/>
    <w:rsid w:val="00FF537F"/>
    <w:rPr>
      <w:rFonts w:eastAsia="Times New Roman" w:cs="Times New Roman"/>
      <w:color w:val="000000"/>
      <w:szCs w:val="20"/>
      <w:lang w:eastAsia="en-AU"/>
    </w:rPr>
  </w:style>
  <w:style w:type="paragraph" w:customStyle="1" w:styleId="Pa15">
    <w:name w:val="Pa15"/>
    <w:basedOn w:val="Normal"/>
    <w:next w:val="Normal"/>
    <w:uiPriority w:val="99"/>
    <w:rsid w:val="00D85D73"/>
    <w:pPr>
      <w:autoSpaceDE w:val="0"/>
      <w:autoSpaceDN w:val="0"/>
      <w:adjustRightInd w:val="0"/>
      <w:spacing w:line="201" w:lineRule="atLeast"/>
    </w:pPr>
    <w:rPr>
      <w:rFonts w:ascii="Georgia" w:hAnsi="Georgia"/>
      <w:sz w:val="24"/>
      <w:szCs w:val="24"/>
    </w:rPr>
  </w:style>
  <w:style w:type="character" w:styleId="Emphasis">
    <w:name w:val="Emphasis"/>
    <w:basedOn w:val="DefaultParagraphFont"/>
    <w:uiPriority w:val="20"/>
    <w:qFormat/>
    <w:rsid w:val="00D85D73"/>
    <w:rPr>
      <w:i/>
      <w:iCs/>
    </w:rPr>
  </w:style>
  <w:style w:type="paragraph" w:styleId="ListParagraph">
    <w:name w:val="List Paragraph"/>
    <w:basedOn w:val="Normal"/>
    <w:uiPriority w:val="99"/>
    <w:qFormat/>
    <w:rsid w:val="00D85D73"/>
    <w:pPr>
      <w:spacing w:after="200" w:line="276" w:lineRule="auto"/>
      <w:ind w:left="720"/>
      <w:contextualSpacing/>
    </w:pPr>
    <w:rPr>
      <w:rFonts w:cstheme="minorBidi"/>
      <w:lang w:val="fr-FR"/>
    </w:rPr>
  </w:style>
  <w:style w:type="paragraph" w:styleId="TOCHeading">
    <w:name w:val="TOC Heading"/>
    <w:basedOn w:val="Heading1"/>
    <w:next w:val="Normal"/>
    <w:uiPriority w:val="39"/>
    <w:semiHidden/>
    <w:unhideWhenUsed/>
    <w:qFormat/>
    <w:rsid w:val="00D85D73"/>
    <w:pPr>
      <w:keepLines/>
      <w:spacing w:before="480" w:after="0" w:line="276" w:lineRule="auto"/>
      <w:outlineLvl w:val="9"/>
    </w:pPr>
    <w:rPr>
      <w:rFonts w:eastAsiaTheme="majorEastAsia" w:cstheme="majorBidi"/>
      <w:b w:val="0"/>
      <w:color w:val="365F91" w:themeColor="accent1" w:themeShade="BF"/>
      <w:kern w:val="0"/>
      <w:sz w:val="28"/>
      <w:szCs w:val="28"/>
      <w:lang w:val="en-US" w:eastAsia="ja-JP"/>
    </w:rPr>
  </w:style>
  <w:style w:type="paragraph" w:customStyle="1" w:styleId="Pa2">
    <w:name w:val="Pa2"/>
    <w:basedOn w:val="Default"/>
    <w:next w:val="Default"/>
    <w:uiPriority w:val="99"/>
    <w:rsid w:val="00D85D73"/>
    <w:pPr>
      <w:spacing w:line="201" w:lineRule="atLeast"/>
    </w:pPr>
    <w:rPr>
      <w:rFonts w:ascii="Calibri" w:hAnsi="Calibri" w:cs="Times New Roman"/>
      <w:color w:val="auto"/>
    </w:rPr>
  </w:style>
  <w:style w:type="paragraph" w:styleId="Revision">
    <w:name w:val="Revision"/>
    <w:hidden/>
    <w:uiPriority w:val="99"/>
    <w:semiHidden/>
    <w:rsid w:val="00D85D73"/>
    <w:pPr>
      <w:spacing w:after="0" w:line="240" w:lineRule="auto"/>
    </w:pPr>
    <w:rPr>
      <w:rFonts w:eastAsia="Times New Roman" w:cs="Times New Roman"/>
      <w:szCs w:val="20"/>
      <w:lang w:eastAsia="en-AU"/>
    </w:rPr>
  </w:style>
  <w:style w:type="character" w:customStyle="1" w:styleId="DashChar">
    <w:name w:val="Dash Char"/>
    <w:basedOn w:val="DefaultParagraphFont"/>
    <w:link w:val="Dash"/>
    <w:locked/>
    <w:rsid w:val="00FF537F"/>
    <w:rPr>
      <w:rFonts w:eastAsia="Times New Roman" w:cs="Times New Roman"/>
      <w:color w:val="000000"/>
      <w:szCs w:val="20"/>
      <w:lang w:eastAsia="en-AU"/>
    </w:rPr>
  </w:style>
  <w:style w:type="paragraph" w:customStyle="1" w:styleId="Heading1NotNumbered">
    <w:name w:val="Heading 1 Not Numbered"/>
    <w:basedOn w:val="HeadingBase"/>
    <w:next w:val="Normal"/>
    <w:rsid w:val="00477DED"/>
    <w:pPr>
      <w:spacing w:before="720" w:after="360"/>
    </w:pPr>
    <w:rPr>
      <w:smallCaps/>
      <w:sz w:val="36"/>
      <w:szCs w:val="36"/>
    </w:rPr>
  </w:style>
  <w:style w:type="paragraph" w:customStyle="1" w:styleId="Heading2NotNumbered">
    <w:name w:val="Heading 2 Not Numbered"/>
    <w:basedOn w:val="HeadingBase"/>
    <w:next w:val="Normal"/>
    <w:rsid w:val="00477DED"/>
    <w:pPr>
      <w:spacing w:before="360" w:after="180"/>
    </w:pPr>
    <w:rPr>
      <w:smallCaps/>
      <w:sz w:val="28"/>
      <w:szCs w:val="28"/>
    </w:rPr>
  </w:style>
  <w:style w:type="paragraph" w:customStyle="1" w:styleId="Heading3NotNumbered">
    <w:name w:val="Heading 3 Not Numbered"/>
    <w:basedOn w:val="HeadingBase"/>
    <w:next w:val="Normal"/>
    <w:rsid w:val="00477DED"/>
    <w:pPr>
      <w:spacing w:before="240" w:after="120"/>
    </w:pPr>
    <w:rPr>
      <w:sz w:val="28"/>
      <w:szCs w:val="26"/>
    </w:rPr>
  </w:style>
  <w:style w:type="paragraph" w:customStyle="1" w:styleId="Heading4NotNumbered">
    <w:name w:val="Heading 4 Not Numbered"/>
    <w:basedOn w:val="HeadingBase"/>
    <w:rsid w:val="00477DED"/>
    <w:pPr>
      <w:spacing w:before="120" w:after="120"/>
      <w:outlineLvl w:val="3"/>
    </w:pPr>
    <w:rPr>
      <w:b/>
      <w:sz w:val="26"/>
    </w:rPr>
  </w:style>
  <w:style w:type="paragraph" w:customStyle="1" w:styleId="Heading5NotNumbered">
    <w:name w:val="Heading 5 Not Numbered"/>
    <w:basedOn w:val="HeadingBase"/>
    <w:rsid w:val="00477DED"/>
    <w:pPr>
      <w:spacing w:after="120"/>
      <w:outlineLvl w:val="4"/>
    </w:pPr>
    <w:rPr>
      <w:b/>
      <w:sz w:val="24"/>
    </w:rPr>
  </w:style>
  <w:style w:type="table" w:customStyle="1" w:styleId="OptionsTable">
    <w:name w:val="Options Table"/>
    <w:basedOn w:val="TableNormal"/>
    <w:rsid w:val="00477DED"/>
    <w:pPr>
      <w:spacing w:after="0" w:line="240" w:lineRule="auto"/>
    </w:pPr>
    <w:rPr>
      <w:rFonts w:ascii="Times New Roman" w:eastAsia="Times New Roman" w:hAnsi="Times New Roman" w:cs="Times New Roman"/>
      <w:sz w:val="20"/>
      <w:szCs w:val="20"/>
      <w:lang w:eastAsia="en-AU"/>
    </w:rPr>
    <w:tblPr>
      <w:tblStyleRowBandSize w:val="1"/>
      <w:tblBorders>
        <w:insideH w:val="single" w:sz="12" w:space="0" w:color="FFFFFF"/>
        <w:insideV w:val="single" w:sz="12" w:space="0" w:color="FFFFFF"/>
      </w:tblBorders>
    </w:tblPr>
    <w:tcPr>
      <w:shd w:val="clear" w:color="auto" w:fill="FFFFFF"/>
    </w:tcPr>
    <w:tblStylePr w:type="firstRow">
      <w:pPr>
        <w:wordWrap/>
        <w:spacing w:beforeLines="0" w:beforeAutospacing="0" w:afterLines="0" w:afterAutospacing="0" w:line="280" w:lineRule="exact"/>
        <w:contextualSpacing w:val="0"/>
      </w:pPr>
      <w:rPr>
        <w:rFonts w:ascii="Arial" w:hAnsi="Arial"/>
        <w:b/>
        <w:i w:val="0"/>
        <w:color w:val="342E82"/>
        <w:sz w:val="22"/>
      </w:rPr>
      <w:tblPr/>
      <w:tcPr>
        <w:shd w:val="clear" w:color="auto" w:fill="B3B3B3"/>
      </w:tcPr>
    </w:tblStylePr>
    <w:tblStylePr w:type="band1Horz">
      <w:pPr>
        <w:wordWrap/>
        <w:spacing w:beforeLines="0" w:beforeAutospacing="0" w:afterLines="0" w:afterAutospacing="0" w:line="280" w:lineRule="exact"/>
        <w:contextualSpacing w:val="0"/>
      </w:pPr>
      <w:rPr>
        <w:rFonts w:ascii="Arial" w:hAnsi="Arial"/>
        <w:sz w:val="22"/>
      </w:rPr>
      <w:tblPr/>
      <w:tcPr>
        <w:shd w:val="clear" w:color="auto" w:fill="E6E6E6"/>
      </w:tcPr>
    </w:tblStylePr>
    <w:tblStylePr w:type="band2Horz">
      <w:pPr>
        <w:wordWrap/>
        <w:spacing w:beforeLines="0" w:beforeAutospacing="0" w:afterLines="0" w:afterAutospacing="0" w:line="280" w:lineRule="exact"/>
        <w:contextualSpacing w:val="0"/>
      </w:pPr>
      <w:rPr>
        <w:rFonts w:ascii="Arial" w:hAnsi="Arial"/>
        <w:sz w:val="22"/>
      </w:rPr>
      <w:tblPr/>
      <w:tcPr>
        <w:shd w:val="clear" w:color="auto" w:fill="CCCCCC"/>
      </w:tcPr>
    </w:tblStylePr>
  </w:style>
  <w:style w:type="paragraph" w:customStyle="1" w:styleId="OutlineNumbered4">
    <w:name w:val="Outline Numbered 4"/>
    <w:basedOn w:val="Normal"/>
    <w:rsid w:val="00477DED"/>
  </w:style>
  <w:style w:type="paragraph" w:customStyle="1" w:styleId="OutlineNumbered5">
    <w:name w:val="Outline Numbered 5"/>
    <w:basedOn w:val="Normal"/>
    <w:rsid w:val="00477DED"/>
    <w:pPr>
      <w:numPr>
        <w:ilvl w:val="4"/>
        <w:numId w:val="19"/>
      </w:numPr>
    </w:pPr>
  </w:style>
  <w:style w:type="paragraph" w:customStyle="1" w:styleId="Crest">
    <w:name w:val="Crest"/>
    <w:basedOn w:val="Header"/>
    <w:rsid w:val="00477DED"/>
    <w:pPr>
      <w:spacing w:after="480"/>
      <w:jc w:val="right"/>
    </w:pPr>
  </w:style>
  <w:style w:type="character" w:customStyle="1" w:styleId="SingleParagraphChar">
    <w:name w:val="Single Paragraph Char"/>
    <w:basedOn w:val="DefaultParagraphFont"/>
    <w:link w:val="SingleParagraph"/>
    <w:rsid w:val="00477DED"/>
    <w:rPr>
      <w:rFonts w:eastAsia="Times New Roman" w:cs="Times New Roman"/>
      <w:color w:val="000000"/>
      <w:szCs w:val="20"/>
      <w:lang w:eastAsia="en-AU"/>
    </w:rPr>
  </w:style>
  <w:style w:type="character" w:customStyle="1" w:styleId="A5">
    <w:name w:val="A5"/>
    <w:uiPriority w:val="99"/>
    <w:rsid w:val="00477DED"/>
    <w:rPr>
      <w:rFonts w:cs="Swiss 721 B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DED"/>
    <w:pPr>
      <w:spacing w:after="240" w:line="280" w:lineRule="exact"/>
      <w:jc w:val="both"/>
    </w:pPr>
    <w:rPr>
      <w:rFonts w:eastAsia="Times New Roman" w:cs="Times New Roman"/>
      <w:color w:val="000000"/>
      <w:szCs w:val="20"/>
      <w:lang w:eastAsia="en-AU"/>
    </w:rPr>
  </w:style>
  <w:style w:type="paragraph" w:styleId="Heading1">
    <w:name w:val="heading 1"/>
    <w:basedOn w:val="HeadingBase"/>
    <w:next w:val="Normal"/>
    <w:link w:val="Heading1Char"/>
    <w:qFormat/>
    <w:rsid w:val="00FF537F"/>
    <w:pPr>
      <w:spacing w:after="360"/>
      <w:outlineLvl w:val="0"/>
    </w:pPr>
    <w:rPr>
      <w:rFonts w:cs="Arial"/>
      <w:b/>
      <w:bCs/>
      <w:smallCaps/>
      <w:kern w:val="32"/>
      <w:sz w:val="36"/>
      <w:szCs w:val="36"/>
    </w:rPr>
  </w:style>
  <w:style w:type="paragraph" w:styleId="Heading2">
    <w:name w:val="heading 2"/>
    <w:basedOn w:val="HeadingBase"/>
    <w:next w:val="Normal"/>
    <w:link w:val="Heading2Char"/>
    <w:qFormat/>
    <w:rsid w:val="00FF537F"/>
    <w:pPr>
      <w:spacing w:before="360" w:after="180"/>
      <w:outlineLvl w:val="1"/>
    </w:pPr>
    <w:rPr>
      <w:rFonts w:cs="Arial"/>
      <w:b/>
      <w:bCs/>
      <w:iCs/>
      <w:smallCaps/>
      <w:sz w:val="32"/>
      <w:szCs w:val="28"/>
    </w:rPr>
  </w:style>
  <w:style w:type="paragraph" w:styleId="Heading3">
    <w:name w:val="heading 3"/>
    <w:basedOn w:val="HeadingBase"/>
    <w:next w:val="Normal"/>
    <w:link w:val="Heading3Char"/>
    <w:qFormat/>
    <w:rsid w:val="00FF537F"/>
    <w:pPr>
      <w:spacing w:before="240" w:after="120"/>
      <w:outlineLvl w:val="2"/>
    </w:pPr>
    <w:rPr>
      <w:rFonts w:cs="Arial"/>
      <w:b/>
      <w:bCs/>
      <w:sz w:val="28"/>
      <w:szCs w:val="26"/>
    </w:rPr>
  </w:style>
  <w:style w:type="paragraph" w:styleId="Heading4">
    <w:name w:val="heading 4"/>
    <w:basedOn w:val="HeadingBase"/>
    <w:next w:val="Normal"/>
    <w:link w:val="Heading4Char"/>
    <w:qFormat/>
    <w:rsid w:val="00FF537F"/>
    <w:pPr>
      <w:spacing w:before="180" w:after="120"/>
      <w:outlineLvl w:val="3"/>
    </w:pPr>
    <w:rPr>
      <w:bCs/>
      <w:sz w:val="24"/>
      <w:szCs w:val="22"/>
    </w:rPr>
  </w:style>
  <w:style w:type="paragraph" w:styleId="Heading5">
    <w:name w:val="heading 5"/>
    <w:basedOn w:val="HeadingBase"/>
    <w:next w:val="Normal"/>
    <w:link w:val="Heading5Char"/>
    <w:qFormat/>
    <w:rsid w:val="00477DED"/>
    <w:pPr>
      <w:spacing w:after="120"/>
      <w:outlineLvl w:val="4"/>
    </w:pPr>
    <w:rPr>
      <w:b/>
      <w:bCs/>
      <w:iCs/>
      <w:sz w:val="24"/>
    </w:rPr>
  </w:style>
  <w:style w:type="paragraph" w:styleId="Heading6">
    <w:name w:val="heading 6"/>
    <w:basedOn w:val="HeadingBase"/>
    <w:next w:val="Normal"/>
    <w:link w:val="Heading6Char"/>
    <w:qFormat/>
    <w:rsid w:val="00477DED"/>
    <w:pPr>
      <w:spacing w:after="120"/>
      <w:outlineLvl w:val="5"/>
    </w:pPr>
    <w:rPr>
      <w:bCs/>
      <w:sz w:val="22"/>
      <w:szCs w:val="22"/>
    </w:rPr>
  </w:style>
  <w:style w:type="paragraph" w:styleId="Heading7">
    <w:name w:val="heading 7"/>
    <w:basedOn w:val="HeadingBase"/>
    <w:next w:val="Normal"/>
    <w:link w:val="Heading7Char"/>
    <w:qFormat/>
    <w:rsid w:val="00477DED"/>
    <w:pPr>
      <w:spacing w:after="120"/>
      <w:outlineLvl w:val="6"/>
    </w:pPr>
    <w:rPr>
      <w:szCs w:val="24"/>
    </w:rPr>
  </w:style>
  <w:style w:type="paragraph" w:styleId="Heading8">
    <w:name w:val="heading 8"/>
    <w:basedOn w:val="HeadingBase"/>
    <w:next w:val="Normal"/>
    <w:link w:val="Heading8Char"/>
    <w:qFormat/>
    <w:rsid w:val="00477DED"/>
    <w:pPr>
      <w:spacing w:before="60" w:after="60"/>
      <w:jc w:val="center"/>
      <w:outlineLvl w:val="7"/>
    </w:pPr>
    <w:rPr>
      <w:iCs/>
      <w:smallCaps/>
      <w:sz w:val="22"/>
      <w:szCs w:val="24"/>
    </w:rPr>
  </w:style>
  <w:style w:type="paragraph" w:styleId="Heading9">
    <w:name w:val="heading 9"/>
    <w:basedOn w:val="HeadingBase"/>
    <w:next w:val="Normal"/>
    <w:link w:val="Heading9Char"/>
    <w:qFormat/>
    <w:rsid w:val="00477DED"/>
    <w:pPr>
      <w:spacing w:before="60" w:after="60"/>
      <w:jc w:val="center"/>
      <w:outlineLvl w:val="8"/>
    </w:pPr>
    <w:rPr>
      <w:rFonts w:ascii="Arial Bold" w:hAnsi="Arial Bold" w:cs="Arial"/>
      <w:b/>
      <w:smallCap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77DED"/>
    <w:rPr>
      <w:color w:val="auto"/>
      <w:u w:val="none"/>
    </w:rPr>
  </w:style>
  <w:style w:type="paragraph" w:customStyle="1" w:styleId="Default">
    <w:name w:val="Default"/>
    <w:rsid w:val="00D85D7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FF537F"/>
    <w:rPr>
      <w:rFonts w:ascii="Calibri" w:eastAsia="Times New Roman" w:hAnsi="Calibri" w:cs="Arial"/>
      <w:b/>
      <w:bCs/>
      <w:smallCaps/>
      <w:color w:val="342E82"/>
      <w:kern w:val="32"/>
      <w:sz w:val="36"/>
      <w:szCs w:val="36"/>
      <w:lang w:eastAsia="en-AU"/>
    </w:rPr>
  </w:style>
  <w:style w:type="character" w:customStyle="1" w:styleId="Heading2Char">
    <w:name w:val="Heading 2 Char"/>
    <w:basedOn w:val="DefaultParagraphFont"/>
    <w:link w:val="Heading2"/>
    <w:rsid w:val="00FF537F"/>
    <w:rPr>
      <w:rFonts w:ascii="Calibri" w:eastAsia="Times New Roman" w:hAnsi="Calibri" w:cs="Arial"/>
      <w:b/>
      <w:bCs/>
      <w:iCs/>
      <w:smallCaps/>
      <w:color w:val="342E82"/>
      <w:sz w:val="32"/>
      <w:szCs w:val="28"/>
      <w:lang w:eastAsia="en-AU"/>
    </w:rPr>
  </w:style>
  <w:style w:type="character" w:customStyle="1" w:styleId="Heading3Char">
    <w:name w:val="Heading 3 Char"/>
    <w:basedOn w:val="DefaultParagraphFont"/>
    <w:link w:val="Heading3"/>
    <w:rsid w:val="00FF537F"/>
    <w:rPr>
      <w:rFonts w:ascii="Calibri" w:eastAsia="Times New Roman" w:hAnsi="Calibri" w:cs="Arial"/>
      <w:b/>
      <w:bCs/>
      <w:color w:val="342E82"/>
      <w:sz w:val="28"/>
      <w:szCs w:val="26"/>
      <w:lang w:eastAsia="en-AU"/>
    </w:rPr>
  </w:style>
  <w:style w:type="character" w:customStyle="1" w:styleId="Heading4Char">
    <w:name w:val="Heading 4 Char"/>
    <w:basedOn w:val="DefaultParagraphFont"/>
    <w:link w:val="Heading4"/>
    <w:rsid w:val="00FF537F"/>
    <w:rPr>
      <w:rFonts w:ascii="Calibri" w:eastAsia="Times New Roman" w:hAnsi="Calibri" w:cs="Times New Roman"/>
      <w:bCs/>
      <w:color w:val="342E82"/>
      <w:sz w:val="24"/>
      <w:lang w:eastAsia="en-AU"/>
    </w:rPr>
  </w:style>
  <w:style w:type="character" w:customStyle="1" w:styleId="Heading5Char">
    <w:name w:val="Heading 5 Char"/>
    <w:basedOn w:val="DefaultParagraphFont"/>
    <w:link w:val="Heading5"/>
    <w:rsid w:val="00477DED"/>
    <w:rPr>
      <w:rFonts w:ascii="Calibri" w:eastAsia="Times New Roman" w:hAnsi="Calibri" w:cs="Times New Roman"/>
      <w:b/>
      <w:bCs/>
      <w:iCs/>
      <w:color w:val="342E82"/>
      <w:sz w:val="24"/>
      <w:szCs w:val="20"/>
      <w:lang w:eastAsia="en-AU"/>
    </w:rPr>
  </w:style>
  <w:style w:type="character" w:customStyle="1" w:styleId="Heading6Char">
    <w:name w:val="Heading 6 Char"/>
    <w:basedOn w:val="DefaultParagraphFont"/>
    <w:link w:val="Heading6"/>
    <w:rsid w:val="00D85D73"/>
    <w:rPr>
      <w:rFonts w:ascii="Calibri" w:eastAsia="Times New Roman" w:hAnsi="Calibri" w:cs="Times New Roman"/>
      <w:bCs/>
      <w:color w:val="342E82"/>
      <w:lang w:eastAsia="en-AU"/>
    </w:rPr>
  </w:style>
  <w:style w:type="character" w:customStyle="1" w:styleId="Heading7Char">
    <w:name w:val="Heading 7 Char"/>
    <w:basedOn w:val="DefaultParagraphFont"/>
    <w:link w:val="Heading7"/>
    <w:rsid w:val="00D85D73"/>
    <w:rPr>
      <w:rFonts w:ascii="Calibri" w:eastAsia="Times New Roman" w:hAnsi="Calibri" w:cs="Times New Roman"/>
      <w:color w:val="342E82"/>
      <w:sz w:val="20"/>
      <w:szCs w:val="24"/>
      <w:lang w:eastAsia="en-AU"/>
    </w:rPr>
  </w:style>
  <w:style w:type="character" w:customStyle="1" w:styleId="Heading8Char">
    <w:name w:val="Heading 8 Char"/>
    <w:basedOn w:val="DefaultParagraphFont"/>
    <w:link w:val="Heading8"/>
    <w:rsid w:val="00D85D73"/>
    <w:rPr>
      <w:rFonts w:ascii="Calibri" w:eastAsia="Times New Roman" w:hAnsi="Calibri" w:cs="Times New Roman"/>
      <w:iCs/>
      <w:smallCaps/>
      <w:color w:val="342E82"/>
      <w:szCs w:val="24"/>
      <w:lang w:eastAsia="en-AU"/>
    </w:rPr>
  </w:style>
  <w:style w:type="character" w:customStyle="1" w:styleId="Heading9Char">
    <w:name w:val="Heading 9 Char"/>
    <w:basedOn w:val="DefaultParagraphFont"/>
    <w:link w:val="Heading9"/>
    <w:rsid w:val="00D85D73"/>
    <w:rPr>
      <w:rFonts w:ascii="Arial Bold" w:eastAsia="Times New Roman" w:hAnsi="Arial Bold" w:cs="Arial"/>
      <w:b/>
      <w:smallCaps/>
      <w:color w:val="342E82"/>
      <w:sz w:val="24"/>
      <w:lang w:eastAsia="en-AU"/>
    </w:rPr>
  </w:style>
  <w:style w:type="paragraph" w:customStyle="1" w:styleId="HeadingBase">
    <w:name w:val="Heading Base"/>
    <w:next w:val="Normal"/>
    <w:rsid w:val="00477DED"/>
    <w:pPr>
      <w:keepNext/>
      <w:spacing w:after="0" w:line="240" w:lineRule="auto"/>
    </w:pPr>
    <w:rPr>
      <w:rFonts w:ascii="Calibri" w:eastAsia="Times New Roman" w:hAnsi="Calibri" w:cs="Times New Roman"/>
      <w:color w:val="342E82"/>
      <w:sz w:val="20"/>
      <w:szCs w:val="20"/>
      <w:lang w:eastAsia="en-AU"/>
    </w:rPr>
  </w:style>
  <w:style w:type="paragraph" w:customStyle="1" w:styleId="ChartGraphic">
    <w:name w:val="Chart Graphic"/>
    <w:basedOn w:val="HeadingBase"/>
    <w:next w:val="Normal"/>
    <w:rsid w:val="00477DED"/>
    <w:pPr>
      <w:jc w:val="center"/>
    </w:pPr>
  </w:style>
  <w:style w:type="paragraph" w:customStyle="1" w:styleId="TableGraphic">
    <w:name w:val="Table Graphic"/>
    <w:basedOn w:val="HeadingBase"/>
    <w:next w:val="Normal"/>
    <w:rsid w:val="00477DED"/>
  </w:style>
  <w:style w:type="paragraph" w:customStyle="1" w:styleId="AlphaParagraph">
    <w:name w:val="Alpha Paragraph"/>
    <w:basedOn w:val="Normal"/>
    <w:rsid w:val="00477DED"/>
    <w:pPr>
      <w:numPr>
        <w:numId w:val="1"/>
      </w:numPr>
    </w:pPr>
  </w:style>
  <w:style w:type="paragraph" w:customStyle="1" w:styleId="AppendixHeading">
    <w:name w:val="Appendix Heading"/>
    <w:basedOn w:val="HeadingBase"/>
    <w:next w:val="Normal"/>
    <w:rsid w:val="00FF537F"/>
    <w:pPr>
      <w:spacing w:after="360"/>
      <w:outlineLvl w:val="0"/>
    </w:pPr>
    <w:rPr>
      <w:b/>
      <w:smallCaps/>
      <w:sz w:val="36"/>
      <w:szCs w:val="36"/>
    </w:rPr>
  </w:style>
  <w:style w:type="paragraph" w:styleId="BalloonText">
    <w:name w:val="Balloon Text"/>
    <w:basedOn w:val="Normal"/>
    <w:link w:val="BalloonTextChar"/>
    <w:semiHidden/>
    <w:rsid w:val="00477DED"/>
    <w:rPr>
      <w:rFonts w:ascii="Tahoma" w:hAnsi="Tahoma" w:cs="Tahoma"/>
      <w:sz w:val="16"/>
      <w:szCs w:val="16"/>
    </w:rPr>
  </w:style>
  <w:style w:type="character" w:customStyle="1" w:styleId="BalloonTextChar">
    <w:name w:val="Balloon Text Char"/>
    <w:basedOn w:val="DefaultParagraphFont"/>
    <w:link w:val="BalloonText"/>
    <w:semiHidden/>
    <w:rsid w:val="00D85D73"/>
    <w:rPr>
      <w:rFonts w:ascii="Tahoma" w:eastAsia="Times New Roman" w:hAnsi="Tahoma" w:cs="Tahoma"/>
      <w:color w:val="000000"/>
      <w:sz w:val="16"/>
      <w:szCs w:val="16"/>
      <w:lang w:eastAsia="en-AU"/>
    </w:rPr>
  </w:style>
  <w:style w:type="character" w:customStyle="1" w:styleId="Bold">
    <w:name w:val="Bold"/>
    <w:basedOn w:val="DefaultParagraphFont"/>
    <w:rsid w:val="00477DED"/>
    <w:rPr>
      <w:b/>
    </w:rPr>
  </w:style>
  <w:style w:type="paragraph" w:customStyle="1" w:styleId="BoxTextBase">
    <w:name w:val="Box Text Base"/>
    <w:basedOn w:val="Normal"/>
    <w:rsid w:val="00477DED"/>
  </w:style>
  <w:style w:type="paragraph" w:customStyle="1" w:styleId="BoxBullet">
    <w:name w:val="Box Bullet"/>
    <w:basedOn w:val="BoxTextBase"/>
    <w:rsid w:val="00477DED"/>
    <w:pPr>
      <w:numPr>
        <w:numId w:val="2"/>
      </w:numPr>
    </w:pPr>
  </w:style>
  <w:style w:type="paragraph" w:customStyle="1" w:styleId="BoxDash">
    <w:name w:val="Box Dash"/>
    <w:basedOn w:val="Normal"/>
    <w:rsid w:val="00477DED"/>
    <w:pPr>
      <w:numPr>
        <w:ilvl w:val="1"/>
        <w:numId w:val="2"/>
      </w:numPr>
    </w:pPr>
  </w:style>
  <w:style w:type="paragraph" w:customStyle="1" w:styleId="BoxDoubleDot">
    <w:name w:val="Box Double Dot"/>
    <w:basedOn w:val="BoxTextBase"/>
    <w:rsid w:val="00477DED"/>
    <w:pPr>
      <w:numPr>
        <w:ilvl w:val="2"/>
        <w:numId w:val="2"/>
      </w:numPr>
    </w:pPr>
  </w:style>
  <w:style w:type="paragraph" w:customStyle="1" w:styleId="BoxHeading">
    <w:name w:val="Box Heading"/>
    <w:basedOn w:val="HeadingBase"/>
    <w:next w:val="BoxText"/>
    <w:rsid w:val="00477DED"/>
    <w:pPr>
      <w:spacing w:before="240" w:after="120"/>
    </w:pPr>
    <w:rPr>
      <w:b/>
      <w:sz w:val="22"/>
    </w:rPr>
  </w:style>
  <w:style w:type="paragraph" w:customStyle="1" w:styleId="BoxText">
    <w:name w:val="Box Text"/>
    <w:basedOn w:val="BoxTextBase"/>
    <w:rsid w:val="00477DED"/>
  </w:style>
  <w:style w:type="paragraph" w:customStyle="1" w:styleId="Bullet">
    <w:name w:val="Bullet"/>
    <w:aliases w:val="b"/>
    <w:basedOn w:val="Normal"/>
    <w:link w:val="BulletChar"/>
    <w:rsid w:val="00FF537F"/>
    <w:pPr>
      <w:numPr>
        <w:numId w:val="4"/>
      </w:numPr>
      <w:tabs>
        <w:tab w:val="left" w:pos="397"/>
      </w:tabs>
      <w:spacing w:after="120" w:line="240" w:lineRule="auto"/>
    </w:pPr>
  </w:style>
  <w:style w:type="paragraph" w:styleId="NormalIndent">
    <w:name w:val="Normal Indent"/>
    <w:basedOn w:val="Normal"/>
    <w:rsid w:val="00477DED"/>
    <w:pPr>
      <w:ind w:left="567"/>
    </w:pPr>
    <w:rPr>
      <w:i/>
    </w:rPr>
  </w:style>
  <w:style w:type="paragraph" w:customStyle="1" w:styleId="ChartandTableFootnoteAlpha">
    <w:name w:val="Chart and Table Footnote Alpha"/>
    <w:rsid w:val="00477DED"/>
    <w:pPr>
      <w:numPr>
        <w:numId w:val="3"/>
      </w:numPr>
      <w:tabs>
        <w:tab w:val="clear" w:pos="283"/>
        <w:tab w:val="num" w:pos="360"/>
      </w:tabs>
      <w:spacing w:after="0" w:line="240" w:lineRule="auto"/>
      <w:ind w:left="0" w:firstLine="0"/>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477DED"/>
    <w:pPr>
      <w:spacing w:after="20"/>
      <w:jc w:val="center"/>
    </w:pPr>
    <w:rPr>
      <w:b/>
      <w:sz w:val="22"/>
    </w:rPr>
  </w:style>
  <w:style w:type="paragraph" w:customStyle="1" w:styleId="ChartorTableNote">
    <w:name w:val="Chart or Table Note"/>
    <w:next w:val="Normal"/>
    <w:rsid w:val="00477DED"/>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477DED"/>
    <w:pPr>
      <w:spacing w:after="20"/>
      <w:jc w:val="center"/>
    </w:pPr>
  </w:style>
  <w:style w:type="paragraph" w:customStyle="1" w:styleId="Classification">
    <w:name w:val="Classification"/>
    <w:basedOn w:val="HeadingBase"/>
    <w:next w:val="Footer"/>
    <w:rsid w:val="00477DED"/>
    <w:pPr>
      <w:spacing w:after="120"/>
      <w:jc w:val="center"/>
    </w:pPr>
    <w:rPr>
      <w:b/>
      <w:smallCaps/>
    </w:rPr>
  </w:style>
  <w:style w:type="paragraph" w:styleId="Footer">
    <w:name w:val="footer"/>
    <w:basedOn w:val="HeadingBase"/>
    <w:link w:val="FooterChar"/>
    <w:rsid w:val="00477DED"/>
    <w:rPr>
      <w:sz w:val="18"/>
    </w:rPr>
  </w:style>
  <w:style w:type="character" w:customStyle="1" w:styleId="FooterChar">
    <w:name w:val="Footer Char"/>
    <w:link w:val="Footer"/>
    <w:rsid w:val="00477DED"/>
    <w:rPr>
      <w:rFonts w:ascii="Calibri" w:eastAsia="Times New Roman" w:hAnsi="Calibri" w:cs="Times New Roman"/>
      <w:color w:val="342E82"/>
      <w:sz w:val="18"/>
      <w:szCs w:val="20"/>
      <w:lang w:eastAsia="en-AU"/>
    </w:rPr>
  </w:style>
  <w:style w:type="paragraph" w:customStyle="1" w:styleId="ContentsHeading">
    <w:name w:val="Contents Heading"/>
    <w:basedOn w:val="HeadingBase"/>
    <w:next w:val="Normal"/>
    <w:rsid w:val="00FF537F"/>
    <w:pPr>
      <w:spacing w:after="360"/>
    </w:pPr>
    <w:rPr>
      <w:smallCaps/>
      <w:sz w:val="36"/>
      <w:szCs w:val="36"/>
    </w:rPr>
  </w:style>
  <w:style w:type="paragraph" w:customStyle="1" w:styleId="CoverTitleSub">
    <w:name w:val="Cover Title Sub"/>
    <w:basedOn w:val="HeadingBase"/>
    <w:rsid w:val="00477DED"/>
    <w:pPr>
      <w:spacing w:after="360"/>
      <w:jc w:val="right"/>
    </w:pPr>
    <w:rPr>
      <w:sz w:val="36"/>
    </w:rPr>
  </w:style>
  <w:style w:type="paragraph" w:customStyle="1" w:styleId="Covertitlelevel3">
    <w:name w:val="Cover title level 3"/>
    <w:basedOn w:val="CoverTitleSub"/>
    <w:rsid w:val="00D85D73"/>
    <w:pPr>
      <w:spacing w:after="120"/>
    </w:pPr>
    <w:rPr>
      <w:sz w:val="28"/>
      <w:szCs w:val="28"/>
    </w:rPr>
  </w:style>
  <w:style w:type="paragraph" w:customStyle="1" w:styleId="CoverTitleMain">
    <w:name w:val="Cover Title Main"/>
    <w:basedOn w:val="HeadingBase"/>
    <w:next w:val="Normal"/>
    <w:rsid w:val="00477DED"/>
    <w:pPr>
      <w:pBdr>
        <w:bottom w:val="single" w:sz="18" w:space="9" w:color="342E82"/>
      </w:pBdr>
      <w:spacing w:after="480"/>
      <w:jc w:val="right"/>
    </w:pPr>
    <w:rPr>
      <w:b/>
      <w:sz w:val="48"/>
    </w:rPr>
  </w:style>
  <w:style w:type="paragraph" w:customStyle="1" w:styleId="Dash">
    <w:name w:val="Dash"/>
    <w:basedOn w:val="Normal"/>
    <w:link w:val="DashChar"/>
    <w:rsid w:val="00FF537F"/>
    <w:pPr>
      <w:numPr>
        <w:ilvl w:val="1"/>
        <w:numId w:val="4"/>
      </w:numPr>
      <w:tabs>
        <w:tab w:val="clear" w:pos="1134"/>
        <w:tab w:val="num" w:pos="794"/>
      </w:tabs>
      <w:spacing w:after="120" w:line="240" w:lineRule="auto"/>
      <w:ind w:left="794" w:hanging="397"/>
    </w:pPr>
  </w:style>
  <w:style w:type="paragraph" w:customStyle="1" w:styleId="DoubleDot">
    <w:name w:val="Double Dot"/>
    <w:basedOn w:val="Normal"/>
    <w:rsid w:val="00477DED"/>
    <w:pPr>
      <w:numPr>
        <w:ilvl w:val="2"/>
        <w:numId w:val="4"/>
      </w:numPr>
      <w:tabs>
        <w:tab w:val="clear" w:pos="1700"/>
        <w:tab w:val="num" w:pos="360"/>
      </w:tabs>
      <w:ind w:left="1758" w:hanging="397"/>
    </w:pPr>
  </w:style>
  <w:style w:type="paragraph" w:customStyle="1" w:styleId="Figuregraphic">
    <w:name w:val="Figure graphic"/>
    <w:basedOn w:val="Normal"/>
    <w:rsid w:val="00D85D73"/>
    <w:pPr>
      <w:jc w:val="center"/>
    </w:pPr>
  </w:style>
  <w:style w:type="paragraph" w:customStyle="1" w:styleId="FigureHeading">
    <w:name w:val="Figure Heading"/>
    <w:basedOn w:val="HeadingBase"/>
    <w:next w:val="Figuregraphic"/>
    <w:rsid w:val="00D85D73"/>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D85D73"/>
    <w:pPr>
      <w:spacing w:after="20"/>
      <w:jc w:val="center"/>
    </w:pPr>
  </w:style>
  <w:style w:type="paragraph" w:customStyle="1" w:styleId="TableMainHeading">
    <w:name w:val="Table Main Heading"/>
    <w:basedOn w:val="HeadingBase"/>
    <w:next w:val="TableGraphic"/>
    <w:rsid w:val="00477DED"/>
    <w:pPr>
      <w:spacing w:after="20"/>
    </w:pPr>
    <w:rPr>
      <w:b/>
      <w:sz w:val="22"/>
    </w:rPr>
  </w:style>
  <w:style w:type="paragraph" w:customStyle="1" w:styleId="FooterCentered">
    <w:name w:val="Footer Centered"/>
    <w:basedOn w:val="Footer"/>
    <w:rsid w:val="00477DED"/>
    <w:pPr>
      <w:jc w:val="center"/>
    </w:pPr>
  </w:style>
  <w:style w:type="paragraph" w:customStyle="1" w:styleId="FooterEven">
    <w:name w:val="Footer Even"/>
    <w:basedOn w:val="Footer"/>
    <w:rsid w:val="00477DED"/>
  </w:style>
  <w:style w:type="paragraph" w:customStyle="1" w:styleId="FooterOdd">
    <w:name w:val="Footer Odd"/>
    <w:basedOn w:val="Footer"/>
    <w:rsid w:val="00477DED"/>
    <w:pPr>
      <w:jc w:val="right"/>
    </w:pPr>
  </w:style>
  <w:style w:type="character" w:styleId="FootnoteReference">
    <w:name w:val="footnote reference"/>
    <w:basedOn w:val="DefaultParagraphFont"/>
    <w:rsid w:val="00477DED"/>
    <w:rPr>
      <w:vertAlign w:val="superscript"/>
    </w:rPr>
  </w:style>
  <w:style w:type="paragraph" w:styleId="FootnoteText">
    <w:name w:val="footnote text"/>
    <w:basedOn w:val="Normal"/>
    <w:link w:val="FootnoteTextChar"/>
    <w:rsid w:val="00477DED"/>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rsid w:val="00D85D73"/>
    <w:rPr>
      <w:rFonts w:eastAsia="Times New Roman" w:cs="Times New Roman"/>
      <w:color w:val="000000"/>
      <w:sz w:val="18"/>
      <w:szCs w:val="20"/>
      <w:lang w:eastAsia="en-AU"/>
    </w:rPr>
  </w:style>
  <w:style w:type="character" w:customStyle="1" w:styleId="FramedFooter">
    <w:name w:val="Framed Footer"/>
    <w:rsid w:val="00477DED"/>
    <w:rPr>
      <w:rFonts w:ascii="Arial" w:hAnsi="Arial"/>
      <w:color w:val="342E82"/>
      <w:sz w:val="18"/>
    </w:rPr>
  </w:style>
  <w:style w:type="character" w:customStyle="1" w:styleId="FramedHeader">
    <w:name w:val="Framed Header"/>
    <w:basedOn w:val="DefaultParagraphFont"/>
    <w:rsid w:val="00477DED"/>
    <w:rPr>
      <w:rFonts w:ascii="Arial" w:hAnsi="Arial"/>
      <w:dstrike w:val="0"/>
      <w:color w:val="342E82"/>
      <w:sz w:val="18"/>
      <w:vertAlign w:val="baseline"/>
    </w:rPr>
  </w:style>
  <w:style w:type="paragraph" w:styleId="Header">
    <w:name w:val="header"/>
    <w:basedOn w:val="HeadingBase"/>
    <w:link w:val="HeaderChar"/>
    <w:rsid w:val="00477DED"/>
    <w:rPr>
      <w:sz w:val="18"/>
    </w:rPr>
  </w:style>
  <w:style w:type="character" w:customStyle="1" w:styleId="HeaderChar">
    <w:name w:val="Header Char"/>
    <w:basedOn w:val="DefaultParagraphFont"/>
    <w:link w:val="Header"/>
    <w:rsid w:val="00D85D73"/>
    <w:rPr>
      <w:rFonts w:ascii="Calibri" w:eastAsia="Times New Roman" w:hAnsi="Calibri" w:cs="Times New Roman"/>
      <w:color w:val="342E82"/>
      <w:sz w:val="18"/>
      <w:szCs w:val="20"/>
      <w:lang w:eastAsia="en-AU"/>
    </w:rPr>
  </w:style>
  <w:style w:type="paragraph" w:customStyle="1" w:styleId="HeaderEven">
    <w:name w:val="Header Even"/>
    <w:basedOn w:val="Header"/>
    <w:rsid w:val="00477DED"/>
  </w:style>
  <w:style w:type="paragraph" w:customStyle="1" w:styleId="HeaderOdd">
    <w:name w:val="Header Odd"/>
    <w:basedOn w:val="Header"/>
    <w:rsid w:val="00477DED"/>
    <w:pPr>
      <w:jc w:val="right"/>
    </w:pPr>
  </w:style>
  <w:style w:type="character" w:customStyle="1" w:styleId="italic">
    <w:name w:val="italic"/>
    <w:basedOn w:val="DefaultParagraphFont"/>
    <w:rsid w:val="00477DED"/>
    <w:rPr>
      <w:i/>
    </w:rPr>
  </w:style>
  <w:style w:type="paragraph" w:styleId="NormalWeb">
    <w:name w:val="Normal (Web)"/>
    <w:basedOn w:val="Normal"/>
    <w:uiPriority w:val="99"/>
    <w:rsid w:val="00D85D73"/>
    <w:pPr>
      <w:spacing w:line="312" w:lineRule="atLeast"/>
    </w:pPr>
    <w:rPr>
      <w:sz w:val="24"/>
      <w:szCs w:val="24"/>
    </w:rPr>
  </w:style>
  <w:style w:type="paragraph" w:customStyle="1" w:styleId="NormalIndentItalics">
    <w:name w:val="Normal Indent Italics"/>
    <w:basedOn w:val="NormalIndent"/>
    <w:rsid w:val="00D85D73"/>
    <w:rPr>
      <w:i w:val="0"/>
    </w:rPr>
  </w:style>
  <w:style w:type="paragraph" w:customStyle="1" w:styleId="OutlineNumbered1">
    <w:name w:val="Outline Numbered 1"/>
    <w:basedOn w:val="Normal"/>
    <w:rsid w:val="00FF537F"/>
    <w:pPr>
      <w:numPr>
        <w:numId w:val="19"/>
      </w:numPr>
      <w:tabs>
        <w:tab w:val="left" w:pos="397"/>
      </w:tabs>
    </w:pPr>
  </w:style>
  <w:style w:type="paragraph" w:customStyle="1" w:styleId="OneLevelNumberedParagraph">
    <w:name w:val="One Level Numbered Paragraph"/>
    <w:basedOn w:val="Normal"/>
    <w:rsid w:val="00477DED"/>
    <w:pPr>
      <w:numPr>
        <w:numId w:val="5"/>
      </w:numPr>
    </w:pPr>
  </w:style>
  <w:style w:type="paragraph" w:customStyle="1" w:styleId="OutlineNumbered2">
    <w:name w:val="Outline Numbered 2"/>
    <w:basedOn w:val="Normal"/>
    <w:rsid w:val="00477DED"/>
    <w:pPr>
      <w:numPr>
        <w:ilvl w:val="1"/>
        <w:numId w:val="19"/>
      </w:numPr>
    </w:pPr>
  </w:style>
  <w:style w:type="paragraph" w:customStyle="1" w:styleId="OutlineNumbered3">
    <w:name w:val="Outline Numbered 3"/>
    <w:basedOn w:val="Normal"/>
    <w:rsid w:val="00477DED"/>
    <w:pPr>
      <w:numPr>
        <w:ilvl w:val="2"/>
        <w:numId w:val="19"/>
      </w:numPr>
    </w:pPr>
  </w:style>
  <w:style w:type="character" w:styleId="PageNumber">
    <w:name w:val="page number"/>
    <w:basedOn w:val="DefaultParagraphFont"/>
    <w:rsid w:val="00D85D73"/>
    <w:rPr>
      <w:rFonts w:ascii="Arial" w:hAnsi="Arial"/>
      <w:sz w:val="18"/>
    </w:rPr>
  </w:style>
  <w:style w:type="paragraph" w:customStyle="1" w:styleId="Principle">
    <w:name w:val="Principle"/>
    <w:basedOn w:val="Normal"/>
    <w:rsid w:val="00D85D73"/>
    <w:pPr>
      <w:keepNext/>
      <w:spacing w:after="60"/>
      <w:ind w:left="573"/>
    </w:pPr>
    <w:rPr>
      <w:rFonts w:ascii="Book Antiqua" w:hAnsi="Book Antiqua"/>
      <w:i/>
      <w:sz w:val="20"/>
    </w:rPr>
  </w:style>
  <w:style w:type="paragraph" w:customStyle="1" w:styleId="RecommendationTextBase">
    <w:name w:val="Recommendation Text Base"/>
    <w:basedOn w:val="Normal"/>
    <w:rsid w:val="00477DED"/>
    <w:pPr>
      <w:spacing w:before="120" w:after="120"/>
    </w:pPr>
  </w:style>
  <w:style w:type="paragraph" w:customStyle="1" w:styleId="RecommendationBullet">
    <w:name w:val="Recommendation Bullet"/>
    <w:basedOn w:val="RecommendationTextBase"/>
    <w:rsid w:val="00477DED"/>
    <w:pPr>
      <w:numPr>
        <w:numId w:val="6"/>
      </w:numPr>
    </w:pPr>
  </w:style>
  <w:style w:type="paragraph" w:customStyle="1" w:styleId="RecommendationDash">
    <w:name w:val="Recommendation Dash"/>
    <w:basedOn w:val="RecommendationTextBase"/>
    <w:rsid w:val="00477DED"/>
    <w:pPr>
      <w:numPr>
        <w:ilvl w:val="1"/>
        <w:numId w:val="6"/>
      </w:numPr>
    </w:pPr>
  </w:style>
  <w:style w:type="paragraph" w:customStyle="1" w:styleId="RecommendationDoubleDot">
    <w:name w:val="Recommendation Double Dot"/>
    <w:basedOn w:val="RecommendationTextBase"/>
    <w:rsid w:val="00477DED"/>
    <w:pPr>
      <w:numPr>
        <w:ilvl w:val="2"/>
        <w:numId w:val="6"/>
      </w:numPr>
    </w:pPr>
  </w:style>
  <w:style w:type="paragraph" w:customStyle="1" w:styleId="RecommendationHeading">
    <w:name w:val="Recommendation Heading"/>
    <w:basedOn w:val="HeadingBase"/>
    <w:next w:val="RecommendationText"/>
    <w:rsid w:val="00477DED"/>
    <w:pPr>
      <w:spacing w:before="120" w:after="240"/>
    </w:pPr>
    <w:rPr>
      <w:b/>
      <w:sz w:val="22"/>
    </w:rPr>
  </w:style>
  <w:style w:type="paragraph" w:customStyle="1" w:styleId="RecommendationText">
    <w:name w:val="Recommendation Text"/>
    <w:basedOn w:val="RecommendationTextBase"/>
    <w:rsid w:val="00477DED"/>
  </w:style>
  <w:style w:type="paragraph" w:customStyle="1" w:styleId="Romannumeral">
    <w:name w:val="Roman numeral"/>
    <w:basedOn w:val="Normal"/>
    <w:rsid w:val="00477DED"/>
    <w:pPr>
      <w:numPr>
        <w:numId w:val="7"/>
      </w:numPr>
    </w:pPr>
  </w:style>
  <w:style w:type="paragraph" w:customStyle="1" w:styleId="SingleParagraph">
    <w:name w:val="Single Paragraph"/>
    <w:basedOn w:val="Normal"/>
    <w:link w:val="SingleParagraphChar"/>
    <w:rsid w:val="00477DED"/>
    <w:pPr>
      <w:spacing w:after="0"/>
    </w:pPr>
  </w:style>
  <w:style w:type="paragraph" w:customStyle="1" w:styleId="SingleParagraphIndent">
    <w:name w:val="Single Paragraph Indent"/>
    <w:basedOn w:val="SingleParagraph"/>
    <w:rsid w:val="00D85D73"/>
    <w:pPr>
      <w:ind w:left="567"/>
    </w:pPr>
  </w:style>
  <w:style w:type="paragraph" w:customStyle="1" w:styleId="TableSecondHeading">
    <w:name w:val="Table Second Heading"/>
    <w:basedOn w:val="HeadingBase"/>
    <w:next w:val="TableGraphic"/>
    <w:rsid w:val="00477DED"/>
    <w:pPr>
      <w:spacing w:after="20"/>
    </w:pPr>
  </w:style>
  <w:style w:type="paragraph" w:customStyle="1" w:styleId="TableTextBase">
    <w:name w:val="Table Text Base"/>
    <w:rsid w:val="00477DED"/>
    <w:pPr>
      <w:spacing w:before="40" w:after="40" w:line="240" w:lineRule="auto"/>
    </w:pPr>
    <w:rPr>
      <w:rFonts w:eastAsia="Times New Roman" w:cs="Times New Roman"/>
      <w:color w:val="000000"/>
      <w:sz w:val="16"/>
      <w:szCs w:val="20"/>
      <w:lang w:eastAsia="en-AU"/>
    </w:rPr>
  </w:style>
  <w:style w:type="paragraph" w:customStyle="1" w:styleId="TableColumnHeadingCentred">
    <w:name w:val="Table Column Heading Centred"/>
    <w:basedOn w:val="TableColumnHeadingBase"/>
    <w:rsid w:val="00477DED"/>
    <w:pPr>
      <w:jc w:val="center"/>
    </w:pPr>
  </w:style>
  <w:style w:type="paragraph" w:customStyle="1" w:styleId="TableColumnHeadingBase">
    <w:name w:val="Table Column Heading Base"/>
    <w:basedOn w:val="Normal"/>
    <w:rsid w:val="00477DED"/>
    <w:pPr>
      <w:spacing w:before="40" w:after="40" w:line="240" w:lineRule="auto"/>
    </w:pPr>
    <w:rPr>
      <w:b/>
      <w:color w:val="342E82"/>
      <w:sz w:val="16"/>
    </w:rPr>
  </w:style>
  <w:style w:type="paragraph" w:customStyle="1" w:styleId="TableColumnHeadingLeft">
    <w:name w:val="Table Column Heading Left"/>
    <w:basedOn w:val="TableColumnHeadingBase"/>
    <w:rsid w:val="00477DED"/>
  </w:style>
  <w:style w:type="paragraph" w:customStyle="1" w:styleId="TableColumnHeadingRight">
    <w:name w:val="Table Column Heading Right"/>
    <w:basedOn w:val="TableColumnHeadingBase"/>
    <w:rsid w:val="00477DED"/>
    <w:pPr>
      <w:jc w:val="right"/>
    </w:pPr>
  </w:style>
  <w:style w:type="table" w:styleId="TableGrid">
    <w:name w:val="Table Grid"/>
    <w:basedOn w:val="TableNormal"/>
    <w:rsid w:val="00477DED"/>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MainHeadingContd">
    <w:name w:val="Table Main Heading Contd"/>
    <w:basedOn w:val="HeadingBase"/>
    <w:next w:val="TableGraphic"/>
    <w:rsid w:val="00477DED"/>
    <w:pPr>
      <w:pageBreakBefore/>
      <w:spacing w:after="20"/>
    </w:pPr>
    <w:rPr>
      <w:b/>
      <w:sz w:val="22"/>
    </w:rPr>
  </w:style>
  <w:style w:type="paragraph" w:customStyle="1" w:styleId="TableTextCentered">
    <w:name w:val="Table Text Centered"/>
    <w:basedOn w:val="TableTextBase"/>
    <w:rsid w:val="00477DED"/>
    <w:pPr>
      <w:jc w:val="center"/>
    </w:pPr>
  </w:style>
  <w:style w:type="paragraph" w:customStyle="1" w:styleId="TableTextIndented">
    <w:name w:val="Table Text Indented"/>
    <w:basedOn w:val="TableTextBase"/>
    <w:rsid w:val="00477DED"/>
    <w:pPr>
      <w:ind w:left="284"/>
    </w:pPr>
  </w:style>
  <w:style w:type="paragraph" w:customStyle="1" w:styleId="TableTextLeft">
    <w:name w:val="Table Text Left"/>
    <w:basedOn w:val="TableTextBase"/>
    <w:rsid w:val="00477DED"/>
  </w:style>
  <w:style w:type="paragraph" w:customStyle="1" w:styleId="TableTextRight">
    <w:name w:val="Table Text Right"/>
    <w:basedOn w:val="TableTextBase"/>
    <w:rsid w:val="00477DED"/>
    <w:pPr>
      <w:jc w:val="right"/>
    </w:pPr>
  </w:style>
  <w:style w:type="paragraph" w:styleId="TOC1">
    <w:name w:val="toc 1"/>
    <w:basedOn w:val="HeadingBase"/>
    <w:next w:val="Normal"/>
    <w:uiPriority w:val="39"/>
    <w:rsid w:val="00477DED"/>
    <w:pPr>
      <w:tabs>
        <w:tab w:val="left" w:pos="284"/>
        <w:tab w:val="left" w:pos="567"/>
        <w:tab w:val="right" w:leader="dot" w:pos="9072"/>
      </w:tabs>
      <w:spacing w:before="180"/>
      <w:ind w:left="284" w:right="851" w:hanging="284"/>
    </w:pPr>
    <w:rPr>
      <w:b/>
      <w:smallCaps/>
      <w:sz w:val="22"/>
      <w:szCs w:val="22"/>
    </w:rPr>
  </w:style>
  <w:style w:type="paragraph" w:styleId="TOC2">
    <w:name w:val="toc 2"/>
    <w:basedOn w:val="HeadingBase"/>
    <w:next w:val="Normal"/>
    <w:uiPriority w:val="39"/>
    <w:rsid w:val="00656397"/>
    <w:pPr>
      <w:tabs>
        <w:tab w:val="right" w:leader="dot" w:pos="9072"/>
      </w:tabs>
      <w:spacing w:before="40" w:after="20"/>
      <w:ind w:left="284" w:right="851"/>
    </w:pPr>
  </w:style>
  <w:style w:type="paragraph" w:styleId="TOC3">
    <w:name w:val="toc 3"/>
    <w:basedOn w:val="Normal"/>
    <w:next w:val="Normal"/>
    <w:rsid w:val="00477DED"/>
    <w:pPr>
      <w:tabs>
        <w:tab w:val="right" w:leader="dot" w:pos="9072"/>
      </w:tabs>
      <w:spacing w:before="20" w:after="0" w:line="240" w:lineRule="auto"/>
      <w:ind w:left="284" w:right="851"/>
    </w:pPr>
  </w:style>
  <w:style w:type="paragraph" w:styleId="TOC4">
    <w:name w:val="toc 4"/>
    <w:basedOn w:val="Normal"/>
    <w:next w:val="Normal"/>
    <w:rsid w:val="00477DED"/>
    <w:pPr>
      <w:tabs>
        <w:tab w:val="right" w:leader="dot" w:pos="9072"/>
      </w:tabs>
      <w:spacing w:after="0" w:line="240" w:lineRule="auto"/>
      <w:ind w:left="284" w:right="851"/>
    </w:pPr>
  </w:style>
  <w:style w:type="paragraph" w:styleId="BodyTextIndent2">
    <w:name w:val="Body Text Indent 2"/>
    <w:basedOn w:val="Normal"/>
    <w:link w:val="BodyTextIndent2Char"/>
    <w:rsid w:val="00D85D73"/>
    <w:pPr>
      <w:spacing w:after="120" w:line="480" w:lineRule="auto"/>
      <w:ind w:left="283"/>
    </w:pPr>
  </w:style>
  <w:style w:type="character" w:customStyle="1" w:styleId="BodyTextIndent2Char">
    <w:name w:val="Body Text Indent 2 Char"/>
    <w:basedOn w:val="DefaultParagraphFont"/>
    <w:link w:val="BodyTextIndent2"/>
    <w:rsid w:val="00D85D73"/>
    <w:rPr>
      <w:rFonts w:eastAsia="Times New Roman" w:cs="Times New Roman"/>
      <w:szCs w:val="20"/>
      <w:lang w:eastAsia="en-AU"/>
    </w:rPr>
  </w:style>
  <w:style w:type="character" w:customStyle="1" w:styleId="BoldandItalic">
    <w:name w:val="Bold and Italic"/>
    <w:basedOn w:val="DefaultParagraphFont"/>
    <w:rsid w:val="00477DED"/>
    <w:rPr>
      <w:rFonts w:ascii="Calibri" w:hAnsi="Calibri"/>
      <w:b/>
      <w:i/>
    </w:rPr>
  </w:style>
  <w:style w:type="paragraph" w:styleId="Caption">
    <w:name w:val="caption"/>
    <w:basedOn w:val="Normal"/>
    <w:next w:val="Normal"/>
    <w:qFormat/>
    <w:rsid w:val="00477DED"/>
    <w:rPr>
      <w:b/>
      <w:bCs/>
    </w:rPr>
  </w:style>
  <w:style w:type="character" w:styleId="CommentReference">
    <w:name w:val="annotation reference"/>
    <w:basedOn w:val="DefaultParagraphFont"/>
    <w:semiHidden/>
    <w:rsid w:val="00477DED"/>
    <w:rPr>
      <w:sz w:val="16"/>
      <w:szCs w:val="16"/>
    </w:rPr>
  </w:style>
  <w:style w:type="paragraph" w:styleId="CommentText">
    <w:name w:val="annotation text"/>
    <w:basedOn w:val="Normal"/>
    <w:link w:val="CommentTextChar"/>
    <w:semiHidden/>
    <w:rsid w:val="00477DED"/>
  </w:style>
  <w:style w:type="character" w:customStyle="1" w:styleId="CommentTextChar">
    <w:name w:val="Comment Text Char"/>
    <w:basedOn w:val="DefaultParagraphFont"/>
    <w:link w:val="CommentText"/>
    <w:semiHidden/>
    <w:rsid w:val="00D85D73"/>
    <w:rPr>
      <w:rFonts w:eastAsia="Times New Roman" w:cs="Times New Roman"/>
      <w:color w:val="000000"/>
      <w:szCs w:val="20"/>
      <w:lang w:eastAsia="en-AU"/>
    </w:rPr>
  </w:style>
  <w:style w:type="paragraph" w:styleId="CommentSubject">
    <w:name w:val="annotation subject"/>
    <w:basedOn w:val="CommentText"/>
    <w:next w:val="CommentText"/>
    <w:link w:val="CommentSubjectChar"/>
    <w:semiHidden/>
    <w:rsid w:val="00477DED"/>
    <w:rPr>
      <w:b/>
      <w:bCs/>
    </w:rPr>
  </w:style>
  <w:style w:type="character" w:customStyle="1" w:styleId="CommentSubjectChar">
    <w:name w:val="Comment Subject Char"/>
    <w:basedOn w:val="CommentTextChar"/>
    <w:link w:val="CommentSubject"/>
    <w:semiHidden/>
    <w:rsid w:val="00D85D73"/>
    <w:rPr>
      <w:rFonts w:eastAsia="Times New Roman" w:cs="Times New Roman"/>
      <w:b/>
      <w:bCs/>
      <w:color w:val="000000"/>
      <w:szCs w:val="20"/>
      <w:lang w:eastAsia="en-AU"/>
    </w:rPr>
  </w:style>
  <w:style w:type="paragraph" w:styleId="DocumentMap">
    <w:name w:val="Document Map"/>
    <w:basedOn w:val="Normal"/>
    <w:link w:val="DocumentMapChar"/>
    <w:semiHidden/>
    <w:rsid w:val="00477DED"/>
    <w:pPr>
      <w:shd w:val="clear" w:color="auto" w:fill="000080"/>
    </w:pPr>
    <w:rPr>
      <w:rFonts w:ascii="Tahoma" w:hAnsi="Tahoma" w:cs="Tahoma"/>
    </w:rPr>
  </w:style>
  <w:style w:type="character" w:customStyle="1" w:styleId="DocumentMapChar">
    <w:name w:val="Document Map Char"/>
    <w:basedOn w:val="DefaultParagraphFont"/>
    <w:link w:val="DocumentMap"/>
    <w:semiHidden/>
    <w:rsid w:val="00D85D73"/>
    <w:rPr>
      <w:rFonts w:ascii="Tahoma" w:eastAsia="Times New Roman" w:hAnsi="Tahoma" w:cs="Tahoma"/>
      <w:color w:val="000000"/>
      <w:szCs w:val="20"/>
      <w:shd w:val="clear" w:color="auto" w:fill="000080"/>
      <w:lang w:eastAsia="en-AU"/>
    </w:rPr>
  </w:style>
  <w:style w:type="character" w:styleId="EndnoteReference">
    <w:name w:val="endnote reference"/>
    <w:basedOn w:val="DefaultParagraphFont"/>
    <w:semiHidden/>
    <w:rsid w:val="00477DED"/>
    <w:rPr>
      <w:vertAlign w:val="superscript"/>
    </w:rPr>
  </w:style>
  <w:style w:type="paragraph" w:styleId="EndnoteText">
    <w:name w:val="endnote text"/>
    <w:basedOn w:val="Normal"/>
    <w:link w:val="EndnoteTextChar"/>
    <w:semiHidden/>
    <w:rsid w:val="00477DED"/>
  </w:style>
  <w:style w:type="character" w:customStyle="1" w:styleId="EndnoteTextChar">
    <w:name w:val="Endnote Text Char"/>
    <w:basedOn w:val="DefaultParagraphFont"/>
    <w:link w:val="EndnoteText"/>
    <w:semiHidden/>
    <w:rsid w:val="00D85D73"/>
    <w:rPr>
      <w:rFonts w:eastAsia="Times New Roman" w:cs="Times New Roman"/>
      <w:color w:val="000000"/>
      <w:szCs w:val="20"/>
      <w:lang w:eastAsia="en-AU"/>
    </w:rPr>
  </w:style>
  <w:style w:type="character" w:styleId="FollowedHyperlink">
    <w:name w:val="FollowedHyperlink"/>
    <w:basedOn w:val="DefaultParagraphFont"/>
    <w:rsid w:val="00477DED"/>
    <w:rPr>
      <w:color w:val="auto"/>
      <w:u w:val="none"/>
    </w:rPr>
  </w:style>
  <w:style w:type="paragraph" w:styleId="Index1">
    <w:name w:val="index 1"/>
    <w:basedOn w:val="Normal"/>
    <w:next w:val="Normal"/>
    <w:autoRedefine/>
    <w:semiHidden/>
    <w:rsid w:val="00477DED"/>
    <w:pPr>
      <w:ind w:left="200" w:hanging="200"/>
    </w:pPr>
  </w:style>
  <w:style w:type="paragraph" w:styleId="Index2">
    <w:name w:val="index 2"/>
    <w:basedOn w:val="Normal"/>
    <w:next w:val="Normal"/>
    <w:autoRedefine/>
    <w:semiHidden/>
    <w:rsid w:val="00477DED"/>
    <w:pPr>
      <w:ind w:left="400" w:hanging="200"/>
    </w:pPr>
  </w:style>
  <w:style w:type="paragraph" w:styleId="Index3">
    <w:name w:val="index 3"/>
    <w:basedOn w:val="Normal"/>
    <w:next w:val="Normal"/>
    <w:autoRedefine/>
    <w:semiHidden/>
    <w:rsid w:val="00477DED"/>
    <w:pPr>
      <w:ind w:left="600" w:hanging="200"/>
    </w:pPr>
  </w:style>
  <w:style w:type="paragraph" w:styleId="Index4">
    <w:name w:val="index 4"/>
    <w:basedOn w:val="Normal"/>
    <w:next w:val="Normal"/>
    <w:autoRedefine/>
    <w:semiHidden/>
    <w:rsid w:val="00477DED"/>
    <w:pPr>
      <w:ind w:left="800" w:hanging="200"/>
    </w:pPr>
  </w:style>
  <w:style w:type="paragraph" w:styleId="Index5">
    <w:name w:val="index 5"/>
    <w:basedOn w:val="Normal"/>
    <w:next w:val="Normal"/>
    <w:autoRedefine/>
    <w:semiHidden/>
    <w:rsid w:val="00477DED"/>
    <w:pPr>
      <w:ind w:left="1000" w:hanging="200"/>
    </w:pPr>
  </w:style>
  <w:style w:type="paragraph" w:styleId="Index6">
    <w:name w:val="index 6"/>
    <w:basedOn w:val="Normal"/>
    <w:next w:val="Normal"/>
    <w:autoRedefine/>
    <w:semiHidden/>
    <w:rsid w:val="00477DED"/>
    <w:pPr>
      <w:ind w:left="1200" w:hanging="200"/>
    </w:pPr>
  </w:style>
  <w:style w:type="paragraph" w:styleId="Index7">
    <w:name w:val="index 7"/>
    <w:basedOn w:val="Normal"/>
    <w:next w:val="Normal"/>
    <w:autoRedefine/>
    <w:semiHidden/>
    <w:rsid w:val="00477DED"/>
    <w:pPr>
      <w:ind w:left="1400" w:hanging="200"/>
    </w:pPr>
  </w:style>
  <w:style w:type="paragraph" w:styleId="Index8">
    <w:name w:val="index 8"/>
    <w:basedOn w:val="Normal"/>
    <w:next w:val="Normal"/>
    <w:autoRedefine/>
    <w:semiHidden/>
    <w:rsid w:val="00477DED"/>
    <w:pPr>
      <w:ind w:left="1600" w:hanging="200"/>
    </w:pPr>
  </w:style>
  <w:style w:type="paragraph" w:styleId="Index9">
    <w:name w:val="index 9"/>
    <w:basedOn w:val="Normal"/>
    <w:next w:val="Normal"/>
    <w:autoRedefine/>
    <w:semiHidden/>
    <w:rsid w:val="00477DED"/>
    <w:pPr>
      <w:ind w:left="1800" w:hanging="200"/>
    </w:pPr>
  </w:style>
  <w:style w:type="paragraph" w:styleId="IndexHeading">
    <w:name w:val="index heading"/>
    <w:basedOn w:val="Normal"/>
    <w:next w:val="Index1"/>
    <w:semiHidden/>
    <w:rsid w:val="00477DED"/>
    <w:rPr>
      <w:rFonts w:cs="Arial"/>
      <w:b/>
      <w:bCs/>
    </w:rPr>
  </w:style>
  <w:style w:type="paragraph" w:styleId="MacroText">
    <w:name w:val="macro"/>
    <w:link w:val="MacroTextChar"/>
    <w:semiHidden/>
    <w:rsid w:val="00477DED"/>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D85D73"/>
    <w:rPr>
      <w:rFonts w:ascii="Courier New" w:eastAsia="Times New Roman" w:hAnsi="Courier New" w:cs="Courier New"/>
      <w:color w:val="000000"/>
      <w:sz w:val="20"/>
      <w:szCs w:val="20"/>
      <w:lang w:eastAsia="en-AU"/>
    </w:rPr>
  </w:style>
  <w:style w:type="numbering" w:customStyle="1" w:styleId="OutlineList">
    <w:name w:val="OutlineList"/>
    <w:uiPriority w:val="99"/>
    <w:rsid w:val="00D85D73"/>
    <w:pPr>
      <w:numPr>
        <w:numId w:val="11"/>
      </w:numPr>
    </w:pPr>
  </w:style>
  <w:style w:type="paragraph" w:customStyle="1" w:styleId="PictureCentred">
    <w:name w:val="Picture Centred"/>
    <w:basedOn w:val="Normal"/>
    <w:rsid w:val="00D85D73"/>
    <w:pPr>
      <w:spacing w:before="120" w:line="240" w:lineRule="atLeast"/>
      <w:jc w:val="center"/>
    </w:pPr>
  </w:style>
  <w:style w:type="paragraph" w:customStyle="1" w:styleId="PictureLeft">
    <w:name w:val="Picture Left"/>
    <w:basedOn w:val="PictureCentred"/>
    <w:rsid w:val="00D85D73"/>
    <w:pPr>
      <w:jc w:val="left"/>
    </w:pPr>
  </w:style>
  <w:style w:type="paragraph" w:customStyle="1" w:styleId="PictureIndent">
    <w:name w:val="Picture Indent"/>
    <w:basedOn w:val="PictureLeft"/>
    <w:rsid w:val="00D85D73"/>
    <w:pPr>
      <w:ind w:left="284"/>
    </w:pPr>
  </w:style>
  <w:style w:type="paragraph" w:styleId="TableofAuthorities">
    <w:name w:val="table of authorities"/>
    <w:basedOn w:val="Normal"/>
    <w:next w:val="Normal"/>
    <w:rsid w:val="00477DED"/>
    <w:pPr>
      <w:ind w:left="200" w:hanging="200"/>
    </w:pPr>
  </w:style>
  <w:style w:type="paragraph" w:styleId="TableofFigures">
    <w:name w:val="table of figures"/>
    <w:basedOn w:val="Normal"/>
    <w:next w:val="Normal"/>
    <w:rsid w:val="00477DED"/>
  </w:style>
  <w:style w:type="paragraph" w:styleId="TOAHeading">
    <w:name w:val="toa heading"/>
    <w:basedOn w:val="Normal"/>
    <w:next w:val="Normal"/>
    <w:semiHidden/>
    <w:rsid w:val="00477DED"/>
    <w:pPr>
      <w:spacing w:before="120"/>
    </w:pPr>
    <w:rPr>
      <w:rFonts w:cs="Arial"/>
      <w:b/>
      <w:bCs/>
      <w:sz w:val="24"/>
      <w:szCs w:val="24"/>
    </w:rPr>
  </w:style>
  <w:style w:type="paragraph" w:styleId="TOC5">
    <w:name w:val="toc 5"/>
    <w:basedOn w:val="Normal"/>
    <w:next w:val="Normal"/>
    <w:autoRedefine/>
    <w:semiHidden/>
    <w:rsid w:val="00477DED"/>
    <w:pPr>
      <w:ind w:left="800"/>
    </w:pPr>
  </w:style>
  <w:style w:type="paragraph" w:styleId="TOC6">
    <w:name w:val="toc 6"/>
    <w:basedOn w:val="Normal"/>
    <w:next w:val="Normal"/>
    <w:autoRedefine/>
    <w:semiHidden/>
    <w:rsid w:val="00477DED"/>
    <w:pPr>
      <w:ind w:left="1000"/>
    </w:pPr>
  </w:style>
  <w:style w:type="paragraph" w:styleId="TOC7">
    <w:name w:val="toc 7"/>
    <w:basedOn w:val="Normal"/>
    <w:next w:val="Normal"/>
    <w:autoRedefine/>
    <w:semiHidden/>
    <w:rsid w:val="00477DED"/>
    <w:pPr>
      <w:ind w:left="1200"/>
    </w:pPr>
  </w:style>
  <w:style w:type="paragraph" w:styleId="TOC8">
    <w:name w:val="toc 8"/>
    <w:basedOn w:val="Normal"/>
    <w:next w:val="Normal"/>
    <w:autoRedefine/>
    <w:semiHidden/>
    <w:rsid w:val="00477DED"/>
    <w:pPr>
      <w:ind w:left="1400"/>
    </w:pPr>
  </w:style>
  <w:style w:type="paragraph" w:styleId="TOC9">
    <w:name w:val="toc 9"/>
    <w:basedOn w:val="Normal"/>
    <w:next w:val="Normal"/>
    <w:autoRedefine/>
    <w:semiHidden/>
    <w:rsid w:val="00477DED"/>
    <w:pPr>
      <w:ind w:left="1600"/>
    </w:pPr>
  </w:style>
  <w:style w:type="numbering" w:customStyle="1" w:styleId="BulletedList">
    <w:name w:val="Bulleted List"/>
    <w:uiPriority w:val="99"/>
    <w:rsid w:val="00D85D73"/>
    <w:pPr>
      <w:numPr>
        <w:numId w:val="17"/>
      </w:numPr>
    </w:pPr>
  </w:style>
  <w:style w:type="numbering" w:customStyle="1" w:styleId="BoxBulletedList">
    <w:name w:val="Box Bulleted List"/>
    <w:uiPriority w:val="99"/>
    <w:rsid w:val="00D85D73"/>
    <w:pPr>
      <w:numPr>
        <w:numId w:val="8"/>
      </w:numPr>
    </w:pPr>
  </w:style>
  <w:style w:type="numbering" w:customStyle="1" w:styleId="AlphaParagraphList">
    <w:name w:val="Alpha Paragraph List"/>
    <w:uiPriority w:val="99"/>
    <w:rsid w:val="00D85D73"/>
    <w:pPr>
      <w:numPr>
        <w:numId w:val="9"/>
      </w:numPr>
    </w:pPr>
  </w:style>
  <w:style w:type="numbering" w:customStyle="1" w:styleId="OneLevelList">
    <w:name w:val="OneLevelList"/>
    <w:uiPriority w:val="99"/>
    <w:rsid w:val="00D85D73"/>
    <w:pPr>
      <w:numPr>
        <w:numId w:val="10"/>
      </w:numPr>
    </w:pPr>
  </w:style>
  <w:style w:type="numbering" w:customStyle="1" w:styleId="RecommendationBulletList">
    <w:name w:val="RecommendationBulletList"/>
    <w:uiPriority w:val="99"/>
    <w:rsid w:val="00D85D73"/>
    <w:pPr>
      <w:numPr>
        <w:numId w:val="12"/>
      </w:numPr>
    </w:pPr>
  </w:style>
  <w:style w:type="numbering" w:customStyle="1" w:styleId="RomanNumeralList">
    <w:name w:val="RomanNumeralList"/>
    <w:uiPriority w:val="99"/>
    <w:rsid w:val="00D85D73"/>
    <w:pPr>
      <w:numPr>
        <w:numId w:val="13"/>
      </w:numPr>
    </w:pPr>
  </w:style>
  <w:style w:type="numbering" w:customStyle="1" w:styleId="ChartandTableFootnoteAlphaList">
    <w:name w:val="ChartandTableFootnoteAlphaList"/>
    <w:uiPriority w:val="99"/>
    <w:rsid w:val="00D85D73"/>
    <w:pPr>
      <w:numPr>
        <w:numId w:val="14"/>
      </w:numPr>
    </w:pPr>
  </w:style>
  <w:style w:type="paragraph" w:customStyle="1" w:styleId="TableTextBullet">
    <w:name w:val="Table Text Bullet"/>
    <w:basedOn w:val="Normal"/>
    <w:rsid w:val="00D85D73"/>
    <w:pPr>
      <w:numPr>
        <w:numId w:val="15"/>
      </w:numPr>
      <w:spacing w:line="260" w:lineRule="exact"/>
    </w:pPr>
  </w:style>
  <w:style w:type="numbering" w:customStyle="1" w:styleId="TableTextBulletList">
    <w:name w:val="Table Text Bullet List"/>
    <w:uiPriority w:val="99"/>
    <w:rsid w:val="00D85D73"/>
    <w:pPr>
      <w:numPr>
        <w:numId w:val="15"/>
      </w:numPr>
    </w:pPr>
  </w:style>
  <w:style w:type="paragraph" w:customStyle="1" w:styleId="SecurityClassificationHeader">
    <w:name w:val="Security Classification Header"/>
    <w:link w:val="SecurityClassificationHeaderChar"/>
    <w:rsid w:val="00D85D73"/>
    <w:pPr>
      <w:spacing w:after="240"/>
      <w:jc w:val="center"/>
    </w:pPr>
    <w:rPr>
      <w:rFonts w:ascii="Times New Roman" w:eastAsia="Times New Roman" w:hAnsi="Times New Roman" w:cs="Times New Roman"/>
      <w:b/>
      <w:caps/>
      <w:color w:val="4F81BD" w:themeColor="accent1"/>
      <w:sz w:val="24"/>
      <w:szCs w:val="20"/>
      <w:lang w:eastAsia="en-AU"/>
    </w:rPr>
  </w:style>
  <w:style w:type="character" w:customStyle="1" w:styleId="SecurityClassificationHeaderChar">
    <w:name w:val="Security Classification Header Char"/>
    <w:basedOn w:val="HeaderChar"/>
    <w:link w:val="SecurityClassificationHeader"/>
    <w:rsid w:val="00D85D73"/>
    <w:rPr>
      <w:rFonts w:ascii="Times New Roman" w:eastAsia="Times New Roman" w:hAnsi="Times New Roman" w:cs="Times New Roman"/>
      <w:b/>
      <w:caps/>
      <w:color w:val="4F81BD" w:themeColor="accent1"/>
      <w:sz w:val="24"/>
      <w:szCs w:val="20"/>
      <w:lang w:eastAsia="en-AU"/>
    </w:rPr>
  </w:style>
  <w:style w:type="paragraph" w:customStyle="1" w:styleId="SecurityClassificationFooter">
    <w:name w:val="Security Classification Footer"/>
    <w:link w:val="SecurityClassificationFooterChar"/>
    <w:rsid w:val="00477DED"/>
    <w:pPr>
      <w:spacing w:before="60" w:after="240"/>
      <w:jc w:val="center"/>
    </w:pPr>
    <w:rPr>
      <w:rFonts w:ascii="Times New Roman" w:eastAsia="Times New Roman" w:hAnsi="Times New Roman" w:cs="Times New Roman"/>
      <w:b/>
      <w:caps/>
      <w:color w:val="342E82"/>
      <w:sz w:val="24"/>
      <w:szCs w:val="20"/>
      <w:lang w:eastAsia="en-AU"/>
    </w:rPr>
  </w:style>
  <w:style w:type="character" w:customStyle="1" w:styleId="SecurityClassificationFooterChar">
    <w:name w:val="Security Classification Footer Char"/>
    <w:link w:val="SecurityClassificationFooter"/>
    <w:rsid w:val="00477DED"/>
    <w:rPr>
      <w:rFonts w:ascii="Times New Roman" w:eastAsia="Times New Roman" w:hAnsi="Times New Roman" w:cs="Times New Roman"/>
      <w:b/>
      <w:caps/>
      <w:color w:val="342E82"/>
      <w:sz w:val="24"/>
      <w:szCs w:val="20"/>
      <w:lang w:eastAsia="en-AU"/>
    </w:rPr>
  </w:style>
  <w:style w:type="character" w:customStyle="1" w:styleId="Italic0">
    <w:name w:val="Italic"/>
    <w:basedOn w:val="DefaultParagraphFont"/>
    <w:rsid w:val="00D85D73"/>
    <w:rPr>
      <w:i/>
    </w:rPr>
  </w:style>
  <w:style w:type="character" w:customStyle="1" w:styleId="BulletChar">
    <w:name w:val="Bullet Char"/>
    <w:aliases w:val="b Char"/>
    <w:basedOn w:val="DefaultParagraphFont"/>
    <w:link w:val="Bullet"/>
    <w:rsid w:val="00FF537F"/>
    <w:rPr>
      <w:rFonts w:eastAsia="Times New Roman" w:cs="Times New Roman"/>
      <w:color w:val="000000"/>
      <w:szCs w:val="20"/>
      <w:lang w:eastAsia="en-AU"/>
    </w:rPr>
  </w:style>
  <w:style w:type="paragraph" w:customStyle="1" w:styleId="Pa15">
    <w:name w:val="Pa15"/>
    <w:basedOn w:val="Normal"/>
    <w:next w:val="Normal"/>
    <w:uiPriority w:val="99"/>
    <w:rsid w:val="00D85D73"/>
    <w:pPr>
      <w:autoSpaceDE w:val="0"/>
      <w:autoSpaceDN w:val="0"/>
      <w:adjustRightInd w:val="0"/>
      <w:spacing w:line="201" w:lineRule="atLeast"/>
    </w:pPr>
    <w:rPr>
      <w:rFonts w:ascii="Georgia" w:hAnsi="Georgia"/>
      <w:sz w:val="24"/>
      <w:szCs w:val="24"/>
    </w:rPr>
  </w:style>
  <w:style w:type="character" w:styleId="Emphasis">
    <w:name w:val="Emphasis"/>
    <w:basedOn w:val="DefaultParagraphFont"/>
    <w:uiPriority w:val="20"/>
    <w:qFormat/>
    <w:rsid w:val="00D85D73"/>
    <w:rPr>
      <w:i/>
      <w:iCs/>
    </w:rPr>
  </w:style>
  <w:style w:type="paragraph" w:styleId="ListParagraph">
    <w:name w:val="List Paragraph"/>
    <w:basedOn w:val="Normal"/>
    <w:uiPriority w:val="99"/>
    <w:qFormat/>
    <w:rsid w:val="00D85D73"/>
    <w:pPr>
      <w:spacing w:after="200" w:line="276" w:lineRule="auto"/>
      <w:ind w:left="720"/>
      <w:contextualSpacing/>
    </w:pPr>
    <w:rPr>
      <w:rFonts w:cstheme="minorBidi"/>
      <w:lang w:val="fr-FR"/>
    </w:rPr>
  </w:style>
  <w:style w:type="paragraph" w:styleId="TOCHeading">
    <w:name w:val="TOC Heading"/>
    <w:basedOn w:val="Heading1"/>
    <w:next w:val="Normal"/>
    <w:uiPriority w:val="39"/>
    <w:semiHidden/>
    <w:unhideWhenUsed/>
    <w:qFormat/>
    <w:rsid w:val="00D85D73"/>
    <w:pPr>
      <w:keepLines/>
      <w:spacing w:before="480" w:after="0" w:line="276" w:lineRule="auto"/>
      <w:outlineLvl w:val="9"/>
    </w:pPr>
    <w:rPr>
      <w:rFonts w:eastAsiaTheme="majorEastAsia" w:cstheme="majorBidi"/>
      <w:b w:val="0"/>
      <w:color w:val="365F91" w:themeColor="accent1" w:themeShade="BF"/>
      <w:kern w:val="0"/>
      <w:sz w:val="28"/>
      <w:szCs w:val="28"/>
      <w:lang w:val="en-US" w:eastAsia="ja-JP"/>
    </w:rPr>
  </w:style>
  <w:style w:type="paragraph" w:customStyle="1" w:styleId="Pa2">
    <w:name w:val="Pa2"/>
    <w:basedOn w:val="Default"/>
    <w:next w:val="Default"/>
    <w:uiPriority w:val="99"/>
    <w:rsid w:val="00D85D73"/>
    <w:pPr>
      <w:spacing w:line="201" w:lineRule="atLeast"/>
    </w:pPr>
    <w:rPr>
      <w:rFonts w:ascii="Calibri" w:hAnsi="Calibri" w:cs="Times New Roman"/>
      <w:color w:val="auto"/>
    </w:rPr>
  </w:style>
  <w:style w:type="paragraph" w:styleId="Revision">
    <w:name w:val="Revision"/>
    <w:hidden/>
    <w:uiPriority w:val="99"/>
    <w:semiHidden/>
    <w:rsid w:val="00D85D73"/>
    <w:pPr>
      <w:spacing w:after="0" w:line="240" w:lineRule="auto"/>
    </w:pPr>
    <w:rPr>
      <w:rFonts w:eastAsia="Times New Roman" w:cs="Times New Roman"/>
      <w:szCs w:val="20"/>
      <w:lang w:eastAsia="en-AU"/>
    </w:rPr>
  </w:style>
  <w:style w:type="character" w:customStyle="1" w:styleId="DashChar">
    <w:name w:val="Dash Char"/>
    <w:basedOn w:val="DefaultParagraphFont"/>
    <w:link w:val="Dash"/>
    <w:locked/>
    <w:rsid w:val="00FF537F"/>
    <w:rPr>
      <w:rFonts w:eastAsia="Times New Roman" w:cs="Times New Roman"/>
      <w:color w:val="000000"/>
      <w:szCs w:val="20"/>
      <w:lang w:eastAsia="en-AU"/>
    </w:rPr>
  </w:style>
  <w:style w:type="paragraph" w:customStyle="1" w:styleId="Heading1NotNumbered">
    <w:name w:val="Heading 1 Not Numbered"/>
    <w:basedOn w:val="HeadingBase"/>
    <w:next w:val="Normal"/>
    <w:rsid w:val="00477DED"/>
    <w:pPr>
      <w:spacing w:before="720" w:after="360"/>
    </w:pPr>
    <w:rPr>
      <w:smallCaps/>
      <w:sz w:val="36"/>
      <w:szCs w:val="36"/>
    </w:rPr>
  </w:style>
  <w:style w:type="paragraph" w:customStyle="1" w:styleId="Heading2NotNumbered">
    <w:name w:val="Heading 2 Not Numbered"/>
    <w:basedOn w:val="HeadingBase"/>
    <w:next w:val="Normal"/>
    <w:rsid w:val="00477DED"/>
    <w:pPr>
      <w:spacing w:before="360" w:after="180"/>
    </w:pPr>
    <w:rPr>
      <w:smallCaps/>
      <w:sz w:val="28"/>
      <w:szCs w:val="28"/>
    </w:rPr>
  </w:style>
  <w:style w:type="paragraph" w:customStyle="1" w:styleId="Heading3NotNumbered">
    <w:name w:val="Heading 3 Not Numbered"/>
    <w:basedOn w:val="HeadingBase"/>
    <w:next w:val="Normal"/>
    <w:rsid w:val="00477DED"/>
    <w:pPr>
      <w:spacing w:before="240" w:after="120"/>
    </w:pPr>
    <w:rPr>
      <w:sz w:val="28"/>
      <w:szCs w:val="26"/>
    </w:rPr>
  </w:style>
  <w:style w:type="paragraph" w:customStyle="1" w:styleId="Heading4NotNumbered">
    <w:name w:val="Heading 4 Not Numbered"/>
    <w:basedOn w:val="HeadingBase"/>
    <w:rsid w:val="00477DED"/>
    <w:pPr>
      <w:spacing w:before="120" w:after="120"/>
      <w:outlineLvl w:val="3"/>
    </w:pPr>
    <w:rPr>
      <w:b/>
      <w:sz w:val="26"/>
    </w:rPr>
  </w:style>
  <w:style w:type="paragraph" w:customStyle="1" w:styleId="Heading5NotNumbered">
    <w:name w:val="Heading 5 Not Numbered"/>
    <w:basedOn w:val="HeadingBase"/>
    <w:rsid w:val="00477DED"/>
    <w:pPr>
      <w:spacing w:after="120"/>
      <w:outlineLvl w:val="4"/>
    </w:pPr>
    <w:rPr>
      <w:b/>
      <w:sz w:val="24"/>
    </w:rPr>
  </w:style>
  <w:style w:type="table" w:customStyle="1" w:styleId="OptionsTable">
    <w:name w:val="Options Table"/>
    <w:basedOn w:val="TableNormal"/>
    <w:rsid w:val="00477DED"/>
    <w:pPr>
      <w:spacing w:after="0" w:line="240" w:lineRule="auto"/>
    </w:pPr>
    <w:rPr>
      <w:rFonts w:ascii="Times New Roman" w:eastAsia="Times New Roman" w:hAnsi="Times New Roman" w:cs="Times New Roman"/>
      <w:sz w:val="20"/>
      <w:szCs w:val="20"/>
      <w:lang w:eastAsia="en-AU"/>
    </w:rPr>
    <w:tblPr>
      <w:tblStyleRowBandSize w:val="1"/>
      <w:tblBorders>
        <w:insideH w:val="single" w:sz="12" w:space="0" w:color="FFFFFF"/>
        <w:insideV w:val="single" w:sz="12" w:space="0" w:color="FFFFFF"/>
      </w:tblBorders>
    </w:tblPr>
    <w:tcPr>
      <w:shd w:val="clear" w:color="auto" w:fill="FFFFFF"/>
    </w:tcPr>
    <w:tblStylePr w:type="firstRow">
      <w:pPr>
        <w:wordWrap/>
        <w:spacing w:beforeLines="0" w:beforeAutospacing="0" w:afterLines="0" w:afterAutospacing="0" w:line="280" w:lineRule="exact"/>
        <w:contextualSpacing w:val="0"/>
      </w:pPr>
      <w:rPr>
        <w:rFonts w:ascii="Arial" w:hAnsi="Arial"/>
        <w:b/>
        <w:i w:val="0"/>
        <w:color w:val="342E82"/>
        <w:sz w:val="22"/>
      </w:rPr>
      <w:tblPr/>
      <w:tcPr>
        <w:shd w:val="clear" w:color="auto" w:fill="B3B3B3"/>
      </w:tcPr>
    </w:tblStylePr>
    <w:tblStylePr w:type="band1Horz">
      <w:pPr>
        <w:wordWrap/>
        <w:spacing w:beforeLines="0" w:beforeAutospacing="0" w:afterLines="0" w:afterAutospacing="0" w:line="280" w:lineRule="exact"/>
        <w:contextualSpacing w:val="0"/>
      </w:pPr>
      <w:rPr>
        <w:rFonts w:ascii="Arial" w:hAnsi="Arial"/>
        <w:sz w:val="22"/>
      </w:rPr>
      <w:tblPr/>
      <w:tcPr>
        <w:shd w:val="clear" w:color="auto" w:fill="E6E6E6"/>
      </w:tcPr>
    </w:tblStylePr>
    <w:tblStylePr w:type="band2Horz">
      <w:pPr>
        <w:wordWrap/>
        <w:spacing w:beforeLines="0" w:beforeAutospacing="0" w:afterLines="0" w:afterAutospacing="0" w:line="280" w:lineRule="exact"/>
        <w:contextualSpacing w:val="0"/>
      </w:pPr>
      <w:rPr>
        <w:rFonts w:ascii="Arial" w:hAnsi="Arial"/>
        <w:sz w:val="22"/>
      </w:rPr>
      <w:tblPr/>
      <w:tcPr>
        <w:shd w:val="clear" w:color="auto" w:fill="CCCCCC"/>
      </w:tcPr>
    </w:tblStylePr>
  </w:style>
  <w:style w:type="paragraph" w:customStyle="1" w:styleId="OutlineNumbered4">
    <w:name w:val="Outline Numbered 4"/>
    <w:basedOn w:val="Normal"/>
    <w:rsid w:val="00477DED"/>
  </w:style>
  <w:style w:type="paragraph" w:customStyle="1" w:styleId="OutlineNumbered5">
    <w:name w:val="Outline Numbered 5"/>
    <w:basedOn w:val="Normal"/>
    <w:rsid w:val="00477DED"/>
    <w:pPr>
      <w:numPr>
        <w:ilvl w:val="4"/>
        <w:numId w:val="19"/>
      </w:numPr>
    </w:pPr>
  </w:style>
  <w:style w:type="paragraph" w:customStyle="1" w:styleId="Crest">
    <w:name w:val="Crest"/>
    <w:basedOn w:val="Header"/>
    <w:rsid w:val="00477DED"/>
    <w:pPr>
      <w:spacing w:after="480"/>
      <w:jc w:val="right"/>
    </w:pPr>
  </w:style>
  <w:style w:type="character" w:customStyle="1" w:styleId="SingleParagraphChar">
    <w:name w:val="Single Paragraph Char"/>
    <w:basedOn w:val="DefaultParagraphFont"/>
    <w:link w:val="SingleParagraph"/>
    <w:rsid w:val="00477DED"/>
    <w:rPr>
      <w:rFonts w:eastAsia="Times New Roman" w:cs="Times New Roman"/>
      <w:color w:val="000000"/>
      <w:szCs w:val="20"/>
      <w:lang w:eastAsia="en-AU"/>
    </w:rPr>
  </w:style>
  <w:style w:type="character" w:customStyle="1" w:styleId="A5">
    <w:name w:val="A5"/>
    <w:uiPriority w:val="99"/>
    <w:rsid w:val="00477DED"/>
    <w:rPr>
      <w:rFonts w:cs="Swiss 721 B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42420">
      <w:bodyDiv w:val="1"/>
      <w:marLeft w:val="0"/>
      <w:marRight w:val="0"/>
      <w:marTop w:val="0"/>
      <w:marBottom w:val="0"/>
      <w:divBdr>
        <w:top w:val="none" w:sz="0" w:space="0" w:color="auto"/>
        <w:left w:val="none" w:sz="0" w:space="0" w:color="auto"/>
        <w:bottom w:val="none" w:sz="0" w:space="0" w:color="auto"/>
        <w:right w:val="none" w:sz="0" w:space="0" w:color="auto"/>
      </w:divBdr>
    </w:div>
    <w:div w:id="712192347">
      <w:bodyDiv w:val="1"/>
      <w:marLeft w:val="0"/>
      <w:marRight w:val="0"/>
      <w:marTop w:val="0"/>
      <w:marBottom w:val="0"/>
      <w:divBdr>
        <w:top w:val="none" w:sz="0" w:space="0" w:color="auto"/>
        <w:left w:val="none" w:sz="0" w:space="0" w:color="auto"/>
        <w:bottom w:val="none" w:sz="0" w:space="0" w:color="auto"/>
        <w:right w:val="none" w:sz="0" w:space="0" w:color="auto"/>
      </w:divBdr>
      <w:divsChild>
        <w:div w:id="1886092518">
          <w:marLeft w:val="0"/>
          <w:marRight w:val="0"/>
          <w:marTop w:val="0"/>
          <w:marBottom w:val="0"/>
          <w:divBdr>
            <w:top w:val="none" w:sz="0" w:space="0" w:color="auto"/>
            <w:left w:val="none" w:sz="0" w:space="0" w:color="auto"/>
            <w:bottom w:val="none" w:sz="0" w:space="0" w:color="auto"/>
            <w:right w:val="none" w:sz="0" w:space="0" w:color="auto"/>
          </w:divBdr>
          <w:divsChild>
            <w:div w:id="2016640545">
              <w:marLeft w:val="0"/>
              <w:marRight w:val="0"/>
              <w:marTop w:val="270"/>
              <w:marBottom w:val="0"/>
              <w:divBdr>
                <w:top w:val="none" w:sz="0" w:space="0" w:color="auto"/>
                <w:left w:val="none" w:sz="0" w:space="0" w:color="auto"/>
                <w:bottom w:val="none" w:sz="0" w:space="0" w:color="auto"/>
                <w:right w:val="none" w:sz="0" w:space="0" w:color="auto"/>
              </w:divBdr>
              <w:divsChild>
                <w:div w:id="958074240">
                  <w:marLeft w:val="0"/>
                  <w:marRight w:val="0"/>
                  <w:marTop w:val="0"/>
                  <w:marBottom w:val="0"/>
                  <w:divBdr>
                    <w:top w:val="none" w:sz="0" w:space="0" w:color="auto"/>
                    <w:left w:val="none" w:sz="0" w:space="0" w:color="auto"/>
                    <w:bottom w:val="none" w:sz="0" w:space="0" w:color="auto"/>
                    <w:right w:val="none" w:sz="0" w:space="0" w:color="auto"/>
                  </w:divBdr>
                  <w:divsChild>
                    <w:div w:id="2007512469">
                      <w:marLeft w:val="0"/>
                      <w:marRight w:val="0"/>
                      <w:marTop w:val="0"/>
                      <w:marBottom w:val="0"/>
                      <w:divBdr>
                        <w:top w:val="none" w:sz="0" w:space="0" w:color="auto"/>
                        <w:left w:val="none" w:sz="0" w:space="0" w:color="auto"/>
                        <w:bottom w:val="none" w:sz="0" w:space="0" w:color="auto"/>
                        <w:right w:val="none" w:sz="0" w:space="0" w:color="auto"/>
                      </w:divBdr>
                      <w:divsChild>
                        <w:div w:id="1737431278">
                          <w:marLeft w:val="0"/>
                          <w:marRight w:val="0"/>
                          <w:marTop w:val="0"/>
                          <w:marBottom w:val="0"/>
                          <w:divBdr>
                            <w:top w:val="none" w:sz="0" w:space="0" w:color="auto"/>
                            <w:left w:val="none" w:sz="0" w:space="0" w:color="auto"/>
                            <w:bottom w:val="none" w:sz="0" w:space="0" w:color="auto"/>
                            <w:right w:val="none" w:sz="0" w:space="0" w:color="auto"/>
                          </w:divBdr>
                          <w:divsChild>
                            <w:div w:id="118221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443193">
      <w:bodyDiv w:val="1"/>
      <w:marLeft w:val="0"/>
      <w:marRight w:val="0"/>
      <w:marTop w:val="0"/>
      <w:marBottom w:val="0"/>
      <w:divBdr>
        <w:top w:val="none" w:sz="0" w:space="0" w:color="auto"/>
        <w:left w:val="none" w:sz="0" w:space="0" w:color="auto"/>
        <w:bottom w:val="none" w:sz="0" w:space="0" w:color="auto"/>
        <w:right w:val="none" w:sz="0" w:space="0" w:color="auto"/>
      </w:divBdr>
    </w:div>
    <w:div w:id="1173565566">
      <w:bodyDiv w:val="1"/>
      <w:marLeft w:val="0"/>
      <w:marRight w:val="0"/>
      <w:marTop w:val="0"/>
      <w:marBottom w:val="0"/>
      <w:divBdr>
        <w:top w:val="none" w:sz="0" w:space="0" w:color="auto"/>
        <w:left w:val="none" w:sz="0" w:space="0" w:color="auto"/>
        <w:bottom w:val="none" w:sz="0" w:space="0" w:color="auto"/>
        <w:right w:val="none" w:sz="0" w:space="0" w:color="auto"/>
      </w:divBdr>
      <w:divsChild>
        <w:div w:id="982202210">
          <w:marLeft w:val="0"/>
          <w:marRight w:val="0"/>
          <w:marTop w:val="0"/>
          <w:marBottom w:val="0"/>
          <w:divBdr>
            <w:top w:val="none" w:sz="0" w:space="0" w:color="auto"/>
            <w:left w:val="none" w:sz="0" w:space="0" w:color="auto"/>
            <w:bottom w:val="none" w:sz="0" w:space="0" w:color="auto"/>
            <w:right w:val="none" w:sz="0" w:space="0" w:color="auto"/>
          </w:divBdr>
          <w:divsChild>
            <w:div w:id="1184787718">
              <w:marLeft w:val="0"/>
              <w:marRight w:val="0"/>
              <w:marTop w:val="270"/>
              <w:marBottom w:val="0"/>
              <w:divBdr>
                <w:top w:val="none" w:sz="0" w:space="0" w:color="auto"/>
                <w:left w:val="none" w:sz="0" w:space="0" w:color="auto"/>
                <w:bottom w:val="none" w:sz="0" w:space="0" w:color="auto"/>
                <w:right w:val="none" w:sz="0" w:space="0" w:color="auto"/>
              </w:divBdr>
              <w:divsChild>
                <w:div w:id="226844774">
                  <w:marLeft w:val="0"/>
                  <w:marRight w:val="0"/>
                  <w:marTop w:val="0"/>
                  <w:marBottom w:val="0"/>
                  <w:divBdr>
                    <w:top w:val="none" w:sz="0" w:space="0" w:color="auto"/>
                    <w:left w:val="none" w:sz="0" w:space="0" w:color="auto"/>
                    <w:bottom w:val="none" w:sz="0" w:space="0" w:color="auto"/>
                    <w:right w:val="none" w:sz="0" w:space="0" w:color="auto"/>
                  </w:divBdr>
                  <w:divsChild>
                    <w:div w:id="307830036">
                      <w:marLeft w:val="0"/>
                      <w:marRight w:val="0"/>
                      <w:marTop w:val="0"/>
                      <w:marBottom w:val="0"/>
                      <w:divBdr>
                        <w:top w:val="none" w:sz="0" w:space="0" w:color="auto"/>
                        <w:left w:val="none" w:sz="0" w:space="0" w:color="auto"/>
                        <w:bottom w:val="none" w:sz="0" w:space="0" w:color="auto"/>
                        <w:right w:val="none" w:sz="0" w:space="0" w:color="auto"/>
                      </w:divBdr>
                      <w:divsChild>
                        <w:div w:id="122232127">
                          <w:marLeft w:val="0"/>
                          <w:marRight w:val="0"/>
                          <w:marTop w:val="0"/>
                          <w:marBottom w:val="0"/>
                          <w:divBdr>
                            <w:top w:val="none" w:sz="0" w:space="0" w:color="auto"/>
                            <w:left w:val="none" w:sz="0" w:space="0" w:color="auto"/>
                            <w:bottom w:val="none" w:sz="0" w:space="0" w:color="auto"/>
                            <w:right w:val="none" w:sz="0" w:space="0" w:color="auto"/>
                          </w:divBdr>
                          <w:divsChild>
                            <w:div w:id="11911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384154">
      <w:bodyDiv w:val="1"/>
      <w:marLeft w:val="0"/>
      <w:marRight w:val="0"/>
      <w:marTop w:val="0"/>
      <w:marBottom w:val="0"/>
      <w:divBdr>
        <w:top w:val="none" w:sz="0" w:space="0" w:color="auto"/>
        <w:left w:val="none" w:sz="0" w:space="0" w:color="auto"/>
        <w:bottom w:val="none" w:sz="0" w:space="0" w:color="auto"/>
        <w:right w:val="none" w:sz="0" w:space="0" w:color="auto"/>
      </w:divBdr>
    </w:div>
    <w:div w:id="1439834506">
      <w:bodyDiv w:val="1"/>
      <w:marLeft w:val="0"/>
      <w:marRight w:val="0"/>
      <w:marTop w:val="0"/>
      <w:marBottom w:val="0"/>
      <w:divBdr>
        <w:top w:val="none" w:sz="0" w:space="0" w:color="auto"/>
        <w:left w:val="none" w:sz="0" w:space="0" w:color="auto"/>
        <w:bottom w:val="none" w:sz="0" w:space="0" w:color="auto"/>
        <w:right w:val="none" w:sz="0" w:space="0" w:color="auto"/>
      </w:divBdr>
    </w:div>
    <w:div w:id="1513882877">
      <w:bodyDiv w:val="1"/>
      <w:marLeft w:val="0"/>
      <w:marRight w:val="0"/>
      <w:marTop w:val="0"/>
      <w:marBottom w:val="0"/>
      <w:divBdr>
        <w:top w:val="none" w:sz="0" w:space="0" w:color="auto"/>
        <w:left w:val="none" w:sz="0" w:space="0" w:color="auto"/>
        <w:bottom w:val="none" w:sz="0" w:space="0" w:color="auto"/>
        <w:right w:val="none" w:sz="0" w:space="0" w:color="auto"/>
      </w:divBdr>
    </w:div>
    <w:div w:id="2098598165">
      <w:bodyDiv w:val="1"/>
      <w:marLeft w:val="0"/>
      <w:marRight w:val="0"/>
      <w:marTop w:val="0"/>
      <w:marBottom w:val="0"/>
      <w:divBdr>
        <w:top w:val="none" w:sz="0" w:space="0" w:color="auto"/>
        <w:left w:val="none" w:sz="0" w:space="0" w:color="auto"/>
        <w:bottom w:val="none" w:sz="0" w:space="0" w:color="auto"/>
        <w:right w:val="none" w:sz="0" w:space="0" w:color="auto"/>
      </w:divBdr>
      <w:divsChild>
        <w:div w:id="848906662">
          <w:marLeft w:val="0"/>
          <w:marRight w:val="0"/>
          <w:marTop w:val="0"/>
          <w:marBottom w:val="0"/>
          <w:divBdr>
            <w:top w:val="none" w:sz="0" w:space="0" w:color="auto"/>
            <w:left w:val="none" w:sz="0" w:space="0" w:color="auto"/>
            <w:bottom w:val="none" w:sz="0" w:space="0" w:color="auto"/>
            <w:right w:val="none" w:sz="0" w:space="0" w:color="auto"/>
          </w:divBdr>
          <w:divsChild>
            <w:div w:id="367295171">
              <w:marLeft w:val="0"/>
              <w:marRight w:val="0"/>
              <w:marTop w:val="270"/>
              <w:marBottom w:val="0"/>
              <w:divBdr>
                <w:top w:val="none" w:sz="0" w:space="0" w:color="auto"/>
                <w:left w:val="none" w:sz="0" w:space="0" w:color="auto"/>
                <w:bottom w:val="none" w:sz="0" w:space="0" w:color="auto"/>
                <w:right w:val="none" w:sz="0" w:space="0" w:color="auto"/>
              </w:divBdr>
              <w:divsChild>
                <w:div w:id="1107315668">
                  <w:marLeft w:val="0"/>
                  <w:marRight w:val="0"/>
                  <w:marTop w:val="0"/>
                  <w:marBottom w:val="0"/>
                  <w:divBdr>
                    <w:top w:val="none" w:sz="0" w:space="0" w:color="auto"/>
                    <w:left w:val="none" w:sz="0" w:space="0" w:color="auto"/>
                    <w:bottom w:val="none" w:sz="0" w:space="0" w:color="auto"/>
                    <w:right w:val="none" w:sz="0" w:space="0" w:color="auto"/>
                  </w:divBdr>
                  <w:divsChild>
                    <w:div w:id="2064258258">
                      <w:marLeft w:val="0"/>
                      <w:marRight w:val="0"/>
                      <w:marTop w:val="0"/>
                      <w:marBottom w:val="0"/>
                      <w:divBdr>
                        <w:top w:val="none" w:sz="0" w:space="0" w:color="auto"/>
                        <w:left w:val="none" w:sz="0" w:space="0" w:color="auto"/>
                        <w:bottom w:val="none" w:sz="0" w:space="0" w:color="auto"/>
                        <w:right w:val="none" w:sz="0" w:space="0" w:color="auto"/>
                      </w:divBdr>
                      <w:divsChild>
                        <w:div w:id="1864393144">
                          <w:marLeft w:val="0"/>
                          <w:marRight w:val="0"/>
                          <w:marTop w:val="0"/>
                          <w:marBottom w:val="0"/>
                          <w:divBdr>
                            <w:top w:val="none" w:sz="0" w:space="0" w:color="auto"/>
                            <w:left w:val="none" w:sz="0" w:space="0" w:color="auto"/>
                            <w:bottom w:val="none" w:sz="0" w:space="0" w:color="auto"/>
                            <w:right w:val="none" w:sz="0" w:space="0" w:color="auto"/>
                          </w:divBdr>
                          <w:divsChild>
                            <w:div w:id="101870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65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mailto:medialiaison@treasury.gov.au" TargetMode="External"/><Relationship Id="rId39" Type="http://schemas.openxmlformats.org/officeDocument/2006/relationships/image" Target="media/image3.jpg"/><Relationship Id="rId21" Type="http://schemas.openxmlformats.org/officeDocument/2006/relationships/hyperlink" Target="http://creativecommons.org/licenses/by/3.0/au/deed.en" TargetMode="External"/><Relationship Id="rId34" Type="http://schemas.openxmlformats.org/officeDocument/2006/relationships/header" Target="header8.xml"/><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footer" Target="footer14.xml"/><Relationship Id="rId55" Type="http://schemas.openxmlformats.org/officeDocument/2006/relationships/footer" Target="footer16.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www.itsanhonour.gov.au" TargetMode="Externa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tiff"/><Relationship Id="rId29" Type="http://schemas.openxmlformats.org/officeDocument/2006/relationships/footer" Target="footer4.xml"/><Relationship Id="rId41" Type="http://schemas.openxmlformats.org/officeDocument/2006/relationships/header" Target="header11.xml"/><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creativecommons.org/licenses/by/3.0/au/deed.en" TargetMode="External"/><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header" Target="header13.xml"/><Relationship Id="rId53" Type="http://schemas.openxmlformats.org/officeDocument/2006/relationships/header" Target="header1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2.wmf"/><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header" Target="header15.xml"/><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eader" Target="header6.xml"/><Relationship Id="rId44" Type="http://schemas.openxmlformats.org/officeDocument/2006/relationships/footer" Target="footer11.xml"/><Relationship Id="rId52" Type="http://schemas.openxmlformats.org/officeDocument/2006/relationships/hyperlink" Target="http://www.treasury.gov.au/~/media/Treasury/Publications%20and%20Media/Publications/2015/Terrorism%20Insurance%20Act%20Review%202015/Downloads/PDF/Terrorism_Insurance_Act_Review-2015.ashx"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hyperlink" Target="http://creativecommons.org/licenses/by/3.0/au/legalcode" TargetMode="Externa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header" Target="header12.xml"/><Relationship Id="rId48" Type="http://schemas.openxmlformats.org/officeDocument/2006/relationships/footer" Target="footer13.xml"/><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www.treasury.gov.au/~/media/Treasury/Publications%20and%20Media/Publications/2015/Terrorism%20Insurance%20Act%20Review%202015/Downloads/PDF/Terrorism_Insurance_Act_Review-2015.ashx"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ww.weeklystandard.com/blogs/marketfineaftercongressfailsreauthorizefedbackedterrorismriskinsurance_822353.html" TargetMode="External"/><Relationship Id="rId1" Type="http://schemas.openxmlformats.org/officeDocument/2006/relationships/hyperlink" Target="http://www.courant.com/business/connecticutinsurance/hcterrorisminsuranceactexpires20141231story.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AT%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9f7bc583-7cbe-45b9-a2bd-8bbb6543b37e">
      <Value>23</Value>
    </TaxCatchAll>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TSY RA-9237 - Destroy 5 years after action completed</TermName>
          <TermId xmlns="http://schemas.microsoft.com/office/infopath/2007/PartnerControls">9f1a030e-81bf-44c5-98eb-4d5d869a40d5</TermId>
        </TermInfo>
      </Terms>
    </lb508a4dc5e84436a0fe496b536466aa>
    <_dlc_DocId xmlns="9f7bc583-7cbe-45b9-a2bd-8bbb6543b37e">2017RG-111-7081</_dlc_DocId>
    <_dlc_DocIdUrl xmlns="9f7bc583-7cbe-45b9-a2bd-8bbb6543b37e">
      <Url>http://tweb/sites/rg/ldp/lmu/_layouts/15/DocIdRedir.aspx?ID=2017RG-111-7081</Url>
      <Description>2017RG-111-7081</Description>
    </_dlc_DocIdUrl>
  </documentManagement>
</p:properties>
</file>

<file path=customXml/item3.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4.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D5C18F41BA18FB44827A222ACD6776F5" ma:contentTypeVersion="2834" ma:contentTypeDescription=" " ma:contentTypeScope="" ma:versionID="b9298eb9ce011469a6bba51db09e04e5">
  <xsd:schema xmlns:xsd="http://www.w3.org/2001/XMLSchema" xmlns:xs="http://www.w3.org/2001/XMLSchema" xmlns:p="http://schemas.microsoft.com/office/2006/metadata/properties" xmlns:ns1="http://schemas.microsoft.com/sharepoint/v3" xmlns:ns2="9f7bc583-7cbe-45b9-a2bd-8bbb6543b37e" xmlns:ns4="http://schemas.microsoft.com/sharepoint/v4" targetNamespace="http://schemas.microsoft.com/office/2006/metadata/properties" ma:root="true" ma:fieldsID="32f1aaaa33c51780a447a63930c25cc4" ns1:_="" ns2:_="" ns4:_="">
    <xsd:import namespace="http://schemas.microsoft.com/sharepoint/v3"/>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11;#TSY RA-9237 - Destroy 5 years after action completed|9f1a030e-81bf-44c5-98eb-4d5d869a40d5"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069e7114-c113-40ac-b5d9-743a6101772e">
      <p:Name>Auditing</p:Name>
      <p:Description>Audits user actions on documents and list items to the Audit Log.</p:Description>
      <p:CustomData>
        <Audit>
          <Update/>
          <View/>
          <CheckInOut/>
          <MoveCopy/>
          <DeleteRestore/>
        </Audit>
      </p:CustomData>
    </p:PolicyItem>
  </p:PolicyItems>
</p:Policy>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4F10A-B46A-486D-8D15-8FEFAFA040D7}">
  <ds:schemaRefs>
    <ds:schemaRef ds:uri="http://schemas.microsoft.com/sharepoint/v3/contenttype/forms"/>
  </ds:schemaRefs>
</ds:datastoreItem>
</file>

<file path=customXml/itemProps2.xml><?xml version="1.0" encoding="utf-8"?>
<ds:datastoreItem xmlns:ds="http://schemas.openxmlformats.org/officeDocument/2006/customXml" ds:itemID="{7D6436CA-14ED-4511-AA38-8D87C0E60D0F}">
  <ds:schemaRefs>
    <ds:schemaRef ds:uri="http://purl.org/dc/elements/1.1/"/>
    <ds:schemaRef ds:uri="http://schemas.microsoft.com/office/2006/documentManagement/types"/>
    <ds:schemaRef ds:uri="http://purl.org/dc/terms/"/>
    <ds:schemaRef ds:uri="http://schemas.microsoft.com/sharepoint/v3"/>
    <ds:schemaRef ds:uri="http://schemas.microsoft.com/office/2006/metadata/properties"/>
    <ds:schemaRef ds:uri="http://schemas.microsoft.com/sharepoint/v4"/>
    <ds:schemaRef ds:uri="http://www.w3.org/XML/1998/namespace"/>
    <ds:schemaRef ds:uri="9f7bc583-7cbe-45b9-a2bd-8bbb6543b37e"/>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B2C762C3-68D6-4050-93E2-C24D9951995F}">
  <ds:schemaRefs>
    <ds:schemaRef ds:uri="http://schemas.microsoft.com/sharepoint/events"/>
  </ds:schemaRefs>
</ds:datastoreItem>
</file>

<file path=customXml/itemProps4.xml><?xml version="1.0" encoding="utf-8"?>
<ds:datastoreItem xmlns:ds="http://schemas.openxmlformats.org/officeDocument/2006/customXml" ds:itemID="{7CFA366B-515A-4F0A-A0C9-94D05D638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7bc583-7cbe-45b9-a2bd-8bbb6543b3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655AADF-DC9E-43FF-B615-655E865FD5A1}">
  <ds:schemaRefs>
    <ds:schemaRef ds:uri="office.server.policy"/>
  </ds:schemaRefs>
</ds:datastoreItem>
</file>

<file path=customXml/itemProps6.xml><?xml version="1.0" encoding="utf-8"?>
<ds:datastoreItem xmlns:ds="http://schemas.openxmlformats.org/officeDocument/2006/customXml" ds:itemID="{103C31B7-A63F-4F18-A755-8E867CF47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 Report.dotm</Template>
  <TotalTime>1</TotalTime>
  <Pages>43</Pages>
  <Words>10418</Words>
  <Characters>59384</Characters>
  <Application>Microsoft Office Word</Application>
  <DocSecurity>4</DocSecurity>
  <Lines>494</Lines>
  <Paragraphs>139</Paragraphs>
  <ScaleCrop>false</ScaleCrop>
  <HeadingPairs>
    <vt:vector size="2" baseType="variant">
      <vt:variant>
        <vt:lpstr>Title</vt:lpstr>
      </vt:variant>
      <vt:variant>
        <vt:i4>1</vt:i4>
      </vt:variant>
    </vt:vector>
  </HeadingPairs>
  <TitlesOfParts>
    <vt:vector size="1" baseType="lpstr">
      <vt:lpstr>Terrorism Insurance Act Review 2015</vt:lpstr>
    </vt:vector>
  </TitlesOfParts>
  <Company>Australian Government - The Treasury</Company>
  <LinksUpToDate>false</LinksUpToDate>
  <CharactersWithSpaces>69663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Terrorism Insurance Act Review 2015</dc:title>
  <dc:creator>Kwong, Leron</dc:creator>
  <cp:lastModifiedBy>Edwards, Sarah</cp:lastModifiedBy>
  <cp:revision>2</cp:revision>
  <cp:lastPrinted>2017-03-17T03:53:00Z</cp:lastPrinted>
  <dcterms:created xsi:type="dcterms:W3CDTF">2017-05-28T23:17:00Z</dcterms:created>
  <dcterms:modified xsi:type="dcterms:W3CDTF">2017-05-28T23:17:00Z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0x01010036BB8DE7EC542E42A8B2E98CC20CB69700D5C18F41BA18FB44827A222ACD6776F5</vt:lpwstr>
  </property>
  <property fmtid="{D5CDD505-2E9C-101B-9397-08002B2CF9AE}" pid="3" name="_dlc_DocIdItemGuid">
    <vt:lpwstr>ff6f68ce-c0d7-4604-85ef-4d3aaa97ab78</vt:lpwstr>
  </property>
  <property fmtid="{D5CDD505-2E9C-101B-9397-08002B2CF9AE}" pid="4" name="_AdHocReviewCycleID">
    <vt:i4>-1046424002</vt:i4>
  </property>
  <property fmtid="{D5CDD505-2E9C-101B-9397-08002B2CF9AE}" pid="5" name="_NewReviewCycle">
    <vt:lpwstr/>
  </property>
  <property fmtid="{D5CDD505-2E9C-101B-9397-08002B2CF9AE}" pid="6" name="_EmailSubject">
    <vt:lpwstr>Determination [SEC=UNCLASSIFIED]</vt:lpwstr>
  </property>
  <property fmtid="{D5CDD505-2E9C-101B-9397-08002B2CF9AE}" pid="7" name="_AuthorEmail">
    <vt:lpwstr>Leron.Kwong@TREASURY.GOV.AU</vt:lpwstr>
  </property>
  <property fmtid="{D5CDD505-2E9C-101B-9397-08002B2CF9AE}" pid="8" name="_AuthorEmailDisplayName">
    <vt:lpwstr>Kwong, Leron</vt:lpwstr>
  </property>
  <property fmtid="{D5CDD505-2E9C-101B-9397-08002B2CF9AE}" pid="9" name="TSYRecordClass">
    <vt:lpwstr>11</vt:lpwstr>
  </property>
  <property fmtid="{D5CDD505-2E9C-101B-9397-08002B2CF9AE}" pid="10" name="_PreviousAdHocReviewCycleID">
    <vt:i4>906954231</vt:i4>
  </property>
  <property fmtid="{D5CDD505-2E9C-101B-9397-08002B2CF9AE}" pid="11" name="RecordPoint_WorkflowType">
    <vt:lpwstr>ActiveSubmitStub</vt:lpwstr>
  </property>
  <property fmtid="{D5CDD505-2E9C-101B-9397-08002B2CF9AE}" pid="12" name="RecordPoint_ActiveItemUniqueId">
    <vt:lpwstr>{ff6f68ce-c0d7-4604-85ef-4d3aaa97ab78}</vt:lpwstr>
  </property>
  <property fmtid="{D5CDD505-2E9C-101B-9397-08002B2CF9AE}" pid="13" name="RecordPoint_RecordNumberSubmitted">
    <vt:lpwstr>R0001328803</vt:lpwstr>
  </property>
  <property fmtid="{D5CDD505-2E9C-101B-9397-08002B2CF9AE}" pid="14" name="RecordPoint_SubmissionCompleted">
    <vt:lpwstr>2017-05-29T10:12:12.0569957+10:00</vt:lpwstr>
  </property>
  <property fmtid="{D5CDD505-2E9C-101B-9397-08002B2CF9AE}" pid="15" name="_ReviewingToolsShownOnce">
    <vt:lpwstr/>
  </property>
  <property fmtid="{D5CDD505-2E9C-101B-9397-08002B2CF9AE}" pid="16" name="RecordPoint_SubmissionDate">
    <vt:lpwstr/>
  </property>
  <property fmtid="{D5CDD505-2E9C-101B-9397-08002B2CF9AE}" pid="17" name="RecordPoint_ActiveItemListId">
    <vt:lpwstr>{1a010be9-83b3-4740-abb7-452f2d1120fe}</vt:lpwstr>
  </property>
  <property fmtid="{D5CDD505-2E9C-101B-9397-08002B2CF9AE}" pid="18" name="RecordPoint_ActiveItemMoved">
    <vt:lpwstr/>
  </property>
  <property fmtid="{D5CDD505-2E9C-101B-9397-08002B2CF9AE}" pid="19" name="RecordPoint_RecordFormat">
    <vt:lpwstr/>
  </property>
  <property fmtid="{D5CDD505-2E9C-101B-9397-08002B2CF9AE}" pid="20" name="RecordPoint_ActiveItemWebId">
    <vt:lpwstr>{2602612e-a30f-4de0-b9eb-e01e73dc8005}</vt:lpwstr>
  </property>
  <property fmtid="{D5CDD505-2E9C-101B-9397-08002B2CF9AE}" pid="21" name="RecordPoint_ActiveItemSiteId">
    <vt:lpwstr>{5b52b9a5-e5b2-4521-8814-a1e24ca2869d}</vt:lpwstr>
  </property>
</Properties>
</file>