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00"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Therapeutic Goods Information Specification 20</w:t>
      </w:r>
      <w:r w:rsidR="004E5C5E">
        <w:rPr>
          <w:b/>
        </w:rPr>
        <w:t>17</w:t>
      </w:r>
    </w:p>
    <w:p w:rsidR="00A2181D" w:rsidRDefault="00A2181D">
      <w:pPr>
        <w:jc w:val="center"/>
        <w:rPr>
          <w:b/>
        </w:rPr>
      </w:pPr>
    </w:p>
    <w:p w:rsidR="00B033BE" w:rsidRPr="00F0611E" w:rsidRDefault="00B033BE" w:rsidP="00B033BE">
      <w:pPr>
        <w:autoSpaceDE w:val="0"/>
        <w:autoSpaceDN w:val="0"/>
        <w:adjustRightInd w:val="0"/>
        <w:rPr>
          <w:rFonts w:ascii="Times New Roman" w:hAnsi="Times New Roman"/>
          <w:szCs w:val="24"/>
        </w:rPr>
      </w:pPr>
      <w:r w:rsidRPr="00F0611E">
        <w:rPr>
          <w:rFonts w:ascii="Times New Roman" w:hAnsi="Times New Roman"/>
          <w:szCs w:val="24"/>
        </w:rPr>
        <w:t xml:space="preserve">The </w:t>
      </w:r>
      <w:r w:rsidR="00F74F05">
        <w:rPr>
          <w:rFonts w:ascii="Times New Roman" w:hAnsi="Times New Roman"/>
          <w:szCs w:val="24"/>
        </w:rPr>
        <w:t xml:space="preserve">object of the </w:t>
      </w:r>
      <w:r w:rsidRPr="00F0611E">
        <w:rPr>
          <w:rFonts w:ascii="Times New Roman" w:hAnsi="Times New Roman"/>
          <w:i/>
          <w:szCs w:val="24"/>
        </w:rPr>
        <w:t>Therapeutic Goods Act 1989</w:t>
      </w:r>
      <w:r w:rsidRPr="00F0611E">
        <w:rPr>
          <w:rFonts w:ascii="Times New Roman" w:hAnsi="Times New Roman"/>
          <w:szCs w:val="24"/>
        </w:rPr>
        <w:t xml:space="preserve"> (the Act) </w:t>
      </w:r>
      <w:r w:rsidR="00F74F05">
        <w:rPr>
          <w:rFonts w:ascii="Times New Roman" w:hAnsi="Times New Roman"/>
          <w:szCs w:val="24"/>
        </w:rPr>
        <w:t xml:space="preserve">is to </w:t>
      </w:r>
      <w:r w:rsidRPr="00F0611E">
        <w:rPr>
          <w:rFonts w:ascii="Times New Roman" w:hAnsi="Times New Roman"/>
          <w:szCs w:val="24"/>
        </w:rPr>
        <w:t>establish and maint</w:t>
      </w:r>
      <w:r w:rsidR="00F74F05">
        <w:rPr>
          <w:rFonts w:ascii="Times New Roman" w:hAnsi="Times New Roman"/>
          <w:szCs w:val="24"/>
        </w:rPr>
        <w:t>ain</w:t>
      </w:r>
      <w:r w:rsidRPr="00F0611E">
        <w:rPr>
          <w:rFonts w:ascii="Times New Roman" w:hAnsi="Times New Roman"/>
          <w:szCs w:val="24"/>
        </w:rPr>
        <w:t xml:space="preserve"> a national system of controls for the quality, safety, efficacy</w:t>
      </w:r>
      <w:r w:rsidR="006F69C5">
        <w:rPr>
          <w:rFonts w:ascii="Times New Roman" w:hAnsi="Times New Roman"/>
          <w:szCs w:val="24"/>
        </w:rPr>
        <w:t>/performance</w:t>
      </w:r>
      <w:r w:rsidRPr="00F0611E">
        <w:rPr>
          <w:rFonts w:ascii="Times New Roman" w:hAnsi="Times New Roman"/>
          <w:szCs w:val="24"/>
        </w:rPr>
        <w:t xml:space="preserve"> and timely availability of therapeutic goods that are used in </w:t>
      </w:r>
      <w:r w:rsidR="00F74F05">
        <w:rPr>
          <w:rFonts w:ascii="Times New Roman" w:hAnsi="Times New Roman"/>
          <w:szCs w:val="24"/>
        </w:rPr>
        <w:t xml:space="preserve">Australia </w:t>
      </w:r>
      <w:r w:rsidRPr="00F0611E">
        <w:rPr>
          <w:rFonts w:ascii="Times New Roman" w:hAnsi="Times New Roman"/>
          <w:szCs w:val="24"/>
        </w:rPr>
        <w:t>or exported from Australia.  The Therapeutic Goods Administration (the TGA), which is part of the Department of Health, is responsible for administering the Act.</w:t>
      </w:r>
    </w:p>
    <w:p w:rsidR="00B033BE" w:rsidRPr="00F0611E" w:rsidRDefault="00B033BE" w:rsidP="00B033BE">
      <w:pPr>
        <w:autoSpaceDE w:val="0"/>
        <w:autoSpaceDN w:val="0"/>
        <w:adjustRightInd w:val="0"/>
        <w:rPr>
          <w:rFonts w:ascii="Times New Roman" w:hAnsi="Times New Roman"/>
          <w:szCs w:val="24"/>
        </w:rPr>
      </w:pPr>
    </w:p>
    <w:p w:rsidR="00B033BE" w:rsidRPr="00F0611E" w:rsidRDefault="00B033BE" w:rsidP="00B033BE">
      <w:pPr>
        <w:autoSpaceDE w:val="0"/>
        <w:autoSpaceDN w:val="0"/>
        <w:adjustRightInd w:val="0"/>
        <w:rPr>
          <w:rFonts w:ascii="Times New Roman" w:hAnsi="Times New Roman"/>
          <w:szCs w:val="24"/>
        </w:rPr>
      </w:pPr>
      <w:r w:rsidRPr="00F0611E">
        <w:rPr>
          <w:rFonts w:ascii="Times New Roman" w:hAnsi="Times New Roman"/>
          <w:szCs w:val="24"/>
        </w:rPr>
        <w:t xml:space="preserve">Section 61 of the Act lists a number of persons or organisations, such as the World Health Organisation and </w:t>
      </w:r>
      <w:r w:rsidR="00D865E2">
        <w:rPr>
          <w:rFonts w:ascii="Times New Roman" w:hAnsi="Times New Roman"/>
          <w:szCs w:val="24"/>
        </w:rPr>
        <w:t>s</w:t>
      </w:r>
      <w:r w:rsidRPr="00F0611E">
        <w:rPr>
          <w:rFonts w:ascii="Times New Roman" w:hAnsi="Times New Roman"/>
          <w:szCs w:val="24"/>
        </w:rPr>
        <w:t xml:space="preserve">tate </w:t>
      </w:r>
      <w:r w:rsidR="00D865E2">
        <w:rPr>
          <w:rFonts w:ascii="Times New Roman" w:hAnsi="Times New Roman"/>
          <w:szCs w:val="24"/>
        </w:rPr>
        <w:t>and t</w:t>
      </w:r>
      <w:r w:rsidRPr="00F0611E">
        <w:rPr>
          <w:rFonts w:ascii="Times New Roman" w:hAnsi="Times New Roman"/>
          <w:szCs w:val="24"/>
        </w:rPr>
        <w:t>erritory authorities that have functions relating to therapeutic goods, to which the Secretary of the Department of Health can release specified kinds of therapeutic goods information.  Section 61 also allows the Minister for Health to make a legislative instrument setting out other circumstances in which the Secretary can release therapeutic goods information to the public under that section.</w:t>
      </w:r>
    </w:p>
    <w:p w:rsidR="00B033BE" w:rsidRPr="00F0611E" w:rsidRDefault="00B033BE" w:rsidP="00B033BE">
      <w:pPr>
        <w:autoSpaceDE w:val="0"/>
        <w:autoSpaceDN w:val="0"/>
        <w:adjustRightInd w:val="0"/>
        <w:rPr>
          <w:rFonts w:ascii="Times New Roman" w:hAnsi="Times New Roman"/>
          <w:szCs w:val="24"/>
        </w:rPr>
      </w:pPr>
    </w:p>
    <w:p w:rsidR="006464B2" w:rsidRPr="00F0611E" w:rsidRDefault="00EB28D7" w:rsidP="00B033BE">
      <w:pPr>
        <w:autoSpaceDE w:val="0"/>
        <w:autoSpaceDN w:val="0"/>
        <w:adjustRightInd w:val="0"/>
        <w:rPr>
          <w:rFonts w:ascii="Times New Roman" w:hAnsi="Times New Roman"/>
          <w:szCs w:val="24"/>
        </w:rPr>
      </w:pPr>
      <w:r>
        <w:rPr>
          <w:rFonts w:ascii="Times New Roman" w:hAnsi="Times New Roman"/>
          <w:szCs w:val="24"/>
        </w:rPr>
        <w:t xml:space="preserve">The </w:t>
      </w:r>
      <w:r w:rsidR="004B0AE7" w:rsidRPr="001D6C07">
        <w:rPr>
          <w:rFonts w:ascii="Times New Roman" w:hAnsi="Times New Roman"/>
          <w:i/>
          <w:szCs w:val="24"/>
        </w:rPr>
        <w:t>Therapeutic Goods Information Specification 20</w:t>
      </w:r>
      <w:r w:rsidR="007411C3" w:rsidRPr="001D6C07">
        <w:rPr>
          <w:rFonts w:ascii="Times New Roman" w:hAnsi="Times New Roman"/>
          <w:i/>
          <w:szCs w:val="24"/>
        </w:rPr>
        <w:t>1</w:t>
      </w:r>
      <w:r w:rsidR="00FF38F0" w:rsidRPr="001D6C07">
        <w:rPr>
          <w:rFonts w:ascii="Times New Roman" w:hAnsi="Times New Roman"/>
          <w:i/>
          <w:szCs w:val="24"/>
        </w:rPr>
        <w:t>7</w:t>
      </w:r>
      <w:r w:rsidR="004B0AE7" w:rsidRPr="00F0611E">
        <w:rPr>
          <w:rFonts w:ascii="Times New Roman" w:hAnsi="Times New Roman"/>
          <w:szCs w:val="24"/>
        </w:rPr>
        <w:t xml:space="preserve"> (the Specification) is made by </w:t>
      </w:r>
      <w:r w:rsidR="005B6899">
        <w:rPr>
          <w:rFonts w:ascii="Times New Roman" w:hAnsi="Times New Roman"/>
          <w:szCs w:val="24"/>
        </w:rPr>
        <w:t xml:space="preserve">a delegate of </w:t>
      </w:r>
      <w:r w:rsidR="004B0AE7" w:rsidRPr="00F0611E">
        <w:rPr>
          <w:rFonts w:ascii="Times New Roman" w:hAnsi="Times New Roman"/>
          <w:szCs w:val="24"/>
        </w:rPr>
        <w:t xml:space="preserve">the Minister under subsection 61(5D) of </w:t>
      </w:r>
      <w:r w:rsidR="002C5253" w:rsidRPr="00F0611E">
        <w:rPr>
          <w:rFonts w:ascii="Times New Roman" w:hAnsi="Times New Roman"/>
          <w:szCs w:val="24"/>
        </w:rPr>
        <w:t xml:space="preserve">the Act </w:t>
      </w:r>
      <w:r w:rsidR="00696977" w:rsidRPr="00F0611E">
        <w:rPr>
          <w:rFonts w:ascii="Times New Roman" w:hAnsi="Times New Roman"/>
          <w:szCs w:val="24"/>
        </w:rPr>
        <w:t xml:space="preserve">and </w:t>
      </w:r>
      <w:r w:rsidR="00D865E2">
        <w:rPr>
          <w:rFonts w:ascii="Times New Roman" w:hAnsi="Times New Roman"/>
          <w:szCs w:val="24"/>
        </w:rPr>
        <w:t>s</w:t>
      </w:r>
      <w:r w:rsidR="00696977" w:rsidRPr="00F0611E">
        <w:rPr>
          <w:rFonts w:ascii="Times New Roman" w:hAnsi="Times New Roman"/>
          <w:szCs w:val="24"/>
        </w:rPr>
        <w:t xml:space="preserve">pecifies </w:t>
      </w:r>
      <w:r w:rsidR="004B0AE7" w:rsidRPr="00F0611E">
        <w:rPr>
          <w:rFonts w:ascii="Times New Roman" w:hAnsi="Times New Roman"/>
          <w:szCs w:val="24"/>
        </w:rPr>
        <w:t>kinds of therapeutic goods information that may be released to the public by the Secretary under subsection 61(5C) of the Act.</w:t>
      </w:r>
      <w:r w:rsidR="00D865E2">
        <w:rPr>
          <w:rFonts w:ascii="Times New Roman" w:hAnsi="Times New Roman"/>
          <w:szCs w:val="24"/>
        </w:rPr>
        <w:t xml:space="preserve">  </w:t>
      </w:r>
      <w:r w:rsidR="002C5253" w:rsidRPr="00F0611E">
        <w:rPr>
          <w:rFonts w:ascii="Times New Roman" w:hAnsi="Times New Roman"/>
          <w:szCs w:val="24"/>
        </w:rPr>
        <w:t>The Specification has the effect of permitting the Secretary to release therapeutic goods information of a kind mentioned in the Specification to the public.</w:t>
      </w:r>
    </w:p>
    <w:p w:rsidR="006464B2" w:rsidRPr="00F0611E" w:rsidRDefault="006464B2" w:rsidP="00B16CCB">
      <w:pPr>
        <w:autoSpaceDE w:val="0"/>
        <w:autoSpaceDN w:val="0"/>
        <w:adjustRightInd w:val="0"/>
        <w:rPr>
          <w:rFonts w:ascii="Times New Roman" w:hAnsi="Times New Roman"/>
          <w:szCs w:val="24"/>
        </w:rPr>
      </w:pPr>
    </w:p>
    <w:p w:rsidR="006464B2" w:rsidRPr="00F0611E" w:rsidRDefault="002C5253" w:rsidP="002C5253">
      <w:pPr>
        <w:autoSpaceDE w:val="0"/>
        <w:autoSpaceDN w:val="0"/>
        <w:adjustRightInd w:val="0"/>
        <w:rPr>
          <w:rFonts w:ascii="Times New Roman" w:hAnsi="Times New Roman"/>
          <w:szCs w:val="24"/>
        </w:rPr>
      </w:pPr>
      <w:r w:rsidRPr="00F0611E">
        <w:rPr>
          <w:rFonts w:ascii="Times New Roman" w:hAnsi="Times New Roman"/>
          <w:szCs w:val="24"/>
        </w:rPr>
        <w:t>Therapeutic goods information in this context is defined in subsection 61(1) of the Act as information in relation to therapeutic goods that is held by the Department and which relates to the performance of the Department’s functions.</w:t>
      </w:r>
      <w:r w:rsidR="00CF0639">
        <w:rPr>
          <w:rFonts w:ascii="Times New Roman" w:hAnsi="Times New Roman"/>
          <w:szCs w:val="24"/>
        </w:rPr>
        <w:t xml:space="preserve">  </w:t>
      </w:r>
    </w:p>
    <w:p w:rsidR="00CE1D11" w:rsidRDefault="00CE1D11" w:rsidP="00CE1D11">
      <w:pPr>
        <w:spacing w:before="100" w:beforeAutospacing="1" w:after="100" w:afterAutospacing="1"/>
        <w:rPr>
          <w:rFonts w:ascii="Times New Roman" w:hAnsi="Times New Roman"/>
          <w:szCs w:val="24"/>
        </w:rPr>
      </w:pPr>
      <w:r>
        <w:rPr>
          <w:rFonts w:ascii="Times New Roman" w:hAnsi="Times New Roman"/>
          <w:szCs w:val="24"/>
        </w:rPr>
        <w:t xml:space="preserve">The Specification repeals the previous </w:t>
      </w:r>
      <w:r w:rsidRPr="0084067A">
        <w:rPr>
          <w:rFonts w:ascii="Times New Roman" w:hAnsi="Times New Roman"/>
          <w:i/>
          <w:szCs w:val="24"/>
        </w:rPr>
        <w:t>Therapeutic Goods Information Specification 201</w:t>
      </w:r>
      <w:r w:rsidR="0049478E">
        <w:rPr>
          <w:rFonts w:ascii="Times New Roman" w:hAnsi="Times New Roman"/>
          <w:i/>
          <w:szCs w:val="24"/>
        </w:rPr>
        <w:t>5</w:t>
      </w:r>
      <w:r w:rsidR="007C1F34">
        <w:rPr>
          <w:rFonts w:ascii="Times New Roman" w:hAnsi="Times New Roman"/>
          <w:szCs w:val="24"/>
        </w:rPr>
        <w:t xml:space="preserve"> (the 2015 Specification)</w:t>
      </w:r>
      <w:r>
        <w:rPr>
          <w:rFonts w:ascii="Times New Roman" w:hAnsi="Times New Roman"/>
          <w:szCs w:val="24"/>
        </w:rPr>
        <w:t xml:space="preserve">. The purpose of the Specification is to </w:t>
      </w:r>
      <w:r w:rsidR="00F74F05">
        <w:rPr>
          <w:rFonts w:ascii="Times New Roman" w:hAnsi="Times New Roman"/>
          <w:szCs w:val="24"/>
        </w:rPr>
        <w:t xml:space="preserve">update the references </w:t>
      </w:r>
      <w:r w:rsidR="000109DC">
        <w:rPr>
          <w:rFonts w:ascii="Times New Roman" w:hAnsi="Times New Roman"/>
          <w:szCs w:val="24"/>
        </w:rPr>
        <w:t xml:space="preserve">in the 2015 Specification </w:t>
      </w:r>
      <w:r w:rsidR="00F74F05">
        <w:rPr>
          <w:rFonts w:ascii="Times New Roman" w:hAnsi="Times New Roman"/>
          <w:szCs w:val="24"/>
        </w:rPr>
        <w:t xml:space="preserve">to the names of certain expert committees </w:t>
      </w:r>
      <w:r>
        <w:rPr>
          <w:rFonts w:ascii="Times New Roman" w:hAnsi="Times New Roman"/>
          <w:szCs w:val="24"/>
        </w:rPr>
        <w:t xml:space="preserve">established under the </w:t>
      </w:r>
      <w:r w:rsidRPr="0084067A">
        <w:rPr>
          <w:rFonts w:ascii="Times New Roman" w:hAnsi="Times New Roman"/>
          <w:i/>
          <w:szCs w:val="24"/>
        </w:rPr>
        <w:t>Therapeutic Goods Regulations 1990</w:t>
      </w:r>
      <w:r>
        <w:rPr>
          <w:rFonts w:ascii="Times New Roman" w:hAnsi="Times New Roman"/>
          <w:szCs w:val="24"/>
        </w:rPr>
        <w:t xml:space="preserve"> (the Regulations)</w:t>
      </w:r>
      <w:r w:rsidR="00F74F05">
        <w:rPr>
          <w:rFonts w:ascii="Times New Roman" w:hAnsi="Times New Roman"/>
          <w:szCs w:val="24"/>
        </w:rPr>
        <w:t xml:space="preserve">, as these </w:t>
      </w:r>
      <w:r w:rsidR="000109DC">
        <w:rPr>
          <w:rFonts w:ascii="Times New Roman" w:hAnsi="Times New Roman"/>
          <w:szCs w:val="24"/>
        </w:rPr>
        <w:t xml:space="preserve">have recently </w:t>
      </w:r>
      <w:r w:rsidR="00F74F05">
        <w:rPr>
          <w:rFonts w:ascii="Times New Roman" w:hAnsi="Times New Roman"/>
          <w:szCs w:val="24"/>
        </w:rPr>
        <w:t xml:space="preserve">changed </w:t>
      </w:r>
      <w:r w:rsidR="000109DC">
        <w:rPr>
          <w:rFonts w:ascii="Times New Roman" w:hAnsi="Times New Roman"/>
          <w:szCs w:val="24"/>
        </w:rPr>
        <w:t>following the introduction of</w:t>
      </w:r>
      <w:r w:rsidR="00F74F05">
        <w:rPr>
          <w:rFonts w:ascii="Times New Roman" w:hAnsi="Times New Roman"/>
          <w:szCs w:val="24"/>
        </w:rPr>
        <w:t xml:space="preserve"> a new</w:t>
      </w:r>
      <w:r w:rsidR="000109DC">
        <w:rPr>
          <w:rFonts w:ascii="Times New Roman" w:hAnsi="Times New Roman"/>
          <w:szCs w:val="24"/>
        </w:rPr>
        <w:t>, revised advisory</w:t>
      </w:r>
      <w:r w:rsidR="00F74F05">
        <w:rPr>
          <w:rFonts w:ascii="Times New Roman" w:hAnsi="Times New Roman"/>
          <w:szCs w:val="24"/>
        </w:rPr>
        <w:t xml:space="preserve"> Committee structure on 1 January 2017. This will </w:t>
      </w:r>
      <w:r>
        <w:rPr>
          <w:rFonts w:ascii="Times New Roman" w:hAnsi="Times New Roman"/>
          <w:szCs w:val="24"/>
        </w:rPr>
        <w:t xml:space="preserve">ensure </w:t>
      </w:r>
      <w:r w:rsidR="00F74F05">
        <w:rPr>
          <w:rFonts w:ascii="Times New Roman" w:hAnsi="Times New Roman"/>
          <w:szCs w:val="24"/>
        </w:rPr>
        <w:t xml:space="preserve">that the </w:t>
      </w:r>
      <w:r>
        <w:rPr>
          <w:rFonts w:ascii="Times New Roman" w:hAnsi="Times New Roman"/>
          <w:szCs w:val="24"/>
        </w:rPr>
        <w:t xml:space="preserve">appropriate </w:t>
      </w:r>
      <w:r w:rsidR="00142201">
        <w:rPr>
          <w:rFonts w:ascii="Times New Roman" w:hAnsi="Times New Roman"/>
          <w:szCs w:val="24"/>
        </w:rPr>
        <w:t xml:space="preserve">release </w:t>
      </w:r>
      <w:r>
        <w:rPr>
          <w:rFonts w:ascii="Times New Roman" w:hAnsi="Times New Roman"/>
          <w:szCs w:val="24"/>
        </w:rPr>
        <w:t xml:space="preserve">of </w:t>
      </w:r>
      <w:r w:rsidR="00C77F12">
        <w:rPr>
          <w:rFonts w:ascii="Times New Roman" w:hAnsi="Times New Roman"/>
          <w:szCs w:val="24"/>
        </w:rPr>
        <w:t xml:space="preserve">relevant </w:t>
      </w:r>
      <w:r>
        <w:rPr>
          <w:rFonts w:ascii="Times New Roman" w:hAnsi="Times New Roman"/>
          <w:szCs w:val="24"/>
        </w:rPr>
        <w:t xml:space="preserve">information </w:t>
      </w:r>
      <w:r w:rsidR="00C77F12">
        <w:rPr>
          <w:rFonts w:ascii="Times New Roman" w:hAnsi="Times New Roman"/>
          <w:szCs w:val="24"/>
        </w:rPr>
        <w:t xml:space="preserve">under the Specification </w:t>
      </w:r>
      <w:r>
        <w:rPr>
          <w:rFonts w:ascii="Times New Roman" w:hAnsi="Times New Roman"/>
          <w:szCs w:val="24"/>
        </w:rPr>
        <w:t>may continue.</w:t>
      </w:r>
      <w:r w:rsidR="007C1F34">
        <w:rPr>
          <w:rFonts w:ascii="Times New Roman" w:hAnsi="Times New Roman"/>
          <w:szCs w:val="24"/>
        </w:rPr>
        <w:t xml:space="preserve"> </w:t>
      </w:r>
    </w:p>
    <w:p w:rsidR="006464B2" w:rsidRPr="00F0611E" w:rsidRDefault="006F7E73" w:rsidP="00B16CCB">
      <w:pPr>
        <w:autoSpaceDE w:val="0"/>
        <w:autoSpaceDN w:val="0"/>
        <w:adjustRightInd w:val="0"/>
        <w:rPr>
          <w:rFonts w:ascii="Times New Roman" w:hAnsi="Times New Roman"/>
          <w:szCs w:val="24"/>
        </w:rPr>
      </w:pPr>
      <w:r w:rsidRPr="00F0611E">
        <w:rPr>
          <w:rFonts w:ascii="Times New Roman" w:hAnsi="Times New Roman"/>
          <w:szCs w:val="24"/>
        </w:rPr>
        <w:t xml:space="preserve">The Specification commenced on the day after it was registered on the Federal Register of </w:t>
      </w:r>
      <w:r w:rsidR="008C6C4B">
        <w:rPr>
          <w:rFonts w:ascii="Times New Roman" w:hAnsi="Times New Roman"/>
          <w:szCs w:val="24"/>
        </w:rPr>
        <w:t>Legislation</w:t>
      </w:r>
      <w:r w:rsidRPr="00F0611E">
        <w:rPr>
          <w:rFonts w:ascii="Times New Roman" w:hAnsi="Times New Roman"/>
          <w:szCs w:val="24"/>
        </w:rPr>
        <w:t>.</w:t>
      </w:r>
    </w:p>
    <w:p w:rsidR="006464B2" w:rsidRPr="00F0611E" w:rsidRDefault="006464B2" w:rsidP="00B16CCB">
      <w:pPr>
        <w:autoSpaceDE w:val="0"/>
        <w:autoSpaceDN w:val="0"/>
        <w:adjustRightInd w:val="0"/>
        <w:rPr>
          <w:rFonts w:ascii="Times New Roman" w:hAnsi="Times New Roman"/>
          <w:szCs w:val="24"/>
        </w:rPr>
      </w:pPr>
    </w:p>
    <w:p w:rsidR="006464B2" w:rsidRPr="00F0611E" w:rsidRDefault="006F7E73" w:rsidP="00B033BE">
      <w:pPr>
        <w:autoSpaceDE w:val="0"/>
        <w:autoSpaceDN w:val="0"/>
        <w:adjustRightInd w:val="0"/>
        <w:spacing w:after="120"/>
        <w:rPr>
          <w:rFonts w:ascii="Times New Roman" w:hAnsi="Times New Roman"/>
          <w:b/>
          <w:szCs w:val="24"/>
        </w:rPr>
      </w:pPr>
      <w:r w:rsidRPr="00F0611E">
        <w:rPr>
          <w:rFonts w:ascii="Times New Roman" w:hAnsi="Times New Roman"/>
          <w:b/>
          <w:szCs w:val="24"/>
        </w:rPr>
        <w:t>BACKGROUND</w:t>
      </w:r>
    </w:p>
    <w:p w:rsidR="001F0C7E" w:rsidRPr="00F0611E" w:rsidRDefault="004C0711" w:rsidP="007411C3">
      <w:pPr>
        <w:autoSpaceDE w:val="0"/>
        <w:autoSpaceDN w:val="0"/>
        <w:adjustRightInd w:val="0"/>
        <w:rPr>
          <w:rFonts w:ascii="Times New Roman" w:hAnsi="Times New Roman"/>
          <w:szCs w:val="24"/>
        </w:rPr>
      </w:pPr>
      <w:r>
        <w:rPr>
          <w:rFonts w:ascii="Times New Roman" w:hAnsi="Times New Roman"/>
          <w:szCs w:val="24"/>
        </w:rPr>
        <w:t xml:space="preserve">Amendments </w:t>
      </w:r>
      <w:r w:rsidR="007411C3" w:rsidRPr="00F0611E">
        <w:rPr>
          <w:rFonts w:ascii="Times New Roman" w:hAnsi="Times New Roman"/>
          <w:szCs w:val="24"/>
        </w:rPr>
        <w:t>to section 61 of the Act</w:t>
      </w:r>
      <w:r>
        <w:rPr>
          <w:rFonts w:ascii="Times New Roman" w:hAnsi="Times New Roman"/>
          <w:szCs w:val="24"/>
        </w:rPr>
        <w:t xml:space="preserve"> made in 2009</w:t>
      </w:r>
      <w:r w:rsidR="00D865E2">
        <w:rPr>
          <w:rFonts w:ascii="Times New Roman" w:hAnsi="Times New Roman"/>
          <w:szCs w:val="24"/>
        </w:rPr>
        <w:t>,</w:t>
      </w:r>
      <w:r w:rsidR="007411C3" w:rsidRPr="00F0611E">
        <w:rPr>
          <w:rFonts w:ascii="Times New Roman" w:hAnsi="Times New Roman"/>
          <w:szCs w:val="24"/>
        </w:rPr>
        <w:t xml:space="preserve"> </w:t>
      </w:r>
      <w:r w:rsidR="00D865E2" w:rsidRPr="00F0611E">
        <w:rPr>
          <w:rFonts w:ascii="Times New Roman" w:hAnsi="Times New Roman"/>
          <w:szCs w:val="24"/>
        </w:rPr>
        <w:t xml:space="preserve">including </w:t>
      </w:r>
      <w:r w:rsidR="00EB28D7">
        <w:rPr>
          <w:rFonts w:ascii="Times New Roman" w:hAnsi="Times New Roman"/>
          <w:szCs w:val="24"/>
        </w:rPr>
        <w:t xml:space="preserve">the introduction of </w:t>
      </w:r>
      <w:r w:rsidR="00D865E2" w:rsidRPr="00F0611E">
        <w:rPr>
          <w:rFonts w:ascii="Times New Roman" w:hAnsi="Times New Roman"/>
          <w:szCs w:val="24"/>
        </w:rPr>
        <w:t>subsections 61(5C) and (5D)</w:t>
      </w:r>
      <w:r w:rsidR="00D865E2">
        <w:rPr>
          <w:rFonts w:ascii="Times New Roman" w:hAnsi="Times New Roman"/>
          <w:szCs w:val="24"/>
        </w:rPr>
        <w:t>,</w:t>
      </w:r>
      <w:r w:rsidR="00D865E2" w:rsidRPr="00F0611E">
        <w:rPr>
          <w:rFonts w:ascii="Times New Roman" w:hAnsi="Times New Roman"/>
          <w:szCs w:val="24"/>
        </w:rPr>
        <w:t xml:space="preserve"> </w:t>
      </w:r>
      <w:r w:rsidR="00D865E2">
        <w:rPr>
          <w:rFonts w:ascii="Times New Roman" w:hAnsi="Times New Roman"/>
          <w:szCs w:val="24"/>
        </w:rPr>
        <w:t>facilitat</w:t>
      </w:r>
      <w:r>
        <w:rPr>
          <w:rFonts w:ascii="Times New Roman" w:hAnsi="Times New Roman"/>
          <w:szCs w:val="24"/>
        </w:rPr>
        <w:t>e</w:t>
      </w:r>
      <w:r w:rsidR="008F27A1">
        <w:rPr>
          <w:rFonts w:ascii="Times New Roman" w:hAnsi="Times New Roman"/>
          <w:szCs w:val="24"/>
        </w:rPr>
        <w:t>d</w:t>
      </w:r>
      <w:r w:rsidR="00D865E2">
        <w:rPr>
          <w:rFonts w:ascii="Times New Roman" w:hAnsi="Times New Roman"/>
          <w:szCs w:val="24"/>
        </w:rPr>
        <w:t xml:space="preserve"> </w:t>
      </w:r>
      <w:r w:rsidR="00EB28D7">
        <w:rPr>
          <w:rFonts w:ascii="Times New Roman" w:hAnsi="Times New Roman"/>
          <w:szCs w:val="24"/>
        </w:rPr>
        <w:t xml:space="preserve">a </w:t>
      </w:r>
      <w:r w:rsidR="007411C3" w:rsidRPr="00F0611E">
        <w:rPr>
          <w:rFonts w:ascii="Times New Roman" w:hAnsi="Times New Roman"/>
          <w:szCs w:val="24"/>
        </w:rPr>
        <w:t>more extensive release of therapeutic goods information</w:t>
      </w:r>
      <w:r w:rsidR="00D865E2">
        <w:rPr>
          <w:rFonts w:ascii="Times New Roman" w:hAnsi="Times New Roman"/>
          <w:szCs w:val="24"/>
        </w:rPr>
        <w:t xml:space="preserve"> by the Secretary.</w:t>
      </w:r>
      <w:r w:rsidR="007411C3" w:rsidRPr="00F0611E">
        <w:rPr>
          <w:rFonts w:ascii="Times New Roman" w:hAnsi="Times New Roman"/>
          <w:szCs w:val="24"/>
        </w:rPr>
        <w:t xml:space="preserve"> </w:t>
      </w:r>
      <w:r w:rsidR="00F35DA4">
        <w:rPr>
          <w:rFonts w:ascii="Times New Roman" w:hAnsi="Times New Roman"/>
          <w:szCs w:val="24"/>
        </w:rPr>
        <w:t xml:space="preserve"> </w:t>
      </w:r>
      <w:r w:rsidR="007411C3" w:rsidRPr="00F0611E">
        <w:rPr>
          <w:rFonts w:ascii="Times New Roman" w:hAnsi="Times New Roman"/>
          <w:szCs w:val="24"/>
        </w:rPr>
        <w:t xml:space="preserve">These amendments supported the making of the </w:t>
      </w:r>
      <w:r w:rsidR="007C1F34">
        <w:rPr>
          <w:rFonts w:ascii="Times New Roman" w:hAnsi="Times New Roman"/>
          <w:szCs w:val="24"/>
        </w:rPr>
        <w:t xml:space="preserve">previous </w:t>
      </w:r>
      <w:r w:rsidR="007C1F34" w:rsidRPr="007C1F34">
        <w:rPr>
          <w:rFonts w:ascii="Times New Roman" w:hAnsi="Times New Roman"/>
          <w:i/>
          <w:szCs w:val="24"/>
        </w:rPr>
        <w:t>Therapeutic Goods Information Specification 2009</w:t>
      </w:r>
      <w:r w:rsidR="007C1F34">
        <w:rPr>
          <w:rFonts w:ascii="Times New Roman" w:hAnsi="Times New Roman"/>
          <w:szCs w:val="24"/>
        </w:rPr>
        <w:t xml:space="preserve"> (the 2009 </w:t>
      </w:r>
      <w:r w:rsidR="007411C3" w:rsidRPr="00F0611E">
        <w:rPr>
          <w:rFonts w:ascii="Times New Roman" w:hAnsi="Times New Roman"/>
          <w:szCs w:val="24"/>
        </w:rPr>
        <w:t>Specification</w:t>
      </w:r>
      <w:r w:rsidR="007C1F34">
        <w:rPr>
          <w:rFonts w:ascii="Times New Roman" w:hAnsi="Times New Roman"/>
          <w:szCs w:val="24"/>
        </w:rPr>
        <w:t>)</w:t>
      </w:r>
      <w:r w:rsidR="007411C3" w:rsidRPr="00F0611E">
        <w:rPr>
          <w:rFonts w:ascii="Times New Roman" w:hAnsi="Times New Roman"/>
          <w:szCs w:val="24"/>
        </w:rPr>
        <w:t xml:space="preserve"> which allow</w:t>
      </w:r>
      <w:r w:rsidR="007C1F34">
        <w:rPr>
          <w:rFonts w:ascii="Times New Roman" w:hAnsi="Times New Roman"/>
          <w:szCs w:val="24"/>
        </w:rPr>
        <w:t>ed</w:t>
      </w:r>
      <w:r w:rsidR="007411C3" w:rsidRPr="00F0611E">
        <w:rPr>
          <w:rFonts w:ascii="Times New Roman" w:hAnsi="Times New Roman"/>
          <w:szCs w:val="24"/>
        </w:rPr>
        <w:t xml:space="preserve"> the Secretary to release to the public a range of information, primarily </w:t>
      </w:r>
      <w:r w:rsidR="00D865E2">
        <w:rPr>
          <w:rFonts w:ascii="Times New Roman" w:hAnsi="Times New Roman"/>
          <w:szCs w:val="24"/>
        </w:rPr>
        <w:t xml:space="preserve">relating to </w:t>
      </w:r>
      <w:r w:rsidR="007411C3" w:rsidRPr="00F0611E">
        <w:rPr>
          <w:rFonts w:ascii="Times New Roman" w:hAnsi="Times New Roman"/>
          <w:szCs w:val="24"/>
        </w:rPr>
        <w:t xml:space="preserve">registered therapeutic goods.  </w:t>
      </w:r>
    </w:p>
    <w:p w:rsidR="001F0C7E" w:rsidRPr="00F0611E" w:rsidRDefault="001F0C7E" w:rsidP="007411C3">
      <w:pPr>
        <w:autoSpaceDE w:val="0"/>
        <w:autoSpaceDN w:val="0"/>
        <w:adjustRightInd w:val="0"/>
        <w:rPr>
          <w:rFonts w:ascii="Times New Roman" w:hAnsi="Times New Roman"/>
          <w:szCs w:val="24"/>
        </w:rPr>
      </w:pPr>
    </w:p>
    <w:p w:rsidR="007411C3" w:rsidRPr="00F0611E" w:rsidRDefault="006F69C5" w:rsidP="007411C3">
      <w:pPr>
        <w:autoSpaceDE w:val="0"/>
        <w:autoSpaceDN w:val="0"/>
        <w:adjustRightInd w:val="0"/>
        <w:rPr>
          <w:rFonts w:ascii="Times New Roman" w:hAnsi="Times New Roman"/>
          <w:szCs w:val="24"/>
        </w:rPr>
      </w:pPr>
      <w:r>
        <w:rPr>
          <w:rFonts w:ascii="Times New Roman" w:hAnsi="Times New Roman"/>
          <w:szCs w:val="24"/>
        </w:rPr>
        <w:t xml:space="preserve">The </w:t>
      </w:r>
      <w:r w:rsidR="007411C3" w:rsidRPr="00F0611E">
        <w:rPr>
          <w:rFonts w:ascii="Times New Roman" w:hAnsi="Times New Roman"/>
          <w:szCs w:val="24"/>
        </w:rPr>
        <w:t xml:space="preserve">2009 Specification </w:t>
      </w:r>
      <w:r w:rsidR="00142201">
        <w:rPr>
          <w:rFonts w:ascii="Times New Roman" w:hAnsi="Times New Roman"/>
          <w:szCs w:val="24"/>
        </w:rPr>
        <w:t xml:space="preserve">and the 2015 Specification </w:t>
      </w:r>
      <w:r w:rsidR="007411C3" w:rsidRPr="00F0611E">
        <w:rPr>
          <w:rFonts w:ascii="Times New Roman" w:hAnsi="Times New Roman"/>
          <w:szCs w:val="24"/>
        </w:rPr>
        <w:t xml:space="preserve">supported the </w:t>
      </w:r>
      <w:r w:rsidR="00F0611E" w:rsidRPr="00F0611E">
        <w:rPr>
          <w:rFonts w:ascii="Times New Roman" w:hAnsi="Times New Roman"/>
          <w:szCs w:val="24"/>
        </w:rPr>
        <w:t xml:space="preserve">publication on the TGA website of product information and consumer medicines </w:t>
      </w:r>
      <w:r w:rsidR="007411C3" w:rsidRPr="00F0611E">
        <w:rPr>
          <w:rFonts w:ascii="Times New Roman" w:hAnsi="Times New Roman"/>
          <w:szCs w:val="24"/>
        </w:rPr>
        <w:t>information</w:t>
      </w:r>
      <w:r w:rsidR="00F0611E" w:rsidRPr="00F0611E">
        <w:rPr>
          <w:rFonts w:ascii="Times New Roman" w:hAnsi="Times New Roman"/>
          <w:szCs w:val="24"/>
        </w:rPr>
        <w:t xml:space="preserve"> in relation to registered medicines.  .  Th</w:t>
      </w:r>
      <w:r w:rsidR="00142201">
        <w:rPr>
          <w:rFonts w:ascii="Times New Roman" w:hAnsi="Times New Roman"/>
          <w:szCs w:val="24"/>
        </w:rPr>
        <w:t xml:space="preserve">ose </w:t>
      </w:r>
      <w:r w:rsidR="00F0611E" w:rsidRPr="00F0611E">
        <w:rPr>
          <w:rFonts w:ascii="Times New Roman" w:hAnsi="Times New Roman"/>
          <w:szCs w:val="24"/>
        </w:rPr>
        <w:t>Specification</w:t>
      </w:r>
      <w:r w:rsidR="00142201">
        <w:rPr>
          <w:rFonts w:ascii="Times New Roman" w:hAnsi="Times New Roman"/>
          <w:szCs w:val="24"/>
        </w:rPr>
        <w:t>s</w:t>
      </w:r>
      <w:r w:rsidR="00F0611E" w:rsidRPr="00F0611E">
        <w:rPr>
          <w:rFonts w:ascii="Times New Roman" w:hAnsi="Times New Roman"/>
          <w:szCs w:val="24"/>
        </w:rPr>
        <w:t xml:space="preserve"> also supported the publication </w:t>
      </w:r>
      <w:r w:rsidR="00E8202B">
        <w:rPr>
          <w:rFonts w:ascii="Times New Roman" w:hAnsi="Times New Roman"/>
          <w:szCs w:val="24"/>
        </w:rPr>
        <w:t>(via</w:t>
      </w:r>
      <w:r w:rsidR="00F0611E" w:rsidRPr="00F0611E">
        <w:rPr>
          <w:rFonts w:ascii="Times New Roman" w:hAnsi="Times New Roman"/>
          <w:szCs w:val="24"/>
        </w:rPr>
        <w:t xml:space="preserve"> the TGA website</w:t>
      </w:r>
      <w:r w:rsidR="00E8202B">
        <w:rPr>
          <w:rFonts w:ascii="Times New Roman" w:hAnsi="Times New Roman"/>
          <w:szCs w:val="24"/>
        </w:rPr>
        <w:t>)</w:t>
      </w:r>
      <w:r w:rsidR="00F0611E" w:rsidRPr="00F0611E">
        <w:rPr>
          <w:rFonts w:ascii="Times New Roman" w:hAnsi="Times New Roman"/>
          <w:szCs w:val="24"/>
        </w:rPr>
        <w:t xml:space="preserve"> of </w:t>
      </w:r>
      <w:r w:rsidR="001F0C7E" w:rsidRPr="00F0611E">
        <w:rPr>
          <w:rFonts w:ascii="Times New Roman" w:hAnsi="Times New Roman"/>
          <w:szCs w:val="24"/>
        </w:rPr>
        <w:t>Australian Public Assessment Report</w:t>
      </w:r>
      <w:r w:rsidR="000C005D">
        <w:rPr>
          <w:rFonts w:ascii="Times New Roman" w:hAnsi="Times New Roman"/>
          <w:szCs w:val="24"/>
        </w:rPr>
        <w:t>s</w:t>
      </w:r>
      <w:r w:rsidR="001F0C7E" w:rsidRPr="00F0611E">
        <w:rPr>
          <w:rFonts w:ascii="Times New Roman" w:hAnsi="Times New Roman"/>
          <w:szCs w:val="24"/>
        </w:rPr>
        <w:t xml:space="preserve"> (AusPAR)</w:t>
      </w:r>
      <w:r w:rsidR="00EB28D7">
        <w:rPr>
          <w:rFonts w:ascii="Times New Roman" w:hAnsi="Times New Roman"/>
          <w:szCs w:val="24"/>
        </w:rPr>
        <w:t xml:space="preserve">.  AusPARs </w:t>
      </w:r>
      <w:r w:rsidR="00D865E2" w:rsidRPr="00F0611E">
        <w:rPr>
          <w:rFonts w:ascii="Times New Roman" w:hAnsi="Times New Roman"/>
          <w:szCs w:val="24"/>
        </w:rPr>
        <w:t xml:space="preserve">provide information about the </w:t>
      </w:r>
      <w:r w:rsidR="00D865E2" w:rsidRPr="00F0611E">
        <w:rPr>
          <w:rFonts w:ascii="Times New Roman" w:hAnsi="Times New Roman"/>
          <w:szCs w:val="24"/>
        </w:rPr>
        <w:lastRenderedPageBreak/>
        <w:t>evaluation of medicine</w:t>
      </w:r>
      <w:r w:rsidR="00D865E2">
        <w:rPr>
          <w:rFonts w:ascii="Times New Roman" w:hAnsi="Times New Roman"/>
          <w:szCs w:val="24"/>
        </w:rPr>
        <w:t>s</w:t>
      </w:r>
      <w:r w:rsidR="00D865E2" w:rsidRPr="00F0611E">
        <w:rPr>
          <w:rFonts w:ascii="Times New Roman" w:hAnsi="Times New Roman"/>
          <w:szCs w:val="24"/>
        </w:rPr>
        <w:t xml:space="preserve"> </w:t>
      </w:r>
      <w:r w:rsidR="00EB28D7">
        <w:rPr>
          <w:rFonts w:ascii="Times New Roman" w:hAnsi="Times New Roman"/>
          <w:szCs w:val="24"/>
        </w:rPr>
        <w:t xml:space="preserve">for which registration on the Australian Register of Therapeutic Goods (the Register) has been sought </w:t>
      </w:r>
      <w:r w:rsidR="00D865E2" w:rsidRPr="00F0611E">
        <w:rPr>
          <w:rFonts w:ascii="Times New Roman" w:hAnsi="Times New Roman"/>
          <w:szCs w:val="24"/>
        </w:rPr>
        <w:t xml:space="preserve">and include (where relevant) </w:t>
      </w:r>
      <w:r w:rsidR="00EB28D7">
        <w:rPr>
          <w:rFonts w:ascii="Times New Roman" w:hAnsi="Times New Roman"/>
          <w:szCs w:val="24"/>
        </w:rPr>
        <w:t xml:space="preserve">information such as </w:t>
      </w:r>
      <w:r w:rsidR="00D865E2" w:rsidRPr="00F0611E">
        <w:rPr>
          <w:rFonts w:ascii="Times New Roman" w:hAnsi="Times New Roman"/>
          <w:szCs w:val="24"/>
        </w:rPr>
        <w:t>the considerations that led to the TGA to approve, or not approve, the registration of the medicine</w:t>
      </w:r>
      <w:r w:rsidR="00D865E2">
        <w:rPr>
          <w:rFonts w:ascii="Times New Roman" w:hAnsi="Times New Roman"/>
          <w:szCs w:val="24"/>
        </w:rPr>
        <w:t xml:space="preserve">.  </w:t>
      </w:r>
      <w:r>
        <w:rPr>
          <w:rFonts w:ascii="Times New Roman" w:hAnsi="Times New Roman"/>
          <w:szCs w:val="24"/>
        </w:rPr>
        <w:t xml:space="preserve">Currently published </w:t>
      </w:r>
      <w:r w:rsidR="00EB28D7">
        <w:rPr>
          <w:rFonts w:ascii="Times New Roman" w:hAnsi="Times New Roman"/>
          <w:szCs w:val="24"/>
        </w:rPr>
        <w:t xml:space="preserve">AusPARs </w:t>
      </w:r>
      <w:r w:rsidR="00F0611E" w:rsidRPr="00F0611E">
        <w:rPr>
          <w:rFonts w:ascii="Times New Roman" w:hAnsi="Times New Roman"/>
          <w:szCs w:val="24"/>
        </w:rPr>
        <w:t>can be found at</w:t>
      </w:r>
      <w:r w:rsidR="00BD1B0C">
        <w:rPr>
          <w:rFonts w:ascii="Times New Roman" w:hAnsi="Times New Roman"/>
          <w:szCs w:val="24"/>
        </w:rPr>
        <w:t xml:space="preserve"> </w:t>
      </w:r>
      <w:hyperlink r:id="rId9" w:history="1">
        <w:r w:rsidR="00BD1B0C" w:rsidRPr="009038FD">
          <w:rPr>
            <w:rStyle w:val="Hyperlink"/>
            <w:rFonts w:ascii="Times New Roman" w:hAnsi="Times New Roman"/>
            <w:szCs w:val="24"/>
          </w:rPr>
          <w:t>http://tga.gov.au/browse-auspars-active-ingredient</w:t>
        </w:r>
      </w:hyperlink>
      <w:r w:rsidR="00F0611E" w:rsidRPr="00F0611E">
        <w:rPr>
          <w:rFonts w:ascii="Times New Roman" w:hAnsi="Times New Roman"/>
          <w:szCs w:val="24"/>
        </w:rPr>
        <w:t xml:space="preserve">.  </w:t>
      </w:r>
    </w:p>
    <w:p w:rsidR="007411C3" w:rsidRPr="00F0611E" w:rsidRDefault="007411C3" w:rsidP="007411C3">
      <w:pPr>
        <w:autoSpaceDE w:val="0"/>
        <w:autoSpaceDN w:val="0"/>
        <w:adjustRightInd w:val="0"/>
        <w:rPr>
          <w:rFonts w:ascii="Times New Roman" w:hAnsi="Times New Roman"/>
          <w:szCs w:val="24"/>
        </w:rPr>
      </w:pPr>
    </w:p>
    <w:p w:rsidR="006464B2" w:rsidRPr="00F0611E" w:rsidRDefault="00094D39" w:rsidP="00B16CCB">
      <w:pPr>
        <w:autoSpaceDE w:val="0"/>
        <w:autoSpaceDN w:val="0"/>
        <w:adjustRightInd w:val="0"/>
        <w:rPr>
          <w:rFonts w:ascii="Times New Roman" w:hAnsi="Times New Roman"/>
          <w:szCs w:val="24"/>
        </w:rPr>
      </w:pPr>
      <w:r w:rsidRPr="00F0611E">
        <w:rPr>
          <w:rFonts w:ascii="Times New Roman" w:hAnsi="Times New Roman"/>
          <w:szCs w:val="24"/>
        </w:rPr>
        <w:t xml:space="preserve">The purpose of the Specification is to </w:t>
      </w:r>
      <w:r w:rsidR="00B033BE" w:rsidRPr="00F0611E">
        <w:rPr>
          <w:rFonts w:ascii="Times New Roman" w:hAnsi="Times New Roman"/>
          <w:szCs w:val="24"/>
        </w:rPr>
        <w:t xml:space="preserve">replace the </w:t>
      </w:r>
      <w:r w:rsidR="001F0C7E" w:rsidRPr="00F0611E">
        <w:rPr>
          <w:rFonts w:ascii="Times New Roman" w:hAnsi="Times New Roman"/>
          <w:szCs w:val="24"/>
        </w:rPr>
        <w:t>20</w:t>
      </w:r>
      <w:r w:rsidR="004E5C5E">
        <w:rPr>
          <w:rFonts w:ascii="Times New Roman" w:hAnsi="Times New Roman"/>
          <w:szCs w:val="24"/>
        </w:rPr>
        <w:t>15</w:t>
      </w:r>
      <w:r w:rsidR="001F0C7E" w:rsidRPr="00F0611E">
        <w:rPr>
          <w:rFonts w:ascii="Times New Roman" w:hAnsi="Times New Roman"/>
          <w:szCs w:val="24"/>
        </w:rPr>
        <w:t xml:space="preserve"> Specification</w:t>
      </w:r>
      <w:r w:rsidR="00EB28D7">
        <w:rPr>
          <w:rFonts w:ascii="Times New Roman" w:hAnsi="Times New Roman"/>
          <w:szCs w:val="24"/>
        </w:rPr>
        <w:t xml:space="preserve">, to </w:t>
      </w:r>
      <w:r w:rsidR="00142201">
        <w:rPr>
          <w:rFonts w:ascii="Times New Roman" w:hAnsi="Times New Roman"/>
          <w:szCs w:val="24"/>
        </w:rPr>
        <w:t xml:space="preserve">reflect changes that have been made recently to </w:t>
      </w:r>
      <w:r w:rsidR="00E8202B">
        <w:rPr>
          <w:rFonts w:ascii="Times New Roman" w:hAnsi="Times New Roman"/>
          <w:szCs w:val="24"/>
        </w:rPr>
        <w:t>TGA expert advisory</w:t>
      </w:r>
      <w:r w:rsidR="00142201">
        <w:rPr>
          <w:rFonts w:ascii="Times New Roman" w:hAnsi="Times New Roman"/>
          <w:szCs w:val="24"/>
        </w:rPr>
        <w:t xml:space="preserve"> Committees established under the </w:t>
      </w:r>
      <w:r w:rsidR="00142201" w:rsidRPr="0084067A">
        <w:rPr>
          <w:rFonts w:ascii="Times New Roman" w:hAnsi="Times New Roman"/>
          <w:i/>
          <w:szCs w:val="24"/>
        </w:rPr>
        <w:t>Therapeutic Goods Regulations 1990</w:t>
      </w:r>
      <w:r w:rsidR="00142201">
        <w:rPr>
          <w:rFonts w:ascii="Times New Roman" w:hAnsi="Times New Roman"/>
          <w:szCs w:val="24"/>
        </w:rPr>
        <w:t xml:space="preserve"> (the Regulations)</w:t>
      </w:r>
      <w:r w:rsidR="00E8202B">
        <w:rPr>
          <w:rFonts w:ascii="Times New Roman" w:hAnsi="Times New Roman"/>
          <w:szCs w:val="24"/>
        </w:rPr>
        <w:t xml:space="preserve"> – these changes took effect on 1 January 2017</w:t>
      </w:r>
      <w:r w:rsidR="00142201">
        <w:rPr>
          <w:rFonts w:ascii="Times New Roman" w:hAnsi="Times New Roman"/>
          <w:szCs w:val="24"/>
        </w:rPr>
        <w:t>.</w:t>
      </w:r>
      <w:r w:rsidR="00E91031">
        <w:rPr>
          <w:rFonts w:ascii="Times New Roman" w:hAnsi="Times New Roman"/>
          <w:szCs w:val="24"/>
        </w:rPr>
        <w:t xml:space="preserve"> In particular, </w:t>
      </w:r>
      <w:r w:rsidR="00807795">
        <w:rPr>
          <w:rFonts w:ascii="Times New Roman" w:hAnsi="Times New Roman"/>
          <w:szCs w:val="24"/>
        </w:rPr>
        <w:t xml:space="preserve">as </w:t>
      </w:r>
      <w:r w:rsidR="00E91031">
        <w:rPr>
          <w:rFonts w:ascii="Times New Roman" w:hAnsi="Times New Roman"/>
          <w:szCs w:val="24"/>
        </w:rPr>
        <w:t xml:space="preserve">the roles of the previous Advisory Committee on Prescription Medicines (ACPM) and the Advisory Committee on the Safety of Medicine (ACSOM) </w:t>
      </w:r>
      <w:r w:rsidR="008D6B03">
        <w:rPr>
          <w:rFonts w:ascii="Times New Roman" w:hAnsi="Times New Roman"/>
          <w:szCs w:val="24"/>
        </w:rPr>
        <w:t>are</w:t>
      </w:r>
      <w:r w:rsidR="00E91031">
        <w:rPr>
          <w:rFonts w:ascii="Times New Roman" w:hAnsi="Times New Roman"/>
          <w:szCs w:val="24"/>
        </w:rPr>
        <w:t xml:space="preserve"> now undertaken by the Advisory Committee on Medicines (ACM)</w:t>
      </w:r>
      <w:r w:rsidR="008D6B03">
        <w:rPr>
          <w:rFonts w:ascii="Times New Roman" w:hAnsi="Times New Roman"/>
          <w:szCs w:val="24"/>
        </w:rPr>
        <w:t>,</w:t>
      </w:r>
      <w:r w:rsidR="00E91031">
        <w:rPr>
          <w:rFonts w:ascii="Times New Roman" w:hAnsi="Times New Roman"/>
          <w:szCs w:val="24"/>
        </w:rPr>
        <w:t xml:space="preserve"> and the role of the Advisory Committee on the Safety of Vaccines (ACSOV) is now undertaken by the </w:t>
      </w:r>
      <w:r w:rsidR="00807795">
        <w:rPr>
          <w:rFonts w:ascii="Times New Roman" w:hAnsi="Times New Roman"/>
          <w:szCs w:val="24"/>
        </w:rPr>
        <w:t xml:space="preserve">broader Advisory Committee on Vaccines, appropriate </w:t>
      </w:r>
      <w:r w:rsidR="008D6B03">
        <w:rPr>
          <w:rFonts w:ascii="Times New Roman" w:hAnsi="Times New Roman"/>
          <w:szCs w:val="24"/>
        </w:rPr>
        <w:t>updates</w:t>
      </w:r>
      <w:r w:rsidR="00807795">
        <w:rPr>
          <w:rFonts w:ascii="Times New Roman" w:hAnsi="Times New Roman"/>
          <w:szCs w:val="24"/>
        </w:rPr>
        <w:t xml:space="preserve"> </w:t>
      </w:r>
      <w:r w:rsidR="008D6B03">
        <w:rPr>
          <w:rFonts w:ascii="Times New Roman" w:hAnsi="Times New Roman"/>
          <w:szCs w:val="24"/>
        </w:rPr>
        <w:t xml:space="preserve">are now needed </w:t>
      </w:r>
      <w:r w:rsidR="00807795">
        <w:rPr>
          <w:rFonts w:ascii="Times New Roman" w:hAnsi="Times New Roman"/>
          <w:szCs w:val="24"/>
        </w:rPr>
        <w:t xml:space="preserve">to the references to the </w:t>
      </w:r>
      <w:r w:rsidR="008D6B03">
        <w:rPr>
          <w:rFonts w:ascii="Times New Roman" w:hAnsi="Times New Roman"/>
          <w:szCs w:val="24"/>
        </w:rPr>
        <w:t>replaced</w:t>
      </w:r>
      <w:r w:rsidR="00807795">
        <w:rPr>
          <w:rFonts w:ascii="Times New Roman" w:hAnsi="Times New Roman"/>
          <w:szCs w:val="24"/>
        </w:rPr>
        <w:t xml:space="preserve"> committees in the Specification.</w:t>
      </w:r>
      <w:r w:rsidR="00E91031">
        <w:rPr>
          <w:rFonts w:ascii="Times New Roman" w:hAnsi="Times New Roman"/>
          <w:szCs w:val="24"/>
        </w:rPr>
        <w:t xml:space="preserve"> </w:t>
      </w:r>
      <w:r w:rsidR="003E00BE">
        <w:rPr>
          <w:rFonts w:ascii="Times New Roman" w:hAnsi="Times New Roman"/>
          <w:szCs w:val="24"/>
        </w:rPr>
        <w:t>Otherwise, the same matters are covered in the Specification as were covered in the 2015 Specification</w:t>
      </w:r>
      <w:r w:rsidR="000A505A">
        <w:rPr>
          <w:rFonts w:ascii="Times New Roman" w:hAnsi="Times New Roman"/>
          <w:szCs w:val="24"/>
        </w:rPr>
        <w:t>.</w:t>
      </w:r>
    </w:p>
    <w:p w:rsidR="00F0611E" w:rsidRPr="00F0611E" w:rsidRDefault="00F0611E" w:rsidP="00B16CCB">
      <w:pPr>
        <w:autoSpaceDE w:val="0"/>
        <w:autoSpaceDN w:val="0"/>
        <w:adjustRightInd w:val="0"/>
        <w:rPr>
          <w:rFonts w:ascii="Times New Roman" w:hAnsi="Times New Roman"/>
          <w:szCs w:val="24"/>
        </w:rPr>
      </w:pPr>
    </w:p>
    <w:p w:rsidR="001F0C7E" w:rsidRPr="00F0611E" w:rsidRDefault="001F0C7E" w:rsidP="001F0C7E">
      <w:pPr>
        <w:autoSpaceDE w:val="0"/>
        <w:autoSpaceDN w:val="0"/>
        <w:adjustRightInd w:val="0"/>
        <w:spacing w:after="120"/>
        <w:rPr>
          <w:rFonts w:ascii="Times New Roman" w:hAnsi="Times New Roman"/>
          <w:szCs w:val="24"/>
        </w:rPr>
      </w:pPr>
      <w:r w:rsidRPr="00F0611E">
        <w:rPr>
          <w:rFonts w:ascii="Times New Roman" w:hAnsi="Times New Roman"/>
          <w:szCs w:val="24"/>
        </w:rPr>
        <w:t xml:space="preserve">The </w:t>
      </w:r>
      <w:r w:rsidR="00C45C95" w:rsidRPr="00F0611E">
        <w:rPr>
          <w:rFonts w:ascii="Times New Roman" w:hAnsi="Times New Roman"/>
          <w:szCs w:val="24"/>
        </w:rPr>
        <w:t xml:space="preserve">kinds of therapeutic goods information that the Specification </w:t>
      </w:r>
      <w:r w:rsidR="00297DA7" w:rsidRPr="00F0611E">
        <w:rPr>
          <w:rFonts w:ascii="Times New Roman" w:hAnsi="Times New Roman"/>
          <w:szCs w:val="24"/>
        </w:rPr>
        <w:t xml:space="preserve">will </w:t>
      </w:r>
      <w:r w:rsidRPr="00F0611E">
        <w:rPr>
          <w:rFonts w:ascii="Times New Roman" w:hAnsi="Times New Roman"/>
          <w:szCs w:val="24"/>
        </w:rPr>
        <w:t xml:space="preserve">continue to permit </w:t>
      </w:r>
      <w:r w:rsidR="00C45C95" w:rsidRPr="00F0611E">
        <w:rPr>
          <w:rFonts w:ascii="Times New Roman" w:hAnsi="Times New Roman"/>
          <w:szCs w:val="24"/>
        </w:rPr>
        <w:t xml:space="preserve">the Secretary to release to the public </w:t>
      </w:r>
      <w:r w:rsidRPr="00F0611E">
        <w:rPr>
          <w:rFonts w:ascii="Times New Roman" w:hAnsi="Times New Roman"/>
          <w:szCs w:val="24"/>
        </w:rPr>
        <w:t>include the following:</w:t>
      </w:r>
    </w:p>
    <w:p w:rsidR="001F0C7E" w:rsidRPr="00F0611E" w:rsidRDefault="00F35DA4" w:rsidP="001F0C7E">
      <w:pPr>
        <w:pStyle w:val="Schedulepara"/>
        <w:numPr>
          <w:ilvl w:val="0"/>
          <w:numId w:val="6"/>
        </w:numPr>
        <w:tabs>
          <w:tab w:val="clear" w:pos="567"/>
          <w:tab w:val="right" w:pos="993"/>
        </w:tabs>
        <w:spacing w:before="0" w:after="120"/>
        <w:ind w:left="993" w:hanging="567"/>
      </w:pPr>
      <w:r>
        <w:t>p</w:t>
      </w:r>
      <w:r w:rsidR="001F0C7E" w:rsidRPr="00F0611E">
        <w:t>roduct information approved by the Secretary under subsection 25AA(1) or 25AA(4) of the Act in relation to a medicine</w:t>
      </w:r>
      <w:r w:rsidR="00EB28D7">
        <w:t xml:space="preserve"> and information required by the Regulations to be supplied with certain therapeutic goods</w:t>
      </w:r>
      <w:r w:rsidR="006F69C5">
        <w:t xml:space="preserve"> (Consumer Medicine Information)</w:t>
      </w:r>
      <w:r w:rsidR="00EB28D7">
        <w:t>;</w:t>
      </w:r>
    </w:p>
    <w:p w:rsidR="001F0C7E" w:rsidRPr="00F0611E" w:rsidRDefault="00F35DA4" w:rsidP="001F0C7E">
      <w:pPr>
        <w:pStyle w:val="Schedulepara"/>
        <w:numPr>
          <w:ilvl w:val="0"/>
          <w:numId w:val="6"/>
        </w:numPr>
        <w:tabs>
          <w:tab w:val="clear" w:pos="567"/>
          <w:tab w:val="right" w:pos="993"/>
        </w:tabs>
        <w:spacing w:before="0" w:after="120"/>
        <w:ind w:left="993" w:hanging="567"/>
      </w:pPr>
      <w:r>
        <w:t>i</w:t>
      </w:r>
      <w:r w:rsidR="001F0C7E" w:rsidRPr="00F0611E">
        <w:t>nformation in documents prepared for the purpose of evaluating therapeutic goods under subsection 25(1) or subsection 9D(3) of the Act</w:t>
      </w:r>
      <w:r w:rsidR="00EB28D7">
        <w:t>;</w:t>
      </w:r>
    </w:p>
    <w:p w:rsidR="001F0C7E" w:rsidRPr="00F0611E" w:rsidRDefault="00232B08" w:rsidP="001F0C7E">
      <w:pPr>
        <w:pStyle w:val="Schedulepara"/>
        <w:numPr>
          <w:ilvl w:val="0"/>
          <w:numId w:val="6"/>
        </w:numPr>
        <w:tabs>
          <w:tab w:val="clear" w:pos="567"/>
          <w:tab w:val="right" w:pos="993"/>
        </w:tabs>
        <w:spacing w:before="0" w:after="120"/>
        <w:ind w:left="993" w:hanging="567"/>
      </w:pPr>
      <w:r>
        <w:t xml:space="preserve">information in relation to </w:t>
      </w:r>
      <w:r w:rsidR="001F0C7E" w:rsidRPr="00F0611E">
        <w:t xml:space="preserve">post-market pharmacovigilance requirements imposed as a condition </w:t>
      </w:r>
      <w:r w:rsidR="006F69C5">
        <w:t xml:space="preserve">on registration under </w:t>
      </w:r>
      <w:r w:rsidR="001F0C7E" w:rsidRPr="00F0611E">
        <w:t>the Act in relation to therapeutic goods</w:t>
      </w:r>
      <w:r w:rsidR="006F69C5">
        <w:t>,</w:t>
      </w:r>
      <w:r w:rsidR="001F0C7E" w:rsidRPr="00F0611E">
        <w:t xml:space="preserve"> or by a regulation made for the purposes of paragraph 28(5)(e) of the Act</w:t>
      </w:r>
      <w:r w:rsidR="00EB28D7">
        <w:t>;</w:t>
      </w:r>
    </w:p>
    <w:p w:rsidR="001F0C7E" w:rsidRPr="00F0611E" w:rsidRDefault="00F35DA4" w:rsidP="001F0C7E">
      <w:pPr>
        <w:pStyle w:val="Schedulepara"/>
        <w:numPr>
          <w:ilvl w:val="0"/>
          <w:numId w:val="6"/>
        </w:numPr>
        <w:tabs>
          <w:tab w:val="clear" w:pos="567"/>
          <w:tab w:val="right" w:pos="993"/>
        </w:tabs>
        <w:spacing w:before="0" w:after="120"/>
        <w:ind w:left="993" w:hanging="567"/>
      </w:pPr>
      <w:r>
        <w:t>i</w:t>
      </w:r>
      <w:r w:rsidR="001F0C7E" w:rsidRPr="00F0611E">
        <w:t>nformation in documents relating to assessments made as part of evaluation of the pharmacovigilance system, quality and non-clinical and clinical data of therapeutic goods under section 25 of the Act</w:t>
      </w:r>
      <w:r w:rsidR="00EB28D7">
        <w:t>;</w:t>
      </w:r>
    </w:p>
    <w:p w:rsidR="001F0C7E" w:rsidRPr="00F0611E" w:rsidRDefault="00F35DA4" w:rsidP="001F0C7E">
      <w:pPr>
        <w:pStyle w:val="Schedulepara"/>
        <w:numPr>
          <w:ilvl w:val="0"/>
          <w:numId w:val="6"/>
        </w:numPr>
        <w:tabs>
          <w:tab w:val="clear" w:pos="567"/>
          <w:tab w:val="right" w:pos="993"/>
        </w:tabs>
        <w:spacing w:before="0" w:after="120"/>
        <w:ind w:left="993" w:hanging="567"/>
      </w:pPr>
      <w:r>
        <w:t>i</w:t>
      </w:r>
      <w:r w:rsidR="001F0C7E" w:rsidRPr="00F0611E">
        <w:t xml:space="preserve">nformation in documents included in </w:t>
      </w:r>
      <w:r w:rsidR="00EB28D7">
        <w:t xml:space="preserve">a </w:t>
      </w:r>
      <w:r w:rsidR="001F0C7E" w:rsidRPr="00F0611E">
        <w:t>request of the Secretary for advice from the Advisory Committee on Medicine</w:t>
      </w:r>
      <w:r w:rsidR="003C4BF4">
        <w:t>s</w:t>
      </w:r>
      <w:r w:rsidR="001F0C7E" w:rsidRPr="00F0611E">
        <w:t xml:space="preserve"> or its sub-committees </w:t>
      </w:r>
      <w:r w:rsidR="00232B08">
        <w:t xml:space="preserve">, </w:t>
      </w:r>
      <w:r w:rsidR="003C4BF4">
        <w:t xml:space="preserve">or </w:t>
      </w:r>
      <w:r w:rsidR="00232B08">
        <w:t>the Advisory Committee on Vaccines</w:t>
      </w:r>
      <w:r w:rsidR="006F69C5">
        <w:t>,</w:t>
      </w:r>
      <w:r w:rsidR="00232B08">
        <w:t xml:space="preserve"> seeking advice </w:t>
      </w:r>
      <w:r w:rsidR="001F0C7E" w:rsidRPr="00F0611E">
        <w:t>in relation to the evaluation of a medicine under section 25 of the Act or for the purposes of subsection 9D(3) of the Act</w:t>
      </w:r>
      <w:r w:rsidR="00232B08">
        <w:t>, including in relation to post-market pharmacovigilance requirements</w:t>
      </w:r>
      <w:r w:rsidR="00EB28D7">
        <w:t>;</w:t>
      </w:r>
    </w:p>
    <w:p w:rsidR="001F0C7E" w:rsidRPr="00F0611E" w:rsidRDefault="00F35DA4" w:rsidP="001F0C7E">
      <w:pPr>
        <w:pStyle w:val="Schedulepara"/>
        <w:numPr>
          <w:ilvl w:val="0"/>
          <w:numId w:val="6"/>
        </w:numPr>
        <w:tabs>
          <w:tab w:val="clear" w:pos="567"/>
          <w:tab w:val="right" w:pos="993"/>
        </w:tabs>
        <w:spacing w:before="0" w:after="120"/>
        <w:ind w:left="993" w:hanging="567"/>
      </w:pPr>
      <w:r>
        <w:t>i</w:t>
      </w:r>
      <w:r w:rsidR="001F0C7E" w:rsidRPr="00F0611E">
        <w:t xml:space="preserve">nformation in the minutes or outcomes of </w:t>
      </w:r>
      <w:r w:rsidR="00232B08">
        <w:t xml:space="preserve">those committees or subcommittees, about those matters, or of </w:t>
      </w:r>
      <w:r w:rsidR="001F0C7E" w:rsidRPr="00F0611E">
        <w:t xml:space="preserve">any </w:t>
      </w:r>
      <w:r w:rsidR="00EB28D7">
        <w:t xml:space="preserve">other </w:t>
      </w:r>
      <w:r w:rsidR="001F0C7E" w:rsidRPr="00F0611E">
        <w:t xml:space="preserve">expert committee established by the Regulations about the suitability for </w:t>
      </w:r>
      <w:r w:rsidR="00232B08">
        <w:t xml:space="preserve">registration or </w:t>
      </w:r>
      <w:r w:rsidR="001F0C7E" w:rsidRPr="00F0611E">
        <w:t xml:space="preserve">inclusion </w:t>
      </w:r>
      <w:r w:rsidR="00EB28D7">
        <w:t xml:space="preserve">of therapeutic goods </w:t>
      </w:r>
      <w:r w:rsidR="001F0C7E" w:rsidRPr="00F0611E">
        <w:t>in the Register</w:t>
      </w:r>
      <w:r w:rsidR="00EB28D7">
        <w:t>;</w:t>
      </w:r>
      <w:r w:rsidR="001F0C7E" w:rsidRPr="00F0611E">
        <w:t xml:space="preserve"> </w:t>
      </w:r>
      <w:r w:rsidR="00232B08">
        <w:t>and</w:t>
      </w:r>
    </w:p>
    <w:p w:rsidR="001F0C7E" w:rsidRPr="00F0611E" w:rsidRDefault="00F35DA4" w:rsidP="001F0C7E">
      <w:pPr>
        <w:pStyle w:val="Schedulepara"/>
        <w:numPr>
          <w:ilvl w:val="0"/>
          <w:numId w:val="6"/>
        </w:numPr>
        <w:tabs>
          <w:tab w:val="clear" w:pos="567"/>
          <w:tab w:val="right" w:pos="993"/>
        </w:tabs>
        <w:spacing w:before="0" w:after="120"/>
        <w:ind w:left="993" w:hanging="567"/>
      </w:pPr>
      <w:r>
        <w:t>i</w:t>
      </w:r>
      <w:r w:rsidR="001F0C7E" w:rsidRPr="00F0611E">
        <w:t>nform</w:t>
      </w:r>
      <w:bookmarkStart w:id="0" w:name="_GoBack"/>
      <w:bookmarkEnd w:id="0"/>
      <w:r w:rsidR="001F0C7E" w:rsidRPr="00F0611E">
        <w:t>ation in decision</w:t>
      </w:r>
      <w:r>
        <w:t>s</w:t>
      </w:r>
      <w:r w:rsidR="001F0C7E" w:rsidRPr="00F0611E">
        <w:t xml:space="preserve"> of the Secretary under section 25 of the Act in relation to </w:t>
      </w:r>
      <w:r>
        <w:t xml:space="preserve">the registration of </w:t>
      </w:r>
      <w:r w:rsidR="001F0C7E" w:rsidRPr="00F0611E">
        <w:t>therapeutic goods, including the reasons for the decision</w:t>
      </w:r>
      <w:r w:rsidR="00232B08">
        <w:t>.</w:t>
      </w:r>
    </w:p>
    <w:p w:rsidR="00F0611E" w:rsidRPr="00F0611E" w:rsidRDefault="00F0611E" w:rsidP="00F0611E">
      <w:pPr>
        <w:pStyle w:val="Schedulepara"/>
        <w:tabs>
          <w:tab w:val="clear" w:pos="567"/>
          <w:tab w:val="right" w:pos="993"/>
        </w:tabs>
        <w:spacing w:before="0"/>
      </w:pPr>
    </w:p>
    <w:p w:rsidR="001F0C7E" w:rsidRPr="00F0611E" w:rsidRDefault="00F0611E" w:rsidP="00F0611E">
      <w:pPr>
        <w:pStyle w:val="Schedulepara"/>
        <w:tabs>
          <w:tab w:val="clear" w:pos="567"/>
          <w:tab w:val="right" w:pos="0"/>
        </w:tabs>
        <w:spacing w:before="0"/>
        <w:ind w:left="0" w:firstLine="0"/>
      </w:pPr>
      <w:r w:rsidRPr="00F0611E">
        <w:t xml:space="preserve">The </w:t>
      </w:r>
      <w:r>
        <w:t xml:space="preserve">Specification </w:t>
      </w:r>
      <w:r w:rsidR="00EB28D7">
        <w:t xml:space="preserve">also </w:t>
      </w:r>
      <w:r w:rsidR="00AC5902">
        <w:t xml:space="preserve">includes </w:t>
      </w:r>
      <w:r>
        <w:t>a reference to i</w:t>
      </w:r>
      <w:r w:rsidR="001F0C7E" w:rsidRPr="00F0611E">
        <w:t xml:space="preserve">nformation </w:t>
      </w:r>
      <w:r w:rsidR="00EB28D7">
        <w:t xml:space="preserve">in any written </w:t>
      </w:r>
      <w:r w:rsidR="001F0C7E" w:rsidRPr="00F0611E">
        <w:t xml:space="preserve">decision </w:t>
      </w:r>
      <w:r w:rsidR="00F35DA4">
        <w:t xml:space="preserve">under section 60 of the Act </w:t>
      </w:r>
      <w:r w:rsidR="001F0C7E" w:rsidRPr="00F0611E">
        <w:t xml:space="preserve">on a review </w:t>
      </w:r>
      <w:r>
        <w:t xml:space="preserve">of a decision under </w:t>
      </w:r>
      <w:r w:rsidR="00AC5902">
        <w:t>sub</w:t>
      </w:r>
      <w:r>
        <w:t>section 25</w:t>
      </w:r>
      <w:r w:rsidR="00AC5902">
        <w:t>(3), subsection 9D(3) or subsection 25AA(1) or (4)</w:t>
      </w:r>
      <w:r>
        <w:t xml:space="preserve"> of the Act.  This will ensure</w:t>
      </w:r>
      <w:r w:rsidR="006F69C5">
        <w:t xml:space="preserve"> </w:t>
      </w:r>
      <w:r>
        <w:t xml:space="preserve">that the Secretary can include </w:t>
      </w:r>
      <w:r w:rsidR="00F35DA4">
        <w:t xml:space="preserve">information in </w:t>
      </w:r>
      <w:r>
        <w:t xml:space="preserve">an AusPAR about any decision under section 60 </w:t>
      </w:r>
      <w:r w:rsidR="00AC5902">
        <w:t xml:space="preserve">of the Act </w:t>
      </w:r>
      <w:r w:rsidR="00D865E2">
        <w:t xml:space="preserve">reviewing </w:t>
      </w:r>
      <w:r>
        <w:t xml:space="preserve">a decision </w:t>
      </w:r>
      <w:r w:rsidR="00AC5902">
        <w:t xml:space="preserve">about the registration of </w:t>
      </w:r>
      <w:r w:rsidR="00D865E2">
        <w:t>therapeutic goods</w:t>
      </w:r>
      <w:r w:rsidR="00AC5902">
        <w:t>, the variation of an entry in the Register in relation to registered therapeutic goods or a decision to approve product information in relation to registered goods</w:t>
      </w:r>
      <w:r>
        <w:t xml:space="preserve">. </w:t>
      </w:r>
    </w:p>
    <w:p w:rsidR="001F0C7E" w:rsidRPr="00F0611E" w:rsidRDefault="001F0C7E" w:rsidP="0075590A">
      <w:pPr>
        <w:autoSpaceDE w:val="0"/>
        <w:autoSpaceDN w:val="0"/>
        <w:adjustRightInd w:val="0"/>
        <w:rPr>
          <w:rFonts w:ascii="Times New Roman" w:hAnsi="Times New Roman"/>
          <w:szCs w:val="24"/>
        </w:rPr>
      </w:pPr>
    </w:p>
    <w:p w:rsidR="00767767" w:rsidRPr="00F0611E" w:rsidRDefault="00767767" w:rsidP="00B16CCB">
      <w:pPr>
        <w:autoSpaceDE w:val="0"/>
        <w:autoSpaceDN w:val="0"/>
        <w:adjustRightInd w:val="0"/>
        <w:rPr>
          <w:rFonts w:ascii="Times New Roman" w:hAnsi="Times New Roman"/>
          <w:szCs w:val="24"/>
        </w:rPr>
      </w:pPr>
      <w:r w:rsidRPr="00F0611E">
        <w:rPr>
          <w:rFonts w:ascii="Times New Roman" w:hAnsi="Times New Roman"/>
          <w:szCs w:val="24"/>
        </w:rPr>
        <w:t xml:space="preserve">The kinds of therapeutic goods information that the Secretary will be able to release to the public </w:t>
      </w:r>
      <w:r w:rsidR="00367D75">
        <w:rPr>
          <w:rFonts w:ascii="Times New Roman" w:hAnsi="Times New Roman"/>
          <w:szCs w:val="24"/>
        </w:rPr>
        <w:t xml:space="preserve">under the Specification </w:t>
      </w:r>
      <w:r w:rsidRPr="00F0611E">
        <w:rPr>
          <w:rFonts w:ascii="Times New Roman" w:hAnsi="Times New Roman"/>
          <w:szCs w:val="24"/>
        </w:rPr>
        <w:t>are set out at Schedule 1 to the Specification.</w:t>
      </w:r>
    </w:p>
    <w:p w:rsidR="00767767" w:rsidRPr="00F0611E" w:rsidRDefault="00767767" w:rsidP="00B16CCB">
      <w:pPr>
        <w:autoSpaceDE w:val="0"/>
        <w:autoSpaceDN w:val="0"/>
        <w:adjustRightInd w:val="0"/>
        <w:rPr>
          <w:rFonts w:ascii="Times New Roman" w:hAnsi="Times New Roman"/>
          <w:szCs w:val="24"/>
        </w:rPr>
      </w:pPr>
    </w:p>
    <w:p w:rsidR="00804792" w:rsidRPr="00F0611E" w:rsidRDefault="00804792" w:rsidP="00F0611E">
      <w:pPr>
        <w:spacing w:after="120"/>
        <w:ind w:right="-96"/>
        <w:rPr>
          <w:rFonts w:ascii="Times New Roman" w:hAnsi="Times New Roman"/>
          <w:b/>
          <w:szCs w:val="24"/>
        </w:rPr>
      </w:pPr>
      <w:r w:rsidRPr="00F0611E">
        <w:rPr>
          <w:rFonts w:ascii="Times New Roman" w:hAnsi="Times New Roman"/>
          <w:b/>
          <w:szCs w:val="24"/>
        </w:rPr>
        <w:lastRenderedPageBreak/>
        <w:t>CONSULTATION</w:t>
      </w:r>
    </w:p>
    <w:p w:rsidR="00ED394E" w:rsidRPr="00F0611E" w:rsidRDefault="00367D75" w:rsidP="00AA7276">
      <w:pPr>
        <w:ind w:right="-96"/>
        <w:rPr>
          <w:rFonts w:ascii="Times New Roman" w:hAnsi="Times New Roman"/>
          <w:szCs w:val="24"/>
        </w:rPr>
      </w:pPr>
      <w:r>
        <w:rPr>
          <w:rFonts w:ascii="Times New Roman" w:hAnsi="Times New Roman"/>
          <w:szCs w:val="24"/>
        </w:rPr>
        <w:t xml:space="preserve">The nature of the Specification is such that </w:t>
      </w:r>
      <w:r w:rsidR="008F2A99">
        <w:rPr>
          <w:rFonts w:ascii="Times New Roman" w:hAnsi="Times New Roman"/>
          <w:szCs w:val="24"/>
        </w:rPr>
        <w:t xml:space="preserve">consultation </w:t>
      </w:r>
      <w:r w:rsidR="00EB28D7">
        <w:rPr>
          <w:rFonts w:ascii="Times New Roman" w:hAnsi="Times New Roman"/>
          <w:szCs w:val="24"/>
        </w:rPr>
        <w:t xml:space="preserve">was not considered to be necessary </w:t>
      </w:r>
      <w:r w:rsidR="008F2A99">
        <w:rPr>
          <w:rFonts w:ascii="Times New Roman" w:hAnsi="Times New Roman"/>
          <w:szCs w:val="24"/>
        </w:rPr>
        <w:t>as the Specification is of a minor nature and does not substantially alter existing arrangements</w:t>
      </w:r>
      <w:r w:rsidR="00E8202B">
        <w:rPr>
          <w:rFonts w:ascii="Times New Roman" w:hAnsi="Times New Roman"/>
          <w:szCs w:val="24"/>
        </w:rPr>
        <w:t>, as the only changes it introduces are to update the names of relevant advisory committees</w:t>
      </w:r>
      <w:r w:rsidR="008F2A99">
        <w:rPr>
          <w:rFonts w:ascii="Times New Roman" w:hAnsi="Times New Roman"/>
          <w:szCs w:val="24"/>
        </w:rPr>
        <w:t xml:space="preserve">.  </w:t>
      </w:r>
      <w:r w:rsidR="00D82B4B">
        <w:rPr>
          <w:rFonts w:ascii="Times New Roman" w:hAnsi="Times New Roman"/>
          <w:szCs w:val="24"/>
        </w:rPr>
        <w:t xml:space="preserve">  </w:t>
      </w:r>
    </w:p>
    <w:p w:rsidR="00E52196" w:rsidRDefault="007336A4" w:rsidP="001F0C7E">
      <w:pPr>
        <w:rPr>
          <w:rFonts w:ascii="Times New Roman" w:hAnsi="Times New Roman"/>
          <w:i/>
          <w:color w:val="000000"/>
          <w:szCs w:val="24"/>
        </w:rPr>
      </w:pPr>
      <w:r w:rsidRPr="00F0611E">
        <w:rPr>
          <w:rFonts w:ascii="Times New Roman" w:hAnsi="Times New Roman"/>
          <w:color w:val="000000"/>
          <w:szCs w:val="24"/>
        </w:rPr>
        <w:t xml:space="preserve">The </w:t>
      </w:r>
      <w:r w:rsidR="00390C68" w:rsidRPr="00F0611E">
        <w:rPr>
          <w:rFonts w:ascii="Times New Roman" w:hAnsi="Times New Roman"/>
          <w:color w:val="000000"/>
          <w:szCs w:val="24"/>
        </w:rPr>
        <w:t>Specification</w:t>
      </w:r>
      <w:r w:rsidRPr="00F0611E">
        <w:rPr>
          <w:rFonts w:ascii="Times New Roman" w:hAnsi="Times New Roman"/>
          <w:color w:val="000000"/>
          <w:szCs w:val="24"/>
        </w:rPr>
        <w:t xml:space="preserve"> </w:t>
      </w:r>
      <w:r w:rsidR="00797500" w:rsidRPr="00F0611E">
        <w:rPr>
          <w:rFonts w:ascii="Times New Roman" w:hAnsi="Times New Roman"/>
          <w:color w:val="000000"/>
          <w:szCs w:val="24"/>
        </w:rPr>
        <w:t>is</w:t>
      </w:r>
      <w:r w:rsidRPr="00F0611E">
        <w:rPr>
          <w:rFonts w:ascii="Times New Roman" w:hAnsi="Times New Roman"/>
          <w:color w:val="000000"/>
          <w:szCs w:val="24"/>
        </w:rPr>
        <w:t xml:space="preserve"> a legislative instrument for the purpose</w:t>
      </w:r>
      <w:r w:rsidR="00296766" w:rsidRPr="00F0611E">
        <w:rPr>
          <w:rFonts w:ascii="Times New Roman" w:hAnsi="Times New Roman"/>
          <w:color w:val="000000"/>
          <w:szCs w:val="24"/>
        </w:rPr>
        <w:t>s</w:t>
      </w:r>
      <w:r w:rsidRPr="00F0611E">
        <w:rPr>
          <w:rFonts w:ascii="Times New Roman" w:hAnsi="Times New Roman"/>
          <w:color w:val="000000"/>
          <w:szCs w:val="24"/>
        </w:rPr>
        <w:t xml:space="preserve"> of the </w:t>
      </w:r>
      <w:r w:rsidR="00B01CBA">
        <w:rPr>
          <w:rFonts w:ascii="Times New Roman" w:hAnsi="Times New Roman"/>
          <w:i/>
          <w:color w:val="000000"/>
          <w:szCs w:val="24"/>
        </w:rPr>
        <w:t xml:space="preserve">Legislation </w:t>
      </w:r>
      <w:r w:rsidRPr="00F0611E">
        <w:rPr>
          <w:rFonts w:ascii="Times New Roman" w:hAnsi="Times New Roman"/>
          <w:i/>
          <w:color w:val="000000"/>
          <w:szCs w:val="24"/>
        </w:rPr>
        <w:t>Act 2003</w:t>
      </w:r>
      <w:r w:rsidR="006F69C5">
        <w:rPr>
          <w:rFonts w:ascii="Times New Roman" w:hAnsi="Times New Roman"/>
          <w:i/>
          <w:color w:val="000000"/>
          <w:szCs w:val="24"/>
        </w:rPr>
        <w:t>.</w:t>
      </w:r>
    </w:p>
    <w:p w:rsidR="00E52196" w:rsidRDefault="00E52196">
      <w:pPr>
        <w:rPr>
          <w:rFonts w:ascii="Times New Roman" w:hAnsi="Times New Roman"/>
          <w:i/>
          <w:color w:val="000000"/>
          <w:szCs w:val="24"/>
        </w:rPr>
      </w:pPr>
      <w:r>
        <w:rPr>
          <w:rFonts w:ascii="Times New Roman" w:hAnsi="Times New Roman"/>
          <w:i/>
          <w:color w:val="000000"/>
          <w:szCs w:val="24"/>
        </w:rPr>
        <w:br w:type="page"/>
      </w:r>
    </w:p>
    <w:p w:rsidR="00BD1B0C" w:rsidRPr="004A1F9D" w:rsidRDefault="00BD1B0C" w:rsidP="00E52196">
      <w:pPr>
        <w:spacing w:before="360" w:after="120"/>
        <w:jc w:val="center"/>
        <w:rPr>
          <w:rFonts w:ascii="Times New Roman" w:hAnsi="Times New Roman"/>
          <w:sz w:val="28"/>
          <w:szCs w:val="28"/>
        </w:rPr>
      </w:pPr>
      <w:r w:rsidRPr="004A1F9D">
        <w:rPr>
          <w:rFonts w:ascii="Times New Roman" w:hAnsi="Times New Roman"/>
          <w:b/>
          <w:bCs/>
          <w:sz w:val="28"/>
          <w:szCs w:val="28"/>
        </w:rPr>
        <w:lastRenderedPageBreak/>
        <w:t xml:space="preserve">Statement of Compatibility with Human Rights for a legislative instrument that </w:t>
      </w:r>
      <w:r>
        <w:rPr>
          <w:rFonts w:ascii="Times New Roman" w:hAnsi="Times New Roman"/>
          <w:b/>
          <w:bCs/>
          <w:sz w:val="28"/>
          <w:szCs w:val="28"/>
        </w:rPr>
        <w:t xml:space="preserve">does not </w:t>
      </w:r>
      <w:r w:rsidRPr="004A1F9D">
        <w:rPr>
          <w:rFonts w:ascii="Times New Roman" w:hAnsi="Times New Roman"/>
          <w:b/>
          <w:bCs/>
          <w:sz w:val="28"/>
          <w:szCs w:val="28"/>
        </w:rPr>
        <w:t xml:space="preserve">raise </w:t>
      </w:r>
      <w:r>
        <w:rPr>
          <w:rFonts w:ascii="Times New Roman" w:hAnsi="Times New Roman"/>
          <w:b/>
          <w:bCs/>
          <w:sz w:val="28"/>
          <w:szCs w:val="28"/>
        </w:rPr>
        <w:t xml:space="preserve">any </w:t>
      </w:r>
      <w:r w:rsidRPr="004A1F9D">
        <w:rPr>
          <w:rFonts w:ascii="Times New Roman" w:hAnsi="Times New Roman"/>
          <w:b/>
          <w:bCs/>
          <w:sz w:val="28"/>
          <w:szCs w:val="28"/>
        </w:rPr>
        <w:t>human rights issues</w:t>
      </w:r>
    </w:p>
    <w:p w:rsidR="001F0C7E" w:rsidRPr="00E4135E" w:rsidRDefault="001F0C7E" w:rsidP="00BD1B0C">
      <w:pPr>
        <w:spacing w:before="240"/>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1F0C7E" w:rsidRDefault="001F0C7E" w:rsidP="00BD1B0C">
      <w:pPr>
        <w:spacing w:before="100" w:beforeAutospacing="1"/>
        <w:rPr>
          <w:rFonts w:ascii="Times New Roman" w:hAnsi="Times New Roman"/>
          <w:b/>
          <w:szCs w:val="24"/>
        </w:rPr>
      </w:pPr>
      <w:r>
        <w:rPr>
          <w:rFonts w:ascii="Times New Roman" w:hAnsi="Times New Roman"/>
          <w:b/>
          <w:szCs w:val="24"/>
        </w:rPr>
        <w:t>Therapeutic Goods Information Specification 201</w:t>
      </w:r>
      <w:r w:rsidR="00B01CBA">
        <w:rPr>
          <w:rFonts w:ascii="Times New Roman" w:hAnsi="Times New Roman"/>
          <w:b/>
          <w:szCs w:val="24"/>
        </w:rPr>
        <w:t>7</w:t>
      </w:r>
    </w:p>
    <w:p w:rsidR="001F0C7E" w:rsidRDefault="001F0C7E" w:rsidP="001F0C7E">
      <w:pPr>
        <w:spacing w:before="120" w:after="360"/>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 xml:space="preserve">nstrument is compatible with the human rights and freedoms recognised or declared in the international instruments listed in section 3 of the </w:t>
      </w:r>
      <w:r w:rsidRPr="00E4135E">
        <w:rPr>
          <w:rFonts w:ascii="Times New Roman" w:hAnsi="Times New Roman"/>
          <w:i/>
          <w:szCs w:val="24"/>
        </w:rPr>
        <w:t>Human Rights (Parliamentary Scrutiny) Act 2011</w:t>
      </w:r>
      <w:r>
        <w:rPr>
          <w:rFonts w:ascii="Times New Roman" w:hAnsi="Times New Roman"/>
          <w:szCs w:val="24"/>
        </w:rPr>
        <w:t>.</w:t>
      </w:r>
    </w:p>
    <w:p w:rsidR="001F0C7E" w:rsidRPr="00E4135E" w:rsidRDefault="001F0C7E" w:rsidP="00D865E2">
      <w:pPr>
        <w:spacing w:before="240" w:after="120"/>
        <w:jc w:val="both"/>
        <w:rPr>
          <w:rFonts w:ascii="Times New Roman" w:hAnsi="Times New Roman"/>
          <w:b/>
          <w:szCs w:val="24"/>
        </w:rPr>
      </w:pPr>
      <w:r w:rsidRPr="00E4135E">
        <w:rPr>
          <w:rFonts w:ascii="Times New Roman" w:hAnsi="Times New Roman"/>
          <w:b/>
          <w:szCs w:val="24"/>
        </w:rPr>
        <w:t>Overview of Legislative Instrument</w:t>
      </w:r>
    </w:p>
    <w:p w:rsidR="00F0611E" w:rsidRDefault="001F0C7E" w:rsidP="00D865E2">
      <w:pPr>
        <w:spacing w:after="120"/>
        <w:rPr>
          <w:rFonts w:ascii="Times New Roman" w:hAnsi="Times New Roman"/>
          <w:szCs w:val="24"/>
        </w:rPr>
      </w:pPr>
      <w:r w:rsidRPr="00412422">
        <w:rPr>
          <w:rFonts w:ascii="Times New Roman" w:hAnsi="Times New Roman"/>
          <w:szCs w:val="24"/>
        </w:rPr>
        <w:t xml:space="preserve">The </w:t>
      </w:r>
      <w:r w:rsidRPr="00827655">
        <w:rPr>
          <w:rFonts w:ascii="Times New Roman" w:hAnsi="Times New Roman"/>
          <w:i/>
          <w:szCs w:val="24"/>
        </w:rPr>
        <w:t>Therapeutic Goods Information Specification 201</w:t>
      </w:r>
      <w:r w:rsidR="004E5C5E">
        <w:rPr>
          <w:rFonts w:ascii="Times New Roman" w:hAnsi="Times New Roman"/>
          <w:i/>
          <w:szCs w:val="24"/>
        </w:rPr>
        <w:t>7</w:t>
      </w:r>
      <w:r w:rsidRPr="00AF4AE8">
        <w:rPr>
          <w:rFonts w:ascii="Times New Roman" w:hAnsi="Times New Roman"/>
          <w:szCs w:val="24"/>
        </w:rPr>
        <w:t xml:space="preserve"> is made </w:t>
      </w:r>
      <w:r w:rsidR="006F69C5" w:rsidRPr="00AF4AE8">
        <w:rPr>
          <w:rFonts w:ascii="Times New Roman" w:hAnsi="Times New Roman"/>
          <w:szCs w:val="24"/>
        </w:rPr>
        <w:t xml:space="preserve">under subsection 61(5D) of the </w:t>
      </w:r>
      <w:r w:rsidR="006F69C5" w:rsidRPr="00AF4AE8">
        <w:rPr>
          <w:rFonts w:ascii="Times New Roman" w:hAnsi="Times New Roman"/>
          <w:i/>
          <w:szCs w:val="24"/>
        </w:rPr>
        <w:t>Therapeutic Goods Act 1989</w:t>
      </w:r>
      <w:r w:rsidR="006F69C5">
        <w:rPr>
          <w:rFonts w:ascii="Times New Roman" w:hAnsi="Times New Roman"/>
          <w:i/>
          <w:szCs w:val="24"/>
        </w:rPr>
        <w:t xml:space="preserve"> </w:t>
      </w:r>
      <w:r w:rsidR="00AC5902" w:rsidRPr="00AC5902">
        <w:rPr>
          <w:rFonts w:ascii="Times New Roman" w:hAnsi="Times New Roman"/>
          <w:szCs w:val="24"/>
        </w:rPr>
        <w:t>(the Act)</w:t>
      </w:r>
      <w:r w:rsidR="00AC5902">
        <w:rPr>
          <w:rFonts w:ascii="Times New Roman" w:hAnsi="Times New Roman"/>
          <w:i/>
          <w:szCs w:val="24"/>
        </w:rPr>
        <w:t xml:space="preserve"> </w:t>
      </w:r>
      <w:r w:rsidRPr="00AF4AE8">
        <w:rPr>
          <w:rFonts w:ascii="Times New Roman" w:hAnsi="Times New Roman"/>
          <w:szCs w:val="24"/>
        </w:rPr>
        <w:t xml:space="preserve">by </w:t>
      </w:r>
      <w:r w:rsidR="00BB1DDB">
        <w:rPr>
          <w:rFonts w:ascii="Times New Roman" w:hAnsi="Times New Roman"/>
          <w:szCs w:val="24"/>
        </w:rPr>
        <w:t xml:space="preserve">a delegate of </w:t>
      </w:r>
      <w:r w:rsidRPr="00AF4AE8">
        <w:rPr>
          <w:rFonts w:ascii="Times New Roman" w:hAnsi="Times New Roman"/>
          <w:szCs w:val="24"/>
        </w:rPr>
        <w:t xml:space="preserve">the Minister for Health.  It </w:t>
      </w:r>
      <w:r>
        <w:rPr>
          <w:rFonts w:ascii="Times New Roman" w:hAnsi="Times New Roman"/>
          <w:szCs w:val="24"/>
        </w:rPr>
        <w:t xml:space="preserve">replaces the </w:t>
      </w:r>
      <w:r w:rsidRPr="008C7584">
        <w:rPr>
          <w:rFonts w:ascii="Times New Roman" w:hAnsi="Times New Roman"/>
          <w:i/>
          <w:szCs w:val="24"/>
        </w:rPr>
        <w:t xml:space="preserve">Therapeutic Goods Information Specification </w:t>
      </w:r>
      <w:r w:rsidR="004E5C5E" w:rsidRPr="008C7584">
        <w:rPr>
          <w:rFonts w:ascii="Times New Roman" w:hAnsi="Times New Roman"/>
          <w:i/>
          <w:szCs w:val="24"/>
        </w:rPr>
        <w:t>20</w:t>
      </w:r>
      <w:r w:rsidR="004E5C5E">
        <w:rPr>
          <w:rFonts w:ascii="Times New Roman" w:hAnsi="Times New Roman"/>
          <w:i/>
          <w:szCs w:val="24"/>
        </w:rPr>
        <w:t>15</w:t>
      </w:r>
      <w:r w:rsidR="004E5C5E">
        <w:rPr>
          <w:rFonts w:ascii="Times New Roman" w:hAnsi="Times New Roman"/>
          <w:szCs w:val="24"/>
        </w:rPr>
        <w:t xml:space="preserve"> </w:t>
      </w:r>
      <w:r w:rsidR="003E00BE">
        <w:rPr>
          <w:rFonts w:ascii="Times New Roman" w:hAnsi="Times New Roman"/>
          <w:szCs w:val="24"/>
        </w:rPr>
        <w:t xml:space="preserve">(the 2015 Specification) </w:t>
      </w:r>
      <w:r w:rsidR="00367D75">
        <w:rPr>
          <w:rFonts w:ascii="Times New Roman" w:hAnsi="Times New Roman"/>
          <w:szCs w:val="24"/>
        </w:rPr>
        <w:t xml:space="preserve">and </w:t>
      </w:r>
      <w:r>
        <w:rPr>
          <w:rFonts w:ascii="Times New Roman" w:hAnsi="Times New Roman"/>
          <w:szCs w:val="24"/>
        </w:rPr>
        <w:t>updat</w:t>
      </w:r>
      <w:r w:rsidR="00367D75">
        <w:rPr>
          <w:rFonts w:ascii="Times New Roman" w:hAnsi="Times New Roman"/>
          <w:szCs w:val="24"/>
        </w:rPr>
        <w:t>es</w:t>
      </w:r>
      <w:r>
        <w:rPr>
          <w:rFonts w:ascii="Times New Roman" w:hAnsi="Times New Roman"/>
          <w:szCs w:val="24"/>
        </w:rPr>
        <w:t xml:space="preserve"> references to </w:t>
      </w:r>
      <w:r w:rsidR="00E91031">
        <w:rPr>
          <w:rFonts w:ascii="Times New Roman" w:hAnsi="Times New Roman"/>
          <w:szCs w:val="24"/>
        </w:rPr>
        <w:t xml:space="preserve">certain </w:t>
      </w:r>
      <w:r>
        <w:rPr>
          <w:rFonts w:ascii="Times New Roman" w:hAnsi="Times New Roman"/>
          <w:szCs w:val="24"/>
        </w:rPr>
        <w:t xml:space="preserve">statutory committees established under the </w:t>
      </w:r>
      <w:r w:rsidRPr="00E91031">
        <w:rPr>
          <w:rFonts w:ascii="Times New Roman" w:hAnsi="Times New Roman"/>
          <w:i/>
          <w:szCs w:val="24"/>
        </w:rPr>
        <w:t>Therapeutic Goods Regulations 1990</w:t>
      </w:r>
      <w:r w:rsidR="001F1600">
        <w:rPr>
          <w:rFonts w:ascii="Times New Roman" w:hAnsi="Times New Roman"/>
          <w:szCs w:val="24"/>
        </w:rPr>
        <w:t xml:space="preserve">, consistent with the new </w:t>
      </w:r>
      <w:r w:rsidR="00E8202B">
        <w:rPr>
          <w:rFonts w:ascii="Times New Roman" w:hAnsi="Times New Roman"/>
          <w:szCs w:val="24"/>
        </w:rPr>
        <w:t xml:space="preserve">expert advisory </w:t>
      </w:r>
      <w:r w:rsidR="001F1600">
        <w:rPr>
          <w:rFonts w:ascii="Times New Roman" w:hAnsi="Times New Roman"/>
          <w:szCs w:val="24"/>
        </w:rPr>
        <w:t>Committee structure that was introduced on 1 January 2017</w:t>
      </w:r>
      <w:r w:rsidR="00E8202B">
        <w:rPr>
          <w:rFonts w:ascii="Times New Roman" w:hAnsi="Times New Roman"/>
          <w:szCs w:val="24"/>
        </w:rPr>
        <w:t xml:space="preserve"> by the </w:t>
      </w:r>
      <w:r w:rsidR="00E8202B" w:rsidRPr="00E8202B">
        <w:rPr>
          <w:rFonts w:ascii="Times New Roman" w:hAnsi="Times New Roman"/>
          <w:i/>
          <w:szCs w:val="24"/>
        </w:rPr>
        <w:t>Therapeutic Goods Amendment (Advisory Committees and Other Measures) Regulation 2016</w:t>
      </w:r>
      <w:r>
        <w:rPr>
          <w:rFonts w:ascii="Times New Roman" w:hAnsi="Times New Roman"/>
          <w:szCs w:val="24"/>
        </w:rPr>
        <w:t xml:space="preserve">.  </w:t>
      </w:r>
      <w:r w:rsidR="003E00BE">
        <w:rPr>
          <w:rFonts w:ascii="Times New Roman" w:hAnsi="Times New Roman"/>
          <w:szCs w:val="24"/>
        </w:rPr>
        <w:t>Otherwise, the same matters are covered in the Specification as were covered in the 2015 Specification</w:t>
      </w:r>
      <w:r w:rsidR="00061C4D">
        <w:rPr>
          <w:rFonts w:ascii="Times New Roman" w:hAnsi="Times New Roman"/>
          <w:szCs w:val="24"/>
        </w:rPr>
        <w:t>.</w:t>
      </w:r>
    </w:p>
    <w:p w:rsidR="001F0C7E" w:rsidRDefault="001F0C7E" w:rsidP="001F0C7E">
      <w:pPr>
        <w:spacing w:before="100" w:beforeAutospacing="1" w:after="100" w:afterAutospacing="1"/>
        <w:rPr>
          <w:rFonts w:ascii="Times New Roman" w:hAnsi="Times New Roman"/>
          <w:szCs w:val="24"/>
        </w:rPr>
      </w:pPr>
      <w:r>
        <w:rPr>
          <w:rFonts w:ascii="Times New Roman" w:hAnsi="Times New Roman"/>
          <w:szCs w:val="24"/>
        </w:rPr>
        <w:t xml:space="preserve">It will </w:t>
      </w:r>
      <w:r w:rsidRPr="00AF4AE8">
        <w:rPr>
          <w:rFonts w:ascii="Times New Roman" w:hAnsi="Times New Roman"/>
          <w:szCs w:val="24"/>
        </w:rPr>
        <w:t xml:space="preserve">permit the Secretary of the Department of Health to </w:t>
      </w:r>
      <w:r w:rsidR="00E8202B">
        <w:rPr>
          <w:rFonts w:ascii="Times New Roman" w:hAnsi="Times New Roman"/>
          <w:szCs w:val="24"/>
        </w:rPr>
        <w:t xml:space="preserve">continue to </w:t>
      </w:r>
      <w:r w:rsidRPr="00AF4AE8">
        <w:rPr>
          <w:rFonts w:ascii="Times New Roman" w:hAnsi="Times New Roman"/>
          <w:szCs w:val="24"/>
        </w:rPr>
        <w:t xml:space="preserve">release to the public </w:t>
      </w:r>
      <w:r w:rsidR="00F0611E">
        <w:rPr>
          <w:rFonts w:ascii="Times New Roman" w:hAnsi="Times New Roman"/>
          <w:szCs w:val="24"/>
        </w:rPr>
        <w:t>under subsection 61(5C) of the Act therapeutic goods information held by the Therapeutic Goods Administration (TGA) in the form of Product Information, Consumer Medicine Information and Australian Public Assessment Reports (AusPAR) for prescription medicines</w:t>
      </w:r>
      <w:r w:rsidR="00367D75">
        <w:rPr>
          <w:rFonts w:ascii="Times New Roman" w:hAnsi="Times New Roman"/>
          <w:szCs w:val="24"/>
        </w:rPr>
        <w:t>, all currently published on the TGA</w:t>
      </w:r>
      <w:r w:rsidR="00E8202B">
        <w:rPr>
          <w:rFonts w:ascii="Times New Roman" w:hAnsi="Times New Roman"/>
          <w:szCs w:val="24"/>
        </w:rPr>
        <w:t>’s</w:t>
      </w:r>
      <w:r w:rsidR="00367D75">
        <w:rPr>
          <w:rFonts w:ascii="Times New Roman" w:hAnsi="Times New Roman"/>
          <w:szCs w:val="24"/>
        </w:rPr>
        <w:t xml:space="preserve"> website</w:t>
      </w:r>
      <w:r w:rsidR="00E8202B">
        <w:rPr>
          <w:rFonts w:ascii="Times New Roman" w:hAnsi="Times New Roman"/>
          <w:szCs w:val="24"/>
        </w:rPr>
        <w:t xml:space="preserve"> (</w:t>
      </w:r>
      <w:hyperlink r:id="rId10" w:history="1">
        <w:r w:rsidR="00E8202B" w:rsidRPr="00EB6791">
          <w:rPr>
            <w:rStyle w:val="Hyperlink"/>
            <w:rFonts w:ascii="Times New Roman" w:hAnsi="Times New Roman"/>
            <w:szCs w:val="24"/>
          </w:rPr>
          <w:t>www.tga.gov.au</w:t>
        </w:r>
      </w:hyperlink>
      <w:r w:rsidR="00E8202B">
        <w:rPr>
          <w:rFonts w:ascii="Times New Roman" w:hAnsi="Times New Roman"/>
          <w:szCs w:val="24"/>
        </w:rPr>
        <w:t>)</w:t>
      </w:r>
      <w:r>
        <w:rPr>
          <w:rFonts w:ascii="Times New Roman" w:hAnsi="Times New Roman"/>
          <w:szCs w:val="24"/>
        </w:rPr>
        <w:t>.</w:t>
      </w:r>
      <w:r w:rsidRPr="00AF4AE8">
        <w:rPr>
          <w:rFonts w:ascii="Times New Roman" w:hAnsi="Times New Roman"/>
          <w:szCs w:val="24"/>
        </w:rPr>
        <w:t xml:space="preserve">  </w:t>
      </w:r>
    </w:p>
    <w:p w:rsidR="001F0C7E" w:rsidRDefault="001F0C7E" w:rsidP="00BD1B0C">
      <w:pPr>
        <w:spacing w:before="240" w:after="120"/>
        <w:rPr>
          <w:rFonts w:ascii="Times New Roman" w:hAnsi="Times New Roman"/>
          <w:b/>
          <w:szCs w:val="24"/>
        </w:rPr>
      </w:pPr>
      <w:r w:rsidRPr="00AF4AE8">
        <w:rPr>
          <w:rFonts w:ascii="Times New Roman" w:hAnsi="Times New Roman"/>
          <w:b/>
          <w:szCs w:val="24"/>
        </w:rPr>
        <w:t>Human rights implications</w:t>
      </w:r>
    </w:p>
    <w:p w:rsidR="001F0C7E" w:rsidRPr="00F928E0" w:rsidRDefault="001F0C7E" w:rsidP="001F0C7E">
      <w:pPr>
        <w:spacing w:before="120" w:after="120"/>
        <w:rPr>
          <w:rFonts w:ascii="Times New Roman" w:hAnsi="Times New Roman"/>
          <w:szCs w:val="24"/>
        </w:rPr>
      </w:pPr>
      <w:r>
        <w:rPr>
          <w:rFonts w:ascii="Times New Roman" w:hAnsi="Times New Roman"/>
          <w:szCs w:val="24"/>
        </w:rPr>
        <w:t xml:space="preserve">As this instrument </w:t>
      </w:r>
      <w:r w:rsidR="00EB28D7">
        <w:rPr>
          <w:rFonts w:ascii="Times New Roman" w:hAnsi="Times New Roman"/>
          <w:szCs w:val="24"/>
        </w:rPr>
        <w:t xml:space="preserve">does not include any measures other than providing for the release to the public of information outlined above, </w:t>
      </w:r>
      <w:r w:rsidR="00827655">
        <w:rPr>
          <w:rFonts w:ascii="Times New Roman" w:hAnsi="Times New Roman"/>
          <w:szCs w:val="24"/>
        </w:rPr>
        <w:t xml:space="preserve">it does not </w:t>
      </w:r>
      <w:r w:rsidRPr="00E4135E">
        <w:rPr>
          <w:rFonts w:ascii="Times New Roman" w:hAnsi="Times New Roman"/>
          <w:szCs w:val="24"/>
        </w:rPr>
        <w:t>engage any of the</w:t>
      </w:r>
      <w:r>
        <w:rPr>
          <w:rFonts w:ascii="Times New Roman" w:hAnsi="Times New Roman"/>
          <w:szCs w:val="24"/>
        </w:rPr>
        <w:t xml:space="preserve"> applicable rights or freedoms.</w:t>
      </w:r>
    </w:p>
    <w:p w:rsidR="001F0C7E" w:rsidRDefault="001F0C7E" w:rsidP="001F0C7E">
      <w:pPr>
        <w:spacing w:before="240" w:after="120"/>
        <w:rPr>
          <w:rFonts w:ascii="Times New Roman" w:hAnsi="Times New Roman"/>
          <w:b/>
          <w:szCs w:val="24"/>
        </w:rPr>
      </w:pPr>
      <w:r w:rsidRPr="00E4135E">
        <w:rPr>
          <w:rFonts w:ascii="Times New Roman" w:hAnsi="Times New Roman"/>
          <w:b/>
          <w:szCs w:val="24"/>
        </w:rPr>
        <w:t>Conclusion</w:t>
      </w:r>
    </w:p>
    <w:p w:rsidR="001F0C7E" w:rsidRDefault="001F0C7E" w:rsidP="001F0C7E">
      <w:pPr>
        <w:spacing w:before="120" w:after="120"/>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nstrument is compatible with human rights as it does not raise any human rights issues.</w:t>
      </w:r>
    </w:p>
    <w:p w:rsidR="001F0C7E" w:rsidRDefault="001F0C7E" w:rsidP="001F0C7E">
      <w:pPr>
        <w:spacing w:before="120" w:after="120"/>
        <w:rPr>
          <w:rFonts w:ascii="Times New Roman" w:hAnsi="Times New Roman"/>
          <w:szCs w:val="24"/>
        </w:rPr>
      </w:pPr>
    </w:p>
    <w:p w:rsidR="001F0C7E" w:rsidRPr="001F0C7E" w:rsidRDefault="00E8202B" w:rsidP="001F1600">
      <w:pPr>
        <w:pStyle w:val="Header"/>
        <w:tabs>
          <w:tab w:val="clear" w:pos="4153"/>
          <w:tab w:val="clear" w:pos="8306"/>
          <w:tab w:val="left" w:pos="4395"/>
          <w:tab w:val="left" w:pos="5529"/>
        </w:tabs>
        <w:ind w:left="1797" w:hanging="1797"/>
        <w:rPr>
          <w:color w:val="000000"/>
          <w:szCs w:val="24"/>
        </w:rPr>
      </w:pPr>
      <w:r>
        <w:rPr>
          <w:rFonts w:ascii="Times New Roman" w:hAnsi="Times New Roman"/>
          <w:b/>
          <w:szCs w:val="24"/>
        </w:rPr>
        <w:t>Larry Kelly</w:t>
      </w:r>
      <w:r w:rsidR="001F0C7E" w:rsidRPr="006A0A10">
        <w:rPr>
          <w:rFonts w:ascii="Times New Roman" w:hAnsi="Times New Roman"/>
          <w:b/>
          <w:szCs w:val="24"/>
        </w:rPr>
        <w:t>, delegate of the Minister for Health</w:t>
      </w:r>
    </w:p>
    <w:sectPr w:rsidR="001F0C7E" w:rsidRPr="001F0C7E" w:rsidSect="00B65BED">
      <w:headerReference w:type="even" r:id="rId11"/>
      <w:headerReference w:type="default" r:id="rId12"/>
      <w:footerReference w:type="default" r:id="rId13"/>
      <w:footerReference w:type="first" r:id="rId14"/>
      <w:pgSz w:w="11907" w:h="16840" w:code="9"/>
      <w:pgMar w:top="1134" w:right="1361" w:bottom="1021" w:left="124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C7" w:rsidRDefault="005802C7">
      <w:r>
        <w:separator/>
      </w:r>
    </w:p>
  </w:endnote>
  <w:endnote w:type="continuationSeparator" w:id="0">
    <w:p w:rsidR="005802C7" w:rsidRDefault="005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Pr="00BD3496" w:rsidRDefault="004527AB" w:rsidP="00BD3496">
    <w:pPr>
      <w:pStyle w:val="Footer"/>
      <w:jc w:val="right"/>
      <w:rPr>
        <w:i/>
        <w:sz w:val="20"/>
      </w:rPr>
    </w:pPr>
    <w:r w:rsidRPr="00BD3496">
      <w:rPr>
        <w:i/>
        <w:snapToGrid w:val="0"/>
        <w:sz w:val="20"/>
        <w:lang w:eastAsia="en-US"/>
      </w:rPr>
      <w:t xml:space="preserve">Page </w:t>
    </w:r>
    <w:r w:rsidR="007F75B8" w:rsidRPr="00BD3496">
      <w:rPr>
        <w:i/>
        <w:snapToGrid w:val="0"/>
        <w:sz w:val="20"/>
        <w:lang w:eastAsia="en-US"/>
      </w:rPr>
      <w:fldChar w:fldCharType="begin"/>
    </w:r>
    <w:r w:rsidRPr="00BD3496">
      <w:rPr>
        <w:i/>
        <w:snapToGrid w:val="0"/>
        <w:sz w:val="20"/>
        <w:lang w:eastAsia="en-US"/>
      </w:rPr>
      <w:instrText xml:space="preserve"> PAGE </w:instrText>
    </w:r>
    <w:r w:rsidR="007F75B8" w:rsidRPr="00BD3496">
      <w:rPr>
        <w:i/>
        <w:snapToGrid w:val="0"/>
        <w:sz w:val="20"/>
        <w:lang w:eastAsia="en-US"/>
      </w:rPr>
      <w:fldChar w:fldCharType="separate"/>
    </w:r>
    <w:r w:rsidR="000B7E2D">
      <w:rPr>
        <w:i/>
        <w:noProof/>
        <w:snapToGrid w:val="0"/>
        <w:sz w:val="20"/>
        <w:lang w:eastAsia="en-US"/>
      </w:rPr>
      <w:t>4</w:t>
    </w:r>
    <w:r w:rsidR="007F75B8" w:rsidRPr="00BD3496">
      <w:rPr>
        <w:i/>
        <w:snapToGrid w:val="0"/>
        <w:sz w:val="20"/>
        <w:lang w:eastAsia="en-US"/>
      </w:rPr>
      <w:fldChar w:fldCharType="end"/>
    </w:r>
    <w:r w:rsidRPr="00BD3496">
      <w:rPr>
        <w:i/>
        <w:snapToGrid w:val="0"/>
        <w:sz w:val="20"/>
        <w:lang w:eastAsia="en-US"/>
      </w:rPr>
      <w:t xml:space="preserve"> of </w:t>
    </w:r>
    <w:r w:rsidR="007F75B8" w:rsidRPr="00BD3496">
      <w:rPr>
        <w:i/>
        <w:snapToGrid w:val="0"/>
        <w:sz w:val="20"/>
        <w:lang w:eastAsia="en-US"/>
      </w:rPr>
      <w:fldChar w:fldCharType="begin"/>
    </w:r>
    <w:r w:rsidRPr="00BD3496">
      <w:rPr>
        <w:i/>
        <w:snapToGrid w:val="0"/>
        <w:sz w:val="20"/>
        <w:lang w:eastAsia="en-US"/>
      </w:rPr>
      <w:instrText xml:space="preserve"> NUMPAGES </w:instrText>
    </w:r>
    <w:r w:rsidR="007F75B8" w:rsidRPr="00BD3496">
      <w:rPr>
        <w:i/>
        <w:snapToGrid w:val="0"/>
        <w:sz w:val="20"/>
        <w:lang w:eastAsia="en-US"/>
      </w:rPr>
      <w:fldChar w:fldCharType="separate"/>
    </w:r>
    <w:r w:rsidR="000B7E2D">
      <w:rPr>
        <w:i/>
        <w:noProof/>
        <w:snapToGrid w:val="0"/>
        <w:sz w:val="20"/>
        <w:lang w:eastAsia="en-US"/>
      </w:rPr>
      <w:t>4</w:t>
    </w:r>
    <w:r w:rsidR="007F75B8" w:rsidRPr="00BD3496">
      <w:rPr>
        <w:i/>
        <w:snapToGrid w:val="0"/>
        <w:sz w:val="20"/>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4527AB"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C7" w:rsidRDefault="005802C7">
      <w:r>
        <w:separator/>
      </w:r>
    </w:p>
  </w:footnote>
  <w:footnote w:type="continuationSeparator" w:id="0">
    <w:p w:rsidR="005802C7" w:rsidRDefault="0058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7F75B8" w:rsidP="00B24E0B">
    <w:pPr>
      <w:pStyle w:val="Header"/>
      <w:framePr w:wrap="around" w:vAnchor="text" w:hAnchor="margin" w:xAlign="center" w:y="1"/>
      <w:rPr>
        <w:rStyle w:val="PageNumber"/>
      </w:rPr>
    </w:pPr>
    <w:r>
      <w:rPr>
        <w:rStyle w:val="PageNumber"/>
      </w:rPr>
      <w:fldChar w:fldCharType="begin"/>
    </w:r>
    <w:r w:rsidR="004527AB">
      <w:rPr>
        <w:rStyle w:val="PageNumber"/>
      </w:rPr>
      <w:instrText xml:space="preserve">PAGE  </w:instrText>
    </w:r>
    <w:r>
      <w:rPr>
        <w:rStyle w:val="PageNumber"/>
      </w:rPr>
      <w:fldChar w:fldCharType="end"/>
    </w:r>
  </w:p>
  <w:p w:rsidR="004527AB" w:rsidRDefault="00452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4527AB" w:rsidP="00B24E0B">
    <w:pPr>
      <w:pStyle w:val="Header"/>
      <w:framePr w:wrap="around" w:vAnchor="text" w:hAnchor="margin" w:xAlign="center" w:y="1"/>
      <w:rPr>
        <w:rStyle w:val="PageNumber"/>
      </w:rPr>
    </w:pPr>
  </w:p>
  <w:p w:rsidR="004527AB" w:rsidRDefault="00452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71"/>
    <w:multiLevelType w:val="hybridMultilevel"/>
    <w:tmpl w:val="B9C6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255C"/>
    <w:rsid w:val="000109DC"/>
    <w:rsid w:val="00014AB3"/>
    <w:rsid w:val="000224DD"/>
    <w:rsid w:val="00025FDC"/>
    <w:rsid w:val="00030C6D"/>
    <w:rsid w:val="000323FF"/>
    <w:rsid w:val="00052DB9"/>
    <w:rsid w:val="00055C58"/>
    <w:rsid w:val="00061C4D"/>
    <w:rsid w:val="00066612"/>
    <w:rsid w:val="000735B6"/>
    <w:rsid w:val="00094D39"/>
    <w:rsid w:val="000A256F"/>
    <w:rsid w:val="000A505A"/>
    <w:rsid w:val="000B4733"/>
    <w:rsid w:val="000B7E2D"/>
    <w:rsid w:val="000C005D"/>
    <w:rsid w:val="000E5C91"/>
    <w:rsid w:val="000F2F24"/>
    <w:rsid w:val="000F427F"/>
    <w:rsid w:val="000F4945"/>
    <w:rsid w:val="0010476B"/>
    <w:rsid w:val="001051B8"/>
    <w:rsid w:val="001115C4"/>
    <w:rsid w:val="001122BC"/>
    <w:rsid w:val="00114FEE"/>
    <w:rsid w:val="00116DB6"/>
    <w:rsid w:val="00121B98"/>
    <w:rsid w:val="0013581C"/>
    <w:rsid w:val="00142201"/>
    <w:rsid w:val="00145315"/>
    <w:rsid w:val="00160372"/>
    <w:rsid w:val="00161367"/>
    <w:rsid w:val="00167CB8"/>
    <w:rsid w:val="0017129A"/>
    <w:rsid w:val="001738BC"/>
    <w:rsid w:val="00176D12"/>
    <w:rsid w:val="00182D10"/>
    <w:rsid w:val="001845E0"/>
    <w:rsid w:val="001927C9"/>
    <w:rsid w:val="001966FD"/>
    <w:rsid w:val="001A2EF3"/>
    <w:rsid w:val="001A3B7C"/>
    <w:rsid w:val="001B584F"/>
    <w:rsid w:val="001D0C9A"/>
    <w:rsid w:val="001D27B4"/>
    <w:rsid w:val="001D48D8"/>
    <w:rsid w:val="001D6C07"/>
    <w:rsid w:val="001E0E76"/>
    <w:rsid w:val="001E2835"/>
    <w:rsid w:val="001E3FE4"/>
    <w:rsid w:val="001F0C7E"/>
    <w:rsid w:val="001F1600"/>
    <w:rsid w:val="001F6C11"/>
    <w:rsid w:val="00201E92"/>
    <w:rsid w:val="00203B2A"/>
    <w:rsid w:val="00205575"/>
    <w:rsid w:val="00227214"/>
    <w:rsid w:val="00232B08"/>
    <w:rsid w:val="00233D67"/>
    <w:rsid w:val="0025431F"/>
    <w:rsid w:val="002705B7"/>
    <w:rsid w:val="00270F5B"/>
    <w:rsid w:val="00271F07"/>
    <w:rsid w:val="00277C13"/>
    <w:rsid w:val="0028175C"/>
    <w:rsid w:val="002854B0"/>
    <w:rsid w:val="00285A9D"/>
    <w:rsid w:val="00287FB8"/>
    <w:rsid w:val="002903D1"/>
    <w:rsid w:val="00292825"/>
    <w:rsid w:val="002929D0"/>
    <w:rsid w:val="0029310D"/>
    <w:rsid w:val="00294434"/>
    <w:rsid w:val="00296766"/>
    <w:rsid w:val="00297DA7"/>
    <w:rsid w:val="002B0169"/>
    <w:rsid w:val="002B3B72"/>
    <w:rsid w:val="002C5253"/>
    <w:rsid w:val="002D1A48"/>
    <w:rsid w:val="002E23EC"/>
    <w:rsid w:val="002E5D2F"/>
    <w:rsid w:val="00300118"/>
    <w:rsid w:val="003042B8"/>
    <w:rsid w:val="00304BBB"/>
    <w:rsid w:val="00305809"/>
    <w:rsid w:val="00310F35"/>
    <w:rsid w:val="00312343"/>
    <w:rsid w:val="003160C6"/>
    <w:rsid w:val="0033633C"/>
    <w:rsid w:val="00337FC0"/>
    <w:rsid w:val="00340137"/>
    <w:rsid w:val="00344E3E"/>
    <w:rsid w:val="00347661"/>
    <w:rsid w:val="00360C3B"/>
    <w:rsid w:val="00361A4E"/>
    <w:rsid w:val="00367D75"/>
    <w:rsid w:val="00376F28"/>
    <w:rsid w:val="003818DC"/>
    <w:rsid w:val="00390C68"/>
    <w:rsid w:val="00394407"/>
    <w:rsid w:val="003965FC"/>
    <w:rsid w:val="003968A2"/>
    <w:rsid w:val="003A133E"/>
    <w:rsid w:val="003C082C"/>
    <w:rsid w:val="003C4BF4"/>
    <w:rsid w:val="003D2F8B"/>
    <w:rsid w:val="003E00BE"/>
    <w:rsid w:val="003E246D"/>
    <w:rsid w:val="003E54F0"/>
    <w:rsid w:val="003F1B8E"/>
    <w:rsid w:val="003F6BD6"/>
    <w:rsid w:val="0040060C"/>
    <w:rsid w:val="004016C4"/>
    <w:rsid w:val="00403A55"/>
    <w:rsid w:val="00403D71"/>
    <w:rsid w:val="0042386A"/>
    <w:rsid w:val="00442753"/>
    <w:rsid w:val="00443637"/>
    <w:rsid w:val="004442C2"/>
    <w:rsid w:val="0045006A"/>
    <w:rsid w:val="004509AD"/>
    <w:rsid w:val="004527AB"/>
    <w:rsid w:val="00457A49"/>
    <w:rsid w:val="00457D99"/>
    <w:rsid w:val="00457E4A"/>
    <w:rsid w:val="00462233"/>
    <w:rsid w:val="00467F28"/>
    <w:rsid w:val="00471E31"/>
    <w:rsid w:val="00475275"/>
    <w:rsid w:val="00482D78"/>
    <w:rsid w:val="00493916"/>
    <w:rsid w:val="0049478E"/>
    <w:rsid w:val="004A35FB"/>
    <w:rsid w:val="004A3F70"/>
    <w:rsid w:val="004B02BA"/>
    <w:rsid w:val="004B0AE7"/>
    <w:rsid w:val="004B725B"/>
    <w:rsid w:val="004C01C8"/>
    <w:rsid w:val="004C0711"/>
    <w:rsid w:val="004C5180"/>
    <w:rsid w:val="004D3EB8"/>
    <w:rsid w:val="004D3ECD"/>
    <w:rsid w:val="004D4D47"/>
    <w:rsid w:val="004E5C5E"/>
    <w:rsid w:val="00501A93"/>
    <w:rsid w:val="00501D89"/>
    <w:rsid w:val="00506B1D"/>
    <w:rsid w:val="00536D03"/>
    <w:rsid w:val="00545926"/>
    <w:rsid w:val="00547DA8"/>
    <w:rsid w:val="005553EE"/>
    <w:rsid w:val="00565460"/>
    <w:rsid w:val="00577876"/>
    <w:rsid w:val="005802C7"/>
    <w:rsid w:val="00584BDA"/>
    <w:rsid w:val="00590250"/>
    <w:rsid w:val="00596F43"/>
    <w:rsid w:val="005B548D"/>
    <w:rsid w:val="005B6899"/>
    <w:rsid w:val="005C5F7B"/>
    <w:rsid w:val="005C6C34"/>
    <w:rsid w:val="005D69F3"/>
    <w:rsid w:val="005E2709"/>
    <w:rsid w:val="005E4E39"/>
    <w:rsid w:val="005F06C6"/>
    <w:rsid w:val="005F28F3"/>
    <w:rsid w:val="00617085"/>
    <w:rsid w:val="00617887"/>
    <w:rsid w:val="00642E5D"/>
    <w:rsid w:val="006464B2"/>
    <w:rsid w:val="00650861"/>
    <w:rsid w:val="006557CC"/>
    <w:rsid w:val="00660062"/>
    <w:rsid w:val="00661F24"/>
    <w:rsid w:val="00667A1C"/>
    <w:rsid w:val="00667A70"/>
    <w:rsid w:val="00670631"/>
    <w:rsid w:val="00683413"/>
    <w:rsid w:val="006842F4"/>
    <w:rsid w:val="00684D45"/>
    <w:rsid w:val="00696977"/>
    <w:rsid w:val="006C0292"/>
    <w:rsid w:val="006D57C9"/>
    <w:rsid w:val="006E0FEA"/>
    <w:rsid w:val="006E1C15"/>
    <w:rsid w:val="006E2450"/>
    <w:rsid w:val="006E3F38"/>
    <w:rsid w:val="006E4C0A"/>
    <w:rsid w:val="006E692E"/>
    <w:rsid w:val="006F2DDD"/>
    <w:rsid w:val="006F69C5"/>
    <w:rsid w:val="006F7E73"/>
    <w:rsid w:val="00704644"/>
    <w:rsid w:val="00713099"/>
    <w:rsid w:val="007225AE"/>
    <w:rsid w:val="007336A4"/>
    <w:rsid w:val="0073580B"/>
    <w:rsid w:val="00740631"/>
    <w:rsid w:val="007411C3"/>
    <w:rsid w:val="00744A35"/>
    <w:rsid w:val="0075590A"/>
    <w:rsid w:val="00761A7E"/>
    <w:rsid w:val="00763359"/>
    <w:rsid w:val="00764B01"/>
    <w:rsid w:val="00767767"/>
    <w:rsid w:val="007758B2"/>
    <w:rsid w:val="00783368"/>
    <w:rsid w:val="00787D41"/>
    <w:rsid w:val="00796B78"/>
    <w:rsid w:val="00797500"/>
    <w:rsid w:val="007A7DD4"/>
    <w:rsid w:val="007C06DC"/>
    <w:rsid w:val="007C1F34"/>
    <w:rsid w:val="007D23E9"/>
    <w:rsid w:val="007E277B"/>
    <w:rsid w:val="007E4897"/>
    <w:rsid w:val="007E5592"/>
    <w:rsid w:val="007E64B2"/>
    <w:rsid w:val="007E7E48"/>
    <w:rsid w:val="007F3C0D"/>
    <w:rsid w:val="007F75B8"/>
    <w:rsid w:val="00804792"/>
    <w:rsid w:val="00807795"/>
    <w:rsid w:val="0081111D"/>
    <w:rsid w:val="008112F1"/>
    <w:rsid w:val="0082080E"/>
    <w:rsid w:val="008209B5"/>
    <w:rsid w:val="0082226A"/>
    <w:rsid w:val="00827655"/>
    <w:rsid w:val="00834441"/>
    <w:rsid w:val="0083525F"/>
    <w:rsid w:val="00851EC7"/>
    <w:rsid w:val="00857E0B"/>
    <w:rsid w:val="00862462"/>
    <w:rsid w:val="00865662"/>
    <w:rsid w:val="0086742F"/>
    <w:rsid w:val="00867E77"/>
    <w:rsid w:val="00870A16"/>
    <w:rsid w:val="00892240"/>
    <w:rsid w:val="008A1261"/>
    <w:rsid w:val="008A625B"/>
    <w:rsid w:val="008B3BD2"/>
    <w:rsid w:val="008B3D10"/>
    <w:rsid w:val="008B75D3"/>
    <w:rsid w:val="008C089F"/>
    <w:rsid w:val="008C0C2A"/>
    <w:rsid w:val="008C240E"/>
    <w:rsid w:val="008C59F4"/>
    <w:rsid w:val="008C6C4B"/>
    <w:rsid w:val="008C7584"/>
    <w:rsid w:val="008D0530"/>
    <w:rsid w:val="008D6B03"/>
    <w:rsid w:val="008E12EF"/>
    <w:rsid w:val="008E3C53"/>
    <w:rsid w:val="008F250B"/>
    <w:rsid w:val="008F27A1"/>
    <w:rsid w:val="008F2A99"/>
    <w:rsid w:val="008F3FC3"/>
    <w:rsid w:val="00920E79"/>
    <w:rsid w:val="00926D2A"/>
    <w:rsid w:val="00934CE6"/>
    <w:rsid w:val="00944494"/>
    <w:rsid w:val="00945FE5"/>
    <w:rsid w:val="00947C7B"/>
    <w:rsid w:val="0095693D"/>
    <w:rsid w:val="00976E2A"/>
    <w:rsid w:val="00981D5B"/>
    <w:rsid w:val="009A47D1"/>
    <w:rsid w:val="009A6128"/>
    <w:rsid w:val="009B1EEF"/>
    <w:rsid w:val="009B6DEE"/>
    <w:rsid w:val="009C7AA3"/>
    <w:rsid w:val="009F26FE"/>
    <w:rsid w:val="009F290F"/>
    <w:rsid w:val="00A006C5"/>
    <w:rsid w:val="00A03977"/>
    <w:rsid w:val="00A2181D"/>
    <w:rsid w:val="00A34B32"/>
    <w:rsid w:val="00A575F2"/>
    <w:rsid w:val="00A65E25"/>
    <w:rsid w:val="00A67247"/>
    <w:rsid w:val="00A7063B"/>
    <w:rsid w:val="00A71168"/>
    <w:rsid w:val="00A74A79"/>
    <w:rsid w:val="00A767EF"/>
    <w:rsid w:val="00A81EB8"/>
    <w:rsid w:val="00A90A5C"/>
    <w:rsid w:val="00A95E40"/>
    <w:rsid w:val="00AA4B3E"/>
    <w:rsid w:val="00AA7276"/>
    <w:rsid w:val="00AB46CB"/>
    <w:rsid w:val="00AB5526"/>
    <w:rsid w:val="00AC06CB"/>
    <w:rsid w:val="00AC38DA"/>
    <w:rsid w:val="00AC5902"/>
    <w:rsid w:val="00AC6035"/>
    <w:rsid w:val="00AD16CC"/>
    <w:rsid w:val="00AD3FBC"/>
    <w:rsid w:val="00AD4BF6"/>
    <w:rsid w:val="00AE7C9B"/>
    <w:rsid w:val="00AF0039"/>
    <w:rsid w:val="00AF125A"/>
    <w:rsid w:val="00B01CBA"/>
    <w:rsid w:val="00B033BE"/>
    <w:rsid w:val="00B10FCE"/>
    <w:rsid w:val="00B11251"/>
    <w:rsid w:val="00B16CCB"/>
    <w:rsid w:val="00B215C1"/>
    <w:rsid w:val="00B24E0B"/>
    <w:rsid w:val="00B25F79"/>
    <w:rsid w:val="00B3144C"/>
    <w:rsid w:val="00B31840"/>
    <w:rsid w:val="00B352C7"/>
    <w:rsid w:val="00B5180A"/>
    <w:rsid w:val="00B51882"/>
    <w:rsid w:val="00B52C87"/>
    <w:rsid w:val="00B614E6"/>
    <w:rsid w:val="00B65BED"/>
    <w:rsid w:val="00B71996"/>
    <w:rsid w:val="00B73770"/>
    <w:rsid w:val="00B80B9B"/>
    <w:rsid w:val="00B8527D"/>
    <w:rsid w:val="00B93546"/>
    <w:rsid w:val="00B97C9B"/>
    <w:rsid w:val="00BA1E4A"/>
    <w:rsid w:val="00BB0DE3"/>
    <w:rsid w:val="00BB1DDB"/>
    <w:rsid w:val="00BC3767"/>
    <w:rsid w:val="00BC4C5A"/>
    <w:rsid w:val="00BD1B0C"/>
    <w:rsid w:val="00BD3496"/>
    <w:rsid w:val="00BF5B68"/>
    <w:rsid w:val="00BF6B81"/>
    <w:rsid w:val="00C0452A"/>
    <w:rsid w:val="00C04F8C"/>
    <w:rsid w:val="00C13BAC"/>
    <w:rsid w:val="00C16B28"/>
    <w:rsid w:val="00C25DD3"/>
    <w:rsid w:val="00C3178E"/>
    <w:rsid w:val="00C3643F"/>
    <w:rsid w:val="00C410E1"/>
    <w:rsid w:val="00C45C95"/>
    <w:rsid w:val="00C52234"/>
    <w:rsid w:val="00C539E3"/>
    <w:rsid w:val="00C56BD9"/>
    <w:rsid w:val="00C60B2D"/>
    <w:rsid w:val="00C60DC2"/>
    <w:rsid w:val="00C610B3"/>
    <w:rsid w:val="00C67BCF"/>
    <w:rsid w:val="00C74327"/>
    <w:rsid w:val="00C77127"/>
    <w:rsid w:val="00C77F12"/>
    <w:rsid w:val="00C834A5"/>
    <w:rsid w:val="00C87066"/>
    <w:rsid w:val="00C91F45"/>
    <w:rsid w:val="00CA2096"/>
    <w:rsid w:val="00CB3D3A"/>
    <w:rsid w:val="00CD5FA7"/>
    <w:rsid w:val="00CD73EF"/>
    <w:rsid w:val="00CE1435"/>
    <w:rsid w:val="00CE1D11"/>
    <w:rsid w:val="00CF0639"/>
    <w:rsid w:val="00CF1B4D"/>
    <w:rsid w:val="00CF30A1"/>
    <w:rsid w:val="00D03BC8"/>
    <w:rsid w:val="00D15078"/>
    <w:rsid w:val="00D15F29"/>
    <w:rsid w:val="00D16B1D"/>
    <w:rsid w:val="00D17373"/>
    <w:rsid w:val="00D20D17"/>
    <w:rsid w:val="00D23922"/>
    <w:rsid w:val="00D33C45"/>
    <w:rsid w:val="00D403E6"/>
    <w:rsid w:val="00D42323"/>
    <w:rsid w:val="00D65A44"/>
    <w:rsid w:val="00D74031"/>
    <w:rsid w:val="00D74ED4"/>
    <w:rsid w:val="00D756A1"/>
    <w:rsid w:val="00D82B4B"/>
    <w:rsid w:val="00D865E2"/>
    <w:rsid w:val="00D9084C"/>
    <w:rsid w:val="00D922D8"/>
    <w:rsid w:val="00D93CA0"/>
    <w:rsid w:val="00DB5CCB"/>
    <w:rsid w:val="00DB61C6"/>
    <w:rsid w:val="00DC1A0E"/>
    <w:rsid w:val="00DC2EBE"/>
    <w:rsid w:val="00DC3B5B"/>
    <w:rsid w:val="00DD47BB"/>
    <w:rsid w:val="00DD69D6"/>
    <w:rsid w:val="00DE168A"/>
    <w:rsid w:val="00DE6145"/>
    <w:rsid w:val="00DE6E24"/>
    <w:rsid w:val="00DF58F2"/>
    <w:rsid w:val="00DF6103"/>
    <w:rsid w:val="00DF7746"/>
    <w:rsid w:val="00E02F3E"/>
    <w:rsid w:val="00E16D5A"/>
    <w:rsid w:val="00E22C34"/>
    <w:rsid w:val="00E24353"/>
    <w:rsid w:val="00E301C4"/>
    <w:rsid w:val="00E31EF3"/>
    <w:rsid w:val="00E52196"/>
    <w:rsid w:val="00E61043"/>
    <w:rsid w:val="00E817B1"/>
    <w:rsid w:val="00E8202B"/>
    <w:rsid w:val="00E91031"/>
    <w:rsid w:val="00E92B5E"/>
    <w:rsid w:val="00E938F9"/>
    <w:rsid w:val="00E963BD"/>
    <w:rsid w:val="00E97349"/>
    <w:rsid w:val="00EA32B7"/>
    <w:rsid w:val="00EB28D7"/>
    <w:rsid w:val="00ED394E"/>
    <w:rsid w:val="00ED6A32"/>
    <w:rsid w:val="00EE1E79"/>
    <w:rsid w:val="00EE2F6D"/>
    <w:rsid w:val="00EE38E0"/>
    <w:rsid w:val="00EF73DE"/>
    <w:rsid w:val="00F01F78"/>
    <w:rsid w:val="00F0611E"/>
    <w:rsid w:val="00F11349"/>
    <w:rsid w:val="00F12EFD"/>
    <w:rsid w:val="00F24FAD"/>
    <w:rsid w:val="00F35DA4"/>
    <w:rsid w:val="00F37826"/>
    <w:rsid w:val="00F37A7D"/>
    <w:rsid w:val="00F56D10"/>
    <w:rsid w:val="00F60E59"/>
    <w:rsid w:val="00F72926"/>
    <w:rsid w:val="00F7399A"/>
    <w:rsid w:val="00F74F05"/>
    <w:rsid w:val="00F75C7E"/>
    <w:rsid w:val="00F81147"/>
    <w:rsid w:val="00F81520"/>
    <w:rsid w:val="00F87F60"/>
    <w:rsid w:val="00F93260"/>
    <w:rsid w:val="00FA0A07"/>
    <w:rsid w:val="00FA619F"/>
    <w:rsid w:val="00FB2C29"/>
    <w:rsid w:val="00FB4C36"/>
    <w:rsid w:val="00FB6232"/>
    <w:rsid w:val="00FC4BE2"/>
    <w:rsid w:val="00FC6F58"/>
    <w:rsid w:val="00FC7D29"/>
    <w:rsid w:val="00FD409E"/>
    <w:rsid w:val="00FD46F5"/>
    <w:rsid w:val="00FE2886"/>
    <w:rsid w:val="00FE2BF2"/>
    <w:rsid w:val="00FE4B3D"/>
    <w:rsid w:val="00FF1DD8"/>
    <w:rsid w:val="00FF2B6A"/>
    <w:rsid w:val="00FF3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2A"/>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C0452A"/>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C0452A"/>
    <w:pPr>
      <w:keepNext/>
    </w:pPr>
    <w:rPr>
      <w:rFonts w:ascii="Times New Roman" w:hAnsi="Times New Roman"/>
      <w:b/>
      <w:kern w:val="28"/>
      <w:lang w:val="en-US"/>
    </w:rPr>
  </w:style>
  <w:style w:type="paragraph" w:styleId="Footer">
    <w:name w:val="footer"/>
    <w:basedOn w:val="Normal"/>
    <w:rsid w:val="00C0452A"/>
    <w:pPr>
      <w:tabs>
        <w:tab w:val="center" w:pos="4153"/>
        <w:tab w:val="right" w:pos="8306"/>
      </w:tabs>
    </w:pPr>
  </w:style>
  <w:style w:type="paragraph" w:styleId="Header">
    <w:name w:val="header"/>
    <w:basedOn w:val="Normal"/>
    <w:rsid w:val="00C0452A"/>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customStyle="1" w:styleId="Schedulepara">
    <w:name w:val="Schedule para"/>
    <w:basedOn w:val="Normal"/>
    <w:rsid w:val="001F0C7E"/>
    <w:pPr>
      <w:tabs>
        <w:tab w:val="right" w:pos="567"/>
      </w:tabs>
      <w:spacing w:before="180" w:line="260" w:lineRule="exact"/>
      <w:ind w:left="964" w:hanging="964"/>
      <w:jc w:val="both"/>
    </w:pPr>
    <w:rPr>
      <w:rFonts w:ascii="Times New Roman" w:hAnsi="Times New Roman"/>
      <w:szCs w:val="24"/>
    </w:rPr>
  </w:style>
  <w:style w:type="character" w:customStyle="1" w:styleId="CommentTextChar">
    <w:name w:val="Comment Text Char"/>
    <w:basedOn w:val="DefaultParagraphFont"/>
    <w:link w:val="CommentText"/>
    <w:uiPriority w:val="99"/>
    <w:rsid w:val="001F0C7E"/>
    <w:rPr>
      <w:rFonts w:ascii="Tms Rmn" w:hAnsi="Tms Rmn"/>
    </w:rPr>
  </w:style>
  <w:style w:type="character" w:styleId="FollowedHyperlink">
    <w:name w:val="FollowedHyperlink"/>
    <w:basedOn w:val="DefaultParagraphFont"/>
    <w:uiPriority w:val="99"/>
    <w:semiHidden/>
    <w:unhideWhenUsed/>
    <w:rsid w:val="00F35D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2A"/>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C0452A"/>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C0452A"/>
    <w:pPr>
      <w:keepNext/>
    </w:pPr>
    <w:rPr>
      <w:rFonts w:ascii="Times New Roman" w:hAnsi="Times New Roman"/>
      <w:b/>
      <w:kern w:val="28"/>
      <w:lang w:val="en-US"/>
    </w:rPr>
  </w:style>
  <w:style w:type="paragraph" w:styleId="Footer">
    <w:name w:val="footer"/>
    <w:basedOn w:val="Normal"/>
    <w:rsid w:val="00C0452A"/>
    <w:pPr>
      <w:tabs>
        <w:tab w:val="center" w:pos="4153"/>
        <w:tab w:val="right" w:pos="8306"/>
      </w:tabs>
    </w:pPr>
  </w:style>
  <w:style w:type="paragraph" w:styleId="Header">
    <w:name w:val="header"/>
    <w:basedOn w:val="Normal"/>
    <w:rsid w:val="00C0452A"/>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customStyle="1" w:styleId="Schedulepara">
    <w:name w:val="Schedule para"/>
    <w:basedOn w:val="Normal"/>
    <w:rsid w:val="001F0C7E"/>
    <w:pPr>
      <w:tabs>
        <w:tab w:val="right" w:pos="567"/>
      </w:tabs>
      <w:spacing w:before="180" w:line="260" w:lineRule="exact"/>
      <w:ind w:left="964" w:hanging="964"/>
      <w:jc w:val="both"/>
    </w:pPr>
    <w:rPr>
      <w:rFonts w:ascii="Times New Roman" w:hAnsi="Times New Roman"/>
      <w:szCs w:val="24"/>
    </w:rPr>
  </w:style>
  <w:style w:type="character" w:customStyle="1" w:styleId="CommentTextChar">
    <w:name w:val="Comment Text Char"/>
    <w:basedOn w:val="DefaultParagraphFont"/>
    <w:link w:val="CommentText"/>
    <w:uiPriority w:val="99"/>
    <w:rsid w:val="001F0C7E"/>
    <w:rPr>
      <w:rFonts w:ascii="Tms Rmn" w:hAnsi="Tms Rmn"/>
    </w:rPr>
  </w:style>
  <w:style w:type="character" w:styleId="FollowedHyperlink">
    <w:name w:val="FollowedHyperlink"/>
    <w:basedOn w:val="DefaultParagraphFont"/>
    <w:uiPriority w:val="99"/>
    <w:semiHidden/>
    <w:unhideWhenUsed/>
    <w:rsid w:val="00F35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ga.gov.au" TargetMode="External"/><Relationship Id="rId4" Type="http://schemas.microsoft.com/office/2007/relationships/stylesWithEffects" Target="stylesWithEffects.xml"/><Relationship Id="rId9" Type="http://schemas.openxmlformats.org/officeDocument/2006/relationships/hyperlink" Target="http://tga.gov.au/browse-auspars-active-ingredi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A11B-C5ED-415E-A868-C0983DFC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2009-11-05T05:54:00Z</cp:lastPrinted>
  <dcterms:created xsi:type="dcterms:W3CDTF">2017-06-01T03:00:00Z</dcterms:created>
  <dcterms:modified xsi:type="dcterms:W3CDTF">2017-06-01T03:00:00Z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