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6D" w:rsidRDefault="00CF4B6D" w:rsidP="00CF4B6D">
      <w:bookmarkStart w:id="0" w:name="Citation"/>
    </w:p>
    <w:p w:rsidR="00CF4B6D" w:rsidRPr="00EE03FE" w:rsidRDefault="00CF4B6D" w:rsidP="00CF4B6D">
      <w:r>
        <w:rPr>
          <w:noProof/>
          <w:lang w:eastAsia="en-AU"/>
        </w:rPr>
        <w:drawing>
          <wp:inline distT="0" distB="0" distL="0" distR="0" wp14:anchorId="00A00277" wp14:editId="158B2D6E">
            <wp:extent cx="1408430" cy="111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B6D" w:rsidRPr="00537DD1" w:rsidRDefault="00CF4B6D" w:rsidP="00CF4B6D">
      <w:pPr>
        <w:pStyle w:val="Title"/>
        <w:pBdr>
          <w:bottom w:val="single" w:sz="4" w:space="3" w:color="auto"/>
        </w:pBdr>
        <w:rPr>
          <w:rFonts w:ascii="Arial" w:hAnsi="Arial" w:cs="Arial"/>
          <w:color w:val="auto"/>
          <w:sz w:val="40"/>
          <w:szCs w:val="40"/>
        </w:rPr>
      </w:pPr>
      <w:r w:rsidRPr="00537DD1">
        <w:rPr>
          <w:rFonts w:ascii="Arial" w:hAnsi="Arial" w:cs="Arial"/>
          <w:color w:val="auto"/>
          <w:sz w:val="40"/>
          <w:szCs w:val="40"/>
        </w:rPr>
        <w:t>Therapeutic Goods Information</w:t>
      </w:r>
      <w:r>
        <w:rPr>
          <w:rFonts w:ascii="Arial" w:hAnsi="Arial" w:cs="Arial"/>
          <w:color w:val="auto"/>
          <w:sz w:val="40"/>
          <w:szCs w:val="40"/>
        </w:rPr>
        <w:t xml:space="preserve"> </w:t>
      </w:r>
      <w:r w:rsidRPr="00537DD1">
        <w:rPr>
          <w:rFonts w:ascii="Arial" w:hAnsi="Arial" w:cs="Arial"/>
          <w:color w:val="auto"/>
          <w:sz w:val="40"/>
          <w:szCs w:val="40"/>
        </w:rPr>
        <w:t xml:space="preserve">Specification </w:t>
      </w:r>
      <w:r w:rsidR="00852907" w:rsidRPr="00537DD1">
        <w:rPr>
          <w:rFonts w:ascii="Arial" w:hAnsi="Arial" w:cs="Arial"/>
          <w:color w:val="auto"/>
          <w:sz w:val="40"/>
          <w:szCs w:val="40"/>
        </w:rPr>
        <w:t>201</w:t>
      </w:r>
      <w:r w:rsidR="00852907">
        <w:rPr>
          <w:rFonts w:ascii="Arial" w:hAnsi="Arial" w:cs="Arial"/>
          <w:color w:val="auto"/>
          <w:sz w:val="40"/>
          <w:szCs w:val="40"/>
        </w:rPr>
        <w:t>7</w:t>
      </w:r>
    </w:p>
    <w:p w:rsidR="00CF4B6D" w:rsidRPr="00EE03FE" w:rsidRDefault="00CF4B6D" w:rsidP="00CF4B6D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E03FE"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:rsidR="00CF4B6D" w:rsidRPr="00EE03FE" w:rsidRDefault="00CF4B6D" w:rsidP="00592CEC">
      <w:pPr>
        <w:spacing w:before="360" w:after="240"/>
        <w:jc w:val="both"/>
      </w:pPr>
      <w:r w:rsidRPr="00EE03FE">
        <w:t xml:space="preserve">I, </w:t>
      </w:r>
      <w:r w:rsidR="00AC0D0B">
        <w:t>Larry Kelly</w:t>
      </w:r>
      <w:r w:rsidRPr="00EE03FE">
        <w:t>, a delegate of the Minister for Health</w:t>
      </w:r>
      <w:r w:rsidR="00720EDF">
        <w:t>,</w:t>
      </w:r>
      <w:r w:rsidR="00592CEC">
        <w:t xml:space="preserve"> </w:t>
      </w:r>
      <w:r w:rsidRPr="00EE03FE">
        <w:t xml:space="preserve">make this Specification under </w:t>
      </w:r>
      <w:r>
        <w:t>subsection 61(5D</w:t>
      </w:r>
      <w:r w:rsidRPr="00EE03FE">
        <w:t xml:space="preserve">) of the </w:t>
      </w:r>
      <w:r w:rsidRPr="00EE03FE">
        <w:rPr>
          <w:i/>
        </w:rPr>
        <w:t>Therapeutic Goods Act 1989</w:t>
      </w:r>
      <w:r w:rsidRPr="00EE03FE">
        <w:t>.</w:t>
      </w:r>
    </w:p>
    <w:p w:rsidR="00CF4B6D" w:rsidRDefault="00CF4B6D" w:rsidP="00CF4B6D">
      <w:pPr>
        <w:tabs>
          <w:tab w:val="left" w:pos="3119"/>
        </w:tabs>
        <w:spacing w:before="300" w:after="600" w:line="300" w:lineRule="atLeast"/>
      </w:pPr>
      <w:r>
        <w:t>Dated</w:t>
      </w:r>
      <w:r w:rsidR="002B7C23">
        <w:t xml:space="preserve"> </w:t>
      </w:r>
      <w:r w:rsidR="008B0C51">
        <w:t>31</w:t>
      </w:r>
      <w:r w:rsidR="008B0C51" w:rsidRPr="008B0C51">
        <w:rPr>
          <w:vertAlign w:val="superscript"/>
        </w:rPr>
        <w:t>st</w:t>
      </w:r>
      <w:r w:rsidR="008B0C51">
        <w:t xml:space="preserve"> May 2017</w:t>
      </w:r>
    </w:p>
    <w:p w:rsidR="00163034" w:rsidRDefault="00163034" w:rsidP="00163034">
      <w:pPr>
        <w:tabs>
          <w:tab w:val="left" w:pos="3119"/>
        </w:tabs>
        <w:spacing w:before="300" w:after="600" w:line="300" w:lineRule="atLeast"/>
      </w:pPr>
      <w:r>
        <w:t>(Signed by)</w:t>
      </w:r>
    </w:p>
    <w:p w:rsidR="00720EDF" w:rsidRDefault="006C4B96" w:rsidP="00163034">
      <w:pPr>
        <w:pStyle w:val="NoSpacing"/>
        <w:spacing w:before="120" w:after="120"/>
      </w:pPr>
      <w:r w:rsidRPr="006C4B96">
        <w:t>LARRY KELLY</w:t>
      </w:r>
    </w:p>
    <w:p w:rsidR="00CF4B6D" w:rsidRDefault="00CF4B6D" w:rsidP="00163034">
      <w:pPr>
        <w:pStyle w:val="NoSpacing"/>
        <w:spacing w:before="120" w:after="120"/>
      </w:pPr>
      <w:r w:rsidRPr="00EE03FE">
        <w:t>Delegate of the Minister for Health</w:t>
      </w:r>
    </w:p>
    <w:p w:rsidR="00CF4B6D" w:rsidRDefault="00CF4B6D" w:rsidP="00CF4B6D">
      <w:pPr>
        <w:spacing w:after="200" w:line="276" w:lineRule="auto"/>
      </w:pPr>
      <w:r>
        <w:br w:type="page"/>
      </w:r>
    </w:p>
    <w:p w:rsidR="00CF4B6D" w:rsidRDefault="00CF4B6D" w:rsidP="00CF4B6D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CF4B6D" w:rsidRPr="00EE03FE" w:rsidRDefault="00CF4B6D" w:rsidP="00CF4B6D">
      <w:pPr>
        <w:pStyle w:val="HR"/>
        <w:keepNext w:val="0"/>
        <w:keepLines w:val="0"/>
      </w:pPr>
      <w:r w:rsidRPr="00EE03FE">
        <w:rPr>
          <w:rStyle w:val="CharSectno"/>
        </w:rPr>
        <w:t>1</w:t>
      </w:r>
      <w:r w:rsidRPr="00EE03FE">
        <w:tab/>
        <w:t>Name of Specification</w:t>
      </w:r>
    </w:p>
    <w:p w:rsidR="00CF4B6D" w:rsidRPr="00757B76" w:rsidRDefault="00CF4B6D" w:rsidP="00CF4B6D">
      <w:pPr>
        <w:pStyle w:val="R1"/>
        <w:keepLines w:val="0"/>
        <w:rPr>
          <w:rFonts w:ascii="Cambria" w:hAnsi="Cambria"/>
          <w:i/>
          <w:sz w:val="22"/>
          <w:szCs w:val="22"/>
        </w:rPr>
      </w:pPr>
      <w:r w:rsidRPr="00EE03FE">
        <w:tab/>
      </w:r>
      <w:r w:rsidRPr="00EE03FE">
        <w:tab/>
      </w:r>
      <w:r w:rsidRPr="00757B76">
        <w:rPr>
          <w:rFonts w:ascii="Cambria" w:hAnsi="Cambria"/>
          <w:sz w:val="22"/>
          <w:szCs w:val="22"/>
        </w:rPr>
        <w:t xml:space="preserve">This Specification is the </w:t>
      </w:r>
      <w:r w:rsidRPr="00757B76">
        <w:rPr>
          <w:rFonts w:ascii="Cambria" w:hAnsi="Cambria"/>
          <w:i/>
          <w:sz w:val="22"/>
          <w:szCs w:val="22"/>
        </w:rPr>
        <w:t>Therapeutic Goods Information Specification 201</w:t>
      </w:r>
      <w:r w:rsidR="00852907">
        <w:rPr>
          <w:rFonts w:ascii="Cambria" w:hAnsi="Cambria"/>
          <w:i/>
          <w:sz w:val="22"/>
          <w:szCs w:val="22"/>
        </w:rPr>
        <w:t>7</w:t>
      </w:r>
      <w:r w:rsidRPr="00757B76">
        <w:rPr>
          <w:rFonts w:ascii="Cambria" w:hAnsi="Cambria"/>
          <w:i/>
          <w:sz w:val="22"/>
          <w:szCs w:val="22"/>
        </w:rPr>
        <w:t>.</w:t>
      </w:r>
    </w:p>
    <w:p w:rsidR="00CF4B6D" w:rsidRPr="00EE03FE" w:rsidRDefault="00CF4B6D" w:rsidP="00CF4B6D">
      <w:pPr>
        <w:pStyle w:val="HR"/>
        <w:keepNext w:val="0"/>
        <w:keepLines w:val="0"/>
      </w:pPr>
      <w:r w:rsidRPr="00EE03FE">
        <w:rPr>
          <w:rStyle w:val="CharSectno"/>
        </w:rPr>
        <w:t>2</w:t>
      </w:r>
      <w:r w:rsidRPr="00EE03FE">
        <w:tab/>
        <w:t>Commencement</w:t>
      </w:r>
    </w:p>
    <w:p w:rsidR="00CF4B6D" w:rsidRPr="00757B76" w:rsidRDefault="00CF4B6D" w:rsidP="00CF4B6D">
      <w:pPr>
        <w:pStyle w:val="R1"/>
        <w:keepLines w:val="0"/>
        <w:rPr>
          <w:rFonts w:ascii="Cambria" w:hAnsi="Cambria"/>
          <w:sz w:val="22"/>
          <w:szCs w:val="22"/>
        </w:rPr>
      </w:pPr>
      <w:r w:rsidRPr="00EE03FE">
        <w:tab/>
      </w:r>
      <w:r w:rsidRPr="00757B76">
        <w:rPr>
          <w:rFonts w:ascii="Cambria" w:hAnsi="Cambria"/>
        </w:rPr>
        <w:tab/>
      </w:r>
      <w:r w:rsidRPr="00757B76">
        <w:rPr>
          <w:rFonts w:ascii="Cambria" w:hAnsi="Cambria"/>
          <w:sz w:val="22"/>
          <w:szCs w:val="22"/>
        </w:rPr>
        <w:t>This Specification commences o</w:t>
      </w:r>
      <w:bookmarkStart w:id="1" w:name="_GoBack"/>
      <w:bookmarkEnd w:id="1"/>
      <w:r w:rsidRPr="00757B76">
        <w:rPr>
          <w:rFonts w:ascii="Cambria" w:hAnsi="Cambria"/>
          <w:sz w:val="22"/>
          <w:szCs w:val="22"/>
        </w:rPr>
        <w:t>n the day after it is registered.</w:t>
      </w:r>
    </w:p>
    <w:p w:rsidR="00B724A1" w:rsidRDefault="00CF4B6D" w:rsidP="00CF4B6D">
      <w:pPr>
        <w:pStyle w:val="HR"/>
        <w:keepNext w:val="0"/>
        <w:keepLines w:val="0"/>
      </w:pPr>
      <w:r w:rsidRPr="00EE03FE">
        <w:rPr>
          <w:rStyle w:val="CharSectno"/>
        </w:rPr>
        <w:t>3</w:t>
      </w:r>
      <w:r w:rsidRPr="00EE03FE">
        <w:tab/>
      </w:r>
      <w:r w:rsidR="00B724A1">
        <w:t>Repeal</w:t>
      </w:r>
    </w:p>
    <w:p w:rsidR="00B724A1" w:rsidRPr="00B724A1" w:rsidRDefault="00B724A1" w:rsidP="00B724A1">
      <w:pPr>
        <w:pStyle w:val="R1"/>
        <w:rPr>
          <w:rFonts w:ascii="Cambria" w:hAnsi="Cambria"/>
          <w:sz w:val="22"/>
          <w:szCs w:val="22"/>
        </w:rPr>
      </w:pPr>
      <w:r>
        <w:rPr>
          <w:rStyle w:val="CharSectno"/>
          <w:rFonts w:ascii="Arial" w:hAnsi="Arial"/>
          <w:b/>
        </w:rPr>
        <w:tab/>
      </w:r>
      <w:r>
        <w:rPr>
          <w:rStyle w:val="CharSectno"/>
          <w:rFonts w:ascii="Arial" w:hAnsi="Arial"/>
          <w:b/>
        </w:rPr>
        <w:tab/>
      </w:r>
      <w:r w:rsidRPr="00B724A1">
        <w:rPr>
          <w:rStyle w:val="CharSectno"/>
          <w:rFonts w:ascii="Cambria" w:hAnsi="Cambria"/>
          <w:sz w:val="22"/>
          <w:szCs w:val="22"/>
        </w:rPr>
        <w:t xml:space="preserve">This </w:t>
      </w:r>
      <w:r w:rsidR="00B723F3">
        <w:rPr>
          <w:rStyle w:val="CharSectno"/>
          <w:rFonts w:ascii="Cambria" w:hAnsi="Cambria"/>
          <w:sz w:val="22"/>
          <w:szCs w:val="22"/>
        </w:rPr>
        <w:t xml:space="preserve">Specification repeals the </w:t>
      </w:r>
      <w:r w:rsidR="00B723F3" w:rsidRPr="00B723F3">
        <w:rPr>
          <w:rStyle w:val="CharSectno"/>
          <w:rFonts w:ascii="Cambria" w:hAnsi="Cambria"/>
          <w:i/>
          <w:sz w:val="22"/>
          <w:szCs w:val="22"/>
        </w:rPr>
        <w:t>Therapeutic Goods Information Specification 2015</w:t>
      </w:r>
      <w:r w:rsidR="00B723F3">
        <w:rPr>
          <w:rStyle w:val="CharSectno"/>
          <w:rFonts w:ascii="Cambria" w:hAnsi="Cambria"/>
          <w:sz w:val="22"/>
          <w:szCs w:val="22"/>
        </w:rPr>
        <w:t>.</w:t>
      </w:r>
    </w:p>
    <w:p w:rsidR="00CF4B6D" w:rsidRPr="00EE03FE" w:rsidRDefault="00B724A1" w:rsidP="00CF4B6D">
      <w:pPr>
        <w:pStyle w:val="HR"/>
        <w:keepNext w:val="0"/>
        <w:keepLines w:val="0"/>
      </w:pPr>
      <w:r>
        <w:t>4</w:t>
      </w:r>
      <w:r>
        <w:tab/>
      </w:r>
      <w:r w:rsidR="00CF4B6D" w:rsidRPr="00EE03FE">
        <w:t>Definitions</w:t>
      </w:r>
    </w:p>
    <w:bookmarkEnd w:id="0"/>
    <w:p w:rsidR="00CF4B6D" w:rsidRPr="00757B76" w:rsidRDefault="00CF4B6D" w:rsidP="00CF4B6D">
      <w:pPr>
        <w:pStyle w:val="ZR1"/>
        <w:keepNext w:val="0"/>
        <w:keepLines w:val="0"/>
        <w:spacing w:before="60"/>
        <w:rPr>
          <w:rFonts w:ascii="Cambria" w:hAnsi="Cambria"/>
          <w:sz w:val="22"/>
          <w:szCs w:val="22"/>
        </w:rPr>
      </w:pPr>
      <w:r w:rsidRPr="00B0396D">
        <w:rPr>
          <w:rFonts w:asciiTheme="minorHAnsi" w:hAnsiTheme="minorHAnsi"/>
          <w:sz w:val="22"/>
          <w:szCs w:val="22"/>
        </w:rPr>
        <w:tab/>
      </w:r>
      <w:r w:rsidRPr="00B0396D">
        <w:rPr>
          <w:rFonts w:asciiTheme="minorHAnsi" w:hAnsiTheme="minorHAnsi"/>
          <w:sz w:val="22"/>
          <w:szCs w:val="22"/>
        </w:rPr>
        <w:tab/>
      </w:r>
      <w:r w:rsidRPr="00757B76">
        <w:rPr>
          <w:rFonts w:ascii="Cambria" w:hAnsi="Cambria"/>
          <w:sz w:val="22"/>
          <w:szCs w:val="22"/>
        </w:rPr>
        <w:t>In this Specification:</w:t>
      </w:r>
    </w:p>
    <w:p w:rsidR="00CF4B6D" w:rsidRDefault="00CF4B6D" w:rsidP="00CF4B6D">
      <w:pPr>
        <w:pStyle w:val="definition"/>
        <w:spacing w:before="60"/>
        <w:ind w:left="1134"/>
        <w:rPr>
          <w:rFonts w:ascii="Cambria" w:hAnsi="Cambria"/>
          <w:sz w:val="22"/>
          <w:szCs w:val="22"/>
        </w:rPr>
      </w:pPr>
      <w:r w:rsidRPr="00757B76">
        <w:rPr>
          <w:rFonts w:ascii="Cambria" w:hAnsi="Cambria"/>
          <w:b/>
          <w:i/>
          <w:sz w:val="22"/>
          <w:szCs w:val="22"/>
        </w:rPr>
        <w:t>Act</w:t>
      </w:r>
      <w:r w:rsidRPr="00757B76">
        <w:rPr>
          <w:rFonts w:ascii="Cambria" w:hAnsi="Cambria"/>
          <w:sz w:val="22"/>
          <w:szCs w:val="22"/>
        </w:rPr>
        <w:t xml:space="preserve"> means the </w:t>
      </w:r>
      <w:r w:rsidRPr="00757B76">
        <w:rPr>
          <w:rFonts w:ascii="Cambria" w:hAnsi="Cambria"/>
          <w:i/>
          <w:sz w:val="22"/>
          <w:szCs w:val="22"/>
        </w:rPr>
        <w:t>Therapeutic</w:t>
      </w:r>
      <w:r w:rsidRPr="00361D64">
        <w:rPr>
          <w:rFonts w:ascii="Cambria" w:hAnsi="Cambria"/>
          <w:i/>
          <w:sz w:val="22"/>
          <w:szCs w:val="22"/>
        </w:rPr>
        <w:t xml:space="preserve"> Goods Act 1989</w:t>
      </w:r>
      <w:r w:rsidRPr="00361D64">
        <w:rPr>
          <w:rFonts w:ascii="Cambria" w:hAnsi="Cambria"/>
          <w:sz w:val="22"/>
          <w:szCs w:val="22"/>
        </w:rPr>
        <w:t>.</w:t>
      </w:r>
    </w:p>
    <w:p w:rsidR="00CF4B6D" w:rsidRDefault="00CF4B6D" w:rsidP="00CF4B6D">
      <w:pPr>
        <w:pStyle w:val="definition"/>
        <w:spacing w:before="60"/>
        <w:ind w:left="1134"/>
        <w:rPr>
          <w:rFonts w:ascii="Cambria" w:hAnsi="Cambria"/>
          <w:sz w:val="22"/>
          <w:szCs w:val="22"/>
        </w:rPr>
      </w:pPr>
      <w:r w:rsidRPr="00361D64">
        <w:rPr>
          <w:rFonts w:ascii="Cambria" w:hAnsi="Cambria"/>
          <w:b/>
          <w:i/>
          <w:sz w:val="22"/>
          <w:szCs w:val="22"/>
        </w:rPr>
        <w:t>Register</w:t>
      </w:r>
      <w:r w:rsidRPr="00361D64">
        <w:rPr>
          <w:rFonts w:ascii="Cambria" w:hAnsi="Cambria"/>
          <w:sz w:val="22"/>
          <w:szCs w:val="22"/>
        </w:rPr>
        <w:t xml:space="preserve"> means the Australian Register of Therapeutic Goods.</w:t>
      </w:r>
    </w:p>
    <w:p w:rsidR="00803244" w:rsidRDefault="00803244" w:rsidP="00CF4B6D">
      <w:pPr>
        <w:pStyle w:val="definition"/>
        <w:spacing w:before="60"/>
        <w:ind w:left="1134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 xml:space="preserve">Regulations </w:t>
      </w:r>
      <w:r w:rsidRPr="00803244">
        <w:rPr>
          <w:rFonts w:ascii="Cambria" w:hAnsi="Cambria"/>
          <w:sz w:val="22"/>
          <w:szCs w:val="22"/>
        </w:rPr>
        <w:t>means the Therapeutic Goods Regulations 1990.</w:t>
      </w:r>
    </w:p>
    <w:p w:rsidR="00CF4B6D" w:rsidRPr="00361D64" w:rsidRDefault="00CF4B6D" w:rsidP="00CF4B6D">
      <w:pPr>
        <w:pStyle w:val="definition"/>
        <w:spacing w:before="60"/>
        <w:ind w:left="1134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 xml:space="preserve">TGA </w:t>
      </w:r>
      <w:r w:rsidRPr="006D715C">
        <w:rPr>
          <w:rFonts w:ascii="Cambria" w:hAnsi="Cambria"/>
          <w:sz w:val="22"/>
          <w:szCs w:val="22"/>
        </w:rPr>
        <w:t>means the Therapeutic Goods Administration which is part of the Department of Health.</w:t>
      </w:r>
      <w:r>
        <w:rPr>
          <w:rFonts w:ascii="Cambria" w:hAnsi="Cambria"/>
          <w:b/>
          <w:i/>
          <w:sz w:val="22"/>
          <w:szCs w:val="22"/>
        </w:rPr>
        <w:t xml:space="preserve"> </w:t>
      </w:r>
    </w:p>
    <w:p w:rsidR="00CF4B6D" w:rsidRPr="004E5632" w:rsidRDefault="00B724A1" w:rsidP="00CF4B6D">
      <w:pPr>
        <w:pStyle w:val="HR"/>
        <w:keepNext w:val="0"/>
        <w:keepLines w:val="0"/>
        <w:rPr>
          <w:rFonts w:cs="Arial"/>
        </w:rPr>
      </w:pPr>
      <w:bookmarkStart w:id="2" w:name="_Toc244919540"/>
      <w:r>
        <w:rPr>
          <w:rStyle w:val="CharSectno"/>
          <w:rFonts w:cs="Arial"/>
        </w:rPr>
        <w:t>5</w:t>
      </w:r>
      <w:r w:rsidR="00CF4B6D" w:rsidRPr="004E5632">
        <w:rPr>
          <w:rFonts w:cs="Arial"/>
        </w:rPr>
        <w:tab/>
        <w:t>Therapeutic goods information</w:t>
      </w:r>
      <w:bookmarkEnd w:id="2"/>
    </w:p>
    <w:p w:rsidR="00CF4B6D" w:rsidRPr="00361D64" w:rsidRDefault="00CF4B6D" w:rsidP="00CF4B6D">
      <w:pPr>
        <w:pStyle w:val="R1"/>
        <w:keepLines w:val="0"/>
        <w:spacing w:before="60"/>
        <w:rPr>
          <w:rFonts w:ascii="Cambria" w:hAnsi="Cambria"/>
          <w:sz w:val="22"/>
          <w:szCs w:val="22"/>
        </w:rPr>
      </w:pPr>
      <w:r w:rsidRPr="00B0396D">
        <w:rPr>
          <w:rFonts w:asciiTheme="minorHAnsi" w:hAnsiTheme="minorHAnsi"/>
          <w:sz w:val="22"/>
          <w:szCs w:val="22"/>
        </w:rPr>
        <w:tab/>
      </w:r>
      <w:r w:rsidRPr="006B2ED8">
        <w:rPr>
          <w:rFonts w:ascii="Cambria" w:hAnsi="Cambria"/>
          <w:sz w:val="22"/>
          <w:szCs w:val="22"/>
        </w:rPr>
        <w:tab/>
      </w:r>
      <w:r w:rsidR="00B7522A" w:rsidRPr="006B2ED8">
        <w:rPr>
          <w:rFonts w:ascii="Cambria" w:hAnsi="Cambria"/>
          <w:sz w:val="22"/>
          <w:szCs w:val="22"/>
        </w:rPr>
        <w:t xml:space="preserve">The kinds of </w:t>
      </w:r>
      <w:r w:rsidRPr="00361D64">
        <w:rPr>
          <w:rFonts w:ascii="Cambria" w:hAnsi="Cambria"/>
          <w:sz w:val="22"/>
          <w:szCs w:val="22"/>
        </w:rPr>
        <w:t xml:space="preserve">therapeutic goods information </w:t>
      </w:r>
      <w:r w:rsidR="00B7522A">
        <w:rPr>
          <w:rFonts w:ascii="Cambria" w:hAnsi="Cambria"/>
          <w:sz w:val="22"/>
          <w:szCs w:val="22"/>
        </w:rPr>
        <w:t xml:space="preserve">in </w:t>
      </w:r>
      <w:r w:rsidRPr="00361D64">
        <w:rPr>
          <w:rFonts w:ascii="Cambria" w:hAnsi="Cambria"/>
          <w:sz w:val="22"/>
          <w:szCs w:val="22"/>
        </w:rPr>
        <w:t xml:space="preserve">Schedule 1 </w:t>
      </w:r>
      <w:r w:rsidR="00B7522A">
        <w:rPr>
          <w:rFonts w:ascii="Cambria" w:hAnsi="Cambria"/>
          <w:sz w:val="22"/>
          <w:szCs w:val="22"/>
        </w:rPr>
        <w:t xml:space="preserve">are </w:t>
      </w:r>
      <w:r w:rsidRPr="00361D64">
        <w:rPr>
          <w:rFonts w:ascii="Cambria" w:hAnsi="Cambria"/>
          <w:sz w:val="22"/>
          <w:szCs w:val="22"/>
        </w:rPr>
        <w:t>specified</w:t>
      </w:r>
      <w:r w:rsidR="00B7522A">
        <w:rPr>
          <w:rFonts w:ascii="Cambria" w:hAnsi="Cambria"/>
          <w:sz w:val="22"/>
          <w:szCs w:val="22"/>
        </w:rPr>
        <w:t xml:space="preserve"> under subsection 61(5D) of the Act for the purposes of subsection 61(5C) of the Act</w:t>
      </w:r>
      <w:r w:rsidRPr="00361D64">
        <w:rPr>
          <w:rFonts w:ascii="Cambria" w:hAnsi="Cambria"/>
          <w:sz w:val="22"/>
          <w:szCs w:val="22"/>
        </w:rPr>
        <w:t>.</w:t>
      </w:r>
    </w:p>
    <w:p w:rsidR="00CF4B6D" w:rsidRDefault="00CF4B6D" w:rsidP="00CF4B6D">
      <w:pPr>
        <w:pStyle w:val="MainBodySectionBreak"/>
        <w:rPr>
          <w:rFonts w:asciiTheme="minorHAnsi" w:hAnsiTheme="minorHAnsi"/>
          <w:sz w:val="22"/>
          <w:szCs w:val="22"/>
        </w:rPr>
      </w:pPr>
    </w:p>
    <w:p w:rsidR="007B2849" w:rsidRDefault="007B2849" w:rsidP="007B2849">
      <w:pPr>
        <w:rPr>
          <w:lang w:eastAsia="en-AU"/>
        </w:rPr>
      </w:pPr>
    </w:p>
    <w:p w:rsidR="00592CEC" w:rsidRDefault="00592CEC" w:rsidP="007B2849">
      <w:pPr>
        <w:rPr>
          <w:lang w:eastAsia="en-AU"/>
        </w:rPr>
      </w:pPr>
    </w:p>
    <w:p w:rsidR="00592CEC" w:rsidRDefault="00592CEC" w:rsidP="007B2849">
      <w:pPr>
        <w:rPr>
          <w:lang w:eastAsia="en-AU"/>
        </w:rPr>
      </w:pPr>
    </w:p>
    <w:p w:rsidR="00592CEC" w:rsidRDefault="00592CEC" w:rsidP="007B2849">
      <w:pPr>
        <w:rPr>
          <w:lang w:eastAsia="en-AU"/>
        </w:rPr>
      </w:pPr>
    </w:p>
    <w:p w:rsidR="00592CEC" w:rsidRDefault="00592CEC" w:rsidP="007B2849">
      <w:pPr>
        <w:rPr>
          <w:lang w:eastAsia="en-AU"/>
        </w:rPr>
      </w:pPr>
    </w:p>
    <w:p w:rsidR="00592CEC" w:rsidRDefault="00592CEC" w:rsidP="007B2849">
      <w:pPr>
        <w:rPr>
          <w:lang w:eastAsia="en-AU"/>
        </w:rPr>
      </w:pPr>
    </w:p>
    <w:p w:rsidR="00592CEC" w:rsidRDefault="00592CEC" w:rsidP="007B2849">
      <w:pPr>
        <w:rPr>
          <w:lang w:eastAsia="en-AU"/>
        </w:rPr>
      </w:pPr>
    </w:p>
    <w:p w:rsidR="00592CEC" w:rsidRDefault="00592CEC" w:rsidP="007B2849">
      <w:pPr>
        <w:rPr>
          <w:lang w:eastAsia="en-AU"/>
        </w:rPr>
      </w:pPr>
    </w:p>
    <w:p w:rsidR="00600495" w:rsidRDefault="00600495" w:rsidP="007B2849">
      <w:pPr>
        <w:rPr>
          <w:lang w:eastAsia="en-AU"/>
        </w:rPr>
      </w:pPr>
    </w:p>
    <w:p w:rsidR="00600495" w:rsidRDefault="00600495" w:rsidP="007B2849">
      <w:pPr>
        <w:rPr>
          <w:lang w:eastAsia="en-AU"/>
        </w:rPr>
      </w:pPr>
    </w:p>
    <w:p w:rsidR="00592CEC" w:rsidRDefault="00592CEC" w:rsidP="007B2849">
      <w:pPr>
        <w:rPr>
          <w:lang w:eastAsia="en-AU"/>
        </w:rPr>
      </w:pPr>
    </w:p>
    <w:p w:rsidR="00592CEC" w:rsidRDefault="00592CEC" w:rsidP="007B2849">
      <w:pPr>
        <w:rPr>
          <w:lang w:eastAsia="en-AU"/>
        </w:rPr>
      </w:pPr>
    </w:p>
    <w:p w:rsidR="00592CEC" w:rsidRDefault="00592CEC" w:rsidP="007B2849">
      <w:pPr>
        <w:rPr>
          <w:lang w:eastAsia="en-AU"/>
        </w:rPr>
      </w:pPr>
    </w:p>
    <w:p w:rsidR="007B2849" w:rsidRDefault="007B2849" w:rsidP="007B2849">
      <w:pPr>
        <w:spacing w:line="200" w:lineRule="exact"/>
      </w:pPr>
    </w:p>
    <w:tbl>
      <w:tblPr>
        <w:tblW w:w="9180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951"/>
      </w:tblGrid>
      <w:tr w:rsidR="007B2849" w:rsidTr="00AD6DEF">
        <w:trPr>
          <w:trHeight w:val="70"/>
        </w:trPr>
        <w:tc>
          <w:tcPr>
            <w:tcW w:w="1134" w:type="dxa"/>
            <w:shd w:val="clear" w:color="auto" w:fill="auto"/>
            <w:vAlign w:val="center"/>
          </w:tcPr>
          <w:p w:rsidR="007B2849" w:rsidRDefault="007B2849" w:rsidP="00975485">
            <w:pPr>
              <w:pStyle w:val="FooterCitation"/>
            </w:pPr>
          </w:p>
        </w:tc>
        <w:tc>
          <w:tcPr>
            <w:tcW w:w="6095" w:type="dxa"/>
            <w:shd w:val="clear" w:color="auto" w:fill="auto"/>
          </w:tcPr>
          <w:p w:rsidR="004376DA" w:rsidRDefault="004376DA" w:rsidP="00975485">
            <w:pPr>
              <w:pStyle w:val="FooterCitation"/>
            </w:pPr>
            <w:r w:rsidRPr="00975485">
              <w:t>Therapeutic Goods Information Specification 201</w:t>
            </w:r>
            <w:r w:rsidR="00852907">
              <w:t>7</w:t>
            </w:r>
          </w:p>
          <w:p w:rsidR="007B2849" w:rsidRPr="004F5D6D" w:rsidRDefault="007B2849" w:rsidP="00975485">
            <w:pPr>
              <w:pStyle w:val="FooterCitation"/>
            </w:pPr>
          </w:p>
        </w:tc>
        <w:tc>
          <w:tcPr>
            <w:tcW w:w="1951" w:type="dxa"/>
            <w:shd w:val="clear" w:color="auto" w:fill="auto"/>
          </w:tcPr>
          <w:p w:rsidR="007B2849" w:rsidRPr="00975485" w:rsidRDefault="006979D0" w:rsidP="00975485">
            <w:pPr>
              <w:pStyle w:val="FooterCitation"/>
            </w:pPr>
            <w:r w:rsidRPr="00975485">
              <w:fldChar w:fldCharType="begin"/>
            </w:r>
            <w:r w:rsidR="007B2849" w:rsidRPr="00975485">
              <w:instrText xml:space="preserve">PAGE  </w:instrText>
            </w:r>
            <w:r w:rsidRPr="00975485">
              <w:fldChar w:fldCharType="separate"/>
            </w:r>
            <w:r w:rsidR="00E72087">
              <w:rPr>
                <w:noProof/>
              </w:rPr>
              <w:t>2</w:t>
            </w:r>
            <w:r w:rsidRPr="00975485">
              <w:fldChar w:fldCharType="end"/>
            </w:r>
          </w:p>
        </w:tc>
      </w:tr>
    </w:tbl>
    <w:p w:rsidR="00BF49BF" w:rsidRDefault="007B2849" w:rsidP="00BE5998">
      <w:pPr>
        <w:pStyle w:val="FooterInfo"/>
        <w:rPr>
          <w:b/>
        </w:rPr>
      </w:pPr>
      <w:r w:rsidRPr="00AD6DEF">
        <w:rPr>
          <w:b/>
        </w:rPr>
        <w:t xml:space="preserve"> </w:t>
      </w:r>
      <w:r w:rsidR="00BF49BF">
        <w:rPr>
          <w:b/>
        </w:rPr>
        <w:br w:type="page"/>
      </w:r>
    </w:p>
    <w:p w:rsidR="00CF4B6D" w:rsidRPr="00AD6DEF" w:rsidRDefault="007B2849" w:rsidP="00BE5998">
      <w:pPr>
        <w:pStyle w:val="FooterInfo"/>
        <w:rPr>
          <w:rFonts w:cs="Arial"/>
          <w:b/>
          <w:sz w:val="24"/>
        </w:rPr>
      </w:pPr>
      <w:r w:rsidRPr="00AD6DEF">
        <w:rPr>
          <w:b/>
        </w:rPr>
        <w:lastRenderedPageBreak/>
        <w:t xml:space="preserve"> </w:t>
      </w:r>
      <w:bookmarkStart w:id="3" w:name="_Toc244919541"/>
      <w:r w:rsidR="00CF4B6D" w:rsidRPr="00AD6DEF">
        <w:rPr>
          <w:rStyle w:val="CharSchNo"/>
          <w:rFonts w:cs="Arial"/>
          <w:b/>
          <w:sz w:val="24"/>
        </w:rPr>
        <w:t>Schedule 1</w:t>
      </w:r>
      <w:r w:rsidR="00CF4B6D" w:rsidRPr="00AD6DEF">
        <w:rPr>
          <w:rFonts w:cs="Arial"/>
          <w:b/>
          <w:sz w:val="24"/>
        </w:rPr>
        <w:tab/>
      </w:r>
      <w:r w:rsidR="006F4314">
        <w:rPr>
          <w:rFonts w:cs="Arial"/>
          <w:b/>
          <w:sz w:val="24"/>
        </w:rPr>
        <w:t xml:space="preserve">              </w:t>
      </w:r>
      <w:r w:rsidR="00B7522A" w:rsidRPr="00AD6DEF">
        <w:rPr>
          <w:rFonts w:cs="Arial"/>
          <w:b/>
          <w:sz w:val="24"/>
        </w:rPr>
        <w:t>Specified k</w:t>
      </w:r>
      <w:r w:rsidR="00CF4B6D" w:rsidRPr="00AD6DEF">
        <w:rPr>
          <w:rStyle w:val="CharSchText"/>
          <w:rFonts w:cs="Arial"/>
          <w:b/>
          <w:sz w:val="24"/>
        </w:rPr>
        <w:t xml:space="preserve">inds of </w:t>
      </w:r>
      <w:r w:rsidR="00B7522A" w:rsidRPr="00AD6DEF">
        <w:rPr>
          <w:rStyle w:val="CharSchText"/>
          <w:rFonts w:cs="Arial"/>
          <w:b/>
          <w:sz w:val="24"/>
        </w:rPr>
        <w:t xml:space="preserve">therapeutic goods </w:t>
      </w:r>
      <w:r w:rsidR="00CF4B6D" w:rsidRPr="00AD6DEF">
        <w:rPr>
          <w:rStyle w:val="CharSchText"/>
          <w:rFonts w:cs="Arial"/>
          <w:b/>
          <w:sz w:val="24"/>
        </w:rPr>
        <w:t>information</w:t>
      </w:r>
      <w:bookmarkEnd w:id="3"/>
      <w:r w:rsidR="00B7522A" w:rsidRPr="00AD6DEF">
        <w:rPr>
          <w:rStyle w:val="CharSchText"/>
          <w:rFonts w:cs="Arial"/>
          <w:b/>
          <w:sz w:val="24"/>
        </w:rPr>
        <w:t xml:space="preserve"> </w:t>
      </w:r>
    </w:p>
    <w:p w:rsidR="00CF4B6D" w:rsidRPr="006B2ED8" w:rsidRDefault="00CF4B6D" w:rsidP="004376DA">
      <w:pPr>
        <w:pStyle w:val="Schedulereference"/>
        <w:keepNext w:val="0"/>
        <w:keepLines w:val="0"/>
        <w:spacing w:before="0" w:after="120"/>
        <w:rPr>
          <w:rFonts w:ascii="Cambria" w:hAnsi="Cambria" w:cs="Arial"/>
          <w:sz w:val="22"/>
          <w:szCs w:val="22"/>
        </w:rPr>
      </w:pPr>
      <w:r w:rsidRPr="006B2ED8">
        <w:rPr>
          <w:rFonts w:ascii="Cambria" w:hAnsi="Cambria" w:cs="Arial"/>
          <w:sz w:val="22"/>
          <w:szCs w:val="22"/>
        </w:rPr>
        <w:t xml:space="preserve">(section </w:t>
      </w:r>
      <w:r w:rsidR="00600495">
        <w:rPr>
          <w:rFonts w:ascii="Cambria" w:hAnsi="Cambria" w:cs="Arial"/>
          <w:sz w:val="22"/>
          <w:szCs w:val="22"/>
        </w:rPr>
        <w:t>5</w:t>
      </w:r>
      <w:r w:rsidRPr="006B2ED8">
        <w:rPr>
          <w:rFonts w:ascii="Cambria" w:hAnsi="Cambria" w:cs="Arial"/>
          <w:sz w:val="22"/>
          <w:szCs w:val="22"/>
        </w:rPr>
        <w:t>)</w:t>
      </w:r>
    </w:p>
    <w:p w:rsidR="00B7522A" w:rsidRDefault="00B7522A" w:rsidP="006B2ED8">
      <w:pPr>
        <w:rPr>
          <w:lang w:eastAsia="en-AU"/>
        </w:rPr>
      </w:pPr>
      <w:r>
        <w:rPr>
          <w:lang w:eastAsia="en-AU"/>
        </w:rPr>
        <w:t>The following kinds of therapeutic goods information:</w:t>
      </w:r>
    </w:p>
    <w:p w:rsidR="00B7522A" w:rsidRPr="006B2ED8" w:rsidRDefault="00B7522A" w:rsidP="006B2ED8">
      <w:pPr>
        <w:ind w:left="720" w:hanging="720"/>
        <w:rPr>
          <w:sz w:val="20"/>
          <w:szCs w:val="20"/>
          <w:lang w:eastAsia="en-AU"/>
        </w:rPr>
      </w:pPr>
      <w:r w:rsidRPr="006B2ED8">
        <w:rPr>
          <w:sz w:val="20"/>
          <w:szCs w:val="20"/>
          <w:lang w:eastAsia="en-AU"/>
        </w:rPr>
        <w:t>Note:</w:t>
      </w:r>
      <w:r w:rsidRPr="006B2ED8">
        <w:rPr>
          <w:sz w:val="20"/>
          <w:szCs w:val="20"/>
          <w:lang w:eastAsia="en-AU"/>
        </w:rPr>
        <w:tab/>
        <w:t xml:space="preserve">The following specified kinds of therapeutic goods information may be released by the Secretary </w:t>
      </w:r>
      <w:r>
        <w:rPr>
          <w:sz w:val="20"/>
          <w:szCs w:val="20"/>
          <w:lang w:eastAsia="en-AU"/>
        </w:rPr>
        <w:t xml:space="preserve">to the public </w:t>
      </w:r>
      <w:r w:rsidRPr="006B2ED8">
        <w:rPr>
          <w:sz w:val="20"/>
          <w:szCs w:val="20"/>
          <w:lang w:eastAsia="en-AU"/>
        </w:rPr>
        <w:t>under subsection 61(5C) of the Act.</w:t>
      </w:r>
    </w:p>
    <w:p w:rsidR="00CF4B6D" w:rsidRPr="00361D64" w:rsidRDefault="00CF4B6D" w:rsidP="00E96562">
      <w:pPr>
        <w:pStyle w:val="Schedulepara"/>
        <w:spacing w:before="0" w:after="80"/>
        <w:rPr>
          <w:rFonts w:ascii="Cambria" w:hAnsi="Cambria" w:cs="Calibri"/>
          <w:sz w:val="22"/>
          <w:szCs w:val="22"/>
        </w:rPr>
      </w:pPr>
      <w:r w:rsidRPr="00B0396D">
        <w:rPr>
          <w:rFonts w:asciiTheme="minorHAnsi" w:hAnsiTheme="minorHAnsi" w:cs="Calibri"/>
          <w:sz w:val="22"/>
          <w:szCs w:val="22"/>
        </w:rPr>
        <w:tab/>
      </w:r>
      <w:r w:rsidRPr="00361D64">
        <w:rPr>
          <w:rFonts w:ascii="Cambria" w:hAnsi="Cambria" w:cs="Calibri"/>
          <w:sz w:val="22"/>
          <w:szCs w:val="22"/>
        </w:rPr>
        <w:t>1</w:t>
      </w:r>
      <w:r w:rsidRPr="00361D64">
        <w:rPr>
          <w:rFonts w:ascii="Cambria" w:hAnsi="Cambria" w:cs="Calibri"/>
          <w:sz w:val="22"/>
          <w:szCs w:val="22"/>
        </w:rPr>
        <w:tab/>
        <w:t>Product information</w:t>
      </w:r>
      <w:r>
        <w:rPr>
          <w:rFonts w:ascii="Cambria" w:hAnsi="Cambria" w:cs="Calibri"/>
          <w:sz w:val="22"/>
          <w:szCs w:val="22"/>
        </w:rPr>
        <w:t xml:space="preserve"> </w:t>
      </w:r>
      <w:r w:rsidR="00757B76">
        <w:rPr>
          <w:rFonts w:ascii="Cambria" w:hAnsi="Cambria" w:cs="Calibri"/>
          <w:sz w:val="22"/>
          <w:szCs w:val="22"/>
        </w:rPr>
        <w:t>a</w:t>
      </w:r>
      <w:r>
        <w:rPr>
          <w:rFonts w:ascii="Cambria" w:hAnsi="Cambria" w:cs="Calibri"/>
          <w:sz w:val="22"/>
          <w:szCs w:val="22"/>
        </w:rPr>
        <w:t>pproved by the Secretary under subsection 25AA(1) or 25AA(4) of the Act</w:t>
      </w:r>
      <w:r w:rsidR="00DF77F3">
        <w:rPr>
          <w:rFonts w:ascii="Cambria" w:hAnsi="Cambria" w:cs="Calibri"/>
          <w:sz w:val="22"/>
          <w:szCs w:val="22"/>
        </w:rPr>
        <w:t xml:space="preserve"> in relation to therapeutic goods</w:t>
      </w:r>
      <w:r>
        <w:rPr>
          <w:rFonts w:ascii="Cambria" w:hAnsi="Cambria" w:cs="Calibri"/>
          <w:sz w:val="22"/>
          <w:szCs w:val="22"/>
        </w:rPr>
        <w:t>.</w:t>
      </w:r>
    </w:p>
    <w:p w:rsidR="00CF4B6D" w:rsidRPr="00361D64" w:rsidRDefault="00CF4B6D" w:rsidP="00E96562">
      <w:pPr>
        <w:pStyle w:val="Schedulepara"/>
        <w:spacing w:before="0" w:after="80"/>
        <w:rPr>
          <w:rFonts w:ascii="Cambria" w:hAnsi="Cambria" w:cs="Calibri"/>
          <w:sz w:val="22"/>
          <w:szCs w:val="22"/>
        </w:rPr>
      </w:pPr>
      <w:r w:rsidRPr="00361D64">
        <w:rPr>
          <w:rFonts w:ascii="Cambria" w:hAnsi="Cambria" w:cs="Calibri"/>
          <w:sz w:val="22"/>
          <w:szCs w:val="22"/>
        </w:rPr>
        <w:tab/>
        <w:t>2</w:t>
      </w:r>
      <w:r w:rsidRPr="00361D64">
        <w:rPr>
          <w:rFonts w:ascii="Cambria" w:hAnsi="Cambria" w:cs="Calibri"/>
          <w:sz w:val="22"/>
          <w:szCs w:val="22"/>
        </w:rPr>
        <w:tab/>
      </w:r>
      <w:r w:rsidR="00AA3DDE">
        <w:rPr>
          <w:rFonts w:ascii="Cambria" w:hAnsi="Cambria" w:cs="Calibri"/>
          <w:sz w:val="22"/>
          <w:szCs w:val="22"/>
        </w:rPr>
        <w:t>I</w:t>
      </w:r>
      <w:r>
        <w:rPr>
          <w:rFonts w:ascii="Cambria" w:hAnsi="Cambria" w:cs="Calibri"/>
          <w:sz w:val="22"/>
          <w:szCs w:val="22"/>
        </w:rPr>
        <w:t xml:space="preserve">nformation </w:t>
      </w:r>
      <w:r w:rsidR="00803244">
        <w:rPr>
          <w:rFonts w:ascii="Cambria" w:hAnsi="Cambria" w:cs="Calibri"/>
          <w:sz w:val="22"/>
          <w:szCs w:val="22"/>
        </w:rPr>
        <w:t xml:space="preserve">required by </w:t>
      </w:r>
      <w:r w:rsidRPr="00361D64">
        <w:rPr>
          <w:rFonts w:ascii="Cambria" w:hAnsi="Cambria" w:cs="Calibri"/>
          <w:sz w:val="22"/>
          <w:szCs w:val="22"/>
        </w:rPr>
        <w:t>regulation 9A or 9B of the Regulations</w:t>
      </w:r>
      <w:r w:rsidR="00AA3DDE">
        <w:rPr>
          <w:rFonts w:ascii="Cambria" w:hAnsi="Cambria" w:cs="Calibri"/>
          <w:sz w:val="22"/>
          <w:szCs w:val="22"/>
        </w:rPr>
        <w:t xml:space="preserve"> to be supplied with certain </w:t>
      </w:r>
      <w:r w:rsidR="009870E8">
        <w:rPr>
          <w:rFonts w:ascii="Cambria" w:hAnsi="Cambria" w:cs="Calibri"/>
          <w:sz w:val="22"/>
          <w:szCs w:val="22"/>
        </w:rPr>
        <w:t>therapeutic goods</w:t>
      </w:r>
      <w:r w:rsidRPr="00361D64">
        <w:rPr>
          <w:rFonts w:ascii="Cambria" w:hAnsi="Cambria" w:cs="Calibri"/>
          <w:sz w:val="22"/>
          <w:szCs w:val="22"/>
        </w:rPr>
        <w:t>.</w:t>
      </w:r>
    </w:p>
    <w:p w:rsidR="00CF4B6D" w:rsidRPr="00361D64" w:rsidRDefault="00CF4B6D" w:rsidP="00E96562">
      <w:pPr>
        <w:pStyle w:val="Schedulepara"/>
        <w:spacing w:before="0" w:after="80"/>
        <w:rPr>
          <w:rFonts w:ascii="Cambria" w:hAnsi="Cambria" w:cs="Calibri"/>
          <w:sz w:val="22"/>
          <w:szCs w:val="22"/>
        </w:rPr>
      </w:pPr>
      <w:r w:rsidRPr="00361D64">
        <w:rPr>
          <w:rFonts w:ascii="Cambria" w:hAnsi="Cambria" w:cs="Calibri"/>
          <w:sz w:val="22"/>
          <w:szCs w:val="22"/>
        </w:rPr>
        <w:tab/>
        <w:t>3</w:t>
      </w:r>
      <w:r w:rsidRPr="00361D64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>Information in d</w:t>
      </w:r>
      <w:r w:rsidRPr="00361D64">
        <w:rPr>
          <w:rFonts w:ascii="Cambria" w:hAnsi="Cambria" w:cs="Calibri"/>
          <w:sz w:val="22"/>
          <w:szCs w:val="22"/>
        </w:rPr>
        <w:t xml:space="preserve">ocuments prepared for the purpose of evaluating </w:t>
      </w:r>
      <w:r w:rsidR="00803244">
        <w:rPr>
          <w:rFonts w:ascii="Cambria" w:hAnsi="Cambria" w:cs="Calibri"/>
          <w:sz w:val="22"/>
          <w:szCs w:val="22"/>
        </w:rPr>
        <w:t xml:space="preserve">therapeutic goods </w:t>
      </w:r>
      <w:r w:rsidRPr="00361D64">
        <w:rPr>
          <w:rFonts w:ascii="Cambria" w:hAnsi="Cambria" w:cs="Calibri"/>
          <w:sz w:val="22"/>
          <w:szCs w:val="22"/>
        </w:rPr>
        <w:t xml:space="preserve">under </w:t>
      </w:r>
      <w:r>
        <w:rPr>
          <w:rFonts w:ascii="Cambria" w:hAnsi="Cambria" w:cs="Calibri"/>
          <w:sz w:val="22"/>
          <w:szCs w:val="22"/>
        </w:rPr>
        <w:t xml:space="preserve">subsection </w:t>
      </w:r>
      <w:r w:rsidRPr="00361D64">
        <w:rPr>
          <w:rFonts w:ascii="Cambria" w:hAnsi="Cambria" w:cs="Calibri"/>
          <w:sz w:val="22"/>
          <w:szCs w:val="22"/>
        </w:rPr>
        <w:t>25</w:t>
      </w:r>
      <w:r>
        <w:rPr>
          <w:rFonts w:ascii="Cambria" w:hAnsi="Cambria" w:cs="Calibri"/>
          <w:sz w:val="22"/>
          <w:szCs w:val="22"/>
        </w:rPr>
        <w:t xml:space="preserve">(1) or subsection 9D(3) </w:t>
      </w:r>
      <w:r w:rsidRPr="00361D64">
        <w:rPr>
          <w:rFonts w:ascii="Cambria" w:hAnsi="Cambria" w:cs="Calibri"/>
          <w:sz w:val="22"/>
          <w:szCs w:val="22"/>
        </w:rPr>
        <w:t>of the Act.</w:t>
      </w:r>
    </w:p>
    <w:p w:rsidR="00CF4B6D" w:rsidRPr="00361D64" w:rsidRDefault="00CF4B6D" w:rsidP="00E96562">
      <w:pPr>
        <w:pStyle w:val="Schedulepara"/>
        <w:spacing w:before="0" w:after="80"/>
        <w:rPr>
          <w:rFonts w:ascii="Cambria" w:hAnsi="Cambria" w:cs="Calibri"/>
          <w:sz w:val="22"/>
          <w:szCs w:val="22"/>
        </w:rPr>
      </w:pPr>
      <w:r w:rsidRPr="00361D64">
        <w:rPr>
          <w:rFonts w:ascii="Cambria" w:hAnsi="Cambria" w:cs="Calibri"/>
          <w:sz w:val="22"/>
          <w:szCs w:val="22"/>
        </w:rPr>
        <w:tab/>
        <w:t>4</w:t>
      </w:r>
      <w:r w:rsidRPr="00361D64">
        <w:rPr>
          <w:rFonts w:ascii="Cambria" w:hAnsi="Cambria" w:cs="Calibri"/>
          <w:sz w:val="22"/>
          <w:szCs w:val="22"/>
        </w:rPr>
        <w:tab/>
      </w:r>
      <w:r w:rsidR="00803244">
        <w:rPr>
          <w:rFonts w:ascii="Cambria" w:hAnsi="Cambria" w:cs="Calibri"/>
          <w:sz w:val="22"/>
          <w:szCs w:val="22"/>
        </w:rPr>
        <w:t xml:space="preserve">Information in </w:t>
      </w:r>
      <w:r w:rsidR="00DF77F3">
        <w:rPr>
          <w:rFonts w:ascii="Cambria" w:hAnsi="Cambria" w:cs="Calibri"/>
          <w:sz w:val="22"/>
          <w:szCs w:val="22"/>
        </w:rPr>
        <w:t xml:space="preserve">relation to </w:t>
      </w:r>
      <w:r w:rsidRPr="00361D64">
        <w:rPr>
          <w:rFonts w:ascii="Cambria" w:hAnsi="Cambria" w:cs="Calibri"/>
          <w:sz w:val="22"/>
          <w:szCs w:val="22"/>
        </w:rPr>
        <w:t xml:space="preserve">post-market pharmacovigilance requirements imposed </w:t>
      </w:r>
      <w:r w:rsidR="00DF77F3">
        <w:rPr>
          <w:rFonts w:ascii="Cambria" w:hAnsi="Cambria" w:cs="Calibri"/>
          <w:sz w:val="22"/>
          <w:szCs w:val="22"/>
        </w:rPr>
        <w:t xml:space="preserve">by the Secretary </w:t>
      </w:r>
      <w:r w:rsidR="00AA3DDE">
        <w:rPr>
          <w:rFonts w:ascii="Cambria" w:hAnsi="Cambria" w:cs="Calibri"/>
          <w:sz w:val="22"/>
          <w:szCs w:val="22"/>
        </w:rPr>
        <w:t xml:space="preserve">under section 28 of the Act </w:t>
      </w:r>
      <w:r w:rsidRPr="00361D64">
        <w:rPr>
          <w:rFonts w:ascii="Cambria" w:hAnsi="Cambria" w:cs="Calibri"/>
          <w:sz w:val="22"/>
          <w:szCs w:val="22"/>
        </w:rPr>
        <w:t xml:space="preserve">as a condition </w:t>
      </w:r>
      <w:r w:rsidR="00B7522A">
        <w:rPr>
          <w:rFonts w:ascii="Cambria" w:hAnsi="Cambria" w:cs="Calibri"/>
          <w:sz w:val="22"/>
          <w:szCs w:val="22"/>
        </w:rPr>
        <w:t xml:space="preserve">of registration </w:t>
      </w:r>
      <w:r w:rsidR="00DF77F3">
        <w:rPr>
          <w:rFonts w:ascii="Cambria" w:hAnsi="Cambria" w:cs="Calibri"/>
          <w:sz w:val="22"/>
          <w:szCs w:val="22"/>
        </w:rPr>
        <w:t xml:space="preserve">on therapeutic goods </w:t>
      </w:r>
      <w:r w:rsidRPr="00361D64">
        <w:rPr>
          <w:rFonts w:ascii="Cambria" w:hAnsi="Cambria" w:cs="Calibri"/>
          <w:sz w:val="22"/>
          <w:szCs w:val="22"/>
        </w:rPr>
        <w:t xml:space="preserve">or by </w:t>
      </w:r>
      <w:r>
        <w:rPr>
          <w:rFonts w:ascii="Cambria" w:hAnsi="Cambria" w:cs="Calibri"/>
          <w:sz w:val="22"/>
          <w:szCs w:val="22"/>
        </w:rPr>
        <w:t xml:space="preserve">a </w:t>
      </w:r>
      <w:r w:rsidRPr="00361D64">
        <w:rPr>
          <w:rFonts w:ascii="Cambria" w:hAnsi="Cambria" w:cs="Calibri"/>
          <w:sz w:val="22"/>
          <w:szCs w:val="22"/>
        </w:rPr>
        <w:t xml:space="preserve">regulation </w:t>
      </w:r>
      <w:r>
        <w:rPr>
          <w:rFonts w:ascii="Cambria" w:hAnsi="Cambria" w:cs="Calibri"/>
          <w:sz w:val="22"/>
          <w:szCs w:val="22"/>
        </w:rPr>
        <w:t>made for the purposes of paragraph 28(5)(e) of the Act</w:t>
      </w:r>
      <w:r w:rsidRPr="00361D64">
        <w:rPr>
          <w:rFonts w:ascii="Cambria" w:hAnsi="Cambria" w:cs="Calibri"/>
          <w:sz w:val="22"/>
          <w:szCs w:val="22"/>
        </w:rPr>
        <w:t>.</w:t>
      </w:r>
    </w:p>
    <w:p w:rsidR="00CF4B6D" w:rsidRPr="00361D64" w:rsidRDefault="00CF4B6D" w:rsidP="00E96562">
      <w:pPr>
        <w:pStyle w:val="Schedulepara"/>
        <w:spacing w:before="0" w:after="80"/>
        <w:rPr>
          <w:rFonts w:ascii="Cambria" w:hAnsi="Cambria" w:cs="Calibri"/>
          <w:sz w:val="22"/>
          <w:szCs w:val="22"/>
        </w:rPr>
      </w:pPr>
      <w:r w:rsidRPr="00361D64">
        <w:rPr>
          <w:rFonts w:ascii="Cambria" w:hAnsi="Cambria" w:cs="Calibri"/>
          <w:sz w:val="22"/>
          <w:szCs w:val="22"/>
        </w:rPr>
        <w:tab/>
        <w:t>5</w:t>
      </w:r>
      <w:r w:rsidRPr="00361D64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>Information in d</w:t>
      </w:r>
      <w:r w:rsidRPr="00361D64">
        <w:rPr>
          <w:rFonts w:ascii="Cambria" w:hAnsi="Cambria" w:cs="Calibri"/>
          <w:sz w:val="22"/>
          <w:szCs w:val="22"/>
        </w:rPr>
        <w:t xml:space="preserve">ocuments relating to assessments made of the pharmacovigilance system, quality and non-clinical and clinical data </w:t>
      </w:r>
      <w:r w:rsidR="00AA3DDE">
        <w:rPr>
          <w:rFonts w:ascii="Cambria" w:hAnsi="Cambria" w:cs="Calibri"/>
          <w:sz w:val="22"/>
          <w:szCs w:val="22"/>
        </w:rPr>
        <w:t xml:space="preserve">in relation to </w:t>
      </w:r>
      <w:r w:rsidR="00803244">
        <w:rPr>
          <w:rFonts w:ascii="Cambria" w:hAnsi="Cambria" w:cs="Calibri"/>
          <w:sz w:val="22"/>
          <w:szCs w:val="22"/>
        </w:rPr>
        <w:t xml:space="preserve">therapeutic goods </w:t>
      </w:r>
      <w:r w:rsidR="002E7E96">
        <w:rPr>
          <w:rFonts w:ascii="Cambria" w:hAnsi="Cambria" w:cs="Calibri"/>
          <w:sz w:val="22"/>
          <w:szCs w:val="22"/>
        </w:rPr>
        <w:t xml:space="preserve">for </w:t>
      </w:r>
      <w:r w:rsidR="00AA3DDE">
        <w:rPr>
          <w:rFonts w:ascii="Cambria" w:hAnsi="Cambria" w:cs="Calibri"/>
          <w:sz w:val="22"/>
          <w:szCs w:val="22"/>
        </w:rPr>
        <w:t xml:space="preserve">the purpose of </w:t>
      </w:r>
      <w:r w:rsidR="002E7E96">
        <w:rPr>
          <w:rFonts w:ascii="Cambria" w:hAnsi="Cambria" w:cs="Calibri"/>
          <w:sz w:val="22"/>
          <w:szCs w:val="22"/>
        </w:rPr>
        <w:t xml:space="preserve">evaluating those goods </w:t>
      </w:r>
      <w:r w:rsidRPr="00361D64">
        <w:rPr>
          <w:rFonts w:ascii="Cambria" w:hAnsi="Cambria" w:cs="Calibri"/>
          <w:sz w:val="22"/>
          <w:szCs w:val="22"/>
        </w:rPr>
        <w:t xml:space="preserve">under </w:t>
      </w:r>
      <w:r w:rsidR="00AA3DDE">
        <w:rPr>
          <w:rFonts w:ascii="Cambria" w:hAnsi="Cambria" w:cs="Calibri"/>
          <w:sz w:val="22"/>
          <w:szCs w:val="22"/>
        </w:rPr>
        <w:t>sub</w:t>
      </w:r>
      <w:r w:rsidRPr="00361D64">
        <w:rPr>
          <w:rFonts w:ascii="Cambria" w:hAnsi="Cambria" w:cs="Calibri"/>
          <w:sz w:val="22"/>
          <w:szCs w:val="22"/>
        </w:rPr>
        <w:t>section 25</w:t>
      </w:r>
      <w:r w:rsidR="00AA3DDE">
        <w:rPr>
          <w:rFonts w:ascii="Cambria" w:hAnsi="Cambria" w:cs="Calibri"/>
          <w:sz w:val="22"/>
          <w:szCs w:val="22"/>
        </w:rPr>
        <w:t>(1)</w:t>
      </w:r>
      <w:r w:rsidRPr="00361D64">
        <w:rPr>
          <w:rFonts w:ascii="Cambria" w:hAnsi="Cambria" w:cs="Calibri"/>
          <w:sz w:val="22"/>
          <w:szCs w:val="22"/>
        </w:rPr>
        <w:t xml:space="preserve"> </w:t>
      </w:r>
      <w:r w:rsidR="002E7E96">
        <w:rPr>
          <w:rFonts w:ascii="Cambria" w:hAnsi="Cambria" w:cs="Calibri"/>
          <w:sz w:val="22"/>
          <w:szCs w:val="22"/>
        </w:rPr>
        <w:t xml:space="preserve">or subsection 9D(3) </w:t>
      </w:r>
      <w:r w:rsidRPr="00361D64">
        <w:rPr>
          <w:rFonts w:ascii="Cambria" w:hAnsi="Cambria" w:cs="Calibri"/>
          <w:sz w:val="22"/>
          <w:szCs w:val="22"/>
        </w:rPr>
        <w:t>of the Act.</w:t>
      </w:r>
    </w:p>
    <w:p w:rsidR="00DF77F3" w:rsidRDefault="00CF4B6D" w:rsidP="00E96562">
      <w:pPr>
        <w:pStyle w:val="Schedulepara"/>
        <w:spacing w:before="0" w:after="80"/>
        <w:rPr>
          <w:rFonts w:ascii="Cambria" w:hAnsi="Cambria" w:cs="Calibri"/>
          <w:sz w:val="22"/>
          <w:szCs w:val="22"/>
        </w:rPr>
      </w:pPr>
      <w:r w:rsidRPr="00361D64">
        <w:rPr>
          <w:rFonts w:ascii="Cambria" w:hAnsi="Cambria" w:cs="Calibri"/>
          <w:sz w:val="22"/>
          <w:szCs w:val="22"/>
        </w:rPr>
        <w:tab/>
        <w:t>6</w:t>
      </w:r>
      <w:r w:rsidRPr="00361D64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>Information in d</w:t>
      </w:r>
      <w:r w:rsidRPr="00361D64">
        <w:rPr>
          <w:rFonts w:ascii="Cambria" w:hAnsi="Cambria" w:cs="Calibri"/>
          <w:sz w:val="22"/>
          <w:szCs w:val="22"/>
        </w:rPr>
        <w:t xml:space="preserve">ocuments included in </w:t>
      </w:r>
      <w:r w:rsidR="002E7E96">
        <w:rPr>
          <w:rFonts w:ascii="Cambria" w:hAnsi="Cambria" w:cs="Calibri"/>
          <w:sz w:val="22"/>
          <w:szCs w:val="22"/>
        </w:rPr>
        <w:t xml:space="preserve">a </w:t>
      </w:r>
      <w:r w:rsidRPr="00361D64">
        <w:rPr>
          <w:rFonts w:ascii="Cambria" w:hAnsi="Cambria" w:cs="Calibri"/>
          <w:sz w:val="22"/>
          <w:szCs w:val="22"/>
        </w:rPr>
        <w:t xml:space="preserve">request of the Secretary </w:t>
      </w:r>
      <w:r w:rsidR="00DF77F3">
        <w:rPr>
          <w:rFonts w:ascii="Cambria" w:hAnsi="Cambria" w:cs="Calibri"/>
          <w:sz w:val="22"/>
          <w:szCs w:val="22"/>
        </w:rPr>
        <w:t>to:</w:t>
      </w:r>
    </w:p>
    <w:p w:rsidR="00DF77F3" w:rsidRDefault="00CF4B6D" w:rsidP="00E96562">
      <w:pPr>
        <w:pStyle w:val="Schedulepara"/>
        <w:numPr>
          <w:ilvl w:val="0"/>
          <w:numId w:val="2"/>
        </w:numPr>
        <w:spacing w:before="0" w:after="80"/>
        <w:ind w:left="1276"/>
        <w:rPr>
          <w:rFonts w:ascii="Cambria" w:hAnsi="Cambria" w:cs="Calibri"/>
          <w:sz w:val="22"/>
          <w:szCs w:val="22"/>
        </w:rPr>
      </w:pPr>
      <w:r w:rsidRPr="00361D64">
        <w:rPr>
          <w:rFonts w:ascii="Cambria" w:hAnsi="Cambria" w:cs="Calibri"/>
          <w:sz w:val="22"/>
          <w:szCs w:val="22"/>
        </w:rPr>
        <w:t>the Advisory Committee on Medicine</w:t>
      </w:r>
      <w:r w:rsidR="004E7F39">
        <w:rPr>
          <w:rFonts w:ascii="Cambria" w:hAnsi="Cambria" w:cs="Calibri"/>
          <w:sz w:val="22"/>
          <w:szCs w:val="22"/>
        </w:rPr>
        <w:t>s</w:t>
      </w:r>
      <w:r w:rsidRPr="00361D64">
        <w:rPr>
          <w:rFonts w:ascii="Cambria" w:hAnsi="Cambria" w:cs="Calibri"/>
          <w:sz w:val="22"/>
          <w:szCs w:val="22"/>
        </w:rPr>
        <w:t xml:space="preserve"> (ACM) or its subcommittees</w:t>
      </w:r>
      <w:r>
        <w:rPr>
          <w:rFonts w:ascii="Cambria" w:hAnsi="Cambria" w:cs="Calibri"/>
          <w:sz w:val="22"/>
          <w:szCs w:val="22"/>
        </w:rPr>
        <w:t xml:space="preserve"> or </w:t>
      </w:r>
    </w:p>
    <w:p w:rsidR="00DF77F3" w:rsidRDefault="00DF77F3" w:rsidP="00E96562">
      <w:pPr>
        <w:pStyle w:val="Schedulepara"/>
        <w:numPr>
          <w:ilvl w:val="0"/>
          <w:numId w:val="2"/>
        </w:numPr>
        <w:spacing w:before="0" w:after="80"/>
        <w:ind w:left="1276" w:hanging="357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the Advisory Committee on Vaccines</w:t>
      </w:r>
      <w:r w:rsidR="00D00C99">
        <w:rPr>
          <w:rFonts w:ascii="Cambria" w:hAnsi="Cambria" w:cs="Calibri"/>
          <w:sz w:val="22"/>
          <w:szCs w:val="22"/>
        </w:rPr>
        <w:t xml:space="preserve"> (ACV)</w:t>
      </w:r>
      <w:r>
        <w:rPr>
          <w:rFonts w:ascii="Cambria" w:hAnsi="Cambria" w:cs="Calibri"/>
          <w:sz w:val="22"/>
          <w:szCs w:val="22"/>
        </w:rPr>
        <w:t>,</w:t>
      </w:r>
      <w:r w:rsidR="00CF4B6D" w:rsidRPr="00361D64">
        <w:rPr>
          <w:rFonts w:ascii="Cambria" w:hAnsi="Cambria" w:cs="Calibri"/>
          <w:sz w:val="22"/>
          <w:szCs w:val="22"/>
        </w:rPr>
        <w:t xml:space="preserve"> </w:t>
      </w:r>
    </w:p>
    <w:p w:rsidR="00CF4B6D" w:rsidRPr="00361D64" w:rsidRDefault="00CF4B6D" w:rsidP="00E96562">
      <w:pPr>
        <w:pStyle w:val="Schedulepara"/>
        <w:spacing w:before="0" w:after="80"/>
        <w:ind w:firstLine="28"/>
        <w:rPr>
          <w:rFonts w:ascii="Cambria" w:hAnsi="Cambria" w:cs="Calibri"/>
          <w:sz w:val="22"/>
          <w:szCs w:val="22"/>
        </w:rPr>
      </w:pPr>
      <w:r w:rsidRPr="00361D64">
        <w:rPr>
          <w:rFonts w:ascii="Cambria" w:hAnsi="Cambria" w:cs="Calibri"/>
          <w:sz w:val="22"/>
          <w:szCs w:val="22"/>
        </w:rPr>
        <w:t>seeking advice in relation to</w:t>
      </w:r>
      <w:r>
        <w:rPr>
          <w:rFonts w:ascii="Cambria" w:hAnsi="Cambria" w:cs="Calibri"/>
          <w:sz w:val="22"/>
          <w:szCs w:val="22"/>
        </w:rPr>
        <w:t xml:space="preserve"> </w:t>
      </w:r>
      <w:r w:rsidRPr="00361D64">
        <w:rPr>
          <w:rFonts w:ascii="Cambria" w:hAnsi="Cambria" w:cs="Calibri"/>
          <w:sz w:val="22"/>
          <w:szCs w:val="22"/>
        </w:rPr>
        <w:t xml:space="preserve">the evaluation of </w:t>
      </w:r>
      <w:r w:rsidR="00367EE5">
        <w:rPr>
          <w:rFonts w:ascii="Cambria" w:hAnsi="Cambria" w:cs="Calibri"/>
          <w:sz w:val="22"/>
          <w:szCs w:val="22"/>
        </w:rPr>
        <w:t xml:space="preserve">therapeutic goods </w:t>
      </w:r>
      <w:r>
        <w:rPr>
          <w:rFonts w:ascii="Cambria" w:hAnsi="Cambria" w:cs="Calibri"/>
          <w:sz w:val="22"/>
          <w:szCs w:val="22"/>
        </w:rPr>
        <w:t xml:space="preserve">under </w:t>
      </w:r>
      <w:r w:rsidR="002E7E96">
        <w:rPr>
          <w:rFonts w:ascii="Cambria" w:hAnsi="Cambria" w:cs="Calibri"/>
          <w:sz w:val="22"/>
          <w:szCs w:val="22"/>
        </w:rPr>
        <w:t>sub</w:t>
      </w:r>
      <w:r w:rsidRPr="00361D64">
        <w:rPr>
          <w:rFonts w:ascii="Cambria" w:hAnsi="Cambria" w:cs="Calibri"/>
          <w:sz w:val="22"/>
          <w:szCs w:val="22"/>
        </w:rPr>
        <w:t>section 25</w:t>
      </w:r>
      <w:r w:rsidR="002E7E96">
        <w:rPr>
          <w:rFonts w:ascii="Cambria" w:hAnsi="Cambria" w:cs="Calibri"/>
          <w:sz w:val="22"/>
          <w:szCs w:val="22"/>
        </w:rPr>
        <w:t>(1)</w:t>
      </w:r>
      <w:r w:rsidRPr="00361D64">
        <w:rPr>
          <w:rFonts w:ascii="Cambria" w:hAnsi="Cambria" w:cs="Calibri"/>
          <w:sz w:val="22"/>
          <w:szCs w:val="22"/>
        </w:rPr>
        <w:t xml:space="preserve"> of the Act</w:t>
      </w:r>
      <w:r>
        <w:rPr>
          <w:rFonts w:ascii="Cambria" w:hAnsi="Cambria" w:cs="Calibri"/>
          <w:sz w:val="22"/>
          <w:szCs w:val="22"/>
        </w:rPr>
        <w:t xml:space="preserve"> or subsection 9D(3) of the Act</w:t>
      </w:r>
      <w:r w:rsidR="00DF77F3">
        <w:rPr>
          <w:rFonts w:ascii="Cambria" w:hAnsi="Cambria" w:cs="Calibri"/>
          <w:sz w:val="22"/>
          <w:szCs w:val="22"/>
        </w:rPr>
        <w:t>, including in relation to post-market pharmacovigilance requirements</w:t>
      </w:r>
      <w:r w:rsidR="00B700FD">
        <w:rPr>
          <w:rFonts w:ascii="Cambria" w:hAnsi="Cambria" w:cs="Calibri"/>
          <w:sz w:val="22"/>
          <w:szCs w:val="22"/>
        </w:rPr>
        <w:t xml:space="preserve"> and the continued suitability for registration of therapeutic goods</w:t>
      </w:r>
      <w:r>
        <w:rPr>
          <w:rFonts w:ascii="Cambria" w:hAnsi="Cambria" w:cs="Calibri"/>
          <w:sz w:val="22"/>
          <w:szCs w:val="22"/>
        </w:rPr>
        <w:t>.</w:t>
      </w:r>
    </w:p>
    <w:p w:rsidR="00CF4B6D" w:rsidRDefault="00CF4B6D" w:rsidP="00E96562">
      <w:pPr>
        <w:pStyle w:val="Schedulepara"/>
        <w:spacing w:before="0" w:after="80"/>
        <w:rPr>
          <w:rFonts w:ascii="Cambria" w:hAnsi="Cambria" w:cs="Calibri"/>
          <w:sz w:val="22"/>
          <w:szCs w:val="22"/>
        </w:rPr>
      </w:pPr>
      <w:r w:rsidRPr="00361D64">
        <w:rPr>
          <w:rFonts w:ascii="Cambria" w:hAnsi="Cambria" w:cs="Calibri"/>
          <w:sz w:val="22"/>
          <w:szCs w:val="22"/>
        </w:rPr>
        <w:tab/>
        <w:t>7</w:t>
      </w:r>
      <w:r w:rsidRPr="00361D64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Information in the minutes or outcomes of </w:t>
      </w:r>
      <w:r w:rsidRPr="00361D64">
        <w:rPr>
          <w:rFonts w:ascii="Cambria" w:hAnsi="Cambria" w:cs="Calibri"/>
          <w:sz w:val="22"/>
          <w:szCs w:val="22"/>
        </w:rPr>
        <w:t>ACM or its subcommittees</w:t>
      </w:r>
      <w:r>
        <w:rPr>
          <w:rFonts w:ascii="Cambria" w:hAnsi="Cambria" w:cs="Calibri"/>
          <w:sz w:val="22"/>
          <w:szCs w:val="22"/>
        </w:rPr>
        <w:t>,</w:t>
      </w:r>
      <w:r w:rsidRPr="00361D64">
        <w:rPr>
          <w:rFonts w:ascii="Cambria" w:hAnsi="Cambria" w:cs="Calibri"/>
          <w:sz w:val="22"/>
          <w:szCs w:val="22"/>
        </w:rPr>
        <w:t xml:space="preserve"> </w:t>
      </w:r>
      <w:r w:rsidR="004E7F39">
        <w:rPr>
          <w:rFonts w:ascii="Cambria" w:hAnsi="Cambria" w:cs="Calibri"/>
          <w:sz w:val="22"/>
          <w:szCs w:val="22"/>
        </w:rPr>
        <w:t xml:space="preserve">or </w:t>
      </w:r>
      <w:r w:rsidR="00DF77F3">
        <w:rPr>
          <w:rFonts w:ascii="Cambria" w:hAnsi="Cambria" w:cs="Calibri"/>
          <w:sz w:val="22"/>
          <w:szCs w:val="22"/>
        </w:rPr>
        <w:t>ACV</w:t>
      </w:r>
      <w:r>
        <w:rPr>
          <w:rFonts w:ascii="Cambria" w:hAnsi="Cambria" w:cs="Calibri"/>
          <w:sz w:val="22"/>
          <w:szCs w:val="22"/>
        </w:rPr>
        <w:t>,</w:t>
      </w:r>
      <w:r w:rsidRPr="00361D64">
        <w:rPr>
          <w:rFonts w:ascii="Cambria" w:hAnsi="Cambria" w:cs="Calibri"/>
          <w:sz w:val="22"/>
          <w:szCs w:val="22"/>
        </w:rPr>
        <w:t xml:space="preserve"> about the evaluation of </w:t>
      </w:r>
      <w:r w:rsidR="00367EE5">
        <w:rPr>
          <w:rFonts w:ascii="Cambria" w:hAnsi="Cambria" w:cs="Calibri"/>
          <w:sz w:val="22"/>
          <w:szCs w:val="22"/>
        </w:rPr>
        <w:t xml:space="preserve">therapeutic goods </w:t>
      </w:r>
      <w:r>
        <w:rPr>
          <w:rFonts w:ascii="Cambria" w:hAnsi="Cambria" w:cs="Calibri"/>
          <w:sz w:val="22"/>
          <w:szCs w:val="22"/>
        </w:rPr>
        <w:t>under sub</w:t>
      </w:r>
      <w:r w:rsidRPr="00361D64">
        <w:rPr>
          <w:rFonts w:ascii="Cambria" w:hAnsi="Cambria" w:cs="Calibri"/>
          <w:sz w:val="22"/>
          <w:szCs w:val="22"/>
        </w:rPr>
        <w:t>section 25</w:t>
      </w:r>
      <w:r>
        <w:rPr>
          <w:rFonts w:ascii="Cambria" w:hAnsi="Cambria" w:cs="Calibri"/>
          <w:sz w:val="22"/>
          <w:szCs w:val="22"/>
        </w:rPr>
        <w:t>(1) or subsection 9D(3)</w:t>
      </w:r>
      <w:r w:rsidRPr="00361D64">
        <w:rPr>
          <w:rFonts w:ascii="Cambria" w:hAnsi="Cambria" w:cs="Calibri"/>
          <w:sz w:val="22"/>
          <w:szCs w:val="22"/>
        </w:rPr>
        <w:t xml:space="preserve"> of the Act</w:t>
      </w:r>
      <w:r w:rsidR="00B700FD">
        <w:rPr>
          <w:rFonts w:ascii="Cambria" w:hAnsi="Cambria" w:cs="Calibri"/>
          <w:sz w:val="22"/>
          <w:szCs w:val="22"/>
        </w:rPr>
        <w:t>,</w:t>
      </w:r>
      <w:r>
        <w:rPr>
          <w:rFonts w:ascii="Cambria" w:hAnsi="Cambria" w:cs="Calibri"/>
          <w:sz w:val="22"/>
          <w:szCs w:val="22"/>
        </w:rPr>
        <w:t xml:space="preserve"> </w:t>
      </w:r>
      <w:r w:rsidR="00DF77F3">
        <w:rPr>
          <w:rFonts w:ascii="Cambria" w:hAnsi="Cambria" w:cs="Calibri"/>
          <w:sz w:val="22"/>
          <w:szCs w:val="22"/>
        </w:rPr>
        <w:t>including in relation to post-market pharmacovigilance requirements</w:t>
      </w:r>
      <w:r w:rsidRPr="00361D64">
        <w:rPr>
          <w:rFonts w:ascii="Cambria" w:hAnsi="Cambria" w:cs="Calibri"/>
          <w:sz w:val="22"/>
          <w:szCs w:val="22"/>
        </w:rPr>
        <w:t>.</w:t>
      </w:r>
    </w:p>
    <w:p w:rsidR="00803244" w:rsidRPr="00EE03FE" w:rsidRDefault="00803244" w:rsidP="00E96562">
      <w:pPr>
        <w:pStyle w:val="Schedulepara"/>
        <w:spacing w:before="0" w:after="80"/>
      </w:pPr>
      <w:r>
        <w:rPr>
          <w:rFonts w:ascii="Cambria" w:hAnsi="Cambria" w:cs="Calibri"/>
          <w:sz w:val="22"/>
          <w:szCs w:val="22"/>
        </w:rPr>
        <w:tab/>
        <w:t>8</w:t>
      </w:r>
      <w:r>
        <w:rPr>
          <w:rFonts w:ascii="Cambria" w:hAnsi="Cambria" w:cs="Calibri"/>
          <w:sz w:val="22"/>
          <w:szCs w:val="22"/>
        </w:rPr>
        <w:tab/>
      </w:r>
      <w:r w:rsidRPr="00852907">
        <w:rPr>
          <w:rFonts w:asciiTheme="majorHAnsi" w:hAnsiTheme="majorHAnsi" w:cs="Calibri"/>
          <w:sz w:val="22"/>
          <w:szCs w:val="22"/>
        </w:rPr>
        <w:t xml:space="preserve">Information in the minutes or outcomes of any other </w:t>
      </w:r>
      <w:r w:rsidRPr="00852907">
        <w:rPr>
          <w:rFonts w:asciiTheme="majorHAnsi" w:hAnsiTheme="majorHAnsi"/>
          <w:sz w:val="22"/>
          <w:szCs w:val="22"/>
        </w:rPr>
        <w:t>expert committee established by the Regulations about the suitability for inclusion in the Australian Register of Therapeutic Goods of therapeutic goods the subject of an application</w:t>
      </w:r>
      <w:r w:rsidR="009870E8" w:rsidRPr="00852907">
        <w:rPr>
          <w:rFonts w:asciiTheme="majorHAnsi" w:hAnsiTheme="majorHAnsi"/>
          <w:sz w:val="22"/>
          <w:szCs w:val="22"/>
        </w:rPr>
        <w:t xml:space="preserve"> for </w:t>
      </w:r>
      <w:r w:rsidR="00E96562" w:rsidRPr="00852907">
        <w:rPr>
          <w:rFonts w:asciiTheme="majorHAnsi" w:hAnsiTheme="majorHAnsi"/>
          <w:sz w:val="22"/>
          <w:szCs w:val="22"/>
        </w:rPr>
        <w:t>approval</w:t>
      </w:r>
      <w:r w:rsidRPr="00EE03FE">
        <w:t>.</w:t>
      </w:r>
    </w:p>
    <w:p w:rsidR="00CF4B6D" w:rsidRDefault="00CF4B6D" w:rsidP="00E96562">
      <w:pPr>
        <w:pStyle w:val="Schedulepara"/>
        <w:spacing w:before="0" w:after="80"/>
        <w:rPr>
          <w:rFonts w:ascii="Cambria" w:hAnsi="Cambria" w:cs="Calibri"/>
          <w:sz w:val="22"/>
          <w:szCs w:val="22"/>
        </w:rPr>
      </w:pPr>
      <w:r w:rsidRPr="00361D64">
        <w:rPr>
          <w:rFonts w:ascii="Cambria" w:hAnsi="Cambria" w:cs="Calibri"/>
          <w:sz w:val="22"/>
          <w:szCs w:val="22"/>
        </w:rPr>
        <w:tab/>
      </w:r>
      <w:r w:rsidR="00803244">
        <w:rPr>
          <w:rFonts w:ascii="Cambria" w:hAnsi="Cambria" w:cs="Calibri"/>
          <w:sz w:val="22"/>
          <w:szCs w:val="22"/>
        </w:rPr>
        <w:t>9</w:t>
      </w:r>
      <w:r w:rsidRPr="00361D64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Information in any written decision </w:t>
      </w:r>
      <w:r w:rsidR="006B2ED8">
        <w:rPr>
          <w:rFonts w:ascii="Cambria" w:hAnsi="Cambria" w:cs="Calibri"/>
          <w:sz w:val="22"/>
          <w:szCs w:val="22"/>
        </w:rPr>
        <w:t xml:space="preserve">made </w:t>
      </w:r>
      <w:r w:rsidRPr="00361D64">
        <w:rPr>
          <w:rFonts w:ascii="Cambria" w:hAnsi="Cambria" w:cs="Calibri"/>
          <w:sz w:val="22"/>
          <w:szCs w:val="22"/>
        </w:rPr>
        <w:t xml:space="preserve">under </w:t>
      </w:r>
      <w:r w:rsidR="006B2ED8">
        <w:rPr>
          <w:rFonts w:ascii="Cambria" w:hAnsi="Cambria" w:cs="Calibri"/>
          <w:sz w:val="22"/>
          <w:szCs w:val="22"/>
        </w:rPr>
        <w:t>sub</w:t>
      </w:r>
      <w:r w:rsidRPr="00361D64">
        <w:rPr>
          <w:rFonts w:ascii="Cambria" w:hAnsi="Cambria" w:cs="Calibri"/>
          <w:sz w:val="22"/>
          <w:szCs w:val="22"/>
        </w:rPr>
        <w:t>section 25</w:t>
      </w:r>
      <w:r w:rsidR="006B2ED8">
        <w:rPr>
          <w:rFonts w:ascii="Cambria" w:hAnsi="Cambria" w:cs="Calibri"/>
          <w:sz w:val="22"/>
          <w:szCs w:val="22"/>
        </w:rPr>
        <w:t>(3)</w:t>
      </w:r>
      <w:r w:rsidRPr="00361D64">
        <w:rPr>
          <w:rFonts w:ascii="Cambria" w:hAnsi="Cambria" w:cs="Calibri"/>
          <w:sz w:val="22"/>
          <w:szCs w:val="22"/>
        </w:rPr>
        <w:t xml:space="preserve"> of the Act</w:t>
      </w:r>
      <w:r>
        <w:rPr>
          <w:rFonts w:ascii="Cambria" w:hAnsi="Cambria" w:cs="Calibri"/>
          <w:sz w:val="22"/>
          <w:szCs w:val="22"/>
        </w:rPr>
        <w:t xml:space="preserve"> in relation to </w:t>
      </w:r>
      <w:r w:rsidR="00953A9E">
        <w:rPr>
          <w:rFonts w:ascii="Cambria" w:hAnsi="Cambria" w:cs="Calibri"/>
          <w:sz w:val="22"/>
          <w:szCs w:val="22"/>
        </w:rPr>
        <w:t xml:space="preserve">the registration of </w:t>
      </w:r>
      <w:r w:rsidR="00803244">
        <w:rPr>
          <w:rFonts w:ascii="Cambria" w:hAnsi="Cambria" w:cs="Calibri"/>
          <w:sz w:val="22"/>
          <w:szCs w:val="22"/>
        </w:rPr>
        <w:t>therapeutic goods</w:t>
      </w:r>
      <w:r w:rsidRPr="00361D64">
        <w:rPr>
          <w:rFonts w:ascii="Cambria" w:hAnsi="Cambria" w:cs="Calibri"/>
          <w:sz w:val="22"/>
          <w:szCs w:val="22"/>
        </w:rPr>
        <w:t>, including the reasons for the decision.</w:t>
      </w:r>
    </w:p>
    <w:p w:rsidR="00C5497E" w:rsidRDefault="00757B76" w:rsidP="007B2849">
      <w:pPr>
        <w:pStyle w:val="Schedulepara"/>
        <w:spacing w:before="0" w:after="12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  <w:t>1</w:t>
      </w:r>
      <w:r w:rsidR="0026581F">
        <w:rPr>
          <w:rFonts w:ascii="Cambria" w:hAnsi="Cambria" w:cs="Calibri"/>
          <w:sz w:val="22"/>
          <w:szCs w:val="22"/>
        </w:rPr>
        <w:t>0</w:t>
      </w:r>
      <w:r w:rsidR="00CF4B6D">
        <w:rPr>
          <w:rFonts w:ascii="Cambria" w:hAnsi="Cambria" w:cs="Calibri"/>
          <w:sz w:val="22"/>
          <w:szCs w:val="22"/>
        </w:rPr>
        <w:tab/>
        <w:t xml:space="preserve">Information </w:t>
      </w:r>
      <w:r w:rsidR="006B2ED8">
        <w:rPr>
          <w:rFonts w:ascii="Cambria" w:hAnsi="Cambria" w:cs="Calibri"/>
          <w:sz w:val="22"/>
          <w:szCs w:val="22"/>
        </w:rPr>
        <w:t xml:space="preserve">in </w:t>
      </w:r>
      <w:r w:rsidR="00200131">
        <w:rPr>
          <w:rFonts w:ascii="Cambria" w:hAnsi="Cambria" w:cs="Calibri"/>
          <w:sz w:val="22"/>
          <w:szCs w:val="22"/>
        </w:rPr>
        <w:t xml:space="preserve">any written </w:t>
      </w:r>
      <w:r w:rsidR="00CF4B6D">
        <w:rPr>
          <w:rFonts w:ascii="Cambria" w:hAnsi="Cambria" w:cs="Calibri"/>
          <w:sz w:val="22"/>
          <w:szCs w:val="22"/>
        </w:rPr>
        <w:t xml:space="preserve">decision </w:t>
      </w:r>
      <w:r w:rsidR="00953A9E">
        <w:rPr>
          <w:rFonts w:ascii="Cambria" w:hAnsi="Cambria" w:cs="Calibri"/>
          <w:sz w:val="22"/>
          <w:szCs w:val="22"/>
        </w:rPr>
        <w:t xml:space="preserve">under section 60 of the Act </w:t>
      </w:r>
      <w:r w:rsidR="00CF4B6D">
        <w:rPr>
          <w:rFonts w:ascii="Cambria" w:hAnsi="Cambria" w:cs="Calibri"/>
          <w:sz w:val="22"/>
          <w:szCs w:val="22"/>
        </w:rPr>
        <w:t xml:space="preserve">on a review of </w:t>
      </w:r>
      <w:r w:rsidR="00200131">
        <w:rPr>
          <w:rFonts w:ascii="Cambria" w:hAnsi="Cambria" w:cs="Calibri"/>
          <w:sz w:val="22"/>
          <w:szCs w:val="22"/>
        </w:rPr>
        <w:t xml:space="preserve">a decision </w:t>
      </w:r>
      <w:r w:rsidR="00127FD4">
        <w:rPr>
          <w:rFonts w:ascii="Cambria" w:hAnsi="Cambria" w:cs="Calibri"/>
          <w:sz w:val="22"/>
          <w:szCs w:val="22"/>
        </w:rPr>
        <w:t xml:space="preserve">under subsection 25(3), subsection 9D(3), or subsection 25AA(1) or 25AA(4), </w:t>
      </w:r>
      <w:r w:rsidR="00BB7818">
        <w:rPr>
          <w:rFonts w:ascii="Cambria" w:hAnsi="Cambria" w:cs="Calibri"/>
          <w:sz w:val="22"/>
          <w:szCs w:val="22"/>
        </w:rPr>
        <w:t xml:space="preserve">of the Act, </w:t>
      </w:r>
      <w:r w:rsidR="00CF4B6D">
        <w:rPr>
          <w:rFonts w:ascii="Cambria" w:hAnsi="Cambria" w:cs="Calibri"/>
          <w:sz w:val="22"/>
          <w:szCs w:val="22"/>
        </w:rPr>
        <w:t xml:space="preserve">in relation to </w:t>
      </w:r>
      <w:r w:rsidR="00803244">
        <w:rPr>
          <w:rFonts w:ascii="Cambria" w:hAnsi="Cambria" w:cs="Calibri"/>
          <w:sz w:val="22"/>
          <w:szCs w:val="22"/>
        </w:rPr>
        <w:t>therapeutic goods</w:t>
      </w:r>
      <w:r w:rsidR="00CF4B6D">
        <w:rPr>
          <w:rFonts w:ascii="Cambria" w:hAnsi="Cambria" w:cs="Calibri"/>
          <w:sz w:val="22"/>
          <w:szCs w:val="22"/>
        </w:rPr>
        <w:t>.</w:t>
      </w:r>
    </w:p>
    <w:p w:rsidR="00E96562" w:rsidRDefault="00E96562" w:rsidP="00E96562">
      <w:pPr>
        <w:pStyle w:val="noteend"/>
        <w:pBdr>
          <w:top w:val="single" w:sz="4" w:space="1" w:color="auto"/>
        </w:pBdr>
        <w:spacing w:before="12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</w:rPr>
        <w:t>Note</w:t>
      </w:r>
    </w:p>
    <w:p w:rsidR="00BE5998" w:rsidRPr="00E95C4F" w:rsidRDefault="00E96562" w:rsidP="00BE5998">
      <w:pPr>
        <w:pStyle w:val="noteend"/>
        <w:numPr>
          <w:ilvl w:val="0"/>
          <w:numId w:val="3"/>
        </w:numPr>
        <w:spacing w:before="0" w:beforeAutospacing="0" w:after="0" w:afterAutospacing="0"/>
        <w:ind w:left="360"/>
        <w:rPr>
          <w:rFonts w:asciiTheme="majorHAnsi" w:hAnsiTheme="majorHAnsi"/>
          <w:sz w:val="20"/>
          <w:szCs w:val="20"/>
          <w:u w:val="single"/>
        </w:rPr>
      </w:pPr>
      <w:r w:rsidRPr="00852907">
        <w:rPr>
          <w:rFonts w:asciiTheme="majorHAnsi" w:hAnsiTheme="majorHAnsi"/>
          <w:sz w:val="20"/>
          <w:szCs w:val="20"/>
        </w:rPr>
        <w:t>All legislative instruments and compilations are registered on the Federal Register of Legislati</w:t>
      </w:r>
      <w:r w:rsidR="00D913A4">
        <w:rPr>
          <w:rFonts w:asciiTheme="majorHAnsi" w:hAnsiTheme="majorHAnsi"/>
          <w:sz w:val="20"/>
          <w:szCs w:val="20"/>
        </w:rPr>
        <w:t>on</w:t>
      </w:r>
      <w:r w:rsidRPr="00852907">
        <w:rPr>
          <w:rFonts w:asciiTheme="majorHAnsi" w:hAnsiTheme="majorHAnsi"/>
          <w:sz w:val="20"/>
          <w:szCs w:val="20"/>
        </w:rPr>
        <w:t xml:space="preserve"> kept under the </w:t>
      </w:r>
      <w:r w:rsidRPr="00852907">
        <w:rPr>
          <w:rFonts w:asciiTheme="majorHAnsi" w:hAnsiTheme="majorHAnsi"/>
          <w:i/>
          <w:iCs/>
          <w:sz w:val="20"/>
          <w:szCs w:val="20"/>
        </w:rPr>
        <w:t>Legislati</w:t>
      </w:r>
      <w:r w:rsidR="004E7F39">
        <w:rPr>
          <w:rFonts w:asciiTheme="majorHAnsi" w:hAnsiTheme="majorHAnsi"/>
          <w:i/>
          <w:iCs/>
          <w:sz w:val="20"/>
          <w:szCs w:val="20"/>
        </w:rPr>
        <w:t xml:space="preserve">on </w:t>
      </w:r>
      <w:r w:rsidRPr="00852907">
        <w:rPr>
          <w:rFonts w:asciiTheme="majorHAnsi" w:hAnsiTheme="majorHAnsi"/>
          <w:i/>
          <w:iCs/>
          <w:sz w:val="20"/>
          <w:szCs w:val="20"/>
        </w:rPr>
        <w:t xml:space="preserve"> Act 2003. </w:t>
      </w:r>
      <w:r w:rsidR="00E95C4F" w:rsidRPr="00E95C4F">
        <w:rPr>
          <w:rFonts w:asciiTheme="majorHAnsi" w:hAnsiTheme="majorHAnsi"/>
          <w:iCs/>
          <w:sz w:val="20"/>
          <w:szCs w:val="20"/>
        </w:rPr>
        <w:t>See</w:t>
      </w:r>
      <w:r w:rsidR="00E95C4F">
        <w:rPr>
          <w:rFonts w:asciiTheme="majorHAnsi" w:hAnsiTheme="majorHAnsi"/>
          <w:iCs/>
          <w:sz w:val="20"/>
          <w:szCs w:val="20"/>
        </w:rPr>
        <w:t xml:space="preserve"> </w:t>
      </w:r>
      <w:hyperlink r:id="rId10" w:history="1">
        <w:r w:rsidR="00E95C4F" w:rsidRPr="00136834">
          <w:rPr>
            <w:rStyle w:val="Hyperlink"/>
            <w:rFonts w:asciiTheme="majorHAnsi" w:hAnsiTheme="majorHAnsi"/>
            <w:iCs/>
            <w:sz w:val="20"/>
            <w:szCs w:val="20"/>
          </w:rPr>
          <w:t>http://www.legislation.gov.au</w:t>
        </w:r>
      </w:hyperlink>
    </w:p>
    <w:p w:rsidR="00E95C4F" w:rsidRPr="00852907" w:rsidRDefault="00E95C4F" w:rsidP="00E95C4F">
      <w:pPr>
        <w:pStyle w:val="noteend"/>
        <w:spacing w:before="0" w:beforeAutospacing="0" w:after="0" w:afterAutospacing="0"/>
        <w:ind w:left="142"/>
        <w:rPr>
          <w:rFonts w:asciiTheme="majorHAnsi" w:hAnsiTheme="majorHAnsi"/>
          <w:sz w:val="20"/>
          <w:szCs w:val="20"/>
          <w:u w:val="single"/>
        </w:rPr>
      </w:pPr>
    </w:p>
    <w:p w:rsidR="00FA0544" w:rsidRPr="00394B56" w:rsidRDefault="00FA0544" w:rsidP="00FA0544">
      <w:pPr>
        <w:pStyle w:val="noteend"/>
        <w:spacing w:before="0" w:beforeAutospacing="0" w:after="0" w:afterAutospacing="0"/>
        <w:rPr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843"/>
      </w:tblGrid>
      <w:tr w:rsidR="00BE5998" w:rsidTr="00AD6DEF">
        <w:trPr>
          <w:trHeight w:val="70"/>
        </w:trPr>
        <w:tc>
          <w:tcPr>
            <w:tcW w:w="1134" w:type="dxa"/>
            <w:shd w:val="clear" w:color="auto" w:fill="auto"/>
          </w:tcPr>
          <w:p w:rsidR="00BE5998" w:rsidRDefault="00BE5998" w:rsidP="000950DF">
            <w:pPr>
              <w:spacing w:line="240" w:lineRule="exact"/>
            </w:pPr>
          </w:p>
        </w:tc>
        <w:tc>
          <w:tcPr>
            <w:tcW w:w="6095" w:type="dxa"/>
            <w:shd w:val="clear" w:color="auto" w:fill="auto"/>
          </w:tcPr>
          <w:p w:rsidR="00BE5998" w:rsidRPr="004F5D6D" w:rsidRDefault="00BE5998" w:rsidP="00852907">
            <w:pPr>
              <w:pStyle w:val="FooterCitation"/>
            </w:pPr>
            <w:r>
              <w:t>Therapeutic Goods Information Specification 201</w:t>
            </w:r>
            <w:r w:rsidR="00852907">
              <w:t>7</w:t>
            </w:r>
          </w:p>
        </w:tc>
        <w:tc>
          <w:tcPr>
            <w:tcW w:w="1843" w:type="dxa"/>
            <w:shd w:val="clear" w:color="auto" w:fill="auto"/>
          </w:tcPr>
          <w:p w:rsidR="00BE5998" w:rsidRPr="00EB118A" w:rsidRDefault="00BE5998" w:rsidP="00FA0544">
            <w:pPr>
              <w:spacing w:line="240" w:lineRule="exact"/>
              <w:jc w:val="center"/>
              <w:rPr>
                <w:rFonts w:ascii="Arial" w:eastAsia="Times New Roman" w:hAnsi="Arial" w:cs="Times New Roman"/>
                <w:i/>
                <w:sz w:val="18"/>
                <w:szCs w:val="24"/>
                <w:lang w:eastAsia="en-AU"/>
              </w:rPr>
            </w:pPr>
            <w:r w:rsidRPr="00EB118A">
              <w:rPr>
                <w:rFonts w:ascii="Arial" w:eastAsia="Times New Roman" w:hAnsi="Arial" w:cs="Times New Roman"/>
                <w:i/>
                <w:sz w:val="18"/>
                <w:szCs w:val="24"/>
                <w:lang w:eastAsia="en-AU"/>
              </w:rPr>
              <w:t>3</w:t>
            </w:r>
          </w:p>
        </w:tc>
      </w:tr>
    </w:tbl>
    <w:p w:rsidR="00BE5998" w:rsidRPr="00E96562" w:rsidRDefault="00BE5998" w:rsidP="00BE5998">
      <w:pPr>
        <w:pStyle w:val="noteend"/>
        <w:spacing w:before="0" w:beforeAutospacing="0" w:after="0" w:afterAutospacing="0"/>
        <w:rPr>
          <w:sz w:val="20"/>
          <w:szCs w:val="20"/>
        </w:rPr>
      </w:pPr>
    </w:p>
    <w:sectPr w:rsidR="00BE5998" w:rsidRPr="00E96562" w:rsidSect="00C5497E">
      <w:headerReference w:type="even" r:id="rId11"/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75" w:rsidRDefault="00DD2A75" w:rsidP="006709A8">
      <w:pPr>
        <w:spacing w:after="0" w:line="240" w:lineRule="auto"/>
      </w:pPr>
      <w:r>
        <w:separator/>
      </w:r>
    </w:p>
  </w:endnote>
  <w:endnote w:type="continuationSeparator" w:id="0">
    <w:p w:rsidR="00DD2A75" w:rsidRDefault="00DD2A75" w:rsidP="0067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34" w:rsidRDefault="00A37A48" w:rsidP="00B0396D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B6E34">
      <w:tc>
        <w:tcPr>
          <w:tcW w:w="1134" w:type="dxa"/>
          <w:shd w:val="clear" w:color="auto" w:fill="auto"/>
        </w:tcPr>
        <w:p w:rsidR="005B6E34" w:rsidRPr="003D7214" w:rsidRDefault="006979D0" w:rsidP="00B0396D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757B76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57B76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E72087" w:rsidRDefault="006979D0" w:rsidP="00CF4B6D">
          <w:r>
            <w:fldChar w:fldCharType="begin"/>
          </w:r>
          <w:r w:rsidR="00757B76">
            <w:instrText xml:space="preserve"> REF  Citation\*charformat </w:instrText>
          </w:r>
          <w:r>
            <w:fldChar w:fldCharType="separate"/>
          </w:r>
        </w:p>
        <w:p w:rsidR="00E72087" w:rsidRPr="00EE03FE" w:rsidRDefault="00E72087" w:rsidP="00CF4B6D">
          <w:r>
            <w:drawing>
              <wp:inline distT="0" distB="0" distL="0" distR="0" wp14:anchorId="3AA101A8" wp14:editId="4DC94CCB">
                <wp:extent cx="1408430" cy="111188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111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72087" w:rsidRPr="00163034" w:rsidRDefault="00E72087" w:rsidP="00CF4B6D">
          <w:pPr>
            <w:pStyle w:val="Title"/>
            <w:pBdr>
              <w:bottom w:val="single" w:sz="4" w:space="3" w:color="auto"/>
            </w:pBdr>
            <w:rPr>
              <w:rFonts w:ascii="Cambria" w:eastAsiaTheme="minorHAnsi" w:hAnsi="Cambria" w:cstheme="minorBidi"/>
              <w:color w:val="auto"/>
              <w:spacing w:val="0"/>
              <w:kern w:val="0"/>
              <w:sz w:val="22"/>
              <w:szCs w:val="22"/>
            </w:rPr>
          </w:pPr>
          <w:r w:rsidRPr="00163034">
            <w:rPr>
              <w:rFonts w:ascii="Cambria" w:eastAsiaTheme="minorHAnsi" w:hAnsi="Cambria" w:cstheme="minorBidi"/>
              <w:color w:val="auto"/>
              <w:spacing w:val="0"/>
              <w:kern w:val="0"/>
              <w:sz w:val="22"/>
              <w:szCs w:val="22"/>
            </w:rPr>
            <w:t>Therapeutic Goods Information Specification 2017</w:t>
          </w:r>
        </w:p>
        <w:p w:rsidR="00E72087" w:rsidRPr="00163034" w:rsidRDefault="00E72087" w:rsidP="00CF4B6D">
          <w:pPr>
            <w:pBdr>
              <w:bottom w:val="single" w:sz="4" w:space="3" w:color="auto"/>
            </w:pBdr>
            <w:spacing w:before="480"/>
          </w:pPr>
          <w:r w:rsidRPr="00163034">
            <w:t>Therapeutic Goods Act 1989</w:t>
          </w:r>
        </w:p>
        <w:p w:rsidR="00E72087" w:rsidRPr="00EE03FE" w:rsidRDefault="00E72087" w:rsidP="00592CEC">
          <w:pPr>
            <w:spacing w:before="360" w:after="240"/>
            <w:jc w:val="both"/>
          </w:pPr>
          <w:r w:rsidRPr="00EE03FE">
            <w:t xml:space="preserve">I, </w:t>
          </w:r>
          <w:r>
            <w:t>Larry Kelly</w:t>
          </w:r>
          <w:r w:rsidRPr="00EE03FE">
            <w:t>, a delegate of the Minister for Health</w:t>
          </w:r>
          <w:r>
            <w:t xml:space="preserve">, </w:t>
          </w:r>
          <w:r w:rsidRPr="00EE03FE">
            <w:t xml:space="preserve">make this Specification under </w:t>
          </w:r>
          <w:r>
            <w:t>subsection 61(5D</w:t>
          </w:r>
          <w:r w:rsidRPr="00EE03FE">
            <w:t xml:space="preserve">) of the </w:t>
          </w:r>
          <w:r w:rsidRPr="00163034">
            <w:t>Therapeutic Goods Act 1989</w:t>
          </w:r>
          <w:r w:rsidRPr="00EE03FE">
            <w:t>.</w:t>
          </w:r>
        </w:p>
        <w:p w:rsidR="00E72087" w:rsidRDefault="00E72087" w:rsidP="00CF4B6D">
          <w:pPr>
            <w:tabs>
              <w:tab w:val="left" w:pos="3119"/>
            </w:tabs>
            <w:spacing w:before="300" w:after="600" w:line="300" w:lineRule="atLeast"/>
          </w:pPr>
          <w:r>
            <w:t xml:space="preserve">Dated </w:t>
          </w:r>
        </w:p>
        <w:p w:rsidR="00E72087" w:rsidRDefault="00E72087" w:rsidP="00CF4B6D">
          <w:pPr>
            <w:tabs>
              <w:tab w:val="left" w:pos="3969"/>
            </w:tabs>
            <w:spacing w:before="1200" w:line="300" w:lineRule="atLeast"/>
          </w:pPr>
          <w:r w:rsidRPr="00163034">
            <w:t>LARRY KELLY</w:t>
          </w:r>
        </w:p>
        <w:p w:rsidR="00E72087" w:rsidRDefault="00E72087" w:rsidP="00720EDF">
          <w:pPr>
            <w:pBdr>
              <w:bottom w:val="single" w:sz="4" w:space="12" w:color="auto"/>
            </w:pBdr>
            <w:tabs>
              <w:tab w:val="left" w:pos="3119"/>
            </w:tabs>
            <w:spacing w:after="240" w:line="300" w:lineRule="atLeast"/>
          </w:pPr>
          <w:r w:rsidRPr="00EE03FE">
            <w:t>Delegate of the Minister for Health</w:t>
          </w:r>
        </w:p>
        <w:p w:rsidR="00E72087" w:rsidRDefault="00E72087" w:rsidP="00CF4B6D">
          <w:pPr>
            <w:spacing w:after="200" w:line="276" w:lineRule="auto"/>
          </w:pPr>
          <w:r>
            <w:br w:type="page"/>
          </w:r>
        </w:p>
        <w:p w:rsidR="00E72087" w:rsidRDefault="00E72087" w:rsidP="00CF4B6D">
          <w:pPr>
            <w:pBdr>
              <w:bottom w:val="single" w:sz="4" w:space="12" w:color="auto"/>
            </w:pBdr>
            <w:tabs>
              <w:tab w:val="left" w:pos="3119"/>
            </w:tabs>
            <w:spacing w:after="240" w:line="300" w:lineRule="atLeast"/>
          </w:pPr>
        </w:p>
        <w:p w:rsidR="00E72087" w:rsidRPr="00163034" w:rsidRDefault="00E72087" w:rsidP="00CF4B6D">
          <w:pPr>
            <w:pStyle w:val="HR"/>
            <w:keepNext w:val="0"/>
            <w:keepLines w:val="0"/>
            <w:rPr>
              <w:rFonts w:ascii="Cambria" w:eastAsiaTheme="minorHAnsi" w:hAnsi="Cambria" w:cstheme="minorBidi"/>
              <w:b w:val="0"/>
              <w:sz w:val="22"/>
              <w:szCs w:val="22"/>
              <w:lang w:eastAsia="en-US"/>
            </w:rPr>
          </w:pPr>
          <w:r w:rsidRPr="00163034">
            <w:rPr>
              <w:rFonts w:ascii="Cambria" w:eastAsiaTheme="minorHAnsi" w:hAnsi="Cambria" w:cstheme="minorBidi"/>
              <w:b w:val="0"/>
              <w:sz w:val="22"/>
              <w:szCs w:val="22"/>
              <w:lang w:eastAsia="en-US"/>
            </w:rPr>
            <w:t>1</w:t>
          </w:r>
          <w:r w:rsidRPr="00163034">
            <w:rPr>
              <w:rFonts w:ascii="Cambria" w:eastAsiaTheme="minorHAnsi" w:hAnsi="Cambria" w:cstheme="minorBidi"/>
              <w:b w:val="0"/>
              <w:sz w:val="22"/>
              <w:szCs w:val="22"/>
              <w:lang w:eastAsia="en-US"/>
            </w:rPr>
            <w:tab/>
            <w:t>Name of Specification</w:t>
          </w:r>
        </w:p>
        <w:p w:rsidR="00E72087" w:rsidRPr="00163034" w:rsidRDefault="00E72087" w:rsidP="00CF4B6D">
          <w:pPr>
            <w:pStyle w:val="R1"/>
            <w:keepLines w:val="0"/>
            <w:rPr>
              <w:rFonts w:ascii="Cambria" w:eastAsiaTheme="minorHAnsi" w:hAnsi="Cambria" w:cstheme="minorBidi"/>
              <w:sz w:val="22"/>
              <w:szCs w:val="22"/>
              <w:lang w:eastAsia="en-US"/>
            </w:rPr>
          </w:pPr>
          <w:r w:rsidRPr="00163034">
            <w:rPr>
              <w:rFonts w:ascii="Cambria" w:eastAsiaTheme="minorHAnsi" w:hAnsi="Cambria" w:cstheme="minorBidi"/>
              <w:sz w:val="22"/>
              <w:szCs w:val="22"/>
              <w:lang w:eastAsia="en-US"/>
            </w:rPr>
            <w:tab/>
          </w:r>
          <w:r w:rsidRPr="00163034">
            <w:rPr>
              <w:rFonts w:ascii="Cambria" w:eastAsiaTheme="minorHAnsi" w:hAnsi="Cambria" w:cstheme="minorBidi"/>
              <w:sz w:val="22"/>
              <w:szCs w:val="22"/>
              <w:lang w:eastAsia="en-US"/>
            </w:rPr>
            <w:tab/>
            <w:t>This Specification is the Therapeutic Goods Information Specification 2017.</w:t>
          </w:r>
        </w:p>
        <w:p w:rsidR="00E72087" w:rsidRPr="00163034" w:rsidRDefault="00E72087" w:rsidP="00CF4B6D">
          <w:pPr>
            <w:pStyle w:val="HR"/>
            <w:keepNext w:val="0"/>
            <w:keepLines w:val="0"/>
            <w:rPr>
              <w:rFonts w:ascii="Cambria" w:eastAsiaTheme="minorHAnsi" w:hAnsi="Cambria" w:cstheme="minorBidi"/>
              <w:b w:val="0"/>
              <w:sz w:val="22"/>
              <w:szCs w:val="22"/>
              <w:lang w:eastAsia="en-US"/>
            </w:rPr>
          </w:pPr>
          <w:r w:rsidRPr="00163034">
            <w:rPr>
              <w:rFonts w:ascii="Cambria" w:eastAsiaTheme="minorHAnsi" w:hAnsi="Cambria" w:cstheme="minorBidi"/>
              <w:b w:val="0"/>
              <w:sz w:val="22"/>
              <w:szCs w:val="22"/>
              <w:lang w:eastAsia="en-US"/>
            </w:rPr>
            <w:t>2</w:t>
          </w:r>
          <w:r w:rsidRPr="00163034">
            <w:rPr>
              <w:rFonts w:ascii="Cambria" w:eastAsiaTheme="minorHAnsi" w:hAnsi="Cambria" w:cstheme="minorBidi"/>
              <w:b w:val="0"/>
              <w:sz w:val="22"/>
              <w:szCs w:val="22"/>
              <w:lang w:eastAsia="en-US"/>
            </w:rPr>
            <w:tab/>
            <w:t>Commencement</w:t>
          </w:r>
        </w:p>
        <w:p w:rsidR="00E72087" w:rsidRPr="00163034" w:rsidRDefault="00E72087" w:rsidP="00CF4B6D">
          <w:pPr>
            <w:pStyle w:val="R1"/>
            <w:keepLines w:val="0"/>
            <w:rPr>
              <w:rFonts w:ascii="Cambria" w:eastAsiaTheme="minorHAnsi" w:hAnsi="Cambria" w:cstheme="minorBidi"/>
              <w:sz w:val="22"/>
              <w:szCs w:val="22"/>
              <w:lang w:eastAsia="en-US"/>
            </w:rPr>
          </w:pPr>
          <w:r w:rsidRPr="00163034">
            <w:rPr>
              <w:rFonts w:ascii="Cambria" w:eastAsiaTheme="minorHAnsi" w:hAnsi="Cambria" w:cstheme="minorBidi"/>
              <w:sz w:val="22"/>
              <w:szCs w:val="22"/>
              <w:lang w:eastAsia="en-US"/>
            </w:rPr>
            <w:tab/>
          </w:r>
          <w:r w:rsidRPr="00163034">
            <w:rPr>
              <w:rFonts w:ascii="Cambria" w:eastAsiaTheme="minorHAnsi" w:hAnsi="Cambria" w:cstheme="minorBidi"/>
              <w:sz w:val="22"/>
              <w:szCs w:val="22"/>
              <w:lang w:eastAsia="en-US"/>
            </w:rPr>
            <w:tab/>
            <w:t>This Specification commences on the day after it is registered.</w:t>
          </w:r>
        </w:p>
        <w:p w:rsidR="00E72087" w:rsidRPr="00163034" w:rsidRDefault="00E72087" w:rsidP="00CF4B6D">
          <w:pPr>
            <w:pStyle w:val="HR"/>
            <w:keepNext w:val="0"/>
            <w:keepLines w:val="0"/>
            <w:rPr>
              <w:rFonts w:ascii="Cambria" w:eastAsiaTheme="minorHAnsi" w:hAnsi="Cambria" w:cstheme="minorBidi"/>
              <w:b w:val="0"/>
              <w:sz w:val="22"/>
              <w:szCs w:val="22"/>
              <w:lang w:eastAsia="en-US"/>
            </w:rPr>
          </w:pPr>
          <w:r w:rsidRPr="00163034">
            <w:rPr>
              <w:rFonts w:ascii="Cambria" w:eastAsiaTheme="minorHAnsi" w:hAnsi="Cambria" w:cstheme="minorBidi"/>
              <w:b w:val="0"/>
              <w:sz w:val="22"/>
              <w:szCs w:val="22"/>
              <w:lang w:eastAsia="en-US"/>
            </w:rPr>
            <w:t>3</w:t>
          </w:r>
          <w:r w:rsidRPr="00163034">
            <w:rPr>
              <w:rFonts w:ascii="Cambria" w:eastAsiaTheme="minorHAnsi" w:hAnsi="Cambria" w:cstheme="minorBidi"/>
              <w:b w:val="0"/>
              <w:sz w:val="22"/>
              <w:szCs w:val="22"/>
              <w:lang w:eastAsia="en-US"/>
            </w:rPr>
            <w:tab/>
            <w:t>Repeal</w:t>
          </w:r>
        </w:p>
        <w:p w:rsidR="00E72087" w:rsidRPr="00163034" w:rsidRDefault="00E72087" w:rsidP="00B724A1">
          <w:pPr>
            <w:pStyle w:val="R1"/>
            <w:rPr>
              <w:rFonts w:ascii="Cambria" w:eastAsiaTheme="minorHAnsi" w:hAnsi="Cambria" w:cstheme="minorBidi"/>
              <w:sz w:val="22"/>
              <w:szCs w:val="22"/>
              <w:lang w:eastAsia="en-US"/>
            </w:rPr>
          </w:pPr>
          <w:r w:rsidRPr="00163034">
            <w:rPr>
              <w:rFonts w:ascii="Cambria" w:eastAsiaTheme="minorHAnsi" w:hAnsi="Cambria" w:cstheme="minorBidi"/>
              <w:sz w:val="22"/>
              <w:szCs w:val="22"/>
              <w:lang w:eastAsia="en-US"/>
            </w:rPr>
            <w:tab/>
          </w:r>
          <w:r w:rsidRPr="00163034">
            <w:rPr>
              <w:rFonts w:ascii="Cambria" w:eastAsiaTheme="minorHAnsi" w:hAnsi="Cambria" w:cstheme="minorBidi"/>
              <w:sz w:val="22"/>
              <w:szCs w:val="22"/>
              <w:lang w:eastAsia="en-US"/>
            </w:rPr>
            <w:tab/>
          </w:r>
          <w:r w:rsidRPr="00163034">
            <w:rPr>
              <w:rFonts w:eastAsiaTheme="minorHAnsi" w:cstheme="minorBidi"/>
              <w:lang w:eastAsia="en-US"/>
            </w:rPr>
            <w:t>This Specification repeals the Therapeutic Goods Information Specification 2015.</w:t>
          </w:r>
        </w:p>
        <w:p w:rsidR="00E72087" w:rsidRPr="00163034" w:rsidRDefault="00E72087" w:rsidP="00CF4B6D">
          <w:pPr>
            <w:pStyle w:val="HR"/>
            <w:keepNext w:val="0"/>
            <w:keepLines w:val="0"/>
            <w:rPr>
              <w:rFonts w:ascii="Cambria" w:eastAsiaTheme="minorHAnsi" w:hAnsi="Cambria" w:cstheme="minorBidi"/>
              <w:b w:val="0"/>
              <w:sz w:val="22"/>
              <w:szCs w:val="22"/>
              <w:lang w:eastAsia="en-US"/>
            </w:rPr>
          </w:pPr>
          <w:r w:rsidRPr="00163034">
            <w:rPr>
              <w:rFonts w:ascii="Cambria" w:eastAsiaTheme="minorHAnsi" w:hAnsi="Cambria" w:cstheme="minorBidi"/>
              <w:b w:val="0"/>
              <w:sz w:val="22"/>
              <w:szCs w:val="22"/>
              <w:lang w:eastAsia="en-US"/>
            </w:rPr>
            <w:t>4</w:t>
          </w:r>
          <w:r w:rsidRPr="00163034">
            <w:rPr>
              <w:rFonts w:ascii="Cambria" w:eastAsiaTheme="minorHAnsi" w:hAnsi="Cambria" w:cstheme="minorBidi"/>
              <w:b w:val="0"/>
              <w:sz w:val="22"/>
              <w:szCs w:val="22"/>
              <w:lang w:eastAsia="en-US"/>
            </w:rPr>
            <w:tab/>
            <w:t>Definitions</w:t>
          </w:r>
        </w:p>
        <w:p w:rsidR="005B6E34" w:rsidRPr="004F5D6D" w:rsidRDefault="006979D0" w:rsidP="00B0396D">
          <w:pPr>
            <w:pStyle w:val="FooterCitation"/>
          </w:pP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5B6E34" w:rsidRPr="00451BF5" w:rsidRDefault="00A37A48" w:rsidP="00B0396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B6E34" w:rsidRDefault="00A37A48" w:rsidP="00B0396D">
    <w:pPr>
      <w:pStyle w:val="FooterDraft"/>
      <w:ind w:right="360" w:firstLine="360"/>
    </w:pPr>
  </w:p>
  <w:p w:rsidR="005B6E34" w:rsidRDefault="00757B76" w:rsidP="00B0396D">
    <w:pPr>
      <w:pStyle w:val="FooterInfo"/>
    </w:pP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75" w:rsidRDefault="00DD2A75" w:rsidP="006709A8">
      <w:pPr>
        <w:spacing w:after="0" w:line="240" w:lineRule="auto"/>
      </w:pPr>
      <w:r>
        <w:separator/>
      </w:r>
    </w:p>
  </w:footnote>
  <w:footnote w:type="continuationSeparator" w:id="0">
    <w:p w:rsidR="00DD2A75" w:rsidRDefault="00DD2A75" w:rsidP="0067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5B6E34">
      <w:tc>
        <w:tcPr>
          <w:tcW w:w="1548" w:type="dxa"/>
        </w:tcPr>
        <w:p w:rsidR="005B6E34" w:rsidRDefault="00A37A48">
          <w:pPr>
            <w:pStyle w:val="HeaderLiteEven"/>
          </w:pPr>
        </w:p>
      </w:tc>
      <w:tc>
        <w:tcPr>
          <w:tcW w:w="6798" w:type="dxa"/>
          <w:vAlign w:val="bottom"/>
        </w:tcPr>
        <w:p w:rsidR="005B6E34" w:rsidRDefault="00A37A48">
          <w:pPr>
            <w:pStyle w:val="HeaderLiteEven"/>
          </w:pPr>
        </w:p>
      </w:tc>
    </w:tr>
    <w:tr w:rsidR="005B6E34">
      <w:tc>
        <w:tcPr>
          <w:tcW w:w="1548" w:type="dxa"/>
        </w:tcPr>
        <w:p w:rsidR="005B6E34" w:rsidRDefault="00A37A48">
          <w:pPr>
            <w:pStyle w:val="HeaderLiteEven"/>
          </w:pPr>
        </w:p>
      </w:tc>
      <w:tc>
        <w:tcPr>
          <w:tcW w:w="6798" w:type="dxa"/>
          <w:vAlign w:val="bottom"/>
        </w:tcPr>
        <w:p w:rsidR="005B6E34" w:rsidRDefault="00A37A48">
          <w:pPr>
            <w:pStyle w:val="HeaderLiteEven"/>
          </w:pPr>
        </w:p>
      </w:tc>
    </w:tr>
    <w:tr w:rsidR="005B6E3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B6E34" w:rsidRPr="002B7A4F" w:rsidRDefault="00757B76">
          <w:pPr>
            <w:pStyle w:val="HeaderBoldEven"/>
          </w:pPr>
          <w:r>
            <w:t xml:space="preserve">Section </w:t>
          </w:r>
          <w:r w:rsidR="006979D0" w:rsidRPr="002B7A4F">
            <w:fldChar w:fldCharType="begin"/>
          </w:r>
          <w:r w:rsidRPr="002B7A4F">
            <w:instrText xml:space="preserve"> If </w:instrText>
          </w:r>
          <w:r w:rsidR="006979D0">
            <w:fldChar w:fldCharType="begin"/>
          </w:r>
          <w:r>
            <w:instrText xml:space="preserve"> STYLEREF CharSectno \*Charformat </w:instrText>
          </w:r>
          <w:r w:rsidR="006979D0">
            <w:fldChar w:fldCharType="separate"/>
          </w:r>
          <w:r w:rsidR="00E72087">
            <w:rPr>
              <w:noProof/>
            </w:rPr>
            <w:instrText>1</w:instrText>
          </w:r>
          <w:r w:rsidR="006979D0">
            <w:rPr>
              <w:noProof/>
            </w:rPr>
            <w:fldChar w:fldCharType="end"/>
          </w:r>
          <w:r w:rsidRPr="002B7A4F">
            <w:instrText xml:space="preserve"> &lt;&gt; "Error*" </w:instrText>
          </w:r>
          <w:r w:rsidR="006979D0">
            <w:fldChar w:fldCharType="begin"/>
          </w:r>
          <w:r>
            <w:instrText xml:space="preserve"> STYLEREF CharSectno \*Charformat </w:instrText>
          </w:r>
          <w:r w:rsidR="006979D0">
            <w:fldChar w:fldCharType="separate"/>
          </w:r>
          <w:r w:rsidR="00E72087">
            <w:rPr>
              <w:noProof/>
            </w:rPr>
            <w:instrText>1</w:instrText>
          </w:r>
          <w:r w:rsidR="006979D0">
            <w:rPr>
              <w:noProof/>
            </w:rPr>
            <w:fldChar w:fldCharType="end"/>
          </w:r>
          <w:r w:rsidRPr="002B7A4F">
            <w:instrText xml:space="preserve"> </w:instrText>
          </w:r>
          <w:r w:rsidR="006979D0" w:rsidRPr="002B7A4F">
            <w:fldChar w:fldCharType="separate"/>
          </w:r>
          <w:r w:rsidR="00E72087">
            <w:rPr>
              <w:noProof/>
            </w:rPr>
            <w:t>1</w:t>
          </w:r>
          <w:r w:rsidR="006979D0" w:rsidRPr="002B7A4F">
            <w:fldChar w:fldCharType="end"/>
          </w:r>
        </w:p>
      </w:tc>
    </w:tr>
  </w:tbl>
  <w:p w:rsidR="005B6E34" w:rsidRDefault="00A37A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2685"/>
    <w:multiLevelType w:val="hybridMultilevel"/>
    <w:tmpl w:val="F28A2442"/>
    <w:lvl w:ilvl="0" w:tplc="04826E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E7E00"/>
    <w:multiLevelType w:val="hybridMultilevel"/>
    <w:tmpl w:val="A4527D80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52BF3"/>
    <w:multiLevelType w:val="hybridMultilevel"/>
    <w:tmpl w:val="98FC9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6D"/>
    <w:rsid w:val="00023D11"/>
    <w:rsid w:val="00063761"/>
    <w:rsid w:val="000977E0"/>
    <w:rsid w:val="000A48F2"/>
    <w:rsid w:val="00101132"/>
    <w:rsid w:val="00127FD4"/>
    <w:rsid w:val="001373C8"/>
    <w:rsid w:val="00163034"/>
    <w:rsid w:val="001755F9"/>
    <w:rsid w:val="00183934"/>
    <w:rsid w:val="001B221E"/>
    <w:rsid w:val="001F5660"/>
    <w:rsid w:val="00200131"/>
    <w:rsid w:val="00216C46"/>
    <w:rsid w:val="0023083E"/>
    <w:rsid w:val="00260E6B"/>
    <w:rsid w:val="0026581F"/>
    <w:rsid w:val="0027567E"/>
    <w:rsid w:val="002B7C23"/>
    <w:rsid w:val="002D4CA3"/>
    <w:rsid w:val="002E7241"/>
    <w:rsid w:val="002E7E96"/>
    <w:rsid w:val="00305C28"/>
    <w:rsid w:val="00324406"/>
    <w:rsid w:val="00367EE5"/>
    <w:rsid w:val="00391343"/>
    <w:rsid w:val="00394B56"/>
    <w:rsid w:val="003C7543"/>
    <w:rsid w:val="003E65BF"/>
    <w:rsid w:val="00412D98"/>
    <w:rsid w:val="00420C3F"/>
    <w:rsid w:val="00432B43"/>
    <w:rsid w:val="00435C5C"/>
    <w:rsid w:val="004376DA"/>
    <w:rsid w:val="004B71A8"/>
    <w:rsid w:val="004E7F39"/>
    <w:rsid w:val="00511607"/>
    <w:rsid w:val="0052274E"/>
    <w:rsid w:val="00537AB6"/>
    <w:rsid w:val="005826A7"/>
    <w:rsid w:val="00592CEC"/>
    <w:rsid w:val="005B1259"/>
    <w:rsid w:val="005D501E"/>
    <w:rsid w:val="00600495"/>
    <w:rsid w:val="00601A6E"/>
    <w:rsid w:val="0063254A"/>
    <w:rsid w:val="00665DA3"/>
    <w:rsid w:val="006709A8"/>
    <w:rsid w:val="00672D28"/>
    <w:rsid w:val="006979D0"/>
    <w:rsid w:val="006B2ED8"/>
    <w:rsid w:val="006C4B96"/>
    <w:rsid w:val="006F4314"/>
    <w:rsid w:val="00702A6A"/>
    <w:rsid w:val="00720EDF"/>
    <w:rsid w:val="00757B76"/>
    <w:rsid w:val="007653A0"/>
    <w:rsid w:val="007A3CFA"/>
    <w:rsid w:val="007B127A"/>
    <w:rsid w:val="007B1C37"/>
    <w:rsid w:val="007B2849"/>
    <w:rsid w:val="007F609F"/>
    <w:rsid w:val="00803244"/>
    <w:rsid w:val="00852907"/>
    <w:rsid w:val="00893B5E"/>
    <w:rsid w:val="008B0C51"/>
    <w:rsid w:val="009345F3"/>
    <w:rsid w:val="009425A6"/>
    <w:rsid w:val="00953A9E"/>
    <w:rsid w:val="00965FD9"/>
    <w:rsid w:val="00975485"/>
    <w:rsid w:val="009870E8"/>
    <w:rsid w:val="009A2280"/>
    <w:rsid w:val="009A382B"/>
    <w:rsid w:val="00A16E80"/>
    <w:rsid w:val="00A26502"/>
    <w:rsid w:val="00A366A1"/>
    <w:rsid w:val="00A37A48"/>
    <w:rsid w:val="00A636F8"/>
    <w:rsid w:val="00AA3DDE"/>
    <w:rsid w:val="00AA4EEE"/>
    <w:rsid w:val="00AB3109"/>
    <w:rsid w:val="00AC0D0B"/>
    <w:rsid w:val="00AD6DEF"/>
    <w:rsid w:val="00B072DA"/>
    <w:rsid w:val="00B10979"/>
    <w:rsid w:val="00B23179"/>
    <w:rsid w:val="00B333A1"/>
    <w:rsid w:val="00B700FD"/>
    <w:rsid w:val="00B723F3"/>
    <w:rsid w:val="00B724A1"/>
    <w:rsid w:val="00B7522A"/>
    <w:rsid w:val="00B85AFD"/>
    <w:rsid w:val="00BB7818"/>
    <w:rsid w:val="00BD2C69"/>
    <w:rsid w:val="00BE5998"/>
    <w:rsid w:val="00BF49BF"/>
    <w:rsid w:val="00C26BD0"/>
    <w:rsid w:val="00C5497E"/>
    <w:rsid w:val="00CA6DC2"/>
    <w:rsid w:val="00CD329D"/>
    <w:rsid w:val="00CE5CD9"/>
    <w:rsid w:val="00CF4B6D"/>
    <w:rsid w:val="00D00C99"/>
    <w:rsid w:val="00D06DDB"/>
    <w:rsid w:val="00D30548"/>
    <w:rsid w:val="00D67A59"/>
    <w:rsid w:val="00D913A4"/>
    <w:rsid w:val="00DA0182"/>
    <w:rsid w:val="00DA2690"/>
    <w:rsid w:val="00DD2A75"/>
    <w:rsid w:val="00DF77F3"/>
    <w:rsid w:val="00E34D32"/>
    <w:rsid w:val="00E36497"/>
    <w:rsid w:val="00E5555E"/>
    <w:rsid w:val="00E72087"/>
    <w:rsid w:val="00E95C4F"/>
    <w:rsid w:val="00E96562"/>
    <w:rsid w:val="00EB0214"/>
    <w:rsid w:val="00EB118A"/>
    <w:rsid w:val="00EC51F5"/>
    <w:rsid w:val="00F72462"/>
    <w:rsid w:val="00FA0544"/>
    <w:rsid w:val="00FB620E"/>
    <w:rsid w:val="00FD0057"/>
    <w:rsid w:val="00FD0435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6D"/>
    <w:pPr>
      <w:spacing w:after="120" w:line="240" w:lineRule="atLeast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4B6D"/>
    <w:pPr>
      <w:pBdr>
        <w:bottom w:val="single" w:sz="4" w:space="3" w:color="auto"/>
      </w:pBdr>
      <w:tabs>
        <w:tab w:val="center" w:pos="4513"/>
        <w:tab w:val="right" w:pos="9026"/>
      </w:tabs>
      <w:spacing w:after="0" w:line="240" w:lineRule="auto"/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rsid w:val="00CF4B6D"/>
    <w:rPr>
      <w:rFonts w:ascii="Cambria" w:hAnsi="Cambria"/>
      <w:sz w:val="17"/>
    </w:rPr>
  </w:style>
  <w:style w:type="paragraph" w:styleId="Title">
    <w:name w:val="Title"/>
    <w:basedOn w:val="Normal"/>
    <w:next w:val="Normal"/>
    <w:link w:val="TitleChar"/>
    <w:qFormat/>
    <w:rsid w:val="00CF4B6D"/>
    <w:pPr>
      <w:spacing w:after="60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F4B6D"/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F4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B6D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B6D"/>
    <w:rPr>
      <w:sz w:val="20"/>
      <w:szCs w:val="20"/>
    </w:rPr>
  </w:style>
  <w:style w:type="character" w:styleId="PageNumber">
    <w:name w:val="page number"/>
    <w:basedOn w:val="DefaultParagraphFont"/>
    <w:rsid w:val="00CF4B6D"/>
  </w:style>
  <w:style w:type="paragraph" w:customStyle="1" w:styleId="HeaderBoldEven">
    <w:name w:val="HeaderBoldEven"/>
    <w:basedOn w:val="Normal"/>
    <w:rsid w:val="00CF4B6D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CF4B6D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CF4B6D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CF4B6D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customStyle="1" w:styleId="CharSectno">
    <w:name w:val="CharSectno"/>
    <w:basedOn w:val="DefaultParagraphFont"/>
    <w:rsid w:val="00CF4B6D"/>
  </w:style>
  <w:style w:type="paragraph" w:customStyle="1" w:styleId="definition">
    <w:name w:val="definition"/>
    <w:basedOn w:val="Normal"/>
    <w:rsid w:val="00CF4B6D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CF4B6D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CF4B6D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CF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CF4B6D"/>
  </w:style>
  <w:style w:type="character" w:customStyle="1" w:styleId="CharSchText">
    <w:name w:val="CharSchText"/>
    <w:basedOn w:val="DefaultParagraphFont"/>
    <w:rsid w:val="00CF4B6D"/>
  </w:style>
  <w:style w:type="paragraph" w:customStyle="1" w:styleId="FooterCitation">
    <w:name w:val="FooterCitation"/>
    <w:basedOn w:val="FooterDraft"/>
    <w:rsid w:val="00CF4B6D"/>
    <w:pPr>
      <w:tabs>
        <w:tab w:val="center" w:pos="4153"/>
        <w:tab w:val="right" w:pos="8306"/>
      </w:tabs>
      <w:spacing w:before="20" w:line="240" w:lineRule="exact"/>
    </w:pPr>
    <w:rPr>
      <w:b w:val="0"/>
      <w:i/>
      <w:sz w:val="18"/>
    </w:rPr>
  </w:style>
  <w:style w:type="paragraph" w:customStyle="1" w:styleId="Schedulepara">
    <w:name w:val="Schedule para"/>
    <w:basedOn w:val="Normal"/>
    <w:rsid w:val="00CF4B6D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CF4B6D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CF4B6D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ZR1">
    <w:name w:val="ZR1"/>
    <w:basedOn w:val="R1"/>
    <w:rsid w:val="00CF4B6D"/>
    <w:pPr>
      <w:keepNext/>
    </w:pPr>
  </w:style>
  <w:style w:type="paragraph" w:styleId="Footer">
    <w:name w:val="footer"/>
    <w:basedOn w:val="Normal"/>
    <w:link w:val="FooterChar"/>
    <w:unhideWhenUsed/>
    <w:rsid w:val="00CF4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B6D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B76"/>
    <w:pPr>
      <w:spacing w:after="120"/>
    </w:pPr>
    <w:rPr>
      <w:rFonts w:ascii="Cambria" w:hAnsi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B76"/>
    <w:rPr>
      <w:rFonts w:ascii="Cambria" w:hAnsi="Cambr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7B76"/>
    <w:pPr>
      <w:ind w:left="720"/>
      <w:contextualSpacing/>
    </w:pPr>
  </w:style>
  <w:style w:type="paragraph" w:styleId="Revision">
    <w:name w:val="Revision"/>
    <w:hidden/>
    <w:uiPriority w:val="99"/>
    <w:semiHidden/>
    <w:rsid w:val="00AA3DDE"/>
    <w:pPr>
      <w:spacing w:after="0" w:line="240" w:lineRule="auto"/>
    </w:pPr>
    <w:rPr>
      <w:rFonts w:ascii="Cambria" w:hAnsi="Cambria"/>
    </w:rPr>
  </w:style>
  <w:style w:type="paragraph" w:customStyle="1" w:styleId="noteend">
    <w:name w:val="noteend"/>
    <w:basedOn w:val="Normal"/>
    <w:rsid w:val="00E9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E59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63034"/>
    <w:pPr>
      <w:spacing w:after="0" w:line="240" w:lineRule="auto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6D"/>
    <w:pPr>
      <w:spacing w:after="120" w:line="240" w:lineRule="atLeast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4B6D"/>
    <w:pPr>
      <w:pBdr>
        <w:bottom w:val="single" w:sz="4" w:space="3" w:color="auto"/>
      </w:pBdr>
      <w:tabs>
        <w:tab w:val="center" w:pos="4513"/>
        <w:tab w:val="right" w:pos="9026"/>
      </w:tabs>
      <w:spacing w:after="0" w:line="240" w:lineRule="auto"/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rsid w:val="00CF4B6D"/>
    <w:rPr>
      <w:rFonts w:ascii="Cambria" w:hAnsi="Cambria"/>
      <w:sz w:val="17"/>
    </w:rPr>
  </w:style>
  <w:style w:type="paragraph" w:styleId="Title">
    <w:name w:val="Title"/>
    <w:basedOn w:val="Normal"/>
    <w:next w:val="Normal"/>
    <w:link w:val="TitleChar"/>
    <w:qFormat/>
    <w:rsid w:val="00CF4B6D"/>
    <w:pPr>
      <w:spacing w:after="60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F4B6D"/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F4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B6D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B6D"/>
    <w:rPr>
      <w:sz w:val="20"/>
      <w:szCs w:val="20"/>
    </w:rPr>
  </w:style>
  <w:style w:type="character" w:styleId="PageNumber">
    <w:name w:val="page number"/>
    <w:basedOn w:val="DefaultParagraphFont"/>
    <w:rsid w:val="00CF4B6D"/>
  </w:style>
  <w:style w:type="paragraph" w:customStyle="1" w:styleId="HeaderBoldEven">
    <w:name w:val="HeaderBoldEven"/>
    <w:basedOn w:val="Normal"/>
    <w:rsid w:val="00CF4B6D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CF4B6D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CF4B6D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CF4B6D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customStyle="1" w:styleId="CharSectno">
    <w:name w:val="CharSectno"/>
    <w:basedOn w:val="DefaultParagraphFont"/>
    <w:rsid w:val="00CF4B6D"/>
  </w:style>
  <w:style w:type="paragraph" w:customStyle="1" w:styleId="definition">
    <w:name w:val="definition"/>
    <w:basedOn w:val="Normal"/>
    <w:rsid w:val="00CF4B6D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CF4B6D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CF4B6D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CF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CF4B6D"/>
  </w:style>
  <w:style w:type="character" w:customStyle="1" w:styleId="CharSchText">
    <w:name w:val="CharSchText"/>
    <w:basedOn w:val="DefaultParagraphFont"/>
    <w:rsid w:val="00CF4B6D"/>
  </w:style>
  <w:style w:type="paragraph" w:customStyle="1" w:styleId="FooterCitation">
    <w:name w:val="FooterCitation"/>
    <w:basedOn w:val="FooterDraft"/>
    <w:rsid w:val="00CF4B6D"/>
    <w:pPr>
      <w:tabs>
        <w:tab w:val="center" w:pos="4153"/>
        <w:tab w:val="right" w:pos="8306"/>
      </w:tabs>
      <w:spacing w:before="20" w:line="240" w:lineRule="exact"/>
    </w:pPr>
    <w:rPr>
      <w:b w:val="0"/>
      <w:i/>
      <w:sz w:val="18"/>
    </w:rPr>
  </w:style>
  <w:style w:type="paragraph" w:customStyle="1" w:styleId="Schedulepara">
    <w:name w:val="Schedule para"/>
    <w:basedOn w:val="Normal"/>
    <w:rsid w:val="00CF4B6D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CF4B6D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CF4B6D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ZR1">
    <w:name w:val="ZR1"/>
    <w:basedOn w:val="R1"/>
    <w:rsid w:val="00CF4B6D"/>
    <w:pPr>
      <w:keepNext/>
    </w:pPr>
  </w:style>
  <w:style w:type="paragraph" w:styleId="Footer">
    <w:name w:val="footer"/>
    <w:basedOn w:val="Normal"/>
    <w:link w:val="FooterChar"/>
    <w:unhideWhenUsed/>
    <w:rsid w:val="00CF4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B6D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B76"/>
    <w:pPr>
      <w:spacing w:after="120"/>
    </w:pPr>
    <w:rPr>
      <w:rFonts w:ascii="Cambria" w:hAnsi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B76"/>
    <w:rPr>
      <w:rFonts w:ascii="Cambria" w:hAnsi="Cambr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7B76"/>
    <w:pPr>
      <w:ind w:left="720"/>
      <w:contextualSpacing/>
    </w:pPr>
  </w:style>
  <w:style w:type="paragraph" w:styleId="Revision">
    <w:name w:val="Revision"/>
    <w:hidden/>
    <w:uiPriority w:val="99"/>
    <w:semiHidden/>
    <w:rsid w:val="00AA3DDE"/>
    <w:pPr>
      <w:spacing w:after="0" w:line="240" w:lineRule="auto"/>
    </w:pPr>
    <w:rPr>
      <w:rFonts w:ascii="Cambria" w:hAnsi="Cambria"/>
    </w:rPr>
  </w:style>
  <w:style w:type="paragraph" w:customStyle="1" w:styleId="noteend">
    <w:name w:val="noteend"/>
    <w:basedOn w:val="Normal"/>
    <w:rsid w:val="00E9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E59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63034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9834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8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85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1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egislation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B97E-85DA-4749-83DD-DDFCFE7E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3357</Characters>
  <Application>Microsoft Office Word</Application>
  <DocSecurity>0</DocSecurity>
  <Lines>98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CARTER, Bless</cp:lastModifiedBy>
  <cp:revision>2</cp:revision>
  <cp:lastPrinted>2017-05-31T05:03:00Z</cp:lastPrinted>
  <dcterms:created xsi:type="dcterms:W3CDTF">2017-05-31T05:23:00Z</dcterms:created>
  <dcterms:modified xsi:type="dcterms:W3CDTF">2017-05-31T05:23:00Z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