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349CC" w:rsidRDefault="00193461" w:rsidP="00C63713">
      <w:pPr>
        <w:rPr>
          <w:sz w:val="28"/>
        </w:rPr>
      </w:pPr>
      <w:r w:rsidRPr="006349CC">
        <w:rPr>
          <w:noProof/>
          <w:lang w:eastAsia="en-AU"/>
        </w:rPr>
        <w:drawing>
          <wp:inline distT="0" distB="0" distL="0" distR="0" wp14:anchorId="3BAFD40F" wp14:editId="63670DC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349CC" w:rsidRDefault="0048364F" w:rsidP="0048364F">
      <w:pPr>
        <w:rPr>
          <w:sz w:val="19"/>
        </w:rPr>
      </w:pPr>
    </w:p>
    <w:p w:rsidR="0048364F" w:rsidRPr="006349CC" w:rsidRDefault="00B730E0" w:rsidP="0048364F">
      <w:pPr>
        <w:pStyle w:val="ShortT"/>
      </w:pPr>
      <w:r w:rsidRPr="006349CC">
        <w:t>Fair Work and Other Legislation Amendment (South Australian Employment Court) Regulations</w:t>
      </w:r>
      <w:r w:rsidR="006349CC" w:rsidRPr="006349CC">
        <w:t> </w:t>
      </w:r>
      <w:r w:rsidRPr="006349CC">
        <w:t>2017</w:t>
      </w:r>
    </w:p>
    <w:p w:rsidR="00B730E0" w:rsidRPr="006349CC" w:rsidRDefault="00B730E0" w:rsidP="007517B8">
      <w:pPr>
        <w:pStyle w:val="SignCoverPageStart"/>
        <w:spacing w:before="240"/>
        <w:rPr>
          <w:szCs w:val="22"/>
        </w:rPr>
      </w:pPr>
      <w:r w:rsidRPr="006349CC">
        <w:rPr>
          <w:szCs w:val="22"/>
        </w:rPr>
        <w:t>I, General the Honourable Sir Peter Cosgrove AK MC (</w:t>
      </w:r>
      <w:proofErr w:type="spellStart"/>
      <w:r w:rsidRPr="006349CC">
        <w:rPr>
          <w:szCs w:val="22"/>
        </w:rPr>
        <w:t>Ret’d</w:t>
      </w:r>
      <w:proofErr w:type="spellEnd"/>
      <w:r w:rsidRPr="006349CC">
        <w:rPr>
          <w:szCs w:val="22"/>
        </w:rPr>
        <w:t xml:space="preserve">), </w:t>
      </w:r>
      <w:r w:rsidR="006349CC" w:rsidRPr="006349CC">
        <w:rPr>
          <w:szCs w:val="22"/>
        </w:rPr>
        <w:t>Governor</w:t>
      </w:r>
      <w:r w:rsidR="006349CC">
        <w:rPr>
          <w:szCs w:val="22"/>
        </w:rPr>
        <w:noBreakHyphen/>
      </w:r>
      <w:r w:rsidR="006349CC" w:rsidRPr="006349CC">
        <w:rPr>
          <w:szCs w:val="22"/>
        </w:rPr>
        <w:t>General</w:t>
      </w:r>
      <w:r w:rsidRPr="006349CC">
        <w:rPr>
          <w:szCs w:val="22"/>
        </w:rPr>
        <w:t xml:space="preserve"> of the Commonwealth of Australia, acting with the advice of the Federal Executive Council, make the following regulation</w:t>
      </w:r>
      <w:r w:rsidR="00D13A70" w:rsidRPr="006349CC">
        <w:rPr>
          <w:szCs w:val="22"/>
        </w:rPr>
        <w:t>s</w:t>
      </w:r>
      <w:r w:rsidRPr="006349CC">
        <w:rPr>
          <w:szCs w:val="22"/>
        </w:rPr>
        <w:t>.</w:t>
      </w:r>
    </w:p>
    <w:p w:rsidR="00B730E0" w:rsidRPr="006349CC" w:rsidRDefault="00B730E0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6349CC">
        <w:rPr>
          <w:szCs w:val="22"/>
        </w:rPr>
        <w:t xml:space="preserve">Dated </w:t>
      </w:r>
      <w:bookmarkStart w:id="0" w:name="BKCheck15B_1"/>
      <w:bookmarkEnd w:id="0"/>
      <w:r w:rsidRPr="006349CC">
        <w:rPr>
          <w:szCs w:val="22"/>
        </w:rPr>
        <w:fldChar w:fldCharType="begin"/>
      </w:r>
      <w:r w:rsidRPr="006349CC">
        <w:rPr>
          <w:szCs w:val="22"/>
        </w:rPr>
        <w:instrText xml:space="preserve"> DOCPROPERTY  DateMade </w:instrText>
      </w:r>
      <w:r w:rsidRPr="006349CC">
        <w:rPr>
          <w:szCs w:val="22"/>
        </w:rPr>
        <w:fldChar w:fldCharType="separate"/>
      </w:r>
      <w:r w:rsidR="009A6ACE">
        <w:rPr>
          <w:szCs w:val="22"/>
        </w:rPr>
        <w:t>15 June 2017</w:t>
      </w:r>
      <w:r w:rsidRPr="006349CC">
        <w:rPr>
          <w:szCs w:val="22"/>
        </w:rPr>
        <w:fldChar w:fldCharType="end"/>
      </w:r>
    </w:p>
    <w:p w:rsidR="00B730E0" w:rsidRPr="006349CC" w:rsidRDefault="00B730E0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349CC">
        <w:rPr>
          <w:szCs w:val="22"/>
        </w:rPr>
        <w:t>Peter Cosgrove</w:t>
      </w:r>
    </w:p>
    <w:p w:rsidR="00B730E0" w:rsidRPr="006349CC" w:rsidRDefault="006349C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349CC">
        <w:rPr>
          <w:szCs w:val="22"/>
        </w:rPr>
        <w:t>Governor</w:t>
      </w:r>
      <w:r>
        <w:rPr>
          <w:szCs w:val="22"/>
        </w:rPr>
        <w:noBreakHyphen/>
      </w:r>
      <w:r w:rsidRPr="006349CC">
        <w:rPr>
          <w:szCs w:val="22"/>
        </w:rPr>
        <w:t>General</w:t>
      </w:r>
    </w:p>
    <w:p w:rsidR="00B730E0" w:rsidRPr="006349CC" w:rsidRDefault="00B730E0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349CC">
        <w:rPr>
          <w:szCs w:val="22"/>
        </w:rPr>
        <w:t>By His Excellency’s Command</w:t>
      </w:r>
    </w:p>
    <w:p w:rsidR="00B730E0" w:rsidRPr="006349CC" w:rsidRDefault="00B730E0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proofErr w:type="spellStart"/>
      <w:r w:rsidRPr="006349CC">
        <w:rPr>
          <w:szCs w:val="22"/>
        </w:rPr>
        <w:t>Michaelia</w:t>
      </w:r>
      <w:proofErr w:type="spellEnd"/>
      <w:r w:rsidRPr="006349CC">
        <w:rPr>
          <w:szCs w:val="22"/>
        </w:rPr>
        <w:t xml:space="preserve"> Cash</w:t>
      </w:r>
    </w:p>
    <w:p w:rsidR="00B730E0" w:rsidRPr="006349CC" w:rsidRDefault="00B730E0" w:rsidP="007517B8">
      <w:pPr>
        <w:pStyle w:val="SignCoverPageEnd"/>
        <w:rPr>
          <w:szCs w:val="22"/>
        </w:rPr>
      </w:pPr>
      <w:r w:rsidRPr="006349CC">
        <w:rPr>
          <w:szCs w:val="22"/>
        </w:rPr>
        <w:t>Minister for Employment</w:t>
      </w:r>
    </w:p>
    <w:p w:rsidR="00B730E0" w:rsidRPr="006349CC" w:rsidRDefault="00B730E0" w:rsidP="007517B8"/>
    <w:p w:rsidR="00B730E0" w:rsidRPr="006349CC" w:rsidRDefault="00B730E0" w:rsidP="007517B8"/>
    <w:p w:rsidR="00B730E0" w:rsidRPr="006349CC" w:rsidRDefault="00B730E0" w:rsidP="007517B8"/>
    <w:p w:rsidR="00B730E0" w:rsidRPr="006349CC" w:rsidRDefault="00B730E0" w:rsidP="00B730E0"/>
    <w:p w:rsidR="0048364F" w:rsidRPr="006349CC" w:rsidRDefault="0048364F" w:rsidP="0048364F">
      <w:pPr>
        <w:pStyle w:val="Header"/>
        <w:tabs>
          <w:tab w:val="clear" w:pos="4150"/>
          <w:tab w:val="clear" w:pos="8307"/>
        </w:tabs>
      </w:pPr>
      <w:r w:rsidRPr="006349CC">
        <w:rPr>
          <w:rStyle w:val="CharAmSchNo"/>
        </w:rPr>
        <w:t xml:space="preserve"> </w:t>
      </w:r>
      <w:r w:rsidRPr="006349CC">
        <w:rPr>
          <w:rStyle w:val="CharAmSchText"/>
        </w:rPr>
        <w:t xml:space="preserve"> </w:t>
      </w:r>
    </w:p>
    <w:p w:rsidR="0048364F" w:rsidRPr="006349CC" w:rsidRDefault="0048364F" w:rsidP="0048364F">
      <w:pPr>
        <w:pStyle w:val="Header"/>
        <w:tabs>
          <w:tab w:val="clear" w:pos="4150"/>
          <w:tab w:val="clear" w:pos="8307"/>
        </w:tabs>
      </w:pPr>
      <w:r w:rsidRPr="006349CC">
        <w:rPr>
          <w:rStyle w:val="CharAmPartNo"/>
        </w:rPr>
        <w:t xml:space="preserve"> </w:t>
      </w:r>
      <w:r w:rsidRPr="006349CC">
        <w:rPr>
          <w:rStyle w:val="CharAmPartText"/>
        </w:rPr>
        <w:t xml:space="preserve"> </w:t>
      </w:r>
    </w:p>
    <w:p w:rsidR="0048364F" w:rsidRPr="006349CC" w:rsidRDefault="0048364F" w:rsidP="0048364F">
      <w:pPr>
        <w:sectPr w:rsidR="0048364F" w:rsidRPr="006349CC" w:rsidSect="009477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6349CC" w:rsidRDefault="0048364F" w:rsidP="00FB4B5E">
      <w:pPr>
        <w:rPr>
          <w:sz w:val="36"/>
        </w:rPr>
      </w:pPr>
      <w:r w:rsidRPr="006349CC">
        <w:rPr>
          <w:sz w:val="36"/>
        </w:rPr>
        <w:lastRenderedPageBreak/>
        <w:t>Contents</w:t>
      </w:r>
    </w:p>
    <w:bookmarkStart w:id="1" w:name="BKCheck15B_2"/>
    <w:bookmarkEnd w:id="1"/>
    <w:p w:rsidR="00805148" w:rsidRPr="006349CC" w:rsidRDefault="008051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49CC">
        <w:fldChar w:fldCharType="begin"/>
      </w:r>
      <w:r w:rsidRPr="006349CC">
        <w:instrText xml:space="preserve"> TOC \o "1-9" </w:instrText>
      </w:r>
      <w:r w:rsidRPr="006349CC">
        <w:fldChar w:fldCharType="separate"/>
      </w:r>
      <w:r w:rsidRPr="006349CC">
        <w:rPr>
          <w:noProof/>
        </w:rPr>
        <w:t>1</w:t>
      </w:r>
      <w:r w:rsidRPr="006349CC">
        <w:rPr>
          <w:noProof/>
        </w:rPr>
        <w:tab/>
        <w:t>Name</w:t>
      </w:r>
      <w:r w:rsidRPr="006349CC">
        <w:rPr>
          <w:noProof/>
        </w:rPr>
        <w:tab/>
      </w:r>
      <w:r w:rsidRPr="006349CC">
        <w:rPr>
          <w:noProof/>
        </w:rPr>
        <w:fldChar w:fldCharType="begin"/>
      </w:r>
      <w:r w:rsidRPr="006349CC">
        <w:rPr>
          <w:noProof/>
        </w:rPr>
        <w:instrText xml:space="preserve"> PAGEREF _Toc482173771 \h </w:instrText>
      </w:r>
      <w:r w:rsidRPr="006349CC">
        <w:rPr>
          <w:noProof/>
        </w:rPr>
      </w:r>
      <w:r w:rsidRPr="006349CC">
        <w:rPr>
          <w:noProof/>
        </w:rPr>
        <w:fldChar w:fldCharType="separate"/>
      </w:r>
      <w:r w:rsidR="009A6ACE">
        <w:rPr>
          <w:noProof/>
        </w:rPr>
        <w:t>1</w:t>
      </w:r>
      <w:r w:rsidRPr="006349CC">
        <w:rPr>
          <w:noProof/>
        </w:rPr>
        <w:fldChar w:fldCharType="end"/>
      </w:r>
    </w:p>
    <w:p w:rsidR="00805148" w:rsidRPr="006349CC" w:rsidRDefault="008051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49CC">
        <w:rPr>
          <w:noProof/>
        </w:rPr>
        <w:t>2</w:t>
      </w:r>
      <w:r w:rsidRPr="006349CC">
        <w:rPr>
          <w:noProof/>
        </w:rPr>
        <w:tab/>
        <w:t>Commencement</w:t>
      </w:r>
      <w:r w:rsidRPr="006349CC">
        <w:rPr>
          <w:noProof/>
        </w:rPr>
        <w:tab/>
      </w:r>
      <w:r w:rsidRPr="006349CC">
        <w:rPr>
          <w:noProof/>
        </w:rPr>
        <w:fldChar w:fldCharType="begin"/>
      </w:r>
      <w:r w:rsidRPr="006349CC">
        <w:rPr>
          <w:noProof/>
        </w:rPr>
        <w:instrText xml:space="preserve"> PAGEREF _Toc482173772 \h </w:instrText>
      </w:r>
      <w:r w:rsidRPr="006349CC">
        <w:rPr>
          <w:noProof/>
        </w:rPr>
      </w:r>
      <w:r w:rsidRPr="006349CC">
        <w:rPr>
          <w:noProof/>
        </w:rPr>
        <w:fldChar w:fldCharType="separate"/>
      </w:r>
      <w:r w:rsidR="009A6ACE">
        <w:rPr>
          <w:noProof/>
        </w:rPr>
        <w:t>1</w:t>
      </w:r>
      <w:r w:rsidRPr="006349CC">
        <w:rPr>
          <w:noProof/>
        </w:rPr>
        <w:fldChar w:fldCharType="end"/>
      </w:r>
    </w:p>
    <w:p w:rsidR="00805148" w:rsidRPr="006349CC" w:rsidRDefault="008051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49CC">
        <w:rPr>
          <w:noProof/>
        </w:rPr>
        <w:t>3</w:t>
      </w:r>
      <w:r w:rsidRPr="006349CC">
        <w:rPr>
          <w:noProof/>
        </w:rPr>
        <w:tab/>
        <w:t>Authority</w:t>
      </w:r>
      <w:r w:rsidRPr="006349CC">
        <w:rPr>
          <w:noProof/>
        </w:rPr>
        <w:tab/>
      </w:r>
      <w:r w:rsidRPr="006349CC">
        <w:rPr>
          <w:noProof/>
        </w:rPr>
        <w:fldChar w:fldCharType="begin"/>
      </w:r>
      <w:r w:rsidRPr="006349CC">
        <w:rPr>
          <w:noProof/>
        </w:rPr>
        <w:instrText xml:space="preserve"> PAGEREF _Toc482173773 \h </w:instrText>
      </w:r>
      <w:r w:rsidRPr="006349CC">
        <w:rPr>
          <w:noProof/>
        </w:rPr>
      </w:r>
      <w:r w:rsidRPr="006349CC">
        <w:rPr>
          <w:noProof/>
        </w:rPr>
        <w:fldChar w:fldCharType="separate"/>
      </w:r>
      <w:r w:rsidR="009A6ACE">
        <w:rPr>
          <w:noProof/>
        </w:rPr>
        <w:t>1</w:t>
      </w:r>
      <w:r w:rsidRPr="006349CC">
        <w:rPr>
          <w:noProof/>
        </w:rPr>
        <w:fldChar w:fldCharType="end"/>
      </w:r>
    </w:p>
    <w:p w:rsidR="00805148" w:rsidRPr="006349CC" w:rsidRDefault="008051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49CC">
        <w:rPr>
          <w:noProof/>
        </w:rPr>
        <w:t>4</w:t>
      </w:r>
      <w:r w:rsidRPr="006349CC">
        <w:rPr>
          <w:noProof/>
        </w:rPr>
        <w:tab/>
        <w:t>Schedules</w:t>
      </w:r>
      <w:r w:rsidRPr="006349CC">
        <w:rPr>
          <w:noProof/>
        </w:rPr>
        <w:tab/>
      </w:r>
      <w:r w:rsidRPr="006349CC">
        <w:rPr>
          <w:noProof/>
        </w:rPr>
        <w:fldChar w:fldCharType="begin"/>
      </w:r>
      <w:r w:rsidRPr="006349CC">
        <w:rPr>
          <w:noProof/>
        </w:rPr>
        <w:instrText xml:space="preserve"> PAGEREF _Toc482173774 \h </w:instrText>
      </w:r>
      <w:r w:rsidRPr="006349CC">
        <w:rPr>
          <w:noProof/>
        </w:rPr>
      </w:r>
      <w:r w:rsidRPr="006349CC">
        <w:rPr>
          <w:noProof/>
        </w:rPr>
        <w:fldChar w:fldCharType="separate"/>
      </w:r>
      <w:r w:rsidR="009A6ACE">
        <w:rPr>
          <w:noProof/>
        </w:rPr>
        <w:t>1</w:t>
      </w:r>
      <w:r w:rsidRPr="006349CC">
        <w:rPr>
          <w:noProof/>
        </w:rPr>
        <w:fldChar w:fldCharType="end"/>
      </w:r>
    </w:p>
    <w:p w:rsidR="00805148" w:rsidRPr="006349CC" w:rsidRDefault="0080514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349CC">
        <w:rPr>
          <w:noProof/>
        </w:rPr>
        <w:t>Schedule</w:t>
      </w:r>
      <w:r w:rsidR="006349CC" w:rsidRPr="006349CC">
        <w:rPr>
          <w:noProof/>
        </w:rPr>
        <w:t> </w:t>
      </w:r>
      <w:r w:rsidRPr="006349CC">
        <w:rPr>
          <w:noProof/>
        </w:rPr>
        <w:t>1—Amendments</w:t>
      </w:r>
      <w:r w:rsidRPr="006349CC">
        <w:rPr>
          <w:b w:val="0"/>
          <w:noProof/>
          <w:sz w:val="18"/>
        </w:rPr>
        <w:tab/>
      </w:r>
      <w:r w:rsidRPr="006349CC">
        <w:rPr>
          <w:b w:val="0"/>
          <w:noProof/>
          <w:sz w:val="18"/>
        </w:rPr>
        <w:fldChar w:fldCharType="begin"/>
      </w:r>
      <w:r w:rsidRPr="006349CC">
        <w:rPr>
          <w:b w:val="0"/>
          <w:noProof/>
          <w:sz w:val="18"/>
        </w:rPr>
        <w:instrText xml:space="preserve"> PAGEREF _Toc482173775 \h </w:instrText>
      </w:r>
      <w:r w:rsidRPr="006349CC">
        <w:rPr>
          <w:b w:val="0"/>
          <w:noProof/>
          <w:sz w:val="18"/>
        </w:rPr>
      </w:r>
      <w:r w:rsidRPr="006349CC">
        <w:rPr>
          <w:b w:val="0"/>
          <w:noProof/>
          <w:sz w:val="18"/>
        </w:rPr>
        <w:fldChar w:fldCharType="separate"/>
      </w:r>
      <w:r w:rsidR="009A6ACE">
        <w:rPr>
          <w:b w:val="0"/>
          <w:noProof/>
          <w:sz w:val="18"/>
        </w:rPr>
        <w:t>2</w:t>
      </w:r>
      <w:r w:rsidRPr="006349CC">
        <w:rPr>
          <w:b w:val="0"/>
          <w:noProof/>
          <w:sz w:val="18"/>
        </w:rPr>
        <w:fldChar w:fldCharType="end"/>
      </w:r>
    </w:p>
    <w:p w:rsidR="00805148" w:rsidRPr="006349CC" w:rsidRDefault="0080514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349CC">
        <w:rPr>
          <w:noProof/>
        </w:rPr>
        <w:t>Fair Work Regulations</w:t>
      </w:r>
      <w:r w:rsidR="006349CC" w:rsidRPr="006349CC">
        <w:rPr>
          <w:noProof/>
        </w:rPr>
        <w:t> </w:t>
      </w:r>
      <w:r w:rsidRPr="006349CC">
        <w:rPr>
          <w:noProof/>
        </w:rPr>
        <w:t>2009</w:t>
      </w:r>
      <w:r w:rsidRPr="006349CC">
        <w:rPr>
          <w:i w:val="0"/>
          <w:noProof/>
          <w:sz w:val="18"/>
        </w:rPr>
        <w:tab/>
      </w:r>
      <w:r w:rsidRPr="006349CC">
        <w:rPr>
          <w:i w:val="0"/>
          <w:noProof/>
          <w:sz w:val="18"/>
        </w:rPr>
        <w:fldChar w:fldCharType="begin"/>
      </w:r>
      <w:r w:rsidRPr="006349CC">
        <w:rPr>
          <w:i w:val="0"/>
          <w:noProof/>
          <w:sz w:val="18"/>
        </w:rPr>
        <w:instrText xml:space="preserve"> PAGEREF _Toc482173776 \h </w:instrText>
      </w:r>
      <w:r w:rsidRPr="006349CC">
        <w:rPr>
          <w:i w:val="0"/>
          <w:noProof/>
          <w:sz w:val="18"/>
        </w:rPr>
      </w:r>
      <w:r w:rsidRPr="006349CC">
        <w:rPr>
          <w:i w:val="0"/>
          <w:noProof/>
          <w:sz w:val="18"/>
        </w:rPr>
        <w:fldChar w:fldCharType="separate"/>
      </w:r>
      <w:r w:rsidR="009A6ACE">
        <w:rPr>
          <w:i w:val="0"/>
          <w:noProof/>
          <w:sz w:val="18"/>
        </w:rPr>
        <w:t>2</w:t>
      </w:r>
      <w:r w:rsidRPr="006349CC">
        <w:rPr>
          <w:i w:val="0"/>
          <w:noProof/>
          <w:sz w:val="18"/>
        </w:rPr>
        <w:fldChar w:fldCharType="end"/>
      </w:r>
    </w:p>
    <w:p w:rsidR="00805148" w:rsidRPr="006349CC" w:rsidRDefault="0080514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349CC">
        <w:rPr>
          <w:noProof/>
        </w:rPr>
        <w:t>Work Health and Safety Regulations</w:t>
      </w:r>
      <w:r w:rsidR="006349CC" w:rsidRPr="006349CC">
        <w:rPr>
          <w:noProof/>
        </w:rPr>
        <w:t> </w:t>
      </w:r>
      <w:r w:rsidRPr="006349CC">
        <w:rPr>
          <w:noProof/>
        </w:rPr>
        <w:t>2011</w:t>
      </w:r>
      <w:r w:rsidRPr="006349CC">
        <w:rPr>
          <w:i w:val="0"/>
          <w:noProof/>
          <w:sz w:val="18"/>
        </w:rPr>
        <w:tab/>
      </w:r>
      <w:r w:rsidRPr="006349CC">
        <w:rPr>
          <w:i w:val="0"/>
          <w:noProof/>
          <w:sz w:val="18"/>
        </w:rPr>
        <w:fldChar w:fldCharType="begin"/>
      </w:r>
      <w:r w:rsidRPr="006349CC">
        <w:rPr>
          <w:i w:val="0"/>
          <w:noProof/>
          <w:sz w:val="18"/>
        </w:rPr>
        <w:instrText xml:space="preserve"> PAGEREF _Toc482173778 \h </w:instrText>
      </w:r>
      <w:r w:rsidRPr="006349CC">
        <w:rPr>
          <w:i w:val="0"/>
          <w:noProof/>
          <w:sz w:val="18"/>
        </w:rPr>
      </w:r>
      <w:r w:rsidRPr="006349CC">
        <w:rPr>
          <w:i w:val="0"/>
          <w:noProof/>
          <w:sz w:val="18"/>
        </w:rPr>
        <w:fldChar w:fldCharType="separate"/>
      </w:r>
      <w:r w:rsidR="009A6ACE">
        <w:rPr>
          <w:i w:val="0"/>
          <w:noProof/>
          <w:sz w:val="18"/>
        </w:rPr>
        <w:t>2</w:t>
      </w:r>
      <w:r w:rsidRPr="006349CC">
        <w:rPr>
          <w:i w:val="0"/>
          <w:noProof/>
          <w:sz w:val="18"/>
        </w:rPr>
        <w:fldChar w:fldCharType="end"/>
      </w:r>
    </w:p>
    <w:p w:rsidR="00833416" w:rsidRPr="006349CC" w:rsidRDefault="00805148" w:rsidP="0048364F">
      <w:r w:rsidRPr="006349CC">
        <w:fldChar w:fldCharType="end"/>
      </w:r>
    </w:p>
    <w:p w:rsidR="00722023" w:rsidRPr="006349CC" w:rsidRDefault="00722023" w:rsidP="0048364F">
      <w:pPr>
        <w:sectPr w:rsidR="00722023" w:rsidRPr="006349CC" w:rsidSect="0094779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6349CC" w:rsidRDefault="0048364F" w:rsidP="0048364F">
      <w:pPr>
        <w:pStyle w:val="ActHead5"/>
      </w:pPr>
      <w:bookmarkStart w:id="2" w:name="_Toc482173771"/>
      <w:r w:rsidRPr="006349CC">
        <w:rPr>
          <w:rStyle w:val="CharSectno"/>
        </w:rPr>
        <w:lastRenderedPageBreak/>
        <w:t>1</w:t>
      </w:r>
      <w:r w:rsidRPr="006349CC">
        <w:t xml:space="preserve">  </w:t>
      </w:r>
      <w:r w:rsidR="004F676E" w:rsidRPr="006349CC">
        <w:t>Name</w:t>
      </w:r>
      <w:bookmarkEnd w:id="2"/>
    </w:p>
    <w:p w:rsidR="0048364F" w:rsidRPr="006349CC" w:rsidRDefault="0048364F" w:rsidP="0048364F">
      <w:pPr>
        <w:pStyle w:val="subsection"/>
      </w:pPr>
      <w:r w:rsidRPr="006349CC">
        <w:tab/>
      </w:r>
      <w:r w:rsidRPr="006349CC">
        <w:tab/>
        <w:t>Th</w:t>
      </w:r>
      <w:r w:rsidR="00F24C35" w:rsidRPr="006349CC">
        <w:t>is</w:t>
      </w:r>
      <w:r w:rsidR="00D13A70" w:rsidRPr="006349CC">
        <w:t xml:space="preserve"> instrument</w:t>
      </w:r>
      <w:r w:rsidRPr="006349CC">
        <w:t xml:space="preserve"> </w:t>
      </w:r>
      <w:r w:rsidR="00F24C35" w:rsidRPr="006349CC">
        <w:t>is</w:t>
      </w:r>
      <w:r w:rsidR="003801D0" w:rsidRPr="006349CC">
        <w:t xml:space="preserve"> the</w:t>
      </w:r>
      <w:r w:rsidRPr="006349CC">
        <w:t xml:space="preserve"> </w:t>
      </w:r>
      <w:bookmarkStart w:id="3" w:name="BKCheck15B_3"/>
      <w:bookmarkEnd w:id="3"/>
      <w:r w:rsidR="00CB0180" w:rsidRPr="006349CC">
        <w:rPr>
          <w:i/>
        </w:rPr>
        <w:fldChar w:fldCharType="begin"/>
      </w:r>
      <w:r w:rsidR="00CB0180" w:rsidRPr="006349CC">
        <w:rPr>
          <w:i/>
        </w:rPr>
        <w:instrText xml:space="preserve"> STYLEREF  ShortT </w:instrText>
      </w:r>
      <w:r w:rsidR="00CB0180" w:rsidRPr="006349CC">
        <w:rPr>
          <w:i/>
        </w:rPr>
        <w:fldChar w:fldCharType="separate"/>
      </w:r>
      <w:r w:rsidR="009A6ACE">
        <w:rPr>
          <w:i/>
          <w:noProof/>
        </w:rPr>
        <w:t>Fair Work and Other Legislation Amendment (South Australian Employment Court) Regulations 2017</w:t>
      </w:r>
      <w:r w:rsidR="00CB0180" w:rsidRPr="006349CC">
        <w:rPr>
          <w:i/>
        </w:rPr>
        <w:fldChar w:fldCharType="end"/>
      </w:r>
      <w:r w:rsidRPr="006349CC">
        <w:t>.</w:t>
      </w:r>
    </w:p>
    <w:p w:rsidR="0048364F" w:rsidRPr="006349CC" w:rsidRDefault="0048364F" w:rsidP="0048364F">
      <w:pPr>
        <w:pStyle w:val="ActHead5"/>
      </w:pPr>
      <w:bookmarkStart w:id="4" w:name="_Toc482173772"/>
      <w:r w:rsidRPr="006349CC">
        <w:rPr>
          <w:rStyle w:val="CharSectno"/>
        </w:rPr>
        <w:t>2</w:t>
      </w:r>
      <w:r w:rsidRPr="006349CC">
        <w:t xml:space="preserve">  Commencement</w:t>
      </w:r>
      <w:bookmarkEnd w:id="4"/>
    </w:p>
    <w:p w:rsidR="00B730E0" w:rsidRPr="006349CC" w:rsidRDefault="00B730E0" w:rsidP="00A664CA">
      <w:pPr>
        <w:pStyle w:val="subsection"/>
      </w:pPr>
      <w:r w:rsidRPr="006349CC">
        <w:tab/>
        <w:t>(1)</w:t>
      </w:r>
      <w:r w:rsidRPr="006349CC">
        <w:tab/>
        <w:t>Each provision of this instrument specified in column 1 of the table commences, or is taken to have commenced, in accordance with column 2 of the table. Any other statement in column 2 ha</w:t>
      </w:r>
      <w:bookmarkStart w:id="5" w:name="_GoBack"/>
      <w:bookmarkEnd w:id="5"/>
      <w:r w:rsidRPr="006349CC">
        <w:t>s effect according to its terms.</w:t>
      </w:r>
    </w:p>
    <w:p w:rsidR="00B730E0" w:rsidRPr="006349CC" w:rsidRDefault="00B730E0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B730E0" w:rsidRPr="006349CC" w:rsidTr="00B730E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730E0" w:rsidRPr="006349CC" w:rsidRDefault="00B730E0" w:rsidP="00A664CA">
            <w:pPr>
              <w:pStyle w:val="TableHeading"/>
            </w:pPr>
            <w:r w:rsidRPr="006349CC">
              <w:t>Commencement information</w:t>
            </w:r>
          </w:p>
        </w:tc>
      </w:tr>
      <w:tr w:rsidR="00B730E0" w:rsidRPr="006349CC" w:rsidTr="00B730E0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730E0" w:rsidRPr="006349CC" w:rsidRDefault="00B730E0" w:rsidP="00A664CA">
            <w:pPr>
              <w:pStyle w:val="TableHeading"/>
            </w:pPr>
            <w:r w:rsidRPr="006349CC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730E0" w:rsidRPr="006349CC" w:rsidRDefault="00B730E0" w:rsidP="00A664CA">
            <w:pPr>
              <w:pStyle w:val="TableHeading"/>
            </w:pPr>
            <w:r w:rsidRPr="006349CC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730E0" w:rsidRPr="006349CC" w:rsidRDefault="00B730E0" w:rsidP="00A664CA">
            <w:pPr>
              <w:pStyle w:val="TableHeading"/>
            </w:pPr>
            <w:r w:rsidRPr="006349CC">
              <w:t>Column 3</w:t>
            </w:r>
          </w:p>
        </w:tc>
      </w:tr>
      <w:tr w:rsidR="00B730E0" w:rsidRPr="006349CC" w:rsidTr="00B730E0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730E0" w:rsidRPr="006349CC" w:rsidRDefault="00B730E0" w:rsidP="00A664CA">
            <w:pPr>
              <w:pStyle w:val="TableHeading"/>
            </w:pPr>
            <w:r w:rsidRPr="006349CC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730E0" w:rsidRPr="006349CC" w:rsidRDefault="00B730E0" w:rsidP="00A664CA">
            <w:pPr>
              <w:pStyle w:val="TableHeading"/>
            </w:pPr>
            <w:r w:rsidRPr="006349CC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730E0" w:rsidRPr="006349CC" w:rsidRDefault="00B730E0" w:rsidP="00A664CA">
            <w:pPr>
              <w:pStyle w:val="TableHeading"/>
            </w:pPr>
            <w:r w:rsidRPr="006349CC">
              <w:t>Date/Details</w:t>
            </w:r>
          </w:p>
        </w:tc>
      </w:tr>
      <w:tr w:rsidR="00B730E0" w:rsidRPr="006349CC" w:rsidTr="00B730E0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730E0" w:rsidRPr="006349CC" w:rsidRDefault="00B730E0" w:rsidP="00A664CA">
            <w:pPr>
              <w:pStyle w:val="Tabletext"/>
            </w:pPr>
            <w:r w:rsidRPr="006349CC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1696" w:rsidRPr="006349CC" w:rsidRDefault="00731696" w:rsidP="00AD4286">
            <w:pPr>
              <w:pStyle w:val="Tabletext"/>
            </w:pPr>
            <w:r w:rsidRPr="006349CC">
              <w:t>The later of:</w:t>
            </w:r>
          </w:p>
          <w:p w:rsidR="00731696" w:rsidRPr="006349CC" w:rsidRDefault="00731696" w:rsidP="00731696">
            <w:pPr>
              <w:pStyle w:val="Tablea"/>
            </w:pPr>
            <w:r w:rsidRPr="006349CC">
              <w:t>(a) the day after this instrument is registered; and</w:t>
            </w:r>
          </w:p>
          <w:p w:rsidR="006705F9" w:rsidRPr="006349CC" w:rsidRDefault="00731696" w:rsidP="00070E7A">
            <w:pPr>
              <w:pStyle w:val="Tablea"/>
            </w:pPr>
            <w:r w:rsidRPr="006349CC">
              <w:t xml:space="preserve">(b) the day </w:t>
            </w:r>
            <w:r w:rsidR="00070E7A" w:rsidRPr="006349CC">
              <w:t>section</w:t>
            </w:r>
            <w:r w:rsidR="006349CC" w:rsidRPr="006349CC">
              <w:t> </w:t>
            </w:r>
            <w:r w:rsidR="00070E7A" w:rsidRPr="006349CC">
              <w:t>5</w:t>
            </w:r>
            <w:r w:rsidR="006705F9" w:rsidRPr="006349CC">
              <w:t xml:space="preserve"> of </w:t>
            </w:r>
            <w:r w:rsidR="00F93643" w:rsidRPr="006349CC">
              <w:t xml:space="preserve">the </w:t>
            </w:r>
            <w:r w:rsidR="00E14C0B" w:rsidRPr="006349CC">
              <w:rPr>
                <w:i/>
                <w:iCs/>
              </w:rPr>
              <w:t xml:space="preserve">Statutes Amendment (South Australian Employment Tribunal) Act 2016 </w:t>
            </w:r>
            <w:r w:rsidR="00102BC8" w:rsidRPr="006349CC">
              <w:rPr>
                <w:iCs/>
              </w:rPr>
              <w:t xml:space="preserve">(SA) </w:t>
            </w:r>
            <w:r w:rsidR="00E14C0B" w:rsidRPr="006349CC">
              <w:rPr>
                <w:iCs/>
              </w:rPr>
              <w:t>comes into operation</w:t>
            </w:r>
            <w:r w:rsidR="00F93643" w:rsidRPr="006349CC">
              <w:t>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730E0" w:rsidRPr="006349CC" w:rsidRDefault="00991963" w:rsidP="00A664CA">
            <w:pPr>
              <w:pStyle w:val="Tabletext"/>
            </w:pPr>
            <w:r>
              <w:t>1 July 2017 (paragraph (b) applies)</w:t>
            </w:r>
          </w:p>
        </w:tc>
      </w:tr>
    </w:tbl>
    <w:p w:rsidR="00B730E0" w:rsidRPr="006349CC" w:rsidRDefault="00B730E0" w:rsidP="00A664CA">
      <w:pPr>
        <w:pStyle w:val="notetext"/>
      </w:pPr>
      <w:r w:rsidRPr="006349CC">
        <w:rPr>
          <w:snapToGrid w:val="0"/>
          <w:lang w:eastAsia="en-US"/>
        </w:rPr>
        <w:t>Note:</w:t>
      </w:r>
      <w:r w:rsidRPr="006349CC">
        <w:rPr>
          <w:snapToGrid w:val="0"/>
          <w:lang w:eastAsia="en-US"/>
        </w:rPr>
        <w:tab/>
        <w:t xml:space="preserve">This table relates only to the provisions of this </w:t>
      </w:r>
      <w:r w:rsidRPr="006349CC">
        <w:t xml:space="preserve">instrument </w:t>
      </w:r>
      <w:r w:rsidRPr="006349CC">
        <w:rPr>
          <w:snapToGrid w:val="0"/>
          <w:lang w:eastAsia="en-US"/>
        </w:rPr>
        <w:t xml:space="preserve">as originally made. It will not be amended to deal with any later amendments of this </w:t>
      </w:r>
      <w:r w:rsidRPr="006349CC">
        <w:t>instrument</w:t>
      </w:r>
      <w:r w:rsidRPr="006349CC">
        <w:rPr>
          <w:snapToGrid w:val="0"/>
          <w:lang w:eastAsia="en-US"/>
        </w:rPr>
        <w:t>.</w:t>
      </w:r>
    </w:p>
    <w:p w:rsidR="00B730E0" w:rsidRPr="006349CC" w:rsidRDefault="00B730E0" w:rsidP="00F93643">
      <w:pPr>
        <w:pStyle w:val="subsection"/>
      </w:pPr>
      <w:r w:rsidRPr="006349CC">
        <w:tab/>
        <w:t>(2)</w:t>
      </w:r>
      <w:r w:rsidRPr="006349CC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6349CC" w:rsidRDefault="007769D4" w:rsidP="007769D4">
      <w:pPr>
        <w:pStyle w:val="ActHead5"/>
      </w:pPr>
      <w:bookmarkStart w:id="6" w:name="_Toc482173773"/>
      <w:r w:rsidRPr="006349CC">
        <w:rPr>
          <w:rStyle w:val="CharSectno"/>
        </w:rPr>
        <w:t>3</w:t>
      </w:r>
      <w:r w:rsidRPr="006349CC">
        <w:t xml:space="preserve">  Authority</w:t>
      </w:r>
      <w:bookmarkEnd w:id="6"/>
    </w:p>
    <w:p w:rsidR="006E234D" w:rsidRPr="006349CC" w:rsidRDefault="007769D4" w:rsidP="007769D4">
      <w:pPr>
        <w:pStyle w:val="subsection"/>
      </w:pPr>
      <w:r w:rsidRPr="006349CC">
        <w:tab/>
      </w:r>
      <w:r w:rsidRPr="006349CC">
        <w:tab/>
      </w:r>
      <w:r w:rsidR="00AF0336" w:rsidRPr="006349CC">
        <w:t xml:space="preserve">This </w:t>
      </w:r>
      <w:r w:rsidR="00B730E0" w:rsidRPr="006349CC">
        <w:t>instrument</w:t>
      </w:r>
      <w:r w:rsidR="00AF0336" w:rsidRPr="006349CC">
        <w:t xml:space="preserve"> is made under</w:t>
      </w:r>
      <w:r w:rsidR="006E234D" w:rsidRPr="006349CC">
        <w:t>:</w:t>
      </w:r>
    </w:p>
    <w:p w:rsidR="007769D4" w:rsidRPr="006349CC" w:rsidRDefault="006E234D" w:rsidP="006E234D">
      <w:pPr>
        <w:pStyle w:val="paragraph"/>
      </w:pPr>
      <w:r w:rsidRPr="006349CC">
        <w:tab/>
        <w:t>(a)</w:t>
      </w:r>
      <w:r w:rsidRPr="006349CC">
        <w:tab/>
      </w:r>
      <w:r w:rsidR="00AF0336" w:rsidRPr="006349CC">
        <w:t xml:space="preserve">the </w:t>
      </w:r>
      <w:r w:rsidR="00B730E0" w:rsidRPr="006349CC">
        <w:rPr>
          <w:i/>
        </w:rPr>
        <w:t>Fair Work Act 2009</w:t>
      </w:r>
      <w:r w:rsidRPr="006349CC">
        <w:t>; and</w:t>
      </w:r>
    </w:p>
    <w:p w:rsidR="006E234D" w:rsidRPr="006349CC" w:rsidRDefault="006E234D" w:rsidP="006E234D">
      <w:pPr>
        <w:pStyle w:val="paragraph"/>
      </w:pPr>
      <w:r w:rsidRPr="006349CC">
        <w:tab/>
        <w:t>(b)</w:t>
      </w:r>
      <w:r w:rsidRPr="006349CC">
        <w:tab/>
        <w:t xml:space="preserve">the </w:t>
      </w:r>
      <w:r w:rsidRPr="006349CC">
        <w:rPr>
          <w:i/>
        </w:rPr>
        <w:t>Work Health and Safety Act 2011</w:t>
      </w:r>
      <w:r w:rsidRPr="006349CC">
        <w:t>.</w:t>
      </w:r>
    </w:p>
    <w:p w:rsidR="00557C7A" w:rsidRPr="006349CC" w:rsidRDefault="007769D4" w:rsidP="00557C7A">
      <w:pPr>
        <w:pStyle w:val="ActHead5"/>
      </w:pPr>
      <w:bookmarkStart w:id="7" w:name="_Toc482173774"/>
      <w:r w:rsidRPr="006349CC">
        <w:rPr>
          <w:rStyle w:val="CharSectno"/>
        </w:rPr>
        <w:t>4</w:t>
      </w:r>
      <w:r w:rsidR="00557C7A" w:rsidRPr="006349CC">
        <w:t xml:space="preserve">  </w:t>
      </w:r>
      <w:r w:rsidR="00B332B8" w:rsidRPr="006349CC">
        <w:t>Schedules</w:t>
      </w:r>
      <w:bookmarkEnd w:id="7"/>
    </w:p>
    <w:p w:rsidR="000F6B02" w:rsidRPr="006349CC" w:rsidRDefault="00557C7A" w:rsidP="000F6B02">
      <w:pPr>
        <w:pStyle w:val="subsection"/>
      </w:pPr>
      <w:r w:rsidRPr="006349CC">
        <w:tab/>
      </w:r>
      <w:r w:rsidRPr="006349CC">
        <w:tab/>
      </w:r>
      <w:r w:rsidR="000F6B02" w:rsidRPr="006349CC">
        <w:t xml:space="preserve">Each instrument that is specified in a Schedule to </w:t>
      </w:r>
      <w:r w:rsidR="00B730E0" w:rsidRPr="006349CC">
        <w:t>this instrument</w:t>
      </w:r>
      <w:r w:rsidR="000F6B02" w:rsidRPr="006349CC">
        <w:t xml:space="preserve"> is amended or repealed as set out in the applicable items in the Schedule concerned, and any other item in a Schedule to </w:t>
      </w:r>
      <w:r w:rsidR="00B730E0" w:rsidRPr="006349CC">
        <w:t>this instrument</w:t>
      </w:r>
      <w:r w:rsidR="000F6B02" w:rsidRPr="006349CC">
        <w:t xml:space="preserve"> has effect according to its terms.</w:t>
      </w:r>
    </w:p>
    <w:p w:rsidR="0048364F" w:rsidRPr="006349CC" w:rsidRDefault="0048364F" w:rsidP="00FF3089">
      <w:pPr>
        <w:pStyle w:val="ActHead6"/>
        <w:pageBreakBefore/>
      </w:pPr>
      <w:bookmarkStart w:id="8" w:name="_Toc482173775"/>
      <w:bookmarkStart w:id="9" w:name="opcAmSched"/>
      <w:bookmarkStart w:id="10" w:name="opcCurrentFind"/>
      <w:r w:rsidRPr="006349CC">
        <w:rPr>
          <w:rStyle w:val="CharAmSchNo"/>
        </w:rPr>
        <w:t>Schedule</w:t>
      </w:r>
      <w:r w:rsidR="006349CC" w:rsidRPr="006349CC">
        <w:rPr>
          <w:rStyle w:val="CharAmSchNo"/>
        </w:rPr>
        <w:t> </w:t>
      </w:r>
      <w:r w:rsidRPr="006349CC">
        <w:rPr>
          <w:rStyle w:val="CharAmSchNo"/>
        </w:rPr>
        <w:t>1</w:t>
      </w:r>
      <w:r w:rsidRPr="006349CC">
        <w:t>—</w:t>
      </w:r>
      <w:r w:rsidR="00460499" w:rsidRPr="006349CC">
        <w:rPr>
          <w:rStyle w:val="CharAmSchText"/>
        </w:rPr>
        <w:t>Amendments</w:t>
      </w:r>
      <w:bookmarkEnd w:id="8"/>
    </w:p>
    <w:bookmarkEnd w:id="9"/>
    <w:bookmarkEnd w:id="10"/>
    <w:p w:rsidR="0004044E" w:rsidRPr="006349CC" w:rsidRDefault="0004044E" w:rsidP="0004044E">
      <w:pPr>
        <w:pStyle w:val="Header"/>
      </w:pPr>
      <w:r w:rsidRPr="006349CC">
        <w:rPr>
          <w:rStyle w:val="CharAmPartNo"/>
        </w:rPr>
        <w:t xml:space="preserve"> </w:t>
      </w:r>
      <w:r w:rsidRPr="006349CC">
        <w:rPr>
          <w:rStyle w:val="CharAmPartText"/>
        </w:rPr>
        <w:t xml:space="preserve"> </w:t>
      </w:r>
    </w:p>
    <w:p w:rsidR="006E234D" w:rsidRPr="006349CC" w:rsidRDefault="006E234D" w:rsidP="006E234D">
      <w:pPr>
        <w:pStyle w:val="ActHead9"/>
      </w:pPr>
      <w:bookmarkStart w:id="11" w:name="_Toc482173776"/>
      <w:r w:rsidRPr="006349CC">
        <w:t>Fair Work Regulations</w:t>
      </w:r>
      <w:r w:rsidR="006349CC" w:rsidRPr="006349CC">
        <w:t> </w:t>
      </w:r>
      <w:r w:rsidRPr="006349CC">
        <w:t>2009</w:t>
      </w:r>
      <w:bookmarkEnd w:id="11"/>
    </w:p>
    <w:p w:rsidR="0055796F" w:rsidRPr="006349CC" w:rsidRDefault="0055796F" w:rsidP="00CD4634">
      <w:pPr>
        <w:pStyle w:val="ItemHead"/>
      </w:pPr>
      <w:r w:rsidRPr="006349CC">
        <w:t xml:space="preserve">1  </w:t>
      </w:r>
      <w:r w:rsidR="00CD4634" w:rsidRPr="006349CC">
        <w:t xml:space="preserve">After </w:t>
      </w:r>
      <w:r w:rsidR="00B47E21" w:rsidRPr="006349CC">
        <w:t>regulation</w:t>
      </w:r>
      <w:r w:rsidR="006349CC" w:rsidRPr="006349CC">
        <w:t> </w:t>
      </w:r>
      <w:r w:rsidR="00CD4634" w:rsidRPr="006349CC">
        <w:t>1.04</w:t>
      </w:r>
    </w:p>
    <w:p w:rsidR="00CD4634" w:rsidRPr="006349CC" w:rsidRDefault="00CD4634" w:rsidP="00CD4634">
      <w:pPr>
        <w:pStyle w:val="Item"/>
      </w:pPr>
      <w:r w:rsidRPr="006349CC">
        <w:t>Insert:</w:t>
      </w:r>
    </w:p>
    <w:p w:rsidR="00CD4634" w:rsidRPr="006349CC" w:rsidRDefault="00CD4634" w:rsidP="00CD4634">
      <w:pPr>
        <w:pStyle w:val="ActHead5"/>
      </w:pPr>
      <w:bookmarkStart w:id="12" w:name="_Toc482173777"/>
      <w:r w:rsidRPr="006349CC">
        <w:rPr>
          <w:rStyle w:val="CharSectno"/>
        </w:rPr>
        <w:t>1.05</w:t>
      </w:r>
      <w:r w:rsidRPr="006349CC">
        <w:t xml:space="preserve">  Meaning of eligible State or Territory court</w:t>
      </w:r>
      <w:bookmarkEnd w:id="12"/>
    </w:p>
    <w:p w:rsidR="00CD4634" w:rsidRPr="006349CC" w:rsidRDefault="00CD4634" w:rsidP="00CD4634">
      <w:pPr>
        <w:pStyle w:val="subsection"/>
      </w:pPr>
      <w:r w:rsidRPr="006349CC">
        <w:tab/>
      </w:r>
      <w:r w:rsidRPr="006349CC">
        <w:tab/>
        <w:t xml:space="preserve">For the purposes of </w:t>
      </w:r>
      <w:r w:rsidR="006349CC" w:rsidRPr="006349CC">
        <w:t>paragraph (</w:t>
      </w:r>
      <w:r w:rsidRPr="006349CC">
        <w:t xml:space="preserve">d) of the definition of </w:t>
      </w:r>
      <w:r w:rsidRPr="006349CC">
        <w:rPr>
          <w:b/>
          <w:i/>
        </w:rPr>
        <w:t xml:space="preserve">eligible State or Territory court </w:t>
      </w:r>
      <w:r w:rsidRPr="006349CC">
        <w:t>in section</w:t>
      </w:r>
      <w:r w:rsidR="006349CC" w:rsidRPr="006349CC">
        <w:t> </w:t>
      </w:r>
      <w:r w:rsidRPr="006349CC">
        <w:t>12 of the Act, the South Australian Employment Court is prescribed.</w:t>
      </w:r>
    </w:p>
    <w:p w:rsidR="006D3667" w:rsidRPr="006349CC" w:rsidRDefault="0055796F" w:rsidP="007E389A">
      <w:pPr>
        <w:pStyle w:val="ItemHead"/>
      </w:pPr>
      <w:r w:rsidRPr="006349CC">
        <w:t>2</w:t>
      </w:r>
      <w:r w:rsidR="00BB6E79" w:rsidRPr="006349CC">
        <w:t xml:space="preserve">  </w:t>
      </w:r>
      <w:r w:rsidR="007E389A" w:rsidRPr="006349CC">
        <w:t>Paragraph 1.06(d)</w:t>
      </w:r>
    </w:p>
    <w:p w:rsidR="007E389A" w:rsidRPr="006349CC" w:rsidRDefault="007E389A" w:rsidP="007E389A">
      <w:pPr>
        <w:pStyle w:val="Item"/>
      </w:pPr>
      <w:r w:rsidRPr="006349CC">
        <w:t>Repeal the paragraph, substitute:</w:t>
      </w:r>
    </w:p>
    <w:p w:rsidR="007E389A" w:rsidRPr="006349CC" w:rsidRDefault="007E389A" w:rsidP="007E389A">
      <w:pPr>
        <w:pStyle w:val="paragraph"/>
      </w:pPr>
      <w:r w:rsidRPr="006349CC">
        <w:tab/>
        <w:t>(d)</w:t>
      </w:r>
      <w:r w:rsidRPr="006349CC">
        <w:tab/>
        <w:t>the South Australian Employment Tribunal;</w:t>
      </w:r>
    </w:p>
    <w:p w:rsidR="001B677B" w:rsidRPr="006349CC" w:rsidRDefault="001B677B" w:rsidP="001B677B">
      <w:pPr>
        <w:pStyle w:val="ActHead9"/>
      </w:pPr>
      <w:bookmarkStart w:id="13" w:name="_Toc482173778"/>
      <w:r w:rsidRPr="006349CC">
        <w:t>Work Health and Safety Regulations</w:t>
      </w:r>
      <w:r w:rsidR="006349CC" w:rsidRPr="006349CC">
        <w:t> </w:t>
      </w:r>
      <w:r w:rsidRPr="006349CC">
        <w:t>2011</w:t>
      </w:r>
      <w:bookmarkEnd w:id="13"/>
    </w:p>
    <w:p w:rsidR="00B47E21" w:rsidRPr="006349CC" w:rsidRDefault="00B47E21" w:rsidP="00B47E21">
      <w:pPr>
        <w:pStyle w:val="ItemHead"/>
      </w:pPr>
      <w:r w:rsidRPr="006349CC">
        <w:t>3  Regulation</w:t>
      </w:r>
      <w:r w:rsidR="006349CC" w:rsidRPr="006349CC">
        <w:t> </w:t>
      </w:r>
      <w:r w:rsidRPr="006349CC">
        <w:t>6B (table item</w:t>
      </w:r>
      <w:r w:rsidR="006349CC" w:rsidRPr="006349CC">
        <w:t> </w:t>
      </w:r>
      <w:r w:rsidRPr="006349CC">
        <w:t>4)</w:t>
      </w:r>
    </w:p>
    <w:p w:rsidR="00B47E21" w:rsidRPr="006349CC" w:rsidRDefault="00B47E21" w:rsidP="00B47E21">
      <w:pPr>
        <w:pStyle w:val="Item"/>
      </w:pPr>
      <w:r w:rsidRPr="006349CC">
        <w:t>Omit “The Industrial Relations Court of South Australia”, substitute “The South Australian Employment Court”.</w:t>
      </w:r>
    </w:p>
    <w:sectPr w:rsidR="00B47E21" w:rsidRPr="006349CC" w:rsidSect="0094779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0E0" w:rsidRDefault="00B730E0" w:rsidP="0048364F">
      <w:pPr>
        <w:spacing w:line="240" w:lineRule="auto"/>
      </w:pPr>
      <w:r>
        <w:separator/>
      </w:r>
    </w:p>
  </w:endnote>
  <w:endnote w:type="continuationSeparator" w:id="0">
    <w:p w:rsidR="00B730E0" w:rsidRDefault="00B730E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47790" w:rsidRDefault="00947790" w:rsidP="0094779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47790">
      <w:rPr>
        <w:i/>
        <w:sz w:val="18"/>
      </w:rPr>
      <w:t>OPC62493 -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90" w:rsidRPr="00947790" w:rsidRDefault="00947790" w:rsidP="00947790">
    <w:pPr>
      <w:pStyle w:val="Footer"/>
      <w:rPr>
        <w:i/>
        <w:sz w:val="18"/>
      </w:rPr>
    </w:pPr>
    <w:r w:rsidRPr="00947790">
      <w:rPr>
        <w:i/>
        <w:sz w:val="18"/>
      </w:rPr>
      <w:t>OPC62493 -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Default="007A7F9F" w:rsidP="00486382">
    <w:pPr>
      <w:pStyle w:val="Footer"/>
    </w:pPr>
  </w:p>
  <w:p w:rsidR="00486382" w:rsidRPr="00947790" w:rsidRDefault="00947790" w:rsidP="00947790">
    <w:pPr>
      <w:pStyle w:val="Footer"/>
      <w:rPr>
        <w:i/>
        <w:sz w:val="18"/>
      </w:rPr>
    </w:pPr>
    <w:r w:rsidRPr="00947790">
      <w:rPr>
        <w:i/>
        <w:sz w:val="18"/>
      </w:rPr>
      <w:t>OPC62493 -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Tr="00B730E0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737C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6ACE">
            <w:rPr>
              <w:i/>
              <w:sz w:val="18"/>
            </w:rPr>
            <w:t>Fair Work and Other Legislation Amendment (South Australian Employment Court)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D3667" w:rsidRPr="00947790" w:rsidRDefault="00947790" w:rsidP="00947790">
    <w:pPr>
      <w:rPr>
        <w:rFonts w:cs="Times New Roman"/>
        <w:i/>
        <w:sz w:val="18"/>
      </w:rPr>
    </w:pPr>
    <w:r w:rsidRPr="00947790">
      <w:rPr>
        <w:rFonts w:cs="Times New Roman"/>
        <w:i/>
        <w:sz w:val="18"/>
      </w:rPr>
      <w:t>OPC62493 -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B730E0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6ACE">
            <w:rPr>
              <w:i/>
              <w:sz w:val="18"/>
            </w:rPr>
            <w:t>Fair Work and Other Legislation Amendment (South Australian Employment Court)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196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947790" w:rsidRDefault="00947790" w:rsidP="00947790">
    <w:pPr>
      <w:rPr>
        <w:rFonts w:cs="Times New Roman"/>
        <w:i/>
        <w:sz w:val="18"/>
      </w:rPr>
    </w:pPr>
    <w:r w:rsidRPr="00947790">
      <w:rPr>
        <w:rFonts w:cs="Times New Roman"/>
        <w:i/>
        <w:sz w:val="18"/>
      </w:rPr>
      <w:t>OPC62493 -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33C1C" w:rsidRDefault="00304E7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Tr="00B730E0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196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6ACE">
            <w:rPr>
              <w:i/>
              <w:sz w:val="18"/>
            </w:rPr>
            <w:t>Fair Work and Other Legislation Amendment (South Australian Employment Court)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304E75" w:rsidRPr="00947790" w:rsidRDefault="00947790" w:rsidP="00947790">
    <w:pPr>
      <w:rPr>
        <w:rFonts w:cs="Times New Roman"/>
        <w:i/>
        <w:sz w:val="18"/>
      </w:rPr>
    </w:pPr>
    <w:r w:rsidRPr="00947790">
      <w:rPr>
        <w:rFonts w:cs="Times New Roman"/>
        <w:i/>
        <w:sz w:val="18"/>
      </w:rPr>
      <w:t>OPC62493 -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B730E0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6ACE">
            <w:rPr>
              <w:i/>
              <w:sz w:val="18"/>
            </w:rPr>
            <w:t>Fair Work and Other Legislation Amendment (South Australian Employment Court)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196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947790" w:rsidRDefault="00947790" w:rsidP="00947790">
    <w:pPr>
      <w:rPr>
        <w:rFonts w:cs="Times New Roman"/>
        <w:i/>
        <w:sz w:val="18"/>
      </w:rPr>
    </w:pPr>
    <w:r w:rsidRPr="00947790">
      <w:rPr>
        <w:rFonts w:cs="Times New Roman"/>
        <w:i/>
        <w:sz w:val="18"/>
      </w:rPr>
      <w:t>OPC62493 -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B730E0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6ACE">
            <w:rPr>
              <w:i/>
              <w:sz w:val="18"/>
            </w:rPr>
            <w:t>Fair Work and Other Legislation Amendment (South Australian Employment Court)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737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947790" w:rsidRDefault="00947790" w:rsidP="00947790">
    <w:pPr>
      <w:rPr>
        <w:rFonts w:cs="Times New Roman"/>
        <w:i/>
        <w:sz w:val="18"/>
      </w:rPr>
    </w:pPr>
    <w:r w:rsidRPr="00947790">
      <w:rPr>
        <w:rFonts w:cs="Times New Roman"/>
        <w:i/>
        <w:sz w:val="18"/>
      </w:rPr>
      <w:t>OPC62493 -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0E0" w:rsidRDefault="00B730E0" w:rsidP="0048364F">
      <w:pPr>
        <w:spacing w:line="240" w:lineRule="auto"/>
      </w:pPr>
      <w:r>
        <w:separator/>
      </w:r>
    </w:p>
  </w:footnote>
  <w:footnote w:type="continuationSeparator" w:id="0">
    <w:p w:rsidR="00B730E0" w:rsidRDefault="00B730E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9196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91963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E0"/>
    <w:rsid w:val="000041C6"/>
    <w:rsid w:val="000063E4"/>
    <w:rsid w:val="00011222"/>
    <w:rsid w:val="000113BC"/>
    <w:rsid w:val="000136AF"/>
    <w:rsid w:val="00025060"/>
    <w:rsid w:val="0004044E"/>
    <w:rsid w:val="000614BF"/>
    <w:rsid w:val="00070E7A"/>
    <w:rsid w:val="000C4E79"/>
    <w:rsid w:val="000D05EF"/>
    <w:rsid w:val="000F21C1"/>
    <w:rsid w:val="000F6B02"/>
    <w:rsid w:val="000F7427"/>
    <w:rsid w:val="00102BC8"/>
    <w:rsid w:val="0010745C"/>
    <w:rsid w:val="00116975"/>
    <w:rsid w:val="001256DB"/>
    <w:rsid w:val="00126F1A"/>
    <w:rsid w:val="00154EAC"/>
    <w:rsid w:val="001643C9"/>
    <w:rsid w:val="00165568"/>
    <w:rsid w:val="00166C2F"/>
    <w:rsid w:val="00167182"/>
    <w:rsid w:val="001716C9"/>
    <w:rsid w:val="00171EAE"/>
    <w:rsid w:val="0018737C"/>
    <w:rsid w:val="00187A5A"/>
    <w:rsid w:val="00191859"/>
    <w:rsid w:val="00193461"/>
    <w:rsid w:val="001939E1"/>
    <w:rsid w:val="00195382"/>
    <w:rsid w:val="001B3097"/>
    <w:rsid w:val="001B677B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52AAF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02DB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09A7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796F"/>
    <w:rsid w:val="00557C7A"/>
    <w:rsid w:val="00560BDE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5E555C"/>
    <w:rsid w:val="00600219"/>
    <w:rsid w:val="00600C2A"/>
    <w:rsid w:val="006100A7"/>
    <w:rsid w:val="006249E6"/>
    <w:rsid w:val="00630733"/>
    <w:rsid w:val="006349CC"/>
    <w:rsid w:val="0064468A"/>
    <w:rsid w:val="00654CCA"/>
    <w:rsid w:val="00656DE9"/>
    <w:rsid w:val="00663BDD"/>
    <w:rsid w:val="006705F9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2D8"/>
    <w:rsid w:val="006C3FFF"/>
    <w:rsid w:val="006C7F8C"/>
    <w:rsid w:val="006D3667"/>
    <w:rsid w:val="006D4E91"/>
    <w:rsid w:val="006E004B"/>
    <w:rsid w:val="006E234D"/>
    <w:rsid w:val="006E7147"/>
    <w:rsid w:val="00700B2C"/>
    <w:rsid w:val="00701E6A"/>
    <w:rsid w:val="00713084"/>
    <w:rsid w:val="00722023"/>
    <w:rsid w:val="00731696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389A"/>
    <w:rsid w:val="007E7D4A"/>
    <w:rsid w:val="00805148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47790"/>
    <w:rsid w:val="0098170E"/>
    <w:rsid w:val="009848EC"/>
    <w:rsid w:val="00991963"/>
    <w:rsid w:val="009A51F7"/>
    <w:rsid w:val="009A6ACE"/>
    <w:rsid w:val="009B3629"/>
    <w:rsid w:val="009C49D8"/>
    <w:rsid w:val="009D7011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4286"/>
    <w:rsid w:val="00AD5641"/>
    <w:rsid w:val="00AE50A2"/>
    <w:rsid w:val="00AF0336"/>
    <w:rsid w:val="00AF6613"/>
    <w:rsid w:val="00B00902"/>
    <w:rsid w:val="00B032D8"/>
    <w:rsid w:val="00B332B8"/>
    <w:rsid w:val="00B33B3C"/>
    <w:rsid w:val="00B35169"/>
    <w:rsid w:val="00B44657"/>
    <w:rsid w:val="00B47E21"/>
    <w:rsid w:val="00B61D2C"/>
    <w:rsid w:val="00B63BDE"/>
    <w:rsid w:val="00B655DE"/>
    <w:rsid w:val="00B730E0"/>
    <w:rsid w:val="00B971B8"/>
    <w:rsid w:val="00BA5026"/>
    <w:rsid w:val="00BB6E79"/>
    <w:rsid w:val="00BC4F91"/>
    <w:rsid w:val="00BD60E6"/>
    <w:rsid w:val="00BE253A"/>
    <w:rsid w:val="00BE719A"/>
    <w:rsid w:val="00BE720A"/>
    <w:rsid w:val="00BF4533"/>
    <w:rsid w:val="00BF6884"/>
    <w:rsid w:val="00C067E5"/>
    <w:rsid w:val="00C07676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4634"/>
    <w:rsid w:val="00CD606E"/>
    <w:rsid w:val="00CD7ECB"/>
    <w:rsid w:val="00CF0BB2"/>
    <w:rsid w:val="00CF4A77"/>
    <w:rsid w:val="00D0104A"/>
    <w:rsid w:val="00D13441"/>
    <w:rsid w:val="00D13A70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76921"/>
    <w:rsid w:val="00D83D21"/>
    <w:rsid w:val="00D84B58"/>
    <w:rsid w:val="00D925D1"/>
    <w:rsid w:val="00D92C0E"/>
    <w:rsid w:val="00DB1F99"/>
    <w:rsid w:val="00DB3A75"/>
    <w:rsid w:val="00E05704"/>
    <w:rsid w:val="00E05C46"/>
    <w:rsid w:val="00E14C0B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2A36"/>
    <w:rsid w:val="00F13E86"/>
    <w:rsid w:val="00F24C35"/>
    <w:rsid w:val="00F56759"/>
    <w:rsid w:val="00F677A9"/>
    <w:rsid w:val="00F84CF5"/>
    <w:rsid w:val="00F93643"/>
    <w:rsid w:val="00FA420B"/>
    <w:rsid w:val="00FB03B3"/>
    <w:rsid w:val="00FB192C"/>
    <w:rsid w:val="00FB4B5E"/>
    <w:rsid w:val="00FD7CFE"/>
    <w:rsid w:val="00FE7D3A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49C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49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9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9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9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9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9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9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9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9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349CC"/>
  </w:style>
  <w:style w:type="paragraph" w:customStyle="1" w:styleId="OPCParaBase">
    <w:name w:val="OPCParaBase"/>
    <w:qFormat/>
    <w:rsid w:val="006349C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349C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349C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349C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349C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349C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349C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349C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349C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349C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349C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349CC"/>
  </w:style>
  <w:style w:type="paragraph" w:customStyle="1" w:styleId="Blocks">
    <w:name w:val="Blocks"/>
    <w:aliases w:val="bb"/>
    <w:basedOn w:val="OPCParaBase"/>
    <w:qFormat/>
    <w:rsid w:val="006349C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349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349C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349CC"/>
    <w:rPr>
      <w:i/>
    </w:rPr>
  </w:style>
  <w:style w:type="paragraph" w:customStyle="1" w:styleId="BoxList">
    <w:name w:val="BoxList"/>
    <w:aliases w:val="bl"/>
    <w:basedOn w:val="BoxText"/>
    <w:qFormat/>
    <w:rsid w:val="006349C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349C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349C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349CC"/>
    <w:pPr>
      <w:ind w:left="1985" w:hanging="851"/>
    </w:pPr>
  </w:style>
  <w:style w:type="character" w:customStyle="1" w:styleId="CharAmPartNo">
    <w:name w:val="CharAmPartNo"/>
    <w:basedOn w:val="OPCCharBase"/>
    <w:qFormat/>
    <w:rsid w:val="006349CC"/>
  </w:style>
  <w:style w:type="character" w:customStyle="1" w:styleId="CharAmPartText">
    <w:name w:val="CharAmPartText"/>
    <w:basedOn w:val="OPCCharBase"/>
    <w:qFormat/>
    <w:rsid w:val="006349CC"/>
  </w:style>
  <w:style w:type="character" w:customStyle="1" w:styleId="CharAmSchNo">
    <w:name w:val="CharAmSchNo"/>
    <w:basedOn w:val="OPCCharBase"/>
    <w:qFormat/>
    <w:rsid w:val="006349CC"/>
  </w:style>
  <w:style w:type="character" w:customStyle="1" w:styleId="CharAmSchText">
    <w:name w:val="CharAmSchText"/>
    <w:basedOn w:val="OPCCharBase"/>
    <w:qFormat/>
    <w:rsid w:val="006349CC"/>
  </w:style>
  <w:style w:type="character" w:customStyle="1" w:styleId="CharBoldItalic">
    <w:name w:val="CharBoldItalic"/>
    <w:basedOn w:val="OPCCharBase"/>
    <w:uiPriority w:val="1"/>
    <w:qFormat/>
    <w:rsid w:val="006349CC"/>
    <w:rPr>
      <w:b/>
      <w:i/>
    </w:rPr>
  </w:style>
  <w:style w:type="character" w:customStyle="1" w:styleId="CharChapNo">
    <w:name w:val="CharChapNo"/>
    <w:basedOn w:val="OPCCharBase"/>
    <w:uiPriority w:val="1"/>
    <w:qFormat/>
    <w:rsid w:val="006349CC"/>
  </w:style>
  <w:style w:type="character" w:customStyle="1" w:styleId="CharChapText">
    <w:name w:val="CharChapText"/>
    <w:basedOn w:val="OPCCharBase"/>
    <w:uiPriority w:val="1"/>
    <w:qFormat/>
    <w:rsid w:val="006349CC"/>
  </w:style>
  <w:style w:type="character" w:customStyle="1" w:styleId="CharDivNo">
    <w:name w:val="CharDivNo"/>
    <w:basedOn w:val="OPCCharBase"/>
    <w:uiPriority w:val="1"/>
    <w:qFormat/>
    <w:rsid w:val="006349CC"/>
  </w:style>
  <w:style w:type="character" w:customStyle="1" w:styleId="CharDivText">
    <w:name w:val="CharDivText"/>
    <w:basedOn w:val="OPCCharBase"/>
    <w:uiPriority w:val="1"/>
    <w:qFormat/>
    <w:rsid w:val="006349CC"/>
  </w:style>
  <w:style w:type="character" w:customStyle="1" w:styleId="CharItalic">
    <w:name w:val="CharItalic"/>
    <w:basedOn w:val="OPCCharBase"/>
    <w:uiPriority w:val="1"/>
    <w:qFormat/>
    <w:rsid w:val="006349CC"/>
    <w:rPr>
      <w:i/>
    </w:rPr>
  </w:style>
  <w:style w:type="character" w:customStyle="1" w:styleId="CharPartNo">
    <w:name w:val="CharPartNo"/>
    <w:basedOn w:val="OPCCharBase"/>
    <w:uiPriority w:val="1"/>
    <w:qFormat/>
    <w:rsid w:val="006349CC"/>
  </w:style>
  <w:style w:type="character" w:customStyle="1" w:styleId="CharPartText">
    <w:name w:val="CharPartText"/>
    <w:basedOn w:val="OPCCharBase"/>
    <w:uiPriority w:val="1"/>
    <w:qFormat/>
    <w:rsid w:val="006349CC"/>
  </w:style>
  <w:style w:type="character" w:customStyle="1" w:styleId="CharSectno">
    <w:name w:val="CharSectno"/>
    <w:basedOn w:val="OPCCharBase"/>
    <w:qFormat/>
    <w:rsid w:val="006349CC"/>
  </w:style>
  <w:style w:type="character" w:customStyle="1" w:styleId="CharSubdNo">
    <w:name w:val="CharSubdNo"/>
    <w:basedOn w:val="OPCCharBase"/>
    <w:uiPriority w:val="1"/>
    <w:qFormat/>
    <w:rsid w:val="006349CC"/>
  </w:style>
  <w:style w:type="character" w:customStyle="1" w:styleId="CharSubdText">
    <w:name w:val="CharSubdText"/>
    <w:basedOn w:val="OPCCharBase"/>
    <w:uiPriority w:val="1"/>
    <w:qFormat/>
    <w:rsid w:val="006349CC"/>
  </w:style>
  <w:style w:type="paragraph" w:customStyle="1" w:styleId="CTA--">
    <w:name w:val="CTA --"/>
    <w:basedOn w:val="OPCParaBase"/>
    <w:next w:val="Normal"/>
    <w:rsid w:val="006349C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349C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349C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349C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349C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349C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349C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349C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349C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349C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349C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349C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349C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349C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349C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349C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349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349C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349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349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349C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349C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349C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349C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349C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349C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349C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349C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349C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349C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349C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349C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349C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349C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349C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349C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349C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349C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349C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349C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349C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349C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349C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349C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349C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349C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349C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349C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349C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349C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349C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349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349C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349C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349C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349C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349C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349C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349C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349C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349C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349C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349C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349C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349C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349C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349C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349C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349C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349C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349C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349C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349CC"/>
    <w:rPr>
      <w:sz w:val="16"/>
    </w:rPr>
  </w:style>
  <w:style w:type="table" w:customStyle="1" w:styleId="CFlag">
    <w:name w:val="CFlag"/>
    <w:basedOn w:val="TableNormal"/>
    <w:uiPriority w:val="99"/>
    <w:rsid w:val="006349C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349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9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634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349C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349C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349C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349C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349C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349C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349C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349C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349C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349C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6349C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349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349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349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349C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349C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349C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349C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349C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349C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349C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349C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349CC"/>
  </w:style>
  <w:style w:type="character" w:customStyle="1" w:styleId="CharSubPartNoCASA">
    <w:name w:val="CharSubPartNo(CASA)"/>
    <w:basedOn w:val="OPCCharBase"/>
    <w:uiPriority w:val="1"/>
    <w:rsid w:val="006349CC"/>
  </w:style>
  <w:style w:type="paragraph" w:customStyle="1" w:styleId="ENoteTTIndentHeadingSub">
    <w:name w:val="ENoteTTIndentHeadingSub"/>
    <w:aliases w:val="enTTHis"/>
    <w:basedOn w:val="OPCParaBase"/>
    <w:rsid w:val="006349C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349C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349C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349C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349C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730E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349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349CC"/>
    <w:rPr>
      <w:sz w:val="22"/>
    </w:rPr>
  </w:style>
  <w:style w:type="paragraph" w:customStyle="1" w:styleId="SOTextNote">
    <w:name w:val="SO TextNote"/>
    <w:aliases w:val="sont"/>
    <w:basedOn w:val="SOText"/>
    <w:qFormat/>
    <w:rsid w:val="006349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349C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349CC"/>
    <w:rPr>
      <w:sz w:val="22"/>
    </w:rPr>
  </w:style>
  <w:style w:type="paragraph" w:customStyle="1" w:styleId="FileName">
    <w:name w:val="FileName"/>
    <w:basedOn w:val="Normal"/>
    <w:rsid w:val="006349CC"/>
  </w:style>
  <w:style w:type="paragraph" w:customStyle="1" w:styleId="TableHeading">
    <w:name w:val="TableHeading"/>
    <w:aliases w:val="th"/>
    <w:basedOn w:val="OPCParaBase"/>
    <w:next w:val="Tabletext"/>
    <w:rsid w:val="006349C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349C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349C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349C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349C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349C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349C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349C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349C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349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349C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349C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349C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349C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349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9C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9C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9C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9C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9C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9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9C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49C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49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9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9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9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9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9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9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9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9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349CC"/>
  </w:style>
  <w:style w:type="paragraph" w:customStyle="1" w:styleId="OPCParaBase">
    <w:name w:val="OPCParaBase"/>
    <w:qFormat/>
    <w:rsid w:val="006349C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349C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349C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349C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349C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349C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349C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349C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349C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349C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349C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349CC"/>
  </w:style>
  <w:style w:type="paragraph" w:customStyle="1" w:styleId="Blocks">
    <w:name w:val="Blocks"/>
    <w:aliases w:val="bb"/>
    <w:basedOn w:val="OPCParaBase"/>
    <w:qFormat/>
    <w:rsid w:val="006349C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349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349C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349CC"/>
    <w:rPr>
      <w:i/>
    </w:rPr>
  </w:style>
  <w:style w:type="paragraph" w:customStyle="1" w:styleId="BoxList">
    <w:name w:val="BoxList"/>
    <w:aliases w:val="bl"/>
    <w:basedOn w:val="BoxText"/>
    <w:qFormat/>
    <w:rsid w:val="006349C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349C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349C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349CC"/>
    <w:pPr>
      <w:ind w:left="1985" w:hanging="851"/>
    </w:pPr>
  </w:style>
  <w:style w:type="character" w:customStyle="1" w:styleId="CharAmPartNo">
    <w:name w:val="CharAmPartNo"/>
    <w:basedOn w:val="OPCCharBase"/>
    <w:qFormat/>
    <w:rsid w:val="006349CC"/>
  </w:style>
  <w:style w:type="character" w:customStyle="1" w:styleId="CharAmPartText">
    <w:name w:val="CharAmPartText"/>
    <w:basedOn w:val="OPCCharBase"/>
    <w:qFormat/>
    <w:rsid w:val="006349CC"/>
  </w:style>
  <w:style w:type="character" w:customStyle="1" w:styleId="CharAmSchNo">
    <w:name w:val="CharAmSchNo"/>
    <w:basedOn w:val="OPCCharBase"/>
    <w:qFormat/>
    <w:rsid w:val="006349CC"/>
  </w:style>
  <w:style w:type="character" w:customStyle="1" w:styleId="CharAmSchText">
    <w:name w:val="CharAmSchText"/>
    <w:basedOn w:val="OPCCharBase"/>
    <w:qFormat/>
    <w:rsid w:val="006349CC"/>
  </w:style>
  <w:style w:type="character" w:customStyle="1" w:styleId="CharBoldItalic">
    <w:name w:val="CharBoldItalic"/>
    <w:basedOn w:val="OPCCharBase"/>
    <w:uiPriority w:val="1"/>
    <w:qFormat/>
    <w:rsid w:val="006349CC"/>
    <w:rPr>
      <w:b/>
      <w:i/>
    </w:rPr>
  </w:style>
  <w:style w:type="character" w:customStyle="1" w:styleId="CharChapNo">
    <w:name w:val="CharChapNo"/>
    <w:basedOn w:val="OPCCharBase"/>
    <w:uiPriority w:val="1"/>
    <w:qFormat/>
    <w:rsid w:val="006349CC"/>
  </w:style>
  <w:style w:type="character" w:customStyle="1" w:styleId="CharChapText">
    <w:name w:val="CharChapText"/>
    <w:basedOn w:val="OPCCharBase"/>
    <w:uiPriority w:val="1"/>
    <w:qFormat/>
    <w:rsid w:val="006349CC"/>
  </w:style>
  <w:style w:type="character" w:customStyle="1" w:styleId="CharDivNo">
    <w:name w:val="CharDivNo"/>
    <w:basedOn w:val="OPCCharBase"/>
    <w:uiPriority w:val="1"/>
    <w:qFormat/>
    <w:rsid w:val="006349CC"/>
  </w:style>
  <w:style w:type="character" w:customStyle="1" w:styleId="CharDivText">
    <w:name w:val="CharDivText"/>
    <w:basedOn w:val="OPCCharBase"/>
    <w:uiPriority w:val="1"/>
    <w:qFormat/>
    <w:rsid w:val="006349CC"/>
  </w:style>
  <w:style w:type="character" w:customStyle="1" w:styleId="CharItalic">
    <w:name w:val="CharItalic"/>
    <w:basedOn w:val="OPCCharBase"/>
    <w:uiPriority w:val="1"/>
    <w:qFormat/>
    <w:rsid w:val="006349CC"/>
    <w:rPr>
      <w:i/>
    </w:rPr>
  </w:style>
  <w:style w:type="character" w:customStyle="1" w:styleId="CharPartNo">
    <w:name w:val="CharPartNo"/>
    <w:basedOn w:val="OPCCharBase"/>
    <w:uiPriority w:val="1"/>
    <w:qFormat/>
    <w:rsid w:val="006349CC"/>
  </w:style>
  <w:style w:type="character" w:customStyle="1" w:styleId="CharPartText">
    <w:name w:val="CharPartText"/>
    <w:basedOn w:val="OPCCharBase"/>
    <w:uiPriority w:val="1"/>
    <w:qFormat/>
    <w:rsid w:val="006349CC"/>
  </w:style>
  <w:style w:type="character" w:customStyle="1" w:styleId="CharSectno">
    <w:name w:val="CharSectno"/>
    <w:basedOn w:val="OPCCharBase"/>
    <w:qFormat/>
    <w:rsid w:val="006349CC"/>
  </w:style>
  <w:style w:type="character" w:customStyle="1" w:styleId="CharSubdNo">
    <w:name w:val="CharSubdNo"/>
    <w:basedOn w:val="OPCCharBase"/>
    <w:uiPriority w:val="1"/>
    <w:qFormat/>
    <w:rsid w:val="006349CC"/>
  </w:style>
  <w:style w:type="character" w:customStyle="1" w:styleId="CharSubdText">
    <w:name w:val="CharSubdText"/>
    <w:basedOn w:val="OPCCharBase"/>
    <w:uiPriority w:val="1"/>
    <w:qFormat/>
    <w:rsid w:val="006349CC"/>
  </w:style>
  <w:style w:type="paragraph" w:customStyle="1" w:styleId="CTA--">
    <w:name w:val="CTA --"/>
    <w:basedOn w:val="OPCParaBase"/>
    <w:next w:val="Normal"/>
    <w:rsid w:val="006349C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349C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349C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349C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349C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349C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349C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349C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349C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349C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349C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349C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349C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349C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349C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349C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349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349C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349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349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349C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349C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349C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349C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349C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349C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349C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349C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349C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349C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349C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349C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349C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349C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349C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349C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349C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349C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349C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349C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349C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349C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349C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349C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349C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349C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349C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349C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349C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349C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349C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349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349C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349C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349C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349C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349C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349C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349C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349C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349C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349C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349C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349C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349C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349C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349C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349C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349C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349C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349C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349C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349CC"/>
    <w:rPr>
      <w:sz w:val="16"/>
    </w:rPr>
  </w:style>
  <w:style w:type="table" w:customStyle="1" w:styleId="CFlag">
    <w:name w:val="CFlag"/>
    <w:basedOn w:val="TableNormal"/>
    <w:uiPriority w:val="99"/>
    <w:rsid w:val="006349C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349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9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634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349C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349C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349C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349C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349C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349C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349C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349C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349C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349C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6349C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349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349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349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349C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349C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349C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349C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349C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349C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349C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349C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349CC"/>
  </w:style>
  <w:style w:type="character" w:customStyle="1" w:styleId="CharSubPartNoCASA">
    <w:name w:val="CharSubPartNo(CASA)"/>
    <w:basedOn w:val="OPCCharBase"/>
    <w:uiPriority w:val="1"/>
    <w:rsid w:val="006349CC"/>
  </w:style>
  <w:style w:type="paragraph" w:customStyle="1" w:styleId="ENoteTTIndentHeadingSub">
    <w:name w:val="ENoteTTIndentHeadingSub"/>
    <w:aliases w:val="enTTHis"/>
    <w:basedOn w:val="OPCParaBase"/>
    <w:rsid w:val="006349C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349C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349C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349C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349C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730E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349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349CC"/>
    <w:rPr>
      <w:sz w:val="22"/>
    </w:rPr>
  </w:style>
  <w:style w:type="paragraph" w:customStyle="1" w:styleId="SOTextNote">
    <w:name w:val="SO TextNote"/>
    <w:aliases w:val="sont"/>
    <w:basedOn w:val="SOText"/>
    <w:qFormat/>
    <w:rsid w:val="006349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349C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349CC"/>
    <w:rPr>
      <w:sz w:val="22"/>
    </w:rPr>
  </w:style>
  <w:style w:type="paragraph" w:customStyle="1" w:styleId="FileName">
    <w:name w:val="FileName"/>
    <w:basedOn w:val="Normal"/>
    <w:rsid w:val="006349CC"/>
  </w:style>
  <w:style w:type="paragraph" w:customStyle="1" w:styleId="TableHeading">
    <w:name w:val="TableHeading"/>
    <w:aliases w:val="th"/>
    <w:basedOn w:val="OPCParaBase"/>
    <w:next w:val="Tabletext"/>
    <w:rsid w:val="006349C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349C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349C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349C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349C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349C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349C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349C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349C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349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349C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349C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349C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349C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349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9C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9C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9C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9C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9C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9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9C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435</Words>
  <Characters>2481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2017-04-20T22:21:00Z</cp:lastPrinted>
  <dcterms:created xsi:type="dcterms:W3CDTF">2017-06-19T00:39:00Z</dcterms:created>
  <dcterms:modified xsi:type="dcterms:W3CDTF">2017-06-19T00:40:00Z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Fair Work and Other Legislation Amendment (South Australian Employment Court)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15 June 2017</vt:lpwstr>
  </property>
  <property fmtid="{D5CDD505-2E9C-101B-9397-08002B2CF9AE}" pid="10" name="Authority">
    <vt:lpwstr/>
  </property>
  <property fmtid="{D5CDD505-2E9C-101B-9397-08002B2CF9AE}" pid="11" name="ID">
    <vt:lpwstr>OPC62493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Fair Work Act 2009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15 June 2017</vt:lpwstr>
  </property>
</Properties>
</file>