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3E920" w14:textId="77777777" w:rsidR="00AC02C2" w:rsidRDefault="00AC02C2">
      <w:pPr>
        <w:pStyle w:val="Title"/>
      </w:pPr>
      <w:bookmarkStart w:id="0" w:name="_GoBack"/>
      <w:bookmarkEnd w:id="0"/>
    </w:p>
    <w:p w14:paraId="1053E921" w14:textId="77777777" w:rsidR="00AC02C2" w:rsidRDefault="00AC02C2">
      <w:pPr>
        <w:pStyle w:val="Title"/>
      </w:pPr>
    </w:p>
    <w:p w14:paraId="1053E922" w14:textId="1FEAF01E"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7B4C6B">
        <w:rPr>
          <w:b/>
          <w:color w:val="000000"/>
          <w:spacing w:val="-1"/>
          <w:sz w:val="28"/>
        </w:rPr>
        <w:t>ASIC CORPORATIONS (AMENDMENT) INSTRUMENT 2017/</w:t>
      </w:r>
      <w:r w:rsidR="00EC7E66">
        <w:rPr>
          <w:b/>
          <w:color w:val="000000"/>
          <w:spacing w:val="-1"/>
          <w:sz w:val="28"/>
        </w:rPr>
        <w:t>569</w:t>
      </w:r>
    </w:p>
    <w:p w14:paraId="1053E923" w14:textId="77777777" w:rsidR="005B0E3A" w:rsidRDefault="005B0E3A" w:rsidP="005B0E3A">
      <w:pPr>
        <w:pStyle w:val="BodyText"/>
        <w:jc w:val="center"/>
      </w:pPr>
      <w:r>
        <w:t>Prepared by the Australian Securities and Investments Commission</w:t>
      </w:r>
    </w:p>
    <w:p w14:paraId="1053E924" w14:textId="77777777" w:rsidR="005B0E3A" w:rsidRDefault="005B0E3A" w:rsidP="005B0E3A">
      <w:pPr>
        <w:spacing w:before="4" w:line="220" w:lineRule="exact"/>
        <w:jc w:val="center"/>
      </w:pPr>
    </w:p>
    <w:p w14:paraId="1053E925" w14:textId="77777777" w:rsidR="005B0E3A" w:rsidRDefault="005B0E3A" w:rsidP="005B0E3A">
      <w:pPr>
        <w:jc w:val="center"/>
        <w:rPr>
          <w:sz w:val="24"/>
          <w:szCs w:val="24"/>
        </w:rPr>
      </w:pPr>
      <w:r>
        <w:rPr>
          <w:i/>
          <w:sz w:val="24"/>
        </w:rPr>
        <w:t>Corporations Act 2001</w:t>
      </w:r>
    </w:p>
    <w:p w14:paraId="1053E926" w14:textId="725B9C79" w:rsidR="007B4C6B" w:rsidRDefault="007B4C6B" w:rsidP="007B4C6B">
      <w:pPr>
        <w:spacing w:after="0"/>
        <w:rPr>
          <w:sz w:val="24"/>
          <w:szCs w:val="24"/>
        </w:rPr>
      </w:pPr>
      <w:r w:rsidRPr="007B4C6B">
        <w:rPr>
          <w:sz w:val="24"/>
          <w:szCs w:val="24"/>
        </w:rPr>
        <w:t>The Australian Securities and Investments Commission (</w:t>
      </w:r>
      <w:r w:rsidRPr="007B4C6B">
        <w:rPr>
          <w:b/>
          <w:bCs/>
          <w:i/>
          <w:iCs/>
          <w:sz w:val="24"/>
          <w:szCs w:val="24"/>
        </w:rPr>
        <w:t>ASIC</w:t>
      </w:r>
      <w:r w:rsidRPr="007B4C6B">
        <w:rPr>
          <w:sz w:val="24"/>
          <w:szCs w:val="24"/>
        </w:rPr>
        <w:t xml:space="preserve">) makes </w:t>
      </w:r>
      <w:r w:rsidRPr="00170A1B">
        <w:rPr>
          <w:i/>
          <w:sz w:val="24"/>
          <w:szCs w:val="24"/>
        </w:rPr>
        <w:t>ASIC</w:t>
      </w:r>
      <w:r w:rsidRPr="007B4C6B">
        <w:rPr>
          <w:sz w:val="24"/>
          <w:szCs w:val="24"/>
        </w:rPr>
        <w:t xml:space="preserve"> </w:t>
      </w:r>
      <w:r w:rsidRPr="007B4C6B">
        <w:rPr>
          <w:i/>
          <w:iCs/>
          <w:sz w:val="24"/>
          <w:szCs w:val="24"/>
        </w:rPr>
        <w:t>Corporations (Amendment) Instrument 2017/</w:t>
      </w:r>
      <w:r w:rsidR="00EC7E66">
        <w:rPr>
          <w:i/>
          <w:iCs/>
          <w:sz w:val="24"/>
          <w:szCs w:val="24"/>
        </w:rPr>
        <w:t>569</w:t>
      </w:r>
      <w:r w:rsidR="00EC7E66" w:rsidRPr="007B4C6B">
        <w:rPr>
          <w:i/>
          <w:iCs/>
          <w:sz w:val="24"/>
          <w:szCs w:val="24"/>
        </w:rPr>
        <w:t xml:space="preserve"> </w:t>
      </w:r>
      <w:r w:rsidRPr="007B4C6B">
        <w:rPr>
          <w:sz w:val="24"/>
          <w:szCs w:val="24"/>
        </w:rPr>
        <w:t xml:space="preserve">(the </w:t>
      </w:r>
      <w:r w:rsidRPr="007B4C6B">
        <w:rPr>
          <w:b/>
          <w:bCs/>
          <w:i/>
          <w:iCs/>
          <w:sz w:val="24"/>
          <w:szCs w:val="24"/>
        </w:rPr>
        <w:t>Instrument</w:t>
      </w:r>
      <w:r w:rsidRPr="007B4C6B">
        <w:rPr>
          <w:sz w:val="24"/>
          <w:szCs w:val="24"/>
        </w:rPr>
        <w:t xml:space="preserve">) under section </w:t>
      </w:r>
      <w:proofErr w:type="gramStart"/>
      <w:r w:rsidRPr="007B4C6B">
        <w:rPr>
          <w:sz w:val="24"/>
          <w:szCs w:val="24"/>
        </w:rPr>
        <w:t>1020F(</w:t>
      </w:r>
      <w:proofErr w:type="gramEnd"/>
      <w:r w:rsidRPr="007B4C6B">
        <w:rPr>
          <w:sz w:val="24"/>
          <w:szCs w:val="24"/>
        </w:rPr>
        <w:t xml:space="preserve">1) of the </w:t>
      </w:r>
      <w:r w:rsidRPr="007B4C6B">
        <w:rPr>
          <w:i/>
          <w:iCs/>
          <w:sz w:val="24"/>
          <w:szCs w:val="24"/>
        </w:rPr>
        <w:t xml:space="preserve">Corporations Act 2001 </w:t>
      </w:r>
      <w:r w:rsidRPr="007B4C6B">
        <w:rPr>
          <w:sz w:val="24"/>
          <w:szCs w:val="24"/>
        </w:rPr>
        <w:t xml:space="preserve">(the </w:t>
      </w:r>
      <w:r w:rsidRPr="007B4C6B">
        <w:rPr>
          <w:b/>
          <w:bCs/>
          <w:i/>
          <w:iCs/>
          <w:sz w:val="24"/>
          <w:szCs w:val="24"/>
        </w:rPr>
        <w:t>Act</w:t>
      </w:r>
      <w:r w:rsidRPr="007B4C6B">
        <w:rPr>
          <w:sz w:val="24"/>
          <w:szCs w:val="24"/>
        </w:rPr>
        <w:t>).</w:t>
      </w:r>
    </w:p>
    <w:p w14:paraId="1053E927" w14:textId="77777777" w:rsidR="007B4C6B" w:rsidRPr="007B4C6B" w:rsidRDefault="007B4C6B" w:rsidP="007B4C6B">
      <w:pPr>
        <w:spacing w:after="0"/>
        <w:rPr>
          <w:sz w:val="24"/>
          <w:szCs w:val="24"/>
        </w:rPr>
      </w:pPr>
    </w:p>
    <w:p w14:paraId="1053E928" w14:textId="73A84BBC" w:rsidR="007B4C6B" w:rsidRDefault="007B4C6B" w:rsidP="007B4C6B">
      <w:pPr>
        <w:spacing w:after="0"/>
        <w:rPr>
          <w:sz w:val="24"/>
          <w:szCs w:val="24"/>
        </w:rPr>
      </w:pPr>
      <w:r w:rsidRPr="007B4C6B">
        <w:rPr>
          <w:sz w:val="24"/>
          <w:szCs w:val="24"/>
        </w:rPr>
        <w:t xml:space="preserve">Section </w:t>
      </w:r>
      <w:proofErr w:type="gramStart"/>
      <w:r w:rsidRPr="007B4C6B">
        <w:rPr>
          <w:sz w:val="24"/>
          <w:szCs w:val="24"/>
        </w:rPr>
        <w:t>1020F(</w:t>
      </w:r>
      <w:proofErr w:type="gramEnd"/>
      <w:r w:rsidRPr="007B4C6B">
        <w:rPr>
          <w:sz w:val="24"/>
          <w:szCs w:val="24"/>
        </w:rPr>
        <w:t xml:space="preserve">1) provides that ASIC may exempt a person </w:t>
      </w:r>
      <w:r w:rsidR="00170A1B">
        <w:rPr>
          <w:sz w:val="24"/>
          <w:szCs w:val="24"/>
        </w:rPr>
        <w:t>or</w:t>
      </w:r>
      <w:r w:rsidR="00170A1B" w:rsidRPr="007B4C6B">
        <w:rPr>
          <w:sz w:val="24"/>
          <w:szCs w:val="24"/>
        </w:rPr>
        <w:t xml:space="preserve"> </w:t>
      </w:r>
      <w:r w:rsidRPr="007B4C6B">
        <w:rPr>
          <w:sz w:val="24"/>
          <w:szCs w:val="24"/>
        </w:rPr>
        <w:t>class of persons from all or specified provisions of Part 7.9 of the Act.</w:t>
      </w:r>
    </w:p>
    <w:p w14:paraId="1053E929" w14:textId="77777777" w:rsidR="007B4C6B" w:rsidRPr="007B4C6B" w:rsidRDefault="007B4C6B" w:rsidP="007B4C6B">
      <w:pPr>
        <w:spacing w:after="0"/>
        <w:rPr>
          <w:sz w:val="24"/>
          <w:szCs w:val="24"/>
        </w:rPr>
      </w:pPr>
    </w:p>
    <w:p w14:paraId="1053E92A" w14:textId="77777777" w:rsidR="005B0E3A" w:rsidRDefault="007B4C6B" w:rsidP="007B4C6B">
      <w:pPr>
        <w:spacing w:after="0"/>
        <w:rPr>
          <w:sz w:val="24"/>
          <w:szCs w:val="24"/>
        </w:rPr>
      </w:pPr>
      <w:r>
        <w:rPr>
          <w:sz w:val="24"/>
          <w:szCs w:val="24"/>
        </w:rPr>
        <w:t xml:space="preserve">Under </w:t>
      </w:r>
      <w:r w:rsidR="005B0E3A" w:rsidRPr="007B4C6B">
        <w:rPr>
          <w:sz w:val="24"/>
          <w:szCs w:val="24"/>
        </w:rPr>
        <w:t xml:space="preserve">section 33(3) of the </w:t>
      </w:r>
      <w:r w:rsidR="005B0E3A" w:rsidRPr="007B4C6B">
        <w:rPr>
          <w:i/>
          <w:sz w:val="24"/>
          <w:szCs w:val="24"/>
        </w:rPr>
        <w:t>Acts Interpretation Act 1901</w:t>
      </w:r>
      <w:r w:rsidR="005B0E3A" w:rsidRPr="007B4C6B">
        <w:rPr>
          <w:sz w:val="24"/>
          <w:szCs w:val="24"/>
        </w:rPr>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1053E92B" w14:textId="77777777" w:rsidR="007B4C6B" w:rsidRDefault="007B4C6B" w:rsidP="007B4C6B">
      <w:pPr>
        <w:spacing w:after="0"/>
        <w:rPr>
          <w:sz w:val="24"/>
          <w:szCs w:val="24"/>
        </w:rPr>
      </w:pPr>
    </w:p>
    <w:p w14:paraId="1053E92C" w14:textId="77777777" w:rsidR="007B4C6B" w:rsidRPr="007B4C6B" w:rsidRDefault="007B4C6B" w:rsidP="007B4C6B">
      <w:pPr>
        <w:rPr>
          <w:b/>
          <w:sz w:val="24"/>
          <w:szCs w:val="24"/>
        </w:rPr>
      </w:pPr>
      <w:r w:rsidRPr="007B4C6B">
        <w:rPr>
          <w:b/>
          <w:sz w:val="24"/>
          <w:szCs w:val="24"/>
        </w:rPr>
        <w:t>A.</w:t>
      </w:r>
      <w:r w:rsidRPr="007B4C6B">
        <w:rPr>
          <w:b/>
          <w:sz w:val="24"/>
          <w:szCs w:val="24"/>
        </w:rPr>
        <w:tab/>
        <w:t>Amendment to ASIC Class Order [CO 13/1534]</w:t>
      </w:r>
    </w:p>
    <w:p w14:paraId="1053E92D" w14:textId="77777777" w:rsidR="005B0E3A" w:rsidRPr="007B4C6B" w:rsidRDefault="005B0E3A" w:rsidP="007B4C6B">
      <w:pPr>
        <w:widowControl w:val="0"/>
        <w:numPr>
          <w:ilvl w:val="0"/>
          <w:numId w:val="7"/>
        </w:numPr>
        <w:tabs>
          <w:tab w:val="left" w:pos="1592"/>
        </w:tabs>
        <w:spacing w:before="145" w:after="0"/>
        <w:ind w:left="0" w:firstLine="0"/>
        <w:rPr>
          <w:rFonts w:eastAsia="Arial"/>
          <w:sz w:val="24"/>
          <w:szCs w:val="24"/>
        </w:rPr>
      </w:pPr>
      <w:bookmarkStart w:id="1" w:name="1._Background"/>
      <w:bookmarkEnd w:id="1"/>
      <w:r w:rsidRPr="007B4C6B">
        <w:rPr>
          <w:b/>
          <w:spacing w:val="-1"/>
          <w:sz w:val="24"/>
        </w:rPr>
        <w:t>Background</w:t>
      </w:r>
      <w:r w:rsidRPr="007B4C6B">
        <w:rPr>
          <w:i/>
          <w:color w:val="0000FF"/>
          <w:spacing w:val="-1"/>
          <w:sz w:val="24"/>
        </w:rPr>
        <w:t xml:space="preserve"> </w:t>
      </w:r>
    </w:p>
    <w:p w14:paraId="1053E92E" w14:textId="77777777" w:rsidR="007B4C6B" w:rsidRDefault="007B4C6B" w:rsidP="007B4C6B">
      <w:pPr>
        <w:pStyle w:val="BodyText"/>
        <w:spacing w:before="0" w:line="240" w:lineRule="auto"/>
      </w:pPr>
    </w:p>
    <w:p w14:paraId="1053E92F" w14:textId="77777777" w:rsidR="007B4C6B" w:rsidRDefault="007B4C6B" w:rsidP="007B4C6B">
      <w:pPr>
        <w:pStyle w:val="Default"/>
        <w:jc w:val="both"/>
      </w:pPr>
      <w:r w:rsidRPr="007B4C6B">
        <w:t>A trustee of a superannuation fund must provide, generally every twelve months, a periodic statement to a member of the fund to help the member understand their investment in the fund.</w:t>
      </w:r>
    </w:p>
    <w:p w14:paraId="1053E930" w14:textId="77777777" w:rsidR="007B4C6B" w:rsidRPr="007B4C6B" w:rsidRDefault="007B4C6B" w:rsidP="007B4C6B">
      <w:pPr>
        <w:pStyle w:val="Default"/>
        <w:jc w:val="both"/>
      </w:pPr>
      <w:r w:rsidRPr="007B4C6B">
        <w:t xml:space="preserve"> </w:t>
      </w:r>
    </w:p>
    <w:p w14:paraId="1053E931" w14:textId="77777777" w:rsidR="007B4C6B" w:rsidRDefault="007B4C6B" w:rsidP="007B4C6B">
      <w:pPr>
        <w:pStyle w:val="Default"/>
        <w:jc w:val="both"/>
      </w:pPr>
      <w:r w:rsidRPr="007B4C6B">
        <w:t xml:space="preserve">The </w:t>
      </w:r>
      <w:r w:rsidRPr="007B4C6B">
        <w:rPr>
          <w:i/>
          <w:iCs/>
        </w:rPr>
        <w:t>Superannuation Legislation Amendment (</w:t>
      </w:r>
      <w:proofErr w:type="spellStart"/>
      <w:r w:rsidRPr="007B4C6B">
        <w:rPr>
          <w:i/>
          <w:iCs/>
        </w:rPr>
        <w:t>MySuper</w:t>
      </w:r>
      <w:proofErr w:type="spellEnd"/>
      <w:r w:rsidRPr="007B4C6B">
        <w:rPr>
          <w:i/>
          <w:iCs/>
        </w:rPr>
        <w:t xml:space="preserve"> Measures) Regulation 2013 </w:t>
      </w:r>
      <w:r w:rsidRPr="007B4C6B">
        <w:t xml:space="preserve">introduced paragraph 7.9.20(1)(o) of the </w:t>
      </w:r>
      <w:r w:rsidRPr="007B4C6B">
        <w:rPr>
          <w:i/>
          <w:iCs/>
        </w:rPr>
        <w:t xml:space="preserve">Corporations Regulations 2001 </w:t>
      </w:r>
      <w:r w:rsidRPr="007B4C6B">
        <w:t xml:space="preserve">(the </w:t>
      </w:r>
      <w:r w:rsidRPr="007B4C6B">
        <w:rPr>
          <w:b/>
          <w:bCs/>
          <w:i/>
          <w:iCs/>
        </w:rPr>
        <w:t>Regulations</w:t>
      </w:r>
      <w:r w:rsidRPr="007B4C6B">
        <w:t>) which requires that superannuation product dashboards must be included as part of a periodic statement if the trustee is required to make publicly available a product dashboard for the investment option under section 1017BA of the Act.</w:t>
      </w:r>
    </w:p>
    <w:p w14:paraId="1053E932" w14:textId="77777777" w:rsidR="007B4C6B" w:rsidRPr="007B4C6B" w:rsidRDefault="007B4C6B" w:rsidP="007B4C6B">
      <w:pPr>
        <w:pStyle w:val="Default"/>
        <w:jc w:val="both"/>
      </w:pPr>
      <w:r w:rsidRPr="007B4C6B">
        <w:t xml:space="preserve"> </w:t>
      </w:r>
    </w:p>
    <w:p w14:paraId="1053E933" w14:textId="4154927E" w:rsidR="005B0E3A" w:rsidRPr="007B4C6B" w:rsidRDefault="007B4C6B" w:rsidP="007B4C6B">
      <w:pPr>
        <w:spacing w:after="0"/>
        <w:jc w:val="both"/>
        <w:rPr>
          <w:sz w:val="24"/>
          <w:szCs w:val="24"/>
        </w:rPr>
      </w:pPr>
      <w:r w:rsidRPr="007B4C6B">
        <w:rPr>
          <w:sz w:val="24"/>
          <w:szCs w:val="24"/>
        </w:rPr>
        <w:t>The First Exemption set out in ASIC Class Order [CO 13/1534] provided interim relief from new fees and costs disclosure requirements for Product Disclosure Statements and periodic statements for reporting periods ending before 1 July 2014. As this fee regime is now in operation, further relief is not required for the First Exemption.</w:t>
      </w:r>
    </w:p>
    <w:p w14:paraId="1053E934" w14:textId="77777777" w:rsidR="007B4C6B" w:rsidRDefault="007B4C6B" w:rsidP="007B4C6B">
      <w:pPr>
        <w:pStyle w:val="Default"/>
        <w:jc w:val="both"/>
      </w:pPr>
    </w:p>
    <w:p w14:paraId="1053E935" w14:textId="77777777" w:rsidR="007B4C6B" w:rsidRDefault="007B4C6B" w:rsidP="007B4C6B">
      <w:pPr>
        <w:pStyle w:val="Default"/>
        <w:jc w:val="both"/>
      </w:pPr>
      <w:r w:rsidRPr="007B4C6B">
        <w:t>The Second Exemption set out in ASIC Class Order [CO 13/1534] provides interim relief from paragraph 7.9.20(1)(o) so that it applies only to those periodic statements with a reporting period ending before 1 July 201</w:t>
      </w:r>
      <w:r w:rsidR="009E361B">
        <w:t>9</w:t>
      </w:r>
      <w:r>
        <w:t>.</w:t>
      </w:r>
    </w:p>
    <w:p w14:paraId="1053E936" w14:textId="77777777" w:rsidR="007B4C6B" w:rsidRDefault="007B4C6B" w:rsidP="007B4C6B">
      <w:pPr>
        <w:pStyle w:val="Default"/>
        <w:jc w:val="both"/>
      </w:pPr>
    </w:p>
    <w:p w14:paraId="1053E937" w14:textId="77777777" w:rsidR="007B4C6B" w:rsidRPr="007B4C6B" w:rsidRDefault="007B4C6B" w:rsidP="007B4C6B">
      <w:pPr>
        <w:pStyle w:val="Default"/>
        <w:jc w:val="both"/>
      </w:pPr>
      <w:r w:rsidRPr="007B4C6B">
        <w:t>A condition of the interim relief is that the trustee must include a website address for the latest product dashboard either in, or in a document accompanying, the periodic statement. This also applies to periodic statements for members who are exiting the fund.</w:t>
      </w:r>
    </w:p>
    <w:p w14:paraId="1053E938" w14:textId="77777777" w:rsidR="007B4C6B" w:rsidRDefault="007B4C6B" w:rsidP="007B4C6B">
      <w:pPr>
        <w:spacing w:after="0"/>
        <w:rPr>
          <w:sz w:val="24"/>
          <w:szCs w:val="24"/>
        </w:rPr>
      </w:pPr>
    </w:p>
    <w:p w14:paraId="1053E939" w14:textId="77777777" w:rsidR="005B0E3A" w:rsidRPr="007B4C6B" w:rsidRDefault="005B0E3A" w:rsidP="005B0E3A">
      <w:pPr>
        <w:pStyle w:val="Heading3"/>
        <w:keepNext w:val="0"/>
        <w:widowControl w:val="0"/>
        <w:numPr>
          <w:ilvl w:val="0"/>
          <w:numId w:val="7"/>
        </w:numPr>
        <w:tabs>
          <w:tab w:val="left" w:pos="1592"/>
        </w:tabs>
        <w:spacing w:after="0" w:line="240" w:lineRule="auto"/>
        <w:ind w:left="0" w:firstLine="0"/>
        <w:jc w:val="left"/>
        <w:rPr>
          <w:rFonts w:eastAsia="Arial"/>
          <w:b/>
          <w:bCs/>
          <w:sz w:val="24"/>
          <w:szCs w:val="24"/>
        </w:rPr>
      </w:pPr>
      <w:bookmarkStart w:id="2" w:name="2._Purpose_of_the_class_order_"/>
      <w:bookmarkEnd w:id="2"/>
      <w:r w:rsidRPr="007B4C6B">
        <w:rPr>
          <w:b/>
          <w:spacing w:val="-1"/>
          <w:sz w:val="24"/>
          <w:szCs w:val="24"/>
        </w:rPr>
        <w:t>Purpose</w:t>
      </w:r>
      <w:r w:rsidRPr="007B4C6B">
        <w:rPr>
          <w:b/>
          <w:sz w:val="24"/>
          <w:szCs w:val="24"/>
        </w:rPr>
        <w:t xml:space="preserve"> of </w:t>
      </w:r>
      <w:r w:rsidRPr="007B4C6B">
        <w:rPr>
          <w:b/>
          <w:spacing w:val="-1"/>
          <w:sz w:val="24"/>
          <w:szCs w:val="24"/>
        </w:rPr>
        <w:t>the</w:t>
      </w:r>
      <w:r w:rsidRPr="007B4C6B">
        <w:rPr>
          <w:b/>
          <w:sz w:val="24"/>
          <w:szCs w:val="24"/>
        </w:rPr>
        <w:t xml:space="preserve"> </w:t>
      </w:r>
      <w:r w:rsidRPr="007B4C6B">
        <w:rPr>
          <w:b/>
          <w:spacing w:val="-1"/>
          <w:sz w:val="24"/>
          <w:szCs w:val="24"/>
        </w:rPr>
        <w:t>instrument</w:t>
      </w:r>
    </w:p>
    <w:p w14:paraId="1053E93A" w14:textId="77777777" w:rsidR="007B4C6B" w:rsidRPr="00944F9C" w:rsidRDefault="007B4C6B" w:rsidP="00944F9C">
      <w:pPr>
        <w:spacing w:after="0"/>
        <w:jc w:val="both"/>
        <w:rPr>
          <w:sz w:val="24"/>
          <w:szCs w:val="24"/>
        </w:rPr>
      </w:pPr>
    </w:p>
    <w:p w14:paraId="1053E93B" w14:textId="77777777" w:rsidR="00944F9C" w:rsidRDefault="00944F9C" w:rsidP="00944F9C">
      <w:pPr>
        <w:pStyle w:val="Default"/>
        <w:jc w:val="both"/>
      </w:pPr>
      <w:r w:rsidRPr="00944F9C">
        <w:t>The purpose of the Second Exemption is to address the compliance and administrative costs and the unreasonable burden imposed on trustees by including hard copies of product dashboards in periodic statements.</w:t>
      </w:r>
    </w:p>
    <w:p w14:paraId="1053E93C" w14:textId="77777777" w:rsidR="00944F9C" w:rsidRPr="00944F9C" w:rsidRDefault="00944F9C" w:rsidP="00944F9C">
      <w:pPr>
        <w:pStyle w:val="Default"/>
        <w:jc w:val="both"/>
      </w:pPr>
      <w:r w:rsidRPr="00944F9C">
        <w:t xml:space="preserve"> </w:t>
      </w:r>
    </w:p>
    <w:p w14:paraId="1053E93D" w14:textId="77777777" w:rsidR="00944F9C" w:rsidRDefault="00944F9C" w:rsidP="00944F9C">
      <w:pPr>
        <w:pStyle w:val="Default"/>
        <w:jc w:val="both"/>
      </w:pPr>
      <w:r w:rsidRPr="00944F9C">
        <w:t>This approach is consistent with policy. Product dashboards are required to be made publicly available on the trustee's website under section 1017BA of the Act. Providing a member a website address for the product dashboard on the trustee's website in the periodic statement is consistent with policy objectives and achieves more effective and efficient disclosure for members.</w:t>
      </w:r>
    </w:p>
    <w:p w14:paraId="1053E93E" w14:textId="77777777" w:rsidR="00944F9C" w:rsidRPr="00944F9C" w:rsidRDefault="00944F9C" w:rsidP="00944F9C">
      <w:pPr>
        <w:pStyle w:val="Default"/>
        <w:jc w:val="both"/>
      </w:pPr>
      <w:r w:rsidRPr="00944F9C">
        <w:t xml:space="preserve"> </w:t>
      </w:r>
    </w:p>
    <w:p w14:paraId="1053E93F" w14:textId="77777777" w:rsidR="00F21535" w:rsidRDefault="00944F9C" w:rsidP="00944F9C">
      <w:pPr>
        <w:pStyle w:val="Default"/>
        <w:jc w:val="both"/>
      </w:pPr>
      <w:r w:rsidRPr="00944F9C">
        <w:t xml:space="preserve">The exemption will apply to periodic statements given in relation to reporting periods ending before </w:t>
      </w:r>
      <w:r w:rsidR="009E361B">
        <w:t>1 July 2019</w:t>
      </w:r>
      <w:r w:rsidRPr="00944F9C">
        <w:t xml:space="preserve">, to allow for further consideration and consultation on the requirement in </w:t>
      </w:r>
      <w:proofErr w:type="spellStart"/>
      <w:r w:rsidRPr="00944F9C">
        <w:t>subregulation</w:t>
      </w:r>
      <w:proofErr w:type="spellEnd"/>
      <w:r w:rsidRPr="00944F9C">
        <w:t xml:space="preserve"> 7.9.20(1)(o) of the Regulations.</w:t>
      </w:r>
    </w:p>
    <w:p w14:paraId="1053E940" w14:textId="77777777" w:rsidR="00944F9C" w:rsidRPr="00944F9C" w:rsidRDefault="00944F9C" w:rsidP="00944F9C">
      <w:pPr>
        <w:pStyle w:val="Default"/>
        <w:jc w:val="both"/>
      </w:pPr>
      <w:r w:rsidRPr="00944F9C">
        <w:t xml:space="preserve"> </w:t>
      </w:r>
    </w:p>
    <w:p w14:paraId="1053E941" w14:textId="77777777" w:rsidR="007B4C6B" w:rsidRDefault="00944F9C" w:rsidP="00944F9C">
      <w:pPr>
        <w:spacing w:after="0"/>
        <w:jc w:val="both"/>
        <w:rPr>
          <w:sz w:val="24"/>
          <w:szCs w:val="24"/>
        </w:rPr>
      </w:pPr>
      <w:r w:rsidRPr="00944F9C">
        <w:rPr>
          <w:sz w:val="24"/>
          <w:szCs w:val="24"/>
        </w:rPr>
        <w:t xml:space="preserve">A purpose of the Instrument is to extend the Second Exemption in </w:t>
      </w:r>
      <w:r w:rsidR="00F21535">
        <w:rPr>
          <w:sz w:val="24"/>
          <w:szCs w:val="24"/>
        </w:rPr>
        <w:t>[</w:t>
      </w:r>
      <w:r w:rsidRPr="00944F9C">
        <w:rPr>
          <w:sz w:val="24"/>
          <w:szCs w:val="24"/>
        </w:rPr>
        <w:t>CO 13/1534</w:t>
      </w:r>
      <w:r w:rsidR="00F21535">
        <w:rPr>
          <w:sz w:val="24"/>
          <w:szCs w:val="24"/>
        </w:rPr>
        <w:t>]</w:t>
      </w:r>
      <w:r w:rsidRPr="00944F9C">
        <w:rPr>
          <w:sz w:val="24"/>
          <w:szCs w:val="24"/>
        </w:rPr>
        <w:t xml:space="preserve"> for a further </w:t>
      </w:r>
      <w:r w:rsidR="009E361B">
        <w:rPr>
          <w:sz w:val="24"/>
          <w:szCs w:val="24"/>
        </w:rPr>
        <w:t>two years</w:t>
      </w:r>
      <w:r w:rsidRPr="00944F9C">
        <w:rPr>
          <w:sz w:val="24"/>
          <w:szCs w:val="24"/>
        </w:rPr>
        <w:t xml:space="preserve"> so that it now applies to periodic statements for reporting p</w:t>
      </w:r>
      <w:r w:rsidR="009E361B">
        <w:rPr>
          <w:sz w:val="24"/>
          <w:szCs w:val="24"/>
        </w:rPr>
        <w:t>eriods ending before 1 July 2019</w:t>
      </w:r>
      <w:r w:rsidRPr="00944F9C">
        <w:rPr>
          <w:sz w:val="24"/>
          <w:szCs w:val="24"/>
        </w:rPr>
        <w:t>.</w:t>
      </w:r>
    </w:p>
    <w:p w14:paraId="1053E942" w14:textId="77777777" w:rsidR="00F21535" w:rsidRPr="00944F9C" w:rsidRDefault="00F21535" w:rsidP="00944F9C">
      <w:pPr>
        <w:spacing w:after="0"/>
        <w:jc w:val="both"/>
        <w:rPr>
          <w:sz w:val="24"/>
          <w:szCs w:val="24"/>
        </w:rPr>
      </w:pPr>
    </w:p>
    <w:p w14:paraId="1053E943" w14:textId="77777777" w:rsidR="007B4C6B" w:rsidRPr="00944F9C" w:rsidRDefault="00944F9C" w:rsidP="00944F9C">
      <w:pPr>
        <w:spacing w:after="0"/>
        <w:jc w:val="both"/>
        <w:rPr>
          <w:sz w:val="24"/>
          <w:szCs w:val="24"/>
        </w:rPr>
      </w:pPr>
      <w:r w:rsidRPr="00944F9C">
        <w:rPr>
          <w:sz w:val="24"/>
          <w:szCs w:val="24"/>
        </w:rPr>
        <w:t>If the Second Exemption in [CO 13/1534] is extended to apply to reporting p</w:t>
      </w:r>
      <w:r w:rsidR="009E361B">
        <w:rPr>
          <w:sz w:val="24"/>
          <w:szCs w:val="24"/>
        </w:rPr>
        <w:t>eriods ending before 1 July 2019</w:t>
      </w:r>
      <w:r w:rsidRPr="00944F9C">
        <w:rPr>
          <w:sz w:val="24"/>
          <w:szCs w:val="24"/>
        </w:rPr>
        <w:t xml:space="preserve">, this will align with the proposal to extend the choice product dashboard regime a </w:t>
      </w:r>
      <w:r w:rsidR="00F21535">
        <w:rPr>
          <w:sz w:val="24"/>
          <w:szCs w:val="24"/>
        </w:rPr>
        <w:t xml:space="preserve">further </w:t>
      </w:r>
      <w:r w:rsidR="009E361B">
        <w:rPr>
          <w:sz w:val="24"/>
          <w:szCs w:val="24"/>
        </w:rPr>
        <w:t>two years to 1 July 2019</w:t>
      </w:r>
      <w:r w:rsidR="00084324">
        <w:rPr>
          <w:sz w:val="24"/>
          <w:szCs w:val="24"/>
        </w:rPr>
        <w:t>, as examined later</w:t>
      </w:r>
      <w:r w:rsidRPr="00944F9C">
        <w:rPr>
          <w:sz w:val="24"/>
          <w:szCs w:val="24"/>
        </w:rPr>
        <w:t>.</w:t>
      </w:r>
    </w:p>
    <w:p w14:paraId="1053E944" w14:textId="77777777" w:rsidR="007B4C6B" w:rsidRDefault="007B4C6B" w:rsidP="007B4C6B">
      <w:pPr>
        <w:spacing w:after="0"/>
        <w:rPr>
          <w:sz w:val="24"/>
          <w:szCs w:val="24"/>
        </w:rPr>
      </w:pPr>
    </w:p>
    <w:p w14:paraId="1053E945" w14:textId="77777777" w:rsidR="005B0E3A" w:rsidRDefault="005B0E3A" w:rsidP="00444225">
      <w:pPr>
        <w:pStyle w:val="Heading3"/>
        <w:keepNext w:val="0"/>
        <w:widowControl w:val="0"/>
        <w:numPr>
          <w:ilvl w:val="0"/>
          <w:numId w:val="7"/>
        </w:numPr>
        <w:tabs>
          <w:tab w:val="left" w:pos="1593"/>
        </w:tabs>
        <w:spacing w:after="0" w:line="240" w:lineRule="auto"/>
        <w:ind w:left="0" w:firstLine="0"/>
        <w:jc w:val="left"/>
        <w:rPr>
          <w:b/>
          <w:sz w:val="24"/>
          <w:szCs w:val="24"/>
        </w:rPr>
      </w:pPr>
      <w:bookmarkStart w:id="3" w:name="3._Operation_of_the_class_order_"/>
      <w:bookmarkEnd w:id="3"/>
      <w:r w:rsidRPr="00444225">
        <w:rPr>
          <w:b/>
          <w:spacing w:val="-1"/>
          <w:sz w:val="24"/>
          <w:szCs w:val="24"/>
        </w:rPr>
        <w:t>Operation</w:t>
      </w:r>
      <w:r w:rsidRPr="00444225">
        <w:rPr>
          <w:b/>
          <w:sz w:val="24"/>
          <w:szCs w:val="24"/>
        </w:rPr>
        <w:t xml:space="preserve"> </w:t>
      </w:r>
      <w:r w:rsidRPr="00444225">
        <w:rPr>
          <w:b/>
          <w:spacing w:val="-1"/>
          <w:sz w:val="24"/>
          <w:szCs w:val="24"/>
        </w:rPr>
        <w:t>of</w:t>
      </w:r>
      <w:r w:rsidRPr="00444225">
        <w:rPr>
          <w:b/>
          <w:sz w:val="24"/>
          <w:szCs w:val="24"/>
        </w:rPr>
        <w:t xml:space="preserve"> </w:t>
      </w:r>
      <w:r w:rsidRPr="00444225">
        <w:rPr>
          <w:b/>
          <w:spacing w:val="-1"/>
          <w:sz w:val="24"/>
          <w:szCs w:val="24"/>
        </w:rPr>
        <w:t>the</w:t>
      </w:r>
      <w:r w:rsidRPr="00444225">
        <w:rPr>
          <w:b/>
          <w:sz w:val="24"/>
          <w:szCs w:val="24"/>
        </w:rPr>
        <w:t xml:space="preserve"> instrument</w:t>
      </w:r>
    </w:p>
    <w:p w14:paraId="1053E946" w14:textId="77777777" w:rsidR="00444225" w:rsidRPr="00444225" w:rsidRDefault="00444225" w:rsidP="00444225">
      <w:pPr>
        <w:spacing w:after="0"/>
      </w:pPr>
    </w:p>
    <w:p w14:paraId="1053E947" w14:textId="77777777" w:rsidR="005B0E3A" w:rsidRPr="00444225" w:rsidRDefault="00444225" w:rsidP="00444225">
      <w:pPr>
        <w:spacing w:after="0"/>
        <w:jc w:val="both"/>
        <w:rPr>
          <w:sz w:val="24"/>
          <w:szCs w:val="24"/>
        </w:rPr>
      </w:pPr>
      <w:r w:rsidRPr="00444225">
        <w:rPr>
          <w:sz w:val="24"/>
          <w:szCs w:val="24"/>
        </w:rPr>
        <w:t>The Instrument operates to extend the relief given from the requirement that periodic statements include, or are accompanied by, a product dashboard so that it applies to periodic statements with reporting per</w:t>
      </w:r>
      <w:r w:rsidR="00084324">
        <w:rPr>
          <w:sz w:val="24"/>
          <w:szCs w:val="24"/>
        </w:rPr>
        <w:t>iods that end before 1 July 2019</w:t>
      </w:r>
      <w:r w:rsidRPr="00444225">
        <w:rPr>
          <w:sz w:val="24"/>
          <w:szCs w:val="24"/>
        </w:rPr>
        <w:t>.</w:t>
      </w:r>
    </w:p>
    <w:p w14:paraId="1053E948" w14:textId="77777777" w:rsidR="005B0E3A" w:rsidRDefault="005B0E3A" w:rsidP="00444225">
      <w:pPr>
        <w:spacing w:after="0"/>
        <w:rPr>
          <w:sz w:val="24"/>
          <w:szCs w:val="24"/>
        </w:rPr>
      </w:pPr>
    </w:p>
    <w:p w14:paraId="1053E949" w14:textId="77777777" w:rsidR="005B0E3A" w:rsidRPr="00444225" w:rsidRDefault="00444225" w:rsidP="005B0E3A">
      <w:pPr>
        <w:pStyle w:val="Heading3"/>
        <w:keepNext w:val="0"/>
        <w:widowControl w:val="0"/>
        <w:numPr>
          <w:ilvl w:val="0"/>
          <w:numId w:val="7"/>
        </w:numPr>
        <w:tabs>
          <w:tab w:val="left" w:pos="1593"/>
        </w:tabs>
        <w:spacing w:after="0" w:line="240" w:lineRule="auto"/>
        <w:ind w:left="0" w:firstLine="0"/>
        <w:jc w:val="left"/>
        <w:rPr>
          <w:rFonts w:eastAsia="Arial"/>
          <w:b/>
          <w:bCs/>
          <w:sz w:val="24"/>
          <w:szCs w:val="24"/>
        </w:rPr>
      </w:pPr>
      <w:bookmarkStart w:id="4" w:name="4._Documents_incorporated_by_reference"/>
      <w:bookmarkEnd w:id="4"/>
      <w:r>
        <w:rPr>
          <w:b/>
          <w:spacing w:val="-1"/>
          <w:sz w:val="24"/>
          <w:szCs w:val="24"/>
        </w:rPr>
        <w:t>Consultation</w:t>
      </w:r>
    </w:p>
    <w:p w14:paraId="1053E94A" w14:textId="77777777" w:rsidR="00444225" w:rsidRDefault="00444225" w:rsidP="00444225">
      <w:pPr>
        <w:pStyle w:val="BodyText"/>
        <w:spacing w:before="0" w:line="240" w:lineRule="auto"/>
        <w:rPr>
          <w:sz w:val="22"/>
          <w:lang w:eastAsia="en-AU"/>
        </w:rPr>
      </w:pPr>
    </w:p>
    <w:p w14:paraId="0B86F389" w14:textId="77777777" w:rsidR="0082240D" w:rsidRDefault="00444225" w:rsidP="00444225">
      <w:pPr>
        <w:spacing w:after="0"/>
        <w:jc w:val="both"/>
        <w:rPr>
          <w:sz w:val="23"/>
          <w:szCs w:val="23"/>
        </w:rPr>
      </w:pPr>
      <w:r>
        <w:rPr>
          <w:sz w:val="23"/>
          <w:szCs w:val="23"/>
        </w:rPr>
        <w:t xml:space="preserve">ASIC did not undertake a public consultation process with respect to extending the operation of the Second Exemption of [CO 13/1534] as it is a minor modification to extend the duration of the interim relief. The purpose of extending the interim relief is to enable further consideration as to how best to clarify obligations relating to product dashboards. </w:t>
      </w:r>
    </w:p>
    <w:p w14:paraId="4484703B" w14:textId="77777777" w:rsidR="0082240D" w:rsidRDefault="0082240D" w:rsidP="00444225">
      <w:pPr>
        <w:spacing w:after="0"/>
        <w:jc w:val="both"/>
        <w:rPr>
          <w:sz w:val="23"/>
          <w:szCs w:val="23"/>
        </w:rPr>
      </w:pPr>
    </w:p>
    <w:p w14:paraId="1053E94B" w14:textId="07364B84" w:rsidR="00444225" w:rsidRDefault="0082240D" w:rsidP="00444225">
      <w:pPr>
        <w:spacing w:after="0"/>
        <w:jc w:val="both"/>
        <w:rPr>
          <w:sz w:val="23"/>
          <w:szCs w:val="23"/>
        </w:rPr>
      </w:pPr>
      <w:r>
        <w:rPr>
          <w:sz w:val="23"/>
          <w:szCs w:val="23"/>
        </w:rPr>
        <w:t>ASIC</w:t>
      </w:r>
      <w:r w:rsidR="00444225">
        <w:rPr>
          <w:sz w:val="23"/>
          <w:szCs w:val="23"/>
        </w:rPr>
        <w:t xml:space="preserve"> consulted with the Treasury</w:t>
      </w:r>
      <w:r>
        <w:rPr>
          <w:sz w:val="23"/>
          <w:szCs w:val="23"/>
        </w:rPr>
        <w:t xml:space="preserve"> who were supportive of the proposed</w:t>
      </w:r>
      <w:r w:rsidR="00444225">
        <w:rPr>
          <w:sz w:val="23"/>
          <w:szCs w:val="23"/>
        </w:rPr>
        <w:t xml:space="preserve"> </w:t>
      </w:r>
      <w:r w:rsidR="00C7320E">
        <w:rPr>
          <w:sz w:val="23"/>
          <w:szCs w:val="23"/>
        </w:rPr>
        <w:t>extension.</w:t>
      </w:r>
    </w:p>
    <w:p w14:paraId="1053E94C" w14:textId="77777777" w:rsidR="00C7320E" w:rsidRDefault="00C7320E" w:rsidP="00444225">
      <w:pPr>
        <w:spacing w:after="0"/>
        <w:jc w:val="both"/>
        <w:rPr>
          <w:sz w:val="23"/>
          <w:szCs w:val="23"/>
        </w:rPr>
      </w:pPr>
    </w:p>
    <w:p w14:paraId="1053E94D" w14:textId="6A4E6EF2" w:rsidR="00C7320E" w:rsidRPr="00A62498" w:rsidRDefault="00C7320E" w:rsidP="00A62498">
      <w:pPr>
        <w:spacing w:after="0"/>
        <w:jc w:val="both"/>
        <w:rPr>
          <w:bCs/>
          <w:sz w:val="24"/>
          <w:szCs w:val="24"/>
        </w:rPr>
      </w:pPr>
      <w:r w:rsidRPr="00A62498">
        <w:rPr>
          <w:b/>
          <w:bCs/>
          <w:sz w:val="24"/>
          <w:szCs w:val="24"/>
        </w:rPr>
        <w:t>B.</w:t>
      </w:r>
      <w:r w:rsidR="00EC7E66">
        <w:rPr>
          <w:b/>
          <w:bCs/>
          <w:sz w:val="24"/>
          <w:szCs w:val="24"/>
        </w:rPr>
        <w:tab/>
        <w:t xml:space="preserve">Amendments to ASIC Class </w:t>
      </w:r>
      <w:proofErr w:type="gramStart"/>
      <w:r w:rsidR="00EC7E66">
        <w:rPr>
          <w:b/>
          <w:bCs/>
          <w:sz w:val="24"/>
          <w:szCs w:val="24"/>
        </w:rPr>
        <w:t>Order</w:t>
      </w:r>
      <w:r w:rsidRPr="00A62498">
        <w:rPr>
          <w:b/>
          <w:bCs/>
          <w:sz w:val="24"/>
          <w:szCs w:val="24"/>
        </w:rPr>
        <w:t>[</w:t>
      </w:r>
      <w:proofErr w:type="gramEnd"/>
      <w:r w:rsidRPr="00A62498">
        <w:rPr>
          <w:b/>
          <w:bCs/>
          <w:sz w:val="24"/>
          <w:szCs w:val="24"/>
        </w:rPr>
        <w:t>CO 14/443]</w:t>
      </w:r>
    </w:p>
    <w:p w14:paraId="1053E94E" w14:textId="77777777" w:rsidR="00A62498" w:rsidRPr="00A62498" w:rsidRDefault="00A62498" w:rsidP="00A62498">
      <w:pPr>
        <w:spacing w:after="0"/>
        <w:jc w:val="both"/>
        <w:rPr>
          <w:bCs/>
          <w:sz w:val="24"/>
          <w:szCs w:val="24"/>
        </w:rPr>
      </w:pPr>
    </w:p>
    <w:p w14:paraId="1053E94F" w14:textId="77777777" w:rsidR="00C7320E" w:rsidRPr="00A62498" w:rsidRDefault="00C7320E" w:rsidP="004D346E">
      <w:pPr>
        <w:widowControl w:val="0"/>
        <w:tabs>
          <w:tab w:val="left" w:pos="1592"/>
        </w:tabs>
        <w:spacing w:after="0"/>
        <w:jc w:val="both"/>
        <w:rPr>
          <w:rFonts w:eastAsia="Arial"/>
          <w:sz w:val="24"/>
          <w:szCs w:val="24"/>
        </w:rPr>
      </w:pPr>
      <w:r w:rsidRPr="00A62498">
        <w:rPr>
          <w:b/>
          <w:spacing w:val="-1"/>
          <w:sz w:val="24"/>
          <w:szCs w:val="24"/>
        </w:rPr>
        <w:t>1.</w:t>
      </w:r>
      <w:r w:rsidRPr="00A62498">
        <w:rPr>
          <w:b/>
          <w:spacing w:val="-1"/>
          <w:sz w:val="24"/>
          <w:szCs w:val="24"/>
        </w:rPr>
        <w:tab/>
        <w:t>Background</w:t>
      </w:r>
      <w:r w:rsidRPr="00A62498">
        <w:rPr>
          <w:i/>
          <w:color w:val="0000FF"/>
          <w:spacing w:val="-1"/>
          <w:sz w:val="24"/>
          <w:szCs w:val="24"/>
        </w:rPr>
        <w:t xml:space="preserve"> </w:t>
      </w:r>
    </w:p>
    <w:p w14:paraId="1053E950" w14:textId="77777777" w:rsidR="00C7320E" w:rsidRPr="00A62498" w:rsidRDefault="00C7320E" w:rsidP="004D346E">
      <w:pPr>
        <w:spacing w:after="0"/>
        <w:jc w:val="both"/>
        <w:rPr>
          <w:bCs/>
          <w:sz w:val="24"/>
          <w:szCs w:val="24"/>
        </w:rPr>
      </w:pPr>
    </w:p>
    <w:p w14:paraId="1053E951" w14:textId="77777777" w:rsidR="004D346E" w:rsidRPr="004D346E" w:rsidRDefault="004D346E" w:rsidP="00832A8B">
      <w:pPr>
        <w:shd w:val="clear" w:color="auto" w:fill="FFFFFF"/>
        <w:spacing w:after="0"/>
        <w:jc w:val="both"/>
        <w:rPr>
          <w:sz w:val="24"/>
          <w:szCs w:val="24"/>
          <w:lang w:val="en-US"/>
        </w:rPr>
      </w:pPr>
      <w:r w:rsidRPr="004D346E">
        <w:rPr>
          <w:sz w:val="24"/>
          <w:szCs w:val="24"/>
        </w:rPr>
        <w:t xml:space="preserve">The </w:t>
      </w:r>
      <w:r w:rsidRPr="004D346E">
        <w:rPr>
          <w:i/>
          <w:iCs/>
          <w:sz w:val="24"/>
          <w:szCs w:val="24"/>
        </w:rPr>
        <w:t xml:space="preserve">Superannuation Legislation Amendment (Further </w:t>
      </w:r>
      <w:proofErr w:type="spellStart"/>
      <w:r w:rsidRPr="004D346E">
        <w:rPr>
          <w:i/>
          <w:iCs/>
          <w:sz w:val="24"/>
          <w:szCs w:val="24"/>
        </w:rPr>
        <w:t>MySuper</w:t>
      </w:r>
      <w:proofErr w:type="spellEnd"/>
      <w:r w:rsidRPr="004D346E">
        <w:rPr>
          <w:i/>
          <w:iCs/>
          <w:sz w:val="24"/>
          <w:szCs w:val="24"/>
        </w:rPr>
        <w:t xml:space="preserve"> and Transparency Measures) Act 2012</w:t>
      </w:r>
      <w:r w:rsidRPr="004D346E">
        <w:rPr>
          <w:sz w:val="24"/>
          <w:szCs w:val="24"/>
        </w:rPr>
        <w:t xml:space="preserve"> amended the Act, including by requiring trustees of certain superannuation funds to:</w:t>
      </w:r>
    </w:p>
    <w:p w14:paraId="1053E952" w14:textId="77777777" w:rsidR="004D346E" w:rsidRPr="00832A8B" w:rsidRDefault="004D346E" w:rsidP="00832A8B">
      <w:pPr>
        <w:shd w:val="clear" w:color="auto" w:fill="FFFFFF"/>
        <w:spacing w:after="0"/>
        <w:ind w:left="1701" w:hanging="567"/>
        <w:jc w:val="both"/>
        <w:rPr>
          <w:sz w:val="24"/>
          <w:szCs w:val="24"/>
        </w:rPr>
      </w:pPr>
      <w:r w:rsidRPr="004D346E">
        <w:rPr>
          <w:sz w:val="24"/>
          <w:szCs w:val="24"/>
        </w:rPr>
        <w:lastRenderedPageBreak/>
        <w:t xml:space="preserve">(a)     </w:t>
      </w:r>
      <w:proofErr w:type="gramStart"/>
      <w:r w:rsidRPr="004D346E">
        <w:rPr>
          <w:sz w:val="24"/>
          <w:szCs w:val="24"/>
        </w:rPr>
        <w:t>publish</w:t>
      </w:r>
      <w:proofErr w:type="gramEnd"/>
      <w:r w:rsidRPr="004D346E">
        <w:rPr>
          <w:sz w:val="24"/>
          <w:szCs w:val="24"/>
        </w:rPr>
        <w:t xml:space="preserve"> on the fund's website a product dashboard which provides summary information for consumers about the fund's </w:t>
      </w:r>
      <w:proofErr w:type="spellStart"/>
      <w:r w:rsidRPr="004D346E">
        <w:rPr>
          <w:sz w:val="24"/>
          <w:szCs w:val="24"/>
        </w:rPr>
        <w:t>MySuper</w:t>
      </w:r>
      <w:proofErr w:type="spellEnd"/>
      <w:r w:rsidRPr="004D346E">
        <w:rPr>
          <w:sz w:val="24"/>
          <w:szCs w:val="24"/>
        </w:rPr>
        <w:t xml:space="preserve"> and choice products; and</w:t>
      </w:r>
    </w:p>
    <w:p w14:paraId="1053E953" w14:textId="77777777" w:rsidR="00832A8B" w:rsidRPr="004D346E" w:rsidRDefault="00832A8B" w:rsidP="00832A8B">
      <w:pPr>
        <w:shd w:val="clear" w:color="auto" w:fill="FFFFFF"/>
        <w:spacing w:after="0"/>
        <w:ind w:left="1701" w:hanging="567"/>
        <w:jc w:val="both"/>
        <w:rPr>
          <w:sz w:val="24"/>
          <w:szCs w:val="24"/>
          <w:lang w:val="en-US"/>
        </w:rPr>
      </w:pPr>
    </w:p>
    <w:p w14:paraId="1053E954" w14:textId="77777777" w:rsidR="00DE17C7" w:rsidRPr="00832A8B" w:rsidRDefault="00BE074E" w:rsidP="00832A8B">
      <w:pPr>
        <w:shd w:val="clear" w:color="auto" w:fill="FFFFFF"/>
        <w:spacing w:after="0"/>
        <w:ind w:left="1701" w:hanging="567"/>
        <w:jc w:val="both"/>
        <w:rPr>
          <w:sz w:val="24"/>
          <w:szCs w:val="24"/>
          <w:lang w:val="en-US"/>
        </w:rPr>
      </w:pPr>
      <w:r>
        <w:rPr>
          <w:sz w:val="24"/>
          <w:szCs w:val="24"/>
        </w:rPr>
        <w:t xml:space="preserve">(b)   </w:t>
      </w:r>
      <w:proofErr w:type="gramStart"/>
      <w:r w:rsidR="004D346E" w:rsidRPr="004D346E">
        <w:rPr>
          <w:sz w:val="24"/>
          <w:szCs w:val="24"/>
        </w:rPr>
        <w:t>publish</w:t>
      </w:r>
      <w:proofErr w:type="gramEnd"/>
      <w:r w:rsidR="004D346E" w:rsidRPr="004D346E">
        <w:rPr>
          <w:sz w:val="24"/>
          <w:szCs w:val="24"/>
        </w:rPr>
        <w:t xml:space="preserve"> full portfolio holdings for the fund on the fund's website twice annually.</w:t>
      </w:r>
    </w:p>
    <w:p w14:paraId="1053E955" w14:textId="77777777" w:rsidR="00DE17C7" w:rsidRPr="00832A8B" w:rsidRDefault="00DE17C7" w:rsidP="00832A8B">
      <w:pPr>
        <w:shd w:val="clear" w:color="auto" w:fill="FFFFFF"/>
        <w:spacing w:after="0"/>
        <w:jc w:val="both"/>
        <w:rPr>
          <w:sz w:val="24"/>
          <w:szCs w:val="24"/>
          <w:lang w:val="en-US"/>
        </w:rPr>
      </w:pPr>
    </w:p>
    <w:p w14:paraId="1053E956" w14:textId="77777777" w:rsidR="00DE17C7" w:rsidRPr="00832A8B" w:rsidRDefault="00DE17C7" w:rsidP="00832A8B">
      <w:pPr>
        <w:shd w:val="clear" w:color="auto" w:fill="FFFFFF"/>
        <w:spacing w:after="0"/>
        <w:jc w:val="both"/>
        <w:rPr>
          <w:sz w:val="24"/>
          <w:szCs w:val="24"/>
          <w:lang w:val="en-US"/>
        </w:rPr>
      </w:pPr>
      <w:r w:rsidRPr="00DE17C7">
        <w:rPr>
          <w:sz w:val="24"/>
          <w:szCs w:val="24"/>
        </w:rPr>
        <w:t>ASIC extended the original start date for the commencement of the product dashboard provisions for choice products to 1 July 2015 and the first reporting day for the portfolio holdings disclosure provisions to 31 December 2015 under ASIC Class Order [CO 14/443]</w:t>
      </w:r>
      <w:r w:rsidRPr="00DE17C7">
        <w:rPr>
          <w:i/>
          <w:iCs/>
          <w:sz w:val="24"/>
          <w:szCs w:val="24"/>
        </w:rPr>
        <w:t xml:space="preserve"> </w:t>
      </w:r>
      <w:r w:rsidRPr="00DE17C7">
        <w:rPr>
          <w:sz w:val="24"/>
          <w:szCs w:val="24"/>
        </w:rPr>
        <w:t>[</w:t>
      </w:r>
      <w:r w:rsidRPr="00832A8B">
        <w:rPr>
          <w:b/>
          <w:bCs/>
          <w:sz w:val="24"/>
          <w:szCs w:val="24"/>
        </w:rPr>
        <w:t>CO 14/</w:t>
      </w:r>
      <w:r w:rsidRPr="00DE17C7">
        <w:rPr>
          <w:b/>
          <w:bCs/>
          <w:sz w:val="24"/>
          <w:szCs w:val="24"/>
        </w:rPr>
        <w:t>443</w:t>
      </w:r>
      <w:r w:rsidRPr="00DE17C7">
        <w:rPr>
          <w:sz w:val="24"/>
          <w:szCs w:val="24"/>
        </w:rPr>
        <w:t xml:space="preserve">].  Under </w:t>
      </w:r>
      <w:r w:rsidRPr="00DE17C7">
        <w:rPr>
          <w:i/>
          <w:iCs/>
          <w:sz w:val="24"/>
          <w:szCs w:val="24"/>
        </w:rPr>
        <w:t>ASIC Corporations (Amendment No. 2) Instrument 2015/338</w:t>
      </w:r>
      <w:r w:rsidRPr="00DE17C7">
        <w:rPr>
          <w:sz w:val="24"/>
          <w:szCs w:val="24"/>
        </w:rPr>
        <w:t>, ASIC subsequently further extended the commencement date of the product dashboard provisions for choice products to 1 July 2016 and the first reporting day for portfolio holdings disclosure</w:t>
      </w:r>
      <w:r w:rsidRPr="00832A8B">
        <w:rPr>
          <w:sz w:val="24"/>
          <w:szCs w:val="24"/>
        </w:rPr>
        <w:t xml:space="preserve"> provisions to 31 December 2016. Under </w:t>
      </w:r>
      <w:r w:rsidRPr="00832A8B">
        <w:rPr>
          <w:i/>
          <w:sz w:val="24"/>
          <w:szCs w:val="24"/>
        </w:rPr>
        <w:t>ASIC Corporations (Amendment) Instrument 2016/351</w:t>
      </w:r>
      <w:r w:rsidRPr="00832A8B">
        <w:rPr>
          <w:sz w:val="24"/>
          <w:szCs w:val="24"/>
        </w:rPr>
        <w:t>, the commencement date of the product dashboard provisions for choice products was extended further to 1 July 2017 and the first reporting day for portfolio holdings disclosure provisions was extended again to 31 December 2017.</w:t>
      </w:r>
    </w:p>
    <w:p w14:paraId="1053E957" w14:textId="77777777" w:rsidR="00DE17C7" w:rsidRPr="00832A8B" w:rsidRDefault="00DE17C7" w:rsidP="00832A8B">
      <w:pPr>
        <w:shd w:val="clear" w:color="auto" w:fill="FFFFFF"/>
        <w:spacing w:after="0"/>
        <w:jc w:val="both"/>
        <w:rPr>
          <w:sz w:val="24"/>
          <w:szCs w:val="24"/>
          <w:lang w:val="en-US"/>
        </w:rPr>
      </w:pPr>
    </w:p>
    <w:p w14:paraId="1053E958" w14:textId="77777777" w:rsidR="00DE17C7" w:rsidRPr="00832A8B" w:rsidRDefault="00DE17C7" w:rsidP="00832A8B">
      <w:pPr>
        <w:shd w:val="clear" w:color="auto" w:fill="FFFFFF"/>
        <w:spacing w:after="0"/>
        <w:jc w:val="both"/>
        <w:rPr>
          <w:sz w:val="24"/>
          <w:szCs w:val="24"/>
          <w:lang w:val="en-US"/>
        </w:rPr>
      </w:pPr>
      <w:r w:rsidRPr="00DE17C7">
        <w:rPr>
          <w:sz w:val="24"/>
          <w:szCs w:val="24"/>
        </w:rPr>
        <w:t>In the absence of regulations or amending legislation to fully implement these reforms, ASIC facilitated the deferrals and provided industry with the necessary legal certainty by making the class order and the subsequent amendment.</w:t>
      </w:r>
    </w:p>
    <w:p w14:paraId="1053E959" w14:textId="77777777" w:rsidR="00DE17C7" w:rsidRPr="00832A8B" w:rsidRDefault="00DE17C7" w:rsidP="00832A8B">
      <w:pPr>
        <w:shd w:val="clear" w:color="auto" w:fill="FFFFFF"/>
        <w:spacing w:after="0"/>
        <w:jc w:val="both"/>
        <w:rPr>
          <w:sz w:val="24"/>
          <w:szCs w:val="24"/>
          <w:lang w:val="en-US"/>
        </w:rPr>
      </w:pPr>
    </w:p>
    <w:p w14:paraId="1053E95A" w14:textId="77777777" w:rsidR="00DE17C7" w:rsidRPr="00832A8B" w:rsidRDefault="00DE17C7" w:rsidP="00832A8B">
      <w:pPr>
        <w:shd w:val="clear" w:color="auto" w:fill="FFFFFF"/>
        <w:spacing w:after="0"/>
        <w:jc w:val="both"/>
        <w:rPr>
          <w:sz w:val="24"/>
          <w:szCs w:val="24"/>
          <w:lang w:val="en-US"/>
        </w:rPr>
      </w:pPr>
      <w:r w:rsidRPr="00DE17C7">
        <w:rPr>
          <w:i/>
          <w:iCs/>
          <w:sz w:val="24"/>
          <w:szCs w:val="24"/>
          <w:u w:val="single"/>
        </w:rPr>
        <w:t xml:space="preserve">Product dashboard requirements for choice products </w:t>
      </w:r>
    </w:p>
    <w:p w14:paraId="1053E95B" w14:textId="77777777" w:rsidR="00DE17C7" w:rsidRPr="00832A8B" w:rsidRDefault="00DE17C7" w:rsidP="00832A8B">
      <w:pPr>
        <w:shd w:val="clear" w:color="auto" w:fill="FFFFFF"/>
        <w:spacing w:after="0"/>
        <w:jc w:val="both"/>
        <w:rPr>
          <w:sz w:val="24"/>
          <w:szCs w:val="24"/>
          <w:lang w:val="en-US"/>
        </w:rPr>
      </w:pPr>
    </w:p>
    <w:p w14:paraId="1053E95C" w14:textId="77777777" w:rsidR="00832A8B" w:rsidRPr="00832A8B" w:rsidRDefault="00DE17C7" w:rsidP="00832A8B">
      <w:pPr>
        <w:shd w:val="clear" w:color="auto" w:fill="FFFFFF"/>
        <w:spacing w:after="0"/>
        <w:jc w:val="both"/>
        <w:rPr>
          <w:sz w:val="24"/>
          <w:szCs w:val="24"/>
        </w:rPr>
      </w:pPr>
      <w:r w:rsidRPr="00DE17C7">
        <w:rPr>
          <w:sz w:val="24"/>
          <w:szCs w:val="24"/>
        </w:rPr>
        <w:t xml:space="preserve">The product dashboard provides key information about a </w:t>
      </w:r>
      <w:proofErr w:type="spellStart"/>
      <w:r w:rsidRPr="00DE17C7">
        <w:rPr>
          <w:sz w:val="24"/>
          <w:szCs w:val="24"/>
        </w:rPr>
        <w:t>MySuper</w:t>
      </w:r>
      <w:proofErr w:type="spellEnd"/>
      <w:r w:rsidRPr="00DE17C7">
        <w:rPr>
          <w:sz w:val="24"/>
          <w:szCs w:val="24"/>
        </w:rPr>
        <w:t xml:space="preserve"> product or a choice product. The product dashboard requirements are set o</w:t>
      </w:r>
      <w:r w:rsidR="00832A8B" w:rsidRPr="00832A8B">
        <w:rPr>
          <w:sz w:val="24"/>
          <w:szCs w:val="24"/>
        </w:rPr>
        <w:t>ut in section 1017BA of the Act.</w:t>
      </w:r>
    </w:p>
    <w:p w14:paraId="1053E95D" w14:textId="77777777" w:rsidR="00832A8B" w:rsidRPr="00832A8B" w:rsidRDefault="00832A8B" w:rsidP="00832A8B">
      <w:pPr>
        <w:shd w:val="clear" w:color="auto" w:fill="FFFFFF"/>
        <w:spacing w:after="0"/>
        <w:jc w:val="both"/>
        <w:rPr>
          <w:sz w:val="24"/>
          <w:szCs w:val="24"/>
        </w:rPr>
      </w:pPr>
    </w:p>
    <w:p w14:paraId="1053E95E" w14:textId="77777777" w:rsidR="00832A8B" w:rsidRPr="00832A8B" w:rsidRDefault="00832A8B" w:rsidP="00832A8B">
      <w:pPr>
        <w:shd w:val="clear" w:color="auto" w:fill="FFFFFF"/>
        <w:spacing w:after="0"/>
        <w:jc w:val="both"/>
        <w:rPr>
          <w:sz w:val="24"/>
          <w:szCs w:val="24"/>
        </w:rPr>
      </w:pPr>
      <w:r w:rsidRPr="00832A8B">
        <w:rPr>
          <w:sz w:val="24"/>
          <w:szCs w:val="24"/>
        </w:rPr>
        <w:t xml:space="preserve">The product dashboard was intended to assist members and other users to more easily compare products and make informed choices. The product dashboard requirements took effect for </w:t>
      </w:r>
      <w:proofErr w:type="spellStart"/>
      <w:r w:rsidRPr="00832A8B">
        <w:rPr>
          <w:sz w:val="24"/>
          <w:szCs w:val="24"/>
        </w:rPr>
        <w:t>MySuper</w:t>
      </w:r>
      <w:proofErr w:type="spellEnd"/>
      <w:r w:rsidRPr="00832A8B">
        <w:rPr>
          <w:sz w:val="24"/>
          <w:szCs w:val="24"/>
        </w:rPr>
        <w:t xml:space="preserve"> products on 31 December 2013 and the requirements for choice products were originally intended to take effect on 1 July 2014. In June 2013, the government made regulations — the </w:t>
      </w:r>
      <w:r w:rsidRPr="00832A8B">
        <w:rPr>
          <w:i/>
          <w:iCs/>
          <w:sz w:val="24"/>
          <w:szCs w:val="24"/>
        </w:rPr>
        <w:t>Superannuation Legislation Amendment (</w:t>
      </w:r>
      <w:proofErr w:type="spellStart"/>
      <w:r w:rsidRPr="00832A8B">
        <w:rPr>
          <w:i/>
          <w:iCs/>
          <w:sz w:val="24"/>
          <w:szCs w:val="24"/>
        </w:rPr>
        <w:t>MySuper</w:t>
      </w:r>
      <w:proofErr w:type="spellEnd"/>
      <w:r w:rsidRPr="00832A8B">
        <w:rPr>
          <w:i/>
          <w:iCs/>
          <w:sz w:val="24"/>
          <w:szCs w:val="24"/>
        </w:rPr>
        <w:t xml:space="preserve"> Measures) Regulation 2013</w:t>
      </w:r>
      <w:r w:rsidR="00BE074E">
        <w:rPr>
          <w:sz w:val="24"/>
          <w:szCs w:val="24"/>
        </w:rPr>
        <w:t xml:space="preserve"> — that specified</w:t>
      </w:r>
      <w:r w:rsidRPr="00832A8B">
        <w:rPr>
          <w:sz w:val="24"/>
          <w:szCs w:val="24"/>
        </w:rPr>
        <w:t xml:space="preserve"> the detailed requirements regarding the presentation and content of the information in a product dashboard for a </w:t>
      </w:r>
      <w:proofErr w:type="spellStart"/>
      <w:r w:rsidRPr="00832A8B">
        <w:rPr>
          <w:sz w:val="24"/>
          <w:szCs w:val="24"/>
        </w:rPr>
        <w:t>MySuper</w:t>
      </w:r>
      <w:proofErr w:type="spellEnd"/>
      <w:r w:rsidRPr="00832A8B">
        <w:rPr>
          <w:sz w:val="24"/>
          <w:szCs w:val="24"/>
        </w:rPr>
        <w:t xml:space="preserve"> product. However, corresponding regulations have yet to be made for the product dashboard requirements in relation to choi</w:t>
      </w:r>
      <w:r w:rsidR="00BE074E">
        <w:rPr>
          <w:sz w:val="24"/>
          <w:szCs w:val="24"/>
        </w:rPr>
        <w:t xml:space="preserve">ce products. The government </w:t>
      </w:r>
      <w:r w:rsidRPr="00832A8B">
        <w:rPr>
          <w:sz w:val="24"/>
          <w:szCs w:val="24"/>
        </w:rPr>
        <w:t xml:space="preserve">consulted on draft regulations for choice dashboards, as well as changes to the legislation. The </w:t>
      </w:r>
      <w:r w:rsidRPr="00832A8B">
        <w:rPr>
          <w:i/>
          <w:sz w:val="24"/>
          <w:szCs w:val="24"/>
        </w:rPr>
        <w:t>Superannuation Legislation Amendment (Transparency Measures) Bill 2016</w:t>
      </w:r>
      <w:r w:rsidRPr="00832A8B">
        <w:rPr>
          <w:i/>
          <w:iCs/>
          <w:sz w:val="24"/>
          <w:szCs w:val="24"/>
        </w:rPr>
        <w:t>¸</w:t>
      </w:r>
      <w:r w:rsidR="00BE074E">
        <w:rPr>
          <w:sz w:val="24"/>
          <w:szCs w:val="24"/>
        </w:rPr>
        <w:t xml:space="preserve"> which included</w:t>
      </w:r>
      <w:r w:rsidRPr="00832A8B">
        <w:rPr>
          <w:sz w:val="24"/>
          <w:szCs w:val="24"/>
        </w:rPr>
        <w:t xml:space="preserve"> changes to the start</w:t>
      </w:r>
      <w:r w:rsidR="00154EE9">
        <w:rPr>
          <w:sz w:val="24"/>
          <w:szCs w:val="24"/>
        </w:rPr>
        <w:t xml:space="preserve"> dates for the choice dashboard </w:t>
      </w:r>
      <w:proofErr w:type="gramStart"/>
      <w:r w:rsidRPr="00832A8B">
        <w:rPr>
          <w:sz w:val="24"/>
          <w:szCs w:val="24"/>
        </w:rPr>
        <w:t>requirements,</w:t>
      </w:r>
      <w:proofErr w:type="gramEnd"/>
      <w:r w:rsidRPr="00832A8B">
        <w:rPr>
          <w:i/>
          <w:iCs/>
          <w:sz w:val="24"/>
          <w:szCs w:val="24"/>
        </w:rPr>
        <w:t xml:space="preserve"> </w:t>
      </w:r>
      <w:r w:rsidRPr="00832A8B">
        <w:rPr>
          <w:sz w:val="24"/>
          <w:szCs w:val="24"/>
        </w:rPr>
        <w:t xml:space="preserve">was introduced into parliament on 17 March 2016 but </w:t>
      </w:r>
      <w:r w:rsidR="00BE074E">
        <w:rPr>
          <w:sz w:val="24"/>
          <w:szCs w:val="24"/>
        </w:rPr>
        <w:t>lapsed</w:t>
      </w:r>
      <w:r w:rsidR="00142BFB">
        <w:rPr>
          <w:sz w:val="24"/>
          <w:szCs w:val="24"/>
        </w:rPr>
        <w:t xml:space="preserve"> when Parliament was suspended on 15 April 2016</w:t>
      </w:r>
      <w:r w:rsidRPr="00832A8B">
        <w:rPr>
          <w:sz w:val="24"/>
          <w:szCs w:val="24"/>
        </w:rPr>
        <w:t>.</w:t>
      </w:r>
    </w:p>
    <w:p w14:paraId="1053E95F" w14:textId="77777777" w:rsidR="00832A8B" w:rsidRPr="00832A8B" w:rsidRDefault="00832A8B" w:rsidP="00832A8B">
      <w:pPr>
        <w:shd w:val="clear" w:color="auto" w:fill="FFFFFF"/>
        <w:spacing w:after="0"/>
        <w:jc w:val="both"/>
        <w:rPr>
          <w:sz w:val="24"/>
          <w:szCs w:val="24"/>
        </w:rPr>
      </w:pPr>
    </w:p>
    <w:p w14:paraId="1053E960" w14:textId="77777777" w:rsidR="00832A8B" w:rsidRPr="00832A8B" w:rsidRDefault="00832A8B" w:rsidP="00832A8B">
      <w:pPr>
        <w:shd w:val="clear" w:color="auto" w:fill="FFFFFF"/>
        <w:spacing w:after="0"/>
        <w:jc w:val="both"/>
        <w:rPr>
          <w:sz w:val="24"/>
          <w:szCs w:val="24"/>
          <w:lang w:val="en-US"/>
        </w:rPr>
      </w:pPr>
      <w:r w:rsidRPr="00832A8B">
        <w:rPr>
          <w:i/>
          <w:iCs/>
          <w:sz w:val="24"/>
          <w:szCs w:val="24"/>
          <w:u w:val="single"/>
        </w:rPr>
        <w:t>Portfolio holdings disclosure requirements</w:t>
      </w:r>
    </w:p>
    <w:p w14:paraId="1053E961" w14:textId="77777777" w:rsidR="00832A8B" w:rsidRPr="00832A8B" w:rsidRDefault="00832A8B" w:rsidP="00832A8B">
      <w:pPr>
        <w:shd w:val="clear" w:color="auto" w:fill="FFFFFF"/>
        <w:spacing w:after="0"/>
        <w:jc w:val="both"/>
        <w:rPr>
          <w:sz w:val="24"/>
          <w:szCs w:val="24"/>
          <w:lang w:val="en-US"/>
        </w:rPr>
      </w:pPr>
    </w:p>
    <w:p w14:paraId="1053E962" w14:textId="77777777" w:rsidR="00832A8B" w:rsidRPr="00832A8B" w:rsidRDefault="00832A8B" w:rsidP="00832A8B">
      <w:pPr>
        <w:shd w:val="clear" w:color="auto" w:fill="FFFFFF"/>
        <w:spacing w:after="0"/>
        <w:jc w:val="both"/>
        <w:rPr>
          <w:sz w:val="24"/>
          <w:szCs w:val="24"/>
          <w:lang w:val="en-US"/>
        </w:rPr>
      </w:pPr>
      <w:r w:rsidRPr="00832A8B">
        <w:rPr>
          <w:sz w:val="24"/>
          <w:szCs w:val="24"/>
        </w:rPr>
        <w:t>The portfolio holdings disclosure requirements were designed to provide greater transparency in the superannuation industry and to allow members to understand where their superannuation is invested. The benefits of these requirements would include enabling members and analysts to assess the level of diversification and risk in particular superannuation products.</w:t>
      </w:r>
    </w:p>
    <w:p w14:paraId="1053E963" w14:textId="77777777" w:rsidR="00832A8B" w:rsidRPr="00832A8B" w:rsidRDefault="00832A8B" w:rsidP="00832A8B">
      <w:pPr>
        <w:shd w:val="clear" w:color="auto" w:fill="FFFFFF"/>
        <w:spacing w:after="0"/>
        <w:jc w:val="both"/>
        <w:rPr>
          <w:sz w:val="24"/>
          <w:szCs w:val="24"/>
          <w:lang w:val="en-US"/>
        </w:rPr>
      </w:pPr>
    </w:p>
    <w:p w14:paraId="1053E964" w14:textId="77777777" w:rsidR="00832A8B" w:rsidRPr="00832A8B" w:rsidRDefault="00832A8B" w:rsidP="00832A8B">
      <w:pPr>
        <w:shd w:val="clear" w:color="auto" w:fill="FFFFFF"/>
        <w:spacing w:after="0"/>
        <w:jc w:val="both"/>
        <w:rPr>
          <w:sz w:val="24"/>
          <w:szCs w:val="24"/>
          <w:lang w:val="en-US"/>
        </w:rPr>
      </w:pPr>
      <w:r w:rsidRPr="00832A8B">
        <w:rPr>
          <w:sz w:val="24"/>
          <w:szCs w:val="24"/>
        </w:rPr>
        <w:lastRenderedPageBreak/>
        <w:t>The obligation of a trustee of a registrable superannuation entity (other than a pooled superannuation trust) to report full details of portfolio holdings as at 30 June and 31 December each year is set out in section 1017BB of the Act. The obligation is supported by the requirements in sections 1017BC, 1017BD and 1017BE of the Act that intermediaries must provide the trustee with full details of assets invested that are, or are derived from, an asset of a registrabl</w:t>
      </w:r>
      <w:r w:rsidR="002035D9">
        <w:rPr>
          <w:sz w:val="24"/>
          <w:szCs w:val="24"/>
        </w:rPr>
        <w:t xml:space="preserve">e superannuation entity. </w:t>
      </w:r>
      <w:proofErr w:type="gramStart"/>
      <w:r w:rsidR="002035D9">
        <w:rPr>
          <w:sz w:val="24"/>
          <w:szCs w:val="24"/>
        </w:rPr>
        <w:t>These ‘look through provisions’</w:t>
      </w:r>
      <w:r w:rsidRPr="00832A8B">
        <w:rPr>
          <w:sz w:val="24"/>
          <w:szCs w:val="24"/>
        </w:rPr>
        <w:t xml:space="preserve"> are designed to require the full reporting of superannuation assets that are invested through one or more intermediaries.</w:t>
      </w:r>
      <w:proofErr w:type="gramEnd"/>
    </w:p>
    <w:p w14:paraId="1053E965" w14:textId="77777777" w:rsidR="00832A8B" w:rsidRPr="00832A8B" w:rsidRDefault="00832A8B" w:rsidP="00832A8B">
      <w:pPr>
        <w:spacing w:after="0"/>
        <w:jc w:val="both"/>
        <w:rPr>
          <w:sz w:val="24"/>
          <w:szCs w:val="24"/>
        </w:rPr>
      </w:pPr>
    </w:p>
    <w:p w14:paraId="1053E966" w14:textId="77777777" w:rsidR="00A62498" w:rsidRPr="00A62498" w:rsidRDefault="00832A8B" w:rsidP="00832A8B">
      <w:pPr>
        <w:spacing w:after="0"/>
        <w:jc w:val="both"/>
        <w:rPr>
          <w:sz w:val="24"/>
          <w:szCs w:val="24"/>
        </w:rPr>
      </w:pPr>
      <w:r w:rsidRPr="00832A8B">
        <w:rPr>
          <w:sz w:val="24"/>
          <w:szCs w:val="24"/>
        </w:rPr>
        <w:t xml:space="preserve">The portfolio holdings disclosure requirements were originally intended to take effect in relation to a first reporting date of 30 June 2014. Currently, no regulations have been made specifying the detailed presentation and content requirements for portfolio holdings disclosure.  The government has consulted on draft regulations for portfolio holdings disclosure, as well as changes to the legislation. The </w:t>
      </w:r>
      <w:r w:rsidRPr="002035D9">
        <w:rPr>
          <w:i/>
          <w:sz w:val="24"/>
          <w:szCs w:val="24"/>
        </w:rPr>
        <w:t>Superannuation Legislation Amendment (Transparency Measures) Bill 2016</w:t>
      </w:r>
      <w:r w:rsidRPr="00832A8B">
        <w:rPr>
          <w:sz w:val="24"/>
          <w:szCs w:val="24"/>
        </w:rPr>
        <w:t xml:space="preserve">, which </w:t>
      </w:r>
      <w:r w:rsidR="002035D9">
        <w:rPr>
          <w:sz w:val="24"/>
          <w:szCs w:val="24"/>
        </w:rPr>
        <w:t>included</w:t>
      </w:r>
      <w:r w:rsidRPr="00832A8B">
        <w:rPr>
          <w:sz w:val="24"/>
          <w:szCs w:val="24"/>
        </w:rPr>
        <w:t xml:space="preserve"> changes to the start dates for the portfolio holdings disclosure requirements and the repeal of sections 1017BC, 1017BD and 1017BE of the Act, was introduced into parliament on 17 March 2016 </w:t>
      </w:r>
      <w:r w:rsidR="002035D9" w:rsidRPr="00832A8B">
        <w:rPr>
          <w:sz w:val="24"/>
          <w:szCs w:val="24"/>
        </w:rPr>
        <w:t xml:space="preserve">but </w:t>
      </w:r>
      <w:r w:rsidR="002035D9">
        <w:rPr>
          <w:sz w:val="24"/>
          <w:szCs w:val="24"/>
        </w:rPr>
        <w:t>lapsed when Parliament was suspended on 15 April 2016</w:t>
      </w:r>
      <w:r w:rsidRPr="00832A8B">
        <w:rPr>
          <w:sz w:val="24"/>
          <w:szCs w:val="24"/>
        </w:rPr>
        <w:t>.</w:t>
      </w:r>
    </w:p>
    <w:p w14:paraId="1053E967" w14:textId="77777777" w:rsidR="00A62498" w:rsidRPr="00A62498" w:rsidRDefault="00A62498" w:rsidP="00A62498">
      <w:pPr>
        <w:spacing w:after="0"/>
        <w:jc w:val="both"/>
        <w:rPr>
          <w:bCs/>
          <w:sz w:val="24"/>
          <w:szCs w:val="24"/>
        </w:rPr>
      </w:pPr>
    </w:p>
    <w:p w14:paraId="1053E968" w14:textId="77777777" w:rsidR="00C60A53" w:rsidRDefault="00C7320E" w:rsidP="00C60A53">
      <w:pPr>
        <w:pStyle w:val="Heading3"/>
        <w:keepNext w:val="0"/>
        <w:widowControl w:val="0"/>
        <w:tabs>
          <w:tab w:val="left" w:pos="1592"/>
        </w:tabs>
        <w:spacing w:after="0" w:line="240" w:lineRule="auto"/>
        <w:ind w:left="0"/>
        <w:jc w:val="both"/>
        <w:rPr>
          <w:b/>
          <w:spacing w:val="-1"/>
          <w:sz w:val="24"/>
          <w:szCs w:val="24"/>
        </w:rPr>
      </w:pPr>
      <w:r w:rsidRPr="00A62498">
        <w:rPr>
          <w:b/>
          <w:spacing w:val="-1"/>
          <w:sz w:val="24"/>
          <w:szCs w:val="24"/>
        </w:rPr>
        <w:t>2.</w:t>
      </w:r>
      <w:r w:rsidRPr="00A62498">
        <w:rPr>
          <w:b/>
          <w:spacing w:val="-1"/>
          <w:sz w:val="24"/>
          <w:szCs w:val="24"/>
        </w:rPr>
        <w:tab/>
        <w:t>Purpose</w:t>
      </w:r>
      <w:r w:rsidRPr="00A62498">
        <w:rPr>
          <w:b/>
          <w:sz w:val="24"/>
          <w:szCs w:val="24"/>
        </w:rPr>
        <w:t xml:space="preserve"> of </w:t>
      </w:r>
      <w:r w:rsidRPr="00A62498">
        <w:rPr>
          <w:b/>
          <w:spacing w:val="-1"/>
          <w:sz w:val="24"/>
          <w:szCs w:val="24"/>
        </w:rPr>
        <w:t>the</w:t>
      </w:r>
      <w:r w:rsidRPr="00A62498">
        <w:rPr>
          <w:b/>
          <w:sz w:val="24"/>
          <w:szCs w:val="24"/>
        </w:rPr>
        <w:t xml:space="preserve"> </w:t>
      </w:r>
      <w:r w:rsidRPr="00A62498">
        <w:rPr>
          <w:b/>
          <w:spacing w:val="-1"/>
          <w:sz w:val="24"/>
          <w:szCs w:val="24"/>
        </w:rPr>
        <w:t>instrument</w:t>
      </w:r>
    </w:p>
    <w:p w14:paraId="1053E969" w14:textId="77777777" w:rsidR="00C60A53" w:rsidRPr="00C60A53" w:rsidRDefault="00C60A53" w:rsidP="00C60A53">
      <w:pPr>
        <w:pStyle w:val="Heading3"/>
        <w:keepNext w:val="0"/>
        <w:widowControl w:val="0"/>
        <w:tabs>
          <w:tab w:val="left" w:pos="1592"/>
        </w:tabs>
        <w:spacing w:after="0" w:line="240" w:lineRule="auto"/>
        <w:ind w:left="0"/>
        <w:jc w:val="both"/>
        <w:rPr>
          <w:b/>
          <w:spacing w:val="-1"/>
          <w:sz w:val="24"/>
          <w:szCs w:val="24"/>
        </w:rPr>
      </w:pPr>
    </w:p>
    <w:p w14:paraId="1053E96A" w14:textId="77777777" w:rsidR="00C60A53" w:rsidRPr="00C60A53" w:rsidRDefault="00C60A53" w:rsidP="00C60A53">
      <w:pPr>
        <w:pStyle w:val="Heading3"/>
        <w:keepNext w:val="0"/>
        <w:widowControl w:val="0"/>
        <w:tabs>
          <w:tab w:val="left" w:pos="1592"/>
        </w:tabs>
        <w:spacing w:after="0" w:line="240" w:lineRule="auto"/>
        <w:ind w:left="0"/>
        <w:jc w:val="both"/>
        <w:rPr>
          <w:sz w:val="24"/>
          <w:szCs w:val="24"/>
        </w:rPr>
      </w:pPr>
      <w:r w:rsidRPr="00C60A53">
        <w:rPr>
          <w:sz w:val="24"/>
          <w:szCs w:val="24"/>
        </w:rPr>
        <w:t xml:space="preserve">The Instrument will amend </w:t>
      </w:r>
      <w:r w:rsidR="00A962BD">
        <w:rPr>
          <w:sz w:val="24"/>
          <w:szCs w:val="24"/>
        </w:rPr>
        <w:t>[</w:t>
      </w:r>
      <w:r w:rsidRPr="00C60A53">
        <w:rPr>
          <w:sz w:val="24"/>
          <w:szCs w:val="24"/>
        </w:rPr>
        <w:t>CO 14/443</w:t>
      </w:r>
      <w:r w:rsidR="00A962BD">
        <w:rPr>
          <w:sz w:val="24"/>
          <w:szCs w:val="24"/>
        </w:rPr>
        <w:t>]</w:t>
      </w:r>
      <w:r w:rsidRPr="00C60A53">
        <w:rPr>
          <w:sz w:val="24"/>
          <w:szCs w:val="24"/>
        </w:rPr>
        <w:t xml:space="preserve"> to defer the commencement of the product dashboard provisions fo</w:t>
      </w:r>
      <w:r w:rsidR="00084324">
        <w:rPr>
          <w:sz w:val="24"/>
          <w:szCs w:val="24"/>
        </w:rPr>
        <w:t>r choice products to 1 July 2019</w:t>
      </w:r>
      <w:r w:rsidRPr="00C60A53">
        <w:rPr>
          <w:sz w:val="24"/>
          <w:szCs w:val="24"/>
        </w:rPr>
        <w:t xml:space="preserve"> and defer the first reporting day for the portfolio holdings disclosur</w:t>
      </w:r>
      <w:r w:rsidR="00084324">
        <w:rPr>
          <w:sz w:val="24"/>
          <w:szCs w:val="24"/>
        </w:rPr>
        <w:t>e provisions to 31 December 2019</w:t>
      </w:r>
      <w:r w:rsidRPr="00C60A53">
        <w:rPr>
          <w:sz w:val="24"/>
          <w:szCs w:val="24"/>
        </w:rPr>
        <w:t>.</w:t>
      </w:r>
    </w:p>
    <w:p w14:paraId="1053E96B" w14:textId="77777777" w:rsidR="00C60A53" w:rsidRPr="00C60A53" w:rsidRDefault="00C60A53" w:rsidP="00C60A53">
      <w:pPr>
        <w:pStyle w:val="Heading3"/>
        <w:keepNext w:val="0"/>
        <w:widowControl w:val="0"/>
        <w:tabs>
          <w:tab w:val="left" w:pos="1592"/>
        </w:tabs>
        <w:spacing w:after="0" w:line="240" w:lineRule="auto"/>
        <w:ind w:left="0"/>
        <w:jc w:val="both"/>
        <w:rPr>
          <w:sz w:val="24"/>
          <w:szCs w:val="24"/>
        </w:rPr>
      </w:pPr>
    </w:p>
    <w:p w14:paraId="1053E96C" w14:textId="77777777" w:rsidR="00C60A53" w:rsidRPr="00C60A53" w:rsidRDefault="00C60A53" w:rsidP="00C60A53">
      <w:pPr>
        <w:pStyle w:val="Heading3"/>
        <w:keepNext w:val="0"/>
        <w:widowControl w:val="0"/>
        <w:tabs>
          <w:tab w:val="left" w:pos="1592"/>
        </w:tabs>
        <w:spacing w:after="0" w:line="240" w:lineRule="auto"/>
        <w:ind w:left="0"/>
        <w:jc w:val="both"/>
        <w:rPr>
          <w:sz w:val="24"/>
          <w:szCs w:val="24"/>
        </w:rPr>
      </w:pPr>
      <w:r w:rsidRPr="00C60A53">
        <w:rPr>
          <w:sz w:val="24"/>
          <w:szCs w:val="24"/>
        </w:rPr>
        <w:t>In relation to the portfolio holdings disclosure requirements, the obligations of an intermediary to provide a notification that an asset invested is an asset of a superannuation fund, or is indirectly derived from an asset of a superannuation fund, do not have to be complied</w:t>
      </w:r>
      <w:r w:rsidR="00084324">
        <w:rPr>
          <w:sz w:val="24"/>
          <w:szCs w:val="24"/>
        </w:rPr>
        <w:t xml:space="preserve"> with until 1 July 2019</w:t>
      </w:r>
      <w:r w:rsidRPr="00C60A53">
        <w:rPr>
          <w:sz w:val="24"/>
          <w:szCs w:val="24"/>
        </w:rPr>
        <w:t>. Further, an intermediary who receives a notification of this kind does not have to provide the investment information to the trustee of the superannuation fund until on or after the fi</w:t>
      </w:r>
      <w:r w:rsidR="00084324">
        <w:rPr>
          <w:sz w:val="24"/>
          <w:szCs w:val="24"/>
        </w:rPr>
        <w:t>rst reporting day of 1 July 2019</w:t>
      </w:r>
      <w:r w:rsidRPr="00C60A53">
        <w:rPr>
          <w:sz w:val="24"/>
          <w:szCs w:val="24"/>
        </w:rPr>
        <w:t>.</w:t>
      </w:r>
    </w:p>
    <w:p w14:paraId="1053E96D" w14:textId="77777777" w:rsidR="00C60A53" w:rsidRPr="00C60A53" w:rsidRDefault="00C60A53" w:rsidP="00C60A53">
      <w:pPr>
        <w:pStyle w:val="Heading3"/>
        <w:keepNext w:val="0"/>
        <w:widowControl w:val="0"/>
        <w:tabs>
          <w:tab w:val="left" w:pos="1592"/>
        </w:tabs>
        <w:spacing w:after="0" w:line="240" w:lineRule="auto"/>
        <w:ind w:left="0"/>
        <w:jc w:val="both"/>
        <w:rPr>
          <w:sz w:val="24"/>
          <w:szCs w:val="24"/>
        </w:rPr>
      </w:pPr>
    </w:p>
    <w:p w14:paraId="1053E96E" w14:textId="77777777" w:rsidR="00C60A53" w:rsidRPr="00C60A53" w:rsidRDefault="00C60A53" w:rsidP="00A962BD">
      <w:pPr>
        <w:pStyle w:val="Heading3"/>
        <w:keepNext w:val="0"/>
        <w:widowControl w:val="0"/>
        <w:tabs>
          <w:tab w:val="left" w:pos="1592"/>
        </w:tabs>
        <w:spacing w:after="0" w:line="240" w:lineRule="auto"/>
        <w:ind w:left="0"/>
        <w:jc w:val="both"/>
        <w:rPr>
          <w:rFonts w:eastAsia="Arial"/>
          <w:b/>
          <w:bCs/>
          <w:sz w:val="24"/>
          <w:szCs w:val="24"/>
        </w:rPr>
      </w:pPr>
      <w:r w:rsidRPr="00EC7E66">
        <w:rPr>
          <w:sz w:val="24"/>
          <w:szCs w:val="24"/>
        </w:rPr>
        <w:t>The purpose of this deferral is to allow further time for the amending legislation and regulations relating to the requirements to be made.</w:t>
      </w:r>
    </w:p>
    <w:p w14:paraId="1053E96F" w14:textId="77777777" w:rsidR="00C7320E" w:rsidRPr="00A962BD" w:rsidRDefault="00C7320E" w:rsidP="00A962BD">
      <w:pPr>
        <w:spacing w:after="0"/>
        <w:jc w:val="both"/>
        <w:rPr>
          <w:bCs/>
          <w:sz w:val="24"/>
          <w:szCs w:val="24"/>
        </w:rPr>
      </w:pPr>
    </w:p>
    <w:p w14:paraId="1053E970" w14:textId="77777777" w:rsidR="00A962BD" w:rsidRPr="00A962BD" w:rsidRDefault="00C7320E" w:rsidP="00A962BD">
      <w:pPr>
        <w:pStyle w:val="Heading3"/>
        <w:keepNext w:val="0"/>
        <w:widowControl w:val="0"/>
        <w:tabs>
          <w:tab w:val="left" w:pos="1593"/>
        </w:tabs>
        <w:spacing w:after="0" w:line="240" w:lineRule="auto"/>
        <w:ind w:left="0"/>
        <w:jc w:val="both"/>
        <w:rPr>
          <w:b/>
          <w:sz w:val="24"/>
          <w:szCs w:val="24"/>
        </w:rPr>
      </w:pPr>
      <w:r w:rsidRPr="00A962BD">
        <w:rPr>
          <w:b/>
          <w:spacing w:val="-1"/>
          <w:sz w:val="24"/>
          <w:szCs w:val="24"/>
        </w:rPr>
        <w:t>3.</w:t>
      </w:r>
      <w:r w:rsidRPr="00A962BD">
        <w:rPr>
          <w:b/>
          <w:spacing w:val="-1"/>
          <w:sz w:val="24"/>
          <w:szCs w:val="24"/>
        </w:rPr>
        <w:tab/>
        <w:t>Operation</w:t>
      </w:r>
      <w:r w:rsidRPr="00A962BD">
        <w:rPr>
          <w:b/>
          <w:sz w:val="24"/>
          <w:szCs w:val="24"/>
        </w:rPr>
        <w:t xml:space="preserve"> </w:t>
      </w:r>
      <w:r w:rsidRPr="00A962BD">
        <w:rPr>
          <w:b/>
          <w:spacing w:val="-1"/>
          <w:sz w:val="24"/>
          <w:szCs w:val="24"/>
        </w:rPr>
        <w:t>of</w:t>
      </w:r>
      <w:r w:rsidRPr="00A962BD">
        <w:rPr>
          <w:b/>
          <w:sz w:val="24"/>
          <w:szCs w:val="24"/>
        </w:rPr>
        <w:t xml:space="preserve"> </w:t>
      </w:r>
      <w:r w:rsidRPr="00A962BD">
        <w:rPr>
          <w:b/>
          <w:spacing w:val="-1"/>
          <w:sz w:val="24"/>
          <w:szCs w:val="24"/>
        </w:rPr>
        <w:t>the</w:t>
      </w:r>
      <w:r w:rsidRPr="00A962BD">
        <w:rPr>
          <w:b/>
          <w:sz w:val="24"/>
          <w:szCs w:val="24"/>
        </w:rPr>
        <w:t xml:space="preserve"> instrument</w:t>
      </w:r>
    </w:p>
    <w:p w14:paraId="1053E971" w14:textId="77777777" w:rsidR="00A962BD" w:rsidRPr="00A962BD" w:rsidRDefault="00A962BD" w:rsidP="00A962BD">
      <w:pPr>
        <w:pStyle w:val="Heading3"/>
        <w:keepNext w:val="0"/>
        <w:widowControl w:val="0"/>
        <w:tabs>
          <w:tab w:val="left" w:pos="1593"/>
        </w:tabs>
        <w:spacing w:after="0" w:line="240" w:lineRule="auto"/>
        <w:ind w:left="0"/>
        <w:jc w:val="both"/>
        <w:rPr>
          <w:b/>
          <w:sz w:val="24"/>
          <w:szCs w:val="24"/>
        </w:rPr>
      </w:pPr>
    </w:p>
    <w:p w14:paraId="1053E972" w14:textId="77777777" w:rsidR="00A962BD" w:rsidRPr="00A962BD" w:rsidRDefault="00A962BD" w:rsidP="00A962BD">
      <w:pPr>
        <w:pStyle w:val="Heading3"/>
        <w:keepNext w:val="0"/>
        <w:widowControl w:val="0"/>
        <w:tabs>
          <w:tab w:val="left" w:pos="1593"/>
        </w:tabs>
        <w:spacing w:after="0" w:line="240" w:lineRule="auto"/>
        <w:ind w:left="0"/>
        <w:jc w:val="both"/>
        <w:rPr>
          <w:sz w:val="24"/>
          <w:szCs w:val="24"/>
        </w:rPr>
      </w:pPr>
      <w:r w:rsidRPr="00A962BD">
        <w:rPr>
          <w:sz w:val="24"/>
          <w:szCs w:val="24"/>
        </w:rPr>
        <w:t>The instrument:</w:t>
      </w:r>
    </w:p>
    <w:p w14:paraId="1053E973" w14:textId="77777777" w:rsidR="00A962BD" w:rsidRPr="00A962BD" w:rsidRDefault="00A962BD" w:rsidP="00A962BD">
      <w:pPr>
        <w:pStyle w:val="Heading3"/>
        <w:keepNext w:val="0"/>
        <w:widowControl w:val="0"/>
        <w:tabs>
          <w:tab w:val="left" w:pos="1593"/>
        </w:tabs>
        <w:spacing w:after="0" w:line="240" w:lineRule="auto"/>
        <w:ind w:left="0"/>
        <w:jc w:val="both"/>
        <w:rPr>
          <w:sz w:val="24"/>
          <w:szCs w:val="24"/>
        </w:rPr>
      </w:pPr>
    </w:p>
    <w:p w14:paraId="1053E974" w14:textId="77777777" w:rsidR="00A962BD" w:rsidRPr="00A962BD" w:rsidRDefault="00A962BD" w:rsidP="00A962BD">
      <w:pPr>
        <w:pStyle w:val="Heading3"/>
        <w:keepNext w:val="0"/>
        <w:widowControl w:val="0"/>
        <w:tabs>
          <w:tab w:val="left" w:pos="1593"/>
        </w:tabs>
        <w:spacing w:after="0" w:line="240" w:lineRule="auto"/>
        <w:ind w:left="720" w:hanging="720"/>
        <w:jc w:val="both"/>
        <w:rPr>
          <w:sz w:val="24"/>
          <w:szCs w:val="24"/>
        </w:rPr>
      </w:pPr>
      <w:r w:rsidRPr="00A962BD">
        <w:rPr>
          <w:sz w:val="24"/>
          <w:szCs w:val="24"/>
        </w:rPr>
        <w:t>(</w:t>
      </w:r>
      <w:proofErr w:type="gramStart"/>
      <w:r w:rsidRPr="00A962BD">
        <w:rPr>
          <w:sz w:val="24"/>
          <w:szCs w:val="24"/>
        </w:rPr>
        <w:t>a</w:t>
      </w:r>
      <w:proofErr w:type="gramEnd"/>
      <w:r w:rsidRPr="00A962BD">
        <w:rPr>
          <w:sz w:val="24"/>
          <w:szCs w:val="24"/>
        </w:rPr>
        <w:t>)</w:t>
      </w:r>
      <w:r w:rsidRPr="00A962BD">
        <w:rPr>
          <w:sz w:val="24"/>
          <w:szCs w:val="24"/>
        </w:rPr>
        <w:tab/>
        <w:t xml:space="preserve">defers the requirement to make a product dashboard publicly available for a choice product until 1 </w:t>
      </w:r>
      <w:r>
        <w:rPr>
          <w:sz w:val="24"/>
          <w:szCs w:val="24"/>
        </w:rPr>
        <w:t xml:space="preserve">July </w:t>
      </w:r>
      <w:r w:rsidR="00084324">
        <w:rPr>
          <w:sz w:val="24"/>
          <w:szCs w:val="24"/>
        </w:rPr>
        <w:t>2019</w:t>
      </w:r>
      <w:r w:rsidRPr="00A962BD">
        <w:rPr>
          <w:sz w:val="24"/>
          <w:szCs w:val="24"/>
        </w:rPr>
        <w:t>;</w:t>
      </w:r>
    </w:p>
    <w:p w14:paraId="1053E975" w14:textId="77777777" w:rsidR="00A962BD" w:rsidRPr="00A962BD" w:rsidRDefault="00A962BD" w:rsidP="00A962BD">
      <w:pPr>
        <w:pStyle w:val="Heading3"/>
        <w:keepNext w:val="0"/>
        <w:widowControl w:val="0"/>
        <w:tabs>
          <w:tab w:val="left" w:pos="1593"/>
        </w:tabs>
        <w:spacing w:after="0" w:line="240" w:lineRule="auto"/>
        <w:ind w:left="720" w:hanging="720"/>
        <w:jc w:val="both"/>
        <w:rPr>
          <w:sz w:val="24"/>
          <w:szCs w:val="24"/>
        </w:rPr>
      </w:pPr>
    </w:p>
    <w:p w14:paraId="1053E976" w14:textId="77777777" w:rsidR="00A962BD" w:rsidRPr="00A962BD" w:rsidRDefault="00A962BD" w:rsidP="00A962BD">
      <w:pPr>
        <w:pStyle w:val="Heading3"/>
        <w:keepNext w:val="0"/>
        <w:widowControl w:val="0"/>
        <w:tabs>
          <w:tab w:val="left" w:pos="1593"/>
        </w:tabs>
        <w:spacing w:after="0" w:line="240" w:lineRule="auto"/>
        <w:ind w:left="720" w:hanging="720"/>
        <w:jc w:val="both"/>
        <w:rPr>
          <w:sz w:val="24"/>
          <w:szCs w:val="24"/>
        </w:rPr>
      </w:pPr>
      <w:r w:rsidRPr="00A962BD">
        <w:rPr>
          <w:sz w:val="24"/>
          <w:szCs w:val="24"/>
        </w:rPr>
        <w:t xml:space="preserve">(b)     </w:t>
      </w:r>
      <w:r w:rsidRPr="00A962BD">
        <w:rPr>
          <w:sz w:val="24"/>
          <w:szCs w:val="24"/>
        </w:rPr>
        <w:tab/>
      </w:r>
      <w:proofErr w:type="gramStart"/>
      <w:r w:rsidRPr="00A962BD">
        <w:rPr>
          <w:sz w:val="24"/>
          <w:szCs w:val="24"/>
        </w:rPr>
        <w:t>defers</w:t>
      </w:r>
      <w:proofErr w:type="gramEnd"/>
      <w:r w:rsidRPr="00A962BD">
        <w:rPr>
          <w:sz w:val="24"/>
          <w:szCs w:val="24"/>
        </w:rPr>
        <w:t xml:space="preserve"> the first reporting date for the portfolio holdings disclosure requirements from </w:t>
      </w:r>
      <w:r>
        <w:rPr>
          <w:sz w:val="24"/>
          <w:szCs w:val="24"/>
        </w:rPr>
        <w:t>31 D</w:t>
      </w:r>
      <w:r w:rsidR="00084324">
        <w:rPr>
          <w:sz w:val="24"/>
          <w:szCs w:val="24"/>
        </w:rPr>
        <w:t>ecember 2017 to 31 December 2019</w:t>
      </w:r>
      <w:r w:rsidRPr="00A962BD">
        <w:rPr>
          <w:sz w:val="24"/>
          <w:szCs w:val="24"/>
        </w:rPr>
        <w:t>;</w:t>
      </w:r>
    </w:p>
    <w:p w14:paraId="1053E977" w14:textId="77777777" w:rsidR="00A962BD" w:rsidRPr="00A962BD" w:rsidRDefault="00A962BD" w:rsidP="00A962BD">
      <w:pPr>
        <w:pStyle w:val="Heading3"/>
        <w:keepNext w:val="0"/>
        <w:widowControl w:val="0"/>
        <w:tabs>
          <w:tab w:val="left" w:pos="1593"/>
        </w:tabs>
        <w:spacing w:after="0" w:line="240" w:lineRule="auto"/>
        <w:ind w:left="720" w:hanging="720"/>
        <w:jc w:val="both"/>
        <w:rPr>
          <w:sz w:val="24"/>
          <w:szCs w:val="24"/>
        </w:rPr>
      </w:pPr>
    </w:p>
    <w:p w14:paraId="1053E978" w14:textId="77777777" w:rsidR="00A962BD" w:rsidRPr="00A962BD" w:rsidRDefault="00A962BD" w:rsidP="00A962BD">
      <w:pPr>
        <w:pStyle w:val="Heading3"/>
        <w:keepNext w:val="0"/>
        <w:widowControl w:val="0"/>
        <w:tabs>
          <w:tab w:val="left" w:pos="1593"/>
        </w:tabs>
        <w:spacing w:after="0" w:line="240" w:lineRule="auto"/>
        <w:ind w:left="720" w:hanging="720"/>
        <w:jc w:val="both"/>
        <w:rPr>
          <w:sz w:val="24"/>
          <w:szCs w:val="24"/>
        </w:rPr>
      </w:pPr>
      <w:r w:rsidRPr="00A962BD">
        <w:rPr>
          <w:sz w:val="24"/>
          <w:szCs w:val="24"/>
        </w:rPr>
        <w:t>(c)   </w:t>
      </w:r>
      <w:r w:rsidRPr="00A962BD">
        <w:rPr>
          <w:sz w:val="24"/>
          <w:szCs w:val="24"/>
        </w:rPr>
        <w:tab/>
        <w:t xml:space="preserve">extends the relief under existing </w:t>
      </w:r>
      <w:r>
        <w:rPr>
          <w:sz w:val="24"/>
          <w:szCs w:val="24"/>
        </w:rPr>
        <w:t>[</w:t>
      </w:r>
      <w:r w:rsidRPr="00A962BD">
        <w:rPr>
          <w:sz w:val="24"/>
          <w:szCs w:val="24"/>
        </w:rPr>
        <w:t>CO 14/443</w:t>
      </w:r>
      <w:r>
        <w:rPr>
          <w:sz w:val="24"/>
          <w:szCs w:val="24"/>
        </w:rPr>
        <w:t>]</w:t>
      </w:r>
      <w:r w:rsidRPr="00A962BD">
        <w:rPr>
          <w:sz w:val="24"/>
          <w:szCs w:val="24"/>
        </w:rPr>
        <w:t xml:space="preserve"> in relation to subsections 1017BC(2), 1017BD(2) and 1017BE(2) so that, for new arrangements, first parties and their agents are not required to give notifications under tho</w:t>
      </w:r>
      <w:r w:rsidR="00084324">
        <w:rPr>
          <w:sz w:val="24"/>
          <w:szCs w:val="24"/>
        </w:rPr>
        <w:t>se subsections until 1 July 2019</w:t>
      </w:r>
      <w:r w:rsidRPr="00A962BD">
        <w:rPr>
          <w:sz w:val="24"/>
          <w:szCs w:val="24"/>
        </w:rPr>
        <w:t>; and</w:t>
      </w:r>
    </w:p>
    <w:p w14:paraId="1053E979" w14:textId="77777777" w:rsidR="00A962BD" w:rsidRPr="00A962BD" w:rsidRDefault="00A962BD" w:rsidP="00A962BD">
      <w:pPr>
        <w:pStyle w:val="Heading3"/>
        <w:keepNext w:val="0"/>
        <w:widowControl w:val="0"/>
        <w:tabs>
          <w:tab w:val="left" w:pos="1593"/>
        </w:tabs>
        <w:spacing w:after="0" w:line="240" w:lineRule="auto"/>
        <w:ind w:left="720" w:hanging="720"/>
        <w:jc w:val="both"/>
        <w:rPr>
          <w:sz w:val="24"/>
          <w:szCs w:val="24"/>
        </w:rPr>
      </w:pPr>
    </w:p>
    <w:p w14:paraId="1053E97A" w14:textId="77777777" w:rsidR="00A962BD" w:rsidRPr="00A962BD" w:rsidRDefault="00A962BD" w:rsidP="00A962BD">
      <w:pPr>
        <w:pStyle w:val="Heading3"/>
        <w:keepNext w:val="0"/>
        <w:widowControl w:val="0"/>
        <w:tabs>
          <w:tab w:val="left" w:pos="1593"/>
        </w:tabs>
        <w:spacing w:after="0" w:line="240" w:lineRule="auto"/>
        <w:ind w:left="720" w:hanging="720"/>
        <w:jc w:val="both"/>
        <w:rPr>
          <w:b/>
          <w:sz w:val="24"/>
          <w:szCs w:val="24"/>
        </w:rPr>
      </w:pPr>
      <w:r w:rsidRPr="00A962BD">
        <w:rPr>
          <w:sz w:val="24"/>
          <w:szCs w:val="24"/>
        </w:rPr>
        <w:lastRenderedPageBreak/>
        <w:t>(d)    </w:t>
      </w:r>
      <w:r w:rsidRPr="00A962BD">
        <w:rPr>
          <w:sz w:val="24"/>
          <w:szCs w:val="24"/>
        </w:rPr>
        <w:tab/>
      </w:r>
      <w:proofErr w:type="gramStart"/>
      <w:r w:rsidRPr="00A962BD">
        <w:rPr>
          <w:sz w:val="24"/>
          <w:szCs w:val="24"/>
        </w:rPr>
        <w:t>defers</w:t>
      </w:r>
      <w:proofErr w:type="gramEnd"/>
      <w:r w:rsidRPr="00A962BD">
        <w:rPr>
          <w:sz w:val="24"/>
          <w:szCs w:val="24"/>
        </w:rPr>
        <w:t xml:space="preserve"> second party reporting obligations under subsection 101</w:t>
      </w:r>
      <w:r w:rsidR="00084324">
        <w:rPr>
          <w:sz w:val="24"/>
          <w:szCs w:val="24"/>
        </w:rPr>
        <w:t>7BC(3) of the Act to 1 July 2019</w:t>
      </w:r>
      <w:r w:rsidRPr="00A962BD">
        <w:rPr>
          <w:sz w:val="24"/>
          <w:szCs w:val="24"/>
        </w:rPr>
        <w:t>.</w:t>
      </w:r>
    </w:p>
    <w:p w14:paraId="1053E97B" w14:textId="77777777" w:rsidR="00C7320E" w:rsidRPr="00115F99" w:rsidRDefault="00C7320E" w:rsidP="00115F99">
      <w:pPr>
        <w:spacing w:after="0"/>
        <w:jc w:val="both"/>
        <w:rPr>
          <w:bCs/>
          <w:sz w:val="24"/>
          <w:szCs w:val="24"/>
        </w:rPr>
      </w:pPr>
    </w:p>
    <w:p w14:paraId="1053E97C" w14:textId="77777777" w:rsidR="00A62498" w:rsidRPr="00115F99" w:rsidRDefault="00A62498" w:rsidP="00115F99">
      <w:pPr>
        <w:pStyle w:val="Heading3"/>
        <w:keepNext w:val="0"/>
        <w:widowControl w:val="0"/>
        <w:tabs>
          <w:tab w:val="left" w:pos="1593"/>
        </w:tabs>
        <w:spacing w:after="0" w:line="240" w:lineRule="auto"/>
        <w:ind w:left="0"/>
        <w:jc w:val="both"/>
        <w:rPr>
          <w:rFonts w:eastAsia="Arial"/>
          <w:b/>
          <w:bCs/>
          <w:sz w:val="24"/>
          <w:szCs w:val="24"/>
        </w:rPr>
      </w:pPr>
      <w:r w:rsidRPr="00115F99">
        <w:rPr>
          <w:b/>
          <w:spacing w:val="-1"/>
          <w:sz w:val="24"/>
          <w:szCs w:val="24"/>
        </w:rPr>
        <w:t>4.</w:t>
      </w:r>
      <w:r w:rsidRPr="00115F99">
        <w:rPr>
          <w:b/>
          <w:spacing w:val="-1"/>
          <w:sz w:val="24"/>
          <w:szCs w:val="24"/>
        </w:rPr>
        <w:tab/>
        <w:t>Consultation</w:t>
      </w:r>
    </w:p>
    <w:p w14:paraId="1053E97D" w14:textId="77777777" w:rsidR="00327831" w:rsidRPr="00115F99" w:rsidRDefault="00327831" w:rsidP="00115F99">
      <w:pPr>
        <w:spacing w:after="0"/>
        <w:jc w:val="both"/>
        <w:rPr>
          <w:bCs/>
          <w:sz w:val="24"/>
          <w:szCs w:val="24"/>
        </w:rPr>
      </w:pPr>
    </w:p>
    <w:p w14:paraId="1053E97E" w14:textId="1EEBC85F" w:rsidR="00084324" w:rsidRDefault="00327831" w:rsidP="00115F99">
      <w:pPr>
        <w:spacing w:after="0"/>
        <w:jc w:val="both"/>
        <w:rPr>
          <w:sz w:val="24"/>
          <w:szCs w:val="24"/>
        </w:rPr>
      </w:pPr>
      <w:r w:rsidRPr="00115F99">
        <w:rPr>
          <w:sz w:val="24"/>
          <w:szCs w:val="24"/>
        </w:rPr>
        <w:t xml:space="preserve">ASIC did not undertake a public consultation process with respect to the deferral of the commencement date of the product dashboard requirements for choice products or the first reporting day for the portfolio holdings disclosure provisions as it is a minor modification to extend the commencement dates. The primary purpose of extending the commencement dates </w:t>
      </w:r>
      <w:r w:rsidRPr="00EC7E66">
        <w:rPr>
          <w:sz w:val="24"/>
          <w:szCs w:val="24"/>
        </w:rPr>
        <w:t>is to allow further time for</w:t>
      </w:r>
      <w:r w:rsidR="00084324" w:rsidRPr="00EC7E66">
        <w:rPr>
          <w:sz w:val="24"/>
          <w:szCs w:val="24"/>
        </w:rPr>
        <w:t xml:space="preserve"> to government to evaluate its position in relation to the choice product dashboard and portfolio holdings disclosure requirements and the obligations in relation to including a product dashboard with a periodic statement. The deferral of the relevant requirements as a result of the Instrument allow the government the opportunity to </w:t>
      </w:r>
      <w:r w:rsidR="00A3187A" w:rsidRPr="00EC7E66">
        <w:rPr>
          <w:sz w:val="24"/>
          <w:szCs w:val="24"/>
        </w:rPr>
        <w:t>review the requirements and, where required, to enable legislation to pass</w:t>
      </w:r>
      <w:r w:rsidR="00A3187A">
        <w:rPr>
          <w:sz w:val="24"/>
          <w:szCs w:val="24"/>
        </w:rPr>
        <w:t xml:space="preserve">. The Instrument preserves the current position in relation to product dashboard and portfolio holdings requirements for an additional two years. As a result, the Instrument provides certainty to the industry in the near future. </w:t>
      </w:r>
    </w:p>
    <w:p w14:paraId="1053E97F" w14:textId="77777777" w:rsidR="00A62498" w:rsidRDefault="00A62498" w:rsidP="00444225">
      <w:pPr>
        <w:spacing w:after="0"/>
        <w:jc w:val="both"/>
        <w:rPr>
          <w:bCs/>
          <w:sz w:val="24"/>
          <w:szCs w:val="24"/>
        </w:rPr>
      </w:pPr>
    </w:p>
    <w:p w14:paraId="1053E980" w14:textId="147117FB" w:rsidR="00C7320E" w:rsidRDefault="0026108E" w:rsidP="00444225">
      <w:pPr>
        <w:spacing w:after="0"/>
        <w:jc w:val="both"/>
        <w:rPr>
          <w:bCs/>
          <w:sz w:val="24"/>
          <w:szCs w:val="24"/>
        </w:rPr>
      </w:pPr>
      <w:r>
        <w:rPr>
          <w:bCs/>
          <w:sz w:val="24"/>
          <w:szCs w:val="24"/>
        </w:rPr>
        <w:t xml:space="preserve">ASIC consulted with Treasury </w:t>
      </w:r>
      <w:r w:rsidR="0082240D">
        <w:rPr>
          <w:bCs/>
          <w:sz w:val="24"/>
          <w:szCs w:val="24"/>
        </w:rPr>
        <w:t>who were supportive of the proposed extension</w:t>
      </w:r>
      <w:r>
        <w:rPr>
          <w:bCs/>
          <w:sz w:val="24"/>
          <w:szCs w:val="24"/>
        </w:rPr>
        <w:t>.</w:t>
      </w:r>
    </w:p>
    <w:p w14:paraId="1053E981" w14:textId="77777777" w:rsidR="00C7320E" w:rsidRPr="00C7320E" w:rsidRDefault="00C7320E" w:rsidP="00444225">
      <w:pPr>
        <w:spacing w:after="0"/>
        <w:jc w:val="both"/>
        <w:rPr>
          <w:sz w:val="24"/>
          <w:szCs w:val="24"/>
        </w:rPr>
      </w:pPr>
    </w:p>
    <w:p w14:paraId="1053E982" w14:textId="77777777" w:rsidR="005B0E3A" w:rsidRPr="00C7320E" w:rsidRDefault="005B0E3A" w:rsidP="005B0E3A">
      <w:pPr>
        <w:pStyle w:val="Bodytextplain"/>
        <w:rPr>
          <w:sz w:val="24"/>
          <w:szCs w:val="24"/>
        </w:rPr>
        <w:sectPr w:rsidR="005B0E3A" w:rsidRPr="00C7320E" w:rsidSect="00A33EB8">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cols w:space="720"/>
          <w:docGrid w:linePitch="299"/>
        </w:sectPr>
      </w:pPr>
      <w:bookmarkStart w:id="5" w:name="5._Consultation"/>
      <w:bookmarkEnd w:id="5"/>
    </w:p>
    <w:p w14:paraId="1053E983" w14:textId="77777777" w:rsidR="005B0E3A" w:rsidRPr="00E4135E" w:rsidRDefault="005B0E3A" w:rsidP="00444225">
      <w:pPr>
        <w:pStyle w:val="Heading1"/>
        <w:pageBreakBefore/>
        <w:tabs>
          <w:tab w:val="clear" w:pos="879"/>
        </w:tabs>
        <w:overflowPunct/>
        <w:autoSpaceDE/>
        <w:autoSpaceDN/>
        <w:adjustRightInd/>
        <w:spacing w:before="0" w:after="400" w:line="280" w:lineRule="atLeast"/>
        <w:ind w:left="1210"/>
        <w:textAlignment w:val="auto"/>
        <w:rPr>
          <w:rFonts w:ascii="Times New Roman" w:hAnsi="Times New Roman"/>
          <w:sz w:val="24"/>
          <w:szCs w:val="24"/>
        </w:rPr>
      </w:pPr>
      <w:r>
        <w:rPr>
          <w:rFonts w:ascii="Times New Roman" w:hAnsi="Times New Roman"/>
          <w:b w:val="0"/>
          <w:i/>
          <w:color w:val="0000FF"/>
          <w:kern w:val="0"/>
          <w:sz w:val="24"/>
        </w:rPr>
        <w:lastRenderedPageBreak/>
        <w:t xml:space="preserve">  </w:t>
      </w:r>
    </w:p>
    <w:p w14:paraId="1053E984" w14:textId="77777777" w:rsidR="000076D6" w:rsidRDefault="000076D6">
      <w:r>
        <w:rPr>
          <w:noProof/>
        </w:rPr>
        <mc:AlternateContent>
          <mc:Choice Requires="wps">
            <w:drawing>
              <wp:anchor distT="0" distB="0" distL="114300" distR="114300" simplePos="0" relativeHeight="251659264" behindDoc="0" locked="0" layoutInCell="1" allowOverlap="1" wp14:anchorId="1053E985" wp14:editId="1053E986">
                <wp:simplePos x="0" y="0"/>
                <wp:positionH relativeFrom="column">
                  <wp:posOffset>19050</wp:posOffset>
                </wp:positionH>
                <wp:positionV relativeFrom="paragraph">
                  <wp:posOffset>492126</wp:posOffset>
                </wp:positionV>
                <wp:extent cx="5311140" cy="7519988"/>
                <wp:effectExtent l="38100" t="38100" r="41910" b="431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519988"/>
                        </a:xfrm>
                        <a:prstGeom prst="rect">
                          <a:avLst/>
                        </a:prstGeom>
                        <a:solidFill>
                          <a:srgbClr val="FFFFFF"/>
                        </a:solidFill>
                        <a:ln w="76200" cmpd="tri">
                          <a:solidFill>
                            <a:srgbClr val="000000"/>
                          </a:solidFill>
                          <a:miter lim="800000"/>
                          <a:headEnd/>
                          <a:tailEnd/>
                        </a:ln>
                      </wps:spPr>
                      <wps:txbx>
                        <w:txbxContent>
                          <w:p w14:paraId="1053E99B" w14:textId="77777777" w:rsidR="000076D6" w:rsidRPr="00ED5159" w:rsidRDefault="000076D6" w:rsidP="000076D6">
                            <w:pPr>
                              <w:spacing w:before="360" w:after="120"/>
                              <w:jc w:val="center"/>
                              <w:rPr>
                                <w:b/>
                                <w:sz w:val="16"/>
                                <w:szCs w:val="16"/>
                              </w:rPr>
                            </w:pPr>
                            <w:r w:rsidRPr="00ED5159">
                              <w:rPr>
                                <w:b/>
                                <w:sz w:val="16"/>
                                <w:szCs w:val="16"/>
                              </w:rPr>
                              <w:t>Statement of Compatibility with Human Rights</w:t>
                            </w:r>
                          </w:p>
                          <w:p w14:paraId="1053E99C" w14:textId="77777777" w:rsidR="000076D6" w:rsidRPr="00ED5159" w:rsidRDefault="000076D6" w:rsidP="000076D6">
                            <w:pPr>
                              <w:spacing w:before="120" w:after="120"/>
                              <w:jc w:val="center"/>
                              <w:rPr>
                                <w:sz w:val="16"/>
                                <w:szCs w:val="16"/>
                              </w:rPr>
                            </w:pPr>
                            <w:r w:rsidRPr="00ED5159">
                              <w:rPr>
                                <w:i/>
                                <w:sz w:val="16"/>
                                <w:szCs w:val="16"/>
                              </w:rPr>
                              <w:t>Prepared in accordance with Part 3 of the Human Rights (Parliamentary Scrutiny) Act 2011</w:t>
                            </w:r>
                          </w:p>
                          <w:p w14:paraId="1053E99D" w14:textId="77777777" w:rsidR="000076D6" w:rsidRPr="00ED5159" w:rsidRDefault="000076D6" w:rsidP="000076D6">
                            <w:pPr>
                              <w:spacing w:before="120" w:after="120"/>
                              <w:jc w:val="center"/>
                              <w:rPr>
                                <w:sz w:val="16"/>
                                <w:szCs w:val="16"/>
                              </w:rPr>
                            </w:pPr>
                          </w:p>
                          <w:p w14:paraId="1053E99E" w14:textId="26C74395" w:rsidR="000076D6" w:rsidRPr="00ED5159" w:rsidRDefault="00937FF0" w:rsidP="000076D6">
                            <w:pPr>
                              <w:spacing w:before="120" w:after="120"/>
                              <w:jc w:val="center"/>
                              <w:rPr>
                                <w:b/>
                                <w:sz w:val="16"/>
                                <w:szCs w:val="16"/>
                              </w:rPr>
                            </w:pPr>
                            <w:r w:rsidRPr="00ED5159">
                              <w:rPr>
                                <w:b/>
                                <w:i/>
                                <w:sz w:val="16"/>
                                <w:szCs w:val="16"/>
                              </w:rPr>
                              <w:t>ASIC Corporations (Amendment) Instrument 2017/</w:t>
                            </w:r>
                            <w:r w:rsidR="00EC7E66">
                              <w:rPr>
                                <w:b/>
                                <w:i/>
                                <w:sz w:val="16"/>
                                <w:szCs w:val="16"/>
                              </w:rPr>
                              <w:t>569</w:t>
                            </w:r>
                          </w:p>
                          <w:p w14:paraId="1053E99F" w14:textId="77777777" w:rsidR="00937FF0" w:rsidRPr="00ED5159" w:rsidRDefault="00937FF0" w:rsidP="000076D6">
                            <w:pPr>
                              <w:spacing w:before="120" w:after="120"/>
                              <w:jc w:val="center"/>
                              <w:rPr>
                                <w:b/>
                                <w:sz w:val="16"/>
                                <w:szCs w:val="16"/>
                              </w:rPr>
                            </w:pPr>
                          </w:p>
                          <w:p w14:paraId="1053E9A0" w14:textId="6EADDD55" w:rsidR="000076D6" w:rsidRPr="00ED5159" w:rsidRDefault="00937FF0" w:rsidP="000076D6">
                            <w:pPr>
                              <w:spacing w:before="120" w:after="120"/>
                              <w:jc w:val="center"/>
                              <w:rPr>
                                <w:sz w:val="16"/>
                                <w:szCs w:val="16"/>
                              </w:rPr>
                            </w:pPr>
                            <w:r w:rsidRPr="00ED5159">
                              <w:rPr>
                                <w:i/>
                                <w:sz w:val="16"/>
                                <w:szCs w:val="16"/>
                              </w:rPr>
                              <w:t>ASIC Corporations (Amendment) Instrument 2017/</w:t>
                            </w:r>
                            <w:r w:rsidR="00EC7E66">
                              <w:rPr>
                                <w:i/>
                                <w:sz w:val="16"/>
                                <w:szCs w:val="16"/>
                              </w:rPr>
                              <w:t xml:space="preserve">569 </w:t>
                            </w:r>
                            <w:r w:rsidRPr="00ED5159">
                              <w:rPr>
                                <w:sz w:val="16"/>
                                <w:szCs w:val="16"/>
                              </w:rPr>
                              <w:t xml:space="preserve">(the </w:t>
                            </w:r>
                            <w:r w:rsidRPr="00ED5159">
                              <w:rPr>
                                <w:b/>
                                <w:sz w:val="16"/>
                                <w:szCs w:val="16"/>
                              </w:rPr>
                              <w:t>Instrument</w:t>
                            </w:r>
                            <w:r w:rsidRPr="00ED5159">
                              <w:rPr>
                                <w:sz w:val="16"/>
                                <w:szCs w:val="16"/>
                              </w:rPr>
                              <w:t>)</w:t>
                            </w:r>
                            <w:r w:rsidR="000076D6" w:rsidRPr="00ED5159">
                              <w:rPr>
                                <w:sz w:val="16"/>
                                <w:szCs w:val="16"/>
                              </w:rPr>
                              <w:t xml:space="preserve"> is compatible with the human rights and freedoms recognised or declared in the international instruments listed in section 3 of the </w:t>
                            </w:r>
                            <w:r w:rsidR="000076D6" w:rsidRPr="00ED5159">
                              <w:rPr>
                                <w:i/>
                                <w:sz w:val="16"/>
                                <w:szCs w:val="16"/>
                              </w:rPr>
                              <w:t>Human Rights (Parliamentary Scrutiny) Act 2011</w:t>
                            </w:r>
                            <w:r w:rsidR="000076D6" w:rsidRPr="00ED5159">
                              <w:rPr>
                                <w:sz w:val="16"/>
                                <w:szCs w:val="16"/>
                              </w:rPr>
                              <w:t>.</w:t>
                            </w:r>
                          </w:p>
                          <w:p w14:paraId="1053E9A1" w14:textId="77777777" w:rsidR="000076D6" w:rsidRPr="00ED5159" w:rsidRDefault="000076D6" w:rsidP="000076D6">
                            <w:pPr>
                              <w:spacing w:before="120" w:after="120"/>
                              <w:jc w:val="center"/>
                              <w:rPr>
                                <w:sz w:val="16"/>
                                <w:szCs w:val="16"/>
                              </w:rPr>
                            </w:pPr>
                          </w:p>
                          <w:p w14:paraId="1053E9A2" w14:textId="77777777" w:rsidR="000076D6" w:rsidRPr="00ED5159" w:rsidRDefault="000076D6" w:rsidP="00A56C55">
                            <w:pPr>
                              <w:spacing w:after="0"/>
                              <w:jc w:val="both"/>
                              <w:rPr>
                                <w:b/>
                                <w:sz w:val="16"/>
                                <w:szCs w:val="16"/>
                              </w:rPr>
                            </w:pPr>
                            <w:r w:rsidRPr="00ED5159">
                              <w:rPr>
                                <w:b/>
                                <w:sz w:val="16"/>
                                <w:szCs w:val="16"/>
                              </w:rPr>
                              <w:t>Overview</w:t>
                            </w:r>
                          </w:p>
                          <w:p w14:paraId="1053E9A3" w14:textId="77777777" w:rsidR="00A56C55" w:rsidRPr="00ED5159" w:rsidRDefault="00A56C55" w:rsidP="00A56C55">
                            <w:pPr>
                              <w:spacing w:after="0"/>
                              <w:jc w:val="both"/>
                              <w:rPr>
                                <w:b/>
                                <w:sz w:val="16"/>
                                <w:szCs w:val="16"/>
                              </w:rPr>
                            </w:pPr>
                          </w:p>
                          <w:p w14:paraId="1053E9A4" w14:textId="77777777" w:rsidR="000076D6" w:rsidRPr="00ED5159" w:rsidRDefault="00937FF0" w:rsidP="00A56C55">
                            <w:pPr>
                              <w:spacing w:after="0"/>
                              <w:rPr>
                                <w:sz w:val="16"/>
                                <w:szCs w:val="16"/>
                              </w:rPr>
                            </w:pPr>
                            <w:r w:rsidRPr="00ED5159">
                              <w:rPr>
                                <w:sz w:val="16"/>
                                <w:szCs w:val="16"/>
                              </w:rPr>
                              <w:t xml:space="preserve">The Instrument amends </w:t>
                            </w:r>
                            <w:r w:rsidR="00A56C55" w:rsidRPr="00ED5159">
                              <w:rPr>
                                <w:sz w:val="16"/>
                                <w:szCs w:val="16"/>
                              </w:rPr>
                              <w:t>ASIC Class Order [CO 13/1534]</w:t>
                            </w:r>
                            <w:r w:rsidRPr="00ED5159">
                              <w:rPr>
                                <w:sz w:val="16"/>
                                <w:szCs w:val="16"/>
                              </w:rPr>
                              <w:t xml:space="preserve"> and </w:t>
                            </w:r>
                            <w:r w:rsidR="00A56C55" w:rsidRPr="00ED5159">
                              <w:rPr>
                                <w:sz w:val="16"/>
                                <w:szCs w:val="16"/>
                              </w:rPr>
                              <w:t>[CO 14/443]</w:t>
                            </w:r>
                            <w:r w:rsidRPr="00ED5159">
                              <w:rPr>
                                <w:sz w:val="16"/>
                                <w:szCs w:val="16"/>
                              </w:rPr>
                              <w:t>.</w:t>
                            </w:r>
                          </w:p>
                          <w:p w14:paraId="1053E9A5" w14:textId="77777777" w:rsidR="00A56C55" w:rsidRPr="00ED5159" w:rsidRDefault="00A56C55" w:rsidP="00A56C55">
                            <w:pPr>
                              <w:spacing w:after="0"/>
                              <w:rPr>
                                <w:sz w:val="16"/>
                                <w:szCs w:val="16"/>
                              </w:rPr>
                            </w:pPr>
                          </w:p>
                          <w:p w14:paraId="1053E9A6" w14:textId="77777777" w:rsidR="00A56C55" w:rsidRPr="00ED5159" w:rsidRDefault="00A56C55" w:rsidP="00A56C55">
                            <w:pPr>
                              <w:spacing w:after="0"/>
                              <w:rPr>
                                <w:i/>
                                <w:sz w:val="16"/>
                                <w:szCs w:val="16"/>
                                <w:u w:val="single"/>
                              </w:rPr>
                            </w:pPr>
                            <w:r w:rsidRPr="00ED5159">
                              <w:rPr>
                                <w:i/>
                                <w:sz w:val="16"/>
                                <w:szCs w:val="16"/>
                                <w:u w:val="single"/>
                              </w:rPr>
                              <w:t>Amendment to ASIC Class Order [CO 13/1534]</w:t>
                            </w:r>
                          </w:p>
                          <w:p w14:paraId="1053E9A7" w14:textId="77777777" w:rsidR="00A56C55" w:rsidRPr="00ED5159" w:rsidRDefault="00A56C55" w:rsidP="00A56C55">
                            <w:pPr>
                              <w:spacing w:after="0"/>
                              <w:rPr>
                                <w:sz w:val="16"/>
                                <w:szCs w:val="16"/>
                              </w:rPr>
                            </w:pPr>
                          </w:p>
                          <w:p w14:paraId="1053E9A8" w14:textId="77777777" w:rsidR="003A6B80" w:rsidRPr="00ED5159" w:rsidRDefault="003A6B80" w:rsidP="00A56C55">
                            <w:pPr>
                              <w:spacing w:after="0"/>
                              <w:rPr>
                                <w:sz w:val="16"/>
                                <w:szCs w:val="16"/>
                              </w:rPr>
                            </w:pPr>
                            <w:r w:rsidRPr="00ED5159">
                              <w:rPr>
                                <w:sz w:val="16"/>
                                <w:szCs w:val="16"/>
                              </w:rPr>
                              <w:t xml:space="preserve">The </w:t>
                            </w:r>
                            <w:r w:rsidRPr="00ED5159">
                              <w:rPr>
                                <w:i/>
                                <w:sz w:val="16"/>
                                <w:szCs w:val="16"/>
                              </w:rPr>
                              <w:t>Superannuation Legislation Amendment (</w:t>
                            </w:r>
                            <w:proofErr w:type="spellStart"/>
                            <w:r w:rsidRPr="00ED5159">
                              <w:rPr>
                                <w:i/>
                                <w:sz w:val="16"/>
                                <w:szCs w:val="16"/>
                              </w:rPr>
                              <w:t>MySuper</w:t>
                            </w:r>
                            <w:proofErr w:type="spellEnd"/>
                            <w:r w:rsidRPr="00ED5159">
                              <w:rPr>
                                <w:i/>
                                <w:sz w:val="16"/>
                                <w:szCs w:val="16"/>
                              </w:rPr>
                              <w:t xml:space="preserve"> Measures) Regulation 2013</w:t>
                            </w:r>
                            <w:r w:rsidRPr="00ED5159">
                              <w:rPr>
                                <w:sz w:val="16"/>
                                <w:szCs w:val="16"/>
                              </w:rPr>
                              <w:t xml:space="preserve"> introduced paragraph 7.9.20(1</w:t>
                            </w:r>
                            <w:proofErr w:type="gramStart"/>
                            <w:r w:rsidRPr="00ED5159">
                              <w:rPr>
                                <w:sz w:val="16"/>
                                <w:szCs w:val="16"/>
                              </w:rPr>
                              <w:t>)(</w:t>
                            </w:r>
                            <w:proofErr w:type="gramEnd"/>
                            <w:r w:rsidRPr="00ED5159">
                              <w:rPr>
                                <w:sz w:val="16"/>
                                <w:szCs w:val="16"/>
                              </w:rPr>
                              <w:t xml:space="preserve">o) of the </w:t>
                            </w:r>
                            <w:r w:rsidRPr="00ED5159">
                              <w:rPr>
                                <w:i/>
                                <w:sz w:val="16"/>
                                <w:szCs w:val="16"/>
                              </w:rPr>
                              <w:t>Corporations Regulations 2001</w:t>
                            </w:r>
                            <w:r w:rsidRPr="00ED5159">
                              <w:rPr>
                                <w:sz w:val="16"/>
                                <w:szCs w:val="16"/>
                              </w:rPr>
                              <w:t xml:space="preserve">. This requires that superannuation product dashboards be included as part of a periodic statement provided to members if the trustee is required to make publicly available a product dashboard for the investment option under section 1017BA of the </w:t>
                            </w:r>
                            <w:r w:rsidRPr="00ED5159">
                              <w:rPr>
                                <w:i/>
                                <w:sz w:val="16"/>
                                <w:szCs w:val="16"/>
                              </w:rPr>
                              <w:t>Corporations Act 2001</w:t>
                            </w:r>
                            <w:r w:rsidRPr="00ED5159">
                              <w:rPr>
                                <w:sz w:val="16"/>
                                <w:szCs w:val="16"/>
                              </w:rPr>
                              <w:t>.</w:t>
                            </w:r>
                          </w:p>
                          <w:p w14:paraId="1053E9A9" w14:textId="77777777" w:rsidR="003A6B80" w:rsidRPr="00ED5159" w:rsidRDefault="003A6B80" w:rsidP="00A56C55">
                            <w:pPr>
                              <w:spacing w:after="0"/>
                              <w:rPr>
                                <w:sz w:val="16"/>
                                <w:szCs w:val="16"/>
                              </w:rPr>
                            </w:pPr>
                          </w:p>
                          <w:p w14:paraId="1053E9AA" w14:textId="77777777" w:rsidR="003A6B80" w:rsidRPr="00ED5159" w:rsidRDefault="003A6B80" w:rsidP="00A56C55">
                            <w:pPr>
                              <w:spacing w:after="0"/>
                              <w:rPr>
                                <w:sz w:val="16"/>
                                <w:szCs w:val="16"/>
                              </w:rPr>
                            </w:pPr>
                            <w:r w:rsidRPr="00ED5159">
                              <w:rPr>
                                <w:sz w:val="16"/>
                                <w:szCs w:val="16"/>
                              </w:rPr>
                              <w:t xml:space="preserve">ASIC Class Order [CO 13/1534] provided interim relief from the requirement in </w:t>
                            </w:r>
                            <w:proofErr w:type="spellStart"/>
                            <w:r w:rsidRPr="00ED5159">
                              <w:rPr>
                                <w:sz w:val="16"/>
                                <w:szCs w:val="16"/>
                              </w:rPr>
                              <w:t>subregulation</w:t>
                            </w:r>
                            <w:proofErr w:type="spellEnd"/>
                            <w:r w:rsidRPr="00ED5159">
                              <w:rPr>
                                <w:sz w:val="16"/>
                                <w:szCs w:val="16"/>
                              </w:rPr>
                              <w:t xml:space="preserve"> 7.9.20(1</w:t>
                            </w:r>
                            <w:proofErr w:type="gramStart"/>
                            <w:r w:rsidRPr="00ED5159">
                              <w:rPr>
                                <w:sz w:val="16"/>
                                <w:szCs w:val="16"/>
                              </w:rPr>
                              <w:t>)(</w:t>
                            </w:r>
                            <w:proofErr w:type="gramEnd"/>
                            <w:r w:rsidRPr="00ED5159">
                              <w:rPr>
                                <w:sz w:val="16"/>
                                <w:szCs w:val="16"/>
                              </w:rPr>
                              <w:t xml:space="preserve">o) if a trustee includes in the periodic statement a website address for the latest product dashboard for the investment option. The interim relief applies to periodic statements for reporting periods ending before 1 July 2016. This was extended to reporting periods ending before 1 July 2017 by </w:t>
                            </w:r>
                            <w:r w:rsidRPr="00A3187A">
                              <w:rPr>
                                <w:i/>
                                <w:sz w:val="16"/>
                                <w:szCs w:val="16"/>
                              </w:rPr>
                              <w:t>ASIC Corporations (Amendment) Instrument 2016/364</w:t>
                            </w:r>
                            <w:r w:rsidRPr="00ED5159">
                              <w:rPr>
                                <w:sz w:val="16"/>
                                <w:szCs w:val="16"/>
                              </w:rPr>
                              <w:t>.</w:t>
                            </w:r>
                          </w:p>
                          <w:p w14:paraId="1053E9AB" w14:textId="77777777" w:rsidR="003A6B80" w:rsidRPr="00ED5159" w:rsidRDefault="003A6B80" w:rsidP="00A56C55">
                            <w:pPr>
                              <w:spacing w:after="0"/>
                              <w:rPr>
                                <w:sz w:val="16"/>
                                <w:szCs w:val="16"/>
                              </w:rPr>
                            </w:pPr>
                          </w:p>
                          <w:p w14:paraId="1053E9AC" w14:textId="77777777" w:rsidR="003A6B80" w:rsidRPr="00ED5159" w:rsidRDefault="003A6B80" w:rsidP="00A56C55">
                            <w:pPr>
                              <w:spacing w:after="0"/>
                              <w:rPr>
                                <w:sz w:val="16"/>
                                <w:szCs w:val="16"/>
                              </w:rPr>
                            </w:pPr>
                            <w:r w:rsidRPr="00ED5159">
                              <w:rPr>
                                <w:sz w:val="16"/>
                                <w:szCs w:val="16"/>
                              </w:rPr>
                              <w:t xml:space="preserve">The purpose of the Instrument is to extend the Second Exemption in [CO 13/1534] </w:t>
                            </w:r>
                            <w:r w:rsidR="00ED5159" w:rsidRPr="00ED5159">
                              <w:rPr>
                                <w:sz w:val="16"/>
                                <w:szCs w:val="16"/>
                              </w:rPr>
                              <w:t xml:space="preserve">by another </w:t>
                            </w:r>
                            <w:r w:rsidR="00A3187A">
                              <w:rPr>
                                <w:sz w:val="16"/>
                                <w:szCs w:val="16"/>
                              </w:rPr>
                              <w:t>two years</w:t>
                            </w:r>
                            <w:r w:rsidR="00ED5159" w:rsidRPr="00ED5159">
                              <w:rPr>
                                <w:sz w:val="16"/>
                                <w:szCs w:val="16"/>
                              </w:rPr>
                              <w:t xml:space="preserve"> so that it now applies to periodic </w:t>
                            </w:r>
                            <w:r w:rsidR="00ED5159">
                              <w:rPr>
                                <w:sz w:val="16"/>
                                <w:szCs w:val="16"/>
                              </w:rPr>
                              <w:t xml:space="preserve">statements for reporting </w:t>
                            </w:r>
                            <w:r w:rsidR="00A3187A">
                              <w:rPr>
                                <w:sz w:val="16"/>
                                <w:szCs w:val="16"/>
                              </w:rPr>
                              <w:t>periods ending before 1 July 2019</w:t>
                            </w:r>
                            <w:r w:rsidR="00ED5159">
                              <w:rPr>
                                <w:sz w:val="16"/>
                                <w:szCs w:val="16"/>
                              </w:rPr>
                              <w:t>.</w:t>
                            </w:r>
                            <w:r w:rsidR="00A3187A">
                              <w:rPr>
                                <w:sz w:val="16"/>
                                <w:szCs w:val="16"/>
                              </w:rPr>
                              <w:t xml:space="preserve"> </w:t>
                            </w:r>
                            <w:r w:rsidR="00A3187A" w:rsidRPr="002F4F47">
                              <w:rPr>
                                <w:sz w:val="16"/>
                                <w:szCs w:val="16"/>
                              </w:rPr>
                              <w:t>The deferral was given to allow the government an opportunity to review the legal requirements in this area and, where required, to provide more time for relevant legislation to pass.</w:t>
                            </w:r>
                          </w:p>
                          <w:p w14:paraId="1053E9AD" w14:textId="77777777" w:rsidR="00A56C55" w:rsidRPr="00ED5159" w:rsidRDefault="00A56C55" w:rsidP="00A56C55">
                            <w:pPr>
                              <w:spacing w:after="0"/>
                              <w:rPr>
                                <w:sz w:val="16"/>
                                <w:szCs w:val="16"/>
                              </w:rPr>
                            </w:pPr>
                          </w:p>
                          <w:p w14:paraId="1053E9AE" w14:textId="77777777" w:rsidR="00A56C55" w:rsidRPr="00ED5159" w:rsidRDefault="00A56C55" w:rsidP="00A56C55">
                            <w:pPr>
                              <w:spacing w:after="0"/>
                              <w:rPr>
                                <w:i/>
                                <w:sz w:val="16"/>
                                <w:szCs w:val="16"/>
                                <w:u w:val="single"/>
                              </w:rPr>
                            </w:pPr>
                            <w:r w:rsidRPr="00ED5159">
                              <w:rPr>
                                <w:i/>
                                <w:sz w:val="16"/>
                                <w:szCs w:val="16"/>
                                <w:u w:val="single"/>
                              </w:rPr>
                              <w:t>Amendment to ASIC Class Order [CO 14/443]</w:t>
                            </w:r>
                          </w:p>
                          <w:p w14:paraId="1053E9AF" w14:textId="77777777" w:rsidR="00A56C55" w:rsidRPr="00ED5159" w:rsidRDefault="00A56C55" w:rsidP="00A56C55">
                            <w:pPr>
                              <w:spacing w:after="0"/>
                              <w:rPr>
                                <w:sz w:val="16"/>
                                <w:szCs w:val="16"/>
                              </w:rPr>
                            </w:pPr>
                          </w:p>
                          <w:p w14:paraId="1053E9B0" w14:textId="77777777" w:rsidR="00A3187A" w:rsidRDefault="00ED5159" w:rsidP="00A56C55">
                            <w:pPr>
                              <w:spacing w:after="0"/>
                              <w:rPr>
                                <w:sz w:val="16"/>
                                <w:szCs w:val="16"/>
                              </w:rPr>
                            </w:pPr>
                            <w:r>
                              <w:rPr>
                                <w:sz w:val="16"/>
                                <w:szCs w:val="16"/>
                              </w:rPr>
                              <w:t>ASI</w:t>
                            </w:r>
                            <w:r w:rsidR="00A3187A">
                              <w:rPr>
                                <w:sz w:val="16"/>
                                <w:szCs w:val="16"/>
                              </w:rPr>
                              <w:t>C Class Order [CO 14/443] deferred the obligation for a superannuation trustee to publish a product dashboard for a choice product from 1 July 2016 to 1 July 2017. The Instrument extends the start date by two years to 1 July 2019. This was done to allow the government an opportunity to review the legal requirements in this area and, where required, to provide more time for relevant legislation to pass.</w:t>
                            </w:r>
                          </w:p>
                          <w:p w14:paraId="1053E9B1" w14:textId="77777777" w:rsidR="00A3187A" w:rsidRDefault="00A3187A" w:rsidP="00A56C55">
                            <w:pPr>
                              <w:spacing w:after="0"/>
                              <w:rPr>
                                <w:sz w:val="16"/>
                                <w:szCs w:val="16"/>
                              </w:rPr>
                            </w:pPr>
                          </w:p>
                          <w:p w14:paraId="1053E9B2" w14:textId="77777777" w:rsidR="00267D0B" w:rsidRDefault="00267D0B" w:rsidP="00A56C55">
                            <w:pPr>
                              <w:spacing w:after="0"/>
                              <w:rPr>
                                <w:sz w:val="16"/>
                                <w:szCs w:val="16"/>
                              </w:rPr>
                            </w:pPr>
                            <w:r>
                              <w:rPr>
                                <w:sz w:val="16"/>
                                <w:szCs w:val="16"/>
                              </w:rPr>
                              <w:t xml:space="preserve">In addition, ASIC Class Order [CO 14/443] deferred various obligations under sections 1017BA, 1017BB, 1017BC, 1017BD and 1017BE of the </w:t>
                            </w:r>
                            <w:r w:rsidRPr="00267D0B">
                              <w:rPr>
                                <w:i/>
                                <w:sz w:val="16"/>
                                <w:szCs w:val="16"/>
                              </w:rPr>
                              <w:t>Corporations Act 2001</w:t>
                            </w:r>
                            <w:r>
                              <w:rPr>
                                <w:sz w:val="16"/>
                                <w:szCs w:val="16"/>
                              </w:rPr>
                              <w:t xml:space="preserve"> in relation to a superannuation trustee publishing portfolio holdings information on the fund’s website twice a year. That Class Order extended the first reporting date from 31 December 2016 to 31 December 2017 and this extension was also applied to the obligations of intermediate entities to provide the superannuation trustee with investment information to enable the trustee to publish its portfolio holdings information.</w:t>
                            </w:r>
                          </w:p>
                          <w:p w14:paraId="1053E9B3" w14:textId="77777777" w:rsidR="00267D0B" w:rsidRDefault="00267D0B" w:rsidP="00A56C55">
                            <w:pPr>
                              <w:spacing w:after="0"/>
                              <w:rPr>
                                <w:sz w:val="16"/>
                                <w:szCs w:val="16"/>
                              </w:rPr>
                            </w:pPr>
                          </w:p>
                          <w:p w14:paraId="1053E9B4" w14:textId="77777777" w:rsidR="00267D0B" w:rsidRDefault="00267D0B" w:rsidP="00A56C55">
                            <w:pPr>
                              <w:spacing w:after="0"/>
                              <w:rPr>
                                <w:sz w:val="16"/>
                                <w:szCs w:val="16"/>
                              </w:rPr>
                            </w:pPr>
                            <w:r>
                              <w:rPr>
                                <w:sz w:val="16"/>
                                <w:szCs w:val="16"/>
                              </w:rPr>
                              <w:t>The Instrument extends the first reporting date by an additional two years from 31 December 2017 to 31 December 2019. The Instrument grants a corresponding extension in relation to the obligations of intermediate entities to report information that will enable the superannuation trustee to comply with its portfolio holdings disclosure obligations.</w:t>
                            </w:r>
                            <w:r w:rsidR="005B7BA1">
                              <w:rPr>
                                <w:sz w:val="16"/>
                                <w:szCs w:val="16"/>
                              </w:rPr>
                              <w:t xml:space="preserve"> </w:t>
                            </w:r>
                            <w:r w:rsidR="005B7BA1" w:rsidRPr="002F4F47">
                              <w:rPr>
                                <w:sz w:val="16"/>
                                <w:szCs w:val="16"/>
                              </w:rPr>
                              <w:t>The Instrument granted the two year extensions to allow the government an opportunity to review the legal requirements in this area and, where required, to provide more time for relevant legislation to pass.</w:t>
                            </w:r>
                          </w:p>
                          <w:p w14:paraId="1053E9B5" w14:textId="77777777" w:rsidR="000076D6" w:rsidRPr="00ED5159" w:rsidRDefault="000076D6" w:rsidP="00A56C55">
                            <w:pPr>
                              <w:spacing w:after="0"/>
                              <w:rPr>
                                <w:sz w:val="16"/>
                                <w:szCs w:val="16"/>
                              </w:rPr>
                            </w:pPr>
                          </w:p>
                          <w:p w14:paraId="1053E9B6" w14:textId="77777777" w:rsidR="000076D6" w:rsidRPr="00ED5159" w:rsidRDefault="000076D6" w:rsidP="00A56C55">
                            <w:pPr>
                              <w:spacing w:after="0"/>
                              <w:rPr>
                                <w:b/>
                                <w:sz w:val="16"/>
                                <w:szCs w:val="16"/>
                              </w:rPr>
                            </w:pPr>
                            <w:r w:rsidRPr="00ED5159">
                              <w:rPr>
                                <w:b/>
                                <w:sz w:val="16"/>
                                <w:szCs w:val="16"/>
                              </w:rPr>
                              <w:t>Human rights implications</w:t>
                            </w:r>
                          </w:p>
                          <w:p w14:paraId="1053E9B7" w14:textId="77777777" w:rsidR="00A56C55" w:rsidRPr="00ED5159" w:rsidRDefault="00A56C55" w:rsidP="00A56C55">
                            <w:pPr>
                              <w:spacing w:after="0"/>
                              <w:rPr>
                                <w:b/>
                                <w:sz w:val="16"/>
                                <w:szCs w:val="16"/>
                              </w:rPr>
                            </w:pPr>
                          </w:p>
                          <w:p w14:paraId="1053E9B8" w14:textId="77777777" w:rsidR="000076D6" w:rsidRPr="00ED5159" w:rsidRDefault="000076D6" w:rsidP="00A56C55">
                            <w:pPr>
                              <w:spacing w:after="0"/>
                              <w:rPr>
                                <w:sz w:val="16"/>
                                <w:szCs w:val="16"/>
                              </w:rPr>
                            </w:pPr>
                            <w:r w:rsidRPr="00ED5159">
                              <w:rPr>
                                <w:sz w:val="16"/>
                                <w:szCs w:val="16"/>
                              </w:rPr>
                              <w:t>This legislative instrument does not engage any of the applicable rights or freedoms.</w:t>
                            </w:r>
                          </w:p>
                          <w:p w14:paraId="1053E9B9" w14:textId="77777777" w:rsidR="00A56C55" w:rsidRPr="00ED5159" w:rsidRDefault="00A56C55" w:rsidP="00A56C55">
                            <w:pPr>
                              <w:spacing w:after="0"/>
                              <w:rPr>
                                <w:sz w:val="16"/>
                                <w:szCs w:val="16"/>
                              </w:rPr>
                            </w:pPr>
                          </w:p>
                          <w:p w14:paraId="1053E9BA" w14:textId="77777777" w:rsidR="000076D6" w:rsidRPr="00ED5159" w:rsidRDefault="000076D6" w:rsidP="00A56C55">
                            <w:pPr>
                              <w:spacing w:after="0"/>
                              <w:rPr>
                                <w:b/>
                                <w:sz w:val="16"/>
                                <w:szCs w:val="16"/>
                              </w:rPr>
                            </w:pPr>
                            <w:r w:rsidRPr="00ED5159">
                              <w:rPr>
                                <w:b/>
                                <w:sz w:val="16"/>
                                <w:szCs w:val="16"/>
                              </w:rPr>
                              <w:t>Conclusion</w:t>
                            </w:r>
                          </w:p>
                          <w:p w14:paraId="1053E9BB" w14:textId="77777777" w:rsidR="00A56C55" w:rsidRPr="00ED5159" w:rsidRDefault="00A56C55" w:rsidP="00A56C55">
                            <w:pPr>
                              <w:spacing w:after="0"/>
                              <w:rPr>
                                <w:b/>
                                <w:sz w:val="16"/>
                                <w:szCs w:val="16"/>
                              </w:rPr>
                            </w:pPr>
                          </w:p>
                          <w:p w14:paraId="1053E9BC" w14:textId="77777777" w:rsidR="000076D6" w:rsidRPr="00ED5159" w:rsidRDefault="000076D6" w:rsidP="00A56C55">
                            <w:pPr>
                              <w:spacing w:after="0"/>
                              <w:rPr>
                                <w:sz w:val="16"/>
                                <w:szCs w:val="16"/>
                              </w:rPr>
                            </w:pPr>
                            <w:r w:rsidRPr="00ED5159">
                              <w:rPr>
                                <w:sz w:val="16"/>
                                <w:szCs w:val="16"/>
                              </w:rPr>
                              <w:t>This legislative instrument is compatible with human rights as it does not raise any human rights issues.</w:t>
                            </w:r>
                          </w:p>
                          <w:p w14:paraId="1053E9BD" w14:textId="77777777" w:rsidR="000076D6" w:rsidRPr="00E4135E" w:rsidRDefault="000076D6" w:rsidP="000076D6">
                            <w:pPr>
                              <w:spacing w:before="120" w:after="120"/>
                              <w:jc w:val="center"/>
                            </w:pPr>
                          </w:p>
                          <w:p w14:paraId="1053E9BE" w14:textId="77777777" w:rsidR="000076D6" w:rsidRPr="00E4135E" w:rsidRDefault="000076D6" w:rsidP="000076D6">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75pt;width:418.2pt;height:59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" strokeweight="6pt">
                <v:stroke linestyle="thickBetweenThin"/>
                <v:textbox inset="5mm,,5mm">
                  <w:txbxContent>
                    <w:p w14:paraId="1053E99B" w14:textId="77777777" w:rsidR="000076D6" w:rsidRPr="00ED5159" w:rsidRDefault="000076D6" w:rsidP="000076D6">
                      <w:pPr>
                        <w:spacing w:before="360" w:after="120"/>
                        <w:jc w:val="center"/>
                        <w:rPr>
                          <w:b/>
                          <w:sz w:val="16"/>
                          <w:szCs w:val="16"/>
                        </w:rPr>
                      </w:pPr>
                      <w:r w:rsidRPr="00ED5159">
                        <w:rPr>
                          <w:b/>
                          <w:sz w:val="16"/>
                          <w:szCs w:val="16"/>
                        </w:rPr>
                        <w:t>Statement of Compatibility with Human Rights</w:t>
                      </w:r>
                    </w:p>
                    <w:p w14:paraId="1053E99C" w14:textId="77777777" w:rsidR="000076D6" w:rsidRPr="00ED5159" w:rsidRDefault="000076D6" w:rsidP="000076D6">
                      <w:pPr>
                        <w:spacing w:before="120" w:after="120"/>
                        <w:jc w:val="center"/>
                        <w:rPr>
                          <w:sz w:val="16"/>
                          <w:szCs w:val="16"/>
                        </w:rPr>
                      </w:pPr>
                      <w:r w:rsidRPr="00ED5159">
                        <w:rPr>
                          <w:i/>
                          <w:sz w:val="16"/>
                          <w:szCs w:val="16"/>
                        </w:rPr>
                        <w:t>Prepared in accordance with Part 3 of the Human Rights (Parliamentary Scrutiny) Act 2011</w:t>
                      </w:r>
                    </w:p>
                    <w:p w14:paraId="1053E99D" w14:textId="77777777" w:rsidR="000076D6" w:rsidRPr="00ED5159" w:rsidRDefault="000076D6" w:rsidP="000076D6">
                      <w:pPr>
                        <w:spacing w:before="120" w:after="120"/>
                        <w:jc w:val="center"/>
                        <w:rPr>
                          <w:sz w:val="16"/>
                          <w:szCs w:val="16"/>
                        </w:rPr>
                      </w:pPr>
                    </w:p>
                    <w:p w14:paraId="1053E99E" w14:textId="26C74395" w:rsidR="000076D6" w:rsidRPr="00ED5159" w:rsidRDefault="00937FF0" w:rsidP="000076D6">
                      <w:pPr>
                        <w:spacing w:before="120" w:after="120"/>
                        <w:jc w:val="center"/>
                        <w:rPr>
                          <w:b/>
                          <w:sz w:val="16"/>
                          <w:szCs w:val="16"/>
                        </w:rPr>
                      </w:pPr>
                      <w:r w:rsidRPr="00ED5159">
                        <w:rPr>
                          <w:b/>
                          <w:i/>
                          <w:sz w:val="16"/>
                          <w:szCs w:val="16"/>
                        </w:rPr>
                        <w:t>ASIC Corporations (Amendment) Instrument 2017/</w:t>
                      </w:r>
                      <w:r w:rsidR="00EC7E66">
                        <w:rPr>
                          <w:b/>
                          <w:i/>
                          <w:sz w:val="16"/>
                          <w:szCs w:val="16"/>
                        </w:rPr>
                        <w:t>569</w:t>
                      </w:r>
                    </w:p>
                    <w:p w14:paraId="1053E99F" w14:textId="77777777" w:rsidR="00937FF0" w:rsidRPr="00ED5159" w:rsidRDefault="00937FF0" w:rsidP="000076D6">
                      <w:pPr>
                        <w:spacing w:before="120" w:after="120"/>
                        <w:jc w:val="center"/>
                        <w:rPr>
                          <w:b/>
                          <w:sz w:val="16"/>
                          <w:szCs w:val="16"/>
                        </w:rPr>
                      </w:pPr>
                    </w:p>
                    <w:p w14:paraId="1053E9A0" w14:textId="6EADDD55" w:rsidR="000076D6" w:rsidRPr="00ED5159" w:rsidRDefault="00937FF0" w:rsidP="000076D6">
                      <w:pPr>
                        <w:spacing w:before="120" w:after="120"/>
                        <w:jc w:val="center"/>
                        <w:rPr>
                          <w:sz w:val="16"/>
                          <w:szCs w:val="16"/>
                        </w:rPr>
                      </w:pPr>
                      <w:r w:rsidRPr="00ED5159">
                        <w:rPr>
                          <w:i/>
                          <w:sz w:val="16"/>
                          <w:szCs w:val="16"/>
                        </w:rPr>
                        <w:t>ASIC Corporations (Amendment) Instrument 2017/</w:t>
                      </w:r>
                      <w:r w:rsidR="00EC7E66">
                        <w:rPr>
                          <w:i/>
                          <w:sz w:val="16"/>
                          <w:szCs w:val="16"/>
                        </w:rPr>
                        <w:t xml:space="preserve">569 </w:t>
                      </w:r>
                      <w:r w:rsidRPr="00ED5159">
                        <w:rPr>
                          <w:sz w:val="16"/>
                          <w:szCs w:val="16"/>
                        </w:rPr>
                        <w:t xml:space="preserve">(the </w:t>
                      </w:r>
                      <w:r w:rsidRPr="00ED5159">
                        <w:rPr>
                          <w:b/>
                          <w:sz w:val="16"/>
                          <w:szCs w:val="16"/>
                        </w:rPr>
                        <w:t>Instrument</w:t>
                      </w:r>
                      <w:r w:rsidRPr="00ED5159">
                        <w:rPr>
                          <w:sz w:val="16"/>
                          <w:szCs w:val="16"/>
                        </w:rPr>
                        <w:t>)</w:t>
                      </w:r>
                      <w:r w:rsidR="000076D6" w:rsidRPr="00ED5159">
                        <w:rPr>
                          <w:sz w:val="16"/>
                          <w:szCs w:val="16"/>
                        </w:rPr>
                        <w:t xml:space="preserve"> is compatible with the human rights and freedoms recognised or declared in the international instruments listed in section 3 of the </w:t>
                      </w:r>
                      <w:r w:rsidR="000076D6" w:rsidRPr="00ED5159">
                        <w:rPr>
                          <w:i/>
                          <w:sz w:val="16"/>
                          <w:szCs w:val="16"/>
                        </w:rPr>
                        <w:t>Human Rights (Parliamentary Scrutiny) Act 2011</w:t>
                      </w:r>
                      <w:r w:rsidR="000076D6" w:rsidRPr="00ED5159">
                        <w:rPr>
                          <w:sz w:val="16"/>
                          <w:szCs w:val="16"/>
                        </w:rPr>
                        <w:t>.</w:t>
                      </w:r>
                    </w:p>
                    <w:p w14:paraId="1053E9A1" w14:textId="77777777" w:rsidR="000076D6" w:rsidRPr="00ED5159" w:rsidRDefault="000076D6" w:rsidP="000076D6">
                      <w:pPr>
                        <w:spacing w:before="120" w:after="120"/>
                        <w:jc w:val="center"/>
                        <w:rPr>
                          <w:sz w:val="16"/>
                          <w:szCs w:val="16"/>
                        </w:rPr>
                      </w:pPr>
                    </w:p>
                    <w:p w14:paraId="1053E9A2" w14:textId="77777777" w:rsidR="000076D6" w:rsidRPr="00ED5159" w:rsidRDefault="000076D6" w:rsidP="00A56C55">
                      <w:pPr>
                        <w:spacing w:after="0"/>
                        <w:jc w:val="both"/>
                        <w:rPr>
                          <w:b/>
                          <w:sz w:val="16"/>
                          <w:szCs w:val="16"/>
                        </w:rPr>
                      </w:pPr>
                      <w:r w:rsidRPr="00ED5159">
                        <w:rPr>
                          <w:b/>
                          <w:sz w:val="16"/>
                          <w:szCs w:val="16"/>
                        </w:rPr>
                        <w:t>Overview</w:t>
                      </w:r>
                    </w:p>
                    <w:p w14:paraId="1053E9A3" w14:textId="77777777" w:rsidR="00A56C55" w:rsidRPr="00ED5159" w:rsidRDefault="00A56C55" w:rsidP="00A56C55">
                      <w:pPr>
                        <w:spacing w:after="0"/>
                        <w:jc w:val="both"/>
                        <w:rPr>
                          <w:b/>
                          <w:sz w:val="16"/>
                          <w:szCs w:val="16"/>
                        </w:rPr>
                      </w:pPr>
                    </w:p>
                    <w:p w14:paraId="1053E9A4" w14:textId="77777777" w:rsidR="000076D6" w:rsidRPr="00ED5159" w:rsidRDefault="00937FF0" w:rsidP="00A56C55">
                      <w:pPr>
                        <w:spacing w:after="0"/>
                        <w:rPr>
                          <w:sz w:val="16"/>
                          <w:szCs w:val="16"/>
                        </w:rPr>
                      </w:pPr>
                      <w:r w:rsidRPr="00ED5159">
                        <w:rPr>
                          <w:sz w:val="16"/>
                          <w:szCs w:val="16"/>
                        </w:rPr>
                        <w:t xml:space="preserve">The Instrument amends </w:t>
                      </w:r>
                      <w:r w:rsidR="00A56C55" w:rsidRPr="00ED5159">
                        <w:rPr>
                          <w:sz w:val="16"/>
                          <w:szCs w:val="16"/>
                        </w:rPr>
                        <w:t>ASIC Class Order [CO 13/1534]</w:t>
                      </w:r>
                      <w:r w:rsidRPr="00ED5159">
                        <w:rPr>
                          <w:sz w:val="16"/>
                          <w:szCs w:val="16"/>
                        </w:rPr>
                        <w:t xml:space="preserve"> and </w:t>
                      </w:r>
                      <w:r w:rsidR="00A56C55" w:rsidRPr="00ED5159">
                        <w:rPr>
                          <w:sz w:val="16"/>
                          <w:szCs w:val="16"/>
                        </w:rPr>
                        <w:t>[CO 14/443]</w:t>
                      </w:r>
                      <w:r w:rsidRPr="00ED5159">
                        <w:rPr>
                          <w:sz w:val="16"/>
                          <w:szCs w:val="16"/>
                        </w:rPr>
                        <w:t>.</w:t>
                      </w:r>
                    </w:p>
                    <w:p w14:paraId="1053E9A5" w14:textId="77777777" w:rsidR="00A56C55" w:rsidRPr="00ED5159" w:rsidRDefault="00A56C55" w:rsidP="00A56C55">
                      <w:pPr>
                        <w:spacing w:after="0"/>
                        <w:rPr>
                          <w:sz w:val="16"/>
                          <w:szCs w:val="16"/>
                        </w:rPr>
                      </w:pPr>
                    </w:p>
                    <w:p w14:paraId="1053E9A6" w14:textId="77777777" w:rsidR="00A56C55" w:rsidRPr="00ED5159" w:rsidRDefault="00A56C55" w:rsidP="00A56C55">
                      <w:pPr>
                        <w:spacing w:after="0"/>
                        <w:rPr>
                          <w:i/>
                          <w:sz w:val="16"/>
                          <w:szCs w:val="16"/>
                          <w:u w:val="single"/>
                        </w:rPr>
                      </w:pPr>
                      <w:r w:rsidRPr="00ED5159">
                        <w:rPr>
                          <w:i/>
                          <w:sz w:val="16"/>
                          <w:szCs w:val="16"/>
                          <w:u w:val="single"/>
                        </w:rPr>
                        <w:t>Amendment to ASIC Class Order [CO 13/1534]</w:t>
                      </w:r>
                    </w:p>
                    <w:p w14:paraId="1053E9A7" w14:textId="77777777" w:rsidR="00A56C55" w:rsidRPr="00ED5159" w:rsidRDefault="00A56C55" w:rsidP="00A56C55">
                      <w:pPr>
                        <w:spacing w:after="0"/>
                        <w:rPr>
                          <w:sz w:val="16"/>
                          <w:szCs w:val="16"/>
                        </w:rPr>
                      </w:pPr>
                    </w:p>
                    <w:p w14:paraId="1053E9A8" w14:textId="77777777" w:rsidR="003A6B80" w:rsidRPr="00ED5159" w:rsidRDefault="003A6B80" w:rsidP="00A56C55">
                      <w:pPr>
                        <w:spacing w:after="0"/>
                        <w:rPr>
                          <w:sz w:val="16"/>
                          <w:szCs w:val="16"/>
                        </w:rPr>
                      </w:pPr>
                      <w:r w:rsidRPr="00ED5159">
                        <w:rPr>
                          <w:sz w:val="16"/>
                          <w:szCs w:val="16"/>
                        </w:rPr>
                        <w:t xml:space="preserve">The </w:t>
                      </w:r>
                      <w:r w:rsidRPr="00ED5159">
                        <w:rPr>
                          <w:i/>
                          <w:sz w:val="16"/>
                          <w:szCs w:val="16"/>
                        </w:rPr>
                        <w:t>Superannuation Legislation Amendment (MySuper Measures) Regulation 2013</w:t>
                      </w:r>
                      <w:r w:rsidRPr="00ED5159">
                        <w:rPr>
                          <w:sz w:val="16"/>
                          <w:szCs w:val="16"/>
                        </w:rPr>
                        <w:t xml:space="preserve"> introduced paragraph 7.9.20(1)(o) of the </w:t>
                      </w:r>
                      <w:r w:rsidRPr="00ED5159">
                        <w:rPr>
                          <w:i/>
                          <w:sz w:val="16"/>
                          <w:szCs w:val="16"/>
                        </w:rPr>
                        <w:t>Corporations Regulations 2001</w:t>
                      </w:r>
                      <w:r w:rsidRPr="00ED5159">
                        <w:rPr>
                          <w:sz w:val="16"/>
                          <w:szCs w:val="16"/>
                        </w:rPr>
                        <w:t xml:space="preserve">. This requires that superannuation product dashboards be included as part of a periodic statement provided to members if the trustee is required to make publicly available a product dashboard for the investment option under section 1017BA of the </w:t>
                      </w:r>
                      <w:r w:rsidRPr="00ED5159">
                        <w:rPr>
                          <w:i/>
                          <w:sz w:val="16"/>
                          <w:szCs w:val="16"/>
                        </w:rPr>
                        <w:t>Corporations Act 2001</w:t>
                      </w:r>
                      <w:r w:rsidRPr="00ED5159">
                        <w:rPr>
                          <w:sz w:val="16"/>
                          <w:szCs w:val="16"/>
                        </w:rPr>
                        <w:t>.</w:t>
                      </w:r>
                    </w:p>
                    <w:p w14:paraId="1053E9A9" w14:textId="77777777" w:rsidR="003A6B80" w:rsidRPr="00ED5159" w:rsidRDefault="003A6B80" w:rsidP="00A56C55">
                      <w:pPr>
                        <w:spacing w:after="0"/>
                        <w:rPr>
                          <w:sz w:val="16"/>
                          <w:szCs w:val="16"/>
                        </w:rPr>
                      </w:pPr>
                    </w:p>
                    <w:p w14:paraId="1053E9AA" w14:textId="77777777" w:rsidR="003A6B80" w:rsidRPr="00ED5159" w:rsidRDefault="003A6B80" w:rsidP="00A56C55">
                      <w:pPr>
                        <w:spacing w:after="0"/>
                        <w:rPr>
                          <w:sz w:val="16"/>
                          <w:szCs w:val="16"/>
                        </w:rPr>
                      </w:pPr>
                      <w:r w:rsidRPr="00ED5159">
                        <w:rPr>
                          <w:sz w:val="16"/>
                          <w:szCs w:val="16"/>
                        </w:rPr>
                        <w:t xml:space="preserve">ASIC Class Order [CO 13/1534] provided interim relief from the requirement in subregulation 7.9.20(1)(o) if a trustee includes in the periodic statement a website address for the latest product dashboard for the investment option. The interim relief applies to periodic statements for reporting periods ending before 1 July 2016. This was extended to reporting periods ending before 1 July 2017 by </w:t>
                      </w:r>
                      <w:r w:rsidRPr="00A3187A">
                        <w:rPr>
                          <w:i/>
                          <w:sz w:val="16"/>
                          <w:szCs w:val="16"/>
                        </w:rPr>
                        <w:t>ASIC Corporations (Amendment) Instrument 2016/364</w:t>
                      </w:r>
                      <w:r w:rsidRPr="00ED5159">
                        <w:rPr>
                          <w:sz w:val="16"/>
                          <w:szCs w:val="16"/>
                        </w:rPr>
                        <w:t>.</w:t>
                      </w:r>
                    </w:p>
                    <w:p w14:paraId="1053E9AB" w14:textId="77777777" w:rsidR="003A6B80" w:rsidRPr="00ED5159" w:rsidRDefault="003A6B80" w:rsidP="00A56C55">
                      <w:pPr>
                        <w:spacing w:after="0"/>
                        <w:rPr>
                          <w:sz w:val="16"/>
                          <w:szCs w:val="16"/>
                        </w:rPr>
                      </w:pPr>
                    </w:p>
                    <w:p w14:paraId="1053E9AC" w14:textId="77777777" w:rsidR="003A6B80" w:rsidRPr="00ED5159" w:rsidRDefault="003A6B80" w:rsidP="00A56C55">
                      <w:pPr>
                        <w:spacing w:after="0"/>
                        <w:rPr>
                          <w:sz w:val="16"/>
                          <w:szCs w:val="16"/>
                        </w:rPr>
                      </w:pPr>
                      <w:r w:rsidRPr="00ED5159">
                        <w:rPr>
                          <w:sz w:val="16"/>
                          <w:szCs w:val="16"/>
                        </w:rPr>
                        <w:t xml:space="preserve">The purpose of the Instrument is to extend the Second Exemption in [CO 13/1534] </w:t>
                      </w:r>
                      <w:r w:rsidR="00ED5159" w:rsidRPr="00ED5159">
                        <w:rPr>
                          <w:sz w:val="16"/>
                          <w:szCs w:val="16"/>
                        </w:rPr>
                        <w:t xml:space="preserve">by another </w:t>
                      </w:r>
                      <w:r w:rsidR="00A3187A">
                        <w:rPr>
                          <w:sz w:val="16"/>
                          <w:szCs w:val="16"/>
                        </w:rPr>
                        <w:t>two years</w:t>
                      </w:r>
                      <w:r w:rsidR="00ED5159" w:rsidRPr="00ED5159">
                        <w:rPr>
                          <w:sz w:val="16"/>
                          <w:szCs w:val="16"/>
                        </w:rPr>
                        <w:t xml:space="preserve"> so that it now applies to periodic </w:t>
                      </w:r>
                      <w:r w:rsidR="00ED5159">
                        <w:rPr>
                          <w:sz w:val="16"/>
                          <w:szCs w:val="16"/>
                        </w:rPr>
                        <w:t xml:space="preserve">statements for reporting </w:t>
                      </w:r>
                      <w:r w:rsidR="00A3187A">
                        <w:rPr>
                          <w:sz w:val="16"/>
                          <w:szCs w:val="16"/>
                        </w:rPr>
                        <w:t>periods ending before 1 July 2019</w:t>
                      </w:r>
                      <w:r w:rsidR="00ED5159">
                        <w:rPr>
                          <w:sz w:val="16"/>
                          <w:szCs w:val="16"/>
                        </w:rPr>
                        <w:t>.</w:t>
                      </w:r>
                      <w:r w:rsidR="00A3187A">
                        <w:rPr>
                          <w:sz w:val="16"/>
                          <w:szCs w:val="16"/>
                        </w:rPr>
                        <w:t xml:space="preserve"> </w:t>
                      </w:r>
                      <w:r w:rsidR="00A3187A" w:rsidRPr="002F4F47">
                        <w:rPr>
                          <w:sz w:val="16"/>
                          <w:szCs w:val="16"/>
                        </w:rPr>
                        <w:t>The deferral was given to allow the government an opportunity to review the legal requirements in this area and, where required, to provide more time for relevant legislation to pass.</w:t>
                      </w:r>
                    </w:p>
                    <w:p w14:paraId="1053E9AD" w14:textId="77777777" w:rsidR="00A56C55" w:rsidRPr="00ED5159" w:rsidRDefault="00A56C55" w:rsidP="00A56C55">
                      <w:pPr>
                        <w:spacing w:after="0"/>
                        <w:rPr>
                          <w:sz w:val="16"/>
                          <w:szCs w:val="16"/>
                        </w:rPr>
                      </w:pPr>
                    </w:p>
                    <w:p w14:paraId="1053E9AE" w14:textId="77777777" w:rsidR="00A56C55" w:rsidRPr="00ED5159" w:rsidRDefault="00A56C55" w:rsidP="00A56C55">
                      <w:pPr>
                        <w:spacing w:after="0"/>
                        <w:rPr>
                          <w:i/>
                          <w:sz w:val="16"/>
                          <w:szCs w:val="16"/>
                          <w:u w:val="single"/>
                        </w:rPr>
                      </w:pPr>
                      <w:r w:rsidRPr="00ED5159">
                        <w:rPr>
                          <w:i/>
                          <w:sz w:val="16"/>
                          <w:szCs w:val="16"/>
                          <w:u w:val="single"/>
                        </w:rPr>
                        <w:t>Amendment to ASIC Class Order [CO 14/443]</w:t>
                      </w:r>
                    </w:p>
                    <w:p w14:paraId="1053E9AF" w14:textId="77777777" w:rsidR="00A56C55" w:rsidRPr="00ED5159" w:rsidRDefault="00A56C55" w:rsidP="00A56C55">
                      <w:pPr>
                        <w:spacing w:after="0"/>
                        <w:rPr>
                          <w:sz w:val="16"/>
                          <w:szCs w:val="16"/>
                        </w:rPr>
                      </w:pPr>
                    </w:p>
                    <w:p w14:paraId="1053E9B0" w14:textId="77777777" w:rsidR="00A3187A" w:rsidRDefault="00ED5159" w:rsidP="00A56C55">
                      <w:pPr>
                        <w:spacing w:after="0"/>
                        <w:rPr>
                          <w:sz w:val="16"/>
                          <w:szCs w:val="16"/>
                        </w:rPr>
                      </w:pPr>
                      <w:r>
                        <w:rPr>
                          <w:sz w:val="16"/>
                          <w:szCs w:val="16"/>
                        </w:rPr>
                        <w:t>ASI</w:t>
                      </w:r>
                      <w:r w:rsidR="00A3187A">
                        <w:rPr>
                          <w:sz w:val="16"/>
                          <w:szCs w:val="16"/>
                        </w:rPr>
                        <w:t>C Class Order [CO 14/443] deferred the obligation for a superannuation trustee to publish a product dashboard for a choice product from 1 July 2016 to 1 July 2017. The Instrument extends the start date by two years to 1 July 2019. This was done to allow the government an opportunity to review the legal requirements in this area and, where required, to provide more time for relevant legislation to pass.</w:t>
                      </w:r>
                    </w:p>
                    <w:p w14:paraId="1053E9B1" w14:textId="77777777" w:rsidR="00A3187A" w:rsidRDefault="00A3187A" w:rsidP="00A56C55">
                      <w:pPr>
                        <w:spacing w:after="0"/>
                        <w:rPr>
                          <w:sz w:val="16"/>
                          <w:szCs w:val="16"/>
                        </w:rPr>
                      </w:pPr>
                    </w:p>
                    <w:p w14:paraId="1053E9B2" w14:textId="77777777" w:rsidR="00267D0B" w:rsidRDefault="00267D0B" w:rsidP="00A56C55">
                      <w:pPr>
                        <w:spacing w:after="0"/>
                        <w:rPr>
                          <w:sz w:val="16"/>
                          <w:szCs w:val="16"/>
                        </w:rPr>
                      </w:pPr>
                      <w:r>
                        <w:rPr>
                          <w:sz w:val="16"/>
                          <w:szCs w:val="16"/>
                        </w:rPr>
                        <w:t xml:space="preserve">In addition, ASIC Class Order [CO 14/443] deferred various obligations under sections 1017BA, 1017BB, 1017BC, 1017BD and 1017BE of the </w:t>
                      </w:r>
                      <w:r w:rsidRPr="00267D0B">
                        <w:rPr>
                          <w:i/>
                          <w:sz w:val="16"/>
                          <w:szCs w:val="16"/>
                        </w:rPr>
                        <w:t>Corporations Act 2001</w:t>
                      </w:r>
                      <w:r>
                        <w:rPr>
                          <w:sz w:val="16"/>
                          <w:szCs w:val="16"/>
                        </w:rPr>
                        <w:t xml:space="preserve"> in relation to a superannuation trustee publishing portfolio holdings information on the fund’s website twice a year. That Class Order extended the first reporting date from 31 December 2016 to 31 December 2017 and this extension was also applied to the obligations of intermediate entities to provide the superannuation trustee with investment information to enable the trustee to publish its portfolio holdings information.</w:t>
                      </w:r>
                    </w:p>
                    <w:p w14:paraId="1053E9B3" w14:textId="77777777" w:rsidR="00267D0B" w:rsidRDefault="00267D0B" w:rsidP="00A56C55">
                      <w:pPr>
                        <w:spacing w:after="0"/>
                        <w:rPr>
                          <w:sz w:val="16"/>
                          <w:szCs w:val="16"/>
                        </w:rPr>
                      </w:pPr>
                    </w:p>
                    <w:p w14:paraId="1053E9B4" w14:textId="77777777" w:rsidR="00267D0B" w:rsidRDefault="00267D0B" w:rsidP="00A56C55">
                      <w:pPr>
                        <w:spacing w:after="0"/>
                        <w:rPr>
                          <w:sz w:val="16"/>
                          <w:szCs w:val="16"/>
                        </w:rPr>
                      </w:pPr>
                      <w:r>
                        <w:rPr>
                          <w:sz w:val="16"/>
                          <w:szCs w:val="16"/>
                        </w:rPr>
                        <w:t>The Instrument extends the first reporting date by an additional two years from 31 December 2017 to 31 December 2019. The Instrument grants a corresponding extension in relation to the obligations of intermediate entities to report information that will enable the superannuation trustee to comply with its portfolio holdings disclosure obligations.</w:t>
                      </w:r>
                      <w:r w:rsidR="005B7BA1">
                        <w:rPr>
                          <w:sz w:val="16"/>
                          <w:szCs w:val="16"/>
                        </w:rPr>
                        <w:t xml:space="preserve"> </w:t>
                      </w:r>
                      <w:r w:rsidR="005B7BA1" w:rsidRPr="002F4F47">
                        <w:rPr>
                          <w:sz w:val="16"/>
                          <w:szCs w:val="16"/>
                        </w:rPr>
                        <w:t>The Instrument granted the two year extensions to allow the government an opportunity to review the legal requirements in this area and, where required, to provide more time for relevant legislation to pass.</w:t>
                      </w:r>
                    </w:p>
                    <w:p w14:paraId="1053E9B5" w14:textId="77777777" w:rsidR="000076D6" w:rsidRPr="00ED5159" w:rsidRDefault="000076D6" w:rsidP="00A56C55">
                      <w:pPr>
                        <w:spacing w:after="0"/>
                        <w:rPr>
                          <w:sz w:val="16"/>
                          <w:szCs w:val="16"/>
                        </w:rPr>
                      </w:pPr>
                    </w:p>
                    <w:p w14:paraId="1053E9B6" w14:textId="77777777" w:rsidR="000076D6" w:rsidRPr="00ED5159" w:rsidRDefault="000076D6" w:rsidP="00A56C55">
                      <w:pPr>
                        <w:spacing w:after="0"/>
                        <w:rPr>
                          <w:b/>
                          <w:sz w:val="16"/>
                          <w:szCs w:val="16"/>
                        </w:rPr>
                      </w:pPr>
                      <w:r w:rsidRPr="00ED5159">
                        <w:rPr>
                          <w:b/>
                          <w:sz w:val="16"/>
                          <w:szCs w:val="16"/>
                        </w:rPr>
                        <w:t>Human rights implications</w:t>
                      </w:r>
                    </w:p>
                    <w:p w14:paraId="1053E9B7" w14:textId="77777777" w:rsidR="00A56C55" w:rsidRPr="00ED5159" w:rsidRDefault="00A56C55" w:rsidP="00A56C55">
                      <w:pPr>
                        <w:spacing w:after="0"/>
                        <w:rPr>
                          <w:b/>
                          <w:sz w:val="16"/>
                          <w:szCs w:val="16"/>
                        </w:rPr>
                      </w:pPr>
                    </w:p>
                    <w:p w14:paraId="1053E9B8" w14:textId="77777777" w:rsidR="000076D6" w:rsidRPr="00ED5159" w:rsidRDefault="000076D6" w:rsidP="00A56C55">
                      <w:pPr>
                        <w:spacing w:after="0"/>
                        <w:rPr>
                          <w:sz w:val="16"/>
                          <w:szCs w:val="16"/>
                        </w:rPr>
                      </w:pPr>
                      <w:r w:rsidRPr="00ED5159">
                        <w:rPr>
                          <w:sz w:val="16"/>
                          <w:szCs w:val="16"/>
                        </w:rPr>
                        <w:t>This legislative instrument does not engage any of the applicable rights or freedoms.</w:t>
                      </w:r>
                    </w:p>
                    <w:p w14:paraId="1053E9B9" w14:textId="77777777" w:rsidR="00A56C55" w:rsidRPr="00ED5159" w:rsidRDefault="00A56C55" w:rsidP="00A56C55">
                      <w:pPr>
                        <w:spacing w:after="0"/>
                        <w:rPr>
                          <w:sz w:val="16"/>
                          <w:szCs w:val="16"/>
                        </w:rPr>
                      </w:pPr>
                    </w:p>
                    <w:p w14:paraId="1053E9BA" w14:textId="77777777" w:rsidR="000076D6" w:rsidRPr="00ED5159" w:rsidRDefault="000076D6" w:rsidP="00A56C55">
                      <w:pPr>
                        <w:spacing w:after="0"/>
                        <w:rPr>
                          <w:b/>
                          <w:sz w:val="16"/>
                          <w:szCs w:val="16"/>
                        </w:rPr>
                      </w:pPr>
                      <w:r w:rsidRPr="00ED5159">
                        <w:rPr>
                          <w:b/>
                          <w:sz w:val="16"/>
                          <w:szCs w:val="16"/>
                        </w:rPr>
                        <w:t>Conclusion</w:t>
                      </w:r>
                    </w:p>
                    <w:p w14:paraId="1053E9BB" w14:textId="77777777" w:rsidR="00A56C55" w:rsidRPr="00ED5159" w:rsidRDefault="00A56C55" w:rsidP="00A56C55">
                      <w:pPr>
                        <w:spacing w:after="0"/>
                        <w:rPr>
                          <w:b/>
                          <w:sz w:val="16"/>
                          <w:szCs w:val="16"/>
                        </w:rPr>
                      </w:pPr>
                    </w:p>
                    <w:p w14:paraId="1053E9BC" w14:textId="77777777" w:rsidR="000076D6" w:rsidRPr="00ED5159" w:rsidRDefault="000076D6" w:rsidP="00A56C55">
                      <w:pPr>
                        <w:spacing w:after="0"/>
                        <w:rPr>
                          <w:sz w:val="16"/>
                          <w:szCs w:val="16"/>
                        </w:rPr>
                      </w:pPr>
                      <w:r w:rsidRPr="00ED5159">
                        <w:rPr>
                          <w:sz w:val="16"/>
                          <w:szCs w:val="16"/>
                        </w:rPr>
                        <w:t>This legislative instrument is compatible with human rights as it does not raise any human rights issues.</w:t>
                      </w:r>
                    </w:p>
                    <w:p w14:paraId="1053E9BD" w14:textId="77777777" w:rsidR="000076D6" w:rsidRPr="00E4135E" w:rsidRDefault="000076D6" w:rsidP="000076D6">
                      <w:pPr>
                        <w:spacing w:before="120" w:after="120"/>
                        <w:jc w:val="center"/>
                      </w:pPr>
                    </w:p>
                    <w:p w14:paraId="1053E9BE" w14:textId="77777777" w:rsidR="000076D6" w:rsidRPr="00E4135E" w:rsidRDefault="000076D6" w:rsidP="000076D6">
                      <w:pPr>
                        <w:spacing w:before="120" w:after="120"/>
                        <w:jc w:val="center"/>
                      </w:pP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3E989" w14:textId="77777777" w:rsidR="00E67D4E" w:rsidRDefault="00E67D4E">
      <w:pPr>
        <w:spacing w:after="0"/>
      </w:pPr>
      <w:r>
        <w:separator/>
      </w:r>
    </w:p>
  </w:endnote>
  <w:endnote w:type="continuationSeparator" w:id="0">
    <w:p w14:paraId="1053E98A" w14:textId="77777777" w:rsidR="00E67D4E" w:rsidRDefault="00E67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3E98F"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1499">
      <w:rPr>
        <w:rStyle w:val="PageNumber"/>
        <w:noProof/>
      </w:rPr>
      <w:t>6</w:t>
    </w:r>
    <w:r>
      <w:rPr>
        <w:rStyle w:val="PageNumber"/>
      </w:rPr>
      <w:fldChar w:fldCharType="end"/>
    </w:r>
  </w:p>
  <w:p w14:paraId="1053E990" w14:textId="77777777" w:rsidR="00C27A4B" w:rsidRDefault="00F5675A">
    <w:pPr>
      <w:pStyle w:val="Footer"/>
      <w:ind w:right="360"/>
    </w:pPr>
  </w:p>
  <w:p w14:paraId="1053E991" w14:textId="77777777" w:rsidR="00C27A4B" w:rsidRDefault="00F5675A"/>
  <w:p w14:paraId="1053E992" w14:textId="77777777" w:rsidR="00C27A4B" w:rsidRDefault="00F5675A"/>
  <w:p w14:paraId="1053E993" w14:textId="77777777" w:rsidR="00C27A4B" w:rsidRDefault="00F5675A"/>
  <w:p w14:paraId="1053E994" w14:textId="77777777" w:rsidR="00C27A4B" w:rsidRDefault="00F5675A"/>
  <w:p w14:paraId="1053E995" w14:textId="77777777" w:rsidR="00C27A4B" w:rsidRDefault="00F567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3E996" w14:textId="77777777" w:rsidR="00DC46C1" w:rsidRDefault="005B0E3A" w:rsidP="00DC46C1">
    <w:pPr>
      <w:pStyle w:val="Footer"/>
      <w:pBdr>
        <w:bottom w:val="single" w:sz="4" w:space="1" w:color="117DC7"/>
      </w:pBdr>
      <w:rPr>
        <w:color w:val="117DC7"/>
      </w:rPr>
    </w:pPr>
    <w:r>
      <w:rPr>
        <w:noProof/>
        <w:color w:val="117DC7"/>
        <w:sz w:val="20"/>
      </w:rPr>
      <mc:AlternateContent>
        <mc:Choice Requires="wps">
          <w:drawing>
            <wp:anchor distT="0" distB="0" distL="114300" distR="114300" simplePos="0" relativeHeight="251657216" behindDoc="0" locked="1" layoutInCell="1" allowOverlap="1" wp14:anchorId="1053E999" wp14:editId="1053E99A">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3E9BF"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F5675A">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1053E9BF"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F5675A">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p>
  <w:p w14:paraId="1053E997" w14:textId="77777777" w:rsidR="00C27A4B" w:rsidRDefault="005B0E3A">
    <w:pPr>
      <w:pStyle w:val="Footer"/>
      <w:pBdr>
        <w:top w:val="single" w:sz="4" w:space="1" w:color="117DC7"/>
      </w:pBdr>
      <w:rPr>
        <w:b/>
        <w:color w:val="117DC7"/>
      </w:rPr>
    </w:pP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3E987" w14:textId="77777777" w:rsidR="00E67D4E" w:rsidRDefault="00E67D4E">
      <w:pPr>
        <w:spacing w:after="0"/>
      </w:pPr>
      <w:r>
        <w:separator/>
      </w:r>
    </w:p>
  </w:footnote>
  <w:footnote w:type="continuationSeparator" w:id="0">
    <w:p w14:paraId="1053E988" w14:textId="77777777" w:rsidR="00E67D4E" w:rsidRDefault="00E67D4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3E98B" w14:textId="77777777" w:rsidR="00C27A4B" w:rsidRDefault="00F5675A"/>
  <w:p w14:paraId="1053E98C" w14:textId="77777777" w:rsidR="00C27A4B" w:rsidRDefault="00F567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3E98D" w14:textId="4C370925" w:rsidR="00C27A4B" w:rsidRDefault="00DC46C1">
    <w:pPr>
      <w:pStyle w:val="Footer"/>
      <w:pBdr>
        <w:bottom w:val="single" w:sz="4" w:space="1" w:color="117DC7"/>
      </w:pBdr>
      <w:jc w:val="right"/>
      <w:rPr>
        <w:color w:val="117DC7"/>
      </w:rPr>
    </w:pPr>
    <w:r>
      <w:t>Explanatory Statement for ASIC Corporations (Amendment) Instrument 2017/</w:t>
    </w:r>
    <w:r w:rsidR="00EC7E66">
      <w:t>569</w:t>
    </w:r>
  </w:p>
  <w:p w14:paraId="1053E98E" w14:textId="77777777" w:rsidR="00C27A4B" w:rsidRDefault="00F567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3E998"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9">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034C3B"/>
    <w:multiLevelType w:val="hybridMultilevel"/>
    <w:tmpl w:val="8B4AFD16"/>
    <w:lvl w:ilvl="0" w:tplc="A1781778">
      <w:start w:val="1"/>
      <w:numFmt w:val="decimal"/>
      <w:lvlText w:val="%1."/>
      <w:lvlJc w:val="left"/>
      <w:pPr>
        <w:ind w:left="1591" w:hanging="720"/>
      </w:pPr>
      <w:rPr>
        <w:rFonts w:ascii="Arial" w:eastAsia="Arial" w:hAnsi="Arial" w:hint="default"/>
        <w:b/>
        <w:bCs/>
        <w:spacing w:val="-1"/>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4">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9"/>
  </w:num>
  <w:num w:numId="4">
    <w:abstractNumId w:val="13"/>
  </w:num>
  <w:num w:numId="5">
    <w:abstractNumId w:val="5"/>
  </w:num>
  <w:num w:numId="6">
    <w:abstractNumId w:val="4"/>
  </w:num>
  <w:num w:numId="7">
    <w:abstractNumId w:val="8"/>
  </w:num>
  <w:num w:numId="8">
    <w:abstractNumId w:val="2"/>
  </w:num>
  <w:num w:numId="9">
    <w:abstractNumId w:val="1"/>
  </w:num>
  <w:num w:numId="10">
    <w:abstractNumId w:val="0"/>
  </w:num>
  <w:num w:numId="11">
    <w:abstractNumId w:val="7"/>
  </w:num>
  <w:num w:numId="12">
    <w:abstractNumId w:val="12"/>
  </w:num>
  <w:num w:numId="13">
    <w:abstractNumId w:val="10"/>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D4E"/>
    <w:rsid w:val="000076D6"/>
    <w:rsid w:val="00084324"/>
    <w:rsid w:val="000F0A09"/>
    <w:rsid w:val="00115F99"/>
    <w:rsid w:val="00142BFB"/>
    <w:rsid w:val="00154EE9"/>
    <w:rsid w:val="00170A1B"/>
    <w:rsid w:val="001D5554"/>
    <w:rsid w:val="002035D9"/>
    <w:rsid w:val="0026108E"/>
    <w:rsid w:val="00267D0B"/>
    <w:rsid w:val="002F4F47"/>
    <w:rsid w:val="00327831"/>
    <w:rsid w:val="0038480A"/>
    <w:rsid w:val="003A6B80"/>
    <w:rsid w:val="003C6E8E"/>
    <w:rsid w:val="00444225"/>
    <w:rsid w:val="004D346E"/>
    <w:rsid w:val="005B0E3A"/>
    <w:rsid w:val="005B7BA1"/>
    <w:rsid w:val="006E75E9"/>
    <w:rsid w:val="007B4C6B"/>
    <w:rsid w:val="0082240D"/>
    <w:rsid w:val="00832A8B"/>
    <w:rsid w:val="00937FF0"/>
    <w:rsid w:val="00944F9C"/>
    <w:rsid w:val="009C1499"/>
    <w:rsid w:val="009E361B"/>
    <w:rsid w:val="00A3187A"/>
    <w:rsid w:val="00A56C55"/>
    <w:rsid w:val="00A62498"/>
    <w:rsid w:val="00A962BD"/>
    <w:rsid w:val="00AC02C2"/>
    <w:rsid w:val="00BE074E"/>
    <w:rsid w:val="00C60A53"/>
    <w:rsid w:val="00C7320E"/>
    <w:rsid w:val="00DC46C1"/>
    <w:rsid w:val="00DE17C7"/>
    <w:rsid w:val="00DF4285"/>
    <w:rsid w:val="00E67D4E"/>
    <w:rsid w:val="00EC7E66"/>
    <w:rsid w:val="00ED5159"/>
    <w:rsid w:val="00F05502"/>
    <w:rsid w:val="00F05A05"/>
    <w:rsid w:val="00F21535"/>
    <w:rsid w:val="00F5675A"/>
    <w:rsid w:val="00F900C3"/>
    <w:rsid w:val="00FB2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53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7B4C6B"/>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2610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7B4C6B"/>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2610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27659">
      <w:bodyDiv w:val="1"/>
      <w:marLeft w:val="0"/>
      <w:marRight w:val="0"/>
      <w:marTop w:val="0"/>
      <w:marBottom w:val="0"/>
      <w:divBdr>
        <w:top w:val="none" w:sz="0" w:space="0" w:color="auto"/>
        <w:left w:val="none" w:sz="0" w:space="0" w:color="auto"/>
        <w:bottom w:val="none" w:sz="0" w:space="0" w:color="auto"/>
        <w:right w:val="none" w:sz="0" w:space="0" w:color="auto"/>
      </w:divBdr>
      <w:divsChild>
        <w:div w:id="1633052183">
          <w:marLeft w:val="0"/>
          <w:marRight w:val="0"/>
          <w:marTop w:val="0"/>
          <w:marBottom w:val="0"/>
          <w:divBdr>
            <w:top w:val="none" w:sz="0" w:space="0" w:color="auto"/>
            <w:left w:val="none" w:sz="0" w:space="0" w:color="auto"/>
            <w:bottom w:val="none" w:sz="0" w:space="0" w:color="auto"/>
            <w:right w:val="none" w:sz="0" w:space="0" w:color="auto"/>
          </w:divBdr>
          <w:divsChild>
            <w:div w:id="986783588">
              <w:marLeft w:val="0"/>
              <w:marRight w:val="0"/>
              <w:marTop w:val="0"/>
              <w:marBottom w:val="0"/>
              <w:divBdr>
                <w:top w:val="none" w:sz="0" w:space="0" w:color="auto"/>
                <w:left w:val="none" w:sz="0" w:space="0" w:color="auto"/>
                <w:bottom w:val="none" w:sz="0" w:space="0" w:color="auto"/>
                <w:right w:val="none" w:sz="0" w:space="0" w:color="auto"/>
              </w:divBdr>
              <w:divsChild>
                <w:div w:id="2055690618">
                  <w:marLeft w:val="0"/>
                  <w:marRight w:val="0"/>
                  <w:marTop w:val="0"/>
                  <w:marBottom w:val="0"/>
                  <w:divBdr>
                    <w:top w:val="none" w:sz="0" w:space="0" w:color="auto"/>
                    <w:left w:val="none" w:sz="0" w:space="0" w:color="auto"/>
                    <w:bottom w:val="none" w:sz="0" w:space="0" w:color="auto"/>
                    <w:right w:val="none" w:sz="0" w:space="0" w:color="auto"/>
                  </w:divBdr>
                  <w:divsChild>
                    <w:div w:id="1743408413">
                      <w:marLeft w:val="0"/>
                      <w:marRight w:val="0"/>
                      <w:marTop w:val="0"/>
                      <w:marBottom w:val="0"/>
                      <w:divBdr>
                        <w:top w:val="none" w:sz="0" w:space="0" w:color="auto"/>
                        <w:left w:val="none" w:sz="0" w:space="0" w:color="auto"/>
                        <w:bottom w:val="none" w:sz="0" w:space="0" w:color="auto"/>
                        <w:right w:val="none" w:sz="0" w:space="0" w:color="auto"/>
                      </w:divBdr>
                      <w:divsChild>
                        <w:div w:id="2034842434">
                          <w:marLeft w:val="0"/>
                          <w:marRight w:val="0"/>
                          <w:marTop w:val="0"/>
                          <w:marBottom w:val="0"/>
                          <w:divBdr>
                            <w:top w:val="none" w:sz="0" w:space="0" w:color="auto"/>
                            <w:left w:val="none" w:sz="0" w:space="0" w:color="auto"/>
                            <w:bottom w:val="none" w:sz="0" w:space="0" w:color="auto"/>
                            <w:right w:val="none" w:sz="0" w:space="0" w:color="auto"/>
                          </w:divBdr>
                          <w:divsChild>
                            <w:div w:id="832842675">
                              <w:marLeft w:val="0"/>
                              <w:marRight w:val="0"/>
                              <w:marTop w:val="0"/>
                              <w:marBottom w:val="0"/>
                              <w:divBdr>
                                <w:top w:val="none" w:sz="0" w:space="0" w:color="auto"/>
                                <w:left w:val="none" w:sz="0" w:space="0" w:color="auto"/>
                                <w:bottom w:val="none" w:sz="0" w:space="0" w:color="auto"/>
                                <w:right w:val="none" w:sz="0" w:space="0" w:color="auto"/>
                              </w:divBdr>
                              <w:divsChild>
                                <w:div w:id="1209225793">
                                  <w:marLeft w:val="0"/>
                                  <w:marRight w:val="0"/>
                                  <w:marTop w:val="0"/>
                                  <w:marBottom w:val="0"/>
                                  <w:divBdr>
                                    <w:top w:val="none" w:sz="0" w:space="0" w:color="auto"/>
                                    <w:left w:val="none" w:sz="0" w:space="0" w:color="auto"/>
                                    <w:bottom w:val="none" w:sz="0" w:space="0" w:color="auto"/>
                                    <w:right w:val="none" w:sz="0" w:space="0" w:color="auto"/>
                                  </w:divBdr>
                                  <w:divsChild>
                                    <w:div w:id="1152988386">
                                      <w:marLeft w:val="0"/>
                                      <w:marRight w:val="0"/>
                                      <w:marTop w:val="0"/>
                                      <w:marBottom w:val="0"/>
                                      <w:divBdr>
                                        <w:top w:val="none" w:sz="0" w:space="0" w:color="auto"/>
                                        <w:left w:val="none" w:sz="0" w:space="0" w:color="auto"/>
                                        <w:bottom w:val="none" w:sz="0" w:space="0" w:color="auto"/>
                                        <w:right w:val="none" w:sz="0" w:space="0" w:color="auto"/>
                                      </w:divBdr>
                                      <w:divsChild>
                                        <w:div w:id="159777697">
                                          <w:marLeft w:val="0"/>
                                          <w:marRight w:val="0"/>
                                          <w:marTop w:val="0"/>
                                          <w:marBottom w:val="0"/>
                                          <w:divBdr>
                                            <w:top w:val="none" w:sz="0" w:space="0" w:color="auto"/>
                                            <w:left w:val="none" w:sz="0" w:space="0" w:color="auto"/>
                                            <w:bottom w:val="none" w:sz="0" w:space="0" w:color="auto"/>
                                            <w:right w:val="none" w:sz="0" w:space="0" w:color="auto"/>
                                          </w:divBdr>
                                          <w:divsChild>
                                            <w:div w:id="2090812217">
                                              <w:marLeft w:val="0"/>
                                              <w:marRight w:val="0"/>
                                              <w:marTop w:val="0"/>
                                              <w:marBottom w:val="0"/>
                                              <w:divBdr>
                                                <w:top w:val="none" w:sz="0" w:space="0" w:color="auto"/>
                                                <w:left w:val="none" w:sz="0" w:space="0" w:color="auto"/>
                                                <w:bottom w:val="none" w:sz="0" w:space="0" w:color="auto"/>
                                                <w:right w:val="none" w:sz="0" w:space="0" w:color="auto"/>
                                              </w:divBdr>
                                              <w:divsChild>
                                                <w:div w:id="2048025603">
                                                  <w:marLeft w:val="0"/>
                                                  <w:marRight w:val="0"/>
                                                  <w:marTop w:val="0"/>
                                                  <w:marBottom w:val="0"/>
                                                  <w:divBdr>
                                                    <w:top w:val="none" w:sz="0" w:space="0" w:color="auto"/>
                                                    <w:left w:val="none" w:sz="0" w:space="0" w:color="auto"/>
                                                    <w:bottom w:val="none" w:sz="0" w:space="0" w:color="auto"/>
                                                    <w:right w:val="none" w:sz="0" w:space="0" w:color="auto"/>
                                                  </w:divBdr>
                                                  <w:divsChild>
                                                    <w:div w:id="605776890">
                                                      <w:marLeft w:val="0"/>
                                                      <w:marRight w:val="0"/>
                                                      <w:marTop w:val="0"/>
                                                      <w:marBottom w:val="0"/>
                                                      <w:divBdr>
                                                        <w:top w:val="none" w:sz="0" w:space="0" w:color="auto"/>
                                                        <w:left w:val="none" w:sz="0" w:space="0" w:color="auto"/>
                                                        <w:bottom w:val="none" w:sz="0" w:space="0" w:color="auto"/>
                                                        <w:right w:val="none" w:sz="0" w:space="0" w:color="auto"/>
                                                      </w:divBdr>
                                                      <w:divsChild>
                                                        <w:div w:id="20990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862409">
      <w:bodyDiv w:val="1"/>
      <w:marLeft w:val="0"/>
      <w:marRight w:val="0"/>
      <w:marTop w:val="0"/>
      <w:marBottom w:val="0"/>
      <w:divBdr>
        <w:top w:val="none" w:sz="0" w:space="0" w:color="auto"/>
        <w:left w:val="none" w:sz="0" w:space="0" w:color="auto"/>
        <w:bottom w:val="none" w:sz="0" w:space="0" w:color="auto"/>
        <w:right w:val="none" w:sz="0" w:space="0" w:color="auto"/>
      </w:divBdr>
      <w:divsChild>
        <w:div w:id="1832788912">
          <w:marLeft w:val="0"/>
          <w:marRight w:val="0"/>
          <w:marTop w:val="0"/>
          <w:marBottom w:val="0"/>
          <w:divBdr>
            <w:top w:val="none" w:sz="0" w:space="0" w:color="auto"/>
            <w:left w:val="none" w:sz="0" w:space="0" w:color="auto"/>
            <w:bottom w:val="none" w:sz="0" w:space="0" w:color="auto"/>
            <w:right w:val="none" w:sz="0" w:space="0" w:color="auto"/>
          </w:divBdr>
          <w:divsChild>
            <w:div w:id="860969309">
              <w:marLeft w:val="0"/>
              <w:marRight w:val="0"/>
              <w:marTop w:val="0"/>
              <w:marBottom w:val="0"/>
              <w:divBdr>
                <w:top w:val="none" w:sz="0" w:space="0" w:color="auto"/>
                <w:left w:val="none" w:sz="0" w:space="0" w:color="auto"/>
                <w:bottom w:val="none" w:sz="0" w:space="0" w:color="auto"/>
                <w:right w:val="none" w:sz="0" w:space="0" w:color="auto"/>
              </w:divBdr>
              <w:divsChild>
                <w:div w:id="393047326">
                  <w:marLeft w:val="0"/>
                  <w:marRight w:val="0"/>
                  <w:marTop w:val="0"/>
                  <w:marBottom w:val="0"/>
                  <w:divBdr>
                    <w:top w:val="none" w:sz="0" w:space="0" w:color="auto"/>
                    <w:left w:val="none" w:sz="0" w:space="0" w:color="auto"/>
                    <w:bottom w:val="none" w:sz="0" w:space="0" w:color="auto"/>
                    <w:right w:val="none" w:sz="0" w:space="0" w:color="auto"/>
                  </w:divBdr>
                  <w:divsChild>
                    <w:div w:id="541751355">
                      <w:marLeft w:val="0"/>
                      <w:marRight w:val="0"/>
                      <w:marTop w:val="0"/>
                      <w:marBottom w:val="0"/>
                      <w:divBdr>
                        <w:top w:val="none" w:sz="0" w:space="0" w:color="auto"/>
                        <w:left w:val="none" w:sz="0" w:space="0" w:color="auto"/>
                        <w:bottom w:val="none" w:sz="0" w:space="0" w:color="auto"/>
                        <w:right w:val="none" w:sz="0" w:space="0" w:color="auto"/>
                      </w:divBdr>
                      <w:divsChild>
                        <w:div w:id="623849953">
                          <w:marLeft w:val="0"/>
                          <w:marRight w:val="0"/>
                          <w:marTop w:val="0"/>
                          <w:marBottom w:val="0"/>
                          <w:divBdr>
                            <w:top w:val="none" w:sz="0" w:space="0" w:color="auto"/>
                            <w:left w:val="none" w:sz="0" w:space="0" w:color="auto"/>
                            <w:bottom w:val="none" w:sz="0" w:space="0" w:color="auto"/>
                            <w:right w:val="none" w:sz="0" w:space="0" w:color="auto"/>
                          </w:divBdr>
                          <w:divsChild>
                            <w:div w:id="74862515">
                              <w:marLeft w:val="0"/>
                              <w:marRight w:val="0"/>
                              <w:marTop w:val="0"/>
                              <w:marBottom w:val="0"/>
                              <w:divBdr>
                                <w:top w:val="none" w:sz="0" w:space="0" w:color="auto"/>
                                <w:left w:val="none" w:sz="0" w:space="0" w:color="auto"/>
                                <w:bottom w:val="none" w:sz="0" w:space="0" w:color="auto"/>
                                <w:right w:val="none" w:sz="0" w:space="0" w:color="auto"/>
                              </w:divBdr>
                              <w:divsChild>
                                <w:div w:id="599530822">
                                  <w:marLeft w:val="0"/>
                                  <w:marRight w:val="0"/>
                                  <w:marTop w:val="0"/>
                                  <w:marBottom w:val="0"/>
                                  <w:divBdr>
                                    <w:top w:val="none" w:sz="0" w:space="0" w:color="auto"/>
                                    <w:left w:val="none" w:sz="0" w:space="0" w:color="auto"/>
                                    <w:bottom w:val="none" w:sz="0" w:space="0" w:color="auto"/>
                                    <w:right w:val="none" w:sz="0" w:space="0" w:color="auto"/>
                                  </w:divBdr>
                                  <w:divsChild>
                                    <w:div w:id="1549418615">
                                      <w:marLeft w:val="0"/>
                                      <w:marRight w:val="0"/>
                                      <w:marTop w:val="0"/>
                                      <w:marBottom w:val="0"/>
                                      <w:divBdr>
                                        <w:top w:val="none" w:sz="0" w:space="0" w:color="auto"/>
                                        <w:left w:val="none" w:sz="0" w:space="0" w:color="auto"/>
                                        <w:bottom w:val="none" w:sz="0" w:space="0" w:color="auto"/>
                                        <w:right w:val="none" w:sz="0" w:space="0" w:color="auto"/>
                                      </w:divBdr>
                                      <w:divsChild>
                                        <w:div w:id="632248662">
                                          <w:marLeft w:val="0"/>
                                          <w:marRight w:val="0"/>
                                          <w:marTop w:val="0"/>
                                          <w:marBottom w:val="0"/>
                                          <w:divBdr>
                                            <w:top w:val="none" w:sz="0" w:space="0" w:color="auto"/>
                                            <w:left w:val="none" w:sz="0" w:space="0" w:color="auto"/>
                                            <w:bottom w:val="none" w:sz="0" w:space="0" w:color="auto"/>
                                            <w:right w:val="none" w:sz="0" w:space="0" w:color="auto"/>
                                          </w:divBdr>
                                          <w:divsChild>
                                            <w:div w:id="447045863">
                                              <w:marLeft w:val="0"/>
                                              <w:marRight w:val="0"/>
                                              <w:marTop w:val="0"/>
                                              <w:marBottom w:val="0"/>
                                              <w:divBdr>
                                                <w:top w:val="none" w:sz="0" w:space="0" w:color="auto"/>
                                                <w:left w:val="none" w:sz="0" w:space="0" w:color="auto"/>
                                                <w:bottom w:val="none" w:sz="0" w:space="0" w:color="auto"/>
                                                <w:right w:val="none" w:sz="0" w:space="0" w:color="auto"/>
                                              </w:divBdr>
                                              <w:divsChild>
                                                <w:div w:id="1045838262">
                                                  <w:marLeft w:val="0"/>
                                                  <w:marRight w:val="0"/>
                                                  <w:marTop w:val="0"/>
                                                  <w:marBottom w:val="0"/>
                                                  <w:divBdr>
                                                    <w:top w:val="none" w:sz="0" w:space="0" w:color="auto"/>
                                                    <w:left w:val="none" w:sz="0" w:space="0" w:color="auto"/>
                                                    <w:bottom w:val="none" w:sz="0" w:space="0" w:color="auto"/>
                                                    <w:right w:val="none" w:sz="0" w:space="0" w:color="auto"/>
                                                  </w:divBdr>
                                                  <w:divsChild>
                                                    <w:div w:id="711687205">
                                                      <w:marLeft w:val="0"/>
                                                      <w:marRight w:val="0"/>
                                                      <w:marTop w:val="0"/>
                                                      <w:marBottom w:val="0"/>
                                                      <w:divBdr>
                                                        <w:top w:val="none" w:sz="0" w:space="0" w:color="auto"/>
                                                        <w:left w:val="none" w:sz="0" w:space="0" w:color="auto"/>
                                                        <w:bottom w:val="none" w:sz="0" w:space="0" w:color="auto"/>
                                                        <w:right w:val="none" w:sz="0" w:space="0" w:color="auto"/>
                                                      </w:divBdr>
                                                      <w:divsChild>
                                                        <w:div w:id="12408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189458">
      <w:bodyDiv w:val="1"/>
      <w:marLeft w:val="0"/>
      <w:marRight w:val="0"/>
      <w:marTop w:val="0"/>
      <w:marBottom w:val="0"/>
      <w:divBdr>
        <w:top w:val="none" w:sz="0" w:space="0" w:color="auto"/>
        <w:left w:val="none" w:sz="0" w:space="0" w:color="auto"/>
        <w:bottom w:val="none" w:sz="0" w:space="0" w:color="auto"/>
        <w:right w:val="none" w:sz="0" w:space="0" w:color="auto"/>
      </w:divBdr>
      <w:divsChild>
        <w:div w:id="557978413">
          <w:marLeft w:val="0"/>
          <w:marRight w:val="0"/>
          <w:marTop w:val="0"/>
          <w:marBottom w:val="0"/>
          <w:divBdr>
            <w:top w:val="none" w:sz="0" w:space="0" w:color="auto"/>
            <w:left w:val="none" w:sz="0" w:space="0" w:color="auto"/>
            <w:bottom w:val="none" w:sz="0" w:space="0" w:color="auto"/>
            <w:right w:val="none" w:sz="0" w:space="0" w:color="auto"/>
          </w:divBdr>
          <w:divsChild>
            <w:div w:id="1971934438">
              <w:marLeft w:val="0"/>
              <w:marRight w:val="0"/>
              <w:marTop w:val="0"/>
              <w:marBottom w:val="0"/>
              <w:divBdr>
                <w:top w:val="none" w:sz="0" w:space="0" w:color="auto"/>
                <w:left w:val="none" w:sz="0" w:space="0" w:color="auto"/>
                <w:bottom w:val="none" w:sz="0" w:space="0" w:color="auto"/>
                <w:right w:val="none" w:sz="0" w:space="0" w:color="auto"/>
              </w:divBdr>
              <w:divsChild>
                <w:div w:id="1313292089">
                  <w:marLeft w:val="0"/>
                  <w:marRight w:val="0"/>
                  <w:marTop w:val="0"/>
                  <w:marBottom w:val="0"/>
                  <w:divBdr>
                    <w:top w:val="none" w:sz="0" w:space="0" w:color="auto"/>
                    <w:left w:val="none" w:sz="0" w:space="0" w:color="auto"/>
                    <w:bottom w:val="none" w:sz="0" w:space="0" w:color="auto"/>
                    <w:right w:val="none" w:sz="0" w:space="0" w:color="auto"/>
                  </w:divBdr>
                  <w:divsChild>
                    <w:div w:id="1457521930">
                      <w:marLeft w:val="0"/>
                      <w:marRight w:val="0"/>
                      <w:marTop w:val="0"/>
                      <w:marBottom w:val="0"/>
                      <w:divBdr>
                        <w:top w:val="none" w:sz="0" w:space="0" w:color="auto"/>
                        <w:left w:val="none" w:sz="0" w:space="0" w:color="auto"/>
                        <w:bottom w:val="none" w:sz="0" w:space="0" w:color="auto"/>
                        <w:right w:val="none" w:sz="0" w:space="0" w:color="auto"/>
                      </w:divBdr>
                      <w:divsChild>
                        <w:div w:id="1866401978">
                          <w:marLeft w:val="0"/>
                          <w:marRight w:val="0"/>
                          <w:marTop w:val="0"/>
                          <w:marBottom w:val="0"/>
                          <w:divBdr>
                            <w:top w:val="none" w:sz="0" w:space="0" w:color="auto"/>
                            <w:left w:val="none" w:sz="0" w:space="0" w:color="auto"/>
                            <w:bottom w:val="none" w:sz="0" w:space="0" w:color="auto"/>
                            <w:right w:val="none" w:sz="0" w:space="0" w:color="auto"/>
                          </w:divBdr>
                          <w:divsChild>
                            <w:div w:id="110252571">
                              <w:marLeft w:val="0"/>
                              <w:marRight w:val="0"/>
                              <w:marTop w:val="0"/>
                              <w:marBottom w:val="0"/>
                              <w:divBdr>
                                <w:top w:val="none" w:sz="0" w:space="0" w:color="auto"/>
                                <w:left w:val="none" w:sz="0" w:space="0" w:color="auto"/>
                                <w:bottom w:val="none" w:sz="0" w:space="0" w:color="auto"/>
                                <w:right w:val="none" w:sz="0" w:space="0" w:color="auto"/>
                              </w:divBdr>
                              <w:divsChild>
                                <w:div w:id="631209856">
                                  <w:marLeft w:val="0"/>
                                  <w:marRight w:val="0"/>
                                  <w:marTop w:val="0"/>
                                  <w:marBottom w:val="0"/>
                                  <w:divBdr>
                                    <w:top w:val="none" w:sz="0" w:space="0" w:color="auto"/>
                                    <w:left w:val="none" w:sz="0" w:space="0" w:color="auto"/>
                                    <w:bottom w:val="none" w:sz="0" w:space="0" w:color="auto"/>
                                    <w:right w:val="none" w:sz="0" w:space="0" w:color="auto"/>
                                  </w:divBdr>
                                  <w:divsChild>
                                    <w:div w:id="1264341289">
                                      <w:marLeft w:val="0"/>
                                      <w:marRight w:val="0"/>
                                      <w:marTop w:val="0"/>
                                      <w:marBottom w:val="0"/>
                                      <w:divBdr>
                                        <w:top w:val="none" w:sz="0" w:space="0" w:color="auto"/>
                                        <w:left w:val="none" w:sz="0" w:space="0" w:color="auto"/>
                                        <w:bottom w:val="none" w:sz="0" w:space="0" w:color="auto"/>
                                        <w:right w:val="none" w:sz="0" w:space="0" w:color="auto"/>
                                      </w:divBdr>
                                      <w:divsChild>
                                        <w:div w:id="443506026">
                                          <w:marLeft w:val="0"/>
                                          <w:marRight w:val="0"/>
                                          <w:marTop w:val="0"/>
                                          <w:marBottom w:val="0"/>
                                          <w:divBdr>
                                            <w:top w:val="none" w:sz="0" w:space="0" w:color="auto"/>
                                            <w:left w:val="none" w:sz="0" w:space="0" w:color="auto"/>
                                            <w:bottom w:val="none" w:sz="0" w:space="0" w:color="auto"/>
                                            <w:right w:val="none" w:sz="0" w:space="0" w:color="auto"/>
                                          </w:divBdr>
                                          <w:divsChild>
                                            <w:div w:id="1619609108">
                                              <w:marLeft w:val="0"/>
                                              <w:marRight w:val="0"/>
                                              <w:marTop w:val="0"/>
                                              <w:marBottom w:val="0"/>
                                              <w:divBdr>
                                                <w:top w:val="none" w:sz="0" w:space="0" w:color="auto"/>
                                                <w:left w:val="none" w:sz="0" w:space="0" w:color="auto"/>
                                                <w:bottom w:val="none" w:sz="0" w:space="0" w:color="auto"/>
                                                <w:right w:val="none" w:sz="0" w:space="0" w:color="auto"/>
                                              </w:divBdr>
                                              <w:divsChild>
                                                <w:div w:id="1717895971">
                                                  <w:marLeft w:val="0"/>
                                                  <w:marRight w:val="0"/>
                                                  <w:marTop w:val="0"/>
                                                  <w:marBottom w:val="0"/>
                                                  <w:divBdr>
                                                    <w:top w:val="none" w:sz="0" w:space="0" w:color="auto"/>
                                                    <w:left w:val="none" w:sz="0" w:space="0" w:color="auto"/>
                                                    <w:bottom w:val="none" w:sz="0" w:space="0" w:color="auto"/>
                                                    <w:right w:val="none" w:sz="0" w:space="0" w:color="auto"/>
                                                  </w:divBdr>
                                                  <w:divsChild>
                                                    <w:div w:id="1668824371">
                                                      <w:marLeft w:val="0"/>
                                                      <w:marRight w:val="0"/>
                                                      <w:marTop w:val="0"/>
                                                      <w:marBottom w:val="0"/>
                                                      <w:divBdr>
                                                        <w:top w:val="none" w:sz="0" w:space="0" w:color="auto"/>
                                                        <w:left w:val="none" w:sz="0" w:space="0" w:color="auto"/>
                                                        <w:bottom w:val="none" w:sz="0" w:space="0" w:color="auto"/>
                                                        <w:right w:val="none" w:sz="0" w:space="0" w:color="auto"/>
                                                      </w:divBdr>
                                                      <w:divsChild>
                                                        <w:div w:id="7194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1769923">
      <w:bodyDiv w:val="1"/>
      <w:marLeft w:val="0"/>
      <w:marRight w:val="0"/>
      <w:marTop w:val="0"/>
      <w:marBottom w:val="0"/>
      <w:divBdr>
        <w:top w:val="none" w:sz="0" w:space="0" w:color="auto"/>
        <w:left w:val="none" w:sz="0" w:space="0" w:color="auto"/>
        <w:bottom w:val="none" w:sz="0" w:space="0" w:color="auto"/>
        <w:right w:val="none" w:sz="0" w:space="0" w:color="auto"/>
      </w:divBdr>
      <w:divsChild>
        <w:div w:id="926694319">
          <w:marLeft w:val="0"/>
          <w:marRight w:val="0"/>
          <w:marTop w:val="0"/>
          <w:marBottom w:val="0"/>
          <w:divBdr>
            <w:top w:val="none" w:sz="0" w:space="0" w:color="auto"/>
            <w:left w:val="none" w:sz="0" w:space="0" w:color="auto"/>
            <w:bottom w:val="none" w:sz="0" w:space="0" w:color="auto"/>
            <w:right w:val="none" w:sz="0" w:space="0" w:color="auto"/>
          </w:divBdr>
          <w:divsChild>
            <w:div w:id="314267205">
              <w:marLeft w:val="0"/>
              <w:marRight w:val="0"/>
              <w:marTop w:val="0"/>
              <w:marBottom w:val="0"/>
              <w:divBdr>
                <w:top w:val="none" w:sz="0" w:space="0" w:color="auto"/>
                <w:left w:val="none" w:sz="0" w:space="0" w:color="auto"/>
                <w:bottom w:val="none" w:sz="0" w:space="0" w:color="auto"/>
                <w:right w:val="none" w:sz="0" w:space="0" w:color="auto"/>
              </w:divBdr>
              <w:divsChild>
                <w:div w:id="1039823227">
                  <w:marLeft w:val="0"/>
                  <w:marRight w:val="0"/>
                  <w:marTop w:val="0"/>
                  <w:marBottom w:val="0"/>
                  <w:divBdr>
                    <w:top w:val="none" w:sz="0" w:space="0" w:color="auto"/>
                    <w:left w:val="none" w:sz="0" w:space="0" w:color="auto"/>
                    <w:bottom w:val="none" w:sz="0" w:space="0" w:color="auto"/>
                    <w:right w:val="none" w:sz="0" w:space="0" w:color="auto"/>
                  </w:divBdr>
                  <w:divsChild>
                    <w:div w:id="469136460">
                      <w:marLeft w:val="0"/>
                      <w:marRight w:val="0"/>
                      <w:marTop w:val="0"/>
                      <w:marBottom w:val="0"/>
                      <w:divBdr>
                        <w:top w:val="none" w:sz="0" w:space="0" w:color="auto"/>
                        <w:left w:val="none" w:sz="0" w:space="0" w:color="auto"/>
                        <w:bottom w:val="none" w:sz="0" w:space="0" w:color="auto"/>
                        <w:right w:val="none" w:sz="0" w:space="0" w:color="auto"/>
                      </w:divBdr>
                      <w:divsChild>
                        <w:div w:id="1592011496">
                          <w:marLeft w:val="0"/>
                          <w:marRight w:val="0"/>
                          <w:marTop w:val="0"/>
                          <w:marBottom w:val="0"/>
                          <w:divBdr>
                            <w:top w:val="none" w:sz="0" w:space="0" w:color="auto"/>
                            <w:left w:val="none" w:sz="0" w:space="0" w:color="auto"/>
                            <w:bottom w:val="none" w:sz="0" w:space="0" w:color="auto"/>
                            <w:right w:val="none" w:sz="0" w:space="0" w:color="auto"/>
                          </w:divBdr>
                          <w:divsChild>
                            <w:div w:id="55591269">
                              <w:marLeft w:val="0"/>
                              <w:marRight w:val="0"/>
                              <w:marTop w:val="0"/>
                              <w:marBottom w:val="0"/>
                              <w:divBdr>
                                <w:top w:val="none" w:sz="0" w:space="0" w:color="auto"/>
                                <w:left w:val="none" w:sz="0" w:space="0" w:color="auto"/>
                                <w:bottom w:val="none" w:sz="0" w:space="0" w:color="auto"/>
                                <w:right w:val="none" w:sz="0" w:space="0" w:color="auto"/>
                              </w:divBdr>
                              <w:divsChild>
                                <w:div w:id="2081827239">
                                  <w:marLeft w:val="0"/>
                                  <w:marRight w:val="0"/>
                                  <w:marTop w:val="0"/>
                                  <w:marBottom w:val="0"/>
                                  <w:divBdr>
                                    <w:top w:val="none" w:sz="0" w:space="0" w:color="auto"/>
                                    <w:left w:val="none" w:sz="0" w:space="0" w:color="auto"/>
                                    <w:bottom w:val="none" w:sz="0" w:space="0" w:color="auto"/>
                                    <w:right w:val="none" w:sz="0" w:space="0" w:color="auto"/>
                                  </w:divBdr>
                                  <w:divsChild>
                                    <w:div w:id="1406032071">
                                      <w:marLeft w:val="0"/>
                                      <w:marRight w:val="0"/>
                                      <w:marTop w:val="0"/>
                                      <w:marBottom w:val="0"/>
                                      <w:divBdr>
                                        <w:top w:val="none" w:sz="0" w:space="0" w:color="auto"/>
                                        <w:left w:val="none" w:sz="0" w:space="0" w:color="auto"/>
                                        <w:bottom w:val="none" w:sz="0" w:space="0" w:color="auto"/>
                                        <w:right w:val="none" w:sz="0" w:space="0" w:color="auto"/>
                                      </w:divBdr>
                                      <w:divsChild>
                                        <w:div w:id="349989280">
                                          <w:marLeft w:val="0"/>
                                          <w:marRight w:val="0"/>
                                          <w:marTop w:val="0"/>
                                          <w:marBottom w:val="0"/>
                                          <w:divBdr>
                                            <w:top w:val="none" w:sz="0" w:space="0" w:color="auto"/>
                                            <w:left w:val="none" w:sz="0" w:space="0" w:color="auto"/>
                                            <w:bottom w:val="none" w:sz="0" w:space="0" w:color="auto"/>
                                            <w:right w:val="none" w:sz="0" w:space="0" w:color="auto"/>
                                          </w:divBdr>
                                          <w:divsChild>
                                            <w:div w:id="1003360344">
                                              <w:marLeft w:val="0"/>
                                              <w:marRight w:val="0"/>
                                              <w:marTop w:val="0"/>
                                              <w:marBottom w:val="0"/>
                                              <w:divBdr>
                                                <w:top w:val="none" w:sz="0" w:space="0" w:color="auto"/>
                                                <w:left w:val="none" w:sz="0" w:space="0" w:color="auto"/>
                                                <w:bottom w:val="none" w:sz="0" w:space="0" w:color="auto"/>
                                                <w:right w:val="none" w:sz="0" w:space="0" w:color="auto"/>
                                              </w:divBdr>
                                              <w:divsChild>
                                                <w:div w:id="646666595">
                                                  <w:marLeft w:val="0"/>
                                                  <w:marRight w:val="0"/>
                                                  <w:marTop w:val="0"/>
                                                  <w:marBottom w:val="0"/>
                                                  <w:divBdr>
                                                    <w:top w:val="none" w:sz="0" w:space="0" w:color="auto"/>
                                                    <w:left w:val="none" w:sz="0" w:space="0" w:color="auto"/>
                                                    <w:bottom w:val="none" w:sz="0" w:space="0" w:color="auto"/>
                                                    <w:right w:val="none" w:sz="0" w:space="0" w:color="auto"/>
                                                  </w:divBdr>
                                                  <w:divsChild>
                                                    <w:div w:id="1816485405">
                                                      <w:marLeft w:val="0"/>
                                                      <w:marRight w:val="0"/>
                                                      <w:marTop w:val="0"/>
                                                      <w:marBottom w:val="0"/>
                                                      <w:divBdr>
                                                        <w:top w:val="none" w:sz="0" w:space="0" w:color="auto"/>
                                                        <w:left w:val="none" w:sz="0" w:space="0" w:color="auto"/>
                                                        <w:bottom w:val="none" w:sz="0" w:space="0" w:color="auto"/>
                                                        <w:right w:val="none" w:sz="0" w:space="0" w:color="auto"/>
                                                      </w:divBdr>
                                                      <w:divsChild>
                                                        <w:div w:id="14121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6846752">
      <w:bodyDiv w:val="1"/>
      <w:marLeft w:val="0"/>
      <w:marRight w:val="0"/>
      <w:marTop w:val="0"/>
      <w:marBottom w:val="0"/>
      <w:divBdr>
        <w:top w:val="none" w:sz="0" w:space="0" w:color="auto"/>
        <w:left w:val="none" w:sz="0" w:space="0" w:color="auto"/>
        <w:bottom w:val="none" w:sz="0" w:space="0" w:color="auto"/>
        <w:right w:val="none" w:sz="0" w:space="0" w:color="auto"/>
      </w:divBdr>
      <w:divsChild>
        <w:div w:id="106510807">
          <w:marLeft w:val="0"/>
          <w:marRight w:val="0"/>
          <w:marTop w:val="0"/>
          <w:marBottom w:val="0"/>
          <w:divBdr>
            <w:top w:val="none" w:sz="0" w:space="0" w:color="auto"/>
            <w:left w:val="none" w:sz="0" w:space="0" w:color="auto"/>
            <w:bottom w:val="none" w:sz="0" w:space="0" w:color="auto"/>
            <w:right w:val="none" w:sz="0" w:space="0" w:color="auto"/>
          </w:divBdr>
          <w:divsChild>
            <w:div w:id="309483423">
              <w:marLeft w:val="0"/>
              <w:marRight w:val="0"/>
              <w:marTop w:val="0"/>
              <w:marBottom w:val="0"/>
              <w:divBdr>
                <w:top w:val="none" w:sz="0" w:space="0" w:color="auto"/>
                <w:left w:val="none" w:sz="0" w:space="0" w:color="auto"/>
                <w:bottom w:val="none" w:sz="0" w:space="0" w:color="auto"/>
                <w:right w:val="none" w:sz="0" w:space="0" w:color="auto"/>
              </w:divBdr>
              <w:divsChild>
                <w:div w:id="1676376413">
                  <w:marLeft w:val="0"/>
                  <w:marRight w:val="0"/>
                  <w:marTop w:val="0"/>
                  <w:marBottom w:val="0"/>
                  <w:divBdr>
                    <w:top w:val="none" w:sz="0" w:space="0" w:color="auto"/>
                    <w:left w:val="none" w:sz="0" w:space="0" w:color="auto"/>
                    <w:bottom w:val="none" w:sz="0" w:space="0" w:color="auto"/>
                    <w:right w:val="none" w:sz="0" w:space="0" w:color="auto"/>
                  </w:divBdr>
                  <w:divsChild>
                    <w:div w:id="1854411703">
                      <w:marLeft w:val="0"/>
                      <w:marRight w:val="0"/>
                      <w:marTop w:val="0"/>
                      <w:marBottom w:val="0"/>
                      <w:divBdr>
                        <w:top w:val="none" w:sz="0" w:space="0" w:color="auto"/>
                        <w:left w:val="none" w:sz="0" w:space="0" w:color="auto"/>
                        <w:bottom w:val="none" w:sz="0" w:space="0" w:color="auto"/>
                        <w:right w:val="none" w:sz="0" w:space="0" w:color="auto"/>
                      </w:divBdr>
                      <w:divsChild>
                        <w:div w:id="34275351">
                          <w:marLeft w:val="0"/>
                          <w:marRight w:val="0"/>
                          <w:marTop w:val="0"/>
                          <w:marBottom w:val="0"/>
                          <w:divBdr>
                            <w:top w:val="none" w:sz="0" w:space="0" w:color="auto"/>
                            <w:left w:val="none" w:sz="0" w:space="0" w:color="auto"/>
                            <w:bottom w:val="none" w:sz="0" w:space="0" w:color="auto"/>
                            <w:right w:val="none" w:sz="0" w:space="0" w:color="auto"/>
                          </w:divBdr>
                          <w:divsChild>
                            <w:div w:id="910963202">
                              <w:marLeft w:val="0"/>
                              <w:marRight w:val="0"/>
                              <w:marTop w:val="0"/>
                              <w:marBottom w:val="0"/>
                              <w:divBdr>
                                <w:top w:val="none" w:sz="0" w:space="0" w:color="auto"/>
                                <w:left w:val="none" w:sz="0" w:space="0" w:color="auto"/>
                                <w:bottom w:val="none" w:sz="0" w:space="0" w:color="auto"/>
                                <w:right w:val="none" w:sz="0" w:space="0" w:color="auto"/>
                              </w:divBdr>
                              <w:divsChild>
                                <w:div w:id="963581645">
                                  <w:marLeft w:val="0"/>
                                  <w:marRight w:val="0"/>
                                  <w:marTop w:val="0"/>
                                  <w:marBottom w:val="0"/>
                                  <w:divBdr>
                                    <w:top w:val="none" w:sz="0" w:space="0" w:color="auto"/>
                                    <w:left w:val="none" w:sz="0" w:space="0" w:color="auto"/>
                                    <w:bottom w:val="none" w:sz="0" w:space="0" w:color="auto"/>
                                    <w:right w:val="none" w:sz="0" w:space="0" w:color="auto"/>
                                  </w:divBdr>
                                  <w:divsChild>
                                    <w:div w:id="2006396335">
                                      <w:marLeft w:val="0"/>
                                      <w:marRight w:val="0"/>
                                      <w:marTop w:val="0"/>
                                      <w:marBottom w:val="0"/>
                                      <w:divBdr>
                                        <w:top w:val="none" w:sz="0" w:space="0" w:color="auto"/>
                                        <w:left w:val="none" w:sz="0" w:space="0" w:color="auto"/>
                                        <w:bottom w:val="none" w:sz="0" w:space="0" w:color="auto"/>
                                        <w:right w:val="none" w:sz="0" w:space="0" w:color="auto"/>
                                      </w:divBdr>
                                      <w:divsChild>
                                        <w:div w:id="305820296">
                                          <w:marLeft w:val="0"/>
                                          <w:marRight w:val="0"/>
                                          <w:marTop w:val="0"/>
                                          <w:marBottom w:val="0"/>
                                          <w:divBdr>
                                            <w:top w:val="none" w:sz="0" w:space="0" w:color="auto"/>
                                            <w:left w:val="none" w:sz="0" w:space="0" w:color="auto"/>
                                            <w:bottom w:val="none" w:sz="0" w:space="0" w:color="auto"/>
                                            <w:right w:val="none" w:sz="0" w:space="0" w:color="auto"/>
                                          </w:divBdr>
                                          <w:divsChild>
                                            <w:div w:id="1097091881">
                                              <w:marLeft w:val="0"/>
                                              <w:marRight w:val="0"/>
                                              <w:marTop w:val="0"/>
                                              <w:marBottom w:val="0"/>
                                              <w:divBdr>
                                                <w:top w:val="none" w:sz="0" w:space="0" w:color="auto"/>
                                                <w:left w:val="none" w:sz="0" w:space="0" w:color="auto"/>
                                                <w:bottom w:val="none" w:sz="0" w:space="0" w:color="auto"/>
                                                <w:right w:val="none" w:sz="0" w:space="0" w:color="auto"/>
                                              </w:divBdr>
                                              <w:divsChild>
                                                <w:div w:id="729962791">
                                                  <w:marLeft w:val="0"/>
                                                  <w:marRight w:val="0"/>
                                                  <w:marTop w:val="0"/>
                                                  <w:marBottom w:val="0"/>
                                                  <w:divBdr>
                                                    <w:top w:val="none" w:sz="0" w:space="0" w:color="auto"/>
                                                    <w:left w:val="none" w:sz="0" w:space="0" w:color="auto"/>
                                                    <w:bottom w:val="none" w:sz="0" w:space="0" w:color="auto"/>
                                                    <w:right w:val="none" w:sz="0" w:space="0" w:color="auto"/>
                                                  </w:divBdr>
                                                  <w:divsChild>
                                                    <w:div w:id="573702572">
                                                      <w:marLeft w:val="0"/>
                                                      <w:marRight w:val="0"/>
                                                      <w:marTop w:val="0"/>
                                                      <w:marBottom w:val="0"/>
                                                      <w:divBdr>
                                                        <w:top w:val="none" w:sz="0" w:space="0" w:color="auto"/>
                                                        <w:left w:val="none" w:sz="0" w:space="0" w:color="auto"/>
                                                        <w:bottom w:val="none" w:sz="0" w:space="0" w:color="auto"/>
                                                        <w:right w:val="none" w:sz="0" w:space="0" w:color="auto"/>
                                                      </w:divBdr>
                                                      <w:divsChild>
                                                        <w:div w:id="17665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8463E62A209938468DE4B3A959CE9C69" ma:contentTypeVersion="25" ma:contentTypeDescription="" ma:contentTypeScope="" ma:versionID="c8fffa84bf3fb0d5455806706867d452">
  <xsd:schema xmlns:xsd="http://www.w3.org/2001/XMLSchema" xmlns:xs="http://www.w3.org/2001/XMLSchema" xmlns:p="http://schemas.microsoft.com/office/2006/metadata/properties" xmlns:ns2="da7a9ac0-bc47-4684-84e6-3a8e9ac80c12" xmlns:ns3="018db3b4-4b86-4935-97d9-dd8d146c4431" xmlns:ns5="http://schemas.microsoft.com/sharepoint/v4" xmlns:ns6="17f478ab-373e-4295-9ff0-9b833ad01319" targetNamespace="http://schemas.microsoft.com/office/2006/metadata/properties" ma:root="true" ma:fieldsID="bf0b12ad4ebbb353e624908fba5b80ce" ns2:_="" ns3:_="" ns5:_="" ns6:_="">
    <xsd:import namespace="da7a9ac0-bc47-4684-84e6-3a8e9ac80c12"/>
    <xsd:import namespace="018db3b4-4b86-4935-97d9-dd8d146c4431"/>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957dccc49245c3bbe5b6b81d801714"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db3b4-4b86-4935-97d9-dd8d146c4431"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0bf6c9fb-12d3-4caf-addf-732a555a45e3}" ma:internalName="TaxCatchAll" ma:showField="CatchAllData" ma:web="018db3b4-4b86-4935-97d9-dd8d146c4431">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0bf6c9fb-12d3-4caf-addf-732a555a45e3}" ma:internalName="TaxCatchAllLabel" ma:readOnly="true" ma:showField="CatchAllDataLabel" ma:web="018db3b4-4b86-4935-97d9-dd8d146c4431">
      <xsd:complexType>
        <xsd:complexContent>
          <xsd:extension base="dms:MultiChoiceLookup">
            <xsd:sequence>
              <xsd:element name="Value" type="dms:Lookup" maxOccurs="unbounded" minOccurs="0" nillable="true"/>
            </xsd:sequence>
          </xsd:extension>
        </xsd:complexContent>
      </xsd:complexType>
    </xsd:element>
    <xsd:element name="p6957dccc49245c3bbe5b6b81d801714" ma:index="17" ma:taxonomy="true" ma:internalName="p6957dccc49245c3bbe5b6b81d801714" ma:taxonomyFieldName="SecurityClassification" ma:displayName="Security Classification" ma:default="7;#Sensitive|19fd2cb8-3e97-4464-ae71-8c2c2095d028" ma:fieldId="{96957dcc-c492-45c3-bbe5-b6b81d801714}"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R20170000375303</RecordNumber>
    <ObjectiveID xmlns="da7a9ac0-bc47-4684-84e6-3a8e9ac80c12" xsi:nil="true"/>
    <TaxCatchAll xmlns="018db3b4-4b86-4935-97d9-dd8d146c4431">
      <Value>7</Value>
    </TaxCatchAll>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p6957dccc49245c3bbe5b6b81d801714 xmlns="018db3b4-4b86-4935-97d9-dd8d146c4431">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957dccc49245c3bbe5b6b81d801714>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BEABF-082D-472D-8DC6-2622C67F2B8A}">
  <ds:schemaRefs>
    <ds:schemaRef ds:uri="http://schemas.microsoft.com/sharepoint/v3/contenttype/forms"/>
  </ds:schemaRefs>
</ds:datastoreItem>
</file>

<file path=customXml/itemProps2.xml><?xml version="1.0" encoding="utf-8"?>
<ds:datastoreItem xmlns:ds="http://schemas.openxmlformats.org/officeDocument/2006/customXml" ds:itemID="{08A29C7F-6FF7-4830-8743-D70FF763D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018db3b4-4b86-4935-97d9-dd8d146c4431"/>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CBD75-8915-4910-9E0E-91C8B1E41F02}">
  <ds:schemaRefs>
    <ds:schemaRef ds:uri="da7a9ac0-bc47-4684-84e6-3a8e9ac80c12"/>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018db3b4-4b86-4935-97d9-dd8d146c4431"/>
    <ds:schemaRef ds:uri="17f478ab-373e-4295-9ff0-9b833ad01319"/>
    <ds:schemaRef ds:uri="http://schemas.microsoft.com/sharepoint/v4"/>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874B43D-470E-4D80-AB0E-6218E713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james.grapsas</dc:creator>
  <cp:lastModifiedBy>james.grapsas</cp:lastModifiedBy>
  <cp:revision>2</cp:revision>
  <cp:lastPrinted>2017-05-02T08:18:00Z</cp:lastPrinted>
  <dcterms:created xsi:type="dcterms:W3CDTF">2017-06-22T06:28:00Z</dcterms:created>
  <dcterms:modified xsi:type="dcterms:W3CDTF">2017-06-22T06:28:00Z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0x010100B5F685A1365F544391EF8C813B164F3A008463E62A209938468DE4B3A959CE9C69</vt:lpwstr>
  </property>
  <property fmtid="{D5CDD505-2E9C-101B-9397-08002B2CF9AE}" pid="23" name="RecordPoint_WorkflowType">
    <vt:lpwstr>ActiveSubmitStub</vt:lpwstr>
  </property>
  <property fmtid="{D5CDD505-2E9C-101B-9397-08002B2CF9AE}" pid="24" name="RecordPoint_ActiveItemWebId">
    <vt:lpwstr>{018db3b4-4b86-4935-97d9-dd8d146c4431}</vt:lpwstr>
  </property>
  <property fmtid="{D5CDD505-2E9C-101B-9397-08002B2CF9AE}" pid="25" name="RecordPoint_ActiveItemSiteId">
    <vt:lpwstr>{0adf1d1b-ac4e-46aa-8f42-4e7304310f3d}</vt:lpwstr>
  </property>
  <property fmtid="{D5CDD505-2E9C-101B-9397-08002B2CF9AE}" pid="26" name="RecordPoint_ActiveItemListId">
    <vt:lpwstr>{5ff71ea5-8657-4815-b707-da02483b8b4d}</vt:lpwstr>
  </property>
  <property fmtid="{D5CDD505-2E9C-101B-9397-08002B2CF9AE}" pid="27" name="RecordPoint_ActiveItemUniqueId">
    <vt:lpwstr>{87aab853-00bd-4f71-8eae-9c59251c2747}</vt:lpwstr>
  </property>
  <property fmtid="{D5CDD505-2E9C-101B-9397-08002B2CF9AE}" pid="28" name="SecurityClassification">
    <vt:lpwstr>7;#Sensitive|19fd2cb8-3e97-4464-ae71-8c2c2095d028</vt:lpwstr>
  </property>
  <property fmtid="{D5CDD505-2E9C-101B-9397-08002B2CF9AE}" pid="29" name="RecordPoint_SubmissionCompleted">
    <vt:lpwstr>2017-06-19T16:36:06.5048266+10:00</vt:lpwstr>
  </property>
  <property fmtid="{D5CDD505-2E9C-101B-9397-08002B2CF9AE}" pid="30" name="RecordPoint_RecordNumberSubmitted">
    <vt:lpwstr>R20170000375303</vt:lpwstr>
  </property>
</Properties>
</file>