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371C1" w:rsidRDefault="00193461" w:rsidP="00C63713">
      <w:pPr>
        <w:rPr>
          <w:sz w:val="28"/>
        </w:rPr>
      </w:pPr>
      <w:r w:rsidRPr="008371C1">
        <w:rPr>
          <w:noProof/>
          <w:lang w:eastAsia="en-AU"/>
        </w:rPr>
        <w:drawing>
          <wp:inline distT="0" distB="0" distL="0" distR="0" wp14:anchorId="152E95A8" wp14:editId="372FFDD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371C1" w:rsidRDefault="0048364F" w:rsidP="0048364F">
      <w:pPr>
        <w:rPr>
          <w:sz w:val="19"/>
        </w:rPr>
      </w:pPr>
    </w:p>
    <w:p w:rsidR="0048364F" w:rsidRPr="008371C1" w:rsidRDefault="00102F0C" w:rsidP="0048364F">
      <w:pPr>
        <w:pStyle w:val="ShortT"/>
      </w:pPr>
      <w:r w:rsidRPr="008371C1">
        <w:t>Australian Radiation Protection and Nuclear Safety Amendment (2017 Measures No.</w:t>
      </w:r>
      <w:r w:rsidR="008371C1" w:rsidRPr="008371C1">
        <w:t> </w:t>
      </w:r>
      <w:r w:rsidRPr="008371C1">
        <w:t>1) Regulations</w:t>
      </w:r>
      <w:r w:rsidR="008371C1" w:rsidRPr="008371C1">
        <w:t> </w:t>
      </w:r>
      <w:r w:rsidRPr="008371C1">
        <w:t>2017</w:t>
      </w:r>
    </w:p>
    <w:p w:rsidR="00102F0C" w:rsidRPr="008371C1" w:rsidRDefault="00102F0C" w:rsidP="002362FE">
      <w:pPr>
        <w:pStyle w:val="SignCoverPageStart"/>
        <w:spacing w:before="240"/>
        <w:rPr>
          <w:szCs w:val="22"/>
        </w:rPr>
      </w:pPr>
      <w:r w:rsidRPr="008371C1">
        <w:rPr>
          <w:szCs w:val="22"/>
        </w:rPr>
        <w:t xml:space="preserve">I, General the Honourable Sir Peter Cosgrove AK MC (Ret’d), </w:t>
      </w:r>
      <w:r w:rsidR="008371C1" w:rsidRPr="008371C1">
        <w:rPr>
          <w:szCs w:val="22"/>
        </w:rPr>
        <w:t>Governor</w:t>
      </w:r>
      <w:r w:rsidR="008371C1">
        <w:rPr>
          <w:szCs w:val="22"/>
        </w:rPr>
        <w:noBreakHyphen/>
      </w:r>
      <w:r w:rsidR="008371C1" w:rsidRPr="008371C1">
        <w:rPr>
          <w:szCs w:val="22"/>
        </w:rPr>
        <w:t>General</w:t>
      </w:r>
      <w:r w:rsidRPr="008371C1">
        <w:rPr>
          <w:szCs w:val="22"/>
        </w:rPr>
        <w:t xml:space="preserve"> of the Commonwealth of Australia, acting with the advice of the Federal Executive Council, make the following regulation</w:t>
      </w:r>
      <w:r w:rsidR="0000167B" w:rsidRPr="008371C1">
        <w:rPr>
          <w:szCs w:val="22"/>
        </w:rPr>
        <w:t>s</w:t>
      </w:r>
      <w:r w:rsidRPr="008371C1">
        <w:rPr>
          <w:szCs w:val="22"/>
        </w:rPr>
        <w:t>.</w:t>
      </w:r>
    </w:p>
    <w:p w:rsidR="00102F0C" w:rsidRPr="008371C1" w:rsidRDefault="00102F0C" w:rsidP="002362FE">
      <w:pPr>
        <w:keepNext/>
        <w:spacing w:before="720" w:line="240" w:lineRule="atLeast"/>
        <w:ind w:right="397"/>
        <w:jc w:val="both"/>
        <w:rPr>
          <w:szCs w:val="22"/>
        </w:rPr>
      </w:pPr>
      <w:r w:rsidRPr="008371C1">
        <w:rPr>
          <w:szCs w:val="22"/>
        </w:rPr>
        <w:t xml:space="preserve">Dated </w:t>
      </w:r>
      <w:bookmarkStart w:id="0" w:name="BKCheck15B_1"/>
      <w:bookmarkEnd w:id="0"/>
      <w:r w:rsidRPr="008371C1">
        <w:rPr>
          <w:szCs w:val="22"/>
        </w:rPr>
        <w:fldChar w:fldCharType="begin"/>
      </w:r>
      <w:r w:rsidRPr="008371C1">
        <w:rPr>
          <w:szCs w:val="22"/>
        </w:rPr>
        <w:instrText xml:space="preserve"> DOCPROPERTY  DateMade </w:instrText>
      </w:r>
      <w:r w:rsidRPr="008371C1">
        <w:rPr>
          <w:szCs w:val="22"/>
        </w:rPr>
        <w:fldChar w:fldCharType="separate"/>
      </w:r>
      <w:r w:rsidR="006D33C3">
        <w:rPr>
          <w:szCs w:val="22"/>
        </w:rPr>
        <w:t>27 June 2017</w:t>
      </w:r>
      <w:r w:rsidRPr="008371C1">
        <w:rPr>
          <w:szCs w:val="22"/>
        </w:rPr>
        <w:fldChar w:fldCharType="end"/>
      </w:r>
    </w:p>
    <w:p w:rsidR="00102F0C" w:rsidRPr="008371C1" w:rsidRDefault="00102F0C" w:rsidP="002362F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371C1">
        <w:rPr>
          <w:szCs w:val="22"/>
        </w:rPr>
        <w:t>Peter Cosgrove</w:t>
      </w:r>
    </w:p>
    <w:p w:rsidR="00102F0C" w:rsidRPr="008371C1" w:rsidRDefault="008371C1" w:rsidP="002362F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371C1">
        <w:rPr>
          <w:szCs w:val="22"/>
        </w:rPr>
        <w:t>Governor</w:t>
      </w:r>
      <w:r>
        <w:rPr>
          <w:szCs w:val="22"/>
        </w:rPr>
        <w:noBreakHyphen/>
      </w:r>
      <w:r w:rsidRPr="008371C1">
        <w:rPr>
          <w:szCs w:val="22"/>
        </w:rPr>
        <w:t>General</w:t>
      </w:r>
    </w:p>
    <w:p w:rsidR="00102F0C" w:rsidRPr="008371C1" w:rsidRDefault="00102F0C" w:rsidP="002362F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371C1">
        <w:rPr>
          <w:szCs w:val="22"/>
        </w:rPr>
        <w:t>By His Excellency’s Command</w:t>
      </w:r>
    </w:p>
    <w:p w:rsidR="0000167B" w:rsidRPr="008371C1" w:rsidRDefault="0000167B" w:rsidP="0000167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371C1">
        <w:rPr>
          <w:szCs w:val="22"/>
        </w:rPr>
        <w:t>Dr David Gillespie</w:t>
      </w:r>
    </w:p>
    <w:p w:rsidR="0000167B" w:rsidRPr="008371C1" w:rsidRDefault="0000167B" w:rsidP="0000167B">
      <w:pPr>
        <w:pStyle w:val="SignCoverPageEnd"/>
        <w:rPr>
          <w:szCs w:val="22"/>
        </w:rPr>
      </w:pPr>
      <w:r w:rsidRPr="008371C1">
        <w:rPr>
          <w:szCs w:val="22"/>
        </w:rPr>
        <w:t>Assistant Minister for Health</w:t>
      </w:r>
      <w:r w:rsidRPr="008371C1">
        <w:rPr>
          <w:szCs w:val="22"/>
        </w:rPr>
        <w:br/>
        <w:t>Parliamentary Secretary to the Minister for Health</w:t>
      </w:r>
    </w:p>
    <w:p w:rsidR="00102F0C" w:rsidRPr="008371C1" w:rsidRDefault="00102F0C" w:rsidP="002362FE"/>
    <w:p w:rsidR="00102F0C" w:rsidRPr="008371C1" w:rsidRDefault="00102F0C" w:rsidP="002362FE"/>
    <w:p w:rsidR="00102F0C" w:rsidRPr="008371C1" w:rsidRDefault="00102F0C" w:rsidP="002362FE"/>
    <w:p w:rsidR="00102F0C" w:rsidRPr="008371C1" w:rsidRDefault="00102F0C" w:rsidP="00102F0C"/>
    <w:p w:rsidR="0048364F" w:rsidRPr="008371C1" w:rsidRDefault="0048364F" w:rsidP="0048364F">
      <w:pPr>
        <w:pStyle w:val="Header"/>
        <w:tabs>
          <w:tab w:val="clear" w:pos="4150"/>
          <w:tab w:val="clear" w:pos="8307"/>
        </w:tabs>
      </w:pPr>
      <w:r w:rsidRPr="008371C1">
        <w:rPr>
          <w:rStyle w:val="CharAmSchNo"/>
        </w:rPr>
        <w:t xml:space="preserve"> </w:t>
      </w:r>
      <w:r w:rsidRPr="008371C1">
        <w:rPr>
          <w:rStyle w:val="CharAmSchText"/>
        </w:rPr>
        <w:t xml:space="preserve"> </w:t>
      </w:r>
    </w:p>
    <w:p w:rsidR="0048364F" w:rsidRPr="008371C1" w:rsidRDefault="0048364F" w:rsidP="0048364F">
      <w:pPr>
        <w:pStyle w:val="Header"/>
        <w:tabs>
          <w:tab w:val="clear" w:pos="4150"/>
          <w:tab w:val="clear" w:pos="8307"/>
        </w:tabs>
      </w:pPr>
      <w:r w:rsidRPr="008371C1">
        <w:rPr>
          <w:rStyle w:val="CharAmPartNo"/>
        </w:rPr>
        <w:t xml:space="preserve"> </w:t>
      </w:r>
      <w:r w:rsidRPr="008371C1">
        <w:rPr>
          <w:rStyle w:val="CharAmPartText"/>
        </w:rPr>
        <w:t xml:space="preserve"> </w:t>
      </w:r>
    </w:p>
    <w:p w:rsidR="0048364F" w:rsidRPr="008371C1" w:rsidRDefault="0048364F" w:rsidP="0048364F">
      <w:pPr>
        <w:sectPr w:rsidR="0048364F" w:rsidRPr="008371C1" w:rsidSect="001126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8371C1" w:rsidRDefault="0048364F" w:rsidP="005E768B">
      <w:pPr>
        <w:rPr>
          <w:sz w:val="36"/>
        </w:rPr>
      </w:pPr>
      <w:r w:rsidRPr="008371C1">
        <w:rPr>
          <w:sz w:val="36"/>
        </w:rPr>
        <w:lastRenderedPageBreak/>
        <w:t>Contents</w:t>
      </w:r>
    </w:p>
    <w:bookmarkStart w:id="1" w:name="BKCheck15B_2"/>
    <w:bookmarkEnd w:id="1"/>
    <w:p w:rsidR="00DB73FD" w:rsidRPr="008371C1" w:rsidRDefault="00DB73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71C1">
        <w:fldChar w:fldCharType="begin"/>
      </w:r>
      <w:r w:rsidRPr="008371C1">
        <w:instrText xml:space="preserve"> TOC \o "1-9" </w:instrText>
      </w:r>
      <w:r w:rsidRPr="008371C1">
        <w:fldChar w:fldCharType="separate"/>
      </w:r>
      <w:r w:rsidRPr="008371C1">
        <w:rPr>
          <w:noProof/>
        </w:rPr>
        <w:t>1</w:t>
      </w:r>
      <w:r w:rsidRPr="008371C1">
        <w:rPr>
          <w:noProof/>
        </w:rPr>
        <w:tab/>
        <w:t>Name</w:t>
      </w:r>
      <w:r w:rsidRPr="008371C1">
        <w:rPr>
          <w:noProof/>
        </w:rPr>
        <w:tab/>
      </w:r>
      <w:r w:rsidRPr="008371C1">
        <w:rPr>
          <w:noProof/>
        </w:rPr>
        <w:fldChar w:fldCharType="begin"/>
      </w:r>
      <w:r w:rsidRPr="008371C1">
        <w:rPr>
          <w:noProof/>
        </w:rPr>
        <w:instrText xml:space="preserve"> PAGEREF _Toc482362677 \h </w:instrText>
      </w:r>
      <w:r w:rsidRPr="008371C1">
        <w:rPr>
          <w:noProof/>
        </w:rPr>
      </w:r>
      <w:r w:rsidRPr="008371C1">
        <w:rPr>
          <w:noProof/>
        </w:rPr>
        <w:fldChar w:fldCharType="separate"/>
      </w:r>
      <w:r w:rsidR="006D33C3">
        <w:rPr>
          <w:noProof/>
        </w:rPr>
        <w:t>1</w:t>
      </w:r>
      <w:r w:rsidRPr="008371C1">
        <w:rPr>
          <w:noProof/>
        </w:rPr>
        <w:fldChar w:fldCharType="end"/>
      </w:r>
    </w:p>
    <w:p w:rsidR="00DB73FD" w:rsidRPr="008371C1" w:rsidRDefault="00DB73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71C1">
        <w:rPr>
          <w:noProof/>
        </w:rPr>
        <w:t>2</w:t>
      </w:r>
      <w:r w:rsidRPr="008371C1">
        <w:rPr>
          <w:noProof/>
        </w:rPr>
        <w:tab/>
        <w:t>Commencement</w:t>
      </w:r>
      <w:r w:rsidRPr="008371C1">
        <w:rPr>
          <w:noProof/>
        </w:rPr>
        <w:tab/>
      </w:r>
      <w:r w:rsidRPr="008371C1">
        <w:rPr>
          <w:noProof/>
        </w:rPr>
        <w:fldChar w:fldCharType="begin"/>
      </w:r>
      <w:r w:rsidRPr="008371C1">
        <w:rPr>
          <w:noProof/>
        </w:rPr>
        <w:instrText xml:space="preserve"> PAGEREF _Toc482362678 \h </w:instrText>
      </w:r>
      <w:r w:rsidRPr="008371C1">
        <w:rPr>
          <w:noProof/>
        </w:rPr>
      </w:r>
      <w:r w:rsidRPr="008371C1">
        <w:rPr>
          <w:noProof/>
        </w:rPr>
        <w:fldChar w:fldCharType="separate"/>
      </w:r>
      <w:r w:rsidR="006D33C3">
        <w:rPr>
          <w:noProof/>
        </w:rPr>
        <w:t>1</w:t>
      </w:r>
      <w:r w:rsidRPr="008371C1">
        <w:rPr>
          <w:noProof/>
        </w:rPr>
        <w:fldChar w:fldCharType="end"/>
      </w:r>
    </w:p>
    <w:p w:rsidR="00DB73FD" w:rsidRPr="008371C1" w:rsidRDefault="00DB73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71C1">
        <w:rPr>
          <w:noProof/>
        </w:rPr>
        <w:t>3</w:t>
      </w:r>
      <w:r w:rsidRPr="008371C1">
        <w:rPr>
          <w:noProof/>
        </w:rPr>
        <w:tab/>
        <w:t>Authority</w:t>
      </w:r>
      <w:r w:rsidRPr="008371C1">
        <w:rPr>
          <w:noProof/>
        </w:rPr>
        <w:tab/>
      </w:r>
      <w:r w:rsidRPr="008371C1">
        <w:rPr>
          <w:noProof/>
        </w:rPr>
        <w:fldChar w:fldCharType="begin"/>
      </w:r>
      <w:r w:rsidRPr="008371C1">
        <w:rPr>
          <w:noProof/>
        </w:rPr>
        <w:instrText xml:space="preserve"> PAGEREF _Toc482362679 \h </w:instrText>
      </w:r>
      <w:r w:rsidRPr="008371C1">
        <w:rPr>
          <w:noProof/>
        </w:rPr>
      </w:r>
      <w:r w:rsidRPr="008371C1">
        <w:rPr>
          <w:noProof/>
        </w:rPr>
        <w:fldChar w:fldCharType="separate"/>
      </w:r>
      <w:r w:rsidR="006D33C3">
        <w:rPr>
          <w:noProof/>
        </w:rPr>
        <w:t>1</w:t>
      </w:r>
      <w:r w:rsidRPr="008371C1">
        <w:rPr>
          <w:noProof/>
        </w:rPr>
        <w:fldChar w:fldCharType="end"/>
      </w:r>
    </w:p>
    <w:p w:rsidR="00DB73FD" w:rsidRPr="008371C1" w:rsidRDefault="00DB73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71C1">
        <w:rPr>
          <w:noProof/>
        </w:rPr>
        <w:t>4</w:t>
      </w:r>
      <w:r w:rsidRPr="008371C1">
        <w:rPr>
          <w:noProof/>
        </w:rPr>
        <w:tab/>
        <w:t>Schedules</w:t>
      </w:r>
      <w:r w:rsidRPr="008371C1">
        <w:rPr>
          <w:noProof/>
        </w:rPr>
        <w:tab/>
      </w:r>
      <w:r w:rsidRPr="008371C1">
        <w:rPr>
          <w:noProof/>
        </w:rPr>
        <w:fldChar w:fldCharType="begin"/>
      </w:r>
      <w:r w:rsidRPr="008371C1">
        <w:rPr>
          <w:noProof/>
        </w:rPr>
        <w:instrText xml:space="preserve"> PAGEREF _Toc482362680 \h </w:instrText>
      </w:r>
      <w:r w:rsidRPr="008371C1">
        <w:rPr>
          <w:noProof/>
        </w:rPr>
      </w:r>
      <w:r w:rsidRPr="008371C1">
        <w:rPr>
          <w:noProof/>
        </w:rPr>
        <w:fldChar w:fldCharType="separate"/>
      </w:r>
      <w:r w:rsidR="006D33C3">
        <w:rPr>
          <w:noProof/>
        </w:rPr>
        <w:t>1</w:t>
      </w:r>
      <w:r w:rsidRPr="008371C1">
        <w:rPr>
          <w:noProof/>
        </w:rPr>
        <w:fldChar w:fldCharType="end"/>
      </w:r>
    </w:p>
    <w:p w:rsidR="00DB73FD" w:rsidRPr="008371C1" w:rsidRDefault="00DB73F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371C1">
        <w:rPr>
          <w:noProof/>
        </w:rPr>
        <w:t>Schedule</w:t>
      </w:r>
      <w:r w:rsidR="008371C1" w:rsidRPr="008371C1">
        <w:rPr>
          <w:noProof/>
        </w:rPr>
        <w:t> </w:t>
      </w:r>
      <w:r w:rsidRPr="008371C1">
        <w:rPr>
          <w:noProof/>
        </w:rPr>
        <w:t>1—Amendments</w:t>
      </w:r>
      <w:r w:rsidRPr="008371C1">
        <w:rPr>
          <w:b w:val="0"/>
          <w:noProof/>
          <w:sz w:val="18"/>
        </w:rPr>
        <w:tab/>
      </w:r>
      <w:r w:rsidRPr="008371C1">
        <w:rPr>
          <w:b w:val="0"/>
          <w:noProof/>
          <w:sz w:val="18"/>
        </w:rPr>
        <w:fldChar w:fldCharType="begin"/>
      </w:r>
      <w:r w:rsidRPr="008371C1">
        <w:rPr>
          <w:b w:val="0"/>
          <w:noProof/>
          <w:sz w:val="18"/>
        </w:rPr>
        <w:instrText xml:space="preserve"> PAGEREF _Toc482362681 \h </w:instrText>
      </w:r>
      <w:r w:rsidRPr="008371C1">
        <w:rPr>
          <w:b w:val="0"/>
          <w:noProof/>
          <w:sz w:val="18"/>
        </w:rPr>
      </w:r>
      <w:r w:rsidRPr="008371C1">
        <w:rPr>
          <w:b w:val="0"/>
          <w:noProof/>
          <w:sz w:val="18"/>
        </w:rPr>
        <w:fldChar w:fldCharType="separate"/>
      </w:r>
      <w:r w:rsidR="006D33C3">
        <w:rPr>
          <w:b w:val="0"/>
          <w:noProof/>
          <w:sz w:val="18"/>
        </w:rPr>
        <w:t>2</w:t>
      </w:r>
      <w:r w:rsidRPr="008371C1">
        <w:rPr>
          <w:b w:val="0"/>
          <w:noProof/>
          <w:sz w:val="18"/>
        </w:rPr>
        <w:fldChar w:fldCharType="end"/>
      </w:r>
    </w:p>
    <w:p w:rsidR="00DB73FD" w:rsidRPr="008371C1" w:rsidRDefault="00DB73F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71C1">
        <w:rPr>
          <w:noProof/>
        </w:rPr>
        <w:t>Part</w:t>
      </w:r>
      <w:r w:rsidR="008371C1" w:rsidRPr="008371C1">
        <w:rPr>
          <w:noProof/>
        </w:rPr>
        <w:t> </w:t>
      </w:r>
      <w:r w:rsidRPr="008371C1">
        <w:rPr>
          <w:noProof/>
        </w:rPr>
        <w:t>1—Amendments of fees</w:t>
      </w:r>
      <w:r w:rsidRPr="008371C1">
        <w:rPr>
          <w:noProof/>
          <w:sz w:val="18"/>
        </w:rPr>
        <w:tab/>
      </w:r>
      <w:r w:rsidRPr="008371C1">
        <w:rPr>
          <w:noProof/>
          <w:sz w:val="18"/>
        </w:rPr>
        <w:fldChar w:fldCharType="begin"/>
      </w:r>
      <w:r w:rsidRPr="008371C1">
        <w:rPr>
          <w:noProof/>
          <w:sz w:val="18"/>
        </w:rPr>
        <w:instrText xml:space="preserve"> PAGEREF _Toc482362682 \h </w:instrText>
      </w:r>
      <w:r w:rsidRPr="008371C1">
        <w:rPr>
          <w:noProof/>
          <w:sz w:val="18"/>
        </w:rPr>
      </w:r>
      <w:r w:rsidRPr="008371C1">
        <w:rPr>
          <w:noProof/>
          <w:sz w:val="18"/>
        </w:rPr>
        <w:fldChar w:fldCharType="separate"/>
      </w:r>
      <w:r w:rsidR="006D33C3">
        <w:rPr>
          <w:noProof/>
          <w:sz w:val="18"/>
        </w:rPr>
        <w:t>2</w:t>
      </w:r>
      <w:r w:rsidRPr="008371C1">
        <w:rPr>
          <w:noProof/>
          <w:sz w:val="18"/>
        </w:rPr>
        <w:fldChar w:fldCharType="end"/>
      </w:r>
    </w:p>
    <w:p w:rsidR="00DB73FD" w:rsidRPr="008371C1" w:rsidRDefault="00DB73F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371C1">
        <w:rPr>
          <w:noProof/>
        </w:rPr>
        <w:t>Australian Radiation Protection and Nuclear Safety Regulations</w:t>
      </w:r>
      <w:r w:rsidR="008371C1" w:rsidRPr="008371C1">
        <w:rPr>
          <w:noProof/>
        </w:rPr>
        <w:t> </w:t>
      </w:r>
      <w:r w:rsidRPr="008371C1">
        <w:rPr>
          <w:noProof/>
        </w:rPr>
        <w:t>1999</w:t>
      </w:r>
      <w:r w:rsidRPr="008371C1">
        <w:rPr>
          <w:i w:val="0"/>
          <w:noProof/>
          <w:sz w:val="18"/>
        </w:rPr>
        <w:tab/>
      </w:r>
      <w:r w:rsidRPr="008371C1">
        <w:rPr>
          <w:i w:val="0"/>
          <w:noProof/>
          <w:sz w:val="18"/>
        </w:rPr>
        <w:fldChar w:fldCharType="begin"/>
      </w:r>
      <w:r w:rsidRPr="008371C1">
        <w:rPr>
          <w:i w:val="0"/>
          <w:noProof/>
          <w:sz w:val="18"/>
        </w:rPr>
        <w:instrText xml:space="preserve"> PAGEREF _Toc482362683 \h </w:instrText>
      </w:r>
      <w:r w:rsidRPr="008371C1">
        <w:rPr>
          <w:i w:val="0"/>
          <w:noProof/>
          <w:sz w:val="18"/>
        </w:rPr>
      </w:r>
      <w:r w:rsidRPr="008371C1">
        <w:rPr>
          <w:i w:val="0"/>
          <w:noProof/>
          <w:sz w:val="18"/>
        </w:rPr>
        <w:fldChar w:fldCharType="separate"/>
      </w:r>
      <w:r w:rsidR="006D33C3">
        <w:rPr>
          <w:i w:val="0"/>
          <w:noProof/>
          <w:sz w:val="18"/>
        </w:rPr>
        <w:t>2</w:t>
      </w:r>
      <w:r w:rsidRPr="008371C1">
        <w:rPr>
          <w:i w:val="0"/>
          <w:noProof/>
          <w:sz w:val="18"/>
        </w:rPr>
        <w:fldChar w:fldCharType="end"/>
      </w:r>
    </w:p>
    <w:p w:rsidR="00DB73FD" w:rsidRPr="008371C1" w:rsidRDefault="00DB73F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71C1">
        <w:rPr>
          <w:noProof/>
        </w:rPr>
        <w:t>Part</w:t>
      </w:r>
      <w:r w:rsidR="008371C1" w:rsidRPr="008371C1">
        <w:rPr>
          <w:noProof/>
        </w:rPr>
        <w:t> </w:t>
      </w:r>
      <w:r w:rsidRPr="008371C1">
        <w:rPr>
          <w:noProof/>
        </w:rPr>
        <w:t>2—Other amendments</w:t>
      </w:r>
      <w:r w:rsidRPr="008371C1">
        <w:rPr>
          <w:noProof/>
          <w:sz w:val="18"/>
        </w:rPr>
        <w:tab/>
      </w:r>
      <w:r w:rsidRPr="008371C1">
        <w:rPr>
          <w:noProof/>
          <w:sz w:val="18"/>
        </w:rPr>
        <w:fldChar w:fldCharType="begin"/>
      </w:r>
      <w:r w:rsidRPr="008371C1">
        <w:rPr>
          <w:noProof/>
          <w:sz w:val="18"/>
        </w:rPr>
        <w:instrText xml:space="preserve"> PAGEREF _Toc482362684 \h </w:instrText>
      </w:r>
      <w:r w:rsidRPr="008371C1">
        <w:rPr>
          <w:noProof/>
          <w:sz w:val="18"/>
        </w:rPr>
      </w:r>
      <w:r w:rsidRPr="008371C1">
        <w:rPr>
          <w:noProof/>
          <w:sz w:val="18"/>
        </w:rPr>
        <w:fldChar w:fldCharType="separate"/>
      </w:r>
      <w:r w:rsidR="006D33C3">
        <w:rPr>
          <w:noProof/>
          <w:sz w:val="18"/>
        </w:rPr>
        <w:t>5</w:t>
      </w:r>
      <w:r w:rsidRPr="008371C1">
        <w:rPr>
          <w:noProof/>
          <w:sz w:val="18"/>
        </w:rPr>
        <w:fldChar w:fldCharType="end"/>
      </w:r>
    </w:p>
    <w:p w:rsidR="00DB73FD" w:rsidRPr="008371C1" w:rsidRDefault="00DB73F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371C1">
        <w:rPr>
          <w:noProof/>
        </w:rPr>
        <w:t>Australian Radiation Protection and Nuclear Safety Regulations</w:t>
      </w:r>
      <w:r w:rsidR="008371C1" w:rsidRPr="008371C1">
        <w:rPr>
          <w:noProof/>
        </w:rPr>
        <w:t> </w:t>
      </w:r>
      <w:r w:rsidRPr="008371C1">
        <w:rPr>
          <w:noProof/>
        </w:rPr>
        <w:t>1999</w:t>
      </w:r>
      <w:r w:rsidRPr="008371C1">
        <w:rPr>
          <w:i w:val="0"/>
          <w:noProof/>
          <w:sz w:val="18"/>
        </w:rPr>
        <w:tab/>
      </w:r>
      <w:r w:rsidRPr="008371C1">
        <w:rPr>
          <w:i w:val="0"/>
          <w:noProof/>
          <w:sz w:val="18"/>
        </w:rPr>
        <w:fldChar w:fldCharType="begin"/>
      </w:r>
      <w:r w:rsidRPr="008371C1">
        <w:rPr>
          <w:i w:val="0"/>
          <w:noProof/>
          <w:sz w:val="18"/>
        </w:rPr>
        <w:instrText xml:space="preserve"> PAGEREF _Toc482362685 \h </w:instrText>
      </w:r>
      <w:r w:rsidRPr="008371C1">
        <w:rPr>
          <w:i w:val="0"/>
          <w:noProof/>
          <w:sz w:val="18"/>
        </w:rPr>
      </w:r>
      <w:r w:rsidRPr="008371C1">
        <w:rPr>
          <w:i w:val="0"/>
          <w:noProof/>
          <w:sz w:val="18"/>
        </w:rPr>
        <w:fldChar w:fldCharType="separate"/>
      </w:r>
      <w:r w:rsidR="006D33C3">
        <w:rPr>
          <w:i w:val="0"/>
          <w:noProof/>
          <w:sz w:val="18"/>
        </w:rPr>
        <w:t>5</w:t>
      </w:r>
      <w:r w:rsidRPr="008371C1">
        <w:rPr>
          <w:i w:val="0"/>
          <w:noProof/>
          <w:sz w:val="18"/>
        </w:rPr>
        <w:fldChar w:fldCharType="end"/>
      </w:r>
    </w:p>
    <w:p w:rsidR="00833416" w:rsidRPr="008371C1" w:rsidRDefault="00DB73FD" w:rsidP="0048364F">
      <w:r w:rsidRPr="008371C1">
        <w:fldChar w:fldCharType="end"/>
      </w:r>
    </w:p>
    <w:p w:rsidR="00722023" w:rsidRPr="008371C1" w:rsidRDefault="00722023" w:rsidP="0048364F">
      <w:pPr>
        <w:sectPr w:rsidR="00722023" w:rsidRPr="008371C1" w:rsidSect="0011261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371C1" w:rsidRDefault="0048364F" w:rsidP="0048364F">
      <w:pPr>
        <w:pStyle w:val="ActHead5"/>
      </w:pPr>
      <w:bookmarkStart w:id="2" w:name="_Toc482362677"/>
      <w:r w:rsidRPr="008371C1">
        <w:rPr>
          <w:rStyle w:val="CharSectno"/>
        </w:rPr>
        <w:lastRenderedPageBreak/>
        <w:t>1</w:t>
      </w:r>
      <w:r w:rsidRPr="008371C1">
        <w:t xml:space="preserve">  </w:t>
      </w:r>
      <w:r w:rsidR="004F676E" w:rsidRPr="008371C1">
        <w:t>Name</w:t>
      </w:r>
      <w:bookmarkEnd w:id="2"/>
    </w:p>
    <w:p w:rsidR="0048364F" w:rsidRPr="008371C1" w:rsidRDefault="0048364F" w:rsidP="0048364F">
      <w:pPr>
        <w:pStyle w:val="subsection"/>
      </w:pPr>
      <w:r w:rsidRPr="008371C1">
        <w:tab/>
      </w:r>
      <w:r w:rsidRPr="008371C1">
        <w:tab/>
        <w:t>Th</w:t>
      </w:r>
      <w:r w:rsidR="00F24C35" w:rsidRPr="008371C1">
        <w:t>is</w:t>
      </w:r>
      <w:r w:rsidRPr="008371C1">
        <w:t xml:space="preserve"> </w:t>
      </w:r>
      <w:r w:rsidR="0000167B" w:rsidRPr="008371C1">
        <w:t xml:space="preserve">instrument </w:t>
      </w:r>
      <w:r w:rsidR="00F24C35" w:rsidRPr="008371C1">
        <w:t>is</w:t>
      </w:r>
      <w:r w:rsidR="003801D0" w:rsidRPr="008371C1">
        <w:t xml:space="preserve"> the</w:t>
      </w:r>
      <w:r w:rsidRPr="008371C1">
        <w:t xml:space="preserve"> </w:t>
      </w:r>
      <w:bookmarkStart w:id="3" w:name="BKCheck15B_3"/>
      <w:bookmarkEnd w:id="3"/>
      <w:r w:rsidR="00CB0180" w:rsidRPr="008371C1">
        <w:rPr>
          <w:i/>
        </w:rPr>
        <w:fldChar w:fldCharType="begin"/>
      </w:r>
      <w:r w:rsidR="00CB0180" w:rsidRPr="008371C1">
        <w:rPr>
          <w:i/>
        </w:rPr>
        <w:instrText xml:space="preserve"> STYLEREF  ShortT </w:instrText>
      </w:r>
      <w:r w:rsidR="00CB0180" w:rsidRPr="008371C1">
        <w:rPr>
          <w:i/>
        </w:rPr>
        <w:fldChar w:fldCharType="separate"/>
      </w:r>
      <w:r w:rsidR="006D33C3">
        <w:rPr>
          <w:i/>
          <w:noProof/>
        </w:rPr>
        <w:t>Australian Radiation Protection and Nuclear Safety Amendment (2017 Measures No. 1) Regulations 2017</w:t>
      </w:r>
      <w:r w:rsidR="00CB0180" w:rsidRPr="008371C1">
        <w:rPr>
          <w:i/>
        </w:rPr>
        <w:fldChar w:fldCharType="end"/>
      </w:r>
      <w:r w:rsidRPr="008371C1">
        <w:t>.</w:t>
      </w:r>
    </w:p>
    <w:p w:rsidR="0048364F" w:rsidRPr="008371C1" w:rsidRDefault="0048364F" w:rsidP="0048364F">
      <w:pPr>
        <w:pStyle w:val="ActHead5"/>
      </w:pPr>
      <w:bookmarkStart w:id="4" w:name="_Toc482362678"/>
      <w:r w:rsidRPr="008371C1">
        <w:rPr>
          <w:rStyle w:val="CharSectno"/>
        </w:rPr>
        <w:t>2</w:t>
      </w:r>
      <w:r w:rsidRPr="008371C1">
        <w:t xml:space="preserve">  Commencement</w:t>
      </w:r>
      <w:bookmarkEnd w:id="4"/>
    </w:p>
    <w:p w:rsidR="00102F0C" w:rsidRPr="008371C1" w:rsidRDefault="00102F0C" w:rsidP="002362FE">
      <w:pPr>
        <w:pStyle w:val="subsection"/>
      </w:pPr>
      <w:bookmarkStart w:id="5" w:name="_GoBack"/>
      <w:r w:rsidRPr="008371C1">
        <w:tab/>
        <w:t>(1)</w:t>
      </w:r>
      <w:r w:rsidRPr="008371C1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102F0C" w:rsidRPr="008371C1" w:rsidRDefault="00102F0C" w:rsidP="002362F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102F0C" w:rsidRPr="008371C1" w:rsidTr="00102F0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02F0C" w:rsidRPr="008371C1" w:rsidRDefault="00102F0C" w:rsidP="002362FE">
            <w:pPr>
              <w:pStyle w:val="TableHeading"/>
            </w:pPr>
            <w:r w:rsidRPr="008371C1">
              <w:t>Commencement information</w:t>
            </w:r>
          </w:p>
        </w:tc>
      </w:tr>
      <w:tr w:rsidR="00102F0C" w:rsidRPr="008371C1" w:rsidTr="00102F0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02F0C" w:rsidRPr="008371C1" w:rsidRDefault="00102F0C" w:rsidP="002362FE">
            <w:pPr>
              <w:pStyle w:val="TableHeading"/>
            </w:pPr>
            <w:r w:rsidRPr="008371C1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02F0C" w:rsidRPr="008371C1" w:rsidRDefault="00102F0C" w:rsidP="002362FE">
            <w:pPr>
              <w:pStyle w:val="TableHeading"/>
            </w:pPr>
            <w:r w:rsidRPr="008371C1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02F0C" w:rsidRPr="008371C1" w:rsidRDefault="00102F0C" w:rsidP="002362FE">
            <w:pPr>
              <w:pStyle w:val="TableHeading"/>
            </w:pPr>
            <w:r w:rsidRPr="008371C1">
              <w:t>Column 3</w:t>
            </w:r>
          </w:p>
        </w:tc>
      </w:tr>
      <w:tr w:rsidR="00102F0C" w:rsidRPr="008371C1" w:rsidTr="00102F0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02F0C" w:rsidRPr="008371C1" w:rsidRDefault="00102F0C" w:rsidP="002362FE">
            <w:pPr>
              <w:pStyle w:val="TableHeading"/>
            </w:pPr>
            <w:r w:rsidRPr="008371C1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02F0C" w:rsidRPr="008371C1" w:rsidRDefault="00102F0C" w:rsidP="002362FE">
            <w:pPr>
              <w:pStyle w:val="TableHeading"/>
            </w:pPr>
            <w:r w:rsidRPr="008371C1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02F0C" w:rsidRPr="008371C1" w:rsidRDefault="00102F0C" w:rsidP="002362FE">
            <w:pPr>
              <w:pStyle w:val="TableHeading"/>
            </w:pPr>
            <w:r w:rsidRPr="008371C1">
              <w:t>Date/Details</w:t>
            </w:r>
          </w:p>
        </w:tc>
      </w:tr>
      <w:tr w:rsidR="00102F0C" w:rsidRPr="008371C1" w:rsidTr="00102F0C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02F0C" w:rsidRPr="008371C1" w:rsidRDefault="00102F0C" w:rsidP="002362FE">
            <w:pPr>
              <w:pStyle w:val="Tabletext"/>
            </w:pPr>
            <w:r w:rsidRPr="008371C1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02F0C" w:rsidRPr="008371C1" w:rsidRDefault="00200138" w:rsidP="002362FE">
            <w:pPr>
              <w:pStyle w:val="Tabletext"/>
            </w:pPr>
            <w:r w:rsidRPr="008371C1">
              <w:t>1</w:t>
            </w:r>
            <w:r w:rsidR="008371C1" w:rsidRPr="008371C1">
              <w:t> </w:t>
            </w:r>
            <w:r w:rsidRPr="008371C1">
              <w:t>July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02F0C" w:rsidRPr="008371C1" w:rsidRDefault="00200138" w:rsidP="002362FE">
            <w:pPr>
              <w:pStyle w:val="Tabletext"/>
            </w:pPr>
            <w:r w:rsidRPr="008371C1">
              <w:t>1</w:t>
            </w:r>
            <w:r w:rsidR="008371C1" w:rsidRPr="008371C1">
              <w:t> </w:t>
            </w:r>
            <w:r w:rsidRPr="008371C1">
              <w:t>July 2017</w:t>
            </w:r>
          </w:p>
        </w:tc>
      </w:tr>
    </w:tbl>
    <w:p w:rsidR="00102F0C" w:rsidRPr="008371C1" w:rsidRDefault="00102F0C" w:rsidP="002362FE">
      <w:pPr>
        <w:pStyle w:val="notetext"/>
      </w:pPr>
      <w:r w:rsidRPr="008371C1">
        <w:rPr>
          <w:snapToGrid w:val="0"/>
          <w:lang w:eastAsia="en-US"/>
        </w:rPr>
        <w:t>Note:</w:t>
      </w:r>
      <w:r w:rsidRPr="008371C1">
        <w:rPr>
          <w:snapToGrid w:val="0"/>
          <w:lang w:eastAsia="en-US"/>
        </w:rPr>
        <w:tab/>
        <w:t xml:space="preserve">This table relates only to the provisions of this </w:t>
      </w:r>
      <w:r w:rsidRPr="008371C1">
        <w:t xml:space="preserve">instrument </w:t>
      </w:r>
      <w:r w:rsidRPr="008371C1">
        <w:rPr>
          <w:snapToGrid w:val="0"/>
          <w:lang w:eastAsia="en-US"/>
        </w:rPr>
        <w:t xml:space="preserve">as originally made. It will not be amended to deal with any later amendments of this </w:t>
      </w:r>
      <w:r w:rsidRPr="008371C1">
        <w:t>instrument</w:t>
      </w:r>
      <w:r w:rsidRPr="008371C1">
        <w:rPr>
          <w:snapToGrid w:val="0"/>
          <w:lang w:eastAsia="en-US"/>
        </w:rPr>
        <w:t>.</w:t>
      </w:r>
    </w:p>
    <w:p w:rsidR="00102F0C" w:rsidRPr="008371C1" w:rsidRDefault="00102F0C" w:rsidP="002362FE">
      <w:pPr>
        <w:pStyle w:val="subsection"/>
      </w:pPr>
      <w:r w:rsidRPr="008371C1">
        <w:tab/>
        <w:t>(2)</w:t>
      </w:r>
      <w:r w:rsidRPr="008371C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8371C1" w:rsidRDefault="007769D4" w:rsidP="007769D4">
      <w:pPr>
        <w:pStyle w:val="ActHead5"/>
      </w:pPr>
      <w:bookmarkStart w:id="6" w:name="_Toc482362679"/>
      <w:r w:rsidRPr="008371C1">
        <w:rPr>
          <w:rStyle w:val="CharSectno"/>
        </w:rPr>
        <w:t>3</w:t>
      </w:r>
      <w:r w:rsidRPr="008371C1">
        <w:t xml:space="preserve">  Authority</w:t>
      </w:r>
      <w:bookmarkEnd w:id="6"/>
    </w:p>
    <w:p w:rsidR="007769D4" w:rsidRPr="008371C1" w:rsidRDefault="007769D4" w:rsidP="007769D4">
      <w:pPr>
        <w:pStyle w:val="subsection"/>
      </w:pPr>
      <w:r w:rsidRPr="008371C1">
        <w:tab/>
      </w:r>
      <w:r w:rsidRPr="008371C1">
        <w:tab/>
      </w:r>
      <w:r w:rsidR="00AF0336" w:rsidRPr="008371C1">
        <w:t xml:space="preserve">This </w:t>
      </w:r>
      <w:r w:rsidR="00102F0C" w:rsidRPr="008371C1">
        <w:t>instrument</w:t>
      </w:r>
      <w:r w:rsidR="00AF0336" w:rsidRPr="008371C1">
        <w:t xml:space="preserve"> is made under the </w:t>
      </w:r>
      <w:r w:rsidR="00102F0C" w:rsidRPr="008371C1">
        <w:rPr>
          <w:i/>
        </w:rPr>
        <w:t>Australian Radiation Protection and Nuclear Safety Act 1998</w:t>
      </w:r>
      <w:r w:rsidR="00D83D21" w:rsidRPr="008371C1">
        <w:rPr>
          <w:i/>
        </w:rPr>
        <w:t>.</w:t>
      </w:r>
    </w:p>
    <w:p w:rsidR="00557C7A" w:rsidRPr="008371C1" w:rsidRDefault="007769D4" w:rsidP="00557C7A">
      <w:pPr>
        <w:pStyle w:val="ActHead5"/>
      </w:pPr>
      <w:bookmarkStart w:id="7" w:name="_Toc482362680"/>
      <w:r w:rsidRPr="008371C1">
        <w:rPr>
          <w:rStyle w:val="CharSectno"/>
        </w:rPr>
        <w:t>4</w:t>
      </w:r>
      <w:r w:rsidR="00557C7A" w:rsidRPr="008371C1">
        <w:t xml:space="preserve">  </w:t>
      </w:r>
      <w:r w:rsidR="00B332B8" w:rsidRPr="008371C1">
        <w:t>Schedules</w:t>
      </w:r>
      <w:bookmarkEnd w:id="7"/>
    </w:p>
    <w:p w:rsidR="000F6B02" w:rsidRPr="008371C1" w:rsidRDefault="00557C7A" w:rsidP="000F6B02">
      <w:pPr>
        <w:pStyle w:val="subsection"/>
      </w:pPr>
      <w:r w:rsidRPr="008371C1">
        <w:tab/>
      </w:r>
      <w:r w:rsidRPr="008371C1">
        <w:tab/>
      </w:r>
      <w:r w:rsidR="000F6B02" w:rsidRPr="008371C1">
        <w:t xml:space="preserve">Each instrument that is specified in a Schedule to </w:t>
      </w:r>
      <w:r w:rsidR="00102F0C" w:rsidRPr="008371C1">
        <w:t>this instrument</w:t>
      </w:r>
      <w:r w:rsidR="000F6B02" w:rsidRPr="008371C1">
        <w:t xml:space="preserve"> is amended or repealed as set out in the applicable items in the Schedule concerned, and any other item in a Schedule to </w:t>
      </w:r>
      <w:r w:rsidR="00102F0C" w:rsidRPr="008371C1">
        <w:t>this instrument</w:t>
      </w:r>
      <w:r w:rsidR="000F6B02" w:rsidRPr="008371C1">
        <w:t xml:space="preserve"> has effect according to its terms.</w:t>
      </w:r>
    </w:p>
    <w:p w:rsidR="0048364F" w:rsidRPr="008371C1" w:rsidRDefault="0048364F" w:rsidP="00FF3089">
      <w:pPr>
        <w:pStyle w:val="ActHead6"/>
        <w:pageBreakBefore/>
      </w:pPr>
      <w:bookmarkStart w:id="8" w:name="_Toc482362681"/>
      <w:bookmarkStart w:id="9" w:name="opcAmSched"/>
      <w:bookmarkStart w:id="10" w:name="opcCurrentFind"/>
      <w:r w:rsidRPr="008371C1">
        <w:rPr>
          <w:rStyle w:val="CharAmSchNo"/>
        </w:rPr>
        <w:lastRenderedPageBreak/>
        <w:t>Schedule</w:t>
      </w:r>
      <w:r w:rsidR="008371C1" w:rsidRPr="008371C1">
        <w:rPr>
          <w:rStyle w:val="CharAmSchNo"/>
        </w:rPr>
        <w:t> </w:t>
      </w:r>
      <w:r w:rsidRPr="008371C1">
        <w:rPr>
          <w:rStyle w:val="CharAmSchNo"/>
        </w:rPr>
        <w:t>1</w:t>
      </w:r>
      <w:r w:rsidRPr="008371C1">
        <w:t>—</w:t>
      </w:r>
      <w:r w:rsidR="00460499" w:rsidRPr="008371C1">
        <w:rPr>
          <w:rStyle w:val="CharAmSchText"/>
        </w:rPr>
        <w:t>Amendments</w:t>
      </w:r>
      <w:bookmarkEnd w:id="8"/>
    </w:p>
    <w:p w:rsidR="0004044E" w:rsidRPr="008371C1" w:rsidRDefault="0065288A" w:rsidP="0065288A">
      <w:pPr>
        <w:pStyle w:val="ActHead7"/>
      </w:pPr>
      <w:bookmarkStart w:id="11" w:name="_Toc482362682"/>
      <w:bookmarkEnd w:id="9"/>
      <w:bookmarkEnd w:id="10"/>
      <w:r w:rsidRPr="008371C1">
        <w:rPr>
          <w:rStyle w:val="CharAmPartNo"/>
        </w:rPr>
        <w:t>Part</w:t>
      </w:r>
      <w:r w:rsidR="008371C1" w:rsidRPr="008371C1">
        <w:rPr>
          <w:rStyle w:val="CharAmPartNo"/>
        </w:rPr>
        <w:t> </w:t>
      </w:r>
      <w:r w:rsidRPr="008371C1">
        <w:rPr>
          <w:rStyle w:val="CharAmPartNo"/>
        </w:rPr>
        <w:t>1</w:t>
      </w:r>
      <w:r w:rsidRPr="008371C1">
        <w:t>—</w:t>
      </w:r>
      <w:r w:rsidRPr="008371C1">
        <w:rPr>
          <w:rStyle w:val="CharAmPartText"/>
        </w:rPr>
        <w:t>Amendment</w:t>
      </w:r>
      <w:r w:rsidR="005E768B" w:rsidRPr="008371C1">
        <w:rPr>
          <w:rStyle w:val="CharAmPartText"/>
        </w:rPr>
        <w:t>s</w:t>
      </w:r>
      <w:r w:rsidRPr="008371C1">
        <w:rPr>
          <w:rStyle w:val="CharAmPartText"/>
        </w:rPr>
        <w:t xml:space="preserve"> of fees</w:t>
      </w:r>
      <w:bookmarkEnd w:id="11"/>
    </w:p>
    <w:p w:rsidR="0000167B" w:rsidRPr="008371C1" w:rsidRDefault="0000167B" w:rsidP="0000167B">
      <w:pPr>
        <w:pStyle w:val="ActHead9"/>
      </w:pPr>
      <w:bookmarkStart w:id="12" w:name="_Toc482362683"/>
      <w:r w:rsidRPr="008371C1">
        <w:t>Australian Radiation Protection and Nuclear Safety Regulations</w:t>
      </w:r>
      <w:r w:rsidR="008371C1" w:rsidRPr="008371C1">
        <w:t> </w:t>
      </w:r>
      <w:r w:rsidRPr="008371C1">
        <w:t>1999</w:t>
      </w:r>
      <w:bookmarkEnd w:id="12"/>
    </w:p>
    <w:p w:rsidR="0065288A" w:rsidRPr="008371C1" w:rsidRDefault="00314A98" w:rsidP="0065288A">
      <w:pPr>
        <w:pStyle w:val="ItemHead"/>
      </w:pPr>
      <w:r w:rsidRPr="008371C1">
        <w:t>1</w:t>
      </w:r>
      <w:r w:rsidR="0065288A" w:rsidRPr="008371C1">
        <w:t xml:space="preserve">  Amendments of listed provisions—Schedule</w:t>
      </w:r>
      <w:r w:rsidR="008371C1" w:rsidRPr="008371C1">
        <w:t> </w:t>
      </w:r>
      <w:r w:rsidR="0065288A" w:rsidRPr="008371C1">
        <w:t>3A</w:t>
      </w:r>
    </w:p>
    <w:p w:rsidR="0065288A" w:rsidRPr="008371C1" w:rsidRDefault="0065288A" w:rsidP="0065288A">
      <w:pPr>
        <w:pStyle w:val="Item"/>
      </w:pPr>
      <w:r w:rsidRPr="008371C1">
        <w:t>The items of the table in clause</w:t>
      </w:r>
      <w:r w:rsidR="008371C1" w:rsidRPr="008371C1">
        <w:t> </w:t>
      </w:r>
      <w:r w:rsidRPr="008371C1">
        <w:t>1 of Schedule</w:t>
      </w:r>
      <w:r w:rsidR="008371C1" w:rsidRPr="008371C1">
        <w:t> </w:t>
      </w:r>
      <w:r w:rsidRPr="008371C1">
        <w:t>3A listed in the following table are amended as set out in the table.</w:t>
      </w:r>
    </w:p>
    <w:p w:rsidR="00981377" w:rsidRPr="008371C1" w:rsidRDefault="00981377" w:rsidP="0098137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981377" w:rsidRPr="008371C1" w:rsidTr="002362FE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81377" w:rsidRPr="008371C1" w:rsidRDefault="00981377" w:rsidP="002362FE">
            <w:pPr>
              <w:pStyle w:val="TableHeading"/>
            </w:pPr>
            <w:r w:rsidRPr="008371C1">
              <w:t>Amendments relating to facility licence application fees—nuclear installations</w:t>
            </w:r>
          </w:p>
        </w:tc>
      </w:tr>
      <w:tr w:rsidR="00981377" w:rsidRPr="008371C1" w:rsidTr="000E585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81377" w:rsidRPr="008371C1" w:rsidRDefault="00981377" w:rsidP="002362FE">
            <w:pPr>
              <w:pStyle w:val="TableHeading"/>
            </w:pPr>
            <w:r w:rsidRPr="008371C1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81377" w:rsidRPr="008371C1" w:rsidRDefault="00981377" w:rsidP="002362FE">
            <w:pPr>
              <w:pStyle w:val="TableHeading"/>
            </w:pPr>
            <w:r w:rsidRPr="008371C1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81377" w:rsidRPr="008371C1" w:rsidRDefault="00981377" w:rsidP="000E5852">
            <w:pPr>
              <w:pStyle w:val="TableHeading"/>
              <w:jc w:val="right"/>
            </w:pPr>
            <w:r w:rsidRPr="008371C1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81377" w:rsidRPr="008371C1" w:rsidRDefault="00981377" w:rsidP="000E5852">
            <w:pPr>
              <w:pStyle w:val="TableHeading"/>
              <w:jc w:val="right"/>
            </w:pPr>
            <w:r w:rsidRPr="008371C1">
              <w:t>Substitute</w:t>
            </w:r>
          </w:p>
        </w:tc>
      </w:tr>
      <w:tr w:rsidR="00981377" w:rsidRPr="008371C1" w:rsidTr="000E585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28</w:t>
            </w:r>
            <w:r w:rsidR="008371C1" w:rsidRPr="008371C1">
              <w:t> </w:t>
            </w:r>
            <w:r w:rsidRPr="008371C1">
              <w:t>777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29,438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2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179</w:t>
            </w:r>
            <w:r w:rsidR="008371C1" w:rsidRPr="008371C1">
              <w:t> </w:t>
            </w:r>
            <w:r w:rsidRPr="008371C1">
              <w:t>863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183,999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3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143</w:t>
            </w:r>
            <w:r w:rsidR="008371C1" w:rsidRPr="008371C1">
              <w:t> </w:t>
            </w:r>
            <w:r w:rsidRPr="008371C1">
              <w:t>891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147,200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4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71</w:t>
            </w:r>
            <w:r w:rsidR="008371C1" w:rsidRPr="008371C1">
              <w:t> </w:t>
            </w:r>
            <w:r w:rsidRPr="008371C1">
              <w:t>944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73,598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5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71</w:t>
            </w:r>
            <w:r w:rsidR="008371C1" w:rsidRPr="008371C1">
              <w:t> </w:t>
            </w:r>
            <w:r w:rsidRPr="008371C1">
              <w:t>944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73,598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6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143</w:t>
            </w:r>
            <w:r w:rsidR="008371C1" w:rsidRPr="008371C1">
              <w:t> </w:t>
            </w:r>
            <w:r w:rsidRPr="008371C1">
              <w:t>891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147,200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7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575</w:t>
            </w:r>
            <w:r w:rsidR="008371C1" w:rsidRPr="008371C1">
              <w:t> </w:t>
            </w:r>
            <w:r w:rsidRPr="008371C1">
              <w:t>565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588,802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8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143</w:t>
            </w:r>
            <w:r w:rsidR="008371C1" w:rsidRPr="008371C1">
              <w:t> </w:t>
            </w:r>
            <w:r w:rsidRPr="008371C1">
              <w:t>891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147,200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9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616</w:t>
            </w:r>
            <w:r w:rsidR="008371C1" w:rsidRPr="008371C1">
              <w:t> </w:t>
            </w:r>
            <w:r w:rsidRPr="008371C1">
              <w:t>679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630,862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10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143</w:t>
            </w:r>
            <w:r w:rsidR="008371C1" w:rsidRPr="008371C1">
              <w:t> </w:t>
            </w:r>
            <w:r w:rsidRPr="008371C1">
              <w:t>891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147,200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11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14</w:t>
            </w:r>
            <w:r w:rsidR="008371C1" w:rsidRPr="008371C1">
              <w:t> </w:t>
            </w:r>
            <w:r w:rsidRPr="008371C1">
              <w:t>388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14,718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12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64</w:t>
            </w:r>
            <w:r w:rsidR="008371C1" w:rsidRPr="008371C1">
              <w:t> </w:t>
            </w:r>
            <w:r w:rsidRPr="008371C1">
              <w:t>749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66,238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13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14</w:t>
            </w:r>
            <w:r w:rsidR="008371C1" w:rsidRPr="008371C1">
              <w:t> </w:t>
            </w:r>
            <w:r w:rsidRPr="008371C1">
              <w:t>388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14,718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14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64</w:t>
            </w:r>
            <w:r w:rsidR="008371C1" w:rsidRPr="008371C1">
              <w:t> </w:t>
            </w:r>
            <w:r w:rsidRPr="008371C1">
              <w:t>749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66,238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15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28</w:t>
            </w:r>
            <w:r w:rsidR="008371C1" w:rsidRPr="008371C1">
              <w:t> </w:t>
            </w:r>
            <w:r w:rsidRPr="008371C1">
              <w:t>777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29,438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16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342</w:t>
            </w:r>
            <w:r w:rsidR="008371C1" w:rsidRPr="008371C1">
              <w:t> </w:t>
            </w:r>
            <w:r w:rsidRPr="008371C1">
              <w:t>600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350,479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17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411</w:t>
            </w:r>
            <w:r w:rsidR="008371C1" w:rsidRPr="008371C1">
              <w:t> </w:t>
            </w:r>
            <w:r w:rsidRPr="008371C1">
              <w:t>119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420,574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18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14</w:t>
            </w:r>
            <w:r w:rsidR="008371C1" w:rsidRPr="008371C1">
              <w:t> </w:t>
            </w:r>
            <w:r w:rsidRPr="008371C1">
              <w:t>388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14,718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19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215</w:t>
            </w:r>
            <w:r w:rsidR="008371C1" w:rsidRPr="008371C1">
              <w:t> </w:t>
            </w:r>
            <w:r w:rsidRPr="008371C1">
              <w:t>837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220,801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20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28</w:t>
            </w:r>
            <w:r w:rsidR="008371C1" w:rsidRPr="008371C1">
              <w:t> </w:t>
            </w:r>
            <w:r w:rsidRPr="008371C1">
              <w:t>777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29,438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21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71</w:t>
            </w:r>
            <w:r w:rsidR="008371C1" w:rsidRPr="008371C1">
              <w:t> </w:t>
            </w:r>
            <w:r w:rsidRPr="008371C1">
              <w:t>944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73,598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22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143</w:t>
            </w:r>
            <w:r w:rsidR="008371C1" w:rsidRPr="008371C1">
              <w:t> </w:t>
            </w:r>
            <w:r w:rsidRPr="008371C1">
              <w:t>891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147,200</w:t>
            </w:r>
          </w:p>
        </w:tc>
      </w:tr>
      <w:tr w:rsidR="00981377" w:rsidRPr="008371C1" w:rsidTr="000E5852">
        <w:tc>
          <w:tcPr>
            <w:tcW w:w="714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23</w:t>
            </w:r>
          </w:p>
        </w:tc>
        <w:tc>
          <w:tcPr>
            <w:tcW w:w="2542" w:type="dxa"/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14</w:t>
            </w:r>
            <w:r w:rsidR="008371C1" w:rsidRPr="008371C1">
              <w:t> </w:t>
            </w:r>
            <w:r w:rsidRPr="008371C1">
              <w:t>388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14,718</w:t>
            </w:r>
          </w:p>
        </w:tc>
      </w:tr>
      <w:tr w:rsidR="00981377" w:rsidRPr="008371C1" w:rsidTr="000E5852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24</w:t>
            </w:r>
          </w:p>
        </w:tc>
        <w:tc>
          <w:tcPr>
            <w:tcW w:w="2542" w:type="dxa"/>
            <w:tcBorders>
              <w:bottom w:val="single" w:sz="2" w:space="0" w:color="auto"/>
            </w:tcBorders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24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129</w:t>
            </w:r>
            <w:r w:rsidR="008371C1" w:rsidRPr="008371C1">
              <w:t> </w:t>
            </w:r>
            <w:r w:rsidRPr="008371C1">
              <w:t>502</w:t>
            </w:r>
          </w:p>
        </w:tc>
        <w:tc>
          <w:tcPr>
            <w:tcW w:w="25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132,480</w:t>
            </w:r>
          </w:p>
        </w:tc>
      </w:tr>
      <w:tr w:rsidR="00981377" w:rsidRPr="008371C1" w:rsidTr="000E585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25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81377" w:rsidRPr="008371C1" w:rsidRDefault="00981377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25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1377" w:rsidRPr="008371C1" w:rsidRDefault="00981377" w:rsidP="002362FE">
            <w:pPr>
              <w:pStyle w:val="Tabletext"/>
              <w:jc w:val="right"/>
            </w:pPr>
            <w:r w:rsidRPr="008371C1">
              <w:t>28</w:t>
            </w:r>
            <w:r w:rsidR="008371C1" w:rsidRPr="008371C1">
              <w:t> </w:t>
            </w:r>
            <w:r w:rsidRPr="008371C1">
              <w:t>777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1377" w:rsidRPr="008371C1" w:rsidRDefault="00981377" w:rsidP="00981377">
            <w:pPr>
              <w:pStyle w:val="Tabletext"/>
              <w:jc w:val="right"/>
            </w:pPr>
            <w:r w:rsidRPr="008371C1">
              <w:t>29,438</w:t>
            </w:r>
          </w:p>
        </w:tc>
      </w:tr>
    </w:tbl>
    <w:p w:rsidR="00860E4A" w:rsidRPr="008371C1" w:rsidRDefault="00860E4A" w:rsidP="00860E4A">
      <w:pPr>
        <w:pStyle w:val="Tabletext"/>
      </w:pPr>
    </w:p>
    <w:p w:rsidR="00860E4A" w:rsidRPr="008371C1" w:rsidRDefault="00314A98" w:rsidP="00860E4A">
      <w:pPr>
        <w:pStyle w:val="ItemHead"/>
        <w:tabs>
          <w:tab w:val="left" w:pos="6663"/>
        </w:tabs>
      </w:pPr>
      <w:r w:rsidRPr="008371C1">
        <w:t>2</w:t>
      </w:r>
      <w:r w:rsidR="00860E4A" w:rsidRPr="008371C1">
        <w:t xml:space="preserve">  Amendments of listed provisions—Part</w:t>
      </w:r>
      <w:r w:rsidR="008371C1" w:rsidRPr="008371C1">
        <w:t> </w:t>
      </w:r>
      <w:r w:rsidR="00860E4A" w:rsidRPr="008371C1">
        <w:t>1 of Schedule</w:t>
      </w:r>
      <w:r w:rsidR="008371C1" w:rsidRPr="008371C1">
        <w:t> </w:t>
      </w:r>
      <w:r w:rsidR="00860E4A" w:rsidRPr="008371C1">
        <w:t>3B</w:t>
      </w:r>
    </w:p>
    <w:p w:rsidR="00860E4A" w:rsidRPr="008371C1" w:rsidRDefault="00860E4A" w:rsidP="00860E4A">
      <w:pPr>
        <w:pStyle w:val="Item"/>
      </w:pPr>
      <w:r w:rsidRPr="008371C1">
        <w:t>The items of the table in clause</w:t>
      </w:r>
      <w:r w:rsidR="008371C1" w:rsidRPr="008371C1">
        <w:t> </w:t>
      </w:r>
      <w:r w:rsidRPr="008371C1">
        <w:t>1 of Schedule</w:t>
      </w:r>
      <w:r w:rsidR="008371C1" w:rsidRPr="008371C1">
        <w:t> </w:t>
      </w:r>
      <w:r w:rsidRPr="008371C1">
        <w:t>3B listed in the following table are amended as set out in the table.</w:t>
      </w:r>
    </w:p>
    <w:p w:rsidR="00860E4A" w:rsidRPr="008371C1" w:rsidRDefault="00860E4A" w:rsidP="00860E4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860E4A" w:rsidRPr="008371C1" w:rsidTr="002362FE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60E4A" w:rsidRPr="008371C1" w:rsidRDefault="00860E4A" w:rsidP="002362FE">
            <w:pPr>
              <w:pStyle w:val="TableHeading"/>
            </w:pPr>
            <w:r w:rsidRPr="008371C1">
              <w:t>Amendments relating to facility licence application fees—prescribed radiation facilities (general)</w:t>
            </w:r>
          </w:p>
        </w:tc>
      </w:tr>
      <w:tr w:rsidR="00860E4A" w:rsidRPr="008371C1" w:rsidTr="000E585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60E4A" w:rsidRPr="008371C1" w:rsidRDefault="00860E4A" w:rsidP="002362FE">
            <w:pPr>
              <w:pStyle w:val="TableHeading"/>
            </w:pPr>
            <w:r w:rsidRPr="008371C1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60E4A" w:rsidRPr="008371C1" w:rsidRDefault="00860E4A" w:rsidP="002362FE">
            <w:pPr>
              <w:pStyle w:val="TableHeading"/>
            </w:pPr>
            <w:r w:rsidRPr="008371C1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60E4A" w:rsidRPr="008371C1" w:rsidRDefault="00860E4A" w:rsidP="000E5852">
            <w:pPr>
              <w:pStyle w:val="TableHeading"/>
              <w:jc w:val="right"/>
            </w:pPr>
            <w:r w:rsidRPr="008371C1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60E4A" w:rsidRPr="008371C1" w:rsidRDefault="00860E4A" w:rsidP="000E5852">
            <w:pPr>
              <w:pStyle w:val="TableHeading"/>
              <w:jc w:val="right"/>
            </w:pPr>
            <w:r w:rsidRPr="008371C1">
              <w:t>Substitute</w:t>
            </w:r>
          </w:p>
        </w:tc>
      </w:tr>
      <w:tr w:rsidR="00860E4A" w:rsidRPr="008371C1" w:rsidTr="000E585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0E4A" w:rsidRPr="008371C1" w:rsidRDefault="00860E4A" w:rsidP="002362FE">
            <w:pPr>
              <w:pStyle w:val="Tabletext"/>
              <w:jc w:val="right"/>
            </w:pPr>
            <w:r w:rsidRPr="008371C1">
              <w:t>12</w:t>
            </w:r>
            <w:r w:rsidR="008371C1" w:rsidRPr="008371C1">
              <w:t> </w:t>
            </w:r>
            <w:r w:rsidRPr="008371C1">
              <w:t>949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0E4A" w:rsidRPr="008371C1" w:rsidRDefault="00860E4A" w:rsidP="00860E4A">
            <w:pPr>
              <w:pStyle w:val="Tabletext"/>
              <w:jc w:val="right"/>
            </w:pPr>
            <w:r w:rsidRPr="008371C1">
              <w:t>13,246</w:t>
            </w:r>
          </w:p>
        </w:tc>
      </w:tr>
      <w:tr w:rsidR="00860E4A" w:rsidRPr="008371C1" w:rsidTr="000E5852">
        <w:tc>
          <w:tcPr>
            <w:tcW w:w="714" w:type="dxa"/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2</w:t>
            </w:r>
          </w:p>
        </w:tc>
        <w:tc>
          <w:tcPr>
            <w:tcW w:w="2542" w:type="dxa"/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0E4A" w:rsidRPr="008371C1" w:rsidRDefault="00860E4A" w:rsidP="002362FE">
            <w:pPr>
              <w:pStyle w:val="Tabletext"/>
              <w:jc w:val="right"/>
            </w:pPr>
            <w:r w:rsidRPr="008371C1">
              <w:t>12</w:t>
            </w:r>
            <w:r w:rsidR="008371C1" w:rsidRPr="008371C1">
              <w:t> </w:t>
            </w:r>
            <w:r w:rsidRPr="008371C1">
              <w:t>949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60E4A" w:rsidRPr="008371C1" w:rsidRDefault="00860E4A" w:rsidP="002362FE">
            <w:pPr>
              <w:pStyle w:val="Tabletext"/>
              <w:jc w:val="right"/>
            </w:pPr>
            <w:r w:rsidRPr="008371C1">
              <w:t>13,246</w:t>
            </w:r>
          </w:p>
        </w:tc>
      </w:tr>
      <w:tr w:rsidR="00860E4A" w:rsidRPr="008371C1" w:rsidTr="000E5852">
        <w:tc>
          <w:tcPr>
            <w:tcW w:w="714" w:type="dxa"/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3</w:t>
            </w:r>
          </w:p>
        </w:tc>
        <w:tc>
          <w:tcPr>
            <w:tcW w:w="2542" w:type="dxa"/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0E4A" w:rsidRPr="008371C1" w:rsidRDefault="00860E4A" w:rsidP="002362FE">
            <w:pPr>
              <w:pStyle w:val="Tabletext"/>
              <w:jc w:val="right"/>
            </w:pPr>
            <w:r w:rsidRPr="008371C1">
              <w:t>12</w:t>
            </w:r>
            <w:r w:rsidR="008371C1" w:rsidRPr="008371C1">
              <w:t> </w:t>
            </w:r>
            <w:r w:rsidRPr="008371C1">
              <w:t>949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60E4A" w:rsidRPr="008371C1" w:rsidRDefault="00860E4A" w:rsidP="002362FE">
            <w:pPr>
              <w:pStyle w:val="Tabletext"/>
              <w:jc w:val="right"/>
            </w:pPr>
            <w:r w:rsidRPr="008371C1">
              <w:t>13,246</w:t>
            </w:r>
          </w:p>
        </w:tc>
      </w:tr>
      <w:tr w:rsidR="00860E4A" w:rsidRPr="008371C1" w:rsidTr="000E5852">
        <w:tc>
          <w:tcPr>
            <w:tcW w:w="714" w:type="dxa"/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4</w:t>
            </w:r>
          </w:p>
        </w:tc>
        <w:tc>
          <w:tcPr>
            <w:tcW w:w="2542" w:type="dxa"/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0E4A" w:rsidRPr="008371C1" w:rsidRDefault="00860E4A" w:rsidP="002362FE">
            <w:pPr>
              <w:pStyle w:val="Tabletext"/>
              <w:jc w:val="right"/>
            </w:pPr>
            <w:r w:rsidRPr="008371C1">
              <w:t>12</w:t>
            </w:r>
            <w:r w:rsidR="008371C1" w:rsidRPr="008371C1">
              <w:t> </w:t>
            </w:r>
            <w:r w:rsidRPr="008371C1">
              <w:t>949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60E4A" w:rsidRPr="008371C1" w:rsidRDefault="00860E4A" w:rsidP="002362FE">
            <w:pPr>
              <w:pStyle w:val="Tabletext"/>
              <w:jc w:val="right"/>
            </w:pPr>
            <w:r w:rsidRPr="008371C1">
              <w:t>13,246</w:t>
            </w:r>
          </w:p>
        </w:tc>
      </w:tr>
      <w:tr w:rsidR="00860E4A" w:rsidRPr="008371C1" w:rsidTr="000E5852">
        <w:tc>
          <w:tcPr>
            <w:tcW w:w="714" w:type="dxa"/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5</w:t>
            </w:r>
          </w:p>
        </w:tc>
        <w:tc>
          <w:tcPr>
            <w:tcW w:w="2542" w:type="dxa"/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0E4A" w:rsidRPr="008371C1" w:rsidRDefault="00860E4A" w:rsidP="002362FE">
            <w:pPr>
              <w:pStyle w:val="Tabletext"/>
              <w:jc w:val="right"/>
            </w:pPr>
            <w:r w:rsidRPr="008371C1">
              <w:t>12</w:t>
            </w:r>
            <w:r w:rsidR="008371C1" w:rsidRPr="008371C1">
              <w:t> </w:t>
            </w:r>
            <w:r w:rsidRPr="008371C1">
              <w:t>949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60E4A" w:rsidRPr="008371C1" w:rsidRDefault="00860E4A" w:rsidP="002362FE">
            <w:pPr>
              <w:pStyle w:val="Tabletext"/>
              <w:jc w:val="right"/>
            </w:pPr>
            <w:r w:rsidRPr="008371C1">
              <w:t>13,246</w:t>
            </w:r>
          </w:p>
        </w:tc>
      </w:tr>
      <w:tr w:rsidR="00860E4A" w:rsidRPr="008371C1" w:rsidTr="000E5852">
        <w:tc>
          <w:tcPr>
            <w:tcW w:w="714" w:type="dxa"/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6</w:t>
            </w:r>
          </w:p>
        </w:tc>
        <w:tc>
          <w:tcPr>
            <w:tcW w:w="2542" w:type="dxa"/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0E4A" w:rsidRPr="008371C1" w:rsidRDefault="00860E4A" w:rsidP="002362FE">
            <w:pPr>
              <w:pStyle w:val="Tabletext"/>
              <w:jc w:val="right"/>
            </w:pPr>
            <w:r w:rsidRPr="008371C1">
              <w:t>12</w:t>
            </w:r>
            <w:r w:rsidR="008371C1" w:rsidRPr="008371C1">
              <w:t> </w:t>
            </w:r>
            <w:r w:rsidRPr="008371C1">
              <w:t>949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60E4A" w:rsidRPr="008371C1" w:rsidRDefault="00860E4A" w:rsidP="002362FE">
            <w:pPr>
              <w:pStyle w:val="Tabletext"/>
              <w:jc w:val="right"/>
            </w:pPr>
            <w:r w:rsidRPr="008371C1">
              <w:t>13,246</w:t>
            </w:r>
          </w:p>
        </w:tc>
      </w:tr>
      <w:tr w:rsidR="00860E4A" w:rsidRPr="008371C1" w:rsidTr="000E585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7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0E4A" w:rsidRPr="008371C1" w:rsidRDefault="00860E4A" w:rsidP="002362FE">
            <w:pPr>
              <w:pStyle w:val="Tabletext"/>
              <w:jc w:val="right"/>
            </w:pPr>
            <w:r w:rsidRPr="008371C1">
              <w:t>25</w:t>
            </w:r>
            <w:r w:rsidR="008371C1" w:rsidRPr="008371C1">
              <w:t> </w:t>
            </w:r>
            <w:r w:rsidRPr="008371C1">
              <w:t>900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0E4A" w:rsidRPr="008371C1" w:rsidRDefault="00860E4A" w:rsidP="00860E4A">
            <w:pPr>
              <w:pStyle w:val="Tabletext"/>
              <w:jc w:val="right"/>
            </w:pPr>
            <w:r w:rsidRPr="008371C1">
              <w:t>26,495</w:t>
            </w:r>
          </w:p>
        </w:tc>
      </w:tr>
    </w:tbl>
    <w:p w:rsidR="00860E4A" w:rsidRPr="008371C1" w:rsidRDefault="00860E4A" w:rsidP="00860E4A">
      <w:pPr>
        <w:pStyle w:val="Tabletext"/>
      </w:pPr>
    </w:p>
    <w:p w:rsidR="00860E4A" w:rsidRPr="008371C1" w:rsidRDefault="00314A98" w:rsidP="00860E4A">
      <w:pPr>
        <w:pStyle w:val="ItemHead"/>
        <w:tabs>
          <w:tab w:val="left" w:pos="6663"/>
        </w:tabs>
      </w:pPr>
      <w:r w:rsidRPr="008371C1">
        <w:t>3</w:t>
      </w:r>
      <w:r w:rsidR="00860E4A" w:rsidRPr="008371C1">
        <w:t xml:space="preserve">  Amendments of listed provisions—Part</w:t>
      </w:r>
      <w:r w:rsidR="008371C1" w:rsidRPr="008371C1">
        <w:t> </w:t>
      </w:r>
      <w:r w:rsidR="00860E4A" w:rsidRPr="008371C1">
        <w:t>2 of Schedule</w:t>
      </w:r>
      <w:r w:rsidR="008371C1" w:rsidRPr="008371C1">
        <w:t> </w:t>
      </w:r>
      <w:r w:rsidR="00860E4A" w:rsidRPr="008371C1">
        <w:t>3B</w:t>
      </w:r>
    </w:p>
    <w:p w:rsidR="00860E4A" w:rsidRPr="008371C1" w:rsidRDefault="00860E4A" w:rsidP="00860E4A">
      <w:pPr>
        <w:pStyle w:val="Item"/>
      </w:pPr>
      <w:r w:rsidRPr="008371C1">
        <w:t>The items of the table in clause</w:t>
      </w:r>
      <w:r w:rsidR="008371C1" w:rsidRPr="008371C1">
        <w:t> </w:t>
      </w:r>
      <w:r w:rsidR="00EF5B70" w:rsidRPr="008371C1">
        <w:t xml:space="preserve">2 of </w:t>
      </w:r>
      <w:r w:rsidRPr="008371C1">
        <w:t>Schedule</w:t>
      </w:r>
      <w:r w:rsidR="008371C1" w:rsidRPr="008371C1">
        <w:t> </w:t>
      </w:r>
      <w:r w:rsidRPr="008371C1">
        <w:t>3B listed in the following table are amended as set out in the table.</w:t>
      </w:r>
    </w:p>
    <w:p w:rsidR="00860E4A" w:rsidRPr="008371C1" w:rsidRDefault="00860E4A" w:rsidP="00860E4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860E4A" w:rsidRPr="008371C1" w:rsidTr="002362FE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60E4A" w:rsidRPr="008371C1" w:rsidRDefault="00860E4A" w:rsidP="002362FE">
            <w:pPr>
              <w:pStyle w:val="TableHeading"/>
            </w:pPr>
            <w:r w:rsidRPr="008371C1">
              <w:t>Amendments relating to facility licence application fees—prescribed radiation facilities (other)</w:t>
            </w:r>
          </w:p>
        </w:tc>
      </w:tr>
      <w:tr w:rsidR="00860E4A" w:rsidRPr="008371C1" w:rsidTr="000E585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60E4A" w:rsidRPr="008371C1" w:rsidRDefault="00860E4A" w:rsidP="002362FE">
            <w:pPr>
              <w:pStyle w:val="TableHeading"/>
            </w:pPr>
            <w:r w:rsidRPr="008371C1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60E4A" w:rsidRPr="008371C1" w:rsidRDefault="00860E4A" w:rsidP="002362FE">
            <w:pPr>
              <w:pStyle w:val="TableHeading"/>
            </w:pPr>
            <w:r w:rsidRPr="008371C1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60E4A" w:rsidRPr="008371C1" w:rsidRDefault="00860E4A" w:rsidP="000E5852">
            <w:pPr>
              <w:pStyle w:val="TableHeading"/>
              <w:jc w:val="right"/>
            </w:pPr>
            <w:r w:rsidRPr="008371C1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60E4A" w:rsidRPr="008371C1" w:rsidRDefault="00860E4A" w:rsidP="000E5852">
            <w:pPr>
              <w:pStyle w:val="TableHeading"/>
              <w:jc w:val="right"/>
            </w:pPr>
            <w:r w:rsidRPr="008371C1">
              <w:t>Substitute</w:t>
            </w:r>
          </w:p>
        </w:tc>
      </w:tr>
      <w:tr w:rsidR="00860E4A" w:rsidRPr="008371C1" w:rsidTr="000E585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0E4A" w:rsidRPr="008371C1" w:rsidRDefault="00860E4A" w:rsidP="002362FE">
            <w:pPr>
              <w:pStyle w:val="Tabletext"/>
              <w:jc w:val="right"/>
            </w:pPr>
            <w:r w:rsidRPr="008371C1">
              <w:t>43</w:t>
            </w:r>
            <w:r w:rsidR="008371C1" w:rsidRPr="008371C1">
              <w:t> </w:t>
            </w:r>
            <w:r w:rsidRPr="008371C1">
              <w:t>166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0E4A" w:rsidRPr="008371C1" w:rsidRDefault="002362FE" w:rsidP="002362FE">
            <w:pPr>
              <w:pStyle w:val="Tabletext"/>
              <w:jc w:val="right"/>
            </w:pPr>
            <w:r w:rsidRPr="008371C1">
              <w:t>44,158</w:t>
            </w:r>
          </w:p>
        </w:tc>
      </w:tr>
      <w:tr w:rsidR="00860E4A" w:rsidRPr="008371C1" w:rsidTr="000E5852">
        <w:tc>
          <w:tcPr>
            <w:tcW w:w="714" w:type="dxa"/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2</w:t>
            </w:r>
          </w:p>
        </w:tc>
        <w:tc>
          <w:tcPr>
            <w:tcW w:w="2542" w:type="dxa"/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0E4A" w:rsidRPr="008371C1" w:rsidRDefault="00860E4A" w:rsidP="002362FE">
            <w:pPr>
              <w:pStyle w:val="Tabletext"/>
              <w:jc w:val="right"/>
            </w:pPr>
            <w:r w:rsidRPr="008371C1">
              <w:t>28</w:t>
            </w:r>
            <w:r w:rsidR="008371C1" w:rsidRPr="008371C1">
              <w:t> </w:t>
            </w:r>
            <w:r w:rsidRPr="008371C1">
              <w:t>777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60E4A" w:rsidRPr="008371C1" w:rsidRDefault="002362FE" w:rsidP="002362FE">
            <w:pPr>
              <w:pStyle w:val="Tabletext"/>
              <w:jc w:val="right"/>
            </w:pPr>
            <w:r w:rsidRPr="008371C1">
              <w:t>29,438</w:t>
            </w:r>
          </w:p>
        </w:tc>
      </w:tr>
      <w:tr w:rsidR="00860E4A" w:rsidRPr="008371C1" w:rsidTr="000E5852">
        <w:tc>
          <w:tcPr>
            <w:tcW w:w="714" w:type="dxa"/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3</w:t>
            </w:r>
          </w:p>
        </w:tc>
        <w:tc>
          <w:tcPr>
            <w:tcW w:w="2542" w:type="dxa"/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0E4A" w:rsidRPr="008371C1" w:rsidRDefault="00860E4A" w:rsidP="002362FE">
            <w:pPr>
              <w:pStyle w:val="Tabletext"/>
              <w:jc w:val="right"/>
            </w:pPr>
            <w:r w:rsidRPr="008371C1">
              <w:t>43</w:t>
            </w:r>
            <w:r w:rsidR="008371C1" w:rsidRPr="008371C1">
              <w:t> </w:t>
            </w:r>
            <w:r w:rsidRPr="008371C1">
              <w:t>166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60E4A" w:rsidRPr="008371C1" w:rsidRDefault="002362FE" w:rsidP="002362FE">
            <w:pPr>
              <w:pStyle w:val="Tabletext"/>
              <w:jc w:val="right"/>
            </w:pPr>
            <w:r w:rsidRPr="008371C1">
              <w:t>44,158</w:t>
            </w:r>
          </w:p>
        </w:tc>
      </w:tr>
      <w:tr w:rsidR="00860E4A" w:rsidRPr="008371C1" w:rsidTr="000E585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4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60E4A" w:rsidRPr="008371C1" w:rsidRDefault="00860E4A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0E4A" w:rsidRPr="008371C1" w:rsidRDefault="00860E4A" w:rsidP="002362FE">
            <w:pPr>
              <w:pStyle w:val="Tabletext"/>
              <w:jc w:val="right"/>
            </w:pPr>
            <w:r w:rsidRPr="008371C1">
              <w:t>28</w:t>
            </w:r>
            <w:r w:rsidR="008371C1" w:rsidRPr="008371C1">
              <w:t> </w:t>
            </w:r>
            <w:r w:rsidRPr="008371C1">
              <w:t>777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0E4A" w:rsidRPr="008371C1" w:rsidRDefault="002362FE" w:rsidP="002362FE">
            <w:pPr>
              <w:pStyle w:val="Tabletext"/>
              <w:jc w:val="right"/>
            </w:pPr>
            <w:r w:rsidRPr="008371C1">
              <w:t>29,438</w:t>
            </w:r>
          </w:p>
        </w:tc>
      </w:tr>
    </w:tbl>
    <w:p w:rsidR="00860E4A" w:rsidRPr="008371C1" w:rsidRDefault="00860E4A" w:rsidP="00860E4A">
      <w:pPr>
        <w:pStyle w:val="Tabletext"/>
      </w:pPr>
    </w:p>
    <w:p w:rsidR="002362FE" w:rsidRPr="008371C1" w:rsidRDefault="00314A98" w:rsidP="002362FE">
      <w:pPr>
        <w:pStyle w:val="ItemHead"/>
        <w:tabs>
          <w:tab w:val="left" w:pos="6663"/>
        </w:tabs>
      </w:pPr>
      <w:r w:rsidRPr="008371C1">
        <w:t>4</w:t>
      </w:r>
      <w:r w:rsidR="002362FE" w:rsidRPr="008371C1">
        <w:t xml:space="preserve">  Amendments of listed provisions—Schedule</w:t>
      </w:r>
      <w:r w:rsidR="008371C1" w:rsidRPr="008371C1">
        <w:t> </w:t>
      </w:r>
      <w:r w:rsidR="002362FE" w:rsidRPr="008371C1">
        <w:t>3BA</w:t>
      </w:r>
    </w:p>
    <w:p w:rsidR="002362FE" w:rsidRPr="008371C1" w:rsidRDefault="002362FE" w:rsidP="002362FE">
      <w:pPr>
        <w:pStyle w:val="Item"/>
      </w:pPr>
      <w:r w:rsidRPr="008371C1">
        <w:t>The items of the table in clause</w:t>
      </w:r>
      <w:r w:rsidR="008371C1" w:rsidRPr="008371C1">
        <w:t> </w:t>
      </w:r>
      <w:r w:rsidRPr="008371C1">
        <w:t>1 of Schedule</w:t>
      </w:r>
      <w:r w:rsidR="008371C1" w:rsidRPr="008371C1">
        <w:t> </w:t>
      </w:r>
      <w:r w:rsidRPr="008371C1">
        <w:t>3B</w:t>
      </w:r>
      <w:r w:rsidR="00EF5B70" w:rsidRPr="008371C1">
        <w:t>A</w:t>
      </w:r>
      <w:r w:rsidRPr="008371C1">
        <w:t xml:space="preserve"> listed in the following table are amended as set out in the table.</w:t>
      </w:r>
    </w:p>
    <w:p w:rsidR="002362FE" w:rsidRPr="008371C1" w:rsidRDefault="002362FE" w:rsidP="002362F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2362FE" w:rsidRPr="008371C1" w:rsidTr="002362FE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362FE" w:rsidRPr="008371C1" w:rsidRDefault="002362FE" w:rsidP="00C82AA8">
            <w:pPr>
              <w:pStyle w:val="TableHeading"/>
            </w:pPr>
            <w:r w:rsidRPr="008371C1">
              <w:t xml:space="preserve">Amendments relating to facility licence application fees—prescribed </w:t>
            </w:r>
            <w:r w:rsidR="00C82AA8" w:rsidRPr="008371C1">
              <w:t>legacy sites</w:t>
            </w:r>
          </w:p>
        </w:tc>
      </w:tr>
      <w:tr w:rsidR="002362FE" w:rsidRPr="008371C1" w:rsidTr="000E585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362FE" w:rsidRPr="008371C1" w:rsidRDefault="002362FE" w:rsidP="002362FE">
            <w:pPr>
              <w:pStyle w:val="TableHeading"/>
            </w:pPr>
            <w:r w:rsidRPr="008371C1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362FE" w:rsidRPr="008371C1" w:rsidRDefault="002362FE" w:rsidP="002362FE">
            <w:pPr>
              <w:pStyle w:val="TableHeading"/>
            </w:pPr>
            <w:r w:rsidRPr="008371C1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362FE" w:rsidRPr="008371C1" w:rsidRDefault="002362FE" w:rsidP="000E5852">
            <w:pPr>
              <w:pStyle w:val="TableHeading"/>
              <w:jc w:val="right"/>
            </w:pPr>
            <w:r w:rsidRPr="008371C1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362FE" w:rsidRPr="008371C1" w:rsidRDefault="002362FE" w:rsidP="000E5852">
            <w:pPr>
              <w:pStyle w:val="TableHeading"/>
              <w:jc w:val="right"/>
            </w:pPr>
            <w:r w:rsidRPr="008371C1">
              <w:t>Substitute</w:t>
            </w:r>
          </w:p>
        </w:tc>
      </w:tr>
      <w:tr w:rsidR="002362FE" w:rsidRPr="008371C1" w:rsidTr="000E585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2362FE" w:rsidRPr="008371C1" w:rsidRDefault="002362FE" w:rsidP="002362FE">
            <w:pPr>
              <w:pStyle w:val="Tabletext"/>
            </w:pPr>
            <w:r w:rsidRPr="008371C1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2362FE" w:rsidRPr="008371C1" w:rsidRDefault="002362FE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62FE" w:rsidRPr="008371C1" w:rsidRDefault="002362FE" w:rsidP="002362FE">
            <w:pPr>
              <w:pStyle w:val="Tabletext"/>
              <w:jc w:val="right"/>
            </w:pPr>
            <w:r w:rsidRPr="008371C1">
              <w:t>14</w:t>
            </w:r>
            <w:r w:rsidR="008371C1" w:rsidRPr="008371C1">
              <w:t> </w:t>
            </w:r>
            <w:r w:rsidRPr="008371C1">
              <w:t>010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62FE" w:rsidRPr="008371C1" w:rsidRDefault="002362FE" w:rsidP="002362FE">
            <w:pPr>
              <w:pStyle w:val="Tabletext"/>
              <w:jc w:val="right"/>
            </w:pPr>
            <w:r w:rsidRPr="008371C1">
              <w:t>14,332</w:t>
            </w:r>
          </w:p>
        </w:tc>
      </w:tr>
      <w:tr w:rsidR="002362FE" w:rsidRPr="008371C1" w:rsidTr="000E5852">
        <w:tc>
          <w:tcPr>
            <w:tcW w:w="714" w:type="dxa"/>
            <w:shd w:val="clear" w:color="auto" w:fill="auto"/>
          </w:tcPr>
          <w:p w:rsidR="002362FE" w:rsidRPr="008371C1" w:rsidRDefault="002362FE" w:rsidP="002362FE">
            <w:pPr>
              <w:pStyle w:val="Tabletext"/>
            </w:pPr>
            <w:r w:rsidRPr="008371C1">
              <w:t>2</w:t>
            </w:r>
          </w:p>
        </w:tc>
        <w:tc>
          <w:tcPr>
            <w:tcW w:w="2542" w:type="dxa"/>
            <w:shd w:val="clear" w:color="auto" w:fill="auto"/>
          </w:tcPr>
          <w:p w:rsidR="002362FE" w:rsidRPr="008371C1" w:rsidRDefault="002362FE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62FE" w:rsidRPr="008371C1" w:rsidRDefault="002362FE" w:rsidP="002362FE">
            <w:pPr>
              <w:pStyle w:val="Tabletext"/>
              <w:jc w:val="right"/>
            </w:pPr>
            <w:r w:rsidRPr="008371C1">
              <w:t>210</w:t>
            </w:r>
            <w:r w:rsidR="008371C1" w:rsidRPr="008371C1">
              <w:t> </w:t>
            </w:r>
            <w:r w:rsidRPr="008371C1">
              <w:t>163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2362FE" w:rsidRPr="008371C1" w:rsidRDefault="002362FE" w:rsidP="002362FE">
            <w:pPr>
              <w:pStyle w:val="Tabletext"/>
              <w:jc w:val="right"/>
            </w:pPr>
            <w:r w:rsidRPr="008371C1">
              <w:t>214,996</w:t>
            </w:r>
          </w:p>
        </w:tc>
      </w:tr>
      <w:tr w:rsidR="002362FE" w:rsidRPr="008371C1" w:rsidTr="000E585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362FE" w:rsidRPr="008371C1" w:rsidRDefault="002362FE" w:rsidP="002362FE">
            <w:pPr>
              <w:pStyle w:val="Tabletext"/>
            </w:pPr>
            <w:r w:rsidRPr="008371C1">
              <w:t>3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362FE" w:rsidRPr="008371C1" w:rsidRDefault="002362FE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62FE" w:rsidRPr="008371C1" w:rsidRDefault="002362FE" w:rsidP="002362FE">
            <w:pPr>
              <w:pStyle w:val="Tabletext"/>
              <w:jc w:val="right"/>
            </w:pPr>
            <w:r w:rsidRPr="008371C1">
              <w:t>28</w:t>
            </w:r>
            <w:r w:rsidR="008371C1" w:rsidRPr="008371C1">
              <w:t> </w:t>
            </w:r>
            <w:r w:rsidRPr="008371C1">
              <w:t>021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62FE" w:rsidRPr="008371C1" w:rsidRDefault="00830AAB" w:rsidP="002362FE">
            <w:pPr>
              <w:pStyle w:val="Tabletext"/>
              <w:jc w:val="right"/>
            </w:pPr>
            <w:r w:rsidRPr="008371C1">
              <w:t>28,665</w:t>
            </w:r>
          </w:p>
        </w:tc>
      </w:tr>
    </w:tbl>
    <w:p w:rsidR="002362FE" w:rsidRPr="008371C1" w:rsidRDefault="002362FE" w:rsidP="002362FE">
      <w:pPr>
        <w:pStyle w:val="Tabletext"/>
      </w:pPr>
    </w:p>
    <w:p w:rsidR="00860E4A" w:rsidRPr="008371C1" w:rsidRDefault="00314A98" w:rsidP="00860E4A">
      <w:pPr>
        <w:pStyle w:val="ItemHead"/>
        <w:tabs>
          <w:tab w:val="left" w:pos="6663"/>
        </w:tabs>
      </w:pPr>
      <w:r w:rsidRPr="008371C1">
        <w:t>5</w:t>
      </w:r>
      <w:r w:rsidR="00860E4A" w:rsidRPr="008371C1">
        <w:t xml:space="preserve">  Amendments of listed provisions—Part</w:t>
      </w:r>
      <w:r w:rsidR="008371C1" w:rsidRPr="008371C1">
        <w:t> </w:t>
      </w:r>
      <w:r w:rsidR="00860E4A" w:rsidRPr="008371C1">
        <w:t>2 of Schedule</w:t>
      </w:r>
      <w:r w:rsidR="008371C1" w:rsidRPr="008371C1">
        <w:t> </w:t>
      </w:r>
      <w:r w:rsidR="00860E4A" w:rsidRPr="008371C1">
        <w:t>3C</w:t>
      </w:r>
    </w:p>
    <w:p w:rsidR="00860E4A" w:rsidRPr="008371C1" w:rsidRDefault="00860E4A" w:rsidP="00860E4A">
      <w:pPr>
        <w:pStyle w:val="Item"/>
      </w:pPr>
      <w:r w:rsidRPr="008371C1">
        <w:t>The items of the table in clause</w:t>
      </w:r>
      <w:r w:rsidR="008371C1" w:rsidRPr="008371C1">
        <w:t> </w:t>
      </w:r>
      <w:r w:rsidRPr="008371C1">
        <w:t>2 of Schedule</w:t>
      </w:r>
      <w:r w:rsidR="008371C1" w:rsidRPr="008371C1">
        <w:t> </w:t>
      </w:r>
      <w:r w:rsidRPr="008371C1">
        <w:t>3C listed in the following table are amended as set out in the table.</w:t>
      </w:r>
    </w:p>
    <w:p w:rsidR="00860E4A" w:rsidRPr="008371C1" w:rsidRDefault="00860E4A" w:rsidP="00860E4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860E4A" w:rsidRPr="008371C1" w:rsidTr="002362FE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60E4A" w:rsidRPr="008371C1" w:rsidRDefault="00860E4A" w:rsidP="002362FE">
            <w:pPr>
              <w:pStyle w:val="TableHeading"/>
            </w:pPr>
            <w:r w:rsidRPr="008371C1">
              <w:t>Amendments relating to source licence application fees</w:t>
            </w:r>
          </w:p>
        </w:tc>
      </w:tr>
      <w:tr w:rsidR="00860E4A" w:rsidRPr="008371C1" w:rsidTr="000E585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60E4A" w:rsidRPr="008371C1" w:rsidRDefault="00860E4A" w:rsidP="002362FE">
            <w:pPr>
              <w:pStyle w:val="TableHeading"/>
            </w:pPr>
            <w:r w:rsidRPr="008371C1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60E4A" w:rsidRPr="008371C1" w:rsidRDefault="00860E4A" w:rsidP="002362FE">
            <w:pPr>
              <w:pStyle w:val="TableHeading"/>
            </w:pPr>
            <w:r w:rsidRPr="008371C1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60E4A" w:rsidRPr="008371C1" w:rsidRDefault="00860E4A" w:rsidP="000E5852">
            <w:pPr>
              <w:pStyle w:val="TableHeading"/>
              <w:jc w:val="right"/>
            </w:pPr>
            <w:r w:rsidRPr="008371C1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60E4A" w:rsidRPr="008371C1" w:rsidRDefault="00860E4A" w:rsidP="000E5852">
            <w:pPr>
              <w:pStyle w:val="TableHeading"/>
              <w:jc w:val="right"/>
            </w:pPr>
            <w:r w:rsidRPr="008371C1">
              <w:t>Substitute</w:t>
            </w:r>
          </w:p>
        </w:tc>
      </w:tr>
      <w:tr w:rsidR="00C34ED1" w:rsidRPr="008371C1" w:rsidTr="000E585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C34ED1" w:rsidRPr="008371C1" w:rsidRDefault="00C34ED1" w:rsidP="002362FE">
            <w:pPr>
              <w:pStyle w:val="Tabletext"/>
            </w:pPr>
            <w:r w:rsidRPr="008371C1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C34ED1" w:rsidRPr="008371C1" w:rsidRDefault="00C34ED1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4ED1" w:rsidRPr="008371C1" w:rsidRDefault="00C34ED1" w:rsidP="002B3974">
            <w:pPr>
              <w:pStyle w:val="Tabletext"/>
              <w:jc w:val="right"/>
            </w:pPr>
            <w:r w:rsidRPr="008371C1">
              <w:t>718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4ED1" w:rsidRPr="008371C1" w:rsidRDefault="00C34ED1" w:rsidP="00C34ED1">
            <w:pPr>
              <w:pStyle w:val="Tabletext"/>
              <w:jc w:val="right"/>
            </w:pPr>
            <w:r w:rsidRPr="008371C1">
              <w:t>734</w:t>
            </w:r>
          </w:p>
        </w:tc>
      </w:tr>
      <w:tr w:rsidR="00C34ED1" w:rsidRPr="008371C1" w:rsidTr="000E5852">
        <w:tc>
          <w:tcPr>
            <w:tcW w:w="714" w:type="dxa"/>
            <w:shd w:val="clear" w:color="auto" w:fill="auto"/>
          </w:tcPr>
          <w:p w:rsidR="00C34ED1" w:rsidRPr="008371C1" w:rsidRDefault="00C34ED1" w:rsidP="002362FE">
            <w:pPr>
              <w:pStyle w:val="Tabletext"/>
            </w:pPr>
            <w:r w:rsidRPr="008371C1">
              <w:t>2</w:t>
            </w:r>
          </w:p>
        </w:tc>
        <w:tc>
          <w:tcPr>
            <w:tcW w:w="2542" w:type="dxa"/>
            <w:shd w:val="clear" w:color="auto" w:fill="auto"/>
          </w:tcPr>
          <w:p w:rsidR="00C34ED1" w:rsidRPr="008371C1" w:rsidRDefault="00C34ED1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ED1" w:rsidRPr="008371C1" w:rsidRDefault="00C34ED1" w:rsidP="002B3974">
            <w:pPr>
              <w:pStyle w:val="Tabletext"/>
              <w:jc w:val="right"/>
            </w:pPr>
            <w:r w:rsidRPr="008371C1">
              <w:t>2</w:t>
            </w:r>
            <w:r w:rsidR="008371C1" w:rsidRPr="008371C1">
              <w:t> </w:t>
            </w:r>
            <w:r w:rsidRPr="008371C1">
              <w:t>876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34ED1" w:rsidRPr="008371C1" w:rsidRDefault="00C34ED1" w:rsidP="00C34ED1">
            <w:pPr>
              <w:pStyle w:val="Tabletext"/>
              <w:jc w:val="right"/>
            </w:pPr>
            <w:r w:rsidRPr="008371C1">
              <w:t>2,942</w:t>
            </w:r>
          </w:p>
        </w:tc>
      </w:tr>
      <w:tr w:rsidR="00C34ED1" w:rsidRPr="008371C1" w:rsidTr="000E5852">
        <w:tc>
          <w:tcPr>
            <w:tcW w:w="714" w:type="dxa"/>
            <w:shd w:val="clear" w:color="auto" w:fill="auto"/>
          </w:tcPr>
          <w:p w:rsidR="00C34ED1" w:rsidRPr="008371C1" w:rsidRDefault="00C34ED1" w:rsidP="002362FE">
            <w:pPr>
              <w:pStyle w:val="Tabletext"/>
            </w:pPr>
            <w:r w:rsidRPr="008371C1">
              <w:t>3</w:t>
            </w:r>
          </w:p>
        </w:tc>
        <w:tc>
          <w:tcPr>
            <w:tcW w:w="2542" w:type="dxa"/>
            <w:shd w:val="clear" w:color="auto" w:fill="auto"/>
          </w:tcPr>
          <w:p w:rsidR="00C34ED1" w:rsidRPr="008371C1" w:rsidRDefault="00C34ED1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ED1" w:rsidRPr="008371C1" w:rsidRDefault="00C34ED1" w:rsidP="002B3974">
            <w:pPr>
              <w:pStyle w:val="Tabletext"/>
              <w:jc w:val="right"/>
            </w:pPr>
            <w:r w:rsidRPr="008371C1">
              <w:t>8</w:t>
            </w:r>
            <w:r w:rsidR="008371C1" w:rsidRPr="008371C1">
              <w:t> </w:t>
            </w:r>
            <w:r w:rsidRPr="008371C1">
              <w:t>631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34ED1" w:rsidRPr="008371C1" w:rsidRDefault="00C34ED1" w:rsidP="00C34ED1">
            <w:pPr>
              <w:pStyle w:val="Tabletext"/>
              <w:jc w:val="right"/>
            </w:pPr>
            <w:r w:rsidRPr="008371C1">
              <w:t>8,829</w:t>
            </w:r>
          </w:p>
        </w:tc>
      </w:tr>
      <w:tr w:rsidR="00C34ED1" w:rsidRPr="008371C1" w:rsidTr="000E5852">
        <w:tc>
          <w:tcPr>
            <w:tcW w:w="714" w:type="dxa"/>
            <w:shd w:val="clear" w:color="auto" w:fill="auto"/>
          </w:tcPr>
          <w:p w:rsidR="00C34ED1" w:rsidRPr="008371C1" w:rsidRDefault="00C34ED1" w:rsidP="002362FE">
            <w:pPr>
              <w:pStyle w:val="Tabletext"/>
            </w:pPr>
            <w:r w:rsidRPr="008371C1">
              <w:t>4</w:t>
            </w:r>
          </w:p>
        </w:tc>
        <w:tc>
          <w:tcPr>
            <w:tcW w:w="2542" w:type="dxa"/>
            <w:shd w:val="clear" w:color="auto" w:fill="auto"/>
          </w:tcPr>
          <w:p w:rsidR="00C34ED1" w:rsidRPr="008371C1" w:rsidRDefault="00C34ED1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ED1" w:rsidRPr="008371C1" w:rsidRDefault="00C34ED1" w:rsidP="002B3974">
            <w:pPr>
              <w:pStyle w:val="Tabletext"/>
              <w:jc w:val="right"/>
            </w:pPr>
            <w:r w:rsidRPr="008371C1">
              <w:t>1</w:t>
            </w:r>
            <w:r w:rsidR="008371C1" w:rsidRPr="008371C1">
              <w:t> </w:t>
            </w:r>
            <w:r w:rsidRPr="008371C1">
              <w:t>868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34ED1" w:rsidRPr="008371C1" w:rsidRDefault="00C34ED1" w:rsidP="00C34ED1">
            <w:pPr>
              <w:pStyle w:val="Tabletext"/>
              <w:jc w:val="right"/>
            </w:pPr>
            <w:r w:rsidRPr="008371C1">
              <w:t>1,910</w:t>
            </w:r>
          </w:p>
        </w:tc>
      </w:tr>
      <w:tr w:rsidR="00C34ED1" w:rsidRPr="008371C1" w:rsidTr="000E5852">
        <w:tc>
          <w:tcPr>
            <w:tcW w:w="714" w:type="dxa"/>
            <w:shd w:val="clear" w:color="auto" w:fill="auto"/>
          </w:tcPr>
          <w:p w:rsidR="00C34ED1" w:rsidRPr="008371C1" w:rsidRDefault="00C34ED1" w:rsidP="002362FE">
            <w:pPr>
              <w:pStyle w:val="Tabletext"/>
            </w:pPr>
            <w:r w:rsidRPr="008371C1">
              <w:t>5</w:t>
            </w:r>
          </w:p>
        </w:tc>
        <w:tc>
          <w:tcPr>
            <w:tcW w:w="2542" w:type="dxa"/>
            <w:shd w:val="clear" w:color="auto" w:fill="auto"/>
          </w:tcPr>
          <w:p w:rsidR="00C34ED1" w:rsidRPr="008371C1" w:rsidRDefault="00C34ED1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ED1" w:rsidRPr="008371C1" w:rsidRDefault="00C34ED1" w:rsidP="002B3974">
            <w:pPr>
              <w:pStyle w:val="Tabletext"/>
              <w:jc w:val="right"/>
            </w:pPr>
            <w:r w:rsidRPr="008371C1">
              <w:t>5</w:t>
            </w:r>
            <w:r w:rsidR="008371C1" w:rsidRPr="008371C1">
              <w:t> </w:t>
            </w:r>
            <w:r w:rsidRPr="008371C1">
              <w:t>755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34ED1" w:rsidRPr="008371C1" w:rsidRDefault="00C34ED1" w:rsidP="00C34ED1">
            <w:pPr>
              <w:pStyle w:val="Tabletext"/>
              <w:jc w:val="right"/>
            </w:pPr>
            <w:r w:rsidRPr="008371C1">
              <w:t>5,887</w:t>
            </w:r>
          </w:p>
        </w:tc>
      </w:tr>
      <w:tr w:rsidR="00C34ED1" w:rsidRPr="008371C1" w:rsidTr="000E5852">
        <w:tc>
          <w:tcPr>
            <w:tcW w:w="714" w:type="dxa"/>
            <w:shd w:val="clear" w:color="auto" w:fill="auto"/>
          </w:tcPr>
          <w:p w:rsidR="00C34ED1" w:rsidRPr="008371C1" w:rsidRDefault="00C34ED1" w:rsidP="002362FE">
            <w:pPr>
              <w:pStyle w:val="Tabletext"/>
            </w:pPr>
            <w:r w:rsidRPr="008371C1">
              <w:t>6</w:t>
            </w:r>
          </w:p>
        </w:tc>
        <w:tc>
          <w:tcPr>
            <w:tcW w:w="2542" w:type="dxa"/>
            <w:shd w:val="clear" w:color="auto" w:fill="auto"/>
          </w:tcPr>
          <w:p w:rsidR="00C34ED1" w:rsidRPr="008371C1" w:rsidRDefault="00C34ED1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ED1" w:rsidRPr="008371C1" w:rsidRDefault="00C34ED1" w:rsidP="002B3974">
            <w:pPr>
              <w:pStyle w:val="Tabletext"/>
              <w:jc w:val="right"/>
            </w:pPr>
            <w:r w:rsidRPr="008371C1">
              <w:t>17</w:t>
            </w:r>
            <w:r w:rsidR="008371C1" w:rsidRPr="008371C1">
              <w:t> </w:t>
            </w:r>
            <w:r w:rsidRPr="008371C1">
              <w:t>264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34ED1" w:rsidRPr="008371C1" w:rsidRDefault="00C34ED1" w:rsidP="00C34ED1">
            <w:pPr>
              <w:pStyle w:val="Tabletext"/>
              <w:jc w:val="right"/>
            </w:pPr>
            <w:r w:rsidRPr="008371C1">
              <w:t>17,661</w:t>
            </w:r>
          </w:p>
        </w:tc>
      </w:tr>
      <w:tr w:rsidR="00C34ED1" w:rsidRPr="008371C1" w:rsidTr="000E5852">
        <w:tc>
          <w:tcPr>
            <w:tcW w:w="714" w:type="dxa"/>
            <w:shd w:val="clear" w:color="auto" w:fill="auto"/>
          </w:tcPr>
          <w:p w:rsidR="00C34ED1" w:rsidRPr="008371C1" w:rsidRDefault="00C34ED1" w:rsidP="002362FE">
            <w:pPr>
              <w:pStyle w:val="Tabletext"/>
            </w:pPr>
            <w:r w:rsidRPr="008371C1">
              <w:t>7</w:t>
            </w:r>
          </w:p>
        </w:tc>
        <w:tc>
          <w:tcPr>
            <w:tcW w:w="2542" w:type="dxa"/>
            <w:shd w:val="clear" w:color="auto" w:fill="auto"/>
          </w:tcPr>
          <w:p w:rsidR="00C34ED1" w:rsidRPr="008371C1" w:rsidRDefault="00C34ED1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ED1" w:rsidRPr="008371C1" w:rsidRDefault="00C34ED1" w:rsidP="002B3974">
            <w:pPr>
              <w:pStyle w:val="Tabletext"/>
              <w:jc w:val="right"/>
            </w:pPr>
            <w:r w:rsidRPr="008371C1">
              <w:t>3</w:t>
            </w:r>
            <w:r w:rsidR="008371C1" w:rsidRPr="008371C1">
              <w:t> </w:t>
            </w:r>
            <w:r w:rsidRPr="008371C1">
              <w:t>597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34ED1" w:rsidRPr="008371C1" w:rsidRDefault="00C34ED1" w:rsidP="00C34ED1">
            <w:pPr>
              <w:pStyle w:val="Tabletext"/>
              <w:jc w:val="right"/>
            </w:pPr>
            <w:r w:rsidRPr="008371C1">
              <w:t>3,679</w:t>
            </w:r>
          </w:p>
        </w:tc>
      </w:tr>
      <w:tr w:rsidR="00C34ED1" w:rsidRPr="008371C1" w:rsidTr="000E5852">
        <w:tc>
          <w:tcPr>
            <w:tcW w:w="714" w:type="dxa"/>
            <w:shd w:val="clear" w:color="auto" w:fill="auto"/>
          </w:tcPr>
          <w:p w:rsidR="00C34ED1" w:rsidRPr="008371C1" w:rsidRDefault="00C34ED1" w:rsidP="002362FE">
            <w:pPr>
              <w:pStyle w:val="Tabletext"/>
            </w:pPr>
            <w:r w:rsidRPr="008371C1">
              <w:t>8</w:t>
            </w:r>
          </w:p>
        </w:tc>
        <w:tc>
          <w:tcPr>
            <w:tcW w:w="2542" w:type="dxa"/>
            <w:shd w:val="clear" w:color="auto" w:fill="auto"/>
          </w:tcPr>
          <w:p w:rsidR="00C34ED1" w:rsidRPr="008371C1" w:rsidRDefault="00C34ED1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ED1" w:rsidRPr="008371C1" w:rsidRDefault="00C34ED1" w:rsidP="002B3974">
            <w:pPr>
              <w:pStyle w:val="Tabletext"/>
              <w:jc w:val="right"/>
            </w:pPr>
            <w:r w:rsidRPr="008371C1">
              <w:t>10</w:t>
            </w:r>
            <w:r w:rsidR="008371C1" w:rsidRPr="008371C1">
              <w:t> </w:t>
            </w:r>
            <w:r w:rsidRPr="008371C1">
              <w:t>817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34ED1" w:rsidRPr="008371C1" w:rsidRDefault="00C34ED1" w:rsidP="00C34ED1">
            <w:pPr>
              <w:pStyle w:val="Tabletext"/>
              <w:jc w:val="right"/>
            </w:pPr>
            <w:r w:rsidRPr="008371C1">
              <w:t>11,065</w:t>
            </w:r>
          </w:p>
        </w:tc>
      </w:tr>
      <w:tr w:rsidR="00C34ED1" w:rsidRPr="008371C1" w:rsidTr="000E585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34ED1" w:rsidRPr="008371C1" w:rsidRDefault="00C34ED1" w:rsidP="002362FE">
            <w:pPr>
              <w:pStyle w:val="Tabletext"/>
            </w:pPr>
            <w:r w:rsidRPr="008371C1">
              <w:t>9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34ED1" w:rsidRPr="008371C1" w:rsidRDefault="00C34ED1" w:rsidP="002362FE">
            <w:pPr>
              <w:pStyle w:val="Tabletext"/>
            </w:pPr>
            <w:r w:rsidRPr="008371C1">
              <w:t>Item</w:t>
            </w:r>
            <w:r w:rsidR="008371C1" w:rsidRPr="008371C1">
              <w:t> </w:t>
            </w:r>
            <w:r w:rsidRPr="008371C1"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34ED1" w:rsidRPr="008371C1" w:rsidRDefault="00C34ED1" w:rsidP="002B3974">
            <w:pPr>
              <w:pStyle w:val="Tabletext"/>
              <w:jc w:val="right"/>
            </w:pPr>
            <w:r w:rsidRPr="008371C1">
              <w:t>31</w:t>
            </w:r>
            <w:r w:rsidR="008371C1" w:rsidRPr="008371C1">
              <w:t> </w:t>
            </w:r>
            <w:r w:rsidRPr="008371C1">
              <w:t>654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34ED1" w:rsidRPr="008371C1" w:rsidRDefault="00C34ED1" w:rsidP="00C34ED1">
            <w:pPr>
              <w:pStyle w:val="Tabletext"/>
              <w:jc w:val="right"/>
            </w:pPr>
            <w:r w:rsidRPr="008371C1">
              <w:t>32,382</w:t>
            </w:r>
          </w:p>
        </w:tc>
      </w:tr>
    </w:tbl>
    <w:p w:rsidR="000E5852" w:rsidRPr="008371C1" w:rsidRDefault="000E5852" w:rsidP="000E5852">
      <w:pPr>
        <w:pStyle w:val="Tabletext"/>
      </w:pPr>
    </w:p>
    <w:p w:rsidR="0065288A" w:rsidRPr="008371C1" w:rsidRDefault="0065288A" w:rsidP="0065288A">
      <w:pPr>
        <w:pStyle w:val="ActHead7"/>
        <w:pageBreakBefore/>
      </w:pPr>
      <w:bookmarkStart w:id="13" w:name="_Toc482362684"/>
      <w:r w:rsidRPr="008371C1">
        <w:rPr>
          <w:rStyle w:val="CharAmPartNo"/>
        </w:rPr>
        <w:t>Part</w:t>
      </w:r>
      <w:r w:rsidR="008371C1" w:rsidRPr="008371C1">
        <w:rPr>
          <w:rStyle w:val="CharAmPartNo"/>
        </w:rPr>
        <w:t> </w:t>
      </w:r>
      <w:r w:rsidRPr="008371C1">
        <w:rPr>
          <w:rStyle w:val="CharAmPartNo"/>
        </w:rPr>
        <w:t>2</w:t>
      </w:r>
      <w:r w:rsidRPr="008371C1">
        <w:t>—</w:t>
      </w:r>
      <w:r w:rsidRPr="008371C1">
        <w:rPr>
          <w:rStyle w:val="CharAmPartText"/>
        </w:rPr>
        <w:t>Other amendments</w:t>
      </w:r>
      <w:bookmarkEnd w:id="13"/>
    </w:p>
    <w:p w:rsidR="0065288A" w:rsidRPr="008371C1" w:rsidRDefault="0065288A" w:rsidP="0065288A">
      <w:pPr>
        <w:pStyle w:val="ActHead9"/>
      </w:pPr>
      <w:bookmarkStart w:id="14" w:name="_Toc482362685"/>
      <w:r w:rsidRPr="008371C1">
        <w:t>Australian Radiation Protection and Nuclear Safety Regulations</w:t>
      </w:r>
      <w:r w:rsidR="008371C1" w:rsidRPr="008371C1">
        <w:t> </w:t>
      </w:r>
      <w:r w:rsidRPr="008371C1">
        <w:t>1999</w:t>
      </w:r>
      <w:bookmarkEnd w:id="14"/>
    </w:p>
    <w:p w:rsidR="007D595F" w:rsidRPr="008371C1" w:rsidRDefault="00314A98" w:rsidP="006C2C12">
      <w:pPr>
        <w:pStyle w:val="ItemHead"/>
        <w:tabs>
          <w:tab w:val="left" w:pos="6663"/>
        </w:tabs>
      </w:pPr>
      <w:r w:rsidRPr="008371C1">
        <w:t>6</w:t>
      </w:r>
      <w:r w:rsidR="00BB6E79" w:rsidRPr="008371C1">
        <w:t xml:space="preserve">  </w:t>
      </w:r>
      <w:r w:rsidR="007D595F" w:rsidRPr="008371C1">
        <w:t>Regulation</w:t>
      </w:r>
      <w:r w:rsidR="008371C1" w:rsidRPr="008371C1">
        <w:t> </w:t>
      </w:r>
      <w:r w:rsidR="00A6796A" w:rsidRPr="008371C1">
        <w:t>3</w:t>
      </w:r>
      <w:r w:rsidR="007D595F" w:rsidRPr="008371C1">
        <w:t xml:space="preserve"> (note at the end of the </w:t>
      </w:r>
      <w:r w:rsidR="00990AEB" w:rsidRPr="008371C1">
        <w:t>definition</w:t>
      </w:r>
      <w:r w:rsidR="007D595F" w:rsidRPr="008371C1">
        <w:t xml:space="preserve"> of </w:t>
      </w:r>
      <w:r w:rsidR="007D595F" w:rsidRPr="008371C1">
        <w:rPr>
          <w:i/>
        </w:rPr>
        <w:t>absorbed dose</w:t>
      </w:r>
      <w:r w:rsidR="007D595F" w:rsidRPr="008371C1">
        <w:t>)</w:t>
      </w:r>
    </w:p>
    <w:p w:rsidR="007D595F" w:rsidRPr="008371C1" w:rsidRDefault="007D595F" w:rsidP="007D595F">
      <w:pPr>
        <w:pStyle w:val="Item"/>
      </w:pPr>
      <w:r w:rsidRPr="008371C1">
        <w:t>Repeal the note, substitute:</w:t>
      </w:r>
    </w:p>
    <w:p w:rsidR="007D595F" w:rsidRPr="008371C1" w:rsidRDefault="007D595F" w:rsidP="007D595F">
      <w:pPr>
        <w:pStyle w:val="notetext"/>
      </w:pPr>
      <w:r w:rsidRPr="008371C1">
        <w:t>Note:</w:t>
      </w:r>
      <w:r w:rsidRPr="008371C1">
        <w:tab/>
      </w:r>
      <w:r w:rsidR="002A326A" w:rsidRPr="008371C1">
        <w:t>See the Planned Exposure Code</w:t>
      </w:r>
      <w:r w:rsidRPr="008371C1">
        <w:t>.</w:t>
      </w:r>
    </w:p>
    <w:p w:rsidR="00614AE3" w:rsidRPr="008371C1" w:rsidRDefault="00314A98" w:rsidP="00614AE3">
      <w:pPr>
        <w:pStyle w:val="ItemHead"/>
      </w:pPr>
      <w:r w:rsidRPr="008371C1">
        <w:t>7</w:t>
      </w:r>
      <w:r w:rsidR="00614AE3" w:rsidRPr="008371C1">
        <w:t xml:space="preserve">  Regulation</w:t>
      </w:r>
      <w:r w:rsidR="008371C1" w:rsidRPr="008371C1">
        <w:t> </w:t>
      </w:r>
      <w:r w:rsidR="00614AE3" w:rsidRPr="008371C1">
        <w:t>3</w:t>
      </w:r>
    </w:p>
    <w:p w:rsidR="00614AE3" w:rsidRPr="008371C1" w:rsidRDefault="00614AE3" w:rsidP="00614AE3">
      <w:pPr>
        <w:pStyle w:val="Item"/>
      </w:pPr>
      <w:r w:rsidRPr="008371C1">
        <w:t>Insert:</w:t>
      </w:r>
    </w:p>
    <w:p w:rsidR="00614AE3" w:rsidRPr="008371C1" w:rsidRDefault="00614AE3" w:rsidP="00614AE3">
      <w:pPr>
        <w:pStyle w:val="Definition"/>
      </w:pPr>
      <w:r w:rsidRPr="008371C1">
        <w:rPr>
          <w:b/>
          <w:i/>
        </w:rPr>
        <w:t>AS/NZS IEC 60825.1:2014</w:t>
      </w:r>
      <w:r w:rsidRPr="008371C1">
        <w:t xml:space="preserve"> means the Australian/New Zealand Standard AS/NZS IEC 60825.1:2014 </w:t>
      </w:r>
      <w:r w:rsidRPr="008371C1">
        <w:rPr>
          <w:i/>
        </w:rPr>
        <w:t>Safety of laser products, Part</w:t>
      </w:r>
      <w:r w:rsidR="008371C1" w:rsidRPr="008371C1">
        <w:rPr>
          <w:i/>
        </w:rPr>
        <w:t> </w:t>
      </w:r>
      <w:r w:rsidRPr="008371C1">
        <w:rPr>
          <w:i/>
        </w:rPr>
        <w:t>1: Equipment classification and requirements</w:t>
      </w:r>
      <w:r w:rsidRPr="008371C1">
        <w:t>, published jointly by, or on behalf of, Standards Australia and Standards New Zealand, as existing on 1</w:t>
      </w:r>
      <w:r w:rsidR="008371C1" w:rsidRPr="008371C1">
        <w:t> </w:t>
      </w:r>
      <w:r w:rsidRPr="008371C1">
        <w:t>July 2017.</w:t>
      </w:r>
    </w:p>
    <w:p w:rsidR="00AA345C" w:rsidRPr="008371C1" w:rsidRDefault="00AA345C" w:rsidP="00AA345C">
      <w:pPr>
        <w:pStyle w:val="Definition"/>
      </w:pPr>
      <w:r w:rsidRPr="008371C1">
        <w:rPr>
          <w:b/>
          <w:i/>
        </w:rPr>
        <w:t>AS/NZS IEC 60825.2:2011</w:t>
      </w:r>
      <w:r w:rsidRPr="008371C1">
        <w:t xml:space="preserve"> means the Australian/New Zealand Standard AS/NZS IEC 60825.2:2011 </w:t>
      </w:r>
      <w:r w:rsidRPr="008371C1">
        <w:rPr>
          <w:i/>
        </w:rPr>
        <w:t>Safety of laser products, Part</w:t>
      </w:r>
      <w:r w:rsidR="008371C1" w:rsidRPr="008371C1">
        <w:rPr>
          <w:i/>
        </w:rPr>
        <w:t> </w:t>
      </w:r>
      <w:r w:rsidRPr="008371C1">
        <w:rPr>
          <w:i/>
        </w:rPr>
        <w:t>2: Safety of optical fibre communication systems (OFCS)</w:t>
      </w:r>
      <w:r w:rsidRPr="008371C1">
        <w:t>, published jointly by, or on behalf of, Standards Australia and Standards New Zealand, as existing on 1</w:t>
      </w:r>
      <w:r w:rsidR="008371C1" w:rsidRPr="008371C1">
        <w:t> </w:t>
      </w:r>
      <w:r w:rsidRPr="008371C1">
        <w:t>July 2017.</w:t>
      </w:r>
    </w:p>
    <w:p w:rsidR="003C5112" w:rsidRPr="008371C1" w:rsidRDefault="007F3B15" w:rsidP="00AA345C">
      <w:pPr>
        <w:pStyle w:val="Definition"/>
      </w:pPr>
      <w:r w:rsidRPr="008371C1">
        <w:rPr>
          <w:b/>
          <w:i/>
        </w:rPr>
        <w:t>AS/NZS IEC 62471:2011</w:t>
      </w:r>
      <w:r w:rsidRPr="008371C1">
        <w:t xml:space="preserve"> means the Australian/New Zealand Standard AS/NZS IEC 62471:2011 </w:t>
      </w:r>
      <w:r w:rsidRPr="008371C1">
        <w:rPr>
          <w:i/>
        </w:rPr>
        <w:t>Photobiological safety of lamp and lamp systems</w:t>
      </w:r>
      <w:r w:rsidRPr="008371C1">
        <w:t>, published jointly by, or on behalf of, Standards Australia and Standards New Zealand, as existing on 1</w:t>
      </w:r>
      <w:r w:rsidR="008371C1" w:rsidRPr="008371C1">
        <w:t> </w:t>
      </w:r>
      <w:r w:rsidRPr="008371C1">
        <w:t>July 2017.</w:t>
      </w:r>
    </w:p>
    <w:p w:rsidR="00990AEB" w:rsidRPr="008371C1" w:rsidRDefault="00314A98" w:rsidP="00990AEB">
      <w:pPr>
        <w:pStyle w:val="ItemHead"/>
        <w:tabs>
          <w:tab w:val="left" w:pos="6663"/>
        </w:tabs>
      </w:pPr>
      <w:r w:rsidRPr="008371C1">
        <w:t>8</w:t>
      </w:r>
      <w:r w:rsidR="00990AEB" w:rsidRPr="008371C1">
        <w:t xml:space="preserve">  Regulation</w:t>
      </w:r>
      <w:r w:rsidR="008371C1" w:rsidRPr="008371C1">
        <w:t> </w:t>
      </w:r>
      <w:r w:rsidR="00A6796A" w:rsidRPr="008371C1">
        <w:t>3</w:t>
      </w:r>
      <w:r w:rsidR="00990AEB" w:rsidRPr="008371C1">
        <w:t xml:space="preserve"> (note at the end of the definition of </w:t>
      </w:r>
      <w:r w:rsidR="00990AEB" w:rsidRPr="008371C1">
        <w:rPr>
          <w:i/>
        </w:rPr>
        <w:t>committed effective dose</w:t>
      </w:r>
      <w:r w:rsidR="00990AEB" w:rsidRPr="008371C1">
        <w:t>)</w:t>
      </w:r>
    </w:p>
    <w:p w:rsidR="00990AEB" w:rsidRPr="008371C1" w:rsidRDefault="00990AEB" w:rsidP="00990AEB">
      <w:pPr>
        <w:pStyle w:val="Item"/>
      </w:pPr>
      <w:r w:rsidRPr="008371C1">
        <w:t>Repeal the note, substitute:</w:t>
      </w:r>
    </w:p>
    <w:p w:rsidR="00990AEB" w:rsidRPr="008371C1" w:rsidRDefault="00990AEB" w:rsidP="00990AEB">
      <w:pPr>
        <w:pStyle w:val="notetext"/>
      </w:pPr>
      <w:r w:rsidRPr="008371C1">
        <w:t>Note:</w:t>
      </w:r>
      <w:r w:rsidRPr="008371C1">
        <w:tab/>
        <w:t xml:space="preserve">See </w:t>
      </w:r>
      <w:r w:rsidR="002A326A" w:rsidRPr="008371C1">
        <w:t>the Planned Exposure Code</w:t>
      </w:r>
      <w:r w:rsidRPr="008371C1">
        <w:t>.</w:t>
      </w:r>
    </w:p>
    <w:p w:rsidR="007B1CC2" w:rsidRPr="008371C1" w:rsidRDefault="00314A98" w:rsidP="007B1CC2">
      <w:pPr>
        <w:pStyle w:val="ItemHead"/>
      </w:pPr>
      <w:r w:rsidRPr="008371C1">
        <w:t>9</w:t>
      </w:r>
      <w:r w:rsidR="007B1CC2" w:rsidRPr="008371C1">
        <w:t xml:space="preserve">  Regulation</w:t>
      </w:r>
      <w:r w:rsidR="008371C1" w:rsidRPr="008371C1">
        <w:t> </w:t>
      </w:r>
      <w:r w:rsidR="007B1CC2" w:rsidRPr="008371C1">
        <w:t>3</w:t>
      </w:r>
    </w:p>
    <w:p w:rsidR="007B1CC2" w:rsidRPr="008371C1" w:rsidRDefault="007B1CC2" w:rsidP="007B1CC2">
      <w:pPr>
        <w:pStyle w:val="Item"/>
      </w:pPr>
      <w:r w:rsidRPr="008371C1">
        <w:t>Insert:</w:t>
      </w:r>
    </w:p>
    <w:p w:rsidR="007B1CC2" w:rsidRPr="008371C1" w:rsidRDefault="007B1CC2" w:rsidP="007B1CC2">
      <w:pPr>
        <w:pStyle w:val="Definition"/>
      </w:pPr>
      <w:r w:rsidRPr="008371C1">
        <w:rPr>
          <w:b/>
          <w:i/>
        </w:rPr>
        <w:t>Disposal Code of Pract</w:t>
      </w:r>
      <w:r w:rsidR="00F8078B" w:rsidRPr="008371C1">
        <w:rPr>
          <w:b/>
          <w:i/>
        </w:rPr>
        <w:t>ice</w:t>
      </w:r>
      <w:r w:rsidRPr="008371C1">
        <w:t xml:space="preserve"> means the </w:t>
      </w:r>
      <w:r w:rsidRPr="008371C1">
        <w:rPr>
          <w:i/>
        </w:rPr>
        <w:t>Code of Practice for the Disposal of Radioactive Wastes by the User (1985)</w:t>
      </w:r>
      <w:r w:rsidRPr="008371C1">
        <w:t>, as existing on 1</w:t>
      </w:r>
      <w:r w:rsidR="008371C1" w:rsidRPr="008371C1">
        <w:t> </w:t>
      </w:r>
      <w:r w:rsidRPr="008371C1">
        <w:t>July 2017.</w:t>
      </w:r>
    </w:p>
    <w:p w:rsidR="007B1CC2" w:rsidRPr="008371C1" w:rsidRDefault="007B1CC2" w:rsidP="007B1CC2">
      <w:pPr>
        <w:pStyle w:val="notetext"/>
      </w:pPr>
      <w:r w:rsidRPr="008371C1">
        <w:t>Note:</w:t>
      </w:r>
      <w:r w:rsidRPr="008371C1">
        <w:tab/>
        <w:t xml:space="preserve">The </w:t>
      </w:r>
      <w:r w:rsidR="0040149D" w:rsidRPr="008371C1">
        <w:t>Disposal Code of Practice</w:t>
      </w:r>
      <w:r w:rsidRPr="008371C1">
        <w:t xml:space="preserve"> could in 2017 be viewed on ARPANSA’s website (http://www.arpansa.gov.au).</w:t>
      </w:r>
    </w:p>
    <w:p w:rsidR="00990AEB" w:rsidRPr="008371C1" w:rsidRDefault="00314A98" w:rsidP="00990AEB">
      <w:pPr>
        <w:pStyle w:val="ItemHead"/>
        <w:tabs>
          <w:tab w:val="left" w:pos="6663"/>
        </w:tabs>
      </w:pPr>
      <w:r w:rsidRPr="008371C1">
        <w:t>10</w:t>
      </w:r>
      <w:r w:rsidR="00990AEB" w:rsidRPr="008371C1">
        <w:t xml:space="preserve">  Regulation</w:t>
      </w:r>
      <w:r w:rsidR="008371C1" w:rsidRPr="008371C1">
        <w:t> </w:t>
      </w:r>
      <w:r w:rsidR="00A6796A" w:rsidRPr="008371C1">
        <w:t>3</w:t>
      </w:r>
      <w:r w:rsidR="00990AEB" w:rsidRPr="008371C1">
        <w:t xml:space="preserve"> (note at the end of the definition of </w:t>
      </w:r>
      <w:r w:rsidR="00990AEB" w:rsidRPr="008371C1">
        <w:rPr>
          <w:i/>
        </w:rPr>
        <w:t>dose</w:t>
      </w:r>
      <w:r w:rsidR="00990AEB" w:rsidRPr="008371C1">
        <w:t>)</w:t>
      </w:r>
    </w:p>
    <w:p w:rsidR="00990AEB" w:rsidRPr="008371C1" w:rsidRDefault="00990AEB" w:rsidP="00990AEB">
      <w:pPr>
        <w:pStyle w:val="Item"/>
      </w:pPr>
      <w:r w:rsidRPr="008371C1">
        <w:t>Repeal the note, substitute:</w:t>
      </w:r>
    </w:p>
    <w:p w:rsidR="00990AEB" w:rsidRPr="008371C1" w:rsidRDefault="00990AEB" w:rsidP="00990AEB">
      <w:pPr>
        <w:pStyle w:val="notetext"/>
      </w:pPr>
      <w:r w:rsidRPr="008371C1">
        <w:t>Note:</w:t>
      </w:r>
      <w:r w:rsidRPr="008371C1">
        <w:tab/>
        <w:t>See the Planned Exposure Code.</w:t>
      </w:r>
    </w:p>
    <w:p w:rsidR="00990AEB" w:rsidRPr="008371C1" w:rsidRDefault="00314A98" w:rsidP="00990AEB">
      <w:pPr>
        <w:pStyle w:val="ItemHead"/>
        <w:tabs>
          <w:tab w:val="left" w:pos="6663"/>
        </w:tabs>
      </w:pPr>
      <w:r w:rsidRPr="008371C1">
        <w:t>11</w:t>
      </w:r>
      <w:r w:rsidR="00990AEB" w:rsidRPr="008371C1">
        <w:t xml:space="preserve">  Regulation</w:t>
      </w:r>
      <w:r w:rsidR="008371C1" w:rsidRPr="008371C1">
        <w:t> </w:t>
      </w:r>
      <w:r w:rsidR="00A6796A" w:rsidRPr="008371C1">
        <w:t>3</w:t>
      </w:r>
      <w:r w:rsidR="00990AEB" w:rsidRPr="008371C1">
        <w:t xml:space="preserve"> (note at the end of the definition of </w:t>
      </w:r>
      <w:r w:rsidR="00990AEB" w:rsidRPr="008371C1">
        <w:rPr>
          <w:i/>
        </w:rPr>
        <w:t>effective dose</w:t>
      </w:r>
      <w:r w:rsidR="00990AEB" w:rsidRPr="008371C1">
        <w:t>)</w:t>
      </w:r>
    </w:p>
    <w:p w:rsidR="00990AEB" w:rsidRPr="008371C1" w:rsidRDefault="00990AEB" w:rsidP="00990AEB">
      <w:pPr>
        <w:pStyle w:val="Item"/>
      </w:pPr>
      <w:r w:rsidRPr="008371C1">
        <w:t>Repeal the note, substitute:</w:t>
      </w:r>
    </w:p>
    <w:p w:rsidR="00990AEB" w:rsidRPr="008371C1" w:rsidRDefault="00990AEB" w:rsidP="00990AEB">
      <w:pPr>
        <w:pStyle w:val="notetext"/>
      </w:pPr>
      <w:r w:rsidRPr="008371C1">
        <w:t>Note:</w:t>
      </w:r>
      <w:r w:rsidRPr="008371C1">
        <w:tab/>
        <w:t>See the Planned Exposure Code.</w:t>
      </w:r>
    </w:p>
    <w:p w:rsidR="00990AEB" w:rsidRPr="008371C1" w:rsidRDefault="00314A98" w:rsidP="00990AEB">
      <w:pPr>
        <w:pStyle w:val="ItemHead"/>
        <w:tabs>
          <w:tab w:val="left" w:pos="6663"/>
        </w:tabs>
      </w:pPr>
      <w:r w:rsidRPr="008371C1">
        <w:t>12</w:t>
      </w:r>
      <w:r w:rsidR="00990AEB" w:rsidRPr="008371C1">
        <w:t xml:space="preserve">  Regulation</w:t>
      </w:r>
      <w:r w:rsidR="008371C1" w:rsidRPr="008371C1">
        <w:t> </w:t>
      </w:r>
      <w:r w:rsidR="00A6796A" w:rsidRPr="008371C1">
        <w:t>3</w:t>
      </w:r>
      <w:r w:rsidR="00990AEB" w:rsidRPr="008371C1">
        <w:t xml:space="preserve"> (note at the end of the definition of </w:t>
      </w:r>
      <w:r w:rsidR="00990AEB" w:rsidRPr="008371C1">
        <w:rPr>
          <w:i/>
        </w:rPr>
        <w:t>equivalent dose</w:t>
      </w:r>
      <w:r w:rsidR="00990AEB" w:rsidRPr="008371C1">
        <w:t>)</w:t>
      </w:r>
    </w:p>
    <w:p w:rsidR="00990AEB" w:rsidRPr="008371C1" w:rsidRDefault="00990AEB" w:rsidP="00990AEB">
      <w:pPr>
        <w:pStyle w:val="Item"/>
      </w:pPr>
      <w:r w:rsidRPr="008371C1">
        <w:t>Repeal the note, substitute:</w:t>
      </w:r>
    </w:p>
    <w:p w:rsidR="00990AEB" w:rsidRPr="008371C1" w:rsidRDefault="00990AEB" w:rsidP="007D595F">
      <w:pPr>
        <w:pStyle w:val="notetext"/>
      </w:pPr>
      <w:r w:rsidRPr="008371C1">
        <w:t>Note:</w:t>
      </w:r>
      <w:r w:rsidRPr="008371C1">
        <w:tab/>
        <w:t>See the Planned Exposure Code.</w:t>
      </w:r>
    </w:p>
    <w:p w:rsidR="00471445" w:rsidRPr="008371C1" w:rsidRDefault="00314A98" w:rsidP="00471445">
      <w:pPr>
        <w:pStyle w:val="ItemHead"/>
      </w:pPr>
      <w:r w:rsidRPr="008371C1">
        <w:t>13</w:t>
      </w:r>
      <w:r w:rsidR="00471445" w:rsidRPr="008371C1">
        <w:t xml:space="preserve">  Regulation</w:t>
      </w:r>
      <w:r w:rsidR="008371C1" w:rsidRPr="008371C1">
        <w:t> </w:t>
      </w:r>
      <w:r w:rsidR="00471445" w:rsidRPr="008371C1">
        <w:t>3</w:t>
      </w:r>
    </w:p>
    <w:p w:rsidR="00471445" w:rsidRPr="008371C1" w:rsidRDefault="00471445" w:rsidP="00471445">
      <w:pPr>
        <w:pStyle w:val="Item"/>
      </w:pPr>
      <w:r w:rsidRPr="008371C1">
        <w:t>Insert:</w:t>
      </w:r>
    </w:p>
    <w:p w:rsidR="00471445" w:rsidRPr="008371C1" w:rsidRDefault="00471445" w:rsidP="00471445">
      <w:pPr>
        <w:pStyle w:val="Definition"/>
      </w:pPr>
      <w:r w:rsidRPr="008371C1">
        <w:rPr>
          <w:b/>
          <w:i/>
        </w:rPr>
        <w:t>Mining and Mineral Processing Code</w:t>
      </w:r>
      <w:r w:rsidR="0040149D" w:rsidRPr="008371C1">
        <w:rPr>
          <w:b/>
          <w:i/>
        </w:rPr>
        <w:t xml:space="preserve"> and Safety Guide</w:t>
      </w:r>
      <w:r w:rsidRPr="008371C1">
        <w:t xml:space="preserve"> means the </w:t>
      </w:r>
      <w:r w:rsidRPr="008371C1">
        <w:rPr>
          <w:i/>
        </w:rPr>
        <w:t>Code of Practice and Safety Guide for Radiation Protection and Radioactive Waste Management in Mining and Mineral Processing (2005) (Radiation Protection Series No.</w:t>
      </w:r>
      <w:r w:rsidR="008371C1" w:rsidRPr="008371C1">
        <w:rPr>
          <w:i/>
        </w:rPr>
        <w:t> </w:t>
      </w:r>
      <w:r w:rsidRPr="008371C1">
        <w:rPr>
          <w:i/>
        </w:rPr>
        <w:t>9)</w:t>
      </w:r>
      <w:r w:rsidRPr="008371C1">
        <w:t>, as existing on 1</w:t>
      </w:r>
      <w:r w:rsidR="008371C1" w:rsidRPr="008371C1">
        <w:t> </w:t>
      </w:r>
      <w:r w:rsidRPr="008371C1">
        <w:t>July 2017.</w:t>
      </w:r>
    </w:p>
    <w:p w:rsidR="00471445" w:rsidRPr="008371C1" w:rsidRDefault="00471445" w:rsidP="00471445">
      <w:pPr>
        <w:pStyle w:val="notetext"/>
      </w:pPr>
      <w:r w:rsidRPr="008371C1">
        <w:t>Note:</w:t>
      </w:r>
      <w:r w:rsidRPr="008371C1">
        <w:tab/>
        <w:t xml:space="preserve">The </w:t>
      </w:r>
      <w:r w:rsidR="0040149D" w:rsidRPr="008371C1">
        <w:t xml:space="preserve">Mining and Mineral Processing Code and Safety Guide </w:t>
      </w:r>
      <w:r w:rsidRPr="008371C1">
        <w:t>could in 2017 be viewed on ARPANSA’s website (http://www.arpansa.gov.au).</w:t>
      </w:r>
    </w:p>
    <w:p w:rsidR="007A136B" w:rsidRPr="008371C1" w:rsidRDefault="00314A98" w:rsidP="006C2C12">
      <w:pPr>
        <w:pStyle w:val="ItemHead"/>
        <w:tabs>
          <w:tab w:val="left" w:pos="6663"/>
        </w:tabs>
      </w:pPr>
      <w:r w:rsidRPr="008371C1">
        <w:t>14</w:t>
      </w:r>
      <w:r w:rsidR="00A6796A" w:rsidRPr="008371C1">
        <w:t xml:space="preserve">  </w:t>
      </w:r>
      <w:r w:rsidR="007A136B" w:rsidRPr="008371C1">
        <w:t>Regulation</w:t>
      </w:r>
      <w:r w:rsidR="008371C1" w:rsidRPr="008371C1">
        <w:t> </w:t>
      </w:r>
      <w:r w:rsidR="00A6796A" w:rsidRPr="008371C1">
        <w:t>3</w:t>
      </w:r>
      <w:r w:rsidR="007A136B" w:rsidRPr="008371C1">
        <w:t xml:space="preserve"> (definition of </w:t>
      </w:r>
      <w:r w:rsidR="007A136B" w:rsidRPr="008371C1">
        <w:rPr>
          <w:i/>
        </w:rPr>
        <w:t>National Standard for Limiting Occupational Exposure to Ionizing Radiation</w:t>
      </w:r>
      <w:r w:rsidR="007A136B" w:rsidRPr="008371C1">
        <w:t>)</w:t>
      </w:r>
    </w:p>
    <w:p w:rsidR="007A136B" w:rsidRPr="008371C1" w:rsidRDefault="007A136B" w:rsidP="007A136B">
      <w:pPr>
        <w:pStyle w:val="Item"/>
      </w:pPr>
      <w:r w:rsidRPr="008371C1">
        <w:t>Repeal the definition.</w:t>
      </w:r>
    </w:p>
    <w:p w:rsidR="00C80A43" w:rsidRPr="008371C1" w:rsidRDefault="00314A98" w:rsidP="006C2C12">
      <w:pPr>
        <w:pStyle w:val="ItemHead"/>
        <w:tabs>
          <w:tab w:val="left" w:pos="6663"/>
        </w:tabs>
      </w:pPr>
      <w:r w:rsidRPr="008371C1">
        <w:t>15</w:t>
      </w:r>
      <w:r w:rsidR="007A136B" w:rsidRPr="008371C1">
        <w:t xml:space="preserve">  </w:t>
      </w:r>
      <w:r w:rsidR="00C80A43" w:rsidRPr="008371C1">
        <w:t>Regulation</w:t>
      </w:r>
      <w:r w:rsidR="008371C1" w:rsidRPr="008371C1">
        <w:t> </w:t>
      </w:r>
      <w:r w:rsidR="00C80A43" w:rsidRPr="008371C1">
        <w:t>3</w:t>
      </w:r>
    </w:p>
    <w:p w:rsidR="00C80A43" w:rsidRPr="008371C1" w:rsidRDefault="00C80A43" w:rsidP="00C80A43">
      <w:pPr>
        <w:pStyle w:val="Item"/>
      </w:pPr>
      <w:r w:rsidRPr="008371C1">
        <w:t>Insert:</w:t>
      </w:r>
    </w:p>
    <w:p w:rsidR="00C80A43" w:rsidRPr="008371C1" w:rsidRDefault="00C80A43" w:rsidP="00C80A43">
      <w:pPr>
        <w:pStyle w:val="Definition"/>
      </w:pPr>
      <w:r w:rsidRPr="008371C1">
        <w:rPr>
          <w:b/>
          <w:i/>
        </w:rPr>
        <w:t>Planned Exposure Code</w:t>
      </w:r>
      <w:r w:rsidRPr="008371C1">
        <w:t xml:space="preserve"> means the </w:t>
      </w:r>
      <w:r w:rsidR="00EF5B70" w:rsidRPr="008371C1">
        <w:rPr>
          <w:i/>
        </w:rPr>
        <w:t>Code for</w:t>
      </w:r>
      <w:r w:rsidRPr="008371C1">
        <w:rPr>
          <w:i/>
        </w:rPr>
        <w:t xml:space="preserve"> Radiation Protection in Planned Exposure Situations</w:t>
      </w:r>
      <w:r w:rsidR="00C24A7C" w:rsidRPr="008371C1">
        <w:rPr>
          <w:i/>
        </w:rPr>
        <w:t xml:space="preserve"> (2016) </w:t>
      </w:r>
      <w:r w:rsidRPr="008371C1">
        <w:rPr>
          <w:i/>
        </w:rPr>
        <w:t>(Radiation Protection Series C</w:t>
      </w:r>
      <w:r w:rsidR="008371C1">
        <w:rPr>
          <w:i/>
        </w:rPr>
        <w:noBreakHyphen/>
      </w:r>
      <w:r w:rsidRPr="008371C1">
        <w:rPr>
          <w:i/>
        </w:rPr>
        <w:t>1)</w:t>
      </w:r>
      <w:r w:rsidRPr="008371C1">
        <w:t xml:space="preserve">, </w:t>
      </w:r>
      <w:r w:rsidR="00EF5B70" w:rsidRPr="008371C1">
        <w:t>as existing on 1</w:t>
      </w:r>
      <w:r w:rsidR="008371C1" w:rsidRPr="008371C1">
        <w:t> </w:t>
      </w:r>
      <w:r w:rsidR="00EF5B70" w:rsidRPr="008371C1">
        <w:t>July 2017</w:t>
      </w:r>
      <w:r w:rsidRPr="008371C1">
        <w:t>.</w:t>
      </w:r>
    </w:p>
    <w:p w:rsidR="00C80A43" w:rsidRPr="008371C1" w:rsidRDefault="00C80A43" w:rsidP="00C80A43">
      <w:pPr>
        <w:pStyle w:val="notetext"/>
      </w:pPr>
      <w:r w:rsidRPr="008371C1">
        <w:t>Note:</w:t>
      </w:r>
      <w:r w:rsidRPr="008371C1">
        <w:tab/>
        <w:t xml:space="preserve">The </w:t>
      </w:r>
      <w:r w:rsidR="0040149D" w:rsidRPr="008371C1">
        <w:t>Planned Exposure Code</w:t>
      </w:r>
      <w:r w:rsidR="00047BD9" w:rsidRPr="008371C1">
        <w:t xml:space="preserve"> could in 2017 be viewed on ARP</w:t>
      </w:r>
      <w:r w:rsidRPr="008371C1">
        <w:t>ANSA’s website (http://www.arpansa.gov.au).</w:t>
      </w:r>
    </w:p>
    <w:p w:rsidR="007A136B" w:rsidRPr="008371C1" w:rsidRDefault="00314A98" w:rsidP="006C2C12">
      <w:pPr>
        <w:pStyle w:val="ItemHead"/>
        <w:tabs>
          <w:tab w:val="left" w:pos="6663"/>
        </w:tabs>
      </w:pPr>
      <w:r w:rsidRPr="008371C1">
        <w:t>16</w:t>
      </w:r>
      <w:r w:rsidR="007A136B" w:rsidRPr="008371C1">
        <w:t xml:space="preserve">  Regulation</w:t>
      </w:r>
      <w:r w:rsidR="008371C1" w:rsidRPr="008371C1">
        <w:t> </w:t>
      </w:r>
      <w:r w:rsidR="00A6796A" w:rsidRPr="008371C1">
        <w:t>3</w:t>
      </w:r>
      <w:r w:rsidR="007A136B" w:rsidRPr="008371C1">
        <w:t xml:space="preserve"> (definition of </w:t>
      </w:r>
      <w:r w:rsidR="007A136B" w:rsidRPr="008371C1">
        <w:rPr>
          <w:i/>
        </w:rPr>
        <w:t>Recommendations for Limiting Exposure to Ionizing Radiation</w:t>
      </w:r>
      <w:r w:rsidR="007A136B" w:rsidRPr="008371C1">
        <w:t>)</w:t>
      </w:r>
    </w:p>
    <w:p w:rsidR="007A136B" w:rsidRPr="008371C1" w:rsidRDefault="007A136B" w:rsidP="007A136B">
      <w:pPr>
        <w:pStyle w:val="Item"/>
      </w:pPr>
      <w:r w:rsidRPr="008371C1">
        <w:t>Repeal the definition.</w:t>
      </w:r>
    </w:p>
    <w:p w:rsidR="007B1CC2" w:rsidRPr="008371C1" w:rsidRDefault="00314A98" w:rsidP="007B1CC2">
      <w:pPr>
        <w:pStyle w:val="ItemHead"/>
      </w:pPr>
      <w:r w:rsidRPr="008371C1">
        <w:t>17</w:t>
      </w:r>
      <w:r w:rsidR="007B1CC2" w:rsidRPr="008371C1">
        <w:t xml:space="preserve">  Regulation</w:t>
      </w:r>
      <w:r w:rsidR="008371C1" w:rsidRPr="008371C1">
        <w:t> </w:t>
      </w:r>
      <w:r w:rsidR="007B1CC2" w:rsidRPr="008371C1">
        <w:t>3</w:t>
      </w:r>
    </w:p>
    <w:p w:rsidR="007B1CC2" w:rsidRPr="008371C1" w:rsidRDefault="007B1CC2" w:rsidP="007B1CC2">
      <w:pPr>
        <w:pStyle w:val="Item"/>
      </w:pPr>
      <w:r w:rsidRPr="008371C1">
        <w:t>Insert:</w:t>
      </w:r>
    </w:p>
    <w:p w:rsidR="007B1CC2" w:rsidRPr="008371C1" w:rsidRDefault="007B1CC2" w:rsidP="007B1CC2">
      <w:pPr>
        <w:pStyle w:val="Definition"/>
      </w:pPr>
      <w:r w:rsidRPr="008371C1">
        <w:rPr>
          <w:b/>
          <w:i/>
        </w:rPr>
        <w:t>Security Code</w:t>
      </w:r>
      <w:r w:rsidR="0040149D" w:rsidRPr="008371C1">
        <w:rPr>
          <w:b/>
          <w:i/>
        </w:rPr>
        <w:t xml:space="preserve"> of Practice</w:t>
      </w:r>
      <w:r w:rsidRPr="008371C1">
        <w:t xml:space="preserve"> means the </w:t>
      </w:r>
      <w:r w:rsidRPr="008371C1">
        <w:rPr>
          <w:i/>
        </w:rPr>
        <w:t>Code of Practice for the Security of Radioactive Sources (2007) (Radiation Protection Series No.</w:t>
      </w:r>
      <w:r w:rsidR="008371C1" w:rsidRPr="008371C1">
        <w:rPr>
          <w:i/>
        </w:rPr>
        <w:t> </w:t>
      </w:r>
      <w:r w:rsidRPr="008371C1">
        <w:rPr>
          <w:i/>
        </w:rPr>
        <w:t>11)</w:t>
      </w:r>
      <w:r w:rsidRPr="008371C1">
        <w:t>, as existing on 1</w:t>
      </w:r>
      <w:r w:rsidR="008371C1" w:rsidRPr="008371C1">
        <w:t> </w:t>
      </w:r>
      <w:r w:rsidRPr="008371C1">
        <w:t>July 2017.</w:t>
      </w:r>
    </w:p>
    <w:p w:rsidR="007B1CC2" w:rsidRPr="008371C1" w:rsidRDefault="007B1CC2" w:rsidP="007B1CC2">
      <w:pPr>
        <w:pStyle w:val="notetext"/>
      </w:pPr>
      <w:r w:rsidRPr="008371C1">
        <w:t>Note:</w:t>
      </w:r>
      <w:r w:rsidRPr="008371C1">
        <w:tab/>
        <w:t xml:space="preserve">The </w:t>
      </w:r>
      <w:r w:rsidR="00F8078B" w:rsidRPr="008371C1">
        <w:t>Security Code of Practice</w:t>
      </w:r>
      <w:r w:rsidRPr="008371C1">
        <w:t xml:space="preserve"> could in 2017 be viewed on ARPANSA’s website (http://www.arpansa.gov.au).</w:t>
      </w:r>
    </w:p>
    <w:p w:rsidR="007B1CC2" w:rsidRPr="008371C1" w:rsidRDefault="007B1CC2" w:rsidP="007B1CC2">
      <w:pPr>
        <w:pStyle w:val="Definition"/>
      </w:pPr>
      <w:r w:rsidRPr="008371C1">
        <w:rPr>
          <w:b/>
          <w:i/>
        </w:rPr>
        <w:t>Transport Code</w:t>
      </w:r>
      <w:r w:rsidRPr="008371C1">
        <w:t xml:space="preserve"> means the </w:t>
      </w:r>
      <w:r w:rsidRPr="008371C1">
        <w:rPr>
          <w:i/>
        </w:rPr>
        <w:t xml:space="preserve">Code for </w:t>
      </w:r>
      <w:r w:rsidR="002014EA" w:rsidRPr="008371C1">
        <w:rPr>
          <w:i/>
        </w:rPr>
        <w:t xml:space="preserve">the </w:t>
      </w:r>
      <w:r w:rsidRPr="008371C1">
        <w:rPr>
          <w:i/>
        </w:rPr>
        <w:t>Safe Transport of Radioactive Material (2014) (Radiation Protection Series C</w:t>
      </w:r>
      <w:r w:rsidR="008371C1">
        <w:rPr>
          <w:i/>
        </w:rPr>
        <w:noBreakHyphen/>
      </w:r>
      <w:r w:rsidRPr="008371C1">
        <w:rPr>
          <w:i/>
        </w:rPr>
        <w:t>2)</w:t>
      </w:r>
      <w:r w:rsidRPr="008371C1">
        <w:t>, as existing on 1</w:t>
      </w:r>
      <w:r w:rsidR="008371C1" w:rsidRPr="008371C1">
        <w:t> </w:t>
      </w:r>
      <w:r w:rsidRPr="008371C1">
        <w:t>July 2017.</w:t>
      </w:r>
    </w:p>
    <w:p w:rsidR="007B1CC2" w:rsidRPr="008371C1" w:rsidRDefault="007B1CC2" w:rsidP="007B1CC2">
      <w:pPr>
        <w:pStyle w:val="notetext"/>
      </w:pPr>
      <w:r w:rsidRPr="008371C1">
        <w:t>Note:</w:t>
      </w:r>
      <w:r w:rsidRPr="008371C1">
        <w:tab/>
        <w:t xml:space="preserve">The </w:t>
      </w:r>
      <w:r w:rsidR="00F8078B" w:rsidRPr="008371C1">
        <w:t>Transport Code</w:t>
      </w:r>
      <w:r w:rsidRPr="008371C1">
        <w:t xml:space="preserve"> could in 2017 be viewed on ARPANSA’s website (http://www.arpansa.gov.au).</w:t>
      </w:r>
    </w:p>
    <w:p w:rsidR="00A52753" w:rsidRPr="008371C1" w:rsidRDefault="00314A98" w:rsidP="00A52753">
      <w:pPr>
        <w:pStyle w:val="ItemHead"/>
        <w:tabs>
          <w:tab w:val="left" w:pos="6663"/>
        </w:tabs>
      </w:pPr>
      <w:r w:rsidRPr="008371C1">
        <w:t>18</w:t>
      </w:r>
      <w:r w:rsidR="00A52753" w:rsidRPr="008371C1">
        <w:t xml:space="preserve">  After Part</w:t>
      </w:r>
      <w:r w:rsidR="008371C1" w:rsidRPr="008371C1">
        <w:t> </w:t>
      </w:r>
      <w:r w:rsidR="00A52753" w:rsidRPr="008371C1">
        <w:t>1</w:t>
      </w:r>
    </w:p>
    <w:p w:rsidR="00A52753" w:rsidRPr="008371C1" w:rsidRDefault="00A52753" w:rsidP="00A52753">
      <w:pPr>
        <w:pStyle w:val="Item"/>
      </w:pPr>
      <w:r w:rsidRPr="008371C1">
        <w:t>Insert:</w:t>
      </w:r>
    </w:p>
    <w:p w:rsidR="00A52753" w:rsidRPr="008371C1" w:rsidRDefault="00A52753" w:rsidP="00A52753">
      <w:pPr>
        <w:pStyle w:val="ActHead2"/>
      </w:pPr>
      <w:bookmarkStart w:id="15" w:name="_Toc482362686"/>
      <w:r w:rsidRPr="008371C1">
        <w:rPr>
          <w:rStyle w:val="CharPartNo"/>
        </w:rPr>
        <w:t>Part</w:t>
      </w:r>
      <w:r w:rsidR="008371C1" w:rsidRPr="008371C1">
        <w:rPr>
          <w:rStyle w:val="CharPartNo"/>
        </w:rPr>
        <w:t> </w:t>
      </w:r>
      <w:r w:rsidRPr="008371C1">
        <w:rPr>
          <w:rStyle w:val="CharPartNo"/>
        </w:rPr>
        <w:t>1A</w:t>
      </w:r>
      <w:r w:rsidRPr="008371C1">
        <w:t>—</w:t>
      </w:r>
      <w:r w:rsidRPr="008371C1">
        <w:rPr>
          <w:rStyle w:val="CharPartText"/>
        </w:rPr>
        <w:t>ARPANSA</w:t>
      </w:r>
      <w:bookmarkEnd w:id="15"/>
    </w:p>
    <w:p w:rsidR="00A52753" w:rsidRPr="008371C1" w:rsidRDefault="00A52753" w:rsidP="00A52753">
      <w:pPr>
        <w:pStyle w:val="Header"/>
      </w:pPr>
      <w:r w:rsidRPr="008371C1">
        <w:rPr>
          <w:rStyle w:val="CharDivNo"/>
        </w:rPr>
        <w:t xml:space="preserve"> </w:t>
      </w:r>
      <w:r w:rsidRPr="008371C1">
        <w:rPr>
          <w:rStyle w:val="CharDivText"/>
        </w:rPr>
        <w:t xml:space="preserve"> </w:t>
      </w:r>
    </w:p>
    <w:p w:rsidR="00A52753" w:rsidRPr="008371C1" w:rsidRDefault="00A52753" w:rsidP="00A52753">
      <w:pPr>
        <w:pStyle w:val="ActHead5"/>
      </w:pPr>
      <w:bookmarkStart w:id="16" w:name="_Toc482362687"/>
      <w:r w:rsidRPr="008371C1">
        <w:rPr>
          <w:rStyle w:val="CharSectno"/>
        </w:rPr>
        <w:t>3B</w:t>
      </w:r>
      <w:r w:rsidRPr="008371C1">
        <w:t xml:space="preserve">  Functions of the CEO</w:t>
      </w:r>
      <w:bookmarkEnd w:id="16"/>
    </w:p>
    <w:p w:rsidR="00A52753" w:rsidRPr="008371C1" w:rsidRDefault="00A52753" w:rsidP="00A52753">
      <w:pPr>
        <w:pStyle w:val="subsection"/>
      </w:pPr>
      <w:r w:rsidRPr="008371C1">
        <w:tab/>
      </w:r>
      <w:r w:rsidRPr="008371C1">
        <w:tab/>
        <w:t>For the purposes of paragraph</w:t>
      </w:r>
      <w:r w:rsidR="008371C1" w:rsidRPr="008371C1">
        <w:t> </w:t>
      </w:r>
      <w:r w:rsidRPr="008371C1">
        <w:t>15(1)(i) of the Act, the following are functions of the CEO:</w:t>
      </w:r>
    </w:p>
    <w:p w:rsidR="00A52753" w:rsidRPr="008371C1" w:rsidRDefault="00A52753" w:rsidP="00A52753">
      <w:pPr>
        <w:pStyle w:val="paragraph"/>
      </w:pPr>
      <w:r w:rsidRPr="008371C1">
        <w:tab/>
        <w:t>(a)</w:t>
      </w:r>
      <w:r w:rsidRPr="008371C1">
        <w:tab/>
        <w:t>to grant permissions to export from Australia high activity radioactive sources under regulation</w:t>
      </w:r>
      <w:r w:rsidR="008371C1" w:rsidRPr="008371C1">
        <w:t> </w:t>
      </w:r>
      <w:r w:rsidRPr="008371C1">
        <w:t xml:space="preserve">9AD of the </w:t>
      </w:r>
      <w:r w:rsidRPr="008371C1">
        <w:rPr>
          <w:i/>
        </w:rPr>
        <w:t>Customs (Prohibited Exports) Regulations</w:t>
      </w:r>
      <w:r w:rsidR="008371C1" w:rsidRPr="008371C1">
        <w:rPr>
          <w:i/>
        </w:rPr>
        <w:t> </w:t>
      </w:r>
      <w:r w:rsidRPr="008371C1">
        <w:rPr>
          <w:i/>
        </w:rPr>
        <w:t>1958</w:t>
      </w:r>
      <w:r w:rsidRPr="008371C1">
        <w:t>;</w:t>
      </w:r>
    </w:p>
    <w:p w:rsidR="00A52753" w:rsidRPr="008371C1" w:rsidRDefault="00A52753" w:rsidP="00A52753">
      <w:pPr>
        <w:pStyle w:val="paragraph"/>
      </w:pPr>
      <w:r w:rsidRPr="008371C1">
        <w:tab/>
        <w:t>(b)</w:t>
      </w:r>
      <w:r w:rsidRPr="008371C1">
        <w:tab/>
        <w:t>to grant permissions to import into Australia radioactive substances under regulation</w:t>
      </w:r>
      <w:r w:rsidR="008371C1" w:rsidRPr="008371C1">
        <w:t> </w:t>
      </w:r>
      <w:r w:rsidRPr="008371C1">
        <w:t xml:space="preserve">4R of the </w:t>
      </w:r>
      <w:r w:rsidRPr="008371C1">
        <w:rPr>
          <w:i/>
        </w:rPr>
        <w:t>Customs (Prohibited Imports) Regulations</w:t>
      </w:r>
      <w:r w:rsidR="008371C1" w:rsidRPr="008371C1">
        <w:rPr>
          <w:i/>
        </w:rPr>
        <w:t> </w:t>
      </w:r>
      <w:r w:rsidRPr="008371C1">
        <w:rPr>
          <w:i/>
        </w:rPr>
        <w:t>1956</w:t>
      </w:r>
      <w:r w:rsidRPr="008371C1">
        <w:t>.</w:t>
      </w:r>
    </w:p>
    <w:p w:rsidR="00A6796A" w:rsidRPr="008371C1" w:rsidRDefault="00314A98" w:rsidP="00A6796A">
      <w:pPr>
        <w:pStyle w:val="ItemHead"/>
      </w:pPr>
      <w:r w:rsidRPr="008371C1">
        <w:t>19</w:t>
      </w:r>
      <w:r w:rsidR="00A6796A" w:rsidRPr="008371C1">
        <w:t xml:space="preserve">  Subparagraph 4(2)(a)(viii)</w:t>
      </w:r>
    </w:p>
    <w:p w:rsidR="00007A35" w:rsidRPr="008371C1" w:rsidRDefault="00007A35" w:rsidP="00007A35">
      <w:pPr>
        <w:pStyle w:val="Item"/>
      </w:pPr>
      <w:r w:rsidRPr="008371C1">
        <w:t>Repeal the subparagraph, substitute:</w:t>
      </w:r>
    </w:p>
    <w:p w:rsidR="00007A35" w:rsidRPr="008371C1" w:rsidRDefault="00007A35" w:rsidP="00007A35">
      <w:pPr>
        <w:pStyle w:val="paragraphsub"/>
      </w:pPr>
      <w:r w:rsidRPr="008371C1">
        <w:tab/>
        <w:t>(viii)</w:t>
      </w:r>
      <w:r w:rsidRPr="008371C1">
        <w:tab/>
        <w:t>a laser product with an accessible emission that exceeds the accessible emission limits of a Class 3R laser product, as set out in AS/NZS IEC 60825.1:2014</w:t>
      </w:r>
      <w:r w:rsidR="00A249AE" w:rsidRPr="008371C1">
        <w:t>; or</w:t>
      </w:r>
    </w:p>
    <w:p w:rsidR="00B961CB" w:rsidRPr="008371C1" w:rsidRDefault="00B961CB" w:rsidP="00B961CB">
      <w:pPr>
        <w:pStyle w:val="ItemHead"/>
      </w:pPr>
      <w:r w:rsidRPr="008371C1">
        <w:t>20  Subparagraph 4(2)(a)(ix)</w:t>
      </w:r>
    </w:p>
    <w:p w:rsidR="00CB104C" w:rsidRPr="008371C1" w:rsidRDefault="00CB104C" w:rsidP="00CB104C">
      <w:pPr>
        <w:pStyle w:val="Item"/>
      </w:pPr>
      <w:r w:rsidRPr="008371C1">
        <w:t>Repeal the subparagraph, substitute:</w:t>
      </w:r>
    </w:p>
    <w:p w:rsidR="006D676B" w:rsidRPr="008371C1" w:rsidRDefault="00435A60" w:rsidP="00B961CB">
      <w:pPr>
        <w:pStyle w:val="paragraphsub"/>
      </w:pPr>
      <w:r w:rsidRPr="008371C1">
        <w:tab/>
        <w:t>(ix)</w:t>
      </w:r>
      <w:r w:rsidRPr="008371C1">
        <w:tab/>
        <w:t>an optical fibre communication system exceeding Hazard Level 3R, as defined by AS/NZS IEC 60825.2:2011; and</w:t>
      </w:r>
    </w:p>
    <w:p w:rsidR="00B5152D" w:rsidRPr="008371C1" w:rsidRDefault="00314A98" w:rsidP="00C45747">
      <w:pPr>
        <w:pStyle w:val="ItemHead"/>
      </w:pPr>
      <w:r w:rsidRPr="008371C1">
        <w:t>21</w:t>
      </w:r>
      <w:r w:rsidR="00B5152D" w:rsidRPr="008371C1">
        <w:t xml:space="preserve">  Regulation</w:t>
      </w:r>
      <w:r w:rsidR="008371C1" w:rsidRPr="008371C1">
        <w:t> </w:t>
      </w:r>
      <w:r w:rsidR="00B5152D" w:rsidRPr="008371C1">
        <w:t>48</w:t>
      </w:r>
    </w:p>
    <w:p w:rsidR="00B5152D" w:rsidRPr="008371C1" w:rsidRDefault="00B5152D" w:rsidP="00B5152D">
      <w:pPr>
        <w:pStyle w:val="Item"/>
      </w:pPr>
      <w:r w:rsidRPr="008371C1">
        <w:t>Repeal the regulation, substitute:</w:t>
      </w:r>
    </w:p>
    <w:p w:rsidR="00B5152D" w:rsidRPr="008371C1" w:rsidRDefault="00B5152D" w:rsidP="00B5152D">
      <w:pPr>
        <w:pStyle w:val="ActHead5"/>
      </w:pPr>
      <w:bookmarkStart w:id="17" w:name="_Toc482362688"/>
      <w:r w:rsidRPr="008371C1">
        <w:rPr>
          <w:rStyle w:val="CharSectno"/>
        </w:rPr>
        <w:t>48</w:t>
      </w:r>
      <w:r w:rsidRPr="008371C1">
        <w:t xml:space="preserve">  Compliance with Codes and Codes of Practice</w:t>
      </w:r>
      <w:bookmarkEnd w:id="17"/>
    </w:p>
    <w:p w:rsidR="00FB1564" w:rsidRPr="008371C1" w:rsidRDefault="00FB1564" w:rsidP="00FB1564">
      <w:pPr>
        <w:pStyle w:val="SubsectionHead"/>
      </w:pPr>
      <w:r w:rsidRPr="008371C1">
        <w:t>Facility licences</w:t>
      </w:r>
    </w:p>
    <w:p w:rsidR="00B5152D" w:rsidRPr="008371C1" w:rsidRDefault="00B5152D" w:rsidP="00B5152D">
      <w:pPr>
        <w:pStyle w:val="subsection"/>
      </w:pPr>
      <w:r w:rsidRPr="008371C1">
        <w:tab/>
        <w:t>(</w:t>
      </w:r>
      <w:r w:rsidR="00FB1564" w:rsidRPr="008371C1">
        <w:t>1</w:t>
      </w:r>
      <w:r w:rsidRPr="008371C1">
        <w:t>)</w:t>
      </w:r>
      <w:r w:rsidRPr="008371C1">
        <w:tab/>
      </w:r>
      <w:r w:rsidR="00841226" w:rsidRPr="008371C1">
        <w:t xml:space="preserve">The holder of a </w:t>
      </w:r>
      <w:r w:rsidR="00FB1564" w:rsidRPr="008371C1">
        <w:t xml:space="preserve">facility </w:t>
      </w:r>
      <w:r w:rsidR="00841226" w:rsidRPr="008371C1">
        <w:t>licence</w:t>
      </w:r>
      <w:r w:rsidR="00FB1564" w:rsidRPr="008371C1">
        <w:t xml:space="preserve"> must </w:t>
      </w:r>
      <w:r w:rsidR="00884C03" w:rsidRPr="008371C1">
        <w:t>ensure that t</w:t>
      </w:r>
      <w:r w:rsidR="00453338" w:rsidRPr="008371C1">
        <w:t>he following are complied with</w:t>
      </w:r>
      <w:r w:rsidR="00884C03" w:rsidRPr="008371C1">
        <w:t xml:space="preserve"> </w:t>
      </w:r>
      <w:r w:rsidR="00FB1564" w:rsidRPr="008371C1">
        <w:t>in relation to activities relating to the controlled facilities to which the licence relates</w:t>
      </w:r>
      <w:r w:rsidR="00841226" w:rsidRPr="008371C1">
        <w:t>:</w:t>
      </w:r>
    </w:p>
    <w:p w:rsidR="00841226" w:rsidRPr="008371C1" w:rsidRDefault="00841226" w:rsidP="00841226">
      <w:pPr>
        <w:pStyle w:val="paragraph"/>
      </w:pPr>
      <w:r w:rsidRPr="008371C1">
        <w:tab/>
        <w:t>(</w:t>
      </w:r>
      <w:r w:rsidR="00675BDE" w:rsidRPr="008371C1">
        <w:t>a</w:t>
      </w:r>
      <w:r w:rsidRPr="008371C1">
        <w:t>)</w:t>
      </w:r>
      <w:r w:rsidRPr="008371C1">
        <w:tab/>
        <w:t>the Planned Exposure Code;</w:t>
      </w:r>
    </w:p>
    <w:p w:rsidR="00675BDE" w:rsidRPr="008371C1" w:rsidRDefault="00675BDE" w:rsidP="00841226">
      <w:pPr>
        <w:pStyle w:val="paragraph"/>
      </w:pPr>
      <w:r w:rsidRPr="008371C1">
        <w:tab/>
        <w:t>(b)</w:t>
      </w:r>
      <w:r w:rsidRPr="008371C1">
        <w:tab/>
        <w:t>the Security Code</w:t>
      </w:r>
      <w:r w:rsidR="0040149D" w:rsidRPr="008371C1">
        <w:t xml:space="preserve"> of Practice</w:t>
      </w:r>
      <w:r w:rsidRPr="008371C1">
        <w:t>;</w:t>
      </w:r>
    </w:p>
    <w:p w:rsidR="00841226" w:rsidRPr="008371C1" w:rsidRDefault="00841226" w:rsidP="00841226">
      <w:pPr>
        <w:pStyle w:val="paragraph"/>
      </w:pPr>
      <w:r w:rsidRPr="008371C1">
        <w:tab/>
        <w:t>(c)</w:t>
      </w:r>
      <w:r w:rsidRPr="008371C1">
        <w:tab/>
        <w:t>the Transport Code</w:t>
      </w:r>
      <w:r w:rsidR="00675BDE" w:rsidRPr="008371C1">
        <w:t>.</w:t>
      </w:r>
    </w:p>
    <w:p w:rsidR="00D67FBE" w:rsidRPr="008371C1" w:rsidRDefault="00D67FBE" w:rsidP="00884C03">
      <w:pPr>
        <w:pStyle w:val="subsection"/>
      </w:pPr>
      <w:r w:rsidRPr="008371C1">
        <w:tab/>
        <w:t>(2)</w:t>
      </w:r>
      <w:r w:rsidRPr="008371C1">
        <w:tab/>
      </w:r>
      <w:r w:rsidR="00884C03" w:rsidRPr="008371C1">
        <w:t>If</w:t>
      </w:r>
      <w:r w:rsidRPr="008371C1">
        <w:t xml:space="preserve"> a facility licence </w:t>
      </w:r>
      <w:r w:rsidR="00884C03" w:rsidRPr="008371C1">
        <w:t>authorises persons to deal w</w:t>
      </w:r>
      <w:r w:rsidR="003D7600" w:rsidRPr="008371C1">
        <w:t xml:space="preserve">ith a controlled apparatus or a </w:t>
      </w:r>
      <w:r w:rsidR="00884C03" w:rsidRPr="008371C1">
        <w:t xml:space="preserve">controlled material, the holder of the licence </w:t>
      </w:r>
      <w:r w:rsidRPr="008371C1">
        <w:t xml:space="preserve">must </w:t>
      </w:r>
      <w:r w:rsidR="00884C03" w:rsidRPr="008371C1">
        <w:t>ensure that t</w:t>
      </w:r>
      <w:r w:rsidR="00453338" w:rsidRPr="008371C1">
        <w:t>he following are complied with</w:t>
      </w:r>
      <w:r w:rsidR="00884C03" w:rsidRPr="008371C1">
        <w:t xml:space="preserve"> </w:t>
      </w:r>
      <w:r w:rsidRPr="008371C1">
        <w:t>in relation to dealings with the controlled apparatus or controlled material to which the licence relates:</w:t>
      </w:r>
    </w:p>
    <w:p w:rsidR="00D67FBE" w:rsidRPr="008371C1" w:rsidRDefault="00D67FBE" w:rsidP="00D67FBE">
      <w:pPr>
        <w:pStyle w:val="paragraph"/>
      </w:pPr>
      <w:r w:rsidRPr="008371C1">
        <w:tab/>
        <w:t>(</w:t>
      </w:r>
      <w:r w:rsidR="00884C03" w:rsidRPr="008371C1">
        <w:t>a</w:t>
      </w:r>
      <w:r w:rsidRPr="008371C1">
        <w:t>)</w:t>
      </w:r>
      <w:r w:rsidRPr="008371C1">
        <w:tab/>
        <w:t>the Disposal Code of Practice;</w:t>
      </w:r>
    </w:p>
    <w:p w:rsidR="00884C03" w:rsidRPr="008371C1" w:rsidRDefault="00884C03" w:rsidP="00D67FBE">
      <w:pPr>
        <w:pStyle w:val="paragraph"/>
      </w:pPr>
      <w:r w:rsidRPr="008371C1">
        <w:tab/>
        <w:t>(b)</w:t>
      </w:r>
      <w:r w:rsidRPr="008371C1">
        <w:tab/>
        <w:t>the Planned Exposure Code;</w:t>
      </w:r>
    </w:p>
    <w:p w:rsidR="00D67FBE" w:rsidRPr="008371C1" w:rsidRDefault="00D67FBE" w:rsidP="00D67FBE">
      <w:pPr>
        <w:pStyle w:val="paragraph"/>
      </w:pPr>
      <w:r w:rsidRPr="008371C1">
        <w:tab/>
        <w:t>(c)</w:t>
      </w:r>
      <w:r w:rsidRPr="008371C1">
        <w:tab/>
        <w:t>the Security Code of Practice;</w:t>
      </w:r>
    </w:p>
    <w:p w:rsidR="00D67FBE" w:rsidRPr="008371C1" w:rsidRDefault="00D67FBE" w:rsidP="00D67FBE">
      <w:pPr>
        <w:pStyle w:val="paragraph"/>
      </w:pPr>
      <w:r w:rsidRPr="008371C1">
        <w:tab/>
        <w:t>(d)</w:t>
      </w:r>
      <w:r w:rsidRPr="008371C1">
        <w:tab/>
        <w:t>the Transport Code.</w:t>
      </w:r>
    </w:p>
    <w:p w:rsidR="00FB1564" w:rsidRPr="008371C1" w:rsidRDefault="00FB1564" w:rsidP="00FB1564">
      <w:pPr>
        <w:pStyle w:val="SubsectionHead"/>
      </w:pPr>
      <w:r w:rsidRPr="008371C1">
        <w:t>Source licences</w:t>
      </w:r>
    </w:p>
    <w:p w:rsidR="00675BDE" w:rsidRPr="008371C1" w:rsidRDefault="00675BDE" w:rsidP="00675BDE">
      <w:pPr>
        <w:pStyle w:val="subsection"/>
      </w:pPr>
      <w:r w:rsidRPr="008371C1">
        <w:tab/>
        <w:t>(</w:t>
      </w:r>
      <w:r w:rsidR="00D67FBE" w:rsidRPr="008371C1">
        <w:t>3</w:t>
      </w:r>
      <w:r w:rsidRPr="008371C1">
        <w:t>)</w:t>
      </w:r>
      <w:r w:rsidRPr="008371C1">
        <w:tab/>
        <w:t xml:space="preserve">The holder of a </w:t>
      </w:r>
      <w:r w:rsidR="00FB1564" w:rsidRPr="008371C1">
        <w:t xml:space="preserve">source </w:t>
      </w:r>
      <w:r w:rsidRPr="008371C1">
        <w:t xml:space="preserve">licence must </w:t>
      </w:r>
      <w:r w:rsidR="00884C03" w:rsidRPr="008371C1">
        <w:t xml:space="preserve">ensure that the following are complied with </w:t>
      </w:r>
      <w:r w:rsidR="00FB1564" w:rsidRPr="008371C1">
        <w:t xml:space="preserve">in relation to dealings with </w:t>
      </w:r>
      <w:r w:rsidR="00486188" w:rsidRPr="008371C1">
        <w:t xml:space="preserve">the </w:t>
      </w:r>
      <w:r w:rsidR="00FB1564" w:rsidRPr="008371C1">
        <w:t>controlled apparatus or controlled material</w:t>
      </w:r>
      <w:r w:rsidR="00486188" w:rsidRPr="008371C1">
        <w:t xml:space="preserve"> to which the licence relates</w:t>
      </w:r>
      <w:r w:rsidRPr="008371C1">
        <w:t>:</w:t>
      </w:r>
    </w:p>
    <w:p w:rsidR="00884C03" w:rsidRPr="008371C1" w:rsidRDefault="00675BDE" w:rsidP="00884C03">
      <w:pPr>
        <w:pStyle w:val="paragraph"/>
      </w:pPr>
      <w:r w:rsidRPr="008371C1">
        <w:tab/>
      </w:r>
      <w:r w:rsidR="00FB1564" w:rsidRPr="008371C1">
        <w:t>(a)</w:t>
      </w:r>
      <w:r w:rsidR="00FB1564" w:rsidRPr="008371C1">
        <w:tab/>
      </w:r>
      <w:r w:rsidR="00884C03" w:rsidRPr="008371C1">
        <w:t>the Disposal Code of Practice;</w:t>
      </w:r>
    </w:p>
    <w:p w:rsidR="00884C03" w:rsidRPr="008371C1" w:rsidRDefault="00FB1564" w:rsidP="00675BDE">
      <w:pPr>
        <w:pStyle w:val="paragraph"/>
      </w:pPr>
      <w:r w:rsidRPr="008371C1">
        <w:tab/>
      </w:r>
      <w:r w:rsidR="00675BDE" w:rsidRPr="008371C1">
        <w:t>(</w:t>
      </w:r>
      <w:r w:rsidRPr="008371C1">
        <w:t>b</w:t>
      </w:r>
      <w:r w:rsidR="00675BDE" w:rsidRPr="008371C1">
        <w:t>)</w:t>
      </w:r>
      <w:r w:rsidR="00675BDE" w:rsidRPr="008371C1">
        <w:tab/>
      </w:r>
      <w:r w:rsidR="00884C03" w:rsidRPr="008371C1">
        <w:t>the Planned Exposure Code;</w:t>
      </w:r>
    </w:p>
    <w:p w:rsidR="00675BDE" w:rsidRPr="008371C1" w:rsidRDefault="00675BDE" w:rsidP="00675BDE">
      <w:pPr>
        <w:pStyle w:val="paragraph"/>
      </w:pPr>
      <w:r w:rsidRPr="008371C1">
        <w:tab/>
        <w:t>(</w:t>
      </w:r>
      <w:r w:rsidR="00FB1564" w:rsidRPr="008371C1">
        <w:t>c</w:t>
      </w:r>
      <w:r w:rsidRPr="008371C1">
        <w:t>)</w:t>
      </w:r>
      <w:r w:rsidRPr="008371C1">
        <w:tab/>
        <w:t>the Security Code</w:t>
      </w:r>
      <w:r w:rsidR="0040149D" w:rsidRPr="008371C1">
        <w:t xml:space="preserve"> of Practice</w:t>
      </w:r>
      <w:r w:rsidRPr="008371C1">
        <w:t>;</w:t>
      </w:r>
    </w:p>
    <w:p w:rsidR="00675BDE" w:rsidRPr="008371C1" w:rsidRDefault="00675BDE" w:rsidP="00675BDE">
      <w:pPr>
        <w:pStyle w:val="paragraph"/>
      </w:pPr>
      <w:r w:rsidRPr="008371C1">
        <w:tab/>
        <w:t>(</w:t>
      </w:r>
      <w:r w:rsidR="00FB1564" w:rsidRPr="008371C1">
        <w:t>d</w:t>
      </w:r>
      <w:r w:rsidRPr="008371C1">
        <w:t>)</w:t>
      </w:r>
      <w:r w:rsidRPr="008371C1">
        <w:tab/>
        <w:t>the Transport Code.</w:t>
      </w:r>
    </w:p>
    <w:p w:rsidR="00884C03" w:rsidRPr="008371C1" w:rsidRDefault="00884C03" w:rsidP="00884C03">
      <w:pPr>
        <w:pStyle w:val="subsection"/>
      </w:pPr>
      <w:r w:rsidRPr="008371C1">
        <w:rPr>
          <w:i/>
        </w:rPr>
        <w:tab/>
      </w:r>
      <w:r w:rsidRPr="008371C1">
        <w:rPr>
          <w:i/>
        </w:rPr>
        <w:tab/>
        <w:t>Application of subregulations (2) and (3)</w:t>
      </w:r>
    </w:p>
    <w:p w:rsidR="00FB1564" w:rsidRPr="008371C1" w:rsidRDefault="00FB1564" w:rsidP="00FB1564">
      <w:pPr>
        <w:pStyle w:val="subsection"/>
      </w:pPr>
      <w:r w:rsidRPr="008371C1">
        <w:tab/>
        <w:t>(</w:t>
      </w:r>
      <w:r w:rsidR="00D67FBE" w:rsidRPr="008371C1">
        <w:t>4</w:t>
      </w:r>
      <w:r w:rsidRPr="008371C1">
        <w:t>)</w:t>
      </w:r>
      <w:r w:rsidRPr="008371C1">
        <w:tab/>
        <w:t>Subregulation</w:t>
      </w:r>
      <w:r w:rsidR="00D67FBE" w:rsidRPr="008371C1">
        <w:t>s</w:t>
      </w:r>
      <w:r w:rsidRPr="008371C1">
        <w:t xml:space="preserve"> (2)</w:t>
      </w:r>
      <w:r w:rsidR="00D67FBE" w:rsidRPr="008371C1">
        <w:t xml:space="preserve"> and (3)</w:t>
      </w:r>
      <w:r w:rsidRPr="008371C1">
        <w:t xml:space="preserve"> </w:t>
      </w:r>
      <w:r w:rsidR="00D67FBE" w:rsidRPr="008371C1">
        <w:t>do</w:t>
      </w:r>
      <w:r w:rsidRPr="008371C1">
        <w:t xml:space="preserve"> not apply </w:t>
      </w:r>
      <w:r w:rsidR="00486188" w:rsidRPr="008371C1">
        <w:t xml:space="preserve">in relation </w:t>
      </w:r>
      <w:r w:rsidRPr="008371C1">
        <w:t>to dealings with a</w:t>
      </w:r>
      <w:r w:rsidR="00667319" w:rsidRPr="008371C1">
        <w:t>n</w:t>
      </w:r>
      <w:r w:rsidRPr="008371C1">
        <w:t xml:space="preserve"> apparatus </w:t>
      </w:r>
      <w:r w:rsidR="00667319" w:rsidRPr="008371C1">
        <w:t>covered by</w:t>
      </w:r>
      <w:r w:rsidR="00903A7A" w:rsidRPr="008371C1">
        <w:t xml:space="preserve"> </w:t>
      </w:r>
      <w:r w:rsidR="008371C1" w:rsidRPr="008371C1">
        <w:t>paragraph (</w:t>
      </w:r>
      <w:r w:rsidR="00903A7A" w:rsidRPr="008371C1">
        <w:t xml:space="preserve">c) of the definition of </w:t>
      </w:r>
      <w:r w:rsidR="00903A7A" w:rsidRPr="008371C1">
        <w:rPr>
          <w:b/>
          <w:i/>
        </w:rPr>
        <w:t>controlled apparatus</w:t>
      </w:r>
      <w:r w:rsidR="00903A7A" w:rsidRPr="008371C1">
        <w:t xml:space="preserve"> in section</w:t>
      </w:r>
      <w:r w:rsidR="008371C1" w:rsidRPr="008371C1">
        <w:t> </w:t>
      </w:r>
      <w:r w:rsidR="00903A7A" w:rsidRPr="008371C1">
        <w:t>13 of the Act.</w:t>
      </w:r>
    </w:p>
    <w:p w:rsidR="00FB1564" w:rsidRPr="008371C1" w:rsidRDefault="00FB1564" w:rsidP="00FB1564">
      <w:pPr>
        <w:pStyle w:val="notetext"/>
      </w:pPr>
      <w:r w:rsidRPr="008371C1">
        <w:t>Note:</w:t>
      </w:r>
      <w:r w:rsidRPr="008371C1">
        <w:tab/>
      </w:r>
      <w:r w:rsidR="00903A7A" w:rsidRPr="008371C1">
        <w:t>See subregulation</w:t>
      </w:r>
      <w:r w:rsidR="00667319" w:rsidRPr="008371C1">
        <w:t>s</w:t>
      </w:r>
      <w:r w:rsidR="00A35869" w:rsidRPr="008371C1">
        <w:t xml:space="preserve"> </w:t>
      </w:r>
      <w:r w:rsidR="00903A7A" w:rsidRPr="008371C1">
        <w:t>4(2)</w:t>
      </w:r>
      <w:r w:rsidR="00667319" w:rsidRPr="008371C1">
        <w:t xml:space="preserve"> and (3)</w:t>
      </w:r>
      <w:r w:rsidR="00903A7A" w:rsidRPr="008371C1">
        <w:t>.</w:t>
      </w:r>
    </w:p>
    <w:p w:rsidR="00EC3736" w:rsidRPr="008371C1" w:rsidRDefault="00314A98" w:rsidP="00EC3736">
      <w:pPr>
        <w:pStyle w:val="ItemHead"/>
      </w:pPr>
      <w:r w:rsidRPr="008371C1">
        <w:t>22</w:t>
      </w:r>
      <w:r w:rsidR="00EC3736" w:rsidRPr="008371C1">
        <w:t xml:space="preserve">  Subparagraph 53(1A)(b)(ii)</w:t>
      </w:r>
    </w:p>
    <w:p w:rsidR="00EC3736" w:rsidRPr="008371C1" w:rsidRDefault="00EC3736" w:rsidP="00EC3736">
      <w:pPr>
        <w:pStyle w:val="Item"/>
      </w:pPr>
      <w:r w:rsidRPr="008371C1">
        <w:t>Omit “to receive”, substitute “to deal with”.</w:t>
      </w:r>
    </w:p>
    <w:p w:rsidR="00D97756" w:rsidRPr="008371C1" w:rsidRDefault="00314A98" w:rsidP="00D97756">
      <w:pPr>
        <w:pStyle w:val="ItemHead"/>
      </w:pPr>
      <w:r w:rsidRPr="008371C1">
        <w:t>23</w:t>
      </w:r>
      <w:r w:rsidR="00D97756" w:rsidRPr="008371C1">
        <w:t xml:space="preserve">  Paragraph 55C(1)(a)</w:t>
      </w:r>
    </w:p>
    <w:p w:rsidR="00D97756" w:rsidRPr="008371C1" w:rsidRDefault="00D97756" w:rsidP="00D97756">
      <w:pPr>
        <w:pStyle w:val="Item"/>
      </w:pPr>
      <w:r w:rsidRPr="008371C1">
        <w:t>Repeal the paragraph, substitute:</w:t>
      </w:r>
    </w:p>
    <w:p w:rsidR="00D97756" w:rsidRPr="008371C1" w:rsidRDefault="00D97756" w:rsidP="00D97756">
      <w:pPr>
        <w:pStyle w:val="paragraph"/>
      </w:pPr>
      <w:r w:rsidRPr="008371C1">
        <w:tab/>
        <w:t>(a)</w:t>
      </w:r>
      <w:r w:rsidRPr="008371C1">
        <w:tab/>
        <w:t>either:</w:t>
      </w:r>
    </w:p>
    <w:p w:rsidR="00D97756" w:rsidRPr="008371C1" w:rsidRDefault="00D97756" w:rsidP="00D97756">
      <w:pPr>
        <w:pStyle w:val="paragraphsub"/>
      </w:pPr>
      <w:r w:rsidRPr="008371C1">
        <w:tab/>
        <w:t>(i)</w:t>
      </w:r>
      <w:r w:rsidRPr="008371C1">
        <w:tab/>
        <w:t>the whole of the annual charge for the licence for the year has been paid; or</w:t>
      </w:r>
    </w:p>
    <w:p w:rsidR="00D97756" w:rsidRPr="008371C1" w:rsidRDefault="00D97756" w:rsidP="00D97756">
      <w:pPr>
        <w:pStyle w:val="paragraphsub"/>
      </w:pPr>
      <w:r w:rsidRPr="008371C1">
        <w:tab/>
        <w:t>(ii)</w:t>
      </w:r>
      <w:r w:rsidRPr="008371C1">
        <w:tab/>
        <w:t>if regulation</w:t>
      </w:r>
      <w:r w:rsidR="008371C1" w:rsidRPr="008371C1">
        <w:t> </w:t>
      </w:r>
      <w:r w:rsidRPr="008371C1">
        <w:t>55B applies in relation to the licence—the whole of the annual charge for the licence for the year, as adjusted under that regulation, has been paid; and</w:t>
      </w:r>
    </w:p>
    <w:p w:rsidR="00D97756" w:rsidRPr="008371C1" w:rsidRDefault="00314A98" w:rsidP="00D97756">
      <w:pPr>
        <w:pStyle w:val="ItemHead"/>
      </w:pPr>
      <w:r w:rsidRPr="008371C1">
        <w:t>24</w:t>
      </w:r>
      <w:r w:rsidR="00D97756" w:rsidRPr="008371C1">
        <w:t xml:space="preserve">  Subregulation</w:t>
      </w:r>
      <w:r w:rsidR="008371C1" w:rsidRPr="008371C1">
        <w:t> </w:t>
      </w:r>
      <w:r w:rsidR="00D97756" w:rsidRPr="008371C1">
        <w:t>55C(3)</w:t>
      </w:r>
    </w:p>
    <w:p w:rsidR="004722B3" w:rsidRPr="008371C1" w:rsidRDefault="004722B3" w:rsidP="004722B3">
      <w:pPr>
        <w:pStyle w:val="Item"/>
      </w:pPr>
      <w:r w:rsidRPr="008371C1">
        <w:t>Repeal the subregulation</w:t>
      </w:r>
      <w:r w:rsidR="008371C1" w:rsidRPr="008371C1">
        <w:t> </w:t>
      </w:r>
      <w:r w:rsidRPr="008371C1">
        <w:t>(not including the note), substitute:</w:t>
      </w:r>
    </w:p>
    <w:p w:rsidR="004722B3" w:rsidRPr="008371C1" w:rsidRDefault="004722B3" w:rsidP="004722B3">
      <w:pPr>
        <w:pStyle w:val="subsection"/>
      </w:pPr>
      <w:r w:rsidRPr="008371C1">
        <w:tab/>
        <w:t>(3)</w:t>
      </w:r>
      <w:r w:rsidRPr="008371C1">
        <w:tab/>
        <w:t>If the CEO decides to refund part of the amount of the annual charge, the</w:t>
      </w:r>
      <w:r w:rsidR="00B41BA1" w:rsidRPr="008371C1">
        <w:t xml:space="preserve"> amount of the refund is:</w:t>
      </w:r>
    </w:p>
    <w:p w:rsidR="00B41BA1" w:rsidRPr="008371C1" w:rsidRDefault="00B41BA1" w:rsidP="004722B3">
      <w:pPr>
        <w:pStyle w:val="subsection"/>
      </w:pPr>
      <w:r w:rsidRPr="008371C1">
        <w:tab/>
      </w:r>
      <w:r w:rsidRPr="008371C1">
        <w:tab/>
      </w:r>
      <w:bookmarkStart w:id="18" w:name="BKCheck15B_4"/>
      <w:bookmarkEnd w:id="18"/>
      <w:r w:rsidRPr="008371C1">
        <w:rPr>
          <w:position w:val="-20"/>
        </w:rPr>
        <w:object w:dxaOrig="15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3pt" o:ole="">
            <v:imagedata r:id="rId21" o:title=""/>
          </v:shape>
          <o:OLEObject Type="Embed" ProgID="Equation.DSMT4" ShapeID="_x0000_i1025" DrawAspect="Content" ObjectID="_1559650526" r:id="rId22"/>
        </w:object>
      </w:r>
    </w:p>
    <w:p w:rsidR="004722B3" w:rsidRPr="008371C1" w:rsidRDefault="004722B3" w:rsidP="004722B3">
      <w:pPr>
        <w:pStyle w:val="subsection"/>
      </w:pPr>
      <w:r w:rsidRPr="008371C1">
        <w:tab/>
      </w:r>
      <w:r w:rsidRPr="008371C1">
        <w:tab/>
        <w:t>Where:</w:t>
      </w:r>
    </w:p>
    <w:p w:rsidR="004722B3" w:rsidRPr="008371C1" w:rsidRDefault="004722B3" w:rsidP="004722B3">
      <w:pPr>
        <w:pStyle w:val="Definition"/>
      </w:pPr>
      <w:r w:rsidRPr="008371C1">
        <w:rPr>
          <w:b/>
          <w:i/>
        </w:rPr>
        <w:t>AC</w:t>
      </w:r>
      <w:r w:rsidRPr="008371C1">
        <w:t xml:space="preserve"> is the amount of the annual charge for the licence for the year.</w:t>
      </w:r>
    </w:p>
    <w:p w:rsidR="00A078FA" w:rsidRPr="008371C1" w:rsidRDefault="00A078FA" w:rsidP="004722B3">
      <w:pPr>
        <w:pStyle w:val="Definition"/>
      </w:pPr>
      <w:r w:rsidRPr="008371C1">
        <w:rPr>
          <w:b/>
          <w:i/>
        </w:rPr>
        <w:t>M1</w:t>
      </w:r>
      <w:r w:rsidRPr="008371C1">
        <w:t xml:space="preserve"> is the number of calendar months of the year in relation to which the annual charge was paid.</w:t>
      </w:r>
    </w:p>
    <w:p w:rsidR="004722B3" w:rsidRPr="008371C1" w:rsidRDefault="004722B3" w:rsidP="004722B3">
      <w:pPr>
        <w:pStyle w:val="Definition"/>
      </w:pPr>
      <w:r w:rsidRPr="008371C1">
        <w:rPr>
          <w:b/>
          <w:i/>
        </w:rPr>
        <w:t>M</w:t>
      </w:r>
      <w:r w:rsidR="00A078FA" w:rsidRPr="008371C1">
        <w:rPr>
          <w:b/>
          <w:i/>
        </w:rPr>
        <w:t>2</w:t>
      </w:r>
      <w:r w:rsidRPr="008371C1">
        <w:t xml:space="preserve"> is the number of calendar months</w:t>
      </w:r>
      <w:r w:rsidR="00A078FA" w:rsidRPr="008371C1">
        <w:t xml:space="preserve"> of the year</w:t>
      </w:r>
      <w:r w:rsidRPr="008371C1">
        <w:t xml:space="preserve"> during which the licence </w:t>
      </w:r>
      <w:r w:rsidR="00A078FA" w:rsidRPr="008371C1">
        <w:t>was held.</w:t>
      </w:r>
    </w:p>
    <w:p w:rsidR="00CC043A" w:rsidRPr="008371C1" w:rsidRDefault="00314A98" w:rsidP="00CC043A">
      <w:pPr>
        <w:pStyle w:val="ItemHead"/>
      </w:pPr>
      <w:r w:rsidRPr="008371C1">
        <w:t>25</w:t>
      </w:r>
      <w:r w:rsidR="00CC043A" w:rsidRPr="008371C1">
        <w:t xml:space="preserve">  Subregulation</w:t>
      </w:r>
      <w:r w:rsidR="008371C1" w:rsidRPr="008371C1">
        <w:t> </w:t>
      </w:r>
      <w:r w:rsidR="00CC043A" w:rsidRPr="008371C1">
        <w:t>58(5)</w:t>
      </w:r>
    </w:p>
    <w:p w:rsidR="00CC043A" w:rsidRPr="008371C1" w:rsidRDefault="00CC043A" w:rsidP="00CC043A">
      <w:pPr>
        <w:pStyle w:val="Item"/>
      </w:pPr>
      <w:r w:rsidRPr="008371C1">
        <w:t>Omit all the words after “in accordance with</w:t>
      </w:r>
      <w:r w:rsidR="002014EA" w:rsidRPr="008371C1">
        <w:t xml:space="preserve"> the</w:t>
      </w:r>
      <w:r w:rsidRPr="008371C1">
        <w:t>”, substitute “Planned Exposure Code and agreed by the CEO”.</w:t>
      </w:r>
    </w:p>
    <w:p w:rsidR="00CC043A" w:rsidRPr="008371C1" w:rsidRDefault="00314A98" w:rsidP="00CC043A">
      <w:pPr>
        <w:pStyle w:val="ItemHead"/>
      </w:pPr>
      <w:r w:rsidRPr="008371C1">
        <w:t>26</w:t>
      </w:r>
      <w:r w:rsidR="00CC043A" w:rsidRPr="008371C1">
        <w:t xml:space="preserve">  Subregulation</w:t>
      </w:r>
      <w:r w:rsidR="008371C1" w:rsidRPr="008371C1">
        <w:t> </w:t>
      </w:r>
      <w:r w:rsidR="00CC043A" w:rsidRPr="008371C1">
        <w:t>59(1)</w:t>
      </w:r>
    </w:p>
    <w:p w:rsidR="009D4DA1" w:rsidRPr="008371C1" w:rsidRDefault="00CC043A" w:rsidP="009D4DA1">
      <w:pPr>
        <w:pStyle w:val="Item"/>
      </w:pPr>
      <w:r w:rsidRPr="008371C1">
        <w:t>Omit “</w:t>
      </w:r>
      <w:r w:rsidR="00514501" w:rsidRPr="008371C1">
        <w:t>calendar</w:t>
      </w:r>
      <w:r w:rsidR="009D4DA1" w:rsidRPr="008371C1">
        <w:t>”.</w:t>
      </w:r>
    </w:p>
    <w:p w:rsidR="00BF4FCE" w:rsidRPr="008371C1" w:rsidRDefault="00314A98" w:rsidP="00BF4FCE">
      <w:pPr>
        <w:pStyle w:val="ItemHead"/>
      </w:pPr>
      <w:r w:rsidRPr="008371C1">
        <w:t>27</w:t>
      </w:r>
      <w:r w:rsidR="00BF4FCE" w:rsidRPr="008371C1">
        <w:t xml:space="preserve">  Regulation</w:t>
      </w:r>
      <w:r w:rsidR="008371C1" w:rsidRPr="008371C1">
        <w:t> </w:t>
      </w:r>
      <w:r w:rsidR="00BF4FCE" w:rsidRPr="008371C1">
        <w:t>59 (note)</w:t>
      </w:r>
    </w:p>
    <w:p w:rsidR="00BF4FCE" w:rsidRPr="008371C1" w:rsidRDefault="00BF4FCE" w:rsidP="00BF4FCE">
      <w:pPr>
        <w:pStyle w:val="Item"/>
      </w:pPr>
      <w:r w:rsidRPr="008371C1">
        <w:t>Repeal the note, substitute:</w:t>
      </w:r>
    </w:p>
    <w:p w:rsidR="00BF4FCE" w:rsidRPr="008371C1" w:rsidRDefault="00BF4FCE" w:rsidP="00BF4FCE">
      <w:pPr>
        <w:pStyle w:val="notetext"/>
      </w:pPr>
      <w:r w:rsidRPr="008371C1">
        <w:t>Note:</w:t>
      </w:r>
      <w:r w:rsidRPr="008371C1">
        <w:tab/>
      </w:r>
      <w:r w:rsidR="00791C38" w:rsidRPr="008371C1">
        <w:t>S</w:t>
      </w:r>
      <w:r w:rsidRPr="008371C1">
        <w:t xml:space="preserve">ee </w:t>
      </w:r>
      <w:r w:rsidR="00791C38" w:rsidRPr="008371C1">
        <w:t xml:space="preserve">also </w:t>
      </w:r>
      <w:r w:rsidRPr="008371C1">
        <w:t>the Planned Exposure Code</w:t>
      </w:r>
      <w:r w:rsidR="00791C38" w:rsidRPr="008371C1">
        <w:t xml:space="preserve"> for the obligation to consider additional controls in relation to female employees who are pregnant</w:t>
      </w:r>
      <w:r w:rsidRPr="008371C1">
        <w:t>.</w:t>
      </w:r>
    </w:p>
    <w:p w:rsidR="006759E2" w:rsidRPr="008371C1" w:rsidRDefault="00314A98" w:rsidP="006759E2">
      <w:pPr>
        <w:pStyle w:val="ItemHead"/>
      </w:pPr>
      <w:r w:rsidRPr="008371C1">
        <w:t>28</w:t>
      </w:r>
      <w:r w:rsidR="006759E2" w:rsidRPr="008371C1">
        <w:t xml:space="preserve">  Subregulation</w:t>
      </w:r>
      <w:r w:rsidR="008371C1" w:rsidRPr="008371C1">
        <w:t> </w:t>
      </w:r>
      <w:r w:rsidR="006759E2" w:rsidRPr="008371C1">
        <w:t>62(1)</w:t>
      </w:r>
    </w:p>
    <w:p w:rsidR="006759E2" w:rsidRPr="008371C1" w:rsidRDefault="006759E2" w:rsidP="006759E2">
      <w:pPr>
        <w:pStyle w:val="Item"/>
      </w:pPr>
      <w:r w:rsidRPr="008371C1">
        <w:t>Omit “</w:t>
      </w:r>
      <w:r w:rsidR="00514501" w:rsidRPr="008371C1">
        <w:t>calendar</w:t>
      </w:r>
      <w:r w:rsidRPr="008371C1">
        <w:t>”.</w:t>
      </w:r>
    </w:p>
    <w:p w:rsidR="00BF4FCE" w:rsidRPr="008371C1" w:rsidRDefault="00314A98" w:rsidP="00DA478B">
      <w:pPr>
        <w:pStyle w:val="ItemHead"/>
      </w:pPr>
      <w:r w:rsidRPr="008371C1">
        <w:t>29</w:t>
      </w:r>
      <w:r w:rsidR="00DA478B" w:rsidRPr="008371C1">
        <w:t xml:space="preserve">  Subregulation</w:t>
      </w:r>
      <w:r w:rsidR="008371C1" w:rsidRPr="008371C1">
        <w:t> </w:t>
      </w:r>
      <w:r w:rsidR="00DA478B" w:rsidRPr="008371C1">
        <w:t>62A(2)</w:t>
      </w:r>
    </w:p>
    <w:p w:rsidR="00471445" w:rsidRPr="008371C1" w:rsidRDefault="00471445" w:rsidP="00471445">
      <w:pPr>
        <w:pStyle w:val="Item"/>
      </w:pPr>
      <w:r w:rsidRPr="008371C1">
        <w:t>Repeal the subregulation, substitute:</w:t>
      </w:r>
    </w:p>
    <w:p w:rsidR="00471445" w:rsidRPr="008371C1" w:rsidRDefault="00471445" w:rsidP="00471445">
      <w:pPr>
        <w:pStyle w:val="subsection"/>
      </w:pPr>
      <w:r w:rsidRPr="008371C1">
        <w:tab/>
        <w:t>(2)</w:t>
      </w:r>
      <w:r w:rsidRPr="008371C1">
        <w:tab/>
        <w:t>For subregulation</w:t>
      </w:r>
      <w:r w:rsidR="008371C1" w:rsidRPr="008371C1">
        <w:t> </w:t>
      </w:r>
      <w:r w:rsidRPr="008371C1">
        <w:t xml:space="preserve">(1), the codes are </w:t>
      </w:r>
      <w:r w:rsidR="006975A9" w:rsidRPr="008371C1">
        <w:t>the following</w:t>
      </w:r>
      <w:r w:rsidRPr="008371C1">
        <w:t>:</w:t>
      </w:r>
    </w:p>
    <w:p w:rsidR="00471445" w:rsidRPr="008371C1" w:rsidRDefault="00471445" w:rsidP="00471445">
      <w:pPr>
        <w:pStyle w:val="paragraph"/>
      </w:pPr>
      <w:r w:rsidRPr="008371C1">
        <w:tab/>
        <w:t>(a)</w:t>
      </w:r>
      <w:r w:rsidRPr="008371C1">
        <w:tab/>
        <w:t>the Mining and Mineral Processing Code</w:t>
      </w:r>
      <w:r w:rsidR="00601EE3" w:rsidRPr="008371C1">
        <w:t xml:space="preserve"> of Practice</w:t>
      </w:r>
      <w:r w:rsidR="00AE3815" w:rsidRPr="008371C1">
        <w:t xml:space="preserve"> and Safety Guide</w:t>
      </w:r>
      <w:r w:rsidRPr="008371C1">
        <w:t>;</w:t>
      </w:r>
    </w:p>
    <w:p w:rsidR="00471445" w:rsidRPr="008371C1" w:rsidRDefault="00471445" w:rsidP="00471445">
      <w:pPr>
        <w:pStyle w:val="paragraph"/>
      </w:pPr>
      <w:r w:rsidRPr="008371C1">
        <w:tab/>
        <w:t>(b)</w:t>
      </w:r>
      <w:r w:rsidRPr="008371C1">
        <w:tab/>
        <w:t>the Security Code</w:t>
      </w:r>
      <w:r w:rsidR="00AE3815" w:rsidRPr="008371C1">
        <w:t xml:space="preserve"> of Practice</w:t>
      </w:r>
      <w:r w:rsidRPr="008371C1">
        <w:t>;</w:t>
      </w:r>
    </w:p>
    <w:p w:rsidR="00DA478B" w:rsidRPr="008371C1" w:rsidRDefault="00471445" w:rsidP="00471445">
      <w:pPr>
        <w:pStyle w:val="paragraph"/>
      </w:pPr>
      <w:r w:rsidRPr="008371C1">
        <w:tab/>
        <w:t>(c)</w:t>
      </w:r>
      <w:r w:rsidRPr="008371C1">
        <w:tab/>
        <w:t>the Transport Code.</w:t>
      </w:r>
    </w:p>
    <w:p w:rsidR="0020055B" w:rsidRPr="008371C1" w:rsidRDefault="00314A98" w:rsidP="0020055B">
      <w:pPr>
        <w:pStyle w:val="ItemHead"/>
      </w:pPr>
      <w:r w:rsidRPr="008371C1">
        <w:t>30</w:t>
      </w:r>
      <w:r w:rsidR="0020055B" w:rsidRPr="008371C1">
        <w:t xml:space="preserve">  </w:t>
      </w:r>
      <w:r w:rsidR="00667319" w:rsidRPr="008371C1">
        <w:t>Part</w:t>
      </w:r>
      <w:r w:rsidR="008371C1" w:rsidRPr="008371C1">
        <w:t> </w:t>
      </w:r>
      <w:r w:rsidR="00667319" w:rsidRPr="008371C1">
        <w:t>8</w:t>
      </w:r>
    </w:p>
    <w:p w:rsidR="0020055B" w:rsidRPr="008371C1" w:rsidRDefault="00486188" w:rsidP="0020055B">
      <w:pPr>
        <w:pStyle w:val="Item"/>
      </w:pPr>
      <w:r w:rsidRPr="008371C1">
        <w:t xml:space="preserve">Repeal the </w:t>
      </w:r>
      <w:r w:rsidR="00667319" w:rsidRPr="008371C1">
        <w:t>Part</w:t>
      </w:r>
      <w:r w:rsidR="0020055B" w:rsidRPr="008371C1">
        <w:t>.</w:t>
      </w:r>
    </w:p>
    <w:p w:rsidR="005B0F44" w:rsidRPr="008371C1" w:rsidRDefault="00314A98" w:rsidP="00815D29">
      <w:pPr>
        <w:pStyle w:val="ItemHead"/>
      </w:pPr>
      <w:r w:rsidRPr="008371C1">
        <w:t>31</w:t>
      </w:r>
      <w:r w:rsidR="005B0F44" w:rsidRPr="008371C1">
        <w:t xml:space="preserve">  Clause</w:t>
      </w:r>
      <w:r w:rsidR="008371C1" w:rsidRPr="008371C1">
        <w:t> </w:t>
      </w:r>
      <w:r w:rsidR="005B0F44" w:rsidRPr="008371C1">
        <w:t xml:space="preserve">1 </w:t>
      </w:r>
      <w:r w:rsidR="00CD1F6B" w:rsidRPr="008371C1">
        <w:t xml:space="preserve">of </w:t>
      </w:r>
      <w:r w:rsidR="005B0F44" w:rsidRPr="008371C1">
        <w:t>Schedule</w:t>
      </w:r>
      <w:r w:rsidR="008371C1" w:rsidRPr="008371C1">
        <w:t> </w:t>
      </w:r>
      <w:r w:rsidR="005B0F44" w:rsidRPr="008371C1">
        <w:t>1 (table item</w:t>
      </w:r>
      <w:r w:rsidR="00A01D75" w:rsidRPr="008371C1">
        <w:t>s</w:t>
      </w:r>
      <w:r w:rsidR="008371C1" w:rsidRPr="008371C1">
        <w:t> </w:t>
      </w:r>
      <w:r w:rsidR="005B0F44" w:rsidRPr="008371C1">
        <w:t>4</w:t>
      </w:r>
      <w:r w:rsidR="00A01D75" w:rsidRPr="008371C1">
        <w:t xml:space="preserve"> and 5</w:t>
      </w:r>
      <w:r w:rsidR="005B0F44" w:rsidRPr="008371C1">
        <w:t>)</w:t>
      </w:r>
    </w:p>
    <w:p w:rsidR="005B0F44" w:rsidRPr="008371C1" w:rsidRDefault="005B0F44" w:rsidP="005B0F44">
      <w:pPr>
        <w:pStyle w:val="Item"/>
      </w:pPr>
      <w:r w:rsidRPr="008371C1">
        <w:t>Repeal the item</w:t>
      </w:r>
      <w:r w:rsidR="00A01D75" w:rsidRPr="008371C1">
        <w:t>s</w:t>
      </w:r>
      <w:r w:rsidRPr="008371C1">
        <w:t>, substitute:</w:t>
      </w:r>
    </w:p>
    <w:p w:rsidR="005B0F44" w:rsidRPr="008371C1" w:rsidRDefault="005B0F44" w:rsidP="005B0F44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4"/>
        <w:gridCol w:w="7673"/>
      </w:tblGrid>
      <w:tr w:rsidR="005B0F44" w:rsidRPr="008371C1" w:rsidTr="00A01D75">
        <w:tc>
          <w:tcPr>
            <w:tcW w:w="501" w:type="pct"/>
            <w:shd w:val="clear" w:color="auto" w:fill="auto"/>
          </w:tcPr>
          <w:p w:rsidR="005B0F44" w:rsidRPr="008371C1" w:rsidRDefault="005B0F44" w:rsidP="002362FE">
            <w:pPr>
              <w:pStyle w:val="Tabletext"/>
            </w:pPr>
            <w:r w:rsidRPr="008371C1">
              <w:t>4</w:t>
            </w:r>
          </w:p>
        </w:tc>
        <w:tc>
          <w:tcPr>
            <w:tcW w:w="4499" w:type="pct"/>
            <w:shd w:val="clear" w:color="auto" w:fill="auto"/>
          </w:tcPr>
          <w:p w:rsidR="005B0F44" w:rsidRPr="008371C1" w:rsidRDefault="005B0F44" w:rsidP="00614AE3">
            <w:pPr>
              <w:pStyle w:val="Tabletext"/>
            </w:pPr>
            <w:r w:rsidRPr="008371C1">
              <w:t>The maximum permissible exposure limits mentioned in AS/NZS IEC 60825.1:2014</w:t>
            </w:r>
          </w:p>
        </w:tc>
      </w:tr>
      <w:tr w:rsidR="00A01D75" w:rsidRPr="008371C1" w:rsidTr="00A01D75">
        <w:tc>
          <w:tcPr>
            <w:tcW w:w="501" w:type="pct"/>
            <w:shd w:val="clear" w:color="auto" w:fill="auto"/>
          </w:tcPr>
          <w:p w:rsidR="00A01D75" w:rsidRPr="008371C1" w:rsidRDefault="00A01D75" w:rsidP="002362FE">
            <w:pPr>
              <w:pStyle w:val="Tabletext"/>
            </w:pPr>
            <w:r w:rsidRPr="008371C1">
              <w:t>5</w:t>
            </w:r>
          </w:p>
        </w:tc>
        <w:tc>
          <w:tcPr>
            <w:tcW w:w="4499" w:type="pct"/>
            <w:shd w:val="clear" w:color="auto" w:fill="auto"/>
          </w:tcPr>
          <w:p w:rsidR="00A01D75" w:rsidRPr="008371C1" w:rsidRDefault="00A01D75" w:rsidP="007F3B15">
            <w:pPr>
              <w:pStyle w:val="Tabletext"/>
            </w:pPr>
            <w:r w:rsidRPr="008371C1">
              <w:t>The exposure limits mentioned in AS/NZS IEC 6</w:t>
            </w:r>
            <w:r w:rsidR="007F3B15" w:rsidRPr="008371C1">
              <w:t>2471</w:t>
            </w:r>
            <w:r w:rsidRPr="008371C1">
              <w:t>:2011</w:t>
            </w:r>
          </w:p>
        </w:tc>
      </w:tr>
    </w:tbl>
    <w:p w:rsidR="005B0F44" w:rsidRPr="008371C1" w:rsidRDefault="005B0F44" w:rsidP="005B0F44">
      <w:pPr>
        <w:pStyle w:val="Tabletext"/>
      </w:pPr>
    </w:p>
    <w:p w:rsidR="005B0F44" w:rsidRPr="008371C1" w:rsidRDefault="00314A98" w:rsidP="005B0F44">
      <w:pPr>
        <w:pStyle w:val="ItemHead"/>
      </w:pPr>
      <w:r w:rsidRPr="008371C1">
        <w:t>32</w:t>
      </w:r>
      <w:r w:rsidR="005B0F44" w:rsidRPr="008371C1">
        <w:t xml:space="preserve">  Clause</w:t>
      </w:r>
      <w:r w:rsidR="008371C1" w:rsidRPr="008371C1">
        <w:t> </w:t>
      </w:r>
      <w:r w:rsidR="005B0F44" w:rsidRPr="008371C1">
        <w:t>1 of Schedule</w:t>
      </w:r>
      <w:r w:rsidR="008371C1" w:rsidRPr="008371C1">
        <w:t> </w:t>
      </w:r>
      <w:r w:rsidR="005B0F44" w:rsidRPr="008371C1">
        <w:t>1 (note)</w:t>
      </w:r>
    </w:p>
    <w:p w:rsidR="005B0F44" w:rsidRPr="008371C1" w:rsidRDefault="005B0F44" w:rsidP="005B0F44">
      <w:pPr>
        <w:pStyle w:val="Item"/>
      </w:pPr>
      <w:r w:rsidRPr="008371C1">
        <w:t>Omit “2015”, substitute “2017”.</w:t>
      </w:r>
    </w:p>
    <w:p w:rsidR="00614AE3" w:rsidRPr="008371C1" w:rsidRDefault="00314A98" w:rsidP="00614AE3">
      <w:pPr>
        <w:pStyle w:val="ItemHead"/>
      </w:pPr>
      <w:r w:rsidRPr="008371C1">
        <w:t>33</w:t>
      </w:r>
      <w:r w:rsidR="00614AE3" w:rsidRPr="008371C1">
        <w:t xml:space="preserve">  Clause</w:t>
      </w:r>
      <w:r w:rsidR="008371C1" w:rsidRPr="008371C1">
        <w:t> </w:t>
      </w:r>
      <w:r w:rsidR="00614AE3" w:rsidRPr="008371C1">
        <w:t>1 of Schedule</w:t>
      </w:r>
      <w:r w:rsidR="008371C1" w:rsidRPr="008371C1">
        <w:t> </w:t>
      </w:r>
      <w:r w:rsidR="00614AE3" w:rsidRPr="008371C1">
        <w:t>2 (table item</w:t>
      </w:r>
      <w:r w:rsidR="008371C1" w:rsidRPr="008371C1">
        <w:t> </w:t>
      </w:r>
      <w:r w:rsidR="00614AE3" w:rsidRPr="008371C1">
        <w:t>4</w:t>
      </w:r>
      <w:r w:rsidR="0008760A" w:rsidRPr="008371C1">
        <w:t xml:space="preserve">, </w:t>
      </w:r>
      <w:r w:rsidR="008371C1" w:rsidRPr="008371C1">
        <w:t>paragraph (</w:t>
      </w:r>
      <w:r w:rsidR="0008760A" w:rsidRPr="008371C1">
        <w:t>c)</w:t>
      </w:r>
      <w:r w:rsidR="00614AE3" w:rsidRPr="008371C1">
        <w:t>)</w:t>
      </w:r>
    </w:p>
    <w:p w:rsidR="00614AE3" w:rsidRPr="008371C1" w:rsidRDefault="00614AE3" w:rsidP="00614AE3">
      <w:pPr>
        <w:pStyle w:val="Item"/>
      </w:pPr>
      <w:r w:rsidRPr="008371C1">
        <w:t>Repeal the paragraph, substitute:</w:t>
      </w:r>
    </w:p>
    <w:p w:rsidR="00614AE3" w:rsidRPr="008371C1" w:rsidRDefault="00614AE3" w:rsidP="00614AE3">
      <w:pPr>
        <w:pStyle w:val="paragraph"/>
      </w:pPr>
      <w:r w:rsidRPr="008371C1">
        <w:tab/>
        <w:t>(c)</w:t>
      </w:r>
      <w:r w:rsidRPr="008371C1">
        <w:tab/>
        <w:t>is in a container for controlled materials that complies with the requirements in th</w:t>
      </w:r>
      <w:r w:rsidR="003C5112" w:rsidRPr="008371C1">
        <w:t>e Transport Code</w:t>
      </w:r>
      <w:r w:rsidRPr="008371C1">
        <w:t>.</w:t>
      </w:r>
    </w:p>
    <w:p w:rsidR="005B0F44" w:rsidRPr="008371C1" w:rsidRDefault="00314A98" w:rsidP="005B0F44">
      <w:pPr>
        <w:pStyle w:val="ItemHead"/>
      </w:pPr>
      <w:r w:rsidRPr="008371C1">
        <w:t>34</w:t>
      </w:r>
      <w:r w:rsidR="005B0F44" w:rsidRPr="008371C1">
        <w:t xml:space="preserve">  </w:t>
      </w:r>
      <w:r w:rsidR="00C931C6" w:rsidRPr="008371C1">
        <w:t>Clause</w:t>
      </w:r>
      <w:r w:rsidR="008371C1" w:rsidRPr="008371C1">
        <w:t> </w:t>
      </w:r>
      <w:r w:rsidR="00C931C6" w:rsidRPr="008371C1">
        <w:t>1 of Schedule</w:t>
      </w:r>
      <w:r w:rsidR="008371C1" w:rsidRPr="008371C1">
        <w:t> </w:t>
      </w:r>
      <w:r w:rsidR="00C931C6" w:rsidRPr="008371C1">
        <w:t>2 (table item</w:t>
      </w:r>
      <w:r w:rsidR="008371C1" w:rsidRPr="008371C1">
        <w:t> </w:t>
      </w:r>
      <w:r w:rsidR="00C931C6" w:rsidRPr="008371C1">
        <w:t>6)</w:t>
      </w:r>
    </w:p>
    <w:p w:rsidR="00C931C6" w:rsidRPr="008371C1" w:rsidRDefault="00C931C6" w:rsidP="00C931C6">
      <w:pPr>
        <w:pStyle w:val="Item"/>
      </w:pPr>
      <w:r w:rsidRPr="008371C1">
        <w:t>Repeal the item, substitute:</w:t>
      </w:r>
    </w:p>
    <w:p w:rsidR="005777C5" w:rsidRPr="008371C1" w:rsidRDefault="005777C5" w:rsidP="005777C5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23"/>
        <w:gridCol w:w="7106"/>
      </w:tblGrid>
      <w:tr w:rsidR="005777C5" w:rsidRPr="008371C1" w:rsidTr="005777C5">
        <w:trPr>
          <w:cantSplit/>
        </w:trPr>
        <w:tc>
          <w:tcPr>
            <w:tcW w:w="834" w:type="pct"/>
            <w:shd w:val="clear" w:color="auto" w:fill="auto"/>
          </w:tcPr>
          <w:p w:rsidR="005777C5" w:rsidRPr="008371C1" w:rsidRDefault="005777C5" w:rsidP="002362FE">
            <w:pPr>
              <w:pStyle w:val="Tabletext"/>
            </w:pPr>
            <w:r w:rsidRPr="008371C1">
              <w:t>6</w:t>
            </w:r>
          </w:p>
        </w:tc>
        <w:tc>
          <w:tcPr>
            <w:tcW w:w="4166" w:type="pct"/>
            <w:shd w:val="clear" w:color="auto" w:fill="auto"/>
          </w:tcPr>
          <w:p w:rsidR="005777C5" w:rsidRPr="008371C1" w:rsidRDefault="005777C5" w:rsidP="002362FE">
            <w:pPr>
              <w:pStyle w:val="Tabletext"/>
            </w:pPr>
            <w:r w:rsidRPr="008371C1">
              <w:t>The dealing involves a smoke detector designed and made in accordance with Australian Standard AS</w:t>
            </w:r>
            <w:r w:rsidR="005E768B" w:rsidRPr="008371C1">
              <w:t xml:space="preserve"> </w:t>
            </w:r>
            <w:r w:rsidR="00573CD3" w:rsidRPr="008371C1">
              <w:t>3786:</w:t>
            </w:r>
            <w:r w:rsidRPr="008371C1">
              <w:t xml:space="preserve">2014: </w:t>
            </w:r>
            <w:r w:rsidRPr="008371C1">
              <w:rPr>
                <w:i/>
              </w:rPr>
              <w:t>Smoke Alarms using scattered light, transmitted light or ionizatio</w:t>
            </w:r>
            <w:r w:rsidR="005E768B" w:rsidRPr="008371C1">
              <w:rPr>
                <w:i/>
              </w:rPr>
              <w:t>n</w:t>
            </w:r>
            <w:r w:rsidR="00E64AB8" w:rsidRPr="008371C1">
              <w:t>, as existing on 1</w:t>
            </w:r>
            <w:r w:rsidR="008371C1" w:rsidRPr="008371C1">
              <w:t> </w:t>
            </w:r>
            <w:r w:rsidR="00E64AB8" w:rsidRPr="008371C1">
              <w:t>July 2017</w:t>
            </w:r>
            <w:r w:rsidRPr="008371C1">
              <w:t>.</w:t>
            </w:r>
          </w:p>
          <w:p w:rsidR="005777C5" w:rsidRPr="008371C1" w:rsidRDefault="005777C5" w:rsidP="002362FE">
            <w:pPr>
              <w:pStyle w:val="Tabletext"/>
            </w:pPr>
            <w:r w:rsidRPr="008371C1">
              <w:t>The dealing is not repair or maintenance of the detector.</w:t>
            </w:r>
          </w:p>
        </w:tc>
      </w:tr>
    </w:tbl>
    <w:p w:rsidR="00C931C6" w:rsidRPr="008371C1" w:rsidRDefault="00C931C6" w:rsidP="005777C5">
      <w:pPr>
        <w:pStyle w:val="Tabletext"/>
      </w:pPr>
    </w:p>
    <w:p w:rsidR="00CD1F6B" w:rsidRPr="008371C1" w:rsidRDefault="00314A98" w:rsidP="00CD1F6B">
      <w:pPr>
        <w:pStyle w:val="ItemHead"/>
      </w:pPr>
      <w:r w:rsidRPr="008371C1">
        <w:t>35</w:t>
      </w:r>
      <w:r w:rsidR="00CD1F6B" w:rsidRPr="008371C1">
        <w:t xml:space="preserve">  Clause</w:t>
      </w:r>
      <w:r w:rsidR="008371C1" w:rsidRPr="008371C1">
        <w:t> </w:t>
      </w:r>
      <w:r w:rsidR="00CD1F6B" w:rsidRPr="008371C1">
        <w:t>1 of Schedule</w:t>
      </w:r>
      <w:r w:rsidR="008371C1" w:rsidRPr="008371C1">
        <w:t> </w:t>
      </w:r>
      <w:r w:rsidR="00CD1F6B" w:rsidRPr="008371C1">
        <w:t>2 (note)</w:t>
      </w:r>
    </w:p>
    <w:p w:rsidR="00017110" w:rsidRPr="008371C1" w:rsidRDefault="00E64AB8" w:rsidP="00007A35">
      <w:pPr>
        <w:pStyle w:val="Item"/>
      </w:pPr>
      <w:r w:rsidRPr="008371C1">
        <w:t>Repeal the note</w:t>
      </w:r>
      <w:r w:rsidR="00007A35" w:rsidRPr="008371C1">
        <w:t>.</w:t>
      </w:r>
    </w:p>
    <w:p w:rsidR="00770364" w:rsidRPr="008371C1" w:rsidRDefault="00314A98" w:rsidP="00770364">
      <w:pPr>
        <w:pStyle w:val="ItemHead"/>
      </w:pPr>
      <w:r w:rsidRPr="008371C1">
        <w:t>36</w:t>
      </w:r>
      <w:r w:rsidR="00770364" w:rsidRPr="008371C1">
        <w:t xml:space="preserve">  </w:t>
      </w:r>
      <w:r w:rsidR="00F17211" w:rsidRPr="008371C1">
        <w:t>Clause</w:t>
      </w:r>
      <w:r w:rsidR="008371C1" w:rsidRPr="008371C1">
        <w:t> </w:t>
      </w:r>
      <w:r w:rsidR="00F17211" w:rsidRPr="008371C1">
        <w:t>1 of Schedule</w:t>
      </w:r>
      <w:r w:rsidR="008371C1" w:rsidRPr="008371C1">
        <w:t> </w:t>
      </w:r>
      <w:r w:rsidR="00F17211" w:rsidRPr="008371C1">
        <w:t>3C (table item</w:t>
      </w:r>
      <w:r w:rsidR="00FD0A04" w:rsidRPr="008371C1">
        <w:t>s</w:t>
      </w:r>
      <w:r w:rsidR="008371C1" w:rsidRPr="008371C1">
        <w:t> </w:t>
      </w:r>
      <w:r w:rsidR="00F17211" w:rsidRPr="008371C1">
        <w:t>23</w:t>
      </w:r>
      <w:r w:rsidR="00FD0A04" w:rsidRPr="008371C1">
        <w:t xml:space="preserve"> and 24</w:t>
      </w:r>
      <w:r w:rsidR="00F17211" w:rsidRPr="008371C1">
        <w:t>)</w:t>
      </w:r>
    </w:p>
    <w:p w:rsidR="00F17211" w:rsidRPr="008371C1" w:rsidRDefault="00F17211" w:rsidP="00F17211">
      <w:pPr>
        <w:pStyle w:val="Item"/>
      </w:pPr>
      <w:r w:rsidRPr="008371C1">
        <w:t>Repeal the item</w:t>
      </w:r>
      <w:r w:rsidR="00FD0A04" w:rsidRPr="008371C1">
        <w:t>s</w:t>
      </w:r>
      <w:r w:rsidRPr="008371C1">
        <w:t>, substitute:</w:t>
      </w:r>
    </w:p>
    <w:p w:rsidR="00F17211" w:rsidRPr="008371C1" w:rsidRDefault="00F17211" w:rsidP="00F17211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7709"/>
      </w:tblGrid>
      <w:tr w:rsidR="00F17211" w:rsidRPr="008371C1" w:rsidTr="00A01D75">
        <w:tc>
          <w:tcPr>
            <w:tcW w:w="481" w:type="pct"/>
            <w:shd w:val="clear" w:color="auto" w:fill="auto"/>
          </w:tcPr>
          <w:p w:rsidR="00F17211" w:rsidRPr="008371C1" w:rsidRDefault="00F17211" w:rsidP="002B3974">
            <w:pPr>
              <w:pStyle w:val="Tabletext"/>
            </w:pPr>
            <w:r w:rsidRPr="008371C1">
              <w:t>23</w:t>
            </w:r>
          </w:p>
        </w:tc>
        <w:tc>
          <w:tcPr>
            <w:tcW w:w="4519" w:type="pct"/>
            <w:shd w:val="clear" w:color="auto" w:fill="auto"/>
          </w:tcPr>
          <w:p w:rsidR="00F17211" w:rsidRPr="008371C1" w:rsidRDefault="00F17211" w:rsidP="00007A35">
            <w:pPr>
              <w:pStyle w:val="Tabletext"/>
            </w:pPr>
            <w:r w:rsidRPr="008371C1">
              <w:t>Laser prod</w:t>
            </w:r>
            <w:r w:rsidR="00007A35" w:rsidRPr="008371C1">
              <w:t>uct with an accessible emission</w:t>
            </w:r>
            <w:r w:rsidRPr="008371C1">
              <w:t xml:space="preserve"> that exceeds the accessible emission limit</w:t>
            </w:r>
            <w:r w:rsidR="00007A35" w:rsidRPr="008371C1">
              <w:t xml:space="preserve">s </w:t>
            </w:r>
            <w:r w:rsidRPr="008371C1">
              <w:t>of a Class 3R laser product, as set out in AS/NZS IEC 60825.1:2014</w:t>
            </w:r>
          </w:p>
        </w:tc>
      </w:tr>
      <w:tr w:rsidR="00FD0A04" w:rsidRPr="008371C1" w:rsidTr="00A01D75">
        <w:tc>
          <w:tcPr>
            <w:tcW w:w="481" w:type="pct"/>
            <w:shd w:val="clear" w:color="auto" w:fill="auto"/>
          </w:tcPr>
          <w:p w:rsidR="00FD0A04" w:rsidRPr="008371C1" w:rsidRDefault="00FD0A04" w:rsidP="002B3974">
            <w:pPr>
              <w:pStyle w:val="Tabletext"/>
            </w:pPr>
            <w:r w:rsidRPr="008371C1">
              <w:t>24</w:t>
            </w:r>
          </w:p>
        </w:tc>
        <w:tc>
          <w:tcPr>
            <w:tcW w:w="4519" w:type="pct"/>
            <w:shd w:val="clear" w:color="auto" w:fill="auto"/>
          </w:tcPr>
          <w:p w:rsidR="00FD0A04" w:rsidRPr="008371C1" w:rsidRDefault="00FD0A04" w:rsidP="00E7331B">
            <w:pPr>
              <w:pStyle w:val="Tabletext"/>
            </w:pPr>
            <w:r w:rsidRPr="008371C1">
              <w:t xml:space="preserve">Optical fibre communication system exceeding Hazard Level 3R, </w:t>
            </w:r>
            <w:r w:rsidR="00E7331B" w:rsidRPr="008371C1">
              <w:t>as defined by</w:t>
            </w:r>
            <w:r w:rsidRPr="008371C1">
              <w:t xml:space="preserve"> AS/NZS IEC 60825.2:2011 </w:t>
            </w:r>
          </w:p>
        </w:tc>
      </w:tr>
    </w:tbl>
    <w:p w:rsidR="00F17211" w:rsidRPr="008371C1" w:rsidRDefault="00F17211" w:rsidP="00F17211">
      <w:pPr>
        <w:pStyle w:val="Tabletext"/>
      </w:pPr>
    </w:p>
    <w:p w:rsidR="00657135" w:rsidRPr="008371C1" w:rsidRDefault="00314A98" w:rsidP="00657135">
      <w:pPr>
        <w:pStyle w:val="ItemHead"/>
      </w:pPr>
      <w:r w:rsidRPr="008371C1">
        <w:t>37</w:t>
      </w:r>
      <w:r w:rsidR="00657135" w:rsidRPr="008371C1">
        <w:t xml:space="preserve">  Clause</w:t>
      </w:r>
      <w:r w:rsidR="008371C1" w:rsidRPr="008371C1">
        <w:t> </w:t>
      </w:r>
      <w:r w:rsidR="00657135" w:rsidRPr="008371C1">
        <w:t>1 of Schedule</w:t>
      </w:r>
      <w:r w:rsidR="008371C1" w:rsidRPr="008371C1">
        <w:t> </w:t>
      </w:r>
      <w:r w:rsidR="00657135" w:rsidRPr="008371C1">
        <w:t>3C (</w:t>
      </w:r>
      <w:r w:rsidR="00573CD3" w:rsidRPr="008371C1">
        <w:t xml:space="preserve">at the end of the cell at </w:t>
      </w:r>
      <w:r w:rsidR="00657135" w:rsidRPr="008371C1">
        <w:t>table item</w:t>
      </w:r>
      <w:r w:rsidR="008371C1" w:rsidRPr="008371C1">
        <w:t> </w:t>
      </w:r>
      <w:r w:rsidR="00657135" w:rsidRPr="008371C1">
        <w:t>32</w:t>
      </w:r>
      <w:r w:rsidR="00573CD3" w:rsidRPr="008371C1">
        <w:t xml:space="preserve">, column headed </w:t>
      </w:r>
      <w:r w:rsidR="008E534F" w:rsidRPr="008371C1">
        <w:t>“</w:t>
      </w:r>
      <w:r w:rsidR="00573CD3" w:rsidRPr="008371C1">
        <w:t>Controlled apparatus or controlled material</w:t>
      </w:r>
      <w:r w:rsidR="008E534F" w:rsidRPr="008371C1">
        <w:t>”</w:t>
      </w:r>
      <w:r w:rsidR="00657135" w:rsidRPr="008371C1">
        <w:t>)</w:t>
      </w:r>
    </w:p>
    <w:p w:rsidR="00657135" w:rsidRPr="008371C1" w:rsidRDefault="00573CD3" w:rsidP="00657135">
      <w:pPr>
        <w:pStyle w:val="Item"/>
      </w:pPr>
      <w:r w:rsidRPr="008371C1">
        <w:t>Add</w:t>
      </w:r>
      <w:r w:rsidR="00657135" w:rsidRPr="008371C1">
        <w:t xml:space="preserve"> </w:t>
      </w:r>
      <w:r w:rsidR="002F6792" w:rsidRPr="008371C1">
        <w:t>“in the environment”.</w:t>
      </w:r>
    </w:p>
    <w:sectPr w:rsidR="00657135" w:rsidRPr="008371C1" w:rsidSect="001126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69" w:rsidRDefault="00A35869" w:rsidP="0048364F">
      <w:pPr>
        <w:spacing w:line="240" w:lineRule="auto"/>
      </w:pPr>
      <w:r>
        <w:separator/>
      </w:r>
    </w:p>
  </w:endnote>
  <w:endnote w:type="continuationSeparator" w:id="0">
    <w:p w:rsidR="00A35869" w:rsidRDefault="00A3586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69" w:rsidRPr="00112618" w:rsidRDefault="00112618" w:rsidP="001126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12618">
      <w:rPr>
        <w:i/>
        <w:sz w:val="18"/>
      </w:rPr>
      <w:t>OPC62507 -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18" w:rsidRPr="00112618" w:rsidRDefault="00112618" w:rsidP="00112618">
    <w:pPr>
      <w:pStyle w:val="Footer"/>
      <w:rPr>
        <w:i/>
        <w:sz w:val="18"/>
      </w:rPr>
    </w:pPr>
    <w:r w:rsidRPr="00112618">
      <w:rPr>
        <w:i/>
        <w:sz w:val="18"/>
      </w:rPr>
      <w:t>OPC62507 -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69" w:rsidRDefault="00A35869" w:rsidP="00486382">
    <w:pPr>
      <w:pStyle w:val="Footer"/>
    </w:pPr>
  </w:p>
  <w:p w:rsidR="00A35869" w:rsidRPr="00112618" w:rsidRDefault="00112618" w:rsidP="00112618">
    <w:pPr>
      <w:pStyle w:val="Footer"/>
      <w:rPr>
        <w:i/>
        <w:sz w:val="18"/>
      </w:rPr>
    </w:pPr>
    <w:r w:rsidRPr="00112618">
      <w:rPr>
        <w:i/>
        <w:sz w:val="18"/>
      </w:rPr>
      <w:t>OPC62507 -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69" w:rsidRPr="00E33C1C" w:rsidRDefault="00A35869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35869" w:rsidTr="00102F0C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A35869" w:rsidRDefault="00A35869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374E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A35869" w:rsidRDefault="00A35869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33C3">
            <w:rPr>
              <w:i/>
              <w:sz w:val="18"/>
            </w:rPr>
            <w:t>Australian Radiation Protection and Nuclear Safety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A35869" w:rsidRDefault="00A35869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A35869" w:rsidRPr="00112618" w:rsidRDefault="00112618" w:rsidP="00112618">
    <w:pPr>
      <w:rPr>
        <w:rFonts w:cs="Times New Roman"/>
        <w:i/>
        <w:sz w:val="18"/>
      </w:rPr>
    </w:pPr>
    <w:r w:rsidRPr="00112618">
      <w:rPr>
        <w:rFonts w:cs="Times New Roman"/>
        <w:i/>
        <w:sz w:val="18"/>
      </w:rPr>
      <w:t>OPC62507 -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69" w:rsidRPr="00E33C1C" w:rsidRDefault="00A35869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35869" w:rsidTr="00102F0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A35869" w:rsidRDefault="00A35869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A35869" w:rsidRDefault="00A35869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33C3">
            <w:rPr>
              <w:i/>
              <w:sz w:val="18"/>
            </w:rPr>
            <w:t>Australian Radiation Protection and Nuclear Safety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A35869" w:rsidRDefault="00A35869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52E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35869" w:rsidRPr="00112618" w:rsidRDefault="00112618" w:rsidP="00112618">
    <w:pPr>
      <w:rPr>
        <w:rFonts w:cs="Times New Roman"/>
        <w:i/>
        <w:sz w:val="18"/>
      </w:rPr>
    </w:pPr>
    <w:r w:rsidRPr="00112618">
      <w:rPr>
        <w:rFonts w:cs="Times New Roman"/>
        <w:i/>
        <w:sz w:val="18"/>
      </w:rPr>
      <w:t>OPC62507 -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69" w:rsidRPr="00E33C1C" w:rsidRDefault="00A35869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35869" w:rsidTr="00102F0C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A35869" w:rsidRDefault="00A35869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6F6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A35869" w:rsidRDefault="00A35869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33C3">
            <w:rPr>
              <w:i/>
              <w:sz w:val="18"/>
            </w:rPr>
            <w:t>Australian Radiation Protection and Nuclear Safety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A35869" w:rsidRDefault="00A35869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A35869" w:rsidRPr="00112618" w:rsidRDefault="00112618" w:rsidP="00112618">
    <w:pPr>
      <w:rPr>
        <w:rFonts w:cs="Times New Roman"/>
        <w:i/>
        <w:sz w:val="18"/>
      </w:rPr>
    </w:pPr>
    <w:r w:rsidRPr="00112618">
      <w:rPr>
        <w:rFonts w:cs="Times New Roman"/>
        <w:i/>
        <w:sz w:val="18"/>
      </w:rPr>
      <w:t>OPC62507 -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69" w:rsidRPr="00E33C1C" w:rsidRDefault="00A35869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35869" w:rsidTr="00102F0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A35869" w:rsidRDefault="00A35869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A35869" w:rsidRDefault="00A35869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33C3">
            <w:rPr>
              <w:i/>
              <w:sz w:val="18"/>
            </w:rPr>
            <w:t>Australian Radiation Protection and Nuclear Safety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A35869" w:rsidRDefault="00A35869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6F6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35869" w:rsidRPr="00112618" w:rsidRDefault="00112618" w:rsidP="00112618">
    <w:pPr>
      <w:rPr>
        <w:rFonts w:cs="Times New Roman"/>
        <w:i/>
        <w:sz w:val="18"/>
      </w:rPr>
    </w:pPr>
    <w:r w:rsidRPr="00112618">
      <w:rPr>
        <w:rFonts w:cs="Times New Roman"/>
        <w:i/>
        <w:sz w:val="18"/>
      </w:rPr>
      <w:t>OPC62507 -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69" w:rsidRPr="00E33C1C" w:rsidRDefault="00A35869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35869" w:rsidTr="00102F0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A35869" w:rsidRDefault="00A35869" w:rsidP="002362F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A35869" w:rsidRDefault="00A35869" w:rsidP="002362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33C3">
            <w:rPr>
              <w:i/>
              <w:sz w:val="18"/>
            </w:rPr>
            <w:t>Australian Radiation Protection and Nuclear Safety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A35869" w:rsidRDefault="00A35869" w:rsidP="002362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374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35869" w:rsidRPr="00112618" w:rsidRDefault="00112618" w:rsidP="00112618">
    <w:pPr>
      <w:rPr>
        <w:rFonts w:cs="Times New Roman"/>
        <w:i/>
        <w:sz w:val="18"/>
      </w:rPr>
    </w:pPr>
    <w:r w:rsidRPr="00112618">
      <w:rPr>
        <w:rFonts w:cs="Times New Roman"/>
        <w:i/>
        <w:sz w:val="18"/>
      </w:rPr>
      <w:t>OPC62507 -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69" w:rsidRDefault="00A35869" w:rsidP="0048364F">
      <w:pPr>
        <w:spacing w:line="240" w:lineRule="auto"/>
      </w:pPr>
      <w:r>
        <w:separator/>
      </w:r>
    </w:p>
  </w:footnote>
  <w:footnote w:type="continuationSeparator" w:id="0">
    <w:p w:rsidR="00A35869" w:rsidRDefault="00A3586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69" w:rsidRPr="005F1388" w:rsidRDefault="00A3586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69" w:rsidRPr="005F1388" w:rsidRDefault="00A3586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69" w:rsidRPr="005F1388" w:rsidRDefault="00A3586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69" w:rsidRPr="00ED79B6" w:rsidRDefault="00A35869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69" w:rsidRPr="00ED79B6" w:rsidRDefault="00A3586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69" w:rsidRPr="00ED79B6" w:rsidRDefault="00A3586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69" w:rsidRPr="00A961C4" w:rsidRDefault="00A35869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752E6">
      <w:rPr>
        <w:b/>
        <w:sz w:val="20"/>
      </w:rPr>
      <w:fldChar w:fldCharType="separate"/>
    </w:r>
    <w:r w:rsidR="00D06F6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752E6">
      <w:rPr>
        <w:sz w:val="20"/>
      </w:rPr>
      <w:fldChar w:fldCharType="separate"/>
    </w:r>
    <w:r w:rsidR="00D06F6A">
      <w:rPr>
        <w:noProof/>
        <w:sz w:val="20"/>
      </w:rPr>
      <w:t>Amendments</w:t>
    </w:r>
    <w:r>
      <w:rPr>
        <w:sz w:val="20"/>
      </w:rPr>
      <w:fldChar w:fldCharType="end"/>
    </w:r>
  </w:p>
  <w:p w:rsidR="00A35869" w:rsidRPr="00A961C4" w:rsidRDefault="00A35869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E752E6">
      <w:rPr>
        <w:b/>
        <w:sz w:val="20"/>
      </w:rPr>
      <w:fldChar w:fldCharType="separate"/>
    </w:r>
    <w:r w:rsidR="00D06F6A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E752E6">
      <w:rPr>
        <w:sz w:val="20"/>
      </w:rPr>
      <w:fldChar w:fldCharType="separate"/>
    </w:r>
    <w:r w:rsidR="00D06F6A">
      <w:rPr>
        <w:noProof/>
        <w:sz w:val="20"/>
      </w:rPr>
      <w:t>Amendments of fees</w:t>
    </w:r>
    <w:r>
      <w:rPr>
        <w:sz w:val="20"/>
      </w:rPr>
      <w:fldChar w:fldCharType="end"/>
    </w:r>
  </w:p>
  <w:p w:rsidR="00A35869" w:rsidRPr="00A961C4" w:rsidRDefault="00A35869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69" w:rsidRPr="00A961C4" w:rsidRDefault="00A35869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A35869" w:rsidRPr="00A961C4" w:rsidRDefault="00A35869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35869" w:rsidRPr="00A961C4" w:rsidRDefault="00A35869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69" w:rsidRPr="00A961C4" w:rsidRDefault="00A35869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0C"/>
    <w:rsid w:val="0000167B"/>
    <w:rsid w:val="000041C6"/>
    <w:rsid w:val="000063E4"/>
    <w:rsid w:val="00007A35"/>
    <w:rsid w:val="00011222"/>
    <w:rsid w:val="000113BC"/>
    <w:rsid w:val="000136AF"/>
    <w:rsid w:val="0001448B"/>
    <w:rsid w:val="00017110"/>
    <w:rsid w:val="00025060"/>
    <w:rsid w:val="0004044E"/>
    <w:rsid w:val="0004139A"/>
    <w:rsid w:val="00044091"/>
    <w:rsid w:val="00047BD9"/>
    <w:rsid w:val="00060154"/>
    <w:rsid w:val="000614BF"/>
    <w:rsid w:val="00074D09"/>
    <w:rsid w:val="0008212F"/>
    <w:rsid w:val="0008760A"/>
    <w:rsid w:val="000C4E79"/>
    <w:rsid w:val="000D05EF"/>
    <w:rsid w:val="000E5852"/>
    <w:rsid w:val="000F21C1"/>
    <w:rsid w:val="000F6B02"/>
    <w:rsid w:val="000F7427"/>
    <w:rsid w:val="00102F0C"/>
    <w:rsid w:val="0010745C"/>
    <w:rsid w:val="00112618"/>
    <w:rsid w:val="00116975"/>
    <w:rsid w:val="00126F1A"/>
    <w:rsid w:val="00134AE8"/>
    <w:rsid w:val="00151864"/>
    <w:rsid w:val="00154EAC"/>
    <w:rsid w:val="00162E88"/>
    <w:rsid w:val="001643C9"/>
    <w:rsid w:val="00165568"/>
    <w:rsid w:val="00165AB9"/>
    <w:rsid w:val="00166C2F"/>
    <w:rsid w:val="001716C9"/>
    <w:rsid w:val="00171EAE"/>
    <w:rsid w:val="00184BEF"/>
    <w:rsid w:val="00187A5A"/>
    <w:rsid w:val="00191859"/>
    <w:rsid w:val="00193461"/>
    <w:rsid w:val="001939E1"/>
    <w:rsid w:val="00193A30"/>
    <w:rsid w:val="00195382"/>
    <w:rsid w:val="001A0F09"/>
    <w:rsid w:val="001B3097"/>
    <w:rsid w:val="001B7A5D"/>
    <w:rsid w:val="001C2BA3"/>
    <w:rsid w:val="001C69C4"/>
    <w:rsid w:val="001D4229"/>
    <w:rsid w:val="001D483B"/>
    <w:rsid w:val="001D7F83"/>
    <w:rsid w:val="001E04A3"/>
    <w:rsid w:val="001E16D0"/>
    <w:rsid w:val="001E3590"/>
    <w:rsid w:val="001E562E"/>
    <w:rsid w:val="001E6D4D"/>
    <w:rsid w:val="001E7407"/>
    <w:rsid w:val="001F6924"/>
    <w:rsid w:val="001F786A"/>
    <w:rsid w:val="00200138"/>
    <w:rsid w:val="0020055B"/>
    <w:rsid w:val="002014EA"/>
    <w:rsid w:val="00201D27"/>
    <w:rsid w:val="00231427"/>
    <w:rsid w:val="00234328"/>
    <w:rsid w:val="002362FE"/>
    <w:rsid w:val="00240749"/>
    <w:rsid w:val="00246A41"/>
    <w:rsid w:val="002565D2"/>
    <w:rsid w:val="00265FBC"/>
    <w:rsid w:val="00266D05"/>
    <w:rsid w:val="00292794"/>
    <w:rsid w:val="002932B1"/>
    <w:rsid w:val="00295408"/>
    <w:rsid w:val="00297ECB"/>
    <w:rsid w:val="002A0FFD"/>
    <w:rsid w:val="002A326A"/>
    <w:rsid w:val="002B2731"/>
    <w:rsid w:val="002B3974"/>
    <w:rsid w:val="002B5B89"/>
    <w:rsid w:val="002B5FE4"/>
    <w:rsid w:val="002B7D96"/>
    <w:rsid w:val="002D043A"/>
    <w:rsid w:val="002E001A"/>
    <w:rsid w:val="002F6792"/>
    <w:rsid w:val="00304E75"/>
    <w:rsid w:val="003072FA"/>
    <w:rsid w:val="00314A98"/>
    <w:rsid w:val="003170D5"/>
    <w:rsid w:val="0031713F"/>
    <w:rsid w:val="00326057"/>
    <w:rsid w:val="003329B0"/>
    <w:rsid w:val="00332EA2"/>
    <w:rsid w:val="003415D3"/>
    <w:rsid w:val="00352B0F"/>
    <w:rsid w:val="00361BD9"/>
    <w:rsid w:val="00363549"/>
    <w:rsid w:val="003801D0"/>
    <w:rsid w:val="0039228E"/>
    <w:rsid w:val="003926B5"/>
    <w:rsid w:val="003B04EC"/>
    <w:rsid w:val="003B6C4E"/>
    <w:rsid w:val="003C0006"/>
    <w:rsid w:val="003C5112"/>
    <w:rsid w:val="003C5F2B"/>
    <w:rsid w:val="003D0BFE"/>
    <w:rsid w:val="003D5700"/>
    <w:rsid w:val="003D7600"/>
    <w:rsid w:val="003E5FF5"/>
    <w:rsid w:val="003F4B4D"/>
    <w:rsid w:val="003F4CA9"/>
    <w:rsid w:val="003F567B"/>
    <w:rsid w:val="003F618B"/>
    <w:rsid w:val="004010E7"/>
    <w:rsid w:val="00401403"/>
    <w:rsid w:val="0040149D"/>
    <w:rsid w:val="004116CD"/>
    <w:rsid w:val="00412341"/>
    <w:rsid w:val="00412B83"/>
    <w:rsid w:val="00413356"/>
    <w:rsid w:val="00421A1F"/>
    <w:rsid w:val="00424CA9"/>
    <w:rsid w:val="00433910"/>
    <w:rsid w:val="00435A60"/>
    <w:rsid w:val="0044291A"/>
    <w:rsid w:val="00453338"/>
    <w:rsid w:val="004541B9"/>
    <w:rsid w:val="00460499"/>
    <w:rsid w:val="00471445"/>
    <w:rsid w:val="004722B3"/>
    <w:rsid w:val="00480FB9"/>
    <w:rsid w:val="0048364F"/>
    <w:rsid w:val="00486188"/>
    <w:rsid w:val="00486382"/>
    <w:rsid w:val="00496F97"/>
    <w:rsid w:val="004A2484"/>
    <w:rsid w:val="004C0255"/>
    <w:rsid w:val="004C5B5A"/>
    <w:rsid w:val="004C6444"/>
    <w:rsid w:val="004C6DE1"/>
    <w:rsid w:val="004C708E"/>
    <w:rsid w:val="004E6870"/>
    <w:rsid w:val="004F1FAC"/>
    <w:rsid w:val="004F3A90"/>
    <w:rsid w:val="004F40ED"/>
    <w:rsid w:val="004F676E"/>
    <w:rsid w:val="004F7862"/>
    <w:rsid w:val="00514501"/>
    <w:rsid w:val="00516B8D"/>
    <w:rsid w:val="00520A1E"/>
    <w:rsid w:val="00537FBC"/>
    <w:rsid w:val="00543469"/>
    <w:rsid w:val="00543EC5"/>
    <w:rsid w:val="00554691"/>
    <w:rsid w:val="00557C7A"/>
    <w:rsid w:val="00573CD3"/>
    <w:rsid w:val="005777C5"/>
    <w:rsid w:val="00584811"/>
    <w:rsid w:val="005851A5"/>
    <w:rsid w:val="0058646E"/>
    <w:rsid w:val="00591E07"/>
    <w:rsid w:val="00593135"/>
    <w:rsid w:val="00593AA6"/>
    <w:rsid w:val="00594161"/>
    <w:rsid w:val="00594749"/>
    <w:rsid w:val="005B0F44"/>
    <w:rsid w:val="005B4067"/>
    <w:rsid w:val="005C12DE"/>
    <w:rsid w:val="005C3F41"/>
    <w:rsid w:val="005E552A"/>
    <w:rsid w:val="005E768B"/>
    <w:rsid w:val="00600219"/>
    <w:rsid w:val="00601EE3"/>
    <w:rsid w:val="00614AE3"/>
    <w:rsid w:val="006249E6"/>
    <w:rsid w:val="00630733"/>
    <w:rsid w:val="00632E4C"/>
    <w:rsid w:val="0064468A"/>
    <w:rsid w:val="0065288A"/>
    <w:rsid w:val="00654CCA"/>
    <w:rsid w:val="00656DE9"/>
    <w:rsid w:val="00657135"/>
    <w:rsid w:val="00660239"/>
    <w:rsid w:val="00663BDD"/>
    <w:rsid w:val="0066641D"/>
    <w:rsid w:val="00667319"/>
    <w:rsid w:val="006759E2"/>
    <w:rsid w:val="00675BDE"/>
    <w:rsid w:val="00677CC2"/>
    <w:rsid w:val="00680F17"/>
    <w:rsid w:val="00685F42"/>
    <w:rsid w:val="0069207B"/>
    <w:rsid w:val="006924C0"/>
    <w:rsid w:val="006937E2"/>
    <w:rsid w:val="0069392E"/>
    <w:rsid w:val="006945C5"/>
    <w:rsid w:val="006975A9"/>
    <w:rsid w:val="006977FB"/>
    <w:rsid w:val="00697D68"/>
    <w:rsid w:val="006B262A"/>
    <w:rsid w:val="006C2C12"/>
    <w:rsid w:val="006C3FFF"/>
    <w:rsid w:val="006C7F8C"/>
    <w:rsid w:val="006D33C3"/>
    <w:rsid w:val="006D3667"/>
    <w:rsid w:val="006D4E91"/>
    <w:rsid w:val="006D676B"/>
    <w:rsid w:val="006D7BF1"/>
    <w:rsid w:val="006E004B"/>
    <w:rsid w:val="006E7147"/>
    <w:rsid w:val="00700162"/>
    <w:rsid w:val="00700B2C"/>
    <w:rsid w:val="00701E6A"/>
    <w:rsid w:val="00713084"/>
    <w:rsid w:val="007143B6"/>
    <w:rsid w:val="00722023"/>
    <w:rsid w:val="00731E00"/>
    <w:rsid w:val="007440B7"/>
    <w:rsid w:val="007634AD"/>
    <w:rsid w:val="00770364"/>
    <w:rsid w:val="007715C9"/>
    <w:rsid w:val="00774EDD"/>
    <w:rsid w:val="007757EC"/>
    <w:rsid w:val="007769D4"/>
    <w:rsid w:val="00785AFA"/>
    <w:rsid w:val="007903AC"/>
    <w:rsid w:val="00791C38"/>
    <w:rsid w:val="007A136B"/>
    <w:rsid w:val="007A3FD4"/>
    <w:rsid w:val="007A7F9F"/>
    <w:rsid w:val="007B1CC2"/>
    <w:rsid w:val="007D595F"/>
    <w:rsid w:val="007D76EA"/>
    <w:rsid w:val="007E7D4A"/>
    <w:rsid w:val="007F3B15"/>
    <w:rsid w:val="00815D29"/>
    <w:rsid w:val="00826DA5"/>
    <w:rsid w:val="00830AAB"/>
    <w:rsid w:val="00833416"/>
    <w:rsid w:val="008371C1"/>
    <w:rsid w:val="00840C8A"/>
    <w:rsid w:val="00841226"/>
    <w:rsid w:val="00856A31"/>
    <w:rsid w:val="00860E4A"/>
    <w:rsid w:val="00861A2D"/>
    <w:rsid w:val="00867554"/>
    <w:rsid w:val="00874B69"/>
    <w:rsid w:val="008754D0"/>
    <w:rsid w:val="008766B5"/>
    <w:rsid w:val="008772E6"/>
    <w:rsid w:val="00877D48"/>
    <w:rsid w:val="00880795"/>
    <w:rsid w:val="00884C03"/>
    <w:rsid w:val="00887A3D"/>
    <w:rsid w:val="0089783B"/>
    <w:rsid w:val="008B355B"/>
    <w:rsid w:val="008D0EE0"/>
    <w:rsid w:val="008D2C45"/>
    <w:rsid w:val="008E534F"/>
    <w:rsid w:val="008F07E3"/>
    <w:rsid w:val="008F4F1C"/>
    <w:rsid w:val="00903A7A"/>
    <w:rsid w:val="00907271"/>
    <w:rsid w:val="00911ED1"/>
    <w:rsid w:val="00917EB4"/>
    <w:rsid w:val="009203C5"/>
    <w:rsid w:val="00932377"/>
    <w:rsid w:val="00932A33"/>
    <w:rsid w:val="0095732F"/>
    <w:rsid w:val="00964077"/>
    <w:rsid w:val="0096753A"/>
    <w:rsid w:val="00981377"/>
    <w:rsid w:val="009848EC"/>
    <w:rsid w:val="00990AEB"/>
    <w:rsid w:val="00991029"/>
    <w:rsid w:val="00993E08"/>
    <w:rsid w:val="009A4366"/>
    <w:rsid w:val="009B3629"/>
    <w:rsid w:val="009B4A3E"/>
    <w:rsid w:val="009C25EE"/>
    <w:rsid w:val="009C261F"/>
    <w:rsid w:val="009C49D8"/>
    <w:rsid w:val="009D4DA1"/>
    <w:rsid w:val="009D7011"/>
    <w:rsid w:val="009E01BC"/>
    <w:rsid w:val="009E0536"/>
    <w:rsid w:val="009E3601"/>
    <w:rsid w:val="009F727E"/>
    <w:rsid w:val="00A01D75"/>
    <w:rsid w:val="00A078FA"/>
    <w:rsid w:val="00A1027A"/>
    <w:rsid w:val="00A14C77"/>
    <w:rsid w:val="00A2057D"/>
    <w:rsid w:val="00A231E2"/>
    <w:rsid w:val="00A249AE"/>
    <w:rsid w:val="00A2550D"/>
    <w:rsid w:val="00A26DBE"/>
    <w:rsid w:val="00A326A4"/>
    <w:rsid w:val="00A35869"/>
    <w:rsid w:val="00A4169B"/>
    <w:rsid w:val="00A4361F"/>
    <w:rsid w:val="00A5197F"/>
    <w:rsid w:val="00A52753"/>
    <w:rsid w:val="00A64912"/>
    <w:rsid w:val="00A6796A"/>
    <w:rsid w:val="00A70A74"/>
    <w:rsid w:val="00A71C4E"/>
    <w:rsid w:val="00A77EB2"/>
    <w:rsid w:val="00A85655"/>
    <w:rsid w:val="00A8648D"/>
    <w:rsid w:val="00A8694D"/>
    <w:rsid w:val="00A87AB9"/>
    <w:rsid w:val="00A97A38"/>
    <w:rsid w:val="00AA345C"/>
    <w:rsid w:val="00AB3315"/>
    <w:rsid w:val="00AB3833"/>
    <w:rsid w:val="00AB7461"/>
    <w:rsid w:val="00AB7B41"/>
    <w:rsid w:val="00AB7C34"/>
    <w:rsid w:val="00AC06B3"/>
    <w:rsid w:val="00AD5641"/>
    <w:rsid w:val="00AE3815"/>
    <w:rsid w:val="00AE50A2"/>
    <w:rsid w:val="00AF0336"/>
    <w:rsid w:val="00AF6613"/>
    <w:rsid w:val="00B00902"/>
    <w:rsid w:val="00B032D8"/>
    <w:rsid w:val="00B11B91"/>
    <w:rsid w:val="00B17CB3"/>
    <w:rsid w:val="00B332B8"/>
    <w:rsid w:val="00B33B3C"/>
    <w:rsid w:val="00B41BA1"/>
    <w:rsid w:val="00B44657"/>
    <w:rsid w:val="00B5152D"/>
    <w:rsid w:val="00B55FC7"/>
    <w:rsid w:val="00B61D2C"/>
    <w:rsid w:val="00B63BDE"/>
    <w:rsid w:val="00B655DE"/>
    <w:rsid w:val="00B7022C"/>
    <w:rsid w:val="00B75375"/>
    <w:rsid w:val="00B961CB"/>
    <w:rsid w:val="00BA14B8"/>
    <w:rsid w:val="00BA49AA"/>
    <w:rsid w:val="00BA5026"/>
    <w:rsid w:val="00BB2189"/>
    <w:rsid w:val="00BB6E79"/>
    <w:rsid w:val="00BC3016"/>
    <w:rsid w:val="00BC4F91"/>
    <w:rsid w:val="00BC5AC1"/>
    <w:rsid w:val="00BD60E6"/>
    <w:rsid w:val="00BE1A0F"/>
    <w:rsid w:val="00BE253A"/>
    <w:rsid w:val="00BE719A"/>
    <w:rsid w:val="00BE720A"/>
    <w:rsid w:val="00BF4533"/>
    <w:rsid w:val="00BF4FCE"/>
    <w:rsid w:val="00C067E5"/>
    <w:rsid w:val="00C15528"/>
    <w:rsid w:val="00C164CA"/>
    <w:rsid w:val="00C21205"/>
    <w:rsid w:val="00C21B63"/>
    <w:rsid w:val="00C24A7C"/>
    <w:rsid w:val="00C26FF9"/>
    <w:rsid w:val="00C31529"/>
    <w:rsid w:val="00C34ED1"/>
    <w:rsid w:val="00C42BF8"/>
    <w:rsid w:val="00C437E4"/>
    <w:rsid w:val="00C45747"/>
    <w:rsid w:val="00C460AE"/>
    <w:rsid w:val="00C50043"/>
    <w:rsid w:val="00C63713"/>
    <w:rsid w:val="00C64EF7"/>
    <w:rsid w:val="00C66434"/>
    <w:rsid w:val="00C7573B"/>
    <w:rsid w:val="00C768A2"/>
    <w:rsid w:val="00C76CF3"/>
    <w:rsid w:val="00C77E30"/>
    <w:rsid w:val="00C80A43"/>
    <w:rsid w:val="00C814F5"/>
    <w:rsid w:val="00C82AA8"/>
    <w:rsid w:val="00C931C6"/>
    <w:rsid w:val="00CA67C5"/>
    <w:rsid w:val="00CB0180"/>
    <w:rsid w:val="00CB104C"/>
    <w:rsid w:val="00CB3470"/>
    <w:rsid w:val="00CC043A"/>
    <w:rsid w:val="00CD1F6B"/>
    <w:rsid w:val="00CD606E"/>
    <w:rsid w:val="00CD7ECB"/>
    <w:rsid w:val="00CF0BB2"/>
    <w:rsid w:val="00CF2318"/>
    <w:rsid w:val="00D0104A"/>
    <w:rsid w:val="00D0374E"/>
    <w:rsid w:val="00D06F6A"/>
    <w:rsid w:val="00D13441"/>
    <w:rsid w:val="00D17B17"/>
    <w:rsid w:val="00D21ACB"/>
    <w:rsid w:val="00D243A3"/>
    <w:rsid w:val="00D26928"/>
    <w:rsid w:val="00D30E32"/>
    <w:rsid w:val="00D32379"/>
    <w:rsid w:val="00D333D9"/>
    <w:rsid w:val="00D33440"/>
    <w:rsid w:val="00D40403"/>
    <w:rsid w:val="00D52EFE"/>
    <w:rsid w:val="00D569A4"/>
    <w:rsid w:val="00D63EF6"/>
    <w:rsid w:val="00D67FBE"/>
    <w:rsid w:val="00D70DFB"/>
    <w:rsid w:val="00D737D9"/>
    <w:rsid w:val="00D766DF"/>
    <w:rsid w:val="00D817B6"/>
    <w:rsid w:val="00D83D21"/>
    <w:rsid w:val="00D84B58"/>
    <w:rsid w:val="00D925D1"/>
    <w:rsid w:val="00D97756"/>
    <w:rsid w:val="00DA478B"/>
    <w:rsid w:val="00DB73FD"/>
    <w:rsid w:val="00DC0C7A"/>
    <w:rsid w:val="00DC0F28"/>
    <w:rsid w:val="00DC3C5D"/>
    <w:rsid w:val="00DE0FE1"/>
    <w:rsid w:val="00DF4AE8"/>
    <w:rsid w:val="00E05704"/>
    <w:rsid w:val="00E05C46"/>
    <w:rsid w:val="00E26F13"/>
    <w:rsid w:val="00E30206"/>
    <w:rsid w:val="00E31CB4"/>
    <w:rsid w:val="00E33C1C"/>
    <w:rsid w:val="00E443FC"/>
    <w:rsid w:val="00E44804"/>
    <w:rsid w:val="00E45FE7"/>
    <w:rsid w:val="00E476B8"/>
    <w:rsid w:val="00E50742"/>
    <w:rsid w:val="00E54292"/>
    <w:rsid w:val="00E55BCD"/>
    <w:rsid w:val="00E64AB8"/>
    <w:rsid w:val="00E7331B"/>
    <w:rsid w:val="00E73EC4"/>
    <w:rsid w:val="00E74DC7"/>
    <w:rsid w:val="00E752E6"/>
    <w:rsid w:val="00E76FAB"/>
    <w:rsid w:val="00E83E2E"/>
    <w:rsid w:val="00E84B32"/>
    <w:rsid w:val="00E87699"/>
    <w:rsid w:val="00E97AAA"/>
    <w:rsid w:val="00EA4709"/>
    <w:rsid w:val="00EC3736"/>
    <w:rsid w:val="00ED3A7D"/>
    <w:rsid w:val="00EE45C8"/>
    <w:rsid w:val="00EF2E3A"/>
    <w:rsid w:val="00EF5B70"/>
    <w:rsid w:val="00F047E2"/>
    <w:rsid w:val="00F04D2A"/>
    <w:rsid w:val="00F078DC"/>
    <w:rsid w:val="00F13E86"/>
    <w:rsid w:val="00F17211"/>
    <w:rsid w:val="00F24C35"/>
    <w:rsid w:val="00F56759"/>
    <w:rsid w:val="00F677A9"/>
    <w:rsid w:val="00F71226"/>
    <w:rsid w:val="00F8078B"/>
    <w:rsid w:val="00F84CF5"/>
    <w:rsid w:val="00FA420B"/>
    <w:rsid w:val="00FA7945"/>
    <w:rsid w:val="00FB03B3"/>
    <w:rsid w:val="00FB1564"/>
    <w:rsid w:val="00FB192C"/>
    <w:rsid w:val="00FD0A04"/>
    <w:rsid w:val="00FD36BE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71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1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1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1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1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1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1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1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1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371C1"/>
  </w:style>
  <w:style w:type="paragraph" w:customStyle="1" w:styleId="OPCParaBase">
    <w:name w:val="OPCParaBase"/>
    <w:qFormat/>
    <w:rsid w:val="008371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371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371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371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371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371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371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371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371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71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371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371C1"/>
  </w:style>
  <w:style w:type="paragraph" w:customStyle="1" w:styleId="Blocks">
    <w:name w:val="Blocks"/>
    <w:aliases w:val="bb"/>
    <w:basedOn w:val="OPCParaBase"/>
    <w:qFormat/>
    <w:rsid w:val="008371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371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371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371C1"/>
    <w:rPr>
      <w:i/>
    </w:rPr>
  </w:style>
  <w:style w:type="paragraph" w:customStyle="1" w:styleId="BoxList">
    <w:name w:val="BoxList"/>
    <w:aliases w:val="bl"/>
    <w:basedOn w:val="BoxText"/>
    <w:qFormat/>
    <w:rsid w:val="008371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371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371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371C1"/>
    <w:pPr>
      <w:ind w:left="1985" w:hanging="851"/>
    </w:pPr>
  </w:style>
  <w:style w:type="character" w:customStyle="1" w:styleId="CharAmPartNo">
    <w:name w:val="CharAmPartNo"/>
    <w:basedOn w:val="OPCCharBase"/>
    <w:qFormat/>
    <w:rsid w:val="008371C1"/>
  </w:style>
  <w:style w:type="character" w:customStyle="1" w:styleId="CharAmPartText">
    <w:name w:val="CharAmPartText"/>
    <w:basedOn w:val="OPCCharBase"/>
    <w:qFormat/>
    <w:rsid w:val="008371C1"/>
  </w:style>
  <w:style w:type="character" w:customStyle="1" w:styleId="CharAmSchNo">
    <w:name w:val="CharAmSchNo"/>
    <w:basedOn w:val="OPCCharBase"/>
    <w:qFormat/>
    <w:rsid w:val="008371C1"/>
  </w:style>
  <w:style w:type="character" w:customStyle="1" w:styleId="CharAmSchText">
    <w:name w:val="CharAmSchText"/>
    <w:basedOn w:val="OPCCharBase"/>
    <w:qFormat/>
    <w:rsid w:val="008371C1"/>
  </w:style>
  <w:style w:type="character" w:customStyle="1" w:styleId="CharBoldItalic">
    <w:name w:val="CharBoldItalic"/>
    <w:basedOn w:val="OPCCharBase"/>
    <w:uiPriority w:val="1"/>
    <w:qFormat/>
    <w:rsid w:val="008371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371C1"/>
  </w:style>
  <w:style w:type="character" w:customStyle="1" w:styleId="CharChapText">
    <w:name w:val="CharChapText"/>
    <w:basedOn w:val="OPCCharBase"/>
    <w:uiPriority w:val="1"/>
    <w:qFormat/>
    <w:rsid w:val="008371C1"/>
  </w:style>
  <w:style w:type="character" w:customStyle="1" w:styleId="CharDivNo">
    <w:name w:val="CharDivNo"/>
    <w:basedOn w:val="OPCCharBase"/>
    <w:uiPriority w:val="1"/>
    <w:qFormat/>
    <w:rsid w:val="008371C1"/>
  </w:style>
  <w:style w:type="character" w:customStyle="1" w:styleId="CharDivText">
    <w:name w:val="CharDivText"/>
    <w:basedOn w:val="OPCCharBase"/>
    <w:uiPriority w:val="1"/>
    <w:qFormat/>
    <w:rsid w:val="008371C1"/>
  </w:style>
  <w:style w:type="character" w:customStyle="1" w:styleId="CharItalic">
    <w:name w:val="CharItalic"/>
    <w:basedOn w:val="OPCCharBase"/>
    <w:uiPriority w:val="1"/>
    <w:qFormat/>
    <w:rsid w:val="008371C1"/>
    <w:rPr>
      <w:i/>
    </w:rPr>
  </w:style>
  <w:style w:type="character" w:customStyle="1" w:styleId="CharPartNo">
    <w:name w:val="CharPartNo"/>
    <w:basedOn w:val="OPCCharBase"/>
    <w:uiPriority w:val="1"/>
    <w:qFormat/>
    <w:rsid w:val="008371C1"/>
  </w:style>
  <w:style w:type="character" w:customStyle="1" w:styleId="CharPartText">
    <w:name w:val="CharPartText"/>
    <w:basedOn w:val="OPCCharBase"/>
    <w:uiPriority w:val="1"/>
    <w:qFormat/>
    <w:rsid w:val="008371C1"/>
  </w:style>
  <w:style w:type="character" w:customStyle="1" w:styleId="CharSectno">
    <w:name w:val="CharSectno"/>
    <w:basedOn w:val="OPCCharBase"/>
    <w:qFormat/>
    <w:rsid w:val="008371C1"/>
  </w:style>
  <w:style w:type="character" w:customStyle="1" w:styleId="CharSubdNo">
    <w:name w:val="CharSubdNo"/>
    <w:basedOn w:val="OPCCharBase"/>
    <w:uiPriority w:val="1"/>
    <w:qFormat/>
    <w:rsid w:val="008371C1"/>
  </w:style>
  <w:style w:type="character" w:customStyle="1" w:styleId="CharSubdText">
    <w:name w:val="CharSubdText"/>
    <w:basedOn w:val="OPCCharBase"/>
    <w:uiPriority w:val="1"/>
    <w:qFormat/>
    <w:rsid w:val="008371C1"/>
  </w:style>
  <w:style w:type="paragraph" w:customStyle="1" w:styleId="CTA--">
    <w:name w:val="CTA --"/>
    <w:basedOn w:val="OPCParaBase"/>
    <w:next w:val="Normal"/>
    <w:rsid w:val="008371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371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371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371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371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371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371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371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371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371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371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371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371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371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371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371C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371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371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371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371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371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371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371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371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371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371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371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371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371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371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371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371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371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371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371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371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371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371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371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371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371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371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371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371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371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371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371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371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371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371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371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371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371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371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371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371C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371C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371C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371C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371C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371C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371C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371C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371C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371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371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371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371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371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371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371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371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371C1"/>
    <w:rPr>
      <w:sz w:val="16"/>
    </w:rPr>
  </w:style>
  <w:style w:type="table" w:customStyle="1" w:styleId="CFlag">
    <w:name w:val="CFlag"/>
    <w:basedOn w:val="TableNormal"/>
    <w:uiPriority w:val="99"/>
    <w:rsid w:val="008371C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37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837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371C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371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371C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371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371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371C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371C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371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371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371C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371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371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371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371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371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371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371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371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371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371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371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371C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371C1"/>
  </w:style>
  <w:style w:type="character" w:customStyle="1" w:styleId="CharSubPartNoCASA">
    <w:name w:val="CharSubPartNo(CASA)"/>
    <w:basedOn w:val="OPCCharBase"/>
    <w:uiPriority w:val="1"/>
    <w:rsid w:val="008371C1"/>
  </w:style>
  <w:style w:type="paragraph" w:customStyle="1" w:styleId="ENoteTTIndentHeadingSub">
    <w:name w:val="ENoteTTIndentHeadingSub"/>
    <w:aliases w:val="enTTHis"/>
    <w:basedOn w:val="OPCParaBase"/>
    <w:rsid w:val="008371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371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371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371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371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02F0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371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371C1"/>
    <w:rPr>
      <w:sz w:val="22"/>
    </w:rPr>
  </w:style>
  <w:style w:type="paragraph" w:customStyle="1" w:styleId="SOTextNote">
    <w:name w:val="SO TextNote"/>
    <w:aliases w:val="sont"/>
    <w:basedOn w:val="SOText"/>
    <w:qFormat/>
    <w:rsid w:val="008371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371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371C1"/>
    <w:rPr>
      <w:sz w:val="22"/>
    </w:rPr>
  </w:style>
  <w:style w:type="paragraph" w:customStyle="1" w:styleId="FileName">
    <w:name w:val="FileName"/>
    <w:basedOn w:val="Normal"/>
    <w:rsid w:val="008371C1"/>
  </w:style>
  <w:style w:type="paragraph" w:customStyle="1" w:styleId="TableHeading">
    <w:name w:val="TableHeading"/>
    <w:aliases w:val="th"/>
    <w:basedOn w:val="OPCParaBase"/>
    <w:next w:val="Tabletext"/>
    <w:rsid w:val="008371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371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371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371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371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371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371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371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371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371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371C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371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71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71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7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1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1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1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1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1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1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1C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71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1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1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1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1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1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1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1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1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371C1"/>
  </w:style>
  <w:style w:type="paragraph" w:customStyle="1" w:styleId="OPCParaBase">
    <w:name w:val="OPCParaBase"/>
    <w:qFormat/>
    <w:rsid w:val="008371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371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371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371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371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371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371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371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371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71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371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371C1"/>
  </w:style>
  <w:style w:type="paragraph" w:customStyle="1" w:styleId="Blocks">
    <w:name w:val="Blocks"/>
    <w:aliases w:val="bb"/>
    <w:basedOn w:val="OPCParaBase"/>
    <w:qFormat/>
    <w:rsid w:val="008371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371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371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371C1"/>
    <w:rPr>
      <w:i/>
    </w:rPr>
  </w:style>
  <w:style w:type="paragraph" w:customStyle="1" w:styleId="BoxList">
    <w:name w:val="BoxList"/>
    <w:aliases w:val="bl"/>
    <w:basedOn w:val="BoxText"/>
    <w:qFormat/>
    <w:rsid w:val="008371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371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371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371C1"/>
    <w:pPr>
      <w:ind w:left="1985" w:hanging="851"/>
    </w:pPr>
  </w:style>
  <w:style w:type="character" w:customStyle="1" w:styleId="CharAmPartNo">
    <w:name w:val="CharAmPartNo"/>
    <w:basedOn w:val="OPCCharBase"/>
    <w:qFormat/>
    <w:rsid w:val="008371C1"/>
  </w:style>
  <w:style w:type="character" w:customStyle="1" w:styleId="CharAmPartText">
    <w:name w:val="CharAmPartText"/>
    <w:basedOn w:val="OPCCharBase"/>
    <w:qFormat/>
    <w:rsid w:val="008371C1"/>
  </w:style>
  <w:style w:type="character" w:customStyle="1" w:styleId="CharAmSchNo">
    <w:name w:val="CharAmSchNo"/>
    <w:basedOn w:val="OPCCharBase"/>
    <w:qFormat/>
    <w:rsid w:val="008371C1"/>
  </w:style>
  <w:style w:type="character" w:customStyle="1" w:styleId="CharAmSchText">
    <w:name w:val="CharAmSchText"/>
    <w:basedOn w:val="OPCCharBase"/>
    <w:qFormat/>
    <w:rsid w:val="008371C1"/>
  </w:style>
  <w:style w:type="character" w:customStyle="1" w:styleId="CharBoldItalic">
    <w:name w:val="CharBoldItalic"/>
    <w:basedOn w:val="OPCCharBase"/>
    <w:uiPriority w:val="1"/>
    <w:qFormat/>
    <w:rsid w:val="008371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371C1"/>
  </w:style>
  <w:style w:type="character" w:customStyle="1" w:styleId="CharChapText">
    <w:name w:val="CharChapText"/>
    <w:basedOn w:val="OPCCharBase"/>
    <w:uiPriority w:val="1"/>
    <w:qFormat/>
    <w:rsid w:val="008371C1"/>
  </w:style>
  <w:style w:type="character" w:customStyle="1" w:styleId="CharDivNo">
    <w:name w:val="CharDivNo"/>
    <w:basedOn w:val="OPCCharBase"/>
    <w:uiPriority w:val="1"/>
    <w:qFormat/>
    <w:rsid w:val="008371C1"/>
  </w:style>
  <w:style w:type="character" w:customStyle="1" w:styleId="CharDivText">
    <w:name w:val="CharDivText"/>
    <w:basedOn w:val="OPCCharBase"/>
    <w:uiPriority w:val="1"/>
    <w:qFormat/>
    <w:rsid w:val="008371C1"/>
  </w:style>
  <w:style w:type="character" w:customStyle="1" w:styleId="CharItalic">
    <w:name w:val="CharItalic"/>
    <w:basedOn w:val="OPCCharBase"/>
    <w:uiPriority w:val="1"/>
    <w:qFormat/>
    <w:rsid w:val="008371C1"/>
    <w:rPr>
      <w:i/>
    </w:rPr>
  </w:style>
  <w:style w:type="character" w:customStyle="1" w:styleId="CharPartNo">
    <w:name w:val="CharPartNo"/>
    <w:basedOn w:val="OPCCharBase"/>
    <w:uiPriority w:val="1"/>
    <w:qFormat/>
    <w:rsid w:val="008371C1"/>
  </w:style>
  <w:style w:type="character" w:customStyle="1" w:styleId="CharPartText">
    <w:name w:val="CharPartText"/>
    <w:basedOn w:val="OPCCharBase"/>
    <w:uiPriority w:val="1"/>
    <w:qFormat/>
    <w:rsid w:val="008371C1"/>
  </w:style>
  <w:style w:type="character" w:customStyle="1" w:styleId="CharSectno">
    <w:name w:val="CharSectno"/>
    <w:basedOn w:val="OPCCharBase"/>
    <w:qFormat/>
    <w:rsid w:val="008371C1"/>
  </w:style>
  <w:style w:type="character" w:customStyle="1" w:styleId="CharSubdNo">
    <w:name w:val="CharSubdNo"/>
    <w:basedOn w:val="OPCCharBase"/>
    <w:uiPriority w:val="1"/>
    <w:qFormat/>
    <w:rsid w:val="008371C1"/>
  </w:style>
  <w:style w:type="character" w:customStyle="1" w:styleId="CharSubdText">
    <w:name w:val="CharSubdText"/>
    <w:basedOn w:val="OPCCharBase"/>
    <w:uiPriority w:val="1"/>
    <w:qFormat/>
    <w:rsid w:val="008371C1"/>
  </w:style>
  <w:style w:type="paragraph" w:customStyle="1" w:styleId="CTA--">
    <w:name w:val="CTA --"/>
    <w:basedOn w:val="OPCParaBase"/>
    <w:next w:val="Normal"/>
    <w:rsid w:val="008371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371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371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371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371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371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371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371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371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371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371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371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371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371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371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371C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371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371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371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371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371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371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371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371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371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371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371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371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371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371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371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371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371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371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371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371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371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371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371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371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371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371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371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371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371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371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371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371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371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371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371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371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371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371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371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371C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371C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371C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371C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371C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371C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371C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371C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371C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371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371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371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371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371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371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371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371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371C1"/>
    <w:rPr>
      <w:sz w:val="16"/>
    </w:rPr>
  </w:style>
  <w:style w:type="table" w:customStyle="1" w:styleId="CFlag">
    <w:name w:val="CFlag"/>
    <w:basedOn w:val="TableNormal"/>
    <w:uiPriority w:val="99"/>
    <w:rsid w:val="008371C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37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837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371C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371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371C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371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371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371C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371C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371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371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371C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371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371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371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371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371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371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371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371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371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371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371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371C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371C1"/>
  </w:style>
  <w:style w:type="character" w:customStyle="1" w:styleId="CharSubPartNoCASA">
    <w:name w:val="CharSubPartNo(CASA)"/>
    <w:basedOn w:val="OPCCharBase"/>
    <w:uiPriority w:val="1"/>
    <w:rsid w:val="008371C1"/>
  </w:style>
  <w:style w:type="paragraph" w:customStyle="1" w:styleId="ENoteTTIndentHeadingSub">
    <w:name w:val="ENoteTTIndentHeadingSub"/>
    <w:aliases w:val="enTTHis"/>
    <w:basedOn w:val="OPCParaBase"/>
    <w:rsid w:val="008371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371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371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371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371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02F0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371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371C1"/>
    <w:rPr>
      <w:sz w:val="22"/>
    </w:rPr>
  </w:style>
  <w:style w:type="paragraph" w:customStyle="1" w:styleId="SOTextNote">
    <w:name w:val="SO TextNote"/>
    <w:aliases w:val="sont"/>
    <w:basedOn w:val="SOText"/>
    <w:qFormat/>
    <w:rsid w:val="008371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371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371C1"/>
    <w:rPr>
      <w:sz w:val="22"/>
    </w:rPr>
  </w:style>
  <w:style w:type="paragraph" w:customStyle="1" w:styleId="FileName">
    <w:name w:val="FileName"/>
    <w:basedOn w:val="Normal"/>
    <w:rsid w:val="008371C1"/>
  </w:style>
  <w:style w:type="paragraph" w:customStyle="1" w:styleId="TableHeading">
    <w:name w:val="TableHeading"/>
    <w:aliases w:val="th"/>
    <w:basedOn w:val="OPCParaBase"/>
    <w:next w:val="Tabletext"/>
    <w:rsid w:val="008371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371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371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371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371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371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371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371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371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371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371C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371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71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71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7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1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1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1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1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1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1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1C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CBBA-AE66-4F79-B8DA-83A6EB6C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14</Pages>
  <Words>2210</Words>
  <Characters>11029</Characters>
  <Application>Microsoft Office Word</Application>
  <DocSecurity>0</DocSecurity>
  <PresentationFormat/>
  <Lines>511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Radiation Protection and Nuclear Safety Amendment (2017 Measures No. 1) Regulations 2017</vt:lpstr>
    </vt:vector>
  </TitlesOfParts>
  <Manager/>
  <Company/>
  <LinksUpToDate>false</LinksUpToDate>
  <CharactersWithSpaces>12911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2017-05-11T03:45:00Z</cp:lastPrinted>
  <dcterms:created xsi:type="dcterms:W3CDTF">2017-06-22T05:27:00Z</dcterms:created>
  <dcterms:modified xsi:type="dcterms:W3CDTF">2017-06-22T05:27:00Z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Australian Radiation Protection and Nuclear Safety Amendment (2017 Measures No. 1)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June 2017</vt:lpwstr>
  </property>
  <property fmtid="{D5CDD505-2E9C-101B-9397-08002B2CF9AE}" pid="10" name="Authority">
    <vt:lpwstr/>
  </property>
  <property fmtid="{D5CDD505-2E9C-101B-9397-08002B2CF9AE}" pid="11" name="ID">
    <vt:lpwstr>OPC62507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Radiation Protection and Nuclear Safety Act 1998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27 June 2017</vt:lpwstr>
  </property>
</Properties>
</file>